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4"/>
        </w:rPr>
      </w:pPr>
    </w:p>
    <w:p>
      <w:pPr>
        <w:spacing w:line="360" w:lineRule="auto"/>
        <w:jc w:val="center"/>
        <w:rPr>
          <w:rFonts w:ascii="宋体" w:hAnsi="宋体" w:cs="仿宋"/>
          <w:b/>
          <w:bCs/>
          <w:sz w:val="48"/>
          <w:szCs w:val="52"/>
        </w:rPr>
      </w:pPr>
      <w:r>
        <w:rPr>
          <w:rFonts w:hint="eastAsia" w:ascii="宋体" w:hAnsi="宋体" w:cs="仿宋"/>
          <w:b/>
          <w:bCs/>
          <w:sz w:val="48"/>
          <w:szCs w:val="52"/>
        </w:rPr>
        <w:t>郑阜高铁鄢陵南站站前广场及市政</w:t>
      </w:r>
    </w:p>
    <w:p>
      <w:pPr>
        <w:spacing w:line="360" w:lineRule="auto"/>
        <w:jc w:val="center"/>
        <w:rPr>
          <w:rFonts w:ascii="宋体" w:hAnsi="宋体" w:cs="仿宋"/>
          <w:b/>
          <w:bCs/>
          <w:sz w:val="48"/>
          <w:szCs w:val="52"/>
        </w:rPr>
      </w:pPr>
      <w:r>
        <w:rPr>
          <w:rFonts w:hint="eastAsia" w:ascii="宋体" w:hAnsi="宋体" w:cs="仿宋"/>
          <w:b/>
          <w:bCs/>
          <w:sz w:val="48"/>
          <w:szCs w:val="52"/>
        </w:rPr>
        <w:t>配套设施项目—长途客运站工程</w:t>
      </w:r>
    </w:p>
    <w:p>
      <w:pPr>
        <w:spacing w:line="360" w:lineRule="auto"/>
        <w:jc w:val="center"/>
        <w:rPr>
          <w:rFonts w:ascii="宋体" w:hAnsi="宋体"/>
          <w:sz w:val="24"/>
        </w:rPr>
      </w:pPr>
    </w:p>
    <w:p>
      <w:pPr>
        <w:spacing w:line="360" w:lineRule="auto"/>
        <w:jc w:val="center"/>
        <w:rPr>
          <w:rFonts w:ascii="宋体" w:hAnsi="宋体"/>
          <w:b/>
          <w:bCs/>
          <w:sz w:val="32"/>
          <w:szCs w:val="32"/>
        </w:rPr>
      </w:pPr>
      <w:r>
        <w:rPr>
          <w:rFonts w:hint="eastAsia" w:ascii="宋体" w:hAnsi="宋体"/>
          <w:b/>
          <w:bCs/>
          <w:sz w:val="32"/>
          <w:szCs w:val="32"/>
        </w:rPr>
        <w:t>一标段</w:t>
      </w:r>
    </w:p>
    <w:p>
      <w:pPr>
        <w:spacing w:line="360" w:lineRule="auto"/>
        <w:rPr>
          <w:rFonts w:ascii="宋体" w:hAnsi="宋体"/>
          <w:sz w:val="24"/>
        </w:rPr>
      </w:pPr>
    </w:p>
    <w:p>
      <w:pPr>
        <w:spacing w:line="360" w:lineRule="auto"/>
        <w:jc w:val="center"/>
        <w:rPr>
          <w:rFonts w:ascii="宋体" w:hAnsi="宋体"/>
          <w:sz w:val="24"/>
        </w:rPr>
      </w:pPr>
    </w:p>
    <w:p>
      <w:pPr>
        <w:spacing w:line="360" w:lineRule="auto"/>
        <w:rPr>
          <w:rFonts w:ascii="宋体" w:hAnsi="宋体"/>
          <w:sz w:val="24"/>
        </w:rPr>
      </w:pPr>
    </w:p>
    <w:p>
      <w:pPr>
        <w:spacing w:line="360" w:lineRule="auto"/>
        <w:jc w:val="center"/>
        <w:rPr>
          <w:rFonts w:ascii="宋体" w:hAnsi="宋体" w:cs="仿宋"/>
          <w:b/>
          <w:sz w:val="84"/>
          <w:szCs w:val="84"/>
        </w:rPr>
      </w:pPr>
      <w:r>
        <w:rPr>
          <w:rFonts w:hint="eastAsia" w:ascii="宋体" w:hAnsi="宋体" w:cs="仿宋"/>
          <w:b/>
          <w:sz w:val="84"/>
          <w:szCs w:val="84"/>
        </w:rPr>
        <w:t>招标文件</w:t>
      </w:r>
    </w:p>
    <w:p>
      <w:pPr>
        <w:spacing w:line="360" w:lineRule="auto"/>
        <w:jc w:val="center"/>
        <w:rPr>
          <w:rFonts w:ascii="宋体" w:hAnsi="宋体" w:cs="仿宋"/>
          <w:sz w:val="28"/>
          <w:szCs w:val="28"/>
        </w:rPr>
      </w:pPr>
      <w:r>
        <w:rPr>
          <w:rFonts w:hint="eastAsia" w:ascii="宋体" w:hAnsi="宋体" w:cs="仿宋"/>
          <w:sz w:val="28"/>
          <w:szCs w:val="28"/>
        </w:rPr>
        <w:t>项目编号：</w:t>
      </w:r>
      <w:r>
        <w:rPr>
          <w:rFonts w:hint="eastAsia" w:ascii="宋体" w:hAnsi="宋体" w:cs="仿宋"/>
          <w:b/>
          <w:sz w:val="28"/>
          <w:szCs w:val="28"/>
        </w:rPr>
        <w:t>Y2020GZ082</w:t>
      </w:r>
    </w:p>
    <w:p>
      <w:pPr>
        <w:spacing w:line="360" w:lineRule="auto"/>
        <w:jc w:val="center"/>
        <w:rPr>
          <w:rFonts w:ascii="宋体" w:hAnsi="宋体"/>
          <w:sz w:val="32"/>
          <w:szCs w:val="32"/>
        </w:rPr>
      </w:pPr>
      <w:r>
        <w:rPr>
          <w:rFonts w:hint="eastAsia" w:ascii="宋体" w:hAnsi="宋体"/>
          <w:b/>
          <w:bCs/>
          <w:sz w:val="32"/>
          <w:szCs w:val="32"/>
        </w:rPr>
        <w:t>不见面开标</w:t>
      </w:r>
    </w:p>
    <w:p>
      <w:pPr>
        <w:spacing w:line="360" w:lineRule="auto"/>
        <w:rPr>
          <w:rFonts w:ascii="宋体" w:hAnsi="宋体"/>
          <w:sz w:val="24"/>
        </w:rPr>
      </w:pPr>
    </w:p>
    <w:p>
      <w:pPr>
        <w:spacing w:line="360" w:lineRule="auto"/>
        <w:rPr>
          <w:rFonts w:ascii="宋体" w:hAnsi="宋体"/>
          <w:sz w:val="24"/>
        </w:rPr>
      </w:pPr>
      <w:r>
        <w:rPr>
          <w:rFonts w:ascii="宋体" w:hAnsi="宋体"/>
          <w:sz w:val="24"/>
        </w:rPr>
        <w:drawing>
          <wp:anchor distT="0" distB="0" distL="114300" distR="114300" simplePos="0" relativeHeight="251658240" behindDoc="0" locked="0" layoutInCell="1" allowOverlap="1">
            <wp:simplePos x="0" y="0"/>
            <wp:positionH relativeFrom="column">
              <wp:posOffset>1748790</wp:posOffset>
            </wp:positionH>
            <wp:positionV relativeFrom="paragraph">
              <wp:posOffset>51435</wp:posOffset>
            </wp:positionV>
            <wp:extent cx="1838325" cy="1257300"/>
            <wp:effectExtent l="0" t="0" r="9525" b="0"/>
            <wp:wrapNone/>
            <wp:docPr id="1" name="图片 2" descr="公司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徽标"/>
                    <pic:cNvPicPr>
                      <a:picLocks noChangeAspect="1"/>
                    </pic:cNvPicPr>
                  </pic:nvPicPr>
                  <pic:blipFill>
                    <a:blip r:embed="rId9"/>
                    <a:stretch>
                      <a:fillRect/>
                    </a:stretch>
                  </pic:blipFill>
                  <pic:spPr>
                    <a:xfrm>
                      <a:off x="0" y="0"/>
                      <a:ext cx="1838325" cy="1257300"/>
                    </a:xfrm>
                    <a:prstGeom prst="rect">
                      <a:avLst/>
                    </a:prstGeom>
                    <a:noFill/>
                    <a:ln>
                      <a:noFill/>
                    </a:ln>
                  </pic:spPr>
                </pic:pic>
              </a:graphicData>
            </a:graphic>
          </wp:anchor>
        </w:drawing>
      </w:r>
    </w:p>
    <w:p>
      <w:pPr>
        <w:spacing w:line="360" w:lineRule="auto"/>
        <w:rPr>
          <w:rFonts w:ascii="宋体" w:hAnsi="宋体"/>
          <w:sz w:val="24"/>
        </w:rPr>
      </w:pPr>
    </w:p>
    <w:p>
      <w:pPr>
        <w:spacing w:line="360" w:lineRule="auto"/>
        <w:rPr>
          <w:rFonts w:ascii="宋体" w:hAnsi="宋体"/>
          <w:sz w:val="24"/>
        </w:rPr>
      </w:pPr>
      <w:r>
        <w:rPr>
          <w:rFonts w:ascii="宋体" w:hAnsi="宋体"/>
          <w:sz w:val="24"/>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1274" w:firstLineChars="455"/>
        <w:jc w:val="left"/>
        <w:rPr>
          <w:rFonts w:ascii="宋体" w:hAnsi="宋体"/>
          <w:sz w:val="28"/>
          <w:szCs w:val="28"/>
        </w:rPr>
      </w:pPr>
      <w:r>
        <w:rPr>
          <w:rFonts w:hint="eastAsia" w:ascii="宋体" w:hAnsi="宋体"/>
          <w:sz w:val="28"/>
          <w:szCs w:val="28"/>
        </w:rPr>
        <w:t>招   标   人：鄢陵县政通投资集团有限公司</w:t>
      </w:r>
    </w:p>
    <w:p>
      <w:pPr>
        <w:spacing w:line="360" w:lineRule="auto"/>
        <w:ind w:firstLine="1274" w:firstLineChars="455"/>
        <w:jc w:val="left"/>
        <w:rPr>
          <w:rFonts w:ascii="宋体" w:hAnsi="宋体"/>
          <w:sz w:val="28"/>
          <w:szCs w:val="28"/>
        </w:rPr>
      </w:pPr>
      <w:r>
        <w:rPr>
          <w:rFonts w:hint="eastAsia" w:ascii="宋体" w:hAnsi="宋体"/>
          <w:sz w:val="28"/>
          <w:szCs w:val="28"/>
        </w:rPr>
        <w:t>招标代理机构：河南招标采购服务有限公司</w:t>
      </w:r>
    </w:p>
    <w:p>
      <w:pPr>
        <w:spacing w:line="360" w:lineRule="auto"/>
        <w:ind w:firstLine="1274" w:firstLineChars="455"/>
        <w:rPr>
          <w:rFonts w:ascii="宋体" w:hAnsi="宋体"/>
          <w:sz w:val="24"/>
        </w:rPr>
        <w:sectPr>
          <w:headerReference r:id="rId3" w:type="default"/>
          <w:headerReference r:id="rId4" w:type="even"/>
          <w:footerReference r:id="rId5" w:type="even"/>
          <w:pgSz w:w="11906" w:h="16838"/>
          <w:pgMar w:top="1440" w:right="1800" w:bottom="1440" w:left="1800" w:header="851" w:footer="992" w:gutter="0"/>
          <w:pgNumType w:start="1"/>
          <w:cols w:space="720" w:num="1"/>
          <w:titlePg/>
          <w:docGrid w:type="lines" w:linePitch="312" w:charSpace="0"/>
        </w:sectPr>
      </w:pPr>
      <w:bookmarkStart w:id="0" w:name="_Toc152042286"/>
      <w:bookmarkStart w:id="1" w:name="_Toc144974478"/>
      <w:r>
        <w:rPr>
          <w:rFonts w:hint="eastAsia" w:ascii="宋体" w:hAnsi="宋体"/>
          <w:sz w:val="28"/>
          <w:szCs w:val="28"/>
        </w:rPr>
        <w:t>日        期：二零二零年七月</w:t>
      </w:r>
      <w:r>
        <w:rPr>
          <w:rFonts w:ascii="宋体" w:hAnsi="宋体"/>
          <w:sz w:val="24"/>
        </w:rPr>
        <w:br w:type="page"/>
      </w:r>
    </w:p>
    <w:bookmarkEnd w:id="0"/>
    <w:bookmarkEnd w:id="1"/>
    <w:p>
      <w:pPr>
        <w:pStyle w:val="16"/>
        <w:spacing w:before="0" w:line="360" w:lineRule="auto"/>
        <w:jc w:val="center"/>
        <w:rPr>
          <w:rFonts w:ascii="宋体" w:hAnsi="宋体" w:eastAsia="宋体"/>
          <w:b/>
          <w:bCs/>
          <w:color w:val="auto"/>
          <w:sz w:val="44"/>
          <w:szCs w:val="44"/>
        </w:rPr>
      </w:pPr>
      <w:bookmarkStart w:id="2" w:name="_Toc144974479"/>
      <w:bookmarkStart w:id="3" w:name="_Toc152045511"/>
      <w:bookmarkStart w:id="4" w:name="_Toc152042287"/>
      <w:bookmarkStart w:id="5" w:name="_Toc247513932"/>
      <w:bookmarkStart w:id="6" w:name="_Toc247527533"/>
      <w:r>
        <w:rPr>
          <w:rFonts w:ascii="宋体" w:hAnsi="宋体" w:eastAsia="宋体"/>
          <w:b/>
          <w:bCs/>
          <w:color w:val="auto"/>
          <w:sz w:val="44"/>
          <w:szCs w:val="44"/>
          <w:lang w:val="zh-CN"/>
        </w:rPr>
        <w:t>目</w:t>
      </w:r>
      <w:r>
        <w:rPr>
          <w:rFonts w:hint="eastAsia" w:ascii="宋体" w:hAnsi="宋体" w:eastAsia="宋体"/>
          <w:b/>
          <w:bCs/>
          <w:color w:val="auto"/>
          <w:sz w:val="44"/>
          <w:szCs w:val="44"/>
          <w:lang w:val="zh-CN"/>
        </w:rPr>
        <w:t xml:space="preserve"> </w:t>
      </w:r>
      <w:r>
        <w:rPr>
          <w:rFonts w:ascii="宋体" w:hAnsi="宋体" w:eastAsia="宋体"/>
          <w:b/>
          <w:bCs/>
          <w:color w:val="auto"/>
          <w:sz w:val="44"/>
          <w:szCs w:val="44"/>
          <w:lang w:val="zh-CN"/>
        </w:rPr>
        <w:t>录</w:t>
      </w:r>
    </w:p>
    <w:p>
      <w:pPr>
        <w:pStyle w:val="12"/>
        <w:tabs>
          <w:tab w:val="right" w:leader="dot" w:pos="8296"/>
        </w:tabs>
        <w:spacing w:before="0" w:after="0" w:line="480" w:lineRule="auto"/>
        <w:rPr>
          <w:rFonts w:ascii="宋体" w:hAnsi="宋体"/>
          <w:bCs w:val="0"/>
          <w:caps w:val="0"/>
          <w:sz w:val="24"/>
          <w:szCs w:val="24"/>
        </w:rPr>
      </w:pPr>
      <w:r>
        <w:rPr>
          <w:rFonts w:ascii="宋体" w:hAnsi="宋体"/>
          <w:b w:val="0"/>
          <w:bCs w:val="0"/>
          <w:sz w:val="24"/>
          <w:szCs w:val="24"/>
        </w:rPr>
        <w:fldChar w:fldCharType="begin"/>
      </w:r>
      <w:r>
        <w:rPr>
          <w:rFonts w:ascii="宋体" w:hAnsi="宋体"/>
          <w:b w:val="0"/>
          <w:bCs w:val="0"/>
          <w:sz w:val="24"/>
          <w:szCs w:val="24"/>
        </w:rPr>
        <w:instrText xml:space="preserve"> TOC \o "1-3" \h \z \u </w:instrText>
      </w:r>
      <w:r>
        <w:rPr>
          <w:rFonts w:ascii="宋体" w:hAnsi="宋体"/>
          <w:b w:val="0"/>
          <w:bCs w:val="0"/>
          <w:sz w:val="24"/>
          <w:szCs w:val="24"/>
        </w:rPr>
        <w:fldChar w:fldCharType="separate"/>
      </w:r>
      <w:r>
        <w:fldChar w:fldCharType="begin"/>
      </w:r>
      <w:r>
        <w:instrText xml:space="preserve"> HYPERLINK \l "_Toc43198835" </w:instrText>
      </w:r>
      <w:r>
        <w:fldChar w:fldCharType="separate"/>
      </w:r>
      <w:r>
        <w:rPr>
          <w:rStyle w:val="15"/>
          <w:rFonts w:ascii="宋体" w:hAnsi="宋体"/>
          <w:bCs w:val="0"/>
          <w:color w:val="auto"/>
          <w:sz w:val="24"/>
          <w:szCs w:val="24"/>
        </w:rPr>
        <w:t>第一卷</w:t>
      </w:r>
      <w:r>
        <w:rPr>
          <w:rFonts w:ascii="宋体" w:hAnsi="宋体"/>
          <w:bCs w:val="0"/>
          <w:sz w:val="24"/>
          <w:szCs w:val="24"/>
        </w:rPr>
        <w:tab/>
      </w:r>
      <w:r>
        <w:rPr>
          <w:rFonts w:ascii="宋体" w:hAnsi="宋体"/>
          <w:bCs w:val="0"/>
          <w:sz w:val="24"/>
          <w:szCs w:val="24"/>
        </w:rPr>
        <w:fldChar w:fldCharType="end"/>
      </w:r>
    </w:p>
    <w:p>
      <w:pPr>
        <w:pStyle w:val="12"/>
        <w:tabs>
          <w:tab w:val="right" w:leader="dot" w:pos="8296"/>
        </w:tabs>
        <w:spacing w:before="0" w:after="0" w:line="480" w:lineRule="auto"/>
        <w:rPr>
          <w:rFonts w:ascii="宋体" w:hAnsi="宋体"/>
          <w:bCs w:val="0"/>
          <w:caps w:val="0"/>
          <w:sz w:val="24"/>
          <w:szCs w:val="24"/>
        </w:rPr>
      </w:pPr>
      <w:r>
        <w:fldChar w:fldCharType="begin"/>
      </w:r>
      <w:r>
        <w:instrText xml:space="preserve"> HYPERLINK \l "_Toc43198836" </w:instrText>
      </w:r>
      <w:r>
        <w:fldChar w:fldCharType="separate"/>
      </w:r>
      <w:r>
        <w:rPr>
          <w:rStyle w:val="15"/>
          <w:rFonts w:ascii="宋体" w:hAnsi="宋体"/>
          <w:bCs w:val="0"/>
          <w:color w:val="auto"/>
          <w:sz w:val="24"/>
          <w:szCs w:val="24"/>
        </w:rPr>
        <w:t>第一章 招标公告</w:t>
      </w:r>
      <w:r>
        <w:rPr>
          <w:rFonts w:ascii="宋体" w:hAnsi="宋体"/>
          <w:bCs w:val="0"/>
          <w:sz w:val="24"/>
          <w:szCs w:val="24"/>
        </w:rPr>
        <w:tab/>
      </w:r>
      <w:r>
        <w:rPr>
          <w:rFonts w:ascii="宋体" w:hAnsi="宋体"/>
          <w:bCs w:val="0"/>
          <w:sz w:val="24"/>
          <w:szCs w:val="24"/>
        </w:rPr>
        <w:fldChar w:fldCharType="end"/>
      </w:r>
    </w:p>
    <w:p>
      <w:pPr>
        <w:pStyle w:val="12"/>
        <w:tabs>
          <w:tab w:val="right" w:leader="dot" w:pos="8296"/>
        </w:tabs>
        <w:spacing w:before="0" w:after="0" w:line="480" w:lineRule="auto"/>
        <w:rPr>
          <w:rFonts w:ascii="宋体" w:hAnsi="宋体"/>
          <w:b w:val="0"/>
          <w:bCs w:val="0"/>
          <w:caps w:val="0"/>
          <w:sz w:val="24"/>
          <w:szCs w:val="24"/>
        </w:rPr>
      </w:pPr>
      <w:r>
        <w:fldChar w:fldCharType="begin"/>
      </w:r>
      <w:r>
        <w:instrText xml:space="preserve"> HYPERLINK \l "_Toc43198845" </w:instrText>
      </w:r>
      <w:r>
        <w:fldChar w:fldCharType="separate"/>
      </w:r>
      <w:r>
        <w:rPr>
          <w:rStyle w:val="15"/>
          <w:rFonts w:ascii="宋体" w:hAnsi="宋体"/>
          <w:b w:val="0"/>
          <w:bCs w:val="0"/>
          <w:color w:val="auto"/>
          <w:sz w:val="24"/>
          <w:szCs w:val="24"/>
        </w:rPr>
        <w:t>第二章 投标人须知</w:t>
      </w:r>
      <w:r>
        <w:rPr>
          <w:rFonts w:ascii="宋体" w:hAnsi="宋体"/>
          <w:b w:val="0"/>
          <w:bCs w:val="0"/>
          <w:sz w:val="24"/>
          <w:szCs w:val="24"/>
        </w:rPr>
        <w:tab/>
      </w:r>
      <w:r>
        <w:rPr>
          <w:rFonts w:ascii="宋体" w:hAnsi="宋体"/>
          <w:b w:val="0"/>
          <w:bCs w:val="0"/>
          <w:sz w:val="24"/>
          <w:szCs w:val="24"/>
        </w:rPr>
        <w:fldChar w:fldCharType="end"/>
      </w:r>
    </w:p>
    <w:p>
      <w:pPr>
        <w:pStyle w:val="12"/>
        <w:tabs>
          <w:tab w:val="right" w:leader="dot" w:pos="8296"/>
        </w:tabs>
        <w:spacing w:before="0" w:after="0" w:line="480" w:lineRule="auto"/>
        <w:rPr>
          <w:rFonts w:ascii="宋体" w:hAnsi="宋体"/>
          <w:b w:val="0"/>
          <w:bCs w:val="0"/>
          <w:caps w:val="0"/>
          <w:sz w:val="24"/>
          <w:szCs w:val="24"/>
        </w:rPr>
      </w:pPr>
      <w:r>
        <w:fldChar w:fldCharType="begin"/>
      </w:r>
      <w:r>
        <w:instrText xml:space="preserve"> HYPERLINK \l "_Toc43198898" </w:instrText>
      </w:r>
      <w:r>
        <w:fldChar w:fldCharType="separate"/>
      </w:r>
      <w:r>
        <w:rPr>
          <w:rStyle w:val="15"/>
          <w:rFonts w:ascii="宋体" w:hAnsi="宋体"/>
          <w:b w:val="0"/>
          <w:bCs w:val="0"/>
          <w:color w:val="auto"/>
          <w:sz w:val="24"/>
          <w:szCs w:val="24"/>
        </w:rPr>
        <w:t>第三章 评标办法（综合评标法）</w:t>
      </w:r>
      <w:r>
        <w:rPr>
          <w:rFonts w:ascii="宋体" w:hAnsi="宋体"/>
          <w:b w:val="0"/>
          <w:bCs w:val="0"/>
          <w:sz w:val="24"/>
          <w:szCs w:val="24"/>
        </w:rPr>
        <w:tab/>
      </w:r>
      <w:r>
        <w:rPr>
          <w:rFonts w:ascii="宋体" w:hAnsi="宋体"/>
          <w:b w:val="0"/>
          <w:bCs w:val="0"/>
          <w:sz w:val="24"/>
          <w:szCs w:val="24"/>
        </w:rPr>
        <w:fldChar w:fldCharType="end"/>
      </w:r>
    </w:p>
    <w:p>
      <w:pPr>
        <w:pStyle w:val="12"/>
        <w:tabs>
          <w:tab w:val="right" w:leader="dot" w:pos="8296"/>
        </w:tabs>
        <w:spacing w:before="0" w:after="0" w:line="480" w:lineRule="auto"/>
        <w:rPr>
          <w:rFonts w:ascii="宋体" w:hAnsi="宋体"/>
          <w:b w:val="0"/>
          <w:bCs w:val="0"/>
          <w:caps w:val="0"/>
          <w:sz w:val="24"/>
          <w:szCs w:val="24"/>
        </w:rPr>
      </w:pPr>
      <w:r>
        <w:fldChar w:fldCharType="begin"/>
      </w:r>
      <w:r>
        <w:instrText xml:space="preserve"> HYPERLINK \l "_Toc43198899" </w:instrText>
      </w:r>
      <w:r>
        <w:fldChar w:fldCharType="separate"/>
      </w:r>
      <w:r>
        <w:rPr>
          <w:rStyle w:val="15"/>
          <w:rFonts w:ascii="宋体" w:hAnsi="宋体"/>
          <w:b w:val="0"/>
          <w:bCs w:val="0"/>
          <w:color w:val="auto"/>
          <w:sz w:val="24"/>
          <w:szCs w:val="24"/>
        </w:rPr>
        <w:t>第四章 合同条款及格式</w:t>
      </w:r>
      <w:r>
        <w:rPr>
          <w:rFonts w:ascii="宋体" w:hAnsi="宋体"/>
          <w:b w:val="0"/>
          <w:bCs w:val="0"/>
          <w:sz w:val="24"/>
          <w:szCs w:val="24"/>
        </w:rPr>
        <w:tab/>
      </w:r>
      <w:r>
        <w:rPr>
          <w:rFonts w:ascii="宋体" w:hAnsi="宋体"/>
          <w:b w:val="0"/>
          <w:bCs w:val="0"/>
          <w:sz w:val="24"/>
          <w:szCs w:val="24"/>
        </w:rPr>
        <w:fldChar w:fldCharType="end"/>
      </w:r>
    </w:p>
    <w:p>
      <w:pPr>
        <w:pStyle w:val="12"/>
        <w:tabs>
          <w:tab w:val="right" w:leader="dot" w:pos="8296"/>
        </w:tabs>
        <w:spacing w:before="0" w:after="0" w:line="480" w:lineRule="auto"/>
        <w:rPr>
          <w:rFonts w:ascii="宋体" w:hAnsi="宋体"/>
          <w:b w:val="0"/>
          <w:bCs w:val="0"/>
          <w:caps w:val="0"/>
          <w:sz w:val="24"/>
          <w:szCs w:val="24"/>
        </w:rPr>
      </w:pPr>
      <w:r>
        <w:fldChar w:fldCharType="begin"/>
      </w:r>
      <w:r>
        <w:instrText xml:space="preserve"> HYPERLINK \l "_Toc43198900" </w:instrText>
      </w:r>
      <w:r>
        <w:fldChar w:fldCharType="separate"/>
      </w:r>
      <w:r>
        <w:rPr>
          <w:rStyle w:val="15"/>
          <w:rFonts w:ascii="宋体" w:hAnsi="宋体"/>
          <w:b w:val="0"/>
          <w:bCs w:val="0"/>
          <w:color w:val="auto"/>
          <w:sz w:val="24"/>
          <w:szCs w:val="24"/>
        </w:rPr>
        <w:t>第五章 工程量清单</w:t>
      </w:r>
      <w:r>
        <w:rPr>
          <w:rFonts w:ascii="宋体" w:hAnsi="宋体"/>
          <w:b w:val="0"/>
          <w:bCs w:val="0"/>
          <w:sz w:val="24"/>
          <w:szCs w:val="24"/>
        </w:rPr>
        <w:tab/>
      </w:r>
      <w:r>
        <w:rPr>
          <w:rFonts w:ascii="宋体" w:hAnsi="宋体"/>
          <w:b w:val="0"/>
          <w:bCs w:val="0"/>
          <w:sz w:val="24"/>
          <w:szCs w:val="24"/>
        </w:rPr>
        <w:fldChar w:fldCharType="end"/>
      </w:r>
    </w:p>
    <w:p>
      <w:pPr>
        <w:pStyle w:val="12"/>
        <w:tabs>
          <w:tab w:val="right" w:leader="dot" w:pos="8296"/>
        </w:tabs>
        <w:spacing w:before="0" w:after="0" w:line="480" w:lineRule="auto"/>
        <w:rPr>
          <w:rFonts w:ascii="宋体" w:hAnsi="宋体"/>
          <w:b w:val="0"/>
          <w:bCs w:val="0"/>
          <w:caps w:val="0"/>
          <w:sz w:val="24"/>
          <w:szCs w:val="24"/>
        </w:rPr>
      </w:pPr>
      <w:r>
        <w:fldChar w:fldCharType="begin"/>
      </w:r>
      <w:r>
        <w:instrText xml:space="preserve"> HYPERLINK \l "_Toc43198901" </w:instrText>
      </w:r>
      <w:r>
        <w:fldChar w:fldCharType="separate"/>
      </w:r>
      <w:r>
        <w:rPr>
          <w:rStyle w:val="15"/>
          <w:rFonts w:ascii="宋体" w:hAnsi="宋体"/>
          <w:b w:val="0"/>
          <w:bCs w:val="0"/>
          <w:color w:val="auto"/>
          <w:sz w:val="24"/>
          <w:szCs w:val="24"/>
        </w:rPr>
        <w:t>第二卷</w:t>
      </w:r>
      <w:r>
        <w:rPr>
          <w:rFonts w:ascii="宋体" w:hAnsi="宋体"/>
          <w:b w:val="0"/>
          <w:bCs w:val="0"/>
          <w:sz w:val="24"/>
          <w:szCs w:val="24"/>
        </w:rPr>
        <w:tab/>
      </w:r>
      <w:r>
        <w:rPr>
          <w:rFonts w:ascii="宋体" w:hAnsi="宋体"/>
          <w:b w:val="0"/>
          <w:bCs w:val="0"/>
          <w:sz w:val="24"/>
          <w:szCs w:val="24"/>
        </w:rPr>
        <w:fldChar w:fldCharType="end"/>
      </w:r>
    </w:p>
    <w:p>
      <w:pPr>
        <w:pStyle w:val="12"/>
        <w:tabs>
          <w:tab w:val="right" w:leader="dot" w:pos="8296"/>
        </w:tabs>
        <w:spacing w:before="0" w:after="0" w:line="480" w:lineRule="auto"/>
        <w:rPr>
          <w:rFonts w:ascii="宋体" w:hAnsi="宋体"/>
          <w:b w:val="0"/>
          <w:bCs w:val="0"/>
          <w:caps w:val="0"/>
          <w:sz w:val="24"/>
          <w:szCs w:val="24"/>
        </w:rPr>
      </w:pPr>
      <w:r>
        <w:fldChar w:fldCharType="begin"/>
      </w:r>
      <w:r>
        <w:instrText xml:space="preserve"> HYPERLINK \l "_Toc43198902" </w:instrText>
      </w:r>
      <w:r>
        <w:fldChar w:fldCharType="separate"/>
      </w:r>
      <w:r>
        <w:rPr>
          <w:rStyle w:val="15"/>
          <w:rFonts w:ascii="宋体" w:hAnsi="宋体"/>
          <w:b w:val="0"/>
          <w:bCs w:val="0"/>
          <w:color w:val="auto"/>
          <w:sz w:val="24"/>
          <w:szCs w:val="24"/>
        </w:rPr>
        <w:t>第六章 图纸</w:t>
      </w:r>
      <w:r>
        <w:rPr>
          <w:rFonts w:ascii="宋体" w:hAnsi="宋体"/>
          <w:b w:val="0"/>
          <w:bCs w:val="0"/>
          <w:sz w:val="24"/>
          <w:szCs w:val="24"/>
        </w:rPr>
        <w:tab/>
      </w:r>
      <w:r>
        <w:rPr>
          <w:rFonts w:ascii="宋体" w:hAnsi="宋体"/>
          <w:b w:val="0"/>
          <w:bCs w:val="0"/>
          <w:sz w:val="24"/>
          <w:szCs w:val="24"/>
        </w:rPr>
        <w:fldChar w:fldCharType="end"/>
      </w:r>
    </w:p>
    <w:p>
      <w:pPr>
        <w:pStyle w:val="12"/>
        <w:tabs>
          <w:tab w:val="right" w:leader="dot" w:pos="8296"/>
        </w:tabs>
        <w:spacing w:before="0" w:after="0" w:line="480" w:lineRule="auto"/>
        <w:rPr>
          <w:rFonts w:ascii="宋体" w:hAnsi="宋体"/>
          <w:b w:val="0"/>
          <w:bCs w:val="0"/>
          <w:caps w:val="0"/>
          <w:sz w:val="24"/>
          <w:szCs w:val="24"/>
        </w:rPr>
      </w:pPr>
      <w:r>
        <w:fldChar w:fldCharType="begin"/>
      </w:r>
      <w:r>
        <w:instrText xml:space="preserve"> HYPERLINK \l "_Toc43198903" </w:instrText>
      </w:r>
      <w:r>
        <w:fldChar w:fldCharType="separate"/>
      </w:r>
      <w:r>
        <w:rPr>
          <w:rStyle w:val="15"/>
          <w:rFonts w:ascii="宋体" w:hAnsi="宋体"/>
          <w:b w:val="0"/>
          <w:bCs w:val="0"/>
          <w:color w:val="auto"/>
          <w:sz w:val="24"/>
          <w:szCs w:val="24"/>
        </w:rPr>
        <w:t>第三卷</w:t>
      </w:r>
      <w:r>
        <w:rPr>
          <w:rFonts w:ascii="宋体" w:hAnsi="宋体"/>
          <w:b w:val="0"/>
          <w:bCs w:val="0"/>
          <w:sz w:val="24"/>
          <w:szCs w:val="24"/>
        </w:rPr>
        <w:tab/>
      </w:r>
      <w:r>
        <w:rPr>
          <w:rFonts w:ascii="宋体" w:hAnsi="宋体"/>
          <w:b w:val="0"/>
          <w:bCs w:val="0"/>
          <w:sz w:val="24"/>
          <w:szCs w:val="24"/>
        </w:rPr>
        <w:fldChar w:fldCharType="end"/>
      </w:r>
    </w:p>
    <w:p>
      <w:pPr>
        <w:pStyle w:val="12"/>
        <w:tabs>
          <w:tab w:val="right" w:leader="dot" w:pos="8296"/>
        </w:tabs>
        <w:spacing w:before="0" w:after="0" w:line="480" w:lineRule="auto"/>
        <w:rPr>
          <w:rFonts w:ascii="宋体" w:hAnsi="宋体"/>
          <w:b w:val="0"/>
          <w:bCs w:val="0"/>
          <w:caps w:val="0"/>
          <w:sz w:val="24"/>
          <w:szCs w:val="24"/>
        </w:rPr>
      </w:pPr>
      <w:r>
        <w:fldChar w:fldCharType="begin"/>
      </w:r>
      <w:r>
        <w:instrText xml:space="preserve"> HYPERLINK \l "_Toc43198904" </w:instrText>
      </w:r>
      <w:r>
        <w:fldChar w:fldCharType="separate"/>
      </w:r>
      <w:r>
        <w:rPr>
          <w:rStyle w:val="15"/>
          <w:rFonts w:ascii="宋体" w:hAnsi="宋体"/>
          <w:b w:val="0"/>
          <w:bCs w:val="0"/>
          <w:color w:val="auto"/>
          <w:sz w:val="24"/>
          <w:szCs w:val="24"/>
        </w:rPr>
        <w:t>第七章 技术标准和要求</w:t>
      </w:r>
      <w:r>
        <w:rPr>
          <w:rFonts w:ascii="宋体" w:hAnsi="宋体"/>
          <w:b w:val="0"/>
          <w:bCs w:val="0"/>
          <w:sz w:val="24"/>
          <w:szCs w:val="24"/>
        </w:rPr>
        <w:tab/>
      </w:r>
      <w:r>
        <w:rPr>
          <w:rFonts w:ascii="宋体" w:hAnsi="宋体"/>
          <w:b w:val="0"/>
          <w:bCs w:val="0"/>
          <w:sz w:val="24"/>
          <w:szCs w:val="24"/>
        </w:rPr>
        <w:fldChar w:fldCharType="end"/>
      </w:r>
    </w:p>
    <w:p>
      <w:pPr>
        <w:pStyle w:val="12"/>
        <w:tabs>
          <w:tab w:val="right" w:leader="dot" w:pos="8296"/>
        </w:tabs>
        <w:spacing w:before="0" w:after="0" w:line="480" w:lineRule="auto"/>
        <w:rPr>
          <w:rFonts w:ascii="宋体" w:hAnsi="宋体"/>
          <w:b w:val="0"/>
          <w:bCs w:val="0"/>
          <w:caps w:val="0"/>
          <w:sz w:val="24"/>
          <w:szCs w:val="24"/>
        </w:rPr>
      </w:pPr>
      <w:r>
        <w:fldChar w:fldCharType="begin"/>
      </w:r>
      <w:r>
        <w:instrText xml:space="preserve"> HYPERLINK \l "_Toc43198905" </w:instrText>
      </w:r>
      <w:r>
        <w:fldChar w:fldCharType="separate"/>
      </w:r>
      <w:r>
        <w:rPr>
          <w:rStyle w:val="15"/>
          <w:rFonts w:ascii="宋体" w:hAnsi="宋体"/>
          <w:b w:val="0"/>
          <w:bCs w:val="0"/>
          <w:color w:val="auto"/>
          <w:sz w:val="24"/>
          <w:szCs w:val="24"/>
        </w:rPr>
        <w:t>第四卷</w:t>
      </w:r>
      <w:r>
        <w:rPr>
          <w:rFonts w:ascii="宋体" w:hAnsi="宋体"/>
          <w:b w:val="0"/>
          <w:bCs w:val="0"/>
          <w:sz w:val="24"/>
          <w:szCs w:val="24"/>
        </w:rPr>
        <w:tab/>
      </w:r>
      <w:r>
        <w:rPr>
          <w:rFonts w:ascii="宋体" w:hAnsi="宋体"/>
          <w:b w:val="0"/>
          <w:bCs w:val="0"/>
          <w:sz w:val="24"/>
          <w:szCs w:val="24"/>
        </w:rPr>
        <w:fldChar w:fldCharType="end"/>
      </w:r>
    </w:p>
    <w:p>
      <w:pPr>
        <w:pStyle w:val="12"/>
        <w:tabs>
          <w:tab w:val="right" w:leader="dot" w:pos="8296"/>
        </w:tabs>
        <w:spacing w:before="0" w:after="0" w:line="480" w:lineRule="auto"/>
        <w:rPr>
          <w:rFonts w:ascii="宋体" w:hAnsi="宋体"/>
          <w:b w:val="0"/>
          <w:bCs w:val="0"/>
          <w:caps w:val="0"/>
          <w:sz w:val="24"/>
          <w:szCs w:val="24"/>
        </w:rPr>
      </w:pPr>
      <w:r>
        <w:fldChar w:fldCharType="begin"/>
      </w:r>
      <w:r>
        <w:instrText xml:space="preserve"> HYPERLINK \l "_Toc43198906" </w:instrText>
      </w:r>
      <w:r>
        <w:fldChar w:fldCharType="separate"/>
      </w:r>
      <w:r>
        <w:rPr>
          <w:rStyle w:val="15"/>
          <w:rFonts w:ascii="宋体" w:hAnsi="宋体"/>
          <w:b w:val="0"/>
          <w:bCs w:val="0"/>
          <w:color w:val="auto"/>
          <w:sz w:val="24"/>
          <w:szCs w:val="24"/>
        </w:rPr>
        <w:t>第八章 投标文件格式</w:t>
      </w:r>
      <w:r>
        <w:rPr>
          <w:rFonts w:ascii="宋体" w:hAnsi="宋体"/>
          <w:b w:val="0"/>
          <w:bCs w:val="0"/>
          <w:sz w:val="24"/>
          <w:szCs w:val="24"/>
        </w:rPr>
        <w:tab/>
      </w:r>
      <w:r>
        <w:rPr>
          <w:rFonts w:ascii="宋体" w:hAnsi="宋体"/>
          <w:b w:val="0"/>
          <w:bCs w:val="0"/>
          <w:sz w:val="24"/>
          <w:szCs w:val="24"/>
        </w:rPr>
        <w:fldChar w:fldCharType="end"/>
      </w:r>
    </w:p>
    <w:p>
      <w:pPr>
        <w:spacing w:line="480" w:lineRule="auto"/>
        <w:rPr>
          <w:rFonts w:ascii="宋体" w:hAnsi="宋体"/>
          <w:sz w:val="24"/>
        </w:rPr>
      </w:pPr>
      <w:r>
        <w:rPr>
          <w:rFonts w:ascii="宋体" w:hAnsi="宋体"/>
          <w:sz w:val="24"/>
          <w:lang w:val="zh-CN"/>
        </w:rPr>
        <w:fldChar w:fldCharType="end"/>
      </w:r>
    </w:p>
    <w:p>
      <w:pPr>
        <w:spacing w:line="360" w:lineRule="auto"/>
        <w:rPr>
          <w:rFonts w:ascii="宋体" w:hAnsi="宋体"/>
          <w:sz w:val="24"/>
        </w:rPr>
      </w:pPr>
      <w:r>
        <w:rPr>
          <w:rFonts w:ascii="宋体" w:hAnsi="宋体"/>
          <w:sz w:val="24"/>
        </w:rPr>
        <w:br w:type="page"/>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hint="eastAsia" w:ascii="宋体" w:hAnsi="宋体"/>
          <w:sz w:val="24"/>
        </w:rPr>
      </w:pPr>
    </w:p>
    <w:p>
      <w:pPr>
        <w:pStyle w:val="6"/>
        <w:spacing w:before="0" w:after="0" w:line="360" w:lineRule="auto"/>
        <w:jc w:val="center"/>
        <w:rPr>
          <w:rFonts w:hint="eastAsia" w:ascii="宋体" w:hAnsi="宋体"/>
        </w:rPr>
      </w:pPr>
      <w:bookmarkStart w:id="7" w:name="_Toc300834927"/>
      <w:bookmarkStart w:id="8" w:name="_Toc43198835"/>
      <w:r>
        <w:rPr>
          <w:rFonts w:hint="eastAsia" w:ascii="宋体" w:hAnsi="宋体"/>
        </w:rPr>
        <w:t>第一卷</w:t>
      </w:r>
      <w:bookmarkEnd w:id="7"/>
      <w:bookmarkEnd w:id="8"/>
    </w:p>
    <w:p>
      <w:pPr>
        <w:spacing w:line="360" w:lineRule="auto"/>
        <w:rPr>
          <w:rFonts w:ascii="宋体" w:hAnsi="宋体"/>
          <w:sz w:val="24"/>
        </w:rPr>
      </w:pPr>
    </w:p>
    <w:p>
      <w:pPr>
        <w:spacing w:line="360" w:lineRule="auto"/>
        <w:rPr>
          <w:rFonts w:hint="eastAsia" w:ascii="宋体" w:hAnsi="宋体"/>
          <w:sz w:val="24"/>
        </w:rPr>
      </w:pPr>
      <w:r>
        <w:rPr>
          <w:rFonts w:ascii="宋体" w:hAnsi="宋体"/>
          <w:sz w:val="24"/>
        </w:rPr>
        <w:br w:type="page"/>
      </w:r>
    </w:p>
    <w:p>
      <w:pPr>
        <w:pStyle w:val="6"/>
        <w:numPr>
          <w:ilvl w:val="0"/>
          <w:numId w:val="1"/>
        </w:numPr>
        <w:spacing w:before="156" w:beforeLines="50" w:after="156" w:afterLines="50" w:line="360" w:lineRule="auto"/>
        <w:jc w:val="center"/>
        <w:rPr>
          <w:rFonts w:ascii="宋体" w:hAnsi="宋体"/>
          <w:sz w:val="32"/>
          <w:szCs w:val="32"/>
        </w:rPr>
      </w:pPr>
      <w:bookmarkStart w:id="9" w:name="_Toc247527534"/>
      <w:bookmarkStart w:id="10" w:name="_Toc43198836"/>
      <w:bookmarkStart w:id="11" w:name="_Toc300834928"/>
      <w:bookmarkStart w:id="12" w:name="_Toc247513933"/>
      <w:r>
        <w:rPr>
          <w:rFonts w:hint="eastAsia" w:ascii="宋体" w:hAnsi="宋体"/>
          <w:sz w:val="32"/>
          <w:szCs w:val="32"/>
        </w:rPr>
        <w:t>招标公告</w:t>
      </w:r>
      <w:bookmarkEnd w:id="9"/>
      <w:bookmarkEnd w:id="10"/>
      <w:bookmarkEnd w:id="11"/>
      <w:bookmarkEnd w:id="12"/>
    </w:p>
    <w:p>
      <w:pPr>
        <w:spacing w:line="360" w:lineRule="auto"/>
        <w:ind w:firstLine="643" w:firstLineChars="200"/>
        <w:jc w:val="center"/>
        <w:rPr>
          <w:rFonts w:ascii="宋体" w:hAnsi="宋体"/>
          <w:b/>
          <w:bCs/>
          <w:kern w:val="44"/>
          <w:sz w:val="32"/>
          <w:szCs w:val="32"/>
        </w:rPr>
      </w:pPr>
      <w:bookmarkStart w:id="13" w:name="_Toc247513934"/>
      <w:bookmarkStart w:id="14" w:name="_Toc43198837"/>
      <w:bookmarkStart w:id="15" w:name="_Toc23282538"/>
      <w:bookmarkStart w:id="16" w:name="_Toc144974480"/>
      <w:bookmarkStart w:id="17" w:name="_Toc152045512"/>
      <w:bookmarkStart w:id="18" w:name="_Toc45470219"/>
      <w:bookmarkStart w:id="19" w:name="_Toc300834929"/>
      <w:bookmarkStart w:id="20" w:name="_Toc247527535"/>
      <w:bookmarkStart w:id="21" w:name="_Toc152042288"/>
      <w:bookmarkStart w:id="22" w:name="_Hlk35024722"/>
      <w:r>
        <w:rPr>
          <w:rFonts w:hint="eastAsia" w:ascii="宋体" w:hAnsi="宋体"/>
          <w:b/>
          <w:bCs/>
          <w:kern w:val="44"/>
          <w:sz w:val="32"/>
          <w:szCs w:val="32"/>
        </w:rPr>
        <w:t>Y2020GZ082郑阜高铁鄢陵南站站前广场及市政配套设施项目—长途客运站</w:t>
      </w:r>
      <w:r>
        <w:rPr>
          <w:rFonts w:hint="eastAsia" w:ascii="宋体" w:hAnsi="宋体"/>
          <w:b/>
          <w:bCs/>
          <w:kern w:val="44"/>
          <w:sz w:val="32"/>
          <w:szCs w:val="32"/>
          <w:lang w:val="en-US" w:eastAsia="zh-CN"/>
        </w:rPr>
        <w:t>工程（不见面开标）</w:t>
      </w:r>
      <w:r>
        <w:rPr>
          <w:rFonts w:hint="eastAsia" w:ascii="宋体" w:hAnsi="宋体"/>
          <w:b/>
          <w:bCs/>
          <w:kern w:val="44"/>
          <w:sz w:val="32"/>
          <w:szCs w:val="32"/>
        </w:rPr>
        <w:t>招标公告</w:t>
      </w:r>
    </w:p>
    <w:p>
      <w:pPr>
        <w:keepNext/>
        <w:keepLines/>
        <w:numPr>
          <w:ilvl w:val="0"/>
          <w:numId w:val="2"/>
        </w:numPr>
        <w:spacing w:line="360" w:lineRule="auto"/>
        <w:ind w:firstLine="489" w:firstLineChars="203"/>
        <w:outlineLvl w:val="1"/>
        <w:rPr>
          <w:rFonts w:ascii="宋体" w:hAnsi="宋体"/>
          <w:b/>
          <w:bCs/>
          <w:sz w:val="24"/>
        </w:rPr>
      </w:pPr>
      <w:r>
        <w:rPr>
          <w:rFonts w:ascii="宋体" w:hAnsi="宋体"/>
          <w:b/>
          <w:bCs/>
          <w:sz w:val="24"/>
        </w:rPr>
        <w:t>招标条件</w:t>
      </w:r>
      <w:bookmarkEnd w:id="13"/>
      <w:bookmarkEnd w:id="14"/>
      <w:bookmarkEnd w:id="15"/>
      <w:bookmarkEnd w:id="16"/>
      <w:bookmarkEnd w:id="17"/>
      <w:bookmarkEnd w:id="18"/>
      <w:bookmarkEnd w:id="19"/>
      <w:bookmarkEnd w:id="20"/>
      <w:bookmarkEnd w:id="21"/>
    </w:p>
    <w:p>
      <w:pPr>
        <w:spacing w:line="360" w:lineRule="auto"/>
        <w:ind w:firstLine="480" w:firstLineChars="200"/>
        <w:jc w:val="left"/>
        <w:rPr>
          <w:rFonts w:ascii="宋体" w:hAnsi="宋体"/>
          <w:b/>
          <w:bCs/>
          <w:kern w:val="44"/>
          <w:sz w:val="32"/>
          <w:szCs w:val="32"/>
        </w:rPr>
      </w:pPr>
      <w:bookmarkStart w:id="23" w:name="_Toc152042291"/>
      <w:bookmarkStart w:id="24" w:name="_Toc152045515"/>
      <w:bookmarkStart w:id="25" w:name="_Toc247513937"/>
      <w:bookmarkStart w:id="26" w:name="_Toc144974483"/>
      <w:bookmarkStart w:id="27" w:name="_Toc247527538"/>
      <w:bookmarkStart w:id="28" w:name="_Toc23282541"/>
      <w:bookmarkStart w:id="29" w:name="_Toc300834932"/>
      <w:r>
        <w:rPr>
          <w:rFonts w:hint="eastAsia" w:ascii="宋体" w:hAnsi="宋体"/>
          <w:kern w:val="0"/>
          <w:sz w:val="24"/>
          <w:szCs w:val="20"/>
        </w:rPr>
        <w:t>郑阜高铁鄢陵南站站前广场及市政配套设施项目—长途客运站</w:t>
      </w:r>
      <w:r>
        <w:rPr>
          <w:rFonts w:hint="eastAsia" w:ascii="宋体" w:hAnsi="宋体"/>
          <w:kern w:val="0"/>
          <w:sz w:val="24"/>
          <w:szCs w:val="20"/>
          <w:lang w:val="en-US" w:eastAsia="zh-CN"/>
        </w:rPr>
        <w:t>工程</w:t>
      </w:r>
      <w:r>
        <w:rPr>
          <w:rFonts w:hint="eastAsia" w:ascii="宋体" w:hAnsi="宋体"/>
          <w:kern w:val="0"/>
          <w:sz w:val="24"/>
          <w:szCs w:val="20"/>
        </w:rPr>
        <w:t>，</w:t>
      </w:r>
      <w:r>
        <w:rPr>
          <w:rFonts w:hint="eastAsia" w:hAnsi="宋体"/>
          <w:sz w:val="24"/>
          <w:szCs w:val="24"/>
        </w:rPr>
        <w:t>已由鄢陵县发展和改革委员会</w:t>
      </w:r>
      <w:r>
        <w:rPr>
          <w:rFonts w:hint="eastAsia" w:hAnsi="宋体"/>
          <w:sz w:val="24"/>
          <w:szCs w:val="24"/>
          <w:lang w:eastAsia="zh-CN"/>
        </w:rPr>
        <w:t>以鄢发改[2017]80号</w:t>
      </w:r>
      <w:r>
        <w:rPr>
          <w:rFonts w:hint="eastAsia" w:hAnsi="宋体" w:cs="宋体"/>
          <w:bCs/>
          <w:sz w:val="24"/>
        </w:rPr>
        <w:t>批准建设</w:t>
      </w:r>
      <w:r>
        <w:rPr>
          <w:rFonts w:hint="eastAsia" w:ascii="宋体" w:hAnsi="宋体"/>
          <w:kern w:val="0"/>
          <w:sz w:val="24"/>
          <w:szCs w:val="20"/>
        </w:rPr>
        <w:t>，招标人为鄢陵县政通投资集团有限公司，招标代理机构为河南招标采购服务有限公司，建设资金为自筹资金，项目出资比例为</w:t>
      </w:r>
      <w:r>
        <w:rPr>
          <w:rFonts w:ascii="宋体" w:hAnsi="宋体"/>
          <w:kern w:val="0"/>
          <w:sz w:val="24"/>
          <w:szCs w:val="20"/>
        </w:rPr>
        <w:t>100%</w:t>
      </w:r>
      <w:r>
        <w:rPr>
          <w:rFonts w:hint="eastAsia" w:ascii="宋体" w:hAnsi="宋体"/>
          <w:kern w:val="0"/>
          <w:sz w:val="24"/>
          <w:szCs w:val="20"/>
        </w:rPr>
        <w:t>。项目已具备招标条件，现对该项目施工进行公开招标。</w:t>
      </w:r>
    </w:p>
    <w:p>
      <w:pPr>
        <w:keepNext/>
        <w:keepLines/>
        <w:numPr>
          <w:ilvl w:val="0"/>
          <w:numId w:val="2"/>
        </w:numPr>
        <w:spacing w:line="360" w:lineRule="auto"/>
        <w:ind w:firstLine="489" w:firstLineChars="203"/>
        <w:outlineLvl w:val="1"/>
        <w:rPr>
          <w:rFonts w:ascii="宋体" w:hAnsi="宋体"/>
          <w:b/>
          <w:bCs/>
          <w:sz w:val="24"/>
        </w:rPr>
      </w:pPr>
      <w:bookmarkStart w:id="30" w:name="_Toc45470220"/>
      <w:bookmarkStart w:id="31" w:name="_Toc152042289"/>
      <w:bookmarkStart w:id="32" w:name="_Toc152045513"/>
      <w:bookmarkStart w:id="33" w:name="_Toc247513935"/>
      <w:bookmarkStart w:id="34" w:name="_Toc247527536"/>
      <w:bookmarkStart w:id="35" w:name="_Toc144974481"/>
      <w:bookmarkStart w:id="36" w:name="_Toc23282539"/>
      <w:bookmarkStart w:id="37" w:name="_Toc300834930"/>
      <w:bookmarkStart w:id="38" w:name="_Toc43198838"/>
      <w:r>
        <w:rPr>
          <w:rFonts w:ascii="宋体" w:hAnsi="宋体"/>
          <w:b/>
          <w:bCs/>
          <w:sz w:val="24"/>
        </w:rPr>
        <w:t>项目概况与招标范围</w:t>
      </w:r>
      <w:bookmarkEnd w:id="30"/>
      <w:bookmarkEnd w:id="31"/>
      <w:bookmarkEnd w:id="32"/>
      <w:bookmarkEnd w:id="33"/>
      <w:bookmarkEnd w:id="34"/>
      <w:bookmarkEnd w:id="35"/>
      <w:bookmarkEnd w:id="36"/>
      <w:bookmarkEnd w:id="37"/>
      <w:bookmarkEnd w:id="38"/>
    </w:p>
    <w:p>
      <w:pPr>
        <w:numPr>
          <w:ilvl w:val="1"/>
          <w:numId w:val="3"/>
        </w:numPr>
        <w:spacing w:line="360" w:lineRule="auto"/>
        <w:ind w:firstLine="480" w:firstLineChars="200"/>
        <w:rPr>
          <w:rFonts w:ascii="宋体" w:hAnsi="宋体"/>
          <w:kern w:val="0"/>
          <w:sz w:val="24"/>
          <w:szCs w:val="20"/>
        </w:rPr>
      </w:pPr>
      <w:r>
        <w:rPr>
          <w:rFonts w:hint="eastAsia" w:ascii="宋体" w:hAnsi="宋体"/>
          <w:kern w:val="0"/>
          <w:sz w:val="24"/>
          <w:szCs w:val="20"/>
        </w:rPr>
        <w:t>项目名称：郑阜高铁鄢陵南站站前广场及市政配套设施项目—长途客运站</w:t>
      </w:r>
      <w:r>
        <w:rPr>
          <w:rFonts w:hint="eastAsia" w:ascii="宋体" w:hAnsi="宋体"/>
          <w:kern w:val="0"/>
          <w:sz w:val="24"/>
          <w:szCs w:val="20"/>
          <w:lang w:val="en-US" w:eastAsia="zh-CN"/>
        </w:rPr>
        <w:t>工程</w:t>
      </w:r>
    </w:p>
    <w:p>
      <w:pPr>
        <w:numPr>
          <w:ilvl w:val="1"/>
          <w:numId w:val="3"/>
        </w:numPr>
        <w:spacing w:line="360" w:lineRule="auto"/>
        <w:ind w:firstLine="480" w:firstLineChars="200"/>
        <w:rPr>
          <w:rFonts w:ascii="宋体" w:hAnsi="宋体"/>
          <w:kern w:val="0"/>
          <w:sz w:val="24"/>
          <w:szCs w:val="20"/>
        </w:rPr>
      </w:pPr>
      <w:r>
        <w:rPr>
          <w:rFonts w:hint="eastAsia" w:ascii="宋体" w:hAnsi="宋体"/>
          <w:kern w:val="0"/>
          <w:sz w:val="24"/>
          <w:szCs w:val="20"/>
        </w:rPr>
        <w:t>项目编号：</w:t>
      </w:r>
      <w:bookmarkStart w:id="39" w:name="_Toc152042290"/>
      <w:bookmarkStart w:id="40" w:name="_Toc247527537"/>
      <w:bookmarkStart w:id="41" w:name="_Toc23282540"/>
      <w:bookmarkStart w:id="42" w:name="_Toc152045514"/>
      <w:bookmarkStart w:id="43" w:name="_Toc300834931"/>
      <w:bookmarkStart w:id="44" w:name="_Toc247513936"/>
      <w:bookmarkStart w:id="45" w:name="_Toc144974482"/>
      <w:r>
        <w:rPr>
          <w:rFonts w:hint="eastAsia" w:ascii="宋体" w:hAnsi="宋体"/>
          <w:kern w:val="0"/>
          <w:sz w:val="24"/>
          <w:szCs w:val="20"/>
        </w:rPr>
        <w:t>Y2020GZ082</w:t>
      </w:r>
    </w:p>
    <w:p>
      <w:pPr>
        <w:numPr>
          <w:ilvl w:val="1"/>
          <w:numId w:val="3"/>
        </w:numPr>
        <w:spacing w:line="360" w:lineRule="auto"/>
        <w:ind w:firstLine="480" w:firstLineChars="200"/>
        <w:rPr>
          <w:rFonts w:ascii="宋体" w:hAnsi="宋体"/>
          <w:kern w:val="0"/>
          <w:sz w:val="24"/>
          <w:szCs w:val="20"/>
        </w:rPr>
      </w:pPr>
      <w:r>
        <w:rPr>
          <w:rFonts w:hint="eastAsia" w:ascii="宋体" w:hAnsi="宋体"/>
          <w:kern w:val="0"/>
          <w:sz w:val="24"/>
          <w:szCs w:val="20"/>
        </w:rPr>
        <w:t>建设地点：鄢陵县南环路南侧,鄢陵高铁南站北侧。</w:t>
      </w:r>
    </w:p>
    <w:p>
      <w:pPr>
        <w:numPr>
          <w:ilvl w:val="1"/>
          <w:numId w:val="3"/>
        </w:numPr>
        <w:spacing w:line="360" w:lineRule="auto"/>
        <w:ind w:firstLine="480" w:firstLineChars="200"/>
        <w:rPr>
          <w:rFonts w:ascii="宋体" w:hAnsi="宋体"/>
          <w:kern w:val="0"/>
          <w:sz w:val="24"/>
          <w:szCs w:val="20"/>
        </w:rPr>
      </w:pPr>
      <w:r>
        <w:rPr>
          <w:rFonts w:hint="eastAsia" w:ascii="宋体" w:hAnsi="宋体"/>
          <w:kern w:val="0"/>
          <w:sz w:val="24"/>
          <w:szCs w:val="20"/>
        </w:rPr>
        <w:t>项目概况：本项目为郑阜高铁鄢陵南站站前广场及市政配套设施项目——长途客运站工程，本项目规划总用地面积13646.56㎡，总建筑面积5065.43㎡，地上二层，无地下空间，绿地率20%。</w:t>
      </w:r>
    </w:p>
    <w:p>
      <w:pPr>
        <w:spacing w:line="360" w:lineRule="auto"/>
        <w:ind w:firstLine="463" w:firstLineChars="193"/>
        <w:rPr>
          <w:rFonts w:ascii="宋体"/>
          <w:kern w:val="0"/>
          <w:sz w:val="24"/>
        </w:rPr>
      </w:pPr>
      <w:r>
        <w:rPr>
          <w:rFonts w:hint="eastAsia" w:ascii="宋体"/>
          <w:kern w:val="0"/>
          <w:sz w:val="24"/>
        </w:rPr>
        <w:t>郑阜高铁鄢陵南站站前广场及市政配套设施项目——长途客运站工程，要建设内容：建筑工程、厂区土建工程及配套设施安装工程（电梯、给排水、景观工程、暖通、消防电、消防水、夜景照明、智能化工程</w:t>
      </w:r>
      <w:r>
        <w:rPr>
          <w:rFonts w:hint="eastAsia" w:ascii="宋体"/>
          <w:kern w:val="0"/>
          <w:sz w:val="24"/>
          <w:lang w:eastAsia="zh-CN"/>
        </w:rPr>
        <w:t>、</w:t>
      </w:r>
      <w:r>
        <w:rPr>
          <w:rFonts w:hint="eastAsia" w:ascii="宋体"/>
          <w:kern w:val="0"/>
          <w:sz w:val="24"/>
        </w:rPr>
        <w:t>强电工程</w:t>
      </w:r>
      <w:r>
        <w:rPr>
          <w:rFonts w:hint="eastAsia" w:ascii="宋体"/>
          <w:kern w:val="0"/>
          <w:sz w:val="24"/>
          <w:lang w:eastAsia="zh-CN"/>
        </w:rPr>
        <w:t>、</w:t>
      </w:r>
      <w:r>
        <w:rPr>
          <w:rFonts w:hint="eastAsia" w:ascii="宋体"/>
          <w:kern w:val="0"/>
          <w:sz w:val="24"/>
        </w:rPr>
        <w:t>园林绿化工程等）。</w:t>
      </w:r>
    </w:p>
    <w:p>
      <w:pPr>
        <w:numPr>
          <w:ilvl w:val="1"/>
          <w:numId w:val="3"/>
        </w:numPr>
        <w:spacing w:line="360" w:lineRule="auto"/>
        <w:ind w:firstLine="480" w:firstLineChars="200"/>
        <w:rPr>
          <w:rFonts w:ascii="宋体" w:hAnsi="宋体"/>
          <w:kern w:val="0"/>
          <w:sz w:val="24"/>
          <w:szCs w:val="20"/>
        </w:rPr>
      </w:pPr>
      <w:r>
        <w:rPr>
          <w:rFonts w:hint="eastAsia" w:ascii="宋体" w:hAnsi="宋体"/>
          <w:kern w:val="0"/>
          <w:sz w:val="24"/>
          <w:szCs w:val="20"/>
        </w:rPr>
        <w:t>招标范围：招标文件、工程量清单、施工图纸、答疑纪要和补充文件（如有）范围内的所有建设内容；</w:t>
      </w:r>
    </w:p>
    <w:p>
      <w:pPr>
        <w:numPr>
          <w:ilvl w:val="1"/>
          <w:numId w:val="3"/>
        </w:numPr>
        <w:spacing w:line="360" w:lineRule="auto"/>
        <w:ind w:firstLine="480" w:firstLineChars="200"/>
        <w:rPr>
          <w:rFonts w:ascii="宋体" w:hAnsi="宋体"/>
          <w:kern w:val="0"/>
          <w:sz w:val="24"/>
          <w:szCs w:val="20"/>
        </w:rPr>
      </w:pPr>
      <w:r>
        <w:rPr>
          <w:rFonts w:hint="eastAsia" w:ascii="宋体" w:hAnsi="宋体"/>
          <w:kern w:val="0"/>
          <w:sz w:val="24"/>
          <w:szCs w:val="20"/>
        </w:rPr>
        <w:t>标段划分：本项目共划分为</w:t>
      </w:r>
      <w:r>
        <w:rPr>
          <w:rFonts w:hint="eastAsia" w:ascii="宋体" w:hAnsi="宋体"/>
          <w:kern w:val="0"/>
          <w:sz w:val="24"/>
          <w:szCs w:val="20"/>
          <w:lang w:val="en-US" w:eastAsia="zh-CN"/>
        </w:rPr>
        <w:t>二</w:t>
      </w:r>
      <w:r>
        <w:rPr>
          <w:rFonts w:hint="eastAsia" w:ascii="宋体" w:hAnsi="宋体"/>
          <w:kern w:val="0"/>
          <w:sz w:val="24"/>
          <w:szCs w:val="20"/>
        </w:rPr>
        <w:t>个施工标段；</w:t>
      </w:r>
    </w:p>
    <w:p>
      <w:pPr>
        <w:spacing w:line="360" w:lineRule="auto"/>
        <w:ind w:firstLine="463" w:firstLineChars="193"/>
        <w:rPr>
          <w:rFonts w:hint="eastAsia" w:ascii="宋体" w:eastAsia="宋体"/>
          <w:kern w:val="0"/>
          <w:sz w:val="24"/>
          <w:lang w:eastAsia="zh-CN"/>
        </w:rPr>
      </w:pPr>
      <w:r>
        <w:rPr>
          <w:rFonts w:hint="eastAsia" w:ascii="宋体"/>
          <w:kern w:val="0"/>
          <w:sz w:val="24"/>
        </w:rPr>
        <w:t>一标段：郑阜高铁鄢陵南站站前广场及市政配套设施项目——长途客运站建筑安装工程</w:t>
      </w:r>
      <w:r>
        <w:rPr>
          <w:rFonts w:hint="eastAsia" w:ascii="宋体"/>
          <w:kern w:val="0"/>
          <w:sz w:val="24"/>
          <w:lang w:eastAsia="zh-CN"/>
        </w:rPr>
        <w:t>；</w:t>
      </w:r>
    </w:p>
    <w:p>
      <w:pPr>
        <w:spacing w:line="360" w:lineRule="auto"/>
        <w:ind w:firstLine="463" w:firstLineChars="193"/>
        <w:rPr>
          <w:rFonts w:ascii="宋体"/>
          <w:kern w:val="0"/>
          <w:sz w:val="24"/>
        </w:rPr>
      </w:pPr>
      <w:r>
        <w:rPr>
          <w:rFonts w:hint="eastAsia" w:ascii="宋体"/>
          <w:kern w:val="0"/>
          <w:sz w:val="24"/>
        </w:rPr>
        <w:t>二标段：郑阜高铁鄢陵南站站前广场及市政配套设施项目——长途客运站园林绿化工程。</w:t>
      </w:r>
    </w:p>
    <w:p>
      <w:pPr>
        <w:numPr>
          <w:ilvl w:val="1"/>
          <w:numId w:val="3"/>
        </w:numPr>
        <w:spacing w:line="360" w:lineRule="auto"/>
        <w:ind w:firstLine="480" w:firstLineChars="200"/>
        <w:rPr>
          <w:rFonts w:ascii="宋体" w:hAnsi="宋体"/>
          <w:kern w:val="0"/>
          <w:sz w:val="24"/>
          <w:szCs w:val="20"/>
        </w:rPr>
      </w:pPr>
      <w:r>
        <w:rPr>
          <w:rFonts w:hint="eastAsia" w:ascii="宋体" w:hAnsi="宋体"/>
          <w:kern w:val="0"/>
          <w:sz w:val="24"/>
          <w:szCs w:val="20"/>
        </w:rPr>
        <w:t>最高投标限价：</w:t>
      </w:r>
    </w:p>
    <w:p>
      <w:pPr>
        <w:spacing w:line="360" w:lineRule="auto"/>
        <w:ind w:firstLine="463" w:firstLineChars="193"/>
        <w:rPr>
          <w:rFonts w:hint="eastAsia" w:ascii="宋体"/>
          <w:kern w:val="0"/>
          <w:sz w:val="24"/>
          <w:lang w:val="en-US" w:eastAsia="zh-CN"/>
        </w:rPr>
      </w:pPr>
      <w:r>
        <w:rPr>
          <w:rFonts w:hint="eastAsia" w:ascii="宋体"/>
          <w:kern w:val="0"/>
          <w:sz w:val="24"/>
          <w:lang w:val="en-US" w:eastAsia="zh-CN"/>
        </w:rPr>
        <w:t>一标段：56112153.06元；二标段：4793777.48元。</w:t>
      </w:r>
    </w:p>
    <w:p>
      <w:pPr>
        <w:numPr>
          <w:ilvl w:val="1"/>
          <w:numId w:val="3"/>
        </w:numPr>
        <w:spacing w:line="360" w:lineRule="auto"/>
        <w:ind w:firstLine="480" w:firstLineChars="200"/>
        <w:rPr>
          <w:rFonts w:ascii="宋体" w:hAnsi="宋体"/>
          <w:kern w:val="0"/>
          <w:sz w:val="24"/>
          <w:szCs w:val="20"/>
        </w:rPr>
      </w:pPr>
      <w:r>
        <w:rPr>
          <w:rFonts w:hint="eastAsia" w:ascii="宋体" w:hAnsi="宋体"/>
          <w:kern w:val="0"/>
          <w:sz w:val="24"/>
          <w:szCs w:val="20"/>
        </w:rPr>
        <w:t>计划工期：</w:t>
      </w:r>
    </w:p>
    <w:p>
      <w:pPr>
        <w:spacing w:line="360" w:lineRule="auto"/>
        <w:ind w:firstLine="463" w:firstLineChars="193"/>
        <w:rPr>
          <w:rFonts w:ascii="宋体"/>
          <w:kern w:val="0"/>
          <w:sz w:val="24"/>
        </w:rPr>
      </w:pPr>
      <w:r>
        <w:rPr>
          <w:rFonts w:hint="eastAsia" w:ascii="宋体"/>
          <w:kern w:val="0"/>
          <w:sz w:val="24"/>
        </w:rPr>
        <w:t>一标段：</w:t>
      </w:r>
      <w:r>
        <w:rPr>
          <w:rFonts w:ascii="宋体"/>
          <w:kern w:val="0"/>
          <w:sz w:val="24"/>
        </w:rPr>
        <w:t>365</w:t>
      </w:r>
      <w:r>
        <w:rPr>
          <w:rFonts w:hint="eastAsia" w:ascii="宋体"/>
          <w:kern w:val="0"/>
          <w:sz w:val="24"/>
        </w:rPr>
        <w:t>日历天；二标段：</w:t>
      </w:r>
      <w:r>
        <w:rPr>
          <w:rFonts w:ascii="宋体"/>
          <w:kern w:val="0"/>
          <w:sz w:val="24"/>
        </w:rPr>
        <w:t>365</w:t>
      </w:r>
      <w:r>
        <w:rPr>
          <w:rFonts w:hint="eastAsia" w:ascii="宋体"/>
          <w:kern w:val="0"/>
          <w:sz w:val="24"/>
        </w:rPr>
        <w:t>日历天。</w:t>
      </w:r>
    </w:p>
    <w:p>
      <w:pPr>
        <w:numPr>
          <w:ilvl w:val="1"/>
          <w:numId w:val="3"/>
        </w:numPr>
        <w:spacing w:line="360" w:lineRule="auto"/>
        <w:ind w:firstLine="480" w:firstLineChars="200"/>
        <w:rPr>
          <w:rFonts w:ascii="宋体" w:hAnsi="宋体"/>
          <w:kern w:val="0"/>
          <w:sz w:val="24"/>
          <w:szCs w:val="20"/>
        </w:rPr>
      </w:pPr>
      <w:r>
        <w:rPr>
          <w:rFonts w:hint="eastAsia" w:ascii="宋体" w:hAnsi="宋体"/>
          <w:kern w:val="0"/>
          <w:sz w:val="24"/>
          <w:szCs w:val="20"/>
        </w:rPr>
        <w:t>质量要求：合格（符合国家现行的验收规范和标准）。</w:t>
      </w:r>
    </w:p>
    <w:p>
      <w:pPr>
        <w:keepNext/>
        <w:keepLines/>
        <w:numPr>
          <w:ilvl w:val="0"/>
          <w:numId w:val="2"/>
        </w:numPr>
        <w:spacing w:line="360" w:lineRule="auto"/>
        <w:ind w:firstLine="489" w:firstLineChars="203"/>
        <w:outlineLvl w:val="1"/>
        <w:rPr>
          <w:rFonts w:ascii="宋体" w:hAnsi="宋体"/>
          <w:b/>
          <w:bCs/>
          <w:sz w:val="24"/>
        </w:rPr>
      </w:pPr>
      <w:bookmarkStart w:id="46" w:name="_Toc45470221"/>
      <w:bookmarkStart w:id="47" w:name="_Toc43198839"/>
      <w:r>
        <w:rPr>
          <w:rFonts w:hint="eastAsia" w:ascii="宋体" w:hAnsi="宋体"/>
          <w:b/>
          <w:bCs/>
          <w:sz w:val="24"/>
        </w:rPr>
        <w:t>投标人资格要求</w:t>
      </w:r>
      <w:bookmarkEnd w:id="46"/>
      <w:bookmarkEnd w:id="47"/>
    </w:p>
    <w:bookmarkEnd w:id="39"/>
    <w:bookmarkEnd w:id="40"/>
    <w:bookmarkEnd w:id="41"/>
    <w:bookmarkEnd w:id="42"/>
    <w:bookmarkEnd w:id="43"/>
    <w:bookmarkEnd w:id="44"/>
    <w:bookmarkEnd w:id="45"/>
    <w:p>
      <w:pPr>
        <w:spacing w:line="360" w:lineRule="auto"/>
        <w:ind w:firstLine="504" w:firstLineChars="210"/>
        <w:rPr>
          <w:rFonts w:ascii="宋体"/>
          <w:kern w:val="0"/>
          <w:sz w:val="24"/>
          <w:szCs w:val="20"/>
        </w:rPr>
      </w:pPr>
      <w:r>
        <w:rPr>
          <w:rFonts w:hint="eastAsia" w:ascii="宋体"/>
          <w:kern w:val="0"/>
          <w:sz w:val="24"/>
          <w:szCs w:val="20"/>
        </w:rPr>
        <w:t>3.1资质要求：</w:t>
      </w:r>
    </w:p>
    <w:p>
      <w:pPr>
        <w:numPr>
          <w:ilvl w:val="2"/>
          <w:numId w:val="4"/>
        </w:numPr>
        <w:spacing w:line="360" w:lineRule="auto"/>
        <w:ind w:firstLine="504" w:firstLineChars="210"/>
        <w:rPr>
          <w:rFonts w:ascii="宋体"/>
          <w:kern w:val="0"/>
          <w:sz w:val="24"/>
          <w:szCs w:val="20"/>
        </w:rPr>
      </w:pPr>
      <w:r>
        <w:rPr>
          <w:rFonts w:ascii="宋体"/>
          <w:kern w:val="0"/>
          <w:sz w:val="24"/>
          <w:szCs w:val="20"/>
        </w:rPr>
        <w:t>一标段：投标人须具备独立的法人资格，并具有</w:t>
      </w:r>
      <w:r>
        <w:rPr>
          <w:rFonts w:hint="eastAsia" w:ascii="宋体"/>
          <w:kern w:val="0"/>
          <w:sz w:val="24"/>
          <w:szCs w:val="20"/>
        </w:rPr>
        <w:t>建筑</w:t>
      </w:r>
      <w:r>
        <w:rPr>
          <w:rFonts w:ascii="宋体"/>
          <w:kern w:val="0"/>
          <w:sz w:val="24"/>
          <w:szCs w:val="20"/>
        </w:rPr>
        <w:t>工程</w:t>
      </w:r>
      <w:r>
        <w:rPr>
          <w:rFonts w:hint="eastAsia" w:ascii="宋体"/>
          <w:kern w:val="0"/>
          <w:sz w:val="24"/>
          <w:szCs w:val="20"/>
        </w:rPr>
        <w:t>施工总承包</w:t>
      </w:r>
      <w:r>
        <w:rPr>
          <w:rFonts w:hint="eastAsia" w:ascii="宋体"/>
          <w:kern w:val="0"/>
          <w:sz w:val="24"/>
          <w:szCs w:val="20"/>
          <w:lang w:val="en-US" w:eastAsia="zh-CN"/>
        </w:rPr>
        <w:t>贰</w:t>
      </w:r>
      <w:r>
        <w:rPr>
          <w:rFonts w:ascii="宋体"/>
          <w:kern w:val="0"/>
          <w:sz w:val="24"/>
          <w:szCs w:val="20"/>
        </w:rPr>
        <w:t>级及以上企业资质，具有有效的安全生产许可证，并在人员、设备、资金等方面具有相应的施工能力。</w:t>
      </w:r>
    </w:p>
    <w:p>
      <w:pPr>
        <w:numPr>
          <w:ilvl w:val="2"/>
          <w:numId w:val="4"/>
        </w:numPr>
        <w:spacing w:line="360" w:lineRule="auto"/>
        <w:ind w:firstLine="504" w:firstLineChars="210"/>
        <w:rPr>
          <w:rFonts w:ascii="宋体"/>
          <w:kern w:val="0"/>
          <w:sz w:val="24"/>
          <w:szCs w:val="20"/>
        </w:rPr>
      </w:pPr>
      <w:r>
        <w:rPr>
          <w:rFonts w:ascii="宋体"/>
          <w:kern w:val="0"/>
          <w:sz w:val="24"/>
          <w:szCs w:val="20"/>
        </w:rPr>
        <w:t>二标段：</w:t>
      </w:r>
      <w:r>
        <w:rPr>
          <w:rFonts w:hint="eastAsia" w:ascii="宋体"/>
          <w:kern w:val="0"/>
          <w:sz w:val="24"/>
          <w:szCs w:val="20"/>
        </w:rPr>
        <w:t>投标人须具备独立法人资格，其营业执照（经营范围须包含园林绿化等相关内容），并在人员、设备、资金等方面具有相应的施工能力。</w:t>
      </w:r>
    </w:p>
    <w:p>
      <w:pPr>
        <w:numPr>
          <w:ilvl w:val="1"/>
          <w:numId w:val="5"/>
        </w:numPr>
        <w:spacing w:line="360" w:lineRule="auto"/>
        <w:ind w:firstLine="504" w:firstLineChars="210"/>
        <w:rPr>
          <w:rFonts w:ascii="宋体"/>
          <w:kern w:val="0"/>
          <w:sz w:val="24"/>
          <w:szCs w:val="20"/>
        </w:rPr>
      </w:pPr>
      <w:r>
        <w:rPr>
          <w:rFonts w:ascii="宋体"/>
          <w:kern w:val="0"/>
          <w:sz w:val="24"/>
          <w:szCs w:val="20"/>
        </w:rPr>
        <w:t>人员要求：</w:t>
      </w:r>
    </w:p>
    <w:p>
      <w:pPr>
        <w:numPr>
          <w:ilvl w:val="2"/>
          <w:numId w:val="4"/>
        </w:numPr>
        <w:spacing w:line="360" w:lineRule="auto"/>
        <w:ind w:firstLine="504" w:firstLineChars="210"/>
        <w:rPr>
          <w:rFonts w:ascii="宋体"/>
          <w:kern w:val="0"/>
          <w:sz w:val="24"/>
          <w:szCs w:val="20"/>
        </w:rPr>
      </w:pPr>
      <w:r>
        <w:rPr>
          <w:rFonts w:hint="eastAsia" w:ascii="宋体"/>
          <w:kern w:val="0"/>
          <w:sz w:val="24"/>
          <w:szCs w:val="20"/>
        </w:rPr>
        <w:t>一标段：拟派项目经理须具备壹级建筑工程专业注册建造师执业资格和有效的安全生产考核合格证，且未担任其它在建工程的项目经理；</w:t>
      </w:r>
    </w:p>
    <w:p>
      <w:pPr>
        <w:numPr>
          <w:ilvl w:val="2"/>
          <w:numId w:val="4"/>
        </w:numPr>
        <w:spacing w:line="360" w:lineRule="auto"/>
        <w:ind w:firstLine="504" w:firstLineChars="210"/>
        <w:rPr>
          <w:rFonts w:ascii="宋体"/>
          <w:kern w:val="0"/>
          <w:sz w:val="24"/>
          <w:szCs w:val="20"/>
        </w:rPr>
      </w:pPr>
      <w:r>
        <w:rPr>
          <w:rFonts w:hint="eastAsia" w:ascii="宋体"/>
          <w:kern w:val="0"/>
          <w:sz w:val="24"/>
          <w:szCs w:val="20"/>
        </w:rPr>
        <w:t>二标段：项目负责人应具有相关专业中级及以上职称，</w:t>
      </w:r>
      <w:r>
        <w:rPr>
          <w:rFonts w:ascii="宋体"/>
          <w:kern w:val="0"/>
          <w:sz w:val="24"/>
          <w:szCs w:val="20"/>
        </w:rPr>
        <w:t>且未担任其它在建工程</w:t>
      </w:r>
      <w:r>
        <w:rPr>
          <w:rFonts w:hint="eastAsia" w:ascii="宋体"/>
          <w:kern w:val="0"/>
          <w:sz w:val="24"/>
          <w:szCs w:val="20"/>
        </w:rPr>
        <w:t>的项目负责人。</w:t>
      </w:r>
    </w:p>
    <w:p>
      <w:pPr>
        <w:numPr>
          <w:ilvl w:val="1"/>
          <w:numId w:val="5"/>
        </w:numPr>
        <w:spacing w:line="360" w:lineRule="auto"/>
        <w:ind w:firstLine="504" w:firstLineChars="210"/>
        <w:rPr>
          <w:rFonts w:ascii="宋体"/>
          <w:kern w:val="0"/>
          <w:sz w:val="24"/>
          <w:szCs w:val="20"/>
        </w:rPr>
      </w:pPr>
      <w:r>
        <w:rPr>
          <w:rFonts w:hint="eastAsia" w:ascii="宋体"/>
          <w:kern w:val="0"/>
          <w:sz w:val="24"/>
          <w:szCs w:val="20"/>
        </w:rPr>
        <w:t>投标人未被列入“信用中国”网站（www.creditchina.gov.cn）失信被执行人、重大税收违法案件当事人名单；以及未被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numPr>
          <w:ilvl w:val="1"/>
          <w:numId w:val="5"/>
        </w:numPr>
        <w:spacing w:line="360" w:lineRule="auto"/>
        <w:ind w:firstLine="504" w:firstLineChars="210"/>
        <w:rPr>
          <w:rFonts w:ascii="宋体"/>
          <w:kern w:val="0"/>
          <w:sz w:val="24"/>
          <w:szCs w:val="20"/>
        </w:rPr>
      </w:pPr>
      <w:r>
        <w:rPr>
          <w:rFonts w:hint="eastAsia" w:ascii="宋体"/>
          <w:kern w:val="0"/>
          <w:sz w:val="24"/>
          <w:szCs w:val="20"/>
        </w:rPr>
        <w:t>本次招标不接受联合体投标。</w:t>
      </w:r>
    </w:p>
    <w:p>
      <w:pPr>
        <w:numPr>
          <w:ilvl w:val="1"/>
          <w:numId w:val="5"/>
        </w:numPr>
        <w:spacing w:line="360" w:lineRule="auto"/>
        <w:ind w:firstLine="504" w:firstLineChars="210"/>
        <w:rPr>
          <w:rFonts w:ascii="宋体"/>
          <w:kern w:val="0"/>
          <w:sz w:val="24"/>
          <w:szCs w:val="20"/>
        </w:rPr>
      </w:pPr>
      <w:r>
        <w:rPr>
          <w:rFonts w:hint="eastAsia" w:ascii="宋体"/>
          <w:kern w:val="0"/>
          <w:sz w:val="24"/>
          <w:szCs w:val="20"/>
        </w:rPr>
        <w:t>本次招标实行资格后审。</w:t>
      </w:r>
    </w:p>
    <w:p>
      <w:pPr>
        <w:keepNext/>
        <w:keepLines/>
        <w:numPr>
          <w:ilvl w:val="0"/>
          <w:numId w:val="2"/>
        </w:numPr>
        <w:spacing w:line="360" w:lineRule="auto"/>
        <w:ind w:firstLine="489" w:firstLineChars="203"/>
        <w:outlineLvl w:val="1"/>
        <w:rPr>
          <w:rFonts w:ascii="宋体" w:hAnsi="宋体"/>
          <w:b/>
          <w:bCs/>
          <w:sz w:val="24"/>
        </w:rPr>
      </w:pPr>
      <w:bookmarkStart w:id="48" w:name="_Toc43198840"/>
      <w:bookmarkStart w:id="49" w:name="_Toc45470222"/>
      <w:r>
        <w:rPr>
          <w:rFonts w:ascii="宋体" w:hAnsi="宋体"/>
          <w:b/>
          <w:bCs/>
          <w:sz w:val="24"/>
        </w:rPr>
        <w:t>招标文件的获取</w:t>
      </w:r>
      <w:bookmarkEnd w:id="23"/>
      <w:bookmarkEnd w:id="24"/>
      <w:bookmarkEnd w:id="25"/>
      <w:bookmarkEnd w:id="26"/>
      <w:bookmarkEnd w:id="27"/>
      <w:bookmarkEnd w:id="28"/>
      <w:bookmarkEnd w:id="29"/>
      <w:bookmarkEnd w:id="48"/>
      <w:bookmarkEnd w:id="49"/>
    </w:p>
    <w:p>
      <w:pPr>
        <w:numPr>
          <w:ilvl w:val="0"/>
          <w:numId w:val="0"/>
        </w:numPr>
        <w:spacing w:line="360" w:lineRule="auto"/>
        <w:ind w:firstLine="480" w:firstLineChars="200"/>
        <w:jc w:val="left"/>
        <w:rPr>
          <w:rFonts w:hint="eastAsia" w:ascii="宋体"/>
          <w:kern w:val="0"/>
          <w:sz w:val="24"/>
          <w:szCs w:val="20"/>
          <w:lang w:val="en-US" w:eastAsia="zh-CN"/>
        </w:rPr>
      </w:pPr>
      <w:bookmarkStart w:id="50" w:name="_Toc152042292"/>
      <w:bookmarkStart w:id="51" w:name="_Toc23282542"/>
      <w:bookmarkStart w:id="52" w:name="_Toc300834933"/>
      <w:bookmarkStart w:id="53" w:name="_Toc45470223"/>
      <w:bookmarkStart w:id="54" w:name="_Toc144974484"/>
      <w:bookmarkStart w:id="55" w:name="_Toc43198841"/>
      <w:bookmarkStart w:id="56" w:name="_Toc152045516"/>
      <w:bookmarkStart w:id="57" w:name="_Toc247527539"/>
      <w:bookmarkStart w:id="58" w:name="_Toc247513938"/>
      <w:r>
        <w:rPr>
          <w:rFonts w:hint="eastAsia" w:ascii="宋体"/>
          <w:kern w:val="0"/>
          <w:sz w:val="24"/>
          <w:szCs w:val="20"/>
          <w:lang w:val="en-US" w:eastAsia="zh-CN"/>
        </w:rPr>
        <w:t>4.1投标人持CA数字认证证书，登录《全国公共资源交易平台（河南省·许昌市）》“系统用户注册”入口（http://ggzy.xuchang.gov.cn:8088/ggzy/eps/public/RegistAllJcxx.html）进行免费注册登记（详见“常见问题解答-诚信库网上注册相关资料下载”）；</w:t>
      </w:r>
    </w:p>
    <w:p>
      <w:pPr>
        <w:numPr>
          <w:ilvl w:val="0"/>
          <w:numId w:val="0"/>
        </w:numPr>
        <w:spacing w:line="360" w:lineRule="auto"/>
        <w:ind w:firstLine="480" w:firstLineChars="200"/>
        <w:rPr>
          <w:rFonts w:hint="eastAsia" w:ascii="宋体"/>
          <w:kern w:val="0"/>
          <w:sz w:val="24"/>
          <w:szCs w:val="20"/>
        </w:rPr>
      </w:pPr>
      <w:r>
        <w:rPr>
          <w:rFonts w:hint="eastAsia" w:ascii="宋体"/>
          <w:kern w:val="0"/>
          <w:sz w:val="24"/>
          <w:szCs w:val="20"/>
          <w:lang w:val="en-US" w:eastAsia="zh-CN"/>
        </w:rPr>
        <w:t>4.2在投标截止时间前登录《全国公共资源交易平台（河南省·许昌市）》“投标人/供应商登录”入口（http://ggzy.xuchang.gov.cn:8088/ggzy/）自行下载招标文件（详见“常见问题解答-交易系统操作手册”）。</w:t>
      </w:r>
    </w:p>
    <w:p>
      <w:pPr>
        <w:keepNext/>
        <w:keepLines/>
        <w:numPr>
          <w:ilvl w:val="0"/>
          <w:numId w:val="2"/>
        </w:numPr>
        <w:spacing w:line="360" w:lineRule="auto"/>
        <w:ind w:firstLine="489" w:firstLineChars="203"/>
        <w:outlineLvl w:val="1"/>
        <w:rPr>
          <w:rFonts w:ascii="宋体" w:hAnsi="宋体"/>
          <w:b/>
          <w:bCs/>
          <w:sz w:val="24"/>
        </w:rPr>
      </w:pPr>
      <w:r>
        <w:rPr>
          <w:rFonts w:ascii="宋体" w:hAnsi="宋体"/>
          <w:b/>
          <w:bCs/>
          <w:sz w:val="24"/>
        </w:rPr>
        <w:t>投标文件的递交</w:t>
      </w:r>
      <w:bookmarkEnd w:id="50"/>
      <w:bookmarkEnd w:id="51"/>
      <w:bookmarkEnd w:id="52"/>
      <w:bookmarkEnd w:id="53"/>
      <w:bookmarkEnd w:id="54"/>
      <w:bookmarkEnd w:id="55"/>
      <w:bookmarkEnd w:id="56"/>
      <w:bookmarkEnd w:id="57"/>
      <w:bookmarkEnd w:id="58"/>
    </w:p>
    <w:p>
      <w:pPr>
        <w:numPr>
          <w:ilvl w:val="1"/>
          <w:numId w:val="6"/>
        </w:numPr>
        <w:spacing w:line="360" w:lineRule="auto"/>
        <w:ind w:firstLine="424" w:firstLineChars="177"/>
        <w:jc w:val="left"/>
        <w:rPr>
          <w:rFonts w:hint="eastAsia" w:ascii="宋体"/>
          <w:kern w:val="0"/>
          <w:sz w:val="24"/>
          <w:szCs w:val="20"/>
        </w:rPr>
      </w:pPr>
      <w:bookmarkStart w:id="59" w:name="_Toc23282543"/>
      <w:bookmarkStart w:id="60" w:name="_Toc157499355"/>
      <w:bookmarkStart w:id="61" w:name="_Toc300834934"/>
      <w:bookmarkStart w:id="62" w:name="_Toc247513939"/>
      <w:bookmarkStart w:id="63" w:name="_Toc247527540"/>
      <w:r>
        <w:rPr>
          <w:rFonts w:hint="eastAsia" w:ascii="宋体"/>
          <w:kern w:val="0"/>
          <w:sz w:val="24"/>
          <w:szCs w:val="20"/>
        </w:rPr>
        <w:t>招标文件和工程量清单的获取：投标人于电子介质存储的投标文件递交截止时间前均可登录【全国公共资源交易平台(河南省▪许昌市)】（</w:t>
      </w:r>
      <w:r>
        <w:rPr>
          <w:rFonts w:hint="eastAsia" w:ascii="宋体"/>
          <w:kern w:val="0"/>
          <w:sz w:val="24"/>
          <w:szCs w:val="20"/>
        </w:rPr>
        <w:fldChar w:fldCharType="begin"/>
      </w:r>
      <w:r>
        <w:rPr>
          <w:rFonts w:hint="eastAsia" w:ascii="宋体"/>
          <w:kern w:val="0"/>
          <w:sz w:val="24"/>
          <w:szCs w:val="20"/>
        </w:rPr>
        <w:instrText xml:space="preserve"> HYPERLINK "http://ggzy.xuchang.gov.cn:8088/gg" </w:instrText>
      </w:r>
      <w:r>
        <w:rPr>
          <w:rFonts w:hint="eastAsia" w:ascii="宋体"/>
          <w:kern w:val="0"/>
          <w:sz w:val="24"/>
          <w:szCs w:val="20"/>
        </w:rPr>
        <w:fldChar w:fldCharType="separate"/>
      </w:r>
      <w:r>
        <w:rPr>
          <w:rFonts w:hint="eastAsia" w:ascii="宋体"/>
          <w:kern w:val="0"/>
          <w:sz w:val="24"/>
          <w:szCs w:val="20"/>
        </w:rPr>
        <w:t>http://ggzy.xuchang.gov.cn:8088/gg</w:t>
      </w:r>
      <w:r>
        <w:rPr>
          <w:rFonts w:hint="eastAsia" w:ascii="宋体"/>
          <w:kern w:val="0"/>
          <w:sz w:val="24"/>
          <w:szCs w:val="20"/>
        </w:rPr>
        <w:fldChar w:fldCharType="end"/>
      </w:r>
      <w:r>
        <w:rPr>
          <w:rFonts w:hint="eastAsia" w:ascii="宋体"/>
          <w:kern w:val="0"/>
          <w:sz w:val="24"/>
          <w:szCs w:val="20"/>
        </w:rPr>
        <w:t>zy/），通过“投标人/供应商登录”入口自行下载。</w:t>
      </w:r>
    </w:p>
    <w:p>
      <w:pPr>
        <w:numPr>
          <w:ilvl w:val="1"/>
          <w:numId w:val="6"/>
        </w:numPr>
        <w:spacing w:line="360" w:lineRule="auto"/>
        <w:ind w:firstLine="424" w:firstLineChars="177"/>
        <w:rPr>
          <w:rFonts w:ascii="宋体"/>
          <w:kern w:val="0"/>
          <w:sz w:val="24"/>
          <w:szCs w:val="20"/>
        </w:rPr>
      </w:pPr>
      <w:bookmarkStart w:id="64" w:name="_Toc27236"/>
      <w:bookmarkEnd w:id="64"/>
      <w:r>
        <w:rPr>
          <w:rFonts w:hint="eastAsia" w:ascii="宋体"/>
          <w:kern w:val="0"/>
          <w:sz w:val="24"/>
          <w:szCs w:val="20"/>
        </w:rPr>
        <w:t>施工图纸下载：按照施工招标文件中第二章投标人须知前附表第2.1项所给的网址自行下载。</w:t>
      </w:r>
    </w:p>
    <w:p>
      <w:pPr>
        <w:numPr>
          <w:ilvl w:val="1"/>
          <w:numId w:val="6"/>
        </w:numPr>
        <w:spacing w:line="360" w:lineRule="auto"/>
        <w:ind w:firstLine="424" w:firstLineChars="177"/>
        <w:rPr>
          <w:rFonts w:ascii="宋体"/>
          <w:kern w:val="0"/>
          <w:sz w:val="24"/>
          <w:szCs w:val="20"/>
        </w:rPr>
      </w:pPr>
      <w:r>
        <w:rPr>
          <w:rFonts w:hint="eastAsia" w:ascii="宋体"/>
          <w:kern w:val="0"/>
          <w:sz w:val="24"/>
          <w:szCs w:val="20"/>
        </w:rPr>
        <w:t>招标文件每套售价 300元，投标人于开标结束后转账至支付宝账户：963091224@qq.com售后不退，转账时请注明项目编号、标段及公司名称）。</w:t>
      </w:r>
    </w:p>
    <w:p>
      <w:pPr>
        <w:keepNext/>
        <w:keepLines/>
        <w:numPr>
          <w:ilvl w:val="0"/>
          <w:numId w:val="2"/>
        </w:numPr>
        <w:spacing w:line="360" w:lineRule="auto"/>
        <w:ind w:firstLine="489" w:firstLineChars="203"/>
        <w:outlineLvl w:val="1"/>
        <w:rPr>
          <w:rFonts w:ascii="宋体" w:hAnsi="宋体"/>
          <w:b/>
          <w:bCs/>
          <w:sz w:val="24"/>
        </w:rPr>
      </w:pPr>
      <w:bookmarkStart w:id="65" w:name="_Toc45470224"/>
      <w:bookmarkStart w:id="66" w:name="_Toc43198842"/>
      <w:r>
        <w:rPr>
          <w:rFonts w:hint="eastAsia" w:ascii="宋体" w:hAnsi="宋体"/>
          <w:b/>
          <w:bCs/>
          <w:sz w:val="24"/>
        </w:rPr>
        <w:t>开标时间及地点</w:t>
      </w:r>
      <w:bookmarkEnd w:id="65"/>
      <w:bookmarkEnd w:id="66"/>
    </w:p>
    <w:p>
      <w:pPr>
        <w:numPr>
          <w:ilvl w:val="1"/>
          <w:numId w:val="7"/>
        </w:numPr>
        <w:spacing w:line="360" w:lineRule="auto"/>
        <w:ind w:firstLine="424" w:firstLineChars="177"/>
        <w:rPr>
          <w:rFonts w:ascii="宋体"/>
          <w:kern w:val="0"/>
          <w:sz w:val="24"/>
          <w:szCs w:val="20"/>
        </w:rPr>
      </w:pPr>
      <w:r>
        <w:rPr>
          <w:rFonts w:hint="eastAsia" w:ascii="宋体"/>
          <w:kern w:val="0"/>
          <w:sz w:val="24"/>
          <w:szCs w:val="20"/>
        </w:rPr>
        <w:t>本项目为全流程电子化交易项目，投标人应按规定在投标截止时间（同开标时间）前通过《全国公共资源交易平台(河南省</w:t>
      </w:r>
      <w:r>
        <w:rPr>
          <w:rFonts w:ascii="宋体"/>
          <w:kern w:val="0"/>
          <w:sz w:val="24"/>
          <w:szCs w:val="20"/>
        </w:rPr>
        <w:t>▪</w:t>
      </w:r>
      <w:r>
        <w:rPr>
          <w:rFonts w:hint="eastAsia" w:ascii="宋体"/>
          <w:kern w:val="0"/>
          <w:sz w:val="24"/>
          <w:szCs w:val="20"/>
        </w:rPr>
        <w:t>许昌市)》公共资源交易系统成功上传本项目加密电子投标文件（成功上传的，系统生成“投标文件提交回执单”），未成功上传的，招标人不予受理。</w:t>
      </w:r>
    </w:p>
    <w:p>
      <w:pPr>
        <w:numPr>
          <w:ilvl w:val="1"/>
          <w:numId w:val="7"/>
        </w:numPr>
        <w:spacing w:line="360" w:lineRule="auto"/>
        <w:ind w:firstLine="424" w:firstLineChars="177"/>
        <w:rPr>
          <w:rFonts w:ascii="宋体"/>
          <w:kern w:val="0"/>
          <w:sz w:val="24"/>
          <w:szCs w:val="20"/>
        </w:rPr>
      </w:pPr>
      <w:r>
        <w:rPr>
          <w:rFonts w:hint="eastAsia" w:ascii="宋体"/>
          <w:kern w:val="0"/>
          <w:sz w:val="24"/>
          <w:szCs w:val="20"/>
        </w:rPr>
        <w:t>投标截止时间及开标时间：2020年</w:t>
      </w:r>
      <w:r>
        <w:rPr>
          <w:rFonts w:hint="eastAsia" w:ascii="宋体"/>
          <w:kern w:val="0"/>
          <w:sz w:val="24"/>
          <w:szCs w:val="20"/>
          <w:lang w:val="en-US" w:eastAsia="zh-CN"/>
        </w:rPr>
        <w:t>08</w:t>
      </w:r>
      <w:r>
        <w:rPr>
          <w:rFonts w:hint="eastAsia" w:ascii="宋体"/>
          <w:kern w:val="0"/>
          <w:sz w:val="24"/>
          <w:szCs w:val="20"/>
        </w:rPr>
        <w:t>月</w:t>
      </w:r>
      <w:r>
        <w:rPr>
          <w:rFonts w:hint="eastAsia" w:ascii="宋体"/>
          <w:kern w:val="0"/>
          <w:sz w:val="24"/>
          <w:szCs w:val="20"/>
          <w:lang w:val="en-US" w:eastAsia="zh-CN"/>
        </w:rPr>
        <w:t>07</w:t>
      </w:r>
      <w:r>
        <w:rPr>
          <w:rFonts w:hint="eastAsia" w:ascii="宋体"/>
          <w:kern w:val="0"/>
          <w:sz w:val="24"/>
          <w:szCs w:val="20"/>
        </w:rPr>
        <w:t>日 09 时 00 分（北京时间）。</w:t>
      </w:r>
    </w:p>
    <w:p>
      <w:pPr>
        <w:numPr>
          <w:ilvl w:val="1"/>
          <w:numId w:val="7"/>
        </w:numPr>
        <w:spacing w:line="360" w:lineRule="auto"/>
        <w:ind w:firstLine="424" w:firstLineChars="177"/>
        <w:rPr>
          <w:rFonts w:ascii="宋体"/>
          <w:kern w:val="0"/>
          <w:sz w:val="24"/>
          <w:szCs w:val="20"/>
        </w:rPr>
      </w:pPr>
      <w:r>
        <w:rPr>
          <w:rFonts w:hint="eastAsia" w:ascii="宋体"/>
          <w:kern w:val="0"/>
          <w:sz w:val="24"/>
          <w:szCs w:val="20"/>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登陆该项目远程开标大厅，在线准时参加线上开标，进行远程解密、在线询问提异议（质疑）、电子签章等。</w:t>
      </w:r>
    </w:p>
    <w:p>
      <w:pPr>
        <w:numPr>
          <w:ilvl w:val="1"/>
          <w:numId w:val="7"/>
        </w:numPr>
        <w:spacing w:line="360" w:lineRule="auto"/>
        <w:ind w:firstLine="424" w:firstLineChars="177"/>
        <w:rPr>
          <w:rFonts w:ascii="宋体"/>
          <w:kern w:val="0"/>
          <w:sz w:val="24"/>
          <w:szCs w:val="20"/>
        </w:rPr>
      </w:pPr>
      <w:r>
        <w:rPr>
          <w:rFonts w:hint="eastAsia" w:ascii="宋体"/>
          <w:kern w:val="0"/>
          <w:sz w:val="24"/>
          <w:szCs w:val="20"/>
        </w:rPr>
        <w:t>招标人(代理机构)在线开标地点：鄢陵县公共资源交易中心（S219（鄢陶路）与未来大道交叉口鄢陵创客园院内南楼四楼开标</w:t>
      </w:r>
      <w:r>
        <w:rPr>
          <w:rFonts w:hint="eastAsia" w:ascii="宋体"/>
          <w:kern w:val="0"/>
          <w:sz w:val="24"/>
          <w:szCs w:val="20"/>
          <w:lang w:val="en-US" w:eastAsia="zh-CN"/>
        </w:rPr>
        <w:t>二</w:t>
      </w:r>
      <w:r>
        <w:rPr>
          <w:rFonts w:hint="eastAsia" w:ascii="宋体"/>
          <w:kern w:val="0"/>
          <w:sz w:val="24"/>
          <w:szCs w:val="20"/>
        </w:rPr>
        <w:t>室）。</w:t>
      </w:r>
    </w:p>
    <w:p>
      <w:pPr>
        <w:numPr>
          <w:ilvl w:val="1"/>
          <w:numId w:val="7"/>
        </w:numPr>
        <w:spacing w:line="360" w:lineRule="auto"/>
        <w:ind w:firstLine="424" w:firstLineChars="177"/>
        <w:rPr>
          <w:rFonts w:ascii="宋体"/>
          <w:kern w:val="0"/>
          <w:sz w:val="24"/>
          <w:szCs w:val="20"/>
        </w:rPr>
      </w:pPr>
      <w:r>
        <w:rPr>
          <w:rFonts w:hint="eastAsia" w:ascii="宋体"/>
          <w:kern w:val="0"/>
          <w:sz w:val="24"/>
          <w:szCs w:val="20"/>
        </w:rPr>
        <w:t>逾期送达（未成功上传）的或者未按规定解密的电子投标文件，招标人不予受理。</w:t>
      </w:r>
    </w:p>
    <w:p>
      <w:pPr>
        <w:keepNext/>
        <w:keepLines/>
        <w:numPr>
          <w:ilvl w:val="0"/>
          <w:numId w:val="2"/>
        </w:numPr>
        <w:spacing w:line="360" w:lineRule="auto"/>
        <w:ind w:firstLine="489" w:firstLineChars="203"/>
        <w:outlineLvl w:val="1"/>
        <w:rPr>
          <w:rFonts w:ascii="宋体" w:hAnsi="宋体"/>
          <w:b/>
          <w:bCs/>
          <w:sz w:val="24"/>
        </w:rPr>
      </w:pPr>
      <w:bookmarkStart w:id="67" w:name="_Toc45470225"/>
      <w:bookmarkStart w:id="68" w:name="_Toc43198843"/>
      <w:r>
        <w:rPr>
          <w:rFonts w:hint="eastAsia" w:ascii="宋体" w:hAnsi="宋体"/>
          <w:b/>
          <w:bCs/>
          <w:sz w:val="24"/>
        </w:rPr>
        <w:t>发布公告的媒介</w:t>
      </w:r>
      <w:bookmarkEnd w:id="59"/>
      <w:bookmarkEnd w:id="60"/>
      <w:bookmarkEnd w:id="61"/>
      <w:bookmarkEnd w:id="62"/>
      <w:bookmarkEnd w:id="63"/>
      <w:bookmarkEnd w:id="67"/>
      <w:bookmarkEnd w:id="68"/>
    </w:p>
    <w:p>
      <w:pPr>
        <w:spacing w:line="360" w:lineRule="auto"/>
        <w:ind w:firstLine="422" w:firstLineChars="176"/>
        <w:rPr>
          <w:rFonts w:ascii="宋体" w:hAnsi="宋体"/>
          <w:kern w:val="0"/>
          <w:sz w:val="24"/>
          <w:szCs w:val="20"/>
        </w:rPr>
      </w:pPr>
      <w:bookmarkStart w:id="69" w:name="_Toc152045517"/>
      <w:bookmarkStart w:id="70" w:name="_Toc144974485"/>
      <w:bookmarkStart w:id="71" w:name="_Toc152042293"/>
      <w:bookmarkStart w:id="72" w:name="_Toc300834935"/>
      <w:bookmarkStart w:id="73" w:name="_Toc23282544"/>
      <w:bookmarkStart w:id="74" w:name="_Toc247527541"/>
      <w:bookmarkStart w:id="75" w:name="_Toc247513940"/>
      <w:r>
        <w:rPr>
          <w:rFonts w:hint="eastAsia" w:ascii="宋体" w:hAnsi="宋体"/>
          <w:kern w:val="0"/>
          <w:sz w:val="24"/>
          <w:szCs w:val="20"/>
        </w:rPr>
        <w:t>本公告同时在《全国公共资源交易平台</w:t>
      </w:r>
      <w:r>
        <w:rPr>
          <w:rFonts w:ascii="宋体" w:hAnsi="宋体"/>
          <w:kern w:val="0"/>
          <w:sz w:val="24"/>
          <w:szCs w:val="20"/>
        </w:rPr>
        <w:t>(</w:t>
      </w:r>
      <w:r>
        <w:rPr>
          <w:rFonts w:hint="eastAsia" w:ascii="宋体" w:hAnsi="宋体"/>
          <w:kern w:val="0"/>
          <w:sz w:val="24"/>
          <w:szCs w:val="20"/>
        </w:rPr>
        <w:t>河南省</w:t>
      </w:r>
      <w:r>
        <w:rPr>
          <w:rFonts w:ascii="Segoe UI Emoji" w:hAnsi="Segoe UI Emoji" w:cs="Segoe UI Emoji"/>
          <w:kern w:val="0"/>
          <w:sz w:val="24"/>
          <w:szCs w:val="20"/>
        </w:rPr>
        <w:t>▪</w:t>
      </w:r>
      <w:r>
        <w:rPr>
          <w:rFonts w:hint="eastAsia" w:ascii="宋体" w:hAnsi="宋体"/>
          <w:kern w:val="0"/>
          <w:sz w:val="24"/>
          <w:szCs w:val="20"/>
        </w:rPr>
        <w:t>许昌市</w:t>
      </w:r>
      <w:r>
        <w:rPr>
          <w:rFonts w:ascii="宋体" w:hAnsi="宋体"/>
          <w:kern w:val="0"/>
          <w:sz w:val="24"/>
          <w:szCs w:val="20"/>
        </w:rPr>
        <w:t>)</w:t>
      </w:r>
      <w:r>
        <w:rPr>
          <w:rFonts w:hint="eastAsia" w:ascii="宋体" w:hAnsi="宋体"/>
          <w:kern w:val="0"/>
          <w:sz w:val="24"/>
          <w:szCs w:val="20"/>
        </w:rPr>
        <w:t>》、《河南省电子招标投标公共服务平台》上发布，其他网站转载只供参考，招标人、招标代理机构不承担任何责任。</w:t>
      </w:r>
    </w:p>
    <w:p>
      <w:pPr>
        <w:keepNext/>
        <w:keepLines/>
        <w:numPr>
          <w:ilvl w:val="0"/>
          <w:numId w:val="2"/>
        </w:numPr>
        <w:spacing w:line="360" w:lineRule="auto"/>
        <w:ind w:firstLine="489" w:firstLineChars="203"/>
        <w:outlineLvl w:val="1"/>
        <w:rPr>
          <w:rFonts w:ascii="宋体" w:hAnsi="宋体"/>
          <w:b/>
          <w:bCs/>
          <w:sz w:val="24"/>
        </w:rPr>
      </w:pPr>
      <w:bookmarkStart w:id="76" w:name="_Toc45470226"/>
      <w:bookmarkStart w:id="77" w:name="_Toc43198844"/>
      <w:r>
        <w:rPr>
          <w:rFonts w:ascii="宋体" w:hAnsi="宋体"/>
          <w:b/>
          <w:bCs/>
          <w:sz w:val="24"/>
        </w:rPr>
        <w:t>联系方式</w:t>
      </w:r>
      <w:bookmarkEnd w:id="69"/>
      <w:bookmarkEnd w:id="70"/>
      <w:bookmarkEnd w:id="71"/>
      <w:bookmarkEnd w:id="72"/>
      <w:bookmarkEnd w:id="73"/>
      <w:bookmarkEnd w:id="74"/>
      <w:bookmarkEnd w:id="75"/>
      <w:bookmarkEnd w:id="76"/>
      <w:bookmarkEnd w:id="77"/>
    </w:p>
    <w:p>
      <w:pPr>
        <w:spacing w:line="360" w:lineRule="auto"/>
        <w:ind w:firstLine="489" w:firstLineChars="204"/>
        <w:rPr>
          <w:rFonts w:ascii="宋体"/>
          <w:kern w:val="0"/>
          <w:sz w:val="24"/>
          <w:szCs w:val="20"/>
        </w:rPr>
      </w:pPr>
      <w:r>
        <w:rPr>
          <w:rFonts w:hint="eastAsia" w:ascii="宋体"/>
          <w:kern w:val="0"/>
          <w:sz w:val="24"/>
          <w:szCs w:val="20"/>
        </w:rPr>
        <w:t>招标人：鄢陵县政通投资集团有限公司</w:t>
      </w:r>
    </w:p>
    <w:p>
      <w:pPr>
        <w:spacing w:line="360" w:lineRule="auto"/>
        <w:ind w:firstLine="489" w:firstLineChars="204"/>
        <w:rPr>
          <w:rFonts w:ascii="宋体"/>
          <w:kern w:val="0"/>
          <w:sz w:val="24"/>
          <w:szCs w:val="20"/>
        </w:rPr>
      </w:pPr>
      <w:r>
        <w:rPr>
          <w:rFonts w:hint="eastAsia" w:ascii="宋体"/>
          <w:kern w:val="0"/>
          <w:sz w:val="24"/>
          <w:szCs w:val="20"/>
        </w:rPr>
        <w:t>地址：鄢陵县开发区朝阳街中段财政局四楼</w:t>
      </w:r>
    </w:p>
    <w:p>
      <w:pPr>
        <w:spacing w:line="360" w:lineRule="auto"/>
        <w:ind w:firstLine="489" w:firstLineChars="204"/>
        <w:rPr>
          <w:rFonts w:hint="eastAsia" w:ascii="宋体"/>
          <w:kern w:val="0"/>
          <w:sz w:val="24"/>
          <w:szCs w:val="20"/>
        </w:rPr>
      </w:pPr>
      <w:r>
        <w:rPr>
          <w:rFonts w:hint="eastAsia" w:ascii="宋体"/>
          <w:kern w:val="0"/>
          <w:sz w:val="24"/>
          <w:szCs w:val="20"/>
        </w:rPr>
        <w:t>联系人：陈先生</w:t>
      </w:r>
    </w:p>
    <w:p>
      <w:pPr>
        <w:spacing w:line="360" w:lineRule="auto"/>
        <w:ind w:firstLine="489" w:firstLineChars="204"/>
        <w:rPr>
          <w:rFonts w:hint="eastAsia" w:ascii="宋体"/>
          <w:kern w:val="0"/>
          <w:sz w:val="24"/>
          <w:szCs w:val="20"/>
        </w:rPr>
      </w:pPr>
      <w:r>
        <w:rPr>
          <w:rFonts w:hint="eastAsia" w:ascii="宋体"/>
          <w:kern w:val="0"/>
          <w:sz w:val="24"/>
          <w:szCs w:val="20"/>
        </w:rPr>
        <w:t>联系方式：</w:t>
      </w:r>
      <w:r>
        <w:rPr>
          <w:rFonts w:ascii="宋体"/>
          <w:kern w:val="0"/>
          <w:sz w:val="24"/>
          <w:szCs w:val="20"/>
        </w:rPr>
        <w:t>0374-</w:t>
      </w:r>
      <w:r>
        <w:rPr>
          <w:rFonts w:hint="eastAsia" w:ascii="宋体"/>
          <w:kern w:val="0"/>
          <w:sz w:val="24"/>
          <w:szCs w:val="20"/>
        </w:rPr>
        <w:t>7127177</w:t>
      </w:r>
    </w:p>
    <w:p>
      <w:pPr>
        <w:spacing w:line="360" w:lineRule="auto"/>
        <w:ind w:firstLine="489" w:firstLineChars="204"/>
        <w:rPr>
          <w:rFonts w:ascii="宋体"/>
          <w:kern w:val="0"/>
          <w:sz w:val="24"/>
          <w:szCs w:val="20"/>
        </w:rPr>
      </w:pPr>
    </w:p>
    <w:p>
      <w:pPr>
        <w:spacing w:line="360" w:lineRule="auto"/>
        <w:ind w:firstLine="489" w:firstLineChars="204"/>
        <w:rPr>
          <w:rFonts w:ascii="宋体"/>
          <w:kern w:val="0"/>
          <w:sz w:val="24"/>
          <w:szCs w:val="20"/>
        </w:rPr>
      </w:pPr>
      <w:r>
        <w:rPr>
          <w:rFonts w:hint="eastAsia" w:ascii="宋体"/>
          <w:kern w:val="0"/>
          <w:sz w:val="24"/>
          <w:szCs w:val="20"/>
        </w:rPr>
        <w:t>招标代理机构：河南招标采购服务有限公司</w:t>
      </w:r>
    </w:p>
    <w:p>
      <w:pPr>
        <w:spacing w:line="360" w:lineRule="auto"/>
        <w:ind w:firstLine="489" w:firstLineChars="204"/>
        <w:rPr>
          <w:rFonts w:ascii="宋体"/>
          <w:kern w:val="0"/>
          <w:sz w:val="24"/>
          <w:szCs w:val="20"/>
        </w:rPr>
      </w:pPr>
      <w:r>
        <w:rPr>
          <w:rFonts w:hint="eastAsia" w:ascii="宋体"/>
          <w:kern w:val="0"/>
          <w:sz w:val="24"/>
          <w:szCs w:val="20"/>
        </w:rPr>
        <w:t>地址：郑州市金水区纬四路</w:t>
      </w:r>
      <w:r>
        <w:rPr>
          <w:rFonts w:ascii="宋体"/>
          <w:kern w:val="0"/>
          <w:sz w:val="24"/>
          <w:szCs w:val="20"/>
        </w:rPr>
        <w:t>13</w:t>
      </w:r>
      <w:r>
        <w:rPr>
          <w:rFonts w:hint="eastAsia" w:ascii="宋体"/>
          <w:kern w:val="0"/>
          <w:sz w:val="24"/>
          <w:szCs w:val="20"/>
        </w:rPr>
        <w:t>号</w:t>
      </w:r>
    </w:p>
    <w:p>
      <w:pPr>
        <w:spacing w:line="360" w:lineRule="auto"/>
        <w:ind w:firstLine="489" w:firstLineChars="204"/>
        <w:rPr>
          <w:rFonts w:ascii="宋体"/>
          <w:kern w:val="0"/>
          <w:sz w:val="24"/>
          <w:szCs w:val="20"/>
        </w:rPr>
      </w:pPr>
      <w:r>
        <w:rPr>
          <w:rFonts w:hint="eastAsia" w:ascii="宋体"/>
          <w:kern w:val="0"/>
          <w:sz w:val="24"/>
          <w:szCs w:val="20"/>
        </w:rPr>
        <w:t>联系人：王先生 左女士</w:t>
      </w:r>
      <w:r>
        <w:rPr>
          <w:rFonts w:ascii="宋体"/>
          <w:kern w:val="0"/>
          <w:sz w:val="24"/>
          <w:szCs w:val="20"/>
        </w:rPr>
        <w:t> </w:t>
      </w:r>
    </w:p>
    <w:p>
      <w:pPr>
        <w:spacing w:line="360" w:lineRule="auto"/>
        <w:ind w:firstLine="489" w:firstLineChars="204"/>
        <w:rPr>
          <w:rFonts w:hint="default" w:ascii="宋体" w:eastAsia="宋体"/>
          <w:kern w:val="0"/>
          <w:sz w:val="24"/>
          <w:szCs w:val="20"/>
          <w:lang w:val="en-US" w:eastAsia="zh-CN"/>
        </w:rPr>
      </w:pPr>
      <w:r>
        <w:rPr>
          <w:rFonts w:hint="eastAsia" w:ascii="宋体"/>
          <w:kern w:val="0"/>
          <w:sz w:val="24"/>
          <w:szCs w:val="20"/>
        </w:rPr>
        <w:t>联系电话：</w:t>
      </w:r>
      <w:r>
        <w:rPr>
          <w:rFonts w:ascii="宋体"/>
          <w:kern w:val="0"/>
          <w:sz w:val="24"/>
          <w:szCs w:val="20"/>
        </w:rPr>
        <w:t xml:space="preserve">0371-6117 1979   </w:t>
      </w:r>
      <w:r>
        <w:rPr>
          <w:rFonts w:hint="eastAsia" w:ascii="宋体"/>
          <w:kern w:val="0"/>
          <w:sz w:val="24"/>
          <w:szCs w:val="20"/>
          <w:lang w:val="en-US" w:eastAsia="zh-CN"/>
        </w:rPr>
        <w:t>13838510613</w:t>
      </w:r>
    </w:p>
    <w:p>
      <w:pPr>
        <w:spacing w:line="360" w:lineRule="auto"/>
        <w:ind w:firstLine="199" w:firstLineChars="83"/>
        <w:rPr>
          <w:rFonts w:ascii="宋体"/>
          <w:kern w:val="0"/>
          <w:sz w:val="24"/>
          <w:szCs w:val="20"/>
        </w:rPr>
      </w:pPr>
    </w:p>
    <w:p>
      <w:pPr>
        <w:spacing w:line="360" w:lineRule="auto"/>
        <w:ind w:firstLine="480" w:firstLineChars="200"/>
        <w:rPr>
          <w:rFonts w:ascii="宋体"/>
          <w:kern w:val="0"/>
          <w:sz w:val="24"/>
          <w:szCs w:val="20"/>
        </w:rPr>
      </w:pPr>
      <w:r>
        <w:rPr>
          <w:rFonts w:hint="eastAsia" w:ascii="宋体"/>
          <w:kern w:val="0"/>
          <w:sz w:val="24"/>
          <w:szCs w:val="20"/>
        </w:rPr>
        <w:t xml:space="preserve">                                                </w:t>
      </w:r>
    </w:p>
    <w:bookmarkEnd w:id="22"/>
    <w:p>
      <w:pPr>
        <w:shd w:val="clear" w:color="auto" w:fill="FFFFFF"/>
        <w:spacing w:line="360" w:lineRule="auto"/>
      </w:pPr>
      <w:r>
        <w:rPr>
          <w:rFonts w:hint="eastAsia"/>
          <w:b/>
          <w:bCs/>
          <w:sz w:val="28"/>
          <w:szCs w:val="28"/>
        </w:rPr>
        <w:t>温馨提示：</w:t>
      </w:r>
    </w:p>
    <w:p>
      <w:pPr>
        <w:shd w:val="clear" w:color="auto" w:fill="FFFFFF"/>
        <w:spacing w:line="360" w:lineRule="auto"/>
        <w:ind w:firstLine="562"/>
      </w:pPr>
      <w:r>
        <w:rPr>
          <w:rFonts w:hint="eastAsia"/>
          <w:b/>
          <w:bCs/>
          <w:sz w:val="28"/>
          <w:szCs w:val="28"/>
        </w:rPr>
        <w:t>本项目为全流程电子化交易项目，请认真阅读招标文件，并注意以下事项。</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1.投标人应按招标文件规定编制、提交、解密电子投标文件。</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2.电子文件下载、制作、提交期间和开标（电子投标文件的解密）环节，投标人须使用CA数字证书（证书须在有效期内并可正常使用）。</w:t>
      </w:r>
    </w:p>
    <w:p>
      <w:pPr>
        <w:spacing w:line="360" w:lineRule="auto"/>
        <w:ind w:firstLine="492" w:firstLineChars="204"/>
        <w:rPr>
          <w:rFonts w:hint="eastAsia" w:ascii="宋体"/>
          <w:b/>
          <w:bCs/>
          <w:kern w:val="0"/>
          <w:sz w:val="24"/>
          <w:szCs w:val="20"/>
        </w:rPr>
      </w:pPr>
      <w:r>
        <w:rPr>
          <w:rFonts w:hint="eastAsia" w:ascii="宋体"/>
          <w:b/>
          <w:bCs/>
          <w:kern w:val="0"/>
          <w:sz w:val="24"/>
          <w:szCs w:val="20"/>
          <w:lang w:val="en-US" w:eastAsia="zh-CN"/>
        </w:rPr>
        <w:t>3.电子投标文件的制作</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3.1 投标人登录《全国公共资源交易平台(河南省▪许昌市)》公共资源交易系统（http://ggzy.xuchang.gov.cn:8088/ggzy/）下载“许昌投标文件制作系统SEARUN 最新版本”，按招标文件要求制作电子投标文件。</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电子投标文件的制作，参考《全国公共资源交易平台(河南省▪许昌市)》公共资源交易系统——组件下载——交易系统操作手册（投标人、供应商）。</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3.2 投标人须将招标文件要求的资质、业绩、荣誉及相关人员证明材料等资料原件扫描件（或图片）制作到所提交的电子投标文件中。</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3.3投标人对同一项目多个标段进行投标的，应分别下载所投标段的招标文件，按标段制作电子投标文件，并按招标文件要求在相应位置加盖投标人电子印章和法人电子印章。</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一个标段对应生成一个文件夹（xxxx项目xx标段）, 其中包含2个文件和1个文件夹。后缀名为“.file”的文件用于电子投标使用。</w:t>
      </w:r>
    </w:p>
    <w:p>
      <w:pPr>
        <w:spacing w:line="360" w:lineRule="auto"/>
        <w:ind w:firstLine="492" w:firstLineChars="204"/>
        <w:rPr>
          <w:rFonts w:hint="eastAsia" w:ascii="宋体"/>
          <w:b/>
          <w:bCs/>
          <w:kern w:val="0"/>
          <w:sz w:val="24"/>
          <w:szCs w:val="20"/>
        </w:rPr>
      </w:pPr>
      <w:r>
        <w:rPr>
          <w:rFonts w:hint="eastAsia" w:ascii="宋体"/>
          <w:b/>
          <w:bCs/>
          <w:kern w:val="0"/>
          <w:sz w:val="24"/>
          <w:szCs w:val="20"/>
          <w:lang w:val="en-US" w:eastAsia="zh-CN"/>
        </w:rPr>
        <w:t>4.投标保证金的提交</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4.1使用银行转帐方式提交的，投标人通过基本账户将款项一次足额递交、成功绑定，以收款人到账时间为准。</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4.1.1投标人网上下载招标文件并根据每个标段的缴纳说明单在开标截止时间前提交。每个投标人每个项目每个标段只有唯一缴纳账号，切勿重复缴纳或错误缴纳。</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4.1.2提交后再次登录http://ggzy.xuchang.gov.cn:8088/ggzy/系统，依次点击“会员向导”→“参与投标”→“保证金绑定”→“绑定”进行投标保证金绑定，前述系统显示“许昌公共资源交易中心保证金缴纳回执”表示投标保证金提交完成。未绑定标段的投标保证金，视为未按规定提交。</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4.1.3投标人按照所投项目及标段将缴纳凭证“许昌公共资源交易中心保证金缴纳回执”附于投标文件中。</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spacing w:line="360" w:lineRule="auto"/>
        <w:ind w:firstLine="492" w:firstLineChars="204"/>
        <w:rPr>
          <w:rFonts w:hint="eastAsia" w:ascii="宋体"/>
          <w:b/>
          <w:bCs/>
          <w:kern w:val="0"/>
          <w:sz w:val="24"/>
          <w:szCs w:val="20"/>
        </w:rPr>
      </w:pPr>
      <w:r>
        <w:rPr>
          <w:rFonts w:hint="eastAsia" w:ascii="宋体"/>
          <w:b/>
          <w:bCs/>
          <w:kern w:val="0"/>
          <w:sz w:val="24"/>
          <w:szCs w:val="20"/>
          <w:lang w:val="en-US" w:eastAsia="zh-CN"/>
        </w:rPr>
        <w:t>5.加密电子投标文件的提交</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5.1加密电子投标文件应按规定在投标截止时间（开标时间）之前成功提交至《全国公共资源交易平台(河南省▪许昌市)》公共资源交易系统（http://ggzy.xuchang.gov.cn:8088/ggzy/）。投标人应充分考虑并预留技术处理和上传数据所需时间。</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5.2 投标人对同一项目多个标段进行投标的，加密电子投标文件应按标段分别提交。</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5.3 加密电子投标文件成功提交后，《全国公共资源交易平台(河南省▪许昌市)》公共资源交易系统（http://ggzy.xuchang.gov.cn:8088/ggzy/）生成“投标文件提交回执单”。</w:t>
      </w:r>
    </w:p>
    <w:p>
      <w:pPr>
        <w:spacing w:line="360" w:lineRule="auto"/>
        <w:ind w:firstLine="492" w:firstLineChars="204"/>
        <w:rPr>
          <w:rFonts w:hint="eastAsia" w:ascii="宋体"/>
          <w:b/>
          <w:bCs/>
          <w:kern w:val="0"/>
          <w:sz w:val="24"/>
          <w:szCs w:val="20"/>
        </w:rPr>
      </w:pPr>
      <w:r>
        <w:rPr>
          <w:rFonts w:hint="eastAsia" w:ascii="宋体"/>
          <w:b/>
          <w:bCs/>
          <w:kern w:val="0"/>
          <w:sz w:val="24"/>
          <w:szCs w:val="20"/>
          <w:lang w:val="en-US" w:eastAsia="zh-CN"/>
        </w:rPr>
        <w:t>6.远程不见面开标（电子投标文件的解密）</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6.1 投标人应熟悉《许昌市不见面开标操作手册》，并提前设置不见面开标浏览器（设置流程详见《许昌市不见面开标操作手册》）。</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6.2 《许昌市不见面开标操作手册》下载路径：全国公共资源交易平台（河南省·许昌市）—“资料下载”栏目。</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6.3开标时间前投标人应登录本项目不见面开标大厅，按照招标文件确定的开标时间准时参加网上开标。</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6.4投标人对开标过程和开标记录如有疑义，可在本项目不见面开标大厅“文字互动”对话框或“新增质疑”处在线提出询问。</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6.6项目远程不见面开标活动结束时，投标人应在《开标记录表》上进行电子签章。投标人未签章的，视同认可开标结果。</w:t>
      </w:r>
    </w:p>
    <w:p>
      <w:pPr>
        <w:spacing w:line="360" w:lineRule="auto"/>
        <w:ind w:firstLine="492" w:firstLineChars="204"/>
        <w:rPr>
          <w:rFonts w:hint="eastAsia" w:ascii="宋体"/>
          <w:b/>
          <w:bCs/>
          <w:kern w:val="0"/>
          <w:sz w:val="24"/>
          <w:szCs w:val="20"/>
        </w:rPr>
      </w:pPr>
      <w:r>
        <w:rPr>
          <w:rFonts w:hint="eastAsia" w:ascii="宋体"/>
          <w:b/>
          <w:bCs/>
          <w:kern w:val="0"/>
          <w:sz w:val="24"/>
          <w:szCs w:val="20"/>
          <w:lang w:val="en-US" w:eastAsia="zh-CN"/>
        </w:rPr>
        <w:t>7.评标依据</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7.1全流程电子化交易（不见面开标）项目，评标委员会以成功上传、解密的电子投标文件为依据评审。</w:t>
      </w:r>
    </w:p>
    <w:p>
      <w:pPr>
        <w:spacing w:line="360" w:lineRule="auto"/>
        <w:ind w:firstLine="489" w:firstLineChars="204"/>
        <w:rPr>
          <w:rFonts w:hint="eastAsia" w:ascii="宋体"/>
          <w:kern w:val="0"/>
          <w:sz w:val="24"/>
          <w:szCs w:val="20"/>
        </w:rPr>
      </w:pPr>
      <w:r>
        <w:rPr>
          <w:rFonts w:hint="eastAsia" w:ascii="宋体"/>
          <w:kern w:val="0"/>
          <w:sz w:val="24"/>
          <w:szCs w:val="20"/>
          <w:lang w:val="en-US" w:eastAsia="zh-CN"/>
        </w:rPr>
        <w:t>7.2评标期间，投标人应保持通讯手机畅通。评标委员会如要求投标人作出澄清、说明或者补正等，投标人应在评标委员会要求的评标期间合理的时间内通过电子邮件形式提供。</w:t>
      </w:r>
    </w:p>
    <w:p>
      <w:pPr>
        <w:spacing w:line="360" w:lineRule="auto"/>
        <w:ind w:firstLine="489" w:firstLineChars="204"/>
        <w:rPr>
          <w:rFonts w:hint="eastAsia" w:ascii="宋体"/>
          <w:kern w:val="0"/>
          <w:sz w:val="24"/>
          <w:szCs w:val="20"/>
          <w:lang w:val="en-US" w:eastAsia="zh-CN"/>
        </w:rPr>
      </w:pPr>
      <w:r>
        <w:rPr>
          <w:rFonts w:hint="eastAsia" w:ascii="宋体"/>
          <w:kern w:val="0"/>
          <w:sz w:val="24"/>
          <w:szCs w:val="20"/>
          <w:lang w:val="en-US" w:eastAsia="zh-CN"/>
        </w:rPr>
        <w:t>投标人通过电子邮件提供的书面说明或相关证明材料应加盖公章，或者由法定代表人或其授权的代表签字。</w:t>
      </w:r>
    </w:p>
    <w:p>
      <w:pPr>
        <w:rPr>
          <w:rFonts w:hint="eastAsia" w:ascii="宋体"/>
          <w:kern w:val="0"/>
          <w:sz w:val="24"/>
          <w:szCs w:val="20"/>
          <w:lang w:val="en-US" w:eastAsia="zh-CN"/>
        </w:rPr>
      </w:pPr>
      <w:r>
        <w:rPr>
          <w:rFonts w:hint="eastAsia" w:ascii="宋体"/>
          <w:kern w:val="0"/>
          <w:sz w:val="24"/>
          <w:szCs w:val="20"/>
          <w:lang w:val="en-US" w:eastAsia="zh-CN"/>
        </w:rPr>
        <w:br w:type="page"/>
      </w:r>
    </w:p>
    <w:p>
      <w:pPr>
        <w:widowControl/>
        <w:spacing w:line="480" w:lineRule="auto"/>
        <w:jc w:val="center"/>
        <w:rPr>
          <w:rFonts w:ascii="宋体" w:hAnsi="宋体" w:eastAsia="宋体" w:cs="宋体"/>
          <w:b/>
          <w:color w:val="000000"/>
          <w:kern w:val="0"/>
          <w:sz w:val="24"/>
          <w:szCs w:val="24"/>
          <w:shd w:val="clear" w:color="auto" w:fill="FFFFFF"/>
          <w:lang w:bidi="ar"/>
        </w:rPr>
      </w:pPr>
      <w:r>
        <w:rPr>
          <w:rFonts w:hint="eastAsia" w:ascii="宋体" w:hAnsi="宋体" w:eastAsia="宋体" w:cs="宋体"/>
          <w:b/>
          <w:color w:val="000000"/>
          <w:kern w:val="0"/>
          <w:sz w:val="24"/>
          <w:szCs w:val="24"/>
          <w:shd w:val="clear" w:color="auto" w:fill="FFFFFF"/>
          <w:lang w:bidi="ar"/>
        </w:rPr>
        <w:t>Y2020GZ082郑阜高铁鄢陵南站站前广场及市政配套设施项目—长途客运站工程（不见面开标）变更公告</w:t>
      </w:r>
    </w:p>
    <w:p>
      <w:pPr>
        <w:pStyle w:val="2"/>
        <w:rPr>
          <w:rFonts w:hint="eastAsia"/>
          <w:sz w:val="24"/>
          <w:szCs w:val="24"/>
          <w:lang w:bidi="ar"/>
        </w:rPr>
      </w:pPr>
    </w:p>
    <w:p>
      <w:pPr>
        <w:widowControl/>
        <w:spacing w:before="156" w:beforeLines="50" w:after="156" w:afterLines="50" w:line="480" w:lineRule="auto"/>
        <w:jc w:val="left"/>
        <w:rPr>
          <w:sz w:val="24"/>
          <w:szCs w:val="24"/>
        </w:rPr>
      </w:pPr>
      <w:r>
        <w:rPr>
          <w:rFonts w:hint="eastAsia" w:ascii="宋体" w:hAnsi="宋体" w:eastAsia="宋体" w:cs="宋体"/>
          <w:b/>
          <w:color w:val="000000"/>
          <w:kern w:val="0"/>
          <w:sz w:val="24"/>
          <w:szCs w:val="24"/>
          <w:shd w:val="clear" w:color="auto" w:fill="FFFFFF"/>
          <w:lang w:bidi="ar"/>
        </w:rPr>
        <w:t>各潜在投标人：</w:t>
      </w:r>
    </w:p>
    <w:p>
      <w:pPr>
        <w:widowControl/>
        <w:spacing w:before="156" w:beforeLines="50" w:after="156" w:afterLines="50" w:line="480" w:lineRule="auto"/>
        <w:jc w:val="left"/>
        <w:rPr>
          <w:rFonts w:ascii="宋体" w:hAnsi="宋体" w:eastAsia="宋体" w:cs="宋体"/>
          <w:color w:val="000000"/>
          <w:kern w:val="0"/>
          <w:sz w:val="24"/>
          <w:szCs w:val="24"/>
          <w:shd w:val="clear" w:color="auto" w:fill="FFFFFF"/>
          <w:lang w:bidi="ar"/>
        </w:rPr>
      </w:pPr>
      <w:r>
        <w:rPr>
          <w:rFonts w:hint="eastAsia" w:ascii="宋体" w:hAnsi="宋体" w:eastAsia="宋体" w:cs="宋体"/>
          <w:color w:val="000000"/>
          <w:kern w:val="0"/>
          <w:sz w:val="24"/>
          <w:szCs w:val="24"/>
          <w:shd w:val="clear" w:color="auto" w:fill="FFFFFF"/>
          <w:lang w:bidi="ar"/>
        </w:rPr>
        <w:t>1、项目名称：郑阜高铁鄢陵南站站前广场及市政配套设施项目—长途客运站工程</w:t>
      </w:r>
    </w:p>
    <w:p>
      <w:pPr>
        <w:widowControl/>
        <w:spacing w:before="156" w:beforeLines="50" w:after="156" w:afterLines="50" w:line="480" w:lineRule="auto"/>
        <w:jc w:val="left"/>
        <w:rPr>
          <w:sz w:val="24"/>
          <w:szCs w:val="24"/>
        </w:rPr>
      </w:pPr>
      <w:r>
        <w:rPr>
          <w:rFonts w:hint="eastAsia" w:ascii="宋体" w:hAnsi="宋体" w:eastAsia="宋体" w:cs="宋体"/>
          <w:color w:val="000000"/>
          <w:kern w:val="0"/>
          <w:sz w:val="24"/>
          <w:szCs w:val="24"/>
          <w:shd w:val="clear" w:color="auto" w:fill="FFFFFF"/>
          <w:lang w:bidi="ar"/>
        </w:rPr>
        <w:t>2、项目编号：Y2020GZ082</w:t>
      </w:r>
    </w:p>
    <w:p>
      <w:pPr>
        <w:widowControl/>
        <w:spacing w:before="156" w:beforeLines="50" w:after="156" w:afterLines="50" w:line="480" w:lineRule="auto"/>
        <w:jc w:val="left"/>
        <w:rPr>
          <w:sz w:val="24"/>
          <w:szCs w:val="24"/>
        </w:rPr>
      </w:pPr>
      <w:r>
        <w:rPr>
          <w:rFonts w:hint="eastAsia" w:ascii="宋体" w:hAnsi="宋体" w:eastAsia="宋体" w:cs="宋体"/>
          <w:color w:val="000000"/>
          <w:kern w:val="0"/>
          <w:sz w:val="24"/>
          <w:szCs w:val="24"/>
          <w:shd w:val="clear" w:color="auto" w:fill="FFFFFF"/>
          <w:lang w:bidi="ar"/>
        </w:rPr>
        <w:t>3、变更的内容：</w:t>
      </w:r>
    </w:p>
    <w:p>
      <w:pPr>
        <w:widowControl/>
        <w:spacing w:before="156" w:beforeLines="50" w:after="156" w:afterLines="50" w:line="480" w:lineRule="auto"/>
        <w:ind w:firstLine="562"/>
        <w:jc w:val="left"/>
        <w:rPr>
          <w:rFonts w:ascii="宋体" w:hAnsi="宋体" w:eastAsia="宋体" w:cs="宋体"/>
          <w:bCs/>
          <w:color w:val="000000"/>
          <w:kern w:val="0"/>
          <w:sz w:val="24"/>
          <w:szCs w:val="24"/>
          <w:shd w:val="clear" w:color="auto" w:fill="FFFFFF"/>
          <w:lang w:bidi="ar"/>
        </w:rPr>
      </w:pPr>
      <w:r>
        <w:rPr>
          <w:rFonts w:hint="eastAsia" w:ascii="宋体" w:hAnsi="宋体" w:eastAsia="宋体" w:cs="宋体"/>
          <w:b/>
          <w:color w:val="000000"/>
          <w:kern w:val="0"/>
          <w:sz w:val="24"/>
          <w:szCs w:val="24"/>
          <w:shd w:val="clear" w:color="auto" w:fill="FFFFFF"/>
          <w:lang w:bidi="ar"/>
        </w:rPr>
        <w:t>原</w:t>
      </w:r>
      <w:r>
        <w:rPr>
          <w:rFonts w:hint="eastAsia" w:ascii="宋体" w:hAnsi="宋体" w:eastAsia="宋体" w:cs="宋体"/>
          <w:bCs/>
          <w:color w:val="000000"/>
          <w:kern w:val="0"/>
          <w:sz w:val="24"/>
          <w:szCs w:val="24"/>
          <w:shd w:val="clear" w:color="auto" w:fill="FFFFFF"/>
          <w:lang w:bidi="ar"/>
        </w:rPr>
        <w:t>上传的工程量清单和控制价有误，需重新上传，请各潜在投标人</w:t>
      </w:r>
      <w:r>
        <w:rPr>
          <w:rFonts w:hint="eastAsia" w:ascii="宋体" w:hAnsi="宋体" w:eastAsia="宋体" w:cs="宋体"/>
          <w:b/>
          <w:color w:val="000000"/>
          <w:kern w:val="0"/>
          <w:sz w:val="24"/>
          <w:szCs w:val="24"/>
          <w:shd w:val="clear" w:color="auto" w:fill="FFFFFF"/>
          <w:lang w:bidi="ar"/>
        </w:rPr>
        <w:t>以本次上传</w:t>
      </w:r>
      <w:r>
        <w:rPr>
          <w:rFonts w:hint="eastAsia" w:ascii="宋体" w:hAnsi="宋体" w:eastAsia="宋体" w:cs="宋体"/>
          <w:bCs/>
          <w:color w:val="000000"/>
          <w:kern w:val="0"/>
          <w:sz w:val="24"/>
          <w:szCs w:val="24"/>
          <w:shd w:val="clear" w:color="auto" w:fill="FFFFFF"/>
          <w:lang w:bidi="ar"/>
        </w:rPr>
        <w:t>的工程量清单和控制价为准。</w:t>
      </w:r>
    </w:p>
    <w:p>
      <w:pPr>
        <w:widowControl/>
        <w:spacing w:before="156" w:beforeLines="50" w:after="156" w:afterLines="50" w:line="480" w:lineRule="auto"/>
        <w:ind w:firstLine="562"/>
        <w:jc w:val="left"/>
        <w:rPr>
          <w:sz w:val="24"/>
          <w:szCs w:val="24"/>
        </w:rPr>
      </w:pPr>
      <w:r>
        <w:rPr>
          <w:rFonts w:hint="eastAsia" w:ascii="宋体" w:hAnsi="宋体" w:eastAsia="宋体" w:cs="宋体"/>
          <w:b/>
          <w:color w:val="000000"/>
          <w:kern w:val="0"/>
          <w:sz w:val="24"/>
          <w:szCs w:val="24"/>
          <w:shd w:val="clear" w:color="auto" w:fill="FFFFFF"/>
          <w:lang w:bidi="ar"/>
        </w:rPr>
        <w:t>原招标文件</w:t>
      </w:r>
      <w:r>
        <w:rPr>
          <w:rFonts w:hint="eastAsia" w:ascii="宋体" w:hAnsi="宋体" w:eastAsia="宋体" w:cs="宋体"/>
          <w:color w:val="000000"/>
          <w:kern w:val="0"/>
          <w:sz w:val="24"/>
          <w:szCs w:val="24"/>
          <w:shd w:val="clear" w:color="auto" w:fill="FFFFFF"/>
          <w:lang w:bidi="ar"/>
        </w:rPr>
        <w:t>投标截止时间及开标时间：2020年8月7日09时00分，开标二室，</w:t>
      </w:r>
      <w:r>
        <w:rPr>
          <w:rFonts w:hint="eastAsia" w:ascii="宋体" w:hAnsi="宋体" w:eastAsia="宋体" w:cs="宋体"/>
          <w:b/>
          <w:color w:val="000000"/>
          <w:kern w:val="0"/>
          <w:sz w:val="24"/>
          <w:szCs w:val="24"/>
          <w:shd w:val="clear" w:color="auto" w:fill="FFFFFF"/>
          <w:lang w:bidi="ar"/>
        </w:rPr>
        <w:t>现变更为</w:t>
      </w:r>
      <w:r>
        <w:rPr>
          <w:rFonts w:hint="eastAsia" w:ascii="宋体" w:hAnsi="宋体" w:eastAsia="宋体" w:cs="宋体"/>
          <w:color w:val="000000"/>
          <w:kern w:val="0"/>
          <w:sz w:val="24"/>
          <w:szCs w:val="24"/>
          <w:shd w:val="clear" w:color="auto" w:fill="FFFFFF"/>
          <w:lang w:bidi="ar"/>
        </w:rPr>
        <w:t>投标截止时间及开标时间：2020年8月19日09时30分，开标一室。</w:t>
      </w:r>
    </w:p>
    <w:p>
      <w:pPr>
        <w:widowControl/>
        <w:spacing w:before="156" w:beforeLines="50" w:after="156" w:afterLines="50" w:line="480" w:lineRule="auto"/>
        <w:jc w:val="left"/>
        <w:rPr>
          <w:sz w:val="24"/>
          <w:szCs w:val="24"/>
        </w:rPr>
      </w:pPr>
      <w:r>
        <w:rPr>
          <w:rFonts w:hint="eastAsia" w:ascii="宋体" w:hAnsi="宋体" w:eastAsia="宋体" w:cs="宋体"/>
          <w:color w:val="000000"/>
          <w:kern w:val="0"/>
          <w:sz w:val="24"/>
          <w:szCs w:val="24"/>
          <w:shd w:val="clear" w:color="auto" w:fill="FFFFFF"/>
          <w:lang w:bidi="ar"/>
        </w:rPr>
        <w:t>4、其他内容不变！</w:t>
      </w:r>
    </w:p>
    <w:p>
      <w:pPr>
        <w:widowControl/>
        <w:spacing w:before="156" w:beforeLines="50" w:after="156" w:afterLines="50" w:line="480" w:lineRule="auto"/>
        <w:jc w:val="left"/>
        <w:rPr>
          <w:sz w:val="24"/>
          <w:szCs w:val="24"/>
        </w:rPr>
      </w:pPr>
      <w:r>
        <w:rPr>
          <w:rFonts w:hint="eastAsia" w:ascii="宋体" w:hAnsi="宋体" w:eastAsia="宋体" w:cs="宋体"/>
          <w:color w:val="000000"/>
          <w:kern w:val="0"/>
          <w:sz w:val="24"/>
          <w:szCs w:val="24"/>
          <w:shd w:val="clear" w:color="auto" w:fill="FFFFFF"/>
          <w:lang w:bidi="ar"/>
        </w:rPr>
        <w:t>5、联系方式</w:t>
      </w:r>
    </w:p>
    <w:p>
      <w:pPr>
        <w:widowControl/>
        <w:spacing w:before="156" w:beforeLines="50" w:after="156" w:afterLines="50" w:line="480" w:lineRule="auto"/>
        <w:ind w:firstLine="562"/>
        <w:jc w:val="left"/>
        <w:rPr>
          <w:rFonts w:ascii="宋体" w:hAnsi="宋体" w:eastAsia="宋体" w:cs="宋体"/>
          <w:color w:val="000000"/>
          <w:kern w:val="0"/>
          <w:sz w:val="24"/>
          <w:szCs w:val="24"/>
          <w:shd w:val="clear" w:color="auto" w:fill="FFFFFF"/>
          <w:lang w:bidi="ar"/>
        </w:rPr>
      </w:pPr>
      <w:r>
        <w:rPr>
          <w:rFonts w:hint="eastAsia" w:ascii="宋体" w:hAnsi="宋体" w:eastAsia="宋体" w:cs="宋体"/>
          <w:color w:val="000000"/>
          <w:kern w:val="0"/>
          <w:sz w:val="24"/>
          <w:szCs w:val="24"/>
          <w:shd w:val="clear" w:color="auto" w:fill="FFFFFF"/>
          <w:lang w:bidi="ar"/>
        </w:rPr>
        <w:t>招标人：鄢陵县政通投资集团有限公司</w:t>
      </w:r>
    </w:p>
    <w:p>
      <w:pPr>
        <w:widowControl/>
        <w:spacing w:before="156" w:beforeLines="50" w:after="156" w:afterLines="50" w:line="480" w:lineRule="auto"/>
        <w:ind w:firstLine="562"/>
        <w:jc w:val="left"/>
        <w:rPr>
          <w:rFonts w:ascii="宋体" w:hAnsi="宋体" w:eastAsia="宋体" w:cs="宋体"/>
          <w:color w:val="000000"/>
          <w:kern w:val="0"/>
          <w:sz w:val="24"/>
          <w:szCs w:val="24"/>
          <w:shd w:val="clear" w:color="auto" w:fill="FFFFFF"/>
          <w:lang w:bidi="ar"/>
        </w:rPr>
      </w:pPr>
      <w:r>
        <w:rPr>
          <w:rFonts w:hint="eastAsia" w:ascii="宋体" w:hAnsi="宋体" w:eastAsia="宋体" w:cs="宋体"/>
          <w:color w:val="000000"/>
          <w:kern w:val="0"/>
          <w:sz w:val="24"/>
          <w:szCs w:val="24"/>
          <w:shd w:val="clear" w:color="auto" w:fill="FFFFFF"/>
          <w:lang w:bidi="ar"/>
        </w:rPr>
        <w:t>地址：鄢陵县开发区朝阳街中段财政局四楼</w:t>
      </w:r>
    </w:p>
    <w:p>
      <w:pPr>
        <w:widowControl/>
        <w:spacing w:before="156" w:beforeLines="50" w:after="156" w:afterLines="50" w:line="480" w:lineRule="auto"/>
        <w:ind w:firstLine="562"/>
        <w:jc w:val="left"/>
        <w:rPr>
          <w:rFonts w:ascii="宋体" w:hAnsi="宋体" w:eastAsia="宋体" w:cs="宋体"/>
          <w:color w:val="000000"/>
          <w:kern w:val="0"/>
          <w:sz w:val="24"/>
          <w:szCs w:val="24"/>
          <w:shd w:val="clear" w:color="auto" w:fill="FFFFFF"/>
          <w:lang w:bidi="ar"/>
        </w:rPr>
      </w:pPr>
      <w:r>
        <w:rPr>
          <w:rFonts w:hint="eastAsia" w:ascii="宋体" w:hAnsi="宋体" w:eastAsia="宋体" w:cs="宋体"/>
          <w:color w:val="000000"/>
          <w:kern w:val="0"/>
          <w:sz w:val="24"/>
          <w:szCs w:val="24"/>
          <w:shd w:val="clear" w:color="auto" w:fill="FFFFFF"/>
          <w:lang w:bidi="ar"/>
        </w:rPr>
        <w:t>联系人：陈先生</w:t>
      </w:r>
    </w:p>
    <w:p>
      <w:pPr>
        <w:widowControl/>
        <w:spacing w:before="156" w:beforeLines="50" w:after="156" w:afterLines="50" w:line="480" w:lineRule="auto"/>
        <w:ind w:firstLine="562"/>
        <w:jc w:val="left"/>
        <w:rPr>
          <w:rFonts w:ascii="宋体" w:hAnsi="宋体" w:eastAsia="宋体" w:cs="宋体"/>
          <w:color w:val="000000"/>
          <w:kern w:val="0"/>
          <w:sz w:val="24"/>
          <w:szCs w:val="24"/>
          <w:shd w:val="clear" w:color="auto" w:fill="FFFFFF"/>
          <w:lang w:bidi="ar"/>
        </w:rPr>
      </w:pPr>
      <w:r>
        <w:rPr>
          <w:rFonts w:hint="eastAsia" w:ascii="宋体" w:hAnsi="宋体" w:eastAsia="宋体" w:cs="宋体"/>
          <w:color w:val="000000"/>
          <w:kern w:val="0"/>
          <w:sz w:val="24"/>
          <w:szCs w:val="24"/>
          <w:shd w:val="clear" w:color="auto" w:fill="FFFFFF"/>
          <w:lang w:bidi="ar"/>
        </w:rPr>
        <w:t>联系方式：0374-7127177</w:t>
      </w:r>
    </w:p>
    <w:p>
      <w:pPr>
        <w:widowControl/>
        <w:spacing w:before="156" w:beforeLines="50" w:after="156" w:afterLines="50" w:line="480" w:lineRule="auto"/>
        <w:ind w:firstLine="562"/>
        <w:jc w:val="left"/>
        <w:rPr>
          <w:rFonts w:ascii="宋体" w:hAnsi="宋体" w:eastAsia="宋体" w:cs="宋体"/>
          <w:color w:val="000000"/>
          <w:kern w:val="0"/>
          <w:sz w:val="24"/>
          <w:szCs w:val="24"/>
          <w:shd w:val="clear" w:color="auto" w:fill="FFFFFF"/>
          <w:lang w:bidi="ar"/>
        </w:rPr>
      </w:pPr>
    </w:p>
    <w:p>
      <w:pPr>
        <w:widowControl/>
        <w:spacing w:before="156" w:beforeLines="50" w:after="156" w:afterLines="50" w:line="480" w:lineRule="auto"/>
        <w:ind w:firstLine="562"/>
        <w:jc w:val="left"/>
        <w:rPr>
          <w:rFonts w:ascii="宋体" w:hAnsi="宋体" w:eastAsia="宋体" w:cs="宋体"/>
          <w:color w:val="000000"/>
          <w:kern w:val="0"/>
          <w:sz w:val="24"/>
          <w:szCs w:val="24"/>
          <w:shd w:val="clear" w:color="auto" w:fill="FFFFFF"/>
          <w:lang w:bidi="ar"/>
        </w:rPr>
      </w:pPr>
      <w:r>
        <w:rPr>
          <w:rFonts w:hint="eastAsia" w:ascii="宋体" w:hAnsi="宋体" w:eastAsia="宋体" w:cs="宋体"/>
          <w:color w:val="000000"/>
          <w:kern w:val="0"/>
          <w:sz w:val="24"/>
          <w:szCs w:val="24"/>
          <w:shd w:val="clear" w:color="auto" w:fill="FFFFFF"/>
          <w:lang w:bidi="ar"/>
        </w:rPr>
        <w:t>招标代理机构：河南招标采购服务有限公司</w:t>
      </w:r>
    </w:p>
    <w:p>
      <w:pPr>
        <w:widowControl/>
        <w:spacing w:before="156" w:beforeLines="50" w:after="156" w:afterLines="50" w:line="480" w:lineRule="auto"/>
        <w:ind w:firstLine="562"/>
        <w:jc w:val="left"/>
        <w:rPr>
          <w:rFonts w:ascii="宋体" w:hAnsi="宋体" w:eastAsia="宋体" w:cs="宋体"/>
          <w:color w:val="000000"/>
          <w:kern w:val="0"/>
          <w:sz w:val="24"/>
          <w:szCs w:val="24"/>
          <w:shd w:val="clear" w:color="auto" w:fill="FFFFFF"/>
          <w:lang w:bidi="ar"/>
        </w:rPr>
      </w:pPr>
      <w:r>
        <w:rPr>
          <w:rFonts w:hint="eastAsia" w:ascii="宋体" w:hAnsi="宋体" w:eastAsia="宋体" w:cs="宋体"/>
          <w:color w:val="000000"/>
          <w:kern w:val="0"/>
          <w:sz w:val="24"/>
          <w:szCs w:val="24"/>
          <w:shd w:val="clear" w:color="auto" w:fill="FFFFFF"/>
          <w:lang w:bidi="ar"/>
        </w:rPr>
        <w:t>地址：郑州市金水区纬四路13号</w:t>
      </w:r>
    </w:p>
    <w:p>
      <w:pPr>
        <w:widowControl/>
        <w:spacing w:before="156" w:beforeLines="50" w:after="156" w:afterLines="50" w:line="480" w:lineRule="auto"/>
        <w:ind w:firstLine="562"/>
        <w:jc w:val="left"/>
        <w:rPr>
          <w:rFonts w:ascii="宋体" w:hAnsi="宋体" w:eastAsia="宋体" w:cs="宋体"/>
          <w:color w:val="000000"/>
          <w:kern w:val="0"/>
          <w:sz w:val="24"/>
          <w:szCs w:val="24"/>
          <w:shd w:val="clear" w:color="auto" w:fill="FFFFFF"/>
          <w:lang w:bidi="ar"/>
        </w:rPr>
      </w:pPr>
      <w:r>
        <w:rPr>
          <w:rFonts w:hint="eastAsia" w:ascii="宋体" w:hAnsi="宋体" w:eastAsia="宋体" w:cs="宋体"/>
          <w:color w:val="000000"/>
          <w:kern w:val="0"/>
          <w:sz w:val="24"/>
          <w:szCs w:val="24"/>
          <w:shd w:val="clear" w:color="auto" w:fill="FFFFFF"/>
          <w:lang w:bidi="ar"/>
        </w:rPr>
        <w:t>联系人：王先生 左女士 </w:t>
      </w:r>
    </w:p>
    <w:p>
      <w:pPr>
        <w:widowControl/>
        <w:spacing w:before="156" w:beforeLines="50" w:after="156" w:afterLines="50" w:line="480" w:lineRule="auto"/>
        <w:ind w:firstLine="562"/>
        <w:jc w:val="left"/>
        <w:rPr>
          <w:rFonts w:ascii="宋体" w:hAnsi="宋体" w:eastAsia="宋体" w:cs="宋体"/>
          <w:color w:val="000000"/>
          <w:kern w:val="0"/>
          <w:sz w:val="24"/>
          <w:szCs w:val="24"/>
          <w:shd w:val="clear" w:color="auto" w:fill="FFFFFF"/>
          <w:lang w:bidi="ar"/>
        </w:rPr>
      </w:pPr>
      <w:r>
        <w:rPr>
          <w:rFonts w:hint="eastAsia" w:ascii="宋体" w:hAnsi="宋体" w:eastAsia="宋体" w:cs="宋体"/>
          <w:color w:val="000000"/>
          <w:kern w:val="0"/>
          <w:sz w:val="24"/>
          <w:szCs w:val="24"/>
          <w:shd w:val="clear" w:color="auto" w:fill="FFFFFF"/>
          <w:lang w:bidi="ar"/>
        </w:rPr>
        <w:t>联系电话：0371-6117 1979   13838510613</w:t>
      </w:r>
    </w:p>
    <w:p>
      <w:pPr>
        <w:widowControl/>
        <w:spacing w:before="156" w:beforeLines="50" w:after="156" w:afterLines="50" w:line="480" w:lineRule="auto"/>
        <w:jc w:val="left"/>
        <w:rPr>
          <w:sz w:val="24"/>
          <w:szCs w:val="24"/>
        </w:rPr>
      </w:pPr>
      <w:r>
        <w:rPr>
          <w:rFonts w:hint="eastAsia" w:ascii="宋体" w:hAnsi="宋体" w:eastAsia="宋体" w:cs="宋体"/>
          <w:color w:val="000000"/>
          <w:kern w:val="0"/>
          <w:sz w:val="24"/>
          <w:szCs w:val="24"/>
          <w:shd w:val="clear" w:color="auto" w:fill="FFFFFF"/>
          <w:lang w:bidi="ar"/>
        </w:rPr>
        <w:t> </w:t>
      </w:r>
    </w:p>
    <w:p>
      <w:pPr>
        <w:widowControl/>
        <w:spacing w:before="156" w:beforeLines="50" w:after="156" w:afterLines="50" w:line="480" w:lineRule="auto"/>
        <w:jc w:val="right"/>
        <w:rPr>
          <w:rFonts w:ascii="宋体" w:hAnsi="宋体" w:eastAsia="宋体" w:cs="宋体"/>
          <w:color w:val="000000"/>
          <w:kern w:val="0"/>
          <w:sz w:val="24"/>
          <w:szCs w:val="24"/>
          <w:shd w:val="clear" w:color="auto" w:fill="FFFFFF"/>
          <w:lang w:bidi="ar"/>
        </w:rPr>
      </w:pPr>
      <w:r>
        <w:rPr>
          <w:rFonts w:hint="eastAsia" w:ascii="宋体" w:hAnsi="宋体" w:eastAsia="宋体" w:cs="宋体"/>
          <w:color w:val="000000"/>
          <w:kern w:val="0"/>
          <w:sz w:val="24"/>
          <w:szCs w:val="24"/>
          <w:shd w:val="clear" w:color="auto" w:fill="FFFFFF"/>
          <w:lang w:bidi="ar"/>
        </w:rPr>
        <w:t>鄢陵县政通投资集团有限公司</w:t>
      </w:r>
    </w:p>
    <w:p>
      <w:pPr>
        <w:widowControl/>
        <w:spacing w:before="156" w:beforeLines="50" w:after="156" w:afterLines="50" w:line="480" w:lineRule="auto"/>
        <w:jc w:val="right"/>
        <w:rPr>
          <w:rFonts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color w:val="000000"/>
          <w:kern w:val="0"/>
          <w:sz w:val="24"/>
          <w:szCs w:val="24"/>
          <w:shd w:val="clear" w:color="auto" w:fill="FFFFFF"/>
          <w:lang w:bidi="ar"/>
        </w:rPr>
        <w:t>2020年8月3日</w:t>
      </w:r>
    </w:p>
    <w:p>
      <w:pPr>
        <w:rPr>
          <w:rFonts w:hint="eastAsia"/>
        </w:rPr>
      </w:pPr>
      <w:r>
        <w:rPr>
          <w:rFonts w:hint="eastAsia"/>
        </w:rPr>
        <w:br w:type="page"/>
      </w:r>
    </w:p>
    <w:p>
      <w:pPr>
        <w:pStyle w:val="4"/>
        <w:rPr>
          <w:rFonts w:hint="eastAsia"/>
        </w:rPr>
      </w:pPr>
    </w:p>
    <w:p>
      <w:pPr>
        <w:pStyle w:val="6"/>
        <w:numPr>
          <w:ilvl w:val="0"/>
          <w:numId w:val="1"/>
        </w:numPr>
        <w:spacing w:before="156" w:beforeLines="50" w:after="156" w:afterLines="50" w:line="360" w:lineRule="auto"/>
        <w:jc w:val="center"/>
        <w:rPr>
          <w:rFonts w:ascii="宋体" w:hAnsi="宋体"/>
          <w:sz w:val="32"/>
          <w:szCs w:val="32"/>
        </w:rPr>
      </w:pPr>
      <w:bookmarkStart w:id="78" w:name="_Toc247513950"/>
      <w:bookmarkStart w:id="79" w:name="_Toc300834947"/>
      <w:bookmarkStart w:id="80" w:name="_Toc247527551"/>
      <w:bookmarkStart w:id="81" w:name="_Toc152042303"/>
      <w:bookmarkStart w:id="82" w:name="_Toc144974495"/>
      <w:bookmarkStart w:id="83" w:name="_Toc43198845"/>
      <w:bookmarkStart w:id="84" w:name="_Toc152045527"/>
      <w:r>
        <w:rPr>
          <w:rFonts w:hint="eastAsia" w:ascii="宋体" w:hAnsi="宋体"/>
          <w:sz w:val="32"/>
          <w:szCs w:val="32"/>
        </w:rPr>
        <w:t>投标人须知</w:t>
      </w:r>
      <w:bookmarkEnd w:id="78"/>
      <w:bookmarkEnd w:id="79"/>
      <w:bookmarkEnd w:id="80"/>
      <w:bookmarkEnd w:id="81"/>
      <w:bookmarkEnd w:id="82"/>
      <w:bookmarkEnd w:id="83"/>
      <w:bookmarkEnd w:id="84"/>
    </w:p>
    <w:p>
      <w:pPr>
        <w:pStyle w:val="7"/>
        <w:spacing w:before="0" w:after="156" w:afterLines="50" w:line="360" w:lineRule="auto"/>
        <w:jc w:val="center"/>
        <w:rPr>
          <w:rFonts w:hint="eastAsia" w:ascii="宋体" w:hAnsi="宋体" w:eastAsia="宋体"/>
          <w:sz w:val="24"/>
          <w:szCs w:val="24"/>
        </w:rPr>
      </w:pPr>
      <w:bookmarkStart w:id="85" w:name="_Toc23282546"/>
      <w:bookmarkStart w:id="86" w:name="_Toc247513951"/>
      <w:bookmarkStart w:id="87" w:name="_Toc300834948"/>
      <w:bookmarkStart w:id="88" w:name="_Toc152045528"/>
      <w:bookmarkStart w:id="89" w:name="_Toc152042304"/>
      <w:bookmarkStart w:id="90" w:name="_Toc247527552"/>
      <w:bookmarkStart w:id="91" w:name="_Toc144974496"/>
      <w:bookmarkStart w:id="92" w:name="_Toc43198846"/>
      <w:r>
        <w:rPr>
          <w:rFonts w:hint="eastAsia" w:ascii="宋体" w:hAnsi="宋体" w:eastAsia="宋体"/>
          <w:sz w:val="24"/>
          <w:szCs w:val="24"/>
        </w:rPr>
        <w:t>投标人须知前附表</w:t>
      </w:r>
      <w:bookmarkEnd w:id="85"/>
      <w:bookmarkEnd w:id="86"/>
      <w:bookmarkEnd w:id="87"/>
      <w:bookmarkEnd w:id="88"/>
      <w:bookmarkEnd w:id="89"/>
      <w:bookmarkEnd w:id="90"/>
      <w:bookmarkEnd w:id="91"/>
      <w:bookmarkEnd w:id="92"/>
    </w:p>
    <w:tbl>
      <w:tblPr>
        <w:tblStyle w:val="13"/>
        <w:tblW w:w="99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2520"/>
        <w:gridCol w:w="6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b/>
                <w:sz w:val="24"/>
              </w:rPr>
            </w:pPr>
            <w:r>
              <w:rPr>
                <w:rFonts w:ascii="宋体" w:hAnsi="宋体"/>
                <w:b/>
                <w:sz w:val="24"/>
              </w:rPr>
              <w:t>条款号</w:t>
            </w:r>
          </w:p>
        </w:tc>
        <w:tc>
          <w:tcPr>
            <w:tcW w:w="2520" w:type="dxa"/>
            <w:noWrap w:val="0"/>
            <w:vAlign w:val="center"/>
          </w:tcPr>
          <w:p>
            <w:pPr>
              <w:spacing w:line="360" w:lineRule="auto"/>
              <w:jc w:val="center"/>
              <w:rPr>
                <w:rFonts w:ascii="宋体" w:hAnsi="宋体"/>
                <w:b/>
                <w:sz w:val="24"/>
              </w:rPr>
            </w:pPr>
            <w:r>
              <w:rPr>
                <w:rFonts w:ascii="宋体" w:hAnsi="宋体"/>
                <w:b/>
                <w:sz w:val="24"/>
              </w:rPr>
              <w:t>条款名称</w:t>
            </w:r>
          </w:p>
        </w:tc>
        <w:tc>
          <w:tcPr>
            <w:tcW w:w="6268" w:type="dxa"/>
            <w:noWrap w:val="0"/>
            <w:vAlign w:val="center"/>
          </w:tcPr>
          <w:p>
            <w:pPr>
              <w:spacing w:line="360" w:lineRule="auto"/>
              <w:jc w:val="center"/>
              <w:rPr>
                <w:rFonts w:ascii="宋体" w:hAnsi="宋体"/>
                <w:b/>
                <w:sz w:val="24"/>
              </w:rPr>
            </w:pPr>
            <w:r>
              <w:rPr>
                <w:rFonts w:ascii="宋体" w:hAnsi="宋体"/>
                <w:b/>
                <w:sz w:val="24"/>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1.1.2</w:t>
            </w:r>
          </w:p>
        </w:tc>
        <w:tc>
          <w:tcPr>
            <w:tcW w:w="2520" w:type="dxa"/>
            <w:noWrap w:val="0"/>
            <w:vAlign w:val="center"/>
          </w:tcPr>
          <w:p>
            <w:pPr>
              <w:spacing w:line="360" w:lineRule="auto"/>
              <w:jc w:val="center"/>
              <w:rPr>
                <w:rFonts w:ascii="宋体" w:hAnsi="宋体"/>
                <w:sz w:val="24"/>
              </w:rPr>
            </w:pPr>
            <w:r>
              <w:rPr>
                <w:rFonts w:ascii="宋体" w:hAnsi="宋体"/>
                <w:sz w:val="24"/>
              </w:rPr>
              <w:t>招标人</w:t>
            </w:r>
          </w:p>
        </w:tc>
        <w:tc>
          <w:tcPr>
            <w:tcW w:w="6268" w:type="dxa"/>
            <w:noWrap w:val="0"/>
            <w:vAlign w:val="center"/>
          </w:tcPr>
          <w:p>
            <w:pPr>
              <w:spacing w:line="360" w:lineRule="auto"/>
              <w:rPr>
                <w:rFonts w:ascii="宋体" w:hAnsi="宋体"/>
                <w:sz w:val="24"/>
              </w:rPr>
            </w:pPr>
            <w:r>
              <w:rPr>
                <w:rFonts w:hint="eastAsia" w:ascii="宋体" w:hAnsi="宋体"/>
                <w:sz w:val="24"/>
              </w:rPr>
              <w:t>招标人：鄢陵县政通投资集团有限公司</w:t>
            </w:r>
          </w:p>
          <w:p>
            <w:pPr>
              <w:spacing w:line="360" w:lineRule="auto"/>
              <w:rPr>
                <w:rFonts w:ascii="宋体" w:hAnsi="宋体"/>
                <w:sz w:val="24"/>
              </w:rPr>
            </w:pPr>
            <w:r>
              <w:rPr>
                <w:rFonts w:hint="eastAsia" w:ascii="宋体" w:hAnsi="宋体"/>
                <w:sz w:val="24"/>
              </w:rPr>
              <w:t>地址：鄢陵县开发区朝阳街中段财政局四楼</w:t>
            </w:r>
          </w:p>
          <w:p>
            <w:pPr>
              <w:spacing w:line="360" w:lineRule="auto"/>
              <w:rPr>
                <w:rFonts w:hint="eastAsia" w:ascii="宋体" w:hAnsi="宋体"/>
                <w:sz w:val="24"/>
              </w:rPr>
            </w:pPr>
            <w:r>
              <w:rPr>
                <w:rFonts w:hint="eastAsia" w:ascii="宋体" w:hAnsi="宋体"/>
                <w:sz w:val="24"/>
              </w:rPr>
              <w:t>联系人：陈先生</w:t>
            </w:r>
          </w:p>
          <w:p>
            <w:pPr>
              <w:spacing w:line="360" w:lineRule="auto"/>
              <w:rPr>
                <w:rFonts w:hint="eastAsia" w:ascii="宋体" w:hAnsi="宋体"/>
                <w:sz w:val="24"/>
              </w:rPr>
            </w:pPr>
            <w:r>
              <w:rPr>
                <w:rFonts w:hint="eastAsia" w:ascii="宋体" w:hAnsi="宋体"/>
                <w:sz w:val="24"/>
              </w:rPr>
              <w:t>联系方式：</w:t>
            </w:r>
            <w:r>
              <w:rPr>
                <w:rFonts w:ascii="宋体" w:hAnsi="宋体"/>
                <w:sz w:val="24"/>
              </w:rPr>
              <w:t>0374-</w:t>
            </w:r>
            <w:r>
              <w:rPr>
                <w:rFonts w:hint="eastAsia" w:ascii="宋体" w:hAnsi="宋体"/>
                <w:sz w:val="24"/>
              </w:rPr>
              <w:t>7127177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1.1.3</w:t>
            </w:r>
          </w:p>
        </w:tc>
        <w:tc>
          <w:tcPr>
            <w:tcW w:w="2520" w:type="dxa"/>
            <w:noWrap w:val="0"/>
            <w:vAlign w:val="center"/>
          </w:tcPr>
          <w:p>
            <w:pPr>
              <w:spacing w:line="360" w:lineRule="auto"/>
              <w:jc w:val="center"/>
              <w:rPr>
                <w:rFonts w:ascii="宋体" w:hAnsi="宋体"/>
                <w:sz w:val="24"/>
              </w:rPr>
            </w:pPr>
            <w:r>
              <w:rPr>
                <w:rFonts w:ascii="宋体" w:hAnsi="宋体"/>
                <w:sz w:val="24"/>
              </w:rPr>
              <w:t>招标代理机构</w:t>
            </w:r>
          </w:p>
        </w:tc>
        <w:tc>
          <w:tcPr>
            <w:tcW w:w="6268" w:type="dxa"/>
            <w:noWrap w:val="0"/>
            <w:vAlign w:val="center"/>
          </w:tcPr>
          <w:p>
            <w:pPr>
              <w:spacing w:line="360" w:lineRule="auto"/>
              <w:rPr>
                <w:rFonts w:ascii="宋体" w:hAnsi="宋体"/>
                <w:sz w:val="24"/>
              </w:rPr>
            </w:pPr>
            <w:r>
              <w:rPr>
                <w:rFonts w:hint="eastAsia" w:ascii="宋体" w:hAnsi="宋体"/>
                <w:sz w:val="24"/>
              </w:rPr>
              <w:t>招标代理机构：河南招标采购服务有限公司</w:t>
            </w:r>
          </w:p>
          <w:p>
            <w:pPr>
              <w:spacing w:line="360" w:lineRule="auto"/>
              <w:rPr>
                <w:rFonts w:ascii="宋体" w:hAnsi="宋体"/>
                <w:sz w:val="24"/>
              </w:rPr>
            </w:pPr>
            <w:r>
              <w:rPr>
                <w:rFonts w:hint="eastAsia" w:ascii="宋体" w:hAnsi="宋体"/>
                <w:sz w:val="24"/>
              </w:rPr>
              <w:t>地址：郑州市金水区纬四路</w:t>
            </w:r>
            <w:r>
              <w:rPr>
                <w:rFonts w:ascii="宋体" w:hAnsi="宋体"/>
                <w:sz w:val="24"/>
              </w:rPr>
              <w:t>13</w:t>
            </w:r>
            <w:r>
              <w:rPr>
                <w:rFonts w:hint="eastAsia" w:ascii="宋体" w:hAnsi="宋体"/>
                <w:sz w:val="24"/>
              </w:rPr>
              <w:t>号</w:t>
            </w:r>
          </w:p>
          <w:p>
            <w:pPr>
              <w:spacing w:line="360" w:lineRule="auto"/>
              <w:rPr>
                <w:rFonts w:ascii="宋体" w:hAnsi="宋体"/>
                <w:sz w:val="24"/>
              </w:rPr>
            </w:pPr>
            <w:r>
              <w:rPr>
                <w:rFonts w:hint="eastAsia" w:ascii="宋体" w:hAnsi="宋体"/>
                <w:sz w:val="24"/>
              </w:rPr>
              <w:t>联系人：王先生 左女士</w:t>
            </w:r>
            <w:r>
              <w:rPr>
                <w:rFonts w:ascii="宋体" w:hAnsi="宋体"/>
                <w:sz w:val="24"/>
              </w:rPr>
              <w:t xml:space="preserve">  </w:t>
            </w:r>
          </w:p>
          <w:p>
            <w:pPr>
              <w:spacing w:line="360" w:lineRule="auto"/>
              <w:rPr>
                <w:rFonts w:ascii="宋体" w:hAnsi="宋体"/>
                <w:sz w:val="24"/>
              </w:rPr>
            </w:pPr>
            <w:r>
              <w:rPr>
                <w:rFonts w:hint="eastAsia" w:ascii="宋体" w:hAnsi="宋体"/>
                <w:sz w:val="24"/>
              </w:rPr>
              <w:t>联系电话：</w:t>
            </w:r>
            <w:r>
              <w:rPr>
                <w:rFonts w:ascii="宋体" w:hAnsi="宋体"/>
                <w:sz w:val="24"/>
              </w:rPr>
              <w:t>0371-61171979  </w:t>
            </w:r>
            <w:r>
              <w:rPr>
                <w:rFonts w:hint="eastAsia" w:ascii="宋体"/>
                <w:kern w:val="0"/>
                <w:sz w:val="24"/>
                <w:szCs w:val="20"/>
                <w:lang w:val="en-US" w:eastAsia="zh-CN"/>
              </w:rPr>
              <w:t>13838510613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vMerge w:val="restart"/>
            <w:noWrap w:val="0"/>
            <w:vAlign w:val="center"/>
          </w:tcPr>
          <w:p>
            <w:pPr>
              <w:spacing w:line="360" w:lineRule="auto"/>
              <w:jc w:val="center"/>
              <w:rPr>
                <w:rFonts w:ascii="宋体" w:hAnsi="宋体"/>
                <w:sz w:val="24"/>
              </w:rPr>
            </w:pPr>
            <w:r>
              <w:rPr>
                <w:rFonts w:ascii="宋体" w:hAnsi="宋体"/>
                <w:sz w:val="24"/>
              </w:rPr>
              <w:t>1.1.4</w:t>
            </w:r>
          </w:p>
        </w:tc>
        <w:tc>
          <w:tcPr>
            <w:tcW w:w="2520" w:type="dxa"/>
            <w:noWrap w:val="0"/>
            <w:vAlign w:val="center"/>
          </w:tcPr>
          <w:p>
            <w:pPr>
              <w:spacing w:line="360" w:lineRule="auto"/>
              <w:jc w:val="center"/>
              <w:rPr>
                <w:rFonts w:ascii="宋体" w:hAnsi="宋体"/>
                <w:sz w:val="24"/>
              </w:rPr>
            </w:pPr>
            <w:r>
              <w:rPr>
                <w:rFonts w:ascii="宋体" w:hAnsi="宋体"/>
                <w:sz w:val="24"/>
              </w:rPr>
              <w:t>项目名称</w:t>
            </w:r>
          </w:p>
        </w:tc>
        <w:tc>
          <w:tcPr>
            <w:tcW w:w="6268" w:type="dxa"/>
            <w:noWrap w:val="0"/>
            <w:vAlign w:val="center"/>
          </w:tcPr>
          <w:p>
            <w:pPr>
              <w:spacing w:line="360" w:lineRule="auto"/>
              <w:rPr>
                <w:rFonts w:ascii="宋体" w:hAnsi="宋体"/>
                <w:sz w:val="24"/>
              </w:rPr>
            </w:pPr>
            <w:r>
              <w:rPr>
                <w:rFonts w:hint="eastAsia" w:ascii="宋体" w:hAnsi="宋体"/>
                <w:sz w:val="24"/>
              </w:rPr>
              <w:t>郑阜高铁鄢陵南站站前广场及市政配套设施项目—长途客运站工程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vMerge w:val="continue"/>
            <w:noWrap w:val="0"/>
            <w:vAlign w:val="center"/>
          </w:tcPr>
          <w:p>
            <w:pPr>
              <w:spacing w:line="360" w:lineRule="auto"/>
              <w:jc w:val="center"/>
              <w:rPr>
                <w:rFonts w:ascii="宋体" w:hAnsi="宋体"/>
                <w:sz w:val="24"/>
              </w:rPr>
            </w:pPr>
          </w:p>
        </w:tc>
        <w:tc>
          <w:tcPr>
            <w:tcW w:w="2520" w:type="dxa"/>
            <w:noWrap w:val="0"/>
            <w:vAlign w:val="center"/>
          </w:tcPr>
          <w:p>
            <w:pPr>
              <w:spacing w:line="360" w:lineRule="auto"/>
              <w:jc w:val="center"/>
              <w:rPr>
                <w:rFonts w:ascii="宋体" w:hAnsi="宋体"/>
                <w:sz w:val="24"/>
              </w:rPr>
            </w:pPr>
            <w:r>
              <w:rPr>
                <w:rFonts w:hint="eastAsia" w:ascii="宋体" w:hAnsi="宋体"/>
                <w:sz w:val="24"/>
              </w:rPr>
              <w:t>标段名称</w:t>
            </w:r>
          </w:p>
        </w:tc>
        <w:tc>
          <w:tcPr>
            <w:tcW w:w="6268" w:type="dxa"/>
            <w:noWrap w:val="0"/>
            <w:vAlign w:val="center"/>
          </w:tcPr>
          <w:p>
            <w:pPr>
              <w:pStyle w:val="17"/>
              <w:rPr>
                <w:rFonts w:hint="eastAsia" w:hAnsi="Calibri" w:cs="Times New Roman"/>
                <w:sz w:val="24"/>
                <w:szCs w:val="24"/>
              </w:rPr>
            </w:pPr>
            <w:r>
              <w:rPr>
                <w:rFonts w:hint="eastAsia"/>
                <w:sz w:val="24"/>
              </w:rPr>
              <w:t>一</w:t>
            </w:r>
            <w:r>
              <w:rPr>
                <w:rFonts w:hint="eastAsia" w:cs="Times New Roman"/>
                <w:kern w:val="2"/>
                <w:sz w:val="24"/>
                <w:szCs w:val="24"/>
                <w:lang w:val="en-US" w:bidi="ar-SA"/>
              </w:rPr>
              <w:t>一标段：郑阜高铁鄢陵南站站前广场及市政配套设施项目——长途客运站建筑安装工程</w:t>
            </w:r>
            <w:r>
              <w:rPr>
                <w:rFonts w:hint="eastAsia" w:cs="Times New Roman"/>
                <w:kern w:val="2"/>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1.1.5</w:t>
            </w:r>
          </w:p>
        </w:tc>
        <w:tc>
          <w:tcPr>
            <w:tcW w:w="2520" w:type="dxa"/>
            <w:noWrap w:val="0"/>
            <w:vAlign w:val="center"/>
          </w:tcPr>
          <w:p>
            <w:pPr>
              <w:spacing w:line="360" w:lineRule="auto"/>
              <w:jc w:val="center"/>
              <w:rPr>
                <w:rFonts w:ascii="宋体" w:hAnsi="宋体"/>
                <w:sz w:val="24"/>
              </w:rPr>
            </w:pPr>
            <w:r>
              <w:rPr>
                <w:rFonts w:hint="eastAsia" w:ascii="宋体" w:hAnsi="宋体"/>
                <w:sz w:val="24"/>
              </w:rPr>
              <w:t>项目</w:t>
            </w:r>
            <w:r>
              <w:rPr>
                <w:rFonts w:ascii="宋体" w:hAnsi="宋体"/>
                <w:sz w:val="24"/>
              </w:rPr>
              <w:t>建设地点</w:t>
            </w:r>
          </w:p>
        </w:tc>
        <w:tc>
          <w:tcPr>
            <w:tcW w:w="6268" w:type="dxa"/>
            <w:noWrap w:val="0"/>
            <w:vAlign w:val="center"/>
          </w:tcPr>
          <w:p>
            <w:pPr>
              <w:spacing w:line="360" w:lineRule="auto"/>
              <w:rPr>
                <w:rFonts w:ascii="宋体" w:hAnsi="宋体"/>
                <w:sz w:val="24"/>
              </w:rPr>
            </w:pPr>
            <w:r>
              <w:rPr>
                <w:rFonts w:hint="eastAsia" w:ascii="宋体" w:hAnsi="宋体"/>
                <w:sz w:val="24"/>
              </w:rPr>
              <w:t>鄢陵县南环路南侧,鄢陵高铁南站北侧。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1.2.1</w:t>
            </w:r>
          </w:p>
        </w:tc>
        <w:tc>
          <w:tcPr>
            <w:tcW w:w="2520" w:type="dxa"/>
            <w:noWrap w:val="0"/>
            <w:vAlign w:val="center"/>
          </w:tcPr>
          <w:p>
            <w:pPr>
              <w:spacing w:line="360" w:lineRule="auto"/>
              <w:jc w:val="center"/>
              <w:rPr>
                <w:rFonts w:hint="eastAsia" w:ascii="宋体" w:hAnsi="宋体"/>
                <w:sz w:val="24"/>
              </w:rPr>
            </w:pPr>
            <w:r>
              <w:rPr>
                <w:rFonts w:ascii="宋体" w:hAnsi="宋体"/>
                <w:sz w:val="24"/>
              </w:rPr>
              <w:t>资金来源</w:t>
            </w:r>
            <w:r>
              <w:rPr>
                <w:rFonts w:hint="eastAsia" w:ascii="宋体" w:hAnsi="宋体"/>
                <w:sz w:val="24"/>
              </w:rPr>
              <w:t>及比例</w:t>
            </w:r>
          </w:p>
        </w:tc>
        <w:tc>
          <w:tcPr>
            <w:tcW w:w="6268" w:type="dxa"/>
            <w:noWrap w:val="0"/>
            <w:vAlign w:val="center"/>
          </w:tcPr>
          <w:p>
            <w:pPr>
              <w:spacing w:line="360" w:lineRule="auto"/>
              <w:rPr>
                <w:rFonts w:hint="eastAsia" w:ascii="宋体" w:hAnsi="宋体"/>
                <w:sz w:val="24"/>
              </w:rPr>
            </w:pPr>
            <w:r>
              <w:rPr>
                <w:rFonts w:hint="eastAsia" w:ascii="宋体" w:hAnsi="宋体"/>
                <w:sz w:val="24"/>
              </w:rPr>
              <w:t>自筹资金</w:t>
            </w:r>
            <w:r>
              <w:rPr>
                <w:rFonts w:ascii="宋体" w:hAnsi="宋体"/>
                <w:sz w:val="24"/>
              </w:rPr>
              <w:t>，</w:t>
            </w:r>
            <w:r>
              <w:rPr>
                <w:rFonts w:hint="eastAsia" w:ascii="宋体" w:hAnsi="宋体"/>
                <w:sz w:val="24"/>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ascii="宋体" w:hAnsi="宋体"/>
                <w:sz w:val="24"/>
              </w:rPr>
              <w:t>1.2.</w:t>
            </w:r>
            <w:r>
              <w:rPr>
                <w:rFonts w:hint="eastAsia" w:ascii="宋体" w:hAnsi="宋体"/>
                <w:sz w:val="24"/>
              </w:rPr>
              <w:t>2</w:t>
            </w:r>
          </w:p>
        </w:tc>
        <w:tc>
          <w:tcPr>
            <w:tcW w:w="2520" w:type="dxa"/>
            <w:noWrap w:val="0"/>
            <w:vAlign w:val="center"/>
          </w:tcPr>
          <w:p>
            <w:pPr>
              <w:spacing w:line="360" w:lineRule="auto"/>
              <w:jc w:val="center"/>
              <w:rPr>
                <w:rFonts w:ascii="宋体" w:hAnsi="宋体"/>
                <w:sz w:val="24"/>
              </w:rPr>
            </w:pPr>
            <w:r>
              <w:rPr>
                <w:rFonts w:hint="eastAsia" w:ascii="宋体" w:hAnsi="宋体"/>
                <w:sz w:val="24"/>
              </w:rPr>
              <w:t>资金</w:t>
            </w:r>
            <w:r>
              <w:rPr>
                <w:rFonts w:ascii="宋体" w:hAnsi="宋体"/>
                <w:sz w:val="24"/>
              </w:rPr>
              <w:t>落实情况</w:t>
            </w:r>
          </w:p>
        </w:tc>
        <w:tc>
          <w:tcPr>
            <w:tcW w:w="6268" w:type="dxa"/>
            <w:noWrap w:val="0"/>
            <w:vAlign w:val="center"/>
          </w:tcPr>
          <w:p>
            <w:pPr>
              <w:spacing w:line="360" w:lineRule="auto"/>
              <w:rPr>
                <w:rFonts w:hint="eastAsia" w:ascii="宋体" w:hAnsi="宋体"/>
                <w:sz w:val="24"/>
              </w:rPr>
            </w:pPr>
            <w:r>
              <w:rPr>
                <w:rFonts w:hint="eastAsia" w:ascii="宋体" w:hAnsi="宋体"/>
                <w:sz w:val="24"/>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3</w:t>
            </w:r>
            <w:r>
              <w:rPr>
                <w:rFonts w:ascii="宋体" w:hAnsi="宋体"/>
                <w:sz w:val="24"/>
              </w:rPr>
              <w:t>.1</w:t>
            </w:r>
          </w:p>
        </w:tc>
        <w:tc>
          <w:tcPr>
            <w:tcW w:w="2520" w:type="dxa"/>
            <w:noWrap w:val="0"/>
            <w:vAlign w:val="center"/>
          </w:tcPr>
          <w:p>
            <w:pPr>
              <w:spacing w:line="360" w:lineRule="auto"/>
              <w:jc w:val="center"/>
              <w:rPr>
                <w:rFonts w:ascii="宋体" w:hAnsi="宋体"/>
                <w:sz w:val="24"/>
              </w:rPr>
            </w:pPr>
            <w:r>
              <w:rPr>
                <w:rFonts w:ascii="宋体" w:hAnsi="宋体"/>
                <w:sz w:val="24"/>
              </w:rPr>
              <w:t>招标范围</w:t>
            </w:r>
          </w:p>
        </w:tc>
        <w:tc>
          <w:tcPr>
            <w:tcW w:w="6268" w:type="dxa"/>
            <w:noWrap w:val="0"/>
            <w:vAlign w:val="center"/>
          </w:tcPr>
          <w:p>
            <w:pPr>
              <w:spacing w:line="360" w:lineRule="auto"/>
              <w:rPr>
                <w:rFonts w:ascii="宋体" w:hAnsi="宋体"/>
                <w:sz w:val="24"/>
              </w:rPr>
            </w:pPr>
            <w:r>
              <w:rPr>
                <w:rFonts w:hint="eastAsia" w:ascii="宋体" w:hAnsi="宋体"/>
                <w:sz w:val="24"/>
              </w:rPr>
              <w:t>招标文件、工程量清单、施工图纸、答疑纪要和补充文件（如有）范围内的所有建设内容。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1.3.2</w:t>
            </w:r>
          </w:p>
        </w:tc>
        <w:tc>
          <w:tcPr>
            <w:tcW w:w="2520" w:type="dxa"/>
            <w:noWrap w:val="0"/>
            <w:vAlign w:val="center"/>
          </w:tcPr>
          <w:p>
            <w:pPr>
              <w:spacing w:line="360" w:lineRule="auto"/>
              <w:jc w:val="center"/>
              <w:rPr>
                <w:rFonts w:ascii="宋体" w:hAnsi="宋体"/>
                <w:sz w:val="24"/>
              </w:rPr>
            </w:pPr>
            <w:r>
              <w:rPr>
                <w:rFonts w:ascii="宋体" w:hAnsi="宋体"/>
                <w:sz w:val="24"/>
              </w:rPr>
              <w:t>计划工期</w:t>
            </w:r>
          </w:p>
        </w:tc>
        <w:tc>
          <w:tcPr>
            <w:tcW w:w="6268" w:type="dxa"/>
            <w:noWrap w:val="0"/>
            <w:vAlign w:val="center"/>
          </w:tcPr>
          <w:p>
            <w:pPr>
              <w:spacing w:line="360" w:lineRule="auto"/>
              <w:rPr>
                <w:rFonts w:hint="eastAsia" w:ascii="宋体" w:hAnsi="宋体"/>
                <w:sz w:val="24"/>
                <w:lang w:bidi="zh-CN"/>
              </w:rPr>
            </w:pPr>
            <w:r>
              <w:rPr>
                <w:rFonts w:hint="eastAsia" w:ascii="宋体" w:hAnsi="宋体"/>
                <w:sz w:val="24"/>
                <w:lang w:bidi="zh-CN"/>
              </w:rPr>
              <w:t>3</w:t>
            </w:r>
            <w:r>
              <w:rPr>
                <w:rFonts w:ascii="宋体" w:hAnsi="宋体"/>
                <w:sz w:val="24"/>
                <w:lang w:bidi="zh-CN"/>
              </w:rPr>
              <w:t>65</w:t>
            </w:r>
            <w:r>
              <w:rPr>
                <w:rFonts w:hint="eastAsia" w:ascii="宋体" w:hAnsi="宋体"/>
                <w:sz w:val="24"/>
                <w:lang w:bidi="zh-CN"/>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1.3.3</w:t>
            </w:r>
          </w:p>
        </w:tc>
        <w:tc>
          <w:tcPr>
            <w:tcW w:w="2520" w:type="dxa"/>
            <w:noWrap w:val="0"/>
            <w:vAlign w:val="center"/>
          </w:tcPr>
          <w:p>
            <w:pPr>
              <w:spacing w:line="360" w:lineRule="auto"/>
              <w:jc w:val="center"/>
              <w:rPr>
                <w:rFonts w:ascii="宋体" w:hAnsi="宋体"/>
                <w:sz w:val="24"/>
              </w:rPr>
            </w:pPr>
            <w:r>
              <w:rPr>
                <w:rFonts w:ascii="宋体" w:hAnsi="宋体"/>
                <w:sz w:val="24"/>
              </w:rPr>
              <w:t>质量</w:t>
            </w:r>
            <w:r>
              <w:rPr>
                <w:rFonts w:hint="eastAsia" w:ascii="宋体" w:hAnsi="宋体"/>
                <w:sz w:val="24"/>
              </w:rPr>
              <w:t>要求</w:t>
            </w:r>
          </w:p>
        </w:tc>
        <w:tc>
          <w:tcPr>
            <w:tcW w:w="6268" w:type="dxa"/>
            <w:noWrap w:val="0"/>
            <w:vAlign w:val="center"/>
          </w:tcPr>
          <w:p>
            <w:pPr>
              <w:spacing w:line="360" w:lineRule="auto"/>
              <w:rPr>
                <w:rFonts w:hint="eastAsia" w:ascii="宋体" w:hAnsi="宋体"/>
                <w:sz w:val="24"/>
              </w:rPr>
            </w:pPr>
            <w:r>
              <w:rPr>
                <w:rFonts w:hint="eastAsia" w:ascii="宋体" w:hAnsi="宋体"/>
                <w:sz w:val="24"/>
              </w:rPr>
              <w:t>合格（符合国家现行的验收规范和标准）。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1.4.1</w:t>
            </w:r>
          </w:p>
        </w:tc>
        <w:tc>
          <w:tcPr>
            <w:tcW w:w="2520" w:type="dxa"/>
            <w:noWrap w:val="0"/>
            <w:vAlign w:val="center"/>
          </w:tcPr>
          <w:p>
            <w:pPr>
              <w:spacing w:line="360" w:lineRule="auto"/>
              <w:jc w:val="center"/>
              <w:rPr>
                <w:rFonts w:hint="eastAsia" w:ascii="宋体" w:hAnsi="宋体"/>
                <w:sz w:val="24"/>
              </w:rPr>
            </w:pPr>
            <w:r>
              <w:rPr>
                <w:rFonts w:ascii="宋体" w:hAnsi="宋体"/>
                <w:sz w:val="24"/>
              </w:rPr>
              <w:t>投标人</w:t>
            </w:r>
            <w:r>
              <w:rPr>
                <w:rFonts w:hint="eastAsia" w:ascii="宋体" w:hAnsi="宋体"/>
                <w:sz w:val="24"/>
              </w:rPr>
              <w:t>资格要求</w:t>
            </w:r>
          </w:p>
        </w:tc>
        <w:tc>
          <w:tcPr>
            <w:tcW w:w="6268" w:type="dxa"/>
            <w:noWrap w:val="0"/>
            <w:vAlign w:val="center"/>
          </w:tcPr>
          <w:p>
            <w:pPr>
              <w:spacing w:line="360" w:lineRule="auto"/>
              <w:rPr>
                <w:rFonts w:ascii="宋体" w:hAnsi="宋体"/>
                <w:sz w:val="24"/>
              </w:rPr>
            </w:pPr>
            <w:r>
              <w:rPr>
                <w:rFonts w:hint="eastAsia" w:ascii="宋体" w:hAnsi="宋体"/>
                <w:sz w:val="24"/>
              </w:rPr>
              <w:t>1.</w:t>
            </w:r>
            <w:r>
              <w:rPr>
                <w:rFonts w:ascii="宋体" w:hAnsi="宋体"/>
                <w:sz w:val="24"/>
              </w:rPr>
              <w:t>投标人须具备独立的法人资格，并具有</w:t>
            </w:r>
            <w:r>
              <w:rPr>
                <w:rFonts w:hint="eastAsia" w:ascii="宋体" w:hAnsi="宋体"/>
                <w:sz w:val="24"/>
              </w:rPr>
              <w:t>建筑</w:t>
            </w:r>
            <w:r>
              <w:rPr>
                <w:rFonts w:ascii="宋体" w:hAnsi="宋体"/>
                <w:sz w:val="24"/>
              </w:rPr>
              <w:t>工程</w:t>
            </w:r>
            <w:r>
              <w:rPr>
                <w:rFonts w:hint="eastAsia" w:ascii="宋体" w:hAnsi="宋体"/>
                <w:sz w:val="24"/>
              </w:rPr>
              <w:t>施工总承包</w:t>
            </w:r>
            <w:r>
              <w:rPr>
                <w:rFonts w:hint="eastAsia" w:ascii="宋体" w:hAnsi="宋体"/>
                <w:sz w:val="24"/>
                <w:lang w:val="en-US" w:eastAsia="zh-CN"/>
              </w:rPr>
              <w:t>贰</w:t>
            </w:r>
            <w:r>
              <w:rPr>
                <w:rFonts w:ascii="宋体" w:hAnsi="宋体"/>
                <w:sz w:val="24"/>
              </w:rPr>
              <w:t>级及以上企业资质，具有有效的安全生产许可证，并在人员、设备、资金等方面具有相应的施工能力。</w:t>
            </w:r>
          </w:p>
          <w:p>
            <w:pPr>
              <w:spacing w:line="360" w:lineRule="auto"/>
              <w:rPr>
                <w:rFonts w:hint="eastAsia" w:ascii="宋体" w:hAnsi="宋体"/>
                <w:sz w:val="24"/>
              </w:rPr>
            </w:pPr>
            <w:r>
              <w:rPr>
                <w:rFonts w:hint="eastAsia" w:ascii="宋体" w:hAnsi="宋体"/>
                <w:sz w:val="24"/>
              </w:rPr>
              <w:t>2.</w:t>
            </w:r>
            <w:r>
              <w:rPr>
                <w:rFonts w:ascii="宋体" w:hAnsi="宋体"/>
                <w:sz w:val="24"/>
              </w:rPr>
              <w:t>人员要求：</w:t>
            </w:r>
            <w:r>
              <w:rPr>
                <w:rFonts w:hint="eastAsia" w:ascii="宋体" w:hAnsi="宋体"/>
                <w:sz w:val="24"/>
              </w:rPr>
              <w:t>拟派项目经理须具备壹级建筑工程专业注册建造师执业资格和有效的安全生产考核合格证，且未担任其它在建工程的项目经理</w:t>
            </w:r>
            <w:r>
              <w:rPr>
                <w:rFonts w:hint="eastAsia" w:ascii="宋体" w:hAnsi="宋体"/>
                <w:sz w:val="24"/>
                <w:lang w:val="en-US" w:eastAsia="zh-CN"/>
              </w:rPr>
              <w:t xml:space="preserve">  </w:t>
            </w:r>
            <w:r>
              <w:rPr>
                <w:rFonts w:hint="eastAsia" w:ascii="宋体" w:hAnsi="宋体"/>
                <w:sz w:val="24"/>
              </w:rPr>
              <w:t>；</w:t>
            </w:r>
          </w:p>
          <w:p>
            <w:pPr>
              <w:spacing w:line="360" w:lineRule="auto"/>
              <w:rPr>
                <w:rFonts w:ascii="宋体" w:hAnsi="宋体"/>
                <w:sz w:val="24"/>
              </w:rPr>
            </w:pPr>
            <w:r>
              <w:rPr>
                <w:rFonts w:hint="eastAsia" w:ascii="宋体" w:hAnsi="宋体"/>
                <w:sz w:val="24"/>
              </w:rPr>
              <w:t>3.投标人未被列入“信用中国”网站（www.creditchina.gov.cn）失信被执行人、重大税收违法案件当事人名单；以及未被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spacing w:line="360" w:lineRule="auto"/>
              <w:rPr>
                <w:rFonts w:ascii="宋体" w:hAnsi="宋体"/>
                <w:sz w:val="24"/>
              </w:rPr>
            </w:pPr>
            <w:r>
              <w:rPr>
                <w:rFonts w:hint="eastAsia" w:ascii="宋体" w:hAnsi="宋体"/>
                <w:sz w:val="24"/>
              </w:rPr>
              <w:t>4.本次招标不接受联合体投标。</w:t>
            </w:r>
          </w:p>
          <w:p>
            <w:pPr>
              <w:spacing w:line="360" w:lineRule="auto"/>
              <w:rPr>
                <w:rFonts w:hint="eastAsia" w:ascii="宋体" w:hAnsi="宋体"/>
                <w:sz w:val="24"/>
              </w:rPr>
            </w:pPr>
            <w:r>
              <w:rPr>
                <w:rFonts w:hint="eastAsia" w:ascii="宋体" w:hAnsi="宋体"/>
                <w:sz w:val="24"/>
              </w:rPr>
              <w:t>5.本次招标实行资格后审。</w:t>
            </w:r>
          </w:p>
          <w:p>
            <w:pPr>
              <w:spacing w:line="360" w:lineRule="auto"/>
              <w:rPr>
                <w:rFonts w:hAnsi="宋体" w:cs="宋体"/>
                <w:b/>
                <w:sz w:val="24"/>
              </w:rPr>
            </w:pPr>
            <w:r>
              <w:rPr>
                <w:rFonts w:hint="eastAsia" w:hAnsi="宋体" w:cs="宋体"/>
                <w:b/>
                <w:sz w:val="24"/>
              </w:rPr>
              <w:t>备注：</w:t>
            </w:r>
          </w:p>
          <w:p>
            <w:pPr>
              <w:spacing w:line="360" w:lineRule="auto"/>
              <w:rPr>
                <w:rFonts w:hint="eastAsia"/>
              </w:rPr>
            </w:pPr>
            <w:r>
              <w:rPr>
                <w:rFonts w:hint="eastAsia" w:hAnsi="宋体" w:cs="宋体"/>
                <w:b/>
                <w:sz w:val="24"/>
              </w:rPr>
              <w:t>招标项目开标结束后、评标开始前，招标人（或招标代理机构）对投标人信用记录进行现场查询，并将查询结果随项目开标资料一并送入评标室，由专家进行评判。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1.4.2</w:t>
            </w:r>
          </w:p>
        </w:tc>
        <w:tc>
          <w:tcPr>
            <w:tcW w:w="2520" w:type="dxa"/>
            <w:noWrap w:val="0"/>
            <w:vAlign w:val="center"/>
          </w:tcPr>
          <w:p>
            <w:pPr>
              <w:spacing w:line="360" w:lineRule="auto"/>
              <w:jc w:val="center"/>
              <w:rPr>
                <w:rFonts w:ascii="宋体" w:hAnsi="宋体"/>
                <w:sz w:val="24"/>
              </w:rPr>
            </w:pPr>
            <w:r>
              <w:rPr>
                <w:rFonts w:ascii="宋体" w:hAnsi="宋体"/>
                <w:sz w:val="24"/>
              </w:rPr>
              <w:t>是否接受联合体投标</w:t>
            </w:r>
          </w:p>
        </w:tc>
        <w:tc>
          <w:tcPr>
            <w:tcW w:w="6268" w:type="dxa"/>
            <w:noWrap w:val="0"/>
            <w:vAlign w:val="center"/>
          </w:tcPr>
          <w:p>
            <w:pPr>
              <w:spacing w:line="360" w:lineRule="auto"/>
              <w:rPr>
                <w:rFonts w:ascii="宋体" w:hAnsi="宋体"/>
                <w:sz w:val="24"/>
              </w:rPr>
            </w:pPr>
            <w:r>
              <w:rPr>
                <w:rFonts w:hint="eastAsia" w:ascii="宋体" w:hAnsi="宋体"/>
                <w:sz w:val="24"/>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9</w:t>
            </w:r>
            <w:r>
              <w:rPr>
                <w:rFonts w:ascii="宋体" w:hAnsi="宋体"/>
                <w:sz w:val="24"/>
              </w:rPr>
              <w:t>.1</w:t>
            </w:r>
          </w:p>
        </w:tc>
        <w:tc>
          <w:tcPr>
            <w:tcW w:w="2520" w:type="dxa"/>
            <w:noWrap w:val="0"/>
            <w:vAlign w:val="center"/>
          </w:tcPr>
          <w:p>
            <w:pPr>
              <w:spacing w:line="360" w:lineRule="auto"/>
              <w:jc w:val="center"/>
              <w:rPr>
                <w:rFonts w:ascii="宋体" w:hAnsi="宋体"/>
                <w:sz w:val="24"/>
              </w:rPr>
            </w:pPr>
            <w:r>
              <w:rPr>
                <w:rFonts w:ascii="宋体" w:hAnsi="宋体"/>
                <w:sz w:val="24"/>
              </w:rPr>
              <w:t>踏勘</w:t>
            </w:r>
          </w:p>
        </w:tc>
        <w:tc>
          <w:tcPr>
            <w:tcW w:w="6268" w:type="dxa"/>
            <w:noWrap w:val="0"/>
            <w:vAlign w:val="center"/>
          </w:tcPr>
          <w:p>
            <w:pPr>
              <w:spacing w:line="360" w:lineRule="auto"/>
              <w:rPr>
                <w:rFonts w:ascii="宋体" w:hAnsi="宋体"/>
                <w:sz w:val="24"/>
              </w:rPr>
            </w:pPr>
            <w:r>
              <w:rPr>
                <w:rFonts w:hint="eastAsia" w:ascii="宋体" w:hAnsi="宋体"/>
                <w:sz w:val="24"/>
              </w:rPr>
              <w:fldChar w:fldCharType="begin"/>
            </w:r>
            <w:r>
              <w:rPr>
                <w:rFonts w:hint="eastAsia" w:ascii="宋体" w:hAnsi="宋体"/>
                <w:sz w:val="24"/>
              </w:rPr>
              <w:instrText xml:space="preserve"> eq \o\ac(□,√)</w:instrText>
            </w:r>
            <w:r>
              <w:rPr>
                <w:rFonts w:hint="eastAsia" w:ascii="宋体" w:hAnsi="宋体"/>
                <w:sz w:val="24"/>
              </w:rPr>
              <w:fldChar w:fldCharType="end"/>
            </w:r>
            <w:r>
              <w:rPr>
                <w:rFonts w:hint="eastAsia" w:ascii="宋体" w:hAnsi="宋体"/>
                <w:sz w:val="24"/>
              </w:rPr>
              <w:t>不组织：如需要，投标人可自行踏勘现场。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1.10.1</w:t>
            </w:r>
          </w:p>
        </w:tc>
        <w:tc>
          <w:tcPr>
            <w:tcW w:w="2520" w:type="dxa"/>
            <w:noWrap w:val="0"/>
            <w:vAlign w:val="center"/>
          </w:tcPr>
          <w:p>
            <w:pPr>
              <w:spacing w:line="360" w:lineRule="auto"/>
              <w:jc w:val="center"/>
              <w:rPr>
                <w:rFonts w:ascii="宋体" w:hAnsi="宋体"/>
                <w:sz w:val="24"/>
              </w:rPr>
            </w:pPr>
            <w:r>
              <w:rPr>
                <w:rFonts w:ascii="宋体" w:hAnsi="宋体"/>
                <w:sz w:val="24"/>
              </w:rPr>
              <w:t>投标预备会</w:t>
            </w:r>
          </w:p>
        </w:tc>
        <w:tc>
          <w:tcPr>
            <w:tcW w:w="6268" w:type="dxa"/>
            <w:noWrap w:val="0"/>
            <w:vAlign w:val="center"/>
          </w:tcPr>
          <w:p>
            <w:pPr>
              <w:pStyle w:val="9"/>
              <w:topLinePunct/>
              <w:spacing w:line="360" w:lineRule="auto"/>
              <w:rPr>
                <w:rFonts w:hAnsi="宋体"/>
                <w:szCs w:val="24"/>
              </w:rPr>
            </w:pPr>
            <w:r>
              <w:rPr>
                <w:rFonts w:hint="eastAsia" w:hAnsi="宋体"/>
                <w:szCs w:val="24"/>
              </w:rPr>
              <w:fldChar w:fldCharType="begin"/>
            </w:r>
            <w:r>
              <w:rPr>
                <w:rFonts w:hint="eastAsia" w:hAnsi="宋体"/>
                <w:szCs w:val="24"/>
              </w:rPr>
              <w:instrText xml:space="preserve"> eq \o\ac(□,√)</w:instrText>
            </w:r>
            <w:r>
              <w:rPr>
                <w:rFonts w:hint="eastAsia" w:hAnsi="宋体"/>
                <w:szCs w:val="24"/>
              </w:rPr>
              <w:fldChar w:fldCharType="end"/>
            </w:r>
            <w:r>
              <w:rPr>
                <w:rFonts w:hint="eastAsia" w:hAnsi="宋体"/>
                <w:szCs w:val="24"/>
              </w:rPr>
              <w:t>不</w:t>
            </w:r>
            <w:r>
              <w:rPr>
                <w:rFonts w:hAnsi="宋体"/>
                <w:szCs w:val="24"/>
              </w:rPr>
              <w:t>召开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1.10.2</w:t>
            </w:r>
          </w:p>
        </w:tc>
        <w:tc>
          <w:tcPr>
            <w:tcW w:w="2520" w:type="dxa"/>
            <w:noWrap w:val="0"/>
            <w:vAlign w:val="center"/>
          </w:tcPr>
          <w:p>
            <w:pPr>
              <w:spacing w:line="360" w:lineRule="auto"/>
              <w:jc w:val="center"/>
              <w:rPr>
                <w:rFonts w:ascii="宋体" w:hAnsi="宋体"/>
                <w:sz w:val="24"/>
              </w:rPr>
            </w:pPr>
            <w:r>
              <w:rPr>
                <w:rFonts w:ascii="宋体" w:hAnsi="宋体"/>
                <w:sz w:val="24"/>
              </w:rPr>
              <w:t>投标人提出问题的截止时间</w:t>
            </w:r>
          </w:p>
        </w:tc>
        <w:tc>
          <w:tcPr>
            <w:tcW w:w="6268" w:type="dxa"/>
            <w:noWrap w:val="0"/>
            <w:vAlign w:val="center"/>
          </w:tcPr>
          <w:p>
            <w:pPr>
              <w:spacing w:line="360" w:lineRule="auto"/>
              <w:rPr>
                <w:rFonts w:ascii="宋体" w:hAnsi="宋体"/>
                <w:sz w:val="24"/>
              </w:rPr>
            </w:pPr>
            <w:r>
              <w:rPr>
                <w:rFonts w:hint="eastAsia" w:ascii="宋体" w:hAnsi="宋体"/>
                <w:sz w:val="24"/>
              </w:rPr>
              <w:t>递交投标文件的截止之日10日前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1.10.3</w:t>
            </w:r>
          </w:p>
        </w:tc>
        <w:tc>
          <w:tcPr>
            <w:tcW w:w="2520" w:type="dxa"/>
            <w:noWrap w:val="0"/>
            <w:vAlign w:val="center"/>
          </w:tcPr>
          <w:p>
            <w:pPr>
              <w:spacing w:line="360" w:lineRule="auto"/>
              <w:jc w:val="center"/>
              <w:rPr>
                <w:rFonts w:ascii="宋体" w:hAnsi="宋体"/>
                <w:sz w:val="24"/>
              </w:rPr>
            </w:pPr>
            <w:r>
              <w:rPr>
                <w:rFonts w:ascii="宋体" w:hAnsi="宋体"/>
                <w:sz w:val="24"/>
              </w:rPr>
              <w:t>招标人澄清的时间</w:t>
            </w:r>
          </w:p>
        </w:tc>
        <w:tc>
          <w:tcPr>
            <w:tcW w:w="6268" w:type="dxa"/>
            <w:noWrap w:val="0"/>
            <w:vAlign w:val="center"/>
          </w:tcPr>
          <w:p>
            <w:pPr>
              <w:spacing w:line="360" w:lineRule="auto"/>
              <w:rPr>
                <w:rFonts w:ascii="宋体" w:hAnsi="宋体"/>
                <w:sz w:val="24"/>
              </w:rPr>
            </w:pPr>
            <w:r>
              <w:rPr>
                <w:rFonts w:hint="eastAsia" w:ascii="宋体" w:hAnsi="宋体"/>
                <w:sz w:val="24"/>
              </w:rPr>
              <w:t>递交投标文件的截止之日15日前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1.11</w:t>
            </w:r>
          </w:p>
        </w:tc>
        <w:tc>
          <w:tcPr>
            <w:tcW w:w="2520" w:type="dxa"/>
            <w:noWrap w:val="0"/>
            <w:vAlign w:val="center"/>
          </w:tcPr>
          <w:p>
            <w:pPr>
              <w:spacing w:line="360" w:lineRule="auto"/>
              <w:jc w:val="center"/>
              <w:rPr>
                <w:rFonts w:hint="eastAsia" w:ascii="宋体" w:hAnsi="宋体"/>
                <w:sz w:val="24"/>
              </w:rPr>
            </w:pPr>
            <w:r>
              <w:rPr>
                <w:rFonts w:hint="eastAsia" w:ascii="宋体" w:hAnsi="宋体"/>
                <w:sz w:val="24"/>
              </w:rPr>
              <w:t>分包</w:t>
            </w:r>
          </w:p>
        </w:tc>
        <w:tc>
          <w:tcPr>
            <w:tcW w:w="6268" w:type="dxa"/>
            <w:noWrap w:val="0"/>
            <w:vAlign w:val="center"/>
          </w:tcPr>
          <w:p>
            <w:pPr>
              <w:spacing w:line="360" w:lineRule="auto"/>
              <w:rPr>
                <w:rFonts w:ascii="宋体" w:hAnsi="宋体"/>
                <w:sz w:val="24"/>
              </w:rPr>
            </w:pPr>
            <w:r>
              <w:rPr>
                <w:rFonts w:hint="eastAsia" w:ascii="宋体" w:hAnsi="宋体"/>
                <w:sz w:val="24"/>
              </w:rPr>
              <w:fldChar w:fldCharType="begin"/>
            </w:r>
            <w:r>
              <w:rPr>
                <w:rFonts w:hint="eastAsia" w:ascii="宋体" w:hAnsi="宋体"/>
                <w:sz w:val="24"/>
              </w:rPr>
              <w:instrText xml:space="preserve"> eq \o\ac(□,√)</w:instrText>
            </w:r>
            <w:r>
              <w:rPr>
                <w:rFonts w:hint="eastAsia" w:ascii="宋体" w:hAnsi="宋体"/>
                <w:sz w:val="24"/>
              </w:rPr>
              <w:fldChar w:fldCharType="end"/>
            </w:r>
            <w:r>
              <w:rPr>
                <w:rFonts w:hint="eastAsia" w:ascii="宋体" w:hAnsi="宋体"/>
                <w:sz w:val="24"/>
              </w:rPr>
              <w:t>不允许违法分包</w:t>
            </w:r>
            <w:r>
              <w:rPr>
                <w:rFonts w:hint="eastAsia" w:ascii="宋体" w:hAnsi="宋体" w:cs="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hint="eastAsia" w:ascii="宋体" w:hAnsi="宋体"/>
                <w:sz w:val="24"/>
              </w:rPr>
              <w:t>1.12</w:t>
            </w:r>
          </w:p>
        </w:tc>
        <w:tc>
          <w:tcPr>
            <w:tcW w:w="2520" w:type="dxa"/>
            <w:noWrap w:val="0"/>
            <w:vAlign w:val="center"/>
          </w:tcPr>
          <w:p>
            <w:pPr>
              <w:spacing w:line="360" w:lineRule="auto"/>
              <w:jc w:val="center"/>
              <w:rPr>
                <w:rFonts w:ascii="宋体" w:hAnsi="宋体"/>
                <w:sz w:val="24"/>
              </w:rPr>
            </w:pPr>
            <w:r>
              <w:rPr>
                <w:rFonts w:hint="eastAsia" w:ascii="宋体" w:hAnsi="宋体"/>
                <w:sz w:val="24"/>
              </w:rPr>
              <w:t>偏离</w:t>
            </w:r>
          </w:p>
        </w:tc>
        <w:tc>
          <w:tcPr>
            <w:tcW w:w="6268" w:type="dxa"/>
            <w:noWrap w:val="0"/>
            <w:vAlign w:val="center"/>
          </w:tcPr>
          <w:p>
            <w:pPr>
              <w:pStyle w:val="9"/>
              <w:topLinePunct/>
              <w:spacing w:line="360" w:lineRule="auto"/>
              <w:rPr>
                <w:rFonts w:hAnsi="宋体"/>
                <w:szCs w:val="24"/>
              </w:rPr>
            </w:pPr>
            <w:r>
              <w:rPr>
                <w:rFonts w:hint="eastAsia" w:hAnsi="宋体"/>
              </w:rPr>
              <w:fldChar w:fldCharType="begin"/>
            </w:r>
            <w:r>
              <w:rPr>
                <w:rFonts w:hint="eastAsia" w:hAnsi="宋体"/>
              </w:rPr>
              <w:instrText xml:space="preserve"> eq \o\ac(□,√)</w:instrText>
            </w:r>
            <w:r>
              <w:rPr>
                <w:rFonts w:hint="eastAsia" w:hAnsi="宋体"/>
              </w:rPr>
              <w:fldChar w:fldCharType="end"/>
            </w:r>
            <w:r>
              <w:rPr>
                <w:rFonts w:hint="eastAsia" w:hAnsi="宋体"/>
                <w:szCs w:val="24"/>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2.1</w:t>
            </w:r>
          </w:p>
        </w:tc>
        <w:tc>
          <w:tcPr>
            <w:tcW w:w="2520" w:type="dxa"/>
            <w:noWrap w:val="0"/>
            <w:vAlign w:val="center"/>
          </w:tcPr>
          <w:p>
            <w:pPr>
              <w:autoSpaceDE w:val="0"/>
              <w:autoSpaceDN w:val="0"/>
              <w:adjustRightInd w:val="0"/>
              <w:spacing w:line="440" w:lineRule="exact"/>
              <w:jc w:val="center"/>
              <w:rPr>
                <w:rFonts w:hint="eastAsia" w:hAnsi="宋体" w:cs="宋体"/>
                <w:sz w:val="24"/>
                <w:szCs w:val="22"/>
              </w:rPr>
            </w:pPr>
            <w:r>
              <w:rPr>
                <w:rFonts w:hint="eastAsia" w:hAnsi="宋体" w:cs="宋体"/>
                <w:sz w:val="24"/>
                <w:szCs w:val="22"/>
              </w:rPr>
              <w:t>招标文件及图纸的</w:t>
            </w:r>
          </w:p>
          <w:p>
            <w:pPr>
              <w:spacing w:line="360" w:lineRule="auto"/>
              <w:jc w:val="center"/>
              <w:rPr>
                <w:rFonts w:ascii="宋体" w:hAnsi="宋体"/>
                <w:sz w:val="24"/>
              </w:rPr>
            </w:pPr>
            <w:r>
              <w:rPr>
                <w:rFonts w:hint="eastAsia" w:hAnsi="宋体" w:cs="宋体"/>
                <w:sz w:val="24"/>
                <w:szCs w:val="22"/>
              </w:rPr>
              <w:t>获取</w:t>
            </w:r>
          </w:p>
        </w:tc>
        <w:tc>
          <w:tcPr>
            <w:tcW w:w="6268" w:type="dxa"/>
            <w:noWrap w:val="0"/>
            <w:vAlign w:val="top"/>
          </w:tcPr>
          <w:p>
            <w:pPr>
              <w:spacing w:line="360" w:lineRule="auto"/>
              <w:rPr>
                <w:rFonts w:ascii="宋体" w:hAnsi="宋体"/>
                <w:sz w:val="24"/>
              </w:rPr>
            </w:pPr>
            <w:r>
              <w:rPr>
                <w:rFonts w:hint="eastAsia" w:ascii="宋体" w:hAnsi="宋体" w:cs="宋体"/>
                <w:sz w:val="24"/>
                <w:szCs w:val="22"/>
              </w:rPr>
              <w:t>招标文件和工程量清单及图纸的获取：投标人于</w:t>
            </w:r>
            <w:r>
              <w:rPr>
                <w:rFonts w:hint="eastAsia" w:ascii="宋体" w:hAnsi="宋体" w:cs="宋体"/>
                <w:sz w:val="24"/>
                <w:szCs w:val="22"/>
                <w:lang w:val="zh-CN"/>
              </w:rPr>
              <w:t>电子介质存储的</w:t>
            </w:r>
            <w:r>
              <w:rPr>
                <w:rFonts w:hint="eastAsia" w:ascii="宋体" w:hAnsi="宋体" w:cs="宋体"/>
                <w:sz w:val="24"/>
                <w:szCs w:val="22"/>
              </w:rPr>
              <w:t>投标文件递交截止时间前均可登录《全国公共资源交易平台（河南省·许昌市）》（http://ggzy.xuchang.gov.cn:8088/ggzy/），通过“投标人/供应商登录”入口自行下载。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ascii="宋体" w:hAnsi="宋体"/>
                <w:sz w:val="24"/>
              </w:rPr>
              <w:t>2.1.2</w:t>
            </w:r>
          </w:p>
        </w:tc>
        <w:tc>
          <w:tcPr>
            <w:tcW w:w="2520" w:type="dxa"/>
            <w:noWrap w:val="0"/>
            <w:vAlign w:val="center"/>
          </w:tcPr>
          <w:p>
            <w:pPr>
              <w:autoSpaceDE w:val="0"/>
              <w:autoSpaceDN w:val="0"/>
              <w:adjustRightInd w:val="0"/>
              <w:spacing w:line="440" w:lineRule="exact"/>
              <w:jc w:val="center"/>
              <w:rPr>
                <w:rFonts w:hint="eastAsia" w:hAnsi="宋体" w:cs="宋体"/>
                <w:sz w:val="24"/>
                <w:szCs w:val="22"/>
              </w:rPr>
            </w:pPr>
            <w:r>
              <w:rPr>
                <w:rFonts w:hint="eastAsia" w:hAnsi="宋体" w:cs="宋体"/>
                <w:sz w:val="24"/>
              </w:rPr>
              <w:t>构成招标文件的其他材料</w:t>
            </w:r>
          </w:p>
        </w:tc>
        <w:tc>
          <w:tcPr>
            <w:tcW w:w="6268" w:type="dxa"/>
            <w:noWrap w:val="0"/>
            <w:vAlign w:val="center"/>
          </w:tcPr>
          <w:p>
            <w:pPr>
              <w:spacing w:line="360" w:lineRule="auto"/>
              <w:rPr>
                <w:rFonts w:hint="eastAsia" w:ascii="宋体" w:hAnsi="宋体" w:cs="宋体"/>
                <w:sz w:val="24"/>
                <w:szCs w:val="22"/>
              </w:rPr>
            </w:pPr>
            <w:r>
              <w:rPr>
                <w:rFonts w:hint="eastAsia" w:ascii="宋体" w:hAnsi="宋体" w:cs="宋体"/>
                <w:sz w:val="24"/>
              </w:rPr>
              <w:t>图纸答疑，经备案的招标文件补充和修改文件（如有）。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2.2.1</w:t>
            </w:r>
          </w:p>
        </w:tc>
        <w:tc>
          <w:tcPr>
            <w:tcW w:w="2520" w:type="dxa"/>
            <w:noWrap w:val="0"/>
            <w:vAlign w:val="center"/>
          </w:tcPr>
          <w:p>
            <w:pPr>
              <w:autoSpaceDE w:val="0"/>
              <w:autoSpaceDN w:val="0"/>
              <w:adjustRightInd w:val="0"/>
              <w:spacing w:line="440" w:lineRule="exact"/>
              <w:jc w:val="center"/>
              <w:rPr>
                <w:rFonts w:hint="eastAsia" w:hAnsi="宋体" w:cs="宋体"/>
                <w:sz w:val="24"/>
              </w:rPr>
            </w:pPr>
            <w:r>
              <w:rPr>
                <w:rFonts w:hint="eastAsia" w:hAnsi="宋体" w:cs="宋体"/>
                <w:sz w:val="24"/>
              </w:rPr>
              <w:t>投标人要求澄清</w:t>
            </w:r>
          </w:p>
          <w:p>
            <w:pPr>
              <w:spacing w:line="360" w:lineRule="auto"/>
              <w:jc w:val="center"/>
              <w:rPr>
                <w:rFonts w:ascii="宋体" w:hAnsi="宋体"/>
                <w:sz w:val="24"/>
              </w:rPr>
            </w:pPr>
            <w:r>
              <w:rPr>
                <w:rFonts w:hint="eastAsia" w:hAnsi="宋体" w:cs="宋体"/>
                <w:sz w:val="24"/>
              </w:rPr>
              <w:t>招标文件的截止时间</w:t>
            </w:r>
          </w:p>
        </w:tc>
        <w:tc>
          <w:tcPr>
            <w:tcW w:w="6268" w:type="dxa"/>
            <w:noWrap w:val="0"/>
            <w:vAlign w:val="center"/>
          </w:tcPr>
          <w:p>
            <w:pPr>
              <w:spacing w:line="360" w:lineRule="auto"/>
              <w:rPr>
                <w:rFonts w:ascii="宋体" w:hAnsi="宋体"/>
                <w:sz w:val="24"/>
              </w:rPr>
            </w:pPr>
            <w:r>
              <w:rPr>
                <w:rFonts w:hint="eastAsia" w:ascii="宋体" w:hAnsi="宋体" w:cs="宋体"/>
                <w:sz w:val="24"/>
              </w:rPr>
              <w:t>潜在投标人或者其他利害关系人对招标文件有异议的，应当在投标截止时间10日前提出。招标人应当自收到异议之日起3日内作出答复。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hint="eastAsia" w:ascii="宋体" w:hAnsi="宋体"/>
                <w:sz w:val="24"/>
              </w:rPr>
              <w:t>2.2.2</w:t>
            </w:r>
          </w:p>
        </w:tc>
        <w:tc>
          <w:tcPr>
            <w:tcW w:w="2520" w:type="dxa"/>
            <w:noWrap w:val="0"/>
            <w:vAlign w:val="center"/>
          </w:tcPr>
          <w:p>
            <w:pPr>
              <w:spacing w:line="360" w:lineRule="auto"/>
              <w:jc w:val="center"/>
              <w:rPr>
                <w:rFonts w:ascii="宋体" w:hAnsi="宋体"/>
                <w:sz w:val="24"/>
              </w:rPr>
            </w:pPr>
            <w:r>
              <w:rPr>
                <w:rFonts w:hint="eastAsia" w:ascii="宋体" w:hAnsi="宋体" w:cs="宋体"/>
                <w:sz w:val="24"/>
              </w:rPr>
              <w:t>投标截止时间</w:t>
            </w:r>
          </w:p>
        </w:tc>
        <w:tc>
          <w:tcPr>
            <w:tcW w:w="6268" w:type="dxa"/>
            <w:noWrap w:val="0"/>
            <w:vAlign w:val="top"/>
          </w:tcPr>
          <w:p>
            <w:pPr>
              <w:spacing w:line="360" w:lineRule="auto"/>
              <w:rPr>
                <w:rFonts w:ascii="宋体" w:hAnsi="宋体"/>
                <w:sz w:val="24"/>
              </w:rPr>
            </w:pPr>
            <w:r>
              <w:rPr>
                <w:rFonts w:hint="eastAsia" w:ascii="宋体" w:hAnsi="宋体" w:cs="宋体"/>
                <w:sz w:val="24"/>
              </w:rPr>
              <w:t>2020年</w:t>
            </w:r>
            <w:r>
              <w:rPr>
                <w:rFonts w:hint="eastAsia" w:ascii="宋体" w:hAnsi="宋体" w:cs="宋体"/>
                <w:sz w:val="24"/>
                <w:lang w:val="en-US" w:eastAsia="zh-CN"/>
              </w:rPr>
              <w:t>08</w:t>
            </w:r>
            <w:r>
              <w:rPr>
                <w:rFonts w:hint="eastAsia" w:ascii="宋体" w:hAnsi="宋体" w:cs="宋体"/>
                <w:sz w:val="24"/>
              </w:rPr>
              <w:t>月</w:t>
            </w:r>
            <w:r>
              <w:rPr>
                <w:rFonts w:hint="eastAsia" w:ascii="宋体" w:hAnsi="宋体" w:cs="宋体"/>
                <w:sz w:val="24"/>
                <w:lang w:val="en-US" w:eastAsia="zh-CN"/>
              </w:rPr>
              <w:t>19</w:t>
            </w:r>
            <w:r>
              <w:rPr>
                <w:rFonts w:hint="eastAsia" w:ascii="宋体" w:hAnsi="宋体" w:cs="宋体"/>
                <w:sz w:val="24"/>
              </w:rPr>
              <w:t>日09 时</w:t>
            </w:r>
            <w:r>
              <w:rPr>
                <w:rFonts w:hint="eastAsia" w:ascii="宋体" w:hAnsi="宋体" w:cs="宋体"/>
                <w:sz w:val="24"/>
                <w:lang w:val="en-US" w:eastAsia="zh-CN"/>
              </w:rPr>
              <w:t>3</w:t>
            </w:r>
            <w:r>
              <w:rPr>
                <w:rFonts w:hint="eastAsia" w:ascii="宋体" w:hAnsi="宋体" w:cs="宋体"/>
                <w:sz w:val="24"/>
              </w:rPr>
              <w:t>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hint="eastAsia" w:ascii="宋体" w:hAnsi="宋体"/>
                <w:sz w:val="24"/>
              </w:rPr>
              <w:t>2.2.3</w:t>
            </w:r>
          </w:p>
        </w:tc>
        <w:tc>
          <w:tcPr>
            <w:tcW w:w="2520" w:type="dxa"/>
            <w:noWrap w:val="0"/>
            <w:vAlign w:val="center"/>
          </w:tcPr>
          <w:p>
            <w:pPr>
              <w:spacing w:line="360" w:lineRule="auto"/>
              <w:jc w:val="center"/>
              <w:rPr>
                <w:rFonts w:ascii="宋体" w:hAnsi="宋体"/>
                <w:sz w:val="24"/>
              </w:rPr>
            </w:pPr>
            <w:r>
              <w:rPr>
                <w:rFonts w:hint="eastAsia" w:ascii="宋体" w:hAnsi="宋体"/>
                <w:sz w:val="24"/>
              </w:rPr>
              <w:t>投标人确认收到招标文件澄清的时间</w:t>
            </w:r>
          </w:p>
        </w:tc>
        <w:tc>
          <w:tcPr>
            <w:tcW w:w="6268" w:type="dxa"/>
            <w:noWrap w:val="0"/>
            <w:vAlign w:val="center"/>
          </w:tcPr>
          <w:p>
            <w:pPr>
              <w:spacing w:line="360" w:lineRule="auto"/>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hint="eastAsia" w:ascii="宋体" w:hAnsi="宋体"/>
                <w:sz w:val="24"/>
              </w:rPr>
              <w:t>2.3.1</w:t>
            </w:r>
          </w:p>
        </w:tc>
        <w:tc>
          <w:tcPr>
            <w:tcW w:w="2520" w:type="dxa"/>
            <w:noWrap w:val="0"/>
            <w:vAlign w:val="center"/>
          </w:tcPr>
          <w:p>
            <w:pPr>
              <w:spacing w:line="360" w:lineRule="auto"/>
              <w:jc w:val="center"/>
              <w:rPr>
                <w:rFonts w:ascii="宋体" w:hAnsi="宋体"/>
                <w:sz w:val="24"/>
              </w:rPr>
            </w:pPr>
            <w:r>
              <w:rPr>
                <w:rFonts w:hint="eastAsia" w:ascii="宋体" w:hAnsi="宋体"/>
                <w:sz w:val="24"/>
              </w:rPr>
              <w:t>投标人确认收到招标文件修改的时间</w:t>
            </w:r>
          </w:p>
        </w:tc>
        <w:tc>
          <w:tcPr>
            <w:tcW w:w="6268" w:type="dxa"/>
            <w:noWrap w:val="0"/>
            <w:vAlign w:val="center"/>
          </w:tcPr>
          <w:p>
            <w:pPr>
              <w:spacing w:line="360" w:lineRule="auto"/>
              <w:rPr>
                <w:rFonts w:ascii="宋体" w:hAnsi="宋体"/>
                <w:sz w:val="24"/>
              </w:rPr>
            </w:pP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cs="宋体"/>
                <w:sz w:val="24"/>
              </w:rPr>
              <w:t>3.1.1</w:t>
            </w:r>
          </w:p>
        </w:tc>
        <w:tc>
          <w:tcPr>
            <w:tcW w:w="2520" w:type="dxa"/>
            <w:noWrap w:val="0"/>
            <w:vAlign w:val="center"/>
          </w:tcPr>
          <w:p>
            <w:pPr>
              <w:spacing w:line="360" w:lineRule="auto"/>
              <w:jc w:val="center"/>
              <w:rPr>
                <w:rFonts w:hint="eastAsia" w:ascii="宋体" w:hAnsi="宋体"/>
                <w:sz w:val="24"/>
              </w:rPr>
            </w:pPr>
            <w:r>
              <w:rPr>
                <w:rFonts w:hint="eastAsia" w:ascii="宋体" w:hAnsi="宋体" w:cs="宋体"/>
                <w:sz w:val="24"/>
              </w:rPr>
              <w:t>构成投标文件的其它材料</w:t>
            </w:r>
          </w:p>
        </w:tc>
        <w:tc>
          <w:tcPr>
            <w:tcW w:w="6268" w:type="dxa"/>
            <w:noWrap w:val="0"/>
            <w:vAlign w:val="top"/>
          </w:tcPr>
          <w:p>
            <w:pPr>
              <w:spacing w:line="360" w:lineRule="auto"/>
              <w:rPr>
                <w:rFonts w:hint="eastAsia" w:ascii="宋体" w:hAnsi="宋体"/>
                <w:sz w:val="24"/>
              </w:rPr>
            </w:pP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ascii="宋体" w:hAnsi="宋体"/>
                <w:sz w:val="24"/>
              </w:rPr>
              <w:t>3.3</w:t>
            </w:r>
            <w:r>
              <w:rPr>
                <w:rFonts w:hint="eastAsia" w:ascii="宋体" w:hAnsi="宋体"/>
                <w:sz w:val="24"/>
              </w:rPr>
              <w:t>.1</w:t>
            </w:r>
          </w:p>
        </w:tc>
        <w:tc>
          <w:tcPr>
            <w:tcW w:w="2520" w:type="dxa"/>
            <w:noWrap w:val="0"/>
            <w:vAlign w:val="center"/>
          </w:tcPr>
          <w:p>
            <w:pPr>
              <w:spacing w:line="360" w:lineRule="auto"/>
              <w:jc w:val="center"/>
              <w:rPr>
                <w:rFonts w:ascii="宋体" w:hAnsi="宋体"/>
                <w:sz w:val="24"/>
              </w:rPr>
            </w:pPr>
            <w:r>
              <w:rPr>
                <w:rFonts w:ascii="宋体" w:hAnsi="宋体"/>
                <w:sz w:val="24"/>
              </w:rPr>
              <w:t>投标有效期</w:t>
            </w:r>
          </w:p>
        </w:tc>
        <w:tc>
          <w:tcPr>
            <w:tcW w:w="6268" w:type="dxa"/>
            <w:noWrap w:val="0"/>
            <w:vAlign w:val="center"/>
          </w:tcPr>
          <w:p>
            <w:pPr>
              <w:spacing w:line="360" w:lineRule="auto"/>
              <w:rPr>
                <w:rFonts w:ascii="宋体" w:hAnsi="宋体"/>
                <w:sz w:val="24"/>
              </w:rPr>
            </w:pPr>
            <w:r>
              <w:rPr>
                <w:rFonts w:hint="eastAsia" w:ascii="宋体" w:hAnsi="宋体"/>
                <w:sz w:val="24"/>
              </w:rPr>
              <w:t>自投标文件的截止之日起</w:t>
            </w:r>
            <w:r>
              <w:rPr>
                <w:rFonts w:hint="eastAsia" w:ascii="宋体" w:hAnsi="宋体"/>
                <w:sz w:val="24"/>
                <w:lang w:val="en-US" w:eastAsia="zh-CN"/>
              </w:rPr>
              <w:t>90</w:t>
            </w:r>
            <w:r>
              <w:rPr>
                <w:rFonts w:hint="eastAsia" w:ascii="宋体" w:hAnsi="宋体"/>
                <w:sz w:val="24"/>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3.4.1</w:t>
            </w:r>
          </w:p>
        </w:tc>
        <w:tc>
          <w:tcPr>
            <w:tcW w:w="2520" w:type="dxa"/>
            <w:noWrap w:val="0"/>
            <w:vAlign w:val="center"/>
          </w:tcPr>
          <w:p>
            <w:pPr>
              <w:spacing w:line="360" w:lineRule="auto"/>
              <w:jc w:val="center"/>
              <w:rPr>
                <w:rFonts w:ascii="宋体" w:hAnsi="宋体"/>
                <w:sz w:val="24"/>
              </w:rPr>
            </w:pPr>
            <w:r>
              <w:rPr>
                <w:rFonts w:ascii="宋体" w:hAnsi="宋体"/>
                <w:sz w:val="24"/>
              </w:rPr>
              <w:t>投标保证金</w:t>
            </w:r>
            <w:r>
              <w:rPr>
                <w:rFonts w:hint="eastAsia" w:ascii="宋体" w:hAnsi="宋体"/>
                <w:sz w:val="24"/>
              </w:rPr>
              <w:t>须知</w:t>
            </w:r>
          </w:p>
        </w:tc>
        <w:tc>
          <w:tcPr>
            <w:tcW w:w="6268" w:type="dxa"/>
            <w:noWrap w:val="0"/>
            <w:vAlign w:val="center"/>
          </w:tcPr>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1、因投标人的原因无法及时退还投标（竞买）保证金、滞留三年以上的，投标（竞买）保证金上缴财政。</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2、自文件发布之日起，投标人需进行基本户备案，已备案的基本户开户银行、账户发生变化的，须重新办理备案手续。备案后方可提交投标（竞买）保证金。</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3、基本户备案流程：投标人登录注册网址：</w:t>
            </w:r>
            <w:r>
              <w:rPr>
                <w:rFonts w:hint="eastAsia" w:ascii="宋体" w:hAnsi="宋体" w:cs="宋体"/>
                <w:sz w:val="24"/>
              </w:rPr>
              <w:t>http://ggzy.xuchang.gov.cn:8088/ggzy/</w:t>
            </w:r>
            <w:r>
              <w:rPr>
                <w:rFonts w:hint="eastAsia" w:ascii="宋体" w:hAnsi="宋体" w:cs="宋体"/>
                <w:sz w:val="24"/>
                <w:lang w:val="zh-CN"/>
              </w:rPr>
              <w:t>，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4、特殊情况处理</w:t>
            </w:r>
          </w:p>
          <w:p>
            <w:pPr>
              <w:autoSpaceDE w:val="0"/>
              <w:autoSpaceDN w:val="0"/>
              <w:adjustRightInd w:val="0"/>
              <w:spacing w:line="440" w:lineRule="exact"/>
              <w:rPr>
                <w:rFonts w:ascii="宋体" w:hAnsi="宋体"/>
                <w:sz w:val="24"/>
              </w:rPr>
            </w:pPr>
            <w:r>
              <w:rPr>
                <w:rFonts w:hint="eastAsia" w:ascii="宋体" w:hAnsi="宋体" w:cs="宋体"/>
                <w:sz w:val="24"/>
                <w:lang w:val="zh-CN"/>
              </w:rPr>
              <w:t>投标人投标过程中因账户开户银行、银行账号发生变化，不能按照来款途径原路返还投标保证金的，投标人须提供原账户开户银行相关证明及新开账户开户许可证（鄢陵县公共资源交易管理中心三楼综合股，联系电话：0374—7608880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hint="eastAsia" w:ascii="宋体" w:hAnsi="宋体" w:cs="宋体"/>
                <w:sz w:val="24"/>
              </w:rPr>
              <w:t>3.4.2</w:t>
            </w:r>
          </w:p>
        </w:tc>
        <w:tc>
          <w:tcPr>
            <w:tcW w:w="2520" w:type="dxa"/>
            <w:noWrap w:val="0"/>
            <w:vAlign w:val="center"/>
          </w:tcPr>
          <w:p>
            <w:pPr>
              <w:spacing w:line="360" w:lineRule="auto"/>
              <w:jc w:val="center"/>
              <w:rPr>
                <w:rFonts w:ascii="宋体" w:hAnsi="宋体"/>
                <w:sz w:val="24"/>
              </w:rPr>
            </w:pPr>
            <w:r>
              <w:rPr>
                <w:rFonts w:hint="eastAsia" w:ascii="宋体" w:hAnsi="宋体" w:cs="宋体"/>
                <w:sz w:val="24"/>
              </w:rPr>
              <w:t>投标保证金</w:t>
            </w:r>
          </w:p>
        </w:tc>
        <w:tc>
          <w:tcPr>
            <w:tcW w:w="6268" w:type="dxa"/>
            <w:noWrap w:val="0"/>
            <w:vAlign w:val="center"/>
          </w:tcPr>
          <w:p>
            <w:pPr>
              <w:autoSpaceDE w:val="0"/>
              <w:autoSpaceDN w:val="0"/>
              <w:adjustRightInd w:val="0"/>
              <w:snapToGrid w:val="0"/>
              <w:spacing w:line="360" w:lineRule="auto"/>
              <w:jc w:val="left"/>
              <w:rPr>
                <w:rFonts w:hint="eastAsia" w:ascii="宋体" w:hAnsi="宋体" w:cs="宋体"/>
                <w:b/>
                <w:bCs/>
                <w:sz w:val="24"/>
                <w:u w:val="single"/>
              </w:rPr>
            </w:pPr>
            <w:r>
              <w:rPr>
                <w:rFonts w:hint="eastAsia" w:ascii="宋体" w:hAnsi="宋体" w:cs="宋体"/>
                <w:b/>
                <w:bCs/>
                <w:sz w:val="24"/>
              </w:rPr>
              <w:t>投标保证金递交截止时间：（同投标截止时间）</w:t>
            </w:r>
          </w:p>
          <w:p>
            <w:pPr>
              <w:autoSpaceDE w:val="0"/>
              <w:autoSpaceDN w:val="0"/>
              <w:adjustRightInd w:val="0"/>
              <w:snapToGrid w:val="0"/>
              <w:spacing w:line="360" w:lineRule="auto"/>
              <w:jc w:val="left"/>
              <w:rPr>
                <w:rFonts w:hint="eastAsia" w:ascii="宋体" w:hAnsi="宋体" w:cs="宋体"/>
                <w:b/>
                <w:bCs/>
                <w:sz w:val="24"/>
              </w:rPr>
            </w:pPr>
            <w:r>
              <w:rPr>
                <w:rFonts w:hint="eastAsia" w:ascii="宋体" w:hAnsi="宋体" w:cs="宋体"/>
                <w:b/>
                <w:bCs/>
                <w:sz w:val="24"/>
              </w:rPr>
              <w:t>金额：</w:t>
            </w:r>
            <w:r>
              <w:rPr>
                <w:rFonts w:hint="eastAsia" w:ascii="宋体" w:hAnsi="宋体" w:cs="宋体"/>
                <w:b/>
                <w:bCs/>
                <w:sz w:val="24"/>
                <w:lang w:val="en-US" w:eastAsia="zh-CN"/>
              </w:rPr>
              <w:t>伍</w:t>
            </w:r>
            <w:r>
              <w:rPr>
                <w:rFonts w:hint="eastAsia" w:ascii="宋体" w:hAnsi="宋体" w:cs="宋体"/>
                <w:b/>
                <w:bCs/>
                <w:sz w:val="24"/>
                <w:u w:val="single"/>
              </w:rPr>
              <w:t>拾万元整（¥：</w:t>
            </w:r>
            <w:r>
              <w:rPr>
                <w:rFonts w:hint="eastAsia" w:ascii="宋体" w:hAnsi="宋体" w:cs="宋体"/>
                <w:b/>
                <w:bCs/>
                <w:sz w:val="24"/>
                <w:u w:val="single"/>
                <w:lang w:val="en-US" w:eastAsia="zh-CN"/>
              </w:rPr>
              <w:t>5</w:t>
            </w:r>
            <w:r>
              <w:rPr>
                <w:rFonts w:ascii="宋体" w:hAnsi="宋体" w:cs="宋体"/>
                <w:b/>
                <w:bCs/>
                <w:sz w:val="24"/>
                <w:u w:val="single"/>
              </w:rPr>
              <w:t>00</w:t>
            </w:r>
            <w:r>
              <w:rPr>
                <w:rFonts w:hint="eastAsia" w:ascii="宋体" w:hAnsi="宋体" w:cs="宋体"/>
                <w:b/>
                <w:bCs/>
                <w:sz w:val="24"/>
                <w:u w:val="single"/>
              </w:rPr>
              <w:t>000.00元）</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1、投标保证金的递交方式：银行转帐、银行电汇（均需从投标人的基本账户汇出）、银行保函，不接受以现金方式缴纳的投标保证金。凡以现金方式缴纳投标保证金而影响其投标结果的，由投标人自行负责。</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使用银行转帐、银行电汇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使用银行保函方式的，投标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2、投标保证金缴纳方式：</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2.1投标人网上报名下载招标文件后后，登录http://ggzy.xuchang.gov.cn:8088/ggzy/系统，依次点击“会员向导”→“参与投标”→“费用缴纳说明”→“保证金缴纳说明单”，获取缴费说明单，根据每个标段的缴纳说明单在缴纳截止时间前缴纳；</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2.2成功缴纳后重新登录前述系统，依次点击“会员向导”→“参与投标”→“保证金绑定”→“绑定”进行投标保证金绑定。投标人要严格按照“保证金缴纳说明单”内容缴纳、成功绑定投标保证金，未绑定标段的投标保证金，视为未按规定提交。</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2.3 投标人成功绑定投标保证金，将缴纳凭证即本项目投标保证金“许昌公共资源交易中心保证金缴纳回执”附于投标文件中。否则视为未按规定提交。</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2.4 每个投标人每个项目每个标段只有唯一缴纳账号，切勿重复缴纳或错误缴纳。</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3、未按上述规定操作引起的无效投标，由投标人自行负责。</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4、汇款凭证无须备注项目编号和项目名称。</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5、出现以下情形造成的投标保证金无效，由投标人自行负责。</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（1）投标保证金未从投标人的基本账户转出；</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（2）投标保证金未按照招标文件划分的标段依次转账。</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6、《保证金缴纳绑定操作指南》获取方法：</w:t>
            </w:r>
          </w:p>
          <w:p>
            <w:pPr>
              <w:autoSpaceDE w:val="0"/>
              <w:autoSpaceDN w:val="0"/>
              <w:adjustRightInd w:val="0"/>
              <w:spacing w:line="440" w:lineRule="exact"/>
              <w:rPr>
                <w:rFonts w:hint="eastAsia" w:ascii="宋体" w:hAnsi="宋体" w:cs="宋体"/>
                <w:sz w:val="24"/>
                <w:lang w:val="zh-CN"/>
              </w:rPr>
            </w:pPr>
            <w:r>
              <w:rPr>
                <w:rFonts w:hint="eastAsia" w:ascii="宋体" w:hAnsi="宋体" w:cs="宋体"/>
                <w:sz w:val="24"/>
                <w:lang w:val="zh-CN"/>
              </w:rPr>
              <w:t>登录许昌公共资源交易系统-组件下载-《保证金缴纳绑定操作指南》。</w:t>
            </w:r>
          </w:p>
          <w:p>
            <w:pPr>
              <w:autoSpaceDE w:val="0"/>
              <w:autoSpaceDN w:val="0"/>
              <w:adjustRightInd w:val="0"/>
              <w:spacing w:line="440" w:lineRule="exact"/>
              <w:rPr>
                <w:rFonts w:hint="eastAsia" w:ascii="宋体" w:hAnsi="宋体" w:cs="宋体"/>
                <w:sz w:val="24"/>
              </w:rPr>
            </w:pPr>
            <w:r>
              <w:rPr>
                <w:rFonts w:hint="eastAsia" w:ascii="宋体" w:hAnsi="宋体" w:cs="宋体"/>
                <w:sz w:val="24"/>
                <w:lang w:val="zh-CN"/>
              </w:rPr>
              <w:t>7、凡投标人投标保证金交纳至同一标段相同子账号的，保证金暂不予退还，并依照《许昌市公共资源交易当事人不良行为管理暂行办法》（许公管委〔2017〕1号）规定，进行调查、认定、记录、并予以公示公告。对涉嫌串通投标等违规行为的，经调查核实后，记录不良行为，移交有关部门进行查处，不予退还的保证金上缴国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hint="eastAsia" w:ascii="宋体" w:hAnsi="宋体" w:cs="宋体"/>
                <w:b/>
                <w:bCs/>
                <w:sz w:val="24"/>
              </w:rPr>
              <w:t>3.4.3</w:t>
            </w:r>
          </w:p>
        </w:tc>
        <w:tc>
          <w:tcPr>
            <w:tcW w:w="2520" w:type="dxa"/>
            <w:noWrap w:val="0"/>
            <w:vAlign w:val="center"/>
          </w:tcPr>
          <w:p>
            <w:pPr>
              <w:jc w:val="center"/>
              <w:rPr>
                <w:rFonts w:hint="eastAsia" w:ascii="宋体" w:hAnsi="宋体" w:cs="宋体"/>
                <w:sz w:val="24"/>
              </w:rPr>
            </w:pPr>
            <w:r>
              <w:rPr>
                <w:rFonts w:hint="eastAsia" w:ascii="宋体" w:hAnsi="宋体" w:cs="宋体"/>
                <w:sz w:val="24"/>
              </w:rPr>
              <w:t>履约保证金</w:t>
            </w:r>
          </w:p>
          <w:p>
            <w:pPr>
              <w:spacing w:line="360" w:lineRule="auto"/>
              <w:jc w:val="center"/>
              <w:rPr>
                <w:rFonts w:ascii="宋体" w:hAnsi="宋体"/>
                <w:sz w:val="24"/>
              </w:rPr>
            </w:pPr>
            <w:r>
              <w:rPr>
                <w:rFonts w:hint="eastAsia" w:ascii="宋体" w:hAnsi="宋体" w:cs="宋体"/>
                <w:sz w:val="24"/>
              </w:rPr>
              <w:t>（中标后缴纳）</w:t>
            </w:r>
          </w:p>
        </w:tc>
        <w:tc>
          <w:tcPr>
            <w:tcW w:w="6268" w:type="dxa"/>
            <w:noWrap w:val="0"/>
            <w:vAlign w:val="center"/>
          </w:tcPr>
          <w:p>
            <w:pPr>
              <w:pStyle w:val="18"/>
              <w:spacing w:line="360" w:lineRule="auto"/>
              <w:rPr>
                <w:rFonts w:cs="Times New Roman"/>
                <w:color w:val="auto"/>
                <w:kern w:val="2"/>
              </w:rPr>
            </w:pPr>
            <w:r>
              <w:rPr>
                <w:rFonts w:hint="eastAsia" w:cs="Times New Roman"/>
                <w:color w:val="auto"/>
                <w:kern w:val="2"/>
              </w:rPr>
              <w:t>缴纳形式：基本户转账或履约保函的形式。</w:t>
            </w:r>
          </w:p>
          <w:p>
            <w:pPr>
              <w:pStyle w:val="18"/>
              <w:spacing w:line="360" w:lineRule="auto"/>
              <w:rPr>
                <w:rFonts w:cs="Times New Roman"/>
                <w:color w:val="auto"/>
                <w:kern w:val="2"/>
              </w:rPr>
            </w:pPr>
            <w:r>
              <w:rPr>
                <w:rFonts w:hint="eastAsia" w:cs="Times New Roman"/>
                <w:color w:val="auto"/>
                <w:kern w:val="2"/>
              </w:rPr>
              <w:t>履约担保金额：中标合同金额的5%（百元取整）</w:t>
            </w:r>
          </w:p>
          <w:p>
            <w:pPr>
              <w:spacing w:line="360" w:lineRule="auto"/>
              <w:rPr>
                <w:rFonts w:ascii="宋体" w:hAnsi="宋体"/>
                <w:b/>
                <w:bCs/>
                <w:sz w:val="24"/>
              </w:rPr>
            </w:pPr>
            <w:r>
              <w:rPr>
                <w:rFonts w:hint="eastAsia" w:ascii="宋体" w:hAnsi="宋体"/>
                <w:sz w:val="24"/>
              </w:rPr>
              <w:t>投标人采用基本户转账方式缴纳履约担保的，在中标通知书领取后与招标人签订合同前办理，应缴纳至以下账户（</w:t>
            </w:r>
            <w:r>
              <w:rPr>
                <w:rFonts w:hint="eastAsia" w:ascii="宋体" w:hAnsi="宋体"/>
                <w:b/>
                <w:bCs/>
                <w:sz w:val="24"/>
              </w:rPr>
              <w:t>履约担保缴纳时需备注项目名称、编号、标段）：</w:t>
            </w:r>
          </w:p>
          <w:p>
            <w:pPr>
              <w:spacing w:line="360" w:lineRule="auto"/>
              <w:rPr>
                <w:rFonts w:hint="eastAsia" w:ascii="宋体" w:hAnsi="宋体" w:cs="仿宋_GB2312"/>
                <w:bCs/>
                <w:kern w:val="0"/>
                <w:sz w:val="24"/>
              </w:rPr>
            </w:pPr>
            <w:r>
              <w:rPr>
                <w:rFonts w:hint="eastAsia" w:ascii="宋体" w:hAnsi="宋体" w:cs="仿宋_GB2312"/>
                <w:bCs/>
                <w:kern w:val="0"/>
                <w:sz w:val="24"/>
              </w:rPr>
              <w:t xml:space="preserve">开户行：中原银行鄢陵支行 </w:t>
            </w:r>
          </w:p>
          <w:p>
            <w:pPr>
              <w:spacing w:line="360" w:lineRule="auto"/>
              <w:rPr>
                <w:rFonts w:hint="eastAsia" w:ascii="宋体" w:hAnsi="宋体" w:cs="仿宋_GB2312"/>
                <w:bCs/>
                <w:kern w:val="0"/>
                <w:sz w:val="24"/>
              </w:rPr>
            </w:pPr>
            <w:r>
              <w:rPr>
                <w:rFonts w:hint="eastAsia" w:ascii="宋体" w:hAnsi="宋体" w:cs="仿宋_GB2312"/>
                <w:bCs/>
                <w:kern w:val="0"/>
                <w:sz w:val="24"/>
              </w:rPr>
              <w:t>户  名：鄢陵县公共资源交易中心</w:t>
            </w:r>
          </w:p>
          <w:p>
            <w:pPr>
              <w:spacing w:line="360" w:lineRule="auto"/>
              <w:rPr>
                <w:rFonts w:hint="eastAsia" w:ascii="宋体" w:hAnsi="宋体" w:cs="仿宋_GB2312"/>
                <w:bCs/>
                <w:kern w:val="0"/>
                <w:sz w:val="24"/>
              </w:rPr>
            </w:pPr>
            <w:r>
              <w:rPr>
                <w:rFonts w:hint="eastAsia" w:ascii="宋体" w:hAnsi="宋体" w:cs="仿宋_GB2312"/>
                <w:bCs/>
                <w:kern w:val="0"/>
                <w:sz w:val="24"/>
              </w:rPr>
              <w:t>账  号：411025010190014701</w:t>
            </w:r>
          </w:p>
          <w:p>
            <w:pPr>
              <w:spacing w:line="360" w:lineRule="auto"/>
              <w:rPr>
                <w:rFonts w:ascii="宋体" w:hAnsi="宋体"/>
                <w:sz w:val="24"/>
              </w:rPr>
            </w:pPr>
            <w:r>
              <w:rPr>
                <w:rFonts w:hint="eastAsia" w:ascii="宋体" w:hAnsi="宋体"/>
                <w:b/>
                <w:sz w:val="24"/>
              </w:rPr>
              <w:t>注意事项</w:t>
            </w:r>
            <w:r>
              <w:rPr>
                <w:rFonts w:hint="eastAsia" w:ascii="宋体" w:hAnsi="宋体"/>
                <w:sz w:val="24"/>
              </w:rPr>
              <w:t>:</w:t>
            </w:r>
          </w:p>
          <w:p>
            <w:pPr>
              <w:spacing w:line="360" w:lineRule="auto"/>
              <w:rPr>
                <w:rFonts w:ascii="宋体" w:hAnsi="宋体"/>
                <w:sz w:val="24"/>
              </w:rPr>
            </w:pPr>
            <w:r>
              <w:rPr>
                <w:rFonts w:hint="eastAsia" w:ascii="宋体" w:hAnsi="宋体"/>
                <w:sz w:val="24"/>
              </w:rPr>
              <w:t>有下列情形之一的履约</w:t>
            </w:r>
            <w:r>
              <w:rPr>
                <w:rFonts w:hint="eastAsia" w:ascii="宋体" w:hAnsi="宋体"/>
                <w:bCs/>
                <w:sz w:val="24"/>
              </w:rPr>
              <w:t>担保</w:t>
            </w:r>
            <w:r>
              <w:rPr>
                <w:rFonts w:hint="eastAsia" w:ascii="宋体" w:hAnsi="宋体"/>
                <w:sz w:val="24"/>
              </w:rPr>
              <w:t>不予退还:</w:t>
            </w:r>
          </w:p>
          <w:p>
            <w:pPr>
              <w:spacing w:line="360" w:lineRule="auto"/>
              <w:rPr>
                <w:rFonts w:ascii="宋体" w:hAnsi="宋体"/>
                <w:sz w:val="24"/>
              </w:rPr>
            </w:pPr>
            <w:r>
              <w:rPr>
                <w:rFonts w:hint="eastAsia" w:ascii="宋体" w:hAnsi="宋体"/>
                <w:sz w:val="24"/>
              </w:rPr>
              <w:t>1、中标人向他人转让中标项目或将中标项目肢解后分别向他人转让；</w:t>
            </w:r>
          </w:p>
          <w:p>
            <w:pPr>
              <w:spacing w:line="360" w:lineRule="auto"/>
              <w:rPr>
                <w:rFonts w:ascii="宋体" w:hAnsi="宋体"/>
                <w:sz w:val="24"/>
              </w:rPr>
            </w:pPr>
            <w:r>
              <w:rPr>
                <w:rFonts w:hint="eastAsia" w:ascii="宋体" w:hAnsi="宋体"/>
                <w:sz w:val="24"/>
              </w:rPr>
              <w:t>2、法律法规、规章规定的其它不予退还的情形。</w:t>
            </w:r>
          </w:p>
          <w:p>
            <w:pPr>
              <w:spacing w:line="360" w:lineRule="auto"/>
              <w:rPr>
                <w:rFonts w:hint="eastAsia" w:ascii="Times New Roman"/>
                <w:b/>
                <w:bCs/>
                <w:sz w:val="24"/>
              </w:rPr>
            </w:pPr>
            <w:r>
              <w:rPr>
                <w:rFonts w:hint="eastAsia" w:ascii="宋体" w:hAnsi="宋体"/>
                <w:bCs/>
                <w:sz w:val="24"/>
              </w:rPr>
              <w:t>投标人采用联合体投标的，由联合体牵头人负责履约担保或者履约保函的缴纳或提交。</w:t>
            </w:r>
            <w:r>
              <w:rPr>
                <w:rFonts w:hint="eastAsia" w:ascii="宋体" w:hAnsi="宋体" w:cs="宋体"/>
                <w:sz w:val="24"/>
              </w:rPr>
              <w:t>投标人因账户开户银行、银行账号发生变化，不能按照来款途径原路返还</w:t>
            </w:r>
            <w:r>
              <w:rPr>
                <w:rFonts w:hint="eastAsia" w:ascii="宋体" w:hAnsi="宋体"/>
                <w:sz w:val="24"/>
              </w:rPr>
              <w:t>履约</w:t>
            </w:r>
            <w:r>
              <w:rPr>
                <w:rFonts w:hint="eastAsia" w:ascii="宋体" w:hAnsi="宋体"/>
                <w:bCs/>
                <w:sz w:val="24"/>
              </w:rPr>
              <w:t>担保</w:t>
            </w:r>
            <w:r>
              <w:rPr>
                <w:rFonts w:hint="eastAsia" w:ascii="宋体" w:hAnsi="宋体" w:cs="宋体"/>
                <w:sz w:val="24"/>
              </w:rPr>
              <w:t>的，投标人须提供原账户开户银行相关证明及新开账户开户许可证（鄢陵县公共资源交易管理中心三楼综合股，联系电话：0374—7608880）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cs="宋体"/>
                <w:b/>
                <w:bCs/>
                <w:sz w:val="24"/>
              </w:rPr>
            </w:pPr>
            <w:r>
              <w:rPr>
                <w:rFonts w:hint="eastAsia" w:ascii="宋体" w:hAnsi="宋体" w:cs="宋体"/>
                <w:sz w:val="24"/>
              </w:rPr>
              <w:t>3.5.2</w:t>
            </w:r>
          </w:p>
        </w:tc>
        <w:tc>
          <w:tcPr>
            <w:tcW w:w="2520" w:type="dxa"/>
            <w:noWrap w:val="0"/>
            <w:vAlign w:val="center"/>
          </w:tcPr>
          <w:p>
            <w:pPr>
              <w:jc w:val="center"/>
              <w:rPr>
                <w:rFonts w:hint="eastAsia" w:ascii="宋体" w:hAnsi="宋体" w:cs="宋体"/>
                <w:sz w:val="24"/>
              </w:rPr>
            </w:pPr>
            <w:r>
              <w:rPr>
                <w:rFonts w:hint="eastAsia" w:ascii="宋体" w:hAnsi="宋体" w:cs="宋体"/>
                <w:sz w:val="24"/>
              </w:rPr>
              <w:t>近年财务状况要求</w:t>
            </w:r>
          </w:p>
        </w:tc>
        <w:tc>
          <w:tcPr>
            <w:tcW w:w="6268" w:type="dxa"/>
            <w:noWrap w:val="0"/>
            <w:vAlign w:val="center"/>
          </w:tcPr>
          <w:p>
            <w:pPr>
              <w:spacing w:line="360" w:lineRule="auto"/>
              <w:rPr>
                <w:rFonts w:hint="eastAsia" w:ascii="宋体" w:hAnsi="宋体" w:cs="宋体"/>
                <w:sz w:val="24"/>
                <w:lang w:val="zh-CN"/>
              </w:rPr>
            </w:pPr>
            <w:r>
              <w:rPr>
                <w:rFonts w:hint="eastAsia" w:ascii="宋体" w:hAnsi="宋体" w:cs="宋体"/>
                <w:sz w:val="24"/>
                <w:lang w:val="zh-CN"/>
              </w:rPr>
              <w:t>近年年，指201</w:t>
            </w:r>
            <w:r>
              <w:rPr>
                <w:rFonts w:hint="eastAsia" w:ascii="宋体" w:hAnsi="宋体" w:cs="宋体"/>
                <w:sz w:val="24"/>
                <w:lang w:val="zh-CN" w:eastAsia="zh-CN"/>
              </w:rPr>
              <w:t>7</w:t>
            </w:r>
            <w:r>
              <w:rPr>
                <w:rFonts w:hint="eastAsia" w:ascii="宋体" w:hAnsi="宋体" w:cs="宋体"/>
                <w:sz w:val="24"/>
                <w:lang w:val="zh-CN"/>
              </w:rPr>
              <w:t>、20</w:t>
            </w:r>
            <w:r>
              <w:rPr>
                <w:rFonts w:hint="eastAsia" w:ascii="宋体" w:hAnsi="宋体" w:cs="宋体"/>
                <w:sz w:val="24"/>
                <w:lang w:val="zh-CN" w:eastAsia="zh-CN"/>
              </w:rPr>
              <w:t>18</w:t>
            </w:r>
            <w:r>
              <w:rPr>
                <w:rFonts w:hint="eastAsia" w:ascii="宋体" w:hAnsi="宋体" w:cs="宋体"/>
                <w:sz w:val="24"/>
                <w:lang w:val="zh-CN"/>
              </w:rPr>
              <w:t>、20</w:t>
            </w:r>
            <w:r>
              <w:rPr>
                <w:rFonts w:hint="eastAsia" w:ascii="宋体" w:hAnsi="宋体" w:cs="宋体"/>
                <w:sz w:val="24"/>
                <w:lang w:val="zh-CN" w:eastAsia="zh-CN"/>
              </w:rPr>
              <w:t>19</w:t>
            </w:r>
            <w:r>
              <w:rPr>
                <w:rFonts w:hint="eastAsia" w:ascii="宋体" w:hAnsi="宋体" w:cs="宋体"/>
                <w:sz w:val="24"/>
                <w:lang w:val="zh-CN"/>
              </w:rPr>
              <w:t>年度（若公司成立不足三家以成立时间为准）。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3.5.</w:t>
            </w:r>
            <w:r>
              <w:rPr>
                <w:rFonts w:hint="eastAsia" w:ascii="宋体" w:hAnsi="宋体"/>
                <w:sz w:val="24"/>
              </w:rPr>
              <w:t>3</w:t>
            </w:r>
          </w:p>
        </w:tc>
        <w:tc>
          <w:tcPr>
            <w:tcW w:w="2520" w:type="dxa"/>
            <w:noWrap w:val="0"/>
            <w:vAlign w:val="center"/>
          </w:tcPr>
          <w:p>
            <w:pPr>
              <w:spacing w:line="360" w:lineRule="auto"/>
              <w:jc w:val="center"/>
              <w:rPr>
                <w:rFonts w:ascii="宋体" w:hAnsi="宋体"/>
                <w:sz w:val="24"/>
              </w:rPr>
            </w:pPr>
            <w:r>
              <w:rPr>
                <w:rFonts w:ascii="宋体" w:hAnsi="宋体"/>
                <w:sz w:val="24"/>
              </w:rPr>
              <w:t>近年</w:t>
            </w:r>
            <w:r>
              <w:rPr>
                <w:rFonts w:hint="eastAsia" w:ascii="宋体" w:hAnsi="宋体"/>
                <w:sz w:val="24"/>
              </w:rPr>
              <w:t>承担过的</w:t>
            </w:r>
            <w:r>
              <w:rPr>
                <w:rFonts w:ascii="宋体" w:hAnsi="宋体"/>
                <w:sz w:val="24"/>
              </w:rPr>
              <w:t>类似项目</w:t>
            </w:r>
          </w:p>
        </w:tc>
        <w:tc>
          <w:tcPr>
            <w:tcW w:w="6268" w:type="dxa"/>
            <w:noWrap w:val="0"/>
            <w:vAlign w:val="center"/>
          </w:tcPr>
          <w:p>
            <w:pPr>
              <w:spacing w:line="360" w:lineRule="auto"/>
              <w:rPr>
                <w:rFonts w:ascii="宋体" w:hAnsi="宋体"/>
                <w:sz w:val="24"/>
              </w:rPr>
            </w:pPr>
            <w:r>
              <w:rPr>
                <w:rFonts w:hint="eastAsia" w:ascii="宋体" w:hAnsi="宋体" w:cs="宋体"/>
                <w:sz w:val="24"/>
              </w:rPr>
              <w:t>近年，指2017年1月1日至今。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3.5.</w:t>
            </w:r>
            <w:r>
              <w:rPr>
                <w:rFonts w:hint="eastAsia" w:ascii="宋体" w:hAnsi="宋体"/>
                <w:sz w:val="24"/>
              </w:rPr>
              <w:t>5</w:t>
            </w:r>
          </w:p>
        </w:tc>
        <w:tc>
          <w:tcPr>
            <w:tcW w:w="2520" w:type="dxa"/>
            <w:noWrap w:val="0"/>
            <w:vAlign w:val="center"/>
          </w:tcPr>
          <w:p>
            <w:pPr>
              <w:spacing w:line="360" w:lineRule="auto"/>
              <w:jc w:val="center"/>
              <w:rPr>
                <w:rFonts w:ascii="宋体" w:hAnsi="宋体"/>
                <w:sz w:val="24"/>
              </w:rPr>
            </w:pPr>
            <w:r>
              <w:rPr>
                <w:rFonts w:ascii="宋体" w:hAnsi="宋体"/>
                <w:sz w:val="24"/>
              </w:rPr>
              <w:t>近年发生的</w:t>
            </w:r>
            <w:r>
              <w:rPr>
                <w:rFonts w:hint="eastAsia" w:ascii="宋体" w:hAnsi="宋体"/>
                <w:sz w:val="24"/>
              </w:rPr>
              <w:t>重大</w:t>
            </w:r>
            <w:r>
              <w:rPr>
                <w:rFonts w:ascii="宋体" w:hAnsi="宋体"/>
                <w:sz w:val="24"/>
              </w:rPr>
              <w:t>诉讼及仲裁情况</w:t>
            </w:r>
          </w:p>
        </w:tc>
        <w:tc>
          <w:tcPr>
            <w:tcW w:w="6268" w:type="dxa"/>
            <w:noWrap w:val="0"/>
            <w:vAlign w:val="center"/>
          </w:tcPr>
          <w:p>
            <w:pPr>
              <w:spacing w:line="360" w:lineRule="auto"/>
              <w:rPr>
                <w:rFonts w:ascii="宋体" w:hAnsi="宋体"/>
                <w:sz w:val="24"/>
              </w:rPr>
            </w:pPr>
            <w:r>
              <w:rPr>
                <w:rFonts w:hint="eastAsia" w:ascii="宋体" w:hAnsi="宋体" w:cs="宋体"/>
                <w:sz w:val="24"/>
              </w:rPr>
              <w:t>近年，指2017年1月1日至今。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3.6</w:t>
            </w:r>
          </w:p>
        </w:tc>
        <w:tc>
          <w:tcPr>
            <w:tcW w:w="2520" w:type="dxa"/>
            <w:noWrap w:val="0"/>
            <w:vAlign w:val="center"/>
          </w:tcPr>
          <w:p>
            <w:pPr>
              <w:spacing w:line="360" w:lineRule="auto"/>
              <w:jc w:val="center"/>
              <w:rPr>
                <w:rFonts w:ascii="宋体" w:hAnsi="宋体"/>
                <w:sz w:val="24"/>
              </w:rPr>
            </w:pPr>
            <w:r>
              <w:rPr>
                <w:rFonts w:ascii="宋体" w:hAnsi="宋体"/>
                <w:sz w:val="24"/>
              </w:rPr>
              <w:t>是否允许</w:t>
            </w:r>
            <w:r>
              <w:rPr>
                <w:rFonts w:hint="eastAsia" w:ascii="宋体" w:hAnsi="宋体"/>
                <w:sz w:val="24"/>
              </w:rPr>
              <w:t>递交备</w:t>
            </w:r>
            <w:r>
              <w:rPr>
                <w:rFonts w:ascii="宋体" w:hAnsi="宋体"/>
                <w:sz w:val="24"/>
              </w:rPr>
              <w:t>选投标方案</w:t>
            </w:r>
          </w:p>
        </w:tc>
        <w:tc>
          <w:tcPr>
            <w:tcW w:w="6268" w:type="dxa"/>
            <w:noWrap w:val="0"/>
            <w:vAlign w:val="center"/>
          </w:tcPr>
          <w:p>
            <w:pPr>
              <w:pStyle w:val="9"/>
              <w:topLinePunct/>
              <w:spacing w:line="360" w:lineRule="auto"/>
              <w:rPr>
                <w:rFonts w:hAnsi="宋体"/>
                <w:szCs w:val="24"/>
              </w:rPr>
            </w:pPr>
            <w:r>
              <w:rPr>
                <w:rFonts w:hint="eastAsia" w:hAnsi="宋体"/>
                <w:szCs w:val="24"/>
              </w:rPr>
              <w:fldChar w:fldCharType="begin"/>
            </w:r>
            <w:r>
              <w:rPr>
                <w:rFonts w:hint="eastAsia" w:hAnsi="宋体"/>
                <w:szCs w:val="24"/>
              </w:rPr>
              <w:instrText xml:space="preserve"> eq \o\ac(□,√)</w:instrText>
            </w:r>
            <w:r>
              <w:rPr>
                <w:rFonts w:hint="eastAsia" w:hAnsi="宋体"/>
                <w:szCs w:val="24"/>
              </w:rPr>
              <w:fldChar w:fldCharType="end"/>
            </w:r>
            <w:r>
              <w:rPr>
                <w:rFonts w:hint="eastAsia" w:hAnsi="宋体"/>
                <w:szCs w:val="24"/>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ascii="宋体" w:hAnsi="宋体"/>
                <w:sz w:val="24"/>
              </w:rPr>
              <w:t>3.7.3</w:t>
            </w:r>
          </w:p>
        </w:tc>
        <w:tc>
          <w:tcPr>
            <w:tcW w:w="2520" w:type="dxa"/>
            <w:noWrap w:val="0"/>
            <w:vAlign w:val="center"/>
          </w:tcPr>
          <w:p>
            <w:pPr>
              <w:spacing w:line="360" w:lineRule="auto"/>
              <w:jc w:val="center"/>
              <w:rPr>
                <w:rFonts w:ascii="宋体" w:hAnsi="宋体"/>
                <w:sz w:val="24"/>
              </w:rPr>
            </w:pPr>
            <w:r>
              <w:rPr>
                <w:rFonts w:ascii="宋体" w:hAnsi="宋体"/>
                <w:sz w:val="24"/>
              </w:rPr>
              <w:t>签字或盖章要求</w:t>
            </w:r>
          </w:p>
        </w:tc>
        <w:tc>
          <w:tcPr>
            <w:tcW w:w="6268" w:type="dxa"/>
            <w:noWrap w:val="0"/>
            <w:vAlign w:val="center"/>
          </w:tcPr>
          <w:p>
            <w:pPr>
              <w:spacing w:line="360" w:lineRule="auto"/>
              <w:rPr>
                <w:rFonts w:ascii="宋体" w:hAnsi="宋体"/>
                <w:sz w:val="24"/>
              </w:rPr>
            </w:pPr>
            <w:r>
              <w:rPr>
                <w:rFonts w:hint="eastAsia" w:hAnsi="宋体" w:cs="宋体"/>
                <w:b/>
                <w:bCs/>
                <w:sz w:val="24"/>
              </w:rPr>
              <w:t>电子投标文件：按招标文件要求加盖</w:t>
            </w:r>
            <w:r>
              <w:rPr>
                <w:rFonts w:hint="eastAsia" w:hAnsi="宋体" w:cs="宋体"/>
                <w:b/>
                <w:bCs/>
                <w:sz w:val="24"/>
                <w:lang w:val="zh-CN"/>
              </w:rPr>
              <w:t>电子印章和法人电子印章</w:t>
            </w:r>
            <w:r>
              <w:rPr>
                <w:rFonts w:hint="eastAsia" w:hAnsi="宋体" w:cs="宋体"/>
                <w:b/>
                <w:bCs/>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hint="eastAsia" w:ascii="宋体" w:hAnsi="宋体" w:cs="宋体"/>
                <w:sz w:val="24"/>
              </w:rPr>
              <w:t>3.7.4</w:t>
            </w:r>
          </w:p>
        </w:tc>
        <w:tc>
          <w:tcPr>
            <w:tcW w:w="2520" w:type="dxa"/>
            <w:noWrap w:val="0"/>
            <w:vAlign w:val="center"/>
          </w:tcPr>
          <w:p>
            <w:pPr>
              <w:spacing w:line="360" w:lineRule="auto"/>
              <w:jc w:val="center"/>
              <w:rPr>
                <w:rFonts w:ascii="宋体" w:hAnsi="宋体"/>
                <w:sz w:val="24"/>
              </w:rPr>
            </w:pPr>
            <w:r>
              <w:rPr>
                <w:rFonts w:hint="eastAsia" w:ascii="宋体" w:hAnsi="宋体" w:cs="宋体"/>
                <w:sz w:val="24"/>
              </w:rPr>
              <w:t>投标文件份数</w:t>
            </w:r>
          </w:p>
        </w:tc>
        <w:tc>
          <w:tcPr>
            <w:tcW w:w="6268" w:type="dxa"/>
            <w:noWrap w:val="0"/>
            <w:vAlign w:val="center"/>
          </w:tcPr>
          <w:p>
            <w:pPr>
              <w:autoSpaceDE w:val="0"/>
              <w:autoSpaceDN w:val="0"/>
              <w:adjustRightInd w:val="0"/>
              <w:snapToGrid w:val="0"/>
              <w:spacing w:line="440" w:lineRule="exact"/>
              <w:rPr>
                <w:rFonts w:hint="eastAsia" w:ascii="宋体" w:hAnsi="宋体" w:cs="宋体"/>
                <w:sz w:val="24"/>
              </w:rPr>
            </w:pPr>
            <w:r>
              <w:rPr>
                <w:rFonts w:hint="eastAsia" w:ascii="宋体" w:hAnsi="宋体" w:cs="宋体"/>
                <w:sz w:val="24"/>
              </w:rPr>
              <w:t>1、电子投标文件</w:t>
            </w:r>
          </w:p>
          <w:p>
            <w:pPr>
              <w:autoSpaceDE w:val="0"/>
              <w:autoSpaceDN w:val="0"/>
              <w:adjustRightInd w:val="0"/>
              <w:snapToGrid w:val="0"/>
              <w:spacing w:line="440" w:lineRule="exact"/>
              <w:rPr>
                <w:rFonts w:hint="eastAsia" w:ascii="宋体" w:hAnsi="宋体" w:cs="宋体"/>
                <w:sz w:val="24"/>
              </w:rPr>
            </w:pPr>
            <w:r>
              <w:rPr>
                <w:rFonts w:hint="eastAsia" w:ascii="宋体" w:hAnsi="宋体" w:cs="宋体"/>
                <w:sz w:val="24"/>
              </w:rPr>
              <w:t>（1）成功上传至《全国公共资源交易平台（河南省·许昌市）》公共资源交易系统电子投标文件1份（文件格式为：XX公司XXX项目编号.file）。</w:t>
            </w:r>
          </w:p>
          <w:p>
            <w:pPr>
              <w:spacing w:line="360" w:lineRule="auto"/>
              <w:rPr>
                <w:rFonts w:hint="eastAsia" w:ascii="宋体" w:hAnsi="宋体" w:cs="宋体"/>
                <w:b/>
                <w:bCs/>
                <w:sz w:val="24"/>
              </w:rPr>
            </w:pPr>
            <w:r>
              <w:rPr>
                <w:rFonts w:hint="eastAsia" w:ascii="宋体" w:hAnsi="宋体" w:cs="宋体"/>
                <w:b/>
                <w:sz w:val="24"/>
              </w:rPr>
              <w:t>注：投标人提交的电子投标文件，必须是通过“许昌投标文件制作系统 SEARUN V1.1”制作，并经过签章和加密后生成的电子投标文件。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hint="eastAsia" w:ascii="宋体" w:hAnsi="宋体"/>
                <w:sz w:val="24"/>
              </w:rPr>
              <w:t>3.7.5</w:t>
            </w:r>
          </w:p>
        </w:tc>
        <w:tc>
          <w:tcPr>
            <w:tcW w:w="2520" w:type="dxa"/>
            <w:noWrap w:val="0"/>
            <w:vAlign w:val="center"/>
          </w:tcPr>
          <w:p>
            <w:pPr>
              <w:spacing w:line="360" w:lineRule="auto"/>
              <w:jc w:val="center"/>
              <w:rPr>
                <w:rFonts w:ascii="宋体" w:hAnsi="宋体"/>
                <w:sz w:val="24"/>
              </w:rPr>
            </w:pPr>
            <w:r>
              <w:rPr>
                <w:rFonts w:hint="eastAsia" w:hAnsi="宋体" w:cs="宋体"/>
                <w:sz w:val="24"/>
              </w:rPr>
              <w:t>本项目是否采用不见面开标</w:t>
            </w:r>
          </w:p>
        </w:tc>
        <w:tc>
          <w:tcPr>
            <w:tcW w:w="6268" w:type="dxa"/>
            <w:noWrap w:val="0"/>
            <w:vAlign w:val="center"/>
          </w:tcPr>
          <w:p>
            <w:pPr>
              <w:spacing w:line="360" w:lineRule="auto"/>
              <w:rPr>
                <w:rFonts w:hint="eastAsia" w:ascii="宋体" w:hAnsi="宋体"/>
                <w:sz w:val="24"/>
              </w:rPr>
            </w:pPr>
            <w:r>
              <w:rPr>
                <w:rFonts w:hint="eastAsia" w:hAnsi="宋体" w:cs="宋体"/>
                <w:sz w:val="24"/>
              </w:rPr>
              <w:t>本项目采用不见面开标。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hint="eastAsia" w:ascii="宋体" w:hAnsi="宋体"/>
                <w:sz w:val="24"/>
              </w:rPr>
              <w:t>4</w:t>
            </w:r>
            <w:r>
              <w:rPr>
                <w:rFonts w:ascii="宋体" w:hAnsi="宋体"/>
                <w:sz w:val="24"/>
              </w:rPr>
              <w:t>.2.2</w:t>
            </w:r>
          </w:p>
        </w:tc>
        <w:tc>
          <w:tcPr>
            <w:tcW w:w="2520" w:type="dxa"/>
            <w:noWrap w:val="0"/>
            <w:vAlign w:val="center"/>
          </w:tcPr>
          <w:p>
            <w:pPr>
              <w:spacing w:line="360" w:lineRule="auto"/>
              <w:jc w:val="center"/>
              <w:rPr>
                <w:rFonts w:hint="eastAsia" w:ascii="宋体" w:hAnsi="宋体"/>
                <w:sz w:val="24"/>
              </w:rPr>
            </w:pPr>
            <w:r>
              <w:rPr>
                <w:rFonts w:hint="eastAsia" w:ascii="宋体" w:hAnsi="宋体" w:cs="宋体"/>
                <w:sz w:val="24"/>
              </w:rPr>
              <w:t>递交投标文件地点</w:t>
            </w:r>
          </w:p>
        </w:tc>
        <w:tc>
          <w:tcPr>
            <w:tcW w:w="6268" w:type="dxa"/>
            <w:noWrap w:val="0"/>
            <w:vAlign w:val="center"/>
          </w:tcPr>
          <w:p>
            <w:pPr>
              <w:spacing w:line="360" w:lineRule="auto"/>
              <w:rPr>
                <w:rFonts w:hint="eastAsia" w:ascii="宋体" w:hAnsi="宋体"/>
                <w:sz w:val="24"/>
              </w:rPr>
            </w:pPr>
            <w:r>
              <w:rPr>
                <w:rFonts w:hint="eastAsia" w:ascii="宋体" w:hAnsi="宋体" w:cs="宋体"/>
                <w:sz w:val="24"/>
              </w:rPr>
              <w:t>电子投标文件递交地点：电子投标文件应按规定在投标截止时间（开标时间）之前成功提交至【全国公共资源交易平台(河南省▪许昌市)】公共资源交易系统（http://ggzy.xuchang.gov.cn:8088/ggzy/）。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ascii="宋体" w:hAnsi="宋体"/>
                <w:sz w:val="24"/>
              </w:rPr>
              <w:t>4.2.3</w:t>
            </w:r>
          </w:p>
        </w:tc>
        <w:tc>
          <w:tcPr>
            <w:tcW w:w="2520" w:type="dxa"/>
            <w:noWrap w:val="0"/>
            <w:vAlign w:val="center"/>
          </w:tcPr>
          <w:p>
            <w:pPr>
              <w:spacing w:line="360" w:lineRule="auto"/>
              <w:jc w:val="center"/>
              <w:rPr>
                <w:rFonts w:ascii="宋体" w:hAnsi="宋体"/>
                <w:sz w:val="24"/>
              </w:rPr>
            </w:pPr>
            <w:r>
              <w:rPr>
                <w:rFonts w:ascii="宋体" w:hAnsi="宋体"/>
                <w:sz w:val="24"/>
              </w:rPr>
              <w:t>是否退还投标文件</w:t>
            </w:r>
          </w:p>
        </w:tc>
        <w:tc>
          <w:tcPr>
            <w:tcW w:w="6268" w:type="dxa"/>
            <w:noWrap w:val="0"/>
            <w:vAlign w:val="center"/>
          </w:tcPr>
          <w:p>
            <w:pPr>
              <w:pStyle w:val="9"/>
              <w:topLinePunct/>
              <w:spacing w:line="360" w:lineRule="auto"/>
              <w:rPr>
                <w:rFonts w:hAnsi="宋体"/>
                <w:szCs w:val="24"/>
              </w:rPr>
            </w:pPr>
            <w:r>
              <w:rPr>
                <w:rFonts w:hint="eastAsia" w:hAnsi="宋体"/>
                <w:szCs w:val="24"/>
              </w:rPr>
              <w:fldChar w:fldCharType="begin"/>
            </w:r>
            <w:r>
              <w:rPr>
                <w:rFonts w:hint="eastAsia" w:hAnsi="宋体"/>
                <w:szCs w:val="24"/>
              </w:rPr>
              <w:instrText xml:space="preserve"> eq \o\ac(□,√)</w:instrText>
            </w:r>
            <w:r>
              <w:rPr>
                <w:rFonts w:hint="eastAsia" w:hAnsi="宋体"/>
                <w:szCs w:val="24"/>
              </w:rPr>
              <w:fldChar w:fldCharType="end"/>
            </w:r>
            <w:r>
              <w:rPr>
                <w:rFonts w:hint="eastAsia" w:hAnsi="宋体"/>
                <w:szCs w:val="24"/>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66" w:type="dxa"/>
            <w:noWrap w:val="0"/>
            <w:vAlign w:val="center"/>
          </w:tcPr>
          <w:p>
            <w:pPr>
              <w:spacing w:line="360" w:lineRule="auto"/>
              <w:jc w:val="center"/>
              <w:rPr>
                <w:rFonts w:ascii="宋体" w:hAnsi="宋体"/>
                <w:sz w:val="24"/>
              </w:rPr>
            </w:pPr>
            <w:r>
              <w:rPr>
                <w:rFonts w:ascii="宋体" w:hAnsi="宋体"/>
                <w:sz w:val="24"/>
              </w:rPr>
              <w:t>5.1</w:t>
            </w:r>
          </w:p>
        </w:tc>
        <w:tc>
          <w:tcPr>
            <w:tcW w:w="2520" w:type="dxa"/>
            <w:noWrap w:val="0"/>
            <w:vAlign w:val="center"/>
          </w:tcPr>
          <w:p>
            <w:pPr>
              <w:spacing w:line="360" w:lineRule="auto"/>
              <w:jc w:val="center"/>
              <w:rPr>
                <w:rFonts w:ascii="宋体" w:hAnsi="宋体"/>
                <w:sz w:val="24"/>
              </w:rPr>
            </w:pPr>
            <w:r>
              <w:rPr>
                <w:rFonts w:hint="eastAsia" w:ascii="宋体" w:hAnsi="宋体"/>
                <w:sz w:val="24"/>
              </w:rPr>
              <w:t>开标时间和地点</w:t>
            </w:r>
          </w:p>
        </w:tc>
        <w:tc>
          <w:tcPr>
            <w:tcW w:w="6268" w:type="dxa"/>
            <w:noWrap w:val="0"/>
            <w:vAlign w:val="center"/>
          </w:tcPr>
          <w:p>
            <w:pPr>
              <w:autoSpaceDE w:val="0"/>
              <w:autoSpaceDN w:val="0"/>
              <w:adjustRightInd w:val="0"/>
              <w:snapToGrid w:val="0"/>
              <w:spacing w:line="440" w:lineRule="exact"/>
              <w:jc w:val="left"/>
              <w:rPr>
                <w:rFonts w:hint="eastAsia" w:ascii="宋体" w:hAnsi="宋体" w:cs="宋体"/>
                <w:sz w:val="24"/>
              </w:rPr>
            </w:pPr>
            <w:r>
              <w:rPr>
                <w:rFonts w:hint="eastAsia" w:ascii="宋体" w:hAnsi="宋体" w:cs="宋体"/>
                <w:sz w:val="24"/>
              </w:rPr>
              <w:t>开标时间：</w:t>
            </w:r>
            <w:r>
              <w:rPr>
                <w:rFonts w:hint="eastAsia" w:ascii="宋体" w:hAnsi="宋体" w:cs="宋体"/>
                <w:b/>
                <w:sz w:val="24"/>
                <w:u w:val="single"/>
              </w:rPr>
              <w:t>同投标截止时间</w:t>
            </w:r>
          </w:p>
          <w:p>
            <w:pPr>
              <w:spacing w:line="360" w:lineRule="auto"/>
              <w:rPr>
                <w:rFonts w:ascii="宋体" w:hAnsi="宋体"/>
                <w:sz w:val="24"/>
              </w:rPr>
            </w:pPr>
            <w:r>
              <w:rPr>
                <w:rFonts w:hint="eastAsia" w:ascii="宋体" w:hAnsi="宋体" w:cs="宋体"/>
                <w:sz w:val="24"/>
              </w:rPr>
              <w:t>开标地点：鄢陵县公共资源交易中心（S219（鄢陶路）与未来大道交叉口鄢陵创客园院内南楼四楼开标</w:t>
            </w:r>
            <w:r>
              <w:rPr>
                <w:rFonts w:hint="eastAsia" w:ascii="宋体" w:hAnsi="宋体" w:cs="宋体"/>
                <w:sz w:val="24"/>
                <w:lang w:val="en-US" w:eastAsia="zh-CN"/>
              </w:rPr>
              <w:t>一</w:t>
            </w:r>
            <w:r>
              <w:rPr>
                <w:rFonts w:hint="eastAsia" w:ascii="宋体" w:hAnsi="宋体" w:cs="宋体"/>
                <w:sz w:val="24"/>
              </w:rPr>
              <w:t>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66" w:type="dxa"/>
            <w:noWrap w:val="0"/>
            <w:vAlign w:val="center"/>
          </w:tcPr>
          <w:p>
            <w:pPr>
              <w:spacing w:line="360" w:lineRule="auto"/>
              <w:jc w:val="center"/>
              <w:rPr>
                <w:rFonts w:ascii="宋体" w:hAnsi="宋体"/>
                <w:sz w:val="24"/>
              </w:rPr>
            </w:pPr>
            <w:r>
              <w:rPr>
                <w:rFonts w:hint="eastAsia" w:ascii="宋体" w:hAnsi="宋体"/>
                <w:sz w:val="24"/>
              </w:rPr>
              <w:t>5.2</w:t>
            </w:r>
          </w:p>
        </w:tc>
        <w:tc>
          <w:tcPr>
            <w:tcW w:w="2520" w:type="dxa"/>
            <w:noWrap w:val="0"/>
            <w:vAlign w:val="center"/>
          </w:tcPr>
          <w:p>
            <w:pPr>
              <w:spacing w:line="360" w:lineRule="auto"/>
              <w:jc w:val="center"/>
              <w:rPr>
                <w:rFonts w:ascii="宋体" w:hAnsi="宋体"/>
                <w:sz w:val="24"/>
              </w:rPr>
            </w:pPr>
            <w:r>
              <w:rPr>
                <w:rFonts w:hint="eastAsia" w:ascii="宋体" w:hAnsi="宋体"/>
                <w:sz w:val="24"/>
              </w:rPr>
              <w:t>开标程序</w:t>
            </w:r>
          </w:p>
        </w:tc>
        <w:tc>
          <w:tcPr>
            <w:tcW w:w="6268" w:type="dxa"/>
            <w:noWrap w:val="0"/>
            <w:vAlign w:val="top"/>
          </w:tcPr>
          <w:p>
            <w:pPr>
              <w:spacing w:line="360" w:lineRule="auto"/>
              <w:jc w:val="left"/>
              <w:rPr>
                <w:rFonts w:hint="eastAsia" w:ascii="宋体" w:hAnsi="宋体" w:cs="宋体"/>
                <w:sz w:val="24"/>
              </w:rPr>
            </w:pPr>
            <w:r>
              <w:rPr>
                <w:rFonts w:hint="eastAsia" w:ascii="宋体" w:hAnsi="宋体" w:cs="宋体"/>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jc w:val="left"/>
              <w:rPr>
                <w:rFonts w:hint="eastAsia" w:ascii="宋体" w:hAnsi="宋体" w:cs="宋体"/>
                <w:sz w:val="24"/>
              </w:rPr>
            </w:pPr>
            <w:r>
              <w:rPr>
                <w:rFonts w:hint="eastAsia" w:ascii="宋体" w:hAnsi="宋体" w:cs="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jc w:val="left"/>
              <w:rPr>
                <w:rFonts w:hint="eastAsia" w:ascii="宋体" w:hAnsi="宋体" w:cs="宋体"/>
                <w:sz w:val="24"/>
              </w:rPr>
            </w:pPr>
            <w:r>
              <w:rPr>
                <w:rFonts w:hint="eastAsia" w:ascii="宋体" w:hAnsi="宋体" w:cs="宋体"/>
                <w:sz w:val="24"/>
              </w:rPr>
              <w:t>(3)解密完成后，招标人（代理机构）点击“系数抽取”按钮进行系数抽取，系数抽取情况在“公告通知”处显示。</w:t>
            </w:r>
          </w:p>
          <w:p>
            <w:pPr>
              <w:spacing w:line="360" w:lineRule="auto"/>
              <w:jc w:val="left"/>
              <w:rPr>
                <w:rFonts w:hint="eastAsia" w:ascii="宋体" w:hAnsi="宋体" w:cs="宋体"/>
                <w:sz w:val="24"/>
              </w:rPr>
            </w:pPr>
            <w:r>
              <w:rPr>
                <w:rFonts w:hint="eastAsia" w:ascii="宋体" w:hAnsi="宋体" w:cs="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jc w:val="left"/>
              <w:rPr>
                <w:rFonts w:hint="eastAsia" w:ascii="宋体" w:hAnsi="宋体" w:cs="宋体"/>
                <w:sz w:val="24"/>
              </w:rPr>
            </w:pPr>
            <w:r>
              <w:rPr>
                <w:rFonts w:hint="eastAsia" w:ascii="宋体" w:hAnsi="宋体" w:cs="宋体"/>
                <w:sz w:val="24"/>
              </w:rPr>
              <w:t xml:space="preserve"> (5)如无投标人提出异议，招标代理机构通过“文字互动”对话框通知各投标人进行电子签章。投标人应在《开标记录表》上进行电子签章，未进行电子签章的视为对开标结果无异议。</w:t>
            </w:r>
          </w:p>
          <w:p>
            <w:pPr>
              <w:pStyle w:val="19"/>
              <w:tabs>
                <w:tab w:val="left" w:pos="744"/>
              </w:tabs>
              <w:spacing w:before="4" w:line="360" w:lineRule="auto"/>
              <w:ind w:right="89"/>
              <w:rPr>
                <w:sz w:val="24"/>
                <w:szCs w:val="24"/>
              </w:rPr>
            </w:pPr>
            <w:r>
              <w:rPr>
                <w:rFonts w:hint="eastAsia"/>
                <w:kern w:val="2"/>
                <w:sz w:val="24"/>
                <w:szCs w:val="24"/>
                <w:lang w:val="en-US" w:bidi="ar-SA"/>
              </w:rPr>
              <w:t>（6）招标人（代理机构）签章并上传《开标记录表》，不见面开标活动结束。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6" w:type="dxa"/>
            <w:noWrap w:val="0"/>
            <w:vAlign w:val="center"/>
          </w:tcPr>
          <w:p>
            <w:pPr>
              <w:spacing w:line="360" w:lineRule="auto"/>
              <w:jc w:val="center"/>
              <w:rPr>
                <w:rFonts w:ascii="宋体" w:hAnsi="宋体"/>
                <w:sz w:val="24"/>
              </w:rPr>
            </w:pPr>
            <w:r>
              <w:rPr>
                <w:rFonts w:ascii="宋体" w:hAnsi="宋体"/>
                <w:sz w:val="24"/>
              </w:rPr>
              <w:t>6.1.1</w:t>
            </w:r>
          </w:p>
        </w:tc>
        <w:tc>
          <w:tcPr>
            <w:tcW w:w="2520" w:type="dxa"/>
            <w:noWrap w:val="0"/>
            <w:vAlign w:val="center"/>
          </w:tcPr>
          <w:p>
            <w:pPr>
              <w:spacing w:line="360" w:lineRule="auto"/>
              <w:jc w:val="center"/>
              <w:rPr>
                <w:rFonts w:ascii="宋体" w:hAnsi="宋体"/>
                <w:sz w:val="24"/>
              </w:rPr>
            </w:pPr>
            <w:r>
              <w:rPr>
                <w:rFonts w:hint="eastAsia" w:ascii="宋体" w:hAnsi="宋体"/>
                <w:sz w:val="24"/>
              </w:rPr>
              <w:t>评标委员会的组建</w:t>
            </w:r>
          </w:p>
        </w:tc>
        <w:tc>
          <w:tcPr>
            <w:tcW w:w="6268" w:type="dxa"/>
            <w:noWrap w:val="0"/>
            <w:vAlign w:val="center"/>
          </w:tcPr>
          <w:p>
            <w:pPr>
              <w:spacing w:line="360" w:lineRule="auto"/>
              <w:rPr>
                <w:rFonts w:ascii="宋体" w:hAnsi="宋体"/>
                <w:sz w:val="24"/>
              </w:rPr>
            </w:pPr>
            <w:r>
              <w:rPr>
                <w:rFonts w:ascii="宋体" w:hAnsi="宋体"/>
                <w:sz w:val="24"/>
              </w:rPr>
              <w:t>评标委员会</w:t>
            </w:r>
            <w:r>
              <w:rPr>
                <w:rFonts w:hint="eastAsia" w:ascii="宋体" w:hAnsi="宋体"/>
                <w:sz w:val="24"/>
              </w:rPr>
              <w:t>构成：</w:t>
            </w:r>
            <w:r>
              <w:rPr>
                <w:rFonts w:hint="eastAsia" w:ascii="宋体" w:hAnsi="宋体"/>
                <w:sz w:val="24"/>
                <w:u w:val="single"/>
              </w:rPr>
              <w:t xml:space="preserve"> 7 </w:t>
            </w:r>
            <w:r>
              <w:rPr>
                <w:rFonts w:hint="eastAsia" w:ascii="宋体" w:hAnsi="宋体"/>
                <w:sz w:val="24"/>
              </w:rPr>
              <w:t>人。其中招标人代表 1人，6人从河南省综合评标专家库中随机抽取。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6" w:type="dxa"/>
            <w:noWrap w:val="0"/>
            <w:vAlign w:val="center"/>
          </w:tcPr>
          <w:p>
            <w:pPr>
              <w:spacing w:line="360" w:lineRule="auto"/>
              <w:jc w:val="center"/>
              <w:rPr>
                <w:rFonts w:ascii="宋体" w:hAnsi="宋体"/>
                <w:sz w:val="24"/>
              </w:rPr>
            </w:pPr>
            <w:r>
              <w:rPr>
                <w:rFonts w:ascii="宋体" w:hAnsi="宋体"/>
                <w:sz w:val="24"/>
              </w:rPr>
              <w:t>7.1</w:t>
            </w:r>
          </w:p>
        </w:tc>
        <w:tc>
          <w:tcPr>
            <w:tcW w:w="2520" w:type="dxa"/>
            <w:noWrap w:val="0"/>
            <w:vAlign w:val="center"/>
          </w:tcPr>
          <w:p>
            <w:pPr>
              <w:spacing w:line="360" w:lineRule="auto"/>
              <w:jc w:val="center"/>
              <w:rPr>
                <w:rFonts w:hint="eastAsia" w:ascii="宋体" w:hAnsi="宋体"/>
                <w:sz w:val="24"/>
              </w:rPr>
            </w:pPr>
            <w:r>
              <w:rPr>
                <w:rFonts w:hint="eastAsia" w:ascii="宋体" w:hAnsi="宋体"/>
                <w:sz w:val="24"/>
              </w:rPr>
              <w:t>是否授权评标委员会确定中标人</w:t>
            </w:r>
          </w:p>
        </w:tc>
        <w:tc>
          <w:tcPr>
            <w:tcW w:w="6268" w:type="dxa"/>
            <w:noWrap w:val="0"/>
            <w:vAlign w:val="center"/>
          </w:tcPr>
          <w:p>
            <w:pPr>
              <w:spacing w:line="360" w:lineRule="auto"/>
              <w:rPr>
                <w:rFonts w:ascii="宋体" w:hAnsi="宋体"/>
                <w:sz w:val="24"/>
              </w:rPr>
            </w:pPr>
            <w:r>
              <w:rPr>
                <w:rFonts w:hint="eastAsia" w:ascii="宋体" w:hAnsi="宋体"/>
                <w:sz w:val="24"/>
              </w:rPr>
              <w:fldChar w:fldCharType="begin"/>
            </w:r>
            <w:r>
              <w:rPr>
                <w:rFonts w:hint="eastAsia" w:ascii="宋体" w:hAnsi="宋体"/>
                <w:sz w:val="24"/>
              </w:rPr>
              <w:instrText xml:space="preserve"> eq \o\ac(□,√)</w:instrText>
            </w:r>
            <w:r>
              <w:rPr>
                <w:rFonts w:hint="eastAsia" w:ascii="宋体" w:hAnsi="宋体"/>
                <w:sz w:val="24"/>
              </w:rPr>
              <w:fldChar w:fldCharType="end"/>
            </w:r>
            <w:r>
              <w:rPr>
                <w:rFonts w:hint="eastAsia" w:ascii="宋体" w:hAnsi="宋体"/>
                <w:sz w:val="24"/>
              </w:rPr>
              <w:t>否，</w:t>
            </w:r>
            <w:r>
              <w:rPr>
                <w:rFonts w:ascii="宋体" w:hAnsi="宋体"/>
                <w:sz w:val="24"/>
              </w:rPr>
              <w:t>推荐的中标候选人数</w:t>
            </w:r>
            <w:r>
              <w:rPr>
                <w:rFonts w:hint="eastAsia" w:ascii="宋体" w:hAnsi="宋体"/>
                <w:sz w:val="24"/>
              </w:rPr>
              <w:t>：1-3名。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6" w:type="dxa"/>
            <w:noWrap w:val="0"/>
            <w:vAlign w:val="center"/>
          </w:tcPr>
          <w:p>
            <w:pPr>
              <w:spacing w:line="360" w:lineRule="auto"/>
              <w:jc w:val="center"/>
              <w:rPr>
                <w:rFonts w:ascii="宋体" w:hAnsi="宋体"/>
                <w:sz w:val="24"/>
              </w:rPr>
            </w:pPr>
            <w:r>
              <w:rPr>
                <w:rFonts w:hint="eastAsia" w:ascii="宋体" w:hAnsi="宋体"/>
                <w:sz w:val="24"/>
              </w:rPr>
              <w:t>7.2</w:t>
            </w:r>
          </w:p>
        </w:tc>
        <w:tc>
          <w:tcPr>
            <w:tcW w:w="2520" w:type="dxa"/>
            <w:noWrap w:val="0"/>
            <w:vAlign w:val="center"/>
          </w:tcPr>
          <w:p>
            <w:pPr>
              <w:spacing w:line="360" w:lineRule="auto"/>
              <w:rPr>
                <w:rFonts w:ascii="宋体" w:hAnsi="宋体"/>
                <w:sz w:val="24"/>
              </w:rPr>
            </w:pPr>
            <w:r>
              <w:rPr>
                <w:rFonts w:hint="eastAsia" w:ascii="宋体" w:hAnsi="宋体"/>
                <w:sz w:val="24"/>
              </w:rPr>
              <w:t>中标候选人公示</w:t>
            </w:r>
          </w:p>
        </w:tc>
        <w:tc>
          <w:tcPr>
            <w:tcW w:w="6268" w:type="dxa"/>
            <w:noWrap w:val="0"/>
            <w:vAlign w:val="center"/>
          </w:tcPr>
          <w:p>
            <w:pPr>
              <w:spacing w:line="360" w:lineRule="auto"/>
              <w:rPr>
                <w:rFonts w:ascii="宋体" w:hAnsi="宋体"/>
                <w:sz w:val="24"/>
              </w:rPr>
            </w:pPr>
            <w:r>
              <w:rPr>
                <w:rFonts w:hint="eastAsia" w:ascii="宋体" w:hAnsi="宋体"/>
                <w:sz w:val="24"/>
              </w:rPr>
              <w:t>同时在《河南省电子招标投标公共服务平台》、《漯河市公共资源交易信息网》网站上发布，公示日期为3个工作日。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sz w:val="24"/>
              </w:rPr>
            </w:pPr>
            <w:r>
              <w:rPr>
                <w:rFonts w:hint="eastAsia" w:ascii="宋体" w:hAnsi="宋体"/>
                <w:sz w:val="24"/>
              </w:rPr>
              <w:t>8.1</w:t>
            </w:r>
          </w:p>
        </w:tc>
        <w:tc>
          <w:tcPr>
            <w:tcW w:w="2520" w:type="dxa"/>
            <w:noWrap w:val="0"/>
            <w:vAlign w:val="center"/>
          </w:tcPr>
          <w:p>
            <w:pPr>
              <w:spacing w:line="360" w:lineRule="auto"/>
              <w:jc w:val="center"/>
              <w:rPr>
                <w:rFonts w:ascii="宋体" w:hAnsi="宋体"/>
                <w:sz w:val="24"/>
              </w:rPr>
            </w:pPr>
            <w:r>
              <w:rPr>
                <w:rFonts w:hint="eastAsia" w:ascii="宋体" w:hAnsi="宋体"/>
                <w:spacing w:val="1"/>
                <w:sz w:val="24"/>
              </w:rPr>
              <w:t>重新招标的其他情形</w:t>
            </w:r>
          </w:p>
        </w:tc>
        <w:tc>
          <w:tcPr>
            <w:tcW w:w="6268" w:type="dxa"/>
            <w:noWrap w:val="0"/>
            <w:vAlign w:val="center"/>
          </w:tcPr>
          <w:p>
            <w:pPr>
              <w:spacing w:line="360" w:lineRule="auto"/>
              <w:rPr>
                <w:rFonts w:ascii="宋体" w:hAnsi="宋体"/>
                <w:sz w:val="24"/>
              </w:rPr>
            </w:pPr>
            <w:r>
              <w:rPr>
                <w:rFonts w:hint="eastAsia" w:ascii="宋体" w:hAnsi="宋体"/>
                <w:sz w:val="24"/>
              </w:rPr>
              <w:t>1.投标截止时间止，投标人少于3家的；</w:t>
            </w:r>
          </w:p>
          <w:p>
            <w:pPr>
              <w:spacing w:line="360" w:lineRule="auto"/>
              <w:rPr>
                <w:rFonts w:ascii="宋体" w:hAnsi="宋体"/>
                <w:sz w:val="24"/>
              </w:rPr>
            </w:pPr>
            <w:r>
              <w:rPr>
                <w:rFonts w:hint="eastAsia" w:ascii="宋体" w:hAnsi="宋体"/>
                <w:sz w:val="24"/>
              </w:rPr>
              <w:t>2.经评标委员会评审后否决所有投标的；</w:t>
            </w:r>
          </w:p>
          <w:p>
            <w:pPr>
              <w:spacing w:line="360" w:lineRule="auto"/>
              <w:rPr>
                <w:rFonts w:hint="eastAsia" w:ascii="宋体" w:hAnsi="宋体"/>
                <w:sz w:val="24"/>
              </w:rPr>
            </w:pPr>
            <w:r>
              <w:rPr>
                <w:rFonts w:hint="eastAsia" w:ascii="宋体" w:hAnsi="宋体"/>
                <w:sz w:val="24"/>
              </w:rPr>
              <w:t>3.除非已经产生中标候选人，在投标有效期内同意延长投标有效期的投标人少于三个的，招标人应当依法重新招标。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ascii="宋体" w:hAnsi="宋体"/>
                <w:b/>
                <w:sz w:val="24"/>
              </w:rPr>
            </w:pPr>
            <w:r>
              <w:rPr>
                <w:rFonts w:hint="eastAsia" w:ascii="宋体" w:hAnsi="宋体"/>
                <w:b/>
                <w:sz w:val="24"/>
              </w:rPr>
              <w:t>10</w:t>
            </w:r>
          </w:p>
        </w:tc>
        <w:tc>
          <w:tcPr>
            <w:tcW w:w="8788" w:type="dxa"/>
            <w:gridSpan w:val="2"/>
            <w:noWrap w:val="0"/>
            <w:vAlign w:val="center"/>
          </w:tcPr>
          <w:p>
            <w:pPr>
              <w:spacing w:line="360" w:lineRule="auto"/>
              <w:rPr>
                <w:rFonts w:ascii="宋体" w:hAnsi="宋体"/>
                <w:b/>
                <w:sz w:val="24"/>
              </w:rPr>
            </w:pPr>
            <w:r>
              <w:rPr>
                <w:rFonts w:hint="eastAsia" w:ascii="宋体" w:hAnsi="宋体"/>
                <w:b/>
                <w:sz w:val="24"/>
              </w:rPr>
              <w:t>需要</w:t>
            </w:r>
            <w:r>
              <w:rPr>
                <w:rFonts w:ascii="宋体" w:hAnsi="宋体"/>
                <w:b/>
                <w:sz w:val="24"/>
              </w:rPr>
              <w:t>补充</w:t>
            </w:r>
            <w:r>
              <w:rPr>
                <w:rFonts w:hint="eastAsia" w:ascii="宋体" w:hAnsi="宋体"/>
                <w:b/>
                <w:sz w:val="24"/>
              </w:rPr>
              <w:t>的其他</w:t>
            </w:r>
            <w:r>
              <w:rPr>
                <w:rFonts w:ascii="宋体" w:hAnsi="宋体"/>
                <w:b/>
                <w:sz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w:t>
            </w:r>
            <w:r>
              <w:rPr>
                <w:rFonts w:ascii="宋体" w:hAnsi="宋体"/>
                <w:sz w:val="24"/>
              </w:rPr>
              <w:t>0.1</w:t>
            </w:r>
          </w:p>
        </w:tc>
        <w:tc>
          <w:tcPr>
            <w:tcW w:w="8788" w:type="dxa"/>
            <w:gridSpan w:val="2"/>
            <w:noWrap w:val="0"/>
            <w:vAlign w:val="center"/>
          </w:tcPr>
          <w:p>
            <w:pPr>
              <w:spacing w:line="360" w:lineRule="auto"/>
              <w:rPr>
                <w:rFonts w:hint="eastAsia" w:ascii="宋体" w:hAnsi="宋体"/>
                <w:sz w:val="24"/>
              </w:rPr>
            </w:pPr>
            <w:r>
              <w:rPr>
                <w:rFonts w:hint="eastAsia" w:ascii="宋体" w:hAnsi="宋体"/>
                <w:sz w:val="24"/>
              </w:rPr>
              <w:t>词语定义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10.</w:t>
            </w:r>
            <w:r>
              <w:rPr>
                <w:rFonts w:ascii="宋体" w:hAnsi="宋体"/>
                <w:sz w:val="24"/>
              </w:rPr>
              <w:t>1.1</w:t>
            </w:r>
          </w:p>
        </w:tc>
        <w:tc>
          <w:tcPr>
            <w:tcW w:w="2520" w:type="dxa"/>
            <w:noWrap w:val="0"/>
            <w:vAlign w:val="center"/>
          </w:tcPr>
          <w:p>
            <w:pPr>
              <w:spacing w:line="360" w:lineRule="auto"/>
              <w:jc w:val="center"/>
              <w:rPr>
                <w:rFonts w:hint="eastAsia" w:ascii="宋体" w:hAnsi="宋体"/>
                <w:sz w:val="24"/>
              </w:rPr>
            </w:pPr>
            <w:r>
              <w:rPr>
                <w:rFonts w:hint="eastAsia" w:ascii="宋体" w:hAnsi="宋体" w:cs="宋体"/>
                <w:sz w:val="24"/>
              </w:rPr>
              <w:t>企业类似项目</w:t>
            </w:r>
          </w:p>
        </w:tc>
        <w:tc>
          <w:tcPr>
            <w:tcW w:w="6268" w:type="dxa"/>
            <w:noWrap w:val="0"/>
            <w:vAlign w:val="center"/>
          </w:tcPr>
          <w:p>
            <w:pPr>
              <w:spacing w:line="360" w:lineRule="auto"/>
              <w:rPr>
                <w:rFonts w:hint="eastAsia" w:ascii="宋体" w:hAnsi="宋体"/>
                <w:sz w:val="24"/>
              </w:rPr>
            </w:pPr>
            <w:r>
              <w:rPr>
                <w:rFonts w:hint="eastAsia" w:ascii="宋体" w:hAnsi="宋体" w:cs="宋体"/>
                <w:snapToGrid w:val="0"/>
                <w:sz w:val="24"/>
              </w:rPr>
              <w:t>指2017年1月1日以来承建的公共建筑类工程（需提供中标</w:t>
            </w:r>
            <w:r>
              <w:rPr>
                <w:rFonts w:hint="eastAsia" w:ascii="宋体" w:hAnsi="宋体"/>
                <w:sz w:val="24"/>
              </w:rPr>
              <w:t>公示网页截图、中标通知书、施工合同）。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w:t>
            </w:r>
            <w:r>
              <w:rPr>
                <w:rFonts w:ascii="宋体" w:hAnsi="宋体"/>
                <w:sz w:val="24"/>
              </w:rPr>
              <w:t>0.2</w:t>
            </w:r>
          </w:p>
        </w:tc>
        <w:tc>
          <w:tcPr>
            <w:tcW w:w="8788" w:type="dxa"/>
            <w:gridSpan w:val="2"/>
            <w:noWrap w:val="0"/>
            <w:vAlign w:val="center"/>
          </w:tcPr>
          <w:p>
            <w:pPr>
              <w:spacing w:line="360" w:lineRule="auto"/>
              <w:rPr>
                <w:rFonts w:hint="eastAsia" w:ascii="宋体" w:hAnsi="宋体"/>
                <w:sz w:val="24"/>
              </w:rPr>
            </w:pPr>
            <w:r>
              <w:rPr>
                <w:rFonts w:hint="eastAsia" w:ascii="宋体" w:hAnsi="宋体"/>
                <w:sz w:val="24"/>
              </w:rPr>
              <w:t>最高投标限价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10.</w:t>
            </w:r>
            <w:r>
              <w:rPr>
                <w:rFonts w:ascii="宋体" w:hAnsi="宋体"/>
                <w:sz w:val="24"/>
              </w:rPr>
              <w:t>2.1</w:t>
            </w:r>
          </w:p>
        </w:tc>
        <w:tc>
          <w:tcPr>
            <w:tcW w:w="2520" w:type="dxa"/>
            <w:noWrap w:val="0"/>
            <w:vAlign w:val="center"/>
          </w:tcPr>
          <w:p>
            <w:pPr>
              <w:spacing w:line="360" w:lineRule="auto"/>
              <w:jc w:val="center"/>
              <w:rPr>
                <w:rFonts w:hint="eastAsia" w:ascii="宋体" w:hAnsi="宋体"/>
                <w:sz w:val="24"/>
              </w:rPr>
            </w:pPr>
            <w:r>
              <w:rPr>
                <w:rFonts w:hint="eastAsia" w:ascii="宋体" w:hAnsi="宋体"/>
                <w:spacing w:val="1"/>
                <w:sz w:val="24"/>
              </w:rPr>
              <w:t>最高投标限价</w:t>
            </w:r>
          </w:p>
        </w:tc>
        <w:tc>
          <w:tcPr>
            <w:tcW w:w="6268" w:type="dxa"/>
            <w:noWrap w:val="0"/>
            <w:vAlign w:val="center"/>
          </w:tcPr>
          <w:p>
            <w:pPr>
              <w:adjustRightInd w:val="0"/>
              <w:snapToGrid w:val="0"/>
              <w:spacing w:line="440" w:lineRule="exact"/>
              <w:rPr>
                <w:rFonts w:hint="eastAsia" w:ascii="宋体" w:hAnsi="宋体" w:cs="宋体"/>
                <w:sz w:val="24"/>
              </w:rPr>
            </w:pPr>
            <w:r>
              <w:rPr>
                <w:rFonts w:hint="eastAsia" w:ascii="宋体" w:hAnsi="宋体" w:cs="宋体"/>
                <w:sz w:val="24"/>
              </w:rPr>
              <w:t>本工程设最高投标限价：</w:t>
            </w:r>
            <w:r>
              <w:rPr>
                <w:rFonts w:hint="eastAsia" w:ascii="宋体"/>
                <w:b/>
                <w:bCs/>
                <w:kern w:val="0"/>
                <w:sz w:val="24"/>
                <w:u w:val="single"/>
                <w:lang w:val="en-US" w:eastAsia="zh-CN"/>
              </w:rPr>
              <w:t>56112153.06</w:t>
            </w:r>
            <w:r>
              <w:rPr>
                <w:rFonts w:hint="eastAsia" w:ascii="宋体" w:hAnsi="宋体" w:cs="宋体"/>
                <w:b/>
                <w:bCs/>
                <w:sz w:val="24"/>
                <w:szCs w:val="22"/>
                <w:u w:val="single"/>
              </w:rPr>
              <w:t>元。</w:t>
            </w:r>
          </w:p>
          <w:p>
            <w:pPr>
              <w:spacing w:line="440" w:lineRule="exact"/>
              <w:rPr>
                <w:rFonts w:hint="eastAsia" w:ascii="宋体" w:hAnsi="宋体"/>
              </w:rPr>
            </w:pPr>
            <w:r>
              <w:rPr>
                <w:rFonts w:hint="eastAsia" w:hAnsi="宋体" w:cs="宋体"/>
                <w:b/>
                <w:sz w:val="24"/>
                <w:szCs w:val="24"/>
              </w:rPr>
              <w:t>凡投标人的投标报价高于招标控制价（不含等于“招标控制价”）的，该投标人的投标文件应予拒绝。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w:t>
            </w:r>
            <w:r>
              <w:rPr>
                <w:rFonts w:ascii="宋体" w:hAnsi="宋体"/>
                <w:sz w:val="24"/>
              </w:rPr>
              <w:t>0.3</w:t>
            </w:r>
          </w:p>
        </w:tc>
        <w:tc>
          <w:tcPr>
            <w:tcW w:w="8788" w:type="dxa"/>
            <w:gridSpan w:val="2"/>
            <w:noWrap w:val="0"/>
            <w:vAlign w:val="center"/>
          </w:tcPr>
          <w:p>
            <w:pPr>
              <w:spacing w:line="360" w:lineRule="auto"/>
              <w:rPr>
                <w:rFonts w:hint="eastAsia" w:ascii="宋体" w:hAnsi="宋体"/>
                <w:sz w:val="24"/>
              </w:rPr>
            </w:pPr>
            <w:r>
              <w:rPr>
                <w:rFonts w:hint="eastAsia" w:ascii="宋体" w:hAnsi="宋体"/>
                <w:spacing w:val="1"/>
                <w:sz w:val="24"/>
              </w:rPr>
              <w:t>暗标评审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p>
        </w:tc>
        <w:tc>
          <w:tcPr>
            <w:tcW w:w="2520" w:type="dxa"/>
            <w:noWrap w:val="0"/>
            <w:vAlign w:val="center"/>
          </w:tcPr>
          <w:p>
            <w:pPr>
              <w:spacing w:line="360" w:lineRule="auto"/>
              <w:jc w:val="center"/>
              <w:rPr>
                <w:rFonts w:hint="eastAsia" w:ascii="宋体" w:hAnsi="宋体"/>
                <w:spacing w:val="1"/>
                <w:sz w:val="24"/>
              </w:rPr>
            </w:pPr>
            <w:r>
              <w:rPr>
                <w:rFonts w:hint="eastAsia"/>
                <w:sz w:val="24"/>
              </w:rPr>
              <w:t>技术标是否采用“暗标”评审方式</w:t>
            </w:r>
          </w:p>
        </w:tc>
        <w:tc>
          <w:tcPr>
            <w:tcW w:w="6268" w:type="dxa"/>
            <w:noWrap w:val="0"/>
            <w:vAlign w:val="center"/>
          </w:tcPr>
          <w:p>
            <w:pPr>
              <w:spacing w:line="360" w:lineRule="auto"/>
              <w:rPr>
                <w:rFonts w:hint="eastAsia" w:ascii="宋体" w:hAnsi="宋体"/>
                <w:sz w:val="24"/>
              </w:rPr>
            </w:pPr>
            <w:r>
              <w:rPr>
                <w:rFonts w:hint="eastAsia"/>
                <w:sz w:val="24"/>
              </w:rPr>
              <w:t>不采用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10.4</w:t>
            </w:r>
          </w:p>
        </w:tc>
        <w:tc>
          <w:tcPr>
            <w:tcW w:w="8788" w:type="dxa"/>
            <w:gridSpan w:val="2"/>
            <w:noWrap w:val="0"/>
            <w:vAlign w:val="center"/>
          </w:tcPr>
          <w:p>
            <w:pPr>
              <w:spacing w:line="360" w:lineRule="auto"/>
              <w:rPr>
                <w:rFonts w:hint="eastAsia" w:ascii="宋体" w:hAnsi="宋体"/>
                <w:sz w:val="24"/>
              </w:rPr>
            </w:pPr>
            <w:r>
              <w:rPr>
                <w:rFonts w:hint="eastAsia" w:hAnsi="宋体" w:cs="宋体"/>
                <w:sz w:val="24"/>
              </w:rPr>
              <w:t>投标人代表出席开标会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p>
        </w:tc>
        <w:tc>
          <w:tcPr>
            <w:tcW w:w="8788" w:type="dxa"/>
            <w:gridSpan w:val="2"/>
            <w:noWrap w:val="0"/>
            <w:vAlign w:val="center"/>
          </w:tcPr>
          <w:p>
            <w:pPr>
              <w:spacing w:line="360" w:lineRule="auto"/>
              <w:rPr>
                <w:rFonts w:hint="eastAsia" w:ascii="宋体" w:hAnsi="宋体"/>
                <w:sz w:val="24"/>
              </w:rPr>
            </w:pPr>
            <w:r>
              <w:rPr>
                <w:rFonts w:hint="eastAsia" w:hAnsi="宋体" w:cs="宋体"/>
                <w:sz w:val="24"/>
              </w:rPr>
              <w:t>投标人准时在网上参加投标、开标活动。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10.5</w:t>
            </w:r>
          </w:p>
        </w:tc>
        <w:tc>
          <w:tcPr>
            <w:tcW w:w="8788" w:type="dxa"/>
            <w:gridSpan w:val="2"/>
            <w:noWrap w:val="0"/>
            <w:vAlign w:val="center"/>
          </w:tcPr>
          <w:p>
            <w:pPr>
              <w:spacing w:line="360" w:lineRule="auto"/>
              <w:rPr>
                <w:rFonts w:hint="eastAsia" w:ascii="宋体" w:hAnsi="宋体"/>
                <w:sz w:val="24"/>
              </w:rPr>
            </w:pPr>
            <w:r>
              <w:rPr>
                <w:rFonts w:hint="eastAsia" w:hAnsi="宋体" w:cs="宋体"/>
                <w:sz w:val="24"/>
              </w:rPr>
              <w:t>中标公示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p>
        </w:tc>
        <w:tc>
          <w:tcPr>
            <w:tcW w:w="8788" w:type="dxa"/>
            <w:gridSpan w:val="2"/>
            <w:noWrap w:val="0"/>
            <w:vAlign w:val="center"/>
          </w:tcPr>
          <w:p>
            <w:pPr>
              <w:spacing w:line="360" w:lineRule="auto"/>
              <w:rPr>
                <w:rFonts w:hint="eastAsia" w:ascii="宋体" w:hAnsi="宋体" w:cs="宋体"/>
                <w:sz w:val="24"/>
              </w:rPr>
            </w:pPr>
            <w:r>
              <w:rPr>
                <w:rFonts w:hint="eastAsia" w:ascii="宋体" w:hAnsi="宋体" w:cs="宋体"/>
                <w:sz w:val="24"/>
              </w:rPr>
              <w:t>在中标通知书发出前，招标人将中标候选人的情况在《全国公共资源交易平台（河南省•许昌市）》和《河南省电子招标投标公共服务平台》上予以公示，公示期不少于3日。中标企业领取中标通知书时需提供自在经营活动中没有重大违法记录（以“信用中国”网站（http://www.creditchina.gov.cn/）信用报告和“中国裁判文书网”查询截图或网页版打印）。若中标候选人第一名存在重大违法记录，按照招标委员会提供的评标报告，按序推荐中标候选人，若均存在行贿犯罪记录，则招标人重新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10.6</w:t>
            </w:r>
          </w:p>
        </w:tc>
        <w:tc>
          <w:tcPr>
            <w:tcW w:w="8788" w:type="dxa"/>
            <w:gridSpan w:val="2"/>
            <w:noWrap w:val="0"/>
            <w:vAlign w:val="center"/>
          </w:tcPr>
          <w:p>
            <w:pPr>
              <w:spacing w:line="360" w:lineRule="auto"/>
              <w:rPr>
                <w:rFonts w:hint="eastAsia" w:ascii="宋体" w:hAnsi="宋体"/>
                <w:bCs/>
                <w:sz w:val="24"/>
              </w:rPr>
            </w:pPr>
            <w:r>
              <w:rPr>
                <w:rFonts w:hint="eastAsia" w:ascii="宋体" w:hAnsi="宋体"/>
                <w:bCs/>
                <w:spacing w:val="1"/>
                <w:sz w:val="24"/>
                <w:lang w:val="zh-CN"/>
              </w:rPr>
              <w:t>知识产权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p>
        </w:tc>
        <w:tc>
          <w:tcPr>
            <w:tcW w:w="8788" w:type="dxa"/>
            <w:gridSpan w:val="2"/>
            <w:noWrap w:val="0"/>
            <w:vAlign w:val="center"/>
          </w:tcPr>
          <w:p>
            <w:pPr>
              <w:spacing w:line="360" w:lineRule="auto"/>
              <w:rPr>
                <w:rFonts w:hint="eastAsia" w:ascii="宋体" w:hAnsi="宋体"/>
                <w:bCs/>
                <w:spacing w:val="1"/>
                <w:sz w:val="24"/>
                <w:lang w:val="zh-CN"/>
              </w:rPr>
            </w:pPr>
            <w:r>
              <w:rPr>
                <w:rFonts w:hint="eastAsia" w:hAnsi="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10.7</w:t>
            </w:r>
          </w:p>
        </w:tc>
        <w:tc>
          <w:tcPr>
            <w:tcW w:w="8788" w:type="dxa"/>
            <w:gridSpan w:val="2"/>
            <w:noWrap w:val="0"/>
            <w:vAlign w:val="center"/>
          </w:tcPr>
          <w:p>
            <w:pPr>
              <w:spacing w:line="360" w:lineRule="auto"/>
              <w:rPr>
                <w:rFonts w:hint="eastAsia" w:ascii="宋体" w:hAnsi="宋体"/>
                <w:sz w:val="24"/>
              </w:rPr>
            </w:pPr>
            <w:r>
              <w:rPr>
                <w:rFonts w:hint="eastAsia" w:hAnsi="宋体" w:cs="宋体"/>
                <w:sz w:val="24"/>
              </w:rPr>
              <w:t>同义词语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p>
        </w:tc>
        <w:tc>
          <w:tcPr>
            <w:tcW w:w="8788" w:type="dxa"/>
            <w:gridSpan w:val="2"/>
            <w:noWrap w:val="0"/>
            <w:vAlign w:val="center"/>
          </w:tcPr>
          <w:p>
            <w:pPr>
              <w:spacing w:line="360" w:lineRule="auto"/>
              <w:rPr>
                <w:rFonts w:hint="eastAsia" w:hAnsi="宋体" w:cs="宋体"/>
                <w:sz w:val="24"/>
              </w:rPr>
            </w:pPr>
            <w:r>
              <w:rPr>
                <w:rFonts w:hint="eastAsia" w:hAnsi="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w:t>
            </w:r>
            <w:r>
              <w:rPr>
                <w:rFonts w:ascii="宋体" w:hAnsi="宋体"/>
                <w:sz w:val="24"/>
              </w:rPr>
              <w:t>0.8</w:t>
            </w:r>
          </w:p>
        </w:tc>
        <w:tc>
          <w:tcPr>
            <w:tcW w:w="8788" w:type="dxa"/>
            <w:gridSpan w:val="2"/>
            <w:noWrap w:val="0"/>
            <w:vAlign w:val="center"/>
          </w:tcPr>
          <w:p>
            <w:pPr>
              <w:spacing w:line="360" w:lineRule="auto"/>
              <w:rPr>
                <w:rFonts w:hint="eastAsia" w:hAnsi="宋体" w:cs="宋体"/>
                <w:sz w:val="24"/>
              </w:rPr>
            </w:pPr>
            <w:r>
              <w:rPr>
                <w:rFonts w:hint="eastAsia" w:hAnsi="宋体" w:cs="宋体"/>
                <w:sz w:val="24"/>
              </w:rPr>
              <w:t>监督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p>
        </w:tc>
        <w:tc>
          <w:tcPr>
            <w:tcW w:w="8788" w:type="dxa"/>
            <w:gridSpan w:val="2"/>
            <w:noWrap w:val="0"/>
            <w:vAlign w:val="center"/>
          </w:tcPr>
          <w:p>
            <w:pPr>
              <w:spacing w:line="360" w:lineRule="auto"/>
              <w:rPr>
                <w:rFonts w:hint="eastAsia" w:hAnsi="宋体" w:cs="宋体"/>
                <w:sz w:val="24"/>
              </w:rPr>
            </w:pPr>
            <w:r>
              <w:rPr>
                <w:rFonts w:hint="eastAsia" w:hAnsi="宋体" w:cs="宋体"/>
                <w:sz w:val="24"/>
              </w:rPr>
              <w:t>本项目的招标投标活动及其相关当事人应当接受有管辖权的建设工程招标投标行政监督部门依法实施的监督。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w:t>
            </w:r>
            <w:r>
              <w:rPr>
                <w:rFonts w:ascii="宋体" w:hAnsi="宋体"/>
                <w:sz w:val="24"/>
              </w:rPr>
              <w:t>0.9</w:t>
            </w:r>
          </w:p>
        </w:tc>
        <w:tc>
          <w:tcPr>
            <w:tcW w:w="8788" w:type="dxa"/>
            <w:gridSpan w:val="2"/>
            <w:noWrap w:val="0"/>
            <w:vAlign w:val="center"/>
          </w:tcPr>
          <w:p>
            <w:pPr>
              <w:spacing w:line="360" w:lineRule="auto"/>
              <w:rPr>
                <w:rFonts w:hint="eastAsia" w:hAnsi="宋体" w:cs="宋体"/>
                <w:sz w:val="24"/>
              </w:rPr>
            </w:pPr>
            <w:r>
              <w:rPr>
                <w:rFonts w:hint="eastAsia" w:hAnsi="宋体" w:cs="宋体"/>
                <w:sz w:val="24"/>
              </w:rPr>
              <w:t>解释权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p>
        </w:tc>
        <w:tc>
          <w:tcPr>
            <w:tcW w:w="8788" w:type="dxa"/>
            <w:gridSpan w:val="2"/>
            <w:noWrap w:val="0"/>
            <w:vAlign w:val="center"/>
          </w:tcPr>
          <w:p>
            <w:pPr>
              <w:spacing w:line="360" w:lineRule="auto"/>
              <w:rPr>
                <w:rFonts w:hint="eastAsia" w:ascii="宋体" w:hAnsi="宋体" w:cs="宋体"/>
                <w:sz w:val="24"/>
              </w:rPr>
            </w:pPr>
            <w:r>
              <w:rPr>
                <w:rFonts w:hint="eastAsia" w:ascii="宋体" w:hAnsi="宋体" w:cs="宋体"/>
                <w:sz w:val="24"/>
              </w:rPr>
              <w:t>构成本招标文件的各个组成文件应互为解释，互为说明；</w:t>
            </w:r>
          </w:p>
          <w:p>
            <w:pPr>
              <w:spacing w:line="360" w:lineRule="auto"/>
              <w:rPr>
                <w:rFonts w:hint="eastAsia" w:ascii="宋体" w:hAnsi="宋体" w:cs="宋体"/>
                <w:sz w:val="24"/>
              </w:rPr>
            </w:pPr>
            <w:r>
              <w:rPr>
                <w:rFonts w:hint="eastAsia" w:ascii="宋体" w:hAnsi="宋体" w:cs="宋体"/>
                <w:sz w:val="24"/>
              </w:rPr>
              <w:t>1、如有不明确或不一致，构成合同文件组成内容，以合同文件约定内容为准，且以专用合同条款约定的合同文件优先顺序解释；</w:t>
            </w:r>
          </w:p>
          <w:p>
            <w:pPr>
              <w:spacing w:line="360" w:lineRule="auto"/>
              <w:rPr>
                <w:rFonts w:hint="eastAsia" w:ascii="宋体" w:hAnsi="宋体" w:cs="宋体"/>
                <w:sz w:val="24"/>
              </w:rPr>
            </w:pPr>
            <w:r>
              <w:rPr>
                <w:rFonts w:hint="eastAsia" w:ascii="宋体" w:hAnsi="宋体" w:cs="宋体"/>
                <w:sz w:val="24"/>
              </w:rPr>
              <w:t>2、除招标文件中有特别规定外，仅适用于招标投标阶段的规定，按招标公告（投标邀请书）、投标人须知、评标办法、投标文件格式的先后顺序解释；</w:t>
            </w:r>
          </w:p>
          <w:p>
            <w:pPr>
              <w:spacing w:line="360" w:lineRule="auto"/>
              <w:rPr>
                <w:rFonts w:hint="eastAsia" w:ascii="宋体" w:hAnsi="宋体" w:cs="宋体"/>
                <w:sz w:val="24"/>
              </w:rPr>
            </w:pPr>
            <w:r>
              <w:rPr>
                <w:rFonts w:hint="eastAsia" w:ascii="宋体" w:hAnsi="宋体" w:cs="宋体"/>
                <w:sz w:val="24"/>
              </w:rPr>
              <w:t>3、同一组成文件中就同一事项的规定或约定不一致的，以编排顺序在后者为准；</w:t>
            </w:r>
          </w:p>
          <w:p>
            <w:pPr>
              <w:spacing w:line="360" w:lineRule="auto"/>
              <w:rPr>
                <w:rFonts w:hint="eastAsia" w:ascii="宋体" w:hAnsi="宋体" w:cs="宋体"/>
                <w:sz w:val="24"/>
              </w:rPr>
            </w:pPr>
            <w:r>
              <w:rPr>
                <w:rFonts w:hint="eastAsia" w:ascii="宋体" w:hAnsi="宋体" w:cs="宋体"/>
                <w:sz w:val="24"/>
              </w:rPr>
              <w:t>4、同一组成文件不同版本之间有不一致的，以形成时间在后者为准。</w:t>
            </w:r>
          </w:p>
          <w:p>
            <w:pPr>
              <w:spacing w:line="360" w:lineRule="auto"/>
              <w:rPr>
                <w:rFonts w:hint="eastAsia" w:ascii="宋体" w:hAnsi="宋体" w:cs="宋体"/>
                <w:sz w:val="24"/>
              </w:rPr>
            </w:pPr>
            <w:r>
              <w:rPr>
                <w:rFonts w:hint="eastAsia" w:ascii="宋体" w:hAnsi="宋体" w:cs="宋体"/>
                <w:sz w:val="24"/>
              </w:rPr>
              <w:t>按本款前述规定仍不能形成结论的，由招标人负责解释。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10.</w:t>
            </w:r>
            <w:r>
              <w:rPr>
                <w:rFonts w:ascii="宋体" w:hAnsi="宋体"/>
                <w:sz w:val="24"/>
              </w:rPr>
              <w:t>10</w:t>
            </w:r>
          </w:p>
        </w:tc>
        <w:tc>
          <w:tcPr>
            <w:tcW w:w="8788" w:type="dxa"/>
            <w:gridSpan w:val="2"/>
            <w:noWrap w:val="0"/>
            <w:vAlign w:val="center"/>
          </w:tcPr>
          <w:p>
            <w:pPr>
              <w:spacing w:line="360" w:lineRule="auto"/>
              <w:rPr>
                <w:rFonts w:hint="eastAsia" w:ascii="宋体" w:hAnsi="宋体"/>
                <w:b/>
                <w:bCs/>
                <w:sz w:val="24"/>
              </w:rPr>
            </w:pPr>
            <w:r>
              <w:rPr>
                <w:rFonts w:hint="eastAsia" w:hAnsi="宋体" w:cs="宋体"/>
                <w:b/>
                <w:sz w:val="24"/>
              </w:rPr>
              <w:t>招标人补充的其他内容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w:t>
            </w:r>
            <w:r>
              <w:rPr>
                <w:rFonts w:ascii="宋体" w:hAnsi="宋体"/>
                <w:sz w:val="24"/>
              </w:rPr>
              <w:t>0.10.1</w:t>
            </w:r>
          </w:p>
        </w:tc>
        <w:tc>
          <w:tcPr>
            <w:tcW w:w="8788" w:type="dxa"/>
            <w:gridSpan w:val="2"/>
            <w:noWrap w:val="0"/>
            <w:vAlign w:val="center"/>
          </w:tcPr>
          <w:p>
            <w:pPr>
              <w:spacing w:line="360" w:lineRule="auto"/>
              <w:rPr>
                <w:rFonts w:hint="eastAsia" w:ascii="宋体" w:hAnsi="宋体"/>
                <w:sz w:val="24"/>
              </w:rPr>
            </w:pPr>
            <w:r>
              <w:rPr>
                <w:rFonts w:hint="eastAsia" w:hAnsi="宋体" w:cs="宋体"/>
                <w:sz w:val="24"/>
              </w:rPr>
              <w:t>投标文件的拒收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p>
        </w:tc>
        <w:tc>
          <w:tcPr>
            <w:tcW w:w="8788" w:type="dxa"/>
            <w:gridSpan w:val="2"/>
            <w:noWrap w:val="0"/>
            <w:vAlign w:val="center"/>
          </w:tcPr>
          <w:p>
            <w:pPr>
              <w:spacing w:line="360" w:lineRule="auto"/>
              <w:rPr>
                <w:rFonts w:ascii="宋体" w:hAnsi="宋体"/>
                <w:sz w:val="24"/>
              </w:rPr>
            </w:pPr>
            <w:r>
              <w:rPr>
                <w:rFonts w:hint="eastAsia" w:ascii="宋体" w:hAnsi="宋体"/>
                <w:sz w:val="24"/>
              </w:rPr>
              <w:t>1、未成功上传的投标文件；</w:t>
            </w:r>
          </w:p>
          <w:p>
            <w:pPr>
              <w:spacing w:line="360" w:lineRule="auto"/>
              <w:rPr>
                <w:rFonts w:hint="eastAsia" w:ascii="宋体" w:hAnsi="宋体"/>
                <w:sz w:val="24"/>
              </w:rPr>
            </w:pPr>
            <w:r>
              <w:rPr>
                <w:rFonts w:hint="eastAsia" w:ascii="宋体" w:hAnsi="宋体"/>
                <w:sz w:val="24"/>
              </w:rPr>
              <w:t>2、未进行解密或未按要求成功解密的投标文件。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r>
              <w:rPr>
                <w:rFonts w:hint="eastAsia" w:ascii="宋体" w:hAnsi="宋体"/>
                <w:sz w:val="24"/>
              </w:rPr>
              <w:t>1</w:t>
            </w:r>
            <w:r>
              <w:rPr>
                <w:rFonts w:ascii="宋体" w:hAnsi="宋体"/>
                <w:sz w:val="24"/>
              </w:rPr>
              <w:t>0.11</w:t>
            </w:r>
          </w:p>
        </w:tc>
        <w:tc>
          <w:tcPr>
            <w:tcW w:w="8788" w:type="dxa"/>
            <w:gridSpan w:val="2"/>
            <w:noWrap w:val="0"/>
            <w:vAlign w:val="center"/>
          </w:tcPr>
          <w:p>
            <w:pPr>
              <w:spacing w:line="360" w:lineRule="auto"/>
              <w:rPr>
                <w:rFonts w:hint="eastAsia" w:ascii="宋体" w:hAnsi="宋体"/>
                <w:b/>
                <w:bCs/>
                <w:sz w:val="24"/>
              </w:rPr>
            </w:pPr>
            <w:r>
              <w:rPr>
                <w:rFonts w:hint="eastAsia" w:ascii="宋体" w:hAnsi="宋体"/>
                <w:b/>
                <w:bCs/>
                <w:sz w:val="24"/>
              </w:rPr>
              <w:t>相关费用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rPr>
                <w:rFonts w:hint="eastAsia" w:ascii="宋体" w:hAnsi="宋体"/>
                <w:sz w:val="24"/>
              </w:rPr>
            </w:pPr>
          </w:p>
        </w:tc>
        <w:tc>
          <w:tcPr>
            <w:tcW w:w="8788" w:type="dxa"/>
            <w:gridSpan w:val="2"/>
            <w:noWrap w:val="0"/>
            <w:vAlign w:val="center"/>
          </w:tcPr>
          <w:p>
            <w:pPr>
              <w:spacing w:line="360" w:lineRule="auto"/>
              <w:rPr>
                <w:rFonts w:hint="eastAsia" w:ascii="宋体" w:hAnsi="宋体"/>
                <w:sz w:val="24"/>
              </w:rPr>
            </w:pPr>
            <w:r>
              <w:rPr>
                <w:rFonts w:hint="eastAsia" w:ascii="宋体" w:hAnsi="宋体"/>
                <w:sz w:val="24"/>
              </w:rPr>
              <w:t>本项目招标代理服务费由中标人支付，收费标准参照原国家计委关于印发《招标代理服务收费管理暂行办法》的通知（计价格〔2002〕1980号）和国家发展改革委办公厅关于招标代理服务收费有关问题的通知（发改办价格〔2003〕857号）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rPr>
                <w:rFonts w:hint="eastAsia" w:ascii="宋体" w:hAnsi="宋体"/>
                <w:sz w:val="24"/>
              </w:rPr>
            </w:pPr>
            <w:r>
              <w:rPr>
                <w:rFonts w:hint="eastAsia" w:ascii="宋体" w:hAnsi="宋体"/>
                <w:sz w:val="24"/>
              </w:rPr>
              <w:t>1</w:t>
            </w:r>
            <w:r>
              <w:rPr>
                <w:rFonts w:ascii="宋体" w:hAnsi="宋体"/>
                <w:sz w:val="24"/>
              </w:rPr>
              <w:t>0.12</w:t>
            </w:r>
          </w:p>
        </w:tc>
        <w:tc>
          <w:tcPr>
            <w:tcW w:w="8788" w:type="dxa"/>
            <w:gridSpan w:val="2"/>
            <w:noWrap w:val="0"/>
            <w:vAlign w:val="center"/>
          </w:tcPr>
          <w:p>
            <w:pPr>
              <w:spacing w:line="360" w:lineRule="auto"/>
              <w:rPr>
                <w:rFonts w:hint="eastAsia" w:ascii="宋体" w:hAnsi="宋体"/>
                <w:b/>
                <w:bCs/>
                <w:sz w:val="24"/>
              </w:rPr>
            </w:pPr>
            <w:r>
              <w:rPr>
                <w:rFonts w:hint="eastAsia" w:ascii="宋体" w:hAnsi="宋体"/>
                <w:b/>
                <w:bCs/>
                <w:sz w:val="24"/>
              </w:rPr>
              <w:t>特别提示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66" w:type="dxa"/>
            <w:noWrap w:val="0"/>
            <w:vAlign w:val="center"/>
          </w:tcPr>
          <w:p>
            <w:pPr>
              <w:spacing w:line="360" w:lineRule="auto"/>
              <w:jc w:val="center"/>
              <w:rPr>
                <w:rFonts w:hint="eastAsia" w:ascii="宋体" w:hAnsi="宋体"/>
                <w:sz w:val="24"/>
              </w:rPr>
            </w:pPr>
          </w:p>
        </w:tc>
        <w:tc>
          <w:tcPr>
            <w:tcW w:w="8788" w:type="dxa"/>
            <w:gridSpan w:val="2"/>
            <w:noWrap w:val="0"/>
            <w:vAlign w:val="center"/>
          </w:tcPr>
          <w:p>
            <w:pPr>
              <w:autoSpaceDE w:val="0"/>
              <w:autoSpaceDN w:val="0"/>
              <w:spacing w:line="360" w:lineRule="auto"/>
              <w:ind w:firstLine="240" w:firstLineChars="100"/>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cs="宋体"/>
                <w:sz w:val="24"/>
              </w:rPr>
            </w:pPr>
            <w:r>
              <w:rPr>
                <w:rFonts w:hint="eastAsia" w:hAnsi="宋体" w:cs="宋体"/>
                <w:sz w:val="24"/>
              </w:rPr>
              <w:t>5、招标人及其代理机构需留存项目电子档案时，可在质疑期满后使用</w:t>
            </w:r>
            <w:r>
              <w:rPr>
                <w:rFonts w:hAnsi="宋体" w:cs="宋体"/>
                <w:sz w:val="24"/>
              </w:rPr>
              <w:t>CA锁从交易平台自行下载。</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6、商务标投标文件制作注意事项：</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6.2 商务标投标文件制作技术咨询：0374-2961598。</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6.3投标人应在投标文件递交的截止时间之前通过【全国公共资源交易平台（河南省·许昌市）】公共资源交易系统（</w:t>
            </w:r>
            <w:r>
              <w:rPr>
                <w:rFonts w:hint="eastAsia" w:hAnsi="宋体"/>
                <w:bCs/>
                <w:sz w:val="24"/>
                <w:szCs w:val="22"/>
              </w:rPr>
              <w:t>http://ggzy.xuchang.gov.cn:8088/ggzy/</w:t>
            </w:r>
            <w:r>
              <w:rPr>
                <w:rFonts w:hint="eastAsia" w:hAnsi="宋体" w:cs="宋体"/>
                <w:sz w:val="24"/>
              </w:rPr>
              <w:t>）递交电子投标文件；</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6.5加密电子投标文件逾期上传的，招标人不予受理。</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6.6投标人采用银行转账方式提交投标保证金的，应在投标文件递交的截止时间之前按程序完成投标保证金绑定。</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7、投标人需提前熟悉招标文件相关事项及《</w:t>
            </w:r>
            <w:r>
              <w:rPr>
                <w:rFonts w:hint="eastAsia" w:hAnsi="宋体"/>
                <w:sz w:val="24"/>
                <w:szCs w:val="22"/>
              </w:rPr>
              <w:t>许昌市不见面开标操作手册</w:t>
            </w:r>
            <w:r>
              <w:rPr>
                <w:rFonts w:hint="eastAsia" w:hAnsi="宋体" w:cs="宋体"/>
                <w:sz w:val="24"/>
              </w:rPr>
              <w:t>》，并设置不见面开标浏览器（设置流程详见《</w:t>
            </w:r>
            <w:r>
              <w:rPr>
                <w:rFonts w:hint="eastAsia" w:hAnsi="宋体"/>
                <w:sz w:val="24"/>
                <w:szCs w:val="22"/>
              </w:rPr>
              <w:t>许昌市不见面开标操作手册</w:t>
            </w:r>
            <w:r>
              <w:rPr>
                <w:rFonts w:hint="eastAsia" w:hAnsi="宋体" w:cs="宋体"/>
                <w:sz w:val="24"/>
              </w:rPr>
              <w:t>》）。</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cs="宋体"/>
                <w:sz w:val="24"/>
              </w:rPr>
            </w:pPr>
            <w:r>
              <w:rPr>
                <w:rFonts w:hint="eastAsia" w:hAnsi="宋体" w:cs="宋体"/>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cs="宋体"/>
                <w:sz w:val="24"/>
              </w:rPr>
            </w:pPr>
            <w:r>
              <w:rPr>
                <w:rFonts w:hint="eastAsia" w:hAnsi="宋体" w:cs="宋体"/>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cs="宋体"/>
                <w:sz w:val="24"/>
              </w:rPr>
            </w:pPr>
            <w:r>
              <w:rPr>
                <w:rFonts w:hint="eastAsia" w:hAnsi="宋体" w:cs="宋体"/>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spacing w:line="360" w:lineRule="auto"/>
              <w:ind w:firstLine="494" w:firstLineChars="205"/>
              <w:rPr>
                <w:rFonts w:ascii="宋体" w:hAnsi="宋体"/>
                <w:sz w:val="24"/>
              </w:rPr>
            </w:pPr>
            <w:r>
              <w:rPr>
                <w:rFonts w:hint="eastAsia" w:hAnsi="宋体" w:cs="宋体"/>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spacing w:line="360" w:lineRule="auto"/>
        <w:rPr>
          <w:rFonts w:ascii="宋体" w:hAnsi="宋体"/>
          <w:sz w:val="24"/>
        </w:rPr>
      </w:pPr>
    </w:p>
    <w:p>
      <w:pPr>
        <w:spacing w:line="360" w:lineRule="auto"/>
        <w:rPr>
          <w:rFonts w:ascii="宋体" w:hAnsi="宋体"/>
          <w:sz w:val="24"/>
        </w:rPr>
      </w:pPr>
      <w:r>
        <w:rPr>
          <w:rFonts w:ascii="宋体" w:hAnsi="宋体"/>
          <w:sz w:val="24"/>
        </w:rPr>
        <w:br w:type="page"/>
      </w:r>
    </w:p>
    <w:p>
      <w:pPr>
        <w:pStyle w:val="7"/>
        <w:numPr>
          <w:ilvl w:val="0"/>
          <w:numId w:val="8"/>
        </w:numPr>
        <w:spacing w:before="0" w:after="0" w:line="360" w:lineRule="auto"/>
        <w:ind w:firstLine="424" w:firstLineChars="176"/>
        <w:rPr>
          <w:rFonts w:ascii="宋体" w:hAnsi="宋体" w:eastAsia="宋体"/>
          <w:sz w:val="24"/>
          <w:szCs w:val="24"/>
        </w:rPr>
      </w:pPr>
      <w:bookmarkStart w:id="93" w:name="_Toc300834949"/>
      <w:bookmarkStart w:id="94" w:name="_Toc247513952"/>
      <w:bookmarkStart w:id="95" w:name="_Toc23282547"/>
      <w:bookmarkStart w:id="96" w:name="_Toc247527553"/>
      <w:bookmarkStart w:id="97" w:name="_Toc152042305"/>
      <w:bookmarkStart w:id="98" w:name="_Toc43198847"/>
      <w:bookmarkStart w:id="99" w:name="_Toc152045529"/>
      <w:bookmarkStart w:id="100" w:name="_Toc144974497"/>
      <w:r>
        <w:rPr>
          <w:rFonts w:hint="eastAsia" w:ascii="宋体" w:hAnsi="宋体" w:eastAsia="宋体"/>
          <w:sz w:val="24"/>
          <w:szCs w:val="24"/>
        </w:rPr>
        <w:t>总则</w:t>
      </w:r>
      <w:bookmarkEnd w:id="93"/>
      <w:bookmarkEnd w:id="94"/>
      <w:bookmarkEnd w:id="95"/>
      <w:bookmarkEnd w:id="96"/>
      <w:bookmarkEnd w:id="97"/>
      <w:bookmarkEnd w:id="98"/>
      <w:bookmarkEnd w:id="99"/>
      <w:bookmarkEnd w:id="100"/>
    </w:p>
    <w:p>
      <w:pPr>
        <w:pStyle w:val="8"/>
        <w:numPr>
          <w:ilvl w:val="1"/>
          <w:numId w:val="9"/>
        </w:numPr>
        <w:spacing w:before="0" w:after="0" w:line="360" w:lineRule="auto"/>
        <w:ind w:firstLine="426" w:firstLineChars="177"/>
        <w:rPr>
          <w:rFonts w:ascii="宋体" w:eastAsia="宋体"/>
          <w:sz w:val="24"/>
          <w:szCs w:val="24"/>
        </w:rPr>
      </w:pPr>
      <w:bookmarkStart w:id="101" w:name="_Toc247513953"/>
      <w:bookmarkStart w:id="102" w:name="_Toc23282548"/>
      <w:bookmarkStart w:id="103" w:name="_Toc152042306"/>
      <w:bookmarkStart w:id="104" w:name="_Toc144974498"/>
      <w:bookmarkStart w:id="105" w:name="_Toc152045530"/>
      <w:bookmarkStart w:id="106" w:name="_Toc300834950"/>
      <w:bookmarkStart w:id="107" w:name="_Toc43198848"/>
      <w:bookmarkStart w:id="108" w:name="_Toc247527554"/>
      <w:r>
        <w:rPr>
          <w:rFonts w:hint="eastAsia" w:ascii="宋体" w:eastAsia="宋体"/>
          <w:sz w:val="24"/>
          <w:szCs w:val="24"/>
        </w:rPr>
        <w:t>项目概况</w:t>
      </w:r>
      <w:bookmarkEnd w:id="101"/>
      <w:bookmarkEnd w:id="102"/>
      <w:bookmarkEnd w:id="103"/>
      <w:bookmarkEnd w:id="104"/>
      <w:bookmarkEnd w:id="105"/>
      <w:bookmarkEnd w:id="106"/>
      <w:bookmarkEnd w:id="107"/>
      <w:bookmarkEnd w:id="108"/>
    </w:p>
    <w:p>
      <w:pPr>
        <w:numPr>
          <w:ilvl w:val="2"/>
          <w:numId w:val="10"/>
        </w:numPr>
        <w:spacing w:line="360" w:lineRule="auto"/>
        <w:ind w:firstLine="424" w:firstLineChars="177"/>
        <w:rPr>
          <w:rFonts w:ascii="宋体" w:hAnsi="宋体"/>
          <w:sz w:val="24"/>
        </w:rPr>
      </w:pPr>
      <w:r>
        <w:rPr>
          <w:rFonts w:hint="eastAsia" w:ascii="宋体" w:hAnsi="宋体"/>
          <w:sz w:val="24"/>
        </w:rPr>
        <w:t>根据《中华人民共和国招标投标法》等有关法律、法规和规章的规定，本招标项目已具备招标条件，现对该项目进行招标。</w:t>
      </w:r>
    </w:p>
    <w:p>
      <w:pPr>
        <w:numPr>
          <w:ilvl w:val="2"/>
          <w:numId w:val="10"/>
        </w:numPr>
        <w:spacing w:line="360" w:lineRule="auto"/>
        <w:ind w:firstLine="424" w:firstLineChars="177"/>
        <w:rPr>
          <w:rFonts w:ascii="宋体" w:hAnsi="宋体"/>
          <w:sz w:val="24"/>
        </w:rPr>
      </w:pPr>
      <w:r>
        <w:rPr>
          <w:rFonts w:hint="eastAsia" w:ascii="宋体" w:hAnsi="宋体"/>
          <w:sz w:val="24"/>
        </w:rPr>
        <w:t>招标人：见投标人须知前附表。</w:t>
      </w:r>
    </w:p>
    <w:p>
      <w:pPr>
        <w:numPr>
          <w:ilvl w:val="2"/>
          <w:numId w:val="10"/>
        </w:numPr>
        <w:spacing w:line="360" w:lineRule="auto"/>
        <w:ind w:firstLine="424" w:firstLineChars="177"/>
        <w:rPr>
          <w:rFonts w:ascii="宋体" w:hAnsi="宋体"/>
          <w:sz w:val="24"/>
        </w:rPr>
      </w:pPr>
      <w:r>
        <w:rPr>
          <w:rFonts w:hint="eastAsia" w:ascii="宋体" w:hAnsi="宋体"/>
          <w:sz w:val="24"/>
        </w:rPr>
        <w:t>招标代理机构：见投标人须知前附表。</w:t>
      </w:r>
    </w:p>
    <w:p>
      <w:pPr>
        <w:numPr>
          <w:ilvl w:val="2"/>
          <w:numId w:val="10"/>
        </w:numPr>
        <w:spacing w:line="360" w:lineRule="auto"/>
        <w:ind w:firstLine="424" w:firstLineChars="177"/>
        <w:rPr>
          <w:rFonts w:ascii="宋体" w:hAnsi="宋体"/>
          <w:sz w:val="24"/>
        </w:rPr>
      </w:pPr>
      <w:r>
        <w:rPr>
          <w:rFonts w:hint="eastAsia" w:ascii="宋体" w:hAnsi="宋体"/>
          <w:sz w:val="24"/>
        </w:rPr>
        <w:t>招标项目名称：见投标人须知前附表。</w:t>
      </w:r>
    </w:p>
    <w:p>
      <w:pPr>
        <w:numPr>
          <w:ilvl w:val="2"/>
          <w:numId w:val="10"/>
        </w:numPr>
        <w:spacing w:line="360" w:lineRule="auto"/>
        <w:ind w:firstLine="424" w:firstLineChars="177"/>
        <w:rPr>
          <w:rFonts w:ascii="宋体" w:hAnsi="宋体"/>
          <w:sz w:val="24"/>
        </w:rPr>
      </w:pPr>
      <w:r>
        <w:rPr>
          <w:rFonts w:hint="eastAsia" w:ascii="宋体" w:hAnsi="宋体"/>
          <w:sz w:val="24"/>
        </w:rPr>
        <w:t>项目建设地点：见投标人须知前附表。</w:t>
      </w:r>
    </w:p>
    <w:p>
      <w:pPr>
        <w:pStyle w:val="8"/>
        <w:numPr>
          <w:ilvl w:val="1"/>
          <w:numId w:val="9"/>
        </w:numPr>
        <w:spacing w:before="0" w:after="0" w:line="360" w:lineRule="auto"/>
        <w:ind w:firstLine="426" w:firstLineChars="177"/>
        <w:rPr>
          <w:rFonts w:ascii="宋体" w:eastAsia="宋体"/>
          <w:sz w:val="24"/>
          <w:szCs w:val="24"/>
        </w:rPr>
      </w:pPr>
      <w:bookmarkStart w:id="109" w:name="_Toc152042307"/>
      <w:bookmarkStart w:id="110" w:name="_Toc23282549"/>
      <w:bookmarkStart w:id="111" w:name="_Toc152045531"/>
      <w:bookmarkStart w:id="112" w:name="_Toc144974499"/>
      <w:bookmarkStart w:id="113" w:name="_Toc300834951"/>
      <w:bookmarkStart w:id="114" w:name="_Toc43198849"/>
      <w:bookmarkStart w:id="115" w:name="_Toc247527555"/>
      <w:bookmarkStart w:id="116" w:name="_Toc247513954"/>
      <w:r>
        <w:rPr>
          <w:rFonts w:hint="eastAsia" w:ascii="宋体" w:eastAsia="宋体"/>
          <w:sz w:val="24"/>
          <w:szCs w:val="24"/>
        </w:rPr>
        <w:t>项目的资金来源和落实情况</w:t>
      </w:r>
      <w:bookmarkEnd w:id="109"/>
      <w:bookmarkEnd w:id="110"/>
      <w:bookmarkEnd w:id="111"/>
      <w:bookmarkEnd w:id="112"/>
      <w:bookmarkEnd w:id="113"/>
      <w:bookmarkEnd w:id="114"/>
      <w:bookmarkEnd w:id="115"/>
      <w:bookmarkEnd w:id="116"/>
    </w:p>
    <w:p>
      <w:pPr>
        <w:numPr>
          <w:ilvl w:val="2"/>
          <w:numId w:val="11"/>
        </w:numPr>
        <w:spacing w:line="360" w:lineRule="auto"/>
        <w:ind w:firstLine="424" w:firstLineChars="177"/>
        <w:rPr>
          <w:rFonts w:ascii="宋体" w:hAnsi="宋体"/>
          <w:sz w:val="24"/>
        </w:rPr>
      </w:pPr>
      <w:r>
        <w:rPr>
          <w:rFonts w:hint="eastAsia" w:ascii="宋体" w:hAnsi="宋体"/>
          <w:sz w:val="24"/>
        </w:rPr>
        <w:t>资金来源及比例：见投标人须知前附表。</w:t>
      </w:r>
    </w:p>
    <w:p>
      <w:pPr>
        <w:numPr>
          <w:ilvl w:val="2"/>
          <w:numId w:val="11"/>
        </w:numPr>
        <w:spacing w:line="360" w:lineRule="auto"/>
        <w:ind w:firstLine="424" w:firstLineChars="177"/>
        <w:rPr>
          <w:rFonts w:ascii="宋体" w:hAnsi="宋体"/>
          <w:sz w:val="24"/>
        </w:rPr>
      </w:pPr>
      <w:r>
        <w:rPr>
          <w:rFonts w:hint="eastAsia" w:ascii="宋体" w:hAnsi="宋体"/>
          <w:sz w:val="24"/>
        </w:rPr>
        <w:t>资金落实情况：见投标人须知前附表。</w:t>
      </w:r>
    </w:p>
    <w:p>
      <w:pPr>
        <w:pStyle w:val="8"/>
        <w:numPr>
          <w:ilvl w:val="1"/>
          <w:numId w:val="9"/>
        </w:numPr>
        <w:spacing w:before="0" w:after="0" w:line="360" w:lineRule="auto"/>
        <w:ind w:firstLine="426" w:firstLineChars="177"/>
        <w:rPr>
          <w:rFonts w:ascii="宋体" w:eastAsia="宋体"/>
          <w:sz w:val="24"/>
          <w:szCs w:val="24"/>
        </w:rPr>
      </w:pPr>
      <w:bookmarkStart w:id="117" w:name="_Toc144974500"/>
      <w:bookmarkStart w:id="118" w:name="_Toc247527556"/>
      <w:bookmarkStart w:id="119" w:name="_Toc152045532"/>
      <w:bookmarkStart w:id="120" w:name="_Toc247513955"/>
      <w:bookmarkStart w:id="121" w:name="_Toc152042308"/>
      <w:bookmarkStart w:id="122" w:name="_Toc23282550"/>
      <w:bookmarkStart w:id="123" w:name="_Toc43198850"/>
      <w:bookmarkStart w:id="124" w:name="_Toc300834952"/>
      <w:r>
        <w:rPr>
          <w:rFonts w:hint="eastAsia" w:ascii="宋体" w:eastAsia="宋体"/>
          <w:sz w:val="24"/>
          <w:szCs w:val="24"/>
        </w:rPr>
        <w:t>招标范围、计划工期和</w:t>
      </w:r>
      <w:bookmarkEnd w:id="117"/>
      <w:bookmarkEnd w:id="118"/>
      <w:bookmarkEnd w:id="119"/>
      <w:bookmarkEnd w:id="120"/>
      <w:bookmarkEnd w:id="121"/>
      <w:r>
        <w:rPr>
          <w:rFonts w:hint="eastAsia" w:ascii="宋体" w:eastAsia="宋体"/>
          <w:sz w:val="24"/>
          <w:szCs w:val="24"/>
        </w:rPr>
        <w:t>质量标准</w:t>
      </w:r>
      <w:bookmarkEnd w:id="122"/>
      <w:bookmarkEnd w:id="123"/>
      <w:bookmarkEnd w:id="124"/>
    </w:p>
    <w:p>
      <w:pPr>
        <w:numPr>
          <w:ilvl w:val="2"/>
          <w:numId w:val="12"/>
        </w:numPr>
        <w:spacing w:line="360" w:lineRule="auto"/>
        <w:ind w:firstLine="424" w:firstLineChars="177"/>
        <w:rPr>
          <w:rFonts w:ascii="宋体" w:hAnsi="宋体"/>
          <w:sz w:val="24"/>
        </w:rPr>
      </w:pPr>
      <w:r>
        <w:rPr>
          <w:rFonts w:hint="eastAsia" w:ascii="宋体" w:hAnsi="宋体"/>
          <w:sz w:val="24"/>
        </w:rPr>
        <w:t>招标范围：见投标人须知前附表。</w:t>
      </w:r>
    </w:p>
    <w:p>
      <w:pPr>
        <w:numPr>
          <w:ilvl w:val="2"/>
          <w:numId w:val="12"/>
        </w:numPr>
        <w:spacing w:line="360" w:lineRule="auto"/>
        <w:ind w:firstLine="424" w:firstLineChars="177"/>
        <w:rPr>
          <w:rFonts w:hint="eastAsia" w:ascii="宋体" w:hAnsi="宋体"/>
          <w:sz w:val="24"/>
        </w:rPr>
      </w:pPr>
      <w:r>
        <w:rPr>
          <w:rFonts w:hint="eastAsia" w:ascii="宋体" w:hAnsi="宋体"/>
          <w:sz w:val="24"/>
        </w:rPr>
        <w:t>计划工期：见投标人须知前附表。</w:t>
      </w:r>
    </w:p>
    <w:p>
      <w:pPr>
        <w:numPr>
          <w:ilvl w:val="2"/>
          <w:numId w:val="12"/>
        </w:numPr>
        <w:spacing w:line="360" w:lineRule="auto"/>
        <w:ind w:firstLine="424" w:firstLineChars="177"/>
        <w:rPr>
          <w:rFonts w:ascii="宋体" w:hAnsi="宋体"/>
          <w:sz w:val="24"/>
        </w:rPr>
      </w:pPr>
      <w:r>
        <w:rPr>
          <w:rFonts w:hint="eastAsia" w:ascii="宋体" w:hAnsi="宋体"/>
          <w:sz w:val="24"/>
        </w:rPr>
        <w:t>质量标准：见投标人须知前附表。</w:t>
      </w:r>
    </w:p>
    <w:p>
      <w:pPr>
        <w:pStyle w:val="8"/>
        <w:numPr>
          <w:ilvl w:val="1"/>
          <w:numId w:val="9"/>
        </w:numPr>
        <w:spacing w:before="0" w:after="0" w:line="360" w:lineRule="auto"/>
        <w:ind w:firstLine="426" w:firstLineChars="177"/>
        <w:rPr>
          <w:rFonts w:ascii="宋体" w:eastAsia="宋体"/>
          <w:sz w:val="24"/>
          <w:szCs w:val="24"/>
        </w:rPr>
      </w:pPr>
      <w:bookmarkStart w:id="125" w:name="_Toc247513957"/>
      <w:bookmarkStart w:id="126" w:name="_Toc43198851"/>
      <w:bookmarkStart w:id="127" w:name="_Toc247527558"/>
      <w:bookmarkStart w:id="128" w:name="_Toc300834954"/>
      <w:bookmarkStart w:id="129" w:name="_Toc152045534"/>
      <w:bookmarkStart w:id="130" w:name="_Toc152042310"/>
      <w:bookmarkStart w:id="131" w:name="_Toc23282551"/>
      <w:bookmarkStart w:id="132" w:name="_Toc144974502"/>
      <w:r>
        <w:rPr>
          <w:rFonts w:hint="eastAsia" w:ascii="宋体" w:eastAsia="宋体"/>
          <w:sz w:val="24"/>
          <w:szCs w:val="24"/>
        </w:rPr>
        <w:t>投标人资格要求</w:t>
      </w:r>
      <w:bookmarkEnd w:id="125"/>
      <w:bookmarkEnd w:id="126"/>
      <w:bookmarkEnd w:id="127"/>
      <w:bookmarkEnd w:id="128"/>
      <w:bookmarkEnd w:id="129"/>
      <w:bookmarkEnd w:id="130"/>
      <w:bookmarkEnd w:id="131"/>
      <w:bookmarkEnd w:id="132"/>
    </w:p>
    <w:p>
      <w:pPr>
        <w:numPr>
          <w:ilvl w:val="2"/>
          <w:numId w:val="13"/>
        </w:numPr>
        <w:spacing w:line="360" w:lineRule="auto"/>
        <w:ind w:firstLine="424" w:firstLineChars="177"/>
        <w:rPr>
          <w:rFonts w:hint="eastAsia" w:ascii="宋体" w:hAnsi="宋体"/>
          <w:sz w:val="24"/>
        </w:rPr>
      </w:pPr>
      <w:r>
        <w:rPr>
          <w:rFonts w:hint="eastAsia" w:ascii="宋体" w:hAnsi="宋体"/>
          <w:sz w:val="24"/>
        </w:rPr>
        <w:t>投标人资格要求：见投标人须知前附表。</w:t>
      </w:r>
    </w:p>
    <w:p>
      <w:pPr>
        <w:numPr>
          <w:ilvl w:val="2"/>
          <w:numId w:val="13"/>
        </w:numPr>
        <w:spacing w:line="360" w:lineRule="auto"/>
        <w:ind w:firstLine="424" w:firstLineChars="177"/>
        <w:rPr>
          <w:rFonts w:hint="eastAsia" w:ascii="宋体" w:hAnsi="宋体"/>
          <w:sz w:val="24"/>
        </w:rPr>
      </w:pPr>
      <w:r>
        <w:rPr>
          <w:rFonts w:hint="eastAsia" w:ascii="宋体" w:hAnsi="宋体"/>
          <w:sz w:val="24"/>
        </w:rPr>
        <w:t>投标人须知前附表规定接受联合体投标的，除应符合本章第1.4.1项和投标人须知前附表的要求外，还应遵守以下规定：</w:t>
      </w:r>
    </w:p>
    <w:p>
      <w:pPr>
        <w:numPr>
          <w:ilvl w:val="0"/>
          <w:numId w:val="14"/>
        </w:numPr>
        <w:spacing w:line="360" w:lineRule="auto"/>
        <w:ind w:firstLine="424" w:firstLineChars="177"/>
        <w:rPr>
          <w:rFonts w:hint="eastAsia" w:ascii="宋体" w:hAnsi="宋体"/>
          <w:sz w:val="24"/>
        </w:rPr>
      </w:pPr>
      <w:r>
        <w:rPr>
          <w:rFonts w:hint="eastAsia" w:ascii="宋体" w:hAnsi="宋体"/>
          <w:sz w:val="24"/>
        </w:rPr>
        <w:t>联合体各方应招标文件提供的格式签订联合体协议书，明确联合体牵头人和各方的权利义务。</w:t>
      </w:r>
    </w:p>
    <w:p>
      <w:pPr>
        <w:numPr>
          <w:ilvl w:val="0"/>
          <w:numId w:val="14"/>
        </w:numPr>
        <w:spacing w:line="360" w:lineRule="auto"/>
        <w:ind w:firstLine="424" w:firstLineChars="177"/>
        <w:rPr>
          <w:rFonts w:hint="eastAsia" w:ascii="宋体" w:hAnsi="宋体"/>
          <w:sz w:val="24"/>
        </w:rPr>
      </w:pPr>
      <w:r>
        <w:rPr>
          <w:rFonts w:hint="eastAsia" w:ascii="宋体" w:hAnsi="宋体"/>
          <w:sz w:val="24"/>
        </w:rPr>
        <w:t>同一专业的单位组成的联合体，应当按照资质等级较低的单位确定联合体的资质等级。</w:t>
      </w:r>
    </w:p>
    <w:p>
      <w:pPr>
        <w:numPr>
          <w:ilvl w:val="0"/>
          <w:numId w:val="14"/>
        </w:numPr>
        <w:spacing w:line="360" w:lineRule="auto"/>
        <w:ind w:firstLine="424" w:firstLineChars="177"/>
        <w:rPr>
          <w:rFonts w:ascii="宋体" w:hAnsi="宋体"/>
          <w:sz w:val="24"/>
        </w:rPr>
      </w:pPr>
      <w:r>
        <w:rPr>
          <w:rFonts w:hint="eastAsia" w:ascii="宋体" w:hAnsi="宋体"/>
          <w:sz w:val="24"/>
        </w:rPr>
        <w:t>联合体各方不得再以自己名义单独或参加其他联合体在同一标段中投标。</w:t>
      </w:r>
    </w:p>
    <w:p>
      <w:pPr>
        <w:numPr>
          <w:ilvl w:val="2"/>
          <w:numId w:val="13"/>
        </w:numPr>
        <w:spacing w:line="360" w:lineRule="auto"/>
        <w:ind w:firstLine="424" w:firstLineChars="177"/>
        <w:rPr>
          <w:rFonts w:ascii="宋体" w:hAnsi="宋体"/>
          <w:sz w:val="24"/>
        </w:rPr>
      </w:pPr>
      <w:r>
        <w:rPr>
          <w:rFonts w:hint="eastAsia" w:ascii="宋体" w:hAnsi="宋体"/>
          <w:sz w:val="24"/>
        </w:rPr>
        <w:t>投标人不得存在下列情形之一：</w:t>
      </w:r>
    </w:p>
    <w:p>
      <w:pPr>
        <w:numPr>
          <w:ilvl w:val="0"/>
          <w:numId w:val="15"/>
        </w:numPr>
        <w:spacing w:line="360" w:lineRule="auto"/>
        <w:ind w:firstLine="424" w:firstLineChars="177"/>
        <w:rPr>
          <w:rFonts w:hint="eastAsia" w:ascii="宋体" w:hAnsi="宋体"/>
          <w:sz w:val="24"/>
        </w:rPr>
      </w:pPr>
      <w:r>
        <w:rPr>
          <w:rFonts w:hint="eastAsia" w:ascii="宋体" w:hAnsi="宋体"/>
          <w:sz w:val="24"/>
        </w:rPr>
        <w:t xml:space="preserve">为招标人不具有独立法人资格的附属机构（单位）； </w:t>
      </w:r>
    </w:p>
    <w:p>
      <w:pPr>
        <w:numPr>
          <w:ilvl w:val="0"/>
          <w:numId w:val="15"/>
        </w:numPr>
        <w:spacing w:line="360" w:lineRule="auto"/>
        <w:ind w:firstLine="424" w:firstLineChars="177"/>
        <w:rPr>
          <w:rFonts w:ascii="宋体" w:hAnsi="宋体"/>
          <w:sz w:val="24"/>
        </w:rPr>
      </w:pPr>
      <w:r>
        <w:rPr>
          <w:rFonts w:hint="eastAsia" w:ascii="宋体" w:hAnsi="宋体"/>
          <w:sz w:val="24"/>
        </w:rPr>
        <w:t>为本招标项目的代建单位；</w:t>
      </w:r>
    </w:p>
    <w:p>
      <w:pPr>
        <w:numPr>
          <w:ilvl w:val="0"/>
          <w:numId w:val="15"/>
        </w:numPr>
        <w:spacing w:line="360" w:lineRule="auto"/>
        <w:ind w:firstLine="424" w:firstLineChars="177"/>
        <w:rPr>
          <w:rFonts w:ascii="宋体" w:hAnsi="宋体"/>
          <w:sz w:val="24"/>
        </w:rPr>
      </w:pPr>
      <w:r>
        <w:rPr>
          <w:rFonts w:hint="eastAsia" w:ascii="宋体" w:hAnsi="宋体"/>
          <w:sz w:val="24"/>
        </w:rPr>
        <w:t>为本招标项目的项目管理单位；</w:t>
      </w:r>
    </w:p>
    <w:p>
      <w:pPr>
        <w:numPr>
          <w:ilvl w:val="0"/>
          <w:numId w:val="15"/>
        </w:numPr>
        <w:spacing w:line="360" w:lineRule="auto"/>
        <w:ind w:firstLine="424" w:firstLineChars="177"/>
        <w:rPr>
          <w:rFonts w:ascii="宋体" w:hAnsi="宋体"/>
          <w:sz w:val="24"/>
        </w:rPr>
      </w:pPr>
      <w:r>
        <w:rPr>
          <w:rFonts w:hint="eastAsia" w:ascii="宋体" w:hAnsi="宋体"/>
          <w:sz w:val="24"/>
        </w:rPr>
        <w:t>为本招标项目的监理单位；</w:t>
      </w:r>
    </w:p>
    <w:p>
      <w:pPr>
        <w:numPr>
          <w:ilvl w:val="0"/>
          <w:numId w:val="15"/>
        </w:numPr>
        <w:spacing w:line="360" w:lineRule="auto"/>
        <w:ind w:firstLine="424" w:firstLineChars="177"/>
        <w:rPr>
          <w:rFonts w:ascii="宋体" w:hAnsi="宋体"/>
          <w:sz w:val="24"/>
        </w:rPr>
      </w:pPr>
      <w:r>
        <w:rPr>
          <w:rFonts w:hint="eastAsia" w:ascii="宋体" w:hAnsi="宋体"/>
          <w:sz w:val="24"/>
        </w:rPr>
        <w:t>为本招标项目的造价咨询单位；</w:t>
      </w:r>
    </w:p>
    <w:p>
      <w:pPr>
        <w:numPr>
          <w:ilvl w:val="0"/>
          <w:numId w:val="15"/>
        </w:numPr>
        <w:spacing w:line="360" w:lineRule="auto"/>
        <w:ind w:firstLine="424" w:firstLineChars="177"/>
        <w:rPr>
          <w:rFonts w:ascii="宋体" w:hAnsi="宋体"/>
          <w:sz w:val="24"/>
        </w:rPr>
      </w:pPr>
      <w:r>
        <w:rPr>
          <w:rFonts w:hint="eastAsia" w:ascii="宋体" w:hAnsi="宋体"/>
          <w:sz w:val="24"/>
        </w:rPr>
        <w:t xml:space="preserve">为本招标项目提供招标代理服务的； </w:t>
      </w:r>
    </w:p>
    <w:p>
      <w:pPr>
        <w:numPr>
          <w:ilvl w:val="0"/>
          <w:numId w:val="15"/>
        </w:numPr>
        <w:spacing w:line="360" w:lineRule="auto"/>
        <w:ind w:firstLine="424" w:firstLineChars="177"/>
        <w:rPr>
          <w:rFonts w:ascii="宋体" w:hAnsi="宋体"/>
          <w:sz w:val="24"/>
        </w:rPr>
      </w:pPr>
      <w:r>
        <w:rPr>
          <w:rFonts w:hint="eastAsia" w:ascii="宋体" w:hAnsi="宋体"/>
          <w:sz w:val="24"/>
        </w:rPr>
        <w:t xml:space="preserve">被责令停业的； </w:t>
      </w:r>
    </w:p>
    <w:p>
      <w:pPr>
        <w:numPr>
          <w:ilvl w:val="0"/>
          <w:numId w:val="15"/>
        </w:numPr>
        <w:spacing w:line="360" w:lineRule="auto"/>
        <w:ind w:firstLine="424" w:firstLineChars="177"/>
        <w:rPr>
          <w:rFonts w:ascii="宋体" w:hAnsi="宋体"/>
          <w:sz w:val="24"/>
        </w:rPr>
      </w:pPr>
      <w:r>
        <w:rPr>
          <w:rFonts w:hint="eastAsia" w:ascii="宋体" w:hAnsi="宋体"/>
          <w:sz w:val="24"/>
        </w:rPr>
        <w:t xml:space="preserve">被暂停或取消投标资格的； </w:t>
      </w:r>
    </w:p>
    <w:p>
      <w:pPr>
        <w:numPr>
          <w:ilvl w:val="0"/>
          <w:numId w:val="15"/>
        </w:numPr>
        <w:spacing w:line="360" w:lineRule="auto"/>
        <w:ind w:firstLine="424" w:firstLineChars="177"/>
        <w:rPr>
          <w:rFonts w:ascii="宋体" w:hAnsi="宋体"/>
          <w:sz w:val="24"/>
        </w:rPr>
      </w:pPr>
      <w:r>
        <w:rPr>
          <w:rFonts w:hint="eastAsia" w:ascii="宋体" w:hAnsi="宋体"/>
          <w:sz w:val="24"/>
        </w:rPr>
        <w:t>财产被接管或冻结的；</w:t>
      </w:r>
    </w:p>
    <w:p>
      <w:pPr>
        <w:numPr>
          <w:ilvl w:val="0"/>
          <w:numId w:val="15"/>
        </w:numPr>
        <w:spacing w:line="360" w:lineRule="auto"/>
        <w:ind w:firstLine="424" w:firstLineChars="177"/>
        <w:rPr>
          <w:rFonts w:hint="eastAsia" w:ascii="宋体" w:hAnsi="宋体"/>
          <w:sz w:val="24"/>
        </w:rPr>
      </w:pPr>
      <w:r>
        <w:rPr>
          <w:rFonts w:hint="eastAsia" w:ascii="宋体" w:hAnsi="宋体"/>
          <w:sz w:val="24"/>
        </w:rPr>
        <w:t>在最近三年内有骗取中标或严重违约或重大工程质量问题的；</w:t>
      </w:r>
    </w:p>
    <w:p>
      <w:pPr>
        <w:numPr>
          <w:ilvl w:val="0"/>
          <w:numId w:val="15"/>
        </w:numPr>
        <w:spacing w:line="360" w:lineRule="auto"/>
        <w:ind w:firstLine="424" w:firstLineChars="177"/>
        <w:rPr>
          <w:rFonts w:hint="eastAsia" w:ascii="宋体" w:hAnsi="宋体"/>
          <w:sz w:val="24"/>
        </w:rPr>
      </w:pPr>
      <w:r>
        <w:rPr>
          <w:rFonts w:hint="eastAsia" w:ascii="宋体" w:hAnsi="宋体"/>
          <w:sz w:val="24"/>
        </w:rPr>
        <w:t>与本招标项目的监理人或代建人或招标代理机构同为一个法定代表人的；</w:t>
      </w:r>
    </w:p>
    <w:p>
      <w:pPr>
        <w:numPr>
          <w:ilvl w:val="0"/>
          <w:numId w:val="15"/>
        </w:numPr>
        <w:spacing w:line="360" w:lineRule="auto"/>
        <w:ind w:firstLine="424" w:firstLineChars="177"/>
        <w:rPr>
          <w:rFonts w:hint="eastAsia" w:ascii="宋体" w:hAnsi="宋体"/>
          <w:sz w:val="24"/>
        </w:rPr>
      </w:pPr>
      <w:r>
        <w:rPr>
          <w:rFonts w:hint="eastAsia" w:ascii="宋体" w:hAnsi="宋体"/>
          <w:sz w:val="24"/>
        </w:rPr>
        <w:t>与本招标项目的监理人或代建人或招标代理机构相互控股或参股的；</w:t>
      </w:r>
    </w:p>
    <w:p>
      <w:pPr>
        <w:numPr>
          <w:ilvl w:val="0"/>
          <w:numId w:val="15"/>
        </w:numPr>
        <w:spacing w:line="360" w:lineRule="auto"/>
        <w:ind w:firstLine="424" w:firstLineChars="177"/>
        <w:rPr>
          <w:rFonts w:hint="eastAsia" w:ascii="宋体" w:hAnsi="宋体"/>
          <w:sz w:val="24"/>
        </w:rPr>
      </w:pPr>
      <w:r>
        <w:rPr>
          <w:rFonts w:hint="eastAsia" w:ascii="宋体" w:hAnsi="宋体"/>
          <w:sz w:val="24"/>
        </w:rPr>
        <w:t>与本招标项目的监理人或代建人或招标代理机构相互任职或工作的。</w:t>
      </w:r>
    </w:p>
    <w:p>
      <w:pPr>
        <w:numPr>
          <w:ilvl w:val="2"/>
          <w:numId w:val="13"/>
        </w:numPr>
        <w:spacing w:line="360" w:lineRule="auto"/>
        <w:ind w:firstLine="424" w:firstLineChars="177"/>
        <w:rPr>
          <w:rFonts w:hint="eastAsia" w:ascii="宋体" w:hAnsi="宋体"/>
          <w:sz w:val="24"/>
        </w:rPr>
      </w:pPr>
      <w:r>
        <w:rPr>
          <w:rFonts w:hint="eastAsia" w:ascii="宋体" w:hAnsi="宋体"/>
          <w:sz w:val="24"/>
        </w:rPr>
        <w:t>单位负责人为同一人或者存在控股、管理关系的不同单位，不得同时参加本招标项目投标。</w:t>
      </w:r>
    </w:p>
    <w:p>
      <w:pPr>
        <w:pStyle w:val="8"/>
        <w:numPr>
          <w:ilvl w:val="1"/>
          <w:numId w:val="9"/>
        </w:numPr>
        <w:spacing w:before="0" w:after="0" w:line="360" w:lineRule="auto"/>
        <w:ind w:firstLine="426" w:firstLineChars="177"/>
        <w:rPr>
          <w:rFonts w:ascii="宋体" w:eastAsia="宋体"/>
          <w:sz w:val="24"/>
          <w:szCs w:val="24"/>
        </w:rPr>
      </w:pPr>
      <w:bookmarkStart w:id="133" w:name="_Toc144974503"/>
      <w:bookmarkStart w:id="134" w:name="_Toc152045535"/>
      <w:bookmarkStart w:id="135" w:name="_Toc152042311"/>
      <w:bookmarkStart w:id="136" w:name="_Toc23282552"/>
      <w:bookmarkStart w:id="137" w:name="_Toc300834955"/>
      <w:bookmarkStart w:id="138" w:name="_Toc247527559"/>
      <w:bookmarkStart w:id="139" w:name="_Toc247513958"/>
      <w:bookmarkStart w:id="140" w:name="_Toc43198852"/>
      <w:r>
        <w:rPr>
          <w:rFonts w:hint="eastAsia" w:ascii="宋体" w:eastAsia="宋体"/>
          <w:sz w:val="24"/>
          <w:szCs w:val="24"/>
        </w:rPr>
        <w:t>费用承担</w:t>
      </w:r>
      <w:bookmarkEnd w:id="133"/>
      <w:bookmarkEnd w:id="134"/>
      <w:bookmarkEnd w:id="135"/>
      <w:bookmarkEnd w:id="136"/>
      <w:bookmarkEnd w:id="137"/>
      <w:bookmarkEnd w:id="138"/>
      <w:bookmarkEnd w:id="139"/>
      <w:bookmarkEnd w:id="140"/>
    </w:p>
    <w:p>
      <w:pPr>
        <w:numPr>
          <w:ilvl w:val="2"/>
          <w:numId w:val="16"/>
        </w:numPr>
        <w:spacing w:line="360" w:lineRule="auto"/>
        <w:ind w:firstLine="424" w:firstLineChars="177"/>
        <w:rPr>
          <w:rFonts w:hint="eastAsia" w:ascii="宋体" w:hAnsi="宋体"/>
          <w:sz w:val="24"/>
        </w:rPr>
      </w:pPr>
      <w:r>
        <w:rPr>
          <w:rFonts w:hint="eastAsia" w:ascii="宋体" w:hAnsi="宋体"/>
          <w:sz w:val="24"/>
        </w:rPr>
        <w:t>投标人准备和参加投标活动发生的费用自理。</w:t>
      </w:r>
    </w:p>
    <w:p>
      <w:pPr>
        <w:pStyle w:val="8"/>
        <w:numPr>
          <w:ilvl w:val="1"/>
          <w:numId w:val="9"/>
        </w:numPr>
        <w:spacing w:before="0" w:after="0" w:line="360" w:lineRule="auto"/>
        <w:ind w:firstLine="426" w:firstLineChars="177"/>
        <w:rPr>
          <w:rFonts w:ascii="宋体" w:eastAsia="宋体"/>
          <w:sz w:val="24"/>
          <w:szCs w:val="24"/>
        </w:rPr>
      </w:pPr>
      <w:bookmarkStart w:id="141" w:name="_Toc300834956"/>
      <w:bookmarkStart w:id="142" w:name="_Toc144974504"/>
      <w:bookmarkStart w:id="143" w:name="_Toc43198853"/>
      <w:bookmarkStart w:id="144" w:name="_Toc23282553"/>
      <w:bookmarkStart w:id="145" w:name="_Toc152045536"/>
      <w:bookmarkStart w:id="146" w:name="_Toc152042312"/>
      <w:bookmarkStart w:id="147" w:name="_Toc247527560"/>
      <w:bookmarkStart w:id="148" w:name="_Toc247513959"/>
      <w:r>
        <w:rPr>
          <w:rFonts w:hint="eastAsia" w:ascii="宋体" w:eastAsia="宋体"/>
          <w:sz w:val="24"/>
          <w:szCs w:val="24"/>
        </w:rPr>
        <w:t>保密</w:t>
      </w:r>
      <w:bookmarkEnd w:id="141"/>
      <w:bookmarkEnd w:id="142"/>
      <w:bookmarkEnd w:id="143"/>
      <w:bookmarkEnd w:id="144"/>
      <w:bookmarkEnd w:id="145"/>
      <w:bookmarkEnd w:id="146"/>
      <w:bookmarkEnd w:id="147"/>
      <w:bookmarkEnd w:id="148"/>
    </w:p>
    <w:p>
      <w:pPr>
        <w:spacing w:line="360" w:lineRule="auto"/>
        <w:ind w:firstLine="422" w:firstLineChars="176"/>
        <w:rPr>
          <w:rFonts w:ascii="宋体" w:hAnsi="宋体"/>
          <w:sz w:val="24"/>
        </w:rPr>
      </w:pPr>
      <w:r>
        <w:rPr>
          <w:rFonts w:hint="eastAsia" w:ascii="宋体" w:hAnsi="宋体"/>
          <w:sz w:val="24"/>
        </w:rPr>
        <w:t xml:space="preserve">参与招标投标活动的各方应对招标文件和投标文件中的商业和技术等秘密保密，否则应承担相应的法律责任。 </w:t>
      </w:r>
    </w:p>
    <w:p>
      <w:pPr>
        <w:pStyle w:val="8"/>
        <w:numPr>
          <w:ilvl w:val="1"/>
          <w:numId w:val="9"/>
        </w:numPr>
        <w:spacing w:before="0" w:after="0" w:line="360" w:lineRule="auto"/>
        <w:ind w:firstLine="426" w:firstLineChars="177"/>
        <w:rPr>
          <w:rFonts w:ascii="宋体" w:eastAsia="宋体"/>
          <w:sz w:val="24"/>
          <w:szCs w:val="24"/>
        </w:rPr>
      </w:pPr>
      <w:bookmarkStart w:id="149" w:name="_Toc144974505"/>
      <w:bookmarkStart w:id="150" w:name="_Toc23282554"/>
      <w:bookmarkStart w:id="151" w:name="_Toc300834957"/>
      <w:bookmarkStart w:id="152" w:name="_Toc247527561"/>
      <w:bookmarkStart w:id="153" w:name="_Toc247513960"/>
      <w:bookmarkStart w:id="154" w:name="_Toc43198854"/>
      <w:bookmarkStart w:id="155" w:name="_Toc152045537"/>
      <w:bookmarkStart w:id="156" w:name="_Toc152042313"/>
      <w:r>
        <w:rPr>
          <w:rFonts w:hint="eastAsia" w:ascii="宋体" w:eastAsia="宋体"/>
          <w:sz w:val="24"/>
          <w:szCs w:val="24"/>
        </w:rPr>
        <w:t>语言</w:t>
      </w:r>
      <w:bookmarkEnd w:id="149"/>
      <w:r>
        <w:rPr>
          <w:rFonts w:hint="eastAsia" w:ascii="宋体" w:eastAsia="宋体"/>
          <w:sz w:val="24"/>
          <w:szCs w:val="24"/>
        </w:rPr>
        <w:t>文字</w:t>
      </w:r>
      <w:bookmarkEnd w:id="150"/>
      <w:bookmarkEnd w:id="151"/>
      <w:bookmarkEnd w:id="152"/>
      <w:bookmarkEnd w:id="153"/>
      <w:bookmarkEnd w:id="154"/>
      <w:bookmarkEnd w:id="155"/>
      <w:bookmarkEnd w:id="156"/>
    </w:p>
    <w:p>
      <w:pPr>
        <w:spacing w:line="360" w:lineRule="auto"/>
        <w:ind w:firstLine="422" w:firstLineChars="176"/>
        <w:rPr>
          <w:rFonts w:ascii="宋体" w:hAnsi="宋体"/>
          <w:sz w:val="24"/>
        </w:rPr>
      </w:pPr>
      <w:r>
        <w:rPr>
          <w:rFonts w:hint="eastAsia" w:ascii="宋体" w:hAnsi="宋体"/>
          <w:sz w:val="24"/>
        </w:rPr>
        <w:t>招标投标文件使用的语言文字为中文。专用术语使用外文的，应附有中文注释。</w:t>
      </w:r>
    </w:p>
    <w:p>
      <w:pPr>
        <w:pStyle w:val="8"/>
        <w:numPr>
          <w:ilvl w:val="1"/>
          <w:numId w:val="9"/>
        </w:numPr>
        <w:spacing w:before="0" w:after="0" w:line="360" w:lineRule="auto"/>
        <w:ind w:firstLine="426" w:firstLineChars="177"/>
        <w:rPr>
          <w:rFonts w:ascii="宋体" w:eastAsia="宋体"/>
          <w:sz w:val="24"/>
          <w:szCs w:val="24"/>
        </w:rPr>
      </w:pPr>
      <w:bookmarkStart w:id="157" w:name="_Toc152042314"/>
      <w:bookmarkStart w:id="158" w:name="_Toc23282555"/>
      <w:bookmarkStart w:id="159" w:name="_Toc247513961"/>
      <w:bookmarkStart w:id="160" w:name="_Toc247527562"/>
      <w:bookmarkStart w:id="161" w:name="_Toc43198855"/>
      <w:bookmarkStart w:id="162" w:name="_Toc144974506"/>
      <w:bookmarkStart w:id="163" w:name="_Toc152045538"/>
      <w:bookmarkStart w:id="164" w:name="_Toc300834958"/>
      <w:r>
        <w:rPr>
          <w:rFonts w:hint="eastAsia" w:ascii="宋体" w:eastAsia="宋体"/>
          <w:sz w:val="24"/>
          <w:szCs w:val="24"/>
        </w:rPr>
        <w:t>计量单位</w:t>
      </w:r>
      <w:bookmarkEnd w:id="157"/>
      <w:bookmarkEnd w:id="158"/>
      <w:bookmarkEnd w:id="159"/>
      <w:bookmarkEnd w:id="160"/>
      <w:bookmarkEnd w:id="161"/>
      <w:bookmarkEnd w:id="162"/>
      <w:bookmarkEnd w:id="163"/>
      <w:bookmarkEnd w:id="164"/>
    </w:p>
    <w:p>
      <w:pPr>
        <w:spacing w:line="360" w:lineRule="auto"/>
        <w:ind w:firstLine="422" w:firstLineChars="176"/>
        <w:rPr>
          <w:rFonts w:ascii="宋体" w:hAnsi="宋体"/>
          <w:sz w:val="24"/>
        </w:rPr>
      </w:pPr>
      <w:r>
        <w:rPr>
          <w:rFonts w:hint="eastAsia" w:ascii="宋体" w:hAnsi="宋体"/>
          <w:sz w:val="24"/>
        </w:rPr>
        <w:t>所有计量均采用中华人民共和国法定计量单位。</w:t>
      </w:r>
    </w:p>
    <w:p>
      <w:pPr>
        <w:pStyle w:val="8"/>
        <w:numPr>
          <w:ilvl w:val="1"/>
          <w:numId w:val="9"/>
        </w:numPr>
        <w:spacing w:before="0" w:after="0" w:line="360" w:lineRule="auto"/>
        <w:ind w:firstLine="426" w:firstLineChars="177"/>
        <w:rPr>
          <w:rFonts w:ascii="宋体" w:eastAsia="宋体"/>
          <w:sz w:val="24"/>
          <w:szCs w:val="24"/>
        </w:rPr>
      </w:pPr>
      <w:bookmarkStart w:id="165" w:name="_Toc247513962"/>
      <w:bookmarkStart w:id="166" w:name="_Toc152045539"/>
      <w:bookmarkStart w:id="167" w:name="_Toc43198856"/>
      <w:bookmarkStart w:id="168" w:name="_Toc300834959"/>
      <w:bookmarkStart w:id="169" w:name="_Toc247527563"/>
      <w:bookmarkStart w:id="170" w:name="_Toc144974507"/>
      <w:bookmarkStart w:id="171" w:name="_Toc152042315"/>
      <w:bookmarkStart w:id="172" w:name="_Toc23282556"/>
      <w:r>
        <w:rPr>
          <w:rFonts w:hint="eastAsia" w:ascii="宋体" w:eastAsia="宋体"/>
          <w:sz w:val="24"/>
          <w:szCs w:val="24"/>
        </w:rPr>
        <w:t>踏勘现场</w:t>
      </w:r>
      <w:bookmarkEnd w:id="165"/>
      <w:bookmarkEnd w:id="166"/>
      <w:bookmarkEnd w:id="167"/>
      <w:bookmarkEnd w:id="168"/>
      <w:bookmarkEnd w:id="169"/>
      <w:bookmarkEnd w:id="170"/>
      <w:bookmarkEnd w:id="171"/>
      <w:bookmarkEnd w:id="172"/>
    </w:p>
    <w:p>
      <w:pPr>
        <w:numPr>
          <w:ilvl w:val="2"/>
          <w:numId w:val="17"/>
        </w:numPr>
        <w:spacing w:line="360" w:lineRule="auto"/>
        <w:ind w:firstLine="424" w:firstLineChars="177"/>
        <w:rPr>
          <w:rFonts w:ascii="宋体" w:hAnsi="宋体"/>
          <w:sz w:val="24"/>
        </w:rPr>
      </w:pPr>
      <w:r>
        <w:rPr>
          <w:rFonts w:hint="eastAsia" w:ascii="宋体" w:hAnsi="宋体"/>
          <w:sz w:val="24"/>
        </w:rPr>
        <w:t xml:space="preserve">投标人须知前附表规定组织踏勘现场的，招标人按投标人须知前附表规定的时间、地点组织投标人踏勘项目现场。 </w:t>
      </w:r>
    </w:p>
    <w:p>
      <w:pPr>
        <w:numPr>
          <w:ilvl w:val="2"/>
          <w:numId w:val="17"/>
        </w:numPr>
        <w:spacing w:line="360" w:lineRule="auto"/>
        <w:ind w:firstLine="424" w:firstLineChars="177"/>
        <w:rPr>
          <w:rFonts w:ascii="宋体" w:hAnsi="宋体"/>
          <w:sz w:val="24"/>
        </w:rPr>
      </w:pPr>
      <w:r>
        <w:rPr>
          <w:rFonts w:hint="eastAsia" w:ascii="宋体" w:hAnsi="宋体"/>
          <w:sz w:val="24"/>
        </w:rPr>
        <w:t>投标人踏勘现场发生的费用自理。</w:t>
      </w:r>
    </w:p>
    <w:p>
      <w:pPr>
        <w:numPr>
          <w:ilvl w:val="2"/>
          <w:numId w:val="17"/>
        </w:numPr>
        <w:spacing w:line="360" w:lineRule="auto"/>
        <w:ind w:firstLine="424" w:firstLineChars="177"/>
        <w:rPr>
          <w:rFonts w:ascii="宋体" w:hAnsi="宋体"/>
          <w:sz w:val="24"/>
        </w:rPr>
      </w:pPr>
      <w:r>
        <w:rPr>
          <w:rFonts w:hint="eastAsia" w:ascii="宋体" w:hAnsi="宋体"/>
          <w:sz w:val="24"/>
        </w:rPr>
        <w:t>除招标人的原因外，投标人自行负责在踏勘现场中所发生的人员伤亡和财产损失。</w:t>
      </w:r>
    </w:p>
    <w:p>
      <w:pPr>
        <w:numPr>
          <w:ilvl w:val="2"/>
          <w:numId w:val="17"/>
        </w:numPr>
        <w:spacing w:line="360" w:lineRule="auto"/>
        <w:ind w:firstLine="424" w:firstLineChars="177"/>
        <w:rPr>
          <w:rFonts w:ascii="宋体" w:hAnsi="宋体"/>
          <w:sz w:val="24"/>
        </w:rPr>
      </w:pPr>
      <w:r>
        <w:rPr>
          <w:rFonts w:hint="eastAsia" w:ascii="宋体" w:hAnsi="宋体"/>
          <w:sz w:val="24"/>
        </w:rPr>
        <w:t>招标人在踏勘现场中介绍的工程场地和相关的周边环境情况，供投标人在编制投标文件时参考，招标人不对投标人据此作出的判断和决策负责。</w:t>
      </w:r>
    </w:p>
    <w:p>
      <w:pPr>
        <w:pStyle w:val="8"/>
        <w:numPr>
          <w:ilvl w:val="1"/>
          <w:numId w:val="9"/>
        </w:numPr>
        <w:spacing w:before="0" w:after="0" w:line="360" w:lineRule="auto"/>
        <w:ind w:firstLine="426" w:firstLineChars="177"/>
        <w:rPr>
          <w:rFonts w:ascii="宋体" w:eastAsia="宋体"/>
          <w:sz w:val="24"/>
          <w:szCs w:val="24"/>
        </w:rPr>
      </w:pPr>
      <w:bookmarkStart w:id="173" w:name="_Toc247527564"/>
      <w:bookmarkStart w:id="174" w:name="_Toc300834960"/>
      <w:bookmarkStart w:id="175" w:name="_Toc152042316"/>
      <w:bookmarkStart w:id="176" w:name="_Toc43198857"/>
      <w:bookmarkStart w:id="177" w:name="_Toc247513963"/>
      <w:bookmarkStart w:id="178" w:name="_Toc152045540"/>
      <w:bookmarkStart w:id="179" w:name="_Toc144974508"/>
      <w:bookmarkStart w:id="180" w:name="_Toc23282557"/>
      <w:r>
        <w:rPr>
          <w:rFonts w:hint="eastAsia" w:ascii="宋体" w:eastAsia="宋体"/>
          <w:sz w:val="24"/>
          <w:szCs w:val="24"/>
        </w:rPr>
        <w:t>投标预备会</w:t>
      </w:r>
      <w:bookmarkEnd w:id="173"/>
      <w:bookmarkEnd w:id="174"/>
      <w:bookmarkEnd w:id="175"/>
      <w:bookmarkEnd w:id="176"/>
      <w:bookmarkEnd w:id="177"/>
      <w:bookmarkEnd w:id="178"/>
      <w:bookmarkEnd w:id="179"/>
      <w:bookmarkEnd w:id="180"/>
    </w:p>
    <w:p>
      <w:pPr>
        <w:numPr>
          <w:ilvl w:val="2"/>
          <w:numId w:val="18"/>
        </w:numPr>
        <w:spacing w:line="360" w:lineRule="auto"/>
        <w:ind w:firstLine="424" w:firstLineChars="177"/>
        <w:rPr>
          <w:rFonts w:hint="eastAsia" w:ascii="宋体" w:hAnsi="宋体"/>
          <w:sz w:val="24"/>
        </w:rPr>
      </w:pPr>
      <w:r>
        <w:rPr>
          <w:rFonts w:hint="eastAsia" w:ascii="宋体" w:hAnsi="宋体"/>
          <w:sz w:val="24"/>
        </w:rPr>
        <w:t>招标人不召开投标预备会。</w:t>
      </w:r>
    </w:p>
    <w:p>
      <w:pPr>
        <w:numPr>
          <w:ilvl w:val="2"/>
          <w:numId w:val="18"/>
        </w:numPr>
        <w:spacing w:line="360" w:lineRule="auto"/>
        <w:ind w:firstLine="424" w:firstLineChars="177"/>
        <w:rPr>
          <w:rFonts w:hint="eastAsia" w:ascii="宋体" w:hAnsi="宋体"/>
          <w:sz w:val="24"/>
        </w:rPr>
      </w:pPr>
      <w:r>
        <w:rPr>
          <w:rFonts w:hint="eastAsia" w:ascii="宋体" w:hAnsi="宋体"/>
          <w:sz w:val="24"/>
        </w:rPr>
        <w:t>投标人应在投标人须知前附表规定的时间前，将问题在公共资源交易系统电子平台上提出。</w:t>
      </w:r>
    </w:p>
    <w:p>
      <w:pPr>
        <w:numPr>
          <w:ilvl w:val="2"/>
          <w:numId w:val="18"/>
        </w:numPr>
        <w:spacing w:line="360" w:lineRule="auto"/>
        <w:ind w:firstLine="424" w:firstLineChars="177"/>
        <w:rPr>
          <w:rFonts w:ascii="宋体" w:hAnsi="宋体"/>
          <w:sz w:val="24"/>
        </w:rPr>
      </w:pPr>
      <w:r>
        <w:rPr>
          <w:rFonts w:hint="eastAsia" w:ascii="宋体" w:hAnsi="宋体"/>
          <w:sz w:val="24"/>
        </w:rPr>
        <w:t>招标人在投标人须知前附表规定的时间内，将对投标人所提问题的澄清，在公共资源交易系统电子平台上予以澄清。该澄清内容为招标文件的组成部分。</w:t>
      </w:r>
    </w:p>
    <w:p>
      <w:pPr>
        <w:pStyle w:val="8"/>
        <w:numPr>
          <w:ilvl w:val="1"/>
          <w:numId w:val="9"/>
        </w:numPr>
        <w:spacing w:before="0" w:after="0" w:line="360" w:lineRule="auto"/>
        <w:ind w:firstLine="426" w:firstLineChars="177"/>
        <w:rPr>
          <w:rFonts w:ascii="宋体" w:eastAsia="宋体"/>
          <w:sz w:val="24"/>
          <w:szCs w:val="24"/>
        </w:rPr>
      </w:pPr>
      <w:bookmarkStart w:id="181" w:name="_Toc144974509"/>
      <w:bookmarkStart w:id="182" w:name="_Toc152042317"/>
      <w:bookmarkStart w:id="183" w:name="_Toc300834961"/>
      <w:bookmarkStart w:id="184" w:name="_Toc43198858"/>
      <w:bookmarkStart w:id="185" w:name="_Toc152045541"/>
      <w:bookmarkStart w:id="186" w:name="_Toc247513964"/>
      <w:bookmarkStart w:id="187" w:name="_Toc247527565"/>
      <w:bookmarkStart w:id="188" w:name="_Toc23282558"/>
      <w:r>
        <w:rPr>
          <w:rFonts w:hint="eastAsia" w:ascii="宋体" w:eastAsia="宋体"/>
          <w:sz w:val="24"/>
          <w:szCs w:val="24"/>
        </w:rPr>
        <w:t>分包</w:t>
      </w:r>
      <w:bookmarkEnd w:id="181"/>
      <w:bookmarkEnd w:id="182"/>
      <w:bookmarkEnd w:id="183"/>
      <w:bookmarkEnd w:id="184"/>
      <w:bookmarkEnd w:id="185"/>
      <w:bookmarkEnd w:id="186"/>
      <w:bookmarkEnd w:id="187"/>
      <w:bookmarkEnd w:id="188"/>
    </w:p>
    <w:p>
      <w:pPr>
        <w:spacing w:line="360" w:lineRule="auto"/>
        <w:ind w:left="425"/>
        <w:rPr>
          <w:rFonts w:hint="eastAsia" w:ascii="宋体" w:hAnsi="宋体"/>
          <w:sz w:val="24"/>
        </w:rPr>
      </w:pPr>
      <w:r>
        <w:rPr>
          <w:rFonts w:hint="eastAsia" w:ascii="宋体" w:hAnsi="宋体"/>
          <w:sz w:val="24"/>
        </w:rPr>
        <w:t>不允许违法分包。</w:t>
      </w:r>
    </w:p>
    <w:p>
      <w:pPr>
        <w:pStyle w:val="8"/>
        <w:numPr>
          <w:ilvl w:val="1"/>
          <w:numId w:val="9"/>
        </w:numPr>
        <w:spacing w:before="0" w:after="0" w:line="360" w:lineRule="auto"/>
        <w:ind w:firstLine="426" w:firstLineChars="177"/>
        <w:rPr>
          <w:rFonts w:ascii="宋体" w:eastAsia="宋体"/>
          <w:sz w:val="24"/>
          <w:szCs w:val="24"/>
        </w:rPr>
      </w:pPr>
      <w:bookmarkStart w:id="189" w:name="_Toc23282559"/>
      <w:bookmarkStart w:id="190" w:name="_Toc300834962"/>
      <w:bookmarkStart w:id="191" w:name="_Toc43198859"/>
      <w:bookmarkStart w:id="192" w:name="_Toc247527566"/>
      <w:bookmarkStart w:id="193" w:name="_Toc247513965"/>
      <w:r>
        <w:rPr>
          <w:rFonts w:hint="eastAsia" w:ascii="宋体" w:eastAsia="宋体"/>
          <w:sz w:val="24"/>
          <w:szCs w:val="24"/>
        </w:rPr>
        <w:t>偏离</w:t>
      </w:r>
      <w:bookmarkEnd w:id="189"/>
      <w:bookmarkEnd w:id="190"/>
      <w:bookmarkEnd w:id="191"/>
      <w:bookmarkEnd w:id="192"/>
      <w:bookmarkEnd w:id="193"/>
    </w:p>
    <w:p>
      <w:pPr>
        <w:spacing w:line="360" w:lineRule="auto"/>
        <w:ind w:firstLine="422" w:firstLineChars="176"/>
        <w:rPr>
          <w:rFonts w:ascii="宋体" w:hAnsi="宋体"/>
          <w:sz w:val="24"/>
        </w:rPr>
      </w:pPr>
      <w:r>
        <w:rPr>
          <w:rFonts w:hint="eastAsia" w:ascii="宋体" w:hAnsi="宋体"/>
          <w:sz w:val="24"/>
        </w:rPr>
        <w:t>投标人须知前附表允许投标文件偏离招标文件某些要求的，偏离应当符合招标文件规定的偏离范围和幅度。</w:t>
      </w:r>
    </w:p>
    <w:p>
      <w:pPr>
        <w:pStyle w:val="7"/>
        <w:numPr>
          <w:ilvl w:val="0"/>
          <w:numId w:val="8"/>
        </w:numPr>
        <w:spacing w:before="0" w:after="0" w:line="360" w:lineRule="auto"/>
        <w:ind w:firstLine="424" w:firstLineChars="176"/>
        <w:rPr>
          <w:rFonts w:ascii="宋体" w:hAnsi="宋体" w:eastAsia="宋体"/>
          <w:sz w:val="24"/>
          <w:szCs w:val="24"/>
        </w:rPr>
      </w:pPr>
      <w:bookmarkStart w:id="194" w:name="_Toc144974510"/>
      <w:bookmarkStart w:id="195" w:name="_Toc152042318"/>
      <w:bookmarkStart w:id="196" w:name="_Toc23282560"/>
      <w:bookmarkStart w:id="197" w:name="_Toc300834963"/>
      <w:bookmarkStart w:id="198" w:name="_Toc247527567"/>
      <w:bookmarkStart w:id="199" w:name="_Toc152045542"/>
      <w:bookmarkStart w:id="200" w:name="_Toc43198860"/>
      <w:bookmarkStart w:id="201" w:name="_Toc247513966"/>
      <w:r>
        <w:rPr>
          <w:rFonts w:hint="eastAsia" w:ascii="宋体" w:hAnsi="宋体" w:eastAsia="宋体"/>
          <w:sz w:val="24"/>
          <w:szCs w:val="24"/>
        </w:rPr>
        <w:t>招标文件</w:t>
      </w:r>
      <w:bookmarkEnd w:id="194"/>
      <w:bookmarkEnd w:id="195"/>
      <w:bookmarkEnd w:id="196"/>
      <w:bookmarkEnd w:id="197"/>
      <w:bookmarkEnd w:id="198"/>
      <w:bookmarkEnd w:id="199"/>
      <w:bookmarkEnd w:id="200"/>
      <w:bookmarkEnd w:id="201"/>
    </w:p>
    <w:p>
      <w:pPr>
        <w:pStyle w:val="8"/>
        <w:numPr>
          <w:ilvl w:val="1"/>
          <w:numId w:val="19"/>
        </w:numPr>
        <w:spacing w:before="0" w:after="0" w:line="360" w:lineRule="auto"/>
        <w:ind w:firstLine="426" w:firstLineChars="177"/>
        <w:rPr>
          <w:rFonts w:ascii="宋体" w:eastAsia="宋体"/>
          <w:sz w:val="24"/>
          <w:szCs w:val="24"/>
        </w:rPr>
      </w:pPr>
      <w:bookmarkStart w:id="202" w:name="_Toc144974511"/>
      <w:bookmarkStart w:id="203" w:name="_Toc300834964"/>
      <w:bookmarkStart w:id="204" w:name="_Toc23282561"/>
      <w:bookmarkStart w:id="205" w:name="_Toc247513967"/>
      <w:bookmarkStart w:id="206" w:name="_Toc43198861"/>
      <w:bookmarkStart w:id="207" w:name="_Toc152042319"/>
      <w:bookmarkStart w:id="208" w:name="_Toc247527568"/>
      <w:bookmarkStart w:id="209" w:name="_Toc152045543"/>
      <w:r>
        <w:rPr>
          <w:rFonts w:hint="eastAsia" w:ascii="宋体" w:eastAsia="宋体"/>
          <w:sz w:val="24"/>
          <w:szCs w:val="24"/>
        </w:rPr>
        <w:t>招标文件的组成</w:t>
      </w:r>
      <w:bookmarkEnd w:id="202"/>
      <w:bookmarkEnd w:id="203"/>
      <w:bookmarkEnd w:id="204"/>
      <w:bookmarkEnd w:id="205"/>
      <w:bookmarkEnd w:id="206"/>
      <w:bookmarkEnd w:id="207"/>
      <w:bookmarkEnd w:id="208"/>
      <w:bookmarkEnd w:id="209"/>
    </w:p>
    <w:p>
      <w:pPr>
        <w:spacing w:line="360" w:lineRule="auto"/>
        <w:ind w:firstLine="422" w:firstLineChars="176"/>
        <w:rPr>
          <w:rFonts w:ascii="宋体" w:hAnsi="宋体"/>
          <w:sz w:val="24"/>
        </w:rPr>
      </w:pPr>
      <w:r>
        <w:rPr>
          <w:rFonts w:hint="eastAsia" w:ascii="宋体" w:hAnsi="宋体"/>
          <w:sz w:val="24"/>
        </w:rPr>
        <w:t>2</w:t>
      </w:r>
      <w:r>
        <w:rPr>
          <w:rFonts w:ascii="宋体" w:hAnsi="宋体"/>
          <w:sz w:val="24"/>
        </w:rPr>
        <w:t>.1.1</w:t>
      </w:r>
      <w:r>
        <w:rPr>
          <w:rFonts w:hint="eastAsia" w:ascii="宋体" w:hAnsi="宋体"/>
          <w:sz w:val="24"/>
        </w:rPr>
        <w:t>本招标文件包括：</w:t>
      </w:r>
    </w:p>
    <w:p>
      <w:pPr>
        <w:spacing w:line="360" w:lineRule="auto"/>
        <w:ind w:firstLine="422" w:firstLineChars="176"/>
        <w:rPr>
          <w:rFonts w:hint="eastAsia" w:ascii="宋体" w:hAnsi="宋体"/>
          <w:sz w:val="24"/>
        </w:rPr>
      </w:pPr>
      <w:r>
        <w:rPr>
          <w:rFonts w:hint="eastAsia" w:ascii="宋体" w:hAnsi="宋体"/>
          <w:sz w:val="24"/>
        </w:rPr>
        <w:t>（1）招标公告；</w:t>
      </w:r>
    </w:p>
    <w:p>
      <w:pPr>
        <w:spacing w:line="360" w:lineRule="auto"/>
        <w:ind w:firstLine="422" w:firstLineChars="176"/>
        <w:rPr>
          <w:rFonts w:hint="eastAsia" w:ascii="宋体" w:hAnsi="宋体"/>
          <w:sz w:val="24"/>
        </w:rPr>
      </w:pPr>
      <w:r>
        <w:rPr>
          <w:rFonts w:hint="eastAsia" w:ascii="宋体" w:hAnsi="宋体"/>
          <w:sz w:val="24"/>
        </w:rPr>
        <w:t>（2）投标人须知；</w:t>
      </w:r>
    </w:p>
    <w:p>
      <w:pPr>
        <w:spacing w:line="360" w:lineRule="auto"/>
        <w:ind w:firstLine="422" w:firstLineChars="176"/>
        <w:rPr>
          <w:rFonts w:hint="eastAsia" w:ascii="宋体" w:hAnsi="宋体"/>
          <w:sz w:val="24"/>
        </w:rPr>
      </w:pPr>
      <w:r>
        <w:rPr>
          <w:rFonts w:hint="eastAsia" w:ascii="宋体" w:hAnsi="宋体"/>
          <w:sz w:val="24"/>
        </w:rPr>
        <w:t>（3）评标办法；</w:t>
      </w:r>
    </w:p>
    <w:p>
      <w:pPr>
        <w:spacing w:line="360" w:lineRule="auto"/>
        <w:ind w:firstLine="422" w:firstLineChars="176"/>
        <w:rPr>
          <w:rFonts w:hint="eastAsia" w:ascii="宋体" w:hAnsi="宋体"/>
          <w:sz w:val="24"/>
        </w:rPr>
      </w:pPr>
      <w:r>
        <w:rPr>
          <w:rFonts w:hint="eastAsia" w:ascii="宋体" w:hAnsi="宋体"/>
          <w:sz w:val="24"/>
        </w:rPr>
        <w:t>（4）合同条款及格式；</w:t>
      </w:r>
    </w:p>
    <w:p>
      <w:pPr>
        <w:spacing w:line="360" w:lineRule="auto"/>
        <w:ind w:firstLine="422" w:firstLineChars="176"/>
        <w:rPr>
          <w:rFonts w:hint="eastAsia" w:ascii="宋体" w:hAnsi="宋体"/>
          <w:sz w:val="24"/>
        </w:rPr>
      </w:pPr>
      <w:r>
        <w:rPr>
          <w:rFonts w:hint="eastAsia" w:ascii="宋体" w:hAnsi="宋体"/>
          <w:sz w:val="24"/>
        </w:rPr>
        <w:t xml:space="preserve">（5）工程量清单； </w:t>
      </w:r>
    </w:p>
    <w:p>
      <w:pPr>
        <w:spacing w:line="360" w:lineRule="auto"/>
        <w:ind w:firstLine="422" w:firstLineChars="176"/>
        <w:rPr>
          <w:rFonts w:hint="eastAsia" w:ascii="宋体" w:hAnsi="宋体"/>
          <w:sz w:val="24"/>
        </w:rPr>
      </w:pPr>
      <w:r>
        <w:rPr>
          <w:rFonts w:hint="eastAsia" w:ascii="宋体" w:hAnsi="宋体"/>
          <w:sz w:val="24"/>
        </w:rPr>
        <w:t xml:space="preserve">（6）图纸； </w:t>
      </w:r>
    </w:p>
    <w:p>
      <w:pPr>
        <w:spacing w:line="360" w:lineRule="auto"/>
        <w:ind w:firstLine="422" w:firstLineChars="176"/>
        <w:rPr>
          <w:rFonts w:hint="eastAsia" w:ascii="宋体" w:hAnsi="宋体"/>
          <w:sz w:val="24"/>
        </w:rPr>
      </w:pPr>
      <w:r>
        <w:rPr>
          <w:rFonts w:hint="eastAsia" w:ascii="宋体" w:hAnsi="宋体"/>
          <w:sz w:val="24"/>
        </w:rPr>
        <w:t>（7）技术标准和要求；</w:t>
      </w:r>
    </w:p>
    <w:p>
      <w:pPr>
        <w:spacing w:line="360" w:lineRule="auto"/>
        <w:ind w:firstLine="422" w:firstLineChars="176"/>
        <w:rPr>
          <w:rFonts w:hint="eastAsia" w:ascii="宋体" w:hAnsi="宋体"/>
          <w:sz w:val="24"/>
        </w:rPr>
      </w:pPr>
      <w:r>
        <w:rPr>
          <w:rFonts w:hint="eastAsia" w:ascii="宋体" w:hAnsi="宋体"/>
          <w:sz w:val="24"/>
        </w:rPr>
        <w:t>（8）投标文件格式；</w:t>
      </w:r>
    </w:p>
    <w:p>
      <w:pPr>
        <w:spacing w:line="360" w:lineRule="auto"/>
        <w:ind w:firstLine="422" w:firstLineChars="176"/>
        <w:rPr>
          <w:rFonts w:hint="eastAsia" w:ascii="宋体" w:hAnsi="宋体"/>
          <w:sz w:val="24"/>
        </w:rPr>
      </w:pPr>
      <w:r>
        <w:rPr>
          <w:rFonts w:hint="eastAsia" w:ascii="宋体" w:hAnsi="宋体"/>
          <w:sz w:val="24"/>
        </w:rPr>
        <w:t>（9）投标人须知前附表规定的其他材料；</w:t>
      </w:r>
    </w:p>
    <w:p>
      <w:pPr>
        <w:spacing w:line="360" w:lineRule="auto"/>
        <w:ind w:firstLine="422" w:firstLineChars="176"/>
        <w:rPr>
          <w:rFonts w:ascii="宋体" w:hAnsi="宋体"/>
          <w:sz w:val="24"/>
        </w:rPr>
      </w:pPr>
      <w:r>
        <w:rPr>
          <w:rFonts w:hint="eastAsia" w:ascii="宋体" w:hAnsi="宋体"/>
          <w:sz w:val="24"/>
        </w:rPr>
        <w:t>2</w:t>
      </w:r>
      <w:r>
        <w:rPr>
          <w:rFonts w:ascii="宋体" w:hAnsi="宋体"/>
          <w:sz w:val="24"/>
        </w:rPr>
        <w:t>.1.2</w:t>
      </w:r>
      <w:r>
        <w:rPr>
          <w:rFonts w:hint="eastAsia" w:ascii="宋体" w:hAnsi="宋体"/>
          <w:sz w:val="24"/>
        </w:rPr>
        <w:t>根据本章第2.2 款和第2.3 款对招标文件所作的澄清、修改，构成招标文件的组成部分。</w:t>
      </w:r>
    </w:p>
    <w:p>
      <w:pPr>
        <w:pStyle w:val="8"/>
        <w:numPr>
          <w:ilvl w:val="1"/>
          <w:numId w:val="19"/>
        </w:numPr>
        <w:spacing w:before="0" w:after="0" w:line="360" w:lineRule="auto"/>
        <w:ind w:firstLine="426" w:firstLineChars="177"/>
        <w:rPr>
          <w:rFonts w:ascii="宋体" w:eastAsia="宋体"/>
          <w:sz w:val="24"/>
          <w:szCs w:val="24"/>
        </w:rPr>
      </w:pPr>
      <w:bookmarkStart w:id="210" w:name="_Toc43198862"/>
      <w:bookmarkStart w:id="211" w:name="_Toc300834965"/>
      <w:bookmarkStart w:id="212" w:name="_Toc144974512"/>
      <w:bookmarkStart w:id="213" w:name="_Toc247513968"/>
      <w:bookmarkStart w:id="214" w:name="_Toc247527569"/>
      <w:bookmarkStart w:id="215" w:name="_Toc23282562"/>
      <w:bookmarkStart w:id="216" w:name="_Toc152042320"/>
      <w:bookmarkStart w:id="217" w:name="_Toc152045544"/>
      <w:r>
        <w:rPr>
          <w:rFonts w:hint="eastAsia" w:ascii="宋体" w:eastAsia="宋体"/>
          <w:sz w:val="24"/>
          <w:szCs w:val="24"/>
        </w:rPr>
        <w:t>招标文件的澄清</w:t>
      </w:r>
      <w:bookmarkEnd w:id="210"/>
      <w:bookmarkEnd w:id="211"/>
      <w:bookmarkEnd w:id="212"/>
      <w:bookmarkEnd w:id="213"/>
      <w:bookmarkEnd w:id="214"/>
      <w:bookmarkEnd w:id="215"/>
      <w:bookmarkEnd w:id="216"/>
      <w:bookmarkEnd w:id="217"/>
    </w:p>
    <w:p>
      <w:pPr>
        <w:numPr>
          <w:ilvl w:val="2"/>
          <w:numId w:val="20"/>
        </w:numPr>
        <w:spacing w:line="360" w:lineRule="auto"/>
        <w:ind w:firstLine="424" w:firstLineChars="177"/>
        <w:rPr>
          <w:rFonts w:ascii="宋体" w:hAnsi="宋体"/>
          <w:sz w:val="24"/>
        </w:rPr>
      </w:pPr>
      <w:r>
        <w:rPr>
          <w:rFonts w:hint="eastAsia" w:ascii="宋体" w:hAnsi="宋体"/>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ascii="宋体" w:hAnsi="宋体"/>
          <w:b/>
          <w:bCs/>
          <w:sz w:val="24"/>
        </w:rPr>
        <w:t>如未提出异议，视为全面接受。</w:t>
      </w:r>
    </w:p>
    <w:p>
      <w:pPr>
        <w:numPr>
          <w:ilvl w:val="2"/>
          <w:numId w:val="20"/>
        </w:numPr>
        <w:spacing w:line="360" w:lineRule="auto"/>
        <w:ind w:firstLine="424" w:firstLineChars="177"/>
        <w:rPr>
          <w:rFonts w:ascii="宋体" w:hAnsi="宋体"/>
          <w:sz w:val="24"/>
        </w:rPr>
      </w:pPr>
      <w:r>
        <w:rPr>
          <w:rFonts w:hint="eastAsia" w:ascii="宋体" w:hAnsi="宋体"/>
          <w:sz w:val="24"/>
        </w:rPr>
        <w:t>招标文件的澄清将在投标人须知前附表规定的投标截止时间15天前通过公共资源交易系统电子平台发出，但不指明澄清问题的来源。如果澄清发出的时间距投标截止时间不足15天，相应延长投标截止时间。</w:t>
      </w:r>
    </w:p>
    <w:p>
      <w:pPr>
        <w:numPr>
          <w:ilvl w:val="2"/>
          <w:numId w:val="20"/>
        </w:numPr>
        <w:spacing w:line="360" w:lineRule="auto"/>
        <w:ind w:firstLine="424" w:firstLineChars="177"/>
        <w:rPr>
          <w:rFonts w:ascii="宋体" w:hAnsi="宋体"/>
          <w:sz w:val="24"/>
        </w:rPr>
      </w:pPr>
      <w:r>
        <w:rPr>
          <w:rFonts w:hint="eastAsia" w:ascii="宋体" w:hAnsi="宋体"/>
          <w:sz w:val="24"/>
        </w:rPr>
        <w:t>所有澄清、答疑全部以公共资源交易系统电子平台发出的为准，不再接受书面形式的递交。</w:t>
      </w:r>
    </w:p>
    <w:p>
      <w:pPr>
        <w:pStyle w:val="8"/>
        <w:numPr>
          <w:ilvl w:val="1"/>
          <w:numId w:val="19"/>
        </w:numPr>
        <w:spacing w:before="0" w:after="0" w:line="360" w:lineRule="auto"/>
        <w:ind w:firstLine="426" w:firstLineChars="177"/>
        <w:rPr>
          <w:rFonts w:ascii="宋体" w:eastAsia="宋体"/>
          <w:sz w:val="24"/>
          <w:szCs w:val="24"/>
        </w:rPr>
      </w:pPr>
      <w:bookmarkStart w:id="218" w:name="_Toc247513969"/>
      <w:bookmarkStart w:id="219" w:name="_Toc247527570"/>
      <w:bookmarkStart w:id="220" w:name="_Toc23282563"/>
      <w:bookmarkStart w:id="221" w:name="_Toc43198863"/>
      <w:bookmarkStart w:id="222" w:name="_Toc144974513"/>
      <w:bookmarkStart w:id="223" w:name="_Toc300834966"/>
      <w:bookmarkStart w:id="224" w:name="_Toc152042321"/>
      <w:bookmarkStart w:id="225" w:name="_Toc152045545"/>
      <w:r>
        <w:rPr>
          <w:rFonts w:hint="eastAsia" w:ascii="宋体" w:eastAsia="宋体"/>
          <w:sz w:val="24"/>
          <w:szCs w:val="24"/>
        </w:rPr>
        <w:t>招标文件的修改</w:t>
      </w:r>
      <w:bookmarkEnd w:id="218"/>
      <w:bookmarkEnd w:id="219"/>
      <w:bookmarkEnd w:id="220"/>
      <w:bookmarkEnd w:id="221"/>
      <w:bookmarkEnd w:id="222"/>
      <w:bookmarkEnd w:id="223"/>
      <w:bookmarkEnd w:id="224"/>
      <w:bookmarkEnd w:id="225"/>
    </w:p>
    <w:p>
      <w:pPr>
        <w:numPr>
          <w:ilvl w:val="2"/>
          <w:numId w:val="21"/>
        </w:numPr>
        <w:spacing w:line="360" w:lineRule="auto"/>
        <w:ind w:left="0" w:firstLine="424" w:firstLineChars="177"/>
        <w:rPr>
          <w:rFonts w:ascii="宋体" w:hAnsi="宋体"/>
          <w:sz w:val="24"/>
        </w:rPr>
      </w:pPr>
      <w:r>
        <w:rPr>
          <w:rFonts w:hint="eastAsia" w:ascii="宋体" w:hAnsi="宋体" w:cs="宋体"/>
          <w:sz w:val="24"/>
        </w:rPr>
        <w:t>在投标截止时间15天前，招标人可以通过公共资源交易系统电子平台修改招标文件，如果修改招标文件的时间距投标截止时间不足15天，相应延长投标截止时间。</w:t>
      </w:r>
    </w:p>
    <w:p>
      <w:pPr>
        <w:numPr>
          <w:ilvl w:val="2"/>
          <w:numId w:val="21"/>
        </w:numPr>
        <w:spacing w:line="360" w:lineRule="auto"/>
        <w:ind w:left="0" w:firstLine="424" w:firstLineChars="177"/>
        <w:rPr>
          <w:rFonts w:ascii="宋体" w:hAnsi="宋体"/>
          <w:sz w:val="24"/>
        </w:rPr>
      </w:pPr>
      <w:r>
        <w:rPr>
          <w:rFonts w:hint="eastAsia" w:ascii="宋体" w:hAnsi="宋体"/>
          <w:sz w:val="24"/>
        </w:rPr>
        <w:t>当招标文件、补充通知、答疑纪要，内容相互矛盾时，以最后发出的通知或纪要为准。</w:t>
      </w:r>
    </w:p>
    <w:p>
      <w:pPr>
        <w:pStyle w:val="7"/>
        <w:numPr>
          <w:ilvl w:val="0"/>
          <w:numId w:val="8"/>
        </w:numPr>
        <w:spacing w:before="0" w:after="0" w:line="360" w:lineRule="auto"/>
        <w:ind w:firstLine="424" w:firstLineChars="176"/>
        <w:rPr>
          <w:rFonts w:ascii="宋体" w:hAnsi="宋体" w:eastAsia="宋体"/>
          <w:sz w:val="24"/>
          <w:szCs w:val="24"/>
        </w:rPr>
      </w:pPr>
      <w:bookmarkStart w:id="226" w:name="_Toc247527571"/>
      <w:bookmarkStart w:id="227" w:name="_Toc300834967"/>
      <w:bookmarkStart w:id="228" w:name="_Toc247513970"/>
      <w:bookmarkStart w:id="229" w:name="_Toc144974514"/>
      <w:bookmarkStart w:id="230" w:name="_Toc43198864"/>
      <w:bookmarkStart w:id="231" w:name="_Toc23282564"/>
      <w:bookmarkStart w:id="232" w:name="_Toc152042322"/>
      <w:bookmarkStart w:id="233" w:name="_Toc152045546"/>
      <w:r>
        <w:rPr>
          <w:rFonts w:hint="eastAsia" w:ascii="宋体" w:hAnsi="宋体" w:eastAsia="宋体"/>
          <w:sz w:val="24"/>
          <w:szCs w:val="24"/>
        </w:rPr>
        <w:t>投标文件</w:t>
      </w:r>
      <w:bookmarkEnd w:id="226"/>
      <w:bookmarkEnd w:id="227"/>
      <w:bookmarkEnd w:id="228"/>
      <w:bookmarkEnd w:id="229"/>
      <w:bookmarkEnd w:id="230"/>
      <w:bookmarkEnd w:id="231"/>
      <w:bookmarkEnd w:id="232"/>
      <w:bookmarkEnd w:id="233"/>
    </w:p>
    <w:p>
      <w:pPr>
        <w:pStyle w:val="8"/>
        <w:numPr>
          <w:ilvl w:val="1"/>
          <w:numId w:val="22"/>
        </w:numPr>
        <w:spacing w:before="0" w:after="0" w:line="360" w:lineRule="auto"/>
        <w:ind w:left="0" w:firstLine="426" w:firstLineChars="177"/>
        <w:rPr>
          <w:rFonts w:ascii="宋体" w:eastAsia="宋体"/>
          <w:b/>
          <w:bCs w:val="0"/>
          <w:sz w:val="24"/>
          <w:szCs w:val="24"/>
        </w:rPr>
      </w:pPr>
      <w:bookmarkStart w:id="234" w:name="_Toc43198865"/>
      <w:r>
        <w:rPr>
          <w:rFonts w:hint="eastAsia" w:ascii="宋体" w:eastAsia="宋体"/>
          <w:b/>
          <w:bCs w:val="0"/>
          <w:sz w:val="24"/>
          <w:szCs w:val="24"/>
        </w:rPr>
        <w:t>投标文件组成</w:t>
      </w:r>
      <w:bookmarkEnd w:id="234"/>
    </w:p>
    <w:p>
      <w:pPr>
        <w:spacing w:line="360" w:lineRule="auto"/>
        <w:ind w:firstLine="424" w:firstLineChars="177"/>
        <w:rPr>
          <w:rFonts w:hAnsi="宋体" w:cs="宋体"/>
          <w:sz w:val="24"/>
        </w:rPr>
      </w:pPr>
      <w:r>
        <w:rPr>
          <w:rFonts w:hint="eastAsia" w:hAnsi="宋体" w:cs="宋体"/>
          <w:sz w:val="24"/>
        </w:rPr>
        <w:t>投标文件由商务标、综合标和技术标三部分组成。</w:t>
      </w:r>
    </w:p>
    <w:p>
      <w:pPr>
        <w:numPr>
          <w:ilvl w:val="2"/>
          <w:numId w:val="23"/>
        </w:numPr>
        <w:spacing w:line="360" w:lineRule="auto"/>
        <w:rPr>
          <w:rFonts w:ascii="宋体" w:hAnsi="宋体"/>
          <w:sz w:val="24"/>
        </w:rPr>
      </w:pPr>
      <w:r>
        <w:rPr>
          <w:rFonts w:hint="eastAsia" w:ascii="宋体" w:hAnsi="宋体"/>
          <w:sz w:val="24"/>
        </w:rPr>
        <w:t>商务标内容：</w:t>
      </w:r>
    </w:p>
    <w:p>
      <w:pPr>
        <w:spacing w:line="360" w:lineRule="auto"/>
        <w:ind w:firstLine="424" w:firstLineChars="177"/>
        <w:rPr>
          <w:rFonts w:hAnsi="宋体" w:cs="宋体"/>
          <w:sz w:val="24"/>
        </w:rPr>
      </w:pPr>
      <w:r>
        <w:rPr>
          <w:rFonts w:hint="eastAsia" w:hAnsi="宋体" w:cs="宋体"/>
          <w:sz w:val="24"/>
        </w:rPr>
        <w:t>已标价工程量清单</w:t>
      </w:r>
    </w:p>
    <w:p>
      <w:pPr>
        <w:numPr>
          <w:ilvl w:val="2"/>
          <w:numId w:val="23"/>
        </w:numPr>
        <w:spacing w:line="360" w:lineRule="auto"/>
        <w:rPr>
          <w:rFonts w:hint="eastAsia" w:ascii="宋体" w:hAnsi="宋体"/>
          <w:sz w:val="24"/>
        </w:rPr>
      </w:pPr>
      <w:r>
        <w:rPr>
          <w:rFonts w:hint="eastAsia" w:ascii="宋体" w:hAnsi="宋体"/>
          <w:sz w:val="24"/>
        </w:rPr>
        <w:t>综合标组成：</w:t>
      </w:r>
    </w:p>
    <w:p>
      <w:pPr>
        <w:numPr>
          <w:ilvl w:val="0"/>
          <w:numId w:val="24"/>
        </w:numPr>
        <w:spacing w:line="360" w:lineRule="auto"/>
        <w:rPr>
          <w:rFonts w:hint="eastAsia" w:ascii="宋体" w:hAnsi="宋体"/>
          <w:sz w:val="24"/>
        </w:rPr>
      </w:pPr>
      <w:r>
        <w:rPr>
          <w:rFonts w:hint="eastAsia" w:ascii="宋体" w:hAnsi="宋体"/>
          <w:sz w:val="24"/>
        </w:rPr>
        <w:t>投标函及投标函附录；</w:t>
      </w:r>
    </w:p>
    <w:p>
      <w:pPr>
        <w:numPr>
          <w:ilvl w:val="0"/>
          <w:numId w:val="24"/>
        </w:numPr>
        <w:spacing w:line="360" w:lineRule="auto"/>
        <w:rPr>
          <w:rFonts w:hint="eastAsia" w:ascii="宋体" w:hAnsi="宋体"/>
          <w:sz w:val="24"/>
        </w:rPr>
      </w:pPr>
      <w:r>
        <w:rPr>
          <w:rFonts w:hint="eastAsia" w:ascii="宋体" w:hAnsi="宋体"/>
          <w:sz w:val="24"/>
        </w:rPr>
        <w:t>法定代表人身份证明、授权委托书及承诺书</w:t>
      </w:r>
    </w:p>
    <w:p>
      <w:pPr>
        <w:numPr>
          <w:ilvl w:val="0"/>
          <w:numId w:val="24"/>
        </w:numPr>
        <w:spacing w:line="360" w:lineRule="auto"/>
        <w:rPr>
          <w:rFonts w:hint="eastAsia" w:ascii="宋体" w:hAnsi="宋体"/>
          <w:sz w:val="24"/>
        </w:rPr>
      </w:pPr>
      <w:r>
        <w:rPr>
          <w:rFonts w:hint="eastAsia" w:ascii="宋体" w:hAnsi="宋体"/>
          <w:sz w:val="24"/>
        </w:rPr>
        <w:t>投标保证金；</w:t>
      </w:r>
    </w:p>
    <w:p>
      <w:pPr>
        <w:numPr>
          <w:ilvl w:val="0"/>
          <w:numId w:val="24"/>
        </w:numPr>
        <w:spacing w:line="360" w:lineRule="auto"/>
        <w:rPr>
          <w:rFonts w:hint="eastAsia" w:ascii="宋体" w:hAnsi="宋体"/>
          <w:sz w:val="24"/>
        </w:rPr>
      </w:pPr>
      <w:r>
        <w:rPr>
          <w:rFonts w:hint="eastAsia" w:ascii="宋体" w:hAnsi="宋体"/>
          <w:sz w:val="24"/>
        </w:rPr>
        <w:t>项目管理机构配备情况；</w:t>
      </w:r>
    </w:p>
    <w:p>
      <w:pPr>
        <w:numPr>
          <w:ilvl w:val="0"/>
          <w:numId w:val="24"/>
        </w:numPr>
        <w:spacing w:line="360" w:lineRule="auto"/>
        <w:rPr>
          <w:rFonts w:hint="eastAsia" w:ascii="宋体" w:hAnsi="宋体"/>
          <w:sz w:val="24"/>
        </w:rPr>
      </w:pPr>
      <w:r>
        <w:rPr>
          <w:rFonts w:hint="eastAsia" w:ascii="宋体" w:hAnsi="宋体"/>
          <w:sz w:val="24"/>
        </w:rPr>
        <w:t>投标单位基本情况表；</w:t>
      </w:r>
    </w:p>
    <w:p>
      <w:pPr>
        <w:numPr>
          <w:ilvl w:val="0"/>
          <w:numId w:val="24"/>
        </w:numPr>
        <w:spacing w:line="360" w:lineRule="auto"/>
        <w:rPr>
          <w:rFonts w:hint="eastAsia" w:ascii="宋体" w:hAnsi="宋体"/>
          <w:sz w:val="24"/>
        </w:rPr>
      </w:pPr>
      <w:r>
        <w:rPr>
          <w:rFonts w:hint="eastAsia" w:ascii="宋体" w:hAnsi="宋体"/>
          <w:sz w:val="24"/>
        </w:rPr>
        <w:t>资格证明文件；</w:t>
      </w:r>
    </w:p>
    <w:p>
      <w:pPr>
        <w:numPr>
          <w:ilvl w:val="0"/>
          <w:numId w:val="24"/>
        </w:numPr>
        <w:spacing w:line="360" w:lineRule="auto"/>
        <w:rPr>
          <w:rFonts w:hint="eastAsia" w:ascii="宋体" w:hAnsi="宋体"/>
          <w:sz w:val="24"/>
        </w:rPr>
      </w:pPr>
      <w:r>
        <w:rPr>
          <w:rFonts w:hint="eastAsia" w:ascii="宋体" w:hAnsi="宋体"/>
          <w:sz w:val="24"/>
        </w:rPr>
        <w:t>近年财务状况；</w:t>
      </w:r>
    </w:p>
    <w:p>
      <w:pPr>
        <w:numPr>
          <w:ilvl w:val="0"/>
          <w:numId w:val="24"/>
        </w:numPr>
        <w:spacing w:line="360" w:lineRule="auto"/>
        <w:rPr>
          <w:rFonts w:hint="eastAsia" w:ascii="宋体" w:hAnsi="宋体"/>
          <w:sz w:val="24"/>
        </w:rPr>
      </w:pPr>
      <w:r>
        <w:rPr>
          <w:rFonts w:hint="eastAsia" w:ascii="宋体" w:hAnsi="宋体"/>
          <w:sz w:val="24"/>
        </w:rPr>
        <w:t>近年完成的类似项目情况表；</w:t>
      </w:r>
    </w:p>
    <w:p>
      <w:pPr>
        <w:numPr>
          <w:ilvl w:val="0"/>
          <w:numId w:val="24"/>
        </w:numPr>
        <w:spacing w:line="360" w:lineRule="auto"/>
        <w:rPr>
          <w:rFonts w:hint="eastAsia" w:ascii="宋体" w:hAnsi="宋体"/>
          <w:sz w:val="24"/>
        </w:rPr>
      </w:pPr>
      <w:r>
        <w:rPr>
          <w:rFonts w:hint="eastAsia" w:ascii="宋体" w:hAnsi="宋体"/>
          <w:sz w:val="24"/>
        </w:rPr>
        <w:t>正在施工和新承接的项目情况；</w:t>
      </w:r>
    </w:p>
    <w:p>
      <w:pPr>
        <w:numPr>
          <w:ilvl w:val="0"/>
          <w:numId w:val="24"/>
        </w:numPr>
        <w:spacing w:line="360" w:lineRule="auto"/>
        <w:rPr>
          <w:rFonts w:hint="eastAsia" w:ascii="宋体" w:hAnsi="宋体"/>
          <w:sz w:val="24"/>
        </w:rPr>
      </w:pPr>
      <w:r>
        <w:rPr>
          <w:rFonts w:hint="eastAsia" w:ascii="宋体" w:hAnsi="宋体"/>
          <w:sz w:val="24"/>
        </w:rPr>
        <w:t>近年发生的诉讼及仲裁情况；</w:t>
      </w:r>
    </w:p>
    <w:p>
      <w:pPr>
        <w:numPr>
          <w:ilvl w:val="0"/>
          <w:numId w:val="24"/>
        </w:numPr>
        <w:spacing w:line="360" w:lineRule="auto"/>
        <w:rPr>
          <w:rFonts w:hint="eastAsia" w:ascii="宋体" w:hAnsi="宋体"/>
          <w:sz w:val="24"/>
        </w:rPr>
      </w:pPr>
      <w:r>
        <w:rPr>
          <w:rFonts w:hint="eastAsia" w:ascii="宋体" w:hAnsi="宋体"/>
          <w:sz w:val="24"/>
        </w:rPr>
        <w:t>其它材料。</w:t>
      </w:r>
    </w:p>
    <w:p>
      <w:pPr>
        <w:numPr>
          <w:ilvl w:val="2"/>
          <w:numId w:val="23"/>
        </w:numPr>
        <w:spacing w:line="360" w:lineRule="auto"/>
        <w:rPr>
          <w:rFonts w:hint="eastAsia" w:ascii="宋体" w:hAnsi="宋体"/>
          <w:sz w:val="24"/>
        </w:rPr>
      </w:pPr>
      <w:r>
        <w:rPr>
          <w:rFonts w:hint="eastAsia" w:ascii="宋体" w:hAnsi="宋体"/>
          <w:sz w:val="24"/>
        </w:rPr>
        <w:t>技术标组成：</w:t>
      </w:r>
    </w:p>
    <w:p>
      <w:pPr>
        <w:spacing w:line="360" w:lineRule="auto"/>
        <w:ind w:firstLine="480" w:firstLineChars="200"/>
        <w:rPr>
          <w:rFonts w:hint="eastAsia" w:ascii="宋体" w:hAnsi="宋体"/>
          <w:sz w:val="24"/>
        </w:rPr>
      </w:pPr>
      <w:r>
        <w:rPr>
          <w:rFonts w:hint="eastAsia" w:ascii="宋体" w:hAnsi="宋体"/>
          <w:sz w:val="24"/>
        </w:rPr>
        <w:t>（1）内容完整性；</w:t>
      </w:r>
    </w:p>
    <w:p>
      <w:pPr>
        <w:spacing w:line="360" w:lineRule="auto"/>
        <w:ind w:firstLine="480" w:firstLineChars="200"/>
        <w:rPr>
          <w:rFonts w:hint="eastAsia" w:ascii="宋体" w:hAnsi="宋体"/>
          <w:sz w:val="24"/>
        </w:rPr>
      </w:pPr>
      <w:r>
        <w:rPr>
          <w:rFonts w:hint="eastAsia" w:ascii="宋体" w:hAnsi="宋体"/>
          <w:sz w:val="24"/>
        </w:rPr>
        <w:t>（2）主要施工方案和技术措施；</w:t>
      </w:r>
    </w:p>
    <w:p>
      <w:pPr>
        <w:spacing w:line="360" w:lineRule="auto"/>
        <w:ind w:firstLine="480" w:firstLineChars="200"/>
        <w:rPr>
          <w:rFonts w:hint="eastAsia" w:ascii="宋体" w:hAnsi="宋体"/>
          <w:sz w:val="24"/>
        </w:rPr>
      </w:pPr>
      <w:r>
        <w:rPr>
          <w:rFonts w:hint="eastAsia" w:ascii="宋体" w:hAnsi="宋体"/>
          <w:sz w:val="24"/>
        </w:rPr>
        <w:t>（3）质量管理体系与措施；</w:t>
      </w:r>
    </w:p>
    <w:p>
      <w:pPr>
        <w:spacing w:line="360" w:lineRule="auto"/>
        <w:ind w:firstLine="480" w:firstLineChars="200"/>
        <w:rPr>
          <w:rFonts w:hint="eastAsia" w:ascii="宋体" w:hAnsi="宋体"/>
          <w:sz w:val="24"/>
        </w:rPr>
      </w:pPr>
      <w:r>
        <w:rPr>
          <w:rFonts w:hint="eastAsia" w:ascii="宋体" w:hAnsi="宋体"/>
          <w:sz w:val="24"/>
        </w:rPr>
        <w:t>（4）安全管理体系与措施；</w:t>
      </w:r>
    </w:p>
    <w:p>
      <w:pPr>
        <w:spacing w:line="360" w:lineRule="auto"/>
        <w:ind w:firstLine="480" w:firstLineChars="200"/>
        <w:rPr>
          <w:rFonts w:hint="eastAsia" w:ascii="宋体" w:hAnsi="宋体"/>
          <w:sz w:val="24"/>
        </w:rPr>
      </w:pPr>
      <w:r>
        <w:rPr>
          <w:rFonts w:hint="eastAsia" w:ascii="宋体" w:hAnsi="宋体"/>
          <w:sz w:val="24"/>
        </w:rPr>
        <w:t>（5）文明施工、环境保护管理体系及施工现场扬尘治理措施；</w:t>
      </w:r>
    </w:p>
    <w:p>
      <w:pPr>
        <w:spacing w:line="360" w:lineRule="auto"/>
        <w:ind w:firstLine="480" w:firstLineChars="200"/>
        <w:rPr>
          <w:rFonts w:hint="eastAsia" w:ascii="宋体" w:hAnsi="宋体"/>
          <w:sz w:val="24"/>
        </w:rPr>
      </w:pPr>
      <w:r>
        <w:rPr>
          <w:rFonts w:hint="eastAsia" w:ascii="宋体" w:hAnsi="宋体"/>
          <w:sz w:val="24"/>
        </w:rPr>
        <w:t>（6）工期保证措施；</w:t>
      </w:r>
    </w:p>
    <w:p>
      <w:pPr>
        <w:spacing w:line="360" w:lineRule="auto"/>
        <w:ind w:firstLine="480" w:firstLineChars="200"/>
        <w:rPr>
          <w:rFonts w:hint="eastAsia" w:ascii="宋体" w:hAnsi="宋体"/>
          <w:sz w:val="24"/>
        </w:rPr>
      </w:pPr>
      <w:r>
        <w:rPr>
          <w:rFonts w:hint="eastAsia" w:ascii="宋体" w:hAnsi="宋体"/>
          <w:sz w:val="24"/>
        </w:rPr>
        <w:t>（7）拟投入资源配备计划；</w:t>
      </w:r>
    </w:p>
    <w:p>
      <w:pPr>
        <w:spacing w:line="360" w:lineRule="auto"/>
        <w:ind w:firstLine="480" w:firstLineChars="200"/>
        <w:rPr>
          <w:rFonts w:hint="eastAsia" w:ascii="宋体" w:hAnsi="宋体"/>
          <w:sz w:val="24"/>
        </w:rPr>
      </w:pPr>
      <w:r>
        <w:rPr>
          <w:rFonts w:hint="eastAsia" w:ascii="宋体" w:hAnsi="宋体"/>
          <w:sz w:val="24"/>
        </w:rPr>
        <w:t>（8）施工进度表与网络计划图；</w:t>
      </w:r>
    </w:p>
    <w:p>
      <w:pPr>
        <w:spacing w:line="360" w:lineRule="auto"/>
        <w:ind w:firstLine="480" w:firstLineChars="200"/>
        <w:rPr>
          <w:rFonts w:hint="eastAsia" w:ascii="宋体" w:hAnsi="宋体"/>
          <w:sz w:val="24"/>
        </w:rPr>
      </w:pPr>
      <w:r>
        <w:rPr>
          <w:rFonts w:hint="eastAsia" w:ascii="宋体" w:hAnsi="宋体"/>
          <w:sz w:val="24"/>
        </w:rPr>
        <w:t>（9）施工总平面图布置；</w:t>
      </w:r>
    </w:p>
    <w:p>
      <w:pPr>
        <w:spacing w:line="360" w:lineRule="auto"/>
        <w:ind w:firstLine="480" w:firstLineChars="200"/>
        <w:rPr>
          <w:rFonts w:hint="eastAsia" w:ascii="宋体" w:hAnsi="宋体"/>
          <w:sz w:val="24"/>
        </w:rPr>
      </w:pPr>
      <w:r>
        <w:rPr>
          <w:rFonts w:hint="eastAsia" w:ascii="宋体" w:hAnsi="宋体"/>
          <w:sz w:val="24"/>
        </w:rPr>
        <w:t>（10）技术创新的应用实施措施；</w:t>
      </w:r>
    </w:p>
    <w:p>
      <w:pPr>
        <w:spacing w:line="360" w:lineRule="auto"/>
        <w:ind w:firstLine="480" w:firstLineChars="200"/>
        <w:rPr>
          <w:rFonts w:hint="eastAsia" w:ascii="宋体" w:hAnsi="宋体"/>
          <w:sz w:val="24"/>
        </w:rPr>
      </w:pPr>
      <w:r>
        <w:rPr>
          <w:rFonts w:hint="eastAsia" w:ascii="宋体" w:hAnsi="宋体"/>
          <w:sz w:val="24"/>
        </w:rPr>
        <w:t>（11）采用新工艺、新技术、新设备、新材料、BIM等的程度；</w:t>
      </w:r>
    </w:p>
    <w:p>
      <w:pPr>
        <w:spacing w:line="360" w:lineRule="auto"/>
        <w:ind w:firstLine="480" w:firstLineChars="200"/>
        <w:rPr>
          <w:rFonts w:hint="eastAsia" w:ascii="宋体" w:hAnsi="宋体"/>
          <w:sz w:val="24"/>
        </w:rPr>
      </w:pPr>
      <w:r>
        <w:rPr>
          <w:rFonts w:hint="eastAsia" w:ascii="宋体" w:hAnsi="宋体"/>
          <w:sz w:val="24"/>
        </w:rPr>
        <w:t>（12）施工现场实施信息化监控和数据处理；</w:t>
      </w:r>
    </w:p>
    <w:p>
      <w:pPr>
        <w:spacing w:line="360" w:lineRule="auto"/>
        <w:ind w:firstLine="480" w:firstLineChars="200"/>
        <w:rPr>
          <w:rFonts w:ascii="宋体" w:hAnsi="宋体"/>
          <w:sz w:val="24"/>
        </w:rPr>
      </w:pPr>
      <w:r>
        <w:rPr>
          <w:rFonts w:hint="eastAsia" w:ascii="宋体" w:hAnsi="宋体"/>
          <w:sz w:val="24"/>
        </w:rPr>
        <w:t>（13）风险管理措施 。</w:t>
      </w:r>
    </w:p>
    <w:p>
      <w:pPr>
        <w:pStyle w:val="8"/>
        <w:numPr>
          <w:ilvl w:val="1"/>
          <w:numId w:val="22"/>
        </w:numPr>
        <w:spacing w:before="0" w:after="0" w:line="360" w:lineRule="auto"/>
        <w:ind w:left="0" w:firstLine="426" w:firstLineChars="177"/>
        <w:rPr>
          <w:rFonts w:ascii="宋体" w:eastAsia="宋体"/>
          <w:sz w:val="24"/>
          <w:szCs w:val="24"/>
        </w:rPr>
      </w:pPr>
      <w:bookmarkStart w:id="235" w:name="_Toc43198866"/>
      <w:bookmarkStart w:id="236" w:name="_Toc152045548"/>
      <w:bookmarkStart w:id="237" w:name="_Toc144974516"/>
      <w:bookmarkStart w:id="238" w:name="_Toc300834969"/>
      <w:bookmarkStart w:id="239" w:name="_Toc247527573"/>
      <w:bookmarkStart w:id="240" w:name="_Toc247513972"/>
      <w:bookmarkStart w:id="241" w:name="_Toc152042324"/>
      <w:bookmarkStart w:id="242" w:name="_Toc23282566"/>
      <w:r>
        <w:rPr>
          <w:rFonts w:hint="eastAsia" w:ascii="宋体" w:eastAsia="宋体"/>
          <w:sz w:val="24"/>
          <w:szCs w:val="24"/>
        </w:rPr>
        <w:t>投标报价</w:t>
      </w:r>
      <w:bookmarkEnd w:id="235"/>
      <w:bookmarkEnd w:id="236"/>
      <w:bookmarkEnd w:id="237"/>
      <w:bookmarkEnd w:id="238"/>
      <w:bookmarkEnd w:id="239"/>
      <w:bookmarkEnd w:id="240"/>
      <w:bookmarkEnd w:id="241"/>
      <w:bookmarkEnd w:id="242"/>
      <w:r>
        <w:rPr>
          <w:rFonts w:hint="eastAsia" w:ascii="宋体" w:eastAsia="宋体"/>
          <w:sz w:val="24"/>
          <w:szCs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4"/>
        </w:rPr>
      </w:pPr>
      <w:r>
        <w:rPr>
          <w:rFonts w:hint="eastAsia" w:ascii="新宋体" w:hAnsi="新宋体" w:eastAsia="新宋体" w:cs="仿宋_GB2312"/>
          <w:sz w:val="24"/>
          <w:szCs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szCs w:val="24"/>
        </w:rPr>
      </w:pPr>
      <w:r>
        <w:rPr>
          <w:rFonts w:hint="eastAsia" w:ascii="新宋体" w:hAnsi="新宋体" w:eastAsia="新宋体" w:cs="仿宋_GB2312"/>
          <w:sz w:val="24"/>
          <w:szCs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int="eastAsia" w:ascii="新宋体" w:hAnsi="新宋体" w:eastAsia="新宋体" w:cs="仿宋_GB2312"/>
          <w:b/>
          <w:bCs/>
          <w:sz w:val="24"/>
          <w:szCs w:val="24"/>
        </w:rPr>
      </w:pPr>
      <w:bookmarkStart w:id="243" w:name="OLE_LINK21"/>
      <w:r>
        <w:rPr>
          <w:rFonts w:hint="eastAsia" w:ascii="新宋体" w:hAnsi="新宋体" w:eastAsia="新宋体" w:cs="仿宋_GB2312"/>
          <w:b/>
          <w:bCs/>
          <w:sz w:val="24"/>
          <w:szCs w:val="24"/>
        </w:rPr>
        <w:t>3.2.3“规费和税金”的规定按照住建部《建设工程工程量清单计价规范》（GB50500-2013）及省住建厅有关规定，规费和税金应按规定费（税）率足额计取，即费（税）率不可竞争。规费、安全文明施工措施费、暂列金额与专业暂估价、增值税计入投标总报价，并在投标函、投标函附录中单列，不参与商务标评审。</w:t>
      </w:r>
    </w:p>
    <w:bookmarkEnd w:id="243"/>
    <w:p>
      <w:pPr>
        <w:tabs>
          <w:tab w:val="left" w:pos="1260"/>
        </w:tabs>
        <w:autoSpaceDE w:val="0"/>
        <w:autoSpaceDN w:val="0"/>
        <w:adjustRightInd w:val="0"/>
        <w:spacing w:line="460" w:lineRule="exact"/>
        <w:ind w:firstLine="480" w:firstLineChars="200"/>
        <w:jc w:val="left"/>
        <w:rPr>
          <w:rFonts w:ascii="宋体" w:hAnsi="宋体"/>
          <w:sz w:val="24"/>
        </w:rPr>
      </w:pPr>
      <w:r>
        <w:rPr>
          <w:rFonts w:hint="eastAsia" w:ascii="新宋体" w:hAnsi="新宋体" w:eastAsia="新宋体" w:cs="仿宋_GB2312"/>
          <w:sz w:val="24"/>
          <w:szCs w:val="24"/>
        </w:rPr>
        <w:t>3.2.</w:t>
      </w:r>
      <w:r>
        <w:rPr>
          <w:rFonts w:hint="eastAsia" w:ascii="新宋体" w:hAnsi="新宋体" w:eastAsia="新宋体" w:cs="仿宋_GB2312"/>
          <w:sz w:val="24"/>
          <w:szCs w:val="24"/>
          <w:lang w:val="en-US" w:eastAsia="zh-CN"/>
        </w:rPr>
        <w:t xml:space="preserve">4 </w:t>
      </w:r>
      <w:r>
        <w:rPr>
          <w:rFonts w:hint="eastAsia" w:ascii="新宋体" w:hAnsi="新宋体" w:eastAsia="新宋体" w:cs="仿宋_GB2312"/>
          <w:sz w:val="24"/>
          <w:szCs w:val="24"/>
        </w:rPr>
        <w:t>招标人设有最高投标限价的，投标人的投标报价不得超过最高投标限价，最高投标限价或其计算方法在投标人须知前附表中载明。</w:t>
      </w:r>
    </w:p>
    <w:p>
      <w:pPr>
        <w:pStyle w:val="8"/>
        <w:numPr>
          <w:ilvl w:val="1"/>
          <w:numId w:val="22"/>
        </w:numPr>
        <w:spacing w:before="0" w:after="0" w:line="360" w:lineRule="auto"/>
        <w:ind w:left="0" w:firstLine="426" w:firstLineChars="177"/>
        <w:rPr>
          <w:rFonts w:ascii="宋体" w:eastAsia="宋体"/>
          <w:sz w:val="24"/>
          <w:szCs w:val="24"/>
        </w:rPr>
      </w:pPr>
      <w:bookmarkStart w:id="244" w:name="_Toc23282567"/>
      <w:bookmarkStart w:id="245" w:name="_Toc144974517"/>
      <w:bookmarkStart w:id="246" w:name="_Toc300834970"/>
      <w:bookmarkStart w:id="247" w:name="_Toc247527574"/>
      <w:bookmarkStart w:id="248" w:name="_Toc43198867"/>
      <w:bookmarkStart w:id="249" w:name="_Toc152045549"/>
      <w:bookmarkStart w:id="250" w:name="_Toc247513973"/>
      <w:bookmarkStart w:id="251" w:name="_Toc152042325"/>
      <w:r>
        <w:rPr>
          <w:rFonts w:hint="eastAsia" w:ascii="宋体" w:eastAsia="宋体"/>
          <w:sz w:val="24"/>
          <w:szCs w:val="24"/>
        </w:rPr>
        <w:t>投标有效期</w:t>
      </w:r>
      <w:bookmarkEnd w:id="244"/>
      <w:bookmarkEnd w:id="245"/>
      <w:bookmarkEnd w:id="246"/>
      <w:bookmarkEnd w:id="247"/>
      <w:bookmarkEnd w:id="248"/>
      <w:bookmarkEnd w:id="249"/>
      <w:bookmarkEnd w:id="250"/>
      <w:bookmarkEnd w:id="251"/>
    </w:p>
    <w:p>
      <w:pPr>
        <w:numPr>
          <w:ilvl w:val="2"/>
          <w:numId w:val="25"/>
        </w:numPr>
        <w:spacing w:line="360" w:lineRule="auto"/>
        <w:rPr>
          <w:rFonts w:hint="eastAsia" w:ascii="宋体" w:hAnsi="宋体"/>
          <w:sz w:val="24"/>
        </w:rPr>
      </w:pPr>
      <w:r>
        <w:rPr>
          <w:rFonts w:hint="eastAsia" w:ascii="宋体" w:hAnsi="宋体"/>
          <w:sz w:val="24"/>
        </w:rPr>
        <w:t>投标有效期见投标人须知前附表。</w:t>
      </w:r>
    </w:p>
    <w:p>
      <w:pPr>
        <w:numPr>
          <w:ilvl w:val="2"/>
          <w:numId w:val="25"/>
        </w:numPr>
        <w:spacing w:line="360" w:lineRule="auto"/>
        <w:rPr>
          <w:rFonts w:ascii="宋体" w:hAnsi="宋体"/>
          <w:sz w:val="24"/>
        </w:rPr>
      </w:pPr>
      <w:r>
        <w:rPr>
          <w:rFonts w:hint="eastAsia" w:ascii="宋体" w:hAnsi="宋体"/>
          <w:sz w:val="24"/>
        </w:rPr>
        <w:t>在投标有效期内，投标人撤销或修改其投标文件的，应承担招标文件和法律规定的责任。</w:t>
      </w:r>
    </w:p>
    <w:p>
      <w:pPr>
        <w:numPr>
          <w:ilvl w:val="2"/>
          <w:numId w:val="25"/>
        </w:numPr>
        <w:spacing w:line="360" w:lineRule="auto"/>
        <w:rPr>
          <w:rFonts w:ascii="宋体" w:hAnsi="宋体"/>
          <w:sz w:val="24"/>
        </w:rPr>
      </w:pPr>
      <w:r>
        <w:rPr>
          <w:rFonts w:hint="eastAsia" w:ascii="宋体" w:hAnsi="宋体"/>
          <w:sz w:val="24"/>
        </w:rPr>
        <w:t>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int="eastAsia" w:hAnsi="宋体" w:cs="宋体"/>
          <w:b/>
          <w:bCs/>
          <w:sz w:val="24"/>
          <w:szCs w:val="24"/>
        </w:rPr>
      </w:pPr>
      <w:bookmarkStart w:id="252" w:name="_Toc282436964"/>
      <w:bookmarkStart w:id="253" w:name="_Toc300834973"/>
      <w:bookmarkStart w:id="254" w:name="_Toc144974520"/>
      <w:bookmarkStart w:id="255" w:name="_Toc247527577"/>
      <w:bookmarkStart w:id="256" w:name="_Toc43198869"/>
      <w:bookmarkStart w:id="257" w:name="_Toc152045552"/>
      <w:bookmarkStart w:id="258" w:name="_Toc152042328"/>
      <w:bookmarkStart w:id="259" w:name="_Toc247513976"/>
      <w:bookmarkStart w:id="260" w:name="_Toc23282569"/>
      <w:r>
        <w:rPr>
          <w:rFonts w:hint="eastAsia" w:hAnsi="宋体" w:cs="宋体"/>
          <w:b/>
          <w:bCs/>
          <w:sz w:val="24"/>
          <w:szCs w:val="24"/>
        </w:rPr>
        <w:t>3.4 投标保证金</w:t>
      </w:r>
      <w:bookmarkEnd w:id="252"/>
    </w:p>
    <w:p>
      <w:pPr>
        <w:autoSpaceDE w:val="0"/>
        <w:autoSpaceDN w:val="0"/>
        <w:spacing w:line="420" w:lineRule="exact"/>
        <w:ind w:firstLine="480" w:firstLineChars="200"/>
        <w:jc w:val="left"/>
        <w:outlineLvl w:val="0"/>
        <w:rPr>
          <w:rFonts w:hint="eastAsia" w:hAnsi="宋体" w:cs="宋体"/>
          <w:sz w:val="24"/>
          <w:szCs w:val="24"/>
          <w:lang w:val="zh-CN"/>
        </w:rPr>
      </w:pPr>
      <w:r>
        <w:rPr>
          <w:rFonts w:hint="eastAsia" w:hAnsi="宋体" w:cs="宋体"/>
          <w:sz w:val="24"/>
          <w:szCs w:val="24"/>
          <w:lang w:val="zh-CN"/>
        </w:rPr>
        <w:t>3.4.1 投标保证金的基本户备案：按《投标人须知前附表》第3.4.2条规定。</w:t>
      </w:r>
    </w:p>
    <w:p>
      <w:pPr>
        <w:autoSpaceDE w:val="0"/>
        <w:autoSpaceDN w:val="0"/>
        <w:spacing w:line="420" w:lineRule="exact"/>
        <w:ind w:firstLine="480" w:firstLineChars="200"/>
        <w:jc w:val="left"/>
        <w:outlineLvl w:val="0"/>
        <w:rPr>
          <w:rFonts w:hint="eastAsia" w:hAnsi="宋体" w:cs="宋体"/>
          <w:sz w:val="24"/>
          <w:szCs w:val="24"/>
          <w:lang w:val="zh-CN"/>
        </w:rPr>
      </w:pPr>
      <w:r>
        <w:rPr>
          <w:rFonts w:hint="eastAsia" w:hAnsi="宋体" w:cs="宋体"/>
          <w:sz w:val="24"/>
          <w:szCs w:val="24"/>
          <w:lang w:val="zh-CN"/>
        </w:rPr>
        <w:t>3.4.1.1 自招标文件发布之日起，投标人需进行基本户备案（建设工程项目），已备案的基本户开户银行、账户发生变化的，须重新办理备案手续。备案后方可提交投标（竞买）保证金（使用银行保函方式的除外）。</w:t>
      </w:r>
    </w:p>
    <w:p>
      <w:pPr>
        <w:autoSpaceDE w:val="0"/>
        <w:autoSpaceDN w:val="0"/>
        <w:spacing w:line="420" w:lineRule="exact"/>
        <w:ind w:firstLine="480" w:firstLineChars="200"/>
        <w:jc w:val="left"/>
        <w:outlineLvl w:val="0"/>
        <w:rPr>
          <w:rFonts w:hint="eastAsia" w:hAnsi="宋体" w:cs="宋体"/>
          <w:sz w:val="24"/>
          <w:szCs w:val="24"/>
          <w:lang w:val="zh-CN"/>
        </w:rPr>
      </w:pPr>
      <w:r>
        <w:rPr>
          <w:rFonts w:hint="eastAsia" w:hAnsi="宋体" w:cs="宋体"/>
          <w:sz w:val="24"/>
          <w:szCs w:val="24"/>
          <w:lang w:val="zh-CN"/>
        </w:rPr>
        <w:t xml:space="preserve">3.4.1.2 基本户备案流程： </w:t>
      </w:r>
    </w:p>
    <w:p>
      <w:pPr>
        <w:autoSpaceDE w:val="0"/>
        <w:autoSpaceDN w:val="0"/>
        <w:spacing w:line="420" w:lineRule="exact"/>
        <w:ind w:firstLine="480" w:firstLineChars="200"/>
        <w:jc w:val="left"/>
        <w:outlineLvl w:val="0"/>
        <w:rPr>
          <w:rFonts w:hint="eastAsia" w:hAnsi="宋体" w:cs="宋体"/>
          <w:sz w:val="24"/>
          <w:szCs w:val="24"/>
          <w:lang w:val="zh-CN"/>
        </w:rPr>
      </w:pPr>
      <w:r>
        <w:rPr>
          <w:rFonts w:hint="eastAsia" w:hAnsi="宋体" w:cs="宋体"/>
          <w:sz w:val="24"/>
          <w:szCs w:val="24"/>
          <w:lang w:val="zh-CN"/>
        </w:rPr>
        <w:t>工程建设项目的投标人登录注册网址：http://ggzy.xuchang.gov.cn: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420" w:lineRule="exact"/>
        <w:ind w:firstLine="480" w:firstLineChars="200"/>
        <w:jc w:val="left"/>
        <w:outlineLvl w:val="0"/>
        <w:rPr>
          <w:rFonts w:hint="eastAsia" w:hAnsi="宋体" w:cs="宋体"/>
          <w:sz w:val="24"/>
          <w:szCs w:val="24"/>
          <w:lang w:val="zh-CN"/>
        </w:rPr>
      </w:pPr>
      <w:r>
        <w:rPr>
          <w:rFonts w:hint="eastAsia" w:hAnsi="宋体" w:cs="宋体"/>
          <w:sz w:val="24"/>
          <w:szCs w:val="24"/>
          <w:lang w:val="zh-CN"/>
        </w:rPr>
        <w:t>3.4.2 投标保证金提交：按《投标人须知前附表》3.4.2条规定。</w:t>
      </w:r>
    </w:p>
    <w:p>
      <w:pPr>
        <w:autoSpaceDE w:val="0"/>
        <w:autoSpaceDN w:val="0"/>
        <w:spacing w:line="420" w:lineRule="exact"/>
        <w:ind w:firstLine="480" w:firstLineChars="200"/>
        <w:jc w:val="left"/>
        <w:outlineLvl w:val="0"/>
        <w:rPr>
          <w:rFonts w:hint="eastAsia" w:hAnsi="宋体" w:cs="宋体"/>
          <w:sz w:val="24"/>
          <w:szCs w:val="24"/>
          <w:lang w:val="zh-CN"/>
        </w:rPr>
      </w:pPr>
      <w:r>
        <w:rPr>
          <w:rFonts w:hint="eastAsia" w:hAnsi="宋体" w:cs="宋体"/>
          <w:sz w:val="24"/>
          <w:szCs w:val="24"/>
          <w:lang w:val="zh-CN"/>
        </w:rPr>
        <w:t xml:space="preserve">3.4.2.1 投标保证金的提交方式： </w:t>
      </w:r>
    </w:p>
    <w:p>
      <w:pPr>
        <w:autoSpaceDE w:val="0"/>
        <w:autoSpaceDN w:val="0"/>
        <w:spacing w:line="420" w:lineRule="exact"/>
        <w:ind w:firstLine="480" w:firstLineChars="200"/>
        <w:jc w:val="left"/>
        <w:outlineLvl w:val="0"/>
        <w:rPr>
          <w:rFonts w:hint="eastAsia" w:hAnsi="宋体" w:cs="宋体"/>
          <w:sz w:val="24"/>
          <w:szCs w:val="24"/>
          <w:lang w:val="zh-CN"/>
        </w:rPr>
      </w:pPr>
      <w:r>
        <w:rPr>
          <w:rFonts w:hint="eastAsia" w:hAnsi="宋体" w:cs="宋体"/>
          <w:sz w:val="24"/>
          <w:szCs w:val="24"/>
          <w:lang w:val="zh-CN"/>
        </w:rPr>
        <w:t>投标保证金的提交方式：银行转账、银行电汇、银行保函，不接受以现金方式缴纳的投标保证金。凡以现金方式缴纳投标保证金而影响其投标结果的，由投标人自行负责。</w:t>
      </w:r>
    </w:p>
    <w:p>
      <w:pPr>
        <w:autoSpaceDE w:val="0"/>
        <w:autoSpaceDN w:val="0"/>
        <w:spacing w:line="420" w:lineRule="exact"/>
        <w:ind w:firstLine="480" w:firstLineChars="200"/>
        <w:jc w:val="left"/>
        <w:outlineLvl w:val="0"/>
        <w:rPr>
          <w:rFonts w:hint="eastAsia" w:hAnsi="宋体" w:cs="宋体"/>
          <w:sz w:val="24"/>
          <w:szCs w:val="24"/>
          <w:lang w:val="zh-CN"/>
        </w:rPr>
      </w:pPr>
      <w:r>
        <w:rPr>
          <w:rFonts w:hint="eastAsia" w:hAnsi="宋体" w:cs="宋体"/>
          <w:sz w:val="24"/>
          <w:szCs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460" w:lineRule="exact"/>
        <w:ind w:firstLine="480" w:firstLineChars="200"/>
        <w:jc w:val="left"/>
        <w:rPr>
          <w:rFonts w:hint="eastAsia" w:hAnsi="宋体" w:cs="宋体"/>
          <w:sz w:val="24"/>
          <w:szCs w:val="24"/>
          <w:lang w:val="zh-CN"/>
        </w:rPr>
      </w:pPr>
      <w:r>
        <w:rPr>
          <w:rFonts w:hint="eastAsia" w:hAnsi="宋体" w:cs="宋体"/>
          <w:sz w:val="24"/>
          <w:szCs w:val="24"/>
          <w:lang w:val="zh-CN"/>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hint="eastAsia" w:hAnsi="宋体" w:cs="宋体"/>
          <w:sz w:val="24"/>
          <w:szCs w:val="24"/>
          <w:lang w:val="zh-CN"/>
        </w:rPr>
      </w:pPr>
      <w:r>
        <w:rPr>
          <w:rFonts w:hint="eastAsia" w:hAnsi="宋体" w:cs="宋体"/>
          <w:color w:val="000000"/>
          <w:sz w:val="24"/>
          <w:lang w:val="zh-CN"/>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000000"/>
          <w:sz w:val="24"/>
          <w:lang w:val="zh-CN"/>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rPr>
      </w:pPr>
      <w:r>
        <w:rPr>
          <w:rFonts w:hint="eastAsia" w:hAnsi="宋体" w:cs="宋体"/>
          <w:sz w:val="24"/>
          <w:szCs w:val="24"/>
          <w:lang w:val="zh-CN"/>
        </w:rPr>
        <w:t xml:space="preserve">3.4.2.2 </w:t>
      </w:r>
      <w:r>
        <w:rPr>
          <w:rFonts w:hint="eastAsia" w:ascii="新宋体" w:hAnsi="新宋体" w:eastAsia="新宋体" w:cs="仿宋_GB2312"/>
          <w:color w:val="000000"/>
          <w:sz w:val="24"/>
          <w:lang w:val="zh-CN"/>
        </w:rPr>
        <w:t>投标保证金</w:t>
      </w:r>
      <w:r>
        <w:rPr>
          <w:rFonts w:hint="eastAsia" w:ascii="新宋体" w:hAnsi="新宋体" w:eastAsia="新宋体" w:cs="仿宋_GB2312"/>
          <w:color w:val="FF0000"/>
          <w:sz w:val="24"/>
        </w:rPr>
        <w:t>提交方式</w:t>
      </w:r>
      <w:r>
        <w:rPr>
          <w:rFonts w:hint="eastAsia" w:ascii="新宋体" w:hAnsi="新宋体" w:eastAsia="新宋体" w:cs="仿宋_GB2312"/>
          <w:color w:val="000000"/>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lang w:val="zh-CN"/>
        </w:rPr>
        <w:t>投标人网上下载招标文件后</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登录http://ggzy.xuchang.gov.cn:8088/ggzy/系统</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依次点击</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会员向导</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参与投标</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费用缴纳说明</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保证金缴纳说明单</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获取缴费说明单</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根据每个标段的缴纳说明单在缴纳截止时间前缴纳</w:t>
      </w:r>
      <w:r>
        <w:rPr>
          <w:rFonts w:hint="eastAsia" w:ascii="新宋体" w:hAnsi="新宋体" w:eastAsia="新宋体" w:cs="仿宋_GB2312"/>
          <w:color w:val="000000"/>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lang w:val="zh-CN"/>
        </w:rPr>
        <w:t>成功缴纳后</w:t>
      </w:r>
      <w:r>
        <w:rPr>
          <w:rFonts w:hint="eastAsia" w:ascii="新宋体" w:hAnsi="新宋体" w:eastAsia="新宋体" w:cs="仿宋_GB2312"/>
          <w:color w:val="FF0000"/>
          <w:sz w:val="24"/>
        </w:rPr>
        <w:t>再次</w:t>
      </w:r>
      <w:r>
        <w:rPr>
          <w:rFonts w:hint="eastAsia" w:ascii="新宋体" w:hAnsi="新宋体" w:eastAsia="新宋体" w:cs="仿宋_GB2312"/>
          <w:color w:val="000000"/>
          <w:sz w:val="24"/>
          <w:lang w:val="zh-CN"/>
        </w:rPr>
        <w:t>登录前述系统</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依次点击</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会员向导</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参与投标</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保证金绑定</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绑定</w:t>
      </w:r>
      <w:r>
        <w:rPr>
          <w:rFonts w:hint="eastAsia" w:ascii="新宋体" w:hAnsi="新宋体" w:eastAsia="新宋体" w:cs="仿宋_GB2312"/>
          <w:color w:val="000000"/>
          <w:sz w:val="24"/>
        </w:rPr>
        <w:t>”</w:t>
      </w:r>
      <w:r>
        <w:rPr>
          <w:rFonts w:hint="eastAsia" w:ascii="新宋体" w:hAnsi="新宋体" w:eastAsia="新宋体" w:cs="仿宋_GB2312"/>
          <w:color w:val="000000"/>
          <w:sz w:val="24"/>
          <w:lang w:val="zh-CN"/>
        </w:rPr>
        <w:t>进行投标保证金绑定。</w:t>
      </w:r>
    </w:p>
    <w:p>
      <w:pPr>
        <w:autoSpaceDE w:val="0"/>
        <w:autoSpaceDN w:val="0"/>
        <w:adjustRightInd w:val="0"/>
        <w:spacing w:line="340" w:lineRule="exact"/>
        <w:ind w:firstLine="480" w:firstLineChars="200"/>
        <w:rPr>
          <w:rFonts w:hAnsi="宋体" w:cs="宋体"/>
          <w:color w:val="000000"/>
          <w:sz w:val="24"/>
          <w:lang w:val="zh-CN"/>
        </w:rPr>
      </w:pPr>
      <w:r>
        <w:rPr>
          <w:rFonts w:hint="eastAsia" w:hAnsi="宋体" w:cs="宋体"/>
          <w:color w:val="000000"/>
          <w:sz w:val="24"/>
          <w:lang w:val="zh-CN"/>
        </w:rPr>
        <w:t>投标人成功绑定投标保证金，将缴纳凭证“许昌公共资源交易中心保证金缴纳回执”附于投标文件中；未绑定标段的投标保证金，视为未按</w:t>
      </w:r>
      <w:r>
        <w:rPr>
          <w:rFonts w:hint="eastAsia" w:hAnsi="宋体" w:cs="宋体"/>
          <w:color w:val="FF0000"/>
          <w:sz w:val="24"/>
        </w:rPr>
        <w:t>规定</w:t>
      </w:r>
      <w:r>
        <w:rPr>
          <w:rFonts w:hint="eastAsia" w:hAnsi="宋体" w:cs="宋体"/>
          <w:color w:val="000000"/>
          <w:sz w:val="24"/>
          <w:lang w:val="zh-CN"/>
        </w:rPr>
        <w:t>交纳。</w:t>
      </w:r>
      <w:r>
        <w:rPr>
          <w:rFonts w:hint="eastAsia" w:hAnsi="宋体" w:cs="宋体"/>
          <w:color w:val="000000"/>
          <w:sz w:val="24"/>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lang w:val="zh-CN"/>
        </w:rPr>
      </w:pPr>
      <w:r>
        <w:rPr>
          <w:rFonts w:hint="eastAsia" w:ascii="新宋体" w:hAnsi="新宋体" w:eastAsia="新宋体" w:cs="仿宋_GB2312"/>
          <w:color w:val="000000"/>
          <w:sz w:val="24"/>
          <w:lang w:val="zh-CN"/>
        </w:rPr>
        <w:t>3.4.2.3 每个投标人每个项目每个标段只有唯一缴纳账号，</w:t>
      </w:r>
      <w:r>
        <w:rPr>
          <w:rFonts w:hint="eastAsia" w:ascii="新宋体" w:hAnsi="新宋体" w:eastAsia="新宋体" w:cs="仿宋_GB2312"/>
          <w:color w:val="000000"/>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lang w:val="zh-CN"/>
        </w:rPr>
        <w:t>3.4.2.4</w:t>
      </w:r>
      <w:r>
        <w:rPr>
          <w:rFonts w:hint="eastAsia" w:ascii="新宋体" w:hAnsi="新宋体" w:eastAsia="新宋体" w:cs="仿宋_GB2312"/>
          <w:color w:val="000000"/>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lang w:val="zh-CN"/>
        </w:rPr>
      </w:pPr>
      <w:r>
        <w:rPr>
          <w:rFonts w:hint="eastAsia" w:ascii="新宋体" w:hAnsi="新宋体" w:eastAsia="新宋体" w:cs="仿宋_GB2312"/>
          <w:color w:val="000000"/>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lang w:val="zh-CN"/>
        </w:rPr>
        <w:t xml:space="preserve">3.4.2.6 </w:t>
      </w:r>
      <w:r>
        <w:rPr>
          <w:rFonts w:hint="eastAsia" w:ascii="新宋体" w:hAnsi="新宋体" w:eastAsia="新宋体" w:cs="仿宋_GB2312"/>
          <w:color w:val="000000"/>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lang w:val="zh-CN"/>
        </w:rPr>
      </w:pPr>
      <w:r>
        <w:rPr>
          <w:rFonts w:hint="eastAsia" w:ascii="新宋体" w:hAnsi="新宋体" w:eastAsia="新宋体" w:cs="仿宋_GB2312"/>
          <w:color w:val="000000"/>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lang w:val="zh-CN"/>
        </w:rPr>
      </w:pPr>
      <w:r>
        <w:rPr>
          <w:rFonts w:hint="eastAsia" w:ascii="新宋体" w:hAnsi="新宋体" w:eastAsia="新宋体" w:cs="仿宋_GB2312"/>
          <w:color w:val="000000"/>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3.4.4 投标保证金的退还：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sz w:val="24"/>
        </w:rPr>
      </w:pPr>
      <w:r>
        <w:rPr>
          <w:rFonts w:hint="eastAsia" w:ascii="新宋体" w:hAnsi="新宋体" w:eastAsia="新宋体" w:cs="仿宋_GB2312"/>
          <w:color w:val="000000"/>
          <w:sz w:val="24"/>
        </w:rPr>
        <w:t>（1）在书面合同签订五日内到（鄢陵县公共资源交易管理中心</w:t>
      </w:r>
      <w:r>
        <w:rPr>
          <w:rFonts w:hint="eastAsia" w:hAnsi="宋体" w:cs="宋体"/>
          <w:sz w:val="24"/>
        </w:rPr>
        <w:t>三楼综合部，联系电话：0374—7608880</w:t>
      </w:r>
      <w:r>
        <w:rPr>
          <w:rFonts w:hint="eastAsia" w:ascii="新宋体" w:hAnsi="新宋体" w:eastAsia="新宋体" w:cs="仿宋_GB2312"/>
          <w:color w:val="000000"/>
          <w:sz w:val="24"/>
        </w:rPr>
        <w:t>）向中标人和其他未中标人退还投标保证金及银行同期活期存款利息；法定期限内未签订书面合同的按照有关规定退换其投标保证金及银行同期活期存款利息。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sz w:val="24"/>
        </w:rPr>
      </w:pPr>
      <w:r>
        <w:rPr>
          <w:rFonts w:hint="eastAsia" w:ascii="新宋体" w:hAnsi="新宋体" w:eastAsia="新宋体" w:cs="仿宋_GB2312"/>
          <w:color w:val="000000"/>
          <w:sz w:val="24"/>
        </w:rPr>
        <w:t>（2）项目废标或招标人终止招标的，在此后五个工作日内退还投标保证金及银行同期活期存款利息。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sz w:val="24"/>
        </w:rPr>
      </w:pPr>
      <w:r>
        <w:rPr>
          <w:rFonts w:hint="eastAsia" w:ascii="新宋体" w:hAnsi="新宋体" w:eastAsia="新宋体" w:cs="仿宋_GB2312"/>
          <w:color w:val="000000"/>
          <w:sz w:val="24"/>
        </w:rPr>
        <w:t>（3）投标活动中出现质疑、投诉的，中标候选人、质疑人和被质疑人、投诉人和被投诉人的投标保证金暂停退还。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sz w:val="24"/>
        </w:rPr>
      </w:pPr>
      <w:r>
        <w:rPr>
          <w:rFonts w:hint="eastAsia" w:ascii="新宋体" w:hAnsi="新宋体" w:eastAsia="新宋体" w:cs="仿宋_GB2312"/>
          <w:color w:val="000000"/>
          <w:sz w:val="24"/>
        </w:rPr>
        <w:t>（4）相关投标人有违法违规行为的项目，其投标保证金暂不退还，待行政监督部门对相关情况处置后，按照有关规定办理。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color w:val="000000"/>
          <w:sz w:val="24"/>
        </w:rPr>
      </w:pPr>
      <w:r>
        <w:rPr>
          <w:rFonts w:hint="eastAsia" w:ascii="新宋体" w:hAnsi="新宋体" w:eastAsia="新宋体" w:cs="仿宋_GB2312"/>
          <w:color w:val="000000"/>
          <w:sz w:val="24"/>
        </w:rPr>
        <w:t>（5）退还投标保证金，除另有规定外，一般以转账方式一次性退还至投标保证金的原提交账户。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（6）投标截止后，确因投标人技术原因造成的投标文件无法解密、导入失败的，视为其撤销投标文件，投标保证金予以退还。</w:t>
      </w:r>
    </w:p>
    <w:p>
      <w:pPr>
        <w:tabs>
          <w:tab w:val="left" w:pos="1260"/>
        </w:tabs>
        <w:autoSpaceDE w:val="0"/>
        <w:autoSpaceDN w:val="0"/>
        <w:adjustRightInd w:val="0"/>
        <w:spacing w:line="460" w:lineRule="exact"/>
        <w:ind w:firstLine="480" w:firstLineChars="200"/>
        <w:jc w:val="left"/>
        <w:rPr>
          <w:rFonts w:hAnsi="宋体" w:cs="宋体"/>
          <w:color w:val="000000"/>
          <w:sz w:val="24"/>
        </w:rPr>
      </w:pPr>
      <w:r>
        <w:rPr>
          <w:rFonts w:hint="eastAsia" w:hAnsi="宋体" w:cs="宋体"/>
          <w:color w:val="000000"/>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000000"/>
          <w:sz w:val="24"/>
        </w:rPr>
      </w:pPr>
      <w:r>
        <w:rPr>
          <w:rFonts w:hint="eastAsia" w:hAnsi="宋体" w:cs="宋体"/>
          <w:color w:val="000000"/>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000000"/>
          <w:sz w:val="24"/>
        </w:rPr>
      </w:pPr>
      <w:r>
        <w:rPr>
          <w:rFonts w:hint="eastAsia" w:hAnsi="宋体" w:cs="宋体"/>
          <w:color w:val="000000"/>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000000"/>
          <w:sz w:val="24"/>
        </w:rPr>
      </w:pPr>
      <w:r>
        <w:rPr>
          <w:rFonts w:hint="eastAsia" w:hAnsi="宋体" w:cs="宋体"/>
          <w:color w:val="000000"/>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000000"/>
          <w:sz w:val="24"/>
        </w:rPr>
      </w:pPr>
      <w:r>
        <w:rPr>
          <w:rFonts w:hint="eastAsia" w:hAnsi="宋体" w:cs="宋体"/>
          <w:color w:val="000000"/>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000000"/>
          <w:sz w:val="24"/>
        </w:rPr>
      </w:pPr>
      <w:r>
        <w:rPr>
          <w:rFonts w:hint="eastAsia" w:hAnsi="宋体" w:cs="宋体"/>
          <w:color w:val="000000"/>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000000"/>
          <w:sz w:val="24"/>
          <w:lang w:val="zh-CN"/>
        </w:rPr>
      </w:pPr>
      <w:r>
        <w:rPr>
          <w:rFonts w:hint="eastAsia" w:ascii="新宋体" w:hAnsi="新宋体" w:eastAsia="新宋体" w:cs="仿宋_GB2312"/>
          <w:color w:val="000000"/>
          <w:sz w:val="24"/>
        </w:rPr>
        <w:t>（6）</w:t>
      </w:r>
      <w:r>
        <w:rPr>
          <w:rFonts w:hint="eastAsia" w:hAnsi="宋体" w:cs="宋体"/>
          <w:color w:val="000000"/>
          <w:sz w:val="24"/>
          <w:lang w:val="zh-CN"/>
        </w:rPr>
        <w:t>凡投标人投标保证金交纳至同一标段相同子账号的，保证金暂不予退还，</w:t>
      </w:r>
      <w:r>
        <w:rPr>
          <w:rFonts w:hint="eastAsia" w:hAnsi="宋体" w:eastAsia="Times New Roman" w:cs="宋体"/>
          <w:color w:val="000000"/>
          <w:sz w:val="24"/>
          <w:lang w:val="zh-CN"/>
        </w:rPr>
        <w:t>并</w:t>
      </w:r>
      <w:r>
        <w:rPr>
          <w:rFonts w:hint="eastAsia" w:hAnsi="宋体" w:cs="宋体"/>
          <w:color w:val="000000"/>
          <w:sz w:val="24"/>
          <w:lang w:val="zh-CN"/>
        </w:rPr>
        <w:t>依照《许昌市公共资源交易当事人不良行为管理暂行办法》（许公管委〔2017〕1号）规定，进行调查、认定、记录、公示</w:t>
      </w:r>
      <w:r>
        <w:rPr>
          <w:rFonts w:hint="eastAsia" w:hAnsi="宋体" w:eastAsia="Times New Roman" w:cs="宋体"/>
          <w:color w:val="000000"/>
          <w:sz w:val="24"/>
          <w:lang w:val="zh-CN"/>
        </w:rPr>
        <w:t>、</w:t>
      </w:r>
      <w:r>
        <w:rPr>
          <w:rFonts w:hint="eastAsia" w:hAnsi="宋体" w:cs="宋体"/>
          <w:color w:val="000000"/>
          <w:sz w:val="24"/>
          <w:lang w:val="zh-CN"/>
        </w:rPr>
        <w:t>公告。对涉嫌串通投标</w:t>
      </w:r>
      <w:r>
        <w:rPr>
          <w:rFonts w:hint="eastAsia" w:hAnsi="宋体" w:eastAsia="Times New Roman" w:cs="宋体"/>
          <w:color w:val="000000"/>
          <w:sz w:val="24"/>
          <w:lang w:val="zh-CN"/>
        </w:rPr>
        <w:t>等违规行为的</w:t>
      </w:r>
      <w:r>
        <w:rPr>
          <w:rFonts w:hint="eastAsia" w:hAnsi="宋体" w:cs="宋体"/>
          <w:color w:val="000000"/>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int="eastAsia" w:hAnsi="宋体" w:cs="宋体"/>
          <w:sz w:val="24"/>
          <w:szCs w:val="24"/>
        </w:rPr>
      </w:pPr>
      <w:r>
        <w:rPr>
          <w:rFonts w:hint="eastAsia" w:hAnsi="宋体" w:cs="宋体"/>
          <w:color w:val="000000"/>
          <w:sz w:val="24"/>
        </w:rPr>
        <w:t>（7）相关法律、法规规定不予退还的其它情形</w:t>
      </w:r>
      <w:r>
        <w:rPr>
          <w:rFonts w:hint="eastAsia" w:hAnsi="宋体" w:cs="宋体"/>
          <w:sz w:val="24"/>
          <w:szCs w:val="24"/>
        </w:rPr>
        <w:t xml:space="preserve">。  </w:t>
      </w:r>
    </w:p>
    <w:p>
      <w:pPr>
        <w:pStyle w:val="8"/>
        <w:numPr>
          <w:ilvl w:val="0"/>
          <w:numId w:val="0"/>
        </w:numPr>
        <w:spacing w:before="0" w:after="0" w:line="360" w:lineRule="auto"/>
        <w:ind w:leftChars="177"/>
        <w:rPr>
          <w:rFonts w:ascii="宋体" w:eastAsia="宋体"/>
          <w:sz w:val="24"/>
          <w:szCs w:val="24"/>
        </w:rPr>
      </w:pPr>
      <w:r>
        <w:rPr>
          <w:rFonts w:hint="eastAsia" w:ascii="宋体" w:eastAsia="宋体"/>
          <w:sz w:val="24"/>
          <w:szCs w:val="24"/>
          <w:lang w:val="en-US" w:eastAsia="zh-CN"/>
        </w:rPr>
        <w:t>3.5</w:t>
      </w:r>
      <w:r>
        <w:rPr>
          <w:rFonts w:hint="eastAsia" w:ascii="宋体" w:eastAsia="宋体"/>
          <w:sz w:val="24"/>
          <w:szCs w:val="24"/>
        </w:rPr>
        <w:t>资格审查资料</w:t>
      </w:r>
      <w:bookmarkEnd w:id="253"/>
      <w:bookmarkEnd w:id="254"/>
      <w:bookmarkEnd w:id="255"/>
      <w:bookmarkEnd w:id="256"/>
      <w:bookmarkEnd w:id="257"/>
      <w:bookmarkEnd w:id="258"/>
      <w:bookmarkEnd w:id="259"/>
      <w:bookmarkEnd w:id="260"/>
    </w:p>
    <w:p>
      <w:pPr>
        <w:numPr>
          <w:ilvl w:val="2"/>
          <w:numId w:val="26"/>
        </w:numPr>
        <w:spacing w:line="360" w:lineRule="auto"/>
        <w:rPr>
          <w:rFonts w:ascii="宋体" w:hAnsi="宋体"/>
          <w:sz w:val="24"/>
        </w:rPr>
      </w:pPr>
      <w:r>
        <w:rPr>
          <w:rFonts w:hint="eastAsia" w:ascii="宋体" w:hAnsi="宋体"/>
          <w:sz w:val="24"/>
        </w:rPr>
        <w:t>“投标人基本情况表”应附投标人营业执照副本、资质证书副本和安全生产许可证等材料的原件扫描件。</w:t>
      </w:r>
    </w:p>
    <w:p>
      <w:pPr>
        <w:numPr>
          <w:ilvl w:val="2"/>
          <w:numId w:val="26"/>
        </w:numPr>
        <w:spacing w:line="360" w:lineRule="auto"/>
        <w:rPr>
          <w:rFonts w:ascii="宋体" w:hAnsi="宋体"/>
          <w:sz w:val="24"/>
        </w:rPr>
      </w:pPr>
      <w:r>
        <w:rPr>
          <w:rFonts w:hint="eastAsia" w:ascii="宋体" w:hAnsi="宋体"/>
          <w:sz w:val="24"/>
        </w:rPr>
        <w:t>“近年财务状况表”应附财务会计报表（财务审计报告），包括资产负债表、现金流量表、利润表和财务情况说明书等扫描件，具体年份要求见投标人须知前附表。</w:t>
      </w:r>
    </w:p>
    <w:p>
      <w:pPr>
        <w:numPr>
          <w:ilvl w:val="2"/>
          <w:numId w:val="26"/>
        </w:numPr>
        <w:spacing w:line="360" w:lineRule="auto"/>
        <w:rPr>
          <w:rFonts w:ascii="宋体" w:hAnsi="宋体"/>
          <w:sz w:val="24"/>
        </w:rPr>
      </w:pPr>
      <w:r>
        <w:rPr>
          <w:rFonts w:hint="eastAsia" w:ascii="宋体" w:hAnsi="宋体"/>
          <w:sz w:val="24"/>
        </w:rPr>
        <w:t>“近年完成的类似项目情况表”应附标公示网页截图、中标通知书、施工合同</w:t>
      </w:r>
      <w:r>
        <w:rPr>
          <w:rFonts w:hint="eastAsia" w:hAnsi="宋体" w:cs="宋体"/>
          <w:sz w:val="24"/>
        </w:rPr>
        <w:t>，</w:t>
      </w:r>
      <w:r>
        <w:rPr>
          <w:rFonts w:hint="eastAsia" w:ascii="宋体" w:hAnsi="宋体"/>
          <w:sz w:val="24"/>
        </w:rPr>
        <w:t>具体年份要求见投标人须知前附表，每张表格只填写一个项目，并标明序号。</w:t>
      </w:r>
    </w:p>
    <w:p>
      <w:pPr>
        <w:numPr>
          <w:ilvl w:val="2"/>
          <w:numId w:val="26"/>
        </w:numPr>
        <w:spacing w:line="360" w:lineRule="auto"/>
        <w:rPr>
          <w:rFonts w:ascii="宋体" w:hAnsi="宋体"/>
          <w:sz w:val="24"/>
        </w:rPr>
      </w:pPr>
      <w:r>
        <w:rPr>
          <w:rFonts w:hint="eastAsia" w:ascii="宋体" w:hAnsi="宋体"/>
          <w:sz w:val="24"/>
        </w:rPr>
        <w:t>“正在施工和新承接的项目情况表”应附标公示网页截图、中标通知书、施工合同</w:t>
      </w:r>
      <w:r>
        <w:rPr>
          <w:rFonts w:hint="eastAsia" w:ascii="宋体" w:hAnsi="宋体" w:cs="宋体"/>
          <w:sz w:val="24"/>
        </w:rPr>
        <w:t>，</w:t>
      </w:r>
      <w:r>
        <w:rPr>
          <w:rFonts w:hint="eastAsia" w:ascii="宋体" w:hAnsi="宋体"/>
          <w:sz w:val="24"/>
        </w:rPr>
        <w:t>每张表格只填写一个项目，并标明序号。</w:t>
      </w:r>
    </w:p>
    <w:p>
      <w:pPr>
        <w:numPr>
          <w:ilvl w:val="2"/>
          <w:numId w:val="26"/>
        </w:numPr>
        <w:spacing w:line="360" w:lineRule="auto"/>
        <w:rPr>
          <w:rFonts w:ascii="宋体" w:hAnsi="宋体"/>
          <w:sz w:val="24"/>
        </w:rPr>
      </w:pPr>
      <w:r>
        <w:rPr>
          <w:rFonts w:hint="eastAsia" w:hAnsi="宋体" w:cs="宋体"/>
          <w:sz w:val="24"/>
        </w:rPr>
        <w:t>“近年发生的诉讼仲裁情况”应说明情况，并附法院或仲裁机构作出的判决、裁决等有关法律文书说明原件扫描件或图片，</w:t>
      </w:r>
      <w:r>
        <w:rPr>
          <w:rFonts w:hint="eastAsia" w:ascii="宋体" w:hAnsi="宋体"/>
          <w:sz w:val="24"/>
        </w:rPr>
        <w:t>具体年份要求见投标人须知前附表。</w:t>
      </w:r>
    </w:p>
    <w:p>
      <w:pPr>
        <w:pStyle w:val="8"/>
        <w:numPr>
          <w:ilvl w:val="1"/>
          <w:numId w:val="22"/>
        </w:numPr>
        <w:spacing w:before="0" w:after="0" w:line="360" w:lineRule="auto"/>
        <w:ind w:left="0" w:firstLine="426" w:firstLineChars="177"/>
        <w:rPr>
          <w:rFonts w:ascii="宋体" w:eastAsia="宋体"/>
          <w:sz w:val="24"/>
          <w:szCs w:val="24"/>
        </w:rPr>
      </w:pPr>
      <w:bookmarkStart w:id="261" w:name="_Toc247513977"/>
      <w:bookmarkStart w:id="262" w:name="_Toc23282570"/>
      <w:bookmarkStart w:id="263" w:name="_Toc300834974"/>
      <w:bookmarkStart w:id="264" w:name="_Toc247527578"/>
      <w:bookmarkStart w:id="265" w:name="_Toc152042329"/>
      <w:bookmarkStart w:id="266" w:name="_Toc152045553"/>
      <w:bookmarkStart w:id="267" w:name="_Toc144974521"/>
      <w:bookmarkStart w:id="268" w:name="_Toc43198870"/>
      <w:r>
        <w:rPr>
          <w:rFonts w:hint="eastAsia" w:ascii="宋体" w:eastAsia="宋体"/>
          <w:sz w:val="24"/>
          <w:szCs w:val="24"/>
        </w:rPr>
        <w:t>备选投标方案</w:t>
      </w:r>
      <w:bookmarkEnd w:id="261"/>
      <w:bookmarkEnd w:id="262"/>
      <w:bookmarkEnd w:id="263"/>
      <w:bookmarkEnd w:id="264"/>
      <w:bookmarkEnd w:id="265"/>
      <w:bookmarkEnd w:id="266"/>
      <w:bookmarkEnd w:id="267"/>
      <w:bookmarkEnd w:id="268"/>
    </w:p>
    <w:p>
      <w:pPr>
        <w:spacing w:line="360" w:lineRule="auto"/>
        <w:ind w:firstLine="422" w:firstLineChars="176"/>
        <w:rPr>
          <w:rFonts w:ascii="宋体" w:hAnsi="宋体"/>
          <w:sz w:val="24"/>
        </w:rPr>
      </w:pPr>
      <w:r>
        <w:rPr>
          <w:rFonts w:ascii="宋体" w:hAnsi="宋体"/>
          <w:sz w:val="24"/>
        </w:rPr>
        <w:t>投标人不得递交备选投标方案。</w:t>
      </w:r>
    </w:p>
    <w:p>
      <w:pPr>
        <w:pStyle w:val="8"/>
        <w:numPr>
          <w:ilvl w:val="1"/>
          <w:numId w:val="22"/>
        </w:numPr>
        <w:spacing w:before="0" w:after="0" w:line="360" w:lineRule="auto"/>
        <w:ind w:left="0" w:firstLine="426" w:firstLineChars="177"/>
        <w:rPr>
          <w:rFonts w:ascii="宋体" w:eastAsia="宋体"/>
          <w:sz w:val="24"/>
          <w:szCs w:val="24"/>
        </w:rPr>
      </w:pPr>
      <w:bookmarkStart w:id="269" w:name="_Toc300834975"/>
      <w:bookmarkStart w:id="270" w:name="_Toc144974522"/>
      <w:bookmarkStart w:id="271" w:name="_Toc152045554"/>
      <w:bookmarkStart w:id="272" w:name="_Toc23282571"/>
      <w:bookmarkStart w:id="273" w:name="_Toc247527579"/>
      <w:bookmarkStart w:id="274" w:name="_Toc43198871"/>
      <w:bookmarkStart w:id="275" w:name="_Toc247513978"/>
      <w:bookmarkStart w:id="276" w:name="_Toc152042330"/>
      <w:r>
        <w:rPr>
          <w:rFonts w:hint="eastAsia" w:ascii="宋体" w:eastAsia="宋体"/>
          <w:sz w:val="24"/>
          <w:szCs w:val="24"/>
        </w:rPr>
        <w:t>投标文件的编制</w:t>
      </w:r>
      <w:bookmarkEnd w:id="269"/>
      <w:bookmarkEnd w:id="270"/>
      <w:bookmarkEnd w:id="271"/>
      <w:bookmarkEnd w:id="272"/>
      <w:bookmarkEnd w:id="273"/>
      <w:bookmarkEnd w:id="274"/>
      <w:bookmarkEnd w:id="275"/>
      <w:bookmarkEnd w:id="276"/>
    </w:p>
    <w:p>
      <w:pPr>
        <w:numPr>
          <w:ilvl w:val="2"/>
          <w:numId w:val="27"/>
        </w:numPr>
        <w:spacing w:line="360" w:lineRule="auto"/>
        <w:rPr>
          <w:rFonts w:ascii="宋体" w:hAnsi="宋体"/>
          <w:sz w:val="24"/>
        </w:rPr>
      </w:pPr>
      <w:r>
        <w:rPr>
          <w:rFonts w:hint="eastAsia" w:ascii="宋体" w:hAnsi="宋体"/>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numPr>
          <w:ilvl w:val="2"/>
          <w:numId w:val="27"/>
        </w:numPr>
        <w:spacing w:line="360" w:lineRule="auto"/>
        <w:rPr>
          <w:rFonts w:ascii="宋体" w:hAnsi="宋体"/>
          <w:sz w:val="24"/>
        </w:rPr>
      </w:pPr>
      <w:r>
        <w:rPr>
          <w:rFonts w:hint="eastAsia" w:ascii="宋体" w:hAnsi="宋体"/>
          <w:sz w:val="24"/>
        </w:rPr>
        <w:t>投标文件应当对招标文件有关工期、投标有效期、质量要求、招标范围作出响应。</w:t>
      </w:r>
    </w:p>
    <w:p>
      <w:pPr>
        <w:numPr>
          <w:ilvl w:val="2"/>
          <w:numId w:val="27"/>
        </w:numPr>
        <w:spacing w:line="360" w:lineRule="auto"/>
        <w:rPr>
          <w:rFonts w:ascii="宋体" w:hAnsi="宋体"/>
          <w:sz w:val="24"/>
        </w:rPr>
      </w:pPr>
      <w:r>
        <w:rPr>
          <w:rFonts w:hint="eastAsia" w:ascii="宋体" w:hAnsi="宋体"/>
          <w:sz w:val="24"/>
        </w:rPr>
        <w:t>投标人编制的投标文件应分为商务标、综合标和技术标。</w:t>
      </w:r>
    </w:p>
    <w:p>
      <w:pPr>
        <w:numPr>
          <w:ilvl w:val="2"/>
          <w:numId w:val="27"/>
        </w:numPr>
        <w:spacing w:line="360" w:lineRule="auto"/>
        <w:rPr>
          <w:rFonts w:ascii="宋体" w:hAnsi="宋体"/>
          <w:sz w:val="24"/>
        </w:rPr>
      </w:pPr>
      <w:bookmarkStart w:id="277" w:name="_Toc144974523"/>
      <w:bookmarkStart w:id="278" w:name="_Toc300834976"/>
      <w:bookmarkStart w:id="279" w:name="_Toc247527580"/>
      <w:bookmarkStart w:id="280" w:name="_Toc152045555"/>
      <w:bookmarkStart w:id="281" w:name="_Toc152042331"/>
      <w:bookmarkStart w:id="282" w:name="_Toc23282572"/>
      <w:bookmarkStart w:id="283" w:name="_Toc247513979"/>
      <w:r>
        <w:rPr>
          <w:rFonts w:hint="eastAsia" w:ascii="宋体" w:hAnsi="宋体"/>
          <w:sz w:val="24"/>
        </w:rPr>
        <w:t>投标人登录许昌公共资源交易系统下载“许昌投标文件制作系统 SEARUN V1.1”，按招标文件要求制作电子投标文件（包括含工程量清单的商务标投标文件）。</w:t>
      </w:r>
    </w:p>
    <w:p>
      <w:pPr>
        <w:numPr>
          <w:ilvl w:val="2"/>
          <w:numId w:val="27"/>
        </w:numPr>
        <w:spacing w:line="360" w:lineRule="auto"/>
        <w:rPr>
          <w:rFonts w:hint="eastAsia" w:ascii="宋体" w:hAnsi="宋体"/>
          <w:sz w:val="24"/>
        </w:rPr>
      </w:pPr>
      <w:r>
        <w:rPr>
          <w:rFonts w:hint="eastAsia" w:ascii="宋体" w:hAnsi="宋体"/>
          <w:sz w:val="24"/>
        </w:rPr>
        <w:t>当生成的电子投标文件投标报价大小写不一致时，以大写为准。</w:t>
      </w:r>
    </w:p>
    <w:p>
      <w:pPr>
        <w:numPr>
          <w:ilvl w:val="2"/>
          <w:numId w:val="27"/>
        </w:numPr>
        <w:spacing w:line="360" w:lineRule="auto"/>
        <w:rPr>
          <w:rFonts w:hint="eastAsia" w:ascii="宋体" w:hAnsi="宋体"/>
          <w:sz w:val="24"/>
        </w:rPr>
      </w:pPr>
      <w:r>
        <w:rPr>
          <w:rFonts w:hint="eastAsia" w:ascii="宋体" w:hAnsi="宋体"/>
          <w:sz w:val="24"/>
        </w:rPr>
        <w:t>商务标投标文件制作注意事项：</w:t>
      </w:r>
    </w:p>
    <w:p>
      <w:pPr>
        <w:numPr>
          <w:ilvl w:val="3"/>
          <w:numId w:val="28"/>
        </w:numPr>
        <w:spacing w:line="360" w:lineRule="auto"/>
        <w:rPr>
          <w:rFonts w:hint="eastAsia" w:ascii="宋体" w:hAnsi="宋体"/>
          <w:sz w:val="24"/>
        </w:rPr>
      </w:pPr>
      <w:r>
        <w:rPr>
          <w:rFonts w:hint="eastAsia" w:ascii="宋体" w:hAnsi="宋体"/>
          <w:sz w:val="24"/>
        </w:rPr>
        <w:t>投标人登录《全国公共资源交易平台（河南省·许昌市）》公共资源交易系统下载“许昌投标文件制作系统SEARUNV1.1” 和操作手册（工程项目），按招标文件要求制作商务标投标文件。</w:t>
      </w:r>
    </w:p>
    <w:p>
      <w:pPr>
        <w:numPr>
          <w:ilvl w:val="3"/>
          <w:numId w:val="28"/>
        </w:numPr>
        <w:spacing w:line="360" w:lineRule="auto"/>
        <w:rPr>
          <w:rFonts w:hint="eastAsia" w:ascii="宋体" w:hAnsi="宋体"/>
          <w:sz w:val="24"/>
        </w:rPr>
      </w:pPr>
      <w:r>
        <w:rPr>
          <w:rFonts w:hint="eastAsia" w:ascii="宋体" w:hAnsi="宋体"/>
          <w:sz w:val="24"/>
        </w:rPr>
        <w:t>商务标投标文件制作技术咨询：0374-2961598。</w:t>
      </w:r>
    </w:p>
    <w:p>
      <w:pPr>
        <w:pStyle w:val="7"/>
        <w:numPr>
          <w:ilvl w:val="0"/>
          <w:numId w:val="8"/>
        </w:numPr>
        <w:spacing w:before="0" w:after="0" w:line="360" w:lineRule="auto"/>
        <w:ind w:firstLine="424" w:firstLineChars="176"/>
        <w:rPr>
          <w:rFonts w:ascii="宋体" w:hAnsi="宋体" w:eastAsia="宋体"/>
          <w:sz w:val="24"/>
          <w:szCs w:val="24"/>
        </w:rPr>
      </w:pPr>
      <w:bookmarkStart w:id="284" w:name="_Toc43198872"/>
      <w:r>
        <w:rPr>
          <w:rFonts w:hint="eastAsia" w:ascii="宋体" w:hAnsi="宋体" w:eastAsia="宋体"/>
          <w:sz w:val="24"/>
          <w:szCs w:val="24"/>
        </w:rPr>
        <w:t>投标</w:t>
      </w:r>
      <w:bookmarkEnd w:id="277"/>
      <w:bookmarkEnd w:id="278"/>
      <w:bookmarkEnd w:id="279"/>
      <w:bookmarkEnd w:id="280"/>
      <w:bookmarkEnd w:id="281"/>
      <w:bookmarkEnd w:id="282"/>
      <w:bookmarkEnd w:id="283"/>
      <w:bookmarkEnd w:id="284"/>
    </w:p>
    <w:p>
      <w:pPr>
        <w:pStyle w:val="8"/>
        <w:numPr>
          <w:ilvl w:val="1"/>
          <w:numId w:val="29"/>
        </w:numPr>
        <w:spacing w:before="0" w:after="0" w:line="360" w:lineRule="auto"/>
        <w:ind w:firstLineChars="0"/>
        <w:rPr>
          <w:rFonts w:ascii="宋体" w:eastAsia="宋体"/>
          <w:sz w:val="24"/>
          <w:szCs w:val="24"/>
        </w:rPr>
      </w:pPr>
      <w:bookmarkStart w:id="285" w:name="_Toc247513980"/>
      <w:bookmarkStart w:id="286" w:name="_Toc152045556"/>
      <w:bookmarkStart w:id="287" w:name="_Toc152042332"/>
      <w:bookmarkStart w:id="288" w:name="_Toc300834977"/>
      <w:bookmarkStart w:id="289" w:name="_Toc23282573"/>
      <w:bookmarkStart w:id="290" w:name="_Toc144974524"/>
      <w:bookmarkStart w:id="291" w:name="_Toc247527581"/>
      <w:bookmarkStart w:id="292" w:name="_Toc43198873"/>
      <w:r>
        <w:rPr>
          <w:rFonts w:hint="eastAsia" w:ascii="宋体" w:eastAsia="宋体"/>
          <w:sz w:val="24"/>
          <w:szCs w:val="24"/>
        </w:rPr>
        <w:t>投标文件</w:t>
      </w:r>
      <w:bookmarkEnd w:id="285"/>
      <w:bookmarkEnd w:id="286"/>
      <w:bookmarkEnd w:id="287"/>
      <w:bookmarkEnd w:id="288"/>
      <w:bookmarkEnd w:id="289"/>
      <w:bookmarkEnd w:id="290"/>
      <w:bookmarkEnd w:id="291"/>
      <w:r>
        <w:rPr>
          <w:rFonts w:hint="eastAsia" w:ascii="宋体" w:eastAsia="宋体"/>
          <w:sz w:val="24"/>
          <w:szCs w:val="24"/>
        </w:rPr>
        <w:t>递交</w:t>
      </w:r>
      <w:bookmarkEnd w:id="292"/>
    </w:p>
    <w:p>
      <w:pPr>
        <w:numPr>
          <w:ilvl w:val="2"/>
          <w:numId w:val="30"/>
        </w:numPr>
        <w:spacing w:line="360" w:lineRule="auto"/>
        <w:rPr>
          <w:rFonts w:hint="eastAsia" w:ascii="宋体" w:hAnsi="宋体"/>
          <w:sz w:val="24"/>
        </w:rPr>
      </w:pPr>
      <w:bookmarkStart w:id="293" w:name="_Toc300834978"/>
      <w:bookmarkStart w:id="294" w:name="_Toc23282574"/>
      <w:bookmarkStart w:id="295" w:name="_Toc144974525"/>
      <w:bookmarkStart w:id="296" w:name="_Toc247513981"/>
      <w:bookmarkStart w:id="297" w:name="_Toc247527582"/>
      <w:bookmarkStart w:id="298" w:name="_Toc152045557"/>
      <w:bookmarkStart w:id="299" w:name="_Toc152042333"/>
      <w:r>
        <w:rPr>
          <w:rFonts w:hint="eastAsia" w:ascii="宋体" w:hAnsi="宋体"/>
          <w:sz w:val="24"/>
        </w:rPr>
        <w:t>投标人应在投标人须知前附表中规定的投标截止时间前成功上传电子投标文件。</w:t>
      </w:r>
    </w:p>
    <w:p>
      <w:pPr>
        <w:numPr>
          <w:ilvl w:val="2"/>
          <w:numId w:val="30"/>
        </w:numPr>
        <w:spacing w:line="360" w:lineRule="auto"/>
        <w:rPr>
          <w:rFonts w:hint="eastAsia" w:ascii="宋体" w:hAnsi="宋体"/>
          <w:sz w:val="24"/>
        </w:rPr>
      </w:pPr>
      <w:r>
        <w:rPr>
          <w:rFonts w:hint="eastAsia" w:ascii="宋体" w:hAnsi="宋体"/>
          <w:sz w:val="24"/>
        </w:rPr>
        <w:t>除投标人须知前附表另有规定外，投标人所提交的电子投标文件不予退还。</w:t>
      </w:r>
    </w:p>
    <w:p>
      <w:pPr>
        <w:numPr>
          <w:ilvl w:val="2"/>
          <w:numId w:val="30"/>
        </w:numPr>
        <w:spacing w:line="360" w:lineRule="auto"/>
        <w:rPr>
          <w:rFonts w:ascii="宋体" w:hAnsi="宋体"/>
          <w:sz w:val="24"/>
        </w:rPr>
      </w:pPr>
      <w:r>
        <w:rPr>
          <w:rFonts w:hint="eastAsia" w:ascii="宋体" w:hAnsi="宋体"/>
          <w:sz w:val="24"/>
        </w:rPr>
        <w:t>逾期未成功上传的电子投标文件，招标人不予受理。</w:t>
      </w:r>
    </w:p>
    <w:bookmarkEnd w:id="293"/>
    <w:bookmarkEnd w:id="294"/>
    <w:bookmarkEnd w:id="295"/>
    <w:bookmarkEnd w:id="296"/>
    <w:bookmarkEnd w:id="297"/>
    <w:bookmarkEnd w:id="298"/>
    <w:bookmarkEnd w:id="299"/>
    <w:p>
      <w:pPr>
        <w:pStyle w:val="8"/>
        <w:numPr>
          <w:ilvl w:val="1"/>
          <w:numId w:val="29"/>
        </w:numPr>
        <w:spacing w:before="0" w:after="0" w:line="360" w:lineRule="auto"/>
        <w:ind w:firstLineChars="0"/>
        <w:rPr>
          <w:rFonts w:ascii="宋体" w:eastAsia="宋体"/>
          <w:sz w:val="24"/>
          <w:szCs w:val="24"/>
        </w:rPr>
      </w:pPr>
      <w:bookmarkStart w:id="300" w:name="_Toc23282575"/>
      <w:bookmarkStart w:id="301" w:name="_Toc247527583"/>
      <w:bookmarkStart w:id="302" w:name="_Toc144974526"/>
      <w:bookmarkStart w:id="303" w:name="_Toc152045558"/>
      <w:bookmarkStart w:id="304" w:name="_Toc300834979"/>
      <w:bookmarkStart w:id="305" w:name="_Toc152042334"/>
      <w:bookmarkStart w:id="306" w:name="_Toc43198874"/>
      <w:bookmarkStart w:id="307" w:name="_Toc247513982"/>
      <w:r>
        <w:rPr>
          <w:rFonts w:hint="eastAsia" w:ascii="宋体" w:eastAsia="宋体"/>
          <w:sz w:val="24"/>
          <w:szCs w:val="24"/>
        </w:rPr>
        <w:t>投标文件的修改与撤回</w:t>
      </w:r>
      <w:bookmarkEnd w:id="300"/>
      <w:bookmarkEnd w:id="301"/>
      <w:bookmarkEnd w:id="302"/>
      <w:bookmarkEnd w:id="303"/>
      <w:bookmarkEnd w:id="304"/>
      <w:bookmarkEnd w:id="305"/>
      <w:bookmarkEnd w:id="306"/>
      <w:bookmarkEnd w:id="307"/>
    </w:p>
    <w:p>
      <w:pPr>
        <w:numPr>
          <w:ilvl w:val="2"/>
          <w:numId w:val="31"/>
        </w:numPr>
        <w:spacing w:line="360" w:lineRule="auto"/>
        <w:rPr>
          <w:rFonts w:hint="eastAsia" w:ascii="宋体" w:hAnsi="宋体"/>
          <w:sz w:val="24"/>
        </w:rPr>
      </w:pPr>
      <w:r>
        <w:rPr>
          <w:rFonts w:hint="eastAsia" w:ascii="宋体" w:hAnsi="宋体"/>
          <w:sz w:val="24"/>
        </w:rPr>
        <w:t>在本章第2.2.2 项规定的投标截止时间前，投标人可以修改或撤回已提交的电子投标文件修改或撤回应以书面形式通知招标人。</w:t>
      </w:r>
    </w:p>
    <w:p>
      <w:pPr>
        <w:numPr>
          <w:ilvl w:val="2"/>
          <w:numId w:val="31"/>
        </w:numPr>
        <w:spacing w:line="360" w:lineRule="auto"/>
        <w:rPr>
          <w:rFonts w:hint="eastAsia" w:ascii="宋体" w:hAnsi="宋体"/>
          <w:sz w:val="24"/>
        </w:rPr>
      </w:pPr>
      <w:r>
        <w:rPr>
          <w:rFonts w:hint="eastAsia" w:ascii="宋体" w:hAnsi="宋体"/>
          <w:sz w:val="24"/>
        </w:rPr>
        <w:t>投标人修改或撤回已提交电子投标文件的书面通知应按照投标人须知前附表第3.7.3 项的要求签字或盖章。招标人收到书面通知后，向投标人出具签收凭证。</w:t>
      </w:r>
    </w:p>
    <w:p>
      <w:pPr>
        <w:numPr>
          <w:ilvl w:val="2"/>
          <w:numId w:val="31"/>
        </w:numPr>
        <w:spacing w:line="360" w:lineRule="auto"/>
        <w:rPr>
          <w:rFonts w:hint="eastAsia" w:ascii="宋体" w:hAnsi="宋体"/>
          <w:sz w:val="24"/>
        </w:rPr>
      </w:pPr>
      <w:r>
        <w:rPr>
          <w:rFonts w:hint="eastAsia" w:ascii="宋体" w:hAnsi="宋体"/>
          <w:sz w:val="24"/>
        </w:rPr>
        <w:t>修改的内容为投标文件的组成部分。修改的电子投标文件应按照本章第3条、第4条规定进行编制、密封、标记和提交，并标明“修改”字样。</w:t>
      </w:r>
    </w:p>
    <w:p>
      <w:pPr>
        <w:numPr>
          <w:ilvl w:val="2"/>
          <w:numId w:val="31"/>
        </w:numPr>
        <w:spacing w:line="360" w:lineRule="auto"/>
        <w:rPr>
          <w:rFonts w:ascii="宋体" w:hAnsi="宋体"/>
          <w:sz w:val="24"/>
        </w:rPr>
      </w:pPr>
      <w:r>
        <w:rPr>
          <w:rFonts w:hint="eastAsia" w:ascii="宋体" w:hAnsi="宋体"/>
          <w:sz w:val="24"/>
        </w:rPr>
        <w:t>投标人应当在投标截止时间前完成电子投标文件的提交，可以补充、修改或撤回。投标截止时间前未完成电子投标文件提交、取得“投标文件提交回执单”的，视为撤回投标文件。</w:t>
      </w:r>
    </w:p>
    <w:p>
      <w:pPr>
        <w:pStyle w:val="7"/>
        <w:numPr>
          <w:ilvl w:val="0"/>
          <w:numId w:val="8"/>
        </w:numPr>
        <w:spacing w:before="0" w:after="0" w:line="360" w:lineRule="auto"/>
        <w:ind w:firstLine="424" w:firstLineChars="176"/>
        <w:rPr>
          <w:rFonts w:ascii="宋体" w:hAnsi="宋体" w:eastAsia="宋体"/>
          <w:sz w:val="24"/>
          <w:szCs w:val="24"/>
        </w:rPr>
      </w:pPr>
      <w:bookmarkStart w:id="308" w:name="_Toc23282576"/>
      <w:bookmarkStart w:id="309" w:name="_Toc43198875"/>
      <w:bookmarkStart w:id="310" w:name="_Toc144974527"/>
      <w:bookmarkStart w:id="311" w:name="_Toc300834980"/>
      <w:bookmarkStart w:id="312" w:name="_Toc152045559"/>
      <w:bookmarkStart w:id="313" w:name="_Toc247527584"/>
      <w:bookmarkStart w:id="314" w:name="_Toc152042335"/>
      <w:bookmarkStart w:id="315" w:name="_Toc247513983"/>
      <w:r>
        <w:rPr>
          <w:rFonts w:hint="eastAsia" w:ascii="宋体" w:hAnsi="宋体" w:eastAsia="宋体"/>
          <w:sz w:val="24"/>
          <w:szCs w:val="24"/>
        </w:rPr>
        <w:t>开标</w:t>
      </w:r>
      <w:bookmarkEnd w:id="308"/>
      <w:bookmarkEnd w:id="309"/>
      <w:bookmarkEnd w:id="310"/>
      <w:bookmarkEnd w:id="311"/>
      <w:bookmarkEnd w:id="312"/>
      <w:bookmarkEnd w:id="313"/>
      <w:bookmarkEnd w:id="314"/>
      <w:bookmarkEnd w:id="315"/>
    </w:p>
    <w:p>
      <w:pPr>
        <w:pStyle w:val="8"/>
        <w:numPr>
          <w:ilvl w:val="1"/>
          <w:numId w:val="32"/>
        </w:numPr>
        <w:spacing w:before="0" w:after="0" w:line="360" w:lineRule="auto"/>
        <w:ind w:firstLineChars="0"/>
        <w:rPr>
          <w:rFonts w:ascii="宋体" w:eastAsia="宋体"/>
          <w:sz w:val="24"/>
          <w:szCs w:val="24"/>
        </w:rPr>
      </w:pPr>
      <w:bookmarkStart w:id="316" w:name="_Toc300834981"/>
      <w:bookmarkStart w:id="317" w:name="_Toc247527585"/>
      <w:bookmarkStart w:id="318" w:name="_Toc23282577"/>
      <w:bookmarkStart w:id="319" w:name="_Toc247513984"/>
      <w:bookmarkStart w:id="320" w:name="_Toc144974528"/>
      <w:bookmarkStart w:id="321" w:name="_Toc152045560"/>
      <w:bookmarkStart w:id="322" w:name="_Toc152042336"/>
      <w:bookmarkStart w:id="323" w:name="_Toc43198876"/>
      <w:r>
        <w:rPr>
          <w:rFonts w:hint="eastAsia" w:ascii="宋体" w:eastAsia="宋体"/>
          <w:sz w:val="24"/>
          <w:szCs w:val="24"/>
        </w:rPr>
        <w:t>开标时间和地点</w:t>
      </w:r>
      <w:bookmarkEnd w:id="316"/>
      <w:bookmarkEnd w:id="317"/>
      <w:bookmarkEnd w:id="318"/>
      <w:bookmarkEnd w:id="319"/>
      <w:bookmarkEnd w:id="320"/>
      <w:bookmarkEnd w:id="321"/>
      <w:bookmarkEnd w:id="322"/>
      <w:bookmarkEnd w:id="323"/>
    </w:p>
    <w:p>
      <w:pPr>
        <w:spacing w:line="360" w:lineRule="auto"/>
        <w:ind w:firstLine="422" w:firstLineChars="176"/>
        <w:rPr>
          <w:rFonts w:hint="eastAsia" w:ascii="宋体" w:hAnsi="宋体"/>
          <w:sz w:val="24"/>
        </w:rPr>
      </w:pPr>
      <w:bookmarkStart w:id="324" w:name="_Toc23282578"/>
      <w:bookmarkStart w:id="325" w:name="_Toc300834982"/>
      <w:bookmarkStart w:id="326" w:name="_Toc152045561"/>
      <w:bookmarkStart w:id="327" w:name="_Toc152042337"/>
      <w:bookmarkStart w:id="328" w:name="_Toc144974529"/>
      <w:bookmarkStart w:id="329" w:name="_Toc247513985"/>
      <w:bookmarkStart w:id="330" w:name="_Toc247527586"/>
      <w:r>
        <w:rPr>
          <w:rFonts w:hint="eastAsia" w:ascii="宋体" w:hAnsi="宋体"/>
          <w:sz w:val="24"/>
        </w:rPr>
        <w:t>招标人或代理机构、监督人员应在开标前提前到达交易中心，在约定开标地点开通远程不见面开标大厅及开启“文字互动”等功能，组织投标人（供应商）准时在网上参加投标、开标活动。</w:t>
      </w:r>
    </w:p>
    <w:bookmarkEnd w:id="324"/>
    <w:bookmarkEnd w:id="325"/>
    <w:bookmarkEnd w:id="326"/>
    <w:bookmarkEnd w:id="327"/>
    <w:bookmarkEnd w:id="328"/>
    <w:bookmarkEnd w:id="329"/>
    <w:bookmarkEnd w:id="330"/>
    <w:p>
      <w:pPr>
        <w:pStyle w:val="8"/>
        <w:numPr>
          <w:ilvl w:val="1"/>
          <w:numId w:val="32"/>
        </w:numPr>
        <w:spacing w:before="0" w:after="0" w:line="360" w:lineRule="auto"/>
        <w:ind w:firstLineChars="0"/>
        <w:rPr>
          <w:rFonts w:ascii="宋体" w:eastAsia="宋体"/>
          <w:sz w:val="24"/>
          <w:szCs w:val="24"/>
        </w:rPr>
      </w:pPr>
      <w:bookmarkStart w:id="331" w:name="_Toc43198877"/>
      <w:bookmarkStart w:id="332" w:name="_Toc23282579"/>
      <w:bookmarkStart w:id="333" w:name="_Toc300834983"/>
      <w:r>
        <w:rPr>
          <w:rFonts w:hint="eastAsia" w:ascii="宋体" w:eastAsia="宋体"/>
          <w:sz w:val="24"/>
          <w:szCs w:val="24"/>
        </w:rPr>
        <w:t>开标程序</w:t>
      </w:r>
      <w:bookmarkEnd w:id="331"/>
    </w:p>
    <w:p>
      <w:pPr>
        <w:numPr>
          <w:ilvl w:val="0"/>
          <w:numId w:val="33"/>
        </w:numPr>
        <w:spacing w:line="360" w:lineRule="auto"/>
        <w:rPr>
          <w:rFonts w:hint="eastAsia" w:ascii="宋体" w:hAnsi="宋体"/>
          <w:sz w:val="24"/>
        </w:rPr>
      </w:pPr>
      <w:r>
        <w:rPr>
          <w:rFonts w:hint="eastAsia" w:ascii="宋体" w:hAnsi="宋体"/>
          <w:sz w:val="24"/>
        </w:rPr>
        <w:t>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pPr>
        <w:numPr>
          <w:ilvl w:val="0"/>
          <w:numId w:val="33"/>
        </w:numPr>
        <w:spacing w:line="360" w:lineRule="auto"/>
        <w:rPr>
          <w:rFonts w:hint="eastAsia" w:ascii="宋体" w:hAnsi="宋体"/>
          <w:sz w:val="24"/>
        </w:rPr>
      </w:pPr>
      <w:r>
        <w:rPr>
          <w:rFonts w:hint="eastAsia" w:ascii="宋体" w:hAnsi="宋体"/>
          <w:sz w:val="24"/>
        </w:rPr>
        <w:t>投标人在开标开始后一个小时内进行远程解密，未解密或未按规定时间进行解密的，视为放弃投标；</w:t>
      </w:r>
    </w:p>
    <w:p>
      <w:pPr>
        <w:numPr>
          <w:ilvl w:val="0"/>
          <w:numId w:val="33"/>
        </w:numPr>
        <w:spacing w:line="360" w:lineRule="auto"/>
        <w:rPr>
          <w:rFonts w:hint="eastAsia" w:ascii="宋体" w:hAnsi="宋体"/>
          <w:sz w:val="24"/>
        </w:rPr>
      </w:pPr>
      <w:r>
        <w:rPr>
          <w:rFonts w:hint="eastAsia" w:ascii="宋体" w:hAnsi="宋体"/>
          <w:sz w:val="24"/>
        </w:rPr>
        <w:t xml:space="preserve">对开标过程或有关内容有异议（质疑）的，投标单位可按照《不见面开标流程操作手册》进行在线询问和发起异议（质疑），招标人在线进行回复。 </w:t>
      </w:r>
    </w:p>
    <w:p>
      <w:pPr>
        <w:numPr>
          <w:ilvl w:val="0"/>
          <w:numId w:val="33"/>
        </w:numPr>
        <w:spacing w:line="360" w:lineRule="auto"/>
        <w:rPr>
          <w:rFonts w:hint="eastAsia" w:ascii="宋体" w:hAnsi="宋体"/>
          <w:sz w:val="24"/>
        </w:rPr>
      </w:pPr>
      <w:r>
        <w:rPr>
          <w:rFonts w:hint="eastAsia" w:ascii="宋体" w:hAnsi="宋体"/>
          <w:sz w:val="24"/>
        </w:rPr>
        <w:t>解密完成后(5分钟质疑期)，无投标人提出异议，投标人应在《开标记录表》上进行电子签章，未进行电子签章的视为对开标结果无异议。</w:t>
      </w:r>
    </w:p>
    <w:p>
      <w:pPr>
        <w:numPr>
          <w:ilvl w:val="0"/>
          <w:numId w:val="33"/>
        </w:numPr>
        <w:spacing w:line="360" w:lineRule="auto"/>
        <w:rPr>
          <w:rFonts w:hint="eastAsia" w:ascii="宋体" w:hAnsi="宋体"/>
          <w:sz w:val="24"/>
        </w:rPr>
      </w:pPr>
      <w:r>
        <w:rPr>
          <w:rFonts w:hint="eastAsia" w:ascii="宋体" w:hAnsi="宋体"/>
          <w:sz w:val="24"/>
        </w:rPr>
        <w:t>《开标记录表》形成后，开标结束。</w:t>
      </w:r>
    </w:p>
    <w:bookmarkEnd w:id="332"/>
    <w:bookmarkEnd w:id="333"/>
    <w:p>
      <w:pPr>
        <w:pStyle w:val="7"/>
        <w:numPr>
          <w:ilvl w:val="0"/>
          <w:numId w:val="8"/>
        </w:numPr>
        <w:spacing w:before="0" w:after="0" w:line="360" w:lineRule="auto"/>
        <w:ind w:firstLine="424" w:firstLineChars="176"/>
        <w:rPr>
          <w:rFonts w:ascii="宋体" w:hAnsi="宋体" w:eastAsia="宋体"/>
          <w:sz w:val="24"/>
          <w:szCs w:val="24"/>
        </w:rPr>
      </w:pPr>
      <w:bookmarkStart w:id="334" w:name="_Toc23282580"/>
      <w:bookmarkStart w:id="335" w:name="_Toc144974530"/>
      <w:bookmarkStart w:id="336" w:name="_Toc247513986"/>
      <w:bookmarkStart w:id="337" w:name="_Toc152042338"/>
      <w:bookmarkStart w:id="338" w:name="_Toc43198878"/>
      <w:bookmarkStart w:id="339" w:name="_Toc300834984"/>
      <w:bookmarkStart w:id="340" w:name="_Toc152045562"/>
      <w:bookmarkStart w:id="341" w:name="_Toc247527587"/>
      <w:r>
        <w:rPr>
          <w:rFonts w:hint="eastAsia" w:ascii="宋体" w:hAnsi="宋体" w:eastAsia="宋体"/>
          <w:sz w:val="24"/>
          <w:szCs w:val="24"/>
        </w:rPr>
        <w:t>评标</w:t>
      </w:r>
      <w:bookmarkEnd w:id="334"/>
      <w:bookmarkEnd w:id="335"/>
      <w:bookmarkEnd w:id="336"/>
      <w:bookmarkEnd w:id="337"/>
      <w:bookmarkEnd w:id="338"/>
      <w:bookmarkEnd w:id="339"/>
      <w:bookmarkEnd w:id="340"/>
      <w:bookmarkEnd w:id="341"/>
    </w:p>
    <w:p>
      <w:pPr>
        <w:pStyle w:val="8"/>
        <w:numPr>
          <w:ilvl w:val="1"/>
          <w:numId w:val="34"/>
        </w:numPr>
        <w:spacing w:before="0" w:after="0" w:line="360" w:lineRule="auto"/>
        <w:ind w:firstLineChars="0"/>
        <w:rPr>
          <w:rFonts w:ascii="宋体" w:eastAsia="宋体"/>
          <w:sz w:val="24"/>
          <w:szCs w:val="24"/>
        </w:rPr>
      </w:pPr>
      <w:bookmarkStart w:id="342" w:name="_Toc247513987"/>
      <w:bookmarkStart w:id="343" w:name="_Toc300834985"/>
      <w:bookmarkStart w:id="344" w:name="_Toc144974531"/>
      <w:bookmarkStart w:id="345" w:name="_Toc43198879"/>
      <w:bookmarkStart w:id="346" w:name="_Toc23282581"/>
      <w:bookmarkStart w:id="347" w:name="_Toc247527588"/>
      <w:bookmarkStart w:id="348" w:name="_Toc152042339"/>
      <w:bookmarkStart w:id="349" w:name="_Toc152045563"/>
      <w:r>
        <w:rPr>
          <w:rFonts w:hint="eastAsia" w:ascii="宋体" w:eastAsia="宋体"/>
          <w:sz w:val="24"/>
          <w:szCs w:val="24"/>
        </w:rPr>
        <w:t>评标委员会</w:t>
      </w:r>
      <w:bookmarkEnd w:id="342"/>
      <w:bookmarkEnd w:id="343"/>
      <w:bookmarkEnd w:id="344"/>
      <w:bookmarkEnd w:id="345"/>
      <w:bookmarkEnd w:id="346"/>
      <w:bookmarkEnd w:id="347"/>
      <w:bookmarkEnd w:id="348"/>
      <w:bookmarkEnd w:id="349"/>
    </w:p>
    <w:p>
      <w:pPr>
        <w:numPr>
          <w:ilvl w:val="2"/>
          <w:numId w:val="35"/>
        </w:numPr>
        <w:spacing w:line="360" w:lineRule="auto"/>
        <w:rPr>
          <w:rFonts w:ascii="宋体" w:hAnsi="宋体"/>
          <w:sz w:val="24"/>
        </w:rPr>
      </w:pPr>
      <w:r>
        <w:rPr>
          <w:rFonts w:hint="eastAsia" w:ascii="宋体" w:hAnsi="宋体"/>
          <w:sz w:val="24"/>
        </w:rPr>
        <w:t>评标由招标人依法组建的评标委员会负责。评标委员会成员由相关技术、经济等方面的专家组成，组成人数见投标人须知前附表。</w:t>
      </w:r>
    </w:p>
    <w:p>
      <w:pPr>
        <w:numPr>
          <w:ilvl w:val="2"/>
          <w:numId w:val="35"/>
        </w:numPr>
        <w:spacing w:line="360" w:lineRule="auto"/>
        <w:rPr>
          <w:rFonts w:ascii="宋体" w:hAnsi="宋体"/>
          <w:sz w:val="24"/>
        </w:rPr>
      </w:pPr>
      <w:r>
        <w:rPr>
          <w:rFonts w:hint="eastAsia" w:ascii="宋体" w:hAnsi="宋体"/>
          <w:sz w:val="24"/>
        </w:rPr>
        <w:t>评标委员会成员有下列情形之一的，应当回避：</w:t>
      </w:r>
    </w:p>
    <w:p>
      <w:pPr>
        <w:numPr>
          <w:ilvl w:val="0"/>
          <w:numId w:val="36"/>
        </w:numPr>
        <w:spacing w:line="360" w:lineRule="auto"/>
        <w:rPr>
          <w:rFonts w:ascii="宋体" w:hAnsi="宋体"/>
          <w:sz w:val="24"/>
        </w:rPr>
      </w:pPr>
      <w:r>
        <w:rPr>
          <w:rFonts w:hint="eastAsia" w:ascii="宋体" w:hAnsi="宋体"/>
          <w:sz w:val="24"/>
        </w:rPr>
        <w:t>投标人或投标人主要负责人的近亲属；</w:t>
      </w:r>
    </w:p>
    <w:p>
      <w:pPr>
        <w:numPr>
          <w:ilvl w:val="0"/>
          <w:numId w:val="36"/>
        </w:numPr>
        <w:spacing w:line="360" w:lineRule="auto"/>
        <w:rPr>
          <w:rFonts w:ascii="宋体" w:hAnsi="宋体"/>
          <w:sz w:val="24"/>
        </w:rPr>
      </w:pPr>
      <w:r>
        <w:rPr>
          <w:rFonts w:hint="eastAsia" w:ascii="宋体" w:hAnsi="宋体"/>
          <w:sz w:val="24"/>
        </w:rPr>
        <w:t>项目主管部门或者行政监督部门的人员；</w:t>
      </w:r>
    </w:p>
    <w:p>
      <w:pPr>
        <w:numPr>
          <w:ilvl w:val="0"/>
          <w:numId w:val="36"/>
        </w:numPr>
        <w:spacing w:line="360" w:lineRule="auto"/>
        <w:rPr>
          <w:rFonts w:ascii="宋体" w:hAnsi="宋体"/>
          <w:sz w:val="24"/>
        </w:rPr>
      </w:pPr>
      <w:r>
        <w:rPr>
          <w:rFonts w:hint="eastAsia" w:ascii="宋体" w:hAnsi="宋体"/>
          <w:sz w:val="24"/>
        </w:rPr>
        <w:t>与投标人有经济利益关系，可能影响对投标公正评审的；</w:t>
      </w:r>
    </w:p>
    <w:p>
      <w:pPr>
        <w:numPr>
          <w:ilvl w:val="0"/>
          <w:numId w:val="36"/>
        </w:numPr>
        <w:spacing w:line="360" w:lineRule="auto"/>
        <w:rPr>
          <w:rFonts w:hint="eastAsia" w:ascii="宋体" w:hAnsi="宋体"/>
          <w:sz w:val="24"/>
        </w:rPr>
      </w:pPr>
      <w:r>
        <w:rPr>
          <w:rFonts w:hint="eastAsia" w:ascii="宋体" w:hAnsi="宋体"/>
          <w:sz w:val="24"/>
        </w:rPr>
        <w:t>曾因在招标、评标以及其他与招标投标有关活动中从事违法行为而受过行政处罚或刑事处罚的；</w:t>
      </w:r>
    </w:p>
    <w:p>
      <w:pPr>
        <w:numPr>
          <w:ilvl w:val="0"/>
          <w:numId w:val="36"/>
        </w:numPr>
        <w:spacing w:line="360" w:lineRule="auto"/>
        <w:rPr>
          <w:rFonts w:ascii="宋体" w:hAnsi="宋体"/>
          <w:sz w:val="24"/>
        </w:rPr>
      </w:pPr>
      <w:r>
        <w:rPr>
          <w:rFonts w:hint="eastAsia" w:ascii="宋体" w:hAnsi="宋体"/>
          <w:sz w:val="24"/>
        </w:rPr>
        <w:t>与投标人有其他利害关系。</w:t>
      </w:r>
    </w:p>
    <w:p>
      <w:pPr>
        <w:pStyle w:val="8"/>
        <w:numPr>
          <w:ilvl w:val="1"/>
          <w:numId w:val="34"/>
        </w:numPr>
        <w:spacing w:before="0" w:after="0" w:line="360" w:lineRule="auto"/>
        <w:ind w:firstLineChars="0"/>
        <w:rPr>
          <w:rFonts w:ascii="宋体" w:eastAsia="宋体"/>
          <w:sz w:val="24"/>
          <w:szCs w:val="24"/>
        </w:rPr>
      </w:pPr>
      <w:bookmarkStart w:id="350" w:name="_Toc23282582"/>
      <w:bookmarkStart w:id="351" w:name="_Toc247527589"/>
      <w:bookmarkStart w:id="352" w:name="_Toc152045564"/>
      <w:bookmarkStart w:id="353" w:name="_Toc152042340"/>
      <w:bookmarkStart w:id="354" w:name="_Toc144974532"/>
      <w:bookmarkStart w:id="355" w:name="_Toc247513988"/>
      <w:bookmarkStart w:id="356" w:name="_Toc43198880"/>
      <w:bookmarkStart w:id="357" w:name="_Toc300834986"/>
      <w:r>
        <w:rPr>
          <w:rFonts w:hint="eastAsia" w:ascii="宋体" w:eastAsia="宋体"/>
          <w:sz w:val="24"/>
          <w:szCs w:val="24"/>
        </w:rPr>
        <w:t>评标原则</w:t>
      </w:r>
      <w:bookmarkEnd w:id="350"/>
      <w:bookmarkEnd w:id="351"/>
      <w:bookmarkEnd w:id="352"/>
      <w:bookmarkEnd w:id="353"/>
      <w:bookmarkEnd w:id="354"/>
      <w:bookmarkEnd w:id="355"/>
      <w:bookmarkEnd w:id="356"/>
      <w:bookmarkEnd w:id="357"/>
      <w:r>
        <w:rPr>
          <w:rFonts w:ascii="宋体" w:eastAsia="宋体"/>
          <w:sz w:val="24"/>
          <w:szCs w:val="24"/>
        </w:rPr>
        <w:tab/>
      </w:r>
    </w:p>
    <w:p>
      <w:pPr>
        <w:spacing w:line="360" w:lineRule="auto"/>
        <w:ind w:firstLine="422" w:firstLineChars="176"/>
        <w:rPr>
          <w:rFonts w:ascii="宋体" w:hAnsi="宋体"/>
          <w:sz w:val="24"/>
        </w:rPr>
      </w:pPr>
      <w:r>
        <w:rPr>
          <w:rFonts w:hint="eastAsia" w:ascii="宋体" w:hAnsi="宋体"/>
          <w:sz w:val="24"/>
        </w:rPr>
        <w:t>评标活动遵循公平、公正、科学和择优的原则。</w:t>
      </w:r>
    </w:p>
    <w:p>
      <w:pPr>
        <w:pStyle w:val="8"/>
        <w:numPr>
          <w:ilvl w:val="1"/>
          <w:numId w:val="34"/>
        </w:numPr>
        <w:spacing w:before="0" w:after="0" w:line="360" w:lineRule="auto"/>
        <w:ind w:firstLineChars="0"/>
        <w:rPr>
          <w:rFonts w:ascii="宋体" w:eastAsia="宋体"/>
          <w:sz w:val="24"/>
          <w:szCs w:val="24"/>
        </w:rPr>
      </w:pPr>
      <w:bookmarkStart w:id="358" w:name="_Toc144974533"/>
      <w:bookmarkStart w:id="359" w:name="_Toc247527590"/>
      <w:bookmarkStart w:id="360" w:name="_Toc300834987"/>
      <w:bookmarkStart w:id="361" w:name="_Toc43198881"/>
      <w:bookmarkStart w:id="362" w:name="_Toc152042341"/>
      <w:bookmarkStart w:id="363" w:name="_Toc23282583"/>
      <w:bookmarkStart w:id="364" w:name="_Toc247513989"/>
      <w:bookmarkStart w:id="365" w:name="_Toc152045565"/>
      <w:r>
        <w:rPr>
          <w:rFonts w:hint="eastAsia" w:ascii="宋体" w:eastAsia="宋体"/>
          <w:sz w:val="24"/>
          <w:szCs w:val="24"/>
        </w:rPr>
        <w:t>评标</w:t>
      </w:r>
      <w:bookmarkEnd w:id="358"/>
      <w:bookmarkEnd w:id="359"/>
      <w:bookmarkEnd w:id="360"/>
      <w:bookmarkEnd w:id="361"/>
      <w:bookmarkEnd w:id="362"/>
      <w:bookmarkEnd w:id="363"/>
      <w:bookmarkEnd w:id="364"/>
      <w:bookmarkEnd w:id="365"/>
    </w:p>
    <w:p>
      <w:pPr>
        <w:spacing w:line="360" w:lineRule="auto"/>
        <w:ind w:firstLine="422" w:firstLineChars="176"/>
        <w:rPr>
          <w:rFonts w:ascii="宋体" w:hAnsi="宋体"/>
          <w:sz w:val="24"/>
        </w:rPr>
      </w:pPr>
      <w:r>
        <w:rPr>
          <w:rFonts w:hint="eastAsia" w:ascii="宋体" w:hAnsi="宋体"/>
          <w:sz w:val="24"/>
        </w:rPr>
        <w:t>评标委员会按照第三章“评标办法”规定的方法、评审因素、标准和程序对投标文件进行评审。第三章“评标办法”没有规定的方法、评审因素和标准，不作为评标依据。</w:t>
      </w:r>
    </w:p>
    <w:p>
      <w:pPr>
        <w:pStyle w:val="7"/>
        <w:numPr>
          <w:ilvl w:val="0"/>
          <w:numId w:val="8"/>
        </w:numPr>
        <w:spacing w:before="0" w:after="0" w:line="360" w:lineRule="auto"/>
        <w:ind w:firstLine="424" w:firstLineChars="176"/>
        <w:rPr>
          <w:rFonts w:ascii="宋体" w:hAnsi="宋体" w:eastAsia="宋体"/>
          <w:sz w:val="24"/>
          <w:szCs w:val="24"/>
        </w:rPr>
      </w:pPr>
      <w:bookmarkStart w:id="366" w:name="_Toc144974534"/>
      <w:bookmarkStart w:id="367" w:name="_Toc23282584"/>
      <w:bookmarkStart w:id="368" w:name="_Toc43198882"/>
      <w:bookmarkStart w:id="369" w:name="_Toc300834988"/>
      <w:bookmarkStart w:id="370" w:name="_Toc152045566"/>
      <w:bookmarkStart w:id="371" w:name="_Toc247527591"/>
      <w:bookmarkStart w:id="372" w:name="_Toc247513990"/>
      <w:bookmarkStart w:id="373" w:name="_Toc152042342"/>
      <w:r>
        <w:rPr>
          <w:rFonts w:hint="eastAsia" w:ascii="宋体" w:hAnsi="宋体" w:eastAsia="宋体"/>
          <w:sz w:val="24"/>
          <w:szCs w:val="24"/>
        </w:rPr>
        <w:t>合同授予</w:t>
      </w:r>
      <w:bookmarkEnd w:id="366"/>
      <w:bookmarkEnd w:id="367"/>
      <w:bookmarkEnd w:id="368"/>
      <w:bookmarkEnd w:id="369"/>
      <w:bookmarkEnd w:id="370"/>
      <w:bookmarkEnd w:id="371"/>
      <w:bookmarkEnd w:id="372"/>
      <w:bookmarkEnd w:id="373"/>
    </w:p>
    <w:p>
      <w:pPr>
        <w:pStyle w:val="8"/>
        <w:numPr>
          <w:ilvl w:val="1"/>
          <w:numId w:val="37"/>
        </w:numPr>
        <w:spacing w:before="0" w:after="0" w:line="360" w:lineRule="auto"/>
        <w:ind w:firstLineChars="0"/>
        <w:rPr>
          <w:rFonts w:ascii="宋体" w:eastAsia="宋体"/>
          <w:sz w:val="24"/>
          <w:szCs w:val="24"/>
        </w:rPr>
      </w:pPr>
      <w:bookmarkStart w:id="374" w:name="_Toc152045567"/>
      <w:bookmarkStart w:id="375" w:name="_Toc144974535"/>
      <w:bookmarkStart w:id="376" w:name="_Toc43198883"/>
      <w:bookmarkStart w:id="377" w:name="_Toc23282585"/>
      <w:bookmarkStart w:id="378" w:name="_Toc152042343"/>
      <w:bookmarkStart w:id="379" w:name="_Toc247513991"/>
      <w:bookmarkStart w:id="380" w:name="_Toc247527592"/>
      <w:bookmarkStart w:id="381" w:name="_Toc300834989"/>
      <w:r>
        <w:rPr>
          <w:rFonts w:hint="eastAsia" w:ascii="宋体" w:eastAsia="宋体"/>
          <w:sz w:val="24"/>
          <w:szCs w:val="24"/>
        </w:rPr>
        <w:t>定标方式</w:t>
      </w:r>
      <w:bookmarkEnd w:id="374"/>
      <w:bookmarkEnd w:id="375"/>
      <w:bookmarkEnd w:id="376"/>
      <w:bookmarkEnd w:id="377"/>
      <w:bookmarkEnd w:id="378"/>
      <w:bookmarkEnd w:id="379"/>
      <w:bookmarkEnd w:id="380"/>
      <w:bookmarkEnd w:id="381"/>
    </w:p>
    <w:p>
      <w:pPr>
        <w:spacing w:line="360" w:lineRule="auto"/>
        <w:ind w:firstLine="422" w:firstLineChars="176"/>
        <w:rPr>
          <w:rFonts w:hint="eastAsia" w:ascii="宋体" w:hAnsi="宋体"/>
          <w:sz w:val="24"/>
        </w:rPr>
      </w:pPr>
      <w:r>
        <w:rPr>
          <w:rFonts w:hint="eastAsia" w:ascii="宋体" w:hAnsi="宋体"/>
          <w:sz w:val="24"/>
        </w:rPr>
        <w:t>除投标人须知前附表规定评标委员会直接确定中标人外，招标人依据评标委员会推荐的中标候选人确定中标人，评标委员会推荐中标候选人的人数见投标人须知前附表。</w:t>
      </w:r>
    </w:p>
    <w:p>
      <w:pPr>
        <w:pStyle w:val="8"/>
        <w:numPr>
          <w:ilvl w:val="1"/>
          <w:numId w:val="37"/>
        </w:numPr>
        <w:spacing w:before="0" w:after="0" w:line="360" w:lineRule="auto"/>
        <w:ind w:firstLineChars="0"/>
        <w:rPr>
          <w:rFonts w:ascii="宋体" w:eastAsia="宋体"/>
          <w:sz w:val="24"/>
          <w:szCs w:val="24"/>
        </w:rPr>
      </w:pPr>
      <w:bookmarkStart w:id="382" w:name="_Toc300834991"/>
      <w:bookmarkStart w:id="383" w:name="_Toc43198884"/>
      <w:bookmarkStart w:id="384" w:name="_Toc144974536"/>
      <w:bookmarkStart w:id="385" w:name="_Toc23282587"/>
      <w:bookmarkStart w:id="386" w:name="_Toc247513992"/>
      <w:bookmarkStart w:id="387" w:name="_Toc152042344"/>
      <w:bookmarkStart w:id="388" w:name="_Toc152045568"/>
      <w:bookmarkStart w:id="389" w:name="_Toc247527593"/>
      <w:r>
        <w:rPr>
          <w:rFonts w:hint="eastAsia" w:ascii="宋体" w:eastAsia="宋体"/>
          <w:sz w:val="24"/>
          <w:szCs w:val="24"/>
        </w:rPr>
        <w:t>中标通知</w:t>
      </w:r>
      <w:bookmarkEnd w:id="382"/>
      <w:bookmarkEnd w:id="383"/>
      <w:bookmarkEnd w:id="384"/>
      <w:bookmarkEnd w:id="385"/>
      <w:bookmarkEnd w:id="386"/>
      <w:bookmarkEnd w:id="387"/>
      <w:bookmarkEnd w:id="388"/>
      <w:bookmarkEnd w:id="389"/>
    </w:p>
    <w:p>
      <w:pPr>
        <w:spacing w:line="360" w:lineRule="auto"/>
        <w:ind w:firstLine="422" w:firstLineChars="176"/>
        <w:rPr>
          <w:rFonts w:ascii="宋体" w:hAnsi="宋体"/>
          <w:sz w:val="24"/>
        </w:rPr>
      </w:pPr>
      <w:r>
        <w:rPr>
          <w:rFonts w:hint="eastAsia" w:ascii="宋体" w:hAnsi="宋体"/>
          <w:sz w:val="24"/>
        </w:rPr>
        <w:t>在本章第3.3 款规定的投标有效期内，招标人以书面形式向中标人发出中标通知书，同时将中标结果通知未中标的投标人。</w:t>
      </w:r>
    </w:p>
    <w:p>
      <w:pPr>
        <w:pStyle w:val="8"/>
        <w:numPr>
          <w:ilvl w:val="1"/>
          <w:numId w:val="37"/>
        </w:numPr>
        <w:spacing w:before="0" w:after="0" w:line="360" w:lineRule="auto"/>
        <w:ind w:firstLineChars="0"/>
        <w:rPr>
          <w:rFonts w:ascii="宋体" w:eastAsia="宋体"/>
          <w:sz w:val="24"/>
          <w:szCs w:val="24"/>
        </w:rPr>
      </w:pPr>
      <w:bookmarkStart w:id="390" w:name="_Toc247527595"/>
      <w:bookmarkStart w:id="391" w:name="_Toc23282589"/>
      <w:bookmarkStart w:id="392" w:name="_Toc152045570"/>
      <w:bookmarkStart w:id="393" w:name="_Toc43198885"/>
      <w:bookmarkStart w:id="394" w:name="_Toc300834993"/>
      <w:bookmarkStart w:id="395" w:name="_Toc144974538"/>
      <w:bookmarkStart w:id="396" w:name="_Toc152042346"/>
      <w:bookmarkStart w:id="397" w:name="_Toc247513994"/>
      <w:r>
        <w:rPr>
          <w:rFonts w:hint="eastAsia" w:ascii="宋体" w:eastAsia="宋体"/>
          <w:sz w:val="24"/>
          <w:szCs w:val="24"/>
        </w:rPr>
        <w:t>签订合同</w:t>
      </w:r>
      <w:bookmarkEnd w:id="390"/>
      <w:bookmarkEnd w:id="391"/>
      <w:bookmarkEnd w:id="392"/>
      <w:bookmarkEnd w:id="393"/>
      <w:bookmarkEnd w:id="394"/>
      <w:bookmarkEnd w:id="395"/>
      <w:bookmarkEnd w:id="396"/>
      <w:bookmarkEnd w:id="397"/>
    </w:p>
    <w:p>
      <w:pPr>
        <w:numPr>
          <w:ilvl w:val="2"/>
          <w:numId w:val="38"/>
        </w:numPr>
        <w:spacing w:line="360" w:lineRule="auto"/>
        <w:ind w:firstLine="426"/>
        <w:rPr>
          <w:rFonts w:hint="eastAsia" w:ascii="宋体" w:hAnsi="宋体"/>
          <w:sz w:val="24"/>
        </w:rPr>
      </w:pPr>
      <w:r>
        <w:rPr>
          <w:rFonts w:hint="eastAsia" w:ascii="宋体" w:hAnsi="宋体"/>
          <w:sz w:val="24"/>
        </w:rPr>
        <w:t>招标人和中标人应当自中标通知书发出之日起30天内，根据招标文件和中标人的投标文件订立书面合同，其中付款方式按照双方签订的合同约定。中标人无正当理由拒签合同的，招标人取消其中标资格，其投标保证金不予退还；给招标人造成的损失超过投标保证金数额的，中标人还应当对超过部分予以赔偿。</w:t>
      </w:r>
    </w:p>
    <w:p>
      <w:pPr>
        <w:numPr>
          <w:ilvl w:val="2"/>
          <w:numId w:val="38"/>
        </w:numPr>
        <w:spacing w:line="360" w:lineRule="auto"/>
        <w:ind w:firstLine="426"/>
        <w:rPr>
          <w:rFonts w:ascii="宋体" w:hAnsi="宋体"/>
          <w:sz w:val="24"/>
        </w:rPr>
      </w:pPr>
      <w:r>
        <w:rPr>
          <w:rFonts w:hint="eastAsia" w:ascii="宋体" w:hAnsi="宋体"/>
          <w:sz w:val="24"/>
        </w:rPr>
        <w:t>发出中标通知书后，招标人无正当理由拒签合同的，招标人向中标人退还投标保证金；给中标人造成损失的，还应当赔偿损失。</w:t>
      </w:r>
    </w:p>
    <w:p>
      <w:pPr>
        <w:pStyle w:val="7"/>
        <w:numPr>
          <w:ilvl w:val="0"/>
          <w:numId w:val="8"/>
        </w:numPr>
        <w:spacing w:before="0" w:after="0" w:line="360" w:lineRule="auto"/>
        <w:ind w:firstLine="424" w:firstLineChars="176"/>
        <w:rPr>
          <w:rFonts w:ascii="宋体" w:hAnsi="宋体" w:eastAsia="宋体"/>
          <w:sz w:val="24"/>
          <w:szCs w:val="24"/>
        </w:rPr>
      </w:pPr>
      <w:bookmarkStart w:id="398" w:name="_Toc43198886"/>
      <w:r>
        <w:rPr>
          <w:rFonts w:hint="eastAsia" w:ascii="宋体" w:hAnsi="宋体" w:eastAsia="宋体"/>
          <w:sz w:val="24"/>
          <w:szCs w:val="24"/>
        </w:rPr>
        <w:t>重新招标和不再招标</w:t>
      </w:r>
      <w:bookmarkEnd w:id="398"/>
    </w:p>
    <w:p>
      <w:pPr>
        <w:pStyle w:val="8"/>
        <w:numPr>
          <w:ilvl w:val="1"/>
          <w:numId w:val="39"/>
        </w:numPr>
        <w:spacing w:before="0" w:after="0" w:line="360" w:lineRule="auto"/>
        <w:ind w:firstLineChars="0"/>
        <w:rPr>
          <w:rFonts w:ascii="宋体" w:eastAsia="宋体"/>
          <w:sz w:val="24"/>
          <w:szCs w:val="24"/>
        </w:rPr>
      </w:pPr>
      <w:bookmarkStart w:id="399" w:name="_Toc43198887"/>
      <w:r>
        <w:rPr>
          <w:rFonts w:ascii="宋体" w:eastAsia="宋体"/>
          <w:sz w:val="24"/>
          <w:szCs w:val="24"/>
        </w:rPr>
        <w:t>重新招标</w:t>
      </w:r>
      <w:bookmarkEnd w:id="399"/>
    </w:p>
    <w:p>
      <w:pPr>
        <w:pStyle w:val="3"/>
        <w:spacing w:after="0" w:line="360" w:lineRule="auto"/>
        <w:ind w:left="633"/>
        <w:rPr>
          <w:rFonts w:ascii="宋体" w:hAnsi="宋体"/>
          <w:sz w:val="24"/>
        </w:rPr>
      </w:pPr>
      <w:r>
        <w:rPr>
          <w:rFonts w:ascii="宋体" w:hAnsi="宋体"/>
          <w:sz w:val="24"/>
        </w:rPr>
        <w:t>有下列情形之一的，招标人将重新招标：</w:t>
      </w:r>
    </w:p>
    <w:p>
      <w:pPr>
        <w:pStyle w:val="17"/>
        <w:numPr>
          <w:ilvl w:val="0"/>
          <w:numId w:val="40"/>
        </w:numPr>
        <w:tabs>
          <w:tab w:val="left" w:pos="1103"/>
        </w:tabs>
        <w:spacing w:line="360" w:lineRule="auto"/>
        <w:ind w:hanging="530"/>
        <w:rPr>
          <w:sz w:val="24"/>
          <w:szCs w:val="24"/>
        </w:rPr>
      </w:pPr>
      <w:r>
        <w:rPr>
          <w:spacing w:val="-6"/>
          <w:sz w:val="24"/>
          <w:szCs w:val="24"/>
        </w:rPr>
        <w:t xml:space="preserve">投标截止时间止，投标人少于 </w:t>
      </w:r>
      <w:r>
        <w:rPr>
          <w:sz w:val="24"/>
          <w:szCs w:val="24"/>
        </w:rPr>
        <w:t>3</w:t>
      </w:r>
      <w:r>
        <w:rPr>
          <w:spacing w:val="-13"/>
          <w:sz w:val="24"/>
          <w:szCs w:val="24"/>
        </w:rPr>
        <w:t xml:space="preserve"> 个的；</w:t>
      </w:r>
    </w:p>
    <w:p>
      <w:pPr>
        <w:pStyle w:val="17"/>
        <w:numPr>
          <w:ilvl w:val="0"/>
          <w:numId w:val="40"/>
        </w:numPr>
        <w:tabs>
          <w:tab w:val="left" w:pos="1103"/>
        </w:tabs>
        <w:spacing w:line="360" w:lineRule="auto"/>
        <w:ind w:hanging="530"/>
        <w:rPr>
          <w:sz w:val="24"/>
          <w:szCs w:val="24"/>
        </w:rPr>
      </w:pPr>
      <w:r>
        <w:rPr>
          <w:spacing w:val="-3"/>
          <w:sz w:val="24"/>
          <w:szCs w:val="24"/>
        </w:rPr>
        <w:t>经评标委员会评审后否决所有投标的。</w:t>
      </w:r>
    </w:p>
    <w:p>
      <w:pPr>
        <w:pStyle w:val="17"/>
        <w:numPr>
          <w:ilvl w:val="0"/>
          <w:numId w:val="40"/>
        </w:numPr>
        <w:spacing w:line="360" w:lineRule="auto"/>
        <w:ind w:left="0" w:firstLine="567"/>
        <w:rPr>
          <w:sz w:val="24"/>
          <w:szCs w:val="24"/>
        </w:rPr>
      </w:pPr>
      <w:r>
        <w:rPr>
          <w:rFonts w:hint="eastAsia"/>
          <w:sz w:val="24"/>
        </w:rPr>
        <w:t>除非已经产生中标候选人，在投标有效期内同意延长投标有效期的投标人少于三个的，招标人应当依法重新招标。</w:t>
      </w:r>
    </w:p>
    <w:p>
      <w:pPr>
        <w:pStyle w:val="8"/>
        <w:numPr>
          <w:ilvl w:val="1"/>
          <w:numId w:val="39"/>
        </w:numPr>
        <w:spacing w:before="0" w:after="0" w:line="360" w:lineRule="auto"/>
        <w:ind w:firstLineChars="0"/>
        <w:rPr>
          <w:rFonts w:ascii="宋体" w:eastAsia="宋体"/>
          <w:sz w:val="24"/>
          <w:szCs w:val="24"/>
        </w:rPr>
      </w:pPr>
      <w:bookmarkStart w:id="400" w:name="_Toc43198888"/>
      <w:r>
        <w:rPr>
          <w:rFonts w:ascii="宋体" w:eastAsia="宋体"/>
          <w:sz w:val="24"/>
          <w:szCs w:val="24"/>
        </w:rPr>
        <w:t>不再招标</w:t>
      </w:r>
      <w:bookmarkEnd w:id="400"/>
    </w:p>
    <w:p>
      <w:pPr>
        <w:spacing w:line="360" w:lineRule="auto"/>
        <w:ind w:firstLine="424" w:firstLineChars="186"/>
        <w:rPr>
          <w:rFonts w:hint="eastAsia" w:ascii="宋体" w:hAnsi="宋体"/>
          <w:spacing w:val="-5"/>
          <w:sz w:val="24"/>
        </w:rPr>
      </w:pPr>
      <w:r>
        <w:rPr>
          <w:rFonts w:ascii="宋体" w:hAnsi="宋体"/>
          <w:spacing w:val="-6"/>
          <w:sz w:val="24"/>
        </w:rPr>
        <w:t xml:space="preserve">重新招标后投标人仍少于 </w:t>
      </w:r>
      <w:r>
        <w:rPr>
          <w:rFonts w:ascii="宋体" w:hAnsi="宋体"/>
          <w:sz w:val="24"/>
        </w:rPr>
        <w:t>3</w:t>
      </w:r>
      <w:r>
        <w:rPr>
          <w:rFonts w:ascii="宋体" w:hAnsi="宋体"/>
          <w:spacing w:val="-9"/>
          <w:sz w:val="24"/>
        </w:rPr>
        <w:t xml:space="preserve"> 个或者所有投标被否决的，属于必须审批或核准的工程建设项目，经原审</w:t>
      </w:r>
      <w:r>
        <w:rPr>
          <w:rFonts w:ascii="宋体" w:hAnsi="宋体"/>
          <w:spacing w:val="-5"/>
          <w:sz w:val="24"/>
        </w:rPr>
        <w:t>批或核准部门批准后不再进行招标。</w:t>
      </w:r>
    </w:p>
    <w:p>
      <w:pPr>
        <w:pStyle w:val="7"/>
        <w:numPr>
          <w:ilvl w:val="0"/>
          <w:numId w:val="8"/>
        </w:numPr>
        <w:spacing w:before="0" w:after="0" w:line="360" w:lineRule="auto"/>
        <w:ind w:firstLine="424" w:firstLineChars="176"/>
        <w:rPr>
          <w:rFonts w:ascii="宋体" w:hAnsi="宋体" w:eastAsia="宋体"/>
          <w:sz w:val="24"/>
          <w:szCs w:val="24"/>
        </w:rPr>
      </w:pPr>
      <w:bookmarkStart w:id="401" w:name="_Toc247527599"/>
      <w:bookmarkStart w:id="402" w:name="_Toc152042350"/>
      <w:bookmarkStart w:id="403" w:name="_Toc144974542"/>
      <w:bookmarkStart w:id="404" w:name="_Toc23282590"/>
      <w:bookmarkStart w:id="405" w:name="_Toc247513998"/>
      <w:bookmarkStart w:id="406" w:name="_Toc43198889"/>
      <w:bookmarkStart w:id="407" w:name="_Toc300834994"/>
      <w:bookmarkStart w:id="408" w:name="_Toc152045574"/>
      <w:r>
        <w:rPr>
          <w:rFonts w:hint="eastAsia" w:ascii="宋体" w:hAnsi="宋体" w:eastAsia="宋体"/>
          <w:sz w:val="24"/>
          <w:szCs w:val="24"/>
        </w:rPr>
        <w:t>纪律和监督</w:t>
      </w:r>
      <w:bookmarkEnd w:id="401"/>
      <w:bookmarkEnd w:id="402"/>
      <w:bookmarkEnd w:id="403"/>
      <w:bookmarkEnd w:id="404"/>
      <w:bookmarkEnd w:id="405"/>
      <w:bookmarkEnd w:id="406"/>
      <w:bookmarkEnd w:id="407"/>
      <w:bookmarkEnd w:id="408"/>
    </w:p>
    <w:p>
      <w:pPr>
        <w:pStyle w:val="8"/>
        <w:numPr>
          <w:ilvl w:val="1"/>
          <w:numId w:val="41"/>
        </w:numPr>
        <w:spacing w:before="0" w:after="0" w:line="360" w:lineRule="auto"/>
        <w:ind w:firstLineChars="0"/>
        <w:rPr>
          <w:rFonts w:ascii="宋体" w:eastAsia="宋体"/>
          <w:sz w:val="24"/>
          <w:szCs w:val="24"/>
        </w:rPr>
      </w:pPr>
      <w:bookmarkStart w:id="409" w:name="_Toc144974543"/>
      <w:bookmarkStart w:id="410" w:name="_Toc247527600"/>
      <w:bookmarkStart w:id="411" w:name="_Toc152045575"/>
      <w:bookmarkStart w:id="412" w:name="_Toc43198890"/>
      <w:bookmarkStart w:id="413" w:name="_Toc247513999"/>
      <w:bookmarkStart w:id="414" w:name="_Toc300834995"/>
      <w:bookmarkStart w:id="415" w:name="_Toc152042351"/>
      <w:bookmarkStart w:id="416" w:name="_Toc23282591"/>
      <w:r>
        <w:rPr>
          <w:rFonts w:hint="eastAsia" w:ascii="宋体" w:eastAsia="宋体"/>
          <w:sz w:val="24"/>
          <w:szCs w:val="24"/>
        </w:rPr>
        <w:t>对招标人的纪律要求</w:t>
      </w:r>
      <w:bookmarkEnd w:id="409"/>
      <w:bookmarkEnd w:id="410"/>
      <w:bookmarkEnd w:id="411"/>
      <w:bookmarkEnd w:id="412"/>
      <w:bookmarkEnd w:id="413"/>
      <w:bookmarkEnd w:id="414"/>
      <w:bookmarkEnd w:id="415"/>
      <w:bookmarkEnd w:id="416"/>
    </w:p>
    <w:p>
      <w:pPr>
        <w:spacing w:line="360" w:lineRule="auto"/>
        <w:ind w:firstLine="422" w:firstLineChars="176"/>
        <w:rPr>
          <w:rFonts w:ascii="宋体" w:hAnsi="宋体"/>
          <w:sz w:val="24"/>
        </w:rPr>
      </w:pPr>
      <w:r>
        <w:rPr>
          <w:rFonts w:hint="eastAsia" w:ascii="宋体" w:hAnsi="宋体"/>
          <w:sz w:val="24"/>
        </w:rPr>
        <w:t>招标人不得泄漏招标投标活动中应当保密的情况和资料，不得与投标人串通损害国家利益、社会公共利益或者他人合法权益。</w:t>
      </w:r>
    </w:p>
    <w:p>
      <w:pPr>
        <w:pStyle w:val="8"/>
        <w:numPr>
          <w:ilvl w:val="1"/>
          <w:numId w:val="41"/>
        </w:numPr>
        <w:spacing w:before="0" w:after="0" w:line="360" w:lineRule="auto"/>
        <w:ind w:firstLineChars="0"/>
        <w:rPr>
          <w:rFonts w:ascii="宋体" w:eastAsia="宋体"/>
          <w:sz w:val="24"/>
          <w:szCs w:val="24"/>
        </w:rPr>
      </w:pPr>
      <w:bookmarkStart w:id="417" w:name="_Toc152042352"/>
      <w:bookmarkStart w:id="418" w:name="_Toc247527601"/>
      <w:bookmarkStart w:id="419" w:name="_Toc152045576"/>
      <w:bookmarkStart w:id="420" w:name="_Toc247514000"/>
      <w:bookmarkStart w:id="421" w:name="_Toc144974544"/>
      <w:bookmarkStart w:id="422" w:name="_Toc43198891"/>
      <w:bookmarkStart w:id="423" w:name="_Toc23282592"/>
      <w:bookmarkStart w:id="424" w:name="_Toc300834996"/>
      <w:r>
        <w:rPr>
          <w:rFonts w:hint="eastAsia" w:ascii="宋体" w:eastAsia="宋体"/>
          <w:sz w:val="24"/>
          <w:szCs w:val="24"/>
        </w:rPr>
        <w:t>对投标人的纪律要求</w:t>
      </w:r>
      <w:bookmarkEnd w:id="417"/>
      <w:bookmarkEnd w:id="418"/>
      <w:bookmarkEnd w:id="419"/>
      <w:bookmarkEnd w:id="420"/>
      <w:bookmarkEnd w:id="421"/>
      <w:bookmarkEnd w:id="422"/>
      <w:bookmarkEnd w:id="423"/>
      <w:bookmarkEnd w:id="424"/>
    </w:p>
    <w:p>
      <w:pPr>
        <w:spacing w:line="360" w:lineRule="auto"/>
        <w:ind w:firstLine="422" w:firstLineChars="176"/>
        <w:rPr>
          <w:rFonts w:ascii="宋体" w:hAnsi="宋体"/>
          <w:sz w:val="24"/>
        </w:rPr>
      </w:pPr>
      <w:r>
        <w:rPr>
          <w:rFonts w:hint="eastAsia" w:ascii="宋体"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8"/>
        <w:numPr>
          <w:ilvl w:val="1"/>
          <w:numId w:val="41"/>
        </w:numPr>
        <w:spacing w:before="0" w:after="0" w:line="360" w:lineRule="auto"/>
        <w:ind w:firstLineChars="0"/>
        <w:rPr>
          <w:rFonts w:ascii="宋体" w:eastAsia="宋体"/>
          <w:sz w:val="24"/>
          <w:szCs w:val="24"/>
        </w:rPr>
      </w:pPr>
      <w:bookmarkStart w:id="425" w:name="_Toc247527602"/>
      <w:bookmarkStart w:id="426" w:name="_Toc152045577"/>
      <w:bookmarkStart w:id="427" w:name="_Toc43198892"/>
      <w:bookmarkStart w:id="428" w:name="_Toc23282593"/>
      <w:bookmarkStart w:id="429" w:name="_Toc247514001"/>
      <w:bookmarkStart w:id="430" w:name="_Toc144974545"/>
      <w:bookmarkStart w:id="431" w:name="_Toc152042353"/>
      <w:bookmarkStart w:id="432" w:name="_Toc300834997"/>
      <w:r>
        <w:rPr>
          <w:rFonts w:hint="eastAsia" w:ascii="宋体" w:eastAsia="宋体"/>
          <w:sz w:val="24"/>
          <w:szCs w:val="24"/>
        </w:rPr>
        <w:t>对评标委员会成员的纪律要求</w:t>
      </w:r>
      <w:bookmarkEnd w:id="425"/>
      <w:bookmarkEnd w:id="426"/>
      <w:bookmarkEnd w:id="427"/>
      <w:bookmarkEnd w:id="428"/>
      <w:bookmarkEnd w:id="429"/>
      <w:bookmarkEnd w:id="430"/>
      <w:bookmarkEnd w:id="431"/>
      <w:bookmarkEnd w:id="432"/>
    </w:p>
    <w:p>
      <w:pPr>
        <w:spacing w:line="360" w:lineRule="auto"/>
        <w:ind w:firstLine="422" w:firstLineChars="176"/>
        <w:rPr>
          <w:rFonts w:ascii="宋体" w:hAnsi="宋体"/>
          <w:sz w:val="24"/>
        </w:rPr>
      </w:pPr>
      <w:r>
        <w:rPr>
          <w:rFonts w:hint="eastAsia" w:ascii="宋体" w:hAnsi="宋体"/>
          <w:sz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8"/>
        <w:numPr>
          <w:ilvl w:val="1"/>
          <w:numId w:val="41"/>
        </w:numPr>
        <w:spacing w:before="0" w:after="0" w:line="360" w:lineRule="auto"/>
        <w:ind w:firstLineChars="0"/>
        <w:rPr>
          <w:rFonts w:ascii="宋体" w:eastAsia="宋体"/>
          <w:sz w:val="24"/>
          <w:szCs w:val="24"/>
        </w:rPr>
      </w:pPr>
      <w:bookmarkStart w:id="433" w:name="_Toc247514002"/>
      <w:bookmarkStart w:id="434" w:name="_Toc152042354"/>
      <w:bookmarkStart w:id="435" w:name="_Toc152045578"/>
      <w:bookmarkStart w:id="436" w:name="_Toc247527603"/>
      <w:bookmarkStart w:id="437" w:name="_Toc23282594"/>
      <w:bookmarkStart w:id="438" w:name="_Toc300834998"/>
      <w:bookmarkStart w:id="439" w:name="_Toc43198893"/>
      <w:bookmarkStart w:id="440" w:name="_Toc144974546"/>
      <w:r>
        <w:rPr>
          <w:rFonts w:hint="eastAsia" w:ascii="宋体" w:eastAsia="宋体"/>
          <w:sz w:val="24"/>
          <w:szCs w:val="24"/>
        </w:rPr>
        <w:t>对与评标活动有关的工作人员的纪律要求</w:t>
      </w:r>
      <w:bookmarkEnd w:id="433"/>
      <w:bookmarkEnd w:id="434"/>
      <w:bookmarkEnd w:id="435"/>
      <w:bookmarkEnd w:id="436"/>
      <w:bookmarkEnd w:id="437"/>
      <w:bookmarkEnd w:id="438"/>
      <w:bookmarkEnd w:id="439"/>
    </w:p>
    <w:p>
      <w:pPr>
        <w:spacing w:line="360" w:lineRule="auto"/>
        <w:ind w:firstLine="422" w:firstLineChars="176"/>
        <w:rPr>
          <w:rFonts w:ascii="宋体" w:hAnsi="宋体"/>
          <w:sz w:val="24"/>
        </w:rPr>
      </w:pPr>
      <w:bookmarkStart w:id="441" w:name="_Toc152042355"/>
      <w:r>
        <w:rPr>
          <w:rFonts w:hint="eastAsia" w:ascii="宋体"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41"/>
    </w:p>
    <w:p>
      <w:pPr>
        <w:pStyle w:val="8"/>
        <w:numPr>
          <w:ilvl w:val="1"/>
          <w:numId w:val="41"/>
        </w:numPr>
        <w:spacing w:before="0" w:after="0" w:line="360" w:lineRule="auto"/>
        <w:ind w:firstLineChars="0"/>
        <w:rPr>
          <w:rFonts w:ascii="宋体" w:eastAsia="宋体"/>
          <w:sz w:val="24"/>
          <w:szCs w:val="24"/>
        </w:rPr>
      </w:pPr>
      <w:bookmarkStart w:id="442" w:name="_Toc23282595"/>
      <w:bookmarkStart w:id="443" w:name="_Toc152045579"/>
      <w:bookmarkStart w:id="444" w:name="_Toc152042356"/>
      <w:bookmarkStart w:id="445" w:name="_Toc43198894"/>
      <w:bookmarkStart w:id="446" w:name="_Toc247527604"/>
      <w:bookmarkStart w:id="447" w:name="_Toc300834999"/>
      <w:bookmarkStart w:id="448" w:name="_Toc247514003"/>
      <w:r>
        <w:rPr>
          <w:rFonts w:hint="eastAsia" w:ascii="宋体" w:eastAsia="宋体"/>
          <w:sz w:val="24"/>
          <w:szCs w:val="24"/>
        </w:rPr>
        <w:t>投诉</w:t>
      </w:r>
      <w:bookmarkEnd w:id="440"/>
      <w:bookmarkEnd w:id="442"/>
      <w:bookmarkEnd w:id="443"/>
      <w:bookmarkEnd w:id="444"/>
      <w:bookmarkEnd w:id="445"/>
      <w:bookmarkEnd w:id="446"/>
      <w:bookmarkEnd w:id="447"/>
      <w:bookmarkEnd w:id="448"/>
    </w:p>
    <w:p>
      <w:pPr>
        <w:spacing w:line="360" w:lineRule="auto"/>
        <w:ind w:firstLine="422" w:firstLineChars="176"/>
        <w:rPr>
          <w:rFonts w:ascii="宋体" w:hAnsi="宋体"/>
          <w:sz w:val="24"/>
        </w:rPr>
      </w:pPr>
      <w:r>
        <w:rPr>
          <w:rFonts w:hint="eastAsia" w:ascii="宋体" w:hAnsi="宋体"/>
          <w:sz w:val="24"/>
        </w:rPr>
        <w:t>投标人和其他利害关系人认为本次招标活动违反法律、法规和规章规定的，有权向有关行政监督部门投诉。</w:t>
      </w:r>
    </w:p>
    <w:p>
      <w:pPr>
        <w:pStyle w:val="7"/>
        <w:numPr>
          <w:ilvl w:val="0"/>
          <w:numId w:val="8"/>
        </w:numPr>
        <w:spacing w:before="0" w:after="0" w:line="360" w:lineRule="auto"/>
        <w:ind w:firstLine="424" w:firstLineChars="176"/>
        <w:rPr>
          <w:rFonts w:ascii="宋体" w:hAnsi="宋体" w:eastAsia="宋体"/>
          <w:sz w:val="24"/>
          <w:szCs w:val="24"/>
        </w:rPr>
      </w:pPr>
      <w:bookmarkStart w:id="449" w:name="_Toc152042357"/>
      <w:bookmarkStart w:id="450" w:name="_Toc247514004"/>
      <w:bookmarkStart w:id="451" w:name="_Toc247527605"/>
      <w:bookmarkStart w:id="452" w:name="_Toc23282596"/>
      <w:bookmarkStart w:id="453" w:name="_Toc300835000"/>
      <w:bookmarkStart w:id="454" w:name="_Toc144974547"/>
      <w:bookmarkStart w:id="455" w:name="_Toc152045580"/>
      <w:bookmarkStart w:id="456" w:name="_Toc43198895"/>
      <w:r>
        <w:rPr>
          <w:rFonts w:hint="eastAsia" w:ascii="宋体" w:hAnsi="宋体" w:eastAsia="宋体"/>
          <w:sz w:val="24"/>
          <w:szCs w:val="24"/>
        </w:rPr>
        <w:t>需要补充的其他内容</w:t>
      </w:r>
      <w:bookmarkEnd w:id="449"/>
      <w:bookmarkEnd w:id="450"/>
      <w:bookmarkEnd w:id="451"/>
      <w:bookmarkEnd w:id="452"/>
      <w:bookmarkEnd w:id="453"/>
      <w:bookmarkEnd w:id="454"/>
      <w:bookmarkEnd w:id="455"/>
      <w:bookmarkEnd w:id="456"/>
    </w:p>
    <w:p>
      <w:pPr>
        <w:spacing w:line="360" w:lineRule="auto"/>
        <w:ind w:firstLine="422" w:firstLineChars="176"/>
        <w:rPr>
          <w:rFonts w:hint="eastAsia" w:ascii="宋体" w:hAnsi="宋体"/>
          <w:sz w:val="24"/>
        </w:rPr>
      </w:pPr>
      <w:r>
        <w:rPr>
          <w:rFonts w:hint="eastAsia" w:ascii="宋体" w:hAnsi="宋体"/>
          <w:sz w:val="24"/>
        </w:rPr>
        <w:t>需要补充的其他内容：见投标人须知前附表。</w:t>
      </w:r>
    </w:p>
    <w:p>
      <w:pPr>
        <w:spacing w:line="360" w:lineRule="auto"/>
        <w:ind w:firstLine="422" w:firstLineChars="176"/>
        <w:rPr>
          <w:rFonts w:hint="eastAsia" w:ascii="宋体" w:hAnsi="宋体"/>
          <w:sz w:val="24"/>
        </w:rPr>
      </w:pPr>
      <w:r>
        <w:rPr>
          <w:rFonts w:ascii="宋体" w:hAnsi="宋体"/>
          <w:sz w:val="24"/>
        </w:rPr>
        <w:br w:type="page"/>
      </w:r>
    </w:p>
    <w:p>
      <w:pPr>
        <w:pStyle w:val="8"/>
        <w:spacing w:before="0" w:after="0" w:line="360" w:lineRule="auto"/>
        <w:ind w:firstLine="118"/>
        <w:rPr>
          <w:rFonts w:ascii="宋体" w:eastAsia="宋体"/>
          <w:b/>
          <w:bCs w:val="0"/>
          <w:sz w:val="24"/>
          <w:szCs w:val="24"/>
        </w:rPr>
      </w:pPr>
      <w:bookmarkStart w:id="457" w:name="_Toc300835003"/>
      <w:bookmarkStart w:id="458" w:name="_Toc247514006"/>
      <w:bookmarkStart w:id="459" w:name="_Toc152042359"/>
      <w:bookmarkStart w:id="460" w:name="_Toc247527607"/>
      <w:bookmarkStart w:id="461" w:name="_Toc152045582"/>
      <w:bookmarkStart w:id="462" w:name="_Toc144974549"/>
      <w:bookmarkStart w:id="463" w:name="_Toc23282599"/>
      <w:bookmarkStart w:id="464" w:name="_Toc43198896"/>
      <w:r>
        <w:rPr>
          <w:rFonts w:ascii="宋体" w:eastAsia="宋体"/>
          <w:b/>
          <w:bCs w:val="0"/>
          <w:sz w:val="24"/>
          <w:szCs w:val="24"/>
        </w:rPr>
        <w:t>附</w:t>
      </w:r>
      <w:r>
        <w:rPr>
          <w:rFonts w:hint="eastAsia" w:ascii="宋体" w:eastAsia="宋体"/>
          <w:b/>
          <w:bCs w:val="0"/>
          <w:sz w:val="24"/>
          <w:szCs w:val="24"/>
        </w:rPr>
        <w:t>件一</w:t>
      </w:r>
      <w:r>
        <w:rPr>
          <w:rFonts w:ascii="宋体" w:eastAsia="宋体"/>
          <w:b/>
          <w:bCs w:val="0"/>
          <w:sz w:val="24"/>
          <w:szCs w:val="24"/>
        </w:rPr>
        <w:t>：问题澄清通知</w:t>
      </w:r>
      <w:bookmarkEnd w:id="457"/>
      <w:bookmarkEnd w:id="458"/>
      <w:bookmarkEnd w:id="459"/>
      <w:bookmarkEnd w:id="460"/>
      <w:bookmarkEnd w:id="461"/>
      <w:bookmarkEnd w:id="462"/>
      <w:bookmarkEnd w:id="463"/>
      <w:bookmarkEnd w:id="464"/>
    </w:p>
    <w:p>
      <w:pPr>
        <w:spacing w:line="360" w:lineRule="auto"/>
        <w:jc w:val="center"/>
        <w:rPr>
          <w:rFonts w:ascii="宋体" w:hAnsi="宋体"/>
          <w:sz w:val="24"/>
        </w:rPr>
      </w:pPr>
    </w:p>
    <w:p>
      <w:pPr>
        <w:spacing w:before="156" w:beforeLines="50" w:after="156" w:afterLines="50" w:line="360" w:lineRule="auto"/>
        <w:jc w:val="center"/>
        <w:rPr>
          <w:rFonts w:ascii="宋体" w:hAnsi="宋体"/>
          <w:b/>
          <w:bCs/>
          <w:sz w:val="28"/>
          <w:szCs w:val="28"/>
        </w:rPr>
      </w:pPr>
      <w:r>
        <w:rPr>
          <w:rFonts w:ascii="宋体" w:hAnsi="宋体"/>
          <w:b/>
          <w:bCs/>
          <w:sz w:val="28"/>
          <w:szCs w:val="28"/>
        </w:rPr>
        <w:t>问题澄清通知</w:t>
      </w:r>
    </w:p>
    <w:p>
      <w:pPr>
        <w:spacing w:line="360" w:lineRule="auto"/>
        <w:rPr>
          <w:rFonts w:ascii="宋体" w:hAnsi="宋体"/>
          <w:sz w:val="24"/>
        </w:rPr>
      </w:pPr>
      <w:r>
        <w:rPr>
          <w:rFonts w:ascii="宋体" w:hAnsi="宋体"/>
          <w:sz w:val="24"/>
        </w:rPr>
        <w:t xml:space="preserve">                               编号：</w:t>
      </w:r>
    </w:p>
    <w:p>
      <w:pPr>
        <w:spacing w:line="360" w:lineRule="auto"/>
        <w:rPr>
          <w:rFonts w:ascii="宋体" w:hAnsi="宋体"/>
          <w:sz w:val="24"/>
        </w:rPr>
      </w:pPr>
    </w:p>
    <w:p>
      <w:pPr>
        <w:spacing w:line="360" w:lineRule="auto"/>
        <w:rPr>
          <w:rFonts w:hint="eastAsia" w:ascii="宋体" w:hAnsi="宋体"/>
          <w:sz w:val="24"/>
        </w:rPr>
      </w:pPr>
      <w:r>
        <w:rPr>
          <w:rFonts w:ascii="宋体" w:hAnsi="宋体"/>
          <w:sz w:val="24"/>
          <w:u w:val="single"/>
        </w:rPr>
        <w:t xml:space="preserve">            </w:t>
      </w:r>
      <w:r>
        <w:rPr>
          <w:rFonts w:ascii="宋体" w:hAnsi="宋体"/>
          <w:sz w:val="24"/>
        </w:rPr>
        <w:t>（投标人名称）：</w:t>
      </w:r>
    </w:p>
    <w:p>
      <w:pPr>
        <w:spacing w:line="360" w:lineRule="auto"/>
        <w:ind w:firstLine="424" w:firstLineChars="177"/>
        <w:rPr>
          <w:rFonts w:ascii="宋体" w:hAnsi="宋体"/>
          <w:sz w:val="24"/>
        </w:rPr>
      </w:pPr>
      <w:r>
        <w:rPr>
          <w:rFonts w:ascii="宋体" w:hAnsi="宋体"/>
          <w:sz w:val="24"/>
          <w:u w:val="single"/>
        </w:rPr>
        <w:t xml:space="preserve">　             </w:t>
      </w:r>
      <w:r>
        <w:rPr>
          <w:rFonts w:ascii="宋体" w:hAnsi="宋体"/>
          <w:sz w:val="24"/>
        </w:rPr>
        <w:t>（项目名称）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标段</w:t>
      </w:r>
      <w:r>
        <w:rPr>
          <w:rFonts w:ascii="宋体" w:hAnsi="宋体"/>
          <w:sz w:val="24"/>
        </w:rPr>
        <w:t>招标的评标委员会，对你方的投标文件进行了仔细的审查，现需你方对下列问题以书面形式予以澄清：</w:t>
      </w:r>
    </w:p>
    <w:p>
      <w:pPr>
        <w:spacing w:line="360" w:lineRule="auto"/>
        <w:ind w:firstLine="424" w:firstLineChars="177"/>
        <w:rPr>
          <w:rFonts w:ascii="宋体" w:hAnsi="宋体"/>
          <w:sz w:val="24"/>
        </w:rPr>
      </w:pPr>
      <w:r>
        <w:rPr>
          <w:rFonts w:ascii="宋体" w:hAnsi="宋体"/>
          <w:sz w:val="24"/>
        </w:rPr>
        <w:t>1.</w:t>
      </w:r>
    </w:p>
    <w:p>
      <w:pPr>
        <w:spacing w:line="360" w:lineRule="auto"/>
        <w:ind w:firstLine="424" w:firstLineChars="177"/>
        <w:rPr>
          <w:rFonts w:ascii="宋体" w:hAnsi="宋体"/>
          <w:sz w:val="24"/>
        </w:rPr>
      </w:pPr>
      <w:r>
        <w:rPr>
          <w:rFonts w:ascii="宋体" w:hAnsi="宋体"/>
          <w:sz w:val="24"/>
        </w:rPr>
        <w:t>2.</w:t>
      </w:r>
    </w:p>
    <w:p>
      <w:pPr>
        <w:spacing w:line="360" w:lineRule="auto"/>
        <w:ind w:firstLine="424" w:firstLineChars="177"/>
        <w:rPr>
          <w:rFonts w:ascii="宋体" w:hAnsi="宋体"/>
          <w:sz w:val="24"/>
        </w:rPr>
      </w:pPr>
      <w:r>
        <w:rPr>
          <w:rFonts w:ascii="宋体" w:hAnsi="宋体"/>
          <w:sz w:val="24"/>
        </w:rPr>
        <w:t xml:space="preserve">......   </w:t>
      </w:r>
    </w:p>
    <w:p>
      <w:pPr>
        <w:spacing w:line="520" w:lineRule="exact"/>
        <w:ind w:firstLine="424" w:firstLineChars="177"/>
        <w:rPr>
          <w:rFonts w:hint="eastAsia" w:hAnsi="宋体" w:cs="宋体"/>
          <w:sz w:val="24"/>
        </w:rPr>
      </w:pPr>
      <w:r>
        <w:rPr>
          <w:rFonts w:hint="eastAsia" w:hAnsi="宋体" w:cs="宋体"/>
          <w:sz w:val="24"/>
        </w:rPr>
        <w:t>请将上述问题的澄清、说明或者补正于</w:t>
      </w:r>
      <w:r>
        <w:rPr>
          <w:rFonts w:hint="eastAsia" w:ascii="宋体" w:hAnsi="宋体"/>
          <w:sz w:val="24"/>
          <w:u w:val="single"/>
        </w:rPr>
        <w:t xml:space="preserve">      </w:t>
      </w:r>
      <w:r>
        <w:rPr>
          <w:rFonts w:hint="eastAsia" w:hAnsi="宋体" w:cs="宋体"/>
          <w:sz w:val="24"/>
        </w:rPr>
        <w:t>年</w:t>
      </w:r>
      <w:r>
        <w:rPr>
          <w:rFonts w:hint="eastAsia" w:ascii="宋体" w:hAnsi="宋体"/>
          <w:sz w:val="24"/>
          <w:u w:val="single"/>
        </w:rPr>
        <w:t xml:space="preserve">      </w:t>
      </w:r>
      <w:r>
        <w:rPr>
          <w:rFonts w:hint="eastAsia" w:hAnsi="宋体" w:cs="宋体"/>
          <w:sz w:val="24"/>
        </w:rPr>
        <w:t>月</w:t>
      </w:r>
      <w:r>
        <w:rPr>
          <w:rFonts w:hint="eastAsia" w:ascii="宋体" w:hAnsi="宋体"/>
          <w:sz w:val="24"/>
          <w:u w:val="single"/>
        </w:rPr>
        <w:t xml:space="preserve">     </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ascii="宋体" w:hAnsi="宋体"/>
          <w:sz w:val="24"/>
          <w:u w:val="single"/>
        </w:rPr>
        <w:t xml:space="preserve">    </w:t>
      </w:r>
      <w:r>
        <w:rPr>
          <w:rFonts w:hint="eastAsia" w:hAnsi="宋体" w:cs="宋体"/>
          <w:sz w:val="24"/>
        </w:rPr>
        <w:t>时前密封递交至</w:t>
      </w:r>
      <w:r>
        <w:rPr>
          <w:rFonts w:hint="eastAsia" w:ascii="宋体" w:hAnsi="宋体"/>
          <w:sz w:val="24"/>
          <w:u w:val="single"/>
        </w:rPr>
        <w:t xml:space="preserve">                          </w:t>
      </w:r>
      <w:r>
        <w:rPr>
          <w:rFonts w:hint="eastAsia" w:hAnsi="宋体" w:cs="宋体"/>
          <w:sz w:val="24"/>
        </w:rPr>
        <w:t>（详细地址）。</w:t>
      </w:r>
    </w:p>
    <w:p>
      <w:pPr>
        <w:spacing w:line="360" w:lineRule="auto"/>
        <w:rPr>
          <w:rFonts w:hint="eastAsia" w:ascii="宋体" w:hAnsi="宋体"/>
          <w:sz w:val="24"/>
        </w:rPr>
      </w:pPr>
    </w:p>
    <w:p>
      <w:pPr>
        <w:spacing w:line="360" w:lineRule="auto"/>
        <w:ind w:firstLine="424" w:firstLineChars="177"/>
        <w:rPr>
          <w:rFonts w:ascii="宋体" w:hAnsi="宋体"/>
          <w:sz w:val="24"/>
        </w:rPr>
      </w:pPr>
    </w:p>
    <w:p>
      <w:pPr>
        <w:spacing w:line="360" w:lineRule="auto"/>
        <w:ind w:firstLine="424" w:firstLineChars="177"/>
        <w:rPr>
          <w:rFonts w:ascii="宋体" w:hAnsi="宋体"/>
          <w:sz w:val="24"/>
        </w:rPr>
      </w:pPr>
    </w:p>
    <w:p>
      <w:pPr>
        <w:spacing w:line="360" w:lineRule="auto"/>
        <w:rPr>
          <w:rFonts w:ascii="宋体" w:hAnsi="宋体"/>
          <w:sz w:val="24"/>
        </w:rPr>
      </w:pPr>
    </w:p>
    <w:p>
      <w:pPr>
        <w:spacing w:before="156" w:beforeLines="50" w:after="156" w:afterLines="50" w:line="360" w:lineRule="auto"/>
        <w:jc w:val="right"/>
        <w:rPr>
          <w:rFonts w:hint="eastAsia" w:ascii="宋体" w:hAnsi="宋体"/>
          <w:sz w:val="24"/>
        </w:rPr>
      </w:pPr>
      <w:r>
        <w:rPr>
          <w:rFonts w:ascii="宋体" w:hAnsi="宋体"/>
          <w:sz w:val="24"/>
        </w:rPr>
        <w:t>评标</w:t>
      </w:r>
      <w:r>
        <w:rPr>
          <w:rFonts w:hint="eastAsia" w:ascii="宋体" w:hAnsi="宋体"/>
          <w:sz w:val="24"/>
        </w:rPr>
        <w:t>委员会授权的招标人或招标代理机构</w:t>
      </w:r>
      <w:r>
        <w:rPr>
          <w:rFonts w:ascii="宋体" w:hAnsi="宋体"/>
          <w:sz w:val="24"/>
        </w:rPr>
        <w:t>：</w:t>
      </w:r>
      <w:r>
        <w:rPr>
          <w:rFonts w:ascii="宋体" w:hAnsi="宋体"/>
          <w:sz w:val="24"/>
          <w:u w:val="single"/>
        </w:rPr>
        <w:t xml:space="preserve">           </w:t>
      </w:r>
      <w:r>
        <w:rPr>
          <w:rFonts w:ascii="宋体" w:hAnsi="宋体"/>
          <w:sz w:val="24"/>
        </w:rPr>
        <w:t>（签字</w:t>
      </w:r>
      <w:r>
        <w:rPr>
          <w:rFonts w:hint="eastAsia" w:ascii="宋体" w:hAnsi="宋体"/>
          <w:sz w:val="24"/>
        </w:rPr>
        <w:t>或盖章</w:t>
      </w:r>
      <w:r>
        <w:rPr>
          <w:rFonts w:ascii="宋体" w:hAnsi="宋体"/>
          <w:sz w:val="24"/>
        </w:rPr>
        <w:t>）</w:t>
      </w:r>
    </w:p>
    <w:p>
      <w:pPr>
        <w:spacing w:before="156" w:beforeLines="50" w:after="156" w:afterLines="50" w:line="360" w:lineRule="auto"/>
        <w:jc w:val="right"/>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360" w:lineRule="auto"/>
        <w:rPr>
          <w:rFonts w:ascii="宋体" w:hAnsi="宋体"/>
          <w:sz w:val="24"/>
        </w:rPr>
      </w:pPr>
    </w:p>
    <w:p>
      <w:pPr>
        <w:spacing w:line="360" w:lineRule="auto"/>
        <w:rPr>
          <w:rFonts w:ascii="宋体" w:hAnsi="宋体"/>
          <w:sz w:val="24"/>
        </w:rPr>
      </w:pPr>
      <w:r>
        <w:rPr>
          <w:rFonts w:ascii="宋体" w:hAnsi="宋体"/>
          <w:sz w:val="24"/>
        </w:rPr>
        <w:br w:type="page"/>
      </w:r>
    </w:p>
    <w:p>
      <w:pPr>
        <w:pStyle w:val="8"/>
        <w:spacing w:before="0" w:after="0" w:line="360" w:lineRule="auto"/>
        <w:ind w:firstLine="118"/>
        <w:rPr>
          <w:rFonts w:ascii="宋体" w:eastAsia="宋体"/>
          <w:b/>
          <w:bCs w:val="0"/>
          <w:sz w:val="24"/>
          <w:szCs w:val="24"/>
        </w:rPr>
      </w:pPr>
      <w:bookmarkStart w:id="465" w:name="_Toc300835004"/>
      <w:bookmarkStart w:id="466" w:name="_Toc247527608"/>
      <w:bookmarkStart w:id="467" w:name="_Toc23282600"/>
      <w:bookmarkStart w:id="468" w:name="_Toc247514007"/>
      <w:bookmarkStart w:id="469" w:name="_Toc43198897"/>
      <w:bookmarkStart w:id="470" w:name="_Toc144974550"/>
      <w:bookmarkStart w:id="471" w:name="_Toc152045583"/>
      <w:bookmarkStart w:id="472" w:name="_Toc152042360"/>
      <w:r>
        <w:rPr>
          <w:rFonts w:hint="eastAsia" w:ascii="宋体" w:eastAsia="宋体"/>
          <w:b/>
          <w:bCs w:val="0"/>
          <w:sz w:val="24"/>
          <w:szCs w:val="24"/>
        </w:rPr>
        <w:t>附件三：问题的澄清</w:t>
      </w:r>
      <w:bookmarkEnd w:id="465"/>
      <w:bookmarkEnd w:id="466"/>
      <w:bookmarkEnd w:id="467"/>
      <w:bookmarkEnd w:id="468"/>
      <w:bookmarkEnd w:id="469"/>
      <w:bookmarkEnd w:id="470"/>
      <w:bookmarkEnd w:id="471"/>
      <w:bookmarkEnd w:id="472"/>
    </w:p>
    <w:p>
      <w:pPr>
        <w:spacing w:line="360" w:lineRule="auto"/>
        <w:jc w:val="center"/>
        <w:rPr>
          <w:rFonts w:ascii="宋体" w:hAnsi="宋体"/>
          <w:sz w:val="24"/>
        </w:rPr>
      </w:pPr>
    </w:p>
    <w:p>
      <w:pPr>
        <w:spacing w:line="360" w:lineRule="auto"/>
        <w:jc w:val="center"/>
        <w:rPr>
          <w:rFonts w:ascii="宋体" w:hAnsi="宋体"/>
          <w:b/>
          <w:bCs/>
          <w:sz w:val="32"/>
          <w:szCs w:val="32"/>
        </w:rPr>
      </w:pPr>
      <w:r>
        <w:rPr>
          <w:rFonts w:hint="eastAsia" w:ascii="宋体" w:hAnsi="宋体"/>
          <w:b/>
          <w:bCs/>
          <w:sz w:val="32"/>
          <w:szCs w:val="32"/>
        </w:rPr>
        <w:t>问题的澄清、说明或补正</w:t>
      </w:r>
    </w:p>
    <w:p>
      <w:pPr>
        <w:spacing w:line="360" w:lineRule="auto"/>
        <w:ind w:firstLine="3960" w:firstLineChars="1650"/>
        <w:rPr>
          <w:rFonts w:ascii="宋体" w:hAnsi="宋体"/>
          <w:sz w:val="24"/>
        </w:rPr>
      </w:pPr>
      <w:r>
        <w:rPr>
          <w:rFonts w:hint="eastAsia" w:ascii="宋体" w:hAnsi="宋体"/>
          <w:sz w:val="24"/>
        </w:rPr>
        <w:t xml:space="preserve">编号： </w:t>
      </w:r>
    </w:p>
    <w:p>
      <w:pPr>
        <w:spacing w:line="360" w:lineRule="auto"/>
        <w:rPr>
          <w:rFonts w:ascii="宋体" w:hAnsi="宋体"/>
          <w:sz w:val="24"/>
        </w:rPr>
      </w:pPr>
    </w:p>
    <w:p>
      <w:pPr>
        <w:spacing w:line="360" w:lineRule="auto"/>
        <w:rPr>
          <w:rFonts w:ascii="宋体" w:hAnsi="宋体"/>
          <w:sz w:val="24"/>
        </w:rPr>
      </w:pPr>
      <w:r>
        <w:rPr>
          <w:rFonts w:ascii="宋体" w:hAnsi="宋体"/>
          <w:sz w:val="24"/>
          <w:u w:val="single"/>
        </w:rPr>
        <w:t xml:space="preserve">                  </w:t>
      </w:r>
      <w:r>
        <w:rPr>
          <w:rFonts w:ascii="宋体" w:hAnsi="宋体"/>
          <w:sz w:val="24"/>
        </w:rPr>
        <w:t>（项目名称）招标评标委员会：</w:t>
      </w:r>
    </w:p>
    <w:p>
      <w:pPr>
        <w:spacing w:line="360" w:lineRule="auto"/>
        <w:ind w:firstLine="424" w:firstLineChars="177"/>
        <w:rPr>
          <w:rFonts w:ascii="宋体" w:hAnsi="宋体"/>
          <w:sz w:val="24"/>
        </w:rPr>
      </w:pPr>
    </w:p>
    <w:p>
      <w:pPr>
        <w:spacing w:line="360" w:lineRule="auto"/>
        <w:ind w:firstLine="424" w:firstLineChars="177"/>
        <w:rPr>
          <w:rFonts w:ascii="宋体" w:hAnsi="宋体"/>
          <w:sz w:val="24"/>
        </w:rPr>
      </w:pPr>
      <w:r>
        <w:rPr>
          <w:rFonts w:ascii="宋体" w:hAnsi="宋体"/>
          <w:sz w:val="24"/>
        </w:rPr>
        <w:t>问题澄清通知（编号：</w:t>
      </w:r>
      <w:r>
        <w:rPr>
          <w:rFonts w:ascii="宋体" w:hAnsi="宋体"/>
          <w:sz w:val="24"/>
          <w:u w:val="single"/>
        </w:rPr>
        <w:t xml:space="preserve">        </w:t>
      </w:r>
      <w:r>
        <w:rPr>
          <w:rFonts w:ascii="宋体" w:hAnsi="宋体"/>
          <w:sz w:val="24"/>
        </w:rPr>
        <w:t>）已收悉，现澄清如下：</w:t>
      </w:r>
    </w:p>
    <w:p>
      <w:pPr>
        <w:spacing w:line="360" w:lineRule="auto"/>
        <w:ind w:firstLine="424" w:firstLineChars="177"/>
        <w:rPr>
          <w:rFonts w:ascii="宋体" w:hAnsi="宋体"/>
          <w:sz w:val="24"/>
        </w:rPr>
      </w:pPr>
      <w:r>
        <w:rPr>
          <w:rFonts w:ascii="宋体" w:hAnsi="宋体"/>
          <w:sz w:val="24"/>
        </w:rPr>
        <w:t>1.</w:t>
      </w:r>
    </w:p>
    <w:p>
      <w:pPr>
        <w:spacing w:line="360" w:lineRule="auto"/>
        <w:ind w:firstLine="424" w:firstLineChars="177"/>
        <w:rPr>
          <w:rFonts w:ascii="宋体" w:hAnsi="宋体"/>
          <w:sz w:val="24"/>
        </w:rPr>
      </w:pPr>
      <w:r>
        <w:rPr>
          <w:rFonts w:ascii="宋体" w:hAnsi="宋体"/>
          <w:sz w:val="24"/>
        </w:rPr>
        <w:t>2.</w:t>
      </w:r>
    </w:p>
    <w:p>
      <w:pPr>
        <w:spacing w:line="360" w:lineRule="auto"/>
        <w:ind w:firstLine="424" w:firstLineChars="177"/>
        <w:rPr>
          <w:rFonts w:ascii="宋体" w:hAnsi="宋体"/>
          <w:sz w:val="24"/>
        </w:rPr>
      </w:pPr>
      <w:r>
        <w:rPr>
          <w:rFonts w:ascii="宋体" w:hAnsi="宋体"/>
          <w:sz w:val="24"/>
        </w:rPr>
        <w:t>.....</w:t>
      </w:r>
    </w:p>
    <w:p>
      <w:pPr>
        <w:spacing w:line="360" w:lineRule="auto"/>
        <w:rPr>
          <w:rFonts w:ascii="宋体" w:hAnsi="宋体"/>
          <w:sz w:val="24"/>
        </w:rPr>
      </w:pPr>
      <w:r>
        <w:rPr>
          <w:rFonts w:ascii="宋体" w:hAnsi="宋体"/>
          <w:sz w:val="24"/>
        </w:rPr>
        <w:t xml:space="preserve">                       </w:t>
      </w:r>
    </w:p>
    <w:p>
      <w:pPr>
        <w:spacing w:line="360" w:lineRule="auto"/>
        <w:rPr>
          <w:rFonts w:ascii="宋体" w:hAnsi="宋体"/>
          <w:sz w:val="24"/>
        </w:rPr>
      </w:pPr>
      <w:r>
        <w:rPr>
          <w:rFonts w:ascii="宋体" w:hAnsi="宋体"/>
          <w:sz w:val="24"/>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before="156" w:beforeLines="50" w:after="156" w:afterLines="50" w:line="360" w:lineRule="auto"/>
        <w:jc w:val="right"/>
        <w:rPr>
          <w:rFonts w:hint="eastAsia" w:ascii="宋体" w:hAnsi="宋体"/>
          <w:sz w:val="24"/>
        </w:rPr>
      </w:pPr>
      <w:r>
        <w:rPr>
          <w:rFonts w:ascii="宋体" w:hAnsi="宋体"/>
          <w:sz w:val="24"/>
        </w:rPr>
        <w:t>投标人：</w:t>
      </w:r>
      <w:r>
        <w:rPr>
          <w:rFonts w:ascii="宋体" w:hAnsi="宋体"/>
          <w:sz w:val="24"/>
          <w:u w:val="single"/>
        </w:rPr>
        <w:t xml:space="preserve">                      </w:t>
      </w:r>
      <w:r>
        <w:rPr>
          <w:rFonts w:hint="eastAsia" w:ascii="宋体" w:hAnsi="宋体"/>
          <w:sz w:val="24"/>
          <w:u w:val="single"/>
        </w:rPr>
        <w:t xml:space="preserve">  </w:t>
      </w:r>
      <w:r>
        <w:rPr>
          <w:rFonts w:ascii="宋体" w:hAnsi="宋体"/>
          <w:sz w:val="24"/>
        </w:rPr>
        <w:t>（盖单位公章）</w:t>
      </w:r>
    </w:p>
    <w:p>
      <w:pPr>
        <w:spacing w:before="156" w:beforeLines="50" w:after="156" w:afterLines="50" w:line="360" w:lineRule="auto"/>
        <w:jc w:val="right"/>
        <w:rPr>
          <w:rFonts w:hint="eastAsia"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rPr>
        <w:t>（签字）</w:t>
      </w:r>
    </w:p>
    <w:p>
      <w:pPr>
        <w:spacing w:before="156" w:beforeLines="50" w:after="156" w:afterLines="50" w:line="360" w:lineRule="auto"/>
        <w:jc w:val="right"/>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360" w:lineRule="auto"/>
        <w:jc w:val="right"/>
        <w:rPr>
          <w:rFonts w:ascii="宋体" w:hAnsi="宋体"/>
          <w:sz w:val="24"/>
        </w:rPr>
      </w:pPr>
    </w:p>
    <w:p>
      <w:pPr>
        <w:spacing w:line="360" w:lineRule="auto"/>
        <w:rPr>
          <w:rFonts w:hint="eastAsia" w:ascii="宋体" w:hAnsi="宋体"/>
          <w:sz w:val="24"/>
        </w:rPr>
      </w:pPr>
      <w:r>
        <w:rPr>
          <w:rFonts w:ascii="宋体" w:hAnsi="宋体"/>
          <w:sz w:val="24"/>
        </w:rPr>
        <w:br w:type="page"/>
      </w:r>
    </w:p>
    <w:p>
      <w:pPr>
        <w:pStyle w:val="6"/>
        <w:numPr>
          <w:ilvl w:val="0"/>
          <w:numId w:val="1"/>
        </w:numPr>
        <w:spacing w:before="156" w:beforeLines="50" w:after="156" w:afterLines="50" w:line="360" w:lineRule="auto"/>
        <w:jc w:val="center"/>
        <w:rPr>
          <w:rFonts w:hint="eastAsia" w:ascii="宋体" w:hAnsi="宋体"/>
          <w:sz w:val="32"/>
          <w:szCs w:val="32"/>
        </w:rPr>
      </w:pPr>
      <w:bookmarkStart w:id="473" w:name="_Toc247527623"/>
      <w:bookmarkStart w:id="474" w:name="_Toc144974565"/>
      <w:bookmarkStart w:id="475" w:name="_Toc152045598"/>
      <w:bookmarkStart w:id="476" w:name="_Toc247514022"/>
      <w:bookmarkStart w:id="477" w:name="_Toc300835008"/>
      <w:bookmarkStart w:id="478" w:name="_Toc152042375"/>
      <w:r>
        <w:rPr>
          <w:rFonts w:hint="eastAsia" w:ascii="宋体" w:hAnsi="宋体"/>
          <w:sz w:val="32"/>
          <w:szCs w:val="32"/>
        </w:rPr>
        <w:t xml:space="preserve"> </w:t>
      </w:r>
      <w:r>
        <w:rPr>
          <w:rFonts w:ascii="宋体" w:hAnsi="宋体"/>
          <w:sz w:val="32"/>
          <w:szCs w:val="32"/>
        </w:rPr>
        <w:t xml:space="preserve"> </w:t>
      </w:r>
      <w:bookmarkStart w:id="479" w:name="_Toc43198898"/>
      <w:r>
        <w:rPr>
          <w:rFonts w:hint="eastAsia" w:ascii="宋体" w:hAnsi="宋体"/>
          <w:sz w:val="32"/>
          <w:szCs w:val="32"/>
        </w:rPr>
        <w:t>评标办法（综合评标法）</w:t>
      </w:r>
      <w:bookmarkEnd w:id="473"/>
      <w:bookmarkEnd w:id="474"/>
      <w:bookmarkEnd w:id="475"/>
      <w:bookmarkEnd w:id="476"/>
      <w:bookmarkEnd w:id="477"/>
      <w:bookmarkEnd w:id="478"/>
      <w:bookmarkEnd w:id="479"/>
      <w:bookmarkStart w:id="480" w:name="_Toc152042376"/>
      <w:bookmarkStart w:id="481" w:name="_Toc247527624"/>
      <w:bookmarkStart w:id="482" w:name="_Toc144974566"/>
      <w:bookmarkStart w:id="483" w:name="_Toc152045599"/>
      <w:bookmarkStart w:id="484" w:name="_Toc247514023"/>
    </w:p>
    <w:bookmarkEnd w:id="480"/>
    <w:bookmarkEnd w:id="481"/>
    <w:bookmarkEnd w:id="482"/>
    <w:bookmarkEnd w:id="483"/>
    <w:bookmarkEnd w:id="484"/>
    <w:p>
      <w:pPr>
        <w:snapToGrid w:val="0"/>
        <w:spacing w:line="360" w:lineRule="auto"/>
        <w:jc w:val="center"/>
        <w:rPr>
          <w:rFonts w:hint="eastAsia" w:ascii="宋体" w:hAnsi="宋体" w:cs="宋体"/>
          <w:sz w:val="24"/>
        </w:rPr>
      </w:pPr>
      <w:r>
        <w:rPr>
          <w:rFonts w:hint="eastAsia" w:ascii="宋体" w:hAnsi="宋体" w:cs="新宋体"/>
          <w:b/>
          <w:bCs/>
          <w:sz w:val="24"/>
        </w:rPr>
        <w:t>评标依据：《河南省建设工程工程量清单招标评标办法》( 豫建〔2018〕161号)。</w:t>
      </w:r>
    </w:p>
    <w:p>
      <w:pPr>
        <w:numPr>
          <w:ilvl w:val="0"/>
          <w:numId w:val="42"/>
        </w:numPr>
        <w:spacing w:line="360" w:lineRule="auto"/>
        <w:rPr>
          <w:rFonts w:hint="eastAsia" w:ascii="宋体" w:hAnsi="宋体" w:cs="宋体"/>
          <w:sz w:val="24"/>
          <w:szCs w:val="22"/>
        </w:rPr>
      </w:pPr>
      <w:r>
        <w:rPr>
          <w:rFonts w:hint="eastAsia" w:ascii="宋体" w:hAnsi="宋体" w:cs="宋体"/>
          <w:sz w:val="24"/>
          <w:szCs w:val="22"/>
        </w:rPr>
        <w:t>评标应遵循公正、公平、择优的原则严格按照招标文件进行。</w:t>
      </w:r>
    </w:p>
    <w:p>
      <w:pPr>
        <w:numPr>
          <w:ilvl w:val="0"/>
          <w:numId w:val="42"/>
        </w:numPr>
        <w:spacing w:line="360" w:lineRule="auto"/>
        <w:rPr>
          <w:rFonts w:hint="eastAsia" w:ascii="宋体" w:hAnsi="宋体" w:cs="宋体"/>
          <w:sz w:val="24"/>
          <w:szCs w:val="22"/>
        </w:rPr>
      </w:pPr>
      <w:r>
        <w:rPr>
          <w:rFonts w:hint="eastAsia" w:ascii="宋体" w:hAnsi="宋体" w:cs="宋体"/>
          <w:sz w:val="24"/>
          <w:szCs w:val="22"/>
        </w:rPr>
        <w:t>评标由招标人依法组建的评标委员会负责，评标委员会构成：</w:t>
      </w:r>
      <w:r>
        <w:rPr>
          <w:rFonts w:ascii="宋体" w:hAnsi="宋体" w:cs="宋体"/>
          <w:sz w:val="24"/>
          <w:szCs w:val="22"/>
        </w:rPr>
        <w:t>7</w:t>
      </w:r>
      <w:r>
        <w:rPr>
          <w:rFonts w:hint="eastAsia" w:ascii="宋体" w:hAnsi="宋体" w:cs="宋体"/>
          <w:sz w:val="24"/>
          <w:szCs w:val="22"/>
        </w:rPr>
        <w:t>人，从河南省综合评标专家库中随机抽取</w:t>
      </w:r>
      <w:r>
        <w:rPr>
          <w:rFonts w:hint="eastAsia" w:ascii="宋体" w:hAnsi="宋体" w:cs="宋体"/>
          <w:sz w:val="24"/>
          <w:szCs w:val="22"/>
          <w:lang w:val="en-US" w:eastAsia="zh-CN"/>
        </w:rPr>
        <w:t>6</w:t>
      </w:r>
      <w:r>
        <w:rPr>
          <w:rFonts w:hint="eastAsia" w:ascii="宋体" w:hAnsi="宋体" w:cs="宋体"/>
          <w:sz w:val="24"/>
          <w:szCs w:val="22"/>
        </w:rPr>
        <w:t>人和招标人代表</w:t>
      </w:r>
      <w:r>
        <w:rPr>
          <w:rFonts w:hint="eastAsia" w:ascii="宋体" w:hAnsi="宋体" w:cs="宋体"/>
          <w:sz w:val="24"/>
          <w:szCs w:val="22"/>
          <w:lang w:val="en-US" w:eastAsia="zh-CN"/>
        </w:rPr>
        <w:t>1</w:t>
      </w:r>
      <w:r>
        <w:rPr>
          <w:rFonts w:hint="eastAsia" w:ascii="宋体" w:hAnsi="宋体" w:cs="宋体"/>
          <w:sz w:val="24"/>
          <w:szCs w:val="22"/>
        </w:rPr>
        <w:t>人。评标委员会主任从</w:t>
      </w:r>
      <w:r>
        <w:rPr>
          <w:rFonts w:ascii="宋体" w:hAnsi="宋体" w:cs="宋体"/>
          <w:sz w:val="24"/>
          <w:szCs w:val="22"/>
        </w:rPr>
        <w:t>5</w:t>
      </w:r>
      <w:r>
        <w:rPr>
          <w:rFonts w:hint="eastAsia" w:ascii="宋体" w:hAnsi="宋体" w:cs="宋体"/>
          <w:sz w:val="24"/>
          <w:szCs w:val="22"/>
        </w:rPr>
        <w:t>名随机抽取的评标专家中产生，与投标人有利害关系的专家不得进入评标委员会。</w:t>
      </w:r>
    </w:p>
    <w:p>
      <w:pPr>
        <w:numPr>
          <w:ilvl w:val="0"/>
          <w:numId w:val="42"/>
        </w:numPr>
        <w:spacing w:line="360" w:lineRule="auto"/>
        <w:rPr>
          <w:rFonts w:hint="eastAsia" w:ascii="宋体" w:hAnsi="宋体" w:cs="宋体"/>
          <w:sz w:val="24"/>
          <w:szCs w:val="22"/>
        </w:rPr>
      </w:pPr>
      <w:r>
        <w:rPr>
          <w:rFonts w:hint="eastAsia" w:ascii="宋体" w:hAnsi="宋体" w:cs="宋体"/>
          <w:sz w:val="24"/>
          <w:szCs w:val="22"/>
        </w:rPr>
        <w:t>评标采用综合计分法，是指评标委员会根据招标文件要求，应从技术标、商务标、综合标三部分进行综合评审。</w:t>
      </w:r>
    </w:p>
    <w:p>
      <w:pPr>
        <w:numPr>
          <w:ilvl w:val="0"/>
          <w:numId w:val="42"/>
        </w:numPr>
        <w:spacing w:line="360" w:lineRule="auto"/>
        <w:rPr>
          <w:rFonts w:hint="eastAsia" w:ascii="宋体" w:hAnsi="宋体" w:cs="宋体"/>
          <w:sz w:val="24"/>
          <w:szCs w:val="22"/>
        </w:rPr>
      </w:pPr>
      <w:r>
        <w:rPr>
          <w:rFonts w:hint="eastAsia" w:ascii="宋体" w:hAnsi="宋体" w:cs="宋体"/>
          <w:sz w:val="24"/>
          <w:szCs w:val="22"/>
        </w:rPr>
        <w:t>评标程序为：</w:t>
      </w:r>
    </w:p>
    <w:p>
      <w:pPr>
        <w:spacing w:line="360" w:lineRule="auto"/>
        <w:ind w:firstLine="480" w:firstLineChars="200"/>
        <w:rPr>
          <w:rFonts w:hint="eastAsia" w:ascii="宋体" w:hAnsi="宋体" w:cs="宋体"/>
          <w:sz w:val="24"/>
          <w:szCs w:val="22"/>
        </w:rPr>
      </w:pPr>
      <w:r>
        <w:rPr>
          <w:rFonts w:hint="eastAsia" w:ascii="宋体" w:hAnsi="宋体" w:cs="宋体"/>
          <w:sz w:val="24"/>
          <w:szCs w:val="22"/>
        </w:rPr>
        <w:t>（一）初步评审；</w:t>
      </w:r>
    </w:p>
    <w:p>
      <w:pPr>
        <w:spacing w:line="360" w:lineRule="auto"/>
        <w:ind w:firstLine="480" w:firstLineChars="200"/>
        <w:rPr>
          <w:rFonts w:hint="eastAsia" w:ascii="宋体" w:hAnsi="宋体" w:cs="宋体"/>
          <w:sz w:val="24"/>
          <w:szCs w:val="22"/>
        </w:rPr>
      </w:pPr>
      <w:r>
        <w:rPr>
          <w:rFonts w:hint="eastAsia" w:ascii="宋体" w:hAnsi="宋体" w:cs="宋体"/>
          <w:sz w:val="24"/>
          <w:szCs w:val="22"/>
        </w:rPr>
        <w:t>（二）详细评审；</w:t>
      </w:r>
    </w:p>
    <w:p>
      <w:pPr>
        <w:spacing w:line="360" w:lineRule="auto"/>
        <w:ind w:firstLine="480" w:firstLineChars="200"/>
        <w:rPr>
          <w:rFonts w:hint="eastAsia" w:ascii="宋体" w:hAnsi="宋体" w:cs="宋体"/>
          <w:sz w:val="24"/>
          <w:szCs w:val="22"/>
        </w:rPr>
      </w:pPr>
      <w:r>
        <w:rPr>
          <w:rFonts w:hint="eastAsia" w:ascii="宋体" w:hAnsi="宋体" w:cs="宋体"/>
          <w:sz w:val="24"/>
          <w:szCs w:val="22"/>
        </w:rPr>
        <w:t>（三）问题的澄清、说明或补正；</w:t>
      </w:r>
    </w:p>
    <w:p>
      <w:pPr>
        <w:spacing w:line="360" w:lineRule="auto"/>
        <w:ind w:firstLine="480" w:firstLineChars="200"/>
        <w:rPr>
          <w:rFonts w:hint="eastAsia" w:ascii="宋体" w:hAnsi="宋体" w:cs="宋体"/>
          <w:sz w:val="24"/>
          <w:szCs w:val="22"/>
        </w:rPr>
      </w:pPr>
      <w:r>
        <w:rPr>
          <w:rFonts w:hint="eastAsia" w:ascii="宋体" w:hAnsi="宋体" w:cs="宋体"/>
          <w:sz w:val="24"/>
          <w:szCs w:val="22"/>
        </w:rPr>
        <w:t>（四）推荐中标候选人；</w:t>
      </w:r>
    </w:p>
    <w:p>
      <w:pPr>
        <w:spacing w:line="360" w:lineRule="auto"/>
        <w:ind w:firstLine="480" w:firstLineChars="200"/>
        <w:rPr>
          <w:rFonts w:hint="eastAsia" w:ascii="宋体" w:hAnsi="宋体" w:cs="宋体"/>
          <w:sz w:val="24"/>
          <w:szCs w:val="22"/>
        </w:rPr>
      </w:pPr>
      <w:r>
        <w:rPr>
          <w:rFonts w:hint="eastAsia" w:ascii="宋体" w:hAnsi="宋体" w:cs="宋体"/>
          <w:sz w:val="24"/>
          <w:szCs w:val="22"/>
        </w:rPr>
        <w:t>（五）评标现场宣布中标候选人确定结果并在指定媒体上进行公示。</w:t>
      </w:r>
    </w:p>
    <w:p>
      <w:pPr>
        <w:numPr>
          <w:ilvl w:val="0"/>
          <w:numId w:val="42"/>
        </w:numPr>
        <w:spacing w:line="360" w:lineRule="auto"/>
        <w:rPr>
          <w:rFonts w:hint="eastAsia" w:ascii="宋体" w:hAnsi="宋体" w:cs="宋体"/>
          <w:b/>
          <w:bCs/>
          <w:sz w:val="24"/>
          <w:szCs w:val="22"/>
        </w:rPr>
      </w:pPr>
      <w:r>
        <w:rPr>
          <w:rFonts w:hint="eastAsia" w:ascii="宋体" w:hAnsi="宋体" w:cs="宋体"/>
          <w:b/>
          <w:bCs/>
          <w:sz w:val="24"/>
          <w:szCs w:val="22"/>
        </w:rPr>
        <w:t>初步评审</w:t>
      </w:r>
    </w:p>
    <w:p>
      <w:pPr>
        <w:spacing w:line="360" w:lineRule="auto"/>
        <w:ind w:firstLine="480" w:firstLineChars="200"/>
        <w:rPr>
          <w:rFonts w:hint="eastAsia" w:ascii="宋体" w:hAnsi="宋体" w:cs="宋体"/>
          <w:sz w:val="24"/>
        </w:rPr>
      </w:pPr>
      <w:r>
        <w:rPr>
          <w:rFonts w:hint="eastAsia" w:ascii="宋体" w:hAnsi="宋体" w:cs="宋体"/>
          <w:sz w:val="24"/>
        </w:rPr>
        <w:t xml:space="preserve">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初步评审主要包括以下内容：  </w:t>
      </w:r>
    </w:p>
    <w:p>
      <w:pPr>
        <w:numPr>
          <w:ilvl w:val="0"/>
          <w:numId w:val="43"/>
        </w:numPr>
        <w:spacing w:line="360" w:lineRule="auto"/>
        <w:ind w:firstLine="426"/>
        <w:rPr>
          <w:rFonts w:hint="eastAsia" w:ascii="宋体" w:hAnsi="宋体" w:cs="宋体"/>
          <w:sz w:val="24"/>
        </w:rPr>
      </w:pPr>
      <w:r>
        <w:rPr>
          <w:rFonts w:hint="eastAsia" w:ascii="宋体" w:hAnsi="宋体" w:cs="宋体"/>
          <w:sz w:val="24"/>
        </w:rPr>
        <w:t>电子投标文件是否按招标文件要求签字盖章（无需逐页签字盖章）；</w:t>
      </w:r>
    </w:p>
    <w:p>
      <w:pPr>
        <w:numPr>
          <w:ilvl w:val="0"/>
          <w:numId w:val="43"/>
        </w:numPr>
        <w:spacing w:line="360" w:lineRule="auto"/>
        <w:ind w:firstLine="426"/>
        <w:rPr>
          <w:rFonts w:hint="eastAsia" w:ascii="宋体" w:hAnsi="宋体" w:cs="宋体"/>
          <w:sz w:val="24"/>
        </w:rPr>
      </w:pPr>
      <w:r>
        <w:rPr>
          <w:rFonts w:hint="eastAsia" w:ascii="宋体" w:hAnsi="宋体" w:cs="宋体"/>
          <w:sz w:val="24"/>
        </w:rPr>
        <w:t>投标联合体是否提交共同投标协议（允许联合体投标的）；</w:t>
      </w:r>
    </w:p>
    <w:p>
      <w:pPr>
        <w:numPr>
          <w:ilvl w:val="0"/>
          <w:numId w:val="43"/>
        </w:numPr>
        <w:spacing w:line="360" w:lineRule="auto"/>
        <w:ind w:firstLine="426"/>
        <w:rPr>
          <w:rFonts w:hint="eastAsia" w:ascii="宋体" w:hAnsi="宋体" w:cs="宋体"/>
          <w:sz w:val="24"/>
        </w:rPr>
      </w:pPr>
      <w:r>
        <w:rPr>
          <w:rFonts w:hint="eastAsia" w:ascii="宋体" w:hAnsi="宋体" w:cs="宋体"/>
          <w:sz w:val="24"/>
        </w:rPr>
        <w:t>投标人是否符合国家或者招标文件规定的资格条件，注册建造师注册单位与投标人是否一致；</w:t>
      </w:r>
    </w:p>
    <w:p>
      <w:pPr>
        <w:numPr>
          <w:ilvl w:val="0"/>
          <w:numId w:val="43"/>
        </w:numPr>
        <w:spacing w:line="360" w:lineRule="auto"/>
        <w:ind w:firstLine="426"/>
        <w:rPr>
          <w:rFonts w:hint="eastAsia" w:ascii="宋体" w:hAnsi="宋体" w:cs="宋体"/>
          <w:sz w:val="24"/>
        </w:rPr>
      </w:pPr>
      <w:r>
        <w:rPr>
          <w:rFonts w:hint="eastAsia" w:ascii="宋体" w:hAnsi="宋体" w:cs="宋体"/>
          <w:sz w:val="24"/>
        </w:rPr>
        <w:t xml:space="preserve">同一投标人是否提交两个以上不同的投标文件或者投标报价，但招标文件要求提交备选投标的除外； </w:t>
      </w:r>
    </w:p>
    <w:p>
      <w:pPr>
        <w:numPr>
          <w:ilvl w:val="0"/>
          <w:numId w:val="43"/>
        </w:numPr>
        <w:spacing w:line="360" w:lineRule="auto"/>
        <w:ind w:firstLine="426"/>
        <w:rPr>
          <w:rFonts w:hint="eastAsia" w:ascii="宋体" w:hAnsi="宋体" w:cs="宋体"/>
          <w:sz w:val="24"/>
        </w:rPr>
      </w:pPr>
      <w:r>
        <w:rPr>
          <w:rFonts w:hint="eastAsia" w:ascii="宋体" w:hAnsi="宋体" w:cs="宋体"/>
          <w:sz w:val="24"/>
        </w:rPr>
        <w:t>投标报价是否高于招标文件设定的最高投标限价；</w:t>
      </w:r>
    </w:p>
    <w:p>
      <w:pPr>
        <w:numPr>
          <w:ilvl w:val="0"/>
          <w:numId w:val="43"/>
        </w:numPr>
        <w:spacing w:line="360" w:lineRule="auto"/>
        <w:ind w:firstLine="426"/>
        <w:rPr>
          <w:rFonts w:hint="eastAsia" w:ascii="宋体" w:hAnsi="宋体" w:cs="宋体"/>
          <w:sz w:val="24"/>
        </w:rPr>
      </w:pPr>
      <w:r>
        <w:rPr>
          <w:rFonts w:hint="eastAsia" w:ascii="宋体" w:hAnsi="宋体" w:cs="宋体"/>
          <w:sz w:val="24"/>
        </w:rPr>
        <w:t>投标范围、工期、工程质量、投标有效期、付款方式是否符合招标文件规定；</w:t>
      </w:r>
    </w:p>
    <w:p>
      <w:pPr>
        <w:numPr>
          <w:ilvl w:val="0"/>
          <w:numId w:val="43"/>
        </w:numPr>
        <w:spacing w:line="360" w:lineRule="auto"/>
        <w:ind w:firstLine="426"/>
        <w:rPr>
          <w:rFonts w:hint="eastAsia" w:ascii="宋体" w:hAnsi="宋体" w:cs="宋体"/>
          <w:sz w:val="24"/>
        </w:rPr>
      </w:pPr>
      <w:r>
        <w:rPr>
          <w:rFonts w:hint="eastAsia" w:ascii="宋体" w:hAnsi="宋体" w:cs="宋体"/>
          <w:sz w:val="24"/>
        </w:rPr>
        <w:t>投标人是否有串通投标、弄虚作假、行贿等违法行为。</w:t>
      </w:r>
    </w:p>
    <w:p>
      <w:pPr>
        <w:numPr>
          <w:ilvl w:val="0"/>
          <w:numId w:val="43"/>
        </w:numPr>
        <w:spacing w:line="360" w:lineRule="auto"/>
        <w:ind w:firstLine="426"/>
        <w:rPr>
          <w:rFonts w:ascii="宋体" w:hAnsi="宋体"/>
        </w:rPr>
      </w:pPr>
      <w:r>
        <w:rPr>
          <w:rFonts w:hint="eastAsia" w:ascii="宋体" w:hAnsi="宋体"/>
          <w:sz w:val="24"/>
        </w:rPr>
        <w:t>是否按规定缴纳投标保证金。</w:t>
      </w:r>
    </w:p>
    <w:p>
      <w:pPr>
        <w:numPr>
          <w:ilvl w:val="0"/>
          <w:numId w:val="43"/>
        </w:numPr>
        <w:spacing w:line="360" w:lineRule="auto"/>
        <w:ind w:firstLine="426"/>
        <w:rPr>
          <w:rFonts w:hint="eastAsia" w:ascii="宋体" w:hAnsi="宋体" w:cs="宋体"/>
          <w:sz w:val="24"/>
        </w:rPr>
      </w:pPr>
      <w:r>
        <w:rPr>
          <w:rFonts w:hint="eastAsia" w:ascii="宋体" w:hAnsi="宋体" w:cs="宋体"/>
          <w:sz w:val="24"/>
        </w:rPr>
        <w:t>评标委员会在评标过程中，发现投标文件中除不符合法律法规规定的情形外，还存在下列情况之一的，也可按否决投标处理。</w:t>
      </w:r>
    </w:p>
    <w:p>
      <w:pPr>
        <w:numPr>
          <w:ilvl w:val="0"/>
          <w:numId w:val="44"/>
        </w:numPr>
        <w:spacing w:line="360" w:lineRule="auto"/>
        <w:rPr>
          <w:rFonts w:hint="eastAsia" w:ascii="宋体" w:hAnsi="宋体" w:cs="宋体"/>
          <w:sz w:val="24"/>
        </w:rPr>
      </w:pPr>
      <w:r>
        <w:rPr>
          <w:rFonts w:hint="eastAsia" w:ascii="宋体" w:hAnsi="宋体" w:cs="宋体"/>
          <w:sz w:val="24"/>
        </w:rPr>
        <w:t>未按招标文件规定编制各项报价的；</w:t>
      </w:r>
    </w:p>
    <w:p>
      <w:pPr>
        <w:pStyle w:val="2"/>
        <w:numPr>
          <w:ilvl w:val="0"/>
          <w:numId w:val="44"/>
        </w:numPr>
        <w:spacing w:line="360" w:lineRule="auto"/>
        <w:rPr>
          <w:rFonts w:hint="eastAsia" w:ascii="宋体" w:hAnsi="宋体"/>
        </w:rPr>
      </w:pPr>
      <w:r>
        <w:rPr>
          <w:rFonts w:hint="eastAsia" w:ascii="宋体" w:hAnsi="宋体" w:cs="宋体"/>
          <w:sz w:val="24"/>
        </w:rPr>
        <w:t>投标报价与其组成部分、工程量清单项目合价与综合单价、综合单价与人材机用量相互矛盾，致使评标委员会无法正常评审判定的；</w:t>
      </w:r>
    </w:p>
    <w:p>
      <w:pPr>
        <w:numPr>
          <w:ilvl w:val="0"/>
          <w:numId w:val="44"/>
        </w:numPr>
        <w:spacing w:line="360" w:lineRule="auto"/>
        <w:rPr>
          <w:rFonts w:hint="eastAsia" w:ascii="宋体" w:hAnsi="宋体" w:cs="宋体"/>
          <w:sz w:val="24"/>
        </w:rPr>
      </w:pPr>
      <w:r>
        <w:rPr>
          <w:rFonts w:hint="eastAsia" w:ascii="宋体" w:hAnsi="宋体" w:cs="宋体"/>
          <w:sz w:val="24"/>
        </w:rPr>
        <w:t>规费和安全文明施工费违反工程造价计价有关规定的；</w:t>
      </w:r>
    </w:p>
    <w:p>
      <w:pPr>
        <w:numPr>
          <w:ilvl w:val="0"/>
          <w:numId w:val="44"/>
        </w:numPr>
        <w:spacing w:line="360" w:lineRule="auto"/>
        <w:rPr>
          <w:rFonts w:hint="eastAsia" w:ascii="宋体" w:hAnsi="宋体" w:cs="宋体"/>
          <w:sz w:val="24"/>
        </w:rPr>
      </w:pPr>
      <w:r>
        <w:rPr>
          <w:rFonts w:hint="eastAsia" w:ascii="宋体" w:hAnsi="宋体" w:cs="宋体"/>
          <w:sz w:val="24"/>
        </w:rPr>
        <w:t>分部分项工程项目、措施项目报价中的项目编码、项目名称、项目特征、计量单位和工程量与招标文件的清单不一致的；</w:t>
      </w:r>
    </w:p>
    <w:p>
      <w:pPr>
        <w:numPr>
          <w:ilvl w:val="0"/>
          <w:numId w:val="44"/>
        </w:numPr>
        <w:spacing w:line="360" w:lineRule="auto"/>
        <w:rPr>
          <w:rFonts w:hint="eastAsia" w:ascii="宋体" w:hAnsi="宋体" w:cs="宋体"/>
          <w:sz w:val="24"/>
        </w:rPr>
      </w:pPr>
      <w:r>
        <w:rPr>
          <w:rFonts w:hint="eastAsia" w:ascii="宋体" w:hAnsi="宋体" w:cs="宋体"/>
          <w:sz w:val="24"/>
        </w:rPr>
        <w:t>未按照招标文件所列明的暂列金额、暂估价编制投标报价的；</w:t>
      </w:r>
    </w:p>
    <w:p>
      <w:pPr>
        <w:numPr>
          <w:ilvl w:val="0"/>
          <w:numId w:val="44"/>
        </w:numPr>
        <w:spacing w:line="360" w:lineRule="auto"/>
        <w:rPr>
          <w:rFonts w:hint="eastAsia" w:ascii="宋体" w:hAnsi="宋体" w:cs="宋体"/>
          <w:sz w:val="24"/>
        </w:rPr>
      </w:pPr>
      <w:r>
        <w:rPr>
          <w:rFonts w:hint="eastAsia" w:ascii="宋体" w:hAnsi="宋体" w:cs="宋体"/>
          <w:sz w:val="24"/>
        </w:rPr>
        <w:t>住房和城乡建设部《标准施工招标文件》规定的其他否决投标条件。</w:t>
      </w:r>
    </w:p>
    <w:p>
      <w:pPr>
        <w:spacing w:line="480" w:lineRule="exact"/>
        <w:ind w:firstLine="480" w:firstLineChars="200"/>
        <w:rPr>
          <w:rFonts w:hint="eastAsia" w:hAnsi="宋体" w:cs="宋体"/>
          <w:sz w:val="24"/>
          <w:szCs w:val="24"/>
        </w:rPr>
      </w:pPr>
      <w:r>
        <w:rPr>
          <w:rFonts w:hint="eastAsia" w:hAnsi="宋体" w:cs="宋体"/>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26" w:firstLineChars="177"/>
        <w:rPr>
          <w:rFonts w:hint="eastAsia" w:ascii="宋体" w:hAnsi="宋体" w:cs="宋体"/>
          <w:b/>
        </w:rPr>
      </w:pPr>
      <w:r>
        <w:rPr>
          <w:rFonts w:hint="eastAsia" w:ascii="宋体" w:hAnsi="宋体" w:cs="宋体"/>
          <w:b/>
          <w:sz w:val="24"/>
          <w:szCs w:val="22"/>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numPr>
          <w:ilvl w:val="0"/>
          <w:numId w:val="43"/>
        </w:numPr>
        <w:spacing w:line="360" w:lineRule="auto"/>
        <w:ind w:firstLine="426"/>
        <w:rPr>
          <w:rFonts w:ascii="宋体" w:hAnsi="宋体" w:cs="宋体"/>
          <w:b/>
          <w:bCs/>
          <w:sz w:val="24"/>
        </w:rPr>
      </w:pPr>
      <w:r>
        <w:rPr>
          <w:rFonts w:hint="eastAsia" w:ascii="宋体" w:hAnsi="宋体" w:cs="宋体"/>
          <w:b/>
          <w:bCs/>
          <w:sz w:val="24"/>
        </w:rPr>
        <w:t>商务标清标内容</w:t>
      </w:r>
    </w:p>
    <w:tbl>
      <w:tblPr>
        <w:tblStyle w:val="13"/>
        <w:tblW w:w="10254" w:type="dxa"/>
        <w:jc w:val="center"/>
        <w:tblLayout w:type="fixed"/>
        <w:tblCellMar>
          <w:top w:w="0" w:type="dxa"/>
          <w:left w:w="108" w:type="dxa"/>
          <w:bottom w:w="0" w:type="dxa"/>
          <w:right w:w="108" w:type="dxa"/>
        </w:tblCellMar>
      </w:tblPr>
      <w:tblGrid>
        <w:gridCol w:w="387"/>
        <w:gridCol w:w="660"/>
        <w:gridCol w:w="3875"/>
        <w:gridCol w:w="3859"/>
        <w:gridCol w:w="722"/>
        <w:gridCol w:w="751"/>
      </w:tblGrid>
      <w:tr>
        <w:tblPrEx>
          <w:tblCellMar>
            <w:top w:w="0" w:type="dxa"/>
            <w:left w:w="108" w:type="dxa"/>
            <w:bottom w:w="0" w:type="dxa"/>
            <w:right w:w="108" w:type="dxa"/>
          </w:tblCellMar>
        </w:tblPrEx>
        <w:trPr>
          <w:trHeight w:val="282" w:hRule="atLeast"/>
          <w:jc w:val="center"/>
        </w:trPr>
        <w:tc>
          <w:tcPr>
            <w:tcW w:w="1047" w:type="dxa"/>
            <w:gridSpan w:val="2"/>
            <w:vMerge w:val="restart"/>
            <w:tcBorders>
              <w:top w:val="single" w:color="auto" w:sz="12" w:space="0"/>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b/>
                <w:bCs/>
                <w:sz w:val="24"/>
              </w:rPr>
            </w:pPr>
            <w:r>
              <w:rPr>
                <w:rFonts w:hint="eastAsia" w:ascii="宋体" w:hAnsi="宋体"/>
                <w:b/>
                <w:bCs/>
                <w:sz w:val="24"/>
              </w:rPr>
              <w:t>序号</w:t>
            </w:r>
          </w:p>
        </w:tc>
        <w:tc>
          <w:tcPr>
            <w:tcW w:w="3875" w:type="dxa"/>
            <w:vMerge w:val="restart"/>
            <w:tcBorders>
              <w:top w:val="single" w:color="auto" w:sz="12" w:space="0"/>
              <w:left w:val="nil"/>
              <w:bottom w:val="single" w:color="auto" w:sz="4" w:space="0"/>
              <w:right w:val="single" w:color="auto" w:sz="4" w:space="0"/>
            </w:tcBorders>
            <w:noWrap w:val="0"/>
            <w:vAlign w:val="center"/>
          </w:tcPr>
          <w:p>
            <w:pPr>
              <w:spacing w:line="360" w:lineRule="auto"/>
              <w:jc w:val="center"/>
              <w:rPr>
                <w:rFonts w:hint="eastAsia" w:ascii="宋体" w:hAnsi="宋体"/>
                <w:b/>
                <w:bCs/>
                <w:sz w:val="24"/>
              </w:rPr>
            </w:pPr>
            <w:r>
              <w:rPr>
                <w:rFonts w:hint="eastAsia" w:ascii="宋体" w:hAnsi="宋体"/>
                <w:b/>
                <w:bCs/>
                <w:sz w:val="24"/>
              </w:rPr>
              <w:t>清标项目</w:t>
            </w:r>
          </w:p>
        </w:tc>
        <w:tc>
          <w:tcPr>
            <w:tcW w:w="3859" w:type="dxa"/>
            <w:vMerge w:val="restart"/>
            <w:tcBorders>
              <w:top w:val="single" w:color="auto" w:sz="12" w:space="0"/>
              <w:left w:val="nil"/>
              <w:bottom w:val="single" w:color="auto" w:sz="4" w:space="0"/>
              <w:right w:val="single" w:color="auto" w:sz="4" w:space="0"/>
            </w:tcBorders>
            <w:noWrap w:val="0"/>
            <w:vAlign w:val="center"/>
          </w:tcPr>
          <w:p>
            <w:pPr>
              <w:spacing w:line="360" w:lineRule="auto"/>
              <w:jc w:val="center"/>
              <w:rPr>
                <w:rFonts w:hint="eastAsia" w:ascii="宋体" w:hAnsi="宋体"/>
                <w:b/>
                <w:bCs/>
                <w:sz w:val="24"/>
              </w:rPr>
            </w:pPr>
            <w:r>
              <w:rPr>
                <w:rFonts w:hint="eastAsia" w:ascii="宋体" w:hAnsi="宋体"/>
                <w:b/>
                <w:bCs/>
                <w:sz w:val="24"/>
              </w:rPr>
              <w:t>清标内容</w:t>
            </w:r>
          </w:p>
        </w:tc>
        <w:tc>
          <w:tcPr>
            <w:tcW w:w="1473" w:type="dxa"/>
            <w:gridSpan w:val="2"/>
            <w:tcBorders>
              <w:top w:val="single" w:color="auto" w:sz="12" w:space="0"/>
              <w:left w:val="nil"/>
              <w:bottom w:val="single" w:color="auto" w:sz="4" w:space="0"/>
              <w:right w:val="single" w:color="auto" w:sz="12" w:space="0"/>
            </w:tcBorders>
            <w:noWrap w:val="0"/>
            <w:vAlign w:val="center"/>
          </w:tcPr>
          <w:p>
            <w:pPr>
              <w:spacing w:line="360" w:lineRule="auto"/>
              <w:jc w:val="center"/>
              <w:rPr>
                <w:rFonts w:hint="eastAsia" w:ascii="宋体" w:hAnsi="宋体"/>
                <w:b/>
                <w:bCs/>
                <w:sz w:val="24"/>
              </w:rPr>
            </w:pPr>
            <w:r>
              <w:rPr>
                <w:rFonts w:hint="eastAsia" w:ascii="宋体" w:hAnsi="宋体"/>
                <w:b/>
                <w:bCs/>
                <w:sz w:val="24"/>
              </w:rPr>
              <w:t>清标结果</w:t>
            </w:r>
          </w:p>
        </w:tc>
      </w:tr>
      <w:tr>
        <w:tblPrEx>
          <w:tblCellMar>
            <w:top w:w="0" w:type="dxa"/>
            <w:left w:w="108" w:type="dxa"/>
            <w:bottom w:w="0" w:type="dxa"/>
            <w:right w:w="108" w:type="dxa"/>
          </w:tblCellMar>
        </w:tblPrEx>
        <w:trPr>
          <w:trHeight w:val="204" w:hRule="atLeast"/>
          <w:jc w:val="center"/>
        </w:trPr>
        <w:tc>
          <w:tcPr>
            <w:tcW w:w="1047"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b/>
                <w:bCs/>
                <w:sz w:val="24"/>
              </w:rPr>
            </w:pPr>
          </w:p>
        </w:tc>
        <w:tc>
          <w:tcPr>
            <w:tcW w:w="3875" w:type="dxa"/>
            <w:vMerge w:val="continue"/>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b/>
                <w:bCs/>
                <w:sz w:val="24"/>
              </w:rPr>
            </w:pPr>
          </w:p>
        </w:tc>
        <w:tc>
          <w:tcPr>
            <w:tcW w:w="3859" w:type="dxa"/>
            <w:vMerge w:val="continue"/>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b/>
                <w:bCs/>
                <w:sz w:val="24"/>
              </w:rPr>
            </w:pP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b/>
                <w:bCs/>
                <w:sz w:val="24"/>
              </w:rPr>
            </w:pPr>
            <w:r>
              <w:rPr>
                <w:rFonts w:hint="eastAsia" w:ascii="宋体" w:hAnsi="宋体"/>
                <w:b/>
                <w:bCs/>
                <w:sz w:val="24"/>
              </w:rPr>
              <w:t>是</w:t>
            </w: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b/>
                <w:bCs/>
                <w:sz w:val="24"/>
              </w:rPr>
            </w:pPr>
            <w:r>
              <w:rPr>
                <w:rFonts w:hint="eastAsia" w:ascii="宋体" w:hAnsi="宋体"/>
                <w:b/>
                <w:bCs/>
                <w:sz w:val="24"/>
              </w:rPr>
              <w:t>否</w:t>
            </w:r>
          </w:p>
        </w:tc>
      </w:tr>
      <w:tr>
        <w:tblPrEx>
          <w:tblCellMar>
            <w:top w:w="0" w:type="dxa"/>
            <w:left w:w="108" w:type="dxa"/>
            <w:bottom w:w="0" w:type="dxa"/>
            <w:right w:w="108" w:type="dxa"/>
          </w:tblCellMar>
        </w:tblPrEx>
        <w:trPr>
          <w:trHeight w:val="539" w:hRule="atLeast"/>
          <w:jc w:val="center"/>
        </w:trPr>
        <w:tc>
          <w:tcPr>
            <w:tcW w:w="387" w:type="dxa"/>
            <w:vMerge w:val="restart"/>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1</w:t>
            </w: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1.1</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项目总报价</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是否等于各单项工程造价之和</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539" w:hRule="atLeas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1.2</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单项工程费</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是否等于各单位工程造价之和</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539" w:hRule="atLeas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1.3</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单位工程费</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是否等于分部分项工程费+措施项目费+其它项目费+规费+税金之和</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539" w:hRule="atLeast"/>
          <w:jc w:val="center"/>
        </w:trPr>
        <w:tc>
          <w:tcPr>
            <w:tcW w:w="387" w:type="dxa"/>
            <w:vMerge w:val="restart"/>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2</w:t>
            </w: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2.1</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分部分项工程费及单价措施费</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是否等于各分部分项清单（含单价措施项目）费之和</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2.2</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分部分项及单价措施项目编码</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不得修改招标人清单</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2.3</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分部分项及单价措施项目名称</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不得修改招标人清单</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2.4</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分部分项及单价措施项目特征</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不得修改招标人清单</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2.5</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分部分项及单价措施项目计量单位</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不得修改招标人清单</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464" w:hRule="exac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2.6</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分部分项及单价措施项目工程量</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不得修改招标人清单</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539" w:hRule="atLeas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2.7</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分部分项工程费及单价措施费清单综合单价</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综合单价＝人工费+材料费+机械费+管理费+利润之和</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539" w:hRule="atLeast"/>
          <w:jc w:val="center"/>
        </w:trPr>
        <w:tc>
          <w:tcPr>
            <w:tcW w:w="387" w:type="dxa"/>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2.8</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材料单价</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材料表中的单价与组成清单单价中的综合单价必须一致</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539" w:hRule="atLeast"/>
          <w:jc w:val="center"/>
        </w:trPr>
        <w:tc>
          <w:tcPr>
            <w:tcW w:w="387" w:type="dxa"/>
            <w:vMerge w:val="restart"/>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3</w:t>
            </w: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3.1</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安全文明施工费</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根据河南省计价依据规定计算</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539" w:hRule="atLeas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3.2</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其他措施费（费率类）项目</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根据招标文件要求自主报价</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539" w:hRule="atLeast"/>
          <w:jc w:val="center"/>
        </w:trPr>
        <w:tc>
          <w:tcPr>
            <w:tcW w:w="387" w:type="dxa"/>
            <w:vMerge w:val="restart"/>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4</w:t>
            </w: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4.1</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其它项目费</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各组成部分之和（暂列金额+专业暂估价+计日工费+总承包服务费）</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4.2</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暂列金额</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应与招标人价格一致</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4.3</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专业工程暂估价</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应与招标人价格一致</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4.4</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计日工</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应与招标人数量一致</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387" w:type="dxa"/>
            <w:vMerge w:val="continue"/>
            <w:tcBorders>
              <w:top w:val="nil"/>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4.5</w:t>
            </w: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总承包服务费</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是否按招标文件要求计算</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387"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5</w:t>
            </w: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规费</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根据河南省及许昌市计价依据规定计算</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454" w:hRule="exact"/>
          <w:jc w:val="center"/>
        </w:trPr>
        <w:tc>
          <w:tcPr>
            <w:tcW w:w="387"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6</w:t>
            </w:r>
          </w:p>
        </w:tc>
        <w:tc>
          <w:tcPr>
            <w:tcW w:w="66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387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增值税</w:t>
            </w:r>
          </w:p>
        </w:tc>
        <w:tc>
          <w:tcPr>
            <w:tcW w:w="385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根据河南省及许昌市计价依据规定计算</w:t>
            </w:r>
          </w:p>
        </w:tc>
        <w:tc>
          <w:tcPr>
            <w:tcW w:w="72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4" w:space="0"/>
              <w:right w:val="single" w:color="auto" w:sz="12" w:space="0"/>
            </w:tcBorders>
            <w:noWrap w:val="0"/>
            <w:vAlign w:val="center"/>
          </w:tcPr>
          <w:p>
            <w:pPr>
              <w:spacing w:line="360" w:lineRule="auto"/>
              <w:jc w:val="center"/>
              <w:rPr>
                <w:rFonts w:hint="eastAsia" w:ascii="宋体" w:hAnsi="宋体"/>
                <w:sz w:val="24"/>
              </w:rPr>
            </w:pPr>
          </w:p>
        </w:tc>
      </w:tr>
      <w:tr>
        <w:tblPrEx>
          <w:tblCellMar>
            <w:top w:w="0" w:type="dxa"/>
            <w:left w:w="108" w:type="dxa"/>
            <w:bottom w:w="0" w:type="dxa"/>
            <w:right w:w="108" w:type="dxa"/>
          </w:tblCellMar>
        </w:tblPrEx>
        <w:trPr>
          <w:trHeight w:val="471" w:hRule="exact"/>
          <w:jc w:val="center"/>
        </w:trPr>
        <w:tc>
          <w:tcPr>
            <w:tcW w:w="387"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7</w:t>
            </w:r>
          </w:p>
        </w:tc>
        <w:tc>
          <w:tcPr>
            <w:tcW w:w="660" w:type="dxa"/>
            <w:tcBorders>
              <w:top w:val="single" w:color="auto" w:sz="4" w:space="0"/>
              <w:left w:val="nil"/>
              <w:bottom w:val="single" w:color="auto" w:sz="12" w:space="0"/>
              <w:right w:val="single" w:color="auto" w:sz="4" w:space="0"/>
            </w:tcBorders>
            <w:noWrap w:val="0"/>
            <w:vAlign w:val="center"/>
          </w:tcPr>
          <w:p>
            <w:pPr>
              <w:spacing w:line="360" w:lineRule="auto"/>
              <w:jc w:val="center"/>
              <w:rPr>
                <w:rFonts w:hint="eastAsia" w:ascii="宋体" w:hAnsi="宋体"/>
                <w:sz w:val="24"/>
              </w:rPr>
            </w:pPr>
          </w:p>
        </w:tc>
        <w:tc>
          <w:tcPr>
            <w:tcW w:w="7734" w:type="dxa"/>
            <w:gridSpan w:val="2"/>
            <w:tcBorders>
              <w:top w:val="single" w:color="auto" w:sz="4" w:space="0"/>
              <w:left w:val="nil"/>
              <w:bottom w:val="single" w:color="auto" w:sz="12"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不违反法律、法规、规章、规范性文件规定的其它情况</w:t>
            </w:r>
          </w:p>
        </w:tc>
        <w:tc>
          <w:tcPr>
            <w:tcW w:w="722" w:type="dxa"/>
            <w:tcBorders>
              <w:top w:val="single" w:color="auto" w:sz="4" w:space="0"/>
              <w:left w:val="nil"/>
              <w:bottom w:val="single" w:color="auto" w:sz="12" w:space="0"/>
              <w:right w:val="single" w:color="auto" w:sz="4" w:space="0"/>
            </w:tcBorders>
            <w:noWrap w:val="0"/>
            <w:vAlign w:val="center"/>
          </w:tcPr>
          <w:p>
            <w:pPr>
              <w:spacing w:line="360" w:lineRule="auto"/>
              <w:jc w:val="center"/>
              <w:rPr>
                <w:rFonts w:hint="eastAsia" w:ascii="宋体" w:hAnsi="宋体"/>
                <w:sz w:val="24"/>
              </w:rPr>
            </w:pPr>
          </w:p>
        </w:tc>
        <w:tc>
          <w:tcPr>
            <w:tcW w:w="751" w:type="dxa"/>
            <w:tcBorders>
              <w:top w:val="single" w:color="auto" w:sz="4" w:space="0"/>
              <w:left w:val="nil"/>
              <w:bottom w:val="single" w:color="auto" w:sz="12" w:space="0"/>
              <w:right w:val="single" w:color="auto" w:sz="12" w:space="0"/>
            </w:tcBorders>
            <w:noWrap w:val="0"/>
            <w:vAlign w:val="center"/>
          </w:tcPr>
          <w:p>
            <w:pPr>
              <w:spacing w:line="360" w:lineRule="auto"/>
              <w:jc w:val="center"/>
              <w:rPr>
                <w:rFonts w:hint="eastAsia" w:ascii="宋体" w:hAnsi="宋体"/>
                <w:sz w:val="24"/>
              </w:rPr>
            </w:pPr>
          </w:p>
        </w:tc>
      </w:tr>
    </w:tbl>
    <w:p>
      <w:pPr>
        <w:spacing w:line="440" w:lineRule="exact"/>
        <w:ind w:firstLine="424" w:firstLineChars="176"/>
        <w:rPr>
          <w:rFonts w:hAnsi="宋体" w:cs="宋体"/>
          <w:b/>
          <w:sz w:val="24"/>
        </w:rPr>
      </w:pPr>
      <w:r>
        <w:rPr>
          <w:rFonts w:hint="eastAsia" w:hAnsi="宋体" w:cs="宋体"/>
          <w:b/>
          <w:sz w:val="24"/>
        </w:rPr>
        <w:t>注：不在上述范围内且不具有实质性影响的内容，均不能作为清标的依据或理由。</w:t>
      </w:r>
    </w:p>
    <w:p>
      <w:pPr>
        <w:spacing w:line="360" w:lineRule="auto"/>
        <w:ind w:firstLine="422" w:firstLineChars="176"/>
        <w:rPr>
          <w:rFonts w:hint="eastAsia"/>
        </w:rPr>
      </w:pPr>
      <w:r>
        <w:rPr>
          <w:rFonts w:hint="eastAsia" w:ascii="宋体" w:hAnsi="宋体" w:cs="宋体"/>
          <w:sz w:val="24"/>
        </w:rPr>
        <w:t>初步评审经审查后应写出评审意见。</w:t>
      </w:r>
    </w:p>
    <w:p>
      <w:pPr>
        <w:numPr>
          <w:ilvl w:val="0"/>
          <w:numId w:val="42"/>
        </w:numPr>
        <w:spacing w:line="360" w:lineRule="auto"/>
        <w:rPr>
          <w:rFonts w:hint="eastAsia" w:ascii="宋体" w:hAnsi="宋体" w:cs="宋体"/>
          <w:b/>
          <w:bCs/>
          <w:sz w:val="24"/>
          <w:szCs w:val="22"/>
        </w:rPr>
      </w:pPr>
      <w:r>
        <w:rPr>
          <w:rFonts w:hint="eastAsia" w:ascii="宋体" w:hAnsi="宋体" w:cs="宋体"/>
          <w:b/>
          <w:bCs/>
          <w:sz w:val="24"/>
          <w:szCs w:val="22"/>
        </w:rPr>
        <w:t>详细评审</w:t>
      </w:r>
    </w:p>
    <w:p>
      <w:pPr>
        <w:spacing w:line="360" w:lineRule="auto"/>
        <w:ind w:firstLine="422" w:firstLineChars="176"/>
        <w:rPr>
          <w:rFonts w:hint="eastAsia" w:ascii="宋体" w:hAnsi="宋体" w:cs="宋体"/>
          <w:sz w:val="24"/>
        </w:rPr>
      </w:pPr>
      <w:r>
        <w:rPr>
          <w:rFonts w:hint="eastAsia" w:ascii="宋体" w:hAnsi="宋体" w:cs="宋体"/>
          <w:sz w:val="24"/>
        </w:rPr>
        <w:t>评标委员会根据招标文件要求应从技术标、商务标、综合标三部分进行综合评审。技术标的权重占</w:t>
      </w:r>
      <w:r>
        <w:rPr>
          <w:rFonts w:ascii="宋体" w:hAnsi="宋体" w:cs="宋体"/>
          <w:sz w:val="24"/>
        </w:rPr>
        <w:t>25</w:t>
      </w:r>
      <w:r>
        <w:rPr>
          <w:rFonts w:hint="eastAsia" w:ascii="宋体" w:hAnsi="宋体" w:cs="宋体"/>
          <w:sz w:val="24"/>
        </w:rPr>
        <w:t>%，商务标的权重占50%，综合标的权重占25%。</w:t>
      </w:r>
    </w:p>
    <w:p>
      <w:pPr>
        <w:numPr>
          <w:ilvl w:val="0"/>
          <w:numId w:val="45"/>
        </w:numPr>
        <w:spacing w:line="360" w:lineRule="auto"/>
        <w:rPr>
          <w:rFonts w:hint="eastAsia" w:ascii="宋体" w:hAnsi="宋体" w:cs="宋体"/>
          <w:b/>
          <w:bCs/>
          <w:sz w:val="24"/>
        </w:rPr>
      </w:pPr>
      <w:r>
        <w:rPr>
          <w:rFonts w:hint="eastAsia" w:ascii="宋体" w:hAnsi="宋体" w:cs="宋体"/>
          <w:b/>
          <w:bCs/>
          <w:sz w:val="24"/>
        </w:rPr>
        <w:t>技术标（25分）</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noWrap w:val="0"/>
            <w:vAlign w:val="center"/>
          </w:tcPr>
          <w:p>
            <w:pPr>
              <w:spacing w:line="360" w:lineRule="auto"/>
              <w:jc w:val="center"/>
              <w:rPr>
                <w:rFonts w:hint="eastAsia" w:ascii="宋体" w:hAnsi="宋体"/>
                <w:b/>
                <w:bCs/>
                <w:sz w:val="24"/>
              </w:rPr>
            </w:pPr>
            <w:r>
              <w:rPr>
                <w:rFonts w:hint="eastAsia" w:ascii="宋体" w:hAnsi="宋体"/>
                <w:b/>
                <w:bCs/>
                <w:sz w:val="24"/>
              </w:rPr>
              <w:t>序号</w:t>
            </w:r>
          </w:p>
        </w:tc>
        <w:tc>
          <w:tcPr>
            <w:tcW w:w="1276" w:type="dxa"/>
            <w:noWrap w:val="0"/>
            <w:vAlign w:val="center"/>
          </w:tcPr>
          <w:p>
            <w:pPr>
              <w:spacing w:line="360" w:lineRule="auto"/>
              <w:jc w:val="center"/>
              <w:rPr>
                <w:rFonts w:hint="eastAsia" w:ascii="宋体" w:hAnsi="宋体"/>
                <w:b/>
                <w:bCs/>
                <w:sz w:val="24"/>
              </w:rPr>
            </w:pPr>
            <w:r>
              <w:rPr>
                <w:rFonts w:hint="eastAsia" w:ascii="宋体" w:hAnsi="宋体"/>
                <w:b/>
                <w:bCs/>
                <w:sz w:val="24"/>
              </w:rPr>
              <w:t>内容</w:t>
            </w:r>
          </w:p>
        </w:tc>
        <w:tc>
          <w:tcPr>
            <w:tcW w:w="1175" w:type="dxa"/>
            <w:noWrap w:val="0"/>
            <w:vAlign w:val="center"/>
          </w:tcPr>
          <w:p>
            <w:pPr>
              <w:spacing w:line="360" w:lineRule="auto"/>
              <w:jc w:val="center"/>
              <w:rPr>
                <w:rFonts w:hint="eastAsia" w:ascii="宋体" w:hAnsi="宋体"/>
                <w:b/>
                <w:bCs/>
                <w:sz w:val="24"/>
              </w:rPr>
            </w:pPr>
            <w:r>
              <w:rPr>
                <w:rFonts w:hint="eastAsia" w:ascii="宋体" w:hAnsi="宋体"/>
                <w:b/>
                <w:bCs/>
                <w:sz w:val="24"/>
              </w:rPr>
              <w:t>分值</w:t>
            </w:r>
          </w:p>
        </w:tc>
        <w:tc>
          <w:tcPr>
            <w:tcW w:w="5204" w:type="dxa"/>
            <w:noWrap w:val="0"/>
            <w:vAlign w:val="center"/>
          </w:tcPr>
          <w:p>
            <w:pPr>
              <w:spacing w:line="360" w:lineRule="auto"/>
              <w:jc w:val="center"/>
              <w:rPr>
                <w:rFonts w:hint="eastAsia" w:ascii="宋体" w:hAnsi="宋体"/>
                <w:b/>
                <w:bCs/>
                <w:sz w:val="24"/>
              </w:rPr>
            </w:pPr>
            <w:r>
              <w:rPr>
                <w:rFonts w:hint="eastAsia" w:ascii="宋体" w:hAnsi="宋体"/>
                <w:b/>
                <w:bCs/>
                <w:sz w:val="24"/>
              </w:rPr>
              <w:t>评审标准</w:t>
            </w:r>
          </w:p>
        </w:tc>
        <w:tc>
          <w:tcPr>
            <w:tcW w:w="1683" w:type="dxa"/>
            <w:noWrap w:val="0"/>
            <w:vAlign w:val="center"/>
          </w:tcPr>
          <w:p>
            <w:pPr>
              <w:spacing w:line="360" w:lineRule="auto"/>
              <w:jc w:val="center"/>
              <w:rPr>
                <w:rFonts w:hint="eastAsia" w:ascii="宋体" w:hAnsi="宋体"/>
                <w:b/>
                <w:bCs/>
                <w:sz w:val="24"/>
              </w:rPr>
            </w:pPr>
            <w:r>
              <w:rPr>
                <w:rFonts w:hint="eastAsia" w:ascii="宋体" w:hAnsi="宋体"/>
                <w:b/>
                <w:bCs/>
                <w:sz w:val="24"/>
              </w:rPr>
              <w:t>评审得分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1</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内容完整性</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0～</w:t>
            </w:r>
            <w:r>
              <w:rPr>
                <w:rFonts w:ascii="宋体" w:hAnsi="宋体"/>
                <w:sz w:val="24"/>
              </w:rPr>
              <w:t>0.5</w:t>
            </w:r>
            <w:r>
              <w:rPr>
                <w:rFonts w:hint="eastAsia" w:ascii="宋体" w:hAnsi="宋体"/>
                <w:sz w:val="24"/>
              </w:rPr>
              <w:t>分</w:t>
            </w:r>
          </w:p>
        </w:tc>
        <w:tc>
          <w:tcPr>
            <w:tcW w:w="5204" w:type="dxa"/>
            <w:noWrap w:val="0"/>
            <w:vAlign w:val="center"/>
          </w:tcPr>
          <w:p>
            <w:pPr>
              <w:spacing w:line="360" w:lineRule="auto"/>
              <w:rPr>
                <w:rFonts w:hint="eastAsia" w:ascii="宋体" w:hAnsi="宋体"/>
                <w:sz w:val="24"/>
              </w:rPr>
            </w:pPr>
            <w:r>
              <w:rPr>
                <w:rFonts w:hint="eastAsia" w:ascii="宋体" w:hAnsi="宋体"/>
                <w:sz w:val="24"/>
              </w:rPr>
              <w:t>技术标的主要内容具有完整性，符合招标文件的要求。</w:t>
            </w:r>
          </w:p>
        </w:tc>
        <w:tc>
          <w:tcPr>
            <w:tcW w:w="1683" w:type="dxa"/>
            <w:noWrap w:val="0"/>
            <w:vAlign w:val="center"/>
          </w:tcPr>
          <w:p>
            <w:pPr>
              <w:spacing w:line="360" w:lineRule="auto"/>
              <w:jc w:val="center"/>
              <w:rPr>
                <w:rFonts w:hint="eastAsia" w:ascii="宋体" w:hAnsi="宋体"/>
                <w:sz w:val="24"/>
              </w:rPr>
            </w:pPr>
            <w:r>
              <w:rPr>
                <w:rFonts w:ascii="宋体" w:hAnsi="宋体"/>
                <w:sz w:val="24"/>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技术标不符合招标文件要求。</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2</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主要施工方案与技术措施</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1～3分</w:t>
            </w:r>
          </w:p>
        </w:tc>
        <w:tc>
          <w:tcPr>
            <w:tcW w:w="5204" w:type="dxa"/>
            <w:noWrap w:val="0"/>
            <w:vAlign w:val="center"/>
          </w:tcPr>
          <w:p>
            <w:pPr>
              <w:spacing w:line="360" w:lineRule="auto"/>
              <w:rPr>
                <w:rFonts w:hint="eastAsia" w:ascii="宋体" w:hAnsi="宋体"/>
                <w:sz w:val="24"/>
              </w:rPr>
            </w:pPr>
            <w:r>
              <w:rPr>
                <w:rFonts w:hint="eastAsia" w:ascii="宋体" w:hAnsi="宋体"/>
                <w:sz w:val="24"/>
              </w:rPr>
              <w:t>施工方案（含工程特点、施工重点与难点及绿色施工）总体安排合理，运用先进、合理的施工工艺、施工机械；对施工难点有先进和合理的建议。</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2＜得分≤3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施工方案（含工程特点、施工重点与难点及绿色施工）总体安排合理，施工工艺、施工机械合理、可行；对施工难点有合理的建议。</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1≤得分≤2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3</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质量管理体系与措施</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1～2分</w:t>
            </w:r>
          </w:p>
        </w:tc>
        <w:tc>
          <w:tcPr>
            <w:tcW w:w="5204" w:type="dxa"/>
            <w:noWrap w:val="0"/>
            <w:vAlign w:val="center"/>
          </w:tcPr>
          <w:p>
            <w:pPr>
              <w:spacing w:line="360" w:lineRule="auto"/>
              <w:rPr>
                <w:rFonts w:hint="eastAsia" w:ascii="宋体" w:hAnsi="宋体"/>
                <w:sz w:val="24"/>
              </w:rPr>
            </w:pPr>
            <w:r>
              <w:rPr>
                <w:rFonts w:hint="eastAsia" w:ascii="宋体" w:hAnsi="宋体"/>
                <w:sz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1.5＜得分≤2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1≤得分≤1.5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4</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安全管理体系与措施</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1～2分</w:t>
            </w:r>
          </w:p>
        </w:tc>
        <w:tc>
          <w:tcPr>
            <w:tcW w:w="5204" w:type="dxa"/>
            <w:noWrap w:val="0"/>
            <w:vAlign w:val="center"/>
          </w:tcPr>
          <w:p>
            <w:pPr>
              <w:spacing w:line="360" w:lineRule="auto"/>
              <w:rPr>
                <w:rFonts w:hint="eastAsia" w:ascii="宋体" w:hAnsi="宋体"/>
                <w:sz w:val="24"/>
              </w:rPr>
            </w:pPr>
            <w:r>
              <w:rPr>
                <w:rFonts w:hint="eastAsia" w:ascii="宋体" w:hAnsi="宋体"/>
                <w:sz w:val="24"/>
              </w:rPr>
              <w:t>有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1.5＜得分≤2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1≤得分≤1.5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5</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文明施工、环境保护管理体系及施工现场扬尘治理措施</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1～3分</w:t>
            </w:r>
          </w:p>
        </w:tc>
        <w:tc>
          <w:tcPr>
            <w:tcW w:w="5204" w:type="dxa"/>
            <w:noWrap w:val="0"/>
            <w:vAlign w:val="center"/>
          </w:tcPr>
          <w:p>
            <w:pPr>
              <w:spacing w:line="360" w:lineRule="auto"/>
              <w:rPr>
                <w:rFonts w:hint="eastAsia" w:ascii="宋体" w:hAnsi="宋体"/>
                <w:sz w:val="24"/>
              </w:rPr>
            </w:pPr>
            <w:r>
              <w:rPr>
                <w:rFonts w:hint="eastAsia" w:ascii="宋体" w:hAnsi="宋体"/>
                <w:sz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2＜得分≤3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1≤得分≤2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6</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工期保证</w:t>
            </w:r>
          </w:p>
          <w:p>
            <w:pPr>
              <w:spacing w:line="360" w:lineRule="auto"/>
              <w:jc w:val="center"/>
              <w:rPr>
                <w:rFonts w:hint="eastAsia" w:ascii="宋体" w:hAnsi="宋体"/>
                <w:sz w:val="24"/>
              </w:rPr>
            </w:pPr>
            <w:r>
              <w:rPr>
                <w:rFonts w:hint="eastAsia" w:ascii="宋体" w:hAnsi="宋体"/>
                <w:sz w:val="24"/>
              </w:rPr>
              <w:t>措施</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1～2分</w:t>
            </w:r>
          </w:p>
        </w:tc>
        <w:tc>
          <w:tcPr>
            <w:tcW w:w="5204" w:type="dxa"/>
            <w:noWrap w:val="0"/>
            <w:vAlign w:val="center"/>
          </w:tcPr>
          <w:p>
            <w:pPr>
              <w:spacing w:line="360" w:lineRule="auto"/>
              <w:rPr>
                <w:rFonts w:hint="eastAsia" w:ascii="宋体" w:hAnsi="宋体"/>
                <w:sz w:val="24"/>
              </w:rPr>
            </w:pPr>
            <w:r>
              <w:rPr>
                <w:rFonts w:hint="eastAsia" w:ascii="宋体" w:hAnsi="宋体"/>
                <w:sz w:val="24"/>
              </w:rPr>
              <w:t>工期承诺满足招标文件要求，工期保证措施合理且有针对性，有具体的违约责任承诺。</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1.5＜得分≤2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工期承诺满足招标文件要求，工期保证措施基本合理，有具体的违约责任承诺。</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1≤得分≤1.5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7</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拟投入资源配备计划</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0.5～2分</w:t>
            </w:r>
          </w:p>
        </w:tc>
        <w:tc>
          <w:tcPr>
            <w:tcW w:w="5204" w:type="dxa"/>
            <w:noWrap w:val="0"/>
            <w:vAlign w:val="center"/>
          </w:tcPr>
          <w:p>
            <w:pPr>
              <w:spacing w:line="360" w:lineRule="auto"/>
              <w:rPr>
                <w:rFonts w:hint="eastAsia" w:ascii="宋体" w:hAnsi="宋体"/>
                <w:sz w:val="24"/>
              </w:rPr>
            </w:pPr>
            <w:r>
              <w:rPr>
                <w:rFonts w:hint="eastAsia" w:ascii="宋体" w:hAnsi="宋体"/>
                <w:sz w:val="24"/>
              </w:rPr>
              <w:t>1.机械：投入计划与进度计划呼应，采用先进机械设备且配置合理、先进，满足安全技术规范和施工进度需要；PC构件运输、安装设备满足施工要求；</w:t>
            </w:r>
          </w:p>
          <w:p>
            <w:pPr>
              <w:spacing w:line="360" w:lineRule="auto"/>
              <w:rPr>
                <w:rFonts w:hint="eastAsia" w:ascii="宋体" w:hAnsi="宋体"/>
                <w:sz w:val="24"/>
              </w:rPr>
            </w:pPr>
            <w:r>
              <w:rPr>
                <w:rFonts w:hint="eastAsia" w:ascii="宋体" w:hAnsi="宋体"/>
                <w:sz w:val="24"/>
              </w:rPr>
              <w:t>2.劳动力：投入计划与进度计划呼应，较好满足施工需要，调配投入计划合理、准确；</w:t>
            </w:r>
          </w:p>
          <w:p>
            <w:pPr>
              <w:spacing w:line="360" w:lineRule="auto"/>
              <w:rPr>
                <w:rFonts w:hint="eastAsia" w:ascii="宋体" w:hAnsi="宋体"/>
                <w:sz w:val="24"/>
              </w:rPr>
            </w:pPr>
            <w:r>
              <w:rPr>
                <w:rFonts w:hint="eastAsia" w:ascii="宋体" w:hAnsi="宋体"/>
                <w:sz w:val="24"/>
              </w:rPr>
              <w:t>3.主要物资计划：主要物资（含PC构件的供应需求）投入计划与进度计划呼应，较好满足施工需要，调配投入计划合理、准确。</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1＜得分≤2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1.机械：投入计划与进度计划呼应，机械设备配置基本合理，满足安全技术规范和施工进度需要；</w:t>
            </w:r>
          </w:p>
          <w:p>
            <w:pPr>
              <w:spacing w:line="360" w:lineRule="auto"/>
              <w:rPr>
                <w:rFonts w:hint="eastAsia" w:ascii="宋体" w:hAnsi="宋体"/>
                <w:sz w:val="24"/>
              </w:rPr>
            </w:pPr>
            <w:r>
              <w:rPr>
                <w:rFonts w:hint="eastAsia" w:ascii="宋体" w:hAnsi="宋体"/>
                <w:sz w:val="24"/>
              </w:rPr>
              <w:t>2.劳动力：投入计划与进度计划呼应，基本满足施工需要，调配投入计划基本合理；</w:t>
            </w:r>
          </w:p>
          <w:p>
            <w:pPr>
              <w:spacing w:line="360" w:lineRule="auto"/>
              <w:rPr>
                <w:rFonts w:hint="eastAsia" w:ascii="宋体" w:hAnsi="宋体"/>
                <w:sz w:val="24"/>
              </w:rPr>
            </w:pPr>
            <w:r>
              <w:rPr>
                <w:rFonts w:hint="eastAsia" w:ascii="宋体" w:hAnsi="宋体"/>
                <w:sz w:val="24"/>
              </w:rPr>
              <w:t>3.主要物资计划：主要物资（含PC构件的供应需求）投入计划与进度计划呼应，基本满足施工需要，调配投入计划基本合理。</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0.5≤得分≤1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8</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施工进度表与网络计划图</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0.5～2分</w:t>
            </w:r>
          </w:p>
        </w:tc>
        <w:tc>
          <w:tcPr>
            <w:tcW w:w="5204" w:type="dxa"/>
            <w:noWrap w:val="0"/>
            <w:vAlign w:val="center"/>
          </w:tcPr>
          <w:p>
            <w:pPr>
              <w:spacing w:line="360" w:lineRule="auto"/>
              <w:rPr>
                <w:rFonts w:hint="eastAsia" w:ascii="宋体" w:hAnsi="宋体"/>
                <w:sz w:val="24"/>
              </w:rPr>
            </w:pPr>
            <w:r>
              <w:rPr>
                <w:rFonts w:hint="eastAsia" w:ascii="宋体" w:hAnsi="宋体"/>
                <w:sz w:val="24"/>
              </w:rPr>
              <w:t>关键线路清晰、准确、完整、计划编制合理、可行、满足招标文件对工期的要求。</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1＜得分≤2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关键线路基本准确，计划编制基本可行。</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0.5≤得分≤1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9</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施工总平面图布置</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0.5～1分</w:t>
            </w:r>
          </w:p>
        </w:tc>
        <w:tc>
          <w:tcPr>
            <w:tcW w:w="5204" w:type="dxa"/>
            <w:noWrap w:val="0"/>
            <w:vAlign w:val="center"/>
          </w:tcPr>
          <w:p>
            <w:pPr>
              <w:spacing w:line="360" w:lineRule="auto"/>
              <w:rPr>
                <w:rFonts w:hint="eastAsia" w:ascii="宋体" w:hAnsi="宋体"/>
                <w:sz w:val="24"/>
              </w:rPr>
            </w:pPr>
            <w:r>
              <w:rPr>
                <w:rFonts w:hint="eastAsia" w:ascii="宋体" w:hAnsi="宋体"/>
                <w:sz w:val="24"/>
              </w:rPr>
              <w:t>总体布置有针对性、合理、能较好满足施工需要，符合安全、文明施工要求；材料堆放有序。</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总体布置基本合理、基本满足施工需要。</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10</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技术创新的应用实施措施</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1～2分</w:t>
            </w:r>
          </w:p>
        </w:tc>
        <w:tc>
          <w:tcPr>
            <w:tcW w:w="5204" w:type="dxa"/>
            <w:noWrap w:val="0"/>
            <w:vAlign w:val="center"/>
          </w:tcPr>
          <w:p>
            <w:pPr>
              <w:spacing w:line="360" w:lineRule="auto"/>
              <w:rPr>
                <w:rFonts w:hint="eastAsia" w:ascii="宋体" w:hAnsi="宋体"/>
                <w:sz w:val="24"/>
              </w:rPr>
            </w:pPr>
            <w:r>
              <w:rPr>
                <w:rFonts w:hint="eastAsia" w:ascii="宋体" w:hAnsi="宋体"/>
                <w:sz w:val="24"/>
              </w:rPr>
              <w:t>（1）节能减排、（2）绿色施工、（3）工艺创新、（4）装配式建筑等技术创新的应用实施措施符合工程情况，具有针对性、可行性、经济适用性。</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1.5＜得分≤2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（1）节能减排、（2）绿色施工、（3）工艺创新、（4）装配式建筑等技术创新的应用实施措施基本符合工程情况，具有针对性。</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1≤得分≤1.5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11</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采用新工艺、新技术、新设备、新材料、BIM等的程度</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1～2分</w:t>
            </w:r>
          </w:p>
        </w:tc>
        <w:tc>
          <w:tcPr>
            <w:tcW w:w="5204" w:type="dxa"/>
            <w:noWrap w:val="0"/>
            <w:vAlign w:val="center"/>
          </w:tcPr>
          <w:p>
            <w:pPr>
              <w:spacing w:line="360" w:lineRule="auto"/>
              <w:rPr>
                <w:rFonts w:hint="eastAsia" w:ascii="宋体" w:hAnsi="宋体"/>
                <w:sz w:val="24"/>
              </w:rPr>
            </w:pPr>
            <w:r>
              <w:rPr>
                <w:rFonts w:hint="eastAsia" w:ascii="宋体" w:hAnsi="宋体"/>
                <w:sz w:val="24"/>
              </w:rPr>
              <w:t>采用新工艺、新技术、新设备、新材料、BIM等的程度满足设计要求，符合施工需要和相应技术标准等规定，经济适用。</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1.5≤得分≤2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采用新工艺、新技术、新设备、新材料、BIM等的程度满足设计要求， 基本符合施工要求和相应技术标准等规定。</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1＜得分≤1.5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12</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施工现场实施信息化监控和数据处理</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0.5～1.5分</w:t>
            </w:r>
          </w:p>
        </w:tc>
        <w:tc>
          <w:tcPr>
            <w:tcW w:w="5204" w:type="dxa"/>
            <w:noWrap w:val="0"/>
            <w:vAlign w:val="center"/>
          </w:tcPr>
          <w:p>
            <w:pPr>
              <w:spacing w:line="360" w:lineRule="auto"/>
              <w:rPr>
                <w:rFonts w:hint="eastAsia" w:ascii="宋体" w:hAnsi="宋体"/>
                <w:sz w:val="24"/>
              </w:rPr>
            </w:pPr>
            <w:r>
              <w:rPr>
                <w:rFonts w:hint="eastAsia" w:ascii="宋体" w:hAnsi="宋体"/>
                <w:sz w:val="24"/>
              </w:rPr>
              <w:t>施工现场实施信息化监控和数据处理系统布置合理，满足需要。</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1≤得分≤1.5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施工现场实施信息化监控和数据处理系统布置基本符合需要。</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0.5＜得分≤1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567" w:type="dxa"/>
            <w:vMerge w:val="restart"/>
            <w:noWrap w:val="0"/>
            <w:vAlign w:val="center"/>
          </w:tcPr>
          <w:p>
            <w:pPr>
              <w:spacing w:line="360" w:lineRule="auto"/>
              <w:jc w:val="center"/>
              <w:rPr>
                <w:rFonts w:hint="eastAsia" w:ascii="宋体" w:hAnsi="宋体"/>
                <w:sz w:val="24"/>
              </w:rPr>
            </w:pPr>
            <w:r>
              <w:rPr>
                <w:rFonts w:hint="eastAsia" w:ascii="宋体" w:hAnsi="宋体"/>
                <w:sz w:val="24"/>
              </w:rPr>
              <w:t>13</w:t>
            </w:r>
          </w:p>
        </w:tc>
        <w:tc>
          <w:tcPr>
            <w:tcW w:w="1276" w:type="dxa"/>
            <w:vMerge w:val="restart"/>
            <w:noWrap w:val="0"/>
            <w:vAlign w:val="center"/>
          </w:tcPr>
          <w:p>
            <w:pPr>
              <w:spacing w:line="360" w:lineRule="auto"/>
              <w:jc w:val="center"/>
              <w:rPr>
                <w:rFonts w:hint="eastAsia" w:ascii="宋体" w:hAnsi="宋体"/>
                <w:sz w:val="24"/>
              </w:rPr>
            </w:pPr>
            <w:r>
              <w:rPr>
                <w:rFonts w:hint="eastAsia" w:ascii="宋体" w:hAnsi="宋体"/>
                <w:sz w:val="24"/>
              </w:rPr>
              <w:t>风险管理措施</w:t>
            </w:r>
          </w:p>
        </w:tc>
        <w:tc>
          <w:tcPr>
            <w:tcW w:w="1175" w:type="dxa"/>
            <w:vMerge w:val="restart"/>
            <w:noWrap w:val="0"/>
            <w:vAlign w:val="center"/>
          </w:tcPr>
          <w:p>
            <w:pPr>
              <w:spacing w:line="360" w:lineRule="auto"/>
              <w:jc w:val="center"/>
              <w:rPr>
                <w:rFonts w:hint="eastAsia" w:ascii="宋体" w:hAnsi="宋体"/>
                <w:sz w:val="24"/>
              </w:rPr>
            </w:pPr>
            <w:r>
              <w:rPr>
                <w:rFonts w:hint="eastAsia" w:ascii="宋体" w:hAnsi="宋体"/>
                <w:sz w:val="24"/>
              </w:rPr>
              <w:t>1～2分</w:t>
            </w:r>
          </w:p>
        </w:tc>
        <w:tc>
          <w:tcPr>
            <w:tcW w:w="5204" w:type="dxa"/>
            <w:noWrap w:val="0"/>
            <w:vAlign w:val="center"/>
          </w:tcPr>
          <w:p>
            <w:pPr>
              <w:spacing w:line="360" w:lineRule="auto"/>
              <w:rPr>
                <w:rFonts w:hint="eastAsia" w:ascii="宋体" w:hAnsi="宋体"/>
                <w:sz w:val="24"/>
              </w:rPr>
            </w:pPr>
            <w:r>
              <w:rPr>
                <w:rFonts w:hint="eastAsia" w:ascii="宋体" w:hAnsi="宋体"/>
                <w:sz w:val="24"/>
              </w:rPr>
              <w:t>风险防控管理措施齐全，风险预控符合规范要求，风险控制要点定位准确，各阶段风险控制及应急措施得力。</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1.5＜得分≤2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spacing w:line="360" w:lineRule="auto"/>
              <w:jc w:val="center"/>
              <w:rPr>
                <w:rFonts w:hint="eastAsia" w:ascii="宋体" w:hAnsi="宋体"/>
                <w:sz w:val="24"/>
              </w:rPr>
            </w:pPr>
          </w:p>
        </w:tc>
        <w:tc>
          <w:tcPr>
            <w:tcW w:w="1276" w:type="dxa"/>
            <w:vMerge w:val="continue"/>
            <w:noWrap w:val="0"/>
            <w:vAlign w:val="center"/>
          </w:tcPr>
          <w:p>
            <w:pPr>
              <w:spacing w:line="360" w:lineRule="auto"/>
              <w:jc w:val="center"/>
              <w:rPr>
                <w:rFonts w:hint="eastAsia" w:ascii="宋体" w:hAnsi="宋体"/>
                <w:sz w:val="24"/>
              </w:rPr>
            </w:pPr>
          </w:p>
        </w:tc>
        <w:tc>
          <w:tcPr>
            <w:tcW w:w="1175" w:type="dxa"/>
            <w:vMerge w:val="continue"/>
            <w:noWrap w:val="0"/>
            <w:vAlign w:val="center"/>
          </w:tcPr>
          <w:p>
            <w:pPr>
              <w:spacing w:line="360" w:lineRule="auto"/>
              <w:jc w:val="center"/>
              <w:rPr>
                <w:rFonts w:hint="eastAsia" w:ascii="宋体" w:hAnsi="宋体"/>
                <w:sz w:val="24"/>
              </w:rPr>
            </w:pPr>
          </w:p>
        </w:tc>
        <w:tc>
          <w:tcPr>
            <w:tcW w:w="5204" w:type="dxa"/>
            <w:noWrap w:val="0"/>
            <w:vAlign w:val="center"/>
          </w:tcPr>
          <w:p>
            <w:pPr>
              <w:spacing w:line="360" w:lineRule="auto"/>
              <w:rPr>
                <w:rFonts w:hint="eastAsia" w:ascii="宋体" w:hAnsi="宋体"/>
                <w:sz w:val="24"/>
              </w:rPr>
            </w:pPr>
            <w:r>
              <w:rPr>
                <w:rFonts w:hint="eastAsia" w:ascii="宋体" w:hAnsi="宋体"/>
                <w:sz w:val="24"/>
              </w:rPr>
              <w:t>风险防控管理措施基本齐全，风险预控符合规范要求，风险控制要点定位基本准确，有各阶段风险控制及应急措施。</w:t>
            </w: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1≤得分≤1.5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noWrap w:val="0"/>
            <w:vAlign w:val="center"/>
          </w:tcPr>
          <w:p>
            <w:pPr>
              <w:spacing w:line="360" w:lineRule="auto"/>
              <w:jc w:val="center"/>
              <w:rPr>
                <w:rFonts w:hint="eastAsia" w:ascii="宋体" w:hAnsi="宋体"/>
                <w:sz w:val="24"/>
              </w:rPr>
            </w:pPr>
            <w:r>
              <w:rPr>
                <w:rFonts w:hint="eastAsia" w:ascii="宋体" w:hAnsi="宋体"/>
                <w:sz w:val="24"/>
              </w:rPr>
              <w:t>合计</w:t>
            </w:r>
          </w:p>
        </w:tc>
        <w:tc>
          <w:tcPr>
            <w:tcW w:w="1175" w:type="dxa"/>
            <w:noWrap w:val="0"/>
            <w:vAlign w:val="center"/>
          </w:tcPr>
          <w:p>
            <w:pPr>
              <w:spacing w:line="360" w:lineRule="auto"/>
              <w:jc w:val="center"/>
              <w:rPr>
                <w:rFonts w:hint="eastAsia" w:ascii="宋体" w:hAnsi="宋体"/>
                <w:sz w:val="24"/>
              </w:rPr>
            </w:pPr>
            <w:r>
              <w:rPr>
                <w:rFonts w:hint="eastAsia" w:ascii="宋体" w:hAnsi="宋体"/>
                <w:sz w:val="24"/>
              </w:rPr>
              <w:t>10～25分</w:t>
            </w:r>
          </w:p>
        </w:tc>
        <w:tc>
          <w:tcPr>
            <w:tcW w:w="5204" w:type="dxa"/>
            <w:noWrap w:val="0"/>
            <w:vAlign w:val="center"/>
          </w:tcPr>
          <w:p>
            <w:pPr>
              <w:spacing w:line="360" w:lineRule="auto"/>
              <w:jc w:val="center"/>
              <w:rPr>
                <w:rFonts w:hint="eastAsia" w:ascii="宋体" w:hAnsi="宋体"/>
                <w:sz w:val="24"/>
              </w:rPr>
            </w:pPr>
          </w:p>
        </w:tc>
        <w:tc>
          <w:tcPr>
            <w:tcW w:w="1683" w:type="dxa"/>
            <w:noWrap w:val="0"/>
            <w:vAlign w:val="center"/>
          </w:tcPr>
          <w:p>
            <w:pPr>
              <w:spacing w:line="360" w:lineRule="auto"/>
              <w:jc w:val="center"/>
              <w:rPr>
                <w:rFonts w:hint="eastAsia" w:ascii="宋体" w:hAnsi="宋体"/>
                <w:sz w:val="24"/>
              </w:rPr>
            </w:pPr>
            <w:r>
              <w:rPr>
                <w:rFonts w:hint="eastAsia" w:ascii="宋体" w:hAnsi="宋体"/>
                <w:sz w:val="24"/>
              </w:rPr>
              <w:t>10≤得分≤25</w:t>
            </w:r>
          </w:p>
        </w:tc>
      </w:tr>
    </w:tbl>
    <w:p>
      <w:pPr>
        <w:spacing w:line="360" w:lineRule="auto"/>
        <w:ind w:firstLine="420" w:firstLineChars="175"/>
        <w:rPr>
          <w:rFonts w:hint="eastAsia" w:ascii="宋体" w:hAnsi="宋体"/>
          <w:sz w:val="24"/>
        </w:rPr>
      </w:pPr>
      <w:r>
        <w:rPr>
          <w:rFonts w:hint="eastAsia" w:ascii="宋体" w:hAnsi="宋体"/>
          <w:sz w:val="24"/>
        </w:rPr>
        <w:t>以上项目若有缺项，该项为0分。</w:t>
      </w:r>
    </w:p>
    <w:p>
      <w:pPr>
        <w:numPr>
          <w:ilvl w:val="0"/>
          <w:numId w:val="45"/>
        </w:numPr>
        <w:spacing w:line="360" w:lineRule="auto"/>
        <w:rPr>
          <w:rFonts w:hint="eastAsia" w:ascii="宋体" w:hAnsi="宋体" w:cs="宋体"/>
          <w:b/>
          <w:bCs/>
          <w:sz w:val="24"/>
        </w:rPr>
      </w:pPr>
      <w:r>
        <w:rPr>
          <w:rFonts w:hint="eastAsia" w:ascii="宋体" w:hAnsi="宋体" w:cs="宋体"/>
          <w:b/>
          <w:bCs/>
          <w:sz w:val="24"/>
        </w:rPr>
        <w:t>商务标（50分）</w:t>
      </w:r>
    </w:p>
    <w:p>
      <w:pPr>
        <w:numPr>
          <w:ilvl w:val="0"/>
          <w:numId w:val="46"/>
        </w:numPr>
        <w:spacing w:line="360" w:lineRule="auto"/>
        <w:ind w:firstLine="426"/>
        <w:rPr>
          <w:rFonts w:hint="eastAsia" w:ascii="宋体" w:hAnsi="宋体" w:cs="宋体"/>
          <w:b/>
          <w:bCs/>
          <w:sz w:val="24"/>
        </w:rPr>
      </w:pPr>
      <w:r>
        <w:rPr>
          <w:rFonts w:hint="eastAsia" w:ascii="宋体" w:hAnsi="宋体" w:cs="宋体"/>
          <w:b/>
          <w:bCs/>
          <w:sz w:val="24"/>
        </w:rPr>
        <w:t>投标报价的评审，共计30分。</w:t>
      </w:r>
    </w:p>
    <w:p>
      <w:pPr>
        <w:numPr>
          <w:ilvl w:val="0"/>
          <w:numId w:val="47"/>
        </w:numPr>
        <w:spacing w:line="360" w:lineRule="auto"/>
        <w:rPr>
          <w:rFonts w:hint="eastAsia" w:ascii="宋体" w:hAnsi="宋体" w:cs="宋体"/>
          <w:sz w:val="24"/>
        </w:rPr>
      </w:pPr>
      <w:r>
        <w:rPr>
          <w:rFonts w:hint="eastAsia" w:ascii="宋体" w:hAnsi="宋体" w:cs="宋体"/>
          <w:sz w:val="24"/>
        </w:rPr>
        <w:t>工程量清单报价评标基准价计算公式为：</w:t>
      </w:r>
    </w:p>
    <w:p>
      <w:pPr>
        <w:spacing w:line="360" w:lineRule="auto"/>
        <w:ind w:firstLine="424" w:firstLineChars="176"/>
        <w:rPr>
          <w:rFonts w:hint="eastAsia" w:ascii="宋体" w:hAnsi="宋体" w:cs="宋体"/>
          <w:b/>
          <w:bCs/>
          <w:sz w:val="24"/>
        </w:rPr>
      </w:pPr>
      <w:r>
        <w:rPr>
          <w:rFonts w:hint="eastAsia" w:ascii="宋体" w:hAnsi="宋体" w:cs="宋体"/>
          <w:b/>
          <w:bCs/>
          <w:sz w:val="24"/>
        </w:rPr>
        <w:t>评标基准价＝最高投标限价×K+投标报价×（1－K）。</w:t>
      </w:r>
    </w:p>
    <w:p>
      <w:pPr>
        <w:spacing w:line="360" w:lineRule="auto"/>
        <w:ind w:firstLine="422" w:firstLineChars="176"/>
        <w:rPr>
          <w:rFonts w:hint="eastAsia" w:ascii="宋体" w:hAnsi="宋体" w:cs="宋体"/>
          <w:sz w:val="24"/>
        </w:rPr>
      </w:pPr>
      <w:r>
        <w:rPr>
          <w:rFonts w:hint="eastAsia" w:ascii="宋体" w:hAnsi="宋体" w:cs="宋体"/>
          <w:sz w:val="24"/>
        </w:rPr>
        <w:t>其中：</w:t>
      </w:r>
      <w:r>
        <w:rPr>
          <w:rFonts w:hint="eastAsia" w:ascii="宋体" w:hAnsi="宋体" w:cs="宋体"/>
          <w:b/>
          <w:bCs/>
          <w:sz w:val="24"/>
        </w:rPr>
        <w:t>K为最高投标限价权重系数，取值范围为0.3≤K≤0.5，在开标现场随机抽取。K值在取值区间内间隔为0.1或者0.05，由招标人确定。</w:t>
      </w:r>
      <w:r>
        <w:rPr>
          <w:rFonts w:hint="eastAsia" w:ascii="宋体" w:hAnsi="宋体" w:cs="宋体"/>
          <w:sz w:val="24"/>
        </w:rPr>
        <w:t>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注：有效投标人指通过清标和初步评审的投标人。）</w:t>
      </w:r>
    </w:p>
    <w:p>
      <w:pPr>
        <w:numPr>
          <w:ilvl w:val="0"/>
          <w:numId w:val="47"/>
        </w:numPr>
        <w:spacing w:line="360" w:lineRule="auto"/>
        <w:rPr>
          <w:rFonts w:ascii="宋体" w:hAnsi="宋体" w:cs="宋体"/>
          <w:sz w:val="24"/>
        </w:rPr>
      </w:pPr>
      <w:r>
        <w:rPr>
          <w:rFonts w:hint="eastAsia" w:ascii="宋体" w:hAnsi="宋体" w:cs="宋体"/>
          <w:sz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numPr>
          <w:ilvl w:val="0"/>
          <w:numId w:val="46"/>
        </w:numPr>
        <w:spacing w:line="360" w:lineRule="auto"/>
        <w:ind w:firstLine="426"/>
        <w:rPr>
          <w:rFonts w:hint="eastAsia" w:ascii="宋体" w:hAnsi="宋体" w:cs="宋体"/>
          <w:b/>
          <w:bCs/>
          <w:sz w:val="24"/>
        </w:rPr>
      </w:pPr>
      <w:r>
        <w:rPr>
          <w:rFonts w:hint="eastAsia" w:ascii="宋体" w:hAnsi="宋体" w:cs="宋体"/>
          <w:b/>
          <w:bCs/>
          <w:sz w:val="24"/>
        </w:rPr>
        <w:t>分部分项工程项目清单单价评审，共计10分。</w:t>
      </w:r>
    </w:p>
    <w:p>
      <w:pPr>
        <w:spacing w:line="360" w:lineRule="auto"/>
        <w:ind w:firstLine="422" w:firstLineChars="176"/>
        <w:rPr>
          <w:rFonts w:hint="eastAsia" w:ascii="宋体" w:hAnsi="宋体" w:cs="宋体"/>
          <w:sz w:val="24"/>
        </w:rPr>
      </w:pPr>
      <w:r>
        <w:rPr>
          <w:rFonts w:hint="eastAsia" w:ascii="宋体" w:hAnsi="宋体" w:cs="宋体"/>
          <w:sz w:val="24"/>
        </w:rPr>
        <w:t>从最高投标限价中分部分项工程项目权重最大的前10-30项清单项目中抽取15项，在剩余的分部分项工程项目清单项目中抽取5项。</w:t>
      </w:r>
    </w:p>
    <w:p>
      <w:pPr>
        <w:spacing w:line="360" w:lineRule="auto"/>
        <w:ind w:firstLine="422" w:firstLineChars="176"/>
        <w:rPr>
          <w:rFonts w:hint="eastAsia" w:ascii="宋体" w:hAnsi="宋体" w:cs="宋体"/>
          <w:sz w:val="24"/>
        </w:rPr>
      </w:pPr>
      <w:r>
        <w:rPr>
          <w:rFonts w:hint="eastAsia" w:ascii="宋体" w:hAnsi="宋体" w:cs="宋体"/>
          <w:sz w:val="24"/>
        </w:rPr>
        <w:t>综合单价基准值是以各有效投标报价中（当有效投标人5名及以上时，去掉1个最高、1个最低值）对应抽取清单项目综合单价的算术平均值。</w:t>
      </w:r>
    </w:p>
    <w:p>
      <w:pPr>
        <w:spacing w:line="360" w:lineRule="auto"/>
        <w:ind w:firstLine="422" w:firstLineChars="176"/>
        <w:rPr>
          <w:rFonts w:hint="eastAsia" w:ascii="宋体" w:hAnsi="宋体" w:cs="宋体"/>
          <w:sz w:val="24"/>
        </w:rPr>
      </w:pPr>
      <w:r>
        <w:rPr>
          <w:rFonts w:hint="eastAsia" w:ascii="宋体" w:hAnsi="宋体" w:cs="宋体"/>
          <w:sz w:val="24"/>
        </w:rPr>
        <w:t>投标人报价在综合单价基准值95%–103%范围内（不含95%和103%）的，每项得0.5分；在综合单价基准值90%–95%范围内（含90%和95%）每项得0.25分。满分共计10分。超出该范围的不得分。</w:t>
      </w:r>
    </w:p>
    <w:p>
      <w:pPr>
        <w:numPr>
          <w:ilvl w:val="0"/>
          <w:numId w:val="46"/>
        </w:numPr>
        <w:spacing w:line="360" w:lineRule="auto"/>
        <w:ind w:firstLine="426"/>
        <w:rPr>
          <w:rFonts w:hint="eastAsia" w:ascii="宋体" w:hAnsi="宋体" w:cs="宋体"/>
          <w:b/>
          <w:bCs/>
          <w:sz w:val="24"/>
        </w:rPr>
      </w:pPr>
      <w:r>
        <w:rPr>
          <w:rFonts w:hint="eastAsia" w:ascii="宋体" w:hAnsi="宋体" w:cs="宋体"/>
          <w:b/>
          <w:bCs/>
          <w:sz w:val="24"/>
        </w:rPr>
        <w:t>措施项目费的评审（不含安全文明措施费），共计5分。</w:t>
      </w:r>
    </w:p>
    <w:p>
      <w:pPr>
        <w:spacing w:line="360" w:lineRule="auto"/>
        <w:ind w:firstLine="422" w:firstLineChars="176"/>
        <w:rPr>
          <w:rFonts w:hint="eastAsia" w:ascii="宋体" w:hAnsi="宋体" w:cs="宋体"/>
          <w:sz w:val="24"/>
        </w:rPr>
      </w:pPr>
      <w:r>
        <w:rPr>
          <w:rFonts w:hint="eastAsia" w:ascii="宋体" w:hAnsi="宋体" w:cs="宋体"/>
          <w:sz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numPr>
          <w:ilvl w:val="0"/>
          <w:numId w:val="46"/>
        </w:numPr>
        <w:spacing w:line="360" w:lineRule="auto"/>
        <w:ind w:firstLine="426"/>
        <w:rPr>
          <w:rFonts w:hint="eastAsia" w:ascii="宋体" w:hAnsi="宋体" w:cs="宋体"/>
          <w:b/>
          <w:bCs/>
          <w:sz w:val="24"/>
        </w:rPr>
      </w:pPr>
      <w:r>
        <w:rPr>
          <w:rFonts w:hint="eastAsia" w:ascii="宋体" w:hAnsi="宋体" w:cs="宋体"/>
          <w:b/>
          <w:bCs/>
          <w:sz w:val="24"/>
        </w:rPr>
        <w:t>主要材料单价的评审，共计5分。</w:t>
      </w:r>
    </w:p>
    <w:p>
      <w:pPr>
        <w:spacing w:line="360" w:lineRule="auto"/>
        <w:ind w:firstLine="422" w:firstLineChars="176"/>
        <w:rPr>
          <w:rFonts w:hint="eastAsia" w:ascii="宋体" w:hAnsi="宋体" w:cs="宋体"/>
          <w:sz w:val="24"/>
        </w:rPr>
      </w:pPr>
      <w:r>
        <w:rPr>
          <w:rFonts w:hint="eastAsia" w:ascii="宋体" w:hAnsi="宋体" w:cs="宋体"/>
          <w:sz w:val="24"/>
        </w:rPr>
        <w:t>从最高投标限价中材料总价权重最大的前10-20项材料中抽取6项，在剩余材料中抽取4项。</w:t>
      </w:r>
    </w:p>
    <w:p>
      <w:pPr>
        <w:spacing w:line="360" w:lineRule="auto"/>
        <w:ind w:firstLine="422" w:firstLineChars="176"/>
        <w:rPr>
          <w:rFonts w:hint="eastAsia" w:ascii="宋体" w:hAnsi="宋体" w:cs="宋体"/>
          <w:sz w:val="24"/>
        </w:rPr>
      </w:pPr>
      <w:r>
        <w:rPr>
          <w:rFonts w:hint="eastAsia" w:ascii="宋体" w:hAnsi="宋体" w:cs="宋体"/>
          <w:sz w:val="24"/>
        </w:rPr>
        <w:t>主要材料单价基准值是以各有效投标报价中（当有效投标人5名及以上时，去掉1个最高、1个最低值）对应抽取材料单价的算术平均值。</w:t>
      </w:r>
    </w:p>
    <w:p>
      <w:pPr>
        <w:spacing w:line="360" w:lineRule="auto"/>
        <w:ind w:firstLine="422" w:firstLineChars="176"/>
        <w:rPr>
          <w:rFonts w:hint="eastAsia" w:ascii="宋体" w:hAnsi="宋体" w:cs="宋体"/>
          <w:sz w:val="24"/>
        </w:rPr>
      </w:pPr>
      <w:r>
        <w:rPr>
          <w:rFonts w:hint="eastAsia" w:ascii="宋体" w:hAnsi="宋体" w:cs="宋体"/>
          <w:sz w:val="24"/>
        </w:rPr>
        <w:t>当投标人报价在材料单价基准值95%–103%范围内（不含95%和103%）每项得0.5分，在材料单价基准值90%–95%范围内（含90%和95%）每项得0.25分。超出该范围的不得分。材料单价与综合单价组成中价格不一致时该项为0分。</w:t>
      </w:r>
    </w:p>
    <w:p>
      <w:pPr>
        <w:spacing w:line="360" w:lineRule="auto"/>
        <w:ind w:firstLine="422" w:firstLineChars="176"/>
        <w:rPr>
          <w:rFonts w:ascii="宋体" w:hAnsi="宋体" w:cs="宋体"/>
          <w:b/>
          <w:bCs/>
          <w:sz w:val="24"/>
        </w:rPr>
      </w:pPr>
      <w:r>
        <w:rPr>
          <w:rFonts w:hint="eastAsia" w:ascii="宋体" w:hAnsi="宋体" w:cs="宋体"/>
          <w:sz w:val="24"/>
        </w:rPr>
        <w:t>针对上述2、4款项中部分分部分项工程项目数量较少、施工工艺简单、主材种类较少而不能满足最低抽项要求的，应将所有分部分项工程项目或主要材料项目纳入评审范围。</w:t>
      </w:r>
    </w:p>
    <w:p>
      <w:pPr>
        <w:numPr>
          <w:ilvl w:val="0"/>
          <w:numId w:val="45"/>
        </w:numPr>
        <w:spacing w:line="360" w:lineRule="auto"/>
        <w:rPr>
          <w:rFonts w:hint="eastAsia" w:ascii="宋体" w:hAnsi="宋体" w:cs="宋体"/>
          <w:b/>
          <w:bCs/>
          <w:sz w:val="24"/>
        </w:rPr>
      </w:pPr>
      <w:r>
        <w:rPr>
          <w:rFonts w:hint="eastAsia" w:ascii="宋体" w:hAnsi="宋体" w:cs="宋体"/>
          <w:b/>
          <w:bCs/>
          <w:sz w:val="24"/>
        </w:rPr>
        <w:t>综合标（25分）</w:t>
      </w:r>
    </w:p>
    <w:tbl>
      <w:tblPr>
        <w:tblStyle w:val="13"/>
        <w:tblW w:w="94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009"/>
        <w:gridCol w:w="4834"/>
        <w:gridCol w:w="1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52" w:type="dxa"/>
            <w:noWrap w:val="0"/>
            <w:vAlign w:val="center"/>
          </w:tcPr>
          <w:p>
            <w:pPr>
              <w:spacing w:line="360" w:lineRule="auto"/>
              <w:jc w:val="center"/>
              <w:rPr>
                <w:rFonts w:hint="eastAsia" w:ascii="宋体" w:hAnsi="宋体"/>
                <w:sz w:val="24"/>
              </w:rPr>
            </w:pPr>
            <w:r>
              <w:rPr>
                <w:rFonts w:hint="eastAsia" w:ascii="宋体" w:hAnsi="宋体"/>
                <w:sz w:val="24"/>
              </w:rPr>
              <w:t>序号</w:t>
            </w:r>
          </w:p>
        </w:tc>
        <w:tc>
          <w:tcPr>
            <w:tcW w:w="2009" w:type="dxa"/>
            <w:noWrap w:val="0"/>
            <w:vAlign w:val="center"/>
          </w:tcPr>
          <w:p>
            <w:pPr>
              <w:spacing w:line="360" w:lineRule="auto"/>
              <w:jc w:val="center"/>
              <w:rPr>
                <w:rFonts w:hint="eastAsia" w:ascii="宋体" w:hAnsi="宋体"/>
                <w:sz w:val="24"/>
              </w:rPr>
            </w:pPr>
            <w:r>
              <w:rPr>
                <w:rFonts w:hint="eastAsia" w:ascii="宋体" w:hAnsi="宋体"/>
                <w:sz w:val="24"/>
              </w:rPr>
              <w:t>项     目</w:t>
            </w:r>
          </w:p>
        </w:tc>
        <w:tc>
          <w:tcPr>
            <w:tcW w:w="4834" w:type="dxa"/>
            <w:noWrap w:val="0"/>
            <w:vAlign w:val="center"/>
          </w:tcPr>
          <w:p>
            <w:pPr>
              <w:spacing w:line="360" w:lineRule="auto"/>
              <w:jc w:val="center"/>
              <w:rPr>
                <w:rFonts w:hint="eastAsia" w:ascii="宋体" w:hAnsi="宋体"/>
                <w:sz w:val="24"/>
              </w:rPr>
            </w:pPr>
            <w:r>
              <w:rPr>
                <w:rFonts w:hint="eastAsia" w:ascii="宋体" w:hAnsi="宋体"/>
                <w:sz w:val="24"/>
              </w:rPr>
              <w:t>评  审   标   准</w:t>
            </w:r>
          </w:p>
        </w:tc>
        <w:tc>
          <w:tcPr>
            <w:tcW w:w="1903" w:type="dxa"/>
            <w:noWrap w:val="0"/>
            <w:vAlign w:val="center"/>
          </w:tcPr>
          <w:p>
            <w:pPr>
              <w:spacing w:line="360" w:lineRule="auto"/>
              <w:jc w:val="center"/>
              <w:rPr>
                <w:rFonts w:hint="eastAsia" w:ascii="宋体" w:hAnsi="宋体"/>
                <w:sz w:val="24"/>
              </w:rPr>
            </w:pPr>
            <w:r>
              <w:rPr>
                <w:rFonts w:hint="eastAsia" w:ascii="宋体" w:hAnsi="宋体"/>
                <w:sz w:val="24"/>
              </w:rPr>
              <w:t>评审计分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9" w:hRule="atLeast"/>
          <w:jc w:val="center"/>
        </w:trPr>
        <w:tc>
          <w:tcPr>
            <w:tcW w:w="752"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2009" w:type="dxa"/>
            <w:noWrap w:val="0"/>
            <w:vAlign w:val="center"/>
          </w:tcPr>
          <w:p>
            <w:pPr>
              <w:spacing w:line="360" w:lineRule="auto"/>
              <w:jc w:val="center"/>
              <w:rPr>
                <w:rFonts w:ascii="宋体" w:hAnsi="宋体"/>
                <w:sz w:val="24"/>
              </w:rPr>
            </w:pPr>
            <w:r>
              <w:rPr>
                <w:rFonts w:hint="eastAsia" w:ascii="宋体" w:hAnsi="宋体"/>
                <w:sz w:val="24"/>
              </w:rPr>
              <w:t>企业业绩</w:t>
            </w:r>
          </w:p>
          <w:p>
            <w:pPr>
              <w:spacing w:line="360" w:lineRule="auto"/>
              <w:jc w:val="center"/>
              <w:rPr>
                <w:rFonts w:hint="eastAsia" w:ascii="宋体" w:hAnsi="宋体" w:eastAsia="宋体"/>
                <w:sz w:val="24"/>
                <w:lang w:eastAsia="zh-CN"/>
              </w:rPr>
            </w:pPr>
          </w:p>
        </w:tc>
        <w:tc>
          <w:tcPr>
            <w:tcW w:w="4834" w:type="dxa"/>
            <w:noWrap w:val="0"/>
            <w:vAlign w:val="center"/>
          </w:tcPr>
          <w:p>
            <w:pPr>
              <w:spacing w:line="360" w:lineRule="auto"/>
              <w:rPr>
                <w:rFonts w:hint="eastAsia" w:ascii="宋体" w:hAnsi="宋体"/>
                <w:sz w:val="24"/>
              </w:rPr>
            </w:pPr>
            <w:r>
              <w:rPr>
                <w:rFonts w:hint="eastAsia" w:ascii="宋体" w:hAnsi="宋体" w:cs="宋体"/>
                <w:sz w:val="24"/>
              </w:rPr>
              <w:t>投标</w:t>
            </w:r>
            <w:r>
              <w:rPr>
                <w:rFonts w:ascii="宋体" w:hAnsi="宋体" w:cs="宋体"/>
                <w:sz w:val="24"/>
              </w:rPr>
              <w:t>单位具有</w:t>
            </w:r>
            <w:r>
              <w:rPr>
                <w:rFonts w:hint="eastAsia" w:ascii="宋体" w:hAnsi="宋体" w:cs="宋体"/>
                <w:sz w:val="24"/>
              </w:rPr>
              <w:t>2017年1月1日以来（以合同签订时间为准）类似项目</w:t>
            </w:r>
            <w:r>
              <w:rPr>
                <w:rFonts w:ascii="宋体" w:hAnsi="宋体" w:cs="宋体"/>
                <w:sz w:val="24"/>
              </w:rPr>
              <w:t>业绩</w:t>
            </w:r>
            <w:r>
              <w:rPr>
                <w:rFonts w:hint="eastAsia" w:ascii="宋体" w:hAnsi="宋体" w:cs="宋体"/>
                <w:sz w:val="24"/>
              </w:rPr>
              <w:t>：每提供</w:t>
            </w:r>
            <w:r>
              <w:rPr>
                <w:rFonts w:ascii="宋体" w:hAnsi="宋体" w:cs="宋体"/>
                <w:sz w:val="24"/>
              </w:rPr>
              <w:t>一份业绩得</w:t>
            </w:r>
            <w:r>
              <w:rPr>
                <w:rFonts w:hint="eastAsia" w:ascii="宋体" w:hAnsi="宋体" w:cs="宋体"/>
                <w:sz w:val="24"/>
              </w:rPr>
              <w:t>2分，本项最多</w:t>
            </w:r>
            <w:r>
              <w:rPr>
                <w:rFonts w:ascii="宋体" w:hAnsi="宋体" w:cs="宋体"/>
                <w:sz w:val="24"/>
              </w:rPr>
              <w:t>得</w:t>
            </w:r>
            <w:r>
              <w:rPr>
                <w:rFonts w:hint="eastAsia" w:ascii="宋体" w:hAnsi="宋体" w:cs="宋体"/>
                <w:sz w:val="24"/>
                <w:lang w:val="en-US" w:eastAsia="zh-CN"/>
              </w:rPr>
              <w:t>4</w:t>
            </w:r>
            <w:r>
              <w:rPr>
                <w:rFonts w:hint="eastAsia" w:ascii="宋体" w:hAnsi="宋体" w:cs="宋体"/>
                <w:sz w:val="24"/>
              </w:rPr>
              <w:t>分</w:t>
            </w:r>
            <w:r>
              <w:rPr>
                <w:rFonts w:ascii="宋体" w:hAnsi="宋体" w:cs="宋体"/>
                <w:sz w:val="24"/>
              </w:rPr>
              <w:t>。</w:t>
            </w:r>
            <w:r>
              <w:rPr>
                <w:rFonts w:hint="eastAsia" w:ascii="宋体" w:hAnsi="宋体" w:cs="宋体"/>
                <w:sz w:val="24"/>
              </w:rPr>
              <w:t>（</w:t>
            </w:r>
            <w:r>
              <w:rPr>
                <w:rFonts w:hint="eastAsia" w:ascii="宋体" w:hAnsi="宋体"/>
                <w:sz w:val="24"/>
              </w:rPr>
              <w:t>提供中标公示网页截图、中标通知书</w:t>
            </w:r>
            <w:r>
              <w:rPr>
                <w:rFonts w:hint="eastAsia" w:ascii="宋体" w:hAnsi="宋体"/>
                <w:sz w:val="24"/>
                <w:lang w:val="en-US" w:eastAsia="zh-CN"/>
              </w:rPr>
              <w:t>及</w:t>
            </w:r>
            <w:r>
              <w:rPr>
                <w:rFonts w:hint="eastAsia" w:ascii="宋体" w:hAnsi="宋体"/>
                <w:sz w:val="24"/>
              </w:rPr>
              <w:t>施工合同扫描件</w:t>
            </w:r>
            <w:r>
              <w:rPr>
                <w:rFonts w:hint="eastAsia" w:ascii="宋体" w:hAnsi="宋体" w:cs="宋体"/>
                <w:sz w:val="24"/>
              </w:rPr>
              <w:t>）</w:t>
            </w:r>
          </w:p>
        </w:tc>
        <w:tc>
          <w:tcPr>
            <w:tcW w:w="1903" w:type="dxa"/>
            <w:noWrap w:val="0"/>
            <w:vAlign w:val="center"/>
          </w:tcPr>
          <w:p>
            <w:pPr>
              <w:spacing w:line="360" w:lineRule="auto"/>
              <w:jc w:val="center"/>
              <w:rPr>
                <w:rFonts w:hint="eastAsia" w:ascii="宋体" w:hAnsi="宋体"/>
                <w:sz w:val="24"/>
              </w:rPr>
            </w:pPr>
            <w:r>
              <w:rPr>
                <w:rFonts w:hint="eastAsia" w:hAnsi="宋体" w:cs="宋体"/>
                <w:color w:val="auto"/>
                <w:sz w:val="24"/>
                <w:szCs w:val="24"/>
              </w:rPr>
              <w:t>0＜得分≤4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9" w:hRule="atLeast"/>
          <w:jc w:val="center"/>
        </w:trPr>
        <w:tc>
          <w:tcPr>
            <w:tcW w:w="752"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2009" w:type="dxa"/>
            <w:noWrap w:val="0"/>
            <w:vAlign w:val="center"/>
          </w:tcPr>
          <w:p>
            <w:pPr>
              <w:spacing w:line="360" w:lineRule="auto"/>
              <w:jc w:val="center"/>
              <w:rPr>
                <w:rFonts w:ascii="宋体" w:hAnsi="宋体"/>
                <w:sz w:val="24"/>
              </w:rPr>
            </w:pPr>
            <w:r>
              <w:rPr>
                <w:rFonts w:hint="eastAsia" w:ascii="宋体" w:hAnsi="宋体"/>
                <w:sz w:val="24"/>
              </w:rPr>
              <w:t>项目经理业绩</w:t>
            </w:r>
          </w:p>
          <w:p>
            <w:pPr>
              <w:spacing w:line="360" w:lineRule="auto"/>
              <w:jc w:val="center"/>
              <w:rPr>
                <w:rFonts w:hint="eastAsia" w:ascii="宋体" w:hAnsi="宋体"/>
                <w:sz w:val="24"/>
              </w:rPr>
            </w:pPr>
          </w:p>
        </w:tc>
        <w:tc>
          <w:tcPr>
            <w:tcW w:w="4834" w:type="dxa"/>
            <w:noWrap w:val="0"/>
            <w:vAlign w:val="center"/>
          </w:tcPr>
          <w:p>
            <w:pPr>
              <w:spacing w:line="360" w:lineRule="auto"/>
              <w:rPr>
                <w:rFonts w:hint="eastAsia" w:ascii="宋体" w:hAnsi="宋体"/>
                <w:sz w:val="24"/>
              </w:rPr>
            </w:pPr>
            <w:r>
              <w:rPr>
                <w:rFonts w:hint="eastAsia" w:ascii="宋体" w:hAnsi="宋体" w:cs="宋体"/>
                <w:sz w:val="24"/>
              </w:rPr>
              <w:t>2017年1月1日以来（以合同签订时间为准）：拟派项目经理具有类似工程施工业绩者，得</w:t>
            </w:r>
            <w:r>
              <w:rPr>
                <w:rFonts w:hint="eastAsia" w:ascii="宋体" w:hAnsi="宋体" w:cs="宋体"/>
                <w:sz w:val="24"/>
                <w:lang w:val="en-US" w:eastAsia="zh-CN"/>
              </w:rPr>
              <w:t>6</w:t>
            </w:r>
            <w:r>
              <w:rPr>
                <w:rFonts w:hint="eastAsia" w:ascii="宋体" w:hAnsi="宋体" w:cs="宋体"/>
                <w:sz w:val="24"/>
              </w:rPr>
              <w:t>分，本项最高得</w:t>
            </w:r>
            <w:r>
              <w:rPr>
                <w:rFonts w:hint="eastAsia" w:ascii="宋体" w:hAnsi="宋体" w:cs="宋体"/>
                <w:sz w:val="24"/>
                <w:lang w:val="en-US" w:eastAsia="zh-CN"/>
              </w:rPr>
              <w:t>6</w:t>
            </w:r>
            <w:r>
              <w:rPr>
                <w:rFonts w:hint="eastAsia" w:ascii="宋体" w:hAnsi="宋体" w:cs="宋体"/>
                <w:sz w:val="24"/>
              </w:rPr>
              <w:t>分。（</w:t>
            </w:r>
            <w:r>
              <w:rPr>
                <w:rFonts w:hint="eastAsia" w:ascii="宋体" w:hAnsi="宋体"/>
                <w:sz w:val="24"/>
              </w:rPr>
              <w:t>提供中标公示网页截图、中标通知书</w:t>
            </w:r>
            <w:r>
              <w:rPr>
                <w:rFonts w:hint="eastAsia" w:ascii="宋体" w:hAnsi="宋体"/>
                <w:sz w:val="24"/>
                <w:lang w:val="en-US" w:eastAsia="zh-CN"/>
              </w:rPr>
              <w:t>及</w:t>
            </w:r>
            <w:r>
              <w:rPr>
                <w:rFonts w:hint="eastAsia" w:ascii="宋体" w:hAnsi="宋体"/>
                <w:sz w:val="24"/>
              </w:rPr>
              <w:t>施工合同扫描件</w:t>
            </w:r>
            <w:r>
              <w:rPr>
                <w:rFonts w:hint="eastAsia" w:ascii="宋体" w:hAnsi="宋体" w:cs="宋体"/>
                <w:sz w:val="24"/>
              </w:rPr>
              <w:t>）</w:t>
            </w:r>
          </w:p>
        </w:tc>
        <w:tc>
          <w:tcPr>
            <w:tcW w:w="1903" w:type="dxa"/>
            <w:noWrap w:val="0"/>
            <w:vAlign w:val="center"/>
          </w:tcPr>
          <w:p>
            <w:pPr>
              <w:spacing w:line="360" w:lineRule="auto"/>
              <w:jc w:val="center"/>
              <w:rPr>
                <w:rFonts w:hint="eastAsia" w:ascii="宋体" w:hAnsi="宋体"/>
                <w:sz w:val="24"/>
              </w:rPr>
            </w:pPr>
            <w:r>
              <w:rPr>
                <w:rFonts w:hint="eastAsia" w:hAnsi="宋体" w:cs="宋体"/>
                <w:color w:val="auto"/>
                <w:sz w:val="24"/>
                <w:szCs w:val="24"/>
              </w:rPr>
              <w:t>0＜得分≤6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52" w:type="dxa"/>
            <w:vMerge w:val="restart"/>
            <w:noWrap w:val="0"/>
            <w:vAlign w:val="center"/>
          </w:tcPr>
          <w:p>
            <w:pPr>
              <w:spacing w:line="360" w:lineRule="auto"/>
              <w:jc w:val="center"/>
              <w:rPr>
                <w:rFonts w:hint="eastAsia" w:ascii="宋体" w:hAnsi="宋体"/>
                <w:sz w:val="24"/>
              </w:rPr>
            </w:pPr>
            <w:r>
              <w:rPr>
                <w:rFonts w:hint="eastAsia" w:ascii="宋体" w:hAnsi="宋体"/>
                <w:sz w:val="24"/>
              </w:rPr>
              <w:t>3</w:t>
            </w:r>
          </w:p>
        </w:tc>
        <w:tc>
          <w:tcPr>
            <w:tcW w:w="2009" w:type="dxa"/>
            <w:vMerge w:val="restart"/>
            <w:noWrap w:val="0"/>
            <w:vAlign w:val="center"/>
          </w:tcPr>
          <w:p>
            <w:pPr>
              <w:spacing w:line="360" w:lineRule="auto"/>
              <w:jc w:val="center"/>
              <w:rPr>
                <w:rFonts w:ascii="宋体" w:hAnsi="宋体"/>
                <w:sz w:val="24"/>
              </w:rPr>
            </w:pPr>
            <w:r>
              <w:rPr>
                <w:rFonts w:hint="eastAsia" w:ascii="宋体" w:hAnsi="宋体"/>
                <w:sz w:val="24"/>
              </w:rPr>
              <w:t>优惠承诺</w:t>
            </w:r>
          </w:p>
          <w:p>
            <w:pPr>
              <w:spacing w:line="360" w:lineRule="auto"/>
              <w:jc w:val="center"/>
              <w:rPr>
                <w:rFonts w:hint="eastAsia" w:ascii="宋体" w:hAnsi="宋体"/>
                <w:sz w:val="24"/>
              </w:rPr>
            </w:pPr>
          </w:p>
        </w:tc>
        <w:tc>
          <w:tcPr>
            <w:tcW w:w="4834" w:type="dxa"/>
            <w:noWrap w:val="0"/>
            <w:vAlign w:val="center"/>
          </w:tcPr>
          <w:p>
            <w:pPr>
              <w:spacing w:line="360" w:lineRule="auto"/>
              <w:rPr>
                <w:rFonts w:hint="eastAsia" w:ascii="宋体" w:hAnsi="宋体" w:cs="宋体"/>
                <w:sz w:val="24"/>
              </w:rPr>
            </w:pPr>
            <w:r>
              <w:rPr>
                <w:rFonts w:hint="eastAsia" w:ascii="宋体" w:hAnsi="宋体" w:cs="宋体"/>
                <w:sz w:val="24"/>
              </w:rPr>
              <w:t>优惠承诺应是书面的符合工程实际情况，确保依法依规，优惠合理，详实可行。</w:t>
            </w:r>
          </w:p>
        </w:tc>
        <w:tc>
          <w:tcPr>
            <w:tcW w:w="1903" w:type="dxa"/>
            <w:noWrap w:val="0"/>
            <w:vAlign w:val="center"/>
          </w:tcPr>
          <w:p>
            <w:pPr>
              <w:spacing w:line="360" w:lineRule="auto"/>
              <w:jc w:val="center"/>
              <w:rPr>
                <w:rFonts w:hint="eastAsia" w:ascii="宋体" w:hAnsi="宋体"/>
                <w:sz w:val="24"/>
              </w:rPr>
            </w:pPr>
            <w:r>
              <w:rPr>
                <w:rFonts w:ascii="宋体" w:hAnsi="宋体"/>
                <w:sz w:val="24"/>
              </w:rPr>
              <w:t>3</w:t>
            </w:r>
            <w:r>
              <w:rPr>
                <w:rFonts w:hint="eastAsia" w:ascii="宋体" w:hAnsi="宋体"/>
                <w:sz w:val="24"/>
              </w:rPr>
              <w:t>＜得分≤4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752" w:type="dxa"/>
            <w:vMerge w:val="continue"/>
            <w:noWrap w:val="0"/>
            <w:vAlign w:val="center"/>
          </w:tcPr>
          <w:p>
            <w:pPr>
              <w:spacing w:line="360" w:lineRule="auto"/>
              <w:jc w:val="center"/>
              <w:rPr>
                <w:rFonts w:hint="eastAsia" w:ascii="宋体" w:hAnsi="宋体"/>
                <w:sz w:val="24"/>
              </w:rPr>
            </w:pPr>
          </w:p>
        </w:tc>
        <w:tc>
          <w:tcPr>
            <w:tcW w:w="2009" w:type="dxa"/>
            <w:vMerge w:val="continue"/>
            <w:noWrap w:val="0"/>
            <w:vAlign w:val="center"/>
          </w:tcPr>
          <w:p>
            <w:pPr>
              <w:spacing w:line="360" w:lineRule="auto"/>
              <w:jc w:val="center"/>
              <w:rPr>
                <w:rFonts w:hint="eastAsia" w:ascii="宋体" w:hAnsi="宋体"/>
                <w:sz w:val="24"/>
              </w:rPr>
            </w:pPr>
          </w:p>
        </w:tc>
        <w:tc>
          <w:tcPr>
            <w:tcW w:w="4834" w:type="dxa"/>
            <w:noWrap w:val="0"/>
            <w:vAlign w:val="center"/>
          </w:tcPr>
          <w:p>
            <w:pPr>
              <w:spacing w:line="360" w:lineRule="auto"/>
              <w:rPr>
                <w:rFonts w:hint="eastAsia" w:ascii="宋体" w:hAnsi="宋体" w:cs="宋体"/>
                <w:sz w:val="24"/>
              </w:rPr>
            </w:pPr>
            <w:r>
              <w:rPr>
                <w:rFonts w:hint="eastAsia" w:ascii="宋体" w:hAnsi="宋体" w:cs="宋体"/>
                <w:sz w:val="24"/>
              </w:rPr>
              <w:t>优惠承诺符合工程实际情况，确保依法依规，优惠基本合理，基本详实可行。</w:t>
            </w:r>
          </w:p>
        </w:tc>
        <w:tc>
          <w:tcPr>
            <w:tcW w:w="1903" w:type="dxa"/>
            <w:noWrap w:val="0"/>
            <w:vAlign w:val="center"/>
          </w:tcPr>
          <w:p>
            <w:pPr>
              <w:spacing w:line="360" w:lineRule="auto"/>
              <w:jc w:val="center"/>
              <w:rPr>
                <w:rFonts w:hint="eastAsia" w:ascii="宋体" w:hAnsi="宋体"/>
                <w:sz w:val="24"/>
              </w:rPr>
            </w:pPr>
            <w:r>
              <w:rPr>
                <w:rFonts w:hint="eastAsia" w:ascii="宋体" w:hAnsi="宋体"/>
                <w:sz w:val="24"/>
              </w:rPr>
              <w:t>1≤得分≤3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4" w:hRule="atLeast"/>
          <w:jc w:val="center"/>
        </w:trPr>
        <w:tc>
          <w:tcPr>
            <w:tcW w:w="752" w:type="dxa"/>
            <w:vMerge w:val="restart"/>
            <w:noWrap w:val="0"/>
            <w:vAlign w:val="center"/>
          </w:tcPr>
          <w:p>
            <w:pPr>
              <w:spacing w:line="360" w:lineRule="auto"/>
              <w:jc w:val="center"/>
              <w:rPr>
                <w:rFonts w:hint="eastAsia" w:ascii="宋体" w:hAnsi="宋体"/>
                <w:sz w:val="24"/>
              </w:rPr>
            </w:pPr>
            <w:r>
              <w:rPr>
                <w:rFonts w:hint="eastAsia" w:ascii="宋体" w:hAnsi="宋体"/>
                <w:sz w:val="24"/>
              </w:rPr>
              <w:t>4</w:t>
            </w:r>
          </w:p>
        </w:tc>
        <w:tc>
          <w:tcPr>
            <w:tcW w:w="2009" w:type="dxa"/>
            <w:vMerge w:val="restart"/>
            <w:noWrap w:val="0"/>
            <w:vAlign w:val="center"/>
          </w:tcPr>
          <w:p>
            <w:pPr>
              <w:spacing w:line="360" w:lineRule="auto"/>
              <w:jc w:val="center"/>
              <w:rPr>
                <w:rFonts w:ascii="宋体" w:hAnsi="宋体"/>
                <w:sz w:val="24"/>
              </w:rPr>
            </w:pPr>
            <w:r>
              <w:rPr>
                <w:rFonts w:hint="eastAsia" w:ascii="宋体" w:hAnsi="宋体"/>
                <w:sz w:val="24"/>
              </w:rPr>
              <w:t>履职尽责承诺</w:t>
            </w:r>
          </w:p>
          <w:p>
            <w:pPr>
              <w:spacing w:line="360" w:lineRule="auto"/>
              <w:jc w:val="center"/>
              <w:rPr>
                <w:rFonts w:hint="eastAsia" w:ascii="宋体" w:hAnsi="宋体"/>
                <w:sz w:val="24"/>
              </w:rPr>
            </w:pPr>
          </w:p>
        </w:tc>
        <w:tc>
          <w:tcPr>
            <w:tcW w:w="4834" w:type="dxa"/>
            <w:noWrap w:val="0"/>
            <w:vAlign w:val="center"/>
          </w:tcPr>
          <w:p>
            <w:pPr>
              <w:spacing w:line="360" w:lineRule="auto"/>
              <w:rPr>
                <w:rFonts w:hint="eastAsia" w:ascii="宋体" w:hAnsi="宋体" w:cs="宋体"/>
                <w:sz w:val="24"/>
              </w:rPr>
            </w:pPr>
            <w:r>
              <w:rPr>
                <w:rFonts w:hint="eastAsia" w:ascii="宋体" w:hAnsi="宋体" w:cs="宋体"/>
                <w:sz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903" w:type="dxa"/>
            <w:noWrap w:val="0"/>
            <w:vAlign w:val="center"/>
          </w:tcPr>
          <w:p>
            <w:pPr>
              <w:spacing w:line="360" w:lineRule="auto"/>
              <w:jc w:val="center"/>
              <w:rPr>
                <w:rFonts w:hint="eastAsia" w:ascii="宋体" w:hAnsi="宋体"/>
                <w:sz w:val="24"/>
              </w:rPr>
            </w:pPr>
            <w:r>
              <w:rPr>
                <w:rFonts w:hint="eastAsia" w:ascii="宋体" w:hAnsi="宋体"/>
                <w:sz w:val="24"/>
              </w:rPr>
              <w:t>2＜得分≤3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752" w:type="dxa"/>
            <w:vMerge w:val="continue"/>
            <w:noWrap w:val="0"/>
            <w:vAlign w:val="center"/>
          </w:tcPr>
          <w:p>
            <w:pPr>
              <w:spacing w:line="360" w:lineRule="auto"/>
              <w:jc w:val="center"/>
              <w:rPr>
                <w:rFonts w:hint="eastAsia" w:ascii="宋体" w:hAnsi="宋体"/>
                <w:sz w:val="24"/>
              </w:rPr>
            </w:pPr>
          </w:p>
        </w:tc>
        <w:tc>
          <w:tcPr>
            <w:tcW w:w="2009" w:type="dxa"/>
            <w:vMerge w:val="continue"/>
            <w:noWrap w:val="0"/>
            <w:vAlign w:val="center"/>
          </w:tcPr>
          <w:p>
            <w:pPr>
              <w:spacing w:line="360" w:lineRule="auto"/>
              <w:jc w:val="center"/>
              <w:rPr>
                <w:rFonts w:hint="eastAsia" w:ascii="宋体" w:hAnsi="宋体"/>
                <w:sz w:val="24"/>
              </w:rPr>
            </w:pPr>
          </w:p>
        </w:tc>
        <w:tc>
          <w:tcPr>
            <w:tcW w:w="4834" w:type="dxa"/>
            <w:noWrap w:val="0"/>
            <w:vAlign w:val="center"/>
          </w:tcPr>
          <w:p>
            <w:pPr>
              <w:spacing w:line="360" w:lineRule="auto"/>
              <w:rPr>
                <w:rFonts w:hint="eastAsia" w:ascii="宋体" w:hAnsi="宋体" w:cs="宋体"/>
                <w:sz w:val="24"/>
              </w:rPr>
            </w:pPr>
            <w:r>
              <w:rPr>
                <w:rFonts w:hint="eastAsia" w:ascii="宋体" w:hAnsi="宋体" w:cs="宋体"/>
                <w:sz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903" w:type="dxa"/>
            <w:noWrap w:val="0"/>
            <w:vAlign w:val="center"/>
          </w:tcPr>
          <w:p>
            <w:pPr>
              <w:spacing w:line="360" w:lineRule="auto"/>
              <w:jc w:val="center"/>
              <w:rPr>
                <w:rFonts w:hint="eastAsia" w:ascii="宋体" w:hAnsi="宋体"/>
                <w:sz w:val="24"/>
              </w:rPr>
            </w:pPr>
            <w:r>
              <w:rPr>
                <w:rFonts w:hint="eastAsia" w:ascii="宋体" w:hAnsi="宋体"/>
                <w:sz w:val="24"/>
              </w:rPr>
              <w:t>1≤得分≤2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5" w:hRule="atLeast"/>
          <w:jc w:val="center"/>
        </w:trPr>
        <w:tc>
          <w:tcPr>
            <w:tcW w:w="752" w:type="dxa"/>
            <w:noWrap w:val="0"/>
            <w:vAlign w:val="center"/>
          </w:tcPr>
          <w:p>
            <w:pPr>
              <w:spacing w:line="360" w:lineRule="auto"/>
              <w:jc w:val="center"/>
              <w:rPr>
                <w:rFonts w:hint="eastAsia" w:ascii="宋体" w:hAnsi="宋体"/>
                <w:sz w:val="24"/>
              </w:rPr>
            </w:pPr>
            <w:r>
              <w:rPr>
                <w:rFonts w:hint="eastAsia" w:ascii="宋体" w:hAnsi="宋体"/>
                <w:sz w:val="24"/>
              </w:rPr>
              <w:t>5</w:t>
            </w:r>
          </w:p>
        </w:tc>
        <w:tc>
          <w:tcPr>
            <w:tcW w:w="2009" w:type="dxa"/>
            <w:noWrap w:val="0"/>
            <w:vAlign w:val="center"/>
          </w:tcPr>
          <w:p>
            <w:pPr>
              <w:spacing w:line="360" w:lineRule="auto"/>
              <w:jc w:val="center"/>
              <w:rPr>
                <w:rFonts w:ascii="宋体" w:hAnsi="宋体"/>
                <w:sz w:val="24"/>
              </w:rPr>
            </w:pPr>
            <w:r>
              <w:rPr>
                <w:rFonts w:hint="eastAsia" w:ascii="宋体" w:hAnsi="宋体"/>
                <w:sz w:val="24"/>
              </w:rPr>
              <w:t>企业信用（含纳税诚信）</w:t>
            </w:r>
          </w:p>
          <w:p>
            <w:pPr>
              <w:spacing w:line="360" w:lineRule="auto"/>
              <w:jc w:val="center"/>
              <w:rPr>
                <w:rFonts w:hint="eastAsia" w:ascii="宋体" w:hAnsi="宋体"/>
                <w:sz w:val="24"/>
              </w:rPr>
            </w:pPr>
          </w:p>
        </w:tc>
        <w:tc>
          <w:tcPr>
            <w:tcW w:w="4834" w:type="dxa"/>
            <w:noWrap w:val="0"/>
            <w:vAlign w:val="center"/>
          </w:tcPr>
          <w:p>
            <w:pPr>
              <w:spacing w:line="360" w:lineRule="auto"/>
              <w:rPr>
                <w:rFonts w:hint="eastAsia" w:ascii="宋体" w:hAnsi="宋体" w:cs="宋体"/>
                <w:sz w:val="24"/>
              </w:rPr>
            </w:pPr>
            <w:r>
              <w:rPr>
                <w:rFonts w:hint="eastAsia" w:ascii="宋体" w:hAnsi="宋体" w:cs="宋体"/>
                <w:sz w:val="24"/>
              </w:rPr>
              <w:t>1、企业入选河南省建筑施工类重点培育企业名单的（提供网上截图）得2分，没有不得分。</w:t>
            </w:r>
          </w:p>
          <w:p>
            <w:pPr>
              <w:spacing w:line="360" w:lineRule="auto"/>
              <w:rPr>
                <w:rFonts w:hint="eastAsia" w:ascii="宋体" w:hAnsi="宋体" w:cs="宋体"/>
                <w:sz w:val="24"/>
              </w:rPr>
            </w:pPr>
            <w:r>
              <w:rPr>
                <w:rFonts w:hint="eastAsia" w:ascii="宋体" w:hAnsi="宋体" w:cs="宋体"/>
                <w:sz w:val="24"/>
              </w:rPr>
              <w:t>2、企业2017年1月1日以来（以证书发放时间为准）获得过河南省建设工程“中州杯”奖（省优质工程）等省级主管部门颁发的质量奖项证书的，得1分，没有不得分。</w:t>
            </w:r>
          </w:p>
          <w:p>
            <w:pPr>
              <w:spacing w:line="360" w:lineRule="auto"/>
              <w:rPr>
                <w:rFonts w:hint="eastAsia" w:ascii="宋体" w:hAnsi="宋体" w:cs="宋体"/>
                <w:sz w:val="24"/>
              </w:rPr>
            </w:pPr>
            <w:r>
              <w:rPr>
                <w:rFonts w:hint="eastAsia" w:ascii="宋体" w:hAnsi="宋体" w:cs="宋体"/>
                <w:sz w:val="24"/>
              </w:rPr>
              <w:t>3、企业2017年1月1日以来（以证书发放时间为准）获得过发明专利得1分，没有不得分。</w:t>
            </w:r>
          </w:p>
          <w:p>
            <w:pPr>
              <w:spacing w:line="360" w:lineRule="auto"/>
              <w:rPr>
                <w:rFonts w:hint="eastAsia" w:ascii="宋体" w:hAnsi="宋体" w:eastAsia="宋体" w:cs="宋体"/>
                <w:sz w:val="24"/>
                <w:lang w:eastAsia="zh-CN"/>
              </w:rPr>
            </w:pPr>
            <w:r>
              <w:rPr>
                <w:rFonts w:hint="eastAsia" w:ascii="宋体" w:hAnsi="宋体" w:cs="宋体"/>
                <w:sz w:val="24"/>
              </w:rPr>
              <w:t>注：满分4分，上述证明须提供获奖证书扫描件或网上公示截图</w:t>
            </w:r>
            <w:r>
              <w:rPr>
                <w:rFonts w:hint="eastAsia" w:ascii="宋体" w:hAnsi="宋体" w:cs="宋体"/>
                <w:sz w:val="24"/>
                <w:lang w:eastAsia="zh-CN"/>
              </w:rPr>
              <w:t>。</w:t>
            </w:r>
          </w:p>
        </w:tc>
        <w:tc>
          <w:tcPr>
            <w:tcW w:w="1903" w:type="dxa"/>
            <w:noWrap w:val="0"/>
            <w:vAlign w:val="center"/>
          </w:tcPr>
          <w:p>
            <w:pPr>
              <w:spacing w:line="360" w:lineRule="auto"/>
              <w:jc w:val="center"/>
              <w:rPr>
                <w:rFonts w:hint="eastAsia" w:ascii="宋体" w:hAnsi="宋体"/>
                <w:sz w:val="24"/>
              </w:rPr>
            </w:pPr>
            <w:r>
              <w:rPr>
                <w:rFonts w:hint="eastAsia" w:hAnsi="宋体" w:cs="宋体"/>
                <w:color w:val="auto"/>
                <w:sz w:val="24"/>
                <w:szCs w:val="24"/>
              </w:rPr>
              <w:t>0≤得分≤4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752" w:type="dxa"/>
            <w:noWrap w:val="0"/>
            <w:vAlign w:val="center"/>
          </w:tcPr>
          <w:p>
            <w:pPr>
              <w:spacing w:line="360" w:lineRule="auto"/>
              <w:jc w:val="center"/>
              <w:rPr>
                <w:rFonts w:hint="eastAsia" w:ascii="宋体" w:hAnsi="宋体"/>
                <w:sz w:val="24"/>
              </w:rPr>
            </w:pPr>
            <w:r>
              <w:rPr>
                <w:rFonts w:hint="eastAsia" w:ascii="宋体" w:hAnsi="宋体"/>
                <w:sz w:val="24"/>
              </w:rPr>
              <w:t>6</w:t>
            </w:r>
          </w:p>
        </w:tc>
        <w:tc>
          <w:tcPr>
            <w:tcW w:w="2009" w:type="dxa"/>
            <w:noWrap w:val="0"/>
            <w:vAlign w:val="center"/>
          </w:tcPr>
          <w:p>
            <w:pPr>
              <w:spacing w:line="360" w:lineRule="auto"/>
              <w:jc w:val="center"/>
              <w:rPr>
                <w:rFonts w:ascii="宋体" w:hAnsi="宋体"/>
                <w:sz w:val="24"/>
              </w:rPr>
            </w:pPr>
            <w:r>
              <w:rPr>
                <w:rFonts w:hint="eastAsia" w:ascii="宋体" w:hAnsi="宋体"/>
                <w:sz w:val="24"/>
              </w:rPr>
              <w:t>项目负责人信用</w:t>
            </w:r>
          </w:p>
          <w:p>
            <w:pPr>
              <w:spacing w:line="360" w:lineRule="auto"/>
              <w:jc w:val="center"/>
              <w:rPr>
                <w:rFonts w:hint="eastAsia" w:ascii="宋体" w:hAnsi="宋体"/>
                <w:sz w:val="24"/>
              </w:rPr>
            </w:pPr>
          </w:p>
        </w:tc>
        <w:tc>
          <w:tcPr>
            <w:tcW w:w="4834" w:type="dxa"/>
            <w:noWrap w:val="0"/>
            <w:vAlign w:val="center"/>
          </w:tcPr>
          <w:p>
            <w:pPr>
              <w:numPr>
                <w:ilvl w:val="0"/>
                <w:numId w:val="0"/>
              </w:numPr>
              <w:autoSpaceDE w:val="0"/>
              <w:autoSpaceDN w:val="0"/>
              <w:adjustRightInd w:val="0"/>
              <w:spacing w:line="360" w:lineRule="auto"/>
              <w:jc w:val="left"/>
              <w:rPr>
                <w:rFonts w:hint="eastAsia" w:ascii="宋体" w:hAnsi="宋体"/>
                <w:sz w:val="24"/>
              </w:rPr>
            </w:pPr>
            <w:r>
              <w:rPr>
                <w:rFonts w:hint="eastAsia" w:ascii="宋体" w:hAnsi="宋体" w:cs="宋体"/>
                <w:sz w:val="24"/>
              </w:rPr>
              <w:t>投标人拟派项目经理参与的同类工程获得省级以上奖项/荣誉</w:t>
            </w:r>
            <w:r>
              <w:rPr>
                <w:rFonts w:hint="eastAsia"/>
                <w:szCs w:val="21"/>
              </w:rPr>
              <w:t>（中州杯等）</w:t>
            </w:r>
            <w:r>
              <w:rPr>
                <w:rFonts w:hint="eastAsia" w:ascii="宋体" w:hAnsi="宋体" w:cs="宋体"/>
                <w:sz w:val="24"/>
              </w:rPr>
              <w:t>的得</w:t>
            </w:r>
            <w:r>
              <w:rPr>
                <w:rFonts w:hint="eastAsia" w:ascii="宋体" w:hAnsi="宋体" w:cs="宋体"/>
                <w:sz w:val="24"/>
                <w:lang w:val="en-US" w:eastAsia="zh-CN"/>
              </w:rPr>
              <w:t>2</w:t>
            </w:r>
            <w:r>
              <w:rPr>
                <w:rFonts w:hint="eastAsia" w:ascii="宋体" w:hAnsi="宋体" w:cs="宋体"/>
                <w:sz w:val="24"/>
              </w:rPr>
              <w:t>分</w:t>
            </w:r>
            <w:r>
              <w:rPr>
                <w:rFonts w:hint="eastAsia" w:ascii="宋体" w:hAnsi="宋体" w:cs="宋体"/>
                <w:sz w:val="24"/>
                <w:lang w:eastAsia="zh-CN"/>
              </w:rPr>
              <w:t>；获得</w:t>
            </w:r>
            <w:r>
              <w:rPr>
                <w:rFonts w:hint="eastAsia" w:ascii="宋体" w:hAnsi="宋体" w:cs="宋体"/>
                <w:sz w:val="24"/>
              </w:rPr>
              <w:t>市级奖项/荣誉（商鼎杯等）</w:t>
            </w:r>
            <w:r>
              <w:rPr>
                <w:rFonts w:hint="eastAsia" w:ascii="宋体" w:hAnsi="宋体" w:cs="宋体"/>
                <w:sz w:val="24"/>
                <w:lang w:eastAsia="zh-CN"/>
              </w:rPr>
              <w:t>的</w:t>
            </w:r>
            <w:r>
              <w:rPr>
                <w:rFonts w:hint="eastAsia" w:ascii="宋体" w:hAnsi="宋体" w:cs="宋体"/>
                <w:sz w:val="24"/>
              </w:rPr>
              <w:t>得</w:t>
            </w:r>
            <w:r>
              <w:rPr>
                <w:rFonts w:hint="eastAsia" w:ascii="宋体" w:hAnsi="宋体" w:cs="宋体"/>
                <w:sz w:val="24"/>
                <w:lang w:val="en-US" w:eastAsia="zh-CN"/>
              </w:rPr>
              <w:t>1</w:t>
            </w:r>
            <w:r>
              <w:rPr>
                <w:rFonts w:hint="eastAsia" w:ascii="宋体" w:hAnsi="宋体" w:cs="宋体"/>
                <w:sz w:val="24"/>
              </w:rPr>
              <w:t>分。</w:t>
            </w:r>
          </w:p>
        </w:tc>
        <w:tc>
          <w:tcPr>
            <w:tcW w:w="1903" w:type="dxa"/>
            <w:noWrap w:val="0"/>
            <w:vAlign w:val="center"/>
          </w:tcPr>
          <w:p>
            <w:pPr>
              <w:spacing w:line="360" w:lineRule="auto"/>
              <w:jc w:val="center"/>
              <w:rPr>
                <w:rFonts w:hint="eastAsia" w:ascii="宋体" w:hAnsi="宋体"/>
                <w:sz w:val="24"/>
              </w:rPr>
            </w:pPr>
            <w:r>
              <w:rPr>
                <w:rFonts w:hint="eastAsia" w:ascii="宋体" w:hAnsi="宋体"/>
                <w:sz w:val="24"/>
              </w:rPr>
              <w:t>0≤得分≤2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52" w:type="dxa"/>
            <w:noWrap w:val="0"/>
            <w:vAlign w:val="center"/>
          </w:tcPr>
          <w:p>
            <w:pPr>
              <w:spacing w:line="360" w:lineRule="auto"/>
              <w:jc w:val="center"/>
              <w:rPr>
                <w:rFonts w:hint="eastAsia" w:ascii="宋体" w:hAnsi="宋体"/>
                <w:sz w:val="24"/>
              </w:rPr>
            </w:pPr>
            <w:r>
              <w:rPr>
                <w:rFonts w:hint="eastAsia" w:ascii="宋体" w:hAnsi="宋体"/>
                <w:sz w:val="24"/>
              </w:rPr>
              <w:t>7</w:t>
            </w:r>
          </w:p>
        </w:tc>
        <w:tc>
          <w:tcPr>
            <w:tcW w:w="2009" w:type="dxa"/>
            <w:noWrap w:val="0"/>
            <w:vAlign w:val="center"/>
          </w:tcPr>
          <w:p>
            <w:pPr>
              <w:spacing w:line="360" w:lineRule="auto"/>
              <w:jc w:val="center"/>
              <w:rPr>
                <w:rFonts w:hint="eastAsia" w:ascii="宋体" w:hAnsi="宋体"/>
                <w:sz w:val="24"/>
              </w:rPr>
            </w:pPr>
            <w:r>
              <w:rPr>
                <w:rFonts w:hint="eastAsia" w:ascii="宋体" w:hAnsi="宋体"/>
                <w:sz w:val="24"/>
              </w:rPr>
              <w:t>招标人意见</w:t>
            </w:r>
          </w:p>
        </w:tc>
        <w:tc>
          <w:tcPr>
            <w:tcW w:w="4834" w:type="dxa"/>
            <w:noWrap w:val="0"/>
            <w:vAlign w:val="center"/>
          </w:tcPr>
          <w:p>
            <w:pPr>
              <w:spacing w:line="360" w:lineRule="auto"/>
              <w:rPr>
                <w:rFonts w:hint="eastAsia" w:ascii="宋体" w:hAnsi="宋体"/>
                <w:sz w:val="24"/>
              </w:rPr>
            </w:pPr>
            <w:r>
              <w:rPr>
                <w:rFonts w:hint="eastAsia" w:ascii="宋体" w:hAnsi="宋体"/>
                <w:sz w:val="24"/>
              </w:rPr>
              <w:t>招标人意见均为2分。</w:t>
            </w:r>
          </w:p>
        </w:tc>
        <w:tc>
          <w:tcPr>
            <w:tcW w:w="1903" w:type="dxa"/>
            <w:noWrap w:val="0"/>
            <w:vAlign w:val="center"/>
          </w:tcPr>
          <w:p>
            <w:pPr>
              <w:spacing w:line="360" w:lineRule="auto"/>
              <w:jc w:val="center"/>
              <w:rPr>
                <w:rFonts w:hint="eastAsia" w:ascii="宋体" w:hAnsi="宋体"/>
                <w:sz w:val="24"/>
              </w:rPr>
            </w:pPr>
            <w:r>
              <w:rPr>
                <w:rFonts w:hint="eastAsia" w:ascii="宋体" w:hAnsi="宋体"/>
                <w:sz w:val="24"/>
              </w:rPr>
              <w:t>0≤得分≤2分</w:t>
            </w:r>
          </w:p>
        </w:tc>
      </w:tr>
    </w:tbl>
    <w:p>
      <w:pPr>
        <w:spacing w:line="360" w:lineRule="auto"/>
        <w:ind w:firstLine="424" w:firstLineChars="176"/>
        <w:rPr>
          <w:rFonts w:ascii="宋体" w:hAnsi="宋体" w:cs="宋体"/>
          <w:b/>
          <w:bCs/>
          <w:sz w:val="24"/>
        </w:rPr>
      </w:pPr>
      <w:r>
        <w:rPr>
          <w:rFonts w:hint="eastAsia" w:ascii="宋体" w:hAnsi="宋体" w:cs="宋体"/>
          <w:b/>
          <w:bCs/>
          <w:sz w:val="24"/>
        </w:rPr>
        <w:t>注：1）业绩合同以合同签订日期为准，获奖证书以发证日期为准。</w:t>
      </w:r>
    </w:p>
    <w:p>
      <w:pPr>
        <w:spacing w:line="360" w:lineRule="auto"/>
        <w:ind w:firstLine="424" w:firstLineChars="176"/>
        <w:rPr>
          <w:rFonts w:ascii="宋体" w:hAnsi="宋体" w:cs="宋体"/>
          <w:b/>
          <w:bCs/>
          <w:sz w:val="24"/>
        </w:rPr>
      </w:pPr>
      <w:r>
        <w:rPr>
          <w:rFonts w:hint="eastAsia" w:ascii="宋体" w:hAnsi="宋体" w:cs="宋体"/>
          <w:b/>
          <w:bCs/>
          <w:sz w:val="24"/>
        </w:rPr>
        <w:t>2）凡评标办法里涉及到的证书、证件及业绩材料等，均应在电子版投标文件中附其原件扫描件（或图片），所有扫描件和图片须加盖企业电子公章，否则该项得分应作0分处理。</w:t>
      </w:r>
    </w:p>
    <w:p>
      <w:pPr>
        <w:spacing w:line="360" w:lineRule="auto"/>
        <w:ind w:firstLine="424" w:firstLineChars="176"/>
        <w:rPr>
          <w:rFonts w:ascii="宋体" w:hAnsi="宋体" w:cs="宋体"/>
          <w:b/>
          <w:bCs/>
          <w:sz w:val="24"/>
        </w:rPr>
      </w:pPr>
      <w:r>
        <w:rPr>
          <w:rFonts w:hint="eastAsia" w:ascii="宋体" w:hAnsi="宋体" w:cs="宋体"/>
          <w:b/>
          <w:bCs/>
          <w:sz w:val="24"/>
        </w:rPr>
        <w:t>3）类似业绩要求详见投标人须知前附表第1</w:t>
      </w:r>
      <w:r>
        <w:rPr>
          <w:rFonts w:ascii="宋体" w:hAnsi="宋体" w:cs="宋体"/>
          <w:b/>
          <w:bCs/>
          <w:sz w:val="24"/>
        </w:rPr>
        <w:t>0.1.1</w:t>
      </w:r>
      <w:r>
        <w:rPr>
          <w:rFonts w:hint="eastAsia" w:ascii="宋体" w:hAnsi="宋体" w:cs="宋体"/>
          <w:b/>
          <w:bCs/>
          <w:sz w:val="24"/>
        </w:rPr>
        <w:t>。</w:t>
      </w:r>
    </w:p>
    <w:p>
      <w:pPr>
        <w:spacing w:line="360" w:lineRule="auto"/>
        <w:ind w:firstLine="424" w:firstLineChars="176"/>
        <w:rPr>
          <w:rFonts w:hint="eastAsia" w:ascii="宋体" w:hAnsi="宋体" w:cs="宋体"/>
          <w:b/>
          <w:bCs/>
          <w:sz w:val="24"/>
        </w:rPr>
      </w:pPr>
      <w:r>
        <w:rPr>
          <w:rFonts w:hint="eastAsia" w:ascii="宋体" w:hAnsi="宋体" w:cs="宋体"/>
          <w:b/>
          <w:bCs/>
          <w:sz w:val="24"/>
        </w:rPr>
        <w:t>4）企业业绩与项目经理业绩不可重复计分。</w:t>
      </w:r>
    </w:p>
    <w:p>
      <w:pPr>
        <w:numPr>
          <w:ilvl w:val="0"/>
          <w:numId w:val="45"/>
        </w:numPr>
        <w:spacing w:line="360" w:lineRule="auto"/>
        <w:rPr>
          <w:rFonts w:hint="eastAsia" w:ascii="宋体" w:hAnsi="宋体" w:cs="宋体"/>
          <w:b/>
          <w:bCs/>
          <w:sz w:val="24"/>
        </w:rPr>
      </w:pPr>
      <w:r>
        <w:rPr>
          <w:rFonts w:hint="eastAsia" w:ascii="宋体" w:hAnsi="宋体" w:cs="宋体"/>
          <w:b/>
          <w:bCs/>
          <w:sz w:val="24"/>
        </w:rPr>
        <w:t>投标人综合得分</w:t>
      </w:r>
    </w:p>
    <w:p>
      <w:pPr>
        <w:spacing w:line="360" w:lineRule="auto"/>
        <w:ind w:firstLine="422" w:firstLineChars="176"/>
        <w:rPr>
          <w:rFonts w:hint="eastAsia" w:ascii="宋体" w:hAnsi="宋体" w:cs="宋体"/>
          <w:sz w:val="24"/>
        </w:rPr>
      </w:pPr>
      <w:r>
        <w:rPr>
          <w:rFonts w:hint="eastAsia" w:ascii="宋体" w:hAnsi="宋体" w:cs="宋体"/>
          <w:sz w:val="24"/>
        </w:rPr>
        <w:t xml:space="preserve">投标人综合得分＝技术标得分＋商务标得分＋综合标得分 </w:t>
      </w:r>
    </w:p>
    <w:p>
      <w:pPr>
        <w:numPr>
          <w:ilvl w:val="0"/>
          <w:numId w:val="45"/>
        </w:numPr>
        <w:spacing w:line="360" w:lineRule="auto"/>
        <w:rPr>
          <w:rFonts w:hint="eastAsia" w:ascii="宋体" w:hAnsi="宋体" w:cs="宋体"/>
          <w:b/>
          <w:bCs/>
          <w:sz w:val="24"/>
        </w:rPr>
      </w:pPr>
      <w:r>
        <w:rPr>
          <w:rFonts w:hint="eastAsia" w:ascii="宋体" w:hAnsi="宋体" w:cs="宋体"/>
          <w:b/>
          <w:bCs/>
          <w:sz w:val="24"/>
        </w:rPr>
        <w:t xml:space="preserve">投标人的最终得分及中标候选人排序 </w:t>
      </w:r>
    </w:p>
    <w:p>
      <w:pPr>
        <w:numPr>
          <w:ilvl w:val="0"/>
          <w:numId w:val="48"/>
        </w:numPr>
        <w:spacing w:line="360" w:lineRule="auto"/>
        <w:rPr>
          <w:rFonts w:hint="eastAsia" w:ascii="宋体" w:hAnsi="宋体" w:cs="宋体"/>
          <w:sz w:val="24"/>
        </w:rPr>
      </w:pPr>
      <w:r>
        <w:rPr>
          <w:rFonts w:hint="eastAsia" w:ascii="宋体" w:hAnsi="宋体" w:cs="宋体"/>
          <w:sz w:val="24"/>
        </w:rPr>
        <w:t>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pPr>
        <w:spacing w:line="360" w:lineRule="auto"/>
        <w:ind w:firstLine="422" w:firstLineChars="176"/>
        <w:rPr>
          <w:rFonts w:hint="eastAsia" w:ascii="宋体" w:hAnsi="宋体" w:cs="宋体"/>
          <w:sz w:val="24"/>
        </w:rPr>
      </w:pPr>
      <w:r>
        <w:rPr>
          <w:rFonts w:hint="eastAsia" w:ascii="宋体" w:hAnsi="宋体" w:cs="宋体"/>
          <w:sz w:val="24"/>
        </w:rPr>
        <w:t>评标委员会人数在5人以上时，去掉一个最高分和一个最低分取平均值；评标委员会人数在5人时，取所有评委评分的平均值。</w:t>
      </w:r>
    </w:p>
    <w:p>
      <w:pPr>
        <w:numPr>
          <w:ilvl w:val="0"/>
          <w:numId w:val="48"/>
        </w:numPr>
        <w:spacing w:line="360" w:lineRule="auto"/>
        <w:rPr>
          <w:rFonts w:hint="eastAsia" w:ascii="宋体" w:hAnsi="宋体" w:cs="宋体"/>
          <w:sz w:val="24"/>
        </w:rPr>
      </w:pPr>
      <w:r>
        <w:rPr>
          <w:rFonts w:hint="eastAsia" w:ascii="宋体" w:hAnsi="宋体" w:cs="宋体"/>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spacing w:line="360" w:lineRule="auto"/>
        <w:ind w:firstLine="422" w:firstLineChars="176"/>
        <w:rPr>
          <w:rFonts w:hint="eastAsia" w:ascii="宋体" w:hAnsi="宋体" w:cs="宋体"/>
          <w:sz w:val="24"/>
        </w:rPr>
      </w:pPr>
      <w:r>
        <w:rPr>
          <w:rFonts w:hint="eastAsia" w:ascii="宋体" w:hAnsi="宋体" w:cs="宋体"/>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numPr>
          <w:ilvl w:val="0"/>
          <w:numId w:val="42"/>
        </w:numPr>
        <w:spacing w:line="360" w:lineRule="auto"/>
        <w:ind w:firstLine="426"/>
        <w:rPr>
          <w:rFonts w:hint="eastAsia" w:ascii="宋体" w:hAnsi="宋体" w:cs="宋体"/>
          <w:b/>
          <w:bCs/>
          <w:sz w:val="24"/>
          <w:szCs w:val="22"/>
        </w:rPr>
      </w:pPr>
      <w:r>
        <w:rPr>
          <w:rFonts w:hint="eastAsia" w:ascii="宋体" w:hAnsi="宋体" w:cs="宋体"/>
          <w:b/>
          <w:bCs/>
          <w:sz w:val="24"/>
          <w:szCs w:val="22"/>
        </w:rPr>
        <w:t>定标</w:t>
      </w:r>
    </w:p>
    <w:p>
      <w:pPr>
        <w:spacing w:line="360" w:lineRule="auto"/>
        <w:ind w:firstLine="422" w:firstLineChars="176"/>
        <w:rPr>
          <w:rFonts w:hint="eastAsia" w:ascii="宋体" w:hAnsi="宋体" w:cs="宋体"/>
          <w:sz w:val="24"/>
        </w:rPr>
      </w:pPr>
      <w:r>
        <w:rPr>
          <w:rFonts w:hint="eastAsia" w:ascii="宋体" w:hAnsi="宋体" w:cs="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numPr>
          <w:ilvl w:val="0"/>
          <w:numId w:val="42"/>
        </w:numPr>
        <w:spacing w:line="360" w:lineRule="auto"/>
        <w:rPr>
          <w:rFonts w:hint="eastAsia" w:ascii="宋体" w:hAnsi="宋体" w:cs="宋体"/>
          <w:b/>
          <w:bCs/>
          <w:sz w:val="24"/>
          <w:szCs w:val="22"/>
        </w:rPr>
      </w:pPr>
      <w:r>
        <w:rPr>
          <w:rFonts w:hint="eastAsia" w:ascii="宋体" w:hAnsi="宋体" w:cs="宋体"/>
          <w:b/>
          <w:bCs/>
          <w:sz w:val="24"/>
          <w:szCs w:val="22"/>
        </w:rPr>
        <w:t>评标报告</w:t>
      </w:r>
    </w:p>
    <w:p>
      <w:pPr>
        <w:spacing w:line="360" w:lineRule="auto"/>
        <w:ind w:firstLine="422" w:firstLineChars="176"/>
        <w:rPr>
          <w:rFonts w:hint="eastAsia" w:ascii="宋体" w:hAnsi="宋体" w:cs="宋体"/>
          <w:sz w:val="24"/>
        </w:rPr>
      </w:pPr>
      <w:r>
        <w:rPr>
          <w:rFonts w:hint="eastAsia" w:ascii="宋体" w:hAnsi="宋体" w:cs="宋体"/>
          <w:sz w:val="24"/>
        </w:rPr>
        <w:t>评标委员会根据投标人须知前附表7.1条的规定向招标人提交评标报告。评标报告应当由全体评标委员会成员签字，并于评标结束时抄送有关行政监督部门。</w:t>
      </w:r>
    </w:p>
    <w:p>
      <w:pPr>
        <w:numPr>
          <w:ilvl w:val="0"/>
          <w:numId w:val="42"/>
        </w:numPr>
        <w:spacing w:line="360" w:lineRule="auto"/>
        <w:rPr>
          <w:rFonts w:hint="eastAsia" w:ascii="宋体" w:hAnsi="宋体" w:cs="宋体"/>
          <w:b/>
          <w:bCs/>
          <w:sz w:val="24"/>
          <w:szCs w:val="22"/>
        </w:rPr>
      </w:pPr>
      <w:r>
        <w:rPr>
          <w:rFonts w:hint="eastAsia" w:ascii="宋体" w:hAnsi="宋体" w:cs="宋体"/>
          <w:b/>
          <w:bCs/>
          <w:sz w:val="24"/>
          <w:szCs w:val="22"/>
        </w:rPr>
        <w:t>公示</w:t>
      </w:r>
    </w:p>
    <w:p>
      <w:pPr>
        <w:spacing w:line="360" w:lineRule="auto"/>
        <w:ind w:firstLine="422" w:firstLineChars="176"/>
        <w:rPr>
          <w:rFonts w:ascii="宋体" w:hAnsi="宋体" w:cs="宋体"/>
          <w:sz w:val="24"/>
        </w:rPr>
      </w:pPr>
      <w:r>
        <w:rPr>
          <w:rFonts w:hint="eastAsia" w:ascii="宋体" w:hAnsi="宋体" w:cs="宋体"/>
          <w:sz w:val="24"/>
        </w:rPr>
        <w:t>中标人确定后，招标人应当在《全国公共资源交易平台</w:t>
      </w:r>
      <w:r>
        <w:rPr>
          <w:rFonts w:ascii="宋体" w:hAnsi="宋体" w:cs="宋体"/>
          <w:sz w:val="24"/>
        </w:rPr>
        <w:t>(</w:t>
      </w:r>
      <w:r>
        <w:rPr>
          <w:rFonts w:hint="eastAsia" w:ascii="宋体" w:hAnsi="宋体" w:cs="宋体"/>
          <w:sz w:val="24"/>
        </w:rPr>
        <w:t>河南省</w:t>
      </w:r>
      <w:r>
        <w:rPr>
          <w:rFonts w:ascii="Segoe UI Emoji" w:hAnsi="Segoe UI Emoji" w:cs="Segoe UI Emoji"/>
          <w:sz w:val="24"/>
        </w:rPr>
        <w:t>▪</w:t>
      </w:r>
      <w:r>
        <w:rPr>
          <w:rFonts w:hint="eastAsia" w:ascii="宋体" w:hAnsi="宋体" w:cs="宋体"/>
          <w:sz w:val="24"/>
        </w:rPr>
        <w:t>许昌市</w:t>
      </w:r>
      <w:r>
        <w:rPr>
          <w:rFonts w:ascii="宋体" w:hAnsi="宋体" w:cs="宋体"/>
          <w:sz w:val="24"/>
        </w:rPr>
        <w:t>)</w:t>
      </w:r>
      <w:r>
        <w:rPr>
          <w:rFonts w:hint="eastAsia" w:ascii="宋体" w:hAnsi="宋体" w:cs="宋体"/>
          <w:sz w:val="24"/>
        </w:rPr>
        <w:t>》、《河南省电子招标投标公共服务平台》上进行公示，公示时间不少于</w:t>
      </w:r>
      <w:r>
        <w:rPr>
          <w:rFonts w:ascii="宋体" w:hAnsi="宋体" w:cs="宋体"/>
          <w:sz w:val="24"/>
        </w:rPr>
        <w:t>3</w:t>
      </w:r>
      <w:r>
        <w:rPr>
          <w:rFonts w:hint="eastAsia" w:ascii="宋体" w:hAnsi="宋体" w:cs="宋体"/>
          <w:sz w:val="24"/>
        </w:rPr>
        <w:t>日。公示期满后，招标人应当将招标投标情况书面报告提交招标投标管理部门备案，向中标人发出中标通知书，并向所有合格投标人告知中标结果。</w:t>
      </w:r>
    </w:p>
    <w:p>
      <w:pPr>
        <w:numPr>
          <w:ilvl w:val="0"/>
          <w:numId w:val="42"/>
        </w:numPr>
        <w:spacing w:line="360" w:lineRule="auto"/>
        <w:rPr>
          <w:rFonts w:hint="eastAsia" w:ascii="宋体" w:hAnsi="宋体" w:cs="宋体"/>
          <w:b/>
          <w:bCs/>
          <w:sz w:val="24"/>
          <w:szCs w:val="22"/>
        </w:rPr>
      </w:pPr>
      <w:r>
        <w:rPr>
          <w:rFonts w:hint="eastAsia" w:ascii="宋体" w:hAnsi="宋体" w:cs="宋体"/>
          <w:b/>
          <w:bCs/>
          <w:sz w:val="24"/>
          <w:szCs w:val="22"/>
        </w:rPr>
        <w:t>特殊情况的处置程序</w:t>
      </w:r>
    </w:p>
    <w:p>
      <w:pPr>
        <w:numPr>
          <w:ilvl w:val="1"/>
          <w:numId w:val="49"/>
        </w:numPr>
        <w:spacing w:line="360" w:lineRule="auto"/>
        <w:rPr>
          <w:rFonts w:hint="eastAsia" w:ascii="宋体" w:hAnsi="宋体" w:cs="宋体"/>
          <w:sz w:val="24"/>
        </w:rPr>
      </w:pPr>
      <w:r>
        <w:rPr>
          <w:rFonts w:hint="eastAsia" w:ascii="宋体" w:hAnsi="宋体" w:cs="宋体"/>
          <w:sz w:val="24"/>
        </w:rPr>
        <w:t>关于澄清、说明或补正</w:t>
      </w:r>
    </w:p>
    <w:p>
      <w:pPr>
        <w:spacing w:line="360" w:lineRule="auto"/>
        <w:ind w:firstLine="422" w:firstLineChars="176"/>
        <w:rPr>
          <w:rFonts w:hint="eastAsia" w:ascii="宋体" w:hAnsi="宋体" w:cs="宋体"/>
          <w:sz w:val="24"/>
        </w:rPr>
      </w:pPr>
      <w:r>
        <w:rPr>
          <w:rFonts w:hint="eastAsia" w:ascii="宋体"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pPr>
        <w:numPr>
          <w:ilvl w:val="1"/>
          <w:numId w:val="49"/>
        </w:numPr>
        <w:spacing w:line="360" w:lineRule="auto"/>
        <w:rPr>
          <w:rFonts w:hint="eastAsia" w:ascii="宋体" w:hAnsi="宋体" w:cs="宋体"/>
          <w:sz w:val="24"/>
        </w:rPr>
      </w:pPr>
      <w:r>
        <w:rPr>
          <w:rFonts w:hint="eastAsia" w:ascii="宋体" w:hAnsi="宋体" w:cs="宋体"/>
          <w:sz w:val="24"/>
        </w:rPr>
        <w:t>关于评标活动暂停</w:t>
      </w:r>
    </w:p>
    <w:p>
      <w:pPr>
        <w:numPr>
          <w:ilvl w:val="2"/>
          <w:numId w:val="50"/>
        </w:numPr>
        <w:spacing w:line="360" w:lineRule="auto"/>
        <w:rPr>
          <w:rFonts w:hint="eastAsia" w:ascii="宋体" w:hAnsi="宋体" w:cs="宋体"/>
          <w:sz w:val="24"/>
        </w:rPr>
      </w:pPr>
      <w:r>
        <w:rPr>
          <w:rFonts w:hint="eastAsia" w:ascii="宋体" w:hAnsi="宋体" w:cs="宋体"/>
          <w:sz w:val="24"/>
        </w:rPr>
        <w:t>评标委员会应当执行连续评标的原则，按评标办法中规定的程序、内容、方法、标准完成全部评标工作。只有发生不可抗力导致评标工作无法继续时，评标活动方可暂停。</w:t>
      </w:r>
    </w:p>
    <w:p>
      <w:pPr>
        <w:numPr>
          <w:ilvl w:val="2"/>
          <w:numId w:val="50"/>
        </w:numPr>
        <w:spacing w:line="360" w:lineRule="auto"/>
        <w:rPr>
          <w:rFonts w:hint="eastAsia" w:ascii="宋体" w:hAnsi="宋体" w:cs="宋体"/>
          <w:sz w:val="24"/>
        </w:rPr>
      </w:pPr>
      <w:r>
        <w:rPr>
          <w:rFonts w:hint="eastAsia" w:ascii="宋体" w:hAnsi="宋体" w:cs="宋体"/>
          <w:sz w:val="24"/>
        </w:rPr>
        <w:t>发生评标暂停情况时，评标委员会应当封存全部投标文件和评标记录，待不可抗力的影响结束且具备继续评标的条件时，由原评标委员会继续评标。</w:t>
      </w:r>
    </w:p>
    <w:p>
      <w:pPr>
        <w:numPr>
          <w:ilvl w:val="1"/>
          <w:numId w:val="49"/>
        </w:numPr>
        <w:spacing w:line="360" w:lineRule="auto"/>
        <w:rPr>
          <w:rFonts w:hint="eastAsia" w:ascii="宋体" w:hAnsi="宋体" w:cs="宋体"/>
          <w:sz w:val="24"/>
        </w:rPr>
      </w:pPr>
      <w:r>
        <w:rPr>
          <w:rFonts w:hint="eastAsia" w:ascii="宋体" w:hAnsi="宋体" w:cs="宋体"/>
          <w:sz w:val="24"/>
        </w:rPr>
        <w:t>关于评标中途更换评标委员会成员</w:t>
      </w:r>
    </w:p>
    <w:p>
      <w:pPr>
        <w:numPr>
          <w:ilvl w:val="2"/>
          <w:numId w:val="51"/>
        </w:numPr>
        <w:spacing w:line="360" w:lineRule="auto"/>
        <w:rPr>
          <w:rFonts w:hint="eastAsia" w:ascii="宋体" w:hAnsi="宋体" w:cs="宋体"/>
          <w:sz w:val="24"/>
        </w:rPr>
      </w:pPr>
      <w:r>
        <w:rPr>
          <w:rFonts w:hint="eastAsia" w:ascii="宋体" w:hAnsi="宋体" w:cs="宋体"/>
          <w:sz w:val="24"/>
        </w:rPr>
        <w:t>除非发生下列情况之一，评标委员会成员不得在评标中途更换：</w:t>
      </w:r>
    </w:p>
    <w:p>
      <w:pPr>
        <w:spacing w:line="360" w:lineRule="auto"/>
        <w:ind w:firstLine="422" w:firstLineChars="176"/>
        <w:rPr>
          <w:rFonts w:hint="eastAsia" w:ascii="宋体" w:hAnsi="宋体" w:cs="宋体"/>
          <w:sz w:val="24"/>
        </w:rPr>
      </w:pPr>
      <w:r>
        <w:rPr>
          <w:rFonts w:hint="eastAsia" w:ascii="宋体" w:hAnsi="宋体" w:cs="宋体"/>
          <w:sz w:val="24"/>
        </w:rPr>
        <w:t>（1）因不可抗拒的客观原因，不能到场或需在评标中途退出评标活动。</w:t>
      </w:r>
    </w:p>
    <w:p>
      <w:pPr>
        <w:spacing w:line="360" w:lineRule="auto"/>
        <w:ind w:firstLine="422" w:firstLineChars="176"/>
        <w:rPr>
          <w:rFonts w:hint="eastAsia" w:ascii="宋体" w:hAnsi="宋体" w:cs="宋体"/>
          <w:sz w:val="24"/>
        </w:rPr>
      </w:pPr>
      <w:r>
        <w:rPr>
          <w:rFonts w:hint="eastAsia" w:ascii="宋体" w:hAnsi="宋体" w:cs="宋体"/>
          <w:sz w:val="24"/>
        </w:rPr>
        <w:t>（2）根据法律法规规定，某个或某几个评标委员会成员需要回避。</w:t>
      </w:r>
    </w:p>
    <w:p>
      <w:pPr>
        <w:numPr>
          <w:ilvl w:val="2"/>
          <w:numId w:val="51"/>
        </w:numPr>
        <w:spacing w:line="360" w:lineRule="auto"/>
        <w:rPr>
          <w:rFonts w:hint="eastAsia" w:ascii="宋体" w:hAnsi="宋体" w:cs="宋体"/>
          <w:sz w:val="24"/>
        </w:rPr>
      </w:pPr>
      <w:r>
        <w:rPr>
          <w:rFonts w:hint="eastAsia" w:ascii="宋体" w:hAnsi="宋体" w:cs="宋体"/>
          <w:sz w:val="24"/>
        </w:rPr>
        <w:t>退出评标的评标委员会成员，其已完成的评标行为无效。由招标人根据本招标文件规定的评标委员会成员产生方式另行确定替代者进行评标。</w:t>
      </w:r>
    </w:p>
    <w:p>
      <w:pPr>
        <w:numPr>
          <w:ilvl w:val="1"/>
          <w:numId w:val="49"/>
        </w:numPr>
        <w:spacing w:line="360" w:lineRule="auto"/>
        <w:rPr>
          <w:rFonts w:hint="eastAsia" w:ascii="宋体" w:hAnsi="宋体" w:cs="宋体"/>
          <w:sz w:val="24"/>
        </w:rPr>
      </w:pPr>
      <w:r>
        <w:rPr>
          <w:rFonts w:hint="eastAsia" w:ascii="宋体" w:hAnsi="宋体" w:cs="宋体"/>
          <w:sz w:val="24"/>
        </w:rPr>
        <w:t>记名投票</w:t>
      </w:r>
    </w:p>
    <w:p>
      <w:pPr>
        <w:spacing w:line="360" w:lineRule="auto"/>
        <w:ind w:firstLine="422" w:firstLineChars="176"/>
        <w:rPr>
          <w:rFonts w:hint="eastAsia" w:ascii="宋体" w:hAnsi="宋体" w:cs="宋体"/>
          <w:sz w:val="24"/>
        </w:rPr>
      </w:pPr>
      <w:r>
        <w:rPr>
          <w:rFonts w:hint="eastAsia" w:ascii="宋体" w:hAnsi="宋体" w:cs="宋体"/>
          <w:sz w:val="24"/>
        </w:rPr>
        <w:t>在任何评标环节中，需评标委员会就某项定性的评审结论做出表决的，由评标委员会全体成员按照少数服从多数的原则，以记名投票方式表决。</w:t>
      </w:r>
    </w:p>
    <w:p>
      <w:pPr>
        <w:numPr>
          <w:ilvl w:val="1"/>
          <w:numId w:val="49"/>
        </w:numPr>
        <w:spacing w:line="360" w:lineRule="auto"/>
        <w:rPr>
          <w:rFonts w:hint="eastAsia" w:ascii="宋体" w:hAnsi="宋体" w:cs="宋体"/>
          <w:sz w:val="24"/>
        </w:rPr>
      </w:pPr>
      <w:r>
        <w:rPr>
          <w:rFonts w:hint="eastAsia" w:ascii="宋体" w:hAnsi="宋体" w:cs="宋体"/>
          <w:sz w:val="24"/>
        </w:rPr>
        <w:t>评标委员会对评标结果有异议的</w:t>
      </w:r>
    </w:p>
    <w:p>
      <w:pPr>
        <w:spacing w:line="360" w:lineRule="auto"/>
        <w:ind w:firstLine="422" w:firstLineChars="176"/>
        <w:rPr>
          <w:rFonts w:hint="eastAsia" w:ascii="宋体" w:hAnsi="宋体" w:cs="宋体"/>
          <w:sz w:val="24"/>
        </w:rPr>
      </w:pPr>
      <w:r>
        <w:rPr>
          <w:rFonts w:hint="eastAsia" w:ascii="宋体" w:hAnsi="宋体" w:cs="宋体"/>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hint="eastAsia" w:ascii="宋体" w:hAnsi="宋体"/>
          <w:sz w:val="24"/>
        </w:rPr>
      </w:pPr>
      <w:r>
        <w:rPr>
          <w:rFonts w:ascii="宋体" w:hAnsi="宋体"/>
          <w:sz w:val="24"/>
        </w:rPr>
        <w:br w:type="page"/>
      </w:r>
    </w:p>
    <w:p>
      <w:pPr>
        <w:pStyle w:val="6"/>
        <w:numPr>
          <w:ilvl w:val="0"/>
          <w:numId w:val="1"/>
        </w:numPr>
        <w:spacing w:before="156" w:beforeLines="50" w:after="156" w:afterLines="50" w:line="360" w:lineRule="auto"/>
        <w:jc w:val="center"/>
        <w:rPr>
          <w:rFonts w:hint="eastAsia" w:ascii="宋体" w:hAnsi="宋体"/>
          <w:sz w:val="32"/>
          <w:szCs w:val="32"/>
        </w:rPr>
      </w:pPr>
      <w:bookmarkStart w:id="485" w:name="_Toc247527634"/>
      <w:bookmarkStart w:id="486" w:name="_Toc144974577"/>
      <w:bookmarkStart w:id="487" w:name="_Toc152042387"/>
      <w:bookmarkStart w:id="488" w:name="_Toc43198899"/>
      <w:bookmarkStart w:id="489" w:name="_Toc152045609"/>
      <w:bookmarkStart w:id="490" w:name="_Toc300835030"/>
      <w:bookmarkStart w:id="491" w:name="_Toc247514033"/>
      <w:r>
        <w:rPr>
          <w:rFonts w:hint="eastAsia" w:ascii="宋体" w:hAnsi="宋体"/>
          <w:sz w:val="32"/>
          <w:szCs w:val="32"/>
        </w:rPr>
        <w:t>合同条款及格式</w:t>
      </w:r>
      <w:bookmarkEnd w:id="485"/>
      <w:bookmarkEnd w:id="486"/>
      <w:bookmarkEnd w:id="487"/>
      <w:bookmarkEnd w:id="488"/>
      <w:bookmarkEnd w:id="489"/>
      <w:bookmarkEnd w:id="490"/>
      <w:bookmarkEnd w:id="491"/>
      <w:bookmarkStart w:id="492" w:name="_Toc184635097"/>
      <w:bookmarkStart w:id="493" w:name="_Toc247514034"/>
      <w:bookmarkStart w:id="494" w:name="_Toc247527635"/>
      <w:bookmarkStart w:id="495" w:name="_Toc152045610"/>
      <w:bookmarkStart w:id="496" w:name="_Toc152042388"/>
      <w:bookmarkStart w:id="497" w:name="_Toc144974578"/>
    </w:p>
    <w:bookmarkEnd w:id="492"/>
    <w:bookmarkEnd w:id="493"/>
    <w:bookmarkEnd w:id="494"/>
    <w:p>
      <w:pPr>
        <w:autoSpaceDE w:val="0"/>
        <w:autoSpaceDN w:val="0"/>
        <w:adjustRightInd w:val="0"/>
        <w:spacing w:line="360" w:lineRule="auto"/>
        <w:jc w:val="center"/>
        <w:rPr>
          <w:rFonts w:hint="eastAsia" w:ascii="宋体" w:hAnsi="宋体" w:cs="宋体"/>
          <w:sz w:val="24"/>
        </w:rPr>
      </w:pPr>
    </w:p>
    <w:p>
      <w:pPr>
        <w:spacing w:line="360" w:lineRule="auto"/>
        <w:jc w:val="center"/>
        <w:rPr>
          <w:rFonts w:ascii="宋体" w:hAnsi="宋体" w:cs="宋体"/>
          <w:sz w:val="24"/>
        </w:rPr>
      </w:pPr>
      <w:r>
        <w:rPr>
          <w:rFonts w:hint="eastAsia" w:ascii="宋体" w:hAnsi="宋体" w:cs="宋体"/>
          <w:sz w:val="24"/>
        </w:rPr>
        <w:t>采用由中华人民共和国住房和城乡建设部与国家工商行政管理局联合制定的《建设工程施工合同》(GF2017-0201)签订合同（以最终签订合同为准）。</w:t>
      </w:r>
    </w:p>
    <w:p/>
    <w:p>
      <w:pPr>
        <w:pStyle w:val="6"/>
        <w:numPr>
          <w:ilvl w:val="0"/>
          <w:numId w:val="1"/>
        </w:numPr>
        <w:spacing w:before="156" w:beforeLines="50" w:after="156" w:afterLines="50" w:line="360" w:lineRule="auto"/>
        <w:jc w:val="center"/>
        <w:rPr>
          <w:rFonts w:ascii="宋体" w:hAnsi="宋体"/>
          <w:sz w:val="32"/>
          <w:szCs w:val="32"/>
        </w:rPr>
      </w:pPr>
      <w:r>
        <w:br w:type="page"/>
      </w:r>
      <w:bookmarkStart w:id="498" w:name="_Toc43198900"/>
      <w:r>
        <w:rPr>
          <w:rFonts w:hint="eastAsia" w:ascii="宋体" w:hAnsi="宋体"/>
          <w:sz w:val="32"/>
          <w:szCs w:val="32"/>
        </w:rPr>
        <w:t>工程量清单</w:t>
      </w:r>
      <w:bookmarkEnd w:id="498"/>
    </w:p>
    <w:p>
      <w:pPr>
        <w:spacing w:line="360" w:lineRule="auto"/>
        <w:ind w:firstLine="424" w:firstLineChars="176"/>
        <w:rPr>
          <w:rFonts w:hint="eastAsia" w:ascii="宋体" w:hAnsi="宋体"/>
          <w:b/>
          <w:bCs/>
          <w:sz w:val="24"/>
        </w:rPr>
      </w:pPr>
      <w:r>
        <w:rPr>
          <w:rFonts w:hint="eastAsia" w:ascii="宋体" w:hAnsi="宋体"/>
          <w:b/>
          <w:bCs/>
          <w:sz w:val="24"/>
          <w:u w:val="single"/>
        </w:rPr>
        <w:t>工程量清单在《全国公共资源交易平台（河南省·许昌市）》</w:t>
      </w:r>
      <w:r>
        <w:rPr>
          <w:rFonts w:hint="eastAsia" w:ascii="宋体" w:hAnsi="宋体" w:cs="MS Mincho"/>
          <w:b/>
          <w:bCs/>
          <w:sz w:val="24"/>
        </w:rPr>
        <w:t>（</w:t>
      </w:r>
      <w:r>
        <w:rPr>
          <w:rFonts w:hint="eastAsia" w:ascii="宋体" w:hAnsi="宋体"/>
          <w:b/>
          <w:bCs/>
          <w:sz w:val="24"/>
        </w:rPr>
        <w:fldChar w:fldCharType="begin"/>
      </w:r>
      <w:r>
        <w:rPr>
          <w:rFonts w:ascii="宋体" w:hAnsi="宋体"/>
          <w:b/>
          <w:bCs/>
          <w:sz w:val="24"/>
        </w:rPr>
        <w:instrText xml:space="preserve"> HYPERLINK "http://www.xczbtb.com/" </w:instrText>
      </w:r>
      <w:r>
        <w:rPr>
          <w:rFonts w:hint="eastAsia" w:ascii="宋体" w:hAnsi="宋体"/>
          <w:b/>
          <w:bCs/>
          <w:sz w:val="24"/>
        </w:rPr>
        <w:fldChar w:fldCharType="separate"/>
      </w:r>
      <w:r>
        <w:rPr>
          <w:rStyle w:val="15"/>
          <w:rFonts w:hint="eastAsia" w:ascii="宋体" w:hAnsi="宋体" w:cs="MS Mincho"/>
          <w:b/>
          <w:bCs/>
          <w:color w:val="auto"/>
          <w:sz w:val="24"/>
        </w:rPr>
        <w:t>http://www.xcggzy.gov.cn:8088/ggzy/</w:t>
      </w:r>
      <w:r>
        <w:rPr>
          <w:rFonts w:hint="eastAsia" w:ascii="宋体" w:hAnsi="宋体" w:cs="MS Mincho"/>
          <w:b/>
          <w:bCs/>
          <w:color w:val="auto"/>
          <w:sz w:val="24"/>
        </w:rPr>
        <w:fldChar w:fldCharType="end"/>
      </w:r>
      <w:r>
        <w:rPr>
          <w:rFonts w:hint="eastAsia" w:ascii="宋体" w:hAnsi="宋体" w:cs="MS Mincho"/>
          <w:b/>
          <w:bCs/>
          <w:sz w:val="24"/>
        </w:rPr>
        <w:t>），通过“投标人/供应商登录”后</w:t>
      </w:r>
      <w:r>
        <w:rPr>
          <w:rFonts w:hint="eastAsia" w:ascii="宋体" w:hAnsi="宋体"/>
          <w:b/>
          <w:bCs/>
          <w:sz w:val="24"/>
        </w:rPr>
        <w:t>自行下载。如有缺项、漏项或少算现象，请及时在</w:t>
      </w:r>
      <w:r>
        <w:rPr>
          <w:rFonts w:hint="eastAsia" w:ascii="宋体" w:hAnsi="宋体"/>
          <w:b/>
          <w:bCs/>
          <w:sz w:val="24"/>
          <w:u w:val="single"/>
        </w:rPr>
        <w:t>【全国公共资源交易平台(河南省</w:t>
      </w:r>
      <w:r>
        <w:rPr>
          <w:rFonts w:ascii="Segoe UI Emoji" w:hAnsi="Segoe UI Emoji" w:cs="Segoe UI Emoji"/>
          <w:b/>
          <w:bCs/>
          <w:sz w:val="24"/>
          <w:u w:val="single"/>
        </w:rPr>
        <w:t>▪</w:t>
      </w:r>
      <w:r>
        <w:rPr>
          <w:rFonts w:hint="eastAsia" w:ascii="宋体" w:hAnsi="宋体" w:cs="MS Mincho"/>
          <w:b/>
          <w:bCs/>
          <w:sz w:val="24"/>
          <w:u w:val="single"/>
        </w:rPr>
        <w:t>许昌市</w:t>
      </w:r>
      <w:r>
        <w:rPr>
          <w:rFonts w:hint="eastAsia" w:ascii="宋体" w:hAnsi="宋体"/>
          <w:b/>
          <w:bCs/>
          <w:sz w:val="24"/>
          <w:u w:val="single"/>
        </w:rPr>
        <w:t>)】</w:t>
      </w:r>
      <w:r>
        <w:rPr>
          <w:rFonts w:hint="eastAsia" w:ascii="宋体" w:hAnsi="宋体"/>
          <w:b/>
          <w:bCs/>
          <w:sz w:val="24"/>
        </w:rPr>
        <w:t>上提出。</w:t>
      </w:r>
    </w:p>
    <w:p>
      <w:pPr>
        <w:numPr>
          <w:ilvl w:val="0"/>
          <w:numId w:val="52"/>
        </w:numPr>
        <w:spacing w:line="360" w:lineRule="auto"/>
        <w:rPr>
          <w:rFonts w:hint="eastAsia" w:ascii="宋体" w:hAnsi="宋体"/>
          <w:b/>
          <w:bCs/>
          <w:sz w:val="24"/>
        </w:rPr>
      </w:pPr>
      <w:r>
        <w:rPr>
          <w:rFonts w:hint="eastAsia" w:ascii="宋体" w:hAnsi="宋体"/>
          <w:b/>
          <w:bCs/>
          <w:sz w:val="24"/>
        </w:rPr>
        <w:t>工程量清单说明</w:t>
      </w:r>
    </w:p>
    <w:p>
      <w:pPr>
        <w:numPr>
          <w:ilvl w:val="1"/>
          <w:numId w:val="53"/>
        </w:numPr>
        <w:spacing w:line="360" w:lineRule="auto"/>
        <w:rPr>
          <w:rFonts w:hint="eastAsia" w:ascii="宋体" w:hAnsi="宋体"/>
          <w:sz w:val="24"/>
        </w:rPr>
      </w:pPr>
      <w:r>
        <w:rPr>
          <w:rFonts w:hint="eastAsia" w:ascii="宋体" w:hAnsi="宋体"/>
          <w:sz w:val="24"/>
        </w:rPr>
        <w:t>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numPr>
          <w:ilvl w:val="1"/>
          <w:numId w:val="53"/>
        </w:numPr>
        <w:spacing w:line="360" w:lineRule="auto"/>
        <w:rPr>
          <w:rFonts w:hint="eastAsia" w:ascii="宋体" w:hAnsi="宋体"/>
          <w:sz w:val="24"/>
        </w:rPr>
      </w:pPr>
      <w:r>
        <w:rPr>
          <w:rFonts w:hint="eastAsia" w:ascii="宋体" w:hAnsi="宋体"/>
          <w:sz w:val="24"/>
        </w:rPr>
        <w:t>本工程量清单应与招标文件中的投标人须知、通用合同条款、专用合同条款、技术标准和要求及图纸等章节内容一起阅读和理解。</w:t>
      </w:r>
    </w:p>
    <w:p>
      <w:pPr>
        <w:numPr>
          <w:ilvl w:val="1"/>
          <w:numId w:val="53"/>
        </w:numPr>
        <w:spacing w:line="360" w:lineRule="auto"/>
        <w:rPr>
          <w:rFonts w:hint="eastAsia" w:ascii="宋体" w:hAnsi="宋体"/>
          <w:sz w:val="24"/>
        </w:rPr>
      </w:pPr>
      <w:r>
        <w:rPr>
          <w:rFonts w:hint="eastAsia" w:ascii="宋体" w:hAnsi="宋体"/>
          <w:sz w:val="24"/>
        </w:rPr>
        <w:t>本工程量清单仅是投标报价的共同基础，竣工结算的工程量按合同约定确定。合同价格的确定以及价款支付应遵循合同条款(包括通用合同条款和专用合同条款)、技术标准和要求以及本章的有关约定。</w:t>
      </w:r>
    </w:p>
    <w:p>
      <w:pPr>
        <w:numPr>
          <w:ilvl w:val="1"/>
          <w:numId w:val="53"/>
        </w:numPr>
        <w:spacing w:line="360" w:lineRule="auto"/>
        <w:rPr>
          <w:rFonts w:hint="eastAsia" w:ascii="宋体" w:hAnsi="宋体"/>
          <w:sz w:val="24"/>
        </w:rPr>
      </w:pPr>
      <w:r>
        <w:rPr>
          <w:rFonts w:hint="eastAsia" w:ascii="宋体" w:hAnsi="宋体"/>
          <w:sz w:val="24"/>
        </w:rPr>
        <w:t>1.4补充子目的子目特征、计量单位、工程量计算规则及工作内容说明如下：本工程使用《建设工程工程量清单计价规范》（GB50500-2013）</w:t>
      </w:r>
    </w:p>
    <w:p>
      <w:pPr>
        <w:numPr>
          <w:ilvl w:val="1"/>
          <w:numId w:val="53"/>
        </w:numPr>
        <w:spacing w:line="360" w:lineRule="auto"/>
        <w:rPr>
          <w:rFonts w:hint="eastAsia" w:ascii="宋体" w:hAnsi="宋体"/>
          <w:sz w:val="24"/>
        </w:rPr>
      </w:pPr>
      <w:r>
        <w:rPr>
          <w:rFonts w:hint="eastAsia" w:ascii="宋体" w:hAnsi="宋体"/>
          <w:sz w:val="24"/>
        </w:rPr>
        <w:t>本条第1.1款中约定的计量和计价规则适用于合同履约过程中工程量计量与价款支付、工程变更、索赔和工程结算。</w:t>
      </w:r>
    </w:p>
    <w:p>
      <w:pPr>
        <w:numPr>
          <w:ilvl w:val="1"/>
          <w:numId w:val="53"/>
        </w:numPr>
        <w:spacing w:line="360" w:lineRule="auto"/>
        <w:rPr>
          <w:rFonts w:hint="eastAsia" w:ascii="宋体" w:hAnsi="宋体"/>
          <w:sz w:val="24"/>
        </w:rPr>
      </w:pPr>
      <w:r>
        <w:rPr>
          <w:rFonts w:hint="eastAsia" w:ascii="宋体" w:hAnsi="宋体"/>
          <w:sz w:val="24"/>
        </w:rPr>
        <w:t>本条与下述第2条和第3条的说明内容是构成合同文件的已标价工程量清单的组成部分。</w:t>
      </w:r>
    </w:p>
    <w:p>
      <w:pPr>
        <w:numPr>
          <w:ilvl w:val="0"/>
          <w:numId w:val="52"/>
        </w:numPr>
        <w:spacing w:line="360" w:lineRule="auto"/>
        <w:rPr>
          <w:rFonts w:hint="eastAsia" w:ascii="宋体" w:hAnsi="宋体"/>
          <w:b/>
          <w:bCs/>
          <w:sz w:val="24"/>
        </w:rPr>
      </w:pPr>
      <w:r>
        <w:rPr>
          <w:rFonts w:hint="eastAsia" w:ascii="宋体" w:hAnsi="宋体"/>
          <w:b/>
          <w:bCs/>
          <w:sz w:val="24"/>
        </w:rPr>
        <w:t>投标报价说明</w:t>
      </w:r>
    </w:p>
    <w:p>
      <w:pPr>
        <w:numPr>
          <w:ilvl w:val="1"/>
          <w:numId w:val="54"/>
        </w:numPr>
        <w:spacing w:line="360" w:lineRule="auto"/>
        <w:rPr>
          <w:rFonts w:hint="eastAsia" w:ascii="宋体" w:hAnsi="宋体"/>
          <w:sz w:val="24"/>
        </w:rPr>
      </w:pPr>
      <w:r>
        <w:rPr>
          <w:rFonts w:hint="eastAsia" w:ascii="宋体" w:hAnsi="宋体"/>
          <w:sz w:val="24"/>
        </w:rPr>
        <w:t>投标报价应根据招标文件中的有关计价要求，并按照下列依据自主报价。</w:t>
      </w:r>
    </w:p>
    <w:p>
      <w:pPr>
        <w:numPr>
          <w:ilvl w:val="0"/>
          <w:numId w:val="55"/>
        </w:numPr>
        <w:spacing w:line="360" w:lineRule="auto"/>
        <w:rPr>
          <w:rFonts w:hint="eastAsia" w:ascii="宋体" w:hAnsi="宋体"/>
          <w:sz w:val="24"/>
        </w:rPr>
      </w:pPr>
      <w:r>
        <w:rPr>
          <w:rFonts w:hint="eastAsia" w:ascii="宋体" w:hAnsi="宋体"/>
          <w:sz w:val="24"/>
        </w:rPr>
        <w:t>本招标文件；</w:t>
      </w:r>
    </w:p>
    <w:p>
      <w:pPr>
        <w:tabs>
          <w:tab w:val="right" w:pos="10640"/>
        </w:tabs>
        <w:spacing w:line="460" w:lineRule="exact"/>
        <w:ind w:firstLine="480"/>
        <w:rPr>
          <w:rFonts w:hint="eastAsia" w:ascii="宋体" w:hAnsi="宋体" w:cs="宋体"/>
          <w:sz w:val="24"/>
        </w:rPr>
      </w:pPr>
      <w:r>
        <w:rPr>
          <w:rFonts w:hint="eastAsia" w:ascii="宋体" w:hAnsi="宋体" w:cs="宋体"/>
          <w:sz w:val="24"/>
        </w:rPr>
        <w:t>（一）《建设工程工程量清单计价规范》（GB50500-2013）、《河南省房屋建筑与装饰工程预算定额》(HA 01-31-2016)、《河南省通用安装工程预算定额》(HA 02-31-2016)、《河南省市政工程预算定额》(HAAl-31-2016)、《河南省园林工程预算定额》(HAAl-31-2008)、《&lt;河南省房屋建筑与装饰工程预算定额（HA 01-31-2016）&gt;&lt;河南省通用安装工程预算定额（HA02-31-2016）&gt;&lt;河南省市政工程预算定额（HA A1-31-2016）&gt;综合解释》。招标图纸及图纸疑问回复等资料、其他与工程造价有关的资料。</w:t>
      </w:r>
    </w:p>
    <w:p>
      <w:pPr>
        <w:numPr>
          <w:ilvl w:val="0"/>
          <w:numId w:val="55"/>
        </w:numPr>
        <w:spacing w:line="360" w:lineRule="auto"/>
        <w:ind w:left="0"/>
        <w:rPr>
          <w:rFonts w:hint="eastAsia" w:ascii="宋体" w:hAnsi="宋体"/>
          <w:sz w:val="24"/>
        </w:rPr>
      </w:pPr>
      <w:r>
        <w:rPr>
          <w:rFonts w:hint="eastAsia" w:ascii="宋体" w:hAnsi="宋体"/>
          <w:sz w:val="24"/>
        </w:rPr>
        <w:t>根据建办标函【2019】193号文，税率按9%足额计取；</w:t>
      </w:r>
    </w:p>
    <w:p>
      <w:pPr>
        <w:numPr>
          <w:ilvl w:val="0"/>
          <w:numId w:val="55"/>
        </w:numPr>
        <w:spacing w:line="360" w:lineRule="auto"/>
        <w:ind w:left="0"/>
        <w:rPr>
          <w:rFonts w:hint="eastAsia" w:ascii="宋体" w:hAnsi="宋体"/>
          <w:sz w:val="24"/>
        </w:rPr>
      </w:pPr>
      <w:r>
        <w:rPr>
          <w:rFonts w:hint="eastAsia" w:ascii="宋体" w:hAnsi="宋体"/>
          <w:sz w:val="24"/>
        </w:rPr>
        <w:t>工程量的确定方法：按设计图纸计算。</w:t>
      </w:r>
    </w:p>
    <w:p>
      <w:pPr>
        <w:numPr>
          <w:ilvl w:val="0"/>
          <w:numId w:val="55"/>
        </w:numPr>
        <w:spacing w:line="360" w:lineRule="auto"/>
        <w:ind w:left="0"/>
        <w:rPr>
          <w:rFonts w:hint="eastAsia" w:ascii="宋体" w:hAnsi="宋体"/>
          <w:sz w:val="24"/>
        </w:rPr>
      </w:pPr>
      <w:r>
        <w:rPr>
          <w:rFonts w:hint="eastAsia" w:ascii="宋体" w:hAnsi="宋体"/>
          <w:sz w:val="24"/>
        </w:rPr>
        <w:t>人工单价的确定方法：以豫建标定【2018】40号文及2019年1-6月价格指数计入综合单价，综合工日按定额含量计算。</w:t>
      </w:r>
    </w:p>
    <w:p>
      <w:pPr>
        <w:numPr>
          <w:ilvl w:val="0"/>
          <w:numId w:val="55"/>
        </w:numPr>
        <w:spacing w:line="360" w:lineRule="auto"/>
        <w:ind w:left="0"/>
        <w:rPr>
          <w:rFonts w:hint="eastAsia" w:ascii="宋体" w:hAnsi="宋体"/>
          <w:sz w:val="24"/>
        </w:rPr>
      </w:pPr>
      <w:r>
        <w:rPr>
          <w:rFonts w:hint="eastAsia" w:ascii="宋体" w:hAnsi="宋体"/>
          <w:sz w:val="24"/>
        </w:rPr>
        <w:t>材料、设备价格的确定方法：根据2019年6月份《许昌工程造价信息》不含税价计取，信息价没有的以市场价计取。</w:t>
      </w:r>
    </w:p>
    <w:p>
      <w:pPr>
        <w:numPr>
          <w:ilvl w:val="0"/>
          <w:numId w:val="55"/>
        </w:numPr>
        <w:spacing w:line="360" w:lineRule="auto"/>
        <w:ind w:left="0"/>
        <w:rPr>
          <w:rFonts w:hint="eastAsia" w:ascii="宋体" w:hAnsi="宋体"/>
          <w:sz w:val="24"/>
        </w:rPr>
      </w:pPr>
      <w:r>
        <w:rPr>
          <w:rFonts w:hint="eastAsia" w:ascii="宋体" w:hAnsi="宋体"/>
          <w:sz w:val="24"/>
        </w:rPr>
        <w:t>规费及项目措施费的确定方法：执行《河南省房屋建筑与装饰工程预算定额》(HA 01-31-2016)、《河南省通用安装工程预算定额》(HA 01-31-2016)、《河南省园林工程预算定额》(HAAl-31-2008)及河南省、许昌市现行的有关造价管理文件。</w:t>
      </w:r>
    </w:p>
    <w:p>
      <w:pPr>
        <w:numPr>
          <w:ilvl w:val="0"/>
          <w:numId w:val="55"/>
        </w:numPr>
        <w:spacing w:line="360" w:lineRule="auto"/>
        <w:ind w:left="0"/>
        <w:rPr>
          <w:rFonts w:hint="eastAsia" w:ascii="宋体" w:hAnsi="宋体"/>
          <w:sz w:val="24"/>
        </w:rPr>
      </w:pPr>
      <w:r>
        <w:rPr>
          <w:rFonts w:hint="eastAsia" w:ascii="宋体" w:hAnsi="宋体"/>
          <w:sz w:val="24"/>
        </w:rPr>
        <w:t>增值税～销项税额税率按9%计取。</w:t>
      </w:r>
    </w:p>
    <w:p>
      <w:pPr>
        <w:numPr>
          <w:ilvl w:val="0"/>
          <w:numId w:val="55"/>
        </w:numPr>
        <w:spacing w:line="360" w:lineRule="auto"/>
        <w:ind w:left="0"/>
        <w:rPr>
          <w:rFonts w:hint="eastAsia" w:ascii="宋体" w:hAnsi="宋体"/>
          <w:sz w:val="24"/>
        </w:rPr>
      </w:pPr>
      <w:r>
        <w:rPr>
          <w:rFonts w:hint="eastAsia" w:ascii="宋体" w:hAnsi="宋体"/>
          <w:sz w:val="24"/>
        </w:rPr>
        <w:t>夜间施工增加费费率按25%计入。</w:t>
      </w:r>
    </w:p>
    <w:p>
      <w:pPr>
        <w:numPr>
          <w:ilvl w:val="0"/>
          <w:numId w:val="55"/>
        </w:numPr>
        <w:spacing w:line="360" w:lineRule="auto"/>
        <w:ind w:left="0"/>
        <w:rPr>
          <w:rFonts w:hint="eastAsia" w:ascii="宋体" w:hAnsi="宋体"/>
          <w:sz w:val="24"/>
        </w:rPr>
      </w:pPr>
      <w:r>
        <w:rPr>
          <w:rFonts w:hint="eastAsia" w:ascii="宋体" w:hAnsi="宋体"/>
          <w:sz w:val="24"/>
        </w:rPr>
        <w:t>二次搬运费费率按50%计入。</w:t>
      </w:r>
    </w:p>
    <w:p>
      <w:pPr>
        <w:numPr>
          <w:ilvl w:val="0"/>
          <w:numId w:val="55"/>
        </w:numPr>
        <w:spacing w:line="360" w:lineRule="auto"/>
        <w:ind w:left="0"/>
        <w:rPr>
          <w:rFonts w:hint="eastAsia" w:ascii="宋体" w:hAnsi="宋体"/>
          <w:sz w:val="24"/>
        </w:rPr>
      </w:pPr>
      <w:r>
        <w:rPr>
          <w:rFonts w:hint="eastAsia" w:ascii="宋体" w:hAnsi="宋体"/>
          <w:sz w:val="24"/>
        </w:rPr>
        <w:t>冬雨季施工增加费费率按25%计入。</w:t>
      </w:r>
    </w:p>
    <w:p>
      <w:pPr>
        <w:numPr>
          <w:ilvl w:val="1"/>
          <w:numId w:val="54"/>
        </w:numPr>
        <w:spacing w:line="360" w:lineRule="auto"/>
        <w:rPr>
          <w:rFonts w:hint="eastAsia" w:ascii="宋体" w:hAnsi="宋体"/>
          <w:sz w:val="24"/>
        </w:rPr>
      </w:pPr>
      <w:r>
        <w:rPr>
          <w:rFonts w:hint="eastAsia" w:ascii="宋体" w:hAnsi="宋体"/>
          <w:sz w:val="24"/>
        </w:rPr>
        <w:t>工程量清单中的每一子目须填入单价或价格，且只允许有一个报价。</w:t>
      </w:r>
    </w:p>
    <w:p>
      <w:pPr>
        <w:numPr>
          <w:ilvl w:val="1"/>
          <w:numId w:val="54"/>
        </w:numPr>
        <w:spacing w:line="360" w:lineRule="auto"/>
        <w:rPr>
          <w:rFonts w:hint="eastAsia" w:ascii="宋体" w:hAnsi="宋体"/>
          <w:sz w:val="24"/>
        </w:rPr>
      </w:pPr>
      <w:r>
        <w:rPr>
          <w:rFonts w:hint="eastAsia" w:ascii="宋体" w:hAnsi="宋体"/>
          <w:sz w:val="24"/>
        </w:rPr>
        <w:t>工程量清单中标价的单价或金额，应包括所需人工费、材料费、施工机械使用费和管理费及利润，以及一定范围内的风险费用。所谓“一定范围内的风险”是指合同约定的风险。</w:t>
      </w:r>
    </w:p>
    <w:p>
      <w:pPr>
        <w:numPr>
          <w:ilvl w:val="1"/>
          <w:numId w:val="54"/>
        </w:numPr>
        <w:spacing w:line="360" w:lineRule="auto"/>
        <w:rPr>
          <w:rFonts w:hint="eastAsia" w:ascii="宋体" w:hAnsi="宋体"/>
          <w:sz w:val="24"/>
        </w:rPr>
      </w:pPr>
      <w:r>
        <w:rPr>
          <w:rFonts w:hint="eastAsia" w:ascii="宋体" w:hAnsi="宋体"/>
          <w:sz w:val="24"/>
        </w:rPr>
        <w:t>已标价工程量清单中投标人没有填入单价或价格的子目，其费用视为已分摊在工程量清单中其他已标价的相关子目的单价或价格之中。</w:t>
      </w:r>
    </w:p>
    <w:p>
      <w:pPr>
        <w:numPr>
          <w:ilvl w:val="1"/>
          <w:numId w:val="54"/>
        </w:numPr>
        <w:spacing w:line="360" w:lineRule="auto"/>
        <w:rPr>
          <w:rFonts w:hint="eastAsia" w:ascii="宋体" w:hAnsi="宋体"/>
          <w:sz w:val="24"/>
        </w:rPr>
      </w:pPr>
      <w:r>
        <w:rPr>
          <w:rFonts w:hint="eastAsia" w:ascii="宋体" w:hAnsi="宋体"/>
          <w:sz w:val="24"/>
        </w:rPr>
        <w:t xml:space="preserve">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numPr>
          <w:ilvl w:val="1"/>
          <w:numId w:val="54"/>
        </w:numPr>
        <w:spacing w:line="360" w:lineRule="auto"/>
        <w:rPr>
          <w:rFonts w:hint="eastAsia" w:ascii="宋体" w:hAnsi="宋体"/>
          <w:sz w:val="24"/>
        </w:rPr>
      </w:pPr>
      <w:r>
        <w:rPr>
          <w:rFonts w:hint="eastAsia" w:ascii="宋体" w:hAnsi="宋体"/>
          <w:sz w:val="24"/>
        </w:rPr>
        <w:t>分部分项工程项目按下列要求报价：</w:t>
      </w:r>
    </w:p>
    <w:p>
      <w:pPr>
        <w:numPr>
          <w:ilvl w:val="2"/>
          <w:numId w:val="56"/>
        </w:numPr>
        <w:spacing w:line="360" w:lineRule="auto"/>
        <w:rPr>
          <w:rFonts w:hint="eastAsia" w:ascii="宋体" w:hAnsi="宋体"/>
          <w:sz w:val="24"/>
        </w:rPr>
      </w:pPr>
      <w:r>
        <w:rPr>
          <w:rFonts w:hint="eastAsia" w:ascii="宋体" w:hAnsi="宋体"/>
          <w:sz w:val="24"/>
        </w:rPr>
        <w:t>分部分项工程量清单计价应依据计价规范中关于综合单价的组成内容确定报价。</w:t>
      </w:r>
    </w:p>
    <w:p>
      <w:pPr>
        <w:numPr>
          <w:ilvl w:val="2"/>
          <w:numId w:val="56"/>
        </w:numPr>
        <w:spacing w:line="360" w:lineRule="auto"/>
        <w:rPr>
          <w:rFonts w:hint="eastAsia" w:ascii="宋体" w:hAnsi="宋体"/>
          <w:sz w:val="24"/>
        </w:rPr>
      </w:pPr>
      <w:r>
        <w:rPr>
          <w:rFonts w:hint="eastAsia" w:ascii="宋体" w:hAnsi="宋体"/>
          <w:sz w:val="24"/>
        </w:rPr>
        <w:t>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numPr>
          <w:ilvl w:val="2"/>
          <w:numId w:val="56"/>
        </w:numPr>
        <w:spacing w:line="360" w:lineRule="auto"/>
        <w:rPr>
          <w:rFonts w:hint="eastAsia" w:ascii="宋体" w:hAnsi="宋体"/>
          <w:sz w:val="24"/>
        </w:rPr>
      </w:pPr>
      <w:r>
        <w:rPr>
          <w:rFonts w:hint="eastAsia" w:ascii="宋体" w:hAnsi="宋体"/>
          <w:sz w:val="24"/>
        </w:rPr>
        <w:t>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numPr>
          <w:ilvl w:val="2"/>
          <w:numId w:val="56"/>
        </w:numPr>
        <w:spacing w:line="360" w:lineRule="auto"/>
        <w:rPr>
          <w:rFonts w:hint="eastAsia" w:ascii="宋体" w:hAnsi="宋体"/>
          <w:sz w:val="24"/>
        </w:rPr>
      </w:pPr>
      <w:r>
        <w:rPr>
          <w:rFonts w:hint="eastAsia" w:ascii="宋体" w:hAnsi="宋体"/>
          <w:sz w:val="24"/>
        </w:rPr>
        <w:t>“分部分项工程量清单与计价表”所列各子目的综合单价组成中，各子目的人工、材料和机械台班消耗量由投标人按照其自身情况做充分的、竞争性考虑。材料消耗量包括损耗量。</w:t>
      </w:r>
    </w:p>
    <w:p>
      <w:pPr>
        <w:numPr>
          <w:ilvl w:val="2"/>
          <w:numId w:val="56"/>
        </w:numPr>
        <w:spacing w:line="360" w:lineRule="auto"/>
        <w:rPr>
          <w:rFonts w:hint="eastAsia" w:ascii="宋体" w:hAnsi="宋体"/>
          <w:sz w:val="24"/>
        </w:rPr>
      </w:pPr>
      <w:r>
        <w:rPr>
          <w:rFonts w:hint="eastAsia" w:ascii="宋体" w:hAnsi="宋体"/>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numPr>
          <w:ilvl w:val="1"/>
          <w:numId w:val="54"/>
        </w:numPr>
        <w:spacing w:line="360" w:lineRule="auto"/>
        <w:rPr>
          <w:rFonts w:hint="eastAsia" w:ascii="宋体" w:hAnsi="宋体"/>
          <w:sz w:val="24"/>
        </w:rPr>
      </w:pPr>
      <w:r>
        <w:rPr>
          <w:rFonts w:hint="eastAsia" w:ascii="宋体" w:hAnsi="宋体"/>
          <w:sz w:val="24"/>
        </w:rPr>
        <w:t>措施项目按下列要求报价：</w:t>
      </w:r>
    </w:p>
    <w:p>
      <w:pPr>
        <w:numPr>
          <w:ilvl w:val="2"/>
          <w:numId w:val="57"/>
        </w:numPr>
        <w:spacing w:line="360" w:lineRule="auto"/>
        <w:rPr>
          <w:rFonts w:hint="eastAsia" w:ascii="宋体" w:hAnsi="宋体"/>
          <w:sz w:val="24"/>
        </w:rPr>
      </w:pPr>
      <w:r>
        <w:rPr>
          <w:rFonts w:hint="eastAsia" w:ascii="宋体" w:hAnsi="宋体"/>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numPr>
          <w:ilvl w:val="2"/>
          <w:numId w:val="57"/>
        </w:numPr>
        <w:spacing w:line="360" w:lineRule="auto"/>
        <w:rPr>
          <w:rFonts w:hint="eastAsia" w:ascii="宋体" w:hAnsi="宋体"/>
          <w:sz w:val="24"/>
        </w:rPr>
      </w:pPr>
      <w:r>
        <w:rPr>
          <w:rFonts w:hint="eastAsia" w:ascii="宋体" w:hAnsi="宋体"/>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numPr>
          <w:ilvl w:val="2"/>
          <w:numId w:val="57"/>
        </w:numPr>
        <w:spacing w:line="360" w:lineRule="auto"/>
        <w:rPr>
          <w:rFonts w:hint="eastAsia" w:ascii="宋体" w:hAnsi="宋体"/>
          <w:sz w:val="24"/>
        </w:rPr>
      </w:pPr>
      <w:r>
        <w:rPr>
          <w:rFonts w:hint="eastAsia" w:ascii="宋体" w:hAnsi="宋体"/>
          <w:sz w:val="24"/>
        </w:rPr>
        <w:t>“措施项目清单与计价表”中所填写的报价金额，应全面涵盖招标文件约定的投标人中标后施工、竣工、交付本工程并维修其任何缺陷所需要履行的责任和义务的全部费用。</w:t>
      </w:r>
    </w:p>
    <w:p>
      <w:pPr>
        <w:numPr>
          <w:ilvl w:val="2"/>
          <w:numId w:val="57"/>
        </w:numPr>
        <w:spacing w:line="360" w:lineRule="auto"/>
        <w:rPr>
          <w:rFonts w:hint="eastAsia" w:ascii="宋体" w:hAnsi="宋体"/>
          <w:sz w:val="24"/>
        </w:rPr>
      </w:pPr>
      <w:r>
        <w:rPr>
          <w:rFonts w:hint="eastAsia" w:ascii="宋体" w:hAnsi="宋体"/>
          <w:sz w:val="24"/>
        </w:rPr>
        <w:t>对于“措施项目清单与计价表”中所填写的报价金额，应按照“措施项目清单报价分析表”对措施项目报价的组成进行详细的列项和分析。</w:t>
      </w:r>
    </w:p>
    <w:p>
      <w:pPr>
        <w:numPr>
          <w:ilvl w:val="1"/>
          <w:numId w:val="54"/>
        </w:numPr>
        <w:spacing w:line="360" w:lineRule="auto"/>
        <w:rPr>
          <w:rFonts w:hint="eastAsia" w:ascii="宋体" w:hAnsi="宋体"/>
          <w:sz w:val="24"/>
        </w:rPr>
      </w:pPr>
      <w:r>
        <w:rPr>
          <w:rFonts w:hint="eastAsia" w:ascii="宋体" w:hAnsi="宋体"/>
          <w:sz w:val="24"/>
        </w:rPr>
        <w:t>其他项目清单费应按下列规定报价：</w:t>
      </w:r>
    </w:p>
    <w:p>
      <w:pPr>
        <w:numPr>
          <w:ilvl w:val="2"/>
          <w:numId w:val="58"/>
        </w:numPr>
        <w:spacing w:line="360" w:lineRule="auto"/>
        <w:rPr>
          <w:rFonts w:hint="eastAsia" w:ascii="宋体" w:hAnsi="宋体"/>
          <w:sz w:val="24"/>
        </w:rPr>
      </w:pPr>
      <w:r>
        <w:rPr>
          <w:rFonts w:hint="eastAsia" w:ascii="宋体" w:hAnsi="宋体"/>
          <w:sz w:val="24"/>
        </w:rPr>
        <w:t>暂列金额按“暂列金额明细表”中列出的金额报价，此处的暂列金额是招标人在招标文件中统一给定的，并不包括本章第2.8.3项的计日工金额。</w:t>
      </w:r>
    </w:p>
    <w:p>
      <w:pPr>
        <w:numPr>
          <w:ilvl w:val="2"/>
          <w:numId w:val="58"/>
        </w:numPr>
        <w:spacing w:line="360" w:lineRule="auto"/>
        <w:rPr>
          <w:rFonts w:hint="eastAsia" w:ascii="宋体" w:hAnsi="宋体"/>
          <w:sz w:val="24"/>
        </w:rPr>
      </w:pPr>
      <w:r>
        <w:rPr>
          <w:rFonts w:hint="eastAsia" w:ascii="宋体" w:hAnsi="宋体"/>
          <w:sz w:val="24"/>
        </w:rPr>
        <w:t>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numPr>
          <w:ilvl w:val="2"/>
          <w:numId w:val="58"/>
        </w:numPr>
        <w:spacing w:line="360" w:lineRule="auto"/>
        <w:rPr>
          <w:rFonts w:hint="eastAsia" w:ascii="宋体" w:hAnsi="宋体"/>
          <w:sz w:val="24"/>
        </w:rPr>
      </w:pPr>
      <w:r>
        <w:rPr>
          <w:rFonts w:hint="eastAsia" w:ascii="宋体" w:hAnsi="宋体"/>
          <w:sz w:val="24"/>
        </w:rPr>
        <w:t>计日工按“计日工表”中列出的子目和估算数量，自主确定综合单价并计算计日工金额。计日工综合单价均不包括规费和税金，其中：</w:t>
      </w:r>
    </w:p>
    <w:p>
      <w:pPr>
        <w:numPr>
          <w:ilvl w:val="0"/>
          <w:numId w:val="59"/>
        </w:numPr>
        <w:spacing w:line="360" w:lineRule="auto"/>
        <w:ind w:left="0" w:firstLine="426"/>
        <w:rPr>
          <w:rFonts w:hint="eastAsia" w:ascii="宋体" w:hAnsi="宋体"/>
          <w:sz w:val="24"/>
        </w:rPr>
      </w:pPr>
      <w:r>
        <w:rPr>
          <w:rFonts w:hint="eastAsia" w:ascii="宋体" w:hAnsi="宋体"/>
          <w:sz w:val="24"/>
        </w:rPr>
        <w:t>劳务单价应当包括工人工资、交通费用、各种补贴、劳动安全保护、社保费用、手提手动和电动工器具、施工场地内已经搭设的脚手架、水电和低值易耗品费用、现场管理费用、企业管理费和利润；</w:t>
      </w:r>
    </w:p>
    <w:p>
      <w:pPr>
        <w:numPr>
          <w:ilvl w:val="0"/>
          <w:numId w:val="59"/>
        </w:numPr>
        <w:spacing w:line="360" w:lineRule="auto"/>
        <w:ind w:left="0" w:firstLine="426"/>
        <w:rPr>
          <w:rFonts w:hint="eastAsia" w:ascii="宋体" w:hAnsi="宋体"/>
          <w:sz w:val="24"/>
        </w:rPr>
      </w:pPr>
      <w:r>
        <w:rPr>
          <w:rFonts w:hint="eastAsia" w:ascii="宋体" w:hAnsi="宋体"/>
          <w:sz w:val="24"/>
        </w:rPr>
        <w:t>材料价格包括材料运到现场的价格以及现场搬运、仓储、二次搬运、损耗、保险、企业管理费和利润；</w:t>
      </w:r>
    </w:p>
    <w:p>
      <w:pPr>
        <w:numPr>
          <w:ilvl w:val="0"/>
          <w:numId w:val="59"/>
        </w:numPr>
        <w:spacing w:line="360" w:lineRule="auto"/>
        <w:ind w:left="0" w:firstLine="426"/>
        <w:rPr>
          <w:rFonts w:hint="eastAsia" w:ascii="宋体" w:hAnsi="宋体"/>
          <w:sz w:val="24"/>
        </w:rPr>
      </w:pPr>
      <w:r>
        <w:rPr>
          <w:rFonts w:hint="eastAsia" w:ascii="宋体" w:hAnsi="宋体"/>
          <w:sz w:val="24"/>
        </w:rPr>
        <w:t>施工机械限于在施工场地(现场)的机械设备，其价格包括租赁或折旧、维修、维护和燃油等消耗品以及操作人员费用，包括承包人企业管理费和利润，但不包括规费和税金。辅助人员按劳务价格另计。</w:t>
      </w:r>
    </w:p>
    <w:p>
      <w:pPr>
        <w:numPr>
          <w:ilvl w:val="2"/>
          <w:numId w:val="58"/>
        </w:numPr>
        <w:spacing w:line="360" w:lineRule="auto"/>
        <w:rPr>
          <w:rFonts w:hint="eastAsia" w:ascii="宋体" w:hAnsi="宋体"/>
          <w:sz w:val="24"/>
        </w:rPr>
      </w:pPr>
      <w:r>
        <w:rPr>
          <w:rFonts w:hint="eastAsia" w:ascii="宋体" w:hAnsi="宋体"/>
          <w:sz w:val="24"/>
        </w:rPr>
        <w:t>总承包服务费根据招标文件中列出的内容和要求，按“总承包服务费计价表”所列格式自主报价。服务内容为：配合协调发包人进行的专业工程发包，对发包人自行采购的材料、工程设备等进行保管，以及施工现场管理、竣工验收资料整理等服务所需的费用。</w:t>
      </w:r>
    </w:p>
    <w:p>
      <w:pPr>
        <w:numPr>
          <w:ilvl w:val="1"/>
          <w:numId w:val="54"/>
        </w:numPr>
        <w:spacing w:line="360" w:lineRule="auto"/>
        <w:rPr>
          <w:rFonts w:hint="eastAsia" w:ascii="宋体" w:hAnsi="宋体"/>
          <w:sz w:val="24"/>
        </w:rPr>
      </w:pPr>
      <w:r>
        <w:rPr>
          <w:rFonts w:hint="eastAsia" w:ascii="宋体" w:hAnsi="宋体"/>
          <w:sz w:val="24"/>
        </w:rPr>
        <w:t>规费和税金应按“规费、税金项目清单与计价表”所列项目并根据国家、省级或行业建设主管部门的有关规定列项和计算，不得作为竞争性费用。</w:t>
      </w:r>
    </w:p>
    <w:p>
      <w:pPr>
        <w:numPr>
          <w:ilvl w:val="1"/>
          <w:numId w:val="54"/>
        </w:numPr>
        <w:spacing w:line="360" w:lineRule="auto"/>
        <w:rPr>
          <w:rFonts w:hint="eastAsia" w:ascii="宋体" w:hAnsi="宋体"/>
          <w:sz w:val="24"/>
        </w:rPr>
      </w:pPr>
      <w:r>
        <w:rPr>
          <w:rFonts w:hint="eastAsia" w:ascii="宋体" w:hAnsi="宋体"/>
          <w:sz w:val="24"/>
        </w:rPr>
        <w:t>除招标文件有强制性规定外，投标报价由投标人自主确定，但不得低于其成本。</w:t>
      </w:r>
    </w:p>
    <w:p>
      <w:pPr>
        <w:numPr>
          <w:ilvl w:val="1"/>
          <w:numId w:val="54"/>
        </w:numPr>
        <w:spacing w:line="360" w:lineRule="auto"/>
        <w:rPr>
          <w:rFonts w:hint="eastAsia" w:ascii="宋体" w:hAnsi="宋体"/>
          <w:sz w:val="24"/>
        </w:rPr>
      </w:pPr>
      <w:r>
        <w:rPr>
          <w:rFonts w:hint="eastAsia" w:ascii="宋体" w:hAnsi="宋体"/>
          <w:sz w:val="24"/>
        </w:rPr>
        <w:t>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numPr>
          <w:ilvl w:val="1"/>
          <w:numId w:val="54"/>
        </w:numPr>
        <w:spacing w:line="360" w:lineRule="auto"/>
        <w:rPr>
          <w:rFonts w:hint="eastAsia" w:ascii="宋体" w:hAnsi="宋体"/>
          <w:sz w:val="24"/>
        </w:rPr>
      </w:pPr>
      <w:r>
        <w:rPr>
          <w:rFonts w:hint="eastAsia" w:ascii="宋体" w:hAnsi="宋体"/>
          <w:sz w:val="24"/>
        </w:rPr>
        <w:t>管理费应由投标人在保证不低于其成本的基础上做竞争性考虑；利润由投标人根据自身情况和综合实力做竞争性考虑。</w:t>
      </w:r>
    </w:p>
    <w:p>
      <w:pPr>
        <w:numPr>
          <w:ilvl w:val="1"/>
          <w:numId w:val="54"/>
        </w:numPr>
        <w:spacing w:line="360" w:lineRule="auto"/>
        <w:rPr>
          <w:rFonts w:hint="eastAsia" w:ascii="宋体" w:hAnsi="宋体"/>
          <w:sz w:val="24"/>
        </w:rPr>
      </w:pPr>
      <w:r>
        <w:rPr>
          <w:rFonts w:hint="eastAsia" w:ascii="宋体" w:hAnsi="宋体"/>
          <w:sz w:val="24"/>
        </w:rPr>
        <w:t>投标报价中应考虑招标文件中要求投标人承担的风险范围以及相关的费用。</w:t>
      </w:r>
    </w:p>
    <w:p>
      <w:pPr>
        <w:numPr>
          <w:ilvl w:val="1"/>
          <w:numId w:val="54"/>
        </w:numPr>
        <w:spacing w:line="360" w:lineRule="auto"/>
        <w:rPr>
          <w:rFonts w:hint="eastAsia" w:ascii="宋体" w:hAnsi="宋体"/>
          <w:sz w:val="24"/>
        </w:rPr>
      </w:pPr>
      <w:r>
        <w:rPr>
          <w:rFonts w:hint="eastAsia" w:ascii="宋体" w:hAnsi="宋体"/>
          <w:sz w:val="24"/>
        </w:rPr>
        <w:t>投标总价为投标人在投标文件中提出的各项支付金额的总和，为实施、完成招标工程并修补缺陷以及履行招标文件中约定的风险范围内的所有责任和义务所发生的全部费用。</w:t>
      </w:r>
    </w:p>
    <w:p>
      <w:pPr>
        <w:numPr>
          <w:ilvl w:val="1"/>
          <w:numId w:val="54"/>
        </w:numPr>
        <w:spacing w:line="360" w:lineRule="auto"/>
        <w:rPr>
          <w:rFonts w:hint="eastAsia" w:ascii="宋体" w:hAnsi="宋体"/>
          <w:sz w:val="24"/>
        </w:rPr>
      </w:pPr>
      <w:r>
        <w:rPr>
          <w:rFonts w:hint="eastAsia" w:ascii="宋体" w:hAnsi="宋体"/>
          <w:sz w:val="24"/>
        </w:rPr>
        <w:t>有关投标报价的其他说明：</w:t>
      </w:r>
    </w:p>
    <w:p>
      <w:pPr>
        <w:spacing w:line="360" w:lineRule="auto"/>
        <w:ind w:firstLine="424" w:firstLineChars="177"/>
        <w:rPr>
          <w:rFonts w:hint="eastAsia" w:ascii="宋体" w:hAnsi="宋体"/>
          <w:sz w:val="24"/>
        </w:rPr>
      </w:pPr>
      <w:r>
        <w:rPr>
          <w:rFonts w:hint="eastAsia" w:ascii="宋体" w:hAnsi="宋体"/>
          <w:sz w:val="24"/>
        </w:rPr>
        <w:t>“规费和税金”的规定按照住建部《建设工程工程量清单计价规范》（GB50500-2013）及省住建厅有关规定，规费和税金应按规定费（税）率足额计取，即费（税）率不可竞争。规费、安全文明施工措施费、暂列金额与专业暂估价、增值税计入投标总报价，并在投标函、投标函附录中单列，不参与商务标评审。</w:t>
      </w:r>
    </w:p>
    <w:p>
      <w:pPr>
        <w:numPr>
          <w:ilvl w:val="0"/>
          <w:numId w:val="52"/>
        </w:numPr>
        <w:spacing w:line="360" w:lineRule="auto"/>
        <w:rPr>
          <w:rFonts w:hint="eastAsia" w:ascii="宋体" w:hAnsi="宋体"/>
          <w:b/>
          <w:bCs/>
          <w:sz w:val="24"/>
        </w:rPr>
      </w:pPr>
      <w:r>
        <w:rPr>
          <w:rFonts w:hint="eastAsia" w:ascii="宋体" w:hAnsi="宋体"/>
          <w:b/>
          <w:bCs/>
          <w:sz w:val="24"/>
        </w:rPr>
        <w:t>其他说明</w:t>
      </w:r>
    </w:p>
    <w:p>
      <w:pPr>
        <w:numPr>
          <w:ilvl w:val="1"/>
          <w:numId w:val="60"/>
        </w:numPr>
        <w:spacing w:line="360" w:lineRule="auto"/>
        <w:rPr>
          <w:rFonts w:hint="eastAsia" w:ascii="宋体" w:hAnsi="宋体"/>
          <w:sz w:val="24"/>
        </w:rPr>
      </w:pPr>
      <w:r>
        <w:rPr>
          <w:rFonts w:hint="eastAsia" w:ascii="宋体" w:hAnsi="宋体"/>
          <w:sz w:val="24"/>
        </w:rPr>
        <w:t>词语和定义</w:t>
      </w:r>
    </w:p>
    <w:p>
      <w:pPr>
        <w:numPr>
          <w:ilvl w:val="2"/>
          <w:numId w:val="61"/>
        </w:numPr>
        <w:spacing w:line="360" w:lineRule="auto"/>
        <w:rPr>
          <w:rFonts w:hint="eastAsia" w:ascii="宋体" w:hAnsi="宋体"/>
          <w:sz w:val="24"/>
        </w:rPr>
      </w:pPr>
      <w:r>
        <w:rPr>
          <w:rFonts w:hint="eastAsia" w:ascii="宋体" w:hAnsi="宋体"/>
          <w:sz w:val="24"/>
        </w:rPr>
        <w:t>工程量清单</w:t>
      </w:r>
    </w:p>
    <w:p>
      <w:pPr>
        <w:spacing w:line="360" w:lineRule="auto"/>
        <w:ind w:firstLine="424" w:firstLineChars="177"/>
        <w:rPr>
          <w:rFonts w:hint="eastAsia" w:ascii="宋体" w:hAnsi="宋体"/>
          <w:sz w:val="24"/>
        </w:rPr>
      </w:pPr>
      <w:r>
        <w:rPr>
          <w:rFonts w:hint="eastAsia" w:ascii="宋体" w:hAnsi="宋体"/>
          <w:sz w:val="24"/>
        </w:rPr>
        <w:t>是表现本工程分部分项工程项目、措施项目、其他项目、规费项目和税金的名称和相应数量等的明细清单。</w:t>
      </w:r>
    </w:p>
    <w:p>
      <w:pPr>
        <w:numPr>
          <w:ilvl w:val="2"/>
          <w:numId w:val="61"/>
        </w:numPr>
        <w:spacing w:line="360" w:lineRule="auto"/>
        <w:rPr>
          <w:rFonts w:hint="eastAsia" w:ascii="宋体" w:hAnsi="宋体"/>
          <w:sz w:val="24"/>
        </w:rPr>
      </w:pPr>
      <w:r>
        <w:rPr>
          <w:rFonts w:hint="eastAsia" w:ascii="宋体" w:hAnsi="宋体"/>
          <w:sz w:val="24"/>
        </w:rPr>
        <w:t>总价子目</w:t>
      </w:r>
    </w:p>
    <w:p>
      <w:pPr>
        <w:spacing w:line="360" w:lineRule="auto"/>
        <w:ind w:firstLine="424" w:firstLineChars="177"/>
        <w:rPr>
          <w:rFonts w:hint="eastAsia" w:ascii="宋体" w:hAnsi="宋体"/>
          <w:sz w:val="24"/>
        </w:rPr>
      </w:pPr>
      <w:r>
        <w:rPr>
          <w:rFonts w:hint="eastAsia" w:ascii="宋体" w:hAnsi="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numPr>
          <w:ilvl w:val="2"/>
          <w:numId w:val="61"/>
        </w:numPr>
        <w:spacing w:line="360" w:lineRule="auto"/>
        <w:rPr>
          <w:rFonts w:hint="eastAsia" w:ascii="宋体" w:hAnsi="宋体"/>
          <w:sz w:val="24"/>
        </w:rPr>
      </w:pPr>
      <w:r>
        <w:rPr>
          <w:rFonts w:hint="eastAsia" w:ascii="宋体" w:hAnsi="宋体"/>
          <w:sz w:val="24"/>
        </w:rPr>
        <w:t>单价子目</w:t>
      </w:r>
    </w:p>
    <w:p>
      <w:pPr>
        <w:spacing w:line="360" w:lineRule="auto"/>
        <w:ind w:firstLine="424" w:firstLineChars="177"/>
        <w:rPr>
          <w:rFonts w:hint="eastAsia" w:ascii="宋体" w:hAnsi="宋体"/>
          <w:sz w:val="24"/>
        </w:rPr>
      </w:pPr>
      <w:r>
        <w:rPr>
          <w:rFonts w:hint="eastAsia" w:ascii="宋体" w:hAnsi="宋体"/>
          <w:sz w:val="24"/>
        </w:rPr>
        <w:t>工程量清单中以单价计价，根据有合同约束力的图纸和工程量计算规则进行计量，以实际完成数量乘以相应单价进行结算的子目。</w:t>
      </w:r>
    </w:p>
    <w:p>
      <w:pPr>
        <w:numPr>
          <w:ilvl w:val="2"/>
          <w:numId w:val="61"/>
        </w:numPr>
        <w:spacing w:line="360" w:lineRule="auto"/>
        <w:rPr>
          <w:rFonts w:hint="eastAsia" w:ascii="宋体" w:hAnsi="宋体"/>
          <w:sz w:val="24"/>
        </w:rPr>
      </w:pPr>
      <w:r>
        <w:rPr>
          <w:rFonts w:hint="eastAsia" w:ascii="宋体" w:hAnsi="宋体"/>
          <w:sz w:val="24"/>
        </w:rPr>
        <w:t>子目编码</w:t>
      </w:r>
    </w:p>
    <w:p>
      <w:pPr>
        <w:spacing w:line="360" w:lineRule="auto"/>
        <w:ind w:firstLine="424" w:firstLineChars="177"/>
        <w:rPr>
          <w:rFonts w:hint="eastAsia" w:ascii="宋体" w:hAnsi="宋体"/>
          <w:sz w:val="24"/>
        </w:rPr>
      </w:pPr>
      <w:r>
        <w:rPr>
          <w:rFonts w:hint="eastAsia" w:ascii="宋体" w:hAnsi="宋体"/>
          <w:sz w:val="24"/>
        </w:rPr>
        <w:t>分部分项工程项目清单中所列的子目名称的数字标识和代码，子目编码与项目编码同义。</w:t>
      </w:r>
    </w:p>
    <w:p>
      <w:pPr>
        <w:numPr>
          <w:ilvl w:val="2"/>
          <w:numId w:val="61"/>
        </w:numPr>
        <w:spacing w:line="360" w:lineRule="auto"/>
        <w:rPr>
          <w:rFonts w:hint="eastAsia" w:ascii="宋体" w:hAnsi="宋体"/>
          <w:sz w:val="24"/>
        </w:rPr>
      </w:pPr>
      <w:r>
        <w:rPr>
          <w:rFonts w:hint="eastAsia" w:ascii="宋体" w:hAnsi="宋体"/>
          <w:sz w:val="24"/>
        </w:rPr>
        <w:t>子目特征</w:t>
      </w:r>
    </w:p>
    <w:p>
      <w:pPr>
        <w:spacing w:line="360" w:lineRule="auto"/>
        <w:ind w:firstLine="424" w:firstLineChars="177"/>
        <w:rPr>
          <w:rFonts w:hint="eastAsia" w:ascii="宋体" w:hAnsi="宋体"/>
          <w:sz w:val="24"/>
        </w:rPr>
      </w:pPr>
      <w:r>
        <w:rPr>
          <w:rFonts w:hint="eastAsia" w:ascii="宋体" w:hAnsi="宋体"/>
          <w:sz w:val="24"/>
        </w:rPr>
        <w:t>构成分部分项工程项目清单子目、措施项目的实质内容、决定其自身价值的本质特征，子目特征与项目特征同义。</w:t>
      </w:r>
    </w:p>
    <w:p>
      <w:pPr>
        <w:numPr>
          <w:ilvl w:val="2"/>
          <w:numId w:val="61"/>
        </w:numPr>
        <w:spacing w:line="360" w:lineRule="auto"/>
        <w:rPr>
          <w:rFonts w:hint="eastAsia" w:ascii="宋体" w:hAnsi="宋体"/>
          <w:sz w:val="24"/>
        </w:rPr>
      </w:pPr>
      <w:r>
        <w:rPr>
          <w:rFonts w:hint="eastAsia" w:ascii="宋体" w:hAnsi="宋体"/>
          <w:sz w:val="24"/>
        </w:rPr>
        <w:t>规费</w:t>
      </w:r>
    </w:p>
    <w:p>
      <w:pPr>
        <w:spacing w:line="360" w:lineRule="auto"/>
        <w:ind w:firstLine="424" w:firstLineChars="177"/>
        <w:rPr>
          <w:rFonts w:hint="eastAsia" w:ascii="宋体" w:hAnsi="宋体"/>
          <w:sz w:val="24"/>
        </w:rPr>
      </w:pPr>
      <w:r>
        <w:rPr>
          <w:rFonts w:hint="eastAsia" w:ascii="宋体" w:hAnsi="宋体"/>
          <w:sz w:val="24"/>
        </w:rPr>
        <w:t>承包人根据省级政府或省级有关权力部门规定必须缴纳的，应计入建筑安装工程造价的费用。</w:t>
      </w:r>
    </w:p>
    <w:p>
      <w:pPr>
        <w:numPr>
          <w:ilvl w:val="2"/>
          <w:numId w:val="61"/>
        </w:numPr>
        <w:spacing w:line="360" w:lineRule="auto"/>
        <w:rPr>
          <w:rFonts w:hint="eastAsia" w:ascii="宋体" w:hAnsi="宋体"/>
          <w:sz w:val="24"/>
        </w:rPr>
      </w:pPr>
      <w:r>
        <w:rPr>
          <w:rFonts w:hint="eastAsia" w:ascii="宋体" w:hAnsi="宋体"/>
          <w:sz w:val="24"/>
        </w:rPr>
        <w:t>税金</w:t>
      </w:r>
    </w:p>
    <w:p>
      <w:pPr>
        <w:spacing w:line="360" w:lineRule="auto"/>
        <w:ind w:firstLine="424" w:firstLineChars="177"/>
        <w:rPr>
          <w:rFonts w:hint="eastAsia" w:ascii="宋体" w:hAnsi="宋体"/>
          <w:sz w:val="24"/>
        </w:rPr>
      </w:pPr>
      <w:r>
        <w:rPr>
          <w:rFonts w:hint="eastAsia" w:ascii="宋体" w:hAnsi="宋体"/>
          <w:sz w:val="24"/>
        </w:rPr>
        <w:t>国家税法规定的应计入建筑安装工程造价内的营业税、城市维护建设税及教育费附加等。</w:t>
      </w:r>
    </w:p>
    <w:p>
      <w:pPr>
        <w:numPr>
          <w:ilvl w:val="2"/>
          <w:numId w:val="61"/>
        </w:numPr>
        <w:spacing w:line="360" w:lineRule="auto"/>
        <w:rPr>
          <w:rFonts w:hint="eastAsia" w:ascii="宋体" w:hAnsi="宋体"/>
          <w:sz w:val="24"/>
        </w:rPr>
      </w:pPr>
      <w:r>
        <w:rPr>
          <w:rFonts w:hint="eastAsia" w:ascii="宋体" w:hAnsi="宋体"/>
          <w:sz w:val="24"/>
        </w:rPr>
        <w:t>总承包服务费</w:t>
      </w:r>
    </w:p>
    <w:p>
      <w:pPr>
        <w:spacing w:line="360" w:lineRule="auto"/>
        <w:ind w:firstLine="424" w:firstLineChars="177"/>
        <w:rPr>
          <w:rFonts w:hint="eastAsia" w:ascii="宋体" w:hAnsi="宋体"/>
          <w:sz w:val="24"/>
        </w:rPr>
      </w:pPr>
      <w:r>
        <w:rPr>
          <w:rFonts w:hint="eastAsia" w:ascii="宋体" w:hAnsi="宋体"/>
          <w:sz w:val="24"/>
        </w:rPr>
        <w:t>总承包人为配合协调发包人发包的专业工程以及发包人采购的材料和工程设备等进行管理、服务以及施工现场管理、竣工资料汇总整理等所需的费用。</w:t>
      </w:r>
    </w:p>
    <w:p>
      <w:pPr>
        <w:numPr>
          <w:ilvl w:val="2"/>
          <w:numId w:val="61"/>
        </w:numPr>
        <w:spacing w:line="360" w:lineRule="auto"/>
        <w:rPr>
          <w:rFonts w:hint="eastAsia" w:ascii="宋体" w:hAnsi="宋体"/>
          <w:sz w:val="24"/>
        </w:rPr>
      </w:pPr>
      <w:r>
        <w:rPr>
          <w:rFonts w:hint="eastAsia" w:ascii="宋体" w:hAnsi="宋体"/>
          <w:sz w:val="24"/>
        </w:rPr>
        <w:t>同义词语</w:t>
      </w:r>
    </w:p>
    <w:p>
      <w:pPr>
        <w:spacing w:line="360" w:lineRule="auto"/>
        <w:ind w:firstLine="424" w:firstLineChars="177"/>
        <w:rPr>
          <w:rFonts w:hint="eastAsia" w:ascii="宋体" w:hAnsi="宋体"/>
          <w:sz w:val="24"/>
        </w:rPr>
      </w:pPr>
      <w:r>
        <w:rPr>
          <w:rFonts w:hint="eastAsia" w:ascii="宋体" w:hAnsi="宋体"/>
          <w:sz w:val="24"/>
        </w:rPr>
        <w:t>本章中使用的词语“招标人”和“投标人”分别与合同条款中定义的“发包人”和“承包人”同义；就工程量清单而言，“子目”与“项目”同义。</w:t>
      </w:r>
    </w:p>
    <w:p>
      <w:pPr>
        <w:numPr>
          <w:ilvl w:val="1"/>
          <w:numId w:val="60"/>
        </w:numPr>
        <w:spacing w:line="360" w:lineRule="auto"/>
        <w:rPr>
          <w:rFonts w:hint="eastAsia" w:ascii="宋体" w:hAnsi="宋体"/>
          <w:sz w:val="24"/>
        </w:rPr>
      </w:pPr>
      <w:r>
        <w:rPr>
          <w:rFonts w:hint="eastAsia" w:ascii="宋体" w:hAnsi="宋体"/>
          <w:sz w:val="24"/>
        </w:rPr>
        <w:t>工程量差异调整</w:t>
      </w:r>
    </w:p>
    <w:p>
      <w:pPr>
        <w:numPr>
          <w:ilvl w:val="2"/>
          <w:numId w:val="62"/>
        </w:numPr>
        <w:spacing w:line="360" w:lineRule="auto"/>
        <w:rPr>
          <w:rFonts w:hint="eastAsia" w:ascii="宋体" w:hAnsi="宋体"/>
          <w:sz w:val="24"/>
        </w:rPr>
      </w:pPr>
      <w:r>
        <w:rPr>
          <w:rFonts w:hint="eastAsia" w:ascii="宋体" w:hAnsi="宋体"/>
          <w:sz w:val="24"/>
        </w:rPr>
        <w:t>工程量清单中的工作内容分类、子目列项、特征描述以及“分部分项工程量清单与计价表”中附带的工程量都不应理解为是对承包(招标)范围以及合同工作内容的唯一的、最终的或全部的定义。</w:t>
      </w:r>
    </w:p>
    <w:p>
      <w:pPr>
        <w:numPr>
          <w:ilvl w:val="2"/>
          <w:numId w:val="62"/>
        </w:numPr>
        <w:spacing w:line="360" w:lineRule="auto"/>
        <w:rPr>
          <w:rFonts w:hint="eastAsia" w:ascii="宋体" w:hAnsi="宋体"/>
          <w:sz w:val="24"/>
        </w:rPr>
      </w:pPr>
      <w:r>
        <w:rPr>
          <w:rFonts w:hint="eastAsia" w:ascii="宋体" w:hAnsi="宋体"/>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numPr>
          <w:ilvl w:val="2"/>
          <w:numId w:val="62"/>
        </w:numPr>
        <w:spacing w:line="360" w:lineRule="auto"/>
        <w:rPr>
          <w:rFonts w:hint="eastAsia" w:ascii="宋体" w:hAnsi="宋体"/>
          <w:sz w:val="24"/>
        </w:rPr>
      </w:pPr>
      <w:r>
        <w:rPr>
          <w:rFonts w:hint="eastAsia" w:ascii="宋体" w:hAnsi="宋体"/>
          <w:sz w:val="24"/>
        </w:rPr>
        <w:t>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numPr>
          <w:ilvl w:val="1"/>
          <w:numId w:val="60"/>
        </w:numPr>
        <w:spacing w:line="360" w:lineRule="auto"/>
        <w:rPr>
          <w:rFonts w:hint="eastAsia" w:ascii="宋体" w:hAnsi="宋体"/>
          <w:sz w:val="24"/>
        </w:rPr>
      </w:pPr>
      <w:r>
        <w:rPr>
          <w:rFonts w:hint="eastAsia" w:ascii="宋体" w:hAnsi="宋体"/>
          <w:sz w:val="24"/>
        </w:rPr>
        <w:t>暂列金额和暂估价</w:t>
      </w:r>
    </w:p>
    <w:p>
      <w:pPr>
        <w:numPr>
          <w:ilvl w:val="2"/>
          <w:numId w:val="63"/>
        </w:numPr>
        <w:spacing w:line="360" w:lineRule="auto"/>
        <w:rPr>
          <w:rFonts w:hint="eastAsia" w:ascii="宋体" w:hAnsi="宋体"/>
          <w:sz w:val="24"/>
        </w:rPr>
      </w:pPr>
      <w:r>
        <w:rPr>
          <w:rFonts w:hint="eastAsia" w:ascii="宋体" w:hAnsi="宋体"/>
          <w:sz w:val="24"/>
        </w:rPr>
        <w:t>“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numPr>
          <w:ilvl w:val="2"/>
          <w:numId w:val="63"/>
        </w:numPr>
        <w:spacing w:line="360" w:lineRule="auto"/>
        <w:rPr>
          <w:rFonts w:hint="eastAsia" w:ascii="宋体" w:hAnsi="宋体"/>
          <w:sz w:val="24"/>
        </w:rPr>
      </w:pPr>
      <w:r>
        <w:rPr>
          <w:rFonts w:hint="eastAsia" w:ascii="宋体" w:hAnsi="宋体"/>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numPr>
          <w:ilvl w:val="2"/>
          <w:numId w:val="63"/>
        </w:numPr>
        <w:spacing w:line="360" w:lineRule="auto"/>
        <w:rPr>
          <w:rFonts w:hint="eastAsia" w:ascii="宋体" w:hAnsi="宋体"/>
          <w:sz w:val="24"/>
        </w:rPr>
      </w:pPr>
      <w:r>
        <w:rPr>
          <w:rFonts w:hint="eastAsia" w:ascii="宋体" w:hAnsi="宋体"/>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numPr>
          <w:ilvl w:val="1"/>
          <w:numId w:val="60"/>
        </w:numPr>
        <w:spacing w:line="360" w:lineRule="auto"/>
        <w:rPr>
          <w:rFonts w:hint="eastAsia" w:ascii="宋体" w:hAnsi="宋体"/>
          <w:sz w:val="24"/>
        </w:rPr>
      </w:pPr>
      <w:r>
        <w:rPr>
          <w:rFonts w:hint="eastAsia" w:ascii="宋体" w:hAnsi="宋体"/>
          <w:sz w:val="24"/>
        </w:rPr>
        <w:t>其他补充说明</w:t>
      </w:r>
    </w:p>
    <w:p>
      <w:pPr>
        <w:spacing w:line="460" w:lineRule="exact"/>
        <w:ind w:firstLine="480" w:firstLineChars="200"/>
        <w:rPr>
          <w:rFonts w:hint="eastAsia" w:ascii="宋体" w:hAnsi="宋体"/>
          <w:sz w:val="24"/>
        </w:rPr>
      </w:pPr>
      <w:r>
        <w:rPr>
          <w:rFonts w:hint="eastAsia" w:ascii="宋体" w:hAnsi="宋体"/>
          <w:sz w:val="24"/>
        </w:rPr>
        <w:t>（一）土建工程</w:t>
      </w:r>
    </w:p>
    <w:p>
      <w:pPr>
        <w:tabs>
          <w:tab w:val="right" w:pos="10640"/>
        </w:tabs>
        <w:spacing w:line="560" w:lineRule="atLeast"/>
        <w:ind w:firstLine="480"/>
        <w:rPr>
          <w:rFonts w:hint="eastAsia" w:ascii="宋体" w:hAnsi="宋体"/>
          <w:sz w:val="24"/>
        </w:rPr>
      </w:pPr>
      <w:r>
        <w:rPr>
          <w:rFonts w:hint="eastAsia" w:ascii="宋体" w:hAnsi="宋体"/>
          <w:sz w:val="24"/>
        </w:rPr>
        <w:t>1）本次招标清单中所有现浇砼采用商品砼，砂浆均采用预拌砂浆。</w:t>
      </w:r>
    </w:p>
    <w:p>
      <w:pPr>
        <w:tabs>
          <w:tab w:val="right" w:pos="10640"/>
        </w:tabs>
        <w:spacing w:line="560" w:lineRule="atLeast"/>
        <w:ind w:firstLine="480"/>
        <w:rPr>
          <w:rFonts w:hint="eastAsia" w:ascii="宋体" w:hAnsi="宋体"/>
          <w:sz w:val="24"/>
        </w:rPr>
      </w:pPr>
      <w:r>
        <w:rPr>
          <w:rFonts w:hint="eastAsia" w:ascii="宋体" w:hAnsi="宋体"/>
          <w:sz w:val="24"/>
        </w:rPr>
        <w:t>2）土方外运回填按10Km考虑。</w:t>
      </w:r>
    </w:p>
    <w:p>
      <w:pPr>
        <w:tabs>
          <w:tab w:val="right" w:pos="10640"/>
        </w:tabs>
        <w:spacing w:line="560" w:lineRule="atLeast"/>
        <w:ind w:firstLine="480"/>
        <w:rPr>
          <w:rFonts w:hint="eastAsia" w:ascii="宋体" w:hAnsi="宋体"/>
          <w:sz w:val="24"/>
        </w:rPr>
      </w:pPr>
      <w:r>
        <w:rPr>
          <w:rFonts w:hint="eastAsia" w:ascii="宋体" w:hAnsi="宋体"/>
          <w:sz w:val="24"/>
        </w:rPr>
        <w:t>3）回填所用的土方按开挖的土方进行考虑编制。</w:t>
      </w:r>
    </w:p>
    <w:p>
      <w:pPr>
        <w:tabs>
          <w:tab w:val="right" w:pos="10640"/>
        </w:tabs>
        <w:spacing w:line="560" w:lineRule="atLeast"/>
        <w:ind w:firstLine="480"/>
        <w:rPr>
          <w:rFonts w:hint="eastAsia" w:ascii="宋体" w:hAnsi="宋体"/>
          <w:sz w:val="24"/>
        </w:rPr>
      </w:pPr>
      <w:r>
        <w:rPr>
          <w:rFonts w:hint="eastAsia" w:ascii="宋体" w:hAnsi="宋体"/>
          <w:sz w:val="24"/>
        </w:rPr>
        <w:t>4）大型机械暂按塔吊1台、挖掘机 1m3以内1台，实际根据上报施工方案自行考虑。</w:t>
      </w:r>
    </w:p>
    <w:p>
      <w:pPr>
        <w:tabs>
          <w:tab w:val="right" w:pos="10640"/>
        </w:tabs>
        <w:spacing w:line="560" w:lineRule="atLeast"/>
        <w:ind w:firstLine="480"/>
        <w:rPr>
          <w:rFonts w:ascii="宋体" w:hAnsi="宋体"/>
          <w:sz w:val="24"/>
        </w:rPr>
      </w:pPr>
      <w:r>
        <w:rPr>
          <w:rFonts w:hint="eastAsia" w:ascii="宋体" w:hAnsi="宋体"/>
          <w:sz w:val="24"/>
        </w:rPr>
        <w:t>5）钢构件运输距离暂按10km考虑。</w:t>
      </w:r>
    </w:p>
    <w:p>
      <w:pPr>
        <w:tabs>
          <w:tab w:val="right" w:pos="10640"/>
        </w:tabs>
        <w:spacing w:line="560" w:lineRule="atLeast"/>
        <w:ind w:firstLine="480"/>
        <w:rPr>
          <w:rFonts w:ascii="宋体" w:hAnsi="宋体"/>
          <w:sz w:val="24"/>
        </w:rPr>
      </w:pPr>
      <w:r>
        <w:rPr>
          <w:rFonts w:hint="eastAsia" w:ascii="宋体" w:hAnsi="宋体"/>
          <w:sz w:val="24"/>
        </w:rPr>
        <w:t>6）钢结构除锈暂按抛丸除锈考虑。</w:t>
      </w:r>
    </w:p>
    <w:p>
      <w:pPr>
        <w:tabs>
          <w:tab w:val="right" w:pos="10640"/>
        </w:tabs>
        <w:spacing w:line="560" w:lineRule="atLeast"/>
        <w:ind w:firstLine="480" w:firstLineChars="200"/>
        <w:rPr>
          <w:rFonts w:hint="eastAsia" w:ascii="宋体" w:hAnsi="宋体"/>
          <w:sz w:val="24"/>
        </w:rPr>
      </w:pPr>
      <w:r>
        <w:rPr>
          <w:rFonts w:hint="eastAsia" w:ascii="宋体" w:hAnsi="宋体"/>
          <w:sz w:val="24"/>
        </w:rPr>
        <w:t>（二）安装工程</w:t>
      </w:r>
    </w:p>
    <w:p>
      <w:pPr>
        <w:tabs>
          <w:tab w:val="right" w:pos="10640"/>
        </w:tabs>
        <w:spacing w:line="560" w:lineRule="atLeast"/>
        <w:ind w:firstLine="480" w:firstLineChars="200"/>
        <w:rPr>
          <w:rFonts w:ascii="宋体" w:hAnsi="宋体"/>
          <w:sz w:val="24"/>
        </w:rPr>
      </w:pPr>
      <w:r>
        <w:rPr>
          <w:rFonts w:hint="eastAsia" w:ascii="宋体" w:hAnsi="宋体"/>
          <w:sz w:val="24"/>
        </w:rPr>
        <w:t>1）给排水抗震支架按图纸计取，给水水表井计入室外管网，其余按照图纸计取。</w:t>
      </w:r>
    </w:p>
    <w:p>
      <w:pPr>
        <w:tabs>
          <w:tab w:val="right" w:pos="10640"/>
        </w:tabs>
        <w:spacing w:line="560" w:lineRule="atLeast"/>
        <w:ind w:firstLine="480"/>
        <w:rPr>
          <w:rFonts w:hint="eastAsia" w:ascii="宋体" w:hAnsi="宋体"/>
          <w:sz w:val="24"/>
        </w:rPr>
      </w:pPr>
      <w:r>
        <w:rPr>
          <w:rFonts w:hint="eastAsia" w:ascii="宋体" w:hAnsi="宋体"/>
          <w:sz w:val="24"/>
        </w:rPr>
        <w:t>2）图纸设计说明防排烟和通风系统施工说明为一个大项，但仅注明防排烟系统风管类型及保温厚度，未明确通风系统，通风系统参考防排烟系统计入，风管为镀锌钢板风管，风管法兰采用角钢，吊顶内通风管采用30mm离心玻璃棉保温；</w:t>
      </w:r>
    </w:p>
    <w:p>
      <w:pPr>
        <w:tabs>
          <w:tab w:val="right" w:pos="10640"/>
        </w:tabs>
        <w:spacing w:line="560" w:lineRule="atLeast"/>
        <w:ind w:firstLine="480"/>
        <w:rPr>
          <w:rFonts w:ascii="宋体" w:hAnsi="宋体"/>
          <w:sz w:val="24"/>
        </w:rPr>
      </w:pPr>
      <w:r>
        <w:rPr>
          <w:rFonts w:hint="eastAsia" w:ascii="宋体" w:hAnsi="宋体"/>
          <w:sz w:val="24"/>
        </w:rPr>
        <w:t>3）暖通平面图未注明风口规格，暂按材料表计入，其余答疑为回复部分工程量暂按2计入。</w:t>
      </w:r>
    </w:p>
    <w:p>
      <w:pPr>
        <w:tabs>
          <w:tab w:val="right" w:pos="10640"/>
        </w:tabs>
        <w:spacing w:line="560" w:lineRule="atLeast"/>
        <w:ind w:firstLine="480"/>
        <w:rPr>
          <w:rFonts w:hint="eastAsia" w:ascii="宋体" w:hAnsi="宋体"/>
          <w:sz w:val="24"/>
        </w:rPr>
      </w:pPr>
      <w:r>
        <w:rPr>
          <w:rFonts w:hint="eastAsia" w:ascii="宋体" w:hAnsi="宋体"/>
          <w:sz w:val="24"/>
        </w:rPr>
        <w:t>4）夜景照明配电箱进线电缆图纸标注甲供，此部分工程量暂计入夜景照明控制价。</w:t>
      </w:r>
    </w:p>
    <w:p>
      <w:pPr>
        <w:tabs>
          <w:tab w:val="right" w:pos="10640"/>
        </w:tabs>
        <w:spacing w:line="560" w:lineRule="atLeast"/>
        <w:ind w:firstLine="480"/>
        <w:rPr>
          <w:rFonts w:hint="eastAsia" w:ascii="宋体" w:hAnsi="宋体"/>
          <w:sz w:val="24"/>
        </w:rPr>
      </w:pPr>
      <w:r>
        <w:rPr>
          <w:rFonts w:hint="eastAsia" w:ascii="宋体" w:hAnsi="宋体"/>
          <w:sz w:val="24"/>
        </w:rPr>
        <w:t>5）装饰图纸电子屏及风口安装图纸未设计与其相关的系统，暂未计入。</w:t>
      </w:r>
    </w:p>
    <w:p>
      <w:pPr>
        <w:tabs>
          <w:tab w:val="right" w:pos="10640"/>
        </w:tabs>
        <w:spacing w:line="560" w:lineRule="atLeast"/>
        <w:ind w:left="479" w:leftChars="228" w:firstLine="64" w:firstLineChars="27"/>
        <w:rPr>
          <w:rFonts w:hint="eastAsia" w:ascii="宋体" w:hAnsi="宋体"/>
          <w:sz w:val="24"/>
        </w:rPr>
      </w:pPr>
      <w:r>
        <w:rPr>
          <w:rFonts w:hint="eastAsia" w:ascii="宋体" w:hAnsi="宋体"/>
          <w:sz w:val="24"/>
        </w:rPr>
        <w:t>6）弱电设备计入弱电机房，机房内线缆按每个回路10m计入，设备进线线缆由运营商施工，不再计入。</w:t>
      </w:r>
    </w:p>
    <w:p>
      <w:pPr>
        <w:tabs>
          <w:tab w:val="right" w:pos="10640"/>
        </w:tabs>
        <w:spacing w:line="560" w:lineRule="atLeast"/>
        <w:ind w:firstLine="480"/>
        <w:rPr>
          <w:rFonts w:hint="eastAsia" w:ascii="宋体" w:hAnsi="宋体"/>
          <w:sz w:val="24"/>
        </w:rPr>
      </w:pPr>
      <w:r>
        <w:rPr>
          <w:rFonts w:hint="eastAsia" w:ascii="宋体" w:hAnsi="宋体"/>
          <w:sz w:val="24"/>
        </w:rPr>
        <w:t>7）强电系统桥架支架根据图纸按抗震支架计入。</w:t>
      </w:r>
    </w:p>
    <w:p>
      <w:pPr>
        <w:tabs>
          <w:tab w:val="right" w:pos="10640"/>
        </w:tabs>
        <w:spacing w:line="560" w:lineRule="atLeast"/>
        <w:ind w:firstLine="480"/>
        <w:rPr>
          <w:rFonts w:hint="eastAsia" w:ascii="宋体" w:hAnsi="宋体"/>
          <w:sz w:val="24"/>
        </w:rPr>
      </w:pPr>
      <w:r>
        <w:rPr>
          <w:rFonts w:hint="eastAsia" w:ascii="宋体" w:hAnsi="宋体"/>
          <w:sz w:val="24"/>
        </w:rPr>
        <w:t>8）强电系统市政箱变至建筑物外墙皮暂按100米计入。</w:t>
      </w:r>
    </w:p>
    <w:p>
      <w:pPr>
        <w:tabs>
          <w:tab w:val="right" w:pos="10640"/>
        </w:tabs>
        <w:spacing w:line="560" w:lineRule="atLeast"/>
        <w:ind w:firstLine="480"/>
        <w:rPr>
          <w:rFonts w:ascii="宋体" w:hAnsi="宋体"/>
          <w:sz w:val="24"/>
        </w:rPr>
      </w:pPr>
      <w:r>
        <w:rPr>
          <w:rFonts w:hint="eastAsia" w:ascii="宋体" w:hAnsi="宋体"/>
          <w:sz w:val="24"/>
        </w:rPr>
        <w:t>9）强电系统室外预埋配管的土方均已计入。</w:t>
      </w:r>
    </w:p>
    <w:p>
      <w:pPr>
        <w:tabs>
          <w:tab w:val="right" w:pos="10640"/>
        </w:tabs>
        <w:spacing w:line="560" w:lineRule="atLeast"/>
        <w:ind w:firstLine="480"/>
        <w:rPr>
          <w:rFonts w:hint="eastAsia" w:ascii="宋体" w:hAnsi="宋体"/>
          <w:sz w:val="24"/>
        </w:rPr>
      </w:pPr>
      <w:r>
        <w:rPr>
          <w:rFonts w:hint="eastAsia" w:ascii="宋体" w:hAnsi="宋体"/>
          <w:sz w:val="24"/>
        </w:rPr>
        <w:t>10）消防电系统市政箱变至建筑物外墙线缆暂按100米计取。</w:t>
      </w:r>
    </w:p>
    <w:p>
      <w:pPr>
        <w:tabs>
          <w:tab w:val="right" w:pos="10640"/>
        </w:tabs>
        <w:spacing w:line="560" w:lineRule="atLeast"/>
        <w:ind w:firstLine="480"/>
        <w:rPr>
          <w:rFonts w:hint="eastAsia" w:ascii="宋体" w:hAnsi="宋体"/>
          <w:sz w:val="24"/>
        </w:rPr>
      </w:pPr>
      <w:r>
        <w:rPr>
          <w:rFonts w:hint="eastAsia" w:ascii="宋体" w:hAnsi="宋体"/>
          <w:sz w:val="24"/>
        </w:rPr>
        <w:t>11）消防电系统室外预埋配管的土方均已计取。</w:t>
      </w:r>
    </w:p>
    <w:p>
      <w:pPr>
        <w:tabs>
          <w:tab w:val="right" w:pos="10640"/>
        </w:tabs>
        <w:spacing w:line="560" w:lineRule="atLeast"/>
        <w:ind w:firstLine="480"/>
        <w:rPr>
          <w:rFonts w:hint="eastAsia" w:ascii="宋体" w:hAnsi="宋体"/>
          <w:sz w:val="24"/>
        </w:rPr>
      </w:pPr>
      <w:r>
        <w:rPr>
          <w:rFonts w:hint="eastAsia" w:ascii="宋体" w:hAnsi="宋体"/>
          <w:sz w:val="24"/>
        </w:rPr>
        <w:t>12）景观图纸给水管入车站处已设计阀门井，车站图纸同样位置设置水表井未计入。</w:t>
      </w:r>
    </w:p>
    <w:p>
      <w:pPr>
        <w:tabs>
          <w:tab w:val="right" w:pos="10640"/>
        </w:tabs>
        <w:spacing w:line="560" w:lineRule="atLeast"/>
        <w:ind w:firstLine="480"/>
        <w:rPr>
          <w:rFonts w:ascii="宋体" w:hAnsi="宋体"/>
          <w:sz w:val="24"/>
        </w:rPr>
      </w:pPr>
      <w:r>
        <w:rPr>
          <w:rFonts w:hint="eastAsia" w:ascii="宋体" w:hAnsi="宋体"/>
          <w:sz w:val="24"/>
        </w:rPr>
        <w:t>13）景观图纸消火栓管道入户位置设计阀门已进入，此处是否有阀门井待明确，未计入。</w:t>
      </w:r>
    </w:p>
    <w:p>
      <w:pPr>
        <w:numPr>
          <w:ilvl w:val="0"/>
          <w:numId w:val="52"/>
        </w:numPr>
        <w:spacing w:line="360" w:lineRule="auto"/>
        <w:rPr>
          <w:rFonts w:hint="eastAsia" w:ascii="宋体" w:hAnsi="宋体"/>
          <w:b/>
          <w:sz w:val="24"/>
        </w:rPr>
      </w:pPr>
      <w:r>
        <w:rPr>
          <w:rFonts w:hint="eastAsia" w:ascii="宋体" w:hAnsi="宋体"/>
          <w:b/>
          <w:sz w:val="24"/>
        </w:rPr>
        <w:t>工程量清单</w:t>
      </w:r>
    </w:p>
    <w:p>
      <w:pPr>
        <w:spacing w:line="360" w:lineRule="auto"/>
        <w:ind w:firstLine="424" w:firstLineChars="177"/>
        <w:rPr>
          <w:rFonts w:hint="eastAsia" w:ascii="宋体" w:hAnsi="宋体"/>
          <w:sz w:val="24"/>
        </w:rPr>
      </w:pPr>
      <w:r>
        <w:rPr>
          <w:rFonts w:hint="eastAsia" w:ascii="宋体" w:hAnsi="宋体"/>
          <w:sz w:val="24"/>
        </w:rPr>
        <w:t>工程量清单在《全国公共资源交易平台</w:t>
      </w:r>
      <w:r>
        <w:rPr>
          <w:rFonts w:ascii="宋体" w:hAnsi="宋体"/>
          <w:sz w:val="24"/>
        </w:rPr>
        <w:t>(</w:t>
      </w:r>
      <w:r>
        <w:rPr>
          <w:rFonts w:hint="eastAsia" w:ascii="宋体" w:hAnsi="宋体"/>
          <w:sz w:val="24"/>
        </w:rPr>
        <w:t>河南省</w:t>
      </w:r>
      <w:r>
        <w:rPr>
          <w:rFonts w:ascii="宋体" w:hAnsi="宋体"/>
          <w:sz w:val="24"/>
        </w:rPr>
        <w:t>▪</w:t>
      </w:r>
      <w:r>
        <w:rPr>
          <w:rFonts w:hint="eastAsia" w:ascii="宋体" w:hAnsi="宋体"/>
          <w:sz w:val="24"/>
        </w:rPr>
        <w:t>许昌市</w:t>
      </w:r>
      <w:r>
        <w:rPr>
          <w:rFonts w:ascii="宋体" w:hAnsi="宋体"/>
          <w:sz w:val="24"/>
        </w:rPr>
        <w:t>)</w:t>
      </w:r>
      <w:r>
        <w:rPr>
          <w:rFonts w:hint="eastAsia" w:ascii="宋体" w:hAnsi="宋体"/>
          <w:sz w:val="24"/>
        </w:rPr>
        <w:t>》（http://ggzy.xuchang.gov.cn:8088/ggzy/），通过“投标人</w:t>
      </w:r>
      <w:r>
        <w:rPr>
          <w:rFonts w:ascii="宋体" w:hAnsi="宋体"/>
          <w:sz w:val="24"/>
        </w:rPr>
        <w:t>/</w:t>
      </w:r>
      <w:r>
        <w:rPr>
          <w:rFonts w:hint="eastAsia" w:ascii="宋体" w:hAnsi="宋体"/>
          <w:sz w:val="24"/>
        </w:rPr>
        <w:t>供应商登录”后自行下载。</w:t>
      </w:r>
    </w:p>
    <w:p>
      <w:pPr>
        <w:spacing w:line="360" w:lineRule="auto"/>
        <w:ind w:firstLine="424" w:firstLineChars="177"/>
        <w:rPr>
          <w:rFonts w:hint="eastAsia" w:ascii="宋体" w:hAnsi="宋体"/>
          <w:sz w:val="24"/>
        </w:rPr>
      </w:pPr>
      <w:r>
        <w:rPr>
          <w:rFonts w:ascii="宋体" w:hAnsi="宋体"/>
          <w:sz w:val="24"/>
        </w:rPr>
        <w:br w:type="page"/>
      </w:r>
    </w:p>
    <w:bookmarkEnd w:id="495"/>
    <w:bookmarkEnd w:id="496"/>
    <w:bookmarkEnd w:id="497"/>
    <w:p>
      <w:pPr>
        <w:spacing w:line="360" w:lineRule="auto"/>
        <w:rPr>
          <w:rFonts w:ascii="宋体" w:hAnsi="宋体"/>
          <w:sz w:val="24"/>
        </w:rPr>
      </w:pPr>
    </w:p>
    <w:p>
      <w:pPr>
        <w:spacing w:line="360" w:lineRule="auto"/>
        <w:rPr>
          <w:rFonts w:ascii="宋体" w:hAnsi="宋体"/>
          <w:sz w:val="24"/>
        </w:rPr>
      </w:pPr>
      <w:bookmarkStart w:id="499" w:name="_Toc300835204"/>
      <w:bookmarkStart w:id="500" w:name="_Toc247514232"/>
      <w:bookmarkStart w:id="501" w:name="_Toc247527819"/>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hint="eastAsia" w:ascii="宋体" w:hAnsi="宋体"/>
          <w:sz w:val="24"/>
        </w:rPr>
      </w:pPr>
    </w:p>
    <w:p>
      <w:pPr>
        <w:pStyle w:val="6"/>
        <w:spacing w:before="0" w:after="0" w:line="360" w:lineRule="auto"/>
        <w:jc w:val="center"/>
        <w:rPr>
          <w:rFonts w:ascii="宋体" w:hAnsi="宋体"/>
        </w:rPr>
      </w:pPr>
      <w:bookmarkStart w:id="502" w:name="_Toc43198901"/>
      <w:r>
        <w:rPr>
          <w:rFonts w:hint="eastAsia" w:ascii="宋体" w:hAnsi="宋体"/>
        </w:rPr>
        <w:t>第二卷</w:t>
      </w:r>
      <w:bookmarkEnd w:id="499"/>
      <w:bookmarkEnd w:id="500"/>
      <w:bookmarkEnd w:id="501"/>
      <w:bookmarkEnd w:id="502"/>
    </w:p>
    <w:p>
      <w:pPr>
        <w:spacing w:line="360" w:lineRule="auto"/>
        <w:rPr>
          <w:rFonts w:hint="eastAsia" w:ascii="宋体" w:hAnsi="宋体"/>
          <w:sz w:val="24"/>
        </w:rPr>
      </w:pPr>
      <w:r>
        <w:rPr>
          <w:rFonts w:ascii="宋体" w:hAnsi="宋体"/>
          <w:b/>
          <w:bCs/>
          <w:sz w:val="24"/>
        </w:rPr>
        <w:br w:type="page"/>
      </w:r>
    </w:p>
    <w:p>
      <w:pPr>
        <w:pStyle w:val="6"/>
        <w:numPr>
          <w:ilvl w:val="0"/>
          <w:numId w:val="1"/>
        </w:numPr>
        <w:spacing w:before="156" w:beforeLines="50" w:after="156" w:afterLines="50" w:line="360" w:lineRule="auto"/>
        <w:jc w:val="center"/>
        <w:rPr>
          <w:rFonts w:hint="eastAsia" w:ascii="宋体" w:hAnsi="宋体"/>
          <w:sz w:val="32"/>
          <w:szCs w:val="32"/>
        </w:rPr>
      </w:pPr>
      <w:bookmarkStart w:id="503" w:name="_Toc43198902"/>
      <w:r>
        <w:rPr>
          <w:rFonts w:hint="eastAsia" w:ascii="宋体" w:hAnsi="宋体"/>
          <w:sz w:val="32"/>
          <w:szCs w:val="32"/>
        </w:rPr>
        <w:t>图纸</w:t>
      </w:r>
      <w:bookmarkEnd w:id="503"/>
    </w:p>
    <w:p>
      <w:pPr>
        <w:spacing w:line="360" w:lineRule="auto"/>
        <w:jc w:val="center"/>
        <w:rPr>
          <w:rFonts w:ascii="宋体" w:hAnsi="宋体"/>
          <w:b/>
          <w:sz w:val="24"/>
        </w:rPr>
      </w:pPr>
    </w:p>
    <w:p>
      <w:pPr>
        <w:spacing w:line="360" w:lineRule="auto"/>
        <w:jc w:val="center"/>
        <w:rPr>
          <w:rFonts w:hint="eastAsia" w:ascii="宋体" w:hAnsi="宋体"/>
          <w:bCs/>
          <w:sz w:val="24"/>
        </w:rPr>
      </w:pPr>
      <w:r>
        <w:rPr>
          <w:rFonts w:hint="eastAsia" w:ascii="宋体" w:hAnsi="宋体"/>
          <w:bCs/>
          <w:sz w:val="24"/>
        </w:rPr>
        <w:t>按照招标文件中第二章投标人须知前附表第2.1项所给的网址自行下载。</w:t>
      </w:r>
    </w:p>
    <w:p>
      <w:pPr>
        <w:spacing w:line="360" w:lineRule="auto"/>
        <w:rPr>
          <w:rFonts w:ascii="宋体" w:hAnsi="宋体"/>
          <w:sz w:val="24"/>
        </w:rPr>
      </w:pPr>
      <w:r>
        <w:rPr>
          <w:rFonts w:ascii="宋体" w:hAnsi="宋体"/>
          <w:sz w:val="24"/>
        </w:rPr>
        <w:br w:type="page"/>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hint="eastAsia" w:ascii="宋体" w:hAnsi="宋体"/>
          <w:sz w:val="24"/>
        </w:rPr>
      </w:pPr>
    </w:p>
    <w:p>
      <w:pPr>
        <w:pStyle w:val="6"/>
        <w:spacing w:before="0" w:after="0" w:line="360" w:lineRule="auto"/>
        <w:jc w:val="center"/>
        <w:rPr>
          <w:rFonts w:ascii="宋体" w:hAnsi="宋体"/>
        </w:rPr>
      </w:pPr>
      <w:bookmarkStart w:id="504" w:name="_Toc43198903"/>
      <w:r>
        <w:rPr>
          <w:rFonts w:hint="eastAsia" w:ascii="宋体" w:hAnsi="宋体"/>
        </w:rPr>
        <w:t>第三卷</w:t>
      </w:r>
      <w:bookmarkEnd w:id="504"/>
    </w:p>
    <w:p>
      <w:pPr>
        <w:spacing w:line="360" w:lineRule="auto"/>
        <w:rPr>
          <w:rFonts w:hint="eastAsia" w:ascii="宋体" w:hAnsi="宋体"/>
          <w:sz w:val="24"/>
        </w:rPr>
      </w:pPr>
      <w:r>
        <w:rPr>
          <w:rFonts w:ascii="宋体" w:hAnsi="宋体"/>
          <w:sz w:val="24"/>
        </w:rPr>
        <w:br w:type="page"/>
      </w:r>
    </w:p>
    <w:p>
      <w:pPr>
        <w:pStyle w:val="6"/>
        <w:numPr>
          <w:ilvl w:val="0"/>
          <w:numId w:val="1"/>
        </w:numPr>
        <w:spacing w:before="156" w:beforeLines="50" w:after="156" w:afterLines="50" w:line="360" w:lineRule="auto"/>
        <w:jc w:val="center"/>
        <w:rPr>
          <w:rFonts w:ascii="宋体" w:hAnsi="宋体"/>
          <w:sz w:val="32"/>
          <w:szCs w:val="32"/>
        </w:rPr>
      </w:pPr>
      <w:bookmarkStart w:id="505" w:name="_Toc43198904"/>
      <w:r>
        <w:rPr>
          <w:rFonts w:hint="eastAsia" w:ascii="宋体" w:hAnsi="宋体"/>
          <w:sz w:val="32"/>
          <w:szCs w:val="32"/>
        </w:rPr>
        <w:t>技术标准和要求</w:t>
      </w:r>
      <w:bookmarkEnd w:id="505"/>
    </w:p>
    <w:p/>
    <w:p>
      <w:pPr>
        <w:spacing w:line="360" w:lineRule="auto"/>
        <w:ind w:firstLine="424" w:firstLineChars="177"/>
        <w:jc w:val="left"/>
        <w:rPr>
          <w:rFonts w:hint="eastAsia" w:ascii="宋体" w:hAnsi="宋体"/>
          <w:sz w:val="24"/>
          <w:szCs w:val="32"/>
        </w:rPr>
      </w:pPr>
      <w:r>
        <w:rPr>
          <w:rFonts w:hint="eastAsia" w:ascii="宋体" w:hAnsi="宋体"/>
          <w:sz w:val="24"/>
          <w:szCs w:val="32"/>
        </w:rPr>
        <w:t>1、本工程技术标准和要求以本工程施工图纸和适用的国家、行业以及地方规范、标准和规程为准。</w:t>
      </w:r>
    </w:p>
    <w:p>
      <w:pPr>
        <w:spacing w:line="360" w:lineRule="auto"/>
        <w:ind w:firstLine="424" w:firstLineChars="177"/>
        <w:jc w:val="left"/>
        <w:rPr>
          <w:rFonts w:hint="eastAsia" w:ascii="宋体" w:hAnsi="宋体"/>
          <w:sz w:val="24"/>
          <w:szCs w:val="32"/>
        </w:rPr>
      </w:pPr>
      <w:r>
        <w:rPr>
          <w:rFonts w:hint="eastAsia" w:ascii="宋体" w:hAnsi="宋体"/>
          <w:sz w:val="24"/>
          <w:szCs w:val="32"/>
        </w:rPr>
        <w:t>2、施工工地扬尘污染整治标准以《许昌市施工工地扬尘污染综合整治工作方案》许气联办【2016】21号文件为准。</w:t>
      </w:r>
    </w:p>
    <w:p>
      <w:pPr>
        <w:spacing w:line="360" w:lineRule="auto"/>
        <w:rPr>
          <w:rFonts w:ascii="宋体" w:hAnsi="宋体"/>
          <w:sz w:val="24"/>
        </w:rPr>
      </w:pPr>
    </w:p>
    <w:p>
      <w:pPr>
        <w:spacing w:line="360" w:lineRule="auto"/>
        <w:rPr>
          <w:rFonts w:ascii="宋体" w:hAnsi="宋体"/>
          <w:sz w:val="24"/>
        </w:rPr>
      </w:pPr>
      <w:r>
        <w:rPr>
          <w:rFonts w:ascii="宋体" w:hAnsi="宋体"/>
          <w:sz w:val="24"/>
        </w:rPr>
        <w:br w:type="page"/>
      </w:r>
    </w:p>
    <w:p>
      <w:pPr>
        <w:spacing w:line="360" w:lineRule="auto"/>
        <w:rPr>
          <w:rFonts w:ascii="宋体" w:hAnsi="宋体"/>
          <w:sz w:val="24"/>
        </w:rPr>
      </w:pPr>
      <w:bookmarkStart w:id="506" w:name="_Toc247514244"/>
      <w:bookmarkStart w:id="507" w:name="_Toc247527825"/>
      <w:bookmarkStart w:id="508" w:name="_Toc300835207"/>
      <w:bookmarkStart w:id="509" w:name="_Toc152042575"/>
      <w:bookmarkStart w:id="510" w:name="_Toc144974855"/>
      <w:bookmarkStart w:id="511" w:name="_Toc152045786"/>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hint="eastAsia" w:ascii="宋体" w:hAnsi="宋体"/>
          <w:sz w:val="24"/>
        </w:rPr>
      </w:pPr>
    </w:p>
    <w:p>
      <w:pPr>
        <w:pStyle w:val="6"/>
        <w:spacing w:before="0" w:after="0" w:line="360" w:lineRule="auto"/>
        <w:jc w:val="center"/>
        <w:rPr>
          <w:rFonts w:ascii="宋体" w:hAnsi="宋体"/>
        </w:rPr>
      </w:pPr>
      <w:bookmarkStart w:id="512" w:name="_Toc43198905"/>
      <w:r>
        <w:rPr>
          <w:rFonts w:hint="eastAsia" w:ascii="宋体" w:hAnsi="宋体"/>
        </w:rPr>
        <w:t>第四卷</w:t>
      </w:r>
      <w:bookmarkEnd w:id="506"/>
      <w:bookmarkEnd w:id="507"/>
      <w:bookmarkEnd w:id="508"/>
      <w:bookmarkEnd w:id="512"/>
    </w:p>
    <w:p>
      <w:pPr>
        <w:spacing w:line="360" w:lineRule="auto"/>
        <w:rPr>
          <w:rFonts w:ascii="宋体" w:hAnsi="宋体"/>
          <w:sz w:val="24"/>
        </w:rPr>
      </w:pPr>
      <w:r>
        <w:rPr>
          <w:rFonts w:ascii="宋体" w:hAnsi="宋体"/>
          <w:b/>
          <w:bCs/>
          <w:sz w:val="24"/>
        </w:rPr>
        <w:br w:type="page"/>
      </w:r>
    </w:p>
    <w:p>
      <w:pPr>
        <w:pStyle w:val="6"/>
        <w:numPr>
          <w:ilvl w:val="0"/>
          <w:numId w:val="1"/>
        </w:numPr>
        <w:spacing w:before="156" w:beforeLines="50" w:after="156" w:afterLines="50" w:line="360" w:lineRule="auto"/>
        <w:jc w:val="center"/>
        <w:rPr>
          <w:rFonts w:hint="eastAsia" w:ascii="宋体" w:hAnsi="宋体"/>
          <w:sz w:val="32"/>
          <w:szCs w:val="32"/>
        </w:rPr>
      </w:pPr>
      <w:bookmarkStart w:id="513" w:name="_Toc247527826"/>
      <w:bookmarkStart w:id="514" w:name="_Toc247514245"/>
      <w:bookmarkStart w:id="515" w:name="_Toc43198906"/>
      <w:bookmarkStart w:id="516" w:name="_Toc300835208"/>
      <w:r>
        <w:rPr>
          <w:rFonts w:hint="eastAsia" w:ascii="宋体" w:hAnsi="宋体"/>
          <w:sz w:val="32"/>
          <w:szCs w:val="32"/>
        </w:rPr>
        <w:t>投标文件格式</w:t>
      </w:r>
      <w:bookmarkEnd w:id="509"/>
      <w:bookmarkEnd w:id="510"/>
      <w:bookmarkEnd w:id="511"/>
      <w:bookmarkEnd w:id="513"/>
      <w:bookmarkEnd w:id="514"/>
      <w:bookmarkEnd w:id="515"/>
      <w:bookmarkEnd w:id="516"/>
    </w:p>
    <w:p>
      <w:pPr>
        <w:spacing w:line="360" w:lineRule="auto"/>
        <w:rPr>
          <w:rFonts w:ascii="宋体" w:hAnsi="宋体"/>
          <w:sz w:val="20"/>
          <w:szCs w:val="20"/>
        </w:rPr>
      </w:pPr>
    </w:p>
    <w:p>
      <w:pPr>
        <w:rPr>
          <w:rFonts w:hint="eastAsia"/>
        </w:rPr>
      </w:pPr>
    </w:p>
    <w:tbl>
      <w:tblPr>
        <w:tblStyle w:val="13"/>
        <w:tblW w:w="8659" w:type="dxa"/>
        <w:jc w:val="center"/>
        <w:tblLayout w:type="autofit"/>
        <w:tblCellMar>
          <w:top w:w="0" w:type="dxa"/>
          <w:left w:w="108" w:type="dxa"/>
          <w:bottom w:w="0" w:type="dxa"/>
          <w:right w:w="108" w:type="dxa"/>
        </w:tblCellMar>
      </w:tblPr>
      <w:tblGrid>
        <w:gridCol w:w="2660"/>
        <w:gridCol w:w="2410"/>
        <w:gridCol w:w="1321"/>
        <w:gridCol w:w="2268"/>
      </w:tblGrid>
      <w:tr>
        <w:tblPrEx>
          <w:tblCellMar>
            <w:top w:w="0" w:type="dxa"/>
            <w:left w:w="108" w:type="dxa"/>
            <w:bottom w:w="0" w:type="dxa"/>
            <w:right w:w="108" w:type="dxa"/>
          </w:tblCellMar>
        </w:tblPrEx>
        <w:trPr>
          <w:jc w:val="center"/>
        </w:trPr>
        <w:tc>
          <w:tcPr>
            <w:tcW w:w="2660" w:type="dxa"/>
            <w:tcBorders>
              <w:bottom w:val="single" w:color="auto" w:sz="8" w:space="0"/>
            </w:tcBorders>
            <w:noWrap w:val="0"/>
            <w:vAlign w:val="top"/>
          </w:tcPr>
          <w:p>
            <w:pPr>
              <w:spacing w:line="360" w:lineRule="auto"/>
              <w:jc w:val="center"/>
              <w:rPr>
                <w:rFonts w:ascii="宋体" w:hAnsi="宋体"/>
                <w:b/>
                <w:bCs/>
                <w:sz w:val="36"/>
                <w:szCs w:val="36"/>
              </w:rPr>
            </w:pPr>
          </w:p>
        </w:tc>
        <w:tc>
          <w:tcPr>
            <w:tcW w:w="2410" w:type="dxa"/>
            <w:noWrap w:val="0"/>
            <w:vAlign w:val="top"/>
          </w:tcPr>
          <w:p>
            <w:pPr>
              <w:spacing w:line="360" w:lineRule="auto"/>
              <w:jc w:val="center"/>
              <w:rPr>
                <w:rFonts w:ascii="宋体" w:hAnsi="宋体"/>
                <w:b/>
                <w:bCs/>
                <w:sz w:val="36"/>
                <w:szCs w:val="36"/>
              </w:rPr>
            </w:pPr>
            <w:r>
              <w:rPr>
                <w:rFonts w:hint="eastAsia" w:ascii="宋体" w:hAnsi="宋体"/>
                <w:b/>
                <w:bCs/>
                <w:sz w:val="36"/>
                <w:szCs w:val="36"/>
              </w:rPr>
              <w:t>（项目名称）</w:t>
            </w:r>
          </w:p>
        </w:tc>
        <w:tc>
          <w:tcPr>
            <w:tcW w:w="1321" w:type="dxa"/>
            <w:tcBorders>
              <w:bottom w:val="single" w:color="auto" w:sz="8" w:space="0"/>
            </w:tcBorders>
            <w:noWrap w:val="0"/>
            <w:vAlign w:val="top"/>
          </w:tcPr>
          <w:p>
            <w:pPr>
              <w:spacing w:line="360" w:lineRule="auto"/>
              <w:jc w:val="center"/>
              <w:rPr>
                <w:rFonts w:ascii="宋体" w:hAnsi="宋体"/>
                <w:b/>
                <w:bCs/>
                <w:sz w:val="36"/>
                <w:szCs w:val="36"/>
              </w:rPr>
            </w:pPr>
          </w:p>
        </w:tc>
        <w:tc>
          <w:tcPr>
            <w:tcW w:w="2268" w:type="dxa"/>
            <w:noWrap w:val="0"/>
            <w:vAlign w:val="top"/>
          </w:tcPr>
          <w:p>
            <w:pPr>
              <w:spacing w:line="360" w:lineRule="auto"/>
              <w:jc w:val="center"/>
              <w:rPr>
                <w:rFonts w:ascii="宋体" w:hAnsi="宋体"/>
                <w:b/>
                <w:bCs/>
                <w:sz w:val="36"/>
                <w:szCs w:val="36"/>
              </w:rPr>
            </w:pPr>
            <w:r>
              <w:rPr>
                <w:rFonts w:hint="eastAsia" w:ascii="宋体" w:hAnsi="宋体"/>
                <w:b/>
                <w:bCs/>
                <w:sz w:val="36"/>
                <w:szCs w:val="36"/>
              </w:rPr>
              <w:t>（标段名称）</w:t>
            </w:r>
          </w:p>
        </w:tc>
      </w:tr>
    </w:tbl>
    <w:p>
      <w:pPr>
        <w:spacing w:line="360" w:lineRule="auto"/>
        <w:rPr>
          <w:rFonts w:hint="eastAsia" w:ascii="宋体" w:hAnsi="宋体"/>
          <w:sz w:val="24"/>
        </w:rPr>
      </w:pPr>
    </w:p>
    <w:p>
      <w:pPr>
        <w:spacing w:line="360" w:lineRule="auto"/>
        <w:ind w:left="180"/>
        <w:jc w:val="center"/>
        <w:rPr>
          <w:rFonts w:hint="eastAsia" w:ascii="宋体" w:hAnsi="宋体"/>
          <w:b/>
          <w:bCs/>
          <w:sz w:val="52"/>
          <w:szCs w:val="52"/>
        </w:rPr>
      </w:pPr>
      <w:r>
        <w:rPr>
          <w:rFonts w:hint="eastAsia" w:ascii="宋体" w:hAnsi="宋体"/>
          <w:b/>
          <w:bCs/>
          <w:sz w:val="52"/>
          <w:szCs w:val="52"/>
        </w:rPr>
        <w:t xml:space="preserve"> </w:t>
      </w:r>
    </w:p>
    <w:p>
      <w:pPr>
        <w:spacing w:line="360" w:lineRule="auto"/>
        <w:ind w:left="180"/>
        <w:jc w:val="center"/>
        <w:rPr>
          <w:rFonts w:hint="eastAsia" w:ascii="宋体" w:hAnsi="宋体"/>
          <w:b/>
          <w:bCs/>
          <w:sz w:val="72"/>
          <w:szCs w:val="72"/>
        </w:rPr>
      </w:pPr>
      <w:r>
        <w:rPr>
          <w:rFonts w:hint="eastAsia" w:ascii="宋体" w:hAnsi="宋体"/>
          <w:b/>
          <w:bCs/>
          <w:sz w:val="72"/>
          <w:szCs w:val="72"/>
        </w:rPr>
        <w:t>投 标 文 件</w:t>
      </w:r>
    </w:p>
    <w:p>
      <w:pPr>
        <w:spacing w:before="156" w:beforeLines="50" w:after="156" w:afterLines="50" w:line="360" w:lineRule="auto"/>
        <w:ind w:left="181"/>
        <w:jc w:val="center"/>
        <w:rPr>
          <w:rFonts w:hint="eastAsia" w:ascii="宋体" w:hAnsi="宋体"/>
          <w:sz w:val="36"/>
          <w:szCs w:val="36"/>
        </w:rPr>
      </w:pPr>
      <w:r>
        <w:rPr>
          <w:rFonts w:hint="eastAsia" w:ascii="宋体" w:hAnsi="宋体"/>
          <w:sz w:val="36"/>
          <w:szCs w:val="36"/>
        </w:rPr>
        <w:t>（商务标）</w:t>
      </w:r>
    </w:p>
    <w:p>
      <w:pPr>
        <w:spacing w:line="360" w:lineRule="auto"/>
        <w:jc w:val="center"/>
        <w:rPr>
          <w:rFonts w:ascii="宋体" w:hAnsi="宋体"/>
          <w:b/>
          <w:bCs/>
          <w:sz w:val="32"/>
          <w:szCs w:val="32"/>
        </w:rPr>
      </w:pPr>
      <w:r>
        <w:rPr>
          <w:rFonts w:hint="eastAsia" w:ascii="宋体" w:hAnsi="宋体"/>
          <w:sz w:val="24"/>
        </w:rPr>
        <w:t xml:space="preserve"> </w:t>
      </w:r>
    </w:p>
    <w:tbl>
      <w:tblPr>
        <w:tblStyle w:val="13"/>
        <w:tblW w:w="0" w:type="auto"/>
        <w:jc w:val="center"/>
        <w:tblLayout w:type="autofit"/>
        <w:tblCellMar>
          <w:top w:w="0" w:type="dxa"/>
          <w:left w:w="108" w:type="dxa"/>
          <w:bottom w:w="0" w:type="dxa"/>
          <w:right w:w="108" w:type="dxa"/>
        </w:tblCellMar>
      </w:tblPr>
      <w:tblGrid>
        <w:gridCol w:w="1809"/>
        <w:gridCol w:w="2835"/>
      </w:tblGrid>
      <w:tr>
        <w:tblPrEx>
          <w:tblCellMar>
            <w:top w:w="0" w:type="dxa"/>
            <w:left w:w="108" w:type="dxa"/>
            <w:bottom w:w="0" w:type="dxa"/>
            <w:right w:w="108" w:type="dxa"/>
          </w:tblCellMar>
        </w:tblPrEx>
        <w:trPr>
          <w:jc w:val="center"/>
        </w:trPr>
        <w:tc>
          <w:tcPr>
            <w:tcW w:w="1809" w:type="dxa"/>
            <w:noWrap w:val="0"/>
            <w:vAlign w:val="top"/>
          </w:tcPr>
          <w:p>
            <w:pPr>
              <w:spacing w:line="360" w:lineRule="auto"/>
              <w:jc w:val="center"/>
              <w:rPr>
                <w:rFonts w:hint="eastAsia" w:ascii="宋体" w:hAnsi="宋体"/>
                <w:b/>
                <w:bCs/>
                <w:sz w:val="30"/>
                <w:szCs w:val="30"/>
              </w:rPr>
            </w:pPr>
            <w:r>
              <w:rPr>
                <w:rFonts w:hint="eastAsia" w:ascii="宋体" w:hAnsi="宋体"/>
                <w:b/>
                <w:bCs/>
                <w:sz w:val="30"/>
                <w:szCs w:val="30"/>
              </w:rPr>
              <w:t>项目编号：</w:t>
            </w:r>
          </w:p>
        </w:tc>
        <w:tc>
          <w:tcPr>
            <w:tcW w:w="2835" w:type="dxa"/>
            <w:tcBorders>
              <w:bottom w:val="single" w:color="auto" w:sz="8" w:space="0"/>
            </w:tcBorders>
            <w:noWrap w:val="0"/>
            <w:vAlign w:val="top"/>
          </w:tcPr>
          <w:p>
            <w:pPr>
              <w:spacing w:line="360" w:lineRule="auto"/>
              <w:jc w:val="center"/>
              <w:rPr>
                <w:rFonts w:hint="eastAsia" w:ascii="宋体" w:hAnsi="宋体"/>
                <w:b/>
                <w:bCs/>
                <w:sz w:val="32"/>
                <w:szCs w:val="32"/>
              </w:rPr>
            </w:pPr>
          </w:p>
        </w:tc>
      </w:tr>
    </w:tbl>
    <w:p>
      <w:pPr>
        <w:spacing w:line="360" w:lineRule="auto"/>
        <w:ind w:left="180"/>
        <w:rPr>
          <w:rFonts w:hint="eastAsia" w:ascii="宋体" w:hAnsi="宋体"/>
          <w:sz w:val="24"/>
        </w:rPr>
      </w:pP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jc w:val="center"/>
        <w:rPr>
          <w:rFonts w:hint="eastAsia" w:ascii="宋体" w:hAnsi="宋体"/>
          <w:b/>
          <w:bCs/>
          <w:sz w:val="32"/>
          <w:szCs w:val="32"/>
        </w:rPr>
      </w:pPr>
      <w:r>
        <w:rPr>
          <w:rFonts w:hint="eastAsia" w:ascii="宋体" w:hAnsi="宋体"/>
          <w:b/>
          <w:bCs/>
          <w:sz w:val="32"/>
          <w:szCs w:val="32"/>
        </w:rPr>
        <w:t>投标人:</w:t>
      </w:r>
      <w:r>
        <w:rPr>
          <w:rFonts w:hint="eastAsia" w:ascii="宋体" w:hAnsi="宋体"/>
          <w:b/>
          <w:bCs/>
          <w:sz w:val="32"/>
          <w:szCs w:val="32"/>
          <w:u w:val="single"/>
        </w:rPr>
        <w:t xml:space="preserve">                            </w:t>
      </w:r>
      <w:r>
        <w:rPr>
          <w:rFonts w:hint="eastAsia" w:ascii="宋体" w:hAnsi="宋体"/>
          <w:b/>
          <w:bCs/>
          <w:sz w:val="32"/>
          <w:szCs w:val="32"/>
        </w:rPr>
        <w:t>(盖单位公章)</w:t>
      </w:r>
    </w:p>
    <w:p>
      <w:pPr>
        <w:spacing w:line="360" w:lineRule="auto"/>
        <w:jc w:val="center"/>
        <w:rPr>
          <w:rFonts w:hint="eastAsia" w:ascii="宋体" w:hAnsi="宋体"/>
          <w:b/>
          <w:bCs/>
          <w:sz w:val="32"/>
          <w:szCs w:val="32"/>
        </w:rPr>
      </w:pPr>
      <w:r>
        <w:rPr>
          <w:rFonts w:hint="eastAsia" w:ascii="宋体" w:hAnsi="宋体"/>
          <w:b/>
          <w:bCs/>
          <w:sz w:val="32"/>
          <w:szCs w:val="32"/>
        </w:rPr>
        <w:t>法定代表人或其委托代理人:</w:t>
      </w:r>
      <w:r>
        <w:rPr>
          <w:rFonts w:hint="eastAsia" w:ascii="宋体" w:hAnsi="宋体"/>
          <w:b/>
          <w:bCs/>
          <w:sz w:val="32"/>
          <w:szCs w:val="32"/>
          <w:u w:val="single"/>
        </w:rPr>
        <w:t xml:space="preserve">             </w:t>
      </w:r>
      <w:r>
        <w:rPr>
          <w:rFonts w:hint="eastAsia" w:ascii="宋体" w:hAnsi="宋体"/>
          <w:b/>
          <w:bCs/>
          <w:sz w:val="32"/>
          <w:szCs w:val="32"/>
        </w:rPr>
        <w:t>(签字或盖章)</w:t>
      </w:r>
    </w:p>
    <w:p>
      <w:pPr>
        <w:spacing w:line="360" w:lineRule="auto"/>
        <w:jc w:val="center"/>
        <w:rPr>
          <w:rFonts w:hint="eastAsia" w:ascii="宋体" w:hAnsi="宋体"/>
          <w:b/>
          <w:bCs/>
          <w:sz w:val="32"/>
          <w:szCs w:val="32"/>
        </w:rPr>
      </w:pPr>
      <w:r>
        <w:rPr>
          <w:rFonts w:hint="eastAsia" w:ascii="宋体" w:hAnsi="宋体"/>
          <w:b/>
          <w:bCs/>
          <w:sz w:val="32"/>
          <w:szCs w:val="32"/>
          <w:u w:val="single"/>
        </w:rPr>
        <w:t xml:space="preserve"> </w:t>
      </w:r>
      <w:r>
        <w:rPr>
          <w:rFonts w:ascii="宋体" w:hAnsi="宋体"/>
          <w:b/>
          <w:bCs/>
          <w:sz w:val="32"/>
          <w:szCs w:val="32"/>
          <w:u w:val="single"/>
        </w:rPr>
        <w:t xml:space="preserve">       </w:t>
      </w:r>
      <w:r>
        <w:rPr>
          <w:rFonts w:hint="eastAsia" w:ascii="宋体" w:hAnsi="宋体"/>
          <w:b/>
          <w:bCs/>
          <w:sz w:val="32"/>
          <w:szCs w:val="32"/>
        </w:rPr>
        <w:t>年</w:t>
      </w:r>
      <w:r>
        <w:rPr>
          <w:rFonts w:hint="eastAsia" w:ascii="宋体" w:hAnsi="宋体"/>
          <w:b/>
          <w:bCs/>
          <w:sz w:val="32"/>
          <w:szCs w:val="32"/>
          <w:u w:val="single"/>
        </w:rPr>
        <w:t xml:space="preserve">      </w:t>
      </w:r>
      <w:r>
        <w:rPr>
          <w:rFonts w:hint="eastAsia" w:ascii="宋体" w:hAnsi="宋体"/>
          <w:b/>
          <w:bCs/>
          <w:sz w:val="32"/>
          <w:szCs w:val="32"/>
        </w:rPr>
        <w:t>月</w:t>
      </w:r>
      <w:r>
        <w:rPr>
          <w:rFonts w:hint="eastAsia" w:ascii="宋体" w:hAnsi="宋体"/>
          <w:b/>
          <w:bCs/>
          <w:sz w:val="32"/>
          <w:szCs w:val="32"/>
          <w:u w:val="single"/>
        </w:rPr>
        <w:t xml:space="preserve">       </w:t>
      </w:r>
      <w:r>
        <w:rPr>
          <w:rFonts w:hint="eastAsia" w:ascii="宋体" w:hAnsi="宋体"/>
          <w:b/>
          <w:bCs/>
          <w:sz w:val="32"/>
          <w:szCs w:val="32"/>
        </w:rPr>
        <w:t>日</w:t>
      </w:r>
    </w:p>
    <w:p>
      <w:pPr>
        <w:spacing w:line="360" w:lineRule="auto"/>
        <w:rPr>
          <w:rFonts w:ascii="宋体" w:hAnsi="宋体"/>
          <w:sz w:val="20"/>
          <w:szCs w:val="20"/>
        </w:rPr>
      </w:pPr>
      <w:r>
        <w:rPr>
          <w:rFonts w:hint="eastAsia" w:ascii="宋体" w:hAnsi="宋体"/>
          <w:sz w:val="20"/>
          <w:szCs w:val="20"/>
        </w:rPr>
        <w:t xml:space="preserve"> </w:t>
      </w:r>
    </w:p>
    <w:p>
      <w:pPr>
        <w:spacing w:line="360" w:lineRule="auto"/>
        <w:rPr>
          <w:rFonts w:hint="eastAsia" w:ascii="宋体" w:hAnsi="宋体"/>
          <w:sz w:val="24"/>
        </w:rPr>
      </w:pPr>
      <w:r>
        <w:br w:type="page"/>
      </w:r>
    </w:p>
    <w:p>
      <w:pPr>
        <w:spacing w:line="360" w:lineRule="auto"/>
        <w:rPr>
          <w:rFonts w:ascii="宋体" w:hAnsi="宋体"/>
          <w:sz w:val="24"/>
        </w:rPr>
      </w:pPr>
    </w:p>
    <w:p>
      <w:pPr>
        <w:spacing w:line="360" w:lineRule="auto"/>
        <w:rPr>
          <w:rFonts w:ascii="宋体" w:hAnsi="宋体"/>
          <w:sz w:val="24"/>
        </w:rPr>
      </w:pPr>
    </w:p>
    <w:p>
      <w:pPr>
        <w:autoSpaceDE w:val="0"/>
        <w:autoSpaceDN w:val="0"/>
        <w:adjustRightInd w:val="0"/>
        <w:spacing w:line="360" w:lineRule="auto"/>
        <w:jc w:val="center"/>
        <w:rPr>
          <w:rFonts w:hint="eastAsia"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int="eastAsia" w:hAnsi="宋体" w:cs="宋体"/>
          <w:b/>
          <w:sz w:val="24"/>
        </w:rPr>
      </w:pPr>
      <w:r>
        <w:rPr>
          <w:rFonts w:hint="eastAsia" w:hAnsi="宋体" w:cs="宋体"/>
          <w:sz w:val="24"/>
        </w:rPr>
        <w:t>（按所发放的工程量清单编制）</w:t>
      </w:r>
    </w:p>
    <w:p>
      <w:pPr>
        <w:spacing w:line="360" w:lineRule="auto"/>
        <w:rPr>
          <w:rFonts w:ascii="宋体" w:hAnsi="宋体"/>
          <w:sz w:val="24"/>
        </w:rPr>
      </w:pPr>
    </w:p>
    <w:p>
      <w:pPr>
        <w:spacing w:line="360" w:lineRule="auto"/>
        <w:rPr>
          <w:rFonts w:hint="eastAsia" w:ascii="宋体" w:hAnsi="宋体"/>
          <w:sz w:val="24"/>
        </w:rPr>
      </w:pPr>
    </w:p>
    <w:p>
      <w:pPr>
        <w:spacing w:line="360" w:lineRule="auto"/>
        <w:rPr>
          <w:rFonts w:ascii="宋体" w:hAnsi="宋体"/>
          <w:sz w:val="20"/>
          <w:szCs w:val="20"/>
        </w:rPr>
      </w:pPr>
      <w:r>
        <w:rPr>
          <w:rFonts w:ascii="宋体" w:hAnsi="宋体"/>
          <w:sz w:val="24"/>
        </w:rPr>
        <w:br w:type="page"/>
      </w:r>
    </w:p>
    <w:p>
      <w:pPr>
        <w:rPr>
          <w:rFonts w:hint="eastAsia"/>
        </w:rPr>
      </w:pPr>
    </w:p>
    <w:tbl>
      <w:tblPr>
        <w:tblStyle w:val="13"/>
        <w:tblW w:w="8659" w:type="dxa"/>
        <w:jc w:val="center"/>
        <w:tblLayout w:type="autofit"/>
        <w:tblCellMar>
          <w:top w:w="0" w:type="dxa"/>
          <w:left w:w="108" w:type="dxa"/>
          <w:bottom w:w="0" w:type="dxa"/>
          <w:right w:w="108" w:type="dxa"/>
        </w:tblCellMar>
      </w:tblPr>
      <w:tblGrid>
        <w:gridCol w:w="2660"/>
        <w:gridCol w:w="2410"/>
        <w:gridCol w:w="1321"/>
        <w:gridCol w:w="2268"/>
      </w:tblGrid>
      <w:tr>
        <w:tblPrEx>
          <w:tblCellMar>
            <w:top w:w="0" w:type="dxa"/>
            <w:left w:w="108" w:type="dxa"/>
            <w:bottom w:w="0" w:type="dxa"/>
            <w:right w:w="108" w:type="dxa"/>
          </w:tblCellMar>
        </w:tblPrEx>
        <w:trPr>
          <w:jc w:val="center"/>
        </w:trPr>
        <w:tc>
          <w:tcPr>
            <w:tcW w:w="2660" w:type="dxa"/>
            <w:tcBorders>
              <w:bottom w:val="single" w:color="auto" w:sz="8" w:space="0"/>
            </w:tcBorders>
            <w:noWrap w:val="0"/>
            <w:vAlign w:val="top"/>
          </w:tcPr>
          <w:p>
            <w:pPr>
              <w:spacing w:line="360" w:lineRule="auto"/>
              <w:jc w:val="center"/>
              <w:rPr>
                <w:rFonts w:ascii="宋体" w:hAnsi="宋体"/>
                <w:b/>
                <w:bCs/>
                <w:sz w:val="36"/>
                <w:szCs w:val="36"/>
              </w:rPr>
            </w:pPr>
          </w:p>
        </w:tc>
        <w:tc>
          <w:tcPr>
            <w:tcW w:w="2410" w:type="dxa"/>
            <w:noWrap w:val="0"/>
            <w:vAlign w:val="top"/>
          </w:tcPr>
          <w:p>
            <w:pPr>
              <w:spacing w:line="360" w:lineRule="auto"/>
              <w:jc w:val="center"/>
              <w:rPr>
                <w:rFonts w:ascii="宋体" w:hAnsi="宋体"/>
                <w:b/>
                <w:bCs/>
                <w:sz w:val="36"/>
                <w:szCs w:val="36"/>
              </w:rPr>
            </w:pPr>
            <w:r>
              <w:rPr>
                <w:rFonts w:hint="eastAsia" w:ascii="宋体" w:hAnsi="宋体"/>
                <w:b/>
                <w:bCs/>
                <w:sz w:val="36"/>
                <w:szCs w:val="36"/>
              </w:rPr>
              <w:t>（项目名称）</w:t>
            </w:r>
          </w:p>
        </w:tc>
        <w:tc>
          <w:tcPr>
            <w:tcW w:w="1321" w:type="dxa"/>
            <w:tcBorders>
              <w:bottom w:val="single" w:color="auto" w:sz="8" w:space="0"/>
            </w:tcBorders>
            <w:noWrap w:val="0"/>
            <w:vAlign w:val="top"/>
          </w:tcPr>
          <w:p>
            <w:pPr>
              <w:spacing w:line="360" w:lineRule="auto"/>
              <w:jc w:val="center"/>
              <w:rPr>
                <w:rFonts w:ascii="宋体" w:hAnsi="宋体"/>
                <w:b/>
                <w:bCs/>
                <w:sz w:val="36"/>
                <w:szCs w:val="36"/>
              </w:rPr>
            </w:pPr>
          </w:p>
        </w:tc>
        <w:tc>
          <w:tcPr>
            <w:tcW w:w="2268" w:type="dxa"/>
            <w:noWrap w:val="0"/>
            <w:vAlign w:val="top"/>
          </w:tcPr>
          <w:p>
            <w:pPr>
              <w:spacing w:line="360" w:lineRule="auto"/>
              <w:jc w:val="center"/>
              <w:rPr>
                <w:rFonts w:ascii="宋体" w:hAnsi="宋体"/>
                <w:b/>
                <w:bCs/>
                <w:sz w:val="36"/>
                <w:szCs w:val="36"/>
              </w:rPr>
            </w:pPr>
            <w:r>
              <w:rPr>
                <w:rFonts w:hint="eastAsia" w:ascii="宋体" w:hAnsi="宋体"/>
                <w:b/>
                <w:bCs/>
                <w:sz w:val="36"/>
                <w:szCs w:val="36"/>
              </w:rPr>
              <w:t>（标段名称）</w:t>
            </w:r>
          </w:p>
        </w:tc>
      </w:tr>
    </w:tbl>
    <w:p>
      <w:pPr>
        <w:spacing w:line="360" w:lineRule="auto"/>
        <w:rPr>
          <w:rFonts w:hint="eastAsia" w:ascii="宋体" w:hAnsi="宋体"/>
          <w:sz w:val="24"/>
        </w:rPr>
      </w:pPr>
    </w:p>
    <w:p>
      <w:pPr>
        <w:spacing w:line="360" w:lineRule="auto"/>
        <w:ind w:left="180"/>
        <w:jc w:val="center"/>
        <w:rPr>
          <w:rFonts w:hint="eastAsia" w:ascii="宋体" w:hAnsi="宋体"/>
          <w:b/>
          <w:bCs/>
          <w:sz w:val="52"/>
          <w:szCs w:val="52"/>
        </w:rPr>
      </w:pPr>
      <w:r>
        <w:rPr>
          <w:rFonts w:hint="eastAsia" w:ascii="宋体" w:hAnsi="宋体"/>
          <w:b/>
          <w:bCs/>
          <w:sz w:val="52"/>
          <w:szCs w:val="52"/>
        </w:rPr>
        <w:t xml:space="preserve"> </w:t>
      </w:r>
    </w:p>
    <w:p>
      <w:pPr>
        <w:spacing w:line="360" w:lineRule="auto"/>
        <w:ind w:left="180"/>
        <w:jc w:val="center"/>
        <w:rPr>
          <w:rFonts w:hint="eastAsia" w:ascii="宋体" w:hAnsi="宋体"/>
          <w:b/>
          <w:bCs/>
          <w:sz w:val="72"/>
          <w:szCs w:val="72"/>
        </w:rPr>
      </w:pPr>
      <w:r>
        <w:rPr>
          <w:rFonts w:hint="eastAsia" w:ascii="宋体" w:hAnsi="宋体"/>
          <w:b/>
          <w:bCs/>
          <w:sz w:val="72"/>
          <w:szCs w:val="72"/>
        </w:rPr>
        <w:t>投 标 文 件</w:t>
      </w:r>
    </w:p>
    <w:p>
      <w:pPr>
        <w:spacing w:before="156" w:beforeLines="50" w:after="156" w:afterLines="50" w:line="360" w:lineRule="auto"/>
        <w:ind w:left="181"/>
        <w:jc w:val="center"/>
        <w:rPr>
          <w:rFonts w:hint="eastAsia" w:ascii="宋体" w:hAnsi="宋体"/>
          <w:sz w:val="36"/>
          <w:szCs w:val="36"/>
        </w:rPr>
      </w:pPr>
      <w:r>
        <w:rPr>
          <w:rFonts w:hint="eastAsia" w:ascii="宋体" w:hAnsi="宋体"/>
          <w:sz w:val="36"/>
          <w:szCs w:val="36"/>
        </w:rPr>
        <w:t>（综合标）</w:t>
      </w:r>
    </w:p>
    <w:p>
      <w:pPr>
        <w:spacing w:line="360" w:lineRule="auto"/>
        <w:jc w:val="center"/>
        <w:rPr>
          <w:rFonts w:ascii="宋体" w:hAnsi="宋体"/>
          <w:b/>
          <w:bCs/>
          <w:sz w:val="32"/>
          <w:szCs w:val="32"/>
        </w:rPr>
      </w:pPr>
      <w:r>
        <w:rPr>
          <w:rFonts w:hint="eastAsia" w:ascii="宋体" w:hAnsi="宋体"/>
          <w:sz w:val="24"/>
        </w:rPr>
        <w:t xml:space="preserve"> </w:t>
      </w:r>
    </w:p>
    <w:tbl>
      <w:tblPr>
        <w:tblStyle w:val="13"/>
        <w:tblW w:w="0" w:type="auto"/>
        <w:jc w:val="center"/>
        <w:tblLayout w:type="autofit"/>
        <w:tblCellMar>
          <w:top w:w="0" w:type="dxa"/>
          <w:left w:w="108" w:type="dxa"/>
          <w:bottom w:w="0" w:type="dxa"/>
          <w:right w:w="108" w:type="dxa"/>
        </w:tblCellMar>
      </w:tblPr>
      <w:tblGrid>
        <w:gridCol w:w="1809"/>
        <w:gridCol w:w="2835"/>
      </w:tblGrid>
      <w:tr>
        <w:tblPrEx>
          <w:tblCellMar>
            <w:top w:w="0" w:type="dxa"/>
            <w:left w:w="108" w:type="dxa"/>
            <w:bottom w:w="0" w:type="dxa"/>
            <w:right w:w="108" w:type="dxa"/>
          </w:tblCellMar>
        </w:tblPrEx>
        <w:trPr>
          <w:jc w:val="center"/>
        </w:trPr>
        <w:tc>
          <w:tcPr>
            <w:tcW w:w="1809" w:type="dxa"/>
            <w:noWrap w:val="0"/>
            <w:vAlign w:val="top"/>
          </w:tcPr>
          <w:p>
            <w:pPr>
              <w:spacing w:line="360" w:lineRule="auto"/>
              <w:jc w:val="center"/>
              <w:rPr>
                <w:rFonts w:hint="eastAsia" w:ascii="宋体" w:hAnsi="宋体"/>
                <w:b/>
                <w:bCs/>
                <w:sz w:val="30"/>
                <w:szCs w:val="30"/>
              </w:rPr>
            </w:pPr>
            <w:r>
              <w:rPr>
                <w:rFonts w:hint="eastAsia" w:ascii="宋体" w:hAnsi="宋体"/>
                <w:b/>
                <w:bCs/>
                <w:sz w:val="30"/>
                <w:szCs w:val="30"/>
              </w:rPr>
              <w:t>项目编号：</w:t>
            </w:r>
          </w:p>
        </w:tc>
        <w:tc>
          <w:tcPr>
            <w:tcW w:w="2835" w:type="dxa"/>
            <w:tcBorders>
              <w:bottom w:val="single" w:color="auto" w:sz="8" w:space="0"/>
            </w:tcBorders>
            <w:noWrap w:val="0"/>
            <w:vAlign w:val="top"/>
          </w:tcPr>
          <w:p>
            <w:pPr>
              <w:spacing w:line="360" w:lineRule="auto"/>
              <w:jc w:val="center"/>
              <w:rPr>
                <w:rFonts w:hint="eastAsia" w:ascii="宋体" w:hAnsi="宋体"/>
                <w:b/>
                <w:bCs/>
                <w:sz w:val="32"/>
                <w:szCs w:val="32"/>
              </w:rPr>
            </w:pPr>
          </w:p>
        </w:tc>
      </w:tr>
    </w:tbl>
    <w:p>
      <w:pPr>
        <w:spacing w:line="360" w:lineRule="auto"/>
        <w:ind w:left="180"/>
        <w:rPr>
          <w:rFonts w:hint="eastAsia" w:ascii="宋体" w:hAnsi="宋体"/>
          <w:sz w:val="24"/>
        </w:rPr>
      </w:pP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jc w:val="center"/>
        <w:rPr>
          <w:rFonts w:hint="eastAsia" w:ascii="宋体" w:hAnsi="宋体"/>
          <w:b/>
          <w:bCs/>
          <w:sz w:val="32"/>
          <w:szCs w:val="32"/>
        </w:rPr>
      </w:pPr>
      <w:r>
        <w:rPr>
          <w:rFonts w:hint="eastAsia" w:ascii="宋体" w:hAnsi="宋体"/>
          <w:b/>
          <w:bCs/>
          <w:sz w:val="32"/>
          <w:szCs w:val="32"/>
        </w:rPr>
        <w:t>投标人:</w:t>
      </w:r>
      <w:r>
        <w:rPr>
          <w:rFonts w:hint="eastAsia" w:ascii="宋体" w:hAnsi="宋体"/>
          <w:b/>
          <w:bCs/>
          <w:sz w:val="32"/>
          <w:szCs w:val="32"/>
          <w:u w:val="single"/>
        </w:rPr>
        <w:t xml:space="preserve">                            </w:t>
      </w:r>
      <w:r>
        <w:rPr>
          <w:rFonts w:hint="eastAsia" w:ascii="宋体" w:hAnsi="宋体"/>
          <w:b/>
          <w:bCs/>
          <w:sz w:val="32"/>
          <w:szCs w:val="32"/>
        </w:rPr>
        <w:t>(盖单位公章)</w:t>
      </w:r>
    </w:p>
    <w:p>
      <w:pPr>
        <w:spacing w:line="360" w:lineRule="auto"/>
        <w:jc w:val="center"/>
        <w:rPr>
          <w:rFonts w:hint="eastAsia" w:ascii="宋体" w:hAnsi="宋体"/>
          <w:b/>
          <w:bCs/>
          <w:sz w:val="32"/>
          <w:szCs w:val="32"/>
        </w:rPr>
      </w:pPr>
      <w:r>
        <w:rPr>
          <w:rFonts w:hint="eastAsia" w:ascii="宋体" w:hAnsi="宋体"/>
          <w:b/>
          <w:bCs/>
          <w:sz w:val="32"/>
          <w:szCs w:val="32"/>
        </w:rPr>
        <w:t>法定代表人或其委托代理人:</w:t>
      </w:r>
      <w:r>
        <w:rPr>
          <w:rFonts w:hint="eastAsia" w:ascii="宋体" w:hAnsi="宋体"/>
          <w:b/>
          <w:bCs/>
          <w:sz w:val="32"/>
          <w:szCs w:val="32"/>
          <w:u w:val="single"/>
        </w:rPr>
        <w:t xml:space="preserve">             </w:t>
      </w:r>
      <w:r>
        <w:rPr>
          <w:rFonts w:hint="eastAsia" w:ascii="宋体" w:hAnsi="宋体"/>
          <w:b/>
          <w:bCs/>
          <w:sz w:val="32"/>
          <w:szCs w:val="32"/>
        </w:rPr>
        <w:t>(签字或盖章)</w:t>
      </w:r>
    </w:p>
    <w:p>
      <w:pPr>
        <w:spacing w:line="360" w:lineRule="auto"/>
        <w:jc w:val="center"/>
        <w:rPr>
          <w:rFonts w:hint="eastAsia" w:ascii="宋体" w:hAnsi="宋体"/>
          <w:b/>
          <w:bCs/>
          <w:sz w:val="32"/>
          <w:szCs w:val="32"/>
        </w:rPr>
      </w:pPr>
      <w:r>
        <w:rPr>
          <w:rFonts w:hint="eastAsia" w:ascii="宋体" w:hAnsi="宋体"/>
          <w:b/>
          <w:bCs/>
          <w:sz w:val="32"/>
          <w:szCs w:val="32"/>
          <w:u w:val="single"/>
        </w:rPr>
        <w:t xml:space="preserve"> </w:t>
      </w:r>
      <w:r>
        <w:rPr>
          <w:rFonts w:ascii="宋体" w:hAnsi="宋体"/>
          <w:b/>
          <w:bCs/>
          <w:sz w:val="32"/>
          <w:szCs w:val="32"/>
          <w:u w:val="single"/>
        </w:rPr>
        <w:t xml:space="preserve">       </w:t>
      </w:r>
      <w:r>
        <w:rPr>
          <w:rFonts w:hint="eastAsia" w:ascii="宋体" w:hAnsi="宋体"/>
          <w:b/>
          <w:bCs/>
          <w:sz w:val="32"/>
          <w:szCs w:val="32"/>
        </w:rPr>
        <w:t>年</w:t>
      </w:r>
      <w:r>
        <w:rPr>
          <w:rFonts w:hint="eastAsia" w:ascii="宋体" w:hAnsi="宋体"/>
          <w:b/>
          <w:bCs/>
          <w:sz w:val="32"/>
          <w:szCs w:val="32"/>
          <w:u w:val="single"/>
        </w:rPr>
        <w:t xml:space="preserve">      </w:t>
      </w:r>
      <w:r>
        <w:rPr>
          <w:rFonts w:hint="eastAsia" w:ascii="宋体" w:hAnsi="宋体"/>
          <w:b/>
          <w:bCs/>
          <w:sz w:val="32"/>
          <w:szCs w:val="32"/>
        </w:rPr>
        <w:t>月</w:t>
      </w:r>
      <w:r>
        <w:rPr>
          <w:rFonts w:hint="eastAsia" w:ascii="宋体" w:hAnsi="宋体"/>
          <w:b/>
          <w:bCs/>
          <w:sz w:val="32"/>
          <w:szCs w:val="32"/>
          <w:u w:val="single"/>
        </w:rPr>
        <w:t xml:space="preserve">       </w:t>
      </w:r>
      <w:r>
        <w:rPr>
          <w:rFonts w:hint="eastAsia" w:ascii="宋体" w:hAnsi="宋体"/>
          <w:b/>
          <w:bCs/>
          <w:sz w:val="32"/>
          <w:szCs w:val="32"/>
        </w:rPr>
        <w:t>日</w:t>
      </w:r>
    </w:p>
    <w:p>
      <w:pPr>
        <w:spacing w:line="360" w:lineRule="auto"/>
        <w:rPr>
          <w:rFonts w:ascii="宋体" w:hAnsi="宋体"/>
          <w:sz w:val="24"/>
        </w:rPr>
      </w:pPr>
    </w:p>
    <w:p>
      <w:pPr>
        <w:spacing w:line="360" w:lineRule="auto"/>
        <w:rPr>
          <w:rFonts w:hint="eastAsia" w:ascii="宋体" w:hAnsi="宋体"/>
          <w:sz w:val="24"/>
        </w:rPr>
      </w:pPr>
    </w:p>
    <w:p>
      <w:pPr>
        <w:rPr>
          <w:rFonts w:hint="eastAsia" w:ascii="宋体" w:hAnsi="宋体" w:eastAsia="宋体"/>
        </w:rPr>
      </w:pPr>
      <w:bookmarkStart w:id="517" w:name="_Toc144974856"/>
      <w:bookmarkEnd w:id="517"/>
      <w:bookmarkStart w:id="518" w:name="_Toc20754"/>
      <w:bookmarkEnd w:id="518"/>
      <w:bookmarkStart w:id="519" w:name="_Toc247527827"/>
      <w:bookmarkEnd w:id="519"/>
      <w:bookmarkStart w:id="520" w:name="_Toc7494"/>
      <w:bookmarkEnd w:id="520"/>
      <w:bookmarkStart w:id="521" w:name="_Toc22955"/>
      <w:bookmarkEnd w:id="521"/>
      <w:bookmarkStart w:id="522" w:name="_Toc247514246"/>
      <w:bookmarkEnd w:id="522"/>
      <w:bookmarkStart w:id="523" w:name="_Toc152042576"/>
      <w:bookmarkEnd w:id="523"/>
      <w:bookmarkStart w:id="524" w:name="_Toc152045787"/>
      <w:bookmarkEnd w:id="524"/>
      <w:bookmarkStart w:id="525" w:name="_Toc31422"/>
      <w:bookmarkEnd w:id="525"/>
      <w:bookmarkStart w:id="526" w:name="_Toc43198907"/>
      <w:bookmarkStart w:id="527" w:name="_Toc22639"/>
      <w:r>
        <w:rPr>
          <w:rFonts w:hint="eastAsia" w:ascii="宋体" w:hAnsi="宋体" w:eastAsia="宋体"/>
        </w:rPr>
        <w:br w:type="page"/>
      </w:r>
    </w:p>
    <w:p>
      <w:pPr>
        <w:pStyle w:val="7"/>
        <w:spacing w:line="360" w:lineRule="auto"/>
        <w:jc w:val="center"/>
        <w:rPr>
          <w:rFonts w:hint="eastAsia" w:ascii="宋体" w:hAnsi="宋体" w:eastAsia="宋体"/>
        </w:rPr>
      </w:pPr>
      <w:bookmarkStart w:id="600" w:name="_GoBack"/>
      <w:bookmarkEnd w:id="600"/>
      <w:r>
        <w:rPr>
          <w:rFonts w:hint="eastAsia" w:ascii="宋体" w:hAnsi="宋体" w:eastAsia="宋体"/>
        </w:rPr>
        <w:t>目    录</w:t>
      </w:r>
      <w:bookmarkEnd w:id="526"/>
      <w:bookmarkEnd w:id="527"/>
    </w:p>
    <w:p>
      <w:pPr>
        <w:numPr>
          <w:ilvl w:val="0"/>
          <w:numId w:val="0"/>
        </w:numPr>
        <w:spacing w:line="360" w:lineRule="auto"/>
        <w:ind w:left="425" w:leftChars="0"/>
        <w:rPr>
          <w:rFonts w:hint="eastAsia" w:ascii="宋体" w:hAnsi="宋体"/>
          <w:sz w:val="24"/>
        </w:rPr>
      </w:pPr>
      <w:r>
        <w:rPr>
          <w:rFonts w:hint="eastAsia" w:ascii="宋体" w:hAnsi="宋体"/>
          <w:sz w:val="24"/>
          <w:lang w:val="en-US" w:eastAsia="zh-CN"/>
        </w:rPr>
        <w:t>一、</w:t>
      </w:r>
      <w:r>
        <w:rPr>
          <w:rFonts w:hint="eastAsia" w:ascii="宋体" w:hAnsi="宋体"/>
          <w:sz w:val="24"/>
        </w:rPr>
        <w:t>投标函及投标函附录；</w:t>
      </w:r>
    </w:p>
    <w:p>
      <w:pPr>
        <w:numPr>
          <w:ilvl w:val="0"/>
          <w:numId w:val="0"/>
        </w:numPr>
        <w:spacing w:line="360" w:lineRule="auto"/>
        <w:ind w:left="425" w:leftChars="0"/>
        <w:rPr>
          <w:rFonts w:hint="eastAsia" w:ascii="宋体" w:hAnsi="宋体"/>
          <w:sz w:val="24"/>
        </w:rPr>
      </w:pPr>
      <w:r>
        <w:rPr>
          <w:rFonts w:hint="eastAsia" w:ascii="宋体" w:hAnsi="宋体"/>
          <w:sz w:val="24"/>
          <w:lang w:val="en-US" w:eastAsia="zh-CN"/>
        </w:rPr>
        <w:t>二、</w:t>
      </w:r>
      <w:r>
        <w:rPr>
          <w:rFonts w:hint="eastAsia" w:ascii="宋体" w:hAnsi="宋体"/>
          <w:sz w:val="24"/>
        </w:rPr>
        <w:t>法定代表人身份证明、授权委托书及承诺书</w:t>
      </w:r>
    </w:p>
    <w:p>
      <w:pPr>
        <w:numPr>
          <w:ilvl w:val="0"/>
          <w:numId w:val="0"/>
        </w:numPr>
        <w:spacing w:line="360" w:lineRule="auto"/>
        <w:ind w:left="425" w:leftChars="0"/>
        <w:rPr>
          <w:rFonts w:hint="eastAsia" w:ascii="宋体" w:hAnsi="宋体"/>
          <w:sz w:val="24"/>
        </w:rPr>
      </w:pPr>
      <w:r>
        <w:rPr>
          <w:rFonts w:hint="eastAsia" w:ascii="宋体" w:hAnsi="宋体"/>
          <w:sz w:val="24"/>
          <w:lang w:val="en-US" w:eastAsia="zh-CN"/>
        </w:rPr>
        <w:t>三、</w:t>
      </w:r>
      <w:r>
        <w:rPr>
          <w:rFonts w:hint="eastAsia" w:ascii="宋体" w:hAnsi="宋体"/>
          <w:sz w:val="24"/>
        </w:rPr>
        <w:t>投标保证金；</w:t>
      </w:r>
    </w:p>
    <w:p>
      <w:pPr>
        <w:numPr>
          <w:ilvl w:val="0"/>
          <w:numId w:val="0"/>
        </w:numPr>
        <w:spacing w:line="360" w:lineRule="auto"/>
        <w:ind w:left="425" w:leftChars="0"/>
        <w:rPr>
          <w:rFonts w:hint="eastAsia" w:ascii="宋体" w:hAnsi="宋体"/>
          <w:sz w:val="24"/>
        </w:rPr>
      </w:pPr>
      <w:r>
        <w:rPr>
          <w:rFonts w:hint="eastAsia" w:ascii="宋体" w:hAnsi="宋体"/>
          <w:sz w:val="24"/>
          <w:lang w:val="en-US" w:eastAsia="zh-CN"/>
        </w:rPr>
        <w:t>四、</w:t>
      </w:r>
      <w:r>
        <w:rPr>
          <w:rFonts w:hint="eastAsia" w:ascii="宋体" w:hAnsi="宋体"/>
          <w:sz w:val="24"/>
        </w:rPr>
        <w:t>项目管理机构配备情况；</w:t>
      </w:r>
    </w:p>
    <w:p>
      <w:pPr>
        <w:numPr>
          <w:ilvl w:val="0"/>
          <w:numId w:val="0"/>
        </w:numPr>
        <w:spacing w:line="360" w:lineRule="auto"/>
        <w:ind w:left="425" w:leftChars="0"/>
        <w:rPr>
          <w:rFonts w:hint="eastAsia" w:ascii="宋体" w:hAnsi="宋体"/>
          <w:sz w:val="24"/>
        </w:rPr>
      </w:pPr>
      <w:r>
        <w:rPr>
          <w:rFonts w:hint="eastAsia" w:ascii="宋体" w:hAnsi="宋体"/>
          <w:sz w:val="24"/>
          <w:lang w:val="en-US" w:eastAsia="zh-CN"/>
        </w:rPr>
        <w:t>五、</w:t>
      </w:r>
      <w:r>
        <w:rPr>
          <w:rFonts w:hint="eastAsia" w:ascii="宋体" w:hAnsi="宋体"/>
          <w:sz w:val="24"/>
        </w:rPr>
        <w:t>投标单位基本情况表；</w:t>
      </w:r>
    </w:p>
    <w:p>
      <w:pPr>
        <w:numPr>
          <w:ilvl w:val="0"/>
          <w:numId w:val="0"/>
        </w:numPr>
        <w:spacing w:line="360" w:lineRule="auto"/>
        <w:ind w:left="425" w:leftChars="0"/>
        <w:rPr>
          <w:rFonts w:hint="eastAsia" w:ascii="宋体" w:hAnsi="宋体"/>
          <w:sz w:val="24"/>
        </w:rPr>
      </w:pPr>
      <w:r>
        <w:rPr>
          <w:rFonts w:hint="eastAsia" w:ascii="宋体" w:hAnsi="宋体"/>
          <w:sz w:val="24"/>
          <w:lang w:val="en-US" w:eastAsia="zh-CN"/>
        </w:rPr>
        <w:t>六、</w:t>
      </w:r>
      <w:r>
        <w:rPr>
          <w:rFonts w:hint="eastAsia" w:ascii="宋体" w:hAnsi="宋体"/>
          <w:sz w:val="24"/>
        </w:rPr>
        <w:t>资格证明文件；</w:t>
      </w:r>
    </w:p>
    <w:p>
      <w:pPr>
        <w:numPr>
          <w:ilvl w:val="0"/>
          <w:numId w:val="0"/>
        </w:numPr>
        <w:spacing w:line="360" w:lineRule="auto"/>
        <w:ind w:left="425" w:leftChars="0"/>
        <w:rPr>
          <w:rFonts w:hint="eastAsia" w:ascii="宋体" w:hAnsi="宋体"/>
          <w:sz w:val="24"/>
        </w:rPr>
      </w:pPr>
      <w:r>
        <w:rPr>
          <w:rFonts w:hint="eastAsia" w:ascii="宋体" w:hAnsi="宋体"/>
          <w:sz w:val="24"/>
          <w:lang w:val="en-US" w:eastAsia="zh-CN"/>
        </w:rPr>
        <w:t>七、</w:t>
      </w:r>
      <w:r>
        <w:rPr>
          <w:rFonts w:hint="eastAsia" w:ascii="宋体" w:hAnsi="宋体"/>
          <w:sz w:val="24"/>
        </w:rPr>
        <w:t>近年财务状况；</w:t>
      </w:r>
    </w:p>
    <w:p>
      <w:pPr>
        <w:numPr>
          <w:ilvl w:val="0"/>
          <w:numId w:val="0"/>
        </w:numPr>
        <w:spacing w:line="360" w:lineRule="auto"/>
        <w:ind w:left="425" w:leftChars="0"/>
        <w:rPr>
          <w:rFonts w:hint="eastAsia" w:ascii="宋体" w:hAnsi="宋体"/>
          <w:sz w:val="24"/>
        </w:rPr>
      </w:pPr>
      <w:r>
        <w:rPr>
          <w:rFonts w:hint="eastAsia" w:ascii="宋体" w:hAnsi="宋体"/>
          <w:sz w:val="24"/>
          <w:lang w:val="en-US" w:eastAsia="zh-CN"/>
        </w:rPr>
        <w:t>八、</w:t>
      </w:r>
      <w:r>
        <w:rPr>
          <w:rFonts w:hint="eastAsia" w:ascii="宋体" w:hAnsi="宋体"/>
          <w:sz w:val="24"/>
        </w:rPr>
        <w:t>近年完成的类似项目情况表；</w:t>
      </w:r>
    </w:p>
    <w:p>
      <w:pPr>
        <w:numPr>
          <w:ilvl w:val="0"/>
          <w:numId w:val="0"/>
        </w:numPr>
        <w:spacing w:line="360" w:lineRule="auto"/>
        <w:ind w:left="425" w:leftChars="0"/>
        <w:rPr>
          <w:rFonts w:hint="eastAsia" w:ascii="宋体" w:hAnsi="宋体"/>
          <w:sz w:val="24"/>
        </w:rPr>
      </w:pPr>
      <w:r>
        <w:rPr>
          <w:rFonts w:hint="eastAsia" w:ascii="宋体" w:hAnsi="宋体"/>
          <w:sz w:val="24"/>
          <w:lang w:val="en-US" w:eastAsia="zh-CN"/>
        </w:rPr>
        <w:t>九、</w:t>
      </w:r>
      <w:r>
        <w:rPr>
          <w:rFonts w:hint="eastAsia" w:ascii="宋体" w:hAnsi="宋体"/>
          <w:sz w:val="24"/>
        </w:rPr>
        <w:t>正在施工和新承接的项目情况；</w:t>
      </w:r>
    </w:p>
    <w:p>
      <w:pPr>
        <w:numPr>
          <w:ilvl w:val="0"/>
          <w:numId w:val="0"/>
        </w:numPr>
        <w:spacing w:line="360" w:lineRule="auto"/>
        <w:ind w:left="425" w:leftChars="0"/>
        <w:rPr>
          <w:rFonts w:hint="eastAsia" w:ascii="宋体" w:hAnsi="宋体"/>
          <w:sz w:val="24"/>
        </w:rPr>
      </w:pPr>
      <w:r>
        <w:rPr>
          <w:rFonts w:hint="eastAsia" w:ascii="宋体" w:hAnsi="宋体"/>
          <w:sz w:val="24"/>
          <w:lang w:val="en-US" w:eastAsia="zh-CN"/>
        </w:rPr>
        <w:t>十、</w:t>
      </w:r>
      <w:r>
        <w:rPr>
          <w:rFonts w:hint="eastAsia" w:ascii="宋体" w:hAnsi="宋体"/>
          <w:sz w:val="24"/>
        </w:rPr>
        <w:t>近年发生的诉讼及仲裁情况；</w:t>
      </w:r>
    </w:p>
    <w:p>
      <w:pPr>
        <w:numPr>
          <w:ilvl w:val="0"/>
          <w:numId w:val="0"/>
        </w:numPr>
        <w:spacing w:line="360" w:lineRule="auto"/>
        <w:ind w:left="425" w:leftChars="0"/>
        <w:rPr>
          <w:rFonts w:hint="eastAsia" w:ascii="宋体" w:hAnsi="宋体"/>
          <w:sz w:val="24"/>
        </w:rPr>
      </w:pPr>
      <w:r>
        <w:rPr>
          <w:rFonts w:hint="eastAsia" w:ascii="宋体" w:hAnsi="宋体"/>
          <w:sz w:val="24"/>
          <w:lang w:val="en-US" w:eastAsia="zh-CN"/>
        </w:rPr>
        <w:t>十一、</w:t>
      </w:r>
      <w:r>
        <w:rPr>
          <w:rFonts w:hint="eastAsia" w:ascii="宋体" w:hAnsi="宋体"/>
          <w:sz w:val="24"/>
        </w:rPr>
        <w:t>其它材料。</w:t>
      </w:r>
    </w:p>
    <w:p>
      <w:pPr>
        <w:spacing w:line="360" w:lineRule="auto"/>
        <w:rPr>
          <w:rFonts w:hint="eastAsia" w:ascii="宋体" w:hAnsi="宋体"/>
        </w:rPr>
      </w:pPr>
      <w:r>
        <w:rPr>
          <w:rFonts w:hint="eastAsia" w:ascii="宋体" w:hAnsi="宋体"/>
        </w:rPr>
        <w:t xml:space="preserve">             </w:t>
      </w:r>
    </w:p>
    <w:p>
      <w:pPr>
        <w:pStyle w:val="7"/>
        <w:numPr>
          <w:ilvl w:val="0"/>
          <w:numId w:val="64"/>
        </w:numPr>
        <w:spacing w:before="0" w:after="0" w:line="360" w:lineRule="auto"/>
        <w:jc w:val="center"/>
        <w:rPr>
          <w:rFonts w:hint="eastAsia" w:ascii="宋体" w:hAnsi="宋体" w:eastAsia="宋体"/>
        </w:rPr>
      </w:pPr>
      <w:r>
        <w:rPr>
          <w:rFonts w:hint="eastAsia" w:ascii="宋体" w:hAnsi="宋体" w:eastAsia="宋体"/>
        </w:rPr>
        <w:br w:type="page"/>
      </w:r>
      <w:bookmarkStart w:id="528" w:name="_Toc144974864"/>
      <w:bookmarkEnd w:id="528"/>
      <w:bookmarkStart w:id="529" w:name="_Toc428968298"/>
      <w:bookmarkEnd w:id="529"/>
      <w:bookmarkStart w:id="530" w:name="_Toc152042585"/>
      <w:bookmarkEnd w:id="530"/>
      <w:bookmarkStart w:id="531" w:name="_Toc247514288"/>
      <w:bookmarkEnd w:id="531"/>
      <w:bookmarkStart w:id="532" w:name="_Toc152045796"/>
      <w:bookmarkEnd w:id="532"/>
      <w:bookmarkStart w:id="533" w:name="_Toc4761"/>
      <w:bookmarkStart w:id="534" w:name="_Toc43198908"/>
      <w:bookmarkStart w:id="535" w:name="_Toc19590"/>
      <w:bookmarkStart w:id="536" w:name="_Hlk43306006"/>
      <w:r>
        <w:rPr>
          <w:rFonts w:hint="eastAsia" w:ascii="宋体" w:hAnsi="宋体" w:eastAsia="宋体"/>
        </w:rPr>
        <w:t>投标函及投标函附录</w:t>
      </w:r>
      <w:bookmarkEnd w:id="533"/>
      <w:bookmarkEnd w:id="534"/>
      <w:bookmarkEnd w:id="535"/>
    </w:p>
    <w:p>
      <w:pPr>
        <w:pStyle w:val="8"/>
        <w:spacing w:before="0" w:after="0" w:line="360" w:lineRule="auto"/>
        <w:ind w:firstLine="138"/>
        <w:jc w:val="center"/>
        <w:rPr>
          <w:rFonts w:hint="eastAsia" w:ascii="宋体" w:eastAsia="宋体"/>
          <w:b/>
        </w:rPr>
      </w:pPr>
      <w:bookmarkStart w:id="537" w:name="_Toc144974858"/>
      <w:bookmarkEnd w:id="537"/>
      <w:bookmarkStart w:id="538" w:name="_Toc7255"/>
      <w:bookmarkEnd w:id="538"/>
      <w:bookmarkStart w:id="539" w:name="_Toc19928"/>
      <w:bookmarkEnd w:id="539"/>
      <w:bookmarkStart w:id="540" w:name="_Toc29289"/>
      <w:bookmarkEnd w:id="540"/>
      <w:bookmarkStart w:id="541" w:name="_Toc247514248"/>
      <w:bookmarkEnd w:id="541"/>
      <w:bookmarkStart w:id="542" w:name="_Toc19295"/>
      <w:bookmarkEnd w:id="542"/>
      <w:bookmarkStart w:id="543" w:name="_Toc428968299"/>
      <w:bookmarkEnd w:id="543"/>
      <w:bookmarkStart w:id="544" w:name="_Toc247527829"/>
      <w:bookmarkEnd w:id="544"/>
      <w:bookmarkStart w:id="545" w:name="_Toc152042578"/>
      <w:bookmarkEnd w:id="545"/>
      <w:bookmarkStart w:id="546" w:name="_Toc152045789"/>
      <w:bookmarkEnd w:id="546"/>
      <w:bookmarkStart w:id="547" w:name="_Toc16377"/>
      <w:bookmarkStart w:id="548" w:name="_Toc43198909"/>
      <w:bookmarkStart w:id="549" w:name="_Toc2992"/>
      <w:r>
        <w:rPr>
          <w:rFonts w:hint="eastAsia" w:ascii="宋体" w:eastAsia="宋体"/>
          <w:b/>
          <w:bCs w:val="0"/>
        </w:rPr>
        <w:t>（一）投标函</w:t>
      </w:r>
      <w:bookmarkEnd w:id="547"/>
      <w:bookmarkEnd w:id="548"/>
      <w:bookmarkEnd w:id="549"/>
    </w:p>
    <w:bookmarkEnd w:id="536"/>
    <w:p>
      <w:pPr>
        <w:spacing w:line="360" w:lineRule="auto"/>
        <w:rPr>
          <w:rFonts w:hint="eastAsia" w:ascii="宋体" w:hAnsi="宋体"/>
          <w:sz w:val="24"/>
        </w:rPr>
      </w:pPr>
      <w:r>
        <w:rPr>
          <w:rFonts w:hint="eastAsia" w:ascii="宋体" w:hAnsi="宋体"/>
          <w:sz w:val="20"/>
          <w:szCs w:val="20"/>
        </w:rPr>
        <w:t xml:space="preserve"> </w:t>
      </w:r>
      <w:r>
        <w:rPr>
          <w:rFonts w:hint="eastAsia" w:ascii="宋体" w:hAnsi="宋体"/>
          <w:sz w:val="24"/>
          <w:u w:val="single"/>
        </w:rPr>
        <w:t xml:space="preserve">                        </w:t>
      </w:r>
      <w:r>
        <w:rPr>
          <w:rFonts w:hint="eastAsia" w:ascii="宋体" w:hAnsi="宋体"/>
          <w:sz w:val="24"/>
        </w:rPr>
        <w:t>（招标人名称）：</w:t>
      </w:r>
    </w:p>
    <w:p>
      <w:pPr>
        <w:spacing w:line="480" w:lineRule="exact"/>
        <w:ind w:firstLine="480"/>
        <w:rPr>
          <w:rFonts w:ascii="新宋体" w:hAnsi="新宋体" w:eastAsia="新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（标段名称）招标文件的全部内容，愿意以</w:t>
      </w:r>
      <w:r>
        <w:rPr>
          <w:rFonts w:hint="eastAsia" w:ascii="新宋体" w:hAnsi="新宋体" w:eastAsia="新宋体"/>
          <w:sz w:val="24"/>
        </w:rPr>
        <w:t>投标总报价：人民币（大写）：</w:t>
      </w:r>
      <w:r>
        <w:rPr>
          <w:rFonts w:hint="eastAsia" w:ascii="新宋体" w:hAnsi="新宋体" w:eastAsia="新宋体"/>
          <w:sz w:val="24"/>
          <w:u w:val="single"/>
        </w:rPr>
        <w:t xml:space="preserve"> </w:t>
      </w:r>
      <w:r>
        <w:rPr>
          <w:rFonts w:ascii="新宋体" w:hAnsi="新宋体" w:eastAsia="新宋体"/>
          <w:sz w:val="24"/>
          <w:u w:val="single"/>
        </w:rPr>
        <w:t xml:space="preserve">    </w:t>
      </w:r>
      <w:r>
        <w:rPr>
          <w:rFonts w:hint="eastAsia" w:ascii="新宋体" w:hAnsi="新宋体" w:eastAsia="新宋体"/>
          <w:sz w:val="24"/>
          <w:u w:val="single"/>
          <w:lang w:val="en-US" w:eastAsia="zh-CN"/>
        </w:rPr>
        <w:t xml:space="preserve">  </w:t>
      </w:r>
      <w:r>
        <w:rPr>
          <w:rFonts w:hint="eastAsia" w:ascii="新宋体" w:hAnsi="新宋体" w:eastAsia="新宋体"/>
          <w:sz w:val="24"/>
        </w:rPr>
        <w:t>（小写：</w:t>
      </w:r>
      <w:r>
        <w:rPr>
          <w:rFonts w:ascii="新宋体" w:hAnsi="新宋体" w:eastAsia="新宋体"/>
          <w:sz w:val="24"/>
          <w:u w:val="single"/>
        </w:rPr>
        <w:t xml:space="preserve">       </w:t>
      </w:r>
      <w:r>
        <w:rPr>
          <w:rFonts w:hint="eastAsia" w:ascii="新宋体" w:hAnsi="新宋体" w:eastAsia="新宋体"/>
          <w:sz w:val="24"/>
        </w:rPr>
        <w:t>元）的投标价格和按合同约定有权得到的其它金额，并严格按照合同约定，施工、竣工和交付本工程并维修其中的任何缺陷。</w:t>
      </w:r>
    </w:p>
    <w:p>
      <w:pPr>
        <w:spacing w:line="360" w:lineRule="auto"/>
        <w:ind w:firstLine="424" w:firstLineChars="177"/>
        <w:rPr>
          <w:rFonts w:ascii="宋体" w:hAnsi="宋体"/>
          <w:sz w:val="24"/>
        </w:rPr>
      </w:pPr>
      <w:r>
        <w:rPr>
          <w:rFonts w:hint="eastAsia" w:ascii="宋体" w:hAnsi="宋体"/>
          <w:sz w:val="24"/>
        </w:rPr>
        <w:t>在我方的上述投标总报价中，包括：</w:t>
      </w:r>
    </w:p>
    <w:p>
      <w:pPr>
        <w:spacing w:line="480" w:lineRule="exact"/>
        <w:ind w:firstLine="424" w:firstLineChars="17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 xml:space="preserve"> 元</w:t>
      </w:r>
    </w:p>
    <w:p>
      <w:pPr>
        <w:spacing w:line="480" w:lineRule="exact"/>
        <w:ind w:firstLine="424" w:firstLineChars="17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 xml:space="preserve">   元</w:t>
      </w:r>
    </w:p>
    <w:p>
      <w:pPr>
        <w:spacing w:line="480" w:lineRule="exact"/>
        <w:ind w:firstLine="424" w:firstLineChars="17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24" w:firstLineChars="177"/>
        <w:rPr>
          <w:rFonts w:hAnsi="宋体" w:cs="宋体"/>
          <w:sz w:val="24"/>
        </w:rPr>
      </w:pPr>
      <w:r>
        <w:rPr>
          <w:rFonts w:hint="eastAsia" w:hAnsi="宋体" w:cs="宋体"/>
          <w:sz w:val="24"/>
        </w:rPr>
        <w:t>暂列金额RMB￥：</w:t>
      </w:r>
      <w:r>
        <w:rPr>
          <w:rFonts w:hint="eastAsia" w:hAnsi="宋体" w:cs="宋体"/>
          <w:sz w:val="24"/>
          <w:u w:val="single"/>
        </w:rPr>
        <w:t xml:space="preserve">           </w:t>
      </w:r>
      <w:r>
        <w:rPr>
          <w:rFonts w:hint="eastAsia" w:hAnsi="宋体" w:cs="宋体"/>
          <w:sz w:val="24"/>
        </w:rPr>
        <w:t>元</w:t>
      </w:r>
    </w:p>
    <w:p>
      <w:pPr>
        <w:spacing w:line="480" w:lineRule="exact"/>
        <w:ind w:firstLine="424" w:firstLineChars="177"/>
        <w:rPr>
          <w:rFonts w:hAnsi="宋体" w:cs="宋体"/>
          <w:sz w:val="24"/>
        </w:rPr>
      </w:pPr>
      <w:r>
        <w:rPr>
          <w:rFonts w:hint="eastAsia" w:hAnsi="宋体" w:cs="宋体"/>
          <w:sz w:val="24"/>
        </w:rPr>
        <w:t>专业工程暂估价RMB￥：</w:t>
      </w:r>
      <w:r>
        <w:rPr>
          <w:rFonts w:hint="eastAsia" w:hAnsi="宋体" w:cs="宋体"/>
          <w:sz w:val="24"/>
          <w:u w:val="single"/>
        </w:rPr>
        <w:t xml:space="preserve">             </w:t>
      </w:r>
      <w:r>
        <w:rPr>
          <w:rFonts w:hint="eastAsia" w:hAnsi="宋体" w:cs="宋体"/>
          <w:sz w:val="24"/>
        </w:rPr>
        <w:t>元</w:t>
      </w:r>
    </w:p>
    <w:p>
      <w:pPr>
        <w:spacing w:line="480" w:lineRule="exact"/>
        <w:ind w:firstLine="424" w:firstLineChars="177"/>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24" w:firstLineChars="177"/>
        <w:rPr>
          <w:rFonts w:hAnsi="宋体" w:cs="宋体"/>
          <w:sz w:val="24"/>
        </w:rPr>
      </w:pPr>
      <w:r>
        <w:rPr>
          <w:rFonts w:hint="eastAsia" w:ascii="新宋体" w:eastAsia="新宋体"/>
          <w:sz w:val="24"/>
        </w:rPr>
        <w:t>若我方中标，愿意按国家计委计价格【2002】1980号文件规定向代理机构支付招标代理服务费。</w:t>
      </w:r>
    </w:p>
    <w:p>
      <w:pPr>
        <w:spacing w:line="480" w:lineRule="exact"/>
        <w:ind w:firstLine="424" w:firstLineChars="177"/>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24" w:firstLineChars="177"/>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 xml:space="preserve"> 元（RMB￥：</w:t>
      </w:r>
      <w:r>
        <w:rPr>
          <w:rFonts w:hint="eastAsia" w:hAnsi="宋体" w:cs="宋体"/>
          <w:sz w:val="24"/>
          <w:u w:val="single"/>
        </w:rPr>
        <w:t xml:space="preserve">             </w:t>
      </w:r>
      <w:r>
        <w:rPr>
          <w:rFonts w:hint="eastAsia" w:hAnsi="宋体" w:cs="宋体"/>
          <w:sz w:val="24"/>
        </w:rPr>
        <w:t>元）。</w:t>
      </w:r>
    </w:p>
    <w:p>
      <w:pPr>
        <w:spacing w:line="360" w:lineRule="auto"/>
        <w:ind w:firstLine="424" w:firstLineChars="177"/>
        <w:rPr>
          <w:rFonts w:hint="eastAsia" w:ascii="宋体" w:hAnsi="宋体"/>
          <w:sz w:val="24"/>
        </w:rPr>
      </w:pPr>
      <w:r>
        <w:rPr>
          <w:rFonts w:hint="eastAsia" w:hAnsi="宋体" w:cs="宋体"/>
          <w:sz w:val="24"/>
        </w:rPr>
        <w:t>在签署协议书之前，你方的中标通知书连同本投标函，包括投标函附录，对双方具有约束力。</w:t>
      </w:r>
    </w:p>
    <w:p>
      <w:pPr>
        <w:spacing w:line="360" w:lineRule="auto"/>
        <w:ind w:firstLine="424" w:firstLineChars="177"/>
        <w:rPr>
          <w:rFonts w:hint="eastAsia" w:ascii="宋体" w:hAnsi="宋体"/>
          <w:sz w:val="24"/>
        </w:rPr>
      </w:pPr>
      <w:r>
        <w:rPr>
          <w:rFonts w:hint="eastAsia" w:ascii="宋体" w:hAnsi="宋体"/>
          <w:sz w:val="24"/>
        </w:rPr>
        <w:t xml:space="preserve"> </w:t>
      </w:r>
    </w:p>
    <w:p>
      <w:pPr>
        <w:spacing w:line="360" w:lineRule="auto"/>
        <w:jc w:val="right"/>
        <w:rPr>
          <w:rFonts w:hint="eastAsia"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（盖单位公章）</w:t>
      </w:r>
    </w:p>
    <w:p>
      <w:pPr>
        <w:spacing w:line="360" w:lineRule="auto"/>
        <w:jc w:val="right"/>
        <w:rPr>
          <w:rFonts w:hint="eastAsia"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（签字或盖章）</w:t>
      </w:r>
    </w:p>
    <w:p>
      <w:pPr>
        <w:spacing w:line="360" w:lineRule="auto"/>
        <w:jc w:val="right"/>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autoSpaceDE w:val="0"/>
        <w:autoSpaceDN w:val="0"/>
        <w:adjustRightInd w:val="0"/>
        <w:spacing w:line="360" w:lineRule="auto"/>
        <w:jc w:val="center"/>
        <w:rPr>
          <w:rFonts w:hint="eastAsia" w:ascii="宋体" w:hAnsi="宋体"/>
        </w:rPr>
      </w:pPr>
      <w:r>
        <w:rPr>
          <w:rFonts w:ascii="宋体" w:hAnsi="宋体"/>
        </w:rPr>
        <w:br w:type="page"/>
      </w:r>
    </w:p>
    <w:p>
      <w:pPr>
        <w:pStyle w:val="8"/>
        <w:spacing w:before="0" w:after="0" w:line="360" w:lineRule="auto"/>
        <w:ind w:firstLine="138"/>
        <w:jc w:val="center"/>
        <w:rPr>
          <w:rFonts w:ascii="宋体" w:eastAsia="宋体"/>
          <w:b/>
          <w:bCs w:val="0"/>
        </w:rPr>
      </w:pPr>
      <w:bookmarkStart w:id="550" w:name="_Toc250616672"/>
      <w:bookmarkEnd w:id="550"/>
      <w:bookmarkStart w:id="551" w:name="_Toc7921"/>
      <w:bookmarkStart w:id="552" w:name="_Toc43198910"/>
      <w:r>
        <w:rPr>
          <w:rFonts w:hint="eastAsia" w:ascii="宋体" w:eastAsia="宋体"/>
          <w:b/>
          <w:bCs w:val="0"/>
        </w:rPr>
        <w:t>（二）投标函附录</w:t>
      </w:r>
      <w:bookmarkEnd w:id="551"/>
      <w:bookmarkEnd w:id="552"/>
    </w:p>
    <w:tbl>
      <w:tblPr>
        <w:tblStyle w:val="13"/>
        <w:tblW w:w="92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1984"/>
        <w:gridCol w:w="851"/>
        <w:gridCol w:w="1275"/>
        <w:gridCol w:w="1207"/>
        <w:gridCol w:w="1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35" w:type="dxa"/>
            <w:noWrap w:val="0"/>
            <w:vAlign w:val="center"/>
          </w:tcPr>
          <w:p>
            <w:pPr>
              <w:jc w:val="center"/>
              <w:rPr>
                <w:rFonts w:ascii="宋体" w:hAnsi="宋体"/>
                <w:sz w:val="24"/>
              </w:rPr>
            </w:pPr>
            <w:r>
              <w:rPr>
                <w:rFonts w:hint="eastAsia" w:ascii="宋体" w:hAnsi="宋体"/>
                <w:sz w:val="24"/>
              </w:rPr>
              <w:t>工程名称</w:t>
            </w:r>
          </w:p>
        </w:tc>
        <w:tc>
          <w:tcPr>
            <w:tcW w:w="7221" w:type="dxa"/>
            <w:gridSpan w:val="5"/>
            <w:noWrap w:val="0"/>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035" w:type="dxa"/>
            <w:noWrap w:val="0"/>
            <w:vAlign w:val="center"/>
          </w:tcPr>
          <w:p>
            <w:pPr>
              <w:jc w:val="center"/>
              <w:rPr>
                <w:rFonts w:ascii="宋体" w:hAnsi="宋体"/>
                <w:sz w:val="24"/>
              </w:rPr>
            </w:pPr>
            <w:r>
              <w:rPr>
                <w:rFonts w:hint="eastAsia" w:ascii="宋体" w:hAnsi="宋体"/>
                <w:sz w:val="24"/>
              </w:rPr>
              <w:t>投标人</w:t>
            </w:r>
          </w:p>
        </w:tc>
        <w:tc>
          <w:tcPr>
            <w:tcW w:w="7221" w:type="dxa"/>
            <w:gridSpan w:val="5"/>
            <w:noWrap w:val="0"/>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035" w:type="dxa"/>
            <w:noWrap w:val="0"/>
            <w:vAlign w:val="center"/>
          </w:tcPr>
          <w:p>
            <w:pPr>
              <w:jc w:val="center"/>
              <w:rPr>
                <w:rFonts w:ascii="宋体" w:hAnsi="宋体"/>
                <w:sz w:val="24"/>
              </w:rPr>
            </w:pPr>
            <w:r>
              <w:rPr>
                <w:rFonts w:hint="eastAsia" w:ascii="宋体" w:hAnsi="宋体"/>
                <w:sz w:val="24"/>
              </w:rPr>
              <w:t>项目经理</w:t>
            </w:r>
          </w:p>
        </w:tc>
        <w:tc>
          <w:tcPr>
            <w:tcW w:w="1984" w:type="dxa"/>
            <w:noWrap w:val="0"/>
            <w:vAlign w:val="center"/>
          </w:tcPr>
          <w:p>
            <w:pPr>
              <w:jc w:val="center"/>
              <w:rPr>
                <w:rFonts w:ascii="宋体" w:hAnsi="宋体"/>
                <w:sz w:val="24"/>
              </w:rPr>
            </w:pPr>
          </w:p>
        </w:tc>
        <w:tc>
          <w:tcPr>
            <w:tcW w:w="851" w:type="dxa"/>
            <w:noWrap w:val="0"/>
            <w:vAlign w:val="center"/>
          </w:tcPr>
          <w:p>
            <w:pPr>
              <w:jc w:val="center"/>
              <w:rPr>
                <w:rFonts w:ascii="宋体" w:hAnsi="宋体"/>
                <w:sz w:val="24"/>
              </w:rPr>
            </w:pPr>
            <w:r>
              <w:rPr>
                <w:rFonts w:hint="eastAsia" w:ascii="宋体" w:hAnsi="宋体"/>
                <w:sz w:val="24"/>
              </w:rPr>
              <w:t>级别</w:t>
            </w:r>
          </w:p>
        </w:tc>
        <w:tc>
          <w:tcPr>
            <w:tcW w:w="1275" w:type="dxa"/>
            <w:noWrap w:val="0"/>
            <w:vAlign w:val="center"/>
          </w:tcPr>
          <w:p>
            <w:pPr>
              <w:jc w:val="center"/>
              <w:rPr>
                <w:rFonts w:ascii="宋体" w:hAnsi="宋体"/>
                <w:sz w:val="24"/>
              </w:rPr>
            </w:pPr>
          </w:p>
        </w:tc>
        <w:tc>
          <w:tcPr>
            <w:tcW w:w="1207" w:type="dxa"/>
            <w:noWrap w:val="0"/>
            <w:vAlign w:val="center"/>
          </w:tcPr>
          <w:p>
            <w:pPr>
              <w:jc w:val="center"/>
              <w:rPr>
                <w:rFonts w:ascii="宋体" w:hAnsi="宋体"/>
                <w:sz w:val="24"/>
              </w:rPr>
            </w:pPr>
            <w:r>
              <w:rPr>
                <w:rFonts w:hint="eastAsia" w:ascii="宋体" w:hAnsi="宋体"/>
                <w:sz w:val="24"/>
              </w:rPr>
              <w:t>证书编号</w:t>
            </w:r>
          </w:p>
        </w:tc>
        <w:tc>
          <w:tcPr>
            <w:tcW w:w="1904" w:type="dxa"/>
            <w:noWrap w:val="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035" w:type="dxa"/>
            <w:noWrap w:val="0"/>
            <w:vAlign w:val="center"/>
          </w:tcPr>
          <w:p>
            <w:pPr>
              <w:jc w:val="center"/>
              <w:rPr>
                <w:rFonts w:ascii="宋体" w:hAnsi="宋体"/>
                <w:sz w:val="24"/>
              </w:rPr>
            </w:pPr>
            <w:r>
              <w:rPr>
                <w:rFonts w:hint="eastAsia" w:ascii="宋体" w:hAnsi="宋体"/>
                <w:sz w:val="24"/>
              </w:rPr>
              <w:t>技术负责人</w:t>
            </w:r>
          </w:p>
        </w:tc>
        <w:tc>
          <w:tcPr>
            <w:tcW w:w="1984" w:type="dxa"/>
            <w:noWrap w:val="0"/>
            <w:vAlign w:val="center"/>
          </w:tcPr>
          <w:p>
            <w:pPr>
              <w:jc w:val="center"/>
              <w:rPr>
                <w:rFonts w:ascii="宋体" w:hAnsi="宋体"/>
                <w:sz w:val="24"/>
              </w:rPr>
            </w:pPr>
          </w:p>
        </w:tc>
        <w:tc>
          <w:tcPr>
            <w:tcW w:w="851" w:type="dxa"/>
            <w:noWrap w:val="0"/>
            <w:vAlign w:val="center"/>
          </w:tcPr>
          <w:p>
            <w:pPr>
              <w:jc w:val="center"/>
              <w:rPr>
                <w:rFonts w:ascii="宋体" w:hAnsi="宋体"/>
                <w:sz w:val="24"/>
              </w:rPr>
            </w:pPr>
            <w:r>
              <w:rPr>
                <w:rFonts w:hint="eastAsia" w:ascii="宋体" w:hAnsi="宋体"/>
                <w:sz w:val="24"/>
              </w:rPr>
              <w:t>级别</w:t>
            </w:r>
          </w:p>
        </w:tc>
        <w:tc>
          <w:tcPr>
            <w:tcW w:w="1275" w:type="dxa"/>
            <w:noWrap w:val="0"/>
            <w:vAlign w:val="center"/>
          </w:tcPr>
          <w:p>
            <w:pPr>
              <w:jc w:val="center"/>
              <w:rPr>
                <w:rFonts w:ascii="宋体" w:hAnsi="宋体"/>
                <w:sz w:val="24"/>
              </w:rPr>
            </w:pPr>
          </w:p>
        </w:tc>
        <w:tc>
          <w:tcPr>
            <w:tcW w:w="1207" w:type="dxa"/>
            <w:noWrap w:val="0"/>
            <w:vAlign w:val="center"/>
          </w:tcPr>
          <w:p>
            <w:pPr>
              <w:jc w:val="center"/>
              <w:rPr>
                <w:rFonts w:ascii="宋体" w:hAnsi="宋体"/>
                <w:sz w:val="24"/>
              </w:rPr>
            </w:pPr>
            <w:r>
              <w:rPr>
                <w:rFonts w:hint="eastAsia" w:ascii="宋体" w:hAnsi="宋体"/>
                <w:sz w:val="24"/>
              </w:rPr>
              <w:t>证书编号</w:t>
            </w:r>
          </w:p>
        </w:tc>
        <w:tc>
          <w:tcPr>
            <w:tcW w:w="1904" w:type="dxa"/>
            <w:noWrap w:val="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035" w:type="dxa"/>
            <w:vMerge w:val="restart"/>
            <w:noWrap w:val="0"/>
            <w:vAlign w:val="center"/>
          </w:tcPr>
          <w:p>
            <w:pPr>
              <w:jc w:val="center"/>
              <w:rPr>
                <w:rFonts w:ascii="宋体" w:hAnsi="宋体"/>
                <w:sz w:val="24"/>
              </w:rPr>
            </w:pPr>
            <w:r>
              <w:rPr>
                <w:rFonts w:hint="eastAsia" w:ascii="宋体" w:hAnsi="宋体"/>
                <w:sz w:val="24"/>
              </w:rPr>
              <w:t>投标总报价</w:t>
            </w:r>
          </w:p>
        </w:tc>
        <w:tc>
          <w:tcPr>
            <w:tcW w:w="4110" w:type="dxa"/>
            <w:gridSpan w:val="3"/>
            <w:noWrap w:val="0"/>
            <w:vAlign w:val="center"/>
          </w:tcPr>
          <w:p>
            <w:pPr>
              <w:rPr>
                <w:rFonts w:ascii="宋体" w:hAnsi="宋体"/>
                <w:sz w:val="24"/>
                <w:u w:val="single"/>
              </w:rPr>
            </w:pPr>
            <w:r>
              <w:rPr>
                <w:rFonts w:hint="eastAsia" w:ascii="宋体" w:hAnsi="宋体"/>
                <w:sz w:val="24"/>
              </w:rPr>
              <w:t>（大写）</w:t>
            </w:r>
            <w:r>
              <w:rPr>
                <w:rFonts w:hint="eastAsia" w:ascii="宋体" w:hAnsi="宋体"/>
                <w:sz w:val="24"/>
                <w:u w:val="single"/>
              </w:rPr>
              <w:t xml:space="preserve"> </w:t>
            </w:r>
            <w:r>
              <w:rPr>
                <w:rFonts w:ascii="宋体" w:hAnsi="宋体"/>
                <w:sz w:val="24"/>
                <w:u w:val="single"/>
              </w:rPr>
              <w:t xml:space="preserve">                     </w:t>
            </w:r>
          </w:p>
        </w:tc>
        <w:tc>
          <w:tcPr>
            <w:tcW w:w="3111" w:type="dxa"/>
            <w:gridSpan w:val="2"/>
            <w:noWrap w:val="0"/>
            <w:vAlign w:val="center"/>
          </w:tcPr>
          <w:p>
            <w:pPr>
              <w:rPr>
                <w:rFonts w:ascii="宋体" w:hAnsi="宋体"/>
                <w:sz w:val="24"/>
              </w:rPr>
            </w:pPr>
            <w:r>
              <w:rPr>
                <w:rFonts w:hint="eastAsia" w:ascii="宋体" w:hAnsi="宋体"/>
                <w:sz w:val="24"/>
              </w:rPr>
              <w:t>（小写）</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2035" w:type="dxa"/>
            <w:vMerge w:val="continue"/>
            <w:noWrap w:val="0"/>
            <w:vAlign w:val="center"/>
          </w:tcPr>
          <w:p>
            <w:pPr>
              <w:jc w:val="center"/>
              <w:rPr>
                <w:rFonts w:ascii="宋体" w:hAnsi="宋体"/>
                <w:sz w:val="24"/>
              </w:rPr>
            </w:pPr>
          </w:p>
        </w:tc>
        <w:tc>
          <w:tcPr>
            <w:tcW w:w="7221" w:type="dxa"/>
            <w:gridSpan w:val="5"/>
            <w:noWrap w:val="0"/>
            <w:vAlign w:val="center"/>
          </w:tcPr>
          <w:p>
            <w:pPr>
              <w:spacing w:line="360" w:lineRule="auto"/>
              <w:rPr>
                <w:rFonts w:ascii="宋体" w:hAnsi="宋体"/>
                <w:sz w:val="24"/>
              </w:rPr>
            </w:pPr>
            <w:r>
              <w:rPr>
                <w:rFonts w:hint="eastAsia" w:ascii="宋体" w:hAnsi="宋体"/>
                <w:sz w:val="24"/>
              </w:rPr>
              <w:t>其中：</w:t>
            </w:r>
          </w:p>
          <w:p>
            <w:pPr>
              <w:spacing w:line="360" w:lineRule="auto"/>
              <w:rPr>
                <w:rFonts w:ascii="宋体" w:hAnsi="宋体"/>
                <w:sz w:val="24"/>
              </w:rPr>
            </w:pPr>
            <w:r>
              <w:rPr>
                <w:rFonts w:hint="eastAsia" w:ascii="宋体" w:hAnsi="宋体"/>
                <w:sz w:val="24"/>
              </w:rPr>
              <w:t>规费RMB￥：</w:t>
            </w:r>
            <w:r>
              <w:rPr>
                <w:rFonts w:hint="eastAsia" w:ascii="宋体" w:hAnsi="宋体"/>
                <w:sz w:val="24"/>
                <w:u w:val="single"/>
              </w:rPr>
              <w:t xml:space="preserve">            </w:t>
            </w:r>
            <w:r>
              <w:rPr>
                <w:rFonts w:hint="eastAsia" w:ascii="宋体" w:hAnsi="宋体"/>
                <w:sz w:val="24"/>
              </w:rPr>
              <w:t>元</w:t>
            </w:r>
          </w:p>
          <w:p>
            <w:pPr>
              <w:spacing w:line="360" w:lineRule="auto"/>
              <w:rPr>
                <w:rFonts w:ascii="宋体" w:hAnsi="宋体"/>
                <w:sz w:val="24"/>
              </w:rPr>
            </w:pPr>
            <w:r>
              <w:rPr>
                <w:rFonts w:hint="eastAsia" w:ascii="宋体" w:hAnsi="宋体"/>
                <w:sz w:val="24"/>
              </w:rPr>
              <w:t>税金RMB￥：</w:t>
            </w:r>
            <w:r>
              <w:rPr>
                <w:rFonts w:hint="eastAsia" w:ascii="宋体" w:hAnsi="宋体"/>
                <w:sz w:val="24"/>
                <w:u w:val="single"/>
              </w:rPr>
              <w:t xml:space="preserve">            </w:t>
            </w:r>
            <w:r>
              <w:rPr>
                <w:rFonts w:hint="eastAsia" w:ascii="宋体" w:hAnsi="宋体"/>
                <w:sz w:val="24"/>
              </w:rPr>
              <w:t>元</w:t>
            </w:r>
          </w:p>
          <w:p>
            <w:pPr>
              <w:spacing w:line="360" w:lineRule="auto"/>
              <w:rPr>
                <w:rFonts w:ascii="宋体" w:hAnsi="宋体"/>
                <w:sz w:val="24"/>
              </w:rPr>
            </w:pPr>
            <w:r>
              <w:rPr>
                <w:rFonts w:hint="eastAsia" w:ascii="宋体" w:hAnsi="宋体"/>
                <w:sz w:val="24"/>
              </w:rPr>
              <w:t>安全文明施工措施费RMB￥：</w:t>
            </w:r>
            <w:r>
              <w:rPr>
                <w:rFonts w:hint="eastAsia" w:ascii="宋体" w:hAnsi="宋体"/>
                <w:sz w:val="24"/>
                <w:u w:val="single"/>
              </w:rPr>
              <w:t xml:space="preserve">            </w:t>
            </w:r>
            <w:r>
              <w:rPr>
                <w:rFonts w:hint="eastAsia" w:ascii="宋体" w:hAnsi="宋体"/>
                <w:sz w:val="24"/>
              </w:rPr>
              <w:t>元</w:t>
            </w:r>
          </w:p>
          <w:p>
            <w:pPr>
              <w:spacing w:line="360" w:lineRule="auto"/>
              <w:rPr>
                <w:rFonts w:ascii="宋体" w:hAnsi="宋体"/>
                <w:sz w:val="24"/>
              </w:rPr>
            </w:pPr>
            <w:r>
              <w:rPr>
                <w:rFonts w:hint="eastAsia" w:ascii="宋体" w:hAnsi="宋体"/>
                <w:sz w:val="24"/>
              </w:rPr>
              <w:t>暂列金额RMB￥：</w:t>
            </w:r>
            <w:r>
              <w:rPr>
                <w:rFonts w:hint="eastAsia" w:ascii="宋体" w:hAnsi="宋体"/>
                <w:sz w:val="24"/>
                <w:u w:val="single"/>
              </w:rPr>
              <w:t xml:space="preserve">            </w:t>
            </w:r>
            <w:r>
              <w:rPr>
                <w:rFonts w:hint="eastAsia" w:ascii="宋体" w:hAnsi="宋体"/>
                <w:sz w:val="24"/>
              </w:rPr>
              <w:t>元</w:t>
            </w:r>
          </w:p>
          <w:p>
            <w:pPr>
              <w:spacing w:line="360" w:lineRule="auto"/>
              <w:rPr>
                <w:rFonts w:ascii="宋体" w:hAnsi="宋体"/>
                <w:sz w:val="24"/>
              </w:rPr>
            </w:pPr>
            <w:r>
              <w:rPr>
                <w:rFonts w:hint="eastAsia" w:ascii="宋体" w:hAnsi="宋体"/>
                <w:sz w:val="24"/>
              </w:rPr>
              <w:t>专业工程暂估价RMB￥：</w:t>
            </w:r>
            <w:r>
              <w:rPr>
                <w:rFonts w:hint="eastAsia" w:ascii="宋体" w:hAnsi="宋体"/>
                <w:sz w:val="24"/>
                <w:u w:val="single"/>
              </w:rPr>
              <w:t xml:space="preserve">            </w:t>
            </w:r>
            <w:r>
              <w:rPr>
                <w:rFonts w:hint="eastAsia" w:ascii="宋体" w:hAnsi="宋体"/>
                <w:sz w:val="24"/>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035" w:type="dxa"/>
            <w:noWrap w:val="0"/>
            <w:vAlign w:val="center"/>
          </w:tcPr>
          <w:p>
            <w:pPr>
              <w:jc w:val="center"/>
              <w:rPr>
                <w:rFonts w:hint="eastAsia" w:ascii="宋体" w:hAnsi="宋体" w:eastAsia="宋体"/>
                <w:sz w:val="24"/>
                <w:lang w:eastAsia="zh-CN"/>
              </w:rPr>
            </w:pPr>
            <w:r>
              <w:rPr>
                <w:rFonts w:hint="eastAsia" w:ascii="宋体" w:hAnsi="宋体"/>
                <w:sz w:val="24"/>
              </w:rPr>
              <w:t>投标质量</w:t>
            </w:r>
            <w:r>
              <w:rPr>
                <w:rFonts w:hint="eastAsia" w:ascii="宋体" w:hAnsi="宋体"/>
                <w:sz w:val="24"/>
                <w:lang w:val="en-US" w:eastAsia="zh-CN"/>
              </w:rPr>
              <w:t>要求</w:t>
            </w:r>
          </w:p>
        </w:tc>
        <w:tc>
          <w:tcPr>
            <w:tcW w:w="7221" w:type="dxa"/>
            <w:gridSpan w:val="5"/>
            <w:noWrap w:val="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2035" w:type="dxa"/>
            <w:noWrap w:val="0"/>
            <w:vAlign w:val="center"/>
          </w:tcPr>
          <w:p>
            <w:pPr>
              <w:jc w:val="center"/>
              <w:rPr>
                <w:rFonts w:ascii="宋体" w:hAnsi="宋体"/>
                <w:sz w:val="24"/>
              </w:rPr>
            </w:pPr>
            <w:r>
              <w:rPr>
                <w:rFonts w:hint="eastAsia" w:ascii="宋体" w:hAnsi="宋体"/>
                <w:sz w:val="24"/>
              </w:rPr>
              <w:t>投标工期</w:t>
            </w:r>
          </w:p>
        </w:tc>
        <w:tc>
          <w:tcPr>
            <w:tcW w:w="7221" w:type="dxa"/>
            <w:gridSpan w:val="5"/>
            <w:noWrap w:val="0"/>
            <w:vAlign w:val="center"/>
          </w:tcPr>
          <w:p>
            <w:pPr>
              <w:jc w:val="center"/>
              <w:rPr>
                <w:rFonts w:ascii="宋体" w:hAnsi="宋体"/>
                <w:sz w:val="24"/>
              </w:rPr>
            </w:pP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035" w:type="dxa"/>
            <w:noWrap w:val="0"/>
            <w:vAlign w:val="center"/>
          </w:tcPr>
          <w:p>
            <w:pPr>
              <w:jc w:val="center"/>
              <w:rPr>
                <w:rFonts w:ascii="宋体" w:hAnsi="宋体"/>
                <w:sz w:val="24"/>
              </w:rPr>
            </w:pPr>
            <w:r>
              <w:rPr>
                <w:rFonts w:hint="eastAsia" w:ascii="宋体" w:hAnsi="宋体"/>
                <w:sz w:val="24"/>
              </w:rPr>
              <w:t>投标有效期</w:t>
            </w:r>
          </w:p>
        </w:tc>
        <w:tc>
          <w:tcPr>
            <w:tcW w:w="7221" w:type="dxa"/>
            <w:gridSpan w:val="5"/>
            <w:noWrap w:val="0"/>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noWrap w:val="0"/>
            <w:vAlign w:val="center"/>
          </w:tcPr>
          <w:p>
            <w:pPr>
              <w:spacing w:line="360" w:lineRule="auto"/>
              <w:rPr>
                <w:rFonts w:ascii="宋体" w:hAnsi="宋体"/>
                <w:sz w:val="24"/>
              </w:rPr>
            </w:pPr>
            <w:r>
              <w:rPr>
                <w:rFonts w:hint="eastAsia" w:ascii="宋体" w:hAnsi="宋体"/>
                <w:sz w:val="24"/>
              </w:rPr>
              <w:t>优惠与服务承诺：</w:t>
            </w:r>
          </w:p>
          <w:p>
            <w:pPr>
              <w:spacing w:line="360" w:lineRule="auto"/>
              <w:rPr>
                <w:rFonts w:ascii="宋体" w:hAnsi="宋体"/>
                <w:sz w:val="24"/>
              </w:rPr>
            </w:pPr>
            <w:r>
              <w:rPr>
                <w:rFonts w:hint="eastAsia" w:ascii="宋体" w:hAnsi="宋体"/>
                <w:sz w:val="24"/>
              </w:rPr>
              <w:t>注：如内容过长，投标人可根据情况以文档形式附于综合信用标第</w:t>
            </w:r>
            <w:r>
              <w:rPr>
                <w:rFonts w:ascii="宋体" w:hAnsi="宋体"/>
                <w:sz w:val="24"/>
              </w:rPr>
              <w:t>十二部分投标人需要提供的其它材料中。</w:t>
            </w:r>
          </w:p>
          <w:p>
            <w:pPr>
              <w:spacing w:line="360" w:lineRule="auto"/>
              <w:rPr>
                <w:rFonts w:ascii="宋体" w:hAnsi="宋体"/>
                <w:sz w:val="24"/>
              </w:rPr>
            </w:pPr>
            <w:r>
              <w:rPr>
                <w:rFonts w:hint="eastAsia" w:ascii="宋体" w:hAnsi="宋体"/>
                <w:sz w:val="24"/>
              </w:rPr>
              <w:t>（包含优惠承诺、服务承诺及按扬尘污染整治标准进行各工序的施工）</w:t>
            </w:r>
          </w:p>
        </w:tc>
      </w:tr>
    </w:tbl>
    <w:p>
      <w:pPr>
        <w:spacing w:line="360" w:lineRule="auto"/>
        <w:ind w:right="475"/>
        <w:jc w:val="right"/>
        <w:rPr>
          <w:rFonts w:hint="eastAsia" w:ascii="宋体" w:hAnsi="宋体"/>
          <w:sz w:val="24"/>
        </w:rPr>
      </w:pPr>
      <w:r>
        <w:rPr>
          <w:rFonts w:hint="eastAsia" w:ascii="宋体" w:hAnsi="宋体"/>
          <w:sz w:val="24"/>
        </w:rPr>
        <w:t xml:space="preserve"> </w:t>
      </w:r>
    </w:p>
    <w:p>
      <w:pPr>
        <w:spacing w:line="360" w:lineRule="auto"/>
        <w:jc w:val="right"/>
        <w:rPr>
          <w:rFonts w:hint="eastAsia" w:ascii="宋体" w:hAnsi="宋体"/>
          <w:sz w:val="24"/>
        </w:rPr>
      </w:pPr>
      <w:r>
        <w:rPr>
          <w:rFonts w:hint="eastAsia" w:ascii="宋体" w:hAnsi="宋体"/>
        </w:rPr>
        <w:t xml:space="preserve">                         </w:t>
      </w:r>
      <w:r>
        <w:rPr>
          <w:rFonts w:hint="eastAsia" w:ascii="宋体" w:hAnsi="宋体"/>
          <w:sz w:val="24"/>
        </w:rPr>
        <w:t xml:space="preserve"> </w:t>
      </w:r>
      <w:bookmarkStart w:id="553" w:name="_Hlk43306110"/>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（盖单位公章）</w:t>
      </w:r>
    </w:p>
    <w:p>
      <w:pPr>
        <w:spacing w:line="360" w:lineRule="auto"/>
        <w:jc w:val="right"/>
        <w:rPr>
          <w:rFonts w:hint="eastAsia"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（签字或盖章）</w:t>
      </w:r>
    </w:p>
    <w:p>
      <w:pPr>
        <w:wordWrap w:val="0"/>
        <w:spacing w:line="360" w:lineRule="auto"/>
        <w:ind w:right="84"/>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bookmarkEnd w:id="553"/>
    </w:p>
    <w:p>
      <w:pPr>
        <w:wordWrap w:val="0"/>
        <w:spacing w:line="360" w:lineRule="auto"/>
        <w:ind w:right="1110"/>
        <w:jc w:val="right"/>
        <w:rPr>
          <w:rFonts w:hint="eastAsia" w:ascii="宋体" w:hAnsi="宋体"/>
        </w:rPr>
      </w:pPr>
    </w:p>
    <w:p>
      <w:pPr>
        <w:pStyle w:val="7"/>
        <w:numPr>
          <w:ilvl w:val="0"/>
          <w:numId w:val="64"/>
        </w:numPr>
        <w:spacing w:before="0" w:after="0" w:line="360" w:lineRule="auto"/>
        <w:jc w:val="center"/>
        <w:rPr>
          <w:rFonts w:hint="eastAsia" w:ascii="宋体" w:hAnsi="宋体" w:eastAsia="宋体"/>
        </w:rPr>
      </w:pPr>
      <w:bookmarkStart w:id="554" w:name="_Toc23078"/>
      <w:bookmarkEnd w:id="554"/>
      <w:bookmarkStart w:id="555" w:name="_Toc1283"/>
      <w:bookmarkEnd w:id="555"/>
      <w:bookmarkStart w:id="556" w:name="_Toc152045791"/>
      <w:bookmarkEnd w:id="556"/>
      <w:bookmarkStart w:id="557" w:name="_Toc144974860"/>
      <w:bookmarkEnd w:id="557"/>
      <w:bookmarkStart w:id="558" w:name="_Toc152042580"/>
      <w:bookmarkEnd w:id="558"/>
      <w:bookmarkStart w:id="559" w:name="_Toc428968301"/>
      <w:bookmarkEnd w:id="559"/>
      <w:bookmarkStart w:id="560" w:name="_Toc31088"/>
      <w:bookmarkEnd w:id="560"/>
      <w:bookmarkStart w:id="561" w:name="_Toc247514283"/>
      <w:bookmarkEnd w:id="561"/>
      <w:bookmarkStart w:id="562" w:name="_Toc247527831"/>
      <w:bookmarkEnd w:id="562"/>
      <w:bookmarkStart w:id="563" w:name="_Toc10163"/>
      <w:bookmarkEnd w:id="563"/>
      <w:bookmarkStart w:id="564" w:name="_Toc22999"/>
      <w:bookmarkStart w:id="565" w:name="_Toc43198911"/>
      <w:bookmarkStart w:id="566" w:name="_Hlk43306223"/>
      <w:r>
        <w:rPr>
          <w:rFonts w:hint="eastAsia" w:ascii="宋体" w:hAnsi="宋体" w:eastAsia="宋体"/>
        </w:rPr>
        <w:t>法定代表人身份证明</w:t>
      </w:r>
      <w:bookmarkEnd w:id="564"/>
      <w:r>
        <w:rPr>
          <w:rFonts w:hint="eastAsia" w:ascii="宋体" w:hAnsi="宋体" w:eastAsia="宋体"/>
        </w:rPr>
        <w:t>、授权委托书及承诺书</w:t>
      </w:r>
      <w:bookmarkEnd w:id="565"/>
    </w:p>
    <w:p>
      <w:pPr>
        <w:spacing w:line="360" w:lineRule="auto"/>
        <w:rPr>
          <w:rFonts w:ascii="宋体" w:hAnsi="宋体"/>
        </w:rPr>
      </w:pPr>
      <w:r>
        <w:rPr>
          <w:rFonts w:hint="eastAsia" w:ascii="宋体" w:hAnsi="宋体"/>
        </w:rPr>
        <w:t xml:space="preserve"> </w:t>
      </w:r>
    </w:p>
    <w:p>
      <w:pPr>
        <w:pStyle w:val="8"/>
        <w:spacing w:before="0" w:after="0" w:line="360" w:lineRule="auto"/>
        <w:ind w:firstLine="138"/>
        <w:jc w:val="center"/>
        <w:rPr>
          <w:rFonts w:hint="eastAsia" w:ascii="宋体" w:eastAsia="宋体"/>
          <w:b/>
          <w:bCs w:val="0"/>
        </w:rPr>
      </w:pPr>
      <w:bookmarkStart w:id="567" w:name="_Toc43198912"/>
      <w:r>
        <w:rPr>
          <w:rFonts w:hint="eastAsia" w:ascii="宋体" w:eastAsia="宋体"/>
          <w:b/>
          <w:bCs w:val="0"/>
        </w:rPr>
        <w:t>（一）法定代表人身份证明</w:t>
      </w:r>
      <w:bookmarkEnd w:id="567"/>
    </w:p>
    <w:bookmarkEnd w:id="566"/>
    <w:p>
      <w:pPr>
        <w:autoSpaceDE w:val="0"/>
        <w:autoSpaceDN w:val="0"/>
        <w:adjustRightInd w:val="0"/>
        <w:spacing w:line="360" w:lineRule="auto"/>
        <w:ind w:firstLine="480" w:firstLineChars="200"/>
        <w:jc w:val="left"/>
        <w:rPr>
          <w:rFonts w:ascii="宋体" w:hAnsi="宋体"/>
          <w:kern w:val="0"/>
          <w:sz w:val="24"/>
        </w:rPr>
      </w:pPr>
      <w:bookmarkStart w:id="568" w:name="_Toc144974861"/>
      <w:bookmarkEnd w:id="568"/>
      <w:bookmarkStart w:id="569" w:name="_Toc152042581"/>
      <w:bookmarkEnd w:id="569"/>
      <w:bookmarkStart w:id="570" w:name="_Toc152045792"/>
      <w:bookmarkEnd w:id="570"/>
      <w:bookmarkStart w:id="571" w:name="_Toc31566"/>
      <w:bookmarkEnd w:id="571"/>
      <w:bookmarkStart w:id="572" w:name="_Toc428968302"/>
      <w:bookmarkEnd w:id="572"/>
      <w:bookmarkStart w:id="573" w:name="_Toc247527832"/>
      <w:bookmarkEnd w:id="573"/>
      <w:bookmarkStart w:id="574" w:name="_Toc247514284"/>
    </w:p>
    <w:p>
      <w:pPr>
        <w:autoSpaceDE w:val="0"/>
        <w:autoSpaceDN w:val="0"/>
        <w:adjustRightInd w:val="0"/>
        <w:spacing w:line="360" w:lineRule="auto"/>
        <w:ind w:firstLine="480" w:firstLineChars="200"/>
        <w:jc w:val="left"/>
        <w:rPr>
          <w:rFonts w:hint="eastAsia" w:ascii="宋体" w:hAnsi="宋体"/>
          <w:kern w:val="0"/>
          <w:sz w:val="24"/>
          <w:u w:val="single"/>
        </w:rPr>
      </w:pPr>
      <w:r>
        <w:rPr>
          <w:rFonts w:hint="eastAsia" w:ascii="宋体" w:hAnsi="宋体"/>
          <w:kern w:val="0"/>
          <w:sz w:val="24"/>
        </w:rPr>
        <w:t>投标人名称：</w:t>
      </w:r>
      <w:bookmarkEnd w:id="574"/>
      <w:r>
        <w:rPr>
          <w:rFonts w:hint="eastAsia" w:ascii="宋体" w:hAnsi="宋体"/>
          <w:kern w:val="0"/>
          <w:sz w:val="24"/>
          <w:u w:val="single"/>
        </w:rPr>
        <w:t xml:space="preserve">                     </w:t>
      </w:r>
    </w:p>
    <w:p>
      <w:pPr>
        <w:autoSpaceDE w:val="0"/>
        <w:autoSpaceDN w:val="0"/>
        <w:adjustRightInd w:val="0"/>
        <w:spacing w:line="360" w:lineRule="auto"/>
        <w:ind w:firstLine="480" w:firstLineChars="200"/>
        <w:jc w:val="left"/>
        <w:rPr>
          <w:rFonts w:hint="eastAsia" w:ascii="宋体" w:hAnsi="宋体"/>
          <w:kern w:val="0"/>
          <w:sz w:val="24"/>
        </w:rPr>
      </w:pPr>
      <w:r>
        <w:rPr>
          <w:rFonts w:hint="eastAsia" w:ascii="宋体" w:hAnsi="宋体"/>
          <w:kern w:val="0"/>
          <w:sz w:val="24"/>
        </w:rPr>
        <w:t>单位性质：</w:t>
      </w:r>
      <w:r>
        <w:rPr>
          <w:rFonts w:hint="eastAsia" w:ascii="宋体" w:hAnsi="宋体"/>
          <w:kern w:val="0"/>
          <w:sz w:val="24"/>
          <w:u w:val="single"/>
        </w:rPr>
        <w:t xml:space="preserve">                       </w:t>
      </w:r>
    </w:p>
    <w:p>
      <w:pPr>
        <w:autoSpaceDE w:val="0"/>
        <w:autoSpaceDN w:val="0"/>
        <w:adjustRightInd w:val="0"/>
        <w:spacing w:line="360" w:lineRule="auto"/>
        <w:ind w:firstLine="480" w:firstLineChars="200"/>
        <w:jc w:val="left"/>
        <w:rPr>
          <w:rFonts w:hint="eastAsia" w:ascii="宋体" w:hAnsi="宋体"/>
          <w:kern w:val="0"/>
          <w:sz w:val="24"/>
        </w:rPr>
      </w:pPr>
      <w:r>
        <w:rPr>
          <w:rFonts w:hint="eastAsia" w:ascii="宋体" w:hAnsi="宋体"/>
          <w:kern w:val="0"/>
          <w:sz w:val="24"/>
        </w:rPr>
        <w:t>地址：</w:t>
      </w:r>
      <w:r>
        <w:rPr>
          <w:rFonts w:hint="eastAsia" w:ascii="宋体" w:hAnsi="宋体"/>
          <w:kern w:val="0"/>
          <w:sz w:val="24"/>
          <w:u w:val="single"/>
        </w:rPr>
        <w:t xml:space="preserve">                          </w:t>
      </w:r>
    </w:p>
    <w:p>
      <w:pPr>
        <w:autoSpaceDE w:val="0"/>
        <w:autoSpaceDN w:val="0"/>
        <w:adjustRightInd w:val="0"/>
        <w:spacing w:line="360" w:lineRule="auto"/>
        <w:ind w:firstLine="480" w:firstLineChars="200"/>
        <w:jc w:val="left"/>
        <w:rPr>
          <w:rFonts w:hint="eastAsia" w:ascii="宋体" w:hAnsi="宋体"/>
          <w:kern w:val="0"/>
          <w:sz w:val="24"/>
        </w:rPr>
      </w:pPr>
      <w:r>
        <w:rPr>
          <w:rFonts w:hint="eastAsia" w:ascii="宋体" w:hAnsi="宋体"/>
          <w:kern w:val="0"/>
          <w:sz w:val="24"/>
        </w:rPr>
        <w:t>成立时间：</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autoSpaceDE w:val="0"/>
        <w:autoSpaceDN w:val="0"/>
        <w:adjustRightInd w:val="0"/>
        <w:spacing w:line="360" w:lineRule="auto"/>
        <w:ind w:firstLine="480" w:firstLineChars="200"/>
        <w:jc w:val="left"/>
        <w:rPr>
          <w:rFonts w:hint="eastAsia" w:ascii="宋体" w:hAnsi="宋体"/>
          <w:kern w:val="0"/>
          <w:sz w:val="24"/>
        </w:rPr>
      </w:pPr>
      <w:r>
        <w:rPr>
          <w:rFonts w:hint="eastAsia" w:ascii="宋体" w:hAnsi="宋体"/>
          <w:kern w:val="0"/>
          <w:sz w:val="24"/>
        </w:rPr>
        <w:t>经营期限：</w:t>
      </w:r>
      <w:r>
        <w:rPr>
          <w:rFonts w:hint="eastAsia" w:ascii="宋体" w:hAnsi="宋体"/>
          <w:kern w:val="0"/>
          <w:sz w:val="24"/>
          <w:u w:val="single"/>
        </w:rPr>
        <w:t xml:space="preserve">                    </w:t>
      </w:r>
    </w:p>
    <w:p>
      <w:pPr>
        <w:autoSpaceDE w:val="0"/>
        <w:autoSpaceDN w:val="0"/>
        <w:adjustRightInd w:val="0"/>
        <w:spacing w:line="360" w:lineRule="auto"/>
        <w:ind w:firstLine="480" w:firstLineChars="200"/>
        <w:jc w:val="left"/>
        <w:rPr>
          <w:rFonts w:hint="eastAsia" w:ascii="宋体" w:hAnsi="宋体"/>
          <w:kern w:val="0"/>
          <w:sz w:val="24"/>
          <w:u w:val="single"/>
        </w:rPr>
      </w:pPr>
      <w:r>
        <w:rPr>
          <w:rFonts w:hint="eastAsia" w:ascii="宋体" w:hAnsi="宋体"/>
          <w:kern w:val="0"/>
          <w:sz w:val="24"/>
        </w:rPr>
        <w:t>姓名：</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性别：</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年龄：</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职务：</w:t>
      </w:r>
      <w:r>
        <w:rPr>
          <w:rFonts w:hint="eastAsia" w:ascii="宋体" w:hAnsi="宋体"/>
          <w:kern w:val="0"/>
          <w:sz w:val="24"/>
          <w:u w:val="single"/>
        </w:rPr>
        <w:t xml:space="preserve"> </w:t>
      </w:r>
      <w:r>
        <w:rPr>
          <w:rFonts w:ascii="宋体" w:hAnsi="宋体"/>
          <w:kern w:val="0"/>
          <w:sz w:val="24"/>
          <w:u w:val="single"/>
        </w:rPr>
        <w:t xml:space="preserve">      </w:t>
      </w:r>
    </w:p>
    <w:p>
      <w:pPr>
        <w:autoSpaceDE w:val="0"/>
        <w:autoSpaceDN w:val="0"/>
        <w:adjustRightInd w:val="0"/>
        <w:spacing w:line="360" w:lineRule="auto"/>
        <w:ind w:firstLine="480" w:firstLineChars="200"/>
        <w:jc w:val="left"/>
        <w:rPr>
          <w:rFonts w:hint="eastAsia" w:ascii="宋体" w:hAnsi="宋体"/>
          <w:kern w:val="0"/>
          <w:sz w:val="24"/>
        </w:rPr>
      </w:pPr>
      <w:r>
        <w:rPr>
          <w:rFonts w:hint="eastAsia" w:ascii="宋体" w:hAnsi="宋体"/>
          <w:kern w:val="0"/>
          <w:sz w:val="24"/>
        </w:rPr>
        <w:t>系</w:t>
      </w:r>
      <w:r>
        <w:rPr>
          <w:rFonts w:hint="eastAsia" w:ascii="宋体" w:hAnsi="宋体"/>
          <w:kern w:val="0"/>
          <w:sz w:val="24"/>
          <w:u w:val="single"/>
        </w:rPr>
        <w:t xml:space="preserve">                         </w:t>
      </w:r>
      <w:r>
        <w:rPr>
          <w:rFonts w:hint="eastAsia" w:ascii="宋体" w:hAnsi="宋体"/>
          <w:kern w:val="0"/>
          <w:sz w:val="24"/>
        </w:rPr>
        <w:t>（投标人名称）的法定代表人。</w:t>
      </w:r>
    </w:p>
    <w:p>
      <w:pPr>
        <w:autoSpaceDE w:val="0"/>
        <w:autoSpaceDN w:val="0"/>
        <w:adjustRightInd w:val="0"/>
        <w:spacing w:line="360" w:lineRule="auto"/>
        <w:ind w:firstLine="480" w:firstLineChars="200"/>
        <w:jc w:val="left"/>
        <w:rPr>
          <w:rFonts w:hint="eastAsia" w:ascii="宋体" w:hAnsi="宋体"/>
          <w:kern w:val="0"/>
          <w:sz w:val="24"/>
        </w:rPr>
      </w:pPr>
      <w:r>
        <w:rPr>
          <w:rFonts w:hint="eastAsia" w:ascii="宋体" w:hAnsi="宋体"/>
          <w:kern w:val="0"/>
          <w:sz w:val="24"/>
        </w:rPr>
        <w:t xml:space="preserve"> </w:t>
      </w:r>
    </w:p>
    <w:p>
      <w:pPr>
        <w:autoSpaceDE w:val="0"/>
        <w:autoSpaceDN w:val="0"/>
        <w:adjustRightInd w:val="0"/>
        <w:spacing w:line="360" w:lineRule="auto"/>
        <w:ind w:firstLine="480" w:firstLineChars="200"/>
        <w:jc w:val="left"/>
        <w:rPr>
          <w:rFonts w:hint="eastAsia" w:ascii="宋体" w:hAnsi="宋体"/>
          <w:kern w:val="0"/>
          <w:sz w:val="24"/>
        </w:rPr>
      </w:pPr>
      <w:r>
        <w:rPr>
          <w:rFonts w:hint="eastAsia" w:ascii="宋体" w:hAnsi="宋体"/>
          <w:kern w:val="0"/>
          <w:sz w:val="24"/>
        </w:rPr>
        <w:t>特此证明。</w:t>
      </w:r>
    </w:p>
    <w:p>
      <w:pPr>
        <w:autoSpaceDE w:val="0"/>
        <w:autoSpaceDN w:val="0"/>
        <w:adjustRightInd w:val="0"/>
        <w:spacing w:line="360" w:lineRule="auto"/>
        <w:ind w:firstLine="480" w:firstLineChars="200"/>
        <w:jc w:val="left"/>
        <w:rPr>
          <w:rFonts w:hint="eastAsia" w:ascii="宋体" w:hAnsi="宋体"/>
          <w:kern w:val="0"/>
          <w:sz w:val="24"/>
        </w:rPr>
      </w:pPr>
      <w:r>
        <w:rPr>
          <w:rFonts w:hint="eastAsia" w:ascii="宋体" w:hAnsi="宋体"/>
          <w:kern w:val="0"/>
          <w:sz w:val="24"/>
        </w:rPr>
        <w:t xml:space="preserve"> </w:t>
      </w:r>
    </w:p>
    <w:p>
      <w:pPr>
        <w:autoSpaceDE w:val="0"/>
        <w:autoSpaceDN w:val="0"/>
        <w:adjustRightInd w:val="0"/>
        <w:spacing w:line="360" w:lineRule="auto"/>
        <w:ind w:right="84" w:firstLine="480" w:firstLineChars="200"/>
        <w:jc w:val="right"/>
        <w:rPr>
          <w:rFonts w:hint="eastAsia" w:ascii="宋体" w:hAnsi="宋体"/>
          <w:kern w:val="0"/>
          <w:sz w:val="24"/>
        </w:rPr>
      </w:pPr>
      <w:r>
        <w:rPr>
          <w:rFonts w:hint="eastAsia" w:ascii="宋体" w:hAnsi="宋体"/>
          <w:kern w:val="0"/>
          <w:sz w:val="24"/>
        </w:rPr>
        <w:t>投标人：</w:t>
      </w:r>
      <w:r>
        <w:rPr>
          <w:rFonts w:hint="eastAsia" w:ascii="宋体" w:hAnsi="宋体"/>
          <w:kern w:val="0"/>
          <w:sz w:val="24"/>
          <w:u w:val="single"/>
        </w:rPr>
        <w:t xml:space="preserve">             </w:t>
      </w:r>
      <w:r>
        <w:rPr>
          <w:rFonts w:hint="eastAsia" w:ascii="宋体" w:hAnsi="宋体"/>
          <w:kern w:val="0"/>
          <w:sz w:val="24"/>
        </w:rPr>
        <w:t>（盖单位公章）</w:t>
      </w:r>
    </w:p>
    <w:p>
      <w:pPr>
        <w:autoSpaceDE w:val="0"/>
        <w:autoSpaceDN w:val="0"/>
        <w:adjustRightInd w:val="0"/>
        <w:spacing w:line="360" w:lineRule="auto"/>
        <w:jc w:val="right"/>
        <w:rPr>
          <w:rFonts w:ascii="宋体" w:hAnsi="宋体"/>
          <w:kern w:val="0"/>
          <w:sz w:val="24"/>
        </w:rPr>
      </w:pPr>
      <w:r>
        <w:rPr>
          <w:rFonts w:hint="eastAsia" w:ascii="宋体" w:hAnsi="宋体"/>
          <w:kern w:val="0"/>
          <w:sz w:val="24"/>
        </w:rPr>
        <w:t>日期：</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autoSpaceDE w:val="0"/>
        <w:autoSpaceDN w:val="0"/>
        <w:adjustRightInd w:val="0"/>
        <w:spacing w:line="360" w:lineRule="auto"/>
        <w:jc w:val="right"/>
        <w:rPr>
          <w:rFonts w:ascii="宋体" w:hAnsi="宋体"/>
          <w:kern w:val="0"/>
          <w:sz w:val="24"/>
        </w:rPr>
      </w:pPr>
    </w:p>
    <w:p>
      <w:pPr>
        <w:pStyle w:val="8"/>
        <w:spacing w:before="0" w:after="0" w:line="360" w:lineRule="auto"/>
        <w:ind w:firstLine="138"/>
        <w:jc w:val="center"/>
        <w:rPr>
          <w:rFonts w:hint="eastAsia" w:ascii="宋体" w:eastAsia="宋体"/>
          <w:b/>
          <w:bCs w:val="0"/>
        </w:rPr>
      </w:pPr>
      <w:r>
        <w:rPr>
          <w:rFonts w:ascii="宋体"/>
          <w:b/>
          <w:bCs w:val="0"/>
        </w:rPr>
        <w:br w:type="page"/>
      </w:r>
      <w:bookmarkStart w:id="575" w:name="_Toc43198913"/>
      <w:r>
        <w:rPr>
          <w:rFonts w:hint="eastAsia" w:ascii="宋体" w:eastAsia="宋体"/>
          <w:b/>
          <w:bCs w:val="0"/>
        </w:rPr>
        <w:t>（二）授权委托书</w:t>
      </w:r>
      <w:bookmarkEnd w:id="575"/>
    </w:p>
    <w:p>
      <w:pPr>
        <w:spacing w:line="360" w:lineRule="auto"/>
        <w:rPr>
          <w:rFonts w:hint="eastAsia" w:ascii="宋体" w:hAnsi="宋体"/>
        </w:rPr>
      </w:pPr>
      <w:r>
        <w:rPr>
          <w:rFonts w:hint="eastAsia" w:ascii="宋体" w:hAnsi="宋体"/>
        </w:rPr>
        <w:t xml:space="preserve"> </w:t>
      </w:r>
    </w:p>
    <w:p>
      <w:pPr>
        <w:topLinePunct/>
        <w:spacing w:line="360" w:lineRule="auto"/>
        <w:ind w:firstLine="480" w:firstLineChars="200"/>
        <w:rPr>
          <w:rFonts w:hint="eastAsia" w:ascii="宋体" w:hAnsi="宋体"/>
          <w:sz w:val="24"/>
        </w:rPr>
      </w:pPr>
      <w:r>
        <w:rPr>
          <w:rFonts w:hint="eastAsia" w:ascii="宋体" w:hAnsi="宋体"/>
          <w:sz w:val="24"/>
        </w:rPr>
        <w:t>本人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（投标人名称）的法定代表人，现委托</w:t>
      </w:r>
      <w:r>
        <w:rPr>
          <w:rFonts w:hint="eastAsia" w:ascii="宋体" w:hAnsi="宋体"/>
          <w:sz w:val="24"/>
          <w:u w:val="single"/>
        </w:rPr>
        <w:t xml:space="preserve">      </w:t>
      </w:r>
      <w:r>
        <w:rPr>
          <w:rFonts w:hint="eastAsia" w:ascii="宋体" w:hAnsi="宋体"/>
          <w:sz w:val="24"/>
        </w:rPr>
        <w:t>（姓名）为我方代理人。代理人根据授权，以我方名义签署、澄清、说明、补正、递交、撤回、修改</w:t>
      </w:r>
      <w:r>
        <w:rPr>
          <w:rFonts w:hint="eastAsia" w:ascii="宋体" w:hAnsi="宋体"/>
          <w:sz w:val="24"/>
          <w:u w:val="single"/>
        </w:rPr>
        <w:t xml:space="preserve">           </w:t>
      </w:r>
      <w:r>
        <w:rPr>
          <w:rFonts w:hint="eastAsia" w:ascii="宋体" w:hAnsi="宋体"/>
          <w:sz w:val="24"/>
        </w:rPr>
        <w:t>（项目名称）投标文件、签订合同和处理有关事宜，其法律后果由我方承担。</w:t>
      </w:r>
    </w:p>
    <w:p>
      <w:pPr>
        <w:spacing w:line="360" w:lineRule="auto"/>
        <w:rPr>
          <w:rFonts w:hint="eastAsia" w:ascii="宋体" w:hAnsi="宋体"/>
          <w:sz w:val="24"/>
        </w:rPr>
      </w:pPr>
      <w:r>
        <w:rPr>
          <w:rFonts w:hint="eastAsia" w:ascii="宋体" w:hAnsi="宋体"/>
          <w:sz w:val="24"/>
        </w:rPr>
        <w:t xml:space="preserve">    委托期限：</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代理人无转委托权。</w:t>
      </w:r>
    </w:p>
    <w:p>
      <w:pPr>
        <w:spacing w:line="360" w:lineRule="auto"/>
        <w:ind w:firstLine="480" w:firstLineChars="200"/>
        <w:rPr>
          <w:rFonts w:hint="eastAsia" w:ascii="宋体" w:hAnsi="宋体"/>
          <w:sz w:val="24"/>
        </w:rPr>
      </w:pPr>
      <w:r>
        <w:rPr>
          <w:rFonts w:hint="eastAsia" w:ascii="宋体" w:hAnsi="宋体"/>
          <w:sz w:val="24"/>
        </w:rPr>
        <w:t>附：法定代表人身份证扫描件和委托人身份证扫描件（正反面）。</w:t>
      </w:r>
    </w:p>
    <w:p>
      <w:pPr>
        <w:spacing w:line="360" w:lineRule="auto"/>
        <w:rPr>
          <w:rFonts w:hint="eastAsia" w:ascii="宋体" w:hAnsi="宋体"/>
          <w:sz w:val="24"/>
        </w:rPr>
      </w:pP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 xml:space="preserve"> </w:t>
      </w:r>
    </w:p>
    <w:p>
      <w:pPr>
        <w:spacing w:line="360" w:lineRule="auto"/>
        <w:ind w:firstLine="2692" w:firstLineChars="1122"/>
        <w:rPr>
          <w:rFonts w:hint="eastAsia"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（盖单位公章）</w:t>
      </w:r>
    </w:p>
    <w:p>
      <w:pPr>
        <w:spacing w:line="360" w:lineRule="auto"/>
        <w:ind w:firstLine="2692" w:firstLineChars="1122"/>
        <w:rPr>
          <w:rFonts w:hint="eastAsia"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（签字或盖章）</w:t>
      </w:r>
    </w:p>
    <w:p>
      <w:pPr>
        <w:spacing w:line="360" w:lineRule="auto"/>
        <w:ind w:firstLine="2692" w:firstLineChars="1122"/>
        <w:rPr>
          <w:rFonts w:hint="eastAsia" w:ascii="宋体" w:hAnsi="宋体"/>
          <w:sz w:val="24"/>
        </w:rPr>
      </w:pPr>
      <w:r>
        <w:rPr>
          <w:rFonts w:hint="eastAsia" w:ascii="宋体" w:hAnsi="宋体"/>
          <w:sz w:val="24"/>
        </w:rPr>
        <w:t>身份证号码：</w:t>
      </w:r>
      <w:r>
        <w:rPr>
          <w:rFonts w:hint="eastAsia" w:ascii="宋体" w:hAnsi="宋体"/>
          <w:sz w:val="24"/>
          <w:u w:val="single"/>
        </w:rPr>
        <w:t xml:space="preserve">                             </w:t>
      </w:r>
    </w:p>
    <w:p>
      <w:pPr>
        <w:spacing w:line="360" w:lineRule="auto"/>
        <w:ind w:firstLine="2692" w:firstLineChars="1122"/>
        <w:rPr>
          <w:rFonts w:hint="eastAsia" w:ascii="宋体" w:hAnsi="宋体"/>
          <w:sz w:val="24"/>
        </w:rPr>
      </w:pPr>
      <w:r>
        <w:rPr>
          <w:rFonts w:hint="eastAsia" w:ascii="宋体" w:hAnsi="宋体"/>
          <w:sz w:val="24"/>
        </w:rPr>
        <w:t>委托代理人：</w:t>
      </w:r>
      <w:r>
        <w:rPr>
          <w:rFonts w:hint="eastAsia" w:ascii="宋体" w:hAnsi="宋体"/>
          <w:sz w:val="24"/>
          <w:u w:val="single"/>
        </w:rPr>
        <w:t xml:space="preserve">                  </w:t>
      </w:r>
      <w:r>
        <w:rPr>
          <w:rFonts w:hint="eastAsia" w:ascii="宋体" w:hAnsi="宋体"/>
          <w:sz w:val="24"/>
        </w:rPr>
        <w:t>（签字或盖章）</w:t>
      </w:r>
    </w:p>
    <w:p>
      <w:pPr>
        <w:spacing w:line="360" w:lineRule="auto"/>
        <w:ind w:firstLine="2692" w:firstLineChars="1122"/>
        <w:rPr>
          <w:rFonts w:hint="eastAsia" w:ascii="宋体" w:hAnsi="宋体"/>
          <w:sz w:val="24"/>
        </w:rPr>
      </w:pPr>
      <w:r>
        <w:rPr>
          <w:rFonts w:hint="eastAsia" w:ascii="宋体" w:hAnsi="宋体"/>
          <w:sz w:val="24"/>
        </w:rPr>
        <w:t>身份证号码：</w:t>
      </w:r>
      <w:r>
        <w:rPr>
          <w:rFonts w:hint="eastAsia" w:ascii="宋体" w:hAnsi="宋体"/>
          <w:sz w:val="24"/>
          <w:u w:val="single"/>
        </w:rPr>
        <w:t xml:space="preserve">                             </w:t>
      </w:r>
    </w:p>
    <w:p>
      <w:pPr>
        <w:spacing w:line="360" w:lineRule="auto"/>
        <w:ind w:firstLine="2692" w:firstLineChars="1122"/>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18"/>
        <w:spacing w:line="360" w:lineRule="auto"/>
        <w:rPr>
          <w:rFonts w:hint="eastAsia"/>
          <w:color w:val="auto"/>
        </w:rPr>
      </w:pPr>
      <w:r>
        <w:rPr>
          <w:rFonts w:hint="eastAsia"/>
          <w:color w:val="auto"/>
        </w:rPr>
        <w:t xml:space="preserve"> </w:t>
      </w:r>
    </w:p>
    <w:p>
      <w:pPr>
        <w:pStyle w:val="18"/>
        <w:spacing w:line="360" w:lineRule="auto"/>
        <w:rPr>
          <w:rFonts w:hint="eastAsia"/>
          <w:color w:val="auto"/>
        </w:rPr>
      </w:pPr>
      <w:r>
        <w:rPr>
          <w:rFonts w:hint="eastAsia"/>
          <w:color w:val="auto"/>
        </w:rPr>
        <w:t xml:space="preserve"> </w:t>
      </w:r>
    </w:p>
    <w:p>
      <w:pPr>
        <w:pStyle w:val="18"/>
        <w:spacing w:line="360" w:lineRule="auto"/>
        <w:rPr>
          <w:color w:val="auto"/>
        </w:rPr>
      </w:pPr>
      <w:r>
        <w:rPr>
          <w:rFonts w:hint="eastAsia"/>
          <w:color w:val="auto"/>
        </w:rPr>
        <w:t xml:space="preserve"> </w:t>
      </w:r>
    </w:p>
    <w:p>
      <w:pPr>
        <w:pStyle w:val="8"/>
        <w:spacing w:before="0" w:after="0" w:line="360" w:lineRule="auto"/>
        <w:jc w:val="center"/>
        <w:rPr>
          <w:rFonts w:hint="eastAsia" w:ascii="宋体" w:eastAsia="宋体"/>
          <w:b/>
          <w:bCs w:val="0"/>
        </w:rPr>
      </w:pPr>
      <w:r>
        <w:br w:type="page"/>
      </w:r>
      <w:bookmarkStart w:id="576" w:name="_Toc43198914"/>
      <w:r>
        <w:rPr>
          <w:rFonts w:hint="eastAsia" w:ascii="宋体" w:eastAsia="宋体"/>
          <w:b/>
          <w:bCs w:val="0"/>
        </w:rPr>
        <w:t>（三）承诺书</w:t>
      </w:r>
      <w:bookmarkEnd w:id="576"/>
    </w:p>
    <w:p>
      <w:pPr>
        <w:spacing w:line="360" w:lineRule="auto"/>
        <w:rPr>
          <w:rFonts w:ascii="宋体" w:hAnsi="宋体"/>
          <w:sz w:val="28"/>
          <w:szCs w:val="28"/>
        </w:rPr>
      </w:pPr>
      <w:r>
        <w:rPr>
          <w:rFonts w:hint="eastAsia" w:ascii="宋体" w:hAnsi="宋体"/>
          <w:b/>
          <w:bCs/>
          <w:sz w:val="28"/>
          <w:szCs w:val="28"/>
        </w:rPr>
        <w:t>附件1：项目经理承诺书</w:t>
      </w:r>
    </w:p>
    <w:p>
      <w:pPr>
        <w:spacing w:line="360" w:lineRule="auto"/>
        <w:rPr>
          <w:sz w:val="24"/>
        </w:rPr>
      </w:pPr>
    </w:p>
    <w:p>
      <w:pPr>
        <w:spacing w:line="360" w:lineRule="auto"/>
        <w:rPr>
          <w:sz w:val="24"/>
        </w:rPr>
      </w:pPr>
      <w:r>
        <w:rPr>
          <w:rFonts w:hint="eastAsia" w:ascii="宋体" w:hAnsi="宋体"/>
          <w:sz w:val="24"/>
          <w:u w:val="single"/>
        </w:rPr>
        <w:t xml:space="preserve"> </w:t>
      </w:r>
      <w:r>
        <w:rPr>
          <w:rFonts w:ascii="宋体" w:hAnsi="宋体"/>
          <w:sz w:val="24"/>
          <w:u w:val="single"/>
        </w:rPr>
        <w:t xml:space="preserve">                 </w:t>
      </w:r>
      <w:r>
        <w:rPr>
          <w:rFonts w:hint="eastAsia"/>
          <w:sz w:val="24"/>
        </w:rPr>
        <w:t>（招标人名称）：</w:t>
      </w:r>
    </w:p>
    <w:p>
      <w:pPr>
        <w:spacing w:line="440" w:lineRule="exact"/>
        <w:ind w:firstLine="480"/>
        <w:rPr>
          <w:rFonts w:ascii="Times New Roman" w:hAnsi="宋体"/>
          <w:sz w:val="24"/>
        </w:rPr>
      </w:pPr>
      <w:r>
        <w:rPr>
          <w:rFonts w:hint="eastAsia" w:ascii="Times New Roman" w:hAnsi="宋体"/>
          <w:sz w:val="24"/>
        </w:rPr>
        <w:t>我方在此声明，我方拟派往</w:t>
      </w:r>
      <w:r>
        <w:rPr>
          <w:rFonts w:hint="eastAsia" w:ascii="Times New Roman" w:hAnsi="宋体"/>
          <w:sz w:val="24"/>
          <w:u w:val="single"/>
        </w:rPr>
        <w:t xml:space="preserve">               </w:t>
      </w:r>
      <w:r>
        <w:rPr>
          <w:rFonts w:hint="eastAsia" w:ascii="Times New Roman" w:hAnsi="宋体"/>
          <w:sz w:val="24"/>
        </w:rPr>
        <w:t>（项目名称及标段名称）（以下简称“本工程”）的项目经理</w:t>
      </w:r>
      <w:r>
        <w:rPr>
          <w:rFonts w:hint="eastAsia" w:ascii="Times New Roman" w:hAnsi="宋体"/>
          <w:sz w:val="24"/>
          <w:u w:val="single"/>
        </w:rPr>
        <w:t xml:space="preserve">           </w:t>
      </w:r>
      <w:r>
        <w:rPr>
          <w:rFonts w:hint="eastAsia" w:ascii="Times New Roman" w:hAnsi="宋体"/>
          <w:sz w:val="24"/>
        </w:rPr>
        <w:t>（项目经理姓名）现阶段没有担任任何在施建设工程项目的项目经理。</w:t>
      </w:r>
    </w:p>
    <w:p>
      <w:pPr>
        <w:spacing w:line="440" w:lineRule="exact"/>
        <w:ind w:firstLine="480"/>
        <w:rPr>
          <w:rFonts w:ascii="Times New Roman" w:hAnsi="宋体"/>
          <w:sz w:val="24"/>
        </w:rPr>
      </w:pPr>
      <w:r>
        <w:rPr>
          <w:rFonts w:hint="eastAsia" w:ascii="Times New Roman" w:hAnsi="宋体"/>
          <w:sz w:val="24"/>
        </w:rPr>
        <w:t>我方保证上述信息的真实和准确，并愿意承担因我方就此弄虚作假所引起的一切法律后果。</w:t>
      </w:r>
    </w:p>
    <w:p>
      <w:pPr>
        <w:spacing w:line="360" w:lineRule="auto"/>
        <w:ind w:firstLine="482"/>
        <w:rPr>
          <w:rFonts w:ascii="Times New Roman" w:hAnsi="宋体"/>
          <w:sz w:val="24"/>
        </w:rPr>
      </w:pPr>
      <w:r>
        <w:rPr>
          <w:rFonts w:hint="eastAsia" w:ascii="Times New Roman" w:hAnsi="宋体"/>
          <w:sz w:val="24"/>
        </w:rPr>
        <w:t>特此承诺。</w:t>
      </w:r>
    </w:p>
    <w:p>
      <w:pPr>
        <w:spacing w:line="360" w:lineRule="auto"/>
        <w:ind w:firstLine="482"/>
        <w:rPr>
          <w:rFonts w:ascii="Times New Roman" w:hAnsi="宋体"/>
          <w:sz w:val="24"/>
        </w:rPr>
      </w:pPr>
    </w:p>
    <w:p>
      <w:pPr>
        <w:spacing w:line="360" w:lineRule="auto"/>
        <w:ind w:firstLine="482"/>
        <w:rPr>
          <w:rFonts w:hint="eastAsia" w:ascii="Times New Roman" w:hAnsi="宋体"/>
          <w:sz w:val="24"/>
        </w:rPr>
      </w:pPr>
    </w:p>
    <w:p>
      <w:pPr>
        <w:spacing w:line="360" w:lineRule="auto"/>
        <w:jc w:val="right"/>
        <w:rPr>
          <w:rFonts w:hint="eastAsia"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（盖单位公章）</w:t>
      </w:r>
    </w:p>
    <w:p>
      <w:pPr>
        <w:spacing w:line="360" w:lineRule="auto"/>
        <w:jc w:val="right"/>
        <w:rPr>
          <w:rFonts w:hint="eastAsia"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（签字或盖章）</w:t>
      </w:r>
    </w:p>
    <w:p>
      <w:pPr>
        <w:spacing w:line="360" w:lineRule="auto"/>
        <w:jc w:val="right"/>
        <w:rPr>
          <w:rFonts w:hAnsi="宋体"/>
          <w:b/>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jc w:val="center"/>
        <w:rPr>
          <w:rFonts w:hAnsi="宋体"/>
          <w:b/>
          <w:sz w:val="24"/>
        </w:rPr>
      </w:pPr>
    </w:p>
    <w:p>
      <w:pPr>
        <w:spacing w:line="360" w:lineRule="auto"/>
        <w:jc w:val="center"/>
        <w:rPr>
          <w:rFonts w:hAnsi="宋体"/>
          <w:b/>
          <w:sz w:val="24"/>
        </w:rPr>
      </w:pPr>
    </w:p>
    <w:p>
      <w:pPr>
        <w:spacing w:line="360" w:lineRule="auto"/>
        <w:jc w:val="center"/>
        <w:rPr>
          <w:rFonts w:hAnsi="宋体"/>
          <w:b/>
          <w:sz w:val="24"/>
        </w:rPr>
      </w:pPr>
    </w:p>
    <w:p>
      <w:pPr>
        <w:spacing w:line="360" w:lineRule="auto"/>
        <w:jc w:val="center"/>
        <w:rPr>
          <w:rFonts w:hAnsi="宋体"/>
          <w:b/>
          <w:sz w:val="24"/>
        </w:rPr>
      </w:pPr>
    </w:p>
    <w:p>
      <w:pPr>
        <w:spacing w:line="360" w:lineRule="auto"/>
        <w:rPr>
          <w:rFonts w:hAnsi="宋体"/>
          <w:b/>
          <w:sz w:val="24"/>
        </w:rPr>
      </w:pPr>
    </w:p>
    <w:p>
      <w:pPr>
        <w:spacing w:line="360" w:lineRule="auto"/>
        <w:rPr>
          <w:rFonts w:hAnsi="宋体"/>
          <w:b/>
          <w:sz w:val="24"/>
        </w:rPr>
      </w:pPr>
      <w:r>
        <w:rPr>
          <w:rFonts w:hAnsi="宋体"/>
          <w:b/>
          <w:sz w:val="24"/>
        </w:rPr>
        <w:br w:type="page"/>
      </w:r>
      <w:r>
        <w:rPr>
          <w:rFonts w:hint="eastAsia" w:ascii="宋体" w:hAnsi="宋体"/>
          <w:b/>
          <w:bCs/>
          <w:sz w:val="28"/>
          <w:szCs w:val="28"/>
        </w:rPr>
        <w:t>附件2：“不挂靠、不转包、不违法分包”专项承诺书</w:t>
      </w:r>
    </w:p>
    <w:p>
      <w:pPr>
        <w:spacing w:line="360" w:lineRule="auto"/>
        <w:rPr>
          <w:rFonts w:hAnsi="宋体"/>
          <w:sz w:val="24"/>
        </w:rPr>
      </w:pPr>
    </w:p>
    <w:p>
      <w:pPr>
        <w:spacing w:line="360" w:lineRule="auto"/>
        <w:rPr>
          <w:rFonts w:ascii="宋体" w:hAnsi="宋体"/>
          <w:sz w:val="24"/>
          <w:u w:val="single"/>
        </w:rPr>
      </w:pPr>
      <w:r>
        <w:rPr>
          <w:rFonts w:hint="eastAsia" w:ascii="宋体" w:hAnsi="宋体"/>
          <w:sz w:val="24"/>
          <w:u w:val="single"/>
        </w:rPr>
        <w:t xml:space="preserve"> </w:t>
      </w:r>
      <w:r>
        <w:rPr>
          <w:rFonts w:ascii="宋体" w:hAnsi="宋体"/>
          <w:sz w:val="24"/>
          <w:u w:val="single"/>
        </w:rPr>
        <w:t xml:space="preserve">                 </w:t>
      </w:r>
      <w:r>
        <w:rPr>
          <w:rFonts w:hint="eastAsia"/>
          <w:sz w:val="24"/>
        </w:rPr>
        <w:t>（招标人名称）：</w:t>
      </w:r>
    </w:p>
    <w:p>
      <w:pPr>
        <w:spacing w:line="360" w:lineRule="auto"/>
        <w:ind w:firstLine="424" w:firstLineChars="177"/>
        <w:rPr>
          <w:rFonts w:ascii="宋体" w:hAnsi="宋体" w:cs="Arial"/>
          <w:b/>
          <w:sz w:val="24"/>
          <w:shd w:val="clear" w:color="auto" w:fill="FFFFFF"/>
        </w:rPr>
      </w:pPr>
      <w:r>
        <w:rPr>
          <w:rFonts w:hint="eastAsia" w:ascii="宋体" w:hAnsi="宋体"/>
          <w:sz w:val="24"/>
        </w:rPr>
        <w:t>我单位为守法经营的建筑工程施工企业，针对本次</w:t>
      </w:r>
      <w:r>
        <w:rPr>
          <w:rFonts w:hint="eastAsia" w:ascii="Times New Roman" w:hAnsi="宋体"/>
          <w:sz w:val="24"/>
          <w:u w:val="single"/>
        </w:rPr>
        <w:t xml:space="preserve">               </w:t>
      </w:r>
      <w:r>
        <w:rPr>
          <w:rFonts w:hint="eastAsia" w:ascii="Times New Roman" w:hAnsi="宋体"/>
          <w:sz w:val="24"/>
        </w:rPr>
        <w:t>（项目名称及标段名称）</w:t>
      </w:r>
      <w:r>
        <w:rPr>
          <w:rFonts w:hint="eastAsia" w:ascii="宋体" w:hAnsi="宋体"/>
          <w:sz w:val="24"/>
        </w:rPr>
        <w:t>招标项目，我公司郑重承诺：</w:t>
      </w:r>
      <w:r>
        <w:rPr>
          <w:rFonts w:ascii="宋体" w:hAnsi="宋体" w:cs="Arial"/>
          <w:b/>
          <w:sz w:val="24"/>
          <w:shd w:val="clear" w:color="auto" w:fill="FFFFFF"/>
        </w:rPr>
        <w:t>绝不</w:t>
      </w:r>
      <w:r>
        <w:rPr>
          <w:rFonts w:hint="eastAsia" w:ascii="宋体" w:hAnsi="宋体" w:cs="Arial"/>
          <w:b/>
          <w:sz w:val="24"/>
          <w:shd w:val="clear" w:color="auto" w:fill="FFFFFF"/>
        </w:rPr>
        <w:t>挂靠、不</w:t>
      </w:r>
      <w:r>
        <w:rPr>
          <w:rFonts w:ascii="宋体" w:hAnsi="宋体" w:cs="Arial"/>
          <w:b/>
          <w:sz w:val="24"/>
          <w:shd w:val="clear" w:color="auto" w:fill="FFFFFF"/>
        </w:rPr>
        <w:t>转包</w:t>
      </w:r>
      <w:r>
        <w:rPr>
          <w:rFonts w:hint="eastAsia" w:ascii="宋体" w:hAnsi="宋体" w:cs="Arial"/>
          <w:b/>
          <w:sz w:val="24"/>
          <w:shd w:val="clear" w:color="auto" w:fill="FFFFFF"/>
        </w:rPr>
        <w:t>、不</w:t>
      </w:r>
      <w:r>
        <w:rPr>
          <w:rFonts w:ascii="宋体" w:hAnsi="宋体"/>
          <w:sz w:val="24"/>
        </w:rPr>
        <w:fldChar w:fldCharType="begin"/>
      </w:r>
      <w:r>
        <w:rPr>
          <w:rFonts w:ascii="宋体" w:hAnsi="宋体"/>
          <w:sz w:val="24"/>
        </w:rPr>
        <w:instrText xml:space="preserve"> HYPERLINK "https://www.baidu.com/s?wd=%E8%BF%9D%E6%B3%95%E5%88%86%E5%8C%85&amp;tn=44039180_cpr&amp;fenlei=mv6quAkxTZn0IZRqIHckPjm4nH00T1d9PWD4n1PhuH9-PjN-PhD40AP8IA3qPjfsn1bkrjKxmLKz0ZNzUjdCIZwsrBtEXh9GuA7EQhF9pywdQhPEUiqkIyN1IA-EUBt1rjDvnW0srjf" \t "_blank" </w:instrText>
      </w:r>
      <w:r>
        <w:rPr>
          <w:rFonts w:ascii="宋体" w:hAnsi="宋体"/>
          <w:sz w:val="24"/>
        </w:rPr>
        <w:fldChar w:fldCharType="separate"/>
      </w:r>
      <w:r>
        <w:rPr>
          <w:rStyle w:val="15"/>
          <w:rFonts w:ascii="宋体" w:hAnsi="宋体" w:cs="Arial"/>
          <w:b/>
          <w:color w:val="auto"/>
          <w:sz w:val="24"/>
          <w:shd w:val="clear" w:color="auto" w:fill="FFFFFF"/>
        </w:rPr>
        <w:t>违法分包</w:t>
      </w:r>
      <w:r>
        <w:rPr>
          <w:rFonts w:ascii="宋体" w:hAnsi="宋体" w:cs="Arial"/>
          <w:b/>
          <w:sz w:val="24"/>
          <w:shd w:val="clear" w:color="auto" w:fill="FFFFFF"/>
        </w:rPr>
        <w:fldChar w:fldCharType="end"/>
      </w:r>
      <w:r>
        <w:rPr>
          <w:rFonts w:ascii="宋体" w:hAnsi="宋体" w:cs="Arial"/>
          <w:b/>
          <w:sz w:val="24"/>
          <w:shd w:val="clear" w:color="auto" w:fill="FFFFFF"/>
        </w:rPr>
        <w:t>。</w:t>
      </w:r>
    </w:p>
    <w:p>
      <w:pPr>
        <w:spacing w:line="360" w:lineRule="auto"/>
        <w:ind w:firstLine="480" w:firstLineChars="200"/>
        <w:rPr>
          <w:rFonts w:ascii="宋体" w:hAnsi="宋体"/>
          <w:sz w:val="24"/>
        </w:rPr>
      </w:pPr>
      <w:r>
        <w:rPr>
          <w:rFonts w:ascii="宋体" w:hAnsi="宋体" w:cs="Arial"/>
          <w:sz w:val="24"/>
          <w:shd w:val="clear" w:color="auto" w:fill="FFFFFF"/>
        </w:rPr>
        <w:t>若有</w:t>
      </w:r>
      <w:r>
        <w:rPr>
          <w:rFonts w:hint="eastAsia" w:ascii="宋体" w:hAnsi="宋体" w:cs="Arial"/>
          <w:sz w:val="24"/>
          <w:shd w:val="clear" w:color="auto" w:fill="FFFFFF"/>
        </w:rPr>
        <w:t>挂靠、</w:t>
      </w:r>
      <w:r>
        <w:rPr>
          <w:rFonts w:ascii="宋体" w:hAnsi="宋体" w:cs="Arial"/>
          <w:sz w:val="24"/>
          <w:shd w:val="clear" w:color="auto" w:fill="FFFFFF"/>
        </w:rPr>
        <w:t>转包或</w:t>
      </w:r>
      <w:r>
        <w:rPr>
          <w:rFonts w:ascii="宋体" w:hAnsi="宋体"/>
          <w:sz w:val="24"/>
        </w:rPr>
        <w:fldChar w:fldCharType="begin"/>
      </w:r>
      <w:r>
        <w:rPr>
          <w:rFonts w:ascii="宋体" w:hAnsi="宋体"/>
          <w:sz w:val="24"/>
        </w:rPr>
        <w:instrText xml:space="preserve"> HYPERLINK "https://www.baidu.com/s?wd=%E8%BF%9D%E6%B3%95%E5%88%86%E5%8C%85&amp;tn=44039180_cpr&amp;fenlei=mv6quAkxTZn0IZRqIHckPjm4nH00T1d9PWD4n1PhuH9-PjN-PhD40AP8IA3qPjfsn1bkrjKxmLKz0ZNzUjdCIZwsrBtEXh9GuA7EQhF9pywdQhPEUiqkIyN1IA-EUBt1rjDvnW0srjf" \t "_blank" </w:instrText>
      </w:r>
      <w:r>
        <w:rPr>
          <w:rFonts w:ascii="宋体" w:hAnsi="宋体"/>
          <w:sz w:val="24"/>
        </w:rPr>
        <w:fldChar w:fldCharType="separate"/>
      </w:r>
      <w:r>
        <w:rPr>
          <w:rStyle w:val="15"/>
          <w:rFonts w:ascii="宋体" w:hAnsi="宋体" w:cs="Arial"/>
          <w:color w:val="auto"/>
          <w:sz w:val="24"/>
          <w:shd w:val="clear" w:color="auto" w:fill="FFFFFF"/>
        </w:rPr>
        <w:t>违法分包</w:t>
      </w:r>
      <w:r>
        <w:rPr>
          <w:rFonts w:ascii="宋体" w:hAnsi="宋体" w:cs="Arial"/>
          <w:sz w:val="24"/>
          <w:shd w:val="clear" w:color="auto" w:fill="FFFFFF"/>
        </w:rPr>
        <w:fldChar w:fldCharType="end"/>
      </w:r>
      <w:r>
        <w:rPr>
          <w:rFonts w:ascii="宋体" w:hAnsi="宋体" w:cs="Arial"/>
          <w:sz w:val="24"/>
          <w:shd w:val="clear" w:color="auto" w:fill="FFFFFF"/>
        </w:rPr>
        <w:t>行为</w:t>
      </w:r>
      <w:r>
        <w:rPr>
          <w:rFonts w:hint="eastAsia" w:ascii="宋体" w:hAnsi="宋体" w:cs="Arial"/>
          <w:sz w:val="24"/>
          <w:shd w:val="clear" w:color="auto" w:fill="FFFFFF"/>
        </w:rPr>
        <w:t>愿意接受以下处罚：</w:t>
      </w:r>
    </w:p>
    <w:p>
      <w:pPr>
        <w:spacing w:line="360" w:lineRule="auto"/>
        <w:ind w:firstLine="482" w:firstLineChars="200"/>
        <w:rPr>
          <w:rFonts w:ascii="宋体" w:hAnsi="宋体" w:cs="Arial"/>
          <w:b/>
          <w:sz w:val="24"/>
        </w:rPr>
      </w:pPr>
      <w:r>
        <w:rPr>
          <w:rFonts w:ascii="宋体" w:hAnsi="宋体" w:cs="Arial"/>
          <w:b/>
          <w:sz w:val="24"/>
          <w:shd w:val="clear" w:color="auto" w:fill="FFFFFF"/>
        </w:rPr>
        <w:t>1、由招标人向市、省和国家建设等行政主管部门报告，</w:t>
      </w:r>
      <w:r>
        <w:rPr>
          <w:rFonts w:hint="eastAsia" w:ascii="宋体" w:hAnsi="宋体" w:cs="Arial"/>
          <w:b/>
          <w:sz w:val="24"/>
          <w:shd w:val="clear" w:color="auto" w:fill="FFFFFF"/>
        </w:rPr>
        <w:t>记入</w:t>
      </w:r>
      <w:r>
        <w:rPr>
          <w:rFonts w:ascii="宋体" w:hAnsi="宋体" w:cs="Arial"/>
          <w:b/>
          <w:sz w:val="24"/>
          <w:shd w:val="clear" w:color="auto" w:fill="FFFFFF"/>
        </w:rPr>
        <w:t>不良记录</w:t>
      </w:r>
      <w:r>
        <w:rPr>
          <w:rFonts w:hint="eastAsia" w:ascii="宋体" w:hAnsi="宋体" w:cs="Arial"/>
          <w:b/>
          <w:sz w:val="24"/>
          <w:shd w:val="clear" w:color="auto" w:fill="FFFFFF"/>
        </w:rPr>
        <w:t>，并愿意接受任何处理决定</w:t>
      </w:r>
      <w:r>
        <w:rPr>
          <w:rFonts w:ascii="宋体" w:hAnsi="宋体" w:cs="Arial"/>
          <w:b/>
          <w:sz w:val="24"/>
          <w:shd w:val="clear" w:color="auto" w:fill="FFFFFF"/>
        </w:rPr>
        <w:t>；</w:t>
      </w:r>
    </w:p>
    <w:p>
      <w:pPr>
        <w:spacing w:line="360" w:lineRule="auto"/>
        <w:ind w:firstLine="482" w:firstLineChars="200"/>
        <w:rPr>
          <w:rFonts w:ascii="宋体" w:hAnsi="宋体" w:cs="Arial"/>
          <w:b/>
          <w:sz w:val="24"/>
        </w:rPr>
      </w:pPr>
      <w:r>
        <w:rPr>
          <w:rFonts w:ascii="宋体" w:hAnsi="宋体" w:cs="Arial"/>
          <w:b/>
          <w:sz w:val="24"/>
          <w:shd w:val="clear" w:color="auto" w:fill="FFFFFF"/>
        </w:rPr>
        <w:t>2、投标期间没收投标保证金，合同履行期间发包人有权责令其出场、</w:t>
      </w:r>
      <w:r>
        <w:rPr>
          <w:rFonts w:hint="eastAsia" w:ascii="宋体" w:hAnsi="宋体" w:cs="Arial"/>
          <w:b/>
          <w:sz w:val="24"/>
          <w:shd w:val="clear" w:color="auto" w:fill="FFFFFF"/>
        </w:rPr>
        <w:t>没收履约保证金</w:t>
      </w:r>
      <w:r>
        <w:rPr>
          <w:rFonts w:ascii="宋体" w:hAnsi="宋体" w:cs="Arial"/>
          <w:b/>
          <w:sz w:val="24"/>
          <w:shd w:val="clear" w:color="auto" w:fill="FFFFFF"/>
        </w:rPr>
        <w:t>，并有权单方面取消承包人的中标资格，终止合同，有此产生的责任和损失均由承包人负责，发包人有权向承包人索赔</w:t>
      </w:r>
      <w:r>
        <w:rPr>
          <w:rFonts w:hint="eastAsia" w:ascii="宋体" w:hAnsi="宋体" w:cs="Arial"/>
          <w:b/>
          <w:sz w:val="24"/>
          <w:shd w:val="clear" w:color="auto" w:fill="FFFFFF"/>
        </w:rPr>
        <w:t>；</w:t>
      </w:r>
    </w:p>
    <w:p>
      <w:pPr>
        <w:spacing w:line="360" w:lineRule="auto"/>
        <w:ind w:firstLine="482" w:firstLineChars="200"/>
        <w:rPr>
          <w:rFonts w:ascii="宋体" w:hAnsi="宋体"/>
          <w:b/>
          <w:sz w:val="24"/>
        </w:rPr>
      </w:pPr>
      <w:r>
        <w:rPr>
          <w:rFonts w:ascii="宋体" w:hAnsi="宋体" w:cs="Arial"/>
          <w:b/>
          <w:sz w:val="24"/>
          <w:shd w:val="clear" w:color="auto" w:fill="FFFFFF"/>
        </w:rPr>
        <w:t>3、由招标人联系司法机关追究相关法律责任。</w:t>
      </w:r>
    </w:p>
    <w:p>
      <w:pPr>
        <w:spacing w:line="360" w:lineRule="auto"/>
        <w:ind w:firstLine="480" w:firstLineChars="200"/>
        <w:rPr>
          <w:rFonts w:ascii="宋体" w:hAnsi="宋体"/>
          <w:sz w:val="24"/>
        </w:rPr>
      </w:pPr>
    </w:p>
    <w:p>
      <w:pPr>
        <w:spacing w:line="360" w:lineRule="auto"/>
        <w:jc w:val="right"/>
        <w:rPr>
          <w:rFonts w:hint="eastAsia"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（盖单位公章）</w:t>
      </w:r>
    </w:p>
    <w:p>
      <w:pPr>
        <w:spacing w:line="360" w:lineRule="auto"/>
        <w:jc w:val="right"/>
        <w:rPr>
          <w:rFonts w:hint="eastAsia"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（签字或盖章）</w:t>
      </w:r>
    </w:p>
    <w:p>
      <w:pPr>
        <w:spacing w:line="360" w:lineRule="auto"/>
        <w:jc w:val="right"/>
        <w:rPr>
          <w:rFonts w:hAnsi="宋体"/>
          <w:b/>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hAnsi="宋体" w:cs="方正大标宋简体"/>
          <w:b/>
          <w:sz w:val="24"/>
        </w:rPr>
      </w:pPr>
    </w:p>
    <w:p>
      <w:pPr>
        <w:spacing w:line="360" w:lineRule="auto"/>
        <w:rPr>
          <w:rFonts w:ascii="宋体" w:hAnsi="宋体"/>
          <w:b/>
          <w:bCs/>
          <w:sz w:val="28"/>
          <w:szCs w:val="28"/>
        </w:rPr>
      </w:pPr>
      <w:r>
        <w:rPr>
          <w:rFonts w:hAnsi="宋体" w:cs="方正大标宋简体"/>
          <w:b/>
          <w:sz w:val="24"/>
        </w:rPr>
        <w:br w:type="page"/>
      </w:r>
      <w:r>
        <w:rPr>
          <w:rFonts w:hint="eastAsia" w:ascii="宋体" w:hAnsi="宋体"/>
          <w:b/>
          <w:bCs/>
          <w:sz w:val="28"/>
          <w:szCs w:val="28"/>
        </w:rPr>
        <w:t>附件3、关于农民工工资的承诺</w:t>
      </w:r>
    </w:p>
    <w:p>
      <w:pPr>
        <w:spacing w:line="360" w:lineRule="auto"/>
        <w:rPr>
          <w:rFonts w:hAnsi="宋体"/>
          <w:sz w:val="24"/>
        </w:rPr>
      </w:pPr>
    </w:p>
    <w:p>
      <w:pPr>
        <w:spacing w:line="360" w:lineRule="auto"/>
        <w:rPr>
          <w:rFonts w:hAnsi="宋体"/>
          <w:sz w:val="24"/>
          <w:u w:val="single"/>
        </w:rPr>
      </w:pPr>
      <w:r>
        <w:rPr>
          <w:rFonts w:hint="eastAsia" w:ascii="宋体" w:hAnsi="宋体"/>
          <w:sz w:val="24"/>
          <w:u w:val="single"/>
        </w:rPr>
        <w:t xml:space="preserve"> </w:t>
      </w:r>
      <w:r>
        <w:rPr>
          <w:rFonts w:ascii="宋体" w:hAnsi="宋体"/>
          <w:sz w:val="24"/>
          <w:u w:val="single"/>
        </w:rPr>
        <w:t xml:space="preserve">                 </w:t>
      </w:r>
      <w:r>
        <w:rPr>
          <w:rFonts w:hint="eastAsia"/>
          <w:sz w:val="24"/>
        </w:rPr>
        <w:t>（招标人名称）：</w:t>
      </w:r>
    </w:p>
    <w:p>
      <w:pPr>
        <w:spacing w:line="360" w:lineRule="auto"/>
        <w:ind w:firstLine="480" w:firstLineChars="200"/>
        <w:rPr>
          <w:rFonts w:hAnsi="宋体"/>
          <w:sz w:val="24"/>
        </w:rPr>
      </w:pPr>
      <w:r>
        <w:rPr>
          <w:rFonts w:hint="eastAsia" w:hAnsi="宋体"/>
          <w:sz w:val="24"/>
        </w:rPr>
        <w:t>我单位为守法经营的建筑工程施工企业，针对本次</w:t>
      </w:r>
      <w:r>
        <w:rPr>
          <w:rFonts w:hint="eastAsia" w:ascii="Times New Roman" w:hAnsi="宋体"/>
          <w:sz w:val="24"/>
          <w:u w:val="single"/>
        </w:rPr>
        <w:t xml:space="preserve">               </w:t>
      </w:r>
      <w:r>
        <w:rPr>
          <w:rFonts w:hint="eastAsia" w:ascii="Times New Roman" w:hAnsi="宋体"/>
          <w:sz w:val="24"/>
        </w:rPr>
        <w:t>（项目名称及标段名称）</w:t>
      </w:r>
      <w:r>
        <w:rPr>
          <w:rFonts w:hint="eastAsia" w:hAnsi="宋体"/>
          <w:sz w:val="24"/>
        </w:rPr>
        <w:t>招标项目，我公司郑重承诺：</w:t>
      </w:r>
    </w:p>
    <w:p>
      <w:pPr>
        <w:spacing w:line="360" w:lineRule="auto"/>
        <w:ind w:firstLine="480" w:firstLineChars="200"/>
        <w:rPr>
          <w:rFonts w:ascii="宋体" w:hAnsi="宋体"/>
          <w:sz w:val="24"/>
        </w:rPr>
      </w:pPr>
      <w:r>
        <w:rPr>
          <w:rFonts w:hint="eastAsia" w:ascii="宋体" w:hAnsi="宋体"/>
          <w:sz w:val="24"/>
        </w:rPr>
        <w:t xml:space="preserve">1、 </w:t>
      </w:r>
      <w:r>
        <w:rPr>
          <w:rFonts w:hint="eastAsia" w:ascii="宋体" w:hAnsi="宋体"/>
          <w:b/>
          <w:bCs/>
          <w:sz w:val="24"/>
        </w:rPr>
        <w:t>截止本工程开标之日止，本企业无拖欠农民工工资及其他职工工资，无克扣或拖欠农民工工资的不良记录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2、一旦确定本公司为该项目中标单位，我公司为保证不拖欠农民工资及其他职工工资，特作以下承诺： </w:t>
      </w:r>
    </w:p>
    <w:p>
      <w:pPr>
        <w:spacing w:line="360" w:lineRule="auto"/>
        <w:ind w:firstLine="482" w:firstLineChars="200"/>
        <w:rPr>
          <w:rFonts w:ascii="宋体" w:hAnsi="宋体"/>
          <w:b/>
          <w:bCs/>
          <w:sz w:val="24"/>
        </w:rPr>
      </w:pPr>
      <w:r>
        <w:rPr>
          <w:rFonts w:hint="eastAsia" w:ascii="宋体" w:hAnsi="宋体"/>
          <w:b/>
          <w:bCs/>
          <w:sz w:val="24"/>
        </w:rPr>
        <w:t>（1）我单位中标后，将及时、足额存入农民工工资保障金；</w:t>
      </w:r>
    </w:p>
    <w:p>
      <w:pPr>
        <w:spacing w:line="360" w:lineRule="auto"/>
        <w:ind w:firstLine="482" w:firstLineChars="200"/>
        <w:rPr>
          <w:rFonts w:ascii="宋体" w:hAnsi="宋体"/>
          <w:b/>
          <w:bCs/>
          <w:sz w:val="24"/>
        </w:rPr>
      </w:pPr>
      <w:r>
        <w:rPr>
          <w:rFonts w:hint="eastAsia" w:ascii="宋体" w:hAnsi="宋体"/>
          <w:b/>
          <w:bCs/>
          <w:sz w:val="24"/>
        </w:rPr>
        <w:t>（2）工程款优先支付农民工工资，不以任何理由拖欠农民工工资； 一旦我单位承建的建筑工程中出现拖欠职工工资情况的，可由建设行政主管部门从工资保障金中先予划支；</w:t>
      </w:r>
    </w:p>
    <w:p>
      <w:pPr>
        <w:spacing w:line="360" w:lineRule="auto"/>
        <w:ind w:firstLine="482" w:firstLineChars="200"/>
        <w:rPr>
          <w:rFonts w:ascii="宋体" w:hAnsi="宋体"/>
          <w:sz w:val="24"/>
        </w:rPr>
      </w:pPr>
      <w:r>
        <w:rPr>
          <w:rFonts w:hint="eastAsia" w:ascii="宋体" w:hAnsi="宋体"/>
          <w:b/>
          <w:bCs/>
          <w:sz w:val="24"/>
        </w:rPr>
        <w:t xml:space="preserve">（3）在工程款结算或农民工工资支付出现争议纠纷时，积极配合主管部门协调解决。 </w:t>
      </w:r>
    </w:p>
    <w:p>
      <w:pPr>
        <w:spacing w:line="360" w:lineRule="auto"/>
        <w:ind w:firstLine="480" w:firstLineChars="200"/>
        <w:rPr>
          <w:rFonts w:hAnsi="宋体"/>
          <w:sz w:val="24"/>
        </w:rPr>
      </w:pPr>
      <w:r>
        <w:rPr>
          <w:rFonts w:hint="eastAsia" w:hAnsi="宋体"/>
          <w:sz w:val="24"/>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360" w:lineRule="auto"/>
        <w:jc w:val="right"/>
        <w:rPr>
          <w:rFonts w:ascii="宋体" w:hAnsi="宋体"/>
          <w:sz w:val="24"/>
        </w:rPr>
      </w:pPr>
    </w:p>
    <w:p>
      <w:pPr>
        <w:spacing w:line="360" w:lineRule="auto"/>
        <w:jc w:val="right"/>
        <w:rPr>
          <w:rFonts w:ascii="宋体" w:hAnsi="宋体"/>
          <w:sz w:val="24"/>
        </w:rPr>
      </w:pPr>
    </w:p>
    <w:p>
      <w:pPr>
        <w:spacing w:line="360" w:lineRule="auto"/>
        <w:jc w:val="right"/>
        <w:rPr>
          <w:rFonts w:hint="eastAsia"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（盖单位公章）</w:t>
      </w:r>
    </w:p>
    <w:p>
      <w:pPr>
        <w:spacing w:line="360" w:lineRule="auto"/>
        <w:jc w:val="right"/>
        <w:rPr>
          <w:rFonts w:hint="eastAsia"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（签字或盖章）</w:t>
      </w:r>
    </w:p>
    <w:p>
      <w:pPr>
        <w:spacing w:line="360" w:lineRule="auto"/>
        <w:jc w:val="right"/>
        <w:rPr>
          <w:rFonts w:hAnsi="宋体"/>
          <w:b/>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18"/>
        <w:spacing w:line="360" w:lineRule="auto"/>
        <w:rPr>
          <w:rFonts w:hint="eastAsia"/>
          <w:color w:val="auto"/>
        </w:rPr>
      </w:pPr>
    </w:p>
    <w:p>
      <w:pPr>
        <w:pStyle w:val="18"/>
        <w:spacing w:line="360" w:lineRule="auto"/>
        <w:rPr>
          <w:rFonts w:hint="eastAsia"/>
          <w:color w:val="auto"/>
        </w:rPr>
      </w:pPr>
      <w:r>
        <w:rPr>
          <w:rFonts w:hint="eastAsia"/>
          <w:color w:val="auto"/>
        </w:rPr>
        <w:t xml:space="preserve"> </w:t>
      </w:r>
    </w:p>
    <w:p>
      <w:pPr>
        <w:pStyle w:val="7"/>
        <w:numPr>
          <w:ilvl w:val="0"/>
          <w:numId w:val="64"/>
        </w:numPr>
        <w:spacing w:before="0" w:after="0" w:line="360" w:lineRule="auto"/>
        <w:jc w:val="center"/>
        <w:rPr>
          <w:rFonts w:hint="eastAsia" w:ascii="宋体" w:hAnsi="宋体" w:eastAsia="宋体"/>
        </w:rPr>
      </w:pPr>
      <w:r>
        <w:rPr>
          <w:rFonts w:hint="eastAsia" w:ascii="宋体" w:hAnsi="宋体"/>
          <w:sz w:val="20"/>
          <w:szCs w:val="20"/>
        </w:rPr>
        <w:br w:type="page"/>
      </w:r>
      <w:bookmarkStart w:id="577" w:name="_Toc27372"/>
      <w:bookmarkEnd w:id="577"/>
      <w:bookmarkStart w:id="578" w:name="_Toc428968304"/>
      <w:bookmarkEnd w:id="578"/>
      <w:bookmarkStart w:id="579" w:name="_Toc296602998"/>
      <w:bookmarkStart w:id="580" w:name="_Toc43198915"/>
      <w:r>
        <w:rPr>
          <w:rFonts w:hint="eastAsia" w:ascii="宋体" w:hAnsi="宋体" w:eastAsia="宋体"/>
        </w:rPr>
        <w:t>投标保证金</w:t>
      </w:r>
      <w:bookmarkEnd w:id="579"/>
      <w:bookmarkEnd w:id="580"/>
    </w:p>
    <w:p>
      <w:pPr>
        <w:spacing w:line="360" w:lineRule="auto"/>
        <w:rPr>
          <w:rFonts w:ascii="宋体" w:hAnsi="宋体"/>
          <w:sz w:val="24"/>
          <w:u w:val="single"/>
        </w:rPr>
      </w:pPr>
    </w:p>
    <w:p>
      <w:pPr>
        <w:spacing w:line="360" w:lineRule="auto"/>
        <w:rPr>
          <w:rFonts w:hint="eastAsia" w:ascii="宋体" w:hAnsi="宋体"/>
          <w:sz w:val="24"/>
        </w:rPr>
      </w:pPr>
      <w:r>
        <w:rPr>
          <w:rFonts w:hint="eastAsia" w:ascii="宋体" w:hAnsi="宋体"/>
          <w:sz w:val="24"/>
          <w:u w:val="single"/>
        </w:rPr>
        <w:t xml:space="preserve">         </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 xml:space="preserve">  </w:t>
      </w:r>
      <w:r>
        <w:rPr>
          <w:rFonts w:hint="eastAsia" w:ascii="宋体" w:hAnsi="宋体"/>
          <w:sz w:val="24"/>
        </w:rPr>
        <w:t>（招标人名称）：</w:t>
      </w:r>
    </w:p>
    <w:p>
      <w:pPr>
        <w:spacing w:line="360" w:lineRule="auto"/>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我方于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日参加</w:t>
      </w:r>
      <w:r>
        <w:rPr>
          <w:rFonts w:hint="eastAsia" w:ascii="宋体" w:hAnsi="宋体"/>
          <w:sz w:val="24"/>
          <w:u w:val="single"/>
        </w:rPr>
        <w:t xml:space="preserve">             </w:t>
      </w:r>
      <w:r>
        <w:rPr>
          <w:rFonts w:hint="eastAsia" w:ascii="宋体" w:hAnsi="宋体"/>
          <w:sz w:val="24"/>
        </w:rPr>
        <w:t>（项目名称及标段名称）的投标，现保证：我方在规定的投标有效期内撤销或修改投标文件的，或者在收到中标通知书后无正当理由拒签合同或拒交规定履约担保的，投标保证金不予退还。</w:t>
      </w:r>
    </w:p>
    <w:p>
      <w:pPr>
        <w:spacing w:line="360" w:lineRule="auto"/>
        <w:rPr>
          <w:rFonts w:hint="eastAsia" w:ascii="宋体" w:hAnsi="宋体"/>
          <w:sz w:val="24"/>
        </w:rPr>
      </w:pPr>
      <w:r>
        <w:rPr>
          <w:rFonts w:hint="eastAsia" w:ascii="宋体" w:hAnsi="宋体"/>
          <w:sz w:val="24"/>
        </w:rPr>
        <w:t xml:space="preserve"> </w:t>
      </w:r>
    </w:p>
    <w:p>
      <w:pPr>
        <w:spacing w:line="360" w:lineRule="auto"/>
        <w:rPr>
          <w:rFonts w:hint="eastAsia" w:ascii="宋体" w:hAnsi="宋体"/>
          <w:sz w:val="24"/>
        </w:rPr>
      </w:pPr>
      <w:r>
        <w:rPr>
          <w:rFonts w:hint="eastAsia" w:ascii="宋体" w:hAnsi="宋体"/>
          <w:sz w:val="24"/>
        </w:rPr>
        <w:t xml:space="preserve"> </w:t>
      </w:r>
    </w:p>
    <w:p>
      <w:pPr>
        <w:spacing w:line="360" w:lineRule="auto"/>
        <w:jc w:val="right"/>
        <w:rPr>
          <w:rFonts w:hint="eastAsia" w:ascii="宋体" w:hAnsi="宋体"/>
          <w:sz w:val="24"/>
        </w:rPr>
      </w:pPr>
      <w:r>
        <w:rPr>
          <w:rFonts w:hint="eastAsia" w:ascii="宋体" w:hAnsi="宋体"/>
          <w:sz w:val="24"/>
        </w:rPr>
        <w:t>投标人名称：</w:t>
      </w:r>
      <w:r>
        <w:rPr>
          <w:rFonts w:hint="eastAsia" w:ascii="宋体" w:hAnsi="宋体"/>
          <w:sz w:val="24"/>
          <w:u w:val="single"/>
        </w:rPr>
        <w:t xml:space="preserve">                </w:t>
      </w:r>
      <w:r>
        <w:rPr>
          <w:rFonts w:hint="eastAsia" w:ascii="宋体" w:hAnsi="宋体"/>
          <w:sz w:val="24"/>
        </w:rPr>
        <w:t>（盖单位公章）</w:t>
      </w:r>
    </w:p>
    <w:p>
      <w:pPr>
        <w:spacing w:line="360" w:lineRule="auto"/>
        <w:jc w:val="right"/>
        <w:rPr>
          <w:rFonts w:hint="eastAsia"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（签字或盖章）</w:t>
      </w:r>
    </w:p>
    <w:p>
      <w:pPr>
        <w:spacing w:line="360" w:lineRule="auto"/>
        <w:jc w:val="right"/>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hint="eastAsia" w:ascii="宋体" w:hAnsi="宋体"/>
        </w:rPr>
      </w:pPr>
      <w:r>
        <w:rPr>
          <w:rFonts w:hint="eastAsia" w:ascii="宋体" w:hAnsi="宋体"/>
        </w:rPr>
        <w:t xml:space="preserve"> </w:t>
      </w:r>
    </w:p>
    <w:p>
      <w:pPr>
        <w:spacing w:line="360" w:lineRule="auto"/>
        <w:jc w:val="center"/>
        <w:rPr>
          <w:rFonts w:hint="eastAsia" w:ascii="宋体" w:hAnsi="宋体"/>
        </w:rPr>
      </w:pPr>
      <w:r>
        <w:rPr>
          <w:rFonts w:hint="eastAsia" w:ascii="宋体" w:hAnsi="宋体"/>
        </w:rPr>
        <w:t xml:space="preserve"> </w:t>
      </w:r>
    </w:p>
    <w:p>
      <w:pPr>
        <w:pStyle w:val="18"/>
        <w:spacing w:line="360" w:lineRule="auto"/>
        <w:rPr>
          <w:rFonts w:hint="eastAsia"/>
          <w:color w:val="auto"/>
        </w:rPr>
      </w:pPr>
      <w:r>
        <w:rPr>
          <w:rFonts w:hint="eastAsia"/>
          <w:color w:val="auto"/>
        </w:rPr>
        <w:t xml:space="preserve"> </w:t>
      </w:r>
    </w:p>
    <w:p>
      <w:pPr>
        <w:pStyle w:val="18"/>
        <w:spacing w:line="360" w:lineRule="auto"/>
        <w:rPr>
          <w:rFonts w:hint="eastAsia"/>
          <w:color w:val="auto"/>
        </w:rPr>
      </w:pPr>
      <w:r>
        <w:rPr>
          <w:rFonts w:hint="eastAsia"/>
          <w:color w:val="auto"/>
        </w:rPr>
        <w:t xml:space="preserve"> </w:t>
      </w:r>
    </w:p>
    <w:p>
      <w:pPr>
        <w:pStyle w:val="18"/>
        <w:spacing w:line="360" w:lineRule="auto"/>
        <w:rPr>
          <w:rFonts w:hint="eastAsia"/>
          <w:color w:val="auto"/>
        </w:rPr>
      </w:pPr>
      <w:r>
        <w:rPr>
          <w:rFonts w:hint="eastAsia"/>
          <w:color w:val="auto"/>
        </w:rPr>
        <w:t xml:space="preserve"> </w:t>
      </w:r>
    </w:p>
    <w:p>
      <w:pPr>
        <w:autoSpaceDE w:val="0"/>
        <w:autoSpaceDN w:val="0"/>
        <w:adjustRightInd w:val="0"/>
        <w:spacing w:line="420" w:lineRule="exact"/>
        <w:jc w:val="left"/>
        <w:rPr>
          <w:rFonts w:hint="eastAsia" w:hAnsi="宋体" w:cs="宋体"/>
          <w:sz w:val="24"/>
          <w:szCs w:val="24"/>
        </w:rPr>
      </w:pPr>
      <w:bookmarkStart w:id="581" w:name="_Toc247527847"/>
      <w:bookmarkEnd w:id="581"/>
      <w:bookmarkStart w:id="582" w:name="_Toc152045807"/>
      <w:bookmarkEnd w:id="582"/>
      <w:bookmarkStart w:id="583" w:name="_Toc144974875"/>
      <w:bookmarkEnd w:id="583"/>
      <w:bookmarkStart w:id="584" w:name="_Toc152042596"/>
      <w:bookmarkEnd w:id="584"/>
      <w:r>
        <w:rPr>
          <w:rFonts w:hint="eastAsia" w:hAnsi="宋体" w:cs="宋体"/>
          <w:sz w:val="24"/>
          <w:szCs w:val="24"/>
        </w:rPr>
        <w:t>附提交凭证：</w:t>
      </w:r>
    </w:p>
    <w:p>
      <w:pPr>
        <w:autoSpaceDE w:val="0"/>
        <w:autoSpaceDN w:val="0"/>
        <w:adjustRightInd w:val="0"/>
        <w:spacing w:line="420" w:lineRule="exact"/>
        <w:ind w:firstLine="480" w:firstLineChars="200"/>
        <w:jc w:val="left"/>
        <w:rPr>
          <w:rFonts w:hint="eastAsia" w:hAnsi="宋体" w:cs="宋体"/>
          <w:sz w:val="24"/>
          <w:szCs w:val="24"/>
        </w:rPr>
      </w:pPr>
      <w:r>
        <w:rPr>
          <w:rFonts w:hint="eastAsia" w:hAnsi="宋体" w:cs="宋体"/>
          <w:sz w:val="24"/>
          <w:szCs w:val="24"/>
        </w:rPr>
        <w:t>1、银行转帐、银行电汇方式的，于截止时间前通过投标人基本账户将款项一次足额递交、成功绑定，以收款人到账时间为准，在途资金无效。附本项目本标段“许昌公共资源交易中心保证金缴纳回执”。</w:t>
      </w:r>
    </w:p>
    <w:p>
      <w:pPr>
        <w:autoSpaceDE w:val="0"/>
        <w:autoSpaceDN w:val="0"/>
        <w:adjustRightInd w:val="0"/>
        <w:spacing w:line="420" w:lineRule="exact"/>
        <w:ind w:firstLine="480" w:firstLineChars="200"/>
        <w:jc w:val="left"/>
        <w:rPr>
          <w:rFonts w:hint="eastAsia" w:hAnsi="宋体" w:cs="宋体"/>
          <w:sz w:val="24"/>
          <w:szCs w:val="24"/>
        </w:rPr>
      </w:pPr>
      <w:r>
        <w:rPr>
          <w:rFonts w:hint="eastAsia" w:hAnsi="宋体" w:cs="宋体"/>
          <w:sz w:val="24"/>
          <w:szCs w:val="24"/>
        </w:rPr>
        <w:t>2、使用银行保函方式的，银行保函应明确项目名称、项目编号及标段、受益人（招标人）、有效期（不低于本项目投标有效期），银行保函担保金额（不低于本项目本标段投标保证金数额）。附真实合法的银行保函原件扫描件，否则视为未按规定提交。</w:t>
      </w:r>
    </w:p>
    <w:p>
      <w:pPr>
        <w:autoSpaceDE w:val="0"/>
        <w:autoSpaceDN w:val="0"/>
        <w:adjustRightInd w:val="0"/>
        <w:spacing w:line="420" w:lineRule="exact"/>
        <w:jc w:val="center"/>
        <w:rPr>
          <w:rFonts w:hint="eastAsia" w:hAnsi="宋体" w:cs="宋体"/>
          <w:sz w:val="24"/>
          <w:szCs w:val="24"/>
        </w:rPr>
      </w:pPr>
    </w:p>
    <w:p>
      <w:pPr>
        <w:spacing w:line="360" w:lineRule="auto"/>
        <w:rPr>
          <w:rFonts w:hint="eastAsia" w:ascii="宋体" w:hAnsi="宋体"/>
        </w:rPr>
      </w:pPr>
      <w:r>
        <w:rPr>
          <w:rFonts w:hint="eastAsia" w:ascii="宋体" w:hAnsi="宋体"/>
        </w:rPr>
        <w:t xml:space="preserve"> </w:t>
      </w:r>
    </w:p>
    <w:p>
      <w:pPr>
        <w:spacing w:line="360" w:lineRule="auto"/>
        <w:rPr>
          <w:rFonts w:hint="eastAsia" w:ascii="宋体" w:hAnsi="宋体"/>
        </w:rPr>
      </w:pPr>
      <w:bookmarkStart w:id="585" w:name="_Toc152042584"/>
      <w:bookmarkEnd w:id="585"/>
      <w:bookmarkStart w:id="586" w:name="_Toc300835218"/>
      <w:bookmarkEnd w:id="586"/>
      <w:bookmarkStart w:id="587" w:name="_Toc152045795"/>
      <w:bookmarkEnd w:id="587"/>
      <w:bookmarkStart w:id="588" w:name="_Toc247514287"/>
      <w:bookmarkEnd w:id="588"/>
      <w:bookmarkStart w:id="589" w:name="_Toc144974863"/>
      <w:bookmarkEnd w:id="589"/>
      <w:bookmarkStart w:id="590" w:name="_Toc247527835"/>
      <w:r>
        <w:rPr>
          <w:rFonts w:hint="eastAsia" w:ascii="宋体" w:hAnsi="宋体"/>
        </w:rPr>
        <w:t xml:space="preserve"> </w:t>
      </w:r>
      <w:bookmarkEnd w:id="590"/>
    </w:p>
    <w:p>
      <w:pPr>
        <w:pStyle w:val="7"/>
        <w:numPr>
          <w:ilvl w:val="0"/>
          <w:numId w:val="64"/>
        </w:numPr>
        <w:spacing w:before="0" w:after="0" w:line="360" w:lineRule="auto"/>
        <w:jc w:val="center"/>
        <w:rPr>
          <w:rFonts w:hint="eastAsia" w:ascii="宋体" w:hAnsi="宋体" w:eastAsia="宋体"/>
        </w:rPr>
      </w:pPr>
      <w:r>
        <w:rPr>
          <w:rFonts w:ascii="宋体" w:hAnsi="宋体"/>
        </w:rPr>
        <w:br w:type="page"/>
      </w:r>
      <w:bookmarkStart w:id="591" w:name="_Toc43198916"/>
      <w:r>
        <w:rPr>
          <w:rFonts w:hint="eastAsia" w:ascii="宋体" w:hAnsi="宋体" w:eastAsia="宋体"/>
        </w:rPr>
        <w:t>项目管理机构配备情况</w:t>
      </w:r>
      <w:bookmarkEnd w:id="591"/>
    </w:p>
    <w:p>
      <w:pPr>
        <w:pStyle w:val="8"/>
        <w:spacing w:before="0" w:after="0" w:line="360" w:lineRule="auto"/>
        <w:ind w:firstLine="138"/>
        <w:jc w:val="center"/>
        <w:rPr>
          <w:rFonts w:hint="eastAsia" w:ascii="宋体" w:eastAsia="宋体"/>
          <w:b/>
          <w:bCs w:val="0"/>
        </w:rPr>
      </w:pPr>
      <w:bookmarkStart w:id="592" w:name="_Toc43198917"/>
      <w:r>
        <w:rPr>
          <w:rFonts w:hint="eastAsia" w:ascii="宋体" w:eastAsia="宋体"/>
          <w:b/>
          <w:bCs w:val="0"/>
        </w:rPr>
        <w:t>（一）项目管理机构组成表</w:t>
      </w:r>
      <w:bookmarkEnd w:id="592"/>
      <w:r>
        <w:rPr>
          <w:rFonts w:hint="eastAsia" w:ascii="宋体" w:eastAsia="宋体"/>
          <w:b/>
          <w:bCs w:val="0"/>
        </w:rPr>
        <w:t xml:space="preserve"> </w:t>
      </w:r>
    </w:p>
    <w:tbl>
      <w:tblPr>
        <w:tblStyle w:val="13"/>
        <w:tblW w:w="94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1170"/>
        <w:gridCol w:w="993"/>
        <w:gridCol w:w="1197"/>
        <w:gridCol w:w="1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职务</w:t>
            </w:r>
          </w:p>
        </w:tc>
        <w:tc>
          <w:tcPr>
            <w:tcW w:w="914" w:type="dxa"/>
            <w:vMerge w:val="restart"/>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姓名</w:t>
            </w:r>
          </w:p>
        </w:tc>
        <w:tc>
          <w:tcPr>
            <w:tcW w:w="914" w:type="dxa"/>
            <w:vMerge w:val="restart"/>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职称</w:t>
            </w:r>
          </w:p>
        </w:tc>
        <w:tc>
          <w:tcPr>
            <w:tcW w:w="5710" w:type="dxa"/>
            <w:gridSpan w:val="5"/>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执业或职业资格证明</w:t>
            </w: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noWrap w:val="0"/>
            <w:vAlign w:val="center"/>
          </w:tcPr>
          <w:p>
            <w:pPr>
              <w:widowControl/>
              <w:spacing w:line="360" w:lineRule="auto"/>
              <w:jc w:val="center"/>
              <w:rPr>
                <w:rFonts w:ascii="宋体" w:hAnsi="宋体" w:cs="Calibri"/>
                <w:sz w:val="24"/>
              </w:rPr>
            </w:pPr>
          </w:p>
        </w:tc>
        <w:tc>
          <w:tcPr>
            <w:tcW w:w="914" w:type="dxa"/>
            <w:vMerge w:val="continue"/>
            <w:noWrap w:val="0"/>
            <w:vAlign w:val="center"/>
          </w:tcPr>
          <w:p>
            <w:pPr>
              <w:widowControl/>
              <w:spacing w:line="360" w:lineRule="auto"/>
              <w:jc w:val="center"/>
              <w:rPr>
                <w:rFonts w:ascii="宋体" w:hAnsi="宋体" w:cs="Calibri"/>
                <w:sz w:val="24"/>
              </w:rPr>
            </w:pPr>
          </w:p>
        </w:tc>
        <w:tc>
          <w:tcPr>
            <w:tcW w:w="914" w:type="dxa"/>
            <w:vMerge w:val="continue"/>
            <w:noWrap w:val="0"/>
            <w:vAlign w:val="center"/>
          </w:tcPr>
          <w:p>
            <w:pPr>
              <w:widowControl/>
              <w:spacing w:line="360" w:lineRule="auto"/>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证书名称</w:t>
            </w: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级别</w:t>
            </w: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证书号</w:t>
            </w: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专业</w:t>
            </w: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社保</w:t>
            </w: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914" w:type="dxa"/>
            <w:noWrap w:val="0"/>
            <w:vAlign w:val="center"/>
          </w:tcPr>
          <w:p>
            <w:pPr>
              <w:autoSpaceDE w:val="0"/>
              <w:autoSpaceDN w:val="0"/>
              <w:adjustRightInd w:val="0"/>
              <w:spacing w:line="360" w:lineRule="auto"/>
              <w:ind w:right="215"/>
              <w:jc w:val="center"/>
              <w:rPr>
                <w:rFonts w:ascii="宋体" w:hAnsi="宋体" w:cs="Calibri"/>
                <w:sz w:val="24"/>
              </w:rPr>
            </w:pPr>
          </w:p>
        </w:tc>
        <w:tc>
          <w:tcPr>
            <w:tcW w:w="1405" w:type="dxa"/>
            <w:noWrap w:val="0"/>
            <w:vAlign w:val="center"/>
          </w:tcPr>
          <w:p>
            <w:pPr>
              <w:autoSpaceDE w:val="0"/>
              <w:autoSpaceDN w:val="0"/>
              <w:adjustRightInd w:val="0"/>
              <w:spacing w:line="360" w:lineRule="auto"/>
              <w:ind w:right="215"/>
              <w:jc w:val="center"/>
              <w:rPr>
                <w:rFonts w:ascii="宋体" w:hAnsi="宋体" w:cs="Calibri"/>
                <w:sz w:val="24"/>
              </w:rPr>
            </w:pPr>
          </w:p>
        </w:tc>
        <w:tc>
          <w:tcPr>
            <w:tcW w:w="945" w:type="dxa"/>
            <w:noWrap w:val="0"/>
            <w:vAlign w:val="center"/>
          </w:tcPr>
          <w:p>
            <w:pPr>
              <w:autoSpaceDE w:val="0"/>
              <w:autoSpaceDN w:val="0"/>
              <w:adjustRightInd w:val="0"/>
              <w:spacing w:line="360" w:lineRule="auto"/>
              <w:ind w:right="215"/>
              <w:jc w:val="center"/>
              <w:rPr>
                <w:rFonts w:ascii="宋体" w:hAnsi="宋体" w:cs="Calibri"/>
                <w:sz w:val="24"/>
              </w:rPr>
            </w:pPr>
          </w:p>
        </w:tc>
        <w:tc>
          <w:tcPr>
            <w:tcW w:w="1170" w:type="dxa"/>
            <w:noWrap w:val="0"/>
            <w:vAlign w:val="center"/>
          </w:tcPr>
          <w:p>
            <w:pPr>
              <w:autoSpaceDE w:val="0"/>
              <w:autoSpaceDN w:val="0"/>
              <w:adjustRightInd w:val="0"/>
              <w:spacing w:line="360" w:lineRule="auto"/>
              <w:ind w:right="215"/>
              <w:jc w:val="center"/>
              <w:rPr>
                <w:rFonts w:ascii="宋体" w:hAnsi="宋体" w:cs="Calibri"/>
                <w:sz w:val="24"/>
              </w:rPr>
            </w:pPr>
          </w:p>
        </w:tc>
        <w:tc>
          <w:tcPr>
            <w:tcW w:w="993" w:type="dxa"/>
            <w:noWrap w:val="0"/>
            <w:vAlign w:val="center"/>
          </w:tcPr>
          <w:p>
            <w:pPr>
              <w:autoSpaceDE w:val="0"/>
              <w:autoSpaceDN w:val="0"/>
              <w:adjustRightInd w:val="0"/>
              <w:spacing w:line="360" w:lineRule="auto"/>
              <w:ind w:right="215"/>
              <w:jc w:val="center"/>
              <w:rPr>
                <w:rFonts w:ascii="宋体" w:hAnsi="宋体" w:cs="Calibri"/>
                <w:sz w:val="24"/>
              </w:rPr>
            </w:pPr>
          </w:p>
        </w:tc>
        <w:tc>
          <w:tcPr>
            <w:tcW w:w="1197" w:type="dxa"/>
            <w:noWrap w:val="0"/>
            <w:vAlign w:val="center"/>
          </w:tcPr>
          <w:p>
            <w:pPr>
              <w:autoSpaceDE w:val="0"/>
              <w:autoSpaceDN w:val="0"/>
              <w:adjustRightInd w:val="0"/>
              <w:spacing w:line="360" w:lineRule="auto"/>
              <w:ind w:right="215"/>
              <w:jc w:val="center"/>
              <w:rPr>
                <w:rFonts w:ascii="宋体" w:hAnsi="宋体" w:cs="Calibri"/>
                <w:sz w:val="24"/>
              </w:rPr>
            </w:pPr>
          </w:p>
        </w:tc>
        <w:tc>
          <w:tcPr>
            <w:tcW w:w="1036" w:type="dxa"/>
            <w:noWrap w:val="0"/>
            <w:vAlign w:val="center"/>
          </w:tcPr>
          <w:p>
            <w:pPr>
              <w:autoSpaceDE w:val="0"/>
              <w:autoSpaceDN w:val="0"/>
              <w:adjustRightInd w:val="0"/>
              <w:spacing w:line="360" w:lineRule="auto"/>
              <w:ind w:right="215"/>
              <w:jc w:val="center"/>
              <w:rPr>
                <w:rFonts w:ascii="宋体" w:hAnsi="宋体" w:cs="Calibri"/>
                <w:sz w:val="24"/>
              </w:rPr>
            </w:pPr>
          </w:p>
        </w:tc>
      </w:tr>
    </w:tbl>
    <w:p>
      <w:pPr>
        <w:autoSpaceDE w:val="0"/>
        <w:autoSpaceDN w:val="0"/>
        <w:adjustRightInd w:val="0"/>
        <w:spacing w:line="360" w:lineRule="auto"/>
        <w:ind w:right="215"/>
        <w:rPr>
          <w:rFonts w:hint="eastAsia" w:ascii="宋体" w:hAnsi="宋体" w:cs="Calibri"/>
          <w:szCs w:val="21"/>
        </w:rPr>
      </w:pPr>
      <w:r>
        <w:rPr>
          <w:rFonts w:hint="eastAsia" w:ascii="宋体" w:hAnsi="宋体"/>
        </w:rPr>
        <w:t xml:space="preserve"> </w:t>
      </w:r>
    </w:p>
    <w:p>
      <w:pPr>
        <w:pStyle w:val="8"/>
        <w:spacing w:before="0" w:after="0" w:line="360" w:lineRule="auto"/>
        <w:ind w:firstLine="138"/>
        <w:jc w:val="center"/>
        <w:rPr>
          <w:rFonts w:hint="eastAsia" w:ascii="宋体" w:eastAsia="宋体"/>
          <w:b/>
          <w:bCs w:val="0"/>
        </w:rPr>
      </w:pPr>
      <w:r>
        <w:rPr>
          <w:rFonts w:hint="eastAsia" w:ascii="宋体"/>
          <w:b/>
          <w:bCs w:val="0"/>
        </w:rPr>
        <w:br w:type="page"/>
      </w:r>
      <w:bookmarkStart w:id="593" w:name="_Toc43198918"/>
      <w:r>
        <w:rPr>
          <w:rFonts w:hint="eastAsia" w:ascii="宋体" w:eastAsia="宋体"/>
          <w:b/>
          <w:bCs w:val="0"/>
        </w:rPr>
        <w:t>（二）主要人员简历表</w:t>
      </w:r>
      <w:bookmarkEnd w:id="593"/>
    </w:p>
    <w:p>
      <w:pPr>
        <w:spacing w:after="156" w:afterLines="50" w:line="360" w:lineRule="auto"/>
        <w:jc w:val="left"/>
        <w:rPr>
          <w:rFonts w:hint="eastAsia" w:ascii="宋体" w:hAnsi="宋体"/>
          <w:b/>
          <w:bCs/>
          <w:sz w:val="28"/>
          <w:szCs w:val="28"/>
        </w:rPr>
      </w:pPr>
      <w:r>
        <w:rPr>
          <w:rFonts w:hint="eastAsia" w:ascii="宋体" w:hAnsi="宋体"/>
          <w:b/>
          <w:bCs/>
          <w:sz w:val="24"/>
        </w:rPr>
        <w:t>附1：项目经理简历表</w:t>
      </w:r>
    </w:p>
    <w:p>
      <w:pPr>
        <w:spacing w:line="360" w:lineRule="auto"/>
        <w:ind w:firstLine="424" w:firstLineChars="177"/>
        <w:rPr>
          <w:rFonts w:hint="eastAsia" w:hAnsi="宋体" w:cs="宋体"/>
          <w:sz w:val="24"/>
        </w:rPr>
      </w:pPr>
      <w:r>
        <w:rPr>
          <w:rFonts w:hint="eastAsia" w:hAnsi="宋体" w:cs="宋体"/>
          <w:sz w:val="24"/>
        </w:rPr>
        <w:t>项目经理应附项目经理身份证、项目经理执业资格证书、注册证书、和安全生产考核合格证，职称证书（如有）、养老保险复印件或扫描件及未担任其他在施建设工程项目项目经理的承诺书，管理过的项目业绩须附合同协议书、中标通知书、中标公示网页截图复印件或扫描件。类似项目限于以项目经理身份参与的项目。</w:t>
      </w:r>
    </w:p>
    <w:tbl>
      <w:tblPr>
        <w:tblStyle w:val="13"/>
        <w:tblW w:w="93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01"/>
        <w:gridCol w:w="1204"/>
        <w:gridCol w:w="1355"/>
        <w:gridCol w:w="1959"/>
        <w:gridCol w:w="25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32" w:type="dxa"/>
            <w:noWrap w:val="0"/>
            <w:vAlign w:val="center"/>
          </w:tcPr>
          <w:p>
            <w:pPr>
              <w:spacing w:line="360" w:lineRule="auto"/>
              <w:jc w:val="center"/>
              <w:rPr>
                <w:rFonts w:ascii="宋体" w:hAnsi="宋体" w:cs="Calibri"/>
                <w:sz w:val="24"/>
              </w:rPr>
            </w:pPr>
            <w:r>
              <w:rPr>
                <w:rFonts w:hint="eastAsia" w:ascii="宋体" w:hAnsi="宋体"/>
                <w:sz w:val="24"/>
              </w:rPr>
              <w:t>姓  名</w:t>
            </w:r>
          </w:p>
        </w:tc>
        <w:tc>
          <w:tcPr>
            <w:tcW w:w="1101" w:type="dxa"/>
            <w:noWrap w:val="0"/>
            <w:vAlign w:val="center"/>
          </w:tcPr>
          <w:p>
            <w:pPr>
              <w:spacing w:line="360" w:lineRule="auto"/>
              <w:jc w:val="center"/>
              <w:rPr>
                <w:rFonts w:ascii="宋体" w:hAnsi="宋体" w:cs="Calibri"/>
                <w:sz w:val="24"/>
              </w:rPr>
            </w:pPr>
          </w:p>
        </w:tc>
        <w:tc>
          <w:tcPr>
            <w:tcW w:w="1204" w:type="dxa"/>
            <w:noWrap w:val="0"/>
            <w:vAlign w:val="center"/>
          </w:tcPr>
          <w:p>
            <w:pPr>
              <w:spacing w:line="360" w:lineRule="auto"/>
              <w:jc w:val="center"/>
              <w:rPr>
                <w:rFonts w:ascii="宋体" w:hAnsi="宋体" w:cs="Calibri"/>
                <w:sz w:val="24"/>
              </w:rPr>
            </w:pPr>
            <w:r>
              <w:rPr>
                <w:rFonts w:hint="eastAsia" w:ascii="宋体" w:hAnsi="宋体"/>
                <w:sz w:val="24"/>
              </w:rPr>
              <w:t>年  龄</w:t>
            </w:r>
          </w:p>
        </w:tc>
        <w:tc>
          <w:tcPr>
            <w:tcW w:w="1355" w:type="dxa"/>
            <w:noWrap w:val="0"/>
            <w:vAlign w:val="center"/>
          </w:tcPr>
          <w:p>
            <w:pPr>
              <w:spacing w:line="360" w:lineRule="auto"/>
              <w:jc w:val="center"/>
              <w:rPr>
                <w:rFonts w:ascii="宋体" w:hAnsi="宋体" w:cs="Calibri"/>
                <w:sz w:val="24"/>
              </w:rPr>
            </w:pPr>
          </w:p>
        </w:tc>
        <w:tc>
          <w:tcPr>
            <w:tcW w:w="1959" w:type="dxa"/>
            <w:noWrap w:val="0"/>
            <w:vAlign w:val="center"/>
          </w:tcPr>
          <w:p>
            <w:pPr>
              <w:spacing w:line="360" w:lineRule="auto"/>
              <w:jc w:val="center"/>
              <w:rPr>
                <w:rFonts w:ascii="宋体" w:hAnsi="宋体" w:cs="Calibri"/>
                <w:sz w:val="24"/>
              </w:rPr>
            </w:pPr>
            <w:r>
              <w:rPr>
                <w:rFonts w:hint="eastAsia" w:ascii="宋体" w:hAnsi="宋体"/>
                <w:sz w:val="24"/>
              </w:rPr>
              <w:t>学历</w:t>
            </w:r>
          </w:p>
        </w:tc>
        <w:tc>
          <w:tcPr>
            <w:tcW w:w="2518" w:type="dxa"/>
            <w:noWrap w:val="0"/>
            <w:vAlign w:val="center"/>
          </w:tcPr>
          <w:p>
            <w:pPr>
              <w:spacing w:line="360" w:lineRule="auto"/>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32" w:type="dxa"/>
            <w:noWrap w:val="0"/>
            <w:vAlign w:val="center"/>
          </w:tcPr>
          <w:p>
            <w:pPr>
              <w:spacing w:line="360" w:lineRule="auto"/>
              <w:jc w:val="center"/>
              <w:rPr>
                <w:rFonts w:ascii="宋体" w:hAnsi="宋体" w:cs="Calibri"/>
                <w:sz w:val="24"/>
              </w:rPr>
            </w:pPr>
            <w:r>
              <w:rPr>
                <w:rFonts w:hint="eastAsia" w:ascii="宋体" w:hAnsi="宋体"/>
                <w:sz w:val="24"/>
              </w:rPr>
              <w:t>职  称</w:t>
            </w:r>
          </w:p>
        </w:tc>
        <w:tc>
          <w:tcPr>
            <w:tcW w:w="1101" w:type="dxa"/>
            <w:noWrap w:val="0"/>
            <w:vAlign w:val="center"/>
          </w:tcPr>
          <w:p>
            <w:pPr>
              <w:spacing w:line="360" w:lineRule="auto"/>
              <w:jc w:val="center"/>
              <w:rPr>
                <w:rFonts w:ascii="宋体" w:hAnsi="宋体" w:cs="Calibri"/>
                <w:sz w:val="24"/>
              </w:rPr>
            </w:pPr>
          </w:p>
        </w:tc>
        <w:tc>
          <w:tcPr>
            <w:tcW w:w="1204" w:type="dxa"/>
            <w:noWrap w:val="0"/>
            <w:vAlign w:val="center"/>
          </w:tcPr>
          <w:p>
            <w:pPr>
              <w:spacing w:line="360" w:lineRule="auto"/>
              <w:jc w:val="center"/>
              <w:rPr>
                <w:rFonts w:ascii="宋体" w:hAnsi="宋体" w:cs="Calibri"/>
                <w:sz w:val="24"/>
              </w:rPr>
            </w:pPr>
            <w:r>
              <w:rPr>
                <w:rFonts w:hint="eastAsia" w:ascii="宋体" w:hAnsi="宋体"/>
                <w:sz w:val="24"/>
              </w:rPr>
              <w:t>职  务</w:t>
            </w:r>
          </w:p>
        </w:tc>
        <w:tc>
          <w:tcPr>
            <w:tcW w:w="1355" w:type="dxa"/>
            <w:noWrap w:val="0"/>
            <w:vAlign w:val="center"/>
          </w:tcPr>
          <w:p>
            <w:pPr>
              <w:spacing w:line="360" w:lineRule="auto"/>
              <w:jc w:val="center"/>
              <w:rPr>
                <w:rFonts w:ascii="宋体" w:hAnsi="宋体" w:cs="Calibri"/>
                <w:sz w:val="24"/>
              </w:rPr>
            </w:pPr>
          </w:p>
        </w:tc>
        <w:tc>
          <w:tcPr>
            <w:tcW w:w="1959" w:type="dxa"/>
            <w:noWrap w:val="0"/>
            <w:vAlign w:val="center"/>
          </w:tcPr>
          <w:p>
            <w:pPr>
              <w:spacing w:line="360" w:lineRule="auto"/>
              <w:jc w:val="center"/>
              <w:rPr>
                <w:rFonts w:ascii="宋体" w:hAnsi="宋体" w:cs="Calibri"/>
                <w:sz w:val="24"/>
              </w:rPr>
            </w:pPr>
            <w:r>
              <w:rPr>
                <w:rFonts w:hint="eastAsia" w:ascii="宋体" w:hAnsi="宋体"/>
                <w:sz w:val="24"/>
              </w:rPr>
              <w:t>拟在本工程任职</w:t>
            </w:r>
          </w:p>
        </w:tc>
        <w:tc>
          <w:tcPr>
            <w:tcW w:w="2518" w:type="dxa"/>
            <w:noWrap w:val="0"/>
            <w:vAlign w:val="center"/>
          </w:tcPr>
          <w:p>
            <w:pPr>
              <w:spacing w:line="360" w:lineRule="auto"/>
              <w:jc w:val="center"/>
              <w:rPr>
                <w:rFonts w:hint="eastAsia" w:ascii="宋体" w:hAnsi="宋体" w:cs="Calibri"/>
                <w:sz w:val="24"/>
              </w:rPr>
            </w:pPr>
            <w:r>
              <w:rPr>
                <w:rFonts w:hint="eastAsia" w:ascii="宋体" w:hAnsi="宋体"/>
                <w:sz w:val="24"/>
              </w:rPr>
              <w:t>项目经理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37" w:type="dxa"/>
            <w:gridSpan w:val="3"/>
            <w:noWrap w:val="0"/>
            <w:vAlign w:val="center"/>
          </w:tcPr>
          <w:p>
            <w:pPr>
              <w:spacing w:line="360" w:lineRule="auto"/>
              <w:jc w:val="center"/>
              <w:rPr>
                <w:rFonts w:ascii="宋体" w:hAnsi="宋体" w:cs="Calibri"/>
                <w:sz w:val="24"/>
              </w:rPr>
            </w:pPr>
            <w:r>
              <w:rPr>
                <w:rFonts w:hint="eastAsia" w:ascii="宋体" w:hAnsi="宋体"/>
                <w:sz w:val="24"/>
              </w:rPr>
              <w:t>注册建造师执业资格等级</w:t>
            </w:r>
          </w:p>
        </w:tc>
        <w:tc>
          <w:tcPr>
            <w:tcW w:w="1355" w:type="dxa"/>
            <w:noWrap w:val="0"/>
            <w:vAlign w:val="center"/>
          </w:tcPr>
          <w:p>
            <w:pPr>
              <w:spacing w:line="360" w:lineRule="auto"/>
              <w:jc w:val="center"/>
              <w:rPr>
                <w:rFonts w:ascii="宋体" w:hAnsi="宋体" w:cs="Calibri"/>
                <w:sz w:val="24"/>
              </w:rPr>
            </w:pPr>
            <w:r>
              <w:rPr>
                <w:rFonts w:hint="eastAsia" w:ascii="宋体" w:hAnsi="宋体"/>
                <w:sz w:val="24"/>
              </w:rPr>
              <w:t xml:space="preserve">      级</w:t>
            </w:r>
          </w:p>
        </w:tc>
        <w:tc>
          <w:tcPr>
            <w:tcW w:w="1959" w:type="dxa"/>
            <w:noWrap w:val="0"/>
            <w:vAlign w:val="center"/>
          </w:tcPr>
          <w:p>
            <w:pPr>
              <w:spacing w:line="360" w:lineRule="auto"/>
              <w:jc w:val="center"/>
              <w:rPr>
                <w:rFonts w:ascii="宋体" w:hAnsi="宋体" w:cs="Calibri"/>
                <w:sz w:val="24"/>
              </w:rPr>
            </w:pPr>
            <w:r>
              <w:rPr>
                <w:rFonts w:hint="eastAsia" w:ascii="宋体" w:hAnsi="宋体"/>
                <w:sz w:val="24"/>
              </w:rPr>
              <w:t>建造师专业</w:t>
            </w:r>
          </w:p>
        </w:tc>
        <w:tc>
          <w:tcPr>
            <w:tcW w:w="2518" w:type="dxa"/>
            <w:noWrap w:val="0"/>
            <w:vAlign w:val="center"/>
          </w:tcPr>
          <w:p>
            <w:pPr>
              <w:spacing w:line="360" w:lineRule="auto"/>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37" w:type="dxa"/>
            <w:gridSpan w:val="3"/>
            <w:noWrap w:val="0"/>
            <w:vAlign w:val="center"/>
          </w:tcPr>
          <w:p>
            <w:pPr>
              <w:spacing w:line="360" w:lineRule="auto"/>
              <w:jc w:val="center"/>
              <w:rPr>
                <w:rFonts w:ascii="宋体" w:hAnsi="宋体" w:cs="Calibri"/>
                <w:sz w:val="24"/>
              </w:rPr>
            </w:pPr>
            <w:r>
              <w:rPr>
                <w:rFonts w:hint="eastAsia" w:ascii="宋体" w:hAnsi="宋体"/>
                <w:sz w:val="24"/>
              </w:rPr>
              <w:t>安全生产考核合格证书</w:t>
            </w:r>
          </w:p>
        </w:tc>
        <w:tc>
          <w:tcPr>
            <w:tcW w:w="5832" w:type="dxa"/>
            <w:gridSpan w:val="3"/>
            <w:noWrap w:val="0"/>
            <w:vAlign w:val="center"/>
          </w:tcPr>
          <w:p>
            <w:pPr>
              <w:spacing w:line="360" w:lineRule="auto"/>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32" w:type="dxa"/>
            <w:noWrap w:val="0"/>
            <w:vAlign w:val="center"/>
          </w:tcPr>
          <w:p>
            <w:pPr>
              <w:spacing w:line="360" w:lineRule="auto"/>
              <w:jc w:val="center"/>
              <w:rPr>
                <w:rFonts w:ascii="宋体" w:hAnsi="宋体" w:cs="Calibri"/>
                <w:sz w:val="24"/>
              </w:rPr>
            </w:pPr>
            <w:r>
              <w:rPr>
                <w:rFonts w:hint="eastAsia" w:ascii="宋体" w:hAnsi="宋体"/>
                <w:sz w:val="24"/>
              </w:rPr>
              <w:t>毕业学校</w:t>
            </w:r>
          </w:p>
        </w:tc>
        <w:tc>
          <w:tcPr>
            <w:tcW w:w="8137" w:type="dxa"/>
            <w:gridSpan w:val="5"/>
            <w:noWrap w:val="0"/>
            <w:vAlign w:val="center"/>
          </w:tcPr>
          <w:p>
            <w:pPr>
              <w:spacing w:line="360" w:lineRule="auto"/>
              <w:ind w:firstLine="960" w:firstLineChars="400"/>
              <w:rPr>
                <w:rFonts w:ascii="宋体" w:hAnsi="宋体" w:cs="Calibri"/>
                <w:sz w:val="24"/>
              </w:rPr>
            </w:pPr>
            <w:r>
              <w:rPr>
                <w:rFonts w:hint="eastAsia" w:ascii="宋体" w:hAnsi="宋体"/>
                <w:sz w:val="24"/>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369" w:type="dxa"/>
            <w:gridSpan w:val="6"/>
            <w:noWrap w:val="0"/>
            <w:vAlign w:val="center"/>
          </w:tcPr>
          <w:p>
            <w:pPr>
              <w:spacing w:line="360" w:lineRule="auto"/>
              <w:jc w:val="center"/>
              <w:rPr>
                <w:rFonts w:ascii="宋体" w:hAnsi="宋体" w:cs="Calibri"/>
                <w:sz w:val="24"/>
              </w:rPr>
            </w:pPr>
            <w:r>
              <w:rPr>
                <w:rFonts w:hint="eastAsia" w:ascii="宋体" w:hAnsi="宋体"/>
                <w:sz w:val="24"/>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32" w:type="dxa"/>
            <w:noWrap w:val="0"/>
            <w:vAlign w:val="center"/>
          </w:tcPr>
          <w:p>
            <w:pPr>
              <w:spacing w:line="360" w:lineRule="auto"/>
              <w:jc w:val="center"/>
              <w:rPr>
                <w:rFonts w:ascii="宋体" w:hAnsi="宋体" w:cs="Calibri"/>
                <w:sz w:val="24"/>
              </w:rPr>
            </w:pPr>
            <w:r>
              <w:rPr>
                <w:rFonts w:hint="eastAsia" w:ascii="宋体" w:hAnsi="宋体"/>
                <w:sz w:val="24"/>
              </w:rPr>
              <w:t>时  间</w:t>
            </w:r>
          </w:p>
        </w:tc>
        <w:tc>
          <w:tcPr>
            <w:tcW w:w="3660" w:type="dxa"/>
            <w:gridSpan w:val="3"/>
            <w:noWrap w:val="0"/>
            <w:vAlign w:val="center"/>
          </w:tcPr>
          <w:p>
            <w:pPr>
              <w:spacing w:line="360" w:lineRule="auto"/>
              <w:jc w:val="center"/>
              <w:rPr>
                <w:rFonts w:ascii="宋体" w:hAnsi="宋体" w:cs="Calibri"/>
                <w:sz w:val="24"/>
              </w:rPr>
            </w:pPr>
            <w:r>
              <w:rPr>
                <w:rFonts w:hint="eastAsia" w:ascii="宋体" w:hAnsi="宋体"/>
                <w:sz w:val="24"/>
              </w:rPr>
              <w:t>参加过的类似项目名称</w:t>
            </w:r>
          </w:p>
        </w:tc>
        <w:tc>
          <w:tcPr>
            <w:tcW w:w="1959" w:type="dxa"/>
            <w:noWrap w:val="0"/>
            <w:vAlign w:val="center"/>
          </w:tcPr>
          <w:p>
            <w:pPr>
              <w:spacing w:line="360" w:lineRule="auto"/>
              <w:jc w:val="center"/>
              <w:rPr>
                <w:rFonts w:ascii="宋体" w:hAnsi="宋体" w:cs="Calibri"/>
                <w:sz w:val="24"/>
              </w:rPr>
            </w:pPr>
            <w:r>
              <w:rPr>
                <w:rFonts w:hint="eastAsia" w:ascii="宋体" w:hAnsi="宋体"/>
                <w:sz w:val="24"/>
              </w:rPr>
              <w:t>工程概况说明</w:t>
            </w:r>
          </w:p>
        </w:tc>
        <w:tc>
          <w:tcPr>
            <w:tcW w:w="2518" w:type="dxa"/>
            <w:noWrap w:val="0"/>
            <w:vAlign w:val="center"/>
          </w:tcPr>
          <w:p>
            <w:pPr>
              <w:spacing w:line="360" w:lineRule="auto"/>
              <w:jc w:val="center"/>
              <w:rPr>
                <w:rFonts w:ascii="宋体" w:hAnsi="宋体" w:cs="Calibri"/>
                <w:sz w:val="24"/>
              </w:rPr>
            </w:pPr>
            <w:r>
              <w:rPr>
                <w:rFonts w:hint="eastAsia" w:ascii="宋体" w:hAnsi="宋体"/>
                <w:sz w:val="24"/>
              </w:rPr>
              <w:t>本项目中任职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32" w:type="dxa"/>
            <w:noWrap w:val="0"/>
            <w:vAlign w:val="center"/>
          </w:tcPr>
          <w:p>
            <w:pPr>
              <w:spacing w:line="360" w:lineRule="auto"/>
              <w:jc w:val="center"/>
              <w:rPr>
                <w:rFonts w:ascii="宋体" w:hAnsi="宋体" w:cs="Calibri"/>
                <w:sz w:val="24"/>
              </w:rPr>
            </w:pPr>
          </w:p>
        </w:tc>
        <w:tc>
          <w:tcPr>
            <w:tcW w:w="3660" w:type="dxa"/>
            <w:gridSpan w:val="3"/>
            <w:noWrap w:val="0"/>
            <w:vAlign w:val="center"/>
          </w:tcPr>
          <w:p>
            <w:pPr>
              <w:spacing w:line="360" w:lineRule="auto"/>
              <w:jc w:val="center"/>
              <w:rPr>
                <w:rFonts w:ascii="宋体" w:hAnsi="宋体" w:cs="Calibri"/>
                <w:sz w:val="24"/>
              </w:rPr>
            </w:pPr>
          </w:p>
        </w:tc>
        <w:tc>
          <w:tcPr>
            <w:tcW w:w="1959" w:type="dxa"/>
            <w:noWrap w:val="0"/>
            <w:vAlign w:val="center"/>
          </w:tcPr>
          <w:p>
            <w:pPr>
              <w:spacing w:line="360" w:lineRule="auto"/>
              <w:jc w:val="center"/>
              <w:rPr>
                <w:rFonts w:ascii="宋体" w:hAnsi="宋体" w:cs="Calibri"/>
                <w:sz w:val="24"/>
              </w:rPr>
            </w:pPr>
          </w:p>
        </w:tc>
        <w:tc>
          <w:tcPr>
            <w:tcW w:w="2518" w:type="dxa"/>
            <w:noWrap w:val="0"/>
            <w:vAlign w:val="center"/>
          </w:tcPr>
          <w:p>
            <w:pPr>
              <w:spacing w:line="360" w:lineRule="auto"/>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32" w:type="dxa"/>
            <w:noWrap w:val="0"/>
            <w:vAlign w:val="center"/>
          </w:tcPr>
          <w:p>
            <w:pPr>
              <w:spacing w:line="360" w:lineRule="auto"/>
              <w:jc w:val="center"/>
              <w:rPr>
                <w:rFonts w:ascii="宋体" w:hAnsi="宋体" w:cs="Calibri"/>
                <w:sz w:val="24"/>
              </w:rPr>
            </w:pPr>
          </w:p>
        </w:tc>
        <w:tc>
          <w:tcPr>
            <w:tcW w:w="3660" w:type="dxa"/>
            <w:gridSpan w:val="3"/>
            <w:noWrap w:val="0"/>
            <w:vAlign w:val="center"/>
          </w:tcPr>
          <w:p>
            <w:pPr>
              <w:spacing w:line="360" w:lineRule="auto"/>
              <w:jc w:val="center"/>
              <w:rPr>
                <w:rFonts w:ascii="宋体" w:hAnsi="宋体" w:cs="Calibri"/>
                <w:sz w:val="24"/>
              </w:rPr>
            </w:pPr>
          </w:p>
        </w:tc>
        <w:tc>
          <w:tcPr>
            <w:tcW w:w="1959" w:type="dxa"/>
            <w:noWrap w:val="0"/>
            <w:vAlign w:val="center"/>
          </w:tcPr>
          <w:p>
            <w:pPr>
              <w:spacing w:line="360" w:lineRule="auto"/>
              <w:jc w:val="center"/>
              <w:rPr>
                <w:rFonts w:ascii="宋体" w:hAnsi="宋体" w:cs="Calibri"/>
                <w:sz w:val="24"/>
              </w:rPr>
            </w:pPr>
          </w:p>
        </w:tc>
        <w:tc>
          <w:tcPr>
            <w:tcW w:w="2518" w:type="dxa"/>
            <w:noWrap w:val="0"/>
            <w:vAlign w:val="center"/>
          </w:tcPr>
          <w:p>
            <w:pPr>
              <w:spacing w:line="360" w:lineRule="auto"/>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32" w:type="dxa"/>
            <w:noWrap w:val="0"/>
            <w:vAlign w:val="center"/>
          </w:tcPr>
          <w:p>
            <w:pPr>
              <w:spacing w:line="360" w:lineRule="auto"/>
              <w:jc w:val="center"/>
              <w:rPr>
                <w:rFonts w:ascii="宋体" w:hAnsi="宋体" w:cs="Calibri"/>
                <w:sz w:val="24"/>
              </w:rPr>
            </w:pPr>
          </w:p>
        </w:tc>
        <w:tc>
          <w:tcPr>
            <w:tcW w:w="3660" w:type="dxa"/>
            <w:gridSpan w:val="3"/>
            <w:noWrap w:val="0"/>
            <w:vAlign w:val="center"/>
          </w:tcPr>
          <w:p>
            <w:pPr>
              <w:spacing w:line="360" w:lineRule="auto"/>
              <w:jc w:val="center"/>
              <w:rPr>
                <w:rFonts w:ascii="宋体" w:hAnsi="宋体" w:cs="Calibri"/>
                <w:sz w:val="24"/>
              </w:rPr>
            </w:pPr>
          </w:p>
        </w:tc>
        <w:tc>
          <w:tcPr>
            <w:tcW w:w="1959" w:type="dxa"/>
            <w:noWrap w:val="0"/>
            <w:vAlign w:val="center"/>
          </w:tcPr>
          <w:p>
            <w:pPr>
              <w:spacing w:line="360" w:lineRule="auto"/>
              <w:jc w:val="center"/>
              <w:rPr>
                <w:rFonts w:ascii="宋体" w:hAnsi="宋体" w:cs="Calibri"/>
                <w:sz w:val="24"/>
              </w:rPr>
            </w:pPr>
          </w:p>
        </w:tc>
        <w:tc>
          <w:tcPr>
            <w:tcW w:w="2518" w:type="dxa"/>
            <w:noWrap w:val="0"/>
            <w:vAlign w:val="center"/>
          </w:tcPr>
          <w:p>
            <w:pPr>
              <w:spacing w:line="360" w:lineRule="auto"/>
              <w:jc w:val="center"/>
              <w:rPr>
                <w:rFonts w:ascii="宋体" w:hAnsi="宋体" w:cs="Calibri"/>
                <w:sz w:val="24"/>
              </w:rPr>
            </w:pPr>
          </w:p>
        </w:tc>
      </w:tr>
    </w:tbl>
    <w:p>
      <w:pPr>
        <w:spacing w:line="360" w:lineRule="auto"/>
        <w:rPr>
          <w:rFonts w:ascii="宋体" w:hAnsi="宋体"/>
          <w:b/>
          <w:bCs/>
          <w:sz w:val="24"/>
        </w:rPr>
      </w:pPr>
    </w:p>
    <w:p>
      <w:pPr>
        <w:spacing w:after="156" w:afterLines="50" w:line="360" w:lineRule="auto"/>
        <w:jc w:val="left"/>
        <w:rPr>
          <w:rFonts w:hint="eastAsia" w:ascii="宋体" w:hAnsi="宋体"/>
          <w:b/>
          <w:bCs/>
          <w:sz w:val="24"/>
        </w:rPr>
      </w:pPr>
      <w:r>
        <w:rPr>
          <w:rFonts w:ascii="宋体" w:hAnsi="宋体"/>
          <w:b/>
          <w:bCs/>
          <w:sz w:val="24"/>
        </w:rPr>
        <w:br w:type="page"/>
      </w:r>
      <w:r>
        <w:rPr>
          <w:rFonts w:hint="eastAsia" w:ascii="宋体" w:hAnsi="宋体"/>
          <w:b/>
          <w:bCs/>
          <w:sz w:val="24"/>
        </w:rPr>
        <w:t>附2：主要项目管理人员简历表岗位名称</w:t>
      </w:r>
    </w:p>
    <w:p>
      <w:pPr>
        <w:spacing w:line="360" w:lineRule="auto"/>
        <w:ind w:firstLine="424" w:firstLineChars="177"/>
        <w:rPr>
          <w:rFonts w:hint="eastAsia" w:hAnsi="宋体" w:cs="宋体"/>
          <w:sz w:val="24"/>
        </w:rPr>
      </w:pPr>
      <w:r>
        <w:rPr>
          <w:rFonts w:hint="eastAsia" w:hAnsi="宋体"/>
          <w:sz w:val="24"/>
        </w:rPr>
        <w:t>主要项目管理人员是指技术负责人、专职安全生产管理员等岗位人员。应附资格证书、身份证、职称证（技术负责人）、养老保险复印件或扫描件，专职安全生产管理人员应附安全生产考核合格证书，主要业绩须附合同协议书复印件或扫描件。</w:t>
      </w:r>
      <w:r>
        <w:rPr>
          <w:rFonts w:hint="eastAsia" w:hAnsi="宋体" w:cs="宋体"/>
          <w:sz w:val="24"/>
        </w:rPr>
        <w:t>（根据各投标单位岗位设置情况，有则提供，无则不提供）</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1098"/>
        <w:gridCol w:w="3128"/>
        <w:gridCol w:w="445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8684" w:type="dxa"/>
            <w:gridSpan w:val="3"/>
            <w:noWrap w:val="0"/>
            <w:tcMar>
              <w:top w:w="0" w:type="dxa"/>
              <w:left w:w="108" w:type="dxa"/>
              <w:bottom w:w="0" w:type="dxa"/>
              <w:right w:w="108" w:type="dxa"/>
            </w:tcMar>
            <w:vAlign w:val="center"/>
          </w:tcPr>
          <w:p>
            <w:pPr>
              <w:spacing w:line="36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4226" w:type="dxa"/>
            <w:gridSpan w:val="2"/>
            <w:noWrap w:val="0"/>
            <w:tcMar>
              <w:top w:w="0" w:type="dxa"/>
              <w:left w:w="108" w:type="dxa"/>
              <w:bottom w:w="0" w:type="dxa"/>
              <w:right w:w="108" w:type="dxa"/>
            </w:tcMar>
            <w:vAlign w:val="center"/>
          </w:tcPr>
          <w:p>
            <w:pPr>
              <w:spacing w:line="360" w:lineRule="auto"/>
              <w:rPr>
                <w:sz w:val="24"/>
              </w:rPr>
            </w:pPr>
            <w:r>
              <w:rPr>
                <w:rFonts w:hint="eastAsia"/>
                <w:sz w:val="24"/>
              </w:rPr>
              <w:t>姓    名</w:t>
            </w:r>
          </w:p>
        </w:tc>
        <w:tc>
          <w:tcPr>
            <w:tcW w:w="4458" w:type="dxa"/>
            <w:noWrap w:val="0"/>
            <w:tcMar>
              <w:top w:w="0" w:type="dxa"/>
              <w:left w:w="108" w:type="dxa"/>
              <w:bottom w:w="0" w:type="dxa"/>
              <w:right w:w="108" w:type="dxa"/>
            </w:tcMar>
            <w:vAlign w:val="center"/>
          </w:tcPr>
          <w:p>
            <w:pPr>
              <w:spacing w:line="360" w:lineRule="auto"/>
              <w:rPr>
                <w:sz w:val="24"/>
              </w:rPr>
            </w:pPr>
            <w:r>
              <w:rPr>
                <w:rFonts w:hint="eastAsia"/>
                <w:sz w:val="24"/>
              </w:rPr>
              <w:t>年    龄</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4226" w:type="dxa"/>
            <w:gridSpan w:val="2"/>
            <w:noWrap w:val="0"/>
            <w:tcMar>
              <w:top w:w="0" w:type="dxa"/>
              <w:left w:w="108" w:type="dxa"/>
              <w:bottom w:w="0" w:type="dxa"/>
              <w:right w:w="108" w:type="dxa"/>
            </w:tcMar>
            <w:vAlign w:val="center"/>
          </w:tcPr>
          <w:p>
            <w:pPr>
              <w:spacing w:line="360" w:lineRule="auto"/>
              <w:rPr>
                <w:sz w:val="24"/>
              </w:rPr>
            </w:pPr>
            <w:r>
              <w:rPr>
                <w:rFonts w:hint="eastAsia"/>
                <w:sz w:val="24"/>
              </w:rPr>
              <w:t>性    别</w:t>
            </w:r>
          </w:p>
        </w:tc>
        <w:tc>
          <w:tcPr>
            <w:tcW w:w="4458" w:type="dxa"/>
            <w:noWrap w:val="0"/>
            <w:tcMar>
              <w:top w:w="0" w:type="dxa"/>
              <w:left w:w="108" w:type="dxa"/>
              <w:bottom w:w="0" w:type="dxa"/>
              <w:right w:w="108" w:type="dxa"/>
            </w:tcMar>
            <w:vAlign w:val="center"/>
          </w:tcPr>
          <w:p>
            <w:pPr>
              <w:spacing w:line="360" w:lineRule="auto"/>
              <w:rPr>
                <w:sz w:val="24"/>
              </w:rPr>
            </w:pPr>
            <w:r>
              <w:rPr>
                <w:rFonts w:hint="eastAsia"/>
                <w:sz w:val="24"/>
              </w:rPr>
              <w:t>毕业学校</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4226" w:type="dxa"/>
            <w:gridSpan w:val="2"/>
            <w:noWrap w:val="0"/>
            <w:tcMar>
              <w:top w:w="0" w:type="dxa"/>
              <w:left w:w="108" w:type="dxa"/>
              <w:bottom w:w="0" w:type="dxa"/>
              <w:right w:w="108" w:type="dxa"/>
            </w:tcMar>
            <w:vAlign w:val="center"/>
          </w:tcPr>
          <w:p>
            <w:pPr>
              <w:spacing w:line="360" w:lineRule="auto"/>
              <w:rPr>
                <w:sz w:val="24"/>
              </w:rPr>
            </w:pPr>
            <w:r>
              <w:rPr>
                <w:rFonts w:hint="eastAsia"/>
                <w:sz w:val="24"/>
              </w:rPr>
              <w:t>学历和专业</w:t>
            </w:r>
          </w:p>
        </w:tc>
        <w:tc>
          <w:tcPr>
            <w:tcW w:w="4458" w:type="dxa"/>
            <w:noWrap w:val="0"/>
            <w:tcMar>
              <w:top w:w="0" w:type="dxa"/>
              <w:left w:w="108" w:type="dxa"/>
              <w:bottom w:w="0" w:type="dxa"/>
              <w:right w:w="108" w:type="dxa"/>
            </w:tcMar>
            <w:vAlign w:val="center"/>
          </w:tcPr>
          <w:p>
            <w:pPr>
              <w:spacing w:line="360" w:lineRule="auto"/>
              <w:rPr>
                <w:sz w:val="24"/>
              </w:rPr>
            </w:pPr>
            <w:r>
              <w:rPr>
                <w:rFonts w:hint="eastAsia"/>
                <w:sz w:val="24"/>
              </w:rPr>
              <w:t>毕业时间</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4226" w:type="dxa"/>
            <w:gridSpan w:val="2"/>
            <w:noWrap w:val="0"/>
            <w:tcMar>
              <w:top w:w="0" w:type="dxa"/>
              <w:left w:w="108" w:type="dxa"/>
              <w:bottom w:w="0" w:type="dxa"/>
              <w:right w:w="108" w:type="dxa"/>
            </w:tcMar>
            <w:vAlign w:val="center"/>
          </w:tcPr>
          <w:p>
            <w:pPr>
              <w:spacing w:line="360" w:lineRule="auto"/>
              <w:rPr>
                <w:sz w:val="24"/>
              </w:rPr>
            </w:pPr>
            <w:r>
              <w:rPr>
                <w:rFonts w:hint="eastAsia"/>
                <w:sz w:val="24"/>
              </w:rPr>
              <w:t>拥有的执业资格</w:t>
            </w:r>
          </w:p>
        </w:tc>
        <w:tc>
          <w:tcPr>
            <w:tcW w:w="4458" w:type="dxa"/>
            <w:noWrap w:val="0"/>
            <w:tcMar>
              <w:top w:w="0" w:type="dxa"/>
              <w:left w:w="108" w:type="dxa"/>
              <w:bottom w:w="0" w:type="dxa"/>
              <w:right w:w="108" w:type="dxa"/>
            </w:tcMar>
            <w:vAlign w:val="center"/>
          </w:tcPr>
          <w:p>
            <w:pPr>
              <w:spacing w:line="360" w:lineRule="auto"/>
              <w:rPr>
                <w:sz w:val="24"/>
              </w:rPr>
            </w:pPr>
            <w:r>
              <w:rPr>
                <w:rFonts w:hint="eastAsia"/>
                <w:sz w:val="24"/>
              </w:rPr>
              <w:t>专业职称</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4226" w:type="dxa"/>
            <w:gridSpan w:val="2"/>
            <w:noWrap w:val="0"/>
            <w:tcMar>
              <w:top w:w="0" w:type="dxa"/>
              <w:left w:w="108" w:type="dxa"/>
              <w:bottom w:w="0" w:type="dxa"/>
              <w:right w:w="108" w:type="dxa"/>
            </w:tcMar>
            <w:vAlign w:val="center"/>
          </w:tcPr>
          <w:p>
            <w:pPr>
              <w:spacing w:line="360" w:lineRule="auto"/>
              <w:rPr>
                <w:sz w:val="24"/>
              </w:rPr>
            </w:pPr>
            <w:r>
              <w:rPr>
                <w:rFonts w:hint="eastAsia"/>
                <w:sz w:val="24"/>
              </w:rPr>
              <w:t>执业资格证书编号</w:t>
            </w:r>
          </w:p>
        </w:tc>
        <w:tc>
          <w:tcPr>
            <w:tcW w:w="4458" w:type="dxa"/>
            <w:noWrap w:val="0"/>
            <w:tcMar>
              <w:top w:w="0" w:type="dxa"/>
              <w:left w:w="108" w:type="dxa"/>
              <w:bottom w:w="0" w:type="dxa"/>
              <w:right w:w="108" w:type="dxa"/>
            </w:tcMar>
            <w:vAlign w:val="center"/>
          </w:tcPr>
          <w:p>
            <w:pPr>
              <w:spacing w:line="360" w:lineRule="auto"/>
              <w:rPr>
                <w:sz w:val="24"/>
              </w:rPr>
            </w:pPr>
            <w:r>
              <w:rPr>
                <w:rFonts w:hint="eastAsia"/>
                <w:sz w:val="24"/>
              </w:rPr>
              <w:t>工作年限</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196" w:hRule="atLeast"/>
          <w:jc w:val="center"/>
        </w:trPr>
        <w:tc>
          <w:tcPr>
            <w:tcW w:w="1098" w:type="dxa"/>
            <w:noWrap w:val="0"/>
            <w:tcMar>
              <w:top w:w="0" w:type="dxa"/>
              <w:left w:w="108" w:type="dxa"/>
              <w:bottom w:w="0" w:type="dxa"/>
              <w:right w:w="108" w:type="dxa"/>
            </w:tcMar>
            <w:vAlign w:val="center"/>
          </w:tcPr>
          <w:p>
            <w:pPr>
              <w:spacing w:line="360" w:lineRule="auto"/>
              <w:jc w:val="center"/>
              <w:rPr>
                <w:sz w:val="24"/>
              </w:rPr>
            </w:pPr>
            <w:r>
              <w:rPr>
                <w:rFonts w:hint="eastAsia"/>
                <w:sz w:val="24"/>
              </w:rPr>
              <w:t>主要</w:t>
            </w:r>
          </w:p>
          <w:p>
            <w:pPr>
              <w:spacing w:line="360" w:lineRule="auto"/>
              <w:jc w:val="center"/>
              <w:rPr>
                <w:sz w:val="24"/>
              </w:rPr>
            </w:pPr>
            <w:r>
              <w:rPr>
                <w:rFonts w:hint="eastAsia"/>
                <w:sz w:val="24"/>
              </w:rPr>
              <w:t>工作</w:t>
            </w:r>
          </w:p>
          <w:p>
            <w:pPr>
              <w:spacing w:line="360" w:lineRule="auto"/>
              <w:jc w:val="center"/>
              <w:rPr>
                <w:sz w:val="24"/>
              </w:rPr>
            </w:pPr>
            <w:r>
              <w:rPr>
                <w:rFonts w:hint="eastAsia"/>
                <w:sz w:val="24"/>
              </w:rPr>
              <w:t>业绩</w:t>
            </w:r>
          </w:p>
          <w:p>
            <w:pPr>
              <w:spacing w:line="360" w:lineRule="auto"/>
              <w:jc w:val="center"/>
              <w:rPr>
                <w:sz w:val="24"/>
              </w:rPr>
            </w:pPr>
            <w:r>
              <w:rPr>
                <w:rFonts w:hint="eastAsia"/>
                <w:sz w:val="24"/>
              </w:rPr>
              <w:t>及担</w:t>
            </w:r>
          </w:p>
          <w:p>
            <w:pPr>
              <w:spacing w:line="360" w:lineRule="auto"/>
              <w:jc w:val="center"/>
              <w:rPr>
                <w:sz w:val="24"/>
              </w:rPr>
            </w:pPr>
            <w:r>
              <w:rPr>
                <w:rFonts w:hint="eastAsia"/>
                <w:sz w:val="24"/>
              </w:rPr>
              <w:t>任的</w:t>
            </w:r>
          </w:p>
          <w:p>
            <w:pPr>
              <w:spacing w:line="360" w:lineRule="auto"/>
              <w:jc w:val="center"/>
              <w:rPr>
                <w:sz w:val="24"/>
              </w:rPr>
            </w:pPr>
            <w:r>
              <w:rPr>
                <w:rFonts w:hint="eastAsia"/>
                <w:sz w:val="24"/>
              </w:rPr>
              <w:t>主要</w:t>
            </w:r>
          </w:p>
          <w:p>
            <w:pPr>
              <w:spacing w:line="360" w:lineRule="auto"/>
              <w:jc w:val="center"/>
              <w:rPr>
                <w:sz w:val="24"/>
              </w:rPr>
            </w:pPr>
            <w:r>
              <w:rPr>
                <w:rFonts w:hint="eastAsia"/>
                <w:sz w:val="24"/>
              </w:rPr>
              <w:t>工作</w:t>
            </w:r>
          </w:p>
        </w:tc>
        <w:tc>
          <w:tcPr>
            <w:tcW w:w="7586" w:type="dxa"/>
            <w:gridSpan w:val="2"/>
            <w:noWrap w:val="0"/>
            <w:tcMar>
              <w:top w:w="0" w:type="dxa"/>
              <w:left w:w="108" w:type="dxa"/>
              <w:bottom w:w="0" w:type="dxa"/>
              <w:right w:w="108" w:type="dxa"/>
            </w:tcMar>
            <w:vAlign w:val="top"/>
          </w:tcPr>
          <w:p>
            <w:pPr>
              <w:spacing w:line="360" w:lineRule="auto"/>
              <w:rPr>
                <w:sz w:val="24"/>
              </w:rPr>
            </w:pPr>
          </w:p>
        </w:tc>
      </w:tr>
    </w:tbl>
    <w:p>
      <w:pPr>
        <w:spacing w:line="360" w:lineRule="auto"/>
        <w:rPr>
          <w:rFonts w:hint="eastAsia"/>
          <w:szCs w:val="21"/>
        </w:rPr>
      </w:pPr>
      <w:r>
        <w:rPr>
          <w:rFonts w:hint="eastAsia"/>
          <w:szCs w:val="21"/>
        </w:rPr>
        <w:t xml:space="preserve"> </w:t>
      </w:r>
    </w:p>
    <w:p>
      <w:pPr>
        <w:pStyle w:val="18"/>
        <w:spacing w:line="360" w:lineRule="auto"/>
        <w:rPr>
          <w:color w:val="auto"/>
          <w:kern w:val="2"/>
          <w:sz w:val="21"/>
          <w:szCs w:val="21"/>
        </w:rPr>
      </w:pPr>
      <w:r>
        <w:rPr>
          <w:rFonts w:hint="eastAsia"/>
          <w:color w:val="auto"/>
          <w:kern w:val="2"/>
          <w:sz w:val="21"/>
          <w:szCs w:val="21"/>
        </w:rPr>
        <w:t xml:space="preserve">        </w:t>
      </w:r>
    </w:p>
    <w:p>
      <w:pPr>
        <w:spacing w:line="360" w:lineRule="auto"/>
        <w:jc w:val="left"/>
        <w:rPr>
          <w:rFonts w:hint="eastAsia" w:ascii="宋体" w:hAnsi="宋体"/>
          <w:sz w:val="24"/>
        </w:rPr>
      </w:pPr>
      <w:r>
        <w:rPr>
          <w:szCs w:val="21"/>
        </w:rPr>
        <w:br w:type="page"/>
      </w:r>
    </w:p>
    <w:p>
      <w:pPr>
        <w:pStyle w:val="7"/>
        <w:numPr>
          <w:ilvl w:val="0"/>
          <w:numId w:val="64"/>
        </w:numPr>
        <w:spacing w:before="0" w:after="0" w:line="360" w:lineRule="auto"/>
        <w:jc w:val="center"/>
        <w:rPr>
          <w:rFonts w:hint="eastAsia" w:ascii="宋体" w:hAnsi="宋体" w:eastAsia="宋体"/>
        </w:rPr>
      </w:pPr>
      <w:bookmarkStart w:id="594" w:name="_Toc43198919"/>
      <w:r>
        <w:rPr>
          <w:rFonts w:hint="eastAsia" w:ascii="宋体" w:hAnsi="宋体" w:eastAsia="宋体"/>
        </w:rPr>
        <w:t>投标单位基本情况表</w:t>
      </w:r>
      <w:bookmarkEnd w:id="594"/>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投标人名称</w:t>
            </w:r>
          </w:p>
        </w:tc>
        <w:tc>
          <w:tcPr>
            <w:tcW w:w="7435" w:type="dxa"/>
            <w:gridSpan w:val="9"/>
            <w:tcBorders>
              <w:top w:val="single" w:color="auto" w:sz="12" w:space="0"/>
              <w:left w:val="nil"/>
              <w:bottom w:val="single" w:color="auto" w:sz="4" w:space="0"/>
              <w:right w:val="single" w:color="auto" w:sz="12" w:space="0"/>
            </w:tcBorders>
            <w:noWrap w:val="0"/>
            <w:vAlign w:val="center"/>
          </w:tcPr>
          <w:p>
            <w:pPr>
              <w:autoSpaceDE w:val="0"/>
              <w:autoSpaceDN w:val="0"/>
              <w:adjustRightInd w:val="0"/>
              <w:spacing w:line="360" w:lineRule="auto"/>
              <w:ind w:left="41" w:right="215" w:hanging="40" w:hangingChars="17"/>
              <w:jc w:val="center"/>
              <w:rPr>
                <w:rFonts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注册地址</w:t>
            </w:r>
          </w:p>
        </w:tc>
        <w:tc>
          <w:tcPr>
            <w:tcW w:w="4134" w:type="dxa"/>
            <w:gridSpan w:val="5"/>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1575"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邮政编码</w:t>
            </w:r>
          </w:p>
        </w:tc>
        <w:tc>
          <w:tcPr>
            <w:tcW w:w="1726" w:type="dxa"/>
            <w:gridSpan w:val="2"/>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tcBorders>
              <w:top w:val="nil"/>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联系方式</w:t>
            </w:r>
          </w:p>
        </w:tc>
        <w:tc>
          <w:tcPr>
            <w:tcW w:w="120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联系人</w:t>
            </w:r>
          </w:p>
        </w:tc>
        <w:tc>
          <w:tcPr>
            <w:tcW w:w="2929" w:type="dxa"/>
            <w:gridSpan w:val="4"/>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1575"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电话</w:t>
            </w:r>
          </w:p>
        </w:tc>
        <w:tc>
          <w:tcPr>
            <w:tcW w:w="1726" w:type="dxa"/>
            <w:gridSpan w:val="2"/>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tcBorders>
              <w:top w:val="nil"/>
              <w:left w:val="single" w:color="auto" w:sz="12" w:space="0"/>
              <w:bottom w:val="single" w:color="auto" w:sz="4" w:space="0"/>
              <w:right w:val="single" w:color="auto" w:sz="4" w:space="0"/>
            </w:tcBorders>
            <w:noWrap w:val="0"/>
            <w:vAlign w:val="center"/>
          </w:tcPr>
          <w:p>
            <w:pPr>
              <w:widowControl/>
              <w:spacing w:line="360" w:lineRule="auto"/>
              <w:jc w:val="left"/>
              <w:rPr>
                <w:rFonts w:ascii="宋体" w:hAnsi="宋体" w:cs="Calibri"/>
                <w:sz w:val="24"/>
              </w:rPr>
            </w:pPr>
          </w:p>
        </w:tc>
        <w:tc>
          <w:tcPr>
            <w:tcW w:w="120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传真</w:t>
            </w:r>
          </w:p>
        </w:tc>
        <w:tc>
          <w:tcPr>
            <w:tcW w:w="2929" w:type="dxa"/>
            <w:gridSpan w:val="4"/>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1575"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网址</w:t>
            </w:r>
          </w:p>
        </w:tc>
        <w:tc>
          <w:tcPr>
            <w:tcW w:w="1726" w:type="dxa"/>
            <w:gridSpan w:val="2"/>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组织结构</w:t>
            </w:r>
          </w:p>
        </w:tc>
        <w:tc>
          <w:tcPr>
            <w:tcW w:w="7435" w:type="dxa"/>
            <w:gridSpan w:val="9"/>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法定代表人</w:t>
            </w:r>
          </w:p>
        </w:tc>
        <w:tc>
          <w:tcPr>
            <w:tcW w:w="120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姓名</w:t>
            </w:r>
          </w:p>
        </w:tc>
        <w:tc>
          <w:tcPr>
            <w:tcW w:w="120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1689"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技术职称</w:t>
            </w:r>
          </w:p>
        </w:tc>
        <w:tc>
          <w:tcPr>
            <w:tcW w:w="1069"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1061"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电话</w:t>
            </w:r>
          </w:p>
        </w:tc>
        <w:tc>
          <w:tcPr>
            <w:tcW w:w="1206" w:type="dxa"/>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技术负责人</w:t>
            </w:r>
          </w:p>
        </w:tc>
        <w:tc>
          <w:tcPr>
            <w:tcW w:w="120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姓名</w:t>
            </w:r>
          </w:p>
        </w:tc>
        <w:tc>
          <w:tcPr>
            <w:tcW w:w="120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1689"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技术职称</w:t>
            </w:r>
          </w:p>
        </w:tc>
        <w:tc>
          <w:tcPr>
            <w:tcW w:w="1069"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1061"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电话</w:t>
            </w:r>
          </w:p>
        </w:tc>
        <w:tc>
          <w:tcPr>
            <w:tcW w:w="1206" w:type="dxa"/>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成立时间</w:t>
            </w:r>
          </w:p>
        </w:tc>
        <w:tc>
          <w:tcPr>
            <w:tcW w:w="2410"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5025" w:type="dxa"/>
            <w:gridSpan w:val="7"/>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pacing w:val="-20"/>
                <w:sz w:val="24"/>
              </w:rPr>
            </w:pPr>
            <w:r>
              <w:rPr>
                <w:rFonts w:hint="eastAsia" w:ascii="宋体" w:hAnsi="宋体"/>
                <w:spacing w:val="-20"/>
                <w:sz w:val="24"/>
              </w:rPr>
              <w:t>企业资质等级</w:t>
            </w:r>
          </w:p>
        </w:tc>
        <w:tc>
          <w:tcPr>
            <w:tcW w:w="2410"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1205" w:type="dxa"/>
            <w:vMerge w:val="restart"/>
            <w:tcBorders>
              <w:top w:val="nil"/>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其中</w:t>
            </w:r>
          </w:p>
        </w:tc>
        <w:tc>
          <w:tcPr>
            <w:tcW w:w="2614" w:type="dxa"/>
            <w:gridSpan w:val="5"/>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项目经理</w:t>
            </w:r>
          </w:p>
        </w:tc>
        <w:tc>
          <w:tcPr>
            <w:tcW w:w="1206" w:type="dxa"/>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营业执照号</w:t>
            </w:r>
          </w:p>
        </w:tc>
        <w:tc>
          <w:tcPr>
            <w:tcW w:w="2410"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1205" w:type="dxa"/>
            <w:vMerge w:val="continue"/>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Calibri"/>
                <w:sz w:val="24"/>
              </w:rPr>
            </w:pPr>
          </w:p>
        </w:tc>
        <w:tc>
          <w:tcPr>
            <w:tcW w:w="2614" w:type="dxa"/>
            <w:gridSpan w:val="5"/>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高级职称人员</w:t>
            </w:r>
          </w:p>
        </w:tc>
        <w:tc>
          <w:tcPr>
            <w:tcW w:w="1206" w:type="dxa"/>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注册资金</w:t>
            </w:r>
          </w:p>
        </w:tc>
        <w:tc>
          <w:tcPr>
            <w:tcW w:w="2410"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1205" w:type="dxa"/>
            <w:vMerge w:val="continue"/>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Calibri"/>
                <w:sz w:val="24"/>
              </w:rPr>
            </w:pPr>
          </w:p>
        </w:tc>
        <w:tc>
          <w:tcPr>
            <w:tcW w:w="2614" w:type="dxa"/>
            <w:gridSpan w:val="5"/>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中级职称人员</w:t>
            </w:r>
          </w:p>
        </w:tc>
        <w:tc>
          <w:tcPr>
            <w:tcW w:w="1206" w:type="dxa"/>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开户银行</w:t>
            </w:r>
          </w:p>
        </w:tc>
        <w:tc>
          <w:tcPr>
            <w:tcW w:w="2410"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1205" w:type="dxa"/>
            <w:vMerge w:val="continue"/>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Calibri"/>
                <w:sz w:val="24"/>
              </w:rPr>
            </w:pPr>
          </w:p>
        </w:tc>
        <w:tc>
          <w:tcPr>
            <w:tcW w:w="2614" w:type="dxa"/>
            <w:gridSpan w:val="5"/>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初级职称人员</w:t>
            </w:r>
          </w:p>
        </w:tc>
        <w:tc>
          <w:tcPr>
            <w:tcW w:w="1206" w:type="dxa"/>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账号</w:t>
            </w:r>
          </w:p>
        </w:tc>
        <w:tc>
          <w:tcPr>
            <w:tcW w:w="2410"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p>
        </w:tc>
        <w:tc>
          <w:tcPr>
            <w:tcW w:w="1205" w:type="dxa"/>
            <w:vMerge w:val="continue"/>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Calibri"/>
                <w:sz w:val="24"/>
              </w:rPr>
            </w:pPr>
          </w:p>
        </w:tc>
        <w:tc>
          <w:tcPr>
            <w:tcW w:w="2614" w:type="dxa"/>
            <w:gridSpan w:val="5"/>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技工</w:t>
            </w:r>
          </w:p>
        </w:tc>
        <w:tc>
          <w:tcPr>
            <w:tcW w:w="1206" w:type="dxa"/>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经营范围</w:t>
            </w:r>
          </w:p>
        </w:tc>
        <w:tc>
          <w:tcPr>
            <w:tcW w:w="7435" w:type="dxa"/>
            <w:gridSpan w:val="9"/>
            <w:tcBorders>
              <w:top w:val="single" w:color="auto" w:sz="4" w:space="0"/>
              <w:left w:val="nil"/>
              <w:bottom w:val="single" w:color="auto" w:sz="4" w:space="0"/>
              <w:right w:val="single" w:color="auto" w:sz="12" w:space="0"/>
            </w:tcBorders>
            <w:noWrap w:val="0"/>
            <w:vAlign w:val="center"/>
          </w:tcPr>
          <w:p>
            <w:pPr>
              <w:autoSpaceDE w:val="0"/>
              <w:autoSpaceDN w:val="0"/>
              <w:adjustRightInd w:val="0"/>
              <w:spacing w:line="360" w:lineRule="auto"/>
              <w:ind w:right="215"/>
              <w:rPr>
                <w:rFonts w:hint="eastAsia" w:ascii="宋体" w:hAnsi="宋体"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备注</w:t>
            </w:r>
          </w:p>
        </w:tc>
        <w:tc>
          <w:tcPr>
            <w:tcW w:w="7435" w:type="dxa"/>
            <w:gridSpan w:val="9"/>
            <w:tcBorders>
              <w:top w:val="single" w:color="auto" w:sz="4" w:space="0"/>
              <w:left w:val="nil"/>
              <w:bottom w:val="single" w:color="auto" w:sz="12" w:space="0"/>
              <w:right w:val="single" w:color="auto" w:sz="12" w:space="0"/>
            </w:tcBorders>
            <w:noWrap w:val="0"/>
            <w:vAlign w:val="center"/>
          </w:tcPr>
          <w:p>
            <w:pPr>
              <w:autoSpaceDE w:val="0"/>
              <w:autoSpaceDN w:val="0"/>
              <w:adjustRightInd w:val="0"/>
              <w:spacing w:line="360" w:lineRule="auto"/>
              <w:ind w:right="215"/>
              <w:rPr>
                <w:rFonts w:hint="eastAsia" w:ascii="宋体" w:hAnsi="宋体" w:cs="Calibri"/>
                <w:sz w:val="24"/>
              </w:rPr>
            </w:pPr>
          </w:p>
        </w:tc>
      </w:tr>
    </w:tbl>
    <w:p>
      <w:pPr>
        <w:autoSpaceDE w:val="0"/>
        <w:autoSpaceDN w:val="0"/>
        <w:adjustRightInd w:val="0"/>
        <w:spacing w:line="360" w:lineRule="auto"/>
        <w:ind w:right="215" w:firstLine="420"/>
        <w:rPr>
          <w:rFonts w:hint="eastAsia" w:ascii="宋体" w:hAnsi="宋体"/>
          <w:sz w:val="24"/>
        </w:rPr>
      </w:pPr>
      <w:r>
        <w:rPr>
          <w:rFonts w:hint="eastAsia" w:ascii="宋体" w:hAnsi="宋体"/>
          <w:sz w:val="24"/>
        </w:rPr>
        <w:t>备注：本表后应附营业执照、企业资质证书副本、安全生产许可证等材料的扫描件或图片。</w:t>
      </w:r>
    </w:p>
    <w:p>
      <w:pPr>
        <w:autoSpaceDE w:val="0"/>
        <w:autoSpaceDN w:val="0"/>
        <w:adjustRightInd w:val="0"/>
        <w:spacing w:line="360" w:lineRule="auto"/>
        <w:ind w:right="215"/>
        <w:rPr>
          <w:rFonts w:hint="eastAsia" w:ascii="宋体" w:hAnsi="宋体"/>
          <w:b/>
          <w:bCs/>
          <w:sz w:val="28"/>
          <w:szCs w:val="28"/>
        </w:rPr>
      </w:pPr>
    </w:p>
    <w:p>
      <w:pPr>
        <w:autoSpaceDE w:val="0"/>
        <w:autoSpaceDN w:val="0"/>
        <w:adjustRightInd w:val="0"/>
        <w:spacing w:line="360" w:lineRule="auto"/>
        <w:ind w:right="215"/>
        <w:rPr>
          <w:rFonts w:hint="eastAsia" w:ascii="宋体" w:hAnsi="宋体"/>
          <w:b/>
          <w:bCs/>
          <w:sz w:val="28"/>
          <w:szCs w:val="28"/>
        </w:rPr>
      </w:pPr>
      <w:r>
        <w:rPr>
          <w:rFonts w:hint="eastAsia" w:ascii="宋体" w:hAnsi="宋体"/>
          <w:b/>
          <w:bCs/>
          <w:sz w:val="28"/>
          <w:szCs w:val="28"/>
        </w:rPr>
        <w:t xml:space="preserve"> </w:t>
      </w:r>
    </w:p>
    <w:p>
      <w:pPr>
        <w:autoSpaceDE w:val="0"/>
        <w:autoSpaceDN w:val="0"/>
        <w:adjustRightInd w:val="0"/>
        <w:spacing w:line="360" w:lineRule="auto"/>
        <w:ind w:right="215"/>
        <w:rPr>
          <w:rFonts w:hint="eastAsia" w:ascii="宋体" w:hAnsi="宋体"/>
          <w:b/>
          <w:bCs/>
          <w:sz w:val="28"/>
          <w:szCs w:val="28"/>
        </w:rPr>
      </w:pPr>
      <w:r>
        <w:rPr>
          <w:rFonts w:hint="eastAsia" w:ascii="宋体" w:hAnsi="宋体"/>
          <w:b/>
          <w:bCs/>
          <w:sz w:val="28"/>
          <w:szCs w:val="28"/>
        </w:rPr>
        <w:t xml:space="preserve"> </w:t>
      </w:r>
    </w:p>
    <w:p>
      <w:pPr>
        <w:pStyle w:val="7"/>
        <w:numPr>
          <w:ilvl w:val="0"/>
          <w:numId w:val="64"/>
        </w:numPr>
        <w:spacing w:before="0" w:after="0" w:line="360" w:lineRule="auto"/>
        <w:jc w:val="center"/>
        <w:rPr>
          <w:rFonts w:hint="eastAsia" w:ascii="宋体" w:hAnsi="宋体" w:eastAsia="宋体"/>
        </w:rPr>
      </w:pPr>
      <w:bookmarkStart w:id="595" w:name="_Toc43198920"/>
      <w:r>
        <w:rPr>
          <w:rFonts w:hint="eastAsia" w:ascii="宋体" w:hAnsi="宋体" w:eastAsia="宋体"/>
        </w:rPr>
        <w:t xml:space="preserve"> 资格证明文件</w:t>
      </w:r>
    </w:p>
    <w:p>
      <w:pPr>
        <w:pStyle w:val="7"/>
        <w:numPr>
          <w:ilvl w:val="0"/>
          <w:numId w:val="0"/>
        </w:numPr>
        <w:spacing w:before="0" w:after="0" w:line="360" w:lineRule="auto"/>
        <w:ind w:leftChars="0"/>
        <w:jc w:val="center"/>
        <w:rPr>
          <w:rFonts w:hint="eastAsia" w:ascii="宋体" w:hAnsi="宋体" w:eastAsia="宋体"/>
          <w:b w:val="0"/>
          <w:bCs w:val="0"/>
          <w:kern w:val="2"/>
          <w:sz w:val="24"/>
          <w:szCs w:val="24"/>
          <w:lang w:val="en-US" w:eastAsia="zh-CN" w:bidi="ar-SA"/>
        </w:rPr>
      </w:pPr>
      <w:r>
        <w:rPr>
          <w:rFonts w:hint="eastAsia" w:ascii="宋体" w:hAnsi="宋体" w:eastAsia="宋体"/>
          <w:b w:val="0"/>
          <w:bCs w:val="0"/>
          <w:kern w:val="2"/>
          <w:sz w:val="24"/>
          <w:szCs w:val="24"/>
          <w:lang w:val="en-US" w:eastAsia="zh-CN" w:bidi="ar-SA"/>
        </w:rPr>
        <w:t>（附原件扫描件或图片）</w:t>
      </w:r>
    </w:p>
    <w:p>
      <w:pPr>
        <w:pStyle w:val="7"/>
        <w:numPr>
          <w:ilvl w:val="0"/>
          <w:numId w:val="0"/>
        </w:numPr>
        <w:spacing w:before="0" w:after="0" w:line="360" w:lineRule="auto"/>
        <w:ind w:leftChars="0"/>
        <w:jc w:val="both"/>
        <w:rPr>
          <w:rFonts w:hint="eastAsia" w:ascii="宋体" w:hAnsi="宋体" w:eastAsia="宋体"/>
        </w:rPr>
      </w:pPr>
    </w:p>
    <w:p>
      <w:pPr>
        <w:pStyle w:val="7"/>
        <w:numPr>
          <w:ilvl w:val="0"/>
          <w:numId w:val="64"/>
        </w:numPr>
        <w:spacing w:before="0" w:after="0" w:line="360" w:lineRule="auto"/>
        <w:jc w:val="center"/>
        <w:rPr>
          <w:rFonts w:hint="eastAsia" w:ascii="宋体" w:hAnsi="宋体" w:eastAsia="宋体"/>
        </w:rPr>
      </w:pPr>
      <w:r>
        <w:rPr>
          <w:rFonts w:hint="eastAsia" w:ascii="宋体" w:hAnsi="宋体" w:eastAsia="宋体"/>
        </w:rPr>
        <w:t>近年财务状况</w:t>
      </w:r>
      <w:bookmarkEnd w:id="595"/>
    </w:p>
    <w:p>
      <w:pPr>
        <w:autoSpaceDE w:val="0"/>
        <w:autoSpaceDN w:val="0"/>
        <w:adjustRightInd w:val="0"/>
        <w:spacing w:line="360" w:lineRule="auto"/>
        <w:ind w:right="215" w:firstLine="420"/>
        <w:rPr>
          <w:rFonts w:hint="eastAsia" w:ascii="宋体" w:hAnsi="宋体"/>
          <w:b/>
          <w:bCs/>
          <w:sz w:val="24"/>
        </w:rPr>
      </w:pPr>
      <w:r>
        <w:rPr>
          <w:rFonts w:hint="eastAsia" w:ascii="宋体" w:hAnsi="宋体"/>
          <w:sz w:val="24"/>
        </w:rPr>
        <w:t>备注：应附财务会计报表（财务审计报告），包括资产负债表、现金流量表、利润表和财务情况说明书等扫描件，具体年份要求见投标人须知前附表。</w:t>
      </w:r>
    </w:p>
    <w:p>
      <w:pPr>
        <w:autoSpaceDE w:val="0"/>
        <w:autoSpaceDN w:val="0"/>
        <w:adjustRightInd w:val="0"/>
        <w:spacing w:line="360" w:lineRule="auto"/>
        <w:ind w:right="215"/>
        <w:rPr>
          <w:rFonts w:hint="eastAsia" w:ascii="宋体" w:hAnsi="宋体"/>
          <w:b/>
          <w:bCs/>
          <w:sz w:val="28"/>
          <w:szCs w:val="28"/>
        </w:rPr>
      </w:pPr>
      <w:r>
        <w:rPr>
          <w:rFonts w:hint="eastAsia" w:ascii="宋体" w:hAnsi="宋体"/>
          <w:b/>
          <w:bCs/>
          <w:sz w:val="28"/>
          <w:szCs w:val="28"/>
        </w:rPr>
        <w:t xml:space="preserve"> </w:t>
      </w:r>
    </w:p>
    <w:p>
      <w:pPr>
        <w:autoSpaceDE w:val="0"/>
        <w:autoSpaceDN w:val="0"/>
        <w:adjustRightInd w:val="0"/>
        <w:spacing w:line="360" w:lineRule="auto"/>
        <w:ind w:right="215"/>
        <w:rPr>
          <w:rFonts w:hint="eastAsia" w:ascii="宋体" w:hAnsi="宋体"/>
          <w:b/>
          <w:bCs/>
          <w:sz w:val="28"/>
          <w:szCs w:val="28"/>
        </w:rPr>
      </w:pPr>
      <w:r>
        <w:rPr>
          <w:rFonts w:hint="eastAsia" w:ascii="宋体" w:hAnsi="宋体"/>
          <w:b/>
          <w:bCs/>
          <w:sz w:val="28"/>
          <w:szCs w:val="28"/>
        </w:rPr>
        <w:t xml:space="preserve"> </w:t>
      </w:r>
    </w:p>
    <w:p>
      <w:pPr>
        <w:autoSpaceDE w:val="0"/>
        <w:autoSpaceDN w:val="0"/>
        <w:adjustRightInd w:val="0"/>
        <w:spacing w:line="360" w:lineRule="auto"/>
        <w:ind w:right="215"/>
        <w:rPr>
          <w:rFonts w:hint="eastAsia" w:ascii="宋体" w:hAnsi="宋体"/>
          <w:b/>
          <w:bCs/>
          <w:sz w:val="28"/>
          <w:szCs w:val="28"/>
        </w:rPr>
      </w:pPr>
      <w:r>
        <w:rPr>
          <w:rFonts w:hint="eastAsia" w:ascii="宋体" w:hAnsi="宋体"/>
          <w:b/>
          <w:bCs/>
          <w:sz w:val="28"/>
          <w:szCs w:val="28"/>
        </w:rPr>
        <w:t xml:space="preserve"> </w:t>
      </w:r>
    </w:p>
    <w:p>
      <w:pPr>
        <w:autoSpaceDE w:val="0"/>
        <w:autoSpaceDN w:val="0"/>
        <w:adjustRightInd w:val="0"/>
        <w:spacing w:line="360" w:lineRule="auto"/>
        <w:ind w:right="215"/>
        <w:rPr>
          <w:rFonts w:hint="eastAsia" w:ascii="宋体" w:hAnsi="宋体"/>
          <w:b/>
          <w:bCs/>
          <w:sz w:val="28"/>
          <w:szCs w:val="28"/>
        </w:rPr>
      </w:pPr>
      <w:r>
        <w:rPr>
          <w:rFonts w:hint="eastAsia" w:ascii="宋体" w:hAnsi="宋体"/>
          <w:b/>
          <w:bCs/>
          <w:sz w:val="28"/>
          <w:szCs w:val="28"/>
        </w:rPr>
        <w:t xml:space="preserve"> </w:t>
      </w:r>
    </w:p>
    <w:p>
      <w:pPr>
        <w:autoSpaceDE w:val="0"/>
        <w:autoSpaceDN w:val="0"/>
        <w:adjustRightInd w:val="0"/>
        <w:spacing w:line="360" w:lineRule="auto"/>
        <w:ind w:right="215"/>
        <w:rPr>
          <w:rFonts w:hint="eastAsia" w:ascii="宋体" w:hAnsi="宋体"/>
          <w:b/>
          <w:bCs/>
          <w:sz w:val="28"/>
          <w:szCs w:val="28"/>
        </w:rPr>
      </w:pPr>
      <w:r>
        <w:rPr>
          <w:rFonts w:hint="eastAsia" w:ascii="宋体" w:hAnsi="宋体"/>
          <w:b/>
          <w:bCs/>
          <w:sz w:val="28"/>
          <w:szCs w:val="28"/>
        </w:rPr>
        <w:t xml:space="preserve"> </w:t>
      </w:r>
    </w:p>
    <w:p>
      <w:pPr>
        <w:autoSpaceDE w:val="0"/>
        <w:autoSpaceDN w:val="0"/>
        <w:adjustRightInd w:val="0"/>
        <w:spacing w:line="360" w:lineRule="auto"/>
        <w:ind w:right="215"/>
        <w:rPr>
          <w:rFonts w:hint="eastAsia" w:ascii="宋体" w:hAnsi="宋体"/>
          <w:b/>
          <w:bCs/>
          <w:sz w:val="28"/>
          <w:szCs w:val="28"/>
        </w:rPr>
      </w:pPr>
      <w:r>
        <w:rPr>
          <w:rFonts w:hint="eastAsia" w:ascii="宋体" w:hAnsi="宋体"/>
          <w:b/>
          <w:bCs/>
          <w:sz w:val="28"/>
          <w:szCs w:val="28"/>
        </w:rPr>
        <w:t xml:space="preserve"> </w:t>
      </w:r>
    </w:p>
    <w:p>
      <w:pPr>
        <w:rPr>
          <w:rFonts w:hint="eastAsia"/>
        </w:rPr>
      </w:pPr>
      <w:r>
        <w:rPr>
          <w:rFonts w:hint="eastAsia"/>
        </w:rPr>
        <w:t xml:space="preserve"> </w:t>
      </w:r>
    </w:p>
    <w:p>
      <w:pPr>
        <w:pStyle w:val="7"/>
        <w:numPr>
          <w:ilvl w:val="0"/>
          <w:numId w:val="64"/>
        </w:numPr>
        <w:spacing w:before="0" w:after="0" w:line="360" w:lineRule="auto"/>
        <w:jc w:val="center"/>
        <w:rPr>
          <w:rFonts w:ascii="宋体" w:hAnsi="宋体" w:eastAsia="宋体"/>
        </w:rPr>
      </w:pPr>
      <w:r>
        <w:rPr>
          <w:rFonts w:hint="eastAsia"/>
        </w:rPr>
        <w:br w:type="page"/>
      </w:r>
      <w:bookmarkStart w:id="596" w:name="_Toc43198921"/>
      <w:r>
        <w:rPr>
          <w:rFonts w:hint="eastAsia" w:ascii="宋体" w:hAnsi="宋体" w:eastAsia="宋体"/>
        </w:rPr>
        <w:t>近年完成的类似项目情况表</w:t>
      </w:r>
      <w:bookmarkEnd w:id="596"/>
    </w:p>
    <w:p>
      <w:pPr>
        <w:rPr>
          <w:rFonts w:hint="eastAsia"/>
        </w:rPr>
      </w:pP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69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项目名称</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项目所在地</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招标人名称</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招标人地址</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招标人电话</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合同价格</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开工日期</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竣工日期</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承担的工作</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工程质量</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项目经理</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技术负责人</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pacing w:val="-20"/>
                <w:sz w:val="24"/>
              </w:rPr>
            </w:pPr>
            <w:r>
              <w:rPr>
                <w:rFonts w:hint="eastAsia" w:ascii="宋体" w:hAnsi="宋体"/>
                <w:spacing w:val="-20"/>
                <w:sz w:val="24"/>
              </w:rPr>
              <w:t>总监理工程师及电话</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项目描述</w:t>
            </w:r>
          </w:p>
        </w:tc>
        <w:tc>
          <w:tcPr>
            <w:tcW w:w="6982" w:type="dxa"/>
            <w:noWrap w:val="0"/>
            <w:vAlign w:val="center"/>
          </w:tcPr>
          <w:p>
            <w:pPr>
              <w:autoSpaceDE w:val="0"/>
              <w:autoSpaceDN w:val="0"/>
              <w:adjustRightInd w:val="0"/>
              <w:spacing w:line="360" w:lineRule="auto"/>
              <w:ind w:right="215"/>
              <w:rPr>
                <w:rFonts w:hint="eastAsia"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2378"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备注</w:t>
            </w:r>
          </w:p>
        </w:tc>
        <w:tc>
          <w:tcPr>
            <w:tcW w:w="6982" w:type="dxa"/>
            <w:noWrap w:val="0"/>
            <w:vAlign w:val="center"/>
          </w:tcPr>
          <w:p>
            <w:pPr>
              <w:autoSpaceDE w:val="0"/>
              <w:autoSpaceDN w:val="0"/>
              <w:adjustRightInd w:val="0"/>
              <w:spacing w:line="360" w:lineRule="auto"/>
              <w:ind w:right="215"/>
              <w:jc w:val="center"/>
              <w:rPr>
                <w:rFonts w:ascii="宋体" w:hAnsi="宋体" w:cs="Calibri"/>
                <w:sz w:val="24"/>
              </w:rPr>
            </w:pPr>
          </w:p>
          <w:p>
            <w:pPr>
              <w:autoSpaceDE w:val="0"/>
              <w:autoSpaceDN w:val="0"/>
              <w:adjustRightInd w:val="0"/>
              <w:spacing w:line="360" w:lineRule="auto"/>
              <w:ind w:right="215"/>
              <w:rPr>
                <w:rFonts w:ascii="宋体" w:hAnsi="宋体" w:cs="Calibri"/>
                <w:sz w:val="24"/>
              </w:rPr>
            </w:pPr>
          </w:p>
        </w:tc>
      </w:tr>
    </w:tbl>
    <w:p>
      <w:pPr>
        <w:pStyle w:val="18"/>
        <w:spacing w:line="360" w:lineRule="auto"/>
        <w:ind w:firstLine="480"/>
        <w:rPr>
          <w:rFonts w:hint="eastAsia"/>
          <w:color w:val="auto"/>
        </w:rPr>
      </w:pPr>
      <w:r>
        <w:rPr>
          <w:rFonts w:hint="eastAsia"/>
          <w:color w:val="auto"/>
        </w:rPr>
        <w:t>注：应附</w:t>
      </w:r>
      <w:r>
        <w:rPr>
          <w:rFonts w:hint="eastAsia"/>
          <w:snapToGrid w:val="0"/>
          <w:color w:val="auto"/>
        </w:rPr>
        <w:t>中标</w:t>
      </w:r>
      <w:r>
        <w:rPr>
          <w:rFonts w:hint="eastAsia"/>
          <w:color w:val="auto"/>
        </w:rPr>
        <w:t>公示网页截图、中标通知书、施工合同，具体年份要求见投标人须知前附表，每张表格只填写一个项目，并标明序号。</w:t>
      </w:r>
    </w:p>
    <w:p>
      <w:pPr>
        <w:pStyle w:val="18"/>
        <w:spacing w:line="360" w:lineRule="auto"/>
        <w:ind w:firstLine="480"/>
        <w:rPr>
          <w:color w:val="auto"/>
        </w:rPr>
      </w:pPr>
      <w:r>
        <w:rPr>
          <w:color w:val="auto"/>
        </w:rPr>
        <w:br w:type="page"/>
      </w:r>
    </w:p>
    <w:p>
      <w:pPr>
        <w:pStyle w:val="7"/>
        <w:numPr>
          <w:ilvl w:val="0"/>
          <w:numId w:val="64"/>
        </w:numPr>
        <w:spacing w:before="0" w:after="0" w:line="360" w:lineRule="auto"/>
        <w:jc w:val="center"/>
        <w:rPr>
          <w:rFonts w:hint="eastAsia" w:ascii="宋体" w:hAnsi="宋体" w:eastAsia="宋体"/>
        </w:rPr>
      </w:pPr>
      <w:bookmarkStart w:id="597" w:name="_Toc43198922"/>
      <w:r>
        <w:rPr>
          <w:rFonts w:hint="eastAsia" w:ascii="宋体" w:eastAsia="宋体"/>
          <w:bCs w:val="0"/>
        </w:rPr>
        <w:t>正在施工和新承接的类似项目情况表</w:t>
      </w:r>
      <w:bookmarkEnd w:id="597"/>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项目名称</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项目所在地</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招标人名称</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招标人地址</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招标人电话</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签约合同价</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开工日期</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计划竣工日期</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承担的工作</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工程质量</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项目经理</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技术负责人</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pacing w:val="-20"/>
                <w:sz w:val="24"/>
              </w:rPr>
            </w:pPr>
            <w:r>
              <w:rPr>
                <w:rFonts w:hint="eastAsia" w:ascii="宋体" w:hAnsi="宋体"/>
                <w:spacing w:val="-20"/>
                <w:sz w:val="24"/>
              </w:rPr>
              <w:t>总监理工程师及电话</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6"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项目描述</w:t>
            </w:r>
          </w:p>
        </w:tc>
        <w:tc>
          <w:tcPr>
            <w:tcW w:w="6727" w:type="dxa"/>
            <w:noWrap w:val="0"/>
            <w:vAlign w:val="center"/>
          </w:tcPr>
          <w:p>
            <w:pPr>
              <w:autoSpaceDE w:val="0"/>
              <w:autoSpaceDN w:val="0"/>
              <w:adjustRightInd w:val="0"/>
              <w:spacing w:line="360" w:lineRule="auto"/>
              <w:ind w:right="215"/>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备注</w:t>
            </w:r>
          </w:p>
        </w:tc>
        <w:tc>
          <w:tcPr>
            <w:tcW w:w="6727" w:type="dxa"/>
            <w:noWrap w:val="0"/>
            <w:vAlign w:val="center"/>
          </w:tcPr>
          <w:p>
            <w:pPr>
              <w:autoSpaceDE w:val="0"/>
              <w:autoSpaceDN w:val="0"/>
              <w:adjustRightInd w:val="0"/>
              <w:spacing w:line="360" w:lineRule="auto"/>
              <w:ind w:right="215"/>
              <w:jc w:val="center"/>
              <w:rPr>
                <w:rFonts w:ascii="宋体" w:hAnsi="宋体" w:cs="Calibri"/>
                <w:sz w:val="24"/>
              </w:rPr>
            </w:pPr>
          </w:p>
          <w:p>
            <w:pPr>
              <w:autoSpaceDE w:val="0"/>
              <w:autoSpaceDN w:val="0"/>
              <w:adjustRightInd w:val="0"/>
              <w:spacing w:line="360" w:lineRule="auto"/>
              <w:ind w:right="215"/>
              <w:rPr>
                <w:rFonts w:ascii="宋体" w:hAnsi="宋体" w:cs="Calibri"/>
                <w:sz w:val="24"/>
              </w:rPr>
            </w:pPr>
          </w:p>
        </w:tc>
      </w:tr>
    </w:tbl>
    <w:p>
      <w:pPr>
        <w:pStyle w:val="18"/>
        <w:spacing w:line="360" w:lineRule="auto"/>
        <w:rPr>
          <w:rFonts w:hint="eastAsia"/>
          <w:color w:val="auto"/>
        </w:rPr>
      </w:pPr>
      <w:r>
        <w:rPr>
          <w:rFonts w:hint="eastAsia"/>
          <w:color w:val="auto"/>
        </w:rPr>
        <w:t>注：应附</w:t>
      </w:r>
      <w:r>
        <w:rPr>
          <w:rFonts w:hint="eastAsia"/>
          <w:snapToGrid w:val="0"/>
          <w:color w:val="auto"/>
        </w:rPr>
        <w:t>中标</w:t>
      </w:r>
      <w:r>
        <w:rPr>
          <w:rFonts w:hint="eastAsia"/>
          <w:color w:val="auto"/>
        </w:rPr>
        <w:t>公示网页截图、中标通知书、施工合同，每张表格只填写一个项目，并标明序号。</w:t>
      </w:r>
    </w:p>
    <w:p>
      <w:pPr>
        <w:pStyle w:val="7"/>
        <w:numPr>
          <w:ilvl w:val="0"/>
          <w:numId w:val="64"/>
        </w:numPr>
        <w:spacing w:before="0" w:after="0" w:line="360" w:lineRule="auto"/>
        <w:jc w:val="center"/>
        <w:rPr>
          <w:rFonts w:hint="eastAsia" w:ascii="宋体" w:hAnsi="宋体" w:eastAsia="宋体"/>
        </w:rPr>
      </w:pPr>
      <w:r>
        <w:rPr>
          <w:rFonts w:hint="eastAsia" w:ascii="宋体" w:hAnsi="宋体"/>
          <w:b w:val="0"/>
          <w:bCs w:val="0"/>
          <w:sz w:val="24"/>
        </w:rPr>
        <w:br w:type="page"/>
      </w:r>
      <w:bookmarkStart w:id="598" w:name="_Toc43198923"/>
      <w:r>
        <w:rPr>
          <w:rFonts w:hint="eastAsia" w:ascii="宋体" w:hAnsi="宋体" w:eastAsia="宋体"/>
        </w:rPr>
        <w:t>近年发生的诉讼及仲裁情况</w:t>
      </w:r>
      <w:bookmarkEnd w:id="598"/>
    </w:p>
    <w:p>
      <w:pPr>
        <w:spacing w:line="360" w:lineRule="auto"/>
        <w:jc w:val="left"/>
        <w:rPr>
          <w:rFonts w:ascii="宋体" w:hAnsi="宋体"/>
          <w:b/>
          <w:bCs/>
          <w:sz w:val="32"/>
          <w:szCs w:val="32"/>
        </w:rPr>
      </w:pPr>
      <w:r>
        <w:rPr>
          <w:rFonts w:hint="eastAsia" w:ascii="宋体" w:hAnsi="宋体"/>
          <w:b/>
          <w:bCs/>
          <w:sz w:val="32"/>
          <w:szCs w:val="32"/>
        </w:rPr>
        <w:t xml:space="preserve"> </w:t>
      </w:r>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1703"/>
        <w:gridCol w:w="1703"/>
        <w:gridCol w:w="1448"/>
        <w:gridCol w:w="19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98" w:type="dxa"/>
            <w:noWrap w:val="0"/>
            <w:vAlign w:val="top"/>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类别</w:t>
            </w:r>
          </w:p>
        </w:tc>
        <w:tc>
          <w:tcPr>
            <w:tcW w:w="1703" w:type="dxa"/>
            <w:noWrap w:val="0"/>
            <w:vAlign w:val="top"/>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序号</w:t>
            </w:r>
          </w:p>
        </w:tc>
        <w:tc>
          <w:tcPr>
            <w:tcW w:w="1703" w:type="dxa"/>
            <w:noWrap w:val="0"/>
            <w:vAlign w:val="top"/>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发生时间</w:t>
            </w:r>
          </w:p>
        </w:tc>
        <w:tc>
          <w:tcPr>
            <w:tcW w:w="1448" w:type="dxa"/>
            <w:noWrap w:val="0"/>
            <w:vAlign w:val="top"/>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情况简介</w:t>
            </w:r>
          </w:p>
        </w:tc>
        <w:tc>
          <w:tcPr>
            <w:tcW w:w="1944" w:type="dxa"/>
            <w:noWrap w:val="0"/>
            <w:vAlign w:val="top"/>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证明材料索引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698" w:type="dxa"/>
            <w:vMerge w:val="restart"/>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诉讼</w:t>
            </w:r>
          </w:p>
          <w:p>
            <w:pPr>
              <w:autoSpaceDE w:val="0"/>
              <w:autoSpaceDN w:val="0"/>
              <w:adjustRightInd w:val="0"/>
              <w:spacing w:line="360" w:lineRule="auto"/>
              <w:ind w:right="215"/>
              <w:jc w:val="center"/>
              <w:rPr>
                <w:rFonts w:ascii="宋体" w:hAnsi="宋体" w:cs="Calibri"/>
                <w:sz w:val="24"/>
              </w:rPr>
            </w:pPr>
            <w:r>
              <w:rPr>
                <w:rFonts w:hint="eastAsia" w:ascii="宋体" w:hAnsi="宋体"/>
                <w:sz w:val="24"/>
              </w:rPr>
              <w:t>情况</w:t>
            </w:r>
          </w:p>
        </w:tc>
        <w:tc>
          <w:tcPr>
            <w:tcW w:w="1703" w:type="dxa"/>
            <w:noWrap w:val="0"/>
            <w:vAlign w:val="top"/>
          </w:tcPr>
          <w:p>
            <w:pPr>
              <w:autoSpaceDE w:val="0"/>
              <w:autoSpaceDN w:val="0"/>
              <w:adjustRightInd w:val="0"/>
              <w:spacing w:line="360" w:lineRule="auto"/>
              <w:ind w:right="215"/>
              <w:jc w:val="center"/>
              <w:rPr>
                <w:rFonts w:ascii="宋体" w:hAnsi="宋体" w:cs="Calibri"/>
                <w:sz w:val="24"/>
              </w:rPr>
            </w:pPr>
          </w:p>
        </w:tc>
        <w:tc>
          <w:tcPr>
            <w:tcW w:w="1703" w:type="dxa"/>
            <w:noWrap w:val="0"/>
            <w:vAlign w:val="top"/>
          </w:tcPr>
          <w:p>
            <w:pPr>
              <w:autoSpaceDE w:val="0"/>
              <w:autoSpaceDN w:val="0"/>
              <w:adjustRightInd w:val="0"/>
              <w:spacing w:line="360" w:lineRule="auto"/>
              <w:ind w:right="215"/>
              <w:jc w:val="center"/>
              <w:rPr>
                <w:rFonts w:ascii="宋体" w:hAnsi="宋体" w:cs="Calibri"/>
                <w:sz w:val="24"/>
              </w:rPr>
            </w:pPr>
          </w:p>
        </w:tc>
        <w:tc>
          <w:tcPr>
            <w:tcW w:w="1448" w:type="dxa"/>
            <w:noWrap w:val="0"/>
            <w:vAlign w:val="top"/>
          </w:tcPr>
          <w:p>
            <w:pPr>
              <w:autoSpaceDE w:val="0"/>
              <w:autoSpaceDN w:val="0"/>
              <w:adjustRightInd w:val="0"/>
              <w:spacing w:line="360" w:lineRule="auto"/>
              <w:ind w:right="215"/>
              <w:jc w:val="center"/>
              <w:rPr>
                <w:rFonts w:ascii="宋体" w:hAnsi="宋体" w:cs="Calibri"/>
                <w:sz w:val="24"/>
              </w:rPr>
            </w:pPr>
          </w:p>
        </w:tc>
        <w:tc>
          <w:tcPr>
            <w:tcW w:w="1944" w:type="dxa"/>
            <w:noWrap w:val="0"/>
            <w:vAlign w:val="top"/>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98" w:type="dxa"/>
            <w:vMerge w:val="continue"/>
            <w:noWrap w:val="0"/>
            <w:vAlign w:val="center"/>
          </w:tcPr>
          <w:p>
            <w:pPr>
              <w:widowControl/>
              <w:spacing w:line="360" w:lineRule="auto"/>
              <w:jc w:val="left"/>
              <w:rPr>
                <w:rFonts w:ascii="宋体" w:hAnsi="宋体" w:cs="Calibri"/>
                <w:sz w:val="24"/>
              </w:rPr>
            </w:pPr>
          </w:p>
        </w:tc>
        <w:tc>
          <w:tcPr>
            <w:tcW w:w="1703" w:type="dxa"/>
            <w:noWrap w:val="0"/>
            <w:vAlign w:val="top"/>
          </w:tcPr>
          <w:p>
            <w:pPr>
              <w:autoSpaceDE w:val="0"/>
              <w:autoSpaceDN w:val="0"/>
              <w:adjustRightInd w:val="0"/>
              <w:spacing w:line="360" w:lineRule="auto"/>
              <w:ind w:right="215"/>
              <w:jc w:val="center"/>
              <w:rPr>
                <w:rFonts w:ascii="宋体" w:hAnsi="宋体" w:cs="Calibri"/>
                <w:sz w:val="24"/>
              </w:rPr>
            </w:pPr>
          </w:p>
        </w:tc>
        <w:tc>
          <w:tcPr>
            <w:tcW w:w="1703" w:type="dxa"/>
            <w:noWrap w:val="0"/>
            <w:vAlign w:val="top"/>
          </w:tcPr>
          <w:p>
            <w:pPr>
              <w:autoSpaceDE w:val="0"/>
              <w:autoSpaceDN w:val="0"/>
              <w:adjustRightInd w:val="0"/>
              <w:spacing w:line="360" w:lineRule="auto"/>
              <w:ind w:right="215"/>
              <w:jc w:val="center"/>
              <w:rPr>
                <w:rFonts w:ascii="宋体" w:hAnsi="宋体" w:cs="Calibri"/>
                <w:sz w:val="24"/>
              </w:rPr>
            </w:pPr>
          </w:p>
        </w:tc>
        <w:tc>
          <w:tcPr>
            <w:tcW w:w="1448" w:type="dxa"/>
            <w:noWrap w:val="0"/>
            <w:vAlign w:val="top"/>
          </w:tcPr>
          <w:p>
            <w:pPr>
              <w:autoSpaceDE w:val="0"/>
              <w:autoSpaceDN w:val="0"/>
              <w:adjustRightInd w:val="0"/>
              <w:spacing w:line="360" w:lineRule="auto"/>
              <w:ind w:right="215"/>
              <w:jc w:val="center"/>
              <w:rPr>
                <w:rFonts w:ascii="宋体" w:hAnsi="宋体" w:cs="Calibri"/>
                <w:sz w:val="24"/>
              </w:rPr>
            </w:pPr>
          </w:p>
        </w:tc>
        <w:tc>
          <w:tcPr>
            <w:tcW w:w="1944" w:type="dxa"/>
            <w:noWrap w:val="0"/>
            <w:vAlign w:val="top"/>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98" w:type="dxa"/>
            <w:vMerge w:val="restart"/>
            <w:noWrap w:val="0"/>
            <w:vAlign w:val="center"/>
          </w:tcPr>
          <w:p>
            <w:pPr>
              <w:autoSpaceDE w:val="0"/>
              <w:autoSpaceDN w:val="0"/>
              <w:adjustRightInd w:val="0"/>
              <w:spacing w:line="360" w:lineRule="auto"/>
              <w:ind w:right="215"/>
              <w:jc w:val="center"/>
              <w:rPr>
                <w:rFonts w:ascii="宋体" w:hAnsi="宋体" w:cs="Calibri"/>
                <w:sz w:val="24"/>
              </w:rPr>
            </w:pPr>
            <w:r>
              <w:rPr>
                <w:rFonts w:hint="eastAsia" w:ascii="宋体" w:hAnsi="宋体"/>
                <w:sz w:val="24"/>
              </w:rPr>
              <w:t>仲裁</w:t>
            </w:r>
          </w:p>
          <w:p>
            <w:pPr>
              <w:autoSpaceDE w:val="0"/>
              <w:autoSpaceDN w:val="0"/>
              <w:adjustRightInd w:val="0"/>
              <w:spacing w:line="360" w:lineRule="auto"/>
              <w:ind w:right="215"/>
              <w:jc w:val="center"/>
              <w:rPr>
                <w:rFonts w:ascii="宋体" w:hAnsi="宋体" w:cs="Calibri"/>
                <w:sz w:val="24"/>
              </w:rPr>
            </w:pPr>
            <w:r>
              <w:rPr>
                <w:rFonts w:hint="eastAsia" w:ascii="宋体" w:hAnsi="宋体"/>
                <w:sz w:val="24"/>
              </w:rPr>
              <w:t>情况</w:t>
            </w:r>
          </w:p>
        </w:tc>
        <w:tc>
          <w:tcPr>
            <w:tcW w:w="1703" w:type="dxa"/>
            <w:noWrap w:val="0"/>
            <w:vAlign w:val="top"/>
          </w:tcPr>
          <w:p>
            <w:pPr>
              <w:autoSpaceDE w:val="0"/>
              <w:autoSpaceDN w:val="0"/>
              <w:adjustRightInd w:val="0"/>
              <w:spacing w:line="360" w:lineRule="auto"/>
              <w:ind w:right="215"/>
              <w:jc w:val="center"/>
              <w:rPr>
                <w:rFonts w:ascii="宋体" w:hAnsi="宋体" w:cs="Calibri"/>
                <w:sz w:val="24"/>
              </w:rPr>
            </w:pPr>
          </w:p>
        </w:tc>
        <w:tc>
          <w:tcPr>
            <w:tcW w:w="1703" w:type="dxa"/>
            <w:noWrap w:val="0"/>
            <w:vAlign w:val="top"/>
          </w:tcPr>
          <w:p>
            <w:pPr>
              <w:autoSpaceDE w:val="0"/>
              <w:autoSpaceDN w:val="0"/>
              <w:adjustRightInd w:val="0"/>
              <w:spacing w:line="360" w:lineRule="auto"/>
              <w:ind w:right="215"/>
              <w:jc w:val="center"/>
              <w:rPr>
                <w:rFonts w:ascii="宋体" w:hAnsi="宋体" w:cs="Calibri"/>
                <w:sz w:val="24"/>
              </w:rPr>
            </w:pPr>
          </w:p>
        </w:tc>
        <w:tc>
          <w:tcPr>
            <w:tcW w:w="1448" w:type="dxa"/>
            <w:noWrap w:val="0"/>
            <w:vAlign w:val="top"/>
          </w:tcPr>
          <w:p>
            <w:pPr>
              <w:autoSpaceDE w:val="0"/>
              <w:autoSpaceDN w:val="0"/>
              <w:adjustRightInd w:val="0"/>
              <w:spacing w:line="360" w:lineRule="auto"/>
              <w:ind w:right="215"/>
              <w:jc w:val="center"/>
              <w:rPr>
                <w:rFonts w:ascii="宋体" w:hAnsi="宋体" w:cs="Calibri"/>
                <w:sz w:val="24"/>
              </w:rPr>
            </w:pPr>
          </w:p>
        </w:tc>
        <w:tc>
          <w:tcPr>
            <w:tcW w:w="1944" w:type="dxa"/>
            <w:noWrap w:val="0"/>
            <w:vAlign w:val="top"/>
          </w:tcPr>
          <w:p>
            <w:pPr>
              <w:autoSpaceDE w:val="0"/>
              <w:autoSpaceDN w:val="0"/>
              <w:adjustRightInd w:val="0"/>
              <w:spacing w:line="360" w:lineRule="auto"/>
              <w:ind w:right="215"/>
              <w:jc w:val="center"/>
              <w:rPr>
                <w:rFonts w:ascii="宋体" w:hAnsi="宋体" w:cs="Calibri"/>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98" w:type="dxa"/>
            <w:vMerge w:val="continue"/>
            <w:noWrap w:val="0"/>
            <w:vAlign w:val="center"/>
          </w:tcPr>
          <w:p>
            <w:pPr>
              <w:widowControl/>
              <w:spacing w:line="360" w:lineRule="auto"/>
              <w:jc w:val="left"/>
              <w:rPr>
                <w:rFonts w:ascii="宋体" w:hAnsi="宋体" w:cs="Calibri"/>
                <w:sz w:val="24"/>
              </w:rPr>
            </w:pPr>
          </w:p>
        </w:tc>
        <w:tc>
          <w:tcPr>
            <w:tcW w:w="1703" w:type="dxa"/>
            <w:noWrap w:val="0"/>
            <w:vAlign w:val="top"/>
          </w:tcPr>
          <w:p>
            <w:pPr>
              <w:autoSpaceDE w:val="0"/>
              <w:autoSpaceDN w:val="0"/>
              <w:adjustRightInd w:val="0"/>
              <w:spacing w:line="360" w:lineRule="auto"/>
              <w:ind w:right="215"/>
              <w:jc w:val="center"/>
              <w:rPr>
                <w:rFonts w:ascii="宋体" w:hAnsi="宋体" w:cs="Calibri"/>
                <w:sz w:val="24"/>
              </w:rPr>
            </w:pPr>
          </w:p>
        </w:tc>
        <w:tc>
          <w:tcPr>
            <w:tcW w:w="1703" w:type="dxa"/>
            <w:noWrap w:val="0"/>
            <w:vAlign w:val="top"/>
          </w:tcPr>
          <w:p>
            <w:pPr>
              <w:autoSpaceDE w:val="0"/>
              <w:autoSpaceDN w:val="0"/>
              <w:adjustRightInd w:val="0"/>
              <w:spacing w:line="360" w:lineRule="auto"/>
              <w:ind w:right="215"/>
              <w:jc w:val="center"/>
              <w:rPr>
                <w:rFonts w:ascii="宋体" w:hAnsi="宋体" w:cs="Calibri"/>
                <w:sz w:val="24"/>
              </w:rPr>
            </w:pPr>
          </w:p>
        </w:tc>
        <w:tc>
          <w:tcPr>
            <w:tcW w:w="1448" w:type="dxa"/>
            <w:noWrap w:val="0"/>
            <w:vAlign w:val="top"/>
          </w:tcPr>
          <w:p>
            <w:pPr>
              <w:autoSpaceDE w:val="0"/>
              <w:autoSpaceDN w:val="0"/>
              <w:adjustRightInd w:val="0"/>
              <w:spacing w:line="360" w:lineRule="auto"/>
              <w:ind w:right="215"/>
              <w:jc w:val="center"/>
              <w:rPr>
                <w:rFonts w:ascii="宋体" w:hAnsi="宋体" w:cs="Calibri"/>
                <w:sz w:val="24"/>
              </w:rPr>
            </w:pPr>
          </w:p>
        </w:tc>
        <w:tc>
          <w:tcPr>
            <w:tcW w:w="1944" w:type="dxa"/>
            <w:noWrap w:val="0"/>
            <w:vAlign w:val="top"/>
          </w:tcPr>
          <w:p>
            <w:pPr>
              <w:autoSpaceDE w:val="0"/>
              <w:autoSpaceDN w:val="0"/>
              <w:adjustRightInd w:val="0"/>
              <w:spacing w:line="360" w:lineRule="auto"/>
              <w:ind w:right="215"/>
              <w:jc w:val="center"/>
              <w:rPr>
                <w:rFonts w:ascii="宋体" w:hAnsi="宋体" w:cs="Calibri"/>
                <w:sz w:val="24"/>
              </w:rPr>
            </w:pPr>
          </w:p>
        </w:tc>
      </w:tr>
    </w:tbl>
    <w:p>
      <w:pPr>
        <w:spacing w:line="360" w:lineRule="auto"/>
        <w:rPr>
          <w:rFonts w:hint="eastAsia"/>
          <w:sz w:val="24"/>
        </w:rPr>
      </w:pPr>
      <w:r>
        <w:rPr>
          <w:rFonts w:hint="eastAsia"/>
          <w:sz w:val="24"/>
        </w:rPr>
        <w:t>注：投标人</w:t>
      </w:r>
      <w:r>
        <w:rPr>
          <w:rFonts w:hint="eastAsia" w:hAnsi="宋体" w:cs="宋体"/>
          <w:sz w:val="24"/>
        </w:rPr>
        <w:t>应说明情况，并附法院或仲裁机构作出的判决、裁决等有关法律文书说明原件扫描件或图片，</w:t>
      </w:r>
      <w:r>
        <w:rPr>
          <w:rFonts w:hint="eastAsia" w:ascii="宋体" w:hAnsi="宋体"/>
          <w:sz w:val="24"/>
        </w:rPr>
        <w:t>具体年份要求见投标人须知前附表。</w:t>
      </w:r>
    </w:p>
    <w:p>
      <w:pPr>
        <w:spacing w:line="360" w:lineRule="auto"/>
        <w:jc w:val="left"/>
        <w:rPr>
          <w:rFonts w:hint="eastAsia" w:ascii="宋体" w:hAnsi="宋体"/>
          <w:b/>
          <w:bCs/>
          <w:sz w:val="32"/>
          <w:szCs w:val="32"/>
        </w:rPr>
      </w:pPr>
    </w:p>
    <w:p>
      <w:pPr>
        <w:autoSpaceDE w:val="0"/>
        <w:autoSpaceDN w:val="0"/>
        <w:adjustRightInd w:val="0"/>
        <w:spacing w:line="360" w:lineRule="auto"/>
        <w:ind w:right="215"/>
        <w:jc w:val="center"/>
        <w:rPr>
          <w:rFonts w:hint="eastAsia" w:ascii="宋体" w:hAnsi="宋体"/>
          <w:b/>
          <w:bCs/>
          <w:sz w:val="32"/>
          <w:szCs w:val="32"/>
        </w:rPr>
      </w:pPr>
      <w:r>
        <w:rPr>
          <w:rFonts w:hint="eastAsia" w:ascii="宋体" w:hAnsi="宋体"/>
          <w:b/>
          <w:bCs/>
          <w:sz w:val="32"/>
          <w:szCs w:val="32"/>
        </w:rPr>
        <w:t xml:space="preserve"> </w:t>
      </w:r>
    </w:p>
    <w:p>
      <w:pPr>
        <w:autoSpaceDE w:val="0"/>
        <w:autoSpaceDN w:val="0"/>
        <w:adjustRightInd w:val="0"/>
        <w:spacing w:line="360" w:lineRule="auto"/>
        <w:ind w:right="215"/>
        <w:jc w:val="center"/>
        <w:rPr>
          <w:rFonts w:hint="eastAsia" w:ascii="宋体" w:hAnsi="宋体"/>
          <w:b/>
          <w:bCs/>
          <w:sz w:val="32"/>
          <w:szCs w:val="32"/>
        </w:rPr>
      </w:pPr>
      <w:r>
        <w:rPr>
          <w:rFonts w:hint="eastAsia" w:ascii="宋体" w:hAnsi="宋体"/>
          <w:b/>
          <w:bCs/>
          <w:sz w:val="32"/>
          <w:szCs w:val="32"/>
        </w:rPr>
        <w:t xml:space="preserve"> </w:t>
      </w:r>
    </w:p>
    <w:p>
      <w:pPr>
        <w:autoSpaceDE w:val="0"/>
        <w:autoSpaceDN w:val="0"/>
        <w:adjustRightInd w:val="0"/>
        <w:spacing w:line="360" w:lineRule="auto"/>
        <w:ind w:right="215"/>
        <w:jc w:val="center"/>
        <w:rPr>
          <w:rFonts w:hint="eastAsia" w:ascii="宋体" w:hAnsi="宋体"/>
          <w:b/>
          <w:bCs/>
          <w:sz w:val="32"/>
          <w:szCs w:val="32"/>
        </w:rPr>
      </w:pPr>
      <w:r>
        <w:rPr>
          <w:rFonts w:hint="eastAsia" w:ascii="宋体" w:hAnsi="宋体"/>
          <w:b/>
          <w:bCs/>
          <w:sz w:val="32"/>
          <w:szCs w:val="32"/>
        </w:rPr>
        <w:t xml:space="preserve"> </w:t>
      </w:r>
    </w:p>
    <w:p>
      <w:pPr>
        <w:autoSpaceDE w:val="0"/>
        <w:autoSpaceDN w:val="0"/>
        <w:adjustRightInd w:val="0"/>
        <w:spacing w:line="360" w:lineRule="auto"/>
        <w:ind w:right="215"/>
        <w:jc w:val="center"/>
        <w:rPr>
          <w:rFonts w:ascii="宋体" w:hAnsi="宋体"/>
          <w:b/>
          <w:bCs/>
          <w:sz w:val="32"/>
          <w:szCs w:val="32"/>
        </w:rPr>
      </w:pPr>
      <w:r>
        <w:rPr>
          <w:rFonts w:hint="eastAsia" w:ascii="宋体" w:hAnsi="宋体"/>
          <w:b/>
          <w:bCs/>
          <w:sz w:val="32"/>
          <w:szCs w:val="32"/>
        </w:rPr>
        <w:t xml:space="preserve"> </w:t>
      </w:r>
    </w:p>
    <w:p>
      <w:pPr>
        <w:autoSpaceDE w:val="0"/>
        <w:autoSpaceDN w:val="0"/>
        <w:adjustRightInd w:val="0"/>
        <w:spacing w:line="360" w:lineRule="auto"/>
        <w:ind w:right="215"/>
        <w:jc w:val="center"/>
        <w:rPr>
          <w:rFonts w:hint="eastAsia" w:ascii="宋体" w:hAnsi="宋体"/>
          <w:b/>
          <w:bCs/>
          <w:sz w:val="32"/>
          <w:szCs w:val="32"/>
        </w:rPr>
      </w:pPr>
      <w:r>
        <w:rPr>
          <w:rFonts w:ascii="宋体" w:hAnsi="宋体"/>
          <w:b/>
          <w:bCs/>
          <w:sz w:val="32"/>
          <w:szCs w:val="32"/>
        </w:rPr>
        <w:br w:type="page"/>
      </w:r>
    </w:p>
    <w:p>
      <w:pPr>
        <w:pStyle w:val="7"/>
        <w:numPr>
          <w:ilvl w:val="0"/>
          <w:numId w:val="64"/>
        </w:numPr>
        <w:spacing w:before="0" w:after="0" w:line="360" w:lineRule="auto"/>
        <w:jc w:val="center"/>
        <w:rPr>
          <w:rFonts w:hint="eastAsia" w:ascii="宋体" w:hAnsi="宋体" w:eastAsia="宋体"/>
        </w:rPr>
      </w:pPr>
      <w:bookmarkStart w:id="599" w:name="_Toc43198924"/>
      <w:r>
        <w:rPr>
          <w:rFonts w:hint="eastAsia" w:ascii="宋体" w:hAnsi="宋体" w:eastAsia="宋体"/>
        </w:rPr>
        <w:t>其它材料</w:t>
      </w:r>
      <w:bookmarkEnd w:id="599"/>
    </w:p>
    <w:p>
      <w:pPr>
        <w:spacing w:line="360" w:lineRule="auto"/>
        <w:rPr>
          <w:rFonts w:hint="eastAsia" w:ascii="宋体" w:hAnsi="宋体"/>
          <w:szCs w:val="21"/>
        </w:rPr>
      </w:pPr>
      <w:r>
        <w:rPr>
          <w:rFonts w:hint="eastAsia" w:ascii="宋体" w:hAnsi="宋体"/>
        </w:rPr>
        <w:t xml:space="preserve"> </w:t>
      </w:r>
    </w:p>
    <w:p>
      <w:pPr>
        <w:numPr>
          <w:ilvl w:val="0"/>
          <w:numId w:val="65"/>
        </w:numPr>
        <w:spacing w:line="360" w:lineRule="auto"/>
        <w:ind w:firstLine="424" w:firstLineChars="177"/>
        <w:rPr>
          <w:rFonts w:hint="eastAsia" w:ascii="宋体" w:hAnsi="宋体"/>
          <w:sz w:val="24"/>
        </w:rPr>
      </w:pPr>
      <w:r>
        <w:rPr>
          <w:rFonts w:hint="eastAsia" w:ascii="宋体" w:hAnsi="宋体"/>
          <w:sz w:val="24"/>
        </w:rPr>
        <w:t>招标文件要求的其他资料</w:t>
      </w:r>
    </w:p>
    <w:p>
      <w:pPr>
        <w:numPr>
          <w:ilvl w:val="0"/>
          <w:numId w:val="65"/>
        </w:numPr>
        <w:spacing w:line="360" w:lineRule="auto"/>
        <w:ind w:firstLine="424" w:firstLineChars="177"/>
        <w:rPr>
          <w:rFonts w:hint="eastAsia" w:ascii="宋体" w:hAnsi="宋体"/>
          <w:sz w:val="24"/>
        </w:rPr>
      </w:pPr>
      <w:r>
        <w:rPr>
          <w:rFonts w:hint="eastAsia" w:ascii="宋体" w:hAnsi="宋体"/>
          <w:sz w:val="24"/>
        </w:rPr>
        <w:t>投标人认为需要补充的资料</w:t>
      </w:r>
    </w:p>
    <w:p>
      <w:pPr>
        <w:spacing w:line="360" w:lineRule="auto"/>
        <w:rPr>
          <w:rFonts w:ascii="宋体" w:hAnsi="宋体"/>
          <w:sz w:val="20"/>
          <w:szCs w:val="20"/>
        </w:rPr>
      </w:pPr>
      <w:r>
        <w:rPr>
          <w:rFonts w:hint="eastAsia" w:ascii="宋体" w:hAnsi="宋体"/>
        </w:rPr>
        <w:br w:type="page"/>
      </w:r>
    </w:p>
    <w:tbl>
      <w:tblPr>
        <w:tblStyle w:val="13"/>
        <w:tblW w:w="8659" w:type="dxa"/>
        <w:jc w:val="center"/>
        <w:tblLayout w:type="autofit"/>
        <w:tblCellMar>
          <w:top w:w="0" w:type="dxa"/>
          <w:left w:w="108" w:type="dxa"/>
          <w:bottom w:w="0" w:type="dxa"/>
          <w:right w:w="108" w:type="dxa"/>
        </w:tblCellMar>
      </w:tblPr>
      <w:tblGrid>
        <w:gridCol w:w="2660"/>
        <w:gridCol w:w="2410"/>
        <w:gridCol w:w="1321"/>
        <w:gridCol w:w="2268"/>
      </w:tblGrid>
      <w:tr>
        <w:tblPrEx>
          <w:tblCellMar>
            <w:top w:w="0" w:type="dxa"/>
            <w:left w:w="108" w:type="dxa"/>
            <w:bottom w:w="0" w:type="dxa"/>
            <w:right w:w="108" w:type="dxa"/>
          </w:tblCellMar>
        </w:tblPrEx>
        <w:trPr>
          <w:jc w:val="center"/>
        </w:trPr>
        <w:tc>
          <w:tcPr>
            <w:tcW w:w="2660" w:type="dxa"/>
            <w:tcBorders>
              <w:bottom w:val="single" w:color="auto" w:sz="8" w:space="0"/>
            </w:tcBorders>
            <w:noWrap w:val="0"/>
            <w:vAlign w:val="top"/>
          </w:tcPr>
          <w:p>
            <w:pPr>
              <w:spacing w:line="360" w:lineRule="auto"/>
              <w:jc w:val="center"/>
              <w:rPr>
                <w:rFonts w:ascii="宋体" w:hAnsi="宋体"/>
                <w:b/>
                <w:bCs/>
                <w:sz w:val="36"/>
                <w:szCs w:val="36"/>
              </w:rPr>
            </w:pPr>
          </w:p>
        </w:tc>
        <w:tc>
          <w:tcPr>
            <w:tcW w:w="2410" w:type="dxa"/>
            <w:noWrap w:val="0"/>
            <w:vAlign w:val="top"/>
          </w:tcPr>
          <w:p>
            <w:pPr>
              <w:spacing w:line="360" w:lineRule="auto"/>
              <w:jc w:val="center"/>
              <w:rPr>
                <w:rFonts w:ascii="宋体" w:hAnsi="宋体"/>
                <w:b/>
                <w:bCs/>
                <w:sz w:val="36"/>
                <w:szCs w:val="36"/>
              </w:rPr>
            </w:pPr>
            <w:r>
              <w:rPr>
                <w:rFonts w:hint="eastAsia" w:ascii="宋体" w:hAnsi="宋体"/>
                <w:b/>
                <w:bCs/>
                <w:sz w:val="36"/>
                <w:szCs w:val="36"/>
              </w:rPr>
              <w:t>（项目名称）</w:t>
            </w:r>
          </w:p>
        </w:tc>
        <w:tc>
          <w:tcPr>
            <w:tcW w:w="1321" w:type="dxa"/>
            <w:tcBorders>
              <w:bottom w:val="single" w:color="auto" w:sz="8" w:space="0"/>
            </w:tcBorders>
            <w:noWrap w:val="0"/>
            <w:vAlign w:val="top"/>
          </w:tcPr>
          <w:p>
            <w:pPr>
              <w:spacing w:line="360" w:lineRule="auto"/>
              <w:jc w:val="center"/>
              <w:rPr>
                <w:rFonts w:ascii="宋体" w:hAnsi="宋体"/>
                <w:b/>
                <w:bCs/>
                <w:sz w:val="36"/>
                <w:szCs w:val="36"/>
              </w:rPr>
            </w:pPr>
          </w:p>
        </w:tc>
        <w:tc>
          <w:tcPr>
            <w:tcW w:w="2268" w:type="dxa"/>
            <w:noWrap w:val="0"/>
            <w:vAlign w:val="top"/>
          </w:tcPr>
          <w:p>
            <w:pPr>
              <w:spacing w:line="360" w:lineRule="auto"/>
              <w:jc w:val="center"/>
              <w:rPr>
                <w:rFonts w:ascii="宋体" w:hAnsi="宋体"/>
                <w:b/>
                <w:bCs/>
                <w:sz w:val="36"/>
                <w:szCs w:val="36"/>
              </w:rPr>
            </w:pPr>
            <w:r>
              <w:rPr>
                <w:rFonts w:hint="eastAsia" w:ascii="宋体" w:hAnsi="宋体"/>
                <w:b/>
                <w:bCs/>
                <w:sz w:val="36"/>
                <w:szCs w:val="36"/>
              </w:rPr>
              <w:t>（标段名称）</w:t>
            </w:r>
          </w:p>
        </w:tc>
      </w:tr>
    </w:tbl>
    <w:p>
      <w:pPr>
        <w:rPr>
          <w:rFonts w:hint="eastAsia"/>
        </w:rPr>
      </w:pPr>
    </w:p>
    <w:p>
      <w:pPr>
        <w:spacing w:line="360" w:lineRule="auto"/>
        <w:rPr>
          <w:rFonts w:hint="eastAsia" w:ascii="宋体" w:hAnsi="宋体"/>
          <w:sz w:val="24"/>
        </w:rPr>
      </w:pPr>
    </w:p>
    <w:p>
      <w:pPr>
        <w:spacing w:line="360" w:lineRule="auto"/>
        <w:ind w:left="180"/>
        <w:jc w:val="center"/>
        <w:rPr>
          <w:rFonts w:hint="eastAsia" w:ascii="宋体" w:hAnsi="宋体"/>
          <w:b/>
          <w:bCs/>
          <w:sz w:val="52"/>
          <w:szCs w:val="52"/>
        </w:rPr>
      </w:pPr>
      <w:r>
        <w:rPr>
          <w:rFonts w:hint="eastAsia" w:ascii="宋体" w:hAnsi="宋体"/>
          <w:b/>
          <w:bCs/>
          <w:sz w:val="52"/>
          <w:szCs w:val="52"/>
        </w:rPr>
        <w:t xml:space="preserve"> </w:t>
      </w:r>
    </w:p>
    <w:p>
      <w:pPr>
        <w:spacing w:line="360" w:lineRule="auto"/>
        <w:ind w:left="180"/>
        <w:jc w:val="center"/>
        <w:rPr>
          <w:rFonts w:hint="eastAsia" w:ascii="宋体" w:hAnsi="宋体"/>
          <w:b/>
          <w:bCs/>
          <w:sz w:val="72"/>
          <w:szCs w:val="72"/>
        </w:rPr>
      </w:pPr>
      <w:r>
        <w:rPr>
          <w:rFonts w:hint="eastAsia" w:ascii="宋体" w:hAnsi="宋体"/>
          <w:b/>
          <w:bCs/>
          <w:sz w:val="72"/>
          <w:szCs w:val="72"/>
        </w:rPr>
        <w:t>投 标 文 件</w:t>
      </w:r>
    </w:p>
    <w:p>
      <w:pPr>
        <w:spacing w:before="156" w:beforeLines="50" w:after="156" w:afterLines="50" w:line="360" w:lineRule="auto"/>
        <w:ind w:left="181"/>
        <w:jc w:val="center"/>
        <w:rPr>
          <w:rFonts w:hint="eastAsia" w:ascii="宋体" w:hAnsi="宋体"/>
          <w:sz w:val="36"/>
          <w:szCs w:val="36"/>
        </w:rPr>
      </w:pPr>
      <w:r>
        <w:rPr>
          <w:rFonts w:hint="eastAsia" w:ascii="宋体" w:hAnsi="宋体"/>
          <w:sz w:val="36"/>
          <w:szCs w:val="36"/>
        </w:rPr>
        <w:t>（技术标）</w:t>
      </w:r>
    </w:p>
    <w:p>
      <w:pPr>
        <w:spacing w:line="360" w:lineRule="auto"/>
        <w:jc w:val="center"/>
        <w:rPr>
          <w:rFonts w:ascii="宋体" w:hAnsi="宋体"/>
          <w:b/>
          <w:bCs/>
          <w:sz w:val="32"/>
          <w:szCs w:val="32"/>
        </w:rPr>
      </w:pPr>
      <w:r>
        <w:rPr>
          <w:rFonts w:hint="eastAsia" w:ascii="宋体" w:hAnsi="宋体"/>
          <w:sz w:val="24"/>
        </w:rPr>
        <w:t xml:space="preserve"> </w:t>
      </w:r>
    </w:p>
    <w:tbl>
      <w:tblPr>
        <w:tblStyle w:val="13"/>
        <w:tblW w:w="0" w:type="auto"/>
        <w:jc w:val="center"/>
        <w:tblLayout w:type="autofit"/>
        <w:tblCellMar>
          <w:top w:w="0" w:type="dxa"/>
          <w:left w:w="108" w:type="dxa"/>
          <w:bottom w:w="0" w:type="dxa"/>
          <w:right w:w="108" w:type="dxa"/>
        </w:tblCellMar>
      </w:tblPr>
      <w:tblGrid>
        <w:gridCol w:w="1809"/>
        <w:gridCol w:w="2835"/>
      </w:tblGrid>
      <w:tr>
        <w:tblPrEx>
          <w:tblCellMar>
            <w:top w:w="0" w:type="dxa"/>
            <w:left w:w="108" w:type="dxa"/>
            <w:bottom w:w="0" w:type="dxa"/>
            <w:right w:w="108" w:type="dxa"/>
          </w:tblCellMar>
        </w:tblPrEx>
        <w:trPr>
          <w:jc w:val="center"/>
        </w:trPr>
        <w:tc>
          <w:tcPr>
            <w:tcW w:w="1809" w:type="dxa"/>
            <w:noWrap w:val="0"/>
            <w:vAlign w:val="top"/>
          </w:tcPr>
          <w:p>
            <w:pPr>
              <w:spacing w:line="360" w:lineRule="auto"/>
              <w:jc w:val="center"/>
              <w:rPr>
                <w:rFonts w:hint="eastAsia" w:ascii="宋体" w:hAnsi="宋体"/>
                <w:b/>
                <w:bCs/>
                <w:sz w:val="30"/>
                <w:szCs w:val="30"/>
              </w:rPr>
            </w:pPr>
            <w:r>
              <w:rPr>
                <w:rFonts w:hint="eastAsia" w:ascii="宋体" w:hAnsi="宋体"/>
                <w:b/>
                <w:bCs/>
                <w:sz w:val="30"/>
                <w:szCs w:val="30"/>
              </w:rPr>
              <w:t>项目编号：</w:t>
            </w:r>
          </w:p>
        </w:tc>
        <w:tc>
          <w:tcPr>
            <w:tcW w:w="2835" w:type="dxa"/>
            <w:tcBorders>
              <w:bottom w:val="single" w:color="auto" w:sz="8" w:space="0"/>
            </w:tcBorders>
            <w:noWrap w:val="0"/>
            <w:vAlign w:val="top"/>
          </w:tcPr>
          <w:p>
            <w:pPr>
              <w:spacing w:line="360" w:lineRule="auto"/>
              <w:jc w:val="center"/>
              <w:rPr>
                <w:rFonts w:hint="eastAsia" w:ascii="宋体" w:hAnsi="宋体"/>
                <w:b/>
                <w:bCs/>
                <w:sz w:val="32"/>
                <w:szCs w:val="32"/>
              </w:rPr>
            </w:pPr>
          </w:p>
        </w:tc>
      </w:tr>
    </w:tbl>
    <w:p>
      <w:pPr>
        <w:spacing w:line="360" w:lineRule="auto"/>
        <w:ind w:left="180"/>
        <w:rPr>
          <w:rFonts w:hint="eastAsia" w:ascii="宋体" w:hAnsi="宋体"/>
          <w:sz w:val="24"/>
        </w:rPr>
      </w:pP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ind w:left="180"/>
        <w:rPr>
          <w:rFonts w:hint="eastAsia" w:ascii="宋体" w:hAnsi="宋体"/>
          <w:sz w:val="24"/>
        </w:rPr>
      </w:pPr>
      <w:r>
        <w:rPr>
          <w:rFonts w:hint="eastAsia" w:ascii="宋体" w:hAnsi="宋体"/>
          <w:sz w:val="24"/>
        </w:rPr>
        <w:t xml:space="preserve"> </w:t>
      </w:r>
    </w:p>
    <w:p>
      <w:pPr>
        <w:spacing w:line="360" w:lineRule="auto"/>
        <w:jc w:val="center"/>
        <w:rPr>
          <w:rFonts w:hint="eastAsia" w:ascii="宋体" w:hAnsi="宋体"/>
          <w:b/>
          <w:bCs/>
          <w:sz w:val="32"/>
          <w:szCs w:val="32"/>
        </w:rPr>
      </w:pPr>
      <w:r>
        <w:rPr>
          <w:rFonts w:hint="eastAsia" w:ascii="宋体" w:hAnsi="宋体"/>
          <w:b/>
          <w:bCs/>
          <w:sz w:val="32"/>
          <w:szCs w:val="32"/>
        </w:rPr>
        <w:t>投标人:</w:t>
      </w:r>
      <w:r>
        <w:rPr>
          <w:rFonts w:hint="eastAsia" w:ascii="宋体" w:hAnsi="宋体"/>
          <w:b/>
          <w:bCs/>
          <w:sz w:val="32"/>
          <w:szCs w:val="32"/>
          <w:u w:val="single"/>
        </w:rPr>
        <w:t xml:space="preserve">                            </w:t>
      </w:r>
      <w:r>
        <w:rPr>
          <w:rFonts w:hint="eastAsia" w:ascii="宋体" w:hAnsi="宋体"/>
          <w:b/>
          <w:bCs/>
          <w:sz w:val="32"/>
          <w:szCs w:val="32"/>
        </w:rPr>
        <w:t>(盖单位公章)</w:t>
      </w:r>
    </w:p>
    <w:p>
      <w:pPr>
        <w:spacing w:line="360" w:lineRule="auto"/>
        <w:jc w:val="center"/>
        <w:rPr>
          <w:rFonts w:hint="eastAsia" w:ascii="宋体" w:hAnsi="宋体"/>
          <w:b/>
          <w:bCs/>
          <w:sz w:val="32"/>
          <w:szCs w:val="32"/>
        </w:rPr>
      </w:pPr>
      <w:r>
        <w:rPr>
          <w:rFonts w:hint="eastAsia" w:ascii="宋体" w:hAnsi="宋体"/>
          <w:b/>
          <w:bCs/>
          <w:sz w:val="32"/>
          <w:szCs w:val="32"/>
        </w:rPr>
        <w:t>法定代表人或其委托代理人:</w:t>
      </w:r>
      <w:r>
        <w:rPr>
          <w:rFonts w:hint="eastAsia" w:ascii="宋体" w:hAnsi="宋体"/>
          <w:b/>
          <w:bCs/>
          <w:sz w:val="32"/>
          <w:szCs w:val="32"/>
          <w:u w:val="single"/>
        </w:rPr>
        <w:t xml:space="preserve">             </w:t>
      </w:r>
      <w:r>
        <w:rPr>
          <w:rFonts w:hint="eastAsia" w:ascii="宋体" w:hAnsi="宋体"/>
          <w:b/>
          <w:bCs/>
          <w:sz w:val="32"/>
          <w:szCs w:val="32"/>
        </w:rPr>
        <w:t>(签字或盖章)</w:t>
      </w:r>
    </w:p>
    <w:p>
      <w:pPr>
        <w:spacing w:line="360" w:lineRule="auto"/>
        <w:jc w:val="center"/>
        <w:rPr>
          <w:rFonts w:hint="eastAsia" w:ascii="宋体" w:hAnsi="宋体"/>
          <w:b/>
          <w:bCs/>
          <w:sz w:val="32"/>
          <w:szCs w:val="32"/>
        </w:rPr>
      </w:pPr>
      <w:r>
        <w:rPr>
          <w:rFonts w:hint="eastAsia" w:ascii="宋体" w:hAnsi="宋体"/>
          <w:b/>
          <w:bCs/>
          <w:sz w:val="32"/>
          <w:szCs w:val="32"/>
          <w:u w:val="single"/>
        </w:rPr>
        <w:t xml:space="preserve"> </w:t>
      </w:r>
      <w:r>
        <w:rPr>
          <w:rFonts w:ascii="宋体" w:hAnsi="宋体"/>
          <w:b/>
          <w:bCs/>
          <w:sz w:val="32"/>
          <w:szCs w:val="32"/>
          <w:u w:val="single"/>
        </w:rPr>
        <w:t xml:space="preserve">       </w:t>
      </w:r>
      <w:r>
        <w:rPr>
          <w:rFonts w:hint="eastAsia" w:ascii="宋体" w:hAnsi="宋体"/>
          <w:b/>
          <w:bCs/>
          <w:sz w:val="32"/>
          <w:szCs w:val="32"/>
        </w:rPr>
        <w:t>年</w:t>
      </w:r>
      <w:r>
        <w:rPr>
          <w:rFonts w:hint="eastAsia" w:ascii="宋体" w:hAnsi="宋体"/>
          <w:b/>
          <w:bCs/>
          <w:sz w:val="32"/>
          <w:szCs w:val="32"/>
          <w:u w:val="single"/>
        </w:rPr>
        <w:t xml:space="preserve">      </w:t>
      </w:r>
      <w:r>
        <w:rPr>
          <w:rFonts w:hint="eastAsia" w:ascii="宋体" w:hAnsi="宋体"/>
          <w:b/>
          <w:bCs/>
          <w:sz w:val="32"/>
          <w:szCs w:val="32"/>
        </w:rPr>
        <w:t>月</w:t>
      </w:r>
      <w:r>
        <w:rPr>
          <w:rFonts w:hint="eastAsia" w:ascii="宋体" w:hAnsi="宋体"/>
          <w:b/>
          <w:bCs/>
          <w:sz w:val="32"/>
          <w:szCs w:val="32"/>
          <w:u w:val="single"/>
        </w:rPr>
        <w:t xml:space="preserve">       </w:t>
      </w:r>
      <w:r>
        <w:rPr>
          <w:rFonts w:hint="eastAsia" w:ascii="宋体" w:hAnsi="宋体"/>
          <w:b/>
          <w:bCs/>
          <w:sz w:val="32"/>
          <w:szCs w:val="32"/>
        </w:rPr>
        <w:t>日</w:t>
      </w:r>
    </w:p>
    <w:p>
      <w:pPr>
        <w:spacing w:line="360" w:lineRule="auto"/>
        <w:rPr>
          <w:rFonts w:ascii="宋体" w:hAnsi="宋体"/>
          <w:sz w:val="24"/>
        </w:rPr>
      </w:pPr>
    </w:p>
    <w:p>
      <w:pPr>
        <w:spacing w:line="360" w:lineRule="auto"/>
        <w:rPr>
          <w:rFonts w:hint="eastAsia" w:ascii="宋体" w:hAnsi="宋体"/>
          <w:sz w:val="24"/>
        </w:rPr>
      </w:pPr>
    </w:p>
    <w:p>
      <w:pPr>
        <w:spacing w:line="360" w:lineRule="auto"/>
        <w:rPr>
          <w:rFonts w:hint="eastAsia" w:ascii="宋体" w:hAnsi="宋体"/>
          <w:b/>
          <w:bCs/>
          <w:sz w:val="32"/>
          <w:szCs w:val="32"/>
        </w:rPr>
      </w:pPr>
    </w:p>
    <w:p>
      <w:pPr>
        <w:autoSpaceDE w:val="0"/>
        <w:autoSpaceDN w:val="0"/>
        <w:spacing w:line="540" w:lineRule="exact"/>
        <w:ind w:firstLine="880"/>
        <w:jc w:val="center"/>
        <w:rPr>
          <w:rFonts w:ascii="Times New Roman" w:hAnsi="宋体"/>
          <w:b/>
          <w:sz w:val="44"/>
        </w:rPr>
      </w:pPr>
      <w:r>
        <w:rPr>
          <w:rFonts w:hint="eastAsia" w:ascii="宋体" w:hAnsi="宋体"/>
        </w:rPr>
        <w:br w:type="page"/>
      </w:r>
      <w:r>
        <w:rPr>
          <w:rFonts w:hint="eastAsia" w:ascii="Times New Roman" w:hAnsi="宋体"/>
          <w:b/>
          <w:sz w:val="44"/>
        </w:rPr>
        <w:t>目  录</w:t>
      </w:r>
    </w:p>
    <w:p>
      <w:pPr>
        <w:autoSpaceDE w:val="0"/>
        <w:autoSpaceDN w:val="0"/>
        <w:spacing w:line="540" w:lineRule="exact"/>
        <w:jc w:val="center"/>
        <w:rPr>
          <w:rFonts w:ascii="Times New Roman" w:hAnsi="宋体"/>
          <w:b/>
          <w:sz w:val="36"/>
        </w:rPr>
      </w:pPr>
    </w:p>
    <w:p>
      <w:pPr>
        <w:autoSpaceDE w:val="0"/>
        <w:autoSpaceDN w:val="0"/>
        <w:spacing w:line="440" w:lineRule="exact"/>
        <w:ind w:firstLine="480"/>
        <w:jc w:val="left"/>
        <w:rPr>
          <w:rFonts w:ascii="宋体" w:hAnsi="宋体"/>
          <w:sz w:val="24"/>
        </w:rPr>
      </w:pPr>
      <w:r>
        <w:rPr>
          <w:rFonts w:hint="eastAsia" w:ascii="宋体" w:hAnsi="宋体"/>
          <w:sz w:val="24"/>
        </w:rPr>
        <w:t>（1）内容完整性；</w:t>
      </w:r>
    </w:p>
    <w:p>
      <w:pPr>
        <w:autoSpaceDE w:val="0"/>
        <w:autoSpaceDN w:val="0"/>
        <w:spacing w:line="440" w:lineRule="exact"/>
        <w:ind w:firstLine="480"/>
        <w:jc w:val="left"/>
        <w:rPr>
          <w:rFonts w:ascii="宋体" w:hAnsi="宋体"/>
          <w:sz w:val="24"/>
        </w:rPr>
      </w:pPr>
      <w:r>
        <w:rPr>
          <w:rFonts w:hint="eastAsia" w:ascii="宋体" w:hAnsi="宋体"/>
          <w:sz w:val="24"/>
        </w:rPr>
        <w:t>（2）主要施工方案和技术措施；</w:t>
      </w:r>
    </w:p>
    <w:p>
      <w:pPr>
        <w:autoSpaceDE w:val="0"/>
        <w:autoSpaceDN w:val="0"/>
        <w:spacing w:line="440" w:lineRule="exact"/>
        <w:ind w:firstLine="480"/>
        <w:jc w:val="left"/>
        <w:rPr>
          <w:rFonts w:ascii="宋体" w:hAnsi="宋体"/>
          <w:sz w:val="24"/>
        </w:rPr>
      </w:pPr>
      <w:r>
        <w:rPr>
          <w:rFonts w:hint="eastAsia" w:ascii="宋体" w:hAnsi="宋体"/>
          <w:sz w:val="24"/>
        </w:rPr>
        <w:t>（3）质量管理体系与措施；</w:t>
      </w:r>
    </w:p>
    <w:p>
      <w:pPr>
        <w:autoSpaceDE w:val="0"/>
        <w:autoSpaceDN w:val="0"/>
        <w:spacing w:line="440" w:lineRule="exact"/>
        <w:ind w:firstLine="480"/>
        <w:jc w:val="left"/>
        <w:rPr>
          <w:rFonts w:ascii="宋体" w:hAnsi="宋体"/>
          <w:sz w:val="24"/>
        </w:rPr>
      </w:pPr>
      <w:r>
        <w:rPr>
          <w:rFonts w:hint="eastAsia" w:ascii="宋体" w:hAnsi="宋体"/>
          <w:sz w:val="24"/>
        </w:rPr>
        <w:t>（4）安全管理体系与措施；</w:t>
      </w:r>
    </w:p>
    <w:p>
      <w:pPr>
        <w:autoSpaceDE w:val="0"/>
        <w:autoSpaceDN w:val="0"/>
        <w:spacing w:line="440" w:lineRule="exact"/>
        <w:ind w:firstLine="480"/>
        <w:jc w:val="left"/>
        <w:rPr>
          <w:rFonts w:ascii="宋体" w:hAnsi="宋体"/>
          <w:sz w:val="24"/>
        </w:rPr>
      </w:pPr>
      <w:r>
        <w:rPr>
          <w:rFonts w:hint="eastAsia" w:ascii="宋体" w:hAnsi="宋体"/>
          <w:sz w:val="24"/>
        </w:rPr>
        <w:t>（5）文明施工、环境保护管理体系及施工现场扬尘治理措施；</w:t>
      </w:r>
    </w:p>
    <w:p>
      <w:pPr>
        <w:tabs>
          <w:tab w:val="left" w:pos="1260"/>
        </w:tabs>
        <w:autoSpaceDE w:val="0"/>
        <w:autoSpaceDN w:val="0"/>
        <w:spacing w:line="460" w:lineRule="exact"/>
        <w:ind w:firstLine="480"/>
        <w:jc w:val="left"/>
        <w:rPr>
          <w:rFonts w:ascii="宋体" w:hAnsi="宋体"/>
          <w:sz w:val="24"/>
        </w:rPr>
      </w:pPr>
      <w:r>
        <w:rPr>
          <w:rFonts w:hint="eastAsia" w:ascii="宋体" w:hAnsi="宋体"/>
          <w:sz w:val="24"/>
        </w:rPr>
        <w:t>（6）工程保证措施；</w:t>
      </w:r>
    </w:p>
    <w:p>
      <w:pPr>
        <w:tabs>
          <w:tab w:val="left" w:pos="1260"/>
        </w:tabs>
        <w:autoSpaceDE w:val="0"/>
        <w:autoSpaceDN w:val="0"/>
        <w:spacing w:line="460" w:lineRule="exact"/>
        <w:ind w:firstLine="480"/>
        <w:jc w:val="left"/>
        <w:rPr>
          <w:rFonts w:ascii="宋体" w:hAnsi="宋体"/>
          <w:sz w:val="24"/>
        </w:rPr>
      </w:pPr>
      <w:r>
        <w:rPr>
          <w:rFonts w:hint="eastAsia" w:ascii="宋体" w:hAnsi="宋体"/>
          <w:sz w:val="24"/>
        </w:rPr>
        <w:t>（7）拟投入资源配备计划；</w:t>
      </w:r>
    </w:p>
    <w:p>
      <w:pPr>
        <w:tabs>
          <w:tab w:val="left" w:pos="1260"/>
        </w:tabs>
        <w:autoSpaceDE w:val="0"/>
        <w:autoSpaceDN w:val="0"/>
        <w:spacing w:line="460" w:lineRule="exact"/>
        <w:ind w:firstLine="480"/>
        <w:jc w:val="left"/>
        <w:rPr>
          <w:rFonts w:ascii="宋体" w:hAnsi="宋体"/>
          <w:sz w:val="24"/>
        </w:rPr>
      </w:pPr>
      <w:r>
        <w:rPr>
          <w:rFonts w:hint="eastAsia" w:ascii="宋体" w:hAnsi="宋体"/>
          <w:sz w:val="24"/>
        </w:rPr>
        <w:t>（8）施工进度表与网络计划图；</w:t>
      </w:r>
    </w:p>
    <w:p>
      <w:pPr>
        <w:tabs>
          <w:tab w:val="left" w:pos="1260"/>
        </w:tabs>
        <w:autoSpaceDE w:val="0"/>
        <w:autoSpaceDN w:val="0"/>
        <w:spacing w:line="460" w:lineRule="exact"/>
        <w:ind w:firstLine="480"/>
        <w:jc w:val="left"/>
        <w:rPr>
          <w:rFonts w:ascii="宋体" w:hAnsi="宋体"/>
          <w:sz w:val="24"/>
        </w:rPr>
      </w:pPr>
      <w:r>
        <w:rPr>
          <w:rFonts w:hint="eastAsia" w:ascii="宋体" w:hAnsi="宋体"/>
          <w:sz w:val="24"/>
        </w:rPr>
        <w:t>（9）施工总平面图布置；</w:t>
      </w:r>
    </w:p>
    <w:p>
      <w:pPr>
        <w:tabs>
          <w:tab w:val="left" w:pos="1260"/>
        </w:tabs>
        <w:autoSpaceDE w:val="0"/>
        <w:autoSpaceDN w:val="0"/>
        <w:spacing w:line="460" w:lineRule="exact"/>
        <w:ind w:firstLine="240"/>
        <w:jc w:val="left"/>
        <w:rPr>
          <w:rFonts w:ascii="宋体" w:hAnsi="宋体"/>
          <w:sz w:val="24"/>
        </w:rPr>
      </w:pPr>
      <w:r>
        <w:rPr>
          <w:rFonts w:hint="eastAsia" w:ascii="宋体" w:hAnsi="宋体"/>
          <w:sz w:val="24"/>
        </w:rPr>
        <w:t xml:space="preserve">  （10）技术创新的应用措施；</w:t>
      </w:r>
    </w:p>
    <w:p>
      <w:pPr>
        <w:tabs>
          <w:tab w:val="left" w:pos="1260"/>
        </w:tabs>
        <w:autoSpaceDE w:val="0"/>
        <w:autoSpaceDN w:val="0"/>
        <w:spacing w:line="460" w:lineRule="exact"/>
        <w:ind w:firstLine="480"/>
        <w:jc w:val="left"/>
        <w:rPr>
          <w:rFonts w:ascii="宋体" w:hAnsi="宋体"/>
          <w:sz w:val="24"/>
        </w:rPr>
      </w:pPr>
      <w:r>
        <w:rPr>
          <w:rFonts w:hint="eastAsia" w:ascii="宋体" w:hAnsi="宋体"/>
          <w:sz w:val="24"/>
        </w:rPr>
        <w:t>（11）采用新工艺、新技术、新设备、新材料、BIM等的程度；</w:t>
      </w:r>
    </w:p>
    <w:p>
      <w:pPr>
        <w:tabs>
          <w:tab w:val="left" w:pos="1260"/>
        </w:tabs>
        <w:autoSpaceDE w:val="0"/>
        <w:autoSpaceDN w:val="0"/>
        <w:spacing w:line="460" w:lineRule="exact"/>
        <w:ind w:firstLine="480"/>
        <w:jc w:val="left"/>
        <w:rPr>
          <w:rFonts w:hint="eastAsia" w:ascii="宋体" w:hAnsi="宋体"/>
          <w:sz w:val="24"/>
          <w:szCs w:val="22"/>
        </w:rPr>
      </w:pPr>
      <w:r>
        <w:rPr>
          <w:rFonts w:hint="eastAsia" w:ascii="宋体" w:hAnsi="宋体"/>
          <w:sz w:val="24"/>
          <w:szCs w:val="22"/>
        </w:rPr>
        <w:t>（12）施工现场实施信息化监控和数据处理；</w:t>
      </w:r>
    </w:p>
    <w:p>
      <w:pPr>
        <w:tabs>
          <w:tab w:val="left" w:pos="1260"/>
        </w:tabs>
        <w:autoSpaceDE w:val="0"/>
        <w:autoSpaceDN w:val="0"/>
        <w:spacing w:line="460" w:lineRule="exact"/>
        <w:ind w:firstLine="480"/>
        <w:jc w:val="left"/>
        <w:rPr>
          <w:rFonts w:hint="eastAsia" w:ascii="宋体" w:hAnsi="宋体"/>
          <w:sz w:val="24"/>
          <w:szCs w:val="22"/>
        </w:rPr>
      </w:pPr>
      <w:r>
        <w:rPr>
          <w:rFonts w:hint="eastAsia" w:ascii="宋体" w:hAnsi="宋体"/>
          <w:sz w:val="24"/>
          <w:szCs w:val="22"/>
        </w:rPr>
        <w:t>（13）风险管理措施；</w:t>
      </w:r>
    </w:p>
    <w:p>
      <w:pPr>
        <w:rPr>
          <w:rFonts w:hint="eastAsia" w:hAnsi="宋体" w:cs="宋体"/>
        </w:rPr>
      </w:pPr>
    </w:p>
    <w:p>
      <w:pPr>
        <w:widowControl/>
        <w:spacing w:line="360" w:lineRule="auto"/>
        <w:rPr>
          <w:rFonts w:ascii="宋体" w:hAnsi="宋体"/>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bookmarkEnd w:id="2"/>
    <w:bookmarkEnd w:id="3"/>
    <w:bookmarkEnd w:id="4"/>
    <w:bookmarkEnd w:id="5"/>
    <w:bookmarkEnd w:id="6"/>
    <w:p/>
    <w:p/>
    <w:sectPr>
      <w:headerReference r:id="rId6" w:type="default"/>
      <w:footerReference r:id="rId7" w:type="default"/>
      <w:type w:val="continuous"/>
      <w:pgSz w:w="11906" w:h="16838"/>
      <w:pgMar w:top="1440" w:right="1800" w:bottom="1440" w:left="1800" w:header="851" w:footer="85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A00002BF" w:usb1="68C7FCFB" w:usb2="00000010" w:usb3="00000000" w:csb0="4002009F" w:csb1="DFD70000"/>
  </w:font>
  <w:font w:name="方正大标宋简体">
    <w:altName w:val="Arial Unicode MS"/>
    <w:panose1 w:val="03000509000000000000"/>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2" w:space="1"/>
      </w:pBdr>
      <w:tabs>
        <w:tab w:val="clear" w:pos="4153"/>
      </w:tabs>
      <w:rPr>
        <w:rFonts w:ascii="宋体" w:hAnsi="宋体"/>
        <w:sz w:val="21"/>
        <w:szCs w:val="21"/>
      </w:rPr>
    </w:pPr>
    <w:r>
      <w:rPr>
        <w:rFonts w:ascii="宋体" w:hAnsi="宋体"/>
        <w:sz w:val="21"/>
        <w:szCs w:val="21"/>
        <w:lang w:val="zh-CN"/>
      </w:rPr>
      <w:fldChar w:fldCharType="begin"/>
    </w:r>
    <w:r>
      <w:rPr>
        <w:rFonts w:ascii="宋体" w:hAnsi="宋体"/>
        <w:sz w:val="21"/>
        <w:szCs w:val="21"/>
        <w:lang w:val="zh-CN"/>
      </w:rPr>
      <w:instrText xml:space="preserve">PAGE   \* MERGEFORMAT</w:instrText>
    </w:r>
    <w:r>
      <w:rPr>
        <w:rFonts w:ascii="宋体" w:hAnsi="宋体"/>
        <w:sz w:val="21"/>
        <w:szCs w:val="21"/>
        <w:lang w:val="zh-CN"/>
      </w:rPr>
      <w:fldChar w:fldCharType="separate"/>
    </w:r>
    <w:r>
      <w:rPr>
        <w:rFonts w:ascii="宋体" w:hAnsi="宋体"/>
        <w:b/>
        <w:bCs/>
        <w:sz w:val="21"/>
        <w:szCs w:val="21"/>
        <w:lang w:val="zh-CN"/>
      </w:rPr>
      <w:t>1</w:t>
    </w:r>
    <w:r>
      <w:rPr>
        <w:rFonts w:ascii="宋体" w:hAnsi="宋体"/>
        <w:b/>
        <w:bCs/>
        <w:sz w:val="21"/>
        <w:szCs w:val="21"/>
        <w:lang w:val="zh-CN"/>
      </w:rPr>
      <w:fldChar w:fldCharType="end"/>
    </w:r>
    <w:r>
      <w:rPr>
        <w:rFonts w:ascii="宋体" w:hAnsi="宋体"/>
        <w:b/>
        <w:bCs/>
        <w:sz w:val="21"/>
        <w:szCs w:val="21"/>
        <w:lang w:val="zh-CN"/>
      </w:rPr>
      <w:t xml:space="preserve"> </w:t>
    </w:r>
    <w:r>
      <w:rPr>
        <w:rFonts w:ascii="宋体" w:hAnsi="宋体"/>
        <w:sz w:val="21"/>
        <w:szCs w:val="21"/>
        <w:lang w:val="zh-CN"/>
      </w:rPr>
      <w:t>|</w:t>
    </w:r>
    <w:r>
      <w:rPr>
        <w:rFonts w:ascii="宋体" w:hAnsi="宋体"/>
        <w:b/>
        <w:bCs/>
        <w:sz w:val="21"/>
        <w:szCs w:val="21"/>
        <w:lang w:val="zh-CN"/>
      </w:rPr>
      <w:t xml:space="preserve"> </w:t>
    </w:r>
    <w:r>
      <w:rPr>
        <w:rFonts w:ascii="宋体" w:hAnsi="宋体"/>
        <w:sz w:val="21"/>
        <w:szCs w:val="21"/>
        <w:lang w:val="zh-CN"/>
      </w:rPr>
      <w:t xml:space="preserve">  </w:t>
    </w:r>
    <w:r>
      <w:rPr>
        <w:rFonts w:ascii="宋体" w:hAnsi="宋体"/>
        <w:sz w:val="21"/>
        <w:szCs w:val="21"/>
        <w:lang w:val="zh-CN"/>
      </w:rPr>
      <w:tab/>
    </w:r>
    <w:r>
      <w:rPr>
        <w:rFonts w:hint="eastAsia" w:ascii="华文新魏" w:hAnsi="宋体" w:eastAsia="华文新魏"/>
        <w:sz w:val="21"/>
        <w:szCs w:val="21"/>
        <w:lang w:val="zh-CN"/>
      </w:rPr>
      <w:t>河南招标采购服务有限公司编制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2" w:space="1"/>
      </w:pBdr>
      <w:ind w:firstLine="420"/>
      <w:rPr>
        <w:rFonts w:ascii="华文行楷" w:hAnsi="宋体" w:eastAsia="华文行楷"/>
        <w:sz w:val="21"/>
        <w:szCs w:val="21"/>
      </w:rPr>
    </w:pPr>
    <w:r>
      <w:drawing>
        <wp:anchor distT="0" distB="0" distL="114300" distR="114300" simplePos="0" relativeHeight="251658240" behindDoc="0" locked="0" layoutInCell="1" allowOverlap="1">
          <wp:simplePos x="0" y="0"/>
          <wp:positionH relativeFrom="column">
            <wp:posOffset>-19050</wp:posOffset>
          </wp:positionH>
          <wp:positionV relativeFrom="paragraph">
            <wp:posOffset>15240</wp:posOffset>
          </wp:positionV>
          <wp:extent cx="266700" cy="184150"/>
          <wp:effectExtent l="0" t="0" r="0" b="6350"/>
          <wp:wrapNone/>
          <wp:docPr id="2"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
                  <pic:cNvPicPr>
                    <a:picLocks noChangeAspect="1"/>
                  </pic:cNvPicPr>
                </pic:nvPicPr>
                <pic:blipFill>
                  <a:blip r:embed="rId1"/>
                  <a:stretch>
                    <a:fillRect/>
                  </a:stretch>
                </pic:blipFill>
                <pic:spPr>
                  <a:xfrm>
                    <a:off x="0" y="0"/>
                    <a:ext cx="266700" cy="184150"/>
                  </a:xfrm>
                  <a:prstGeom prst="rect">
                    <a:avLst/>
                  </a:prstGeom>
                  <a:noFill/>
                  <a:ln>
                    <a:noFill/>
                  </a:ln>
                </pic:spPr>
              </pic:pic>
            </a:graphicData>
          </a:graphic>
        </wp:anchor>
      </w:drawing>
    </w:r>
    <w:r>
      <w:rPr>
        <w:rFonts w:ascii="华文行楷" w:eastAsia="华文行楷"/>
        <w:sz w:val="21"/>
      </w:rPr>
      <mc:AlternateContent>
        <mc:Choice Requires="wps">
          <w:drawing>
            <wp:anchor distT="0" distB="0" distL="114300" distR="114300" simplePos="0" relativeHeight="251657216" behindDoc="0" locked="0" layoutInCell="1" allowOverlap="1">
              <wp:simplePos x="0" y="0"/>
              <wp:positionH relativeFrom="margin">
                <wp:posOffset>4758690</wp:posOffset>
              </wp:positionH>
              <wp:positionV relativeFrom="paragraph">
                <wp:posOffset>15240</wp:posOffset>
              </wp:positionV>
              <wp:extent cx="480695" cy="2984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80695" cy="298450"/>
                      </a:xfrm>
                      <a:prstGeom prst="rect">
                        <a:avLst/>
                      </a:prstGeom>
                      <a:noFill/>
                      <a:ln>
                        <a:noFill/>
                      </a:ln>
                      <a:effectLst/>
                    </wps:spPr>
                    <wps:txbx>
                      <w:txbxContent>
                        <w:p>
                          <w:pPr>
                            <w:pStyle w:val="10"/>
                            <w:jc w:val="center"/>
                            <w:rPr>
                              <w:rFonts w:ascii="宋体" w:hAnsi="宋体"/>
                              <w:sz w:val="21"/>
                              <w:szCs w:val="21"/>
                            </w:rPr>
                          </w:pPr>
                          <w:r>
                            <w:rPr>
                              <w:rFonts w:hint="eastAsia" w:ascii="宋体" w:hAnsi="宋体"/>
                              <w:sz w:val="21"/>
                              <w:szCs w:val="21"/>
                            </w:rPr>
                            <w:fldChar w:fldCharType="begin"/>
                          </w:r>
                          <w:r>
                            <w:rPr>
                              <w:rFonts w:hint="eastAsia" w:ascii="宋体" w:hAnsi="宋体"/>
                              <w:sz w:val="21"/>
                              <w:szCs w:val="21"/>
                            </w:rPr>
                            <w:instrText xml:space="preserve"> PAGE  \* MERGEFORMAT </w:instrText>
                          </w:r>
                          <w:r>
                            <w:rPr>
                              <w:rFonts w:hint="eastAsia" w:ascii="宋体" w:hAnsi="宋体"/>
                              <w:sz w:val="21"/>
                              <w:szCs w:val="21"/>
                            </w:rPr>
                            <w:fldChar w:fldCharType="separate"/>
                          </w:r>
                          <w:r>
                            <w:rPr>
                              <w:rFonts w:ascii="宋体" w:hAnsi="宋体"/>
                              <w:sz w:val="21"/>
                              <w:szCs w:val="21"/>
                            </w:rPr>
                            <w:t>84</w:t>
                          </w:r>
                          <w:r>
                            <w:rPr>
                              <w:rFonts w:hint="eastAsia" w:ascii="宋体" w:hAnsi="宋体"/>
                              <w:sz w:val="21"/>
                              <w:szCs w:val="21"/>
                            </w:rPr>
                            <w:fldChar w:fldCharType="end"/>
                          </w:r>
                        </w:p>
                      </w:txbxContent>
                    </wps:txbx>
                    <wps:bodyPr lIns="0" tIns="0" rIns="0" bIns="0" upright="0"/>
                  </wps:wsp>
                </a:graphicData>
              </a:graphic>
            </wp:anchor>
          </w:drawing>
        </mc:Choice>
        <mc:Fallback>
          <w:pict>
            <v:shape id="_x0000_s1026" o:spid="_x0000_s1026" o:spt="202" type="#_x0000_t202" style="position:absolute;left:0pt;margin-left:374.7pt;margin-top:1.2pt;height:23.5pt;width:37.85pt;mso-position-horizontal-relative:margin;z-index:251657216;mso-width-relative:page;mso-height-relative:page;" filled="f" stroked="f" coordsize="21600,21600" o:gfxdata="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KF6QTYAAAACAEAAA8A&#10;AAAAAAAAAQAgAAAAIgAAAGRycy9kb3ducmV2LnhtbFBLAQIUABQAAAAIAIdO4kA284UXpQEAADED&#10;AAAOAAAAAAAAAAEAIAAAACcBAABkcnMvZTJvRG9jLnhtbFBLBQYAAAAABgAGAFkBAAA+BQAAAAA=&#10;">
              <v:fill on="f" focussize="0,0"/>
              <v:stroke on="f"/>
              <v:imagedata o:title=""/>
              <o:lock v:ext="edit" aspectratio="f"/>
              <v:textbox inset="0mm,0mm,0mm,0mm">
                <w:txbxContent>
                  <w:p>
                    <w:pPr>
                      <w:pStyle w:val="10"/>
                      <w:jc w:val="center"/>
                      <w:rPr>
                        <w:rFonts w:ascii="宋体" w:hAnsi="宋体"/>
                        <w:sz w:val="21"/>
                        <w:szCs w:val="21"/>
                      </w:rPr>
                    </w:pPr>
                    <w:r>
                      <w:rPr>
                        <w:rFonts w:hint="eastAsia" w:ascii="宋体" w:hAnsi="宋体"/>
                        <w:sz w:val="21"/>
                        <w:szCs w:val="21"/>
                      </w:rPr>
                      <w:fldChar w:fldCharType="begin"/>
                    </w:r>
                    <w:r>
                      <w:rPr>
                        <w:rFonts w:hint="eastAsia" w:ascii="宋体" w:hAnsi="宋体"/>
                        <w:sz w:val="21"/>
                        <w:szCs w:val="21"/>
                      </w:rPr>
                      <w:instrText xml:space="preserve"> PAGE  \* MERGEFORMAT </w:instrText>
                    </w:r>
                    <w:r>
                      <w:rPr>
                        <w:rFonts w:hint="eastAsia" w:ascii="宋体" w:hAnsi="宋体"/>
                        <w:sz w:val="21"/>
                        <w:szCs w:val="21"/>
                      </w:rPr>
                      <w:fldChar w:fldCharType="separate"/>
                    </w:r>
                    <w:r>
                      <w:rPr>
                        <w:rFonts w:ascii="宋体" w:hAnsi="宋体"/>
                        <w:sz w:val="21"/>
                        <w:szCs w:val="21"/>
                      </w:rPr>
                      <w:t>84</w:t>
                    </w:r>
                    <w:r>
                      <w:rPr>
                        <w:rFonts w:hint="eastAsia" w:ascii="宋体" w:hAnsi="宋体"/>
                        <w:sz w:val="21"/>
                        <w:szCs w:val="21"/>
                      </w:rPr>
                      <w:fldChar w:fldCharType="end"/>
                    </w:r>
                  </w:p>
                </w:txbxContent>
              </v:textbox>
            </v:shape>
          </w:pict>
        </mc:Fallback>
      </mc:AlternateContent>
    </w:r>
    <w:r>
      <w:rPr>
        <w:rFonts w:hint="eastAsia" w:ascii="华文行楷" w:hAnsi="宋体" w:eastAsia="华文行楷"/>
        <w:sz w:val="21"/>
        <w:szCs w:val="21"/>
      </w:rPr>
      <w:t>河南招标采购服务有限公司 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cs="宋体"/>
      </w:rPr>
    </w:pPr>
    <w:r>
      <w:rPr>
        <w:rFonts w:hint="eastAsia" w:ascii="宋体" w:hAnsi="宋体"/>
      </w:rPr>
      <w:t>郑阜高铁鄢陵南站站前广场及市政配套设施项目——长途客运站工程一标段</w:t>
    </w:r>
    <w:r>
      <w:rPr>
        <w:rFonts w:ascii="宋体" w:hAnsi="宋体" w:cs="宋体"/>
      </w:rPr>
      <w:tab/>
    </w:r>
    <w:r>
      <w:rPr>
        <w:rFonts w:hint="eastAsia" w:ascii="宋体" w:hAnsi="宋体" w:cs="宋体"/>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i/>
        <w:iCs/>
        <w:sz w:val="21"/>
        <w:szCs w:val="21"/>
      </w:rPr>
    </w:pPr>
    <w:r>
      <w:rPr>
        <w:rFonts w:hint="eastAsia" w:ascii="宋体" w:hAnsi="宋体" w:cs="仿宋"/>
        <w:i/>
        <w:iCs/>
        <w:sz w:val="21"/>
        <w:szCs w:val="21"/>
      </w:rPr>
      <w:t>*****设计施工总承包（EPC）</w:t>
    </w:r>
    <w:r>
      <w:rPr>
        <w:rFonts w:hint="eastAsia"/>
        <w:i/>
        <w:iCs/>
        <w:sz w:val="21"/>
        <w:szCs w:val="21"/>
      </w:rPr>
      <w:t>项目</w:t>
    </w:r>
    <w:r>
      <w:rPr>
        <w:i/>
        <w:iCs/>
        <w:sz w:val="21"/>
        <w:szCs w:val="21"/>
      </w:rPr>
      <w:tab/>
    </w:r>
    <w:r>
      <w:rPr>
        <w:i/>
        <w:iCs/>
        <w:sz w:val="21"/>
        <w:szCs w:val="21"/>
      </w:rPr>
      <w:tab/>
    </w:r>
    <w:r>
      <w:rPr>
        <w:rFonts w:hint="eastAsia"/>
        <w:i/>
        <w:iCs/>
        <w:sz w:val="21"/>
        <w:szCs w:val="21"/>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宋体" w:hAnsi="宋体" w:cs="宋体"/>
        <w:i w:val="0"/>
        <w:iCs w:val="0"/>
      </w:rPr>
    </w:pPr>
    <w:r>
      <w:rPr>
        <w:rFonts w:hint="eastAsia" w:ascii="宋体" w:hAnsi="宋体"/>
        <w:i w:val="0"/>
        <w:iCs w:val="0"/>
      </w:rPr>
      <w:t>郑阜高铁鄢陵南站站前广场及市政配套设施项目——长途客运站工程一标段</w:t>
    </w:r>
    <w:r>
      <w:rPr>
        <w:rFonts w:ascii="宋体" w:hAnsi="宋体" w:cs="宋体"/>
        <w:i w:val="0"/>
        <w:iCs w:val="0"/>
      </w:rPr>
      <w:tab/>
    </w:r>
    <w:r>
      <w:rPr>
        <w:rFonts w:hint="eastAsia" w:ascii="宋体" w:hAnsi="宋体" w:cs="宋体"/>
        <w:i w:val="0"/>
        <w:iCs w:val="0"/>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B3E8D2"/>
    <w:multiLevelType w:val="singleLevel"/>
    <w:tmpl w:val="A4B3E8D2"/>
    <w:lvl w:ilvl="0" w:tentative="0">
      <w:start w:val="1"/>
      <w:numFmt w:val="decimal"/>
      <w:suff w:val="nothing"/>
      <w:lvlText w:val="%1、"/>
      <w:lvlJc w:val="left"/>
    </w:lvl>
  </w:abstractNum>
  <w:abstractNum w:abstractNumId="1">
    <w:nsid w:val="02FE0A58"/>
    <w:multiLevelType w:val="multilevel"/>
    <w:tmpl w:val="02FE0A58"/>
    <w:lvl w:ilvl="0" w:tentative="0">
      <w:start w:val="1"/>
      <w:numFmt w:val="decimal"/>
      <w:lvlText w:val="%1"/>
      <w:lvlJc w:val="left"/>
      <w:pPr>
        <w:ind w:left="425" w:hanging="425"/>
      </w:pPr>
      <w:rPr>
        <w:rFonts w:hint="eastAsia"/>
      </w:rPr>
    </w:lvl>
    <w:lvl w:ilvl="1" w:tentative="0">
      <w:start w:val="5"/>
      <w:numFmt w:val="decimal"/>
      <w:lvlText w:val="%1.%2"/>
      <w:lvlJc w:val="left"/>
      <w:pPr>
        <w:ind w:left="992" w:hanging="567"/>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04EF6921"/>
    <w:multiLevelType w:val="multilevel"/>
    <w:tmpl w:val="04EF6921"/>
    <w:lvl w:ilvl="0" w:tentative="0">
      <w:start w:val="1"/>
      <w:numFmt w:val="chineseCountingThousand"/>
      <w:suff w:val="space"/>
      <w:lvlText w:val="%1、"/>
      <w:lvlJc w:val="left"/>
      <w:pPr>
        <w:ind w:left="0" w:firstLine="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6800D27"/>
    <w:multiLevelType w:val="multilevel"/>
    <w:tmpl w:val="06800D27"/>
    <w:lvl w:ilvl="0" w:tentative="0">
      <w:start w:val="1"/>
      <w:numFmt w:val="chineseCountingThousand"/>
      <w:suff w:val="space"/>
      <w:lvlText w:val="%1、"/>
      <w:lvlJc w:val="left"/>
      <w:pPr>
        <w:ind w:left="0" w:firstLine="425"/>
      </w:pPr>
      <w:rPr>
        <w:rFonts w:hint="eastAsia"/>
      </w:rPr>
    </w:lvl>
    <w:lvl w:ilvl="1" w:tentative="0">
      <w:start w:val="1"/>
      <w:numFmt w:val="lowerLetter"/>
      <w:lvlText w:val="%2)"/>
      <w:lvlJc w:val="left"/>
      <w:pPr>
        <w:ind w:left="1548" w:hanging="420"/>
      </w:pPr>
      <w:rPr>
        <w:rFonts w:hint="eastAsia"/>
      </w:rPr>
    </w:lvl>
    <w:lvl w:ilvl="2" w:tentative="0">
      <w:start w:val="1"/>
      <w:numFmt w:val="lowerRoman"/>
      <w:lvlText w:val="%3."/>
      <w:lvlJc w:val="right"/>
      <w:pPr>
        <w:ind w:left="1968" w:hanging="420"/>
      </w:pPr>
      <w:rPr>
        <w:rFonts w:hint="eastAsia"/>
      </w:rPr>
    </w:lvl>
    <w:lvl w:ilvl="3" w:tentative="0">
      <w:start w:val="1"/>
      <w:numFmt w:val="decimal"/>
      <w:lvlText w:val="%4."/>
      <w:lvlJc w:val="left"/>
      <w:pPr>
        <w:ind w:left="2388" w:hanging="420"/>
      </w:pPr>
      <w:rPr>
        <w:rFonts w:hint="eastAsia"/>
      </w:rPr>
    </w:lvl>
    <w:lvl w:ilvl="4" w:tentative="0">
      <w:start w:val="1"/>
      <w:numFmt w:val="lowerLetter"/>
      <w:lvlText w:val="%5)"/>
      <w:lvlJc w:val="left"/>
      <w:pPr>
        <w:ind w:left="2808" w:hanging="420"/>
      </w:pPr>
      <w:rPr>
        <w:rFonts w:hint="eastAsia"/>
      </w:rPr>
    </w:lvl>
    <w:lvl w:ilvl="5" w:tentative="0">
      <w:start w:val="1"/>
      <w:numFmt w:val="lowerRoman"/>
      <w:lvlText w:val="%6."/>
      <w:lvlJc w:val="right"/>
      <w:pPr>
        <w:ind w:left="3228" w:hanging="420"/>
      </w:pPr>
      <w:rPr>
        <w:rFonts w:hint="eastAsia"/>
      </w:rPr>
    </w:lvl>
    <w:lvl w:ilvl="6" w:tentative="0">
      <w:start w:val="1"/>
      <w:numFmt w:val="decimal"/>
      <w:lvlText w:val="%7."/>
      <w:lvlJc w:val="left"/>
      <w:pPr>
        <w:ind w:left="3648" w:hanging="420"/>
      </w:pPr>
      <w:rPr>
        <w:rFonts w:hint="eastAsia"/>
      </w:rPr>
    </w:lvl>
    <w:lvl w:ilvl="7" w:tentative="0">
      <w:start w:val="1"/>
      <w:numFmt w:val="lowerLetter"/>
      <w:lvlText w:val="%8)"/>
      <w:lvlJc w:val="left"/>
      <w:pPr>
        <w:ind w:left="4068" w:hanging="420"/>
      </w:pPr>
      <w:rPr>
        <w:rFonts w:hint="eastAsia"/>
      </w:rPr>
    </w:lvl>
    <w:lvl w:ilvl="8" w:tentative="0">
      <w:start w:val="1"/>
      <w:numFmt w:val="lowerRoman"/>
      <w:lvlText w:val="%9."/>
      <w:lvlJc w:val="right"/>
      <w:pPr>
        <w:ind w:left="4488" w:hanging="420"/>
      </w:pPr>
      <w:rPr>
        <w:rFonts w:hint="eastAsia"/>
      </w:rPr>
    </w:lvl>
  </w:abstractNum>
  <w:abstractNum w:abstractNumId="4">
    <w:nsid w:val="099E3683"/>
    <w:multiLevelType w:val="multilevel"/>
    <w:tmpl w:val="099E3683"/>
    <w:lvl w:ilvl="0" w:tentative="0">
      <w:start w:val="3"/>
      <w:numFmt w:val="decimal"/>
      <w:suff w:val="space"/>
      <w:lvlText w:val="%1"/>
      <w:lvlJc w:val="left"/>
      <w:pPr>
        <w:ind w:left="425" w:hanging="425"/>
      </w:pPr>
      <w:rPr>
        <w:rFonts w:hint="eastAsia"/>
      </w:rPr>
    </w:lvl>
    <w:lvl w:ilvl="1" w:tentative="0">
      <w:start w:val="1"/>
      <w:numFmt w:val="decimal"/>
      <w:suff w:val="space"/>
      <w:lvlText w:val="%1.%2"/>
      <w:lvlJc w:val="left"/>
      <w:pPr>
        <w:ind w:left="0" w:firstLine="48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11BC031D"/>
    <w:multiLevelType w:val="multilevel"/>
    <w:tmpl w:val="11BC031D"/>
    <w:lvl w:ilvl="0" w:tentative="0">
      <w:start w:val="1"/>
      <w:numFmt w:val="decimal"/>
      <w:suff w:val="space"/>
      <w:lvlText w:val="(%1)"/>
      <w:lvlJc w:val="left"/>
      <w:pPr>
        <w:ind w:left="0" w:firstLine="425"/>
      </w:pPr>
      <w:rPr>
        <w:rFonts w:hint="eastAsia"/>
      </w:rPr>
    </w:lvl>
    <w:lvl w:ilvl="1" w:tentative="0">
      <w:start w:val="1"/>
      <w:numFmt w:val="lowerLetter"/>
      <w:lvlText w:val="%2)"/>
      <w:lvlJc w:val="left"/>
      <w:pPr>
        <w:ind w:left="1262" w:hanging="420"/>
      </w:pPr>
      <w:rPr>
        <w:rFonts w:hint="eastAsia"/>
      </w:rPr>
    </w:lvl>
    <w:lvl w:ilvl="2" w:tentative="0">
      <w:start w:val="1"/>
      <w:numFmt w:val="lowerRoman"/>
      <w:lvlText w:val="%3."/>
      <w:lvlJc w:val="right"/>
      <w:pPr>
        <w:ind w:left="1682" w:hanging="420"/>
      </w:pPr>
      <w:rPr>
        <w:rFonts w:hint="eastAsia"/>
      </w:rPr>
    </w:lvl>
    <w:lvl w:ilvl="3" w:tentative="0">
      <w:start w:val="1"/>
      <w:numFmt w:val="decimal"/>
      <w:lvlText w:val="%4."/>
      <w:lvlJc w:val="left"/>
      <w:pPr>
        <w:ind w:left="2102" w:hanging="420"/>
      </w:pPr>
      <w:rPr>
        <w:rFonts w:hint="eastAsia"/>
      </w:rPr>
    </w:lvl>
    <w:lvl w:ilvl="4" w:tentative="0">
      <w:start w:val="1"/>
      <w:numFmt w:val="lowerLetter"/>
      <w:lvlText w:val="%5)"/>
      <w:lvlJc w:val="left"/>
      <w:pPr>
        <w:ind w:left="2522" w:hanging="420"/>
      </w:pPr>
      <w:rPr>
        <w:rFonts w:hint="eastAsia"/>
      </w:rPr>
    </w:lvl>
    <w:lvl w:ilvl="5" w:tentative="0">
      <w:start w:val="1"/>
      <w:numFmt w:val="lowerRoman"/>
      <w:lvlText w:val="%6."/>
      <w:lvlJc w:val="right"/>
      <w:pPr>
        <w:ind w:left="2942" w:hanging="420"/>
      </w:pPr>
      <w:rPr>
        <w:rFonts w:hint="eastAsia"/>
      </w:rPr>
    </w:lvl>
    <w:lvl w:ilvl="6" w:tentative="0">
      <w:start w:val="1"/>
      <w:numFmt w:val="decimal"/>
      <w:lvlText w:val="%7."/>
      <w:lvlJc w:val="left"/>
      <w:pPr>
        <w:ind w:left="3362" w:hanging="420"/>
      </w:pPr>
      <w:rPr>
        <w:rFonts w:hint="eastAsia"/>
      </w:rPr>
    </w:lvl>
    <w:lvl w:ilvl="7" w:tentative="0">
      <w:start w:val="1"/>
      <w:numFmt w:val="lowerLetter"/>
      <w:lvlText w:val="%8)"/>
      <w:lvlJc w:val="left"/>
      <w:pPr>
        <w:ind w:left="3782" w:hanging="420"/>
      </w:pPr>
      <w:rPr>
        <w:rFonts w:hint="eastAsia"/>
      </w:rPr>
    </w:lvl>
    <w:lvl w:ilvl="8" w:tentative="0">
      <w:start w:val="1"/>
      <w:numFmt w:val="lowerRoman"/>
      <w:lvlText w:val="%9."/>
      <w:lvlJc w:val="right"/>
      <w:pPr>
        <w:ind w:left="4202" w:hanging="420"/>
      </w:pPr>
      <w:rPr>
        <w:rFonts w:hint="eastAsia"/>
      </w:rPr>
    </w:lvl>
  </w:abstractNum>
  <w:abstractNum w:abstractNumId="6">
    <w:nsid w:val="14D139F8"/>
    <w:multiLevelType w:val="multilevel"/>
    <w:tmpl w:val="14D139F8"/>
    <w:lvl w:ilvl="0" w:tentative="0">
      <w:start w:val="3"/>
      <w:numFmt w:val="decimal"/>
      <w:lvlText w:val="%1"/>
      <w:lvlJc w:val="left"/>
      <w:pPr>
        <w:ind w:left="425" w:hanging="425"/>
      </w:pPr>
      <w:rPr>
        <w:rFonts w:hint="eastAsia"/>
      </w:rPr>
    </w:lvl>
    <w:lvl w:ilvl="1" w:tentative="0">
      <w:start w:val="7"/>
      <w:numFmt w:val="decimal"/>
      <w:lvlText w:val="%1.%2"/>
      <w:lvlJc w:val="left"/>
      <w:pPr>
        <w:ind w:left="992" w:hanging="567"/>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170F491E"/>
    <w:multiLevelType w:val="multilevel"/>
    <w:tmpl w:val="170F491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19D2548A"/>
    <w:multiLevelType w:val="multilevel"/>
    <w:tmpl w:val="19D2548A"/>
    <w:lvl w:ilvl="0" w:tentative="0">
      <w:start w:val="1"/>
      <w:numFmt w:val="decimal"/>
      <w:lvlText w:val="%1"/>
      <w:lvlJc w:val="left"/>
      <w:pPr>
        <w:ind w:left="425" w:hanging="425"/>
      </w:pPr>
      <w:rPr>
        <w:rFonts w:hint="eastAsia"/>
      </w:rPr>
    </w:lvl>
    <w:lvl w:ilvl="1" w:tentative="0">
      <w:start w:val="1"/>
      <w:numFmt w:val="decimal"/>
      <w:suff w:val="space"/>
      <w:lvlText w:val="%1.%2"/>
      <w:lvlJc w:val="left"/>
      <w:pPr>
        <w:ind w:left="0" w:firstLine="425"/>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1AAF6732"/>
    <w:multiLevelType w:val="multilevel"/>
    <w:tmpl w:val="1AAF6732"/>
    <w:lvl w:ilvl="0" w:tentative="0">
      <w:start w:val="2"/>
      <w:numFmt w:val="decimal"/>
      <w:lvlText w:val="%1"/>
      <w:lvlJc w:val="left"/>
      <w:pPr>
        <w:ind w:left="425" w:hanging="425"/>
      </w:pPr>
      <w:rPr>
        <w:rFonts w:hint="eastAsia"/>
      </w:rPr>
    </w:lvl>
    <w:lvl w:ilvl="1" w:tentative="0">
      <w:start w:val="1"/>
      <w:numFmt w:val="decimal"/>
      <w:suff w:val="space"/>
      <w:lvlText w:val="%1.%2"/>
      <w:lvlJc w:val="left"/>
      <w:pPr>
        <w:ind w:left="0" w:firstLine="425"/>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1B3F6DD8"/>
    <w:multiLevelType w:val="multilevel"/>
    <w:tmpl w:val="1B3F6DD8"/>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1264" w:hanging="420"/>
      </w:pPr>
      <w:rPr>
        <w:rFonts w:hint="eastAsia"/>
      </w:rPr>
    </w:lvl>
    <w:lvl w:ilvl="2" w:tentative="0">
      <w:start w:val="1"/>
      <w:numFmt w:val="lowerRoman"/>
      <w:lvlText w:val="%3."/>
      <w:lvlJc w:val="right"/>
      <w:pPr>
        <w:ind w:left="1684" w:hanging="420"/>
      </w:pPr>
      <w:rPr>
        <w:rFonts w:hint="eastAsia"/>
      </w:rPr>
    </w:lvl>
    <w:lvl w:ilvl="3" w:tentative="0">
      <w:start w:val="1"/>
      <w:numFmt w:val="decimal"/>
      <w:lvlText w:val="%4."/>
      <w:lvlJc w:val="left"/>
      <w:pPr>
        <w:ind w:left="2104" w:hanging="420"/>
      </w:pPr>
      <w:rPr>
        <w:rFonts w:hint="eastAsia"/>
      </w:rPr>
    </w:lvl>
    <w:lvl w:ilvl="4" w:tentative="0">
      <w:start w:val="1"/>
      <w:numFmt w:val="lowerLetter"/>
      <w:lvlText w:val="%5)"/>
      <w:lvlJc w:val="left"/>
      <w:pPr>
        <w:ind w:left="2524" w:hanging="420"/>
      </w:pPr>
      <w:rPr>
        <w:rFonts w:hint="eastAsia"/>
      </w:rPr>
    </w:lvl>
    <w:lvl w:ilvl="5" w:tentative="0">
      <w:start w:val="1"/>
      <w:numFmt w:val="lowerRoman"/>
      <w:lvlText w:val="%6."/>
      <w:lvlJc w:val="right"/>
      <w:pPr>
        <w:ind w:left="2944" w:hanging="420"/>
      </w:pPr>
      <w:rPr>
        <w:rFonts w:hint="eastAsia"/>
      </w:rPr>
    </w:lvl>
    <w:lvl w:ilvl="6" w:tentative="0">
      <w:start w:val="1"/>
      <w:numFmt w:val="decimal"/>
      <w:lvlText w:val="%7."/>
      <w:lvlJc w:val="left"/>
      <w:pPr>
        <w:ind w:left="3364" w:hanging="420"/>
      </w:pPr>
      <w:rPr>
        <w:rFonts w:hint="eastAsia"/>
      </w:rPr>
    </w:lvl>
    <w:lvl w:ilvl="7" w:tentative="0">
      <w:start w:val="1"/>
      <w:numFmt w:val="lowerLetter"/>
      <w:lvlText w:val="%8)"/>
      <w:lvlJc w:val="left"/>
      <w:pPr>
        <w:ind w:left="3784" w:hanging="420"/>
      </w:pPr>
      <w:rPr>
        <w:rFonts w:hint="eastAsia"/>
      </w:rPr>
    </w:lvl>
    <w:lvl w:ilvl="8" w:tentative="0">
      <w:start w:val="1"/>
      <w:numFmt w:val="lowerRoman"/>
      <w:lvlText w:val="%9."/>
      <w:lvlJc w:val="right"/>
      <w:pPr>
        <w:ind w:left="4204" w:hanging="420"/>
      </w:pPr>
      <w:rPr>
        <w:rFonts w:hint="eastAsia"/>
      </w:rPr>
    </w:lvl>
  </w:abstractNum>
  <w:abstractNum w:abstractNumId="11">
    <w:nsid w:val="1BAD79F4"/>
    <w:multiLevelType w:val="multilevel"/>
    <w:tmpl w:val="1BAD79F4"/>
    <w:lvl w:ilvl="0" w:tentative="0">
      <w:start w:val="8"/>
      <w:numFmt w:val="decimal"/>
      <w:suff w:val="space"/>
      <w:lvlText w:val="%1"/>
      <w:lvlJc w:val="left"/>
      <w:pPr>
        <w:ind w:left="0" w:firstLine="425"/>
      </w:pPr>
      <w:rPr>
        <w:rFonts w:hint="eastAsia"/>
      </w:rPr>
    </w:lvl>
    <w:lvl w:ilvl="1" w:tentative="0">
      <w:start w:val="1"/>
      <w:numFmt w:val="decimal"/>
      <w:suff w:val="space"/>
      <w:lvlText w:val="%1.%2"/>
      <w:lvlJc w:val="left"/>
      <w:pPr>
        <w:ind w:left="0" w:firstLine="425"/>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1D0214A8"/>
    <w:multiLevelType w:val="multilevel"/>
    <w:tmpl w:val="1D0214A8"/>
    <w:lvl w:ilvl="0" w:tentative="0">
      <w:start w:val="2"/>
      <w:numFmt w:val="decimal"/>
      <w:lvlText w:val="%1"/>
      <w:lvlJc w:val="left"/>
      <w:pPr>
        <w:ind w:left="425" w:hanging="425"/>
      </w:pPr>
      <w:rPr>
        <w:rFonts w:hint="eastAsia"/>
      </w:rPr>
    </w:lvl>
    <w:lvl w:ilvl="1" w:tentative="0">
      <w:start w:val="3"/>
      <w:numFmt w:val="decimal"/>
      <w:suff w:val="space"/>
      <w:lvlText w:val="%1.%2"/>
      <w:lvlJc w:val="left"/>
      <w:pPr>
        <w:ind w:left="0" w:firstLine="0"/>
      </w:pPr>
      <w:rPr>
        <w:rFonts w:hint="eastAsia"/>
      </w:rPr>
    </w:lvl>
    <w:lvl w:ilvl="2" w:tentative="0">
      <w:start w:val="1"/>
      <w:numFmt w:val="decimal"/>
      <w:suff w:val="space"/>
      <w:lvlText w:val="%1.%2.%3"/>
      <w:lvlJc w:val="left"/>
      <w:pPr>
        <w:ind w:left="1418" w:hanging="1418"/>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1D976465"/>
    <w:multiLevelType w:val="multilevel"/>
    <w:tmpl w:val="1D976465"/>
    <w:lvl w:ilvl="0" w:tentative="0">
      <w:start w:val="1"/>
      <w:numFmt w:val="decimal"/>
      <w:suff w:val="space"/>
      <w:lvlText w:val="%1."/>
      <w:lvlJc w:val="left"/>
      <w:pPr>
        <w:ind w:left="0" w:firstLine="482"/>
      </w:pPr>
      <w:rPr>
        <w:rFonts w:hint="eastAsia"/>
      </w:rPr>
    </w:lvl>
    <w:lvl w:ilvl="1" w:tentative="0">
      <w:start w:val="1"/>
      <w:numFmt w:val="lowerLetter"/>
      <w:lvlText w:val="%2)"/>
      <w:lvlJc w:val="left"/>
      <w:pPr>
        <w:ind w:left="1380" w:hanging="420"/>
      </w:pPr>
      <w:rPr>
        <w:rFonts w:hint="eastAsia"/>
      </w:rPr>
    </w:lvl>
    <w:lvl w:ilvl="2" w:tentative="0">
      <w:start w:val="1"/>
      <w:numFmt w:val="lowerRoman"/>
      <w:lvlText w:val="%3."/>
      <w:lvlJc w:val="right"/>
      <w:pPr>
        <w:ind w:left="1800" w:hanging="420"/>
      </w:pPr>
      <w:rPr>
        <w:rFonts w:hint="eastAsia"/>
      </w:rPr>
    </w:lvl>
    <w:lvl w:ilvl="3" w:tentative="0">
      <w:start w:val="1"/>
      <w:numFmt w:val="decimal"/>
      <w:lvlText w:val="%4."/>
      <w:lvlJc w:val="left"/>
      <w:pPr>
        <w:ind w:left="2220" w:hanging="420"/>
      </w:pPr>
      <w:rPr>
        <w:rFonts w:hint="eastAsia"/>
      </w:rPr>
    </w:lvl>
    <w:lvl w:ilvl="4" w:tentative="0">
      <w:start w:val="1"/>
      <w:numFmt w:val="lowerLetter"/>
      <w:lvlText w:val="%5)"/>
      <w:lvlJc w:val="left"/>
      <w:pPr>
        <w:ind w:left="2640" w:hanging="420"/>
      </w:pPr>
      <w:rPr>
        <w:rFonts w:hint="eastAsia"/>
      </w:rPr>
    </w:lvl>
    <w:lvl w:ilvl="5" w:tentative="0">
      <w:start w:val="1"/>
      <w:numFmt w:val="lowerRoman"/>
      <w:lvlText w:val="%6."/>
      <w:lvlJc w:val="right"/>
      <w:pPr>
        <w:ind w:left="3060" w:hanging="420"/>
      </w:pPr>
      <w:rPr>
        <w:rFonts w:hint="eastAsia"/>
      </w:rPr>
    </w:lvl>
    <w:lvl w:ilvl="6" w:tentative="0">
      <w:start w:val="1"/>
      <w:numFmt w:val="decimal"/>
      <w:lvlText w:val="%7."/>
      <w:lvlJc w:val="left"/>
      <w:pPr>
        <w:ind w:left="3480" w:hanging="420"/>
      </w:pPr>
      <w:rPr>
        <w:rFonts w:hint="eastAsia"/>
      </w:rPr>
    </w:lvl>
    <w:lvl w:ilvl="7" w:tentative="0">
      <w:start w:val="1"/>
      <w:numFmt w:val="lowerLetter"/>
      <w:lvlText w:val="%8)"/>
      <w:lvlJc w:val="left"/>
      <w:pPr>
        <w:ind w:left="3900" w:hanging="420"/>
      </w:pPr>
      <w:rPr>
        <w:rFonts w:hint="eastAsia"/>
      </w:rPr>
    </w:lvl>
    <w:lvl w:ilvl="8" w:tentative="0">
      <w:start w:val="1"/>
      <w:numFmt w:val="lowerRoman"/>
      <w:lvlText w:val="%9."/>
      <w:lvlJc w:val="right"/>
      <w:pPr>
        <w:ind w:left="4320" w:hanging="420"/>
      </w:pPr>
      <w:rPr>
        <w:rFonts w:hint="eastAsia"/>
      </w:rPr>
    </w:lvl>
  </w:abstractNum>
  <w:abstractNum w:abstractNumId="14">
    <w:nsid w:val="1DC66826"/>
    <w:multiLevelType w:val="multilevel"/>
    <w:tmpl w:val="1DC66826"/>
    <w:lvl w:ilvl="0" w:tentative="0">
      <w:start w:val="1"/>
      <w:numFmt w:val="decimal"/>
      <w:suff w:val="space"/>
      <w:lvlText w:val="%1."/>
      <w:lvlJc w:val="left"/>
      <w:pPr>
        <w:ind w:left="0" w:firstLine="425"/>
      </w:pPr>
      <w:rPr>
        <w:rFonts w:hint="eastAsia"/>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15">
    <w:nsid w:val="1E763C40"/>
    <w:multiLevelType w:val="multilevel"/>
    <w:tmpl w:val="1E763C40"/>
    <w:lvl w:ilvl="0" w:tentative="0">
      <w:start w:val="1"/>
      <w:numFmt w:val="chineseCountingThousand"/>
      <w:suff w:val="space"/>
      <w:lvlText w:val="(%1)"/>
      <w:lvlJc w:val="left"/>
      <w:pPr>
        <w:ind w:left="0" w:firstLine="482"/>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21091863"/>
    <w:multiLevelType w:val="multilevel"/>
    <w:tmpl w:val="21091863"/>
    <w:lvl w:ilvl="0" w:tentative="0">
      <w:start w:val="5"/>
      <w:numFmt w:val="decimal"/>
      <w:lvlText w:val="%1"/>
      <w:lvlJc w:val="left"/>
      <w:pPr>
        <w:ind w:left="425" w:hanging="425"/>
      </w:pPr>
      <w:rPr>
        <w:rFonts w:hint="eastAsia"/>
      </w:rPr>
    </w:lvl>
    <w:lvl w:ilvl="1" w:tentative="0">
      <w:start w:val="1"/>
      <w:numFmt w:val="decimal"/>
      <w:suff w:val="space"/>
      <w:lvlText w:val="%1.%2"/>
      <w:lvlJc w:val="left"/>
      <w:pPr>
        <w:ind w:left="0" w:firstLine="425"/>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228E65F9"/>
    <w:multiLevelType w:val="multilevel"/>
    <w:tmpl w:val="228E65F9"/>
    <w:lvl w:ilvl="0" w:tentative="0">
      <w:start w:val="3"/>
      <w:numFmt w:val="decimal"/>
      <w:lvlText w:val="%1"/>
      <w:lvlJc w:val="left"/>
      <w:pPr>
        <w:ind w:left="425" w:hanging="425"/>
      </w:pPr>
      <w:rPr>
        <w:rFonts w:hint="eastAsia"/>
      </w:rPr>
    </w:lvl>
    <w:lvl w:ilvl="1" w:tentative="0">
      <w:start w:val="1"/>
      <w:numFmt w:val="decimal"/>
      <w:suff w:val="space"/>
      <w:lvlText w:val="%1.%2"/>
      <w:lvlJc w:val="left"/>
      <w:pPr>
        <w:ind w:left="0" w:firstLine="425"/>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29310311"/>
    <w:multiLevelType w:val="multilevel"/>
    <w:tmpl w:val="29310311"/>
    <w:lvl w:ilvl="0" w:tentative="0">
      <w:start w:val="1"/>
      <w:numFmt w:val="chineseCountingThousand"/>
      <w:suff w:val="space"/>
      <w:lvlText w:val="第%1章"/>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2B4F3AFB"/>
    <w:multiLevelType w:val="multilevel"/>
    <w:tmpl w:val="2B4F3AFB"/>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1262" w:hanging="420"/>
      </w:pPr>
      <w:rPr>
        <w:rFonts w:hint="eastAsia"/>
      </w:rPr>
    </w:lvl>
    <w:lvl w:ilvl="2" w:tentative="0">
      <w:start w:val="1"/>
      <w:numFmt w:val="lowerRoman"/>
      <w:lvlText w:val="%3."/>
      <w:lvlJc w:val="right"/>
      <w:pPr>
        <w:ind w:left="1682" w:hanging="420"/>
      </w:pPr>
      <w:rPr>
        <w:rFonts w:hint="eastAsia"/>
      </w:rPr>
    </w:lvl>
    <w:lvl w:ilvl="3" w:tentative="0">
      <w:start w:val="1"/>
      <w:numFmt w:val="decimal"/>
      <w:lvlText w:val="%4."/>
      <w:lvlJc w:val="left"/>
      <w:pPr>
        <w:ind w:left="2102" w:hanging="420"/>
      </w:pPr>
      <w:rPr>
        <w:rFonts w:hint="eastAsia"/>
      </w:rPr>
    </w:lvl>
    <w:lvl w:ilvl="4" w:tentative="0">
      <w:start w:val="1"/>
      <w:numFmt w:val="lowerLetter"/>
      <w:lvlText w:val="%5)"/>
      <w:lvlJc w:val="left"/>
      <w:pPr>
        <w:ind w:left="2522" w:hanging="420"/>
      </w:pPr>
      <w:rPr>
        <w:rFonts w:hint="eastAsia"/>
      </w:rPr>
    </w:lvl>
    <w:lvl w:ilvl="5" w:tentative="0">
      <w:start w:val="1"/>
      <w:numFmt w:val="lowerRoman"/>
      <w:lvlText w:val="%6."/>
      <w:lvlJc w:val="right"/>
      <w:pPr>
        <w:ind w:left="2942" w:hanging="420"/>
      </w:pPr>
      <w:rPr>
        <w:rFonts w:hint="eastAsia"/>
      </w:rPr>
    </w:lvl>
    <w:lvl w:ilvl="6" w:tentative="0">
      <w:start w:val="1"/>
      <w:numFmt w:val="decimal"/>
      <w:lvlText w:val="%7."/>
      <w:lvlJc w:val="left"/>
      <w:pPr>
        <w:ind w:left="3362" w:hanging="420"/>
      </w:pPr>
      <w:rPr>
        <w:rFonts w:hint="eastAsia"/>
      </w:rPr>
    </w:lvl>
    <w:lvl w:ilvl="7" w:tentative="0">
      <w:start w:val="1"/>
      <w:numFmt w:val="lowerLetter"/>
      <w:lvlText w:val="%8)"/>
      <w:lvlJc w:val="left"/>
      <w:pPr>
        <w:ind w:left="3782" w:hanging="420"/>
      </w:pPr>
      <w:rPr>
        <w:rFonts w:hint="eastAsia"/>
      </w:rPr>
    </w:lvl>
    <w:lvl w:ilvl="8" w:tentative="0">
      <w:start w:val="1"/>
      <w:numFmt w:val="lowerRoman"/>
      <w:lvlText w:val="%9."/>
      <w:lvlJc w:val="right"/>
      <w:pPr>
        <w:ind w:left="4202" w:hanging="420"/>
      </w:pPr>
      <w:rPr>
        <w:rFonts w:hint="eastAsia"/>
      </w:rPr>
    </w:lvl>
  </w:abstractNum>
  <w:abstractNum w:abstractNumId="20">
    <w:nsid w:val="2C434B3C"/>
    <w:multiLevelType w:val="multilevel"/>
    <w:tmpl w:val="2C434B3C"/>
    <w:lvl w:ilvl="0" w:tentative="0">
      <w:start w:val="9"/>
      <w:numFmt w:val="decimal"/>
      <w:lvlText w:val="%1"/>
      <w:lvlJc w:val="left"/>
      <w:pPr>
        <w:ind w:left="425" w:hanging="425"/>
      </w:pPr>
      <w:rPr>
        <w:rFonts w:hint="eastAsia"/>
      </w:rPr>
    </w:lvl>
    <w:lvl w:ilvl="1" w:tentative="0">
      <w:start w:val="1"/>
      <w:numFmt w:val="decimal"/>
      <w:suff w:val="space"/>
      <w:lvlText w:val="%1.%2"/>
      <w:lvlJc w:val="left"/>
      <w:pPr>
        <w:ind w:left="0" w:firstLine="425"/>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2D2A4F48"/>
    <w:multiLevelType w:val="multilevel"/>
    <w:tmpl w:val="2D2A4F48"/>
    <w:lvl w:ilvl="0" w:tentative="0">
      <w:start w:val="3"/>
      <w:numFmt w:val="decimal"/>
      <w:lvlText w:val="%1"/>
      <w:lvlJc w:val="left"/>
      <w:pPr>
        <w:ind w:left="425" w:hanging="425"/>
      </w:pPr>
      <w:rPr>
        <w:rFonts w:hint="eastAsia"/>
      </w:rPr>
    </w:lvl>
    <w:lvl w:ilvl="1" w:tentative="0">
      <w:start w:val="3"/>
      <w:numFmt w:val="decimal"/>
      <w:suff w:val="space"/>
      <w:lvlText w:val="%1.%2"/>
      <w:lvlJc w:val="left"/>
      <w:pPr>
        <w:ind w:left="0" w:firstLine="425"/>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2F120FFC"/>
    <w:multiLevelType w:val="multilevel"/>
    <w:tmpl w:val="2F120FFC"/>
    <w:lvl w:ilvl="0" w:tentative="0">
      <w:start w:val="7"/>
      <w:numFmt w:val="decimal"/>
      <w:lvlText w:val="%1"/>
      <w:lvlJc w:val="left"/>
      <w:pPr>
        <w:ind w:left="425" w:hanging="425"/>
      </w:pPr>
      <w:rPr>
        <w:rFonts w:hint="eastAsia"/>
      </w:rPr>
    </w:lvl>
    <w:lvl w:ilvl="1" w:tentative="0">
      <w:start w:val="1"/>
      <w:numFmt w:val="decimal"/>
      <w:suff w:val="space"/>
      <w:lvlText w:val="%1.%2"/>
      <w:lvlJc w:val="left"/>
      <w:pPr>
        <w:ind w:left="0" w:firstLine="425"/>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30A43FD1"/>
    <w:multiLevelType w:val="multilevel"/>
    <w:tmpl w:val="30A43FD1"/>
    <w:lvl w:ilvl="0" w:tentative="0">
      <w:start w:val="1"/>
      <w:numFmt w:val="decimal"/>
      <w:suff w:val="space"/>
      <w:lvlText w:val="（%1）"/>
      <w:lvlJc w:val="left"/>
      <w:pPr>
        <w:ind w:left="0" w:firstLine="480"/>
      </w:pPr>
      <w:rPr>
        <w:rFonts w:hint="eastAsia"/>
        <w:sz w:val="24"/>
        <w:szCs w:val="24"/>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4">
    <w:nsid w:val="3439228D"/>
    <w:multiLevelType w:val="multilevel"/>
    <w:tmpl w:val="3439228D"/>
    <w:lvl w:ilvl="0" w:tentative="0">
      <w:start w:val="1"/>
      <w:numFmt w:val="decimal"/>
      <w:lvlText w:val="%1"/>
      <w:lvlJc w:val="left"/>
      <w:pPr>
        <w:ind w:left="425" w:hanging="425"/>
      </w:pPr>
      <w:rPr>
        <w:rFonts w:hint="eastAsia"/>
      </w:rPr>
    </w:lvl>
    <w:lvl w:ilvl="1" w:tentative="0">
      <w:start w:val="3"/>
      <w:numFmt w:val="decimal"/>
      <w:lvlText w:val="%1.%2"/>
      <w:lvlJc w:val="left"/>
      <w:pPr>
        <w:ind w:left="992" w:hanging="567"/>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5">
    <w:nsid w:val="393F5E80"/>
    <w:multiLevelType w:val="multilevel"/>
    <w:tmpl w:val="393F5E80"/>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1264" w:hanging="420"/>
      </w:pPr>
      <w:rPr>
        <w:rFonts w:hint="eastAsia"/>
      </w:rPr>
    </w:lvl>
    <w:lvl w:ilvl="2" w:tentative="0">
      <w:start w:val="1"/>
      <w:numFmt w:val="lowerRoman"/>
      <w:lvlText w:val="%3."/>
      <w:lvlJc w:val="right"/>
      <w:pPr>
        <w:ind w:left="1684" w:hanging="420"/>
      </w:pPr>
      <w:rPr>
        <w:rFonts w:hint="eastAsia"/>
      </w:rPr>
    </w:lvl>
    <w:lvl w:ilvl="3" w:tentative="0">
      <w:start w:val="1"/>
      <w:numFmt w:val="decimal"/>
      <w:lvlText w:val="%4."/>
      <w:lvlJc w:val="left"/>
      <w:pPr>
        <w:ind w:left="2104" w:hanging="420"/>
      </w:pPr>
      <w:rPr>
        <w:rFonts w:hint="eastAsia"/>
      </w:rPr>
    </w:lvl>
    <w:lvl w:ilvl="4" w:tentative="0">
      <w:start w:val="1"/>
      <w:numFmt w:val="lowerLetter"/>
      <w:lvlText w:val="%5)"/>
      <w:lvlJc w:val="left"/>
      <w:pPr>
        <w:ind w:left="2524" w:hanging="420"/>
      </w:pPr>
      <w:rPr>
        <w:rFonts w:hint="eastAsia"/>
      </w:rPr>
    </w:lvl>
    <w:lvl w:ilvl="5" w:tentative="0">
      <w:start w:val="1"/>
      <w:numFmt w:val="lowerRoman"/>
      <w:lvlText w:val="%6."/>
      <w:lvlJc w:val="right"/>
      <w:pPr>
        <w:ind w:left="2944" w:hanging="420"/>
      </w:pPr>
      <w:rPr>
        <w:rFonts w:hint="eastAsia"/>
      </w:rPr>
    </w:lvl>
    <w:lvl w:ilvl="6" w:tentative="0">
      <w:start w:val="1"/>
      <w:numFmt w:val="decimal"/>
      <w:lvlText w:val="%7."/>
      <w:lvlJc w:val="left"/>
      <w:pPr>
        <w:ind w:left="3364" w:hanging="420"/>
      </w:pPr>
      <w:rPr>
        <w:rFonts w:hint="eastAsia"/>
      </w:rPr>
    </w:lvl>
    <w:lvl w:ilvl="7" w:tentative="0">
      <w:start w:val="1"/>
      <w:numFmt w:val="lowerLetter"/>
      <w:lvlText w:val="%8)"/>
      <w:lvlJc w:val="left"/>
      <w:pPr>
        <w:ind w:left="3784" w:hanging="420"/>
      </w:pPr>
      <w:rPr>
        <w:rFonts w:hint="eastAsia"/>
      </w:rPr>
    </w:lvl>
    <w:lvl w:ilvl="8" w:tentative="0">
      <w:start w:val="1"/>
      <w:numFmt w:val="lowerRoman"/>
      <w:lvlText w:val="%9."/>
      <w:lvlJc w:val="right"/>
      <w:pPr>
        <w:ind w:left="4204" w:hanging="420"/>
      </w:pPr>
      <w:rPr>
        <w:rFonts w:hint="eastAsia"/>
      </w:rPr>
    </w:lvl>
  </w:abstractNum>
  <w:abstractNum w:abstractNumId="26">
    <w:nsid w:val="3AFD3000"/>
    <w:multiLevelType w:val="multilevel"/>
    <w:tmpl w:val="3AFD3000"/>
    <w:lvl w:ilvl="0" w:tentative="0">
      <w:start w:val="1"/>
      <w:numFmt w:val="decimal"/>
      <w:suff w:val="space"/>
      <w:lvlText w:val="（%1）"/>
      <w:lvlJc w:val="left"/>
      <w:pPr>
        <w:ind w:left="0" w:firstLine="425"/>
      </w:pPr>
      <w:rPr>
        <w:rFonts w:hint="eastAsia"/>
      </w:rPr>
    </w:lvl>
    <w:lvl w:ilvl="1" w:tentative="0">
      <w:start w:val="1"/>
      <w:numFmt w:val="lowerLetter"/>
      <w:lvlText w:val="%2)"/>
      <w:lvlJc w:val="left"/>
      <w:pPr>
        <w:ind w:left="1262" w:hanging="420"/>
      </w:pPr>
      <w:rPr>
        <w:rFonts w:hint="eastAsia"/>
      </w:rPr>
    </w:lvl>
    <w:lvl w:ilvl="2" w:tentative="0">
      <w:start w:val="1"/>
      <w:numFmt w:val="lowerRoman"/>
      <w:lvlText w:val="%3."/>
      <w:lvlJc w:val="right"/>
      <w:pPr>
        <w:ind w:left="1682" w:hanging="420"/>
      </w:pPr>
      <w:rPr>
        <w:rFonts w:hint="eastAsia"/>
      </w:rPr>
    </w:lvl>
    <w:lvl w:ilvl="3" w:tentative="0">
      <w:start w:val="1"/>
      <w:numFmt w:val="decimal"/>
      <w:lvlText w:val="%4."/>
      <w:lvlJc w:val="left"/>
      <w:pPr>
        <w:ind w:left="2102" w:hanging="420"/>
      </w:pPr>
      <w:rPr>
        <w:rFonts w:hint="eastAsia"/>
      </w:rPr>
    </w:lvl>
    <w:lvl w:ilvl="4" w:tentative="0">
      <w:start w:val="1"/>
      <w:numFmt w:val="lowerLetter"/>
      <w:lvlText w:val="%5)"/>
      <w:lvlJc w:val="left"/>
      <w:pPr>
        <w:ind w:left="2522" w:hanging="420"/>
      </w:pPr>
      <w:rPr>
        <w:rFonts w:hint="eastAsia"/>
      </w:rPr>
    </w:lvl>
    <w:lvl w:ilvl="5" w:tentative="0">
      <w:start w:val="1"/>
      <w:numFmt w:val="lowerRoman"/>
      <w:lvlText w:val="%6."/>
      <w:lvlJc w:val="right"/>
      <w:pPr>
        <w:ind w:left="2942" w:hanging="420"/>
      </w:pPr>
      <w:rPr>
        <w:rFonts w:hint="eastAsia"/>
      </w:rPr>
    </w:lvl>
    <w:lvl w:ilvl="6" w:tentative="0">
      <w:start w:val="1"/>
      <w:numFmt w:val="decimal"/>
      <w:lvlText w:val="%7."/>
      <w:lvlJc w:val="left"/>
      <w:pPr>
        <w:ind w:left="3362" w:hanging="420"/>
      </w:pPr>
      <w:rPr>
        <w:rFonts w:hint="eastAsia"/>
      </w:rPr>
    </w:lvl>
    <w:lvl w:ilvl="7" w:tentative="0">
      <w:start w:val="1"/>
      <w:numFmt w:val="lowerLetter"/>
      <w:lvlText w:val="%8)"/>
      <w:lvlJc w:val="left"/>
      <w:pPr>
        <w:ind w:left="3782" w:hanging="420"/>
      </w:pPr>
      <w:rPr>
        <w:rFonts w:hint="eastAsia"/>
      </w:rPr>
    </w:lvl>
    <w:lvl w:ilvl="8" w:tentative="0">
      <w:start w:val="1"/>
      <w:numFmt w:val="lowerRoman"/>
      <w:lvlText w:val="%9."/>
      <w:lvlJc w:val="right"/>
      <w:pPr>
        <w:ind w:left="4202" w:hanging="420"/>
      </w:pPr>
      <w:rPr>
        <w:rFonts w:hint="eastAsia"/>
      </w:rPr>
    </w:lvl>
  </w:abstractNum>
  <w:abstractNum w:abstractNumId="27">
    <w:nsid w:val="3C210FDC"/>
    <w:multiLevelType w:val="multilevel"/>
    <w:tmpl w:val="3C210FDC"/>
    <w:lvl w:ilvl="0" w:tentative="0">
      <w:start w:val="2"/>
      <w:numFmt w:val="decimal"/>
      <w:lvlText w:val="%1"/>
      <w:lvlJc w:val="left"/>
      <w:pPr>
        <w:ind w:left="425" w:hanging="425"/>
      </w:pPr>
      <w:rPr>
        <w:rFonts w:hint="eastAsia"/>
      </w:rPr>
    </w:lvl>
    <w:lvl w:ilvl="1" w:tentative="0">
      <w:start w:val="2"/>
      <w:numFmt w:val="decimal"/>
      <w:lvlText w:val="%1.%2"/>
      <w:lvlJc w:val="left"/>
      <w:pPr>
        <w:ind w:left="992" w:hanging="567"/>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8">
    <w:nsid w:val="3CBD6E27"/>
    <w:multiLevelType w:val="multilevel"/>
    <w:tmpl w:val="3CBD6E27"/>
    <w:lvl w:ilvl="0" w:tentative="0">
      <w:start w:val="4"/>
      <w:numFmt w:val="decimal"/>
      <w:lvlText w:val="%1"/>
      <w:lvlJc w:val="left"/>
      <w:pPr>
        <w:ind w:left="425" w:hanging="425"/>
      </w:pPr>
      <w:rPr>
        <w:rFonts w:hint="eastAsia"/>
      </w:rPr>
    </w:lvl>
    <w:lvl w:ilvl="1" w:tentative="0">
      <w:start w:val="1"/>
      <w:numFmt w:val="decimal"/>
      <w:suff w:val="space"/>
      <w:lvlText w:val="%1.%2"/>
      <w:lvlJc w:val="left"/>
      <w:pPr>
        <w:ind w:left="0" w:firstLine="425"/>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9">
    <w:nsid w:val="40C03B0B"/>
    <w:multiLevelType w:val="multilevel"/>
    <w:tmpl w:val="40C03B0B"/>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1262" w:hanging="420"/>
      </w:pPr>
      <w:rPr>
        <w:rFonts w:hint="eastAsia"/>
      </w:rPr>
    </w:lvl>
    <w:lvl w:ilvl="2" w:tentative="0">
      <w:start w:val="1"/>
      <w:numFmt w:val="lowerRoman"/>
      <w:lvlText w:val="%3."/>
      <w:lvlJc w:val="right"/>
      <w:pPr>
        <w:ind w:left="1682" w:hanging="420"/>
      </w:pPr>
      <w:rPr>
        <w:rFonts w:hint="eastAsia"/>
      </w:rPr>
    </w:lvl>
    <w:lvl w:ilvl="3" w:tentative="0">
      <w:start w:val="1"/>
      <w:numFmt w:val="decimal"/>
      <w:lvlText w:val="%4."/>
      <w:lvlJc w:val="left"/>
      <w:pPr>
        <w:ind w:left="2102" w:hanging="420"/>
      </w:pPr>
      <w:rPr>
        <w:rFonts w:hint="eastAsia"/>
      </w:rPr>
    </w:lvl>
    <w:lvl w:ilvl="4" w:tentative="0">
      <w:start w:val="1"/>
      <w:numFmt w:val="lowerLetter"/>
      <w:lvlText w:val="%5)"/>
      <w:lvlJc w:val="left"/>
      <w:pPr>
        <w:ind w:left="2522" w:hanging="420"/>
      </w:pPr>
      <w:rPr>
        <w:rFonts w:hint="eastAsia"/>
      </w:rPr>
    </w:lvl>
    <w:lvl w:ilvl="5" w:tentative="0">
      <w:start w:val="1"/>
      <w:numFmt w:val="lowerRoman"/>
      <w:lvlText w:val="%6."/>
      <w:lvlJc w:val="right"/>
      <w:pPr>
        <w:ind w:left="2942" w:hanging="420"/>
      </w:pPr>
      <w:rPr>
        <w:rFonts w:hint="eastAsia"/>
      </w:rPr>
    </w:lvl>
    <w:lvl w:ilvl="6" w:tentative="0">
      <w:start w:val="1"/>
      <w:numFmt w:val="decimal"/>
      <w:lvlText w:val="%7."/>
      <w:lvlJc w:val="left"/>
      <w:pPr>
        <w:ind w:left="3362" w:hanging="420"/>
      </w:pPr>
      <w:rPr>
        <w:rFonts w:hint="eastAsia"/>
      </w:rPr>
    </w:lvl>
    <w:lvl w:ilvl="7" w:tentative="0">
      <w:start w:val="1"/>
      <w:numFmt w:val="lowerLetter"/>
      <w:lvlText w:val="%8)"/>
      <w:lvlJc w:val="left"/>
      <w:pPr>
        <w:ind w:left="3782" w:hanging="420"/>
      </w:pPr>
      <w:rPr>
        <w:rFonts w:hint="eastAsia"/>
      </w:rPr>
    </w:lvl>
    <w:lvl w:ilvl="8" w:tentative="0">
      <w:start w:val="1"/>
      <w:numFmt w:val="lowerRoman"/>
      <w:lvlText w:val="%9."/>
      <w:lvlJc w:val="right"/>
      <w:pPr>
        <w:ind w:left="4202" w:hanging="420"/>
      </w:pPr>
      <w:rPr>
        <w:rFonts w:hint="eastAsia"/>
      </w:rPr>
    </w:lvl>
  </w:abstractNum>
  <w:abstractNum w:abstractNumId="30">
    <w:nsid w:val="40F67049"/>
    <w:multiLevelType w:val="multilevel"/>
    <w:tmpl w:val="40F67049"/>
    <w:lvl w:ilvl="0" w:tentative="0">
      <w:start w:val="3"/>
      <w:numFmt w:val="decimal"/>
      <w:lvlText w:val="%1"/>
      <w:lvlJc w:val="left"/>
      <w:pPr>
        <w:ind w:left="425" w:hanging="425"/>
      </w:pPr>
      <w:rPr>
        <w:rFonts w:hint="eastAsia"/>
      </w:rPr>
    </w:lvl>
    <w:lvl w:ilvl="1" w:tentative="0">
      <w:start w:val="7"/>
      <w:numFmt w:val="decimal"/>
      <w:lvlText w:val="%1.%2"/>
      <w:lvlJc w:val="left"/>
      <w:pPr>
        <w:ind w:left="992" w:hanging="567"/>
      </w:pPr>
      <w:rPr>
        <w:rFonts w:hint="eastAsia"/>
      </w:rPr>
    </w:lvl>
    <w:lvl w:ilvl="2" w:tentative="0">
      <w:start w:val="6"/>
      <w:numFmt w:val="decimal"/>
      <w:suff w:val="space"/>
      <w:lvlText w:val="%1.%2.%3"/>
      <w:lvlJc w:val="left"/>
      <w:pPr>
        <w:ind w:left="0" w:firstLine="482"/>
      </w:pPr>
      <w:rPr>
        <w:rFonts w:hint="eastAsia"/>
      </w:rPr>
    </w:lvl>
    <w:lvl w:ilvl="3" w:tentative="0">
      <w:start w:val="1"/>
      <w:numFmt w:val="decimal"/>
      <w:suff w:val="space"/>
      <w:lvlText w:val="%1.%2.%3.%4"/>
      <w:lvlJc w:val="left"/>
      <w:pPr>
        <w:ind w:left="0" w:firstLine="482"/>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1">
    <w:nsid w:val="41E82911"/>
    <w:multiLevelType w:val="multilevel"/>
    <w:tmpl w:val="41E82911"/>
    <w:lvl w:ilvl="0" w:tentative="0">
      <w:start w:val="2"/>
      <w:numFmt w:val="decimal"/>
      <w:lvlText w:val="%1"/>
      <w:lvlJc w:val="left"/>
      <w:pPr>
        <w:ind w:left="425" w:hanging="425"/>
      </w:pPr>
      <w:rPr>
        <w:rFonts w:hint="eastAsia"/>
      </w:rPr>
    </w:lvl>
    <w:lvl w:ilvl="1" w:tentative="0">
      <w:start w:val="8"/>
      <w:numFmt w:val="decimal"/>
      <w:lvlText w:val="%1.%2"/>
      <w:lvlJc w:val="left"/>
      <w:pPr>
        <w:ind w:left="992" w:hanging="567"/>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2">
    <w:nsid w:val="42737F7A"/>
    <w:multiLevelType w:val="multilevel"/>
    <w:tmpl w:val="42737F7A"/>
    <w:lvl w:ilvl="0" w:tentative="0">
      <w:start w:val="1"/>
      <w:numFmt w:val="decimal"/>
      <w:suff w:val="space"/>
      <w:lvlText w:val="%1."/>
      <w:lvlJc w:val="left"/>
      <w:pPr>
        <w:ind w:left="0" w:firstLine="422"/>
      </w:pPr>
      <w:rPr>
        <w:rFonts w:hint="eastAsia"/>
      </w:rPr>
    </w:lvl>
    <w:lvl w:ilvl="1" w:tentative="0">
      <w:start w:val="1"/>
      <w:numFmt w:val="lowerLetter"/>
      <w:lvlText w:val="%2)"/>
      <w:lvlJc w:val="left"/>
      <w:pPr>
        <w:ind w:left="1262" w:hanging="420"/>
      </w:pPr>
      <w:rPr>
        <w:rFonts w:hint="eastAsia"/>
      </w:rPr>
    </w:lvl>
    <w:lvl w:ilvl="2" w:tentative="0">
      <w:start w:val="1"/>
      <w:numFmt w:val="lowerRoman"/>
      <w:lvlText w:val="%3."/>
      <w:lvlJc w:val="right"/>
      <w:pPr>
        <w:ind w:left="1682" w:hanging="420"/>
      </w:pPr>
      <w:rPr>
        <w:rFonts w:hint="eastAsia"/>
      </w:rPr>
    </w:lvl>
    <w:lvl w:ilvl="3" w:tentative="0">
      <w:start w:val="1"/>
      <w:numFmt w:val="decimal"/>
      <w:lvlText w:val="%4."/>
      <w:lvlJc w:val="left"/>
      <w:pPr>
        <w:ind w:left="2102" w:hanging="420"/>
      </w:pPr>
      <w:rPr>
        <w:rFonts w:hint="eastAsia"/>
      </w:rPr>
    </w:lvl>
    <w:lvl w:ilvl="4" w:tentative="0">
      <w:start w:val="1"/>
      <w:numFmt w:val="lowerLetter"/>
      <w:lvlText w:val="%5)"/>
      <w:lvlJc w:val="left"/>
      <w:pPr>
        <w:ind w:left="2522" w:hanging="420"/>
      </w:pPr>
      <w:rPr>
        <w:rFonts w:hint="eastAsia"/>
      </w:rPr>
    </w:lvl>
    <w:lvl w:ilvl="5" w:tentative="0">
      <w:start w:val="1"/>
      <w:numFmt w:val="lowerRoman"/>
      <w:lvlText w:val="%6."/>
      <w:lvlJc w:val="right"/>
      <w:pPr>
        <w:ind w:left="2942" w:hanging="420"/>
      </w:pPr>
      <w:rPr>
        <w:rFonts w:hint="eastAsia"/>
      </w:rPr>
    </w:lvl>
    <w:lvl w:ilvl="6" w:tentative="0">
      <w:start w:val="1"/>
      <w:numFmt w:val="decimal"/>
      <w:lvlText w:val="%7."/>
      <w:lvlJc w:val="left"/>
      <w:pPr>
        <w:ind w:left="3362" w:hanging="420"/>
      </w:pPr>
      <w:rPr>
        <w:rFonts w:hint="eastAsia"/>
      </w:rPr>
    </w:lvl>
    <w:lvl w:ilvl="7" w:tentative="0">
      <w:start w:val="1"/>
      <w:numFmt w:val="lowerLetter"/>
      <w:lvlText w:val="%8)"/>
      <w:lvlJc w:val="left"/>
      <w:pPr>
        <w:ind w:left="3782" w:hanging="420"/>
      </w:pPr>
      <w:rPr>
        <w:rFonts w:hint="eastAsia"/>
      </w:rPr>
    </w:lvl>
    <w:lvl w:ilvl="8" w:tentative="0">
      <w:start w:val="1"/>
      <w:numFmt w:val="lowerRoman"/>
      <w:lvlText w:val="%9."/>
      <w:lvlJc w:val="right"/>
      <w:pPr>
        <w:ind w:left="4202" w:hanging="420"/>
      </w:pPr>
      <w:rPr>
        <w:rFonts w:hint="eastAsia"/>
      </w:rPr>
    </w:lvl>
  </w:abstractNum>
  <w:abstractNum w:abstractNumId="33">
    <w:nsid w:val="46753C7D"/>
    <w:multiLevelType w:val="multilevel"/>
    <w:tmpl w:val="46753C7D"/>
    <w:lvl w:ilvl="0" w:tentative="0">
      <w:start w:val="1"/>
      <w:numFmt w:val="decimal"/>
      <w:lvlText w:val="%1"/>
      <w:lvlJc w:val="left"/>
      <w:pPr>
        <w:ind w:left="425" w:hanging="425"/>
      </w:pPr>
      <w:rPr>
        <w:rFonts w:hint="eastAsia"/>
      </w:rPr>
    </w:lvl>
    <w:lvl w:ilvl="1" w:tentative="0">
      <w:start w:val="2"/>
      <w:numFmt w:val="decimal"/>
      <w:lvlText w:val="%1.%2"/>
      <w:lvlJc w:val="left"/>
      <w:pPr>
        <w:ind w:left="992" w:hanging="567"/>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4">
    <w:nsid w:val="4BF4133C"/>
    <w:multiLevelType w:val="multilevel"/>
    <w:tmpl w:val="4BF4133C"/>
    <w:lvl w:ilvl="0" w:tentative="0">
      <w:start w:val="6"/>
      <w:numFmt w:val="decimal"/>
      <w:lvlText w:val="%1"/>
      <w:lvlJc w:val="left"/>
      <w:pPr>
        <w:ind w:left="425" w:hanging="425"/>
      </w:pPr>
      <w:rPr>
        <w:rFonts w:hint="eastAsia"/>
      </w:rPr>
    </w:lvl>
    <w:lvl w:ilvl="1" w:tentative="0">
      <w:start w:val="1"/>
      <w:numFmt w:val="decimal"/>
      <w:suff w:val="space"/>
      <w:lvlText w:val="%1.%2"/>
      <w:lvlJc w:val="left"/>
      <w:pPr>
        <w:ind w:left="0" w:firstLine="425"/>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5">
    <w:nsid w:val="4EB536BA"/>
    <w:multiLevelType w:val="multilevel"/>
    <w:tmpl w:val="4EB536BA"/>
    <w:lvl w:ilvl="0" w:tentative="0">
      <w:start w:val="3"/>
      <w:numFmt w:val="decimal"/>
      <w:lvlText w:val="%1"/>
      <w:lvlJc w:val="left"/>
      <w:pPr>
        <w:ind w:left="425" w:hanging="425"/>
      </w:pPr>
      <w:rPr>
        <w:rFonts w:hint="eastAsia"/>
      </w:rPr>
    </w:lvl>
    <w:lvl w:ilvl="1" w:tentative="0">
      <w:start w:val="2"/>
      <w:numFmt w:val="decimal"/>
      <w:suff w:val="space"/>
      <w:lvlText w:val="%1.%2"/>
      <w:lvlJc w:val="left"/>
      <w:pPr>
        <w:ind w:left="0" w:firstLine="425"/>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6">
    <w:nsid w:val="517C5B19"/>
    <w:multiLevelType w:val="multilevel"/>
    <w:tmpl w:val="517C5B19"/>
    <w:lvl w:ilvl="0" w:tentative="0">
      <w:start w:val="3"/>
      <w:numFmt w:val="decimal"/>
      <w:lvlText w:val="%1"/>
      <w:lvlJc w:val="left"/>
      <w:pPr>
        <w:ind w:left="425" w:hanging="425"/>
      </w:pPr>
      <w:rPr>
        <w:rFonts w:hint="eastAsia"/>
      </w:rPr>
    </w:lvl>
    <w:lvl w:ilvl="1" w:tentative="0">
      <w:start w:val="3"/>
      <w:numFmt w:val="decimal"/>
      <w:lvlText w:val="%1.%2"/>
      <w:lvlJc w:val="left"/>
      <w:pPr>
        <w:ind w:left="992" w:hanging="567"/>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7">
    <w:nsid w:val="550C6429"/>
    <w:multiLevelType w:val="multilevel"/>
    <w:tmpl w:val="550C6429"/>
    <w:lvl w:ilvl="0" w:tentative="0">
      <w:start w:val="1"/>
      <w:numFmt w:val="decimal"/>
      <w:lvlText w:val="%1"/>
      <w:lvlJc w:val="left"/>
      <w:pPr>
        <w:ind w:left="425" w:hanging="425"/>
      </w:pPr>
      <w:rPr>
        <w:rFonts w:hint="eastAsia"/>
      </w:rPr>
    </w:lvl>
    <w:lvl w:ilvl="1" w:tentative="0">
      <w:start w:val="9"/>
      <w:numFmt w:val="decimal"/>
      <w:lvlText w:val="%1.%2"/>
      <w:lvlJc w:val="left"/>
      <w:pPr>
        <w:ind w:left="992" w:hanging="567"/>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8">
    <w:nsid w:val="552F3C86"/>
    <w:multiLevelType w:val="multilevel"/>
    <w:tmpl w:val="552F3C86"/>
    <w:lvl w:ilvl="0" w:tentative="0">
      <w:start w:val="10"/>
      <w:numFmt w:val="decimal"/>
      <w:lvlText w:val="%1"/>
      <w:lvlJc w:val="left"/>
      <w:pPr>
        <w:ind w:left="425" w:hanging="425"/>
      </w:pPr>
      <w:rPr>
        <w:rFonts w:hint="eastAsia"/>
      </w:rPr>
    </w:lvl>
    <w:lvl w:ilvl="1" w:tentative="0">
      <w:start w:val="1"/>
      <w:numFmt w:val="decimal"/>
      <w:suff w:val="space"/>
      <w:lvlText w:val="%1.%2"/>
      <w:lvlJc w:val="left"/>
      <w:pPr>
        <w:ind w:left="0" w:firstLine="425"/>
      </w:pPr>
      <w:rPr>
        <w:rFonts w:hint="eastAsia" w:eastAsia="宋体"/>
        <w:b w:val="0"/>
        <w:i w:val="0"/>
        <w:sz w:val="24"/>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9">
    <w:nsid w:val="5A997BE6"/>
    <w:multiLevelType w:val="multilevel"/>
    <w:tmpl w:val="5A997BE6"/>
    <w:lvl w:ilvl="0" w:tentative="0">
      <w:start w:val="4"/>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0">
    <w:nsid w:val="5ABE7D26"/>
    <w:multiLevelType w:val="multilevel"/>
    <w:tmpl w:val="5ABE7D26"/>
    <w:lvl w:ilvl="0" w:tentative="0">
      <w:start w:val="1"/>
      <w:numFmt w:val="decimal"/>
      <w:lvlText w:val="(%1)"/>
      <w:lvlJc w:val="left"/>
      <w:pPr>
        <w:ind w:left="905" w:hanging="48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1">
    <w:nsid w:val="5AF70429"/>
    <w:multiLevelType w:val="multilevel"/>
    <w:tmpl w:val="5AF70429"/>
    <w:lvl w:ilvl="0" w:tentative="0">
      <w:start w:val="6"/>
      <w:numFmt w:val="decimal"/>
      <w:suff w:val="space"/>
      <w:lvlText w:val="%1"/>
      <w:lvlJc w:val="left"/>
      <w:pPr>
        <w:ind w:left="425" w:hanging="425"/>
      </w:pPr>
      <w:rPr>
        <w:rFonts w:hint="eastAsia"/>
      </w:rPr>
    </w:lvl>
    <w:lvl w:ilvl="1" w:tentative="0">
      <w:start w:val="1"/>
      <w:numFmt w:val="decimal"/>
      <w:suff w:val="space"/>
      <w:lvlText w:val="%1.%2"/>
      <w:lvlJc w:val="left"/>
      <w:pPr>
        <w:ind w:left="0" w:firstLine="48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2">
    <w:nsid w:val="5B4B28A6"/>
    <w:multiLevelType w:val="multilevel"/>
    <w:tmpl w:val="5B4B28A6"/>
    <w:lvl w:ilvl="0" w:tentative="0">
      <w:start w:val="1"/>
      <w:numFmt w:val="decimal"/>
      <w:lvlText w:val="%1"/>
      <w:lvlJc w:val="left"/>
      <w:pPr>
        <w:ind w:left="425" w:hanging="425"/>
      </w:pPr>
      <w:rPr>
        <w:rFonts w:hint="eastAsia"/>
      </w:rPr>
    </w:lvl>
    <w:lvl w:ilvl="1" w:tentative="0">
      <w:start w:val="10"/>
      <w:numFmt w:val="decimal"/>
      <w:lvlText w:val="%1.%2"/>
      <w:lvlJc w:val="left"/>
      <w:pPr>
        <w:ind w:left="992" w:hanging="567"/>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3">
    <w:nsid w:val="5C5C75ED"/>
    <w:multiLevelType w:val="multilevel"/>
    <w:tmpl w:val="5C5C75ED"/>
    <w:lvl w:ilvl="0" w:tentative="0">
      <w:start w:val="10"/>
      <w:numFmt w:val="decimal"/>
      <w:lvlText w:val="%1"/>
      <w:lvlJc w:val="left"/>
      <w:pPr>
        <w:ind w:left="425" w:hanging="425"/>
      </w:pPr>
      <w:rPr>
        <w:rFonts w:hint="eastAsia"/>
      </w:rPr>
    </w:lvl>
    <w:lvl w:ilvl="1" w:tentative="0">
      <w:start w:val="2"/>
      <w:numFmt w:val="decimal"/>
      <w:lvlText w:val="%1.%2"/>
      <w:lvlJc w:val="left"/>
      <w:pPr>
        <w:ind w:left="992" w:hanging="567"/>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4">
    <w:nsid w:val="5C5F018A"/>
    <w:multiLevelType w:val="multilevel"/>
    <w:tmpl w:val="5C5F018A"/>
    <w:lvl w:ilvl="0" w:tentative="0">
      <w:start w:val="2"/>
      <w:numFmt w:val="decimal"/>
      <w:lvlText w:val="%1"/>
      <w:lvlJc w:val="left"/>
      <w:pPr>
        <w:ind w:left="425" w:hanging="425"/>
      </w:pPr>
      <w:rPr>
        <w:rFonts w:hint="eastAsia"/>
      </w:rPr>
    </w:lvl>
    <w:lvl w:ilvl="1" w:tentative="0">
      <w:start w:val="7"/>
      <w:numFmt w:val="decimal"/>
      <w:lvlText w:val="%1.%2"/>
      <w:lvlJc w:val="left"/>
      <w:pPr>
        <w:ind w:left="992" w:hanging="567"/>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5">
    <w:nsid w:val="615C5F30"/>
    <w:multiLevelType w:val="multilevel"/>
    <w:tmpl w:val="615C5F30"/>
    <w:lvl w:ilvl="0" w:tentative="0">
      <w:start w:val="3"/>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6">
    <w:nsid w:val="634C26C4"/>
    <w:multiLevelType w:val="multilevel"/>
    <w:tmpl w:val="634C26C4"/>
    <w:lvl w:ilvl="0" w:tentative="0">
      <w:start w:val="6"/>
      <w:numFmt w:val="decimal"/>
      <w:lvlText w:val="%1"/>
      <w:lvlJc w:val="left"/>
      <w:pPr>
        <w:ind w:left="425" w:hanging="425"/>
      </w:pPr>
      <w:rPr>
        <w:rFonts w:hint="eastAsia"/>
      </w:rPr>
    </w:lvl>
    <w:lvl w:ilvl="1" w:tentative="0">
      <w:start w:val="1"/>
      <w:numFmt w:val="decimal"/>
      <w:suff w:val="space"/>
      <w:lvlText w:val="%1.%2"/>
      <w:lvlJc w:val="left"/>
      <w:pPr>
        <w:ind w:left="0" w:firstLine="425"/>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7">
    <w:nsid w:val="640C73D8"/>
    <w:multiLevelType w:val="multilevel"/>
    <w:tmpl w:val="640C73D8"/>
    <w:lvl w:ilvl="0" w:tentative="0">
      <w:start w:val="1"/>
      <w:numFmt w:val="decimal"/>
      <w:lvlText w:val="%1"/>
      <w:lvlJc w:val="left"/>
      <w:pPr>
        <w:ind w:left="425" w:hanging="425"/>
      </w:pPr>
      <w:rPr>
        <w:rFonts w:hint="eastAsia"/>
      </w:rPr>
    </w:lvl>
    <w:lvl w:ilvl="1" w:tentative="0">
      <w:start w:val="4"/>
      <w:numFmt w:val="decimal"/>
      <w:lvlText w:val="%1.%2"/>
      <w:lvlJc w:val="left"/>
      <w:pPr>
        <w:ind w:left="992" w:hanging="567"/>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8">
    <w:nsid w:val="654268EC"/>
    <w:multiLevelType w:val="multilevel"/>
    <w:tmpl w:val="654268EC"/>
    <w:lvl w:ilvl="0" w:tentative="0">
      <w:start w:val="1"/>
      <w:numFmt w:val="decimal"/>
      <w:suff w:val="space"/>
      <w:lvlText w:val="（%1）"/>
      <w:lvlJc w:val="left"/>
      <w:pPr>
        <w:ind w:left="-425" w:firstLine="425"/>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9">
    <w:nsid w:val="66481E0B"/>
    <w:multiLevelType w:val="multilevel"/>
    <w:tmpl w:val="66481E0B"/>
    <w:lvl w:ilvl="0" w:tentative="0">
      <w:start w:val="1"/>
      <w:numFmt w:val="decimal"/>
      <w:suff w:val="space"/>
      <w:lvlText w:val="（%1）"/>
      <w:lvlJc w:val="left"/>
      <w:pPr>
        <w:ind w:left="0" w:firstLine="482"/>
      </w:pPr>
      <w:rPr>
        <w:rFonts w:hint="eastAsia"/>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50">
    <w:nsid w:val="67BE2CFD"/>
    <w:multiLevelType w:val="multilevel"/>
    <w:tmpl w:val="67BE2CFD"/>
    <w:lvl w:ilvl="0" w:tentative="0">
      <w:start w:val="2"/>
      <w:numFmt w:val="decimal"/>
      <w:lvlText w:val="%1"/>
      <w:lvlJc w:val="left"/>
      <w:pPr>
        <w:ind w:left="425" w:hanging="425"/>
      </w:pPr>
      <w:rPr>
        <w:rFonts w:hint="eastAsia"/>
      </w:rPr>
    </w:lvl>
    <w:lvl w:ilvl="1" w:tentative="0">
      <w:start w:val="1"/>
      <w:numFmt w:val="decimal"/>
      <w:suff w:val="space"/>
      <w:lvlText w:val="%1.%2"/>
      <w:lvlJc w:val="left"/>
      <w:pPr>
        <w:ind w:left="0" w:firstLine="48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1">
    <w:nsid w:val="6AA04D15"/>
    <w:multiLevelType w:val="multilevel"/>
    <w:tmpl w:val="6AA04D15"/>
    <w:lvl w:ilvl="0" w:tentative="0">
      <w:start w:val="1"/>
      <w:numFmt w:val="decimal"/>
      <w:lvlText w:val="（%1）"/>
      <w:lvlJc w:val="left"/>
      <w:pPr>
        <w:ind w:left="1102" w:hanging="529"/>
      </w:pPr>
      <w:rPr>
        <w:rFonts w:hint="default" w:ascii="宋体" w:hAnsi="宋体" w:eastAsia="宋体" w:cs="宋体"/>
        <w:spacing w:val="-3"/>
        <w:w w:val="100"/>
        <w:sz w:val="24"/>
        <w:szCs w:val="24"/>
        <w:lang w:val="zh-CN" w:eastAsia="zh-CN" w:bidi="zh-CN"/>
      </w:rPr>
    </w:lvl>
    <w:lvl w:ilvl="1" w:tentative="0">
      <w:start w:val="0"/>
      <w:numFmt w:val="bullet"/>
      <w:lvlText w:val="•"/>
      <w:lvlJc w:val="left"/>
      <w:pPr>
        <w:ind w:left="1996" w:hanging="529"/>
      </w:pPr>
      <w:rPr>
        <w:rFonts w:hint="default"/>
        <w:lang w:val="zh-CN" w:eastAsia="zh-CN" w:bidi="zh-CN"/>
      </w:rPr>
    </w:lvl>
    <w:lvl w:ilvl="2" w:tentative="0">
      <w:start w:val="0"/>
      <w:numFmt w:val="bullet"/>
      <w:lvlText w:val="•"/>
      <w:lvlJc w:val="left"/>
      <w:pPr>
        <w:ind w:left="2893" w:hanging="529"/>
      </w:pPr>
      <w:rPr>
        <w:rFonts w:hint="default"/>
        <w:lang w:val="zh-CN" w:eastAsia="zh-CN" w:bidi="zh-CN"/>
      </w:rPr>
    </w:lvl>
    <w:lvl w:ilvl="3" w:tentative="0">
      <w:start w:val="0"/>
      <w:numFmt w:val="bullet"/>
      <w:lvlText w:val="•"/>
      <w:lvlJc w:val="left"/>
      <w:pPr>
        <w:ind w:left="3789" w:hanging="529"/>
      </w:pPr>
      <w:rPr>
        <w:rFonts w:hint="default"/>
        <w:lang w:val="zh-CN" w:eastAsia="zh-CN" w:bidi="zh-CN"/>
      </w:rPr>
    </w:lvl>
    <w:lvl w:ilvl="4" w:tentative="0">
      <w:start w:val="0"/>
      <w:numFmt w:val="bullet"/>
      <w:lvlText w:val="•"/>
      <w:lvlJc w:val="left"/>
      <w:pPr>
        <w:ind w:left="4686" w:hanging="529"/>
      </w:pPr>
      <w:rPr>
        <w:rFonts w:hint="default"/>
        <w:lang w:val="zh-CN" w:eastAsia="zh-CN" w:bidi="zh-CN"/>
      </w:rPr>
    </w:lvl>
    <w:lvl w:ilvl="5" w:tentative="0">
      <w:start w:val="0"/>
      <w:numFmt w:val="bullet"/>
      <w:lvlText w:val="•"/>
      <w:lvlJc w:val="left"/>
      <w:pPr>
        <w:ind w:left="5583" w:hanging="529"/>
      </w:pPr>
      <w:rPr>
        <w:rFonts w:hint="default"/>
        <w:lang w:val="zh-CN" w:eastAsia="zh-CN" w:bidi="zh-CN"/>
      </w:rPr>
    </w:lvl>
    <w:lvl w:ilvl="6" w:tentative="0">
      <w:start w:val="0"/>
      <w:numFmt w:val="bullet"/>
      <w:lvlText w:val="•"/>
      <w:lvlJc w:val="left"/>
      <w:pPr>
        <w:ind w:left="6479" w:hanging="529"/>
      </w:pPr>
      <w:rPr>
        <w:rFonts w:hint="default"/>
        <w:lang w:val="zh-CN" w:eastAsia="zh-CN" w:bidi="zh-CN"/>
      </w:rPr>
    </w:lvl>
    <w:lvl w:ilvl="7" w:tentative="0">
      <w:start w:val="0"/>
      <w:numFmt w:val="bullet"/>
      <w:lvlText w:val="•"/>
      <w:lvlJc w:val="left"/>
      <w:pPr>
        <w:ind w:left="7376" w:hanging="529"/>
      </w:pPr>
      <w:rPr>
        <w:rFonts w:hint="default"/>
        <w:lang w:val="zh-CN" w:eastAsia="zh-CN" w:bidi="zh-CN"/>
      </w:rPr>
    </w:lvl>
    <w:lvl w:ilvl="8" w:tentative="0">
      <w:start w:val="0"/>
      <w:numFmt w:val="bullet"/>
      <w:lvlText w:val="•"/>
      <w:lvlJc w:val="left"/>
      <w:pPr>
        <w:ind w:left="8273" w:hanging="529"/>
      </w:pPr>
      <w:rPr>
        <w:rFonts w:hint="default"/>
        <w:lang w:val="zh-CN" w:eastAsia="zh-CN" w:bidi="zh-CN"/>
      </w:rPr>
    </w:lvl>
  </w:abstractNum>
  <w:abstractNum w:abstractNumId="52">
    <w:nsid w:val="6B6552E5"/>
    <w:multiLevelType w:val="multilevel"/>
    <w:tmpl w:val="6B6552E5"/>
    <w:lvl w:ilvl="0" w:tentative="0">
      <w:start w:val="2"/>
      <w:numFmt w:val="decimal"/>
      <w:lvlText w:val="%1"/>
      <w:lvlJc w:val="left"/>
      <w:pPr>
        <w:ind w:left="425" w:hanging="425"/>
      </w:pPr>
      <w:rPr>
        <w:rFonts w:hint="eastAsia"/>
      </w:rPr>
    </w:lvl>
    <w:lvl w:ilvl="1" w:tentative="0">
      <w:start w:val="6"/>
      <w:numFmt w:val="decimal"/>
      <w:lvlText w:val="%1.%2"/>
      <w:lvlJc w:val="left"/>
      <w:pPr>
        <w:ind w:left="992" w:hanging="567"/>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3">
    <w:nsid w:val="700C3B36"/>
    <w:multiLevelType w:val="multilevel"/>
    <w:tmpl w:val="700C3B36"/>
    <w:lvl w:ilvl="0" w:tentative="0">
      <w:start w:val="10"/>
      <w:numFmt w:val="decimal"/>
      <w:lvlText w:val="%1"/>
      <w:lvlJc w:val="left"/>
      <w:pPr>
        <w:ind w:left="425" w:hanging="425"/>
      </w:pPr>
      <w:rPr>
        <w:rFonts w:hint="eastAsia"/>
      </w:rPr>
    </w:lvl>
    <w:lvl w:ilvl="1" w:tentative="0">
      <w:start w:val="3"/>
      <w:numFmt w:val="decimal"/>
      <w:lvlText w:val="%1.%2"/>
      <w:lvlJc w:val="left"/>
      <w:pPr>
        <w:ind w:left="992" w:hanging="567"/>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4">
    <w:nsid w:val="71010573"/>
    <w:multiLevelType w:val="multilevel"/>
    <w:tmpl w:val="71010573"/>
    <w:lvl w:ilvl="0" w:tentative="0">
      <w:start w:val="1"/>
      <w:numFmt w:val="chineseCountingThousand"/>
      <w:suff w:val="space"/>
      <w:lvlText w:val="(%1)"/>
      <w:lvlJc w:val="left"/>
      <w:pPr>
        <w:ind w:left="0" w:firstLine="482"/>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5">
    <w:nsid w:val="71690C0E"/>
    <w:multiLevelType w:val="multilevel"/>
    <w:tmpl w:val="71690C0E"/>
    <w:lvl w:ilvl="0" w:tentative="0">
      <w:start w:val="1"/>
      <w:numFmt w:val="chineseCountingThousand"/>
      <w:suff w:val="space"/>
      <w:lvlText w:val="%1、"/>
      <w:lvlJc w:val="left"/>
      <w:pPr>
        <w:ind w:left="0" w:firstLine="480"/>
      </w:pPr>
      <w:rPr>
        <w:rFonts w:hint="default"/>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56">
    <w:nsid w:val="73717AB0"/>
    <w:multiLevelType w:val="multilevel"/>
    <w:tmpl w:val="73717AB0"/>
    <w:lvl w:ilvl="0" w:tentative="0">
      <w:start w:val="7"/>
      <w:numFmt w:val="decimal"/>
      <w:lvlText w:val="%1"/>
      <w:lvlJc w:val="left"/>
      <w:pPr>
        <w:ind w:left="425" w:hanging="425"/>
      </w:pPr>
      <w:rPr>
        <w:rFonts w:hint="eastAsia"/>
      </w:rPr>
    </w:lvl>
    <w:lvl w:ilvl="1" w:tentative="0">
      <w:start w:val="3"/>
      <w:numFmt w:val="decimal"/>
      <w:suff w:val="space"/>
      <w:lvlText w:val="%1.%2"/>
      <w:lvlJc w:val="left"/>
      <w:pPr>
        <w:ind w:left="0" w:firstLine="425"/>
      </w:pPr>
      <w:rPr>
        <w:rFonts w:hint="eastAsia"/>
      </w:rPr>
    </w:lvl>
    <w:lvl w:ilvl="2" w:tentative="0">
      <w:start w:val="1"/>
      <w:numFmt w:val="decimal"/>
      <w:suff w:val="space"/>
      <w:lvlText w:val="%1.%2.%3"/>
      <w:lvlJc w:val="left"/>
      <w:pPr>
        <w:ind w:left="0" w:firstLine="482"/>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7">
    <w:nsid w:val="73BE138F"/>
    <w:multiLevelType w:val="multilevel"/>
    <w:tmpl w:val="73BE138F"/>
    <w:lvl w:ilvl="0" w:tentative="0">
      <w:start w:val="3"/>
      <w:numFmt w:val="decimal"/>
      <w:lvlText w:val="%1"/>
      <w:lvlJc w:val="left"/>
      <w:pPr>
        <w:ind w:left="425" w:hanging="425"/>
      </w:pPr>
      <w:rPr>
        <w:rFonts w:hint="eastAsia"/>
      </w:rPr>
    </w:lvl>
    <w:lvl w:ilvl="1" w:tentative="0">
      <w:start w:val="1"/>
      <w:numFmt w:val="decimal"/>
      <w:suff w:val="space"/>
      <w:lvlText w:val="%1.%2"/>
      <w:lvlJc w:val="left"/>
      <w:pPr>
        <w:ind w:left="0" w:firstLine="425"/>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8">
    <w:nsid w:val="78F51B3B"/>
    <w:multiLevelType w:val="multilevel"/>
    <w:tmpl w:val="78F51B3B"/>
    <w:lvl w:ilvl="0" w:tentative="0">
      <w:start w:val="3"/>
      <w:numFmt w:val="decimal"/>
      <w:lvlText w:val="%1"/>
      <w:lvlJc w:val="left"/>
      <w:pPr>
        <w:ind w:left="425" w:hanging="425"/>
      </w:pPr>
      <w:rPr>
        <w:rFonts w:hint="eastAsia"/>
      </w:rPr>
    </w:lvl>
    <w:lvl w:ilvl="1" w:tentative="0">
      <w:start w:val="5"/>
      <w:numFmt w:val="decimal"/>
      <w:lvlText w:val="%1.%2"/>
      <w:lvlJc w:val="left"/>
      <w:pPr>
        <w:ind w:left="992" w:hanging="567"/>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suff w:val="space"/>
      <w:lvlText w:val="%1.%2.%3.%4"/>
      <w:lvlJc w:val="left"/>
      <w:pPr>
        <w:ind w:left="0" w:firstLine="425"/>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9">
    <w:nsid w:val="79B56C26"/>
    <w:multiLevelType w:val="multilevel"/>
    <w:tmpl w:val="79B56C26"/>
    <w:lvl w:ilvl="0" w:tentative="0">
      <w:start w:val="5"/>
      <w:numFmt w:val="decimal"/>
      <w:suff w:val="space"/>
      <w:lvlText w:val="%1"/>
      <w:lvlJc w:val="left"/>
      <w:pPr>
        <w:ind w:left="425" w:hanging="425"/>
      </w:pPr>
      <w:rPr>
        <w:rFonts w:hint="eastAsia"/>
      </w:rPr>
    </w:lvl>
    <w:lvl w:ilvl="1" w:tentative="0">
      <w:start w:val="1"/>
      <w:numFmt w:val="decimal"/>
      <w:suff w:val="space"/>
      <w:lvlText w:val="%1.%2"/>
      <w:lvlJc w:val="left"/>
      <w:pPr>
        <w:ind w:left="0" w:firstLine="482"/>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0">
    <w:nsid w:val="7BF41364"/>
    <w:multiLevelType w:val="multilevel"/>
    <w:tmpl w:val="7BF41364"/>
    <w:lvl w:ilvl="0" w:tentative="0">
      <w:start w:val="2"/>
      <w:numFmt w:val="decimal"/>
      <w:lvlText w:val="%1"/>
      <w:lvlJc w:val="left"/>
      <w:pPr>
        <w:ind w:left="425" w:hanging="425"/>
      </w:pPr>
      <w:rPr>
        <w:rFonts w:hint="eastAsia"/>
      </w:rPr>
    </w:lvl>
    <w:lvl w:ilvl="1" w:tentative="0">
      <w:start w:val="1"/>
      <w:numFmt w:val="decimal"/>
      <w:suff w:val="space"/>
      <w:lvlText w:val="%1.%2"/>
      <w:lvlJc w:val="left"/>
      <w:pPr>
        <w:ind w:left="0" w:firstLine="0"/>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1">
    <w:nsid w:val="7CE77CE2"/>
    <w:multiLevelType w:val="multilevel"/>
    <w:tmpl w:val="7CE77CE2"/>
    <w:lvl w:ilvl="0" w:tentative="0">
      <w:start w:val="4"/>
      <w:numFmt w:val="decimal"/>
      <w:lvlText w:val="%1"/>
      <w:lvlJc w:val="left"/>
      <w:pPr>
        <w:ind w:left="425" w:hanging="425"/>
      </w:pPr>
      <w:rPr>
        <w:rFonts w:hint="eastAsia"/>
      </w:rPr>
    </w:lvl>
    <w:lvl w:ilvl="1" w:tentative="0">
      <w:start w:val="3"/>
      <w:numFmt w:val="decimal"/>
      <w:lvlText w:val="%1.%2"/>
      <w:lvlJc w:val="left"/>
      <w:pPr>
        <w:ind w:left="992" w:hanging="567"/>
      </w:pPr>
      <w:rPr>
        <w:rFonts w:hint="eastAsia"/>
      </w:rPr>
    </w:lvl>
    <w:lvl w:ilvl="2" w:tentative="0">
      <w:start w:val="1"/>
      <w:numFmt w:val="decimal"/>
      <w:suff w:val="space"/>
      <w:lvlText w:val="%1.%2.%3"/>
      <w:lvlJc w:val="left"/>
      <w:pPr>
        <w:ind w:left="0" w:firstLine="425"/>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2">
    <w:nsid w:val="7D115146"/>
    <w:multiLevelType w:val="multilevel"/>
    <w:tmpl w:val="7D115146"/>
    <w:lvl w:ilvl="0" w:tentative="0">
      <w:start w:val="3"/>
      <w:numFmt w:val="decimal"/>
      <w:lvlText w:val="%1"/>
      <w:lvlJc w:val="left"/>
      <w:pPr>
        <w:ind w:left="425" w:hanging="425"/>
      </w:pPr>
      <w:rPr>
        <w:rFonts w:hint="eastAsia"/>
      </w:rPr>
    </w:lvl>
    <w:lvl w:ilvl="1" w:tentative="0">
      <w:start w:val="1"/>
      <w:numFmt w:val="decimal"/>
      <w:suff w:val="space"/>
      <w:lvlText w:val="%1.%2"/>
      <w:lvlJc w:val="left"/>
      <w:pPr>
        <w:ind w:left="425" w:hanging="425"/>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3">
    <w:nsid w:val="7D1A22D2"/>
    <w:multiLevelType w:val="multilevel"/>
    <w:tmpl w:val="7D1A22D2"/>
    <w:lvl w:ilvl="0" w:tentative="0">
      <w:start w:val="1"/>
      <w:numFmt w:val="decimal"/>
      <w:lvlText w:val="%1"/>
      <w:lvlJc w:val="left"/>
      <w:pPr>
        <w:ind w:left="425" w:hanging="425"/>
      </w:pPr>
      <w:rPr>
        <w:rFonts w:hint="eastAsia"/>
      </w:rPr>
    </w:lvl>
    <w:lvl w:ilvl="1" w:tentative="0">
      <w:start w:val="1"/>
      <w:numFmt w:val="decimal"/>
      <w:suff w:val="space"/>
      <w:lvlText w:val="%1.%2"/>
      <w:lvlJc w:val="left"/>
      <w:pPr>
        <w:ind w:left="0" w:firstLine="0"/>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8"/>
  </w:num>
  <w:num w:numId="2">
    <w:abstractNumId w:val="10"/>
  </w:num>
  <w:num w:numId="3">
    <w:abstractNumId w:val="50"/>
  </w:num>
  <w:num w:numId="4">
    <w:abstractNumId w:val="4"/>
    <w:lvlOverride w:ilvl="0">
      <w:lvl w:ilvl="0" w:tentative="1">
        <w:start w:val="3"/>
        <w:numFmt w:val="decimal"/>
        <w:suff w:val="space"/>
        <w:lvlText w:val="%1"/>
        <w:lvlJc w:val="left"/>
        <w:pPr>
          <w:ind w:left="425" w:hanging="425"/>
        </w:pPr>
        <w:rPr>
          <w:rFonts w:hint="eastAsia"/>
        </w:rPr>
      </w:lvl>
    </w:lvlOverride>
    <w:lvlOverride w:ilvl="1">
      <w:lvl w:ilvl="1" w:tentative="1">
        <w:start w:val="1"/>
        <w:numFmt w:val="decimal"/>
        <w:suff w:val="space"/>
        <w:lvlText w:val="%1.%2"/>
        <w:lvlJc w:val="left"/>
        <w:pPr>
          <w:ind w:left="0" w:firstLine="482"/>
        </w:pPr>
        <w:rPr>
          <w:rFonts w:hint="eastAsia"/>
        </w:rPr>
      </w:lvl>
    </w:lvlOverride>
    <w:lvlOverride w:ilvl="2">
      <w:lvl w:ilvl="2" w:tentative="1">
        <w:start w:val="1"/>
        <w:numFmt w:val="decimal"/>
        <w:suff w:val="space"/>
        <w:lvlText w:val="%1.%2.%3"/>
        <w:lvlJc w:val="left"/>
        <w:pPr>
          <w:ind w:left="0" w:firstLine="425"/>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5">
    <w:abstractNumId w:val="4"/>
  </w:num>
  <w:num w:numId="6">
    <w:abstractNumId w:val="59"/>
  </w:num>
  <w:num w:numId="7">
    <w:abstractNumId w:val="41"/>
  </w:num>
  <w:num w:numId="8">
    <w:abstractNumId w:val="25"/>
  </w:num>
  <w:num w:numId="9">
    <w:abstractNumId w:val="63"/>
  </w:num>
  <w:num w:numId="10">
    <w:abstractNumId w:val="7"/>
  </w:num>
  <w:num w:numId="11">
    <w:abstractNumId w:val="33"/>
  </w:num>
  <w:num w:numId="12">
    <w:abstractNumId w:val="24"/>
  </w:num>
  <w:num w:numId="13">
    <w:abstractNumId w:val="47"/>
  </w:num>
  <w:num w:numId="14">
    <w:abstractNumId w:val="19"/>
  </w:num>
  <w:num w:numId="15">
    <w:abstractNumId w:val="29"/>
  </w:num>
  <w:num w:numId="16">
    <w:abstractNumId w:val="1"/>
  </w:num>
  <w:num w:numId="17">
    <w:abstractNumId w:val="37"/>
  </w:num>
  <w:num w:numId="18">
    <w:abstractNumId w:val="42"/>
  </w:num>
  <w:num w:numId="19">
    <w:abstractNumId w:val="60"/>
  </w:num>
  <w:num w:numId="20">
    <w:abstractNumId w:val="27"/>
  </w:num>
  <w:num w:numId="21">
    <w:abstractNumId w:val="12"/>
  </w:num>
  <w:num w:numId="22">
    <w:abstractNumId w:val="62"/>
  </w:num>
  <w:num w:numId="23">
    <w:abstractNumId w:val="45"/>
  </w:num>
  <w:num w:numId="24">
    <w:abstractNumId w:val="3"/>
  </w:num>
  <w:num w:numId="25">
    <w:abstractNumId w:val="36"/>
  </w:num>
  <w:num w:numId="26">
    <w:abstractNumId w:val="58"/>
  </w:num>
  <w:num w:numId="27">
    <w:abstractNumId w:val="6"/>
  </w:num>
  <w:num w:numId="28">
    <w:abstractNumId w:val="30"/>
  </w:num>
  <w:num w:numId="29">
    <w:abstractNumId w:val="28"/>
  </w:num>
  <w:num w:numId="30">
    <w:abstractNumId w:val="39"/>
  </w:num>
  <w:num w:numId="31">
    <w:abstractNumId w:val="61"/>
  </w:num>
  <w:num w:numId="32">
    <w:abstractNumId w:val="16"/>
  </w:num>
  <w:num w:numId="33">
    <w:abstractNumId w:val="49"/>
  </w:num>
  <w:num w:numId="34">
    <w:abstractNumId w:val="46"/>
  </w:num>
  <w:num w:numId="35">
    <w:abstractNumId w:val="34"/>
  </w:num>
  <w:num w:numId="36">
    <w:abstractNumId w:val="5"/>
  </w:num>
  <w:num w:numId="37">
    <w:abstractNumId w:val="22"/>
  </w:num>
  <w:num w:numId="38">
    <w:abstractNumId w:val="56"/>
  </w:num>
  <w:num w:numId="39">
    <w:abstractNumId w:val="11"/>
  </w:num>
  <w:num w:numId="40">
    <w:abstractNumId w:val="51"/>
  </w:num>
  <w:num w:numId="41">
    <w:abstractNumId w:val="20"/>
  </w:num>
  <w:num w:numId="42">
    <w:abstractNumId w:val="55"/>
  </w:num>
  <w:num w:numId="43">
    <w:abstractNumId w:val="54"/>
  </w:num>
  <w:num w:numId="44">
    <w:abstractNumId w:val="23"/>
  </w:num>
  <w:num w:numId="45">
    <w:abstractNumId w:val="15"/>
  </w:num>
  <w:num w:numId="46">
    <w:abstractNumId w:val="13"/>
  </w:num>
  <w:num w:numId="47">
    <w:abstractNumId w:val="26"/>
  </w:num>
  <w:num w:numId="48">
    <w:abstractNumId w:val="32"/>
  </w:num>
  <w:num w:numId="49">
    <w:abstractNumId w:val="38"/>
  </w:num>
  <w:num w:numId="50">
    <w:abstractNumId w:val="43"/>
  </w:num>
  <w:num w:numId="51">
    <w:abstractNumId w:val="53"/>
  </w:num>
  <w:num w:numId="52">
    <w:abstractNumId w:val="14"/>
  </w:num>
  <w:num w:numId="53">
    <w:abstractNumId w:val="8"/>
  </w:num>
  <w:num w:numId="54">
    <w:abstractNumId w:val="9"/>
  </w:num>
  <w:num w:numId="55">
    <w:abstractNumId w:val="48"/>
  </w:num>
  <w:num w:numId="56">
    <w:abstractNumId w:val="52"/>
  </w:num>
  <w:num w:numId="57">
    <w:abstractNumId w:val="44"/>
  </w:num>
  <w:num w:numId="58">
    <w:abstractNumId w:val="31"/>
  </w:num>
  <w:num w:numId="59">
    <w:abstractNumId w:val="40"/>
  </w:num>
  <w:num w:numId="60">
    <w:abstractNumId w:val="57"/>
  </w:num>
  <w:num w:numId="61">
    <w:abstractNumId w:val="17"/>
  </w:num>
  <w:num w:numId="62">
    <w:abstractNumId w:val="35"/>
  </w:num>
  <w:num w:numId="63">
    <w:abstractNumId w:val="21"/>
  </w:num>
  <w:num w:numId="64">
    <w:abstractNumId w:val="2"/>
  </w:num>
  <w:num w:numId="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F3558"/>
    <w:rsid w:val="010B2091"/>
    <w:rsid w:val="018E0AE5"/>
    <w:rsid w:val="05EC134C"/>
    <w:rsid w:val="0BE16068"/>
    <w:rsid w:val="110C2376"/>
    <w:rsid w:val="141B267A"/>
    <w:rsid w:val="15416977"/>
    <w:rsid w:val="176B4936"/>
    <w:rsid w:val="1C97471C"/>
    <w:rsid w:val="20640462"/>
    <w:rsid w:val="2A3B05EA"/>
    <w:rsid w:val="39B434A4"/>
    <w:rsid w:val="50CF3558"/>
    <w:rsid w:val="550A38EB"/>
    <w:rsid w:val="57ED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6" w:lineRule="auto"/>
      <w:jc w:val="center"/>
      <w:outlineLvl w:val="0"/>
    </w:pPr>
    <w:rPr>
      <w:rFonts w:ascii="Calibri" w:hAnsi="Calibri"/>
      <w:b/>
      <w:kern w:val="44"/>
      <w:sz w:val="44"/>
    </w:rPr>
  </w:style>
  <w:style w:type="paragraph" w:styleId="7">
    <w:name w:val="heading 2"/>
    <w:basedOn w:val="1"/>
    <w:next w:val="1"/>
    <w:qFormat/>
    <w:uiPriority w:val="0"/>
    <w:pPr>
      <w:keepNext/>
      <w:keepLines/>
      <w:spacing w:before="260" w:after="260"/>
      <w:outlineLvl w:val="1"/>
    </w:pPr>
    <w:rPr>
      <w:rFonts w:ascii="Arial" w:hAnsi="Arial" w:eastAsia="黑体"/>
      <w:b/>
    </w:rPr>
  </w:style>
  <w:style w:type="paragraph" w:styleId="8">
    <w:name w:val="heading 3"/>
    <w:basedOn w:val="1"/>
    <w:next w:val="1"/>
    <w:qFormat/>
    <w:uiPriority w:val="0"/>
    <w:pPr>
      <w:keepNext/>
      <w:keepLines/>
      <w:spacing w:before="260" w:after="260"/>
      <w:outlineLvl w:val="2"/>
    </w:pPr>
    <w:rPr>
      <w:rFonts w:eastAsia="楷体"/>
      <w:b/>
    </w:rPr>
  </w:style>
  <w:style w:type="character" w:default="1" w:styleId="14">
    <w:name w:val="Default Paragraph Font"/>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line="312" w:lineRule="auto"/>
      <w:ind w:firstLine="420"/>
    </w:pPr>
  </w:style>
  <w:style w:type="paragraph" w:styleId="3">
    <w:name w:val="Body Text"/>
    <w:basedOn w:val="1"/>
    <w:qFormat/>
    <w:uiPriority w:val="0"/>
    <w:pPr>
      <w:spacing w:after="120"/>
    </w:pPr>
  </w:style>
  <w:style w:type="paragraph" w:styleId="4">
    <w:name w:val="Body Text First Indent 2"/>
    <w:basedOn w:val="5"/>
    <w:next w:val="1"/>
    <w:qFormat/>
    <w:uiPriority w:val="0"/>
    <w:pPr>
      <w:ind w:firstLine="420" w:firstLineChars="200"/>
    </w:pPr>
  </w:style>
  <w:style w:type="paragraph" w:styleId="5">
    <w:name w:val="Body Text Indent"/>
    <w:basedOn w:val="1"/>
    <w:qFormat/>
    <w:uiPriority w:val="0"/>
    <w:pPr>
      <w:spacing w:after="120"/>
      <w:ind w:left="420" w:leftChars="200"/>
    </w:pPr>
  </w:style>
  <w:style w:type="paragraph" w:styleId="9">
    <w:name w:val="Body Text 3"/>
    <w:basedOn w:val="1"/>
    <w:qFormat/>
    <w:uiPriority w:val="0"/>
    <w:rPr>
      <w:rFonts w:ascii="宋体"/>
      <w:sz w:val="24"/>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jc w:val="left"/>
    </w:pPr>
    <w:rPr>
      <w:b/>
      <w:bCs/>
      <w:caps/>
      <w:sz w:val="20"/>
      <w:szCs w:val="20"/>
    </w:rPr>
  </w:style>
  <w:style w:type="character" w:styleId="15">
    <w:name w:val="Hyperlink"/>
    <w:basedOn w:val="14"/>
    <w:qFormat/>
    <w:uiPriority w:val="99"/>
    <w:rPr>
      <w:color w:val="000000"/>
      <w:u w:val="none"/>
    </w:rPr>
  </w:style>
  <w:style w:type="paragraph" w:customStyle="1" w:styleId="16">
    <w:name w:val="_Style 10"/>
    <w:basedOn w:val="6"/>
    <w:next w:val="1"/>
    <w:qFormat/>
    <w:uiPriority w:val="39"/>
    <w:pPr>
      <w:widowControl/>
      <w:spacing w:before="240" w:after="0" w:line="259" w:lineRule="auto"/>
      <w:jc w:val="left"/>
      <w:outlineLvl w:val="9"/>
    </w:pPr>
    <w:rPr>
      <w:rFonts w:ascii="等线 Light" w:hAnsi="等线 Light" w:eastAsia="等线 Light"/>
      <w:b w:val="0"/>
      <w:color w:val="2F5496"/>
      <w:kern w:val="0"/>
      <w:sz w:val="32"/>
      <w:szCs w:val="32"/>
    </w:rPr>
  </w:style>
  <w:style w:type="paragraph" w:styleId="17">
    <w:name w:val="List Paragraph"/>
    <w:basedOn w:val="1"/>
    <w:qFormat/>
    <w:uiPriority w:val="99"/>
    <w:pPr>
      <w:autoSpaceDE w:val="0"/>
      <w:autoSpaceDN w:val="0"/>
      <w:ind w:left="212" w:hanging="530"/>
      <w:jc w:val="left"/>
    </w:pPr>
    <w:rPr>
      <w:rFonts w:ascii="宋体" w:hAnsi="宋体" w:cs="宋体"/>
      <w:kern w:val="0"/>
      <w:sz w:val="22"/>
      <w:szCs w:val="22"/>
      <w:lang w:val="zh-CN" w:bidi="zh-CN"/>
    </w:rPr>
  </w:style>
  <w:style w:type="paragraph" w:customStyle="1" w:styleId="18">
    <w:name w:val="Default"/>
    <w:basedOn w:val="1"/>
    <w:qFormat/>
    <w:uiPriority w:val="0"/>
    <w:pPr>
      <w:autoSpaceDE w:val="0"/>
      <w:autoSpaceDN w:val="0"/>
      <w:adjustRightInd w:val="0"/>
      <w:jc w:val="left"/>
    </w:pPr>
    <w:rPr>
      <w:rFonts w:ascii="宋体" w:hAnsi="宋体" w:cs="宋体"/>
      <w:color w:val="000000"/>
      <w:kern w:val="0"/>
      <w:sz w:val="24"/>
    </w:rPr>
  </w:style>
  <w:style w:type="paragraph" w:customStyle="1" w:styleId="19">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2020-08-03T06:28:00Z</dcterms:created>
  <dc:creator>河南招标采购服务有限公司:河南招标采购服务有限公司</dc:creator>
  <cp:lastModifiedBy>河南招标采购服务有限公司:河南招标采购服务有限公司</cp:lastModifiedBy>
  <dcterms:modified xsi:type="dcterms:W3CDTF">2020-08-03T06:32:38Z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