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许昌市文化广电和旅游局</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hint="eastAsia" w:cs="黑体" w:asciiTheme="majorEastAsia" w:hAnsiTheme="majorEastAsia" w:eastAsiaTheme="majorEastAsia"/>
          <w:b/>
          <w:kern w:val="0"/>
          <w:sz w:val="44"/>
          <w:szCs w:val="44"/>
          <w:shd w:val="clear" w:color="auto" w:fill="FFFFFF"/>
        </w:rPr>
      </w:pPr>
      <w:r>
        <w:rPr>
          <w:rFonts w:hint="eastAsia" w:asciiTheme="majorEastAsia" w:hAnsiTheme="majorEastAsia" w:eastAsiaTheme="majorEastAsia" w:cstheme="majorEastAsia"/>
          <w:b/>
          <w:bCs/>
          <w:color w:val="000000"/>
          <w:sz w:val="44"/>
          <w:szCs w:val="44"/>
        </w:rPr>
        <w:t>“全市集中购买流动图书馆服务”</w:t>
      </w:r>
      <w:r>
        <w:rPr>
          <w:rFonts w:hint="eastAsia" w:cs="黑体" w:asciiTheme="majorEastAsia" w:hAnsiTheme="majorEastAsia" w:eastAsiaTheme="majorEastAsia"/>
          <w:b/>
          <w:kern w:val="0"/>
          <w:sz w:val="44"/>
          <w:szCs w:val="44"/>
          <w:shd w:val="clear" w:color="auto" w:fill="FFFFFF"/>
        </w:rPr>
        <w:t>项目采购</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cs="黑体" w:asciiTheme="majorEastAsia" w:hAnsiTheme="majorEastAsia" w:eastAsiaTheme="majorEastAsia"/>
          <w:b/>
          <w:kern w:val="0"/>
          <w:sz w:val="44"/>
          <w:szCs w:val="44"/>
          <w:shd w:val="clear" w:color="auto" w:fill="FFFFFF"/>
        </w:rPr>
      </w:pPr>
      <w:r>
        <w:rPr>
          <w:rFonts w:hint="eastAsia" w:cs="黑体" w:asciiTheme="majorEastAsia" w:hAnsiTheme="majorEastAsia" w:eastAsiaTheme="majorEastAsia"/>
          <w:b/>
          <w:kern w:val="0"/>
          <w:sz w:val="44"/>
          <w:szCs w:val="44"/>
          <w:shd w:val="clear" w:color="auto" w:fill="FFFFFF"/>
        </w:rPr>
        <w:t>需求提交说明</w:t>
      </w:r>
    </w:p>
    <w:p>
      <w:pPr>
        <w:widowControl/>
        <w:shd w:val="clear" w:color="auto" w:fill="FFFFFF"/>
        <w:spacing w:line="360" w:lineRule="auto"/>
        <w:ind w:firstLine="640"/>
        <w:jc w:val="left"/>
        <w:rPr>
          <w:rFonts w:ascii="宋体" w:hAnsi="宋体" w:eastAsia="宋体" w:cs="宋体"/>
          <w:kern w:val="0"/>
          <w:sz w:val="24"/>
          <w:szCs w:val="24"/>
          <w:shd w:val="clear" w:color="auto" w:fill="FFFFFF"/>
        </w:rPr>
      </w:pPr>
    </w:p>
    <w:p>
      <w:pPr>
        <w:widowControl/>
        <w:shd w:val="clear" w:color="auto" w:fill="FFFFFF"/>
        <w:spacing w:line="360" w:lineRule="auto"/>
        <w:jc w:val="left"/>
        <w:rPr>
          <w:rFonts w:ascii="宋体" w:hAnsi="宋体" w:eastAsia="宋体" w:cs="宋体"/>
          <w:kern w:val="0"/>
          <w:sz w:val="28"/>
          <w:szCs w:val="28"/>
        </w:rPr>
      </w:pPr>
      <w:r>
        <w:rPr>
          <w:rFonts w:hint="eastAsia" w:ascii="仿宋" w:hAnsi="仿宋" w:eastAsia="仿宋" w:cs="仿宋"/>
          <w:kern w:val="0"/>
          <w:sz w:val="28"/>
          <w:szCs w:val="28"/>
          <w:shd w:val="clear" w:color="auto" w:fill="FFFFFF"/>
        </w:rPr>
        <w:t>许昌市政府采购服务中心：</w:t>
      </w:r>
    </w:p>
    <w:p>
      <w:pPr>
        <w:widowControl/>
        <w:shd w:val="clear" w:color="auto" w:fill="FFFFFF"/>
        <w:spacing w:line="360" w:lineRule="auto"/>
        <w:ind w:firstLine="560" w:firstLineChars="200"/>
        <w:jc w:val="left"/>
        <w:rPr>
          <w:rFonts w:ascii="仿宋" w:hAnsi="仿宋" w:eastAsia="仿宋" w:cs="仿宋"/>
          <w:b/>
          <w:kern w:val="0"/>
          <w:sz w:val="28"/>
          <w:szCs w:val="28"/>
          <w:shd w:val="clear" w:color="auto" w:fill="FFFFFF"/>
        </w:rPr>
      </w:pPr>
      <w:r>
        <w:rPr>
          <w:rFonts w:hint="eastAsia" w:ascii="仿宋" w:hAnsi="仿宋" w:eastAsia="仿宋" w:cs="仿宋"/>
          <w:kern w:val="0"/>
          <w:sz w:val="28"/>
          <w:szCs w:val="28"/>
          <w:shd w:val="clear" w:color="auto" w:fill="FFFFFF"/>
        </w:rPr>
        <w:t>我单位根据《中华人民共和国政府采购法》、《中华人民共和国政府采购法实施条例》、《政府采购货物和服务招标投标管理办法》、《政府采购需求管理办法》（财库﹝2021﹞22）号）等有关法律法规，确定了本项目的采购需求、采购实施计划（详见“采</w:t>
      </w:r>
      <w:bookmarkStart w:id="0" w:name="_GoBack"/>
      <w:bookmarkEnd w:id="0"/>
      <w:r>
        <w:rPr>
          <w:rFonts w:hint="eastAsia" w:ascii="仿宋" w:hAnsi="仿宋" w:eastAsia="仿宋" w:cs="仿宋"/>
          <w:kern w:val="0"/>
          <w:sz w:val="28"/>
          <w:szCs w:val="28"/>
          <w:shd w:val="clear" w:color="auto" w:fill="FFFFFF"/>
        </w:rPr>
        <w:t>购需求、评标标准”），并委托你中心编制采购文件。我单位对所提供采购需求、采购实施计划的合法性、合规性、合理性负责。</w:t>
      </w:r>
    </w:p>
    <w:p>
      <w:pPr>
        <w:widowControl/>
        <w:shd w:val="clear" w:color="auto" w:fill="FFFFFF"/>
        <w:spacing w:line="360" w:lineRule="auto"/>
        <w:ind w:firstLine="550" w:firstLineChars="196"/>
        <w:jc w:val="left"/>
        <w:rPr>
          <w:rFonts w:ascii="仿宋" w:hAnsi="仿宋" w:eastAsia="仿宋" w:cs="仿宋"/>
          <w:b/>
          <w:kern w:val="0"/>
          <w:sz w:val="28"/>
          <w:szCs w:val="28"/>
          <w:shd w:val="clear" w:color="auto" w:fill="FFFFFF"/>
        </w:rPr>
      </w:pPr>
      <w:r>
        <w:rPr>
          <w:rFonts w:hint="eastAsia" w:ascii="仿宋" w:hAnsi="仿宋" w:eastAsia="仿宋" w:cs="仿宋"/>
          <w:b/>
          <w:kern w:val="0"/>
          <w:sz w:val="28"/>
          <w:szCs w:val="28"/>
          <w:shd w:val="clear" w:color="auto" w:fill="FFFFFF"/>
        </w:rPr>
        <w:t>如本项目已评审，承诺提供的采购需求中采购清单与许昌市财政投资评审中心出具的《评审结论》（含预算审核报告书）内容一致。</w:t>
      </w:r>
    </w:p>
    <w:p>
      <w:pPr>
        <w:widowControl/>
        <w:shd w:val="clear" w:color="auto" w:fill="FFFFFF"/>
        <w:spacing w:line="360" w:lineRule="auto"/>
        <w:ind w:firstLine="602"/>
        <w:contextualSpacing/>
        <w:jc w:val="left"/>
        <w:rPr>
          <w:rFonts w:ascii="黑体" w:hAnsi="黑体" w:eastAsia="黑体" w:cs="仿宋"/>
          <w:kern w:val="0"/>
          <w:sz w:val="28"/>
          <w:szCs w:val="28"/>
          <w:shd w:val="clear" w:color="auto" w:fill="FFFFFF"/>
        </w:rPr>
      </w:pPr>
      <w:r>
        <w:rPr>
          <w:rFonts w:hint="eastAsia" w:ascii="黑体" w:hAnsi="宋体" w:eastAsia="黑体" w:cs="黑体"/>
          <w:kern w:val="0"/>
          <w:sz w:val="28"/>
          <w:szCs w:val="28"/>
          <w:shd w:val="clear" w:color="auto" w:fill="FFFFFF"/>
        </w:rPr>
        <w:t>一、</w:t>
      </w:r>
      <w:r>
        <w:rPr>
          <w:rFonts w:hint="eastAsia" w:ascii="黑体" w:hAnsi="黑体" w:eastAsia="黑体" w:cs="仿宋"/>
          <w:kern w:val="0"/>
          <w:sz w:val="28"/>
          <w:szCs w:val="28"/>
          <w:shd w:val="clear" w:color="auto" w:fill="FFFFFF"/>
        </w:rPr>
        <w:t>项目属性</w:t>
      </w:r>
    </w:p>
    <w:p>
      <w:pPr>
        <w:widowControl/>
        <w:shd w:val="clear" w:color="auto" w:fill="FFFFFF"/>
        <w:spacing w:line="360" w:lineRule="auto"/>
        <w:ind w:firstLine="600"/>
        <w:contextualSpacing/>
        <w:jc w:val="left"/>
        <w:rPr>
          <w:rFonts w:ascii="楷体" w:hAnsi="楷体" w:eastAsia="楷体" w:cs="仿宋"/>
          <w:kern w:val="0"/>
          <w:sz w:val="28"/>
          <w:szCs w:val="28"/>
          <w:shd w:val="clear" w:color="auto" w:fill="FFFFFF"/>
        </w:rPr>
      </w:pPr>
      <w:r>
        <w:rPr>
          <w:rFonts w:hint="eastAsia" w:ascii="楷体" w:hAnsi="楷体" w:eastAsia="楷体" w:cs="仿宋"/>
          <w:kern w:val="0"/>
          <w:sz w:val="28"/>
          <w:szCs w:val="28"/>
          <w:shd w:val="clear" w:color="auto" w:fill="FFFFFF"/>
        </w:rPr>
        <w:t xml:space="preserve">1、□ 货物类   □ 工程类   </w:t>
      </w:r>
      <w:r>
        <w:rPr>
          <w:rFonts w:hint="eastAsia" w:ascii="楷体" w:hAnsi="楷体" w:eastAsia="楷体" w:cs="仿宋"/>
          <w:kern w:val="0"/>
          <w:sz w:val="28"/>
          <w:szCs w:val="28"/>
          <w:shd w:val="clear" w:color="auto" w:fill="FFFFFF"/>
        </w:rPr>
        <w:sym w:font="Wingdings 2" w:char="0052"/>
      </w:r>
      <w:r>
        <w:rPr>
          <w:rFonts w:hint="eastAsia" w:ascii="楷体" w:hAnsi="楷体" w:eastAsia="楷体" w:cs="仿宋"/>
          <w:kern w:val="0"/>
          <w:sz w:val="28"/>
          <w:szCs w:val="28"/>
          <w:shd w:val="clear" w:color="auto" w:fill="FFFFFF"/>
        </w:rPr>
        <w:t xml:space="preserve"> 服务类</w:t>
      </w:r>
    </w:p>
    <w:p>
      <w:pPr>
        <w:widowControl/>
        <w:shd w:val="clear" w:color="auto" w:fill="FFFFFF"/>
        <w:spacing w:line="360" w:lineRule="auto"/>
        <w:ind w:firstLine="600"/>
        <w:contextualSpacing/>
        <w:jc w:val="left"/>
        <w:rPr>
          <w:rFonts w:ascii="楷体" w:hAnsi="楷体" w:eastAsia="楷体" w:cs="仿宋"/>
          <w:kern w:val="0"/>
          <w:sz w:val="28"/>
          <w:szCs w:val="28"/>
          <w:shd w:val="clear" w:color="auto" w:fill="FFFFFF"/>
        </w:rPr>
      </w:pPr>
      <w:r>
        <w:rPr>
          <w:rFonts w:hint="eastAsia" w:ascii="楷体" w:hAnsi="楷体" w:eastAsia="楷体" w:cs="仿宋"/>
          <w:kern w:val="0"/>
          <w:sz w:val="28"/>
          <w:szCs w:val="28"/>
          <w:shd w:val="clear" w:color="auto" w:fill="FFFFFF"/>
        </w:rPr>
        <w:t xml:space="preserve">2、服务类项目的第三类： □否  </w:t>
      </w:r>
      <w:r>
        <w:rPr>
          <w:rFonts w:hint="eastAsia" w:ascii="楷体" w:hAnsi="楷体" w:eastAsia="楷体" w:cs="仿宋"/>
          <w:kern w:val="0"/>
          <w:sz w:val="28"/>
          <w:szCs w:val="28"/>
          <w:shd w:val="clear" w:color="auto" w:fill="FFFFFF"/>
        </w:rPr>
        <w:sym w:font="Wingdings 2" w:char="0052"/>
      </w:r>
      <w:r>
        <w:rPr>
          <w:rFonts w:hint="eastAsia" w:ascii="楷体" w:hAnsi="楷体" w:eastAsia="楷体" w:cs="仿宋"/>
          <w:kern w:val="0"/>
          <w:sz w:val="28"/>
          <w:szCs w:val="28"/>
          <w:shd w:val="clear" w:color="auto" w:fill="FFFFFF"/>
        </w:rPr>
        <w:t>是</w:t>
      </w:r>
    </w:p>
    <w:p>
      <w:pPr>
        <w:widowControl/>
        <w:shd w:val="clear" w:color="auto" w:fill="FFFFFF"/>
        <w:spacing w:line="360" w:lineRule="auto"/>
        <w:ind w:firstLine="600"/>
        <w:contextualSpacing/>
        <w:jc w:val="left"/>
        <w:rPr>
          <w:rFonts w:ascii="楷体" w:hAnsi="楷体" w:eastAsia="楷体" w:cs="仿宋"/>
          <w:kern w:val="0"/>
          <w:sz w:val="28"/>
          <w:szCs w:val="28"/>
          <w:shd w:val="clear" w:color="auto" w:fill="FFFFFF"/>
        </w:rPr>
      </w:pPr>
      <w:r>
        <w:rPr>
          <w:rFonts w:hint="eastAsia" w:ascii="楷体" w:hAnsi="楷体" w:eastAsia="楷体" w:cs="仿宋"/>
          <w:kern w:val="0"/>
          <w:sz w:val="28"/>
          <w:szCs w:val="28"/>
          <w:shd w:val="clear" w:color="auto" w:fill="FFFFFF"/>
        </w:rPr>
        <w:t>3、政务信息系统：</w:t>
      </w:r>
      <w:r>
        <w:rPr>
          <w:rFonts w:hint="eastAsia" w:ascii="楷体" w:hAnsi="楷体" w:eastAsia="楷体" w:cs="仿宋"/>
          <w:kern w:val="0"/>
          <w:sz w:val="28"/>
          <w:szCs w:val="28"/>
          <w:shd w:val="clear" w:color="auto" w:fill="FFFFFF"/>
        </w:rPr>
        <w:sym w:font="Wingdings 2" w:char="0052"/>
      </w:r>
      <w:r>
        <w:rPr>
          <w:rFonts w:hint="eastAsia" w:ascii="楷体" w:hAnsi="楷体" w:eastAsia="楷体" w:cs="仿宋"/>
          <w:kern w:val="0"/>
          <w:sz w:val="28"/>
          <w:szCs w:val="28"/>
          <w:shd w:val="clear" w:color="auto" w:fill="FFFFFF"/>
        </w:rPr>
        <w:t>否  □是</w:t>
      </w:r>
    </w:p>
    <w:p>
      <w:pPr>
        <w:widowControl/>
        <w:shd w:val="clear" w:color="auto" w:fill="FFFFFF"/>
        <w:spacing w:line="360" w:lineRule="auto"/>
        <w:ind w:firstLine="600"/>
        <w:contextualSpacing/>
        <w:jc w:val="left"/>
        <w:rPr>
          <w:rFonts w:ascii="黑体" w:hAnsi="黑体" w:eastAsia="黑体" w:cs="仿宋"/>
          <w:kern w:val="0"/>
          <w:sz w:val="28"/>
          <w:szCs w:val="28"/>
          <w:shd w:val="clear" w:color="auto" w:fill="FFFFFF"/>
        </w:rPr>
      </w:pPr>
      <w:r>
        <w:rPr>
          <w:rFonts w:hint="eastAsia" w:ascii="黑体" w:hAnsi="黑体" w:eastAsia="黑体" w:cs="仿宋"/>
          <w:kern w:val="0"/>
          <w:sz w:val="28"/>
          <w:szCs w:val="28"/>
          <w:shd w:val="clear" w:color="auto" w:fill="FFFFFF"/>
        </w:rPr>
        <w:t>二、评审结论及预算审核报告书</w:t>
      </w:r>
    </w:p>
    <w:p>
      <w:pPr>
        <w:widowControl/>
        <w:shd w:val="clear" w:color="auto" w:fill="FFFFFF"/>
        <w:spacing w:line="360" w:lineRule="auto"/>
        <w:ind w:firstLine="600"/>
        <w:contextualSpacing/>
        <w:jc w:val="left"/>
        <w:rPr>
          <w:rFonts w:ascii="楷体" w:hAnsi="楷体" w:eastAsia="楷体" w:cs="仿宋"/>
          <w:kern w:val="0"/>
          <w:sz w:val="28"/>
          <w:szCs w:val="28"/>
          <w:shd w:val="clear" w:color="auto" w:fill="FFFFFF"/>
        </w:rPr>
      </w:pPr>
      <w:r>
        <w:rPr>
          <w:rFonts w:hint="eastAsia" w:ascii="楷体" w:hAnsi="楷体" w:eastAsia="楷体" w:cs="仿宋"/>
          <w:kern w:val="0"/>
          <w:sz w:val="28"/>
          <w:szCs w:val="28"/>
          <w:shd w:val="clear" w:color="auto" w:fill="FFFFFF"/>
        </w:rPr>
        <w:sym w:font="Wingdings 2" w:char="0052"/>
      </w:r>
      <w:r>
        <w:rPr>
          <w:rFonts w:hint="eastAsia" w:ascii="楷体" w:hAnsi="楷体" w:eastAsia="楷体" w:cs="仿宋"/>
          <w:kern w:val="0"/>
          <w:sz w:val="28"/>
          <w:szCs w:val="28"/>
          <w:shd w:val="clear" w:color="auto" w:fill="FFFFFF"/>
        </w:rPr>
        <w:t>否  □是</w:t>
      </w:r>
    </w:p>
    <w:p>
      <w:pPr>
        <w:widowControl/>
        <w:shd w:val="clear" w:color="auto" w:fill="FFFFFF"/>
        <w:spacing w:line="360" w:lineRule="auto"/>
        <w:ind w:firstLine="600"/>
        <w:jc w:val="left"/>
        <w:rPr>
          <w:rFonts w:ascii="Times New Roman" w:hAnsi="Times New Roman" w:eastAsia="黑体" w:cs="Times New Roman"/>
          <w:kern w:val="0"/>
          <w:sz w:val="28"/>
          <w:szCs w:val="28"/>
          <w:shd w:val="clear" w:color="auto" w:fill="FFFFFF"/>
        </w:rPr>
      </w:pPr>
      <w:r>
        <w:rPr>
          <w:rFonts w:hint="eastAsia" w:ascii="Times New Roman" w:hAnsi="Times New Roman" w:eastAsia="黑体" w:cs="Times New Roman"/>
          <w:kern w:val="0"/>
          <w:sz w:val="28"/>
          <w:szCs w:val="28"/>
          <w:shd w:val="clear" w:color="auto" w:fill="FFFFFF"/>
        </w:rPr>
        <w:t>三、评标委员会组建</w:t>
      </w:r>
    </w:p>
    <w:p>
      <w:pPr>
        <w:widowControl/>
        <w:shd w:val="clear" w:color="auto" w:fill="FFFFFF"/>
        <w:spacing w:line="360" w:lineRule="auto"/>
        <w:ind w:firstLine="60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sym w:font="Wingdings 2" w:char="0052"/>
      </w:r>
      <w:r>
        <w:rPr>
          <w:rFonts w:hint="eastAsia" w:ascii="仿宋" w:hAnsi="仿宋" w:eastAsia="仿宋" w:cs="仿宋"/>
          <w:kern w:val="0"/>
          <w:sz w:val="28"/>
          <w:szCs w:val="28"/>
          <w:shd w:val="clear" w:color="auto" w:fill="FFFFFF"/>
        </w:rPr>
        <w:t>由采购人代表和评审专家组成，其中评审专家的人数不少于评标委员会成员总数的三分之二。评审专家从政府采购评审专家库中随机抽取。</w:t>
      </w:r>
    </w:p>
    <w:p>
      <w:pPr>
        <w:widowControl/>
        <w:shd w:val="clear" w:color="auto" w:fill="FFFFFF"/>
        <w:spacing w:line="360" w:lineRule="auto"/>
        <w:ind w:firstLine="600"/>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□由评审专家组成。评审专家从政府采购评审专家库中随机抽取。</w:t>
      </w:r>
    </w:p>
    <w:p>
      <w:pPr>
        <w:widowControl/>
        <w:shd w:val="clear" w:color="auto" w:fill="FFFFFF"/>
        <w:spacing w:line="360" w:lineRule="auto"/>
        <w:ind w:firstLine="600"/>
        <w:jc w:val="left"/>
        <w:rPr>
          <w:rFonts w:ascii="Times New Roman" w:hAnsi="Times New Roman" w:eastAsia="黑体" w:cs="Times New Roman"/>
          <w:kern w:val="0"/>
          <w:sz w:val="28"/>
          <w:szCs w:val="28"/>
          <w:shd w:val="clear" w:color="auto" w:fill="FFFFFF"/>
        </w:rPr>
      </w:pPr>
      <w:r>
        <w:rPr>
          <w:rFonts w:hint="eastAsia" w:ascii="Times New Roman" w:hAnsi="Times New Roman" w:eastAsia="黑体" w:cs="Times New Roman"/>
          <w:kern w:val="0"/>
          <w:sz w:val="28"/>
          <w:szCs w:val="28"/>
          <w:shd w:val="clear" w:color="auto" w:fill="FFFFFF"/>
        </w:rPr>
        <w:t>四、履约保证金收取</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楷体" w:hAnsi="楷体" w:eastAsia="楷体" w:cs="仿宋"/>
          <w:kern w:val="0"/>
          <w:sz w:val="28"/>
          <w:szCs w:val="28"/>
          <w:shd w:val="clear" w:color="auto" w:fill="FFFFFF"/>
        </w:rPr>
        <w:sym w:font="Wingdings 2" w:char="0052"/>
      </w:r>
      <w:r>
        <w:rPr>
          <w:rFonts w:hint="eastAsia" w:ascii="楷体" w:hAnsi="楷体" w:eastAsia="楷体" w:cs="仿宋"/>
          <w:kern w:val="0"/>
          <w:sz w:val="28"/>
          <w:szCs w:val="28"/>
          <w:shd w:val="clear" w:color="auto" w:fill="FFFFFF"/>
        </w:rPr>
        <w:t>否</w:t>
      </w:r>
    </w:p>
    <w:p>
      <w:pPr>
        <w:widowControl/>
        <w:shd w:val="clear" w:color="auto" w:fill="FFFFFF"/>
        <w:spacing w:line="360" w:lineRule="auto"/>
        <w:ind w:firstLine="600"/>
        <w:jc w:val="left"/>
        <w:rPr>
          <w:rFonts w:ascii="Times New Roman" w:hAnsi="Times New Roman" w:eastAsia="黑体" w:cs="Times New Roman"/>
          <w:kern w:val="0"/>
          <w:sz w:val="28"/>
          <w:szCs w:val="28"/>
          <w:shd w:val="clear" w:color="auto" w:fill="FFFFFF"/>
        </w:rPr>
      </w:pPr>
      <w:r>
        <w:rPr>
          <w:rFonts w:hint="eastAsia" w:ascii="Times New Roman" w:hAnsi="Times New Roman" w:eastAsia="黑体" w:cs="Times New Roman"/>
          <w:kern w:val="0"/>
          <w:sz w:val="28"/>
          <w:szCs w:val="28"/>
          <w:shd w:val="clear" w:color="auto" w:fill="FFFFFF"/>
        </w:rPr>
        <w:t>五、预付款</w:t>
      </w:r>
    </w:p>
    <w:p>
      <w:pPr>
        <w:widowControl/>
        <w:shd w:val="clear" w:color="auto" w:fill="FFFFFF"/>
        <w:spacing w:line="360" w:lineRule="auto"/>
        <w:ind w:firstLine="600"/>
        <w:jc w:val="left"/>
        <w:rPr>
          <w:rFonts w:ascii="楷体" w:hAnsi="楷体" w:eastAsia="楷体" w:cs="仿宋"/>
          <w:kern w:val="0"/>
          <w:sz w:val="28"/>
          <w:szCs w:val="28"/>
          <w:shd w:val="clear" w:color="auto" w:fill="FFFFFF"/>
        </w:rPr>
      </w:pPr>
      <w:r>
        <w:rPr>
          <w:rFonts w:hint="eastAsia" w:ascii="楷体" w:hAnsi="楷体" w:eastAsia="楷体" w:cs="仿宋"/>
          <w:kern w:val="0"/>
          <w:sz w:val="28"/>
          <w:szCs w:val="28"/>
          <w:shd w:val="clear" w:color="auto" w:fill="FFFFFF"/>
        </w:rPr>
        <w:t xml:space="preserve">□否  </w:t>
      </w:r>
      <w:r>
        <w:rPr>
          <w:rFonts w:hint="eastAsia" w:ascii="楷体" w:hAnsi="楷体" w:eastAsia="楷体" w:cs="仿宋"/>
          <w:kern w:val="0"/>
          <w:sz w:val="28"/>
          <w:szCs w:val="28"/>
          <w:shd w:val="clear" w:color="auto" w:fill="FFFFFF"/>
        </w:rPr>
        <w:sym w:font="Wingdings 2" w:char="0052"/>
      </w:r>
      <w:r>
        <w:rPr>
          <w:rFonts w:hint="eastAsia" w:ascii="楷体" w:hAnsi="楷体" w:eastAsia="楷体" w:cs="仿宋"/>
          <w:kern w:val="0"/>
          <w:sz w:val="28"/>
          <w:szCs w:val="28"/>
          <w:shd w:val="clear" w:color="auto" w:fill="FFFFFF"/>
        </w:rPr>
        <w:t>是</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8"/>
          <w:szCs w:val="28"/>
          <w:u w:val="single"/>
          <w:shd w:val="clear" w:color="auto" w:fill="FFFFFF"/>
          <w14:textFill>
            <w14:solidFill>
              <w14:schemeClr w14:val="tx2">
                <w14:lumMod w14:val="60000"/>
                <w14:lumOff w14:val="40000"/>
              </w14:schemeClr>
            </w14:solidFill>
          </w14:textFill>
        </w:rPr>
      </w:pPr>
      <w:r>
        <w:rPr>
          <w:rFonts w:hint="eastAsia" w:ascii="仿宋" w:hAnsi="仿宋" w:eastAsia="仿宋" w:cs="仿宋"/>
          <w:kern w:val="0"/>
          <w:sz w:val="28"/>
          <w:szCs w:val="28"/>
          <w:shd w:val="clear" w:color="auto" w:fill="FFFFFF"/>
        </w:rPr>
        <w:t>如预付，比例</w:t>
      </w:r>
      <w:r>
        <w:rPr>
          <w:rFonts w:hint="eastAsia" w:ascii="仿宋" w:hAnsi="仿宋" w:eastAsia="仿宋" w:cs="仿宋"/>
          <w:kern w:val="0"/>
          <w:sz w:val="28"/>
          <w:szCs w:val="28"/>
          <w:u w:val="single"/>
          <w:shd w:val="clear" w:color="auto" w:fill="FFFFFF"/>
          <w:lang w:val="en-US" w:eastAsia="zh-CN"/>
        </w:rPr>
        <w:t>30</w:t>
      </w:r>
      <w:r>
        <w:rPr>
          <w:rFonts w:hint="eastAsia" w:ascii="仿宋" w:hAnsi="仿宋" w:eastAsia="仿宋" w:cs="仿宋"/>
          <w:kern w:val="0"/>
          <w:sz w:val="28"/>
          <w:szCs w:val="28"/>
          <w:shd w:val="clear" w:color="auto" w:fill="FFFFFF"/>
        </w:rPr>
        <w:t>%。</w:t>
      </w:r>
    </w:p>
    <w:p>
      <w:pPr>
        <w:widowControl/>
        <w:shd w:val="clear" w:color="auto" w:fill="FFFFFF"/>
        <w:spacing w:line="360" w:lineRule="auto"/>
        <w:ind w:firstLine="600"/>
        <w:contextualSpacing/>
        <w:jc w:val="left"/>
        <w:rPr>
          <w:rFonts w:ascii="Times New Roman" w:hAnsi="Times New Roman" w:eastAsia="黑体" w:cs="Times New Roman"/>
          <w:kern w:val="0"/>
          <w:sz w:val="28"/>
          <w:szCs w:val="28"/>
          <w:shd w:val="clear" w:color="auto" w:fill="FFFFFF"/>
        </w:rPr>
      </w:pPr>
      <w:r>
        <w:rPr>
          <w:rFonts w:hint="eastAsia" w:ascii="Times New Roman" w:hAnsi="Times New Roman" w:eastAsia="黑体" w:cs="Times New Roman"/>
          <w:kern w:val="0"/>
          <w:sz w:val="28"/>
          <w:szCs w:val="28"/>
          <w:shd w:val="clear" w:color="auto" w:fill="FFFFFF"/>
        </w:rPr>
        <w:t>六、验收标准</w:t>
      </w:r>
    </w:p>
    <w:p>
      <w:pPr>
        <w:widowControl/>
        <w:shd w:val="clear" w:color="auto" w:fill="FFFFFF"/>
        <w:spacing w:line="360" w:lineRule="auto"/>
        <w:ind w:firstLine="560" w:firstLineChars="2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sym w:font="Wingdings 2" w:char="0052"/>
      </w:r>
      <w:r>
        <w:rPr>
          <w:rFonts w:hint="eastAsia" w:ascii="仿宋" w:hAnsi="仿宋" w:eastAsia="仿宋" w:cs="仿宋"/>
          <w:kern w:val="0"/>
          <w:sz w:val="28"/>
          <w:szCs w:val="28"/>
          <w:shd w:val="clear" w:color="auto" w:fill="FFFFFF"/>
        </w:rPr>
        <w:t xml:space="preserve"> 由采购人成立验收小组。</w:t>
      </w:r>
    </w:p>
    <w:p>
      <w:pPr>
        <w:widowControl/>
        <w:shd w:val="clear" w:color="auto" w:fill="FFFFFF"/>
        <w:spacing w:line="360" w:lineRule="auto"/>
        <w:ind w:firstLine="560" w:firstLineChars="200"/>
        <w:contextualSpacing/>
        <w:jc w:val="left"/>
        <w:rPr>
          <w:rFonts w:ascii="仿宋" w:hAnsi="仿宋" w:eastAsia="仿宋" w:cs="仿宋"/>
          <w:bCs/>
          <w:sz w:val="28"/>
          <w:szCs w:val="28"/>
        </w:rPr>
      </w:pPr>
      <w:r>
        <w:rPr>
          <w:rFonts w:hint="eastAsia" w:ascii="仿宋" w:hAnsi="仿宋" w:eastAsia="仿宋" w:cs="仿宋"/>
          <w:bCs/>
          <w:sz w:val="28"/>
          <w:szCs w:val="28"/>
        </w:rPr>
        <w:t>采购人在收到供应商项目验收建议之日起7个工作日内，</w:t>
      </w:r>
      <w:r>
        <w:rPr>
          <w:rFonts w:hint="eastAsia" w:ascii="仿宋" w:hAnsi="仿宋" w:eastAsia="仿宋" w:cs="仿宋"/>
          <w:bCs/>
          <w:sz w:val="28"/>
          <w:szCs w:val="28"/>
          <w:lang w:val="zh-CN"/>
        </w:rPr>
        <w:t>由采购人成立验收小组,按照采购合同的约定对中标人履约情况进行实质性验收。</w:t>
      </w:r>
      <w:r>
        <w:rPr>
          <w:rFonts w:ascii="仿宋" w:hAnsi="仿宋" w:eastAsia="仿宋" w:cs="仿宋"/>
          <w:bCs/>
          <w:sz w:val="28"/>
          <w:szCs w:val="28"/>
        </w:rPr>
        <w:t>验收时,按照采购合同的约定对每一项技术、服务、安全标准的履约情况进行确认。验收结束后,出具验收书,列明各项标准的验收情况及项目总体评价,由验收双方共同签署。</w:t>
      </w:r>
    </w:p>
    <w:p>
      <w:pPr>
        <w:pStyle w:val="23"/>
        <w:widowControl/>
        <w:numPr>
          <w:ilvl w:val="0"/>
          <w:numId w:val="1"/>
        </w:numPr>
        <w:shd w:val="clear" w:color="auto" w:fill="FFFFFF"/>
        <w:spacing w:line="360" w:lineRule="auto"/>
        <w:ind w:firstLineChars="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邀请多方参与履约验收工作。</w:t>
      </w:r>
    </w:p>
    <w:p>
      <w:pPr>
        <w:widowControl/>
        <w:shd w:val="clear" w:color="auto" w:fill="FFFFFF"/>
        <w:spacing w:line="360" w:lineRule="auto"/>
        <w:ind w:firstLine="600"/>
        <w:contextualSpacing/>
        <w:jc w:val="left"/>
        <w:rPr>
          <w:rFonts w:ascii="仿宋" w:hAnsi="仿宋" w:eastAsia="仿宋" w:cs="仿宋"/>
          <w:bCs/>
          <w:sz w:val="28"/>
          <w:szCs w:val="28"/>
        </w:rPr>
      </w:pPr>
      <w:r>
        <w:rPr>
          <w:rFonts w:hint="eastAsia" w:ascii="仿宋" w:hAnsi="仿宋" w:eastAsia="仿宋" w:cs="仿宋"/>
          <w:bCs/>
          <w:sz w:val="28"/>
          <w:szCs w:val="28"/>
        </w:rPr>
        <w:t>采购人在收到供应商项目验收建议之日起7个工作日内，采购人</w:t>
      </w:r>
      <w:r>
        <w:rPr>
          <w:rFonts w:ascii="仿宋" w:hAnsi="仿宋" w:eastAsia="仿宋" w:cs="仿宋"/>
          <w:bCs/>
          <w:sz w:val="28"/>
          <w:szCs w:val="28"/>
          <w:lang w:val="zh-CN"/>
        </w:rPr>
        <w:t>邀请第三方专业机构、相关专家或未中标供应商参与验收。</w:t>
      </w:r>
      <w:r>
        <w:rPr>
          <w:rFonts w:ascii="仿宋" w:hAnsi="仿宋" w:eastAsia="仿宋" w:cs="仿宋"/>
          <w:bCs/>
          <w:sz w:val="28"/>
          <w:szCs w:val="28"/>
        </w:rPr>
        <w:t>验收时,按照采购合同的约定对每一项技术、服务、安全标准的履约情况进行确认。验收结束后,出具验收书,列明各项标准的验收情况及项目总体评价,由验收</w:t>
      </w:r>
      <w:r>
        <w:rPr>
          <w:rFonts w:hint="eastAsia" w:ascii="仿宋" w:hAnsi="仿宋" w:eastAsia="仿宋" w:cs="仿宋"/>
          <w:bCs/>
          <w:sz w:val="28"/>
          <w:szCs w:val="28"/>
        </w:rPr>
        <w:t>各</w:t>
      </w:r>
      <w:r>
        <w:rPr>
          <w:rFonts w:ascii="仿宋" w:hAnsi="仿宋" w:eastAsia="仿宋" w:cs="仿宋"/>
          <w:bCs/>
          <w:sz w:val="28"/>
          <w:szCs w:val="28"/>
        </w:rPr>
        <w:t>方共同签署。</w:t>
      </w:r>
    </w:p>
    <w:p>
      <w:pPr>
        <w:widowControl/>
        <w:shd w:val="clear" w:color="auto" w:fill="FFFFFF"/>
        <w:spacing w:line="360" w:lineRule="auto"/>
        <w:ind w:firstLine="600"/>
        <w:contextualSpacing/>
        <w:jc w:val="left"/>
        <w:rPr>
          <w:rFonts w:ascii="仿宋" w:hAnsi="仿宋" w:eastAsia="仿宋" w:cs="仿宋"/>
          <w:bCs/>
          <w:sz w:val="28"/>
          <w:szCs w:val="28"/>
        </w:rPr>
      </w:pPr>
    </w:p>
    <w:p>
      <w:pPr>
        <w:widowControl/>
        <w:shd w:val="clear" w:color="auto" w:fill="FFFFFF"/>
        <w:spacing w:line="360" w:lineRule="auto"/>
        <w:ind w:firstLine="600"/>
        <w:contextualSpacing/>
        <w:jc w:val="left"/>
        <w:rPr>
          <w:rFonts w:ascii="仿宋" w:hAnsi="仿宋" w:eastAsia="仿宋" w:cs="仿宋"/>
          <w:bCs/>
          <w:sz w:val="28"/>
          <w:szCs w:val="28"/>
        </w:rPr>
      </w:pPr>
    </w:p>
    <w:p>
      <w:pPr>
        <w:widowControl/>
        <w:shd w:val="clear" w:color="auto" w:fill="FFFFFF"/>
        <w:spacing w:line="360" w:lineRule="auto"/>
        <w:ind w:firstLine="600"/>
        <w:contextualSpacing/>
        <w:jc w:val="center"/>
        <w:rPr>
          <w:rFonts w:cs="黑体" w:asciiTheme="majorEastAsia" w:hAnsiTheme="majorEastAsia" w:eastAsiaTheme="majorEastAsia"/>
          <w:b/>
          <w:kern w:val="0"/>
          <w:sz w:val="44"/>
          <w:szCs w:val="44"/>
          <w:shd w:val="clear" w:color="auto" w:fill="FFFFFF"/>
        </w:rPr>
      </w:pPr>
      <w:r>
        <w:rPr>
          <w:rFonts w:hint="eastAsia" w:ascii="仿宋" w:hAnsi="仿宋" w:eastAsia="仿宋" w:cs="仿宋"/>
          <w:bCs/>
          <w:sz w:val="24"/>
          <w:szCs w:val="24"/>
        </w:rPr>
        <w:t>温馨提示：请采购单位按照《政府采购需求管理办法》（财库﹝2021﹞22）号）规定，审查项目采购需求、采购实施计划是否指向特定供应商或者特定产品，包括资格条件设置是否合理；技术要求是否指向特定的专利、商标、品牌、技术路线等；评审因素设置是否具有倾向性，将有关履约能力作为评审因素是否适当。</w:t>
      </w:r>
      <w:r>
        <w:rPr>
          <w:rFonts w:ascii="仿宋" w:hAnsi="仿宋" w:eastAsia="仿宋" w:cs="仿宋"/>
          <w:kern w:val="0"/>
          <w:sz w:val="32"/>
          <w:szCs w:val="32"/>
          <w:shd w:val="clear" w:color="auto" w:fill="FFFFFF"/>
        </w:rPr>
        <w:br w:type="page"/>
      </w:r>
      <w:r>
        <w:rPr>
          <w:rFonts w:hint="eastAsia" w:cs="黑体" w:asciiTheme="majorEastAsia" w:hAnsiTheme="majorEastAsia" w:eastAsiaTheme="majorEastAsia"/>
          <w:b/>
          <w:kern w:val="0"/>
          <w:sz w:val="44"/>
          <w:szCs w:val="44"/>
          <w:shd w:val="clear" w:color="auto" w:fill="FFFFFF"/>
        </w:rPr>
        <w:t>采购需求、评标标准</w:t>
      </w:r>
    </w:p>
    <w:p>
      <w:pPr>
        <w:widowControl/>
        <w:shd w:val="clear" w:color="auto" w:fill="FFFFFF"/>
        <w:spacing w:line="560" w:lineRule="exact"/>
        <w:jc w:val="center"/>
        <w:rPr>
          <w:rFonts w:ascii="方正小标宋简体" w:eastAsia="方正小标宋简体" w:cs="宋体" w:hAnsiTheme="majorEastAsia"/>
          <w:kern w:val="0"/>
          <w:sz w:val="44"/>
          <w:szCs w:val="44"/>
        </w:rPr>
      </w:pPr>
    </w:p>
    <w:p>
      <w:pPr>
        <w:widowControl/>
        <w:shd w:val="clear" w:color="auto" w:fill="FFFFFF"/>
        <w:spacing w:line="360" w:lineRule="auto"/>
        <w:ind w:firstLine="548" w:firstLineChars="196"/>
        <w:jc w:val="left"/>
        <w:rPr>
          <w:rFonts w:ascii="黑体" w:hAnsi="黑体" w:eastAsia="黑体" w:cs="宋体"/>
          <w:kern w:val="0"/>
          <w:sz w:val="28"/>
          <w:szCs w:val="28"/>
        </w:rPr>
      </w:pPr>
      <w:r>
        <w:rPr>
          <w:rFonts w:hint="eastAsia" w:ascii="黑体" w:hAnsi="黑体" w:eastAsia="黑体" w:cs="黑体"/>
          <w:kern w:val="0"/>
          <w:sz w:val="28"/>
          <w:szCs w:val="28"/>
          <w:shd w:val="clear" w:color="auto" w:fill="FFFFFF"/>
        </w:rPr>
        <w:t>一、项目基本情况</w:t>
      </w:r>
    </w:p>
    <w:p>
      <w:pPr>
        <w:widowControl/>
        <w:shd w:val="clear" w:color="auto" w:fill="FFFFFF"/>
        <w:spacing w:line="360" w:lineRule="auto"/>
        <w:contextualSpacing/>
        <w:jc w:val="left"/>
        <w:rPr>
          <w:rFonts w:ascii="宋体" w:hAnsi="宋体" w:eastAsia="宋体" w:cs="宋体"/>
          <w:kern w:val="0"/>
          <w:sz w:val="28"/>
          <w:szCs w:val="28"/>
        </w:rPr>
      </w:pPr>
      <w:r>
        <w:rPr>
          <w:rFonts w:hint="eastAsia" w:ascii="微软雅黑" w:hAnsi="微软雅黑" w:eastAsia="微软雅黑" w:cs="微软雅黑"/>
          <w:kern w:val="0"/>
          <w:sz w:val="32"/>
          <w:szCs w:val="32"/>
          <w:shd w:val="clear" w:color="auto" w:fill="FFFFFF"/>
        </w:rPr>
        <w:t>   </w:t>
      </w:r>
      <w:r>
        <w:rPr>
          <w:rFonts w:hint="eastAsia" w:ascii="宋体" w:hAnsi="宋体" w:eastAsia="宋体" w:cs="宋体"/>
          <w:kern w:val="0"/>
          <w:sz w:val="32"/>
          <w:szCs w:val="32"/>
          <w:shd w:val="clear" w:color="auto" w:fill="FFFFFF"/>
        </w:rPr>
        <w:t> </w:t>
      </w:r>
      <w:r>
        <w:rPr>
          <w:rFonts w:hint="eastAsia" w:ascii="仿宋" w:hAnsi="仿宋" w:eastAsia="仿宋" w:cs="仿宋"/>
          <w:kern w:val="0"/>
          <w:sz w:val="28"/>
          <w:szCs w:val="28"/>
          <w:shd w:val="clear" w:color="auto" w:fill="FFFFFF"/>
        </w:rPr>
        <w:t>（一）项目名称：许昌市文化广电和旅游局“全市集中购买流动图书馆服务”项目</w:t>
      </w:r>
    </w:p>
    <w:p>
      <w:pPr>
        <w:widowControl/>
        <w:shd w:val="clear" w:color="auto" w:fill="FFFFFF"/>
        <w:spacing w:line="360" w:lineRule="auto"/>
        <w:ind w:firstLine="600"/>
        <w:contextualSpacing/>
        <w:jc w:val="left"/>
        <w:rPr>
          <w:rFonts w:hint="eastAsia" w:ascii="仿宋" w:hAnsi="仿宋" w:eastAsia="仿宋" w:cs="仿宋"/>
          <w:kern w:val="0"/>
          <w:sz w:val="28"/>
          <w:szCs w:val="28"/>
          <w:shd w:val="clear" w:color="auto" w:fill="FFFFFF"/>
          <w:lang w:eastAsia="zh-CN"/>
        </w:rPr>
      </w:pPr>
      <w:r>
        <w:rPr>
          <w:rFonts w:hint="eastAsia" w:ascii="仿宋" w:hAnsi="仿宋" w:eastAsia="仿宋" w:cs="仿宋"/>
          <w:kern w:val="0"/>
          <w:sz w:val="28"/>
          <w:szCs w:val="28"/>
          <w:shd w:val="clear" w:color="auto" w:fill="FFFFFF"/>
        </w:rPr>
        <w:t xml:space="preserve">（二）采购方式： </w:t>
      </w:r>
      <w:r>
        <w:rPr>
          <w:rFonts w:hint="eastAsia" w:ascii="仿宋" w:hAnsi="仿宋" w:eastAsia="仿宋" w:cs="仿宋"/>
          <w:kern w:val="0"/>
          <w:sz w:val="28"/>
          <w:szCs w:val="28"/>
          <w:shd w:val="clear" w:color="auto" w:fill="FFFFFF"/>
          <w:lang w:eastAsia="zh-CN"/>
        </w:rPr>
        <w:t>公开招标</w:t>
      </w:r>
    </w:p>
    <w:p>
      <w:pPr>
        <w:widowControl/>
        <w:shd w:val="clear" w:color="auto" w:fill="FFFFFF"/>
        <w:spacing w:line="360" w:lineRule="auto"/>
        <w:ind w:firstLine="600"/>
        <w:contextualSpacing/>
        <w:jc w:val="left"/>
        <w:rPr>
          <w:rFonts w:hint="default" w:ascii="宋体" w:hAnsi="宋体" w:eastAsia="仿宋" w:cs="宋体"/>
          <w:kern w:val="0"/>
          <w:sz w:val="28"/>
          <w:szCs w:val="28"/>
          <w:lang w:val="en-US" w:eastAsia="zh-CN"/>
        </w:rPr>
      </w:pPr>
      <w:r>
        <w:rPr>
          <w:rFonts w:hint="eastAsia" w:ascii="仿宋" w:hAnsi="仿宋" w:eastAsia="仿宋" w:cs="仿宋"/>
          <w:kern w:val="0"/>
          <w:sz w:val="28"/>
          <w:szCs w:val="28"/>
          <w:shd w:val="clear" w:color="auto" w:fill="FFFFFF"/>
        </w:rPr>
        <w:t>（三）主要内容、数量及要求：</w:t>
      </w:r>
      <w:r>
        <w:rPr>
          <w:rFonts w:hint="eastAsia" w:ascii="仿宋" w:hAnsi="仿宋" w:eastAsia="仿宋" w:cs="仿宋"/>
          <w:kern w:val="0"/>
          <w:sz w:val="28"/>
          <w:szCs w:val="28"/>
          <w:shd w:val="clear" w:color="auto" w:fill="FFFFFF"/>
          <w:lang w:eastAsia="zh-CN"/>
        </w:rPr>
        <w:t>市本级及</w:t>
      </w:r>
      <w:r>
        <w:rPr>
          <w:rFonts w:hint="eastAsia" w:ascii="仿宋" w:hAnsi="仿宋" w:eastAsia="仿宋" w:cs="仿宋"/>
          <w:kern w:val="0"/>
          <w:sz w:val="28"/>
          <w:szCs w:val="28"/>
          <w:shd w:val="clear" w:color="auto" w:fill="FFFFFF"/>
          <w:lang w:val="en-US" w:eastAsia="zh-CN"/>
        </w:rPr>
        <w:t>6个县（市、区）流动图书馆服务，每年不低于280次。</w:t>
      </w:r>
    </w:p>
    <w:p>
      <w:pPr>
        <w:widowControl/>
        <w:shd w:val="clear" w:color="auto" w:fill="FFFFFF"/>
        <w:spacing w:line="360" w:lineRule="auto"/>
        <w:ind w:firstLine="600"/>
        <w:contextualSpacing/>
        <w:jc w:val="left"/>
        <w:rPr>
          <w:rFonts w:ascii="宋体" w:hAnsi="宋体" w:eastAsia="宋体" w:cs="宋体"/>
          <w:kern w:val="0"/>
          <w:sz w:val="28"/>
          <w:szCs w:val="28"/>
        </w:rPr>
      </w:pPr>
      <w:r>
        <w:rPr>
          <w:rFonts w:hint="eastAsia" w:ascii="仿宋" w:hAnsi="仿宋" w:eastAsia="仿宋" w:cs="仿宋"/>
          <w:kern w:val="0"/>
          <w:sz w:val="28"/>
          <w:szCs w:val="28"/>
          <w:shd w:val="clear" w:color="auto" w:fill="FFFFFF"/>
        </w:rPr>
        <w:t>（四）预算金额：</w:t>
      </w:r>
      <w:r>
        <w:rPr>
          <w:rFonts w:hint="eastAsia" w:ascii="仿宋" w:hAnsi="仿宋" w:eastAsia="仿宋" w:cs="仿宋"/>
          <w:kern w:val="0"/>
          <w:sz w:val="28"/>
          <w:szCs w:val="28"/>
          <w:shd w:val="clear" w:color="auto" w:fill="FFFFFF"/>
          <w:lang w:val="en-US" w:eastAsia="zh-CN"/>
        </w:rPr>
        <w:t>210</w:t>
      </w:r>
      <w:r>
        <w:rPr>
          <w:rFonts w:hint="eastAsia" w:ascii="仿宋" w:hAnsi="仿宋" w:eastAsia="仿宋" w:cs="仿宋"/>
          <w:kern w:val="0"/>
          <w:sz w:val="28"/>
          <w:szCs w:val="28"/>
          <w:shd w:val="clear" w:color="auto" w:fill="FFFFFF"/>
        </w:rPr>
        <w:t>万元；最高限价：</w:t>
      </w:r>
      <w:r>
        <w:rPr>
          <w:rFonts w:hint="eastAsia" w:ascii="仿宋" w:hAnsi="仿宋" w:eastAsia="仿宋" w:cs="仿宋"/>
          <w:kern w:val="0"/>
          <w:sz w:val="28"/>
          <w:szCs w:val="28"/>
          <w:shd w:val="clear" w:color="auto" w:fill="FFFFFF"/>
          <w:lang w:val="en-US" w:eastAsia="zh-CN"/>
        </w:rPr>
        <w:t>210</w:t>
      </w:r>
      <w:r>
        <w:rPr>
          <w:rFonts w:hint="eastAsia" w:ascii="仿宋" w:hAnsi="仿宋" w:eastAsia="仿宋" w:cs="仿宋"/>
          <w:kern w:val="0"/>
          <w:sz w:val="28"/>
          <w:szCs w:val="28"/>
          <w:shd w:val="clear" w:color="auto" w:fill="FFFFFF"/>
        </w:rPr>
        <w:t>万元</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（五）进口产品参与（货物类）：</w:t>
      </w:r>
      <w:r>
        <w:rPr>
          <w:rFonts w:hint="eastAsia" w:ascii="仿宋" w:hAnsi="仿宋" w:eastAsia="仿宋" w:cs="仿宋"/>
          <w:kern w:val="0"/>
          <w:sz w:val="28"/>
          <w:szCs w:val="28"/>
          <w:shd w:val="clear" w:color="auto" w:fill="FFFFFF"/>
        </w:rPr>
        <w:sym w:font="Wingdings 2" w:char="00A3"/>
      </w:r>
      <w:r>
        <w:rPr>
          <w:rFonts w:hint="eastAsia" w:ascii="仿宋" w:hAnsi="仿宋" w:eastAsia="仿宋" w:cs="仿宋"/>
          <w:kern w:val="0"/>
          <w:sz w:val="28"/>
          <w:szCs w:val="28"/>
          <w:shd w:val="clear" w:color="auto" w:fill="FFFFFF"/>
        </w:rPr>
        <w:t>不允许    □允许</w:t>
      </w:r>
    </w:p>
    <w:p>
      <w:pPr>
        <w:widowControl/>
        <w:shd w:val="clear" w:color="auto" w:fill="FFFFFF"/>
        <w:spacing w:line="360" w:lineRule="auto"/>
        <w:ind w:firstLine="600"/>
        <w:contextualSpacing/>
        <w:jc w:val="left"/>
        <w:rPr>
          <w:rFonts w:ascii="仿宋" w:hAnsi="仿宋" w:eastAsia="仿宋" w:cs="仿宋"/>
          <w:i/>
          <w:kern w:val="0"/>
          <w:sz w:val="28"/>
          <w:szCs w:val="28"/>
          <w:u w:val="single"/>
          <w:shd w:val="clear" w:color="auto" w:fill="FFFFFF"/>
        </w:rPr>
      </w:pPr>
      <w:r>
        <w:rPr>
          <w:rFonts w:hint="eastAsia" w:ascii="仿宋" w:hAnsi="仿宋" w:eastAsia="仿宋" w:cs="仿宋"/>
          <w:kern w:val="0"/>
          <w:sz w:val="28"/>
          <w:szCs w:val="28"/>
          <w:shd w:val="clear" w:color="auto" w:fill="FFFFFF"/>
        </w:rPr>
        <w:t>（六）分包：</w:t>
      </w:r>
      <w:r>
        <w:rPr>
          <w:rFonts w:hint="eastAsia" w:ascii="仿宋" w:hAnsi="仿宋" w:eastAsia="仿宋" w:cs="仿宋"/>
          <w:kern w:val="0"/>
          <w:sz w:val="28"/>
          <w:szCs w:val="28"/>
          <w:shd w:val="clear" w:color="auto" w:fill="FFFFFF"/>
        </w:rPr>
        <w:sym w:font="Wingdings 2" w:char="0052"/>
      </w:r>
      <w:r>
        <w:rPr>
          <w:rFonts w:hint="eastAsia" w:ascii="仿宋" w:hAnsi="仿宋" w:eastAsia="仿宋" w:cs="仿宋"/>
          <w:kern w:val="0"/>
          <w:sz w:val="28"/>
          <w:szCs w:val="28"/>
          <w:shd w:val="clear" w:color="auto" w:fill="FFFFFF"/>
        </w:rPr>
        <w:t>不允许    □允许</w:t>
      </w:r>
    </w:p>
    <w:p>
      <w:pPr>
        <w:widowControl/>
        <w:shd w:val="clear" w:color="auto" w:fill="FFFFFF"/>
        <w:spacing w:line="360" w:lineRule="auto"/>
        <w:ind w:firstLine="601"/>
        <w:contextualSpacing/>
        <w:jc w:val="left"/>
        <w:rPr>
          <w:rFonts w:ascii="黑体" w:hAnsi="黑体" w:eastAsia="黑体" w:cs="黑体"/>
          <w:kern w:val="0"/>
          <w:sz w:val="28"/>
          <w:szCs w:val="28"/>
          <w:shd w:val="clear" w:color="auto" w:fill="FFFFFF"/>
        </w:rPr>
      </w:pPr>
      <w:r>
        <w:rPr>
          <w:rFonts w:hint="eastAsia" w:ascii="黑体" w:hAnsi="黑体" w:eastAsia="黑体" w:cs="黑体"/>
          <w:kern w:val="0"/>
          <w:sz w:val="28"/>
          <w:szCs w:val="28"/>
          <w:shd w:val="clear" w:color="auto" w:fill="FFFFFF"/>
        </w:rPr>
        <w:t>二、落实的政府采购政策</w:t>
      </w:r>
    </w:p>
    <w:p>
      <w:pPr>
        <w:widowControl/>
        <w:shd w:val="clear" w:color="auto" w:fill="FFFFFF"/>
        <w:spacing w:line="360" w:lineRule="auto"/>
        <w:ind w:firstLine="601"/>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本项目落实</w:t>
      </w:r>
      <w:r>
        <w:rPr>
          <w:rFonts w:hint="eastAsia" w:ascii="楷体" w:hAnsi="楷体" w:eastAsia="楷体" w:cs="仿宋"/>
          <w:kern w:val="0"/>
          <w:sz w:val="28"/>
          <w:szCs w:val="28"/>
          <w:shd w:val="clear" w:color="auto" w:fill="FFFFFF"/>
        </w:rPr>
        <w:sym w:font="Wingdings 2" w:char="0052"/>
      </w:r>
      <w:r>
        <w:rPr>
          <w:rFonts w:hint="eastAsia" w:ascii="仿宋" w:hAnsi="仿宋" w:eastAsia="仿宋" w:cs="仿宋"/>
          <w:kern w:val="0"/>
          <w:sz w:val="28"/>
          <w:szCs w:val="28"/>
          <w:shd w:val="clear" w:color="auto" w:fill="FFFFFF"/>
        </w:rPr>
        <w:t>支持创新、</w:t>
      </w:r>
      <w:r>
        <w:rPr>
          <w:rFonts w:hint="eastAsia" w:ascii="楷体" w:hAnsi="楷体" w:eastAsia="楷体" w:cs="仿宋"/>
          <w:kern w:val="0"/>
          <w:sz w:val="28"/>
          <w:szCs w:val="28"/>
          <w:shd w:val="clear" w:color="auto" w:fill="FFFFFF"/>
        </w:rPr>
        <w:sym w:font="Wingdings 2" w:char="0052"/>
      </w:r>
      <w:r>
        <w:rPr>
          <w:rFonts w:hint="eastAsia" w:ascii="仿宋" w:hAnsi="仿宋" w:eastAsia="仿宋" w:cs="仿宋"/>
          <w:kern w:val="0"/>
          <w:sz w:val="28"/>
          <w:szCs w:val="28"/>
          <w:shd w:val="clear" w:color="auto" w:fill="FFFFFF"/>
        </w:rPr>
        <w:t>绿色发展、</w:t>
      </w:r>
      <w:r>
        <w:rPr>
          <w:rFonts w:hint="eastAsia" w:ascii="楷体" w:hAnsi="楷体" w:eastAsia="楷体" w:cs="仿宋"/>
          <w:kern w:val="0"/>
          <w:sz w:val="28"/>
          <w:szCs w:val="28"/>
          <w:shd w:val="clear" w:color="auto" w:fill="FFFFFF"/>
        </w:rPr>
        <w:sym w:font="Wingdings 2" w:char="0052"/>
      </w:r>
      <w:r>
        <w:rPr>
          <w:rFonts w:hint="eastAsia" w:ascii="仿宋" w:hAnsi="仿宋" w:eastAsia="仿宋" w:cs="仿宋"/>
          <w:kern w:val="0"/>
          <w:sz w:val="28"/>
          <w:szCs w:val="28"/>
          <w:shd w:val="clear" w:color="auto" w:fill="FFFFFF"/>
        </w:rPr>
        <w:t>中小企业发展等政府采购政策功能。</w:t>
      </w:r>
    </w:p>
    <w:p>
      <w:pPr>
        <w:widowControl/>
        <w:shd w:val="clear" w:color="auto" w:fill="FFFFFF"/>
        <w:spacing w:line="360" w:lineRule="auto"/>
        <w:ind w:firstLine="601"/>
        <w:contextualSpacing/>
        <w:jc w:val="left"/>
        <w:rPr>
          <w:rFonts w:ascii="黑体" w:hAnsi="黑体" w:eastAsia="黑体" w:cs="黑体"/>
          <w:kern w:val="0"/>
          <w:sz w:val="28"/>
          <w:szCs w:val="28"/>
          <w:shd w:val="clear" w:color="auto" w:fill="FFFFFF"/>
        </w:rPr>
      </w:pPr>
      <w:r>
        <w:rPr>
          <w:rFonts w:hint="eastAsia" w:ascii="黑体" w:hAnsi="黑体" w:eastAsia="黑体" w:cs="黑体"/>
          <w:kern w:val="0"/>
          <w:sz w:val="28"/>
          <w:szCs w:val="28"/>
          <w:shd w:val="clear" w:color="auto" w:fill="FFFFFF"/>
        </w:rPr>
        <w:t>三、投标人资格要求</w:t>
      </w:r>
    </w:p>
    <w:p>
      <w:pPr>
        <w:widowControl/>
        <w:shd w:val="clear" w:color="auto" w:fill="FFFFFF"/>
        <w:spacing w:line="360" w:lineRule="auto"/>
        <w:ind w:firstLine="601"/>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（一）符合《中华人民共和国政府采购法》第二十二条之规定；</w:t>
      </w:r>
    </w:p>
    <w:p>
      <w:pPr>
        <w:widowControl/>
        <w:shd w:val="clear" w:color="auto" w:fill="FFFFFF"/>
        <w:wordWrap w:val="0"/>
        <w:spacing w:line="360" w:lineRule="auto"/>
        <w:ind w:firstLine="601"/>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（二）</w:t>
      </w:r>
      <w:r>
        <w:rPr>
          <w:rFonts w:ascii="仿宋" w:hAnsi="仿宋" w:eastAsia="仿宋" w:cs="仿宋"/>
          <w:sz w:val="28"/>
          <w:szCs w:val="28"/>
          <w:shd w:val="clear" w:color="auto" w:fill="FFFFFF"/>
        </w:rPr>
        <w:t>未被列入“信用中国”网站(www.creditchina.gov.cn)失信被执行人</w:t>
      </w:r>
      <w:r>
        <w:rPr>
          <w:rFonts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rPr>
        <w:t>税收</w:t>
      </w:r>
      <w:r>
        <w:rPr>
          <w:rFonts w:ascii="仿宋" w:hAnsi="仿宋" w:eastAsia="仿宋" w:cs="仿宋"/>
          <w:kern w:val="0"/>
          <w:sz w:val="28"/>
          <w:szCs w:val="28"/>
          <w:shd w:val="clear" w:color="auto" w:fill="FFFFFF"/>
        </w:rPr>
        <w:t>违法黑名单的投标人；</w:t>
      </w:r>
      <w:r>
        <w:rPr>
          <w:rFonts w:hint="eastAsia" w:ascii="仿宋" w:hAnsi="仿宋" w:eastAsia="仿宋" w:cs="仿宋"/>
          <w:kern w:val="0"/>
          <w:sz w:val="28"/>
          <w:szCs w:val="28"/>
          <w:shd w:val="clear" w:color="auto" w:fill="FFFFFF"/>
        </w:rPr>
        <w:t>“</w:t>
      </w:r>
      <w:r>
        <w:rPr>
          <w:rFonts w:ascii="仿宋" w:hAnsi="仿宋" w:eastAsia="仿宋" w:cs="仿宋"/>
          <w:kern w:val="0"/>
          <w:sz w:val="28"/>
          <w:szCs w:val="28"/>
          <w:shd w:val="clear" w:color="auto" w:fill="FFFFFF"/>
        </w:rPr>
        <w:t>中国政府采购网</w:t>
      </w:r>
      <w:r>
        <w:rPr>
          <w:rFonts w:hint="eastAsia" w:ascii="仿宋" w:hAnsi="仿宋" w:eastAsia="仿宋" w:cs="仿宋"/>
          <w:kern w:val="0"/>
          <w:sz w:val="28"/>
          <w:szCs w:val="28"/>
          <w:shd w:val="clear" w:color="auto" w:fill="FFFFFF"/>
        </w:rPr>
        <w:t>”</w:t>
      </w:r>
      <w:r>
        <w:rPr>
          <w:rFonts w:ascii="仿宋" w:hAnsi="仿宋" w:eastAsia="仿宋" w:cs="仿宋"/>
          <w:kern w:val="0"/>
          <w:sz w:val="28"/>
          <w:szCs w:val="28"/>
          <w:shd w:val="clear" w:color="auto" w:fill="FFFFFF"/>
        </w:rPr>
        <w:t xml:space="preserve"> (www.ccgp.gov.cn)政府采购严重违法失信行为记录名单的投标人</w:t>
      </w:r>
      <w:r>
        <w:rPr>
          <w:rFonts w:hint="eastAsia" w:ascii="仿宋" w:hAnsi="仿宋" w:eastAsia="仿宋" w:cs="仿宋"/>
          <w:kern w:val="0"/>
          <w:sz w:val="28"/>
          <w:szCs w:val="28"/>
          <w:shd w:val="clear" w:color="auto" w:fill="FFFFFF"/>
        </w:rPr>
        <w:t>；“中国社会组织政务服务平台”网站（</w:t>
      </w:r>
      <w:r>
        <w:rPr>
          <w:rFonts w:ascii="仿宋" w:hAnsi="仿宋" w:eastAsia="仿宋" w:cs="仿宋"/>
          <w:kern w:val="0"/>
          <w:sz w:val="28"/>
          <w:szCs w:val="28"/>
          <w:shd w:val="clear" w:color="auto" w:fill="FFFFFF"/>
        </w:rPr>
        <w:t>https://chinanpo.mca.gov.cn</w:t>
      </w:r>
      <w:r>
        <w:rPr>
          <w:rFonts w:hint="eastAsia" w:ascii="仿宋" w:hAnsi="仿宋" w:eastAsia="仿宋" w:cs="仿宋"/>
          <w:kern w:val="0"/>
          <w:sz w:val="28"/>
          <w:szCs w:val="28"/>
          <w:shd w:val="clear" w:color="auto" w:fill="FFFFFF"/>
        </w:rPr>
        <w:t>）严重违法失信名单的社会组织；</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（三）专门面向中小企业采购： </w:t>
      </w:r>
      <w:r>
        <w:rPr>
          <w:rFonts w:hint="eastAsia" w:ascii="仿宋" w:hAnsi="仿宋" w:eastAsia="仿宋" w:cs="仿宋"/>
          <w:kern w:val="0"/>
          <w:sz w:val="28"/>
          <w:szCs w:val="28"/>
          <w:shd w:val="clear" w:color="auto" w:fill="FFFFFF"/>
        </w:rPr>
        <w:sym w:font="Wingdings 2" w:char="00A3"/>
      </w:r>
      <w:r>
        <w:rPr>
          <w:rFonts w:hint="eastAsia" w:ascii="仿宋" w:hAnsi="仿宋" w:eastAsia="仿宋" w:cs="仿宋"/>
          <w:kern w:val="0"/>
          <w:sz w:val="28"/>
          <w:szCs w:val="28"/>
          <w:shd w:val="clear" w:color="auto" w:fill="FFFFFF"/>
        </w:rPr>
        <w:t xml:space="preserve">否    </w:t>
      </w:r>
      <w:r>
        <w:rPr>
          <w:rFonts w:hint="eastAsia" w:ascii="仿宋" w:hAnsi="仿宋" w:eastAsia="仿宋" w:cs="仿宋"/>
          <w:kern w:val="0"/>
          <w:sz w:val="28"/>
          <w:szCs w:val="28"/>
          <w:shd w:val="clear" w:color="auto" w:fill="FFFFFF"/>
        </w:rPr>
        <w:sym w:font="Wingdings 2" w:char="0052"/>
      </w:r>
      <w:r>
        <w:rPr>
          <w:rFonts w:hint="eastAsia" w:ascii="仿宋" w:hAnsi="仿宋" w:eastAsia="仿宋" w:cs="仿宋"/>
          <w:kern w:val="0"/>
          <w:sz w:val="28"/>
          <w:szCs w:val="28"/>
          <w:shd w:val="clear" w:color="auto" w:fill="FFFFFF"/>
        </w:rPr>
        <w:t>是</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（四）联合体投标： </w:t>
      </w:r>
      <w:r>
        <w:rPr>
          <w:rFonts w:hint="eastAsia" w:ascii="仿宋" w:hAnsi="仿宋" w:eastAsia="仿宋" w:cs="仿宋"/>
          <w:kern w:val="0"/>
          <w:sz w:val="28"/>
          <w:szCs w:val="28"/>
          <w:shd w:val="clear" w:color="auto" w:fill="FFFFFF"/>
        </w:rPr>
        <w:sym w:font="Wingdings 2" w:char="0052"/>
      </w:r>
      <w:r>
        <w:rPr>
          <w:rFonts w:hint="eastAsia" w:ascii="仿宋" w:hAnsi="仿宋" w:eastAsia="仿宋" w:cs="仿宋"/>
          <w:kern w:val="0"/>
          <w:sz w:val="28"/>
          <w:szCs w:val="28"/>
          <w:shd w:val="clear" w:color="auto" w:fill="FFFFFF"/>
        </w:rPr>
        <w:t>不接受    □接受</w:t>
      </w:r>
    </w:p>
    <w:p>
      <w:pPr>
        <w:widowControl/>
        <w:shd w:val="clear" w:color="auto" w:fill="FFFFFF"/>
        <w:spacing w:line="360" w:lineRule="auto"/>
        <w:ind w:firstLine="601"/>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（五）根据采购需求特点，提出供应商资格条件。</w:t>
      </w:r>
    </w:p>
    <w:p>
      <w:pPr>
        <w:widowControl/>
        <w:shd w:val="clear" w:color="auto" w:fill="FFFFFF"/>
        <w:spacing w:line="360" w:lineRule="auto"/>
        <w:ind w:firstLine="601"/>
        <w:contextualSpacing/>
        <w:jc w:val="left"/>
        <w:rPr>
          <w:rFonts w:hint="eastAsia" w:ascii="仿宋" w:hAnsi="仿宋" w:eastAsia="仿宋" w:cs="仿宋"/>
          <w:i/>
          <w:color w:val="558ED5" w:themeColor="text2" w:themeTint="99"/>
          <w:kern w:val="0"/>
          <w:sz w:val="24"/>
          <w:szCs w:val="24"/>
          <w:u w:val="single"/>
          <w:shd w:val="clear" w:color="auto" w:fill="FFFFFF"/>
          <w:lang w:eastAsia="zh-CN"/>
          <w14:textFill>
            <w14:solidFill>
              <w14:schemeClr w14:val="tx2">
                <w14:lumMod w14:val="60000"/>
                <w14:lumOff w14:val="40000"/>
              </w14:schemeClr>
            </w14:solidFill>
          </w14:textFill>
        </w:rPr>
      </w:pPr>
      <w:r>
        <w:rPr>
          <w:rFonts w:hint="eastAsia" w:ascii="仿宋" w:hAnsi="仿宋" w:eastAsia="仿宋" w:cs="仿宋"/>
          <w:i/>
          <w:color w:val="558ED5" w:themeColor="text2" w:themeTint="99"/>
          <w:kern w:val="0"/>
          <w:sz w:val="24"/>
          <w:szCs w:val="24"/>
          <w:u w:val="single"/>
          <w:shd w:val="clear" w:color="auto" w:fill="FFFFFF"/>
          <w:lang w:eastAsia="zh-CN"/>
          <w14:textFill>
            <w14:solidFill>
              <w14:schemeClr w14:val="tx2">
                <w14:lumMod w14:val="60000"/>
                <w14:lumOff w14:val="40000"/>
              </w14:schemeClr>
            </w14:solidFill>
          </w14:textFill>
        </w:rPr>
        <w:t>无</w:t>
      </w:r>
    </w:p>
    <w:p>
      <w:pPr>
        <w:widowControl/>
        <w:shd w:val="clear" w:color="auto" w:fill="FFFFFF"/>
        <w:spacing w:line="360" w:lineRule="auto"/>
        <w:ind w:firstLine="601"/>
        <w:contextualSpacing/>
        <w:jc w:val="left"/>
        <w:rPr>
          <w:rFonts w:ascii="黑体" w:hAnsi="宋体" w:eastAsia="黑体" w:cs="黑体"/>
          <w:kern w:val="0"/>
          <w:sz w:val="28"/>
          <w:szCs w:val="28"/>
          <w:shd w:val="clear" w:color="auto" w:fill="FFFFFF"/>
        </w:rPr>
      </w:pPr>
      <w:r>
        <w:rPr>
          <w:rFonts w:hint="eastAsia" w:ascii="黑体" w:hAnsi="宋体" w:eastAsia="黑体" w:cs="黑体"/>
          <w:kern w:val="0"/>
          <w:sz w:val="28"/>
          <w:szCs w:val="28"/>
          <w:shd w:val="clear" w:color="auto" w:fill="FFFFFF"/>
        </w:rPr>
        <w:t>四、采购需求</w:t>
      </w:r>
    </w:p>
    <w:p>
      <w:pPr>
        <w:widowControl/>
        <w:spacing w:line="560" w:lineRule="atLeast"/>
        <w:ind w:firstLine="560" w:firstLineChars="200"/>
        <w:jc w:val="left"/>
        <w:rPr>
          <w:rFonts w:hint="eastAsia" w:ascii="仿宋" w:hAnsi="仿宋" w:eastAsia="仿宋" w:cs="仿宋"/>
          <w:kern w:val="0"/>
          <w:sz w:val="28"/>
          <w:szCs w:val="28"/>
          <w:shd w:val="clear" w:color="auto" w:fill="FFFFFF"/>
          <w:lang w:val="zh-CN"/>
        </w:rPr>
      </w:pPr>
      <w:r>
        <w:rPr>
          <w:rFonts w:hint="eastAsia" w:ascii="仿宋" w:hAnsi="仿宋" w:eastAsia="仿宋" w:cs="仿宋"/>
          <w:kern w:val="0"/>
          <w:sz w:val="28"/>
          <w:szCs w:val="28"/>
          <w:shd w:val="clear" w:color="auto" w:fill="FFFFFF"/>
        </w:rPr>
        <w:t>（一）项目概况</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lang w:val="zh-CN"/>
        </w:rPr>
        <w:t>流动图书车是近年来国内外开展流动图书服务的重要载体，车内配备提供图书服务所必需的书籍、设施设备等，为馆外的读者送书上门或在交通不便的偏远地区图书流动站、基层乡村（社区）为当地读者提供图书借阅服务。本服务项目中须配备流动图书车、服务设施设备及人员，深入基层开展纸质文献资源服务、数字文献资源服务、阅读推广活动、参考咨询服务、图书配送服务、基层文化辅导以及文化宣传展览服务等流动图书服务。</w:t>
      </w:r>
    </w:p>
    <w:p>
      <w:pPr>
        <w:widowControl/>
        <w:shd w:val="clear" w:color="auto" w:fill="FFFFFF"/>
        <w:spacing w:line="360" w:lineRule="auto"/>
        <w:ind w:firstLine="601"/>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kern w:val="0"/>
          <w:sz w:val="28"/>
          <w:szCs w:val="28"/>
          <w:shd w:val="clear" w:color="auto" w:fill="FFFFFF"/>
        </w:rPr>
        <w:t>（二）采购清单</w:t>
      </w:r>
    </w:p>
    <w:tbl>
      <w:tblPr>
        <w:tblStyle w:val="1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8"/>
        <w:gridCol w:w="1449"/>
        <w:gridCol w:w="1384"/>
        <w:gridCol w:w="1497"/>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3688" w:type="dxa"/>
            <w:vAlign w:val="center"/>
          </w:tcPr>
          <w:p>
            <w:pPr>
              <w:widowControl/>
              <w:spacing w:line="560" w:lineRule="atLeast"/>
              <w:ind w:firstLine="482"/>
              <w:jc w:val="center"/>
              <w:rPr>
                <w:rFonts w:hint="eastAsia"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服务区域</w:t>
            </w:r>
          </w:p>
          <w:p>
            <w:pPr>
              <w:widowControl/>
              <w:spacing w:line="560" w:lineRule="atLeast"/>
              <w:ind w:firstLine="482"/>
              <w:jc w:val="center"/>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（基层乡镇、行政村/社区）</w:t>
            </w:r>
          </w:p>
        </w:tc>
        <w:tc>
          <w:tcPr>
            <w:tcW w:w="1449" w:type="dxa"/>
            <w:vAlign w:val="center"/>
          </w:tcPr>
          <w:p>
            <w:pPr>
              <w:widowControl/>
              <w:spacing w:line="560" w:lineRule="atLeast"/>
              <w:jc w:val="center"/>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第一年度服务次数</w:t>
            </w:r>
          </w:p>
        </w:tc>
        <w:tc>
          <w:tcPr>
            <w:tcW w:w="1384" w:type="dxa"/>
            <w:vAlign w:val="center"/>
          </w:tcPr>
          <w:p>
            <w:pPr>
              <w:widowControl/>
              <w:spacing w:line="560" w:lineRule="atLeast"/>
              <w:jc w:val="center"/>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第二年度服务次数</w:t>
            </w:r>
          </w:p>
        </w:tc>
        <w:tc>
          <w:tcPr>
            <w:tcW w:w="1497" w:type="dxa"/>
            <w:vAlign w:val="center"/>
          </w:tcPr>
          <w:p>
            <w:pPr>
              <w:widowControl/>
              <w:spacing w:line="560" w:lineRule="atLeast"/>
              <w:jc w:val="center"/>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第三年度服务次数</w:t>
            </w:r>
          </w:p>
        </w:tc>
        <w:tc>
          <w:tcPr>
            <w:tcW w:w="1225" w:type="dxa"/>
            <w:vAlign w:val="center"/>
          </w:tcPr>
          <w:p>
            <w:pPr>
              <w:widowControl/>
              <w:spacing w:line="560" w:lineRule="atLeast"/>
              <w:jc w:val="center"/>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688" w:type="dxa"/>
          </w:tcPr>
          <w:p>
            <w:pPr>
              <w:widowControl/>
              <w:spacing w:line="560" w:lineRule="atLeast"/>
              <w:ind w:firstLine="480"/>
              <w:jc w:val="center"/>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中心城区</w:t>
            </w:r>
          </w:p>
        </w:tc>
        <w:tc>
          <w:tcPr>
            <w:tcW w:w="1449"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384"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497"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225"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688" w:type="dxa"/>
          </w:tcPr>
          <w:p>
            <w:pPr>
              <w:widowControl/>
              <w:spacing w:line="560" w:lineRule="atLeast"/>
              <w:ind w:firstLine="480"/>
              <w:jc w:val="center"/>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禹州市</w:t>
            </w:r>
          </w:p>
        </w:tc>
        <w:tc>
          <w:tcPr>
            <w:tcW w:w="1449"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384"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497"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225"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688" w:type="dxa"/>
          </w:tcPr>
          <w:p>
            <w:pPr>
              <w:widowControl/>
              <w:spacing w:line="560" w:lineRule="atLeast"/>
              <w:ind w:firstLine="480"/>
              <w:jc w:val="center"/>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长葛市</w:t>
            </w:r>
          </w:p>
        </w:tc>
        <w:tc>
          <w:tcPr>
            <w:tcW w:w="1449"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384"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497"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225"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688" w:type="dxa"/>
          </w:tcPr>
          <w:p>
            <w:pPr>
              <w:widowControl/>
              <w:spacing w:line="560" w:lineRule="atLeast"/>
              <w:ind w:firstLine="480"/>
              <w:jc w:val="center"/>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鄢陵县</w:t>
            </w:r>
          </w:p>
        </w:tc>
        <w:tc>
          <w:tcPr>
            <w:tcW w:w="1449"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384"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497"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225"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688" w:type="dxa"/>
          </w:tcPr>
          <w:p>
            <w:pPr>
              <w:widowControl/>
              <w:spacing w:line="560" w:lineRule="atLeast"/>
              <w:ind w:firstLine="480"/>
              <w:jc w:val="center"/>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襄城县</w:t>
            </w:r>
          </w:p>
        </w:tc>
        <w:tc>
          <w:tcPr>
            <w:tcW w:w="1449"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384"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497"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225"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688" w:type="dxa"/>
          </w:tcPr>
          <w:p>
            <w:pPr>
              <w:widowControl/>
              <w:spacing w:line="560" w:lineRule="atLeast"/>
              <w:ind w:firstLine="480"/>
              <w:jc w:val="center"/>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魏都区</w:t>
            </w:r>
          </w:p>
        </w:tc>
        <w:tc>
          <w:tcPr>
            <w:tcW w:w="1449"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384"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497"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225"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688" w:type="dxa"/>
          </w:tcPr>
          <w:p>
            <w:pPr>
              <w:widowControl/>
              <w:spacing w:line="560" w:lineRule="atLeast"/>
              <w:ind w:firstLine="480"/>
              <w:jc w:val="center"/>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建安区</w:t>
            </w:r>
          </w:p>
        </w:tc>
        <w:tc>
          <w:tcPr>
            <w:tcW w:w="1449"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384"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497"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40</w:t>
            </w:r>
          </w:p>
        </w:tc>
        <w:tc>
          <w:tcPr>
            <w:tcW w:w="1225"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688" w:type="dxa"/>
          </w:tcPr>
          <w:p>
            <w:pPr>
              <w:widowControl/>
              <w:spacing w:line="560" w:lineRule="atLeast"/>
              <w:ind w:firstLine="480"/>
              <w:jc w:val="center"/>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年度合计</w:t>
            </w:r>
          </w:p>
        </w:tc>
        <w:tc>
          <w:tcPr>
            <w:tcW w:w="1449"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280</w:t>
            </w:r>
          </w:p>
        </w:tc>
        <w:tc>
          <w:tcPr>
            <w:tcW w:w="1384"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280</w:t>
            </w:r>
          </w:p>
        </w:tc>
        <w:tc>
          <w:tcPr>
            <w:tcW w:w="1497" w:type="dxa"/>
          </w:tcPr>
          <w:p>
            <w:pPr>
              <w:widowControl/>
              <w:spacing w:line="560" w:lineRule="atLeast"/>
              <w:ind w:firstLine="480"/>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280</w:t>
            </w:r>
          </w:p>
        </w:tc>
        <w:tc>
          <w:tcPr>
            <w:tcW w:w="1225" w:type="dxa"/>
          </w:tcPr>
          <w:p>
            <w:pPr>
              <w:widowControl/>
              <w:spacing w:line="560" w:lineRule="atLeast"/>
              <w:ind w:firstLine="480"/>
              <w:rPr>
                <w:rFonts w:cs="仿宋_GB2312" w:asciiTheme="minorEastAsia" w:hAnsiTheme="minorEastAsia" w:eastAsiaTheme="minorEastAsia"/>
                <w:kern w:val="2"/>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243" w:type="dxa"/>
            <w:gridSpan w:val="5"/>
          </w:tcPr>
          <w:p>
            <w:pPr>
              <w:widowControl/>
              <w:spacing w:line="560" w:lineRule="atLeast"/>
              <w:ind w:firstLine="480"/>
              <w:jc w:val="center"/>
              <w:rPr>
                <w:rFonts w:cs="仿宋_GB2312" w:asciiTheme="minorEastAsia" w:hAnsiTheme="minorEastAsia" w:eastAsiaTheme="minorEastAsia"/>
                <w:kern w:val="2"/>
                <w:sz w:val="24"/>
                <w:szCs w:val="24"/>
                <w:lang w:val="zh-CN"/>
              </w:rPr>
            </w:pPr>
            <w:r>
              <w:rPr>
                <w:rFonts w:hint="eastAsia" w:cs="仿宋_GB2312" w:asciiTheme="minorEastAsia" w:hAnsiTheme="minorEastAsia" w:eastAsiaTheme="minorEastAsia"/>
                <w:kern w:val="2"/>
                <w:sz w:val="24"/>
                <w:szCs w:val="24"/>
                <w:lang w:val="zh-CN"/>
              </w:rPr>
              <w:t>合计：840次</w:t>
            </w:r>
          </w:p>
        </w:tc>
      </w:tr>
    </w:tbl>
    <w:tbl>
      <w:tblPr>
        <w:tblStyle w:val="11"/>
        <w:tblW w:w="9243" w:type="dxa"/>
        <w:tblInd w:w="0" w:type="dxa"/>
        <w:tblLayout w:type="autofit"/>
        <w:tblCellMar>
          <w:top w:w="0" w:type="dxa"/>
          <w:left w:w="0" w:type="dxa"/>
          <w:bottom w:w="0" w:type="dxa"/>
          <w:right w:w="0" w:type="dxa"/>
        </w:tblCellMar>
      </w:tblPr>
      <w:tblGrid>
        <w:gridCol w:w="500"/>
        <w:gridCol w:w="826"/>
        <w:gridCol w:w="1093"/>
        <w:gridCol w:w="5310"/>
        <w:gridCol w:w="747"/>
        <w:gridCol w:w="767"/>
      </w:tblGrid>
      <w:tr>
        <w:tblPrEx>
          <w:tblCellMar>
            <w:top w:w="0" w:type="dxa"/>
            <w:left w:w="0" w:type="dxa"/>
            <w:bottom w:w="0" w:type="dxa"/>
            <w:right w:w="0" w:type="dxa"/>
          </w:tblCellMar>
        </w:tblPrEx>
        <w:trPr>
          <w:trHeight w:val="573" w:hRule="atLeast"/>
        </w:trPr>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序号</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设施类型</w:t>
            </w: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设施名称</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设备配置要求</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单位</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数量</w:t>
            </w:r>
          </w:p>
        </w:tc>
      </w:tr>
      <w:tr>
        <w:tblPrEx>
          <w:tblCellMar>
            <w:top w:w="0" w:type="dxa"/>
            <w:left w:w="0" w:type="dxa"/>
            <w:bottom w:w="0" w:type="dxa"/>
            <w:right w:w="0" w:type="dxa"/>
          </w:tblCellMar>
        </w:tblPrEx>
        <w:trPr>
          <w:trHeight w:val="573" w:hRule="atLeast"/>
        </w:trPr>
        <w:tc>
          <w:tcPr>
            <w:tcW w:w="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汽车流动图书车</w:t>
            </w: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汽车流动图书车要求</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（一）发动机</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▲1.发动机排放标准：国五</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2.安装位置：后置</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3.发动机型式：直列六缸、水冷、增压中冷、高压共轨</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▲4.发动机排量(ml)：≥6500</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5.额定功率/转速 (kW/（r/min）)：≥ 180/1700</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6.最大扭矩/转速 (N.m/（r/min）)：≤1150/1200-1700 </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（二）整车质量、技术参数</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1.外廓尺寸：</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总长（mm）: 10490≤总长≤11000</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总宽（mm）：≥2490mm</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总高（mm）：≥3590mm</w:t>
            </w:r>
          </w:p>
          <w:p>
            <w:pPr>
              <w:pStyle w:val="26"/>
              <w:widowControl/>
              <w:spacing w:line="360" w:lineRule="auto"/>
              <w:jc w:val="left"/>
              <w:rPr>
                <w:rFonts w:cs="仿宋_GB2312" w:asciiTheme="minorEastAsia" w:hAnsiTheme="minorEastAsia" w:eastAsiaTheme="minorEastAsia"/>
                <w:sz w:val="24"/>
                <w:lang w:val="zh-CN"/>
              </w:rPr>
            </w:pPr>
            <w:r>
              <w:rPr>
                <w:rFonts w:hint="eastAsia" w:cs="仿宋_GB2312" w:asciiTheme="minorEastAsia" w:hAnsiTheme="minorEastAsia" w:eastAsiaTheme="minorEastAsia"/>
                <w:sz w:val="24"/>
                <w:lang w:val="zh-CN"/>
              </w:rPr>
              <w:t xml:space="preserve">2.限速装置及其型式：发动机 ECU 限速 </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3.最小转弯直径(m)：≤22</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4.轴距（mm）：≥5170</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5.前轮距≥2053</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6.后轮距 ≥1860</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7.前悬/后悬(mm)：≤2250/3190</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8.最小离地间隙(mm)：≥185</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9.接近角( °) ≥9°</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10.离去角( °) ≥9° </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11.整备质量(kg) ：≥12250  ,前轴/后轴  3640/8130 </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 12.最大总质量(kg) ≥15500 </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 13.最高车速（Km/h）：≧100</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14.额定载客（含驾驶员）（人）：≦ 9 人</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（三）底盘配置</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1.离合器：单片、干式 </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2.驱动型式：4×2 后轴驱动 </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▲3.变速器：国产6档变速器，远距离软轴操作方式。</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4.前桥：国产桥，工字型断面、端拳式 </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5.后桥：国产桥，整体式 </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▲6.悬架系统：多簧片（10/8或10/12）</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7.转向系统：循环球式、整体式液压助力转向 ，方向盘上下、前后可调</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8.行车制动系统：气压双回路，前盘后鼓制动器，自动调节</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9.驻车制动型式：储能弹簧制动器 </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10.辅助制动系型式：电涡流缓速器 </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11.ABS 系统</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12.轴荷：≧ 5130/10370</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 xml:space="preserve">13.轮胎规格：11R22.5 </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14.轮胎数：6</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15.是否具有灭火装置：有</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16.蓄电池/发电机：免维护蓄电池195AH两只/150A发电机+120A发电机</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（四）车身及电器配置</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1.车身结构：半承载式车身结构、平地板</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2.车身内饰：简化内饰，整体式空调风道，简易出风口。</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3.车门及门泵：气动外摆门,前、后均有伸缩式活动踏步。</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4.车窗：全封闭玻璃，两侧最后推拉窗</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5.座椅：豪华司机椅、后排5人椅、工作台工作椅、全部3点式安全带。</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6.空调系统：行车过程中使用；非独立顶置式，制冷量≧24000kcal/h。</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7.除霜系统：发动机余热除霜系统</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8.电器线路：24V、单线制、负极搭铁</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9.起动机：24V电磁操纵型</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10.蓄电池/发电机：免维护蓄电池195AH两只/150A发电机+120A发电机</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11.视听系统：硬盘播放器，2个无线话筒</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12.后视系统：电动兔耳后视镜，单探头彩色倒车监视系统</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13.灯具：整体式前大灯</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14.雨刷器：对刮式雨刷器</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15.整车窗帘：客车专用软窗帘，蓝色。</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16.整车线束：采用200℃阻燃辐照线、采用优质车用专用电线。</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17.服务设施：1个1kg灭火器，遮阳帘</w:t>
            </w:r>
          </w:p>
          <w:p>
            <w:pPr>
              <w:pStyle w:val="10"/>
              <w:widowControl/>
              <w:shd w:val="clear" w:color="auto" w:fill="FFFFFF"/>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18.防锈工艺：整车阴极电泳工艺。</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辆</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p>
        </w:tc>
      </w:tr>
      <w:tr>
        <w:tblPrEx>
          <w:tblCellMar>
            <w:top w:w="0" w:type="dxa"/>
            <w:left w:w="0" w:type="dxa"/>
            <w:bottom w:w="0" w:type="dxa"/>
            <w:right w:w="0" w:type="dxa"/>
          </w:tblCellMar>
        </w:tblPrEx>
        <w:trPr>
          <w:trHeight w:val="573" w:hRule="atLeast"/>
        </w:trPr>
        <w:tc>
          <w:tcPr>
            <w:tcW w:w="5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p>
        </w:tc>
        <w:tc>
          <w:tcPr>
            <w:tcW w:w="82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车辆改装</w:t>
            </w: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挂式空调</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2P挂式冷暖空调，额定电压220V，制冷量≧5000W，制冷量≧6650W空调内机固定在车内窗立柱上，做减震处理；空调外机放置司机侧的行李舱内。</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台</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外接电源线缆盘</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3芯10方防水线，50米长外接电缆。配自制绕线器1套，安全、便捷、可靠。</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个</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照明灯系统</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整车8组led照明灯，停车的时候使用。</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套</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组合插座</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10A 5孔/32A型.装配不低于15个10A 5孔电源插座\符合国标的要求，明盒安装、三线制布线、接头装接线端子。</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套</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遮阳棚</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长6米，可伸长2.5米，手动可调。布料。</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个</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辅助材料</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全车辅助材料（各种工具类、耗材类辅助材料）。</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批</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自动切换开关</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9"/>
              <w:rPr>
                <w:rFonts w:cs="仿宋_GB2312" w:asciiTheme="minorEastAsia" w:hAnsiTheme="minorEastAsia" w:eastAsiaTheme="minorEastAsia"/>
                <w:b w:val="0"/>
                <w:bCs w:val="0"/>
                <w:caps w:val="0"/>
                <w:color w:val="auto"/>
                <w:sz w:val="24"/>
                <w:szCs w:val="24"/>
                <w:lang w:val="zh-CN"/>
              </w:rPr>
            </w:pPr>
            <w:r>
              <w:rPr>
                <w:rFonts w:cs="仿宋_GB2312" w:asciiTheme="minorEastAsia" w:hAnsiTheme="minorEastAsia" w:eastAsiaTheme="minorEastAsia"/>
                <w:b w:val="0"/>
                <w:bCs w:val="0"/>
                <w:caps w:val="0"/>
                <w:color w:val="auto"/>
                <w:sz w:val="24"/>
                <w:szCs w:val="24"/>
                <w:lang w:val="zh-CN"/>
              </w:rPr>
              <w:t>30mm*120mm。</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个</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3kw全自动逆变器</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1.集逆变、自动充电、市电电池自动切换于一体。</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纯正弦波输出，输入输出完全隔离设计，逆变效率高达88%-90%，带有逆变节能模式。</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2.智能四段充电，多种电池类型选择，充电电流自动调节。</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3.多重保护功能，设有交流和直流输入高低压保护、过流保护、过载保护、温度保护、输出短路等。</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4.内置交流旁路继电器（＜10ms），真正实现交流不断电输出。</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5.超宽市电输入电压。</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6.LED显示工作状况，标配RJ11接口。</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7.负载和温度控制风扇启动。</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8.混合动力工作（太阳能，蓄电池，市电，发电机等自由切换）。</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9.可选配：远程可视LCD数字控制面板/RJ45接口；逆变优先模式；无电池启动功能。</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件</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整车布线</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采用国标电缆、线缆。</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批</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配电箱</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napToGrid w:val="0"/>
              <w:spacing w:line="360" w:lineRule="auto"/>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独立的市电安全配电箱AC220V/50Hz。提供服务车详细配电系统图1套。</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套</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高清监控摄像机</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 支持200万像素红外增强超低照度CMOS传感器。</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 高清数字图像分辨率，支持1920*1080</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3. 内置红外灯，红外距离大于等于30米，支持ICR日夜转换，支持宽动态， 支持强光抑制。</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4. 支持3D降噪、图像增强、边缘增强、伽马调节。</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5.支持走廊模式。</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6.支持电子防抖功能。</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7.支持H.264/MJPEG视频编码，支持三码流，压缩比例高。</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8.支持隐私遮挡，移动侦测等智能分析功能。</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9.支持入侵、越线、人数统计等智能分析功能。</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10.支持电子放大和电子拖拽。</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11.支持主动接入技术，可主动连接管理平台，轻松接入。</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12.支持心跳功能，及时发现和恢复网3络线路故障。</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13.人性化结构设计，方便现场安装调试；10/100M网络自适应。</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14.支持双云台旋转，预置云台位。</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15.支持远程管理，多平台查看。</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套</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4G无线路由器</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1.网络标准 IEEE 802.11b，IEEE 802.11g，IEEE 802.11n。</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2.最高传输速率 300Mbps，频率范围 2.4GHz，内置天线。</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3.网络接口 1个10/100/1000Mbps LAN/WAN复用接口</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4.支持 4G全网通网络模式，支持VPN功能，支持WPS功能 。</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5.支持无线安全 SSID 广播和隐藏；None（Open）、WPA2-PSK、WPA/WPA2-PSK加密方式；速率自动调整；STA状态显示。</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6.支持无线频段：LTE: B1/B3/B5/B8/B26/B28/B34/B38/B39/B40/B41(B41: 2545~2655MHz) UMTS: B1/B5/B8 TD-SCDMA：B34/B39TD-SCDMA：Band 34/39 1900 MHz/2100 MHz</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7.支持APP远程管理。</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台</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数据流量卡</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支持4G网络标准 IEEE 802.11b，IEEE 802.11g，IEEE 802.11n。</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2.最高传输速率300Mbps，频率范围 2.4GHz，内置天线。</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3.网络接口 1个10/100/1000Mbps LAN/WAN复用接口</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4.支持 4G全网通网络模式，支持VPN功能，支持WPS功能 。</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5.支持无线安全 SSID 广播和隐藏；None（Open）、WPA2-PSK、WPA/WPA2-PSK加密方式；速率自动调整；STA状态显示。</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6.支持无线频段：LTE: B1/B3/B5/B8/B26/B28/B34/B38/B39/B40/B41(B41: 2545~2655MHz) UMTS: B1/B5/B8 TD-SCDMA：B34/B39TD-SCDMA：Band 34/39 1900 MHz/2100 MHz</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7.支持APP远程管理。数据通信网络制式，满足智能设备数据传输所需流量，不低于100G/月，数据数据传输速率不低于100Mbps。</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张</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p>
        </w:tc>
        <w:tc>
          <w:tcPr>
            <w:tcW w:w="82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流动图书馆内部设施配备</w:t>
            </w: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钢板烤漆书架</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1.每层高度均不少于28cm；</w:t>
            </w:r>
          </w:p>
          <w:p>
            <w:pPr>
              <w:widowControl/>
              <w:jc w:val="left"/>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2.车厢内两侧安装五层钢板烤漆书架（实际长度按现场测量并配置，最下方一层净高约310MM，书架水平净深度297MM;上面四层净高约310MM，书架水平净深度200MM。</w:t>
            </w:r>
          </w:p>
          <w:p>
            <w:pPr>
              <w:widowControl/>
              <w:jc w:val="left"/>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3.横隔层板向里倾斜（内角约呈80度），保证摆放的图书在车辆行使中不会掉落；</w:t>
            </w:r>
          </w:p>
          <w:p>
            <w:pPr>
              <w:widowControl/>
              <w:jc w:val="left"/>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4.书架板材厚度不小于0.1CM，书架转角位需要做圆角处理，书架能安全承受满载图书的重量，书架位置地板加固设计，并做好车平衡，每层书架后挡板应加高，以防止图书滑到书架后面，书架工艺需工整平滑，安全实用；</w:t>
            </w:r>
          </w:p>
          <w:p>
            <w:pPr>
              <w:widowControl/>
              <w:jc w:val="left"/>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5.可容纳图书、期刊、少儿绘本5000册。</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组</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简易阅读凳</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蓝色皮革带弹簧垫，不带靠背，不带扶手，钢板烤漆制作，下设对开门储物柜，可移动。</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个</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车后部座椅</w:t>
            </w:r>
          </w:p>
        </w:tc>
        <w:tc>
          <w:tcPr>
            <w:tcW w:w="5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5个，</w:t>
            </w:r>
            <w:r>
              <w:rPr>
                <w:rFonts w:cs="仿宋_GB2312" w:asciiTheme="minorEastAsia" w:hAnsiTheme="minorEastAsia" w:eastAsiaTheme="minorEastAsia"/>
                <w:b w:val="0"/>
                <w:bCs w:val="0"/>
                <w:caps w:val="0"/>
                <w:color w:val="auto"/>
                <w:sz w:val="24"/>
                <w:szCs w:val="24"/>
                <w:lang w:val="zh-CN"/>
              </w:rPr>
              <w:t>材料为</w:t>
            </w:r>
            <w:r>
              <w:rPr>
                <w:rFonts w:hint="eastAsia" w:cs="仿宋_GB2312" w:asciiTheme="minorEastAsia" w:hAnsiTheme="minorEastAsia" w:eastAsiaTheme="minorEastAsia"/>
                <w:b w:val="0"/>
                <w:bCs w:val="0"/>
                <w:caps w:val="0"/>
                <w:color w:val="auto"/>
                <w:sz w:val="24"/>
                <w:szCs w:val="24"/>
                <w:lang w:val="zh-CN"/>
              </w:rPr>
              <w:t>汽车专用皮革，颜色为蓝色，带安全带。</w:t>
            </w:r>
          </w:p>
        </w:tc>
        <w:tc>
          <w:tcPr>
            <w:tcW w:w="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个</w:t>
            </w:r>
          </w:p>
        </w:tc>
        <w:tc>
          <w:tcPr>
            <w:tcW w:w="7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折叠椅</w:t>
            </w:r>
          </w:p>
        </w:tc>
        <w:tc>
          <w:tcPr>
            <w:tcW w:w="5310" w:type="dxa"/>
            <w:tcBorders>
              <w:top w:val="single" w:color="000000" w:sz="4" w:space="0"/>
              <w:left w:val="single" w:color="000000" w:sz="4" w:space="0"/>
              <w:bottom w:val="single" w:color="000000" w:sz="4" w:space="0"/>
              <w:right w:val="single" w:color="000000" w:sz="4" w:space="0"/>
            </w:tcBorders>
          </w:tcPr>
          <w:p>
            <w:pPr>
              <w:pStyle w:val="9"/>
              <w:rPr>
                <w:rFonts w:cs="仿宋_GB2312" w:asciiTheme="minorEastAsia" w:hAnsiTheme="minorEastAsia" w:eastAsiaTheme="minorEastAsia"/>
                <w:b w:val="0"/>
                <w:bCs w:val="0"/>
                <w:caps w:val="0"/>
                <w:color w:val="auto"/>
                <w:sz w:val="24"/>
                <w:szCs w:val="24"/>
                <w:lang w:val="zh-CN"/>
              </w:rPr>
            </w:pPr>
            <w:r>
              <w:rPr>
                <w:rFonts w:cs="仿宋_GB2312" w:asciiTheme="minorEastAsia" w:hAnsiTheme="minorEastAsia" w:eastAsiaTheme="minorEastAsia"/>
                <w:b w:val="0"/>
                <w:bCs w:val="0"/>
                <w:caps w:val="0"/>
                <w:color w:val="auto"/>
                <w:sz w:val="24"/>
                <w:szCs w:val="24"/>
                <w:lang w:val="zh-CN"/>
              </w:rPr>
              <w:t>侧墙上固定，材料为汽车专用皮革，颜色为蓝色，</w:t>
            </w:r>
            <w:r>
              <w:rPr>
                <w:rFonts w:hint="eastAsia" w:cs="仿宋_GB2312" w:asciiTheme="minorEastAsia" w:hAnsiTheme="minorEastAsia" w:eastAsiaTheme="minorEastAsia"/>
                <w:b w:val="0"/>
                <w:bCs w:val="0"/>
                <w:caps w:val="0"/>
                <w:color w:val="auto"/>
                <w:sz w:val="24"/>
                <w:szCs w:val="24"/>
                <w:lang w:val="zh-CN"/>
              </w:rPr>
              <w:t>带安全带。</w:t>
            </w:r>
          </w:p>
        </w:tc>
        <w:tc>
          <w:tcPr>
            <w:tcW w:w="74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个</w:t>
            </w:r>
          </w:p>
        </w:tc>
        <w:tc>
          <w:tcPr>
            <w:tcW w:w="76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期刊架</w:t>
            </w:r>
          </w:p>
        </w:tc>
        <w:tc>
          <w:tcPr>
            <w:tcW w:w="5310" w:type="dxa"/>
            <w:tcBorders>
              <w:top w:val="single" w:color="000000" w:sz="4" w:space="0"/>
              <w:left w:val="single" w:color="000000" w:sz="4" w:space="0"/>
              <w:bottom w:val="single" w:color="000000" w:sz="4" w:space="0"/>
              <w:right w:val="single" w:color="000000" w:sz="4" w:space="0"/>
            </w:tcBorders>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期刊柜规格800mm*300mm*1300mm。期刊柜不少于三层。</w:t>
            </w:r>
          </w:p>
        </w:tc>
        <w:tc>
          <w:tcPr>
            <w:tcW w:w="74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套</w:t>
            </w:r>
          </w:p>
        </w:tc>
        <w:tc>
          <w:tcPr>
            <w:tcW w:w="76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4</w:t>
            </w:r>
            <w:r>
              <w:rPr>
                <w:rFonts w:cs="仿宋_GB2312" w:asciiTheme="minorEastAsia" w:hAnsiTheme="minorEastAsia" w:eastAsiaTheme="minorEastAsia"/>
                <w:b w:val="0"/>
                <w:bCs w:val="0"/>
                <w:caps w:val="0"/>
                <w:color w:val="auto"/>
                <w:sz w:val="24"/>
                <w:szCs w:val="24"/>
                <w:lang w:val="zh-CN"/>
              </w:rPr>
              <w:t>3</w:t>
            </w:r>
            <w:r>
              <w:rPr>
                <w:rFonts w:hint="eastAsia" w:cs="仿宋_GB2312" w:asciiTheme="minorEastAsia" w:hAnsiTheme="minorEastAsia" w:eastAsiaTheme="minorEastAsia"/>
                <w:b w:val="0"/>
                <w:bCs w:val="0"/>
                <w:caps w:val="0"/>
                <w:color w:val="auto"/>
                <w:sz w:val="24"/>
                <w:szCs w:val="24"/>
                <w:lang w:val="zh-CN"/>
              </w:rPr>
              <w:t>寸车载</w:t>
            </w:r>
            <w:r>
              <w:rPr>
                <w:rFonts w:cs="仿宋_GB2312" w:asciiTheme="minorEastAsia" w:hAnsiTheme="minorEastAsia" w:eastAsiaTheme="minorEastAsia"/>
                <w:b w:val="0"/>
                <w:bCs w:val="0"/>
                <w:caps w:val="0"/>
                <w:color w:val="auto"/>
                <w:sz w:val="24"/>
                <w:szCs w:val="24"/>
                <w:lang w:val="zh-CN"/>
              </w:rPr>
              <w:t>电子书借阅机</w:t>
            </w:r>
          </w:p>
        </w:tc>
        <w:tc>
          <w:tcPr>
            <w:tcW w:w="5310" w:type="dxa"/>
            <w:tcBorders>
              <w:top w:val="single" w:color="000000" w:sz="4" w:space="0"/>
              <w:left w:val="single" w:color="000000" w:sz="4" w:space="0"/>
              <w:bottom w:val="single" w:color="000000" w:sz="4" w:space="0"/>
              <w:right w:val="single" w:color="000000" w:sz="4" w:space="0"/>
            </w:tcBorders>
          </w:tcPr>
          <w:p>
            <w:pPr>
              <w:pStyle w:val="27"/>
              <w:ind w:firstLine="0" w:firstLineChars="0"/>
              <w:rPr>
                <w:rFonts w:cs="仿宋_GB2312" w:asciiTheme="minorEastAsia" w:hAnsiTheme="minorEastAsia"/>
                <w:sz w:val="24"/>
                <w:szCs w:val="24"/>
                <w:lang w:val="zh-CN"/>
              </w:rPr>
            </w:pPr>
            <w:r>
              <w:rPr>
                <w:rFonts w:hint="eastAsia" w:cs="仿宋_GB2312" w:asciiTheme="minorEastAsia" w:hAnsiTheme="minorEastAsia"/>
                <w:sz w:val="24"/>
                <w:szCs w:val="24"/>
                <w:lang w:val="zh-CN"/>
              </w:rPr>
              <w:t>1.整体集成需求：采用竖立式结构，触屏为触摸互动屏，≥43寸高性能多点触控屏，用户可任意在屏幕进行放大缩小操作，方便用户阅读。</w:t>
            </w:r>
          </w:p>
          <w:p>
            <w:pPr>
              <w:pStyle w:val="27"/>
              <w:ind w:firstLine="0" w:firstLineChars="0"/>
              <w:rPr>
                <w:rFonts w:cs="仿宋_GB2312" w:asciiTheme="minorEastAsia" w:hAnsiTheme="minorEastAsia"/>
                <w:sz w:val="24"/>
                <w:szCs w:val="24"/>
                <w:lang w:val="zh-CN"/>
              </w:rPr>
            </w:pPr>
            <w:r>
              <w:rPr>
                <w:rFonts w:hint="eastAsia" w:cs="仿宋_GB2312" w:asciiTheme="minorEastAsia" w:hAnsiTheme="minorEastAsia"/>
                <w:sz w:val="24"/>
                <w:szCs w:val="24"/>
                <w:lang w:val="zh-CN"/>
              </w:rPr>
              <w:t>2.分辨率：1920×1080；亮度：350cd/㎡；屏幕比例：16：9，对比度：3000:1；可视角度：89°/89°/89°/89°(L/R/U/D)；响应时间：≤6.5ms；灯管寿命：≥500000小时；</w:t>
            </w:r>
          </w:p>
          <w:p>
            <w:pPr>
              <w:pStyle w:val="27"/>
              <w:ind w:firstLine="0" w:firstLineChars="0"/>
              <w:rPr>
                <w:rFonts w:cs="仿宋_GB2312" w:asciiTheme="minorEastAsia" w:hAnsiTheme="minorEastAsia"/>
                <w:sz w:val="24"/>
                <w:szCs w:val="24"/>
                <w:lang w:val="zh-CN"/>
              </w:rPr>
            </w:pPr>
            <w:r>
              <w:rPr>
                <w:rFonts w:hint="eastAsia" w:cs="仿宋_GB2312" w:asciiTheme="minorEastAsia" w:hAnsiTheme="minorEastAsia"/>
                <w:sz w:val="24"/>
                <w:szCs w:val="24"/>
                <w:lang w:val="zh-CN"/>
              </w:rPr>
              <w:t>3.处理器：双核 主频≥1.2G；内存：≥1GB DDR3 1333；电源：100-240VAC, 50/60HZ；网络功能：标准RJ45接口、wiFi。</w:t>
            </w:r>
          </w:p>
          <w:p>
            <w:pPr>
              <w:pStyle w:val="27"/>
              <w:ind w:firstLine="0" w:firstLineChars="0"/>
              <w:rPr>
                <w:rFonts w:cs="仿宋_GB2312" w:asciiTheme="minorEastAsia" w:hAnsiTheme="minorEastAsia"/>
                <w:sz w:val="24"/>
                <w:szCs w:val="24"/>
                <w:lang w:val="zh-CN"/>
              </w:rPr>
            </w:pPr>
            <w:r>
              <w:rPr>
                <w:rFonts w:hint="eastAsia" w:cs="仿宋_GB2312" w:asciiTheme="minorEastAsia" w:hAnsiTheme="minorEastAsia"/>
                <w:sz w:val="24"/>
                <w:szCs w:val="24"/>
                <w:lang w:val="zh-CN"/>
              </w:rPr>
              <w:t>4.App同时提供安卓、ios操作系统两个版本软件，App端具有扫描图书二维码下载功能。</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5.终端用户可以通过微信客户端阅读使用，微信客户端是扫码阅读机配套的移动端程序。通过微信客户端可以关注采购人公众服务号，通过采购人公众服务号内扫描二维码功能直接扫码阅读机上的数字资源的二维码下载图书到终端中阅读。</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6.借阅机内epub格式电子书数量不少于5000种，且每月更新不少于150种。全部内容均为正版授权。每册电子书均提供精美高清的图片与资源简介预览。电子书内容均为经典读物及畅销内容，其中人民文学出版社、人民美术出版社、人民音乐出版社、大百科全书出版社、商务印书馆、中华书局、民主与法制出版社、生活·读书·新知三联书店、中国对外翻译出版公司内容不少于3000种。</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7. 期刊数量不少于400种，全部内容均为正版授权。其中思政类期刊数量不少于150种，期刊内容包括瞭望东方周刊、三联生活周刊、财经、时尚健康、睿士、名车志、家居廊、东方养生、中国银幕、电子世界、知音、中国老年报、国际问题研究等知名杂志期刊。期刊实现每日自动更新。</w:t>
            </w:r>
          </w:p>
        </w:tc>
        <w:tc>
          <w:tcPr>
            <w:tcW w:w="74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台</w:t>
            </w:r>
          </w:p>
        </w:tc>
        <w:tc>
          <w:tcPr>
            <w:tcW w:w="76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馆员工作站（含PC）</w:t>
            </w:r>
          </w:p>
        </w:tc>
        <w:tc>
          <w:tcPr>
            <w:tcW w:w="5310" w:type="dxa"/>
            <w:tcBorders>
              <w:top w:val="single" w:color="000000" w:sz="4" w:space="0"/>
              <w:left w:val="single" w:color="000000" w:sz="4" w:space="0"/>
              <w:bottom w:val="single" w:color="000000" w:sz="4" w:space="0"/>
              <w:right w:val="single" w:color="000000" w:sz="4" w:space="0"/>
            </w:tcBorders>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1.内存容量：8G</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2.显卡类别：集成显卡</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3.分辨率：全高清屏（1920×1080）</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4.处理器：Intel i5低功耗版</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5.硬盘容量：256G固态</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6.CPU类型Intel 第8代 酷睿</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7.CPU型号Intel Core i5-8265U</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8.屏幕规格：14英寸</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9.显示比例：宽屏16：9</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10.音频端口：耳机、麦克风二合一   接口</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11.显示端口：HDMI接口</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12.其他端口：2 x USB 3.1、1XType-C</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13.电池：3芯 锂离子电池</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14.续航时间：&gt;8小时</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15.电源适配器：45W AC适配器</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16.系统软件采用模块化设计架构，各外设功能模块（如读者证模块，</w:t>
            </w:r>
            <w:r>
              <w:rPr>
                <w:rFonts w:cs="仿宋_GB2312" w:asciiTheme="minorEastAsia" w:hAnsiTheme="minorEastAsia" w:eastAsiaTheme="minorEastAsia"/>
                <w:b w:val="0"/>
                <w:bCs w:val="0"/>
                <w:caps w:val="0"/>
                <w:color w:val="auto"/>
                <w:sz w:val="24"/>
                <w:szCs w:val="24"/>
                <w:lang w:val="zh-CN"/>
              </w:rPr>
              <w:t>SIP2</w:t>
            </w:r>
            <w:r>
              <w:rPr>
                <w:rFonts w:hint="eastAsia" w:cs="仿宋_GB2312" w:asciiTheme="minorEastAsia" w:hAnsiTheme="minorEastAsia" w:eastAsiaTheme="minorEastAsia"/>
                <w:b w:val="0"/>
                <w:bCs w:val="0"/>
                <w:caps w:val="0"/>
                <w:color w:val="auto"/>
                <w:sz w:val="24"/>
                <w:szCs w:val="24"/>
                <w:lang w:val="zh-CN"/>
              </w:rPr>
              <w:t>接口模块）对应不同的独立文件，可根据实际需要在配置程序中灵活选择加载启用。</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17.可对</w:t>
            </w:r>
            <w:r>
              <w:rPr>
                <w:rFonts w:cs="仿宋_GB2312" w:asciiTheme="minorEastAsia" w:hAnsiTheme="minorEastAsia" w:eastAsiaTheme="minorEastAsia"/>
                <w:b w:val="0"/>
                <w:bCs w:val="0"/>
                <w:caps w:val="0"/>
                <w:color w:val="auto"/>
                <w:sz w:val="24"/>
                <w:szCs w:val="24"/>
                <w:lang w:val="zh-CN"/>
              </w:rPr>
              <w:t>RFID</w:t>
            </w:r>
            <w:r>
              <w:rPr>
                <w:rFonts w:hint="eastAsia" w:cs="仿宋_GB2312" w:asciiTheme="minorEastAsia" w:hAnsiTheme="minorEastAsia" w:eastAsiaTheme="minorEastAsia"/>
                <w:b w:val="0"/>
                <w:bCs w:val="0"/>
                <w:caps w:val="0"/>
                <w:color w:val="auto"/>
                <w:sz w:val="24"/>
                <w:szCs w:val="24"/>
                <w:lang w:val="zh-CN"/>
              </w:rPr>
              <w:t>标签非接触式地进行阅读，有读取</w:t>
            </w:r>
            <w:r>
              <w:rPr>
                <w:rFonts w:cs="仿宋_GB2312" w:asciiTheme="minorEastAsia" w:hAnsiTheme="minorEastAsia" w:eastAsiaTheme="minorEastAsia"/>
                <w:b w:val="0"/>
                <w:bCs w:val="0"/>
                <w:caps w:val="0"/>
                <w:color w:val="auto"/>
                <w:sz w:val="24"/>
                <w:szCs w:val="24"/>
                <w:lang w:val="zh-CN"/>
              </w:rPr>
              <w:t>RFID</w:t>
            </w:r>
            <w:r>
              <w:rPr>
                <w:rFonts w:hint="eastAsia" w:cs="仿宋_GB2312" w:asciiTheme="minorEastAsia" w:hAnsiTheme="minorEastAsia" w:eastAsiaTheme="minorEastAsia"/>
                <w:b w:val="0"/>
                <w:bCs w:val="0"/>
                <w:caps w:val="0"/>
                <w:color w:val="auto"/>
                <w:sz w:val="24"/>
                <w:szCs w:val="24"/>
                <w:lang w:val="zh-CN"/>
              </w:rPr>
              <w:t>图书标签、编写图书标签、改写图书标签的能力。</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18.提供双重功能可以处理ISO15693-2,3 ,ISO18000-3 标准的RFID 标签, 同时支持扫描图书条形码。</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19.可对多种类型借书证进行阅读，如RFID卡、二代身份证等有效证件。</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20.读者可输入密码配合图书馆业务系统应用。</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21.在作为标签编写工作站使用时,能够结合剔除书籍清单在扫描到条形码时自动提示馆员，而不是继续改写RFID。</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22.软件功能完备，可根据用户需求进行定制修改，支持工作人员处理各种图书借还、自助续借、预约、处理罚金、检测修改标签安全状态等业务。</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23. 系统提供准确的用户所需的工作统计，如操作数量、操作类型、成功与否的操作统计等。操作结束后可根据需要打印各种收据及书单。</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24.可对条形码进行识别转换后将条码号写入RFID标签，转换效率高。</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25.可通过标准串口、USB接口或网络接口连接至计算机设备。</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26.系统有准确的声音和画面的操作提示，清新指示条形码扫描是否成功，RFID标签编写是否成功的状态。</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27.用于阅读的RFID天线不受天线周围的其他标签的影响，只有在天线正上方的标签才能被读到。</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28.设备系统通过简单的硬件转换可以升级，紧跟最新技术发展。</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29</w:t>
            </w:r>
            <w:r>
              <w:rPr>
                <w:rFonts w:cs="仿宋_GB2312" w:asciiTheme="minorEastAsia" w:hAnsiTheme="minorEastAsia" w:eastAsiaTheme="minorEastAsia"/>
                <w:b w:val="0"/>
                <w:bCs w:val="0"/>
                <w:caps w:val="0"/>
                <w:color w:val="auto"/>
                <w:sz w:val="24"/>
                <w:szCs w:val="24"/>
                <w:lang w:val="zh-CN"/>
              </w:rPr>
              <w:t>.</w:t>
            </w:r>
            <w:r>
              <w:rPr>
                <w:rFonts w:hint="eastAsia" w:cs="仿宋_GB2312" w:asciiTheme="minorEastAsia" w:hAnsiTheme="minorEastAsia" w:eastAsiaTheme="minorEastAsia"/>
                <w:b w:val="0"/>
                <w:bCs w:val="0"/>
                <w:caps w:val="0"/>
                <w:color w:val="auto"/>
                <w:sz w:val="24"/>
                <w:szCs w:val="24"/>
                <w:lang w:val="zh-CN"/>
              </w:rPr>
              <w:t>具有远程控制软件，可内网穿透，实现画面传输与指令传输；控制端通过网页浏览器即可实现对被控端电脑远程开关机、远程桌面实时监控等功能。</w:t>
            </w:r>
          </w:p>
        </w:tc>
        <w:tc>
          <w:tcPr>
            <w:tcW w:w="74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台</w:t>
            </w:r>
          </w:p>
        </w:tc>
        <w:tc>
          <w:tcPr>
            <w:tcW w:w="76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RFID图书标签</w:t>
            </w:r>
          </w:p>
        </w:tc>
        <w:tc>
          <w:tcPr>
            <w:tcW w:w="5310" w:type="dxa"/>
            <w:tcBorders>
              <w:top w:val="single" w:color="000000" w:sz="4" w:space="0"/>
              <w:left w:val="single" w:color="000000" w:sz="4" w:space="0"/>
              <w:bottom w:val="single" w:color="000000" w:sz="4" w:space="0"/>
              <w:right w:val="single" w:color="000000" w:sz="4" w:space="0"/>
            </w:tcBorders>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r>
              <w:rPr>
                <w:rFonts w:hint="eastAsia" w:cs="仿宋_GB2312" w:asciiTheme="minorEastAsia" w:hAnsiTheme="minorEastAsia" w:eastAsiaTheme="minorEastAsia"/>
                <w:b w:val="0"/>
                <w:bCs w:val="0"/>
                <w:caps w:val="0"/>
                <w:color w:val="auto"/>
                <w:sz w:val="24"/>
                <w:szCs w:val="24"/>
                <w:lang w:val="zh-CN"/>
              </w:rPr>
              <w:tab/>
            </w:r>
            <w:r>
              <w:rPr>
                <w:rFonts w:hint="eastAsia" w:cs="仿宋_GB2312" w:asciiTheme="minorEastAsia" w:hAnsiTheme="minorEastAsia" w:eastAsiaTheme="minorEastAsia"/>
                <w:b w:val="0"/>
                <w:bCs w:val="0"/>
                <w:caps w:val="0"/>
                <w:color w:val="auto"/>
                <w:sz w:val="24"/>
                <w:szCs w:val="24"/>
                <w:lang w:val="zh-CN"/>
              </w:rPr>
              <w:t>标签中有存储器，存储在其中的资料可重复读、写。标签中须存储一些基本信息，中标人应根据采购人的需要提供最优化的数据结构存储方案和存取管理程序，优化读取速度，提高处理的效率；</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w:t>
            </w:r>
            <w:r>
              <w:rPr>
                <w:rFonts w:hint="eastAsia" w:cs="仿宋_GB2312" w:asciiTheme="minorEastAsia" w:hAnsiTheme="minorEastAsia" w:eastAsiaTheme="minorEastAsia"/>
                <w:b w:val="0"/>
                <w:bCs w:val="0"/>
                <w:caps w:val="0"/>
                <w:color w:val="auto"/>
                <w:sz w:val="24"/>
                <w:szCs w:val="24"/>
                <w:lang w:val="zh-CN"/>
              </w:rPr>
              <w:tab/>
            </w:r>
            <w:r>
              <w:rPr>
                <w:rFonts w:hint="eastAsia" w:cs="仿宋_GB2312" w:asciiTheme="minorEastAsia" w:hAnsiTheme="minorEastAsia" w:eastAsiaTheme="minorEastAsia"/>
                <w:b w:val="0"/>
                <w:bCs w:val="0"/>
                <w:caps w:val="0"/>
                <w:color w:val="auto"/>
                <w:sz w:val="24"/>
                <w:szCs w:val="24"/>
                <w:lang w:val="zh-CN"/>
              </w:rPr>
              <w:t>标签可以非接触式地读取和写入，加快文献流通的处理速度。</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3.</w:t>
            </w:r>
            <w:r>
              <w:rPr>
                <w:rFonts w:hint="eastAsia" w:cs="仿宋_GB2312" w:asciiTheme="minorEastAsia" w:hAnsiTheme="minorEastAsia" w:eastAsiaTheme="minorEastAsia"/>
                <w:b w:val="0"/>
                <w:bCs w:val="0"/>
                <w:caps w:val="0"/>
                <w:color w:val="auto"/>
                <w:sz w:val="24"/>
                <w:szCs w:val="24"/>
                <w:lang w:val="zh-CN"/>
              </w:rPr>
              <w:tab/>
            </w:r>
            <w:r>
              <w:rPr>
                <w:rFonts w:hint="eastAsia" w:cs="仿宋_GB2312" w:asciiTheme="minorEastAsia" w:hAnsiTheme="minorEastAsia" w:eastAsiaTheme="minorEastAsia"/>
                <w:b w:val="0"/>
                <w:bCs w:val="0"/>
                <w:caps w:val="0"/>
                <w:color w:val="auto"/>
                <w:sz w:val="24"/>
                <w:szCs w:val="24"/>
                <w:lang w:val="zh-CN"/>
              </w:rPr>
              <w:t>标签必须使用防冲突的运算法则，能保证多个标签同时可靠识别。</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4.</w:t>
            </w:r>
            <w:r>
              <w:rPr>
                <w:rFonts w:hint="eastAsia" w:cs="仿宋_GB2312" w:asciiTheme="minorEastAsia" w:hAnsiTheme="minorEastAsia" w:eastAsiaTheme="minorEastAsia"/>
                <w:b w:val="0"/>
                <w:bCs w:val="0"/>
                <w:caps w:val="0"/>
                <w:color w:val="auto"/>
                <w:sz w:val="24"/>
                <w:szCs w:val="24"/>
                <w:lang w:val="zh-CN"/>
              </w:rPr>
              <w:tab/>
            </w:r>
            <w:r>
              <w:rPr>
                <w:rFonts w:hint="eastAsia" w:cs="仿宋_GB2312" w:asciiTheme="minorEastAsia" w:hAnsiTheme="minorEastAsia" w:eastAsiaTheme="minorEastAsia"/>
                <w:b w:val="0"/>
                <w:bCs w:val="0"/>
                <w:caps w:val="0"/>
                <w:color w:val="auto"/>
                <w:sz w:val="24"/>
                <w:szCs w:val="24"/>
                <w:lang w:val="zh-CN"/>
              </w:rPr>
              <w:t>标签具有较高的安全性，防止存储在其中的信息被随意读取或改写。</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5.</w:t>
            </w:r>
            <w:r>
              <w:rPr>
                <w:rFonts w:hint="eastAsia" w:cs="仿宋_GB2312" w:asciiTheme="minorEastAsia" w:hAnsiTheme="minorEastAsia" w:eastAsiaTheme="minorEastAsia"/>
                <w:b w:val="0"/>
                <w:bCs w:val="0"/>
                <w:caps w:val="0"/>
                <w:color w:val="auto"/>
                <w:sz w:val="24"/>
                <w:szCs w:val="24"/>
                <w:lang w:val="zh-CN"/>
              </w:rPr>
              <w:tab/>
            </w:r>
            <w:r>
              <w:rPr>
                <w:rFonts w:hint="eastAsia" w:cs="仿宋_GB2312" w:asciiTheme="minorEastAsia" w:hAnsiTheme="minorEastAsia" w:eastAsiaTheme="minorEastAsia"/>
                <w:b w:val="0"/>
                <w:bCs w:val="0"/>
                <w:caps w:val="0"/>
                <w:color w:val="auto"/>
                <w:sz w:val="24"/>
                <w:szCs w:val="24"/>
                <w:lang w:val="zh-CN"/>
              </w:rPr>
              <w:t>图书标签采用AFI 或EAS 位作为防盗的安全标志方法。且AFI标志位必须可以用户自由修改。</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6.</w:t>
            </w:r>
            <w:r>
              <w:rPr>
                <w:rFonts w:hint="eastAsia" w:cs="仿宋_GB2312" w:asciiTheme="minorEastAsia" w:hAnsiTheme="minorEastAsia" w:eastAsiaTheme="minorEastAsia"/>
                <w:b w:val="0"/>
                <w:bCs w:val="0"/>
                <w:caps w:val="0"/>
                <w:color w:val="auto"/>
                <w:sz w:val="24"/>
                <w:szCs w:val="24"/>
                <w:lang w:val="zh-CN"/>
              </w:rPr>
              <w:tab/>
            </w:r>
            <w:r>
              <w:rPr>
                <w:rFonts w:hint="eastAsia" w:cs="仿宋_GB2312" w:asciiTheme="minorEastAsia" w:hAnsiTheme="minorEastAsia" w:eastAsiaTheme="minorEastAsia"/>
                <w:b w:val="0"/>
                <w:bCs w:val="0"/>
                <w:caps w:val="0"/>
                <w:color w:val="auto"/>
                <w:sz w:val="24"/>
                <w:szCs w:val="24"/>
                <w:lang w:val="zh-CN"/>
              </w:rPr>
              <w:t>标签固有频率误差频率小于或等于±300K Hz范围；</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7.</w:t>
            </w:r>
            <w:r>
              <w:rPr>
                <w:rFonts w:hint="eastAsia" w:cs="仿宋_GB2312" w:asciiTheme="minorEastAsia" w:hAnsiTheme="minorEastAsia" w:eastAsiaTheme="minorEastAsia"/>
                <w:b w:val="0"/>
                <w:bCs w:val="0"/>
                <w:caps w:val="0"/>
                <w:color w:val="auto"/>
                <w:sz w:val="24"/>
                <w:szCs w:val="24"/>
                <w:lang w:val="zh-CN"/>
              </w:rPr>
              <w:tab/>
            </w:r>
            <w:r>
              <w:rPr>
                <w:rFonts w:hint="eastAsia" w:cs="仿宋_GB2312" w:asciiTheme="minorEastAsia" w:hAnsiTheme="minorEastAsia" w:eastAsiaTheme="minorEastAsia"/>
                <w:b w:val="0"/>
                <w:bCs w:val="0"/>
                <w:caps w:val="0"/>
                <w:color w:val="auto"/>
                <w:sz w:val="24"/>
                <w:szCs w:val="24"/>
                <w:lang w:val="zh-CN"/>
              </w:rPr>
              <w:t>RFID阅读产品设备可在非常短的时间内读取存储在标签中的资料（实际工作环境，若以标签容量1024 bits为标准计算，每种工序中标签的读取速度都能达到0.1s之内，阅读距离不小于25CM）;</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8.</w:t>
            </w:r>
            <w:r>
              <w:rPr>
                <w:rFonts w:hint="eastAsia" w:cs="仿宋_GB2312" w:asciiTheme="minorEastAsia" w:hAnsiTheme="minorEastAsia" w:eastAsiaTheme="minorEastAsia"/>
                <w:b w:val="0"/>
                <w:bCs w:val="0"/>
                <w:caps w:val="0"/>
                <w:color w:val="auto"/>
                <w:sz w:val="24"/>
                <w:szCs w:val="24"/>
                <w:lang w:val="zh-CN"/>
              </w:rPr>
              <w:tab/>
            </w:r>
            <w:r>
              <w:rPr>
                <w:rFonts w:hint="eastAsia" w:cs="仿宋_GB2312" w:asciiTheme="minorEastAsia" w:hAnsiTheme="minorEastAsia" w:eastAsiaTheme="minorEastAsia"/>
                <w:b w:val="0"/>
                <w:bCs w:val="0"/>
                <w:caps w:val="0"/>
                <w:color w:val="auto"/>
                <w:sz w:val="24"/>
                <w:szCs w:val="24"/>
                <w:lang w:val="zh-CN"/>
              </w:rPr>
              <w:t>相关的RFID阅读产品设备，可在非常短的时间内读取存储在标签中的资料有粘性，保证在标签质保期内不开胶脱落，同时应保证采用中性粘胶对图书及其它介质黏贴表面无损害。</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9.</w:t>
            </w:r>
            <w:r>
              <w:rPr>
                <w:rFonts w:hint="eastAsia" w:cs="仿宋_GB2312" w:asciiTheme="minorEastAsia" w:hAnsiTheme="minorEastAsia" w:eastAsiaTheme="minorEastAsia"/>
                <w:b w:val="0"/>
                <w:bCs w:val="0"/>
                <w:caps w:val="0"/>
                <w:color w:val="auto"/>
                <w:sz w:val="24"/>
                <w:szCs w:val="24"/>
                <w:lang w:val="zh-CN"/>
              </w:rPr>
              <w:tab/>
            </w:r>
            <w:r>
              <w:rPr>
                <w:rFonts w:hint="eastAsia" w:cs="仿宋_GB2312" w:asciiTheme="minorEastAsia" w:hAnsiTheme="minorEastAsia" w:eastAsiaTheme="minorEastAsia"/>
                <w:b w:val="0"/>
                <w:bCs w:val="0"/>
                <w:caps w:val="0"/>
                <w:color w:val="auto"/>
                <w:sz w:val="24"/>
                <w:szCs w:val="24"/>
                <w:lang w:val="zh-CN"/>
              </w:rPr>
              <w:t>工作频率：高频(13.56MHz)</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10.</w:t>
            </w:r>
            <w:r>
              <w:rPr>
                <w:rFonts w:hint="eastAsia" w:cs="仿宋_GB2312" w:asciiTheme="minorEastAsia" w:hAnsiTheme="minorEastAsia" w:eastAsiaTheme="minorEastAsia"/>
                <w:b w:val="0"/>
                <w:bCs w:val="0"/>
                <w:caps w:val="0"/>
                <w:color w:val="auto"/>
                <w:sz w:val="24"/>
                <w:szCs w:val="24"/>
                <w:lang w:val="zh-CN"/>
              </w:rPr>
              <w:tab/>
            </w:r>
            <w:r>
              <w:rPr>
                <w:rFonts w:hint="eastAsia" w:cs="仿宋_GB2312" w:asciiTheme="minorEastAsia" w:hAnsiTheme="minorEastAsia" w:eastAsiaTheme="minorEastAsia"/>
                <w:b w:val="0"/>
                <w:bCs w:val="0"/>
                <w:caps w:val="0"/>
                <w:color w:val="auto"/>
                <w:sz w:val="24"/>
                <w:szCs w:val="24"/>
                <w:lang w:val="zh-CN"/>
              </w:rPr>
              <w:t>尺寸：50mm*50mm</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11.</w:t>
            </w:r>
            <w:r>
              <w:rPr>
                <w:rFonts w:hint="eastAsia" w:cs="仿宋_GB2312" w:asciiTheme="minorEastAsia" w:hAnsiTheme="minorEastAsia" w:eastAsiaTheme="minorEastAsia"/>
                <w:b w:val="0"/>
                <w:bCs w:val="0"/>
                <w:caps w:val="0"/>
                <w:color w:val="auto"/>
                <w:sz w:val="24"/>
                <w:szCs w:val="24"/>
                <w:lang w:val="zh-CN"/>
              </w:rPr>
              <w:tab/>
            </w:r>
            <w:r>
              <w:rPr>
                <w:rFonts w:hint="eastAsia" w:cs="仿宋_GB2312" w:asciiTheme="minorEastAsia" w:hAnsiTheme="minorEastAsia" w:eastAsiaTheme="minorEastAsia"/>
                <w:b w:val="0"/>
                <w:bCs w:val="0"/>
                <w:caps w:val="0"/>
                <w:color w:val="auto"/>
                <w:sz w:val="24"/>
                <w:szCs w:val="24"/>
                <w:lang w:val="zh-CN"/>
              </w:rPr>
              <w:t>内存容量：≥1024 bits</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12.</w:t>
            </w:r>
            <w:r>
              <w:rPr>
                <w:rFonts w:hint="eastAsia" w:cs="仿宋_GB2312" w:asciiTheme="minorEastAsia" w:hAnsiTheme="minorEastAsia" w:eastAsiaTheme="minorEastAsia"/>
                <w:b w:val="0"/>
                <w:bCs w:val="0"/>
                <w:caps w:val="0"/>
                <w:color w:val="auto"/>
                <w:sz w:val="24"/>
                <w:szCs w:val="24"/>
                <w:lang w:val="zh-CN"/>
              </w:rPr>
              <w:tab/>
            </w:r>
            <w:r>
              <w:rPr>
                <w:rFonts w:hint="eastAsia" w:cs="仿宋_GB2312" w:asciiTheme="minorEastAsia" w:hAnsiTheme="minorEastAsia" w:eastAsiaTheme="minorEastAsia"/>
                <w:b w:val="0"/>
                <w:bCs w:val="0"/>
                <w:caps w:val="0"/>
                <w:color w:val="auto"/>
                <w:sz w:val="24"/>
                <w:szCs w:val="24"/>
                <w:lang w:val="zh-CN"/>
              </w:rPr>
              <w:t>有效识读距离：符合自助借还、书架、安全门等设备读取要求</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13.</w:t>
            </w:r>
            <w:r>
              <w:rPr>
                <w:rFonts w:hint="eastAsia" w:cs="仿宋_GB2312" w:asciiTheme="minorEastAsia" w:hAnsiTheme="minorEastAsia" w:eastAsiaTheme="minorEastAsia"/>
                <w:b w:val="0"/>
                <w:bCs w:val="0"/>
                <w:caps w:val="0"/>
                <w:color w:val="auto"/>
                <w:sz w:val="24"/>
                <w:szCs w:val="24"/>
                <w:lang w:val="zh-CN"/>
              </w:rPr>
              <w:tab/>
            </w:r>
            <w:r>
              <w:rPr>
                <w:rFonts w:hint="eastAsia" w:cs="仿宋_GB2312" w:asciiTheme="minorEastAsia" w:hAnsiTheme="minorEastAsia" w:eastAsiaTheme="minorEastAsia"/>
                <w:b w:val="0"/>
                <w:bCs w:val="0"/>
                <w:caps w:val="0"/>
                <w:color w:val="auto"/>
                <w:sz w:val="24"/>
                <w:szCs w:val="24"/>
                <w:lang w:val="zh-CN"/>
              </w:rPr>
              <w:t>数据保存时间：≧10年</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14.</w:t>
            </w:r>
            <w:r>
              <w:rPr>
                <w:rFonts w:hint="eastAsia" w:cs="仿宋_GB2312" w:asciiTheme="minorEastAsia" w:hAnsiTheme="minorEastAsia" w:eastAsiaTheme="minorEastAsia"/>
                <w:b w:val="0"/>
                <w:bCs w:val="0"/>
                <w:caps w:val="0"/>
                <w:color w:val="auto"/>
                <w:sz w:val="24"/>
                <w:szCs w:val="24"/>
                <w:lang w:val="zh-CN"/>
              </w:rPr>
              <w:tab/>
            </w:r>
            <w:r>
              <w:rPr>
                <w:rFonts w:hint="eastAsia" w:cs="仿宋_GB2312" w:asciiTheme="minorEastAsia" w:hAnsiTheme="minorEastAsia" w:eastAsiaTheme="minorEastAsia"/>
                <w:b w:val="0"/>
                <w:bCs w:val="0"/>
                <w:caps w:val="0"/>
                <w:color w:val="auto"/>
                <w:sz w:val="24"/>
                <w:szCs w:val="24"/>
                <w:lang w:val="zh-CN"/>
              </w:rPr>
              <w:t>有效使用寿命：≥10 年</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15.</w:t>
            </w:r>
            <w:r>
              <w:rPr>
                <w:rFonts w:hint="eastAsia" w:cs="仿宋_GB2312" w:asciiTheme="minorEastAsia" w:hAnsiTheme="minorEastAsia" w:eastAsiaTheme="minorEastAsia"/>
                <w:b w:val="0"/>
                <w:bCs w:val="0"/>
                <w:caps w:val="0"/>
                <w:color w:val="auto"/>
                <w:sz w:val="24"/>
                <w:szCs w:val="24"/>
                <w:lang w:val="zh-CN"/>
              </w:rPr>
              <w:tab/>
            </w:r>
            <w:r>
              <w:rPr>
                <w:rFonts w:hint="eastAsia" w:cs="仿宋_GB2312" w:asciiTheme="minorEastAsia" w:hAnsiTheme="minorEastAsia" w:eastAsiaTheme="minorEastAsia"/>
                <w:b w:val="0"/>
                <w:bCs w:val="0"/>
                <w:caps w:val="0"/>
                <w:color w:val="auto"/>
                <w:sz w:val="24"/>
                <w:szCs w:val="24"/>
                <w:lang w:val="zh-CN"/>
              </w:rPr>
              <w:t>有效使用次数≥10万次</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16.</w:t>
            </w:r>
            <w:r>
              <w:rPr>
                <w:rFonts w:hint="eastAsia" w:cs="仿宋_GB2312" w:asciiTheme="minorEastAsia" w:hAnsiTheme="minorEastAsia" w:eastAsiaTheme="minorEastAsia"/>
                <w:b w:val="0"/>
                <w:bCs w:val="0"/>
                <w:caps w:val="0"/>
                <w:color w:val="auto"/>
                <w:sz w:val="24"/>
                <w:szCs w:val="24"/>
                <w:lang w:val="zh-CN"/>
              </w:rPr>
              <w:tab/>
            </w:r>
            <w:r>
              <w:rPr>
                <w:rFonts w:hint="eastAsia" w:cs="仿宋_GB2312" w:asciiTheme="minorEastAsia" w:hAnsiTheme="minorEastAsia" w:eastAsiaTheme="minorEastAsia"/>
                <w:b w:val="0"/>
                <w:bCs w:val="0"/>
                <w:caps w:val="0"/>
                <w:color w:val="auto"/>
                <w:sz w:val="24"/>
                <w:szCs w:val="24"/>
                <w:lang w:val="zh-CN"/>
              </w:rPr>
              <w:t>读取距离:6cm－100cm</w:t>
            </w:r>
          </w:p>
        </w:tc>
        <w:tc>
          <w:tcPr>
            <w:tcW w:w="74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张</w:t>
            </w:r>
          </w:p>
        </w:tc>
        <w:tc>
          <w:tcPr>
            <w:tcW w:w="76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500</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工作台</w:t>
            </w:r>
          </w:p>
        </w:tc>
        <w:tc>
          <w:tcPr>
            <w:tcW w:w="5310" w:type="dxa"/>
            <w:tcBorders>
              <w:top w:val="single" w:color="000000" w:sz="4" w:space="0"/>
              <w:left w:val="single" w:color="000000" w:sz="4" w:space="0"/>
              <w:bottom w:val="single" w:color="000000" w:sz="4" w:space="0"/>
              <w:right w:val="single" w:color="000000" w:sz="4" w:space="0"/>
            </w:tcBorders>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冷轧板烤漆，上设两个抽屉下为空， 下空方便图书管理员人员工作，外廓尺寸600mm×550mm×700mm。</w:t>
            </w:r>
          </w:p>
        </w:tc>
        <w:tc>
          <w:tcPr>
            <w:tcW w:w="74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件</w:t>
            </w:r>
          </w:p>
        </w:tc>
        <w:tc>
          <w:tcPr>
            <w:tcW w:w="76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right w:val="single" w:color="000000" w:sz="4" w:space="0"/>
            </w:tcBorders>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饮水机</w:t>
            </w:r>
          </w:p>
        </w:tc>
        <w:tc>
          <w:tcPr>
            <w:tcW w:w="5310" w:type="dxa"/>
            <w:tcBorders>
              <w:top w:val="single" w:color="000000" w:sz="4" w:space="0"/>
              <w:left w:val="single" w:color="000000" w:sz="4" w:space="0"/>
              <w:bottom w:val="single" w:color="000000" w:sz="4" w:space="0"/>
              <w:right w:val="single" w:color="000000" w:sz="4" w:space="0"/>
            </w:tcBorders>
          </w:tcPr>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品牌:车载冷热饮水机，带杯架。</w:t>
            </w:r>
          </w:p>
        </w:tc>
        <w:tc>
          <w:tcPr>
            <w:tcW w:w="74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件</w:t>
            </w:r>
          </w:p>
        </w:tc>
        <w:tc>
          <w:tcPr>
            <w:tcW w:w="76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sz w:val="24"/>
                <w:szCs w:val="24"/>
                <w:lang w:val="zh-CN"/>
              </w:rPr>
            </w:pPr>
          </w:p>
        </w:tc>
        <w:tc>
          <w:tcPr>
            <w:tcW w:w="826" w:type="dxa"/>
            <w:vMerge w:val="continue"/>
            <w:tcBorders>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p>
        </w:tc>
        <w:tc>
          <w:tcPr>
            <w:tcW w:w="1093"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固定工作椅</w:t>
            </w:r>
          </w:p>
        </w:tc>
        <w:tc>
          <w:tcPr>
            <w:tcW w:w="5310" w:type="dxa"/>
            <w:tcBorders>
              <w:top w:val="single" w:color="000000" w:sz="4" w:space="0"/>
              <w:left w:val="single" w:color="000000" w:sz="4" w:space="0"/>
              <w:bottom w:val="single" w:color="000000" w:sz="4" w:space="0"/>
              <w:right w:val="single" w:color="000000" w:sz="4" w:space="0"/>
            </w:tcBorders>
          </w:tcPr>
          <w:p>
            <w:pPr>
              <w:pStyle w:val="9"/>
              <w:rPr>
                <w:rFonts w:cs="仿宋_GB2312" w:asciiTheme="minorEastAsia" w:hAnsiTheme="minorEastAsia" w:eastAsiaTheme="minorEastAsia"/>
                <w:b w:val="0"/>
                <w:bCs w:val="0"/>
                <w:caps w:val="0"/>
                <w:color w:val="auto"/>
                <w:sz w:val="24"/>
                <w:szCs w:val="24"/>
                <w:lang w:val="zh-CN"/>
              </w:rPr>
            </w:pPr>
            <w:r>
              <w:rPr>
                <w:rFonts w:cs="仿宋_GB2312" w:asciiTheme="minorEastAsia" w:hAnsiTheme="minorEastAsia" w:eastAsiaTheme="minorEastAsia"/>
                <w:b w:val="0"/>
                <w:bCs w:val="0"/>
                <w:caps w:val="0"/>
                <w:color w:val="auto"/>
                <w:sz w:val="24"/>
                <w:szCs w:val="24"/>
                <w:lang w:val="zh-CN"/>
              </w:rPr>
              <w:t>材料为汽车专用皮革，颜色为蓝色，</w:t>
            </w:r>
            <w:r>
              <w:rPr>
                <w:rFonts w:hint="eastAsia" w:cs="仿宋_GB2312" w:asciiTheme="minorEastAsia" w:hAnsiTheme="minorEastAsia" w:eastAsiaTheme="minorEastAsia"/>
                <w:b w:val="0"/>
                <w:bCs w:val="0"/>
                <w:caps w:val="0"/>
                <w:color w:val="auto"/>
                <w:sz w:val="24"/>
                <w:szCs w:val="24"/>
                <w:lang w:val="zh-CN"/>
              </w:rPr>
              <w:t>带安全带。</w:t>
            </w:r>
          </w:p>
        </w:tc>
        <w:tc>
          <w:tcPr>
            <w:tcW w:w="74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件</w:t>
            </w:r>
          </w:p>
        </w:tc>
        <w:tc>
          <w:tcPr>
            <w:tcW w:w="76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1</w:t>
            </w:r>
          </w:p>
        </w:tc>
      </w:tr>
      <w:tr>
        <w:tblPrEx>
          <w:tblCellMar>
            <w:top w:w="0" w:type="dxa"/>
            <w:left w:w="0" w:type="dxa"/>
            <w:bottom w:w="0" w:type="dxa"/>
            <w:right w:w="0" w:type="dxa"/>
          </w:tblCellMar>
        </w:tblPrEx>
        <w:trPr>
          <w:trHeight w:val="573" w:hRule="atLeast"/>
        </w:trPr>
        <w:tc>
          <w:tcPr>
            <w:tcW w:w="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_GB2312" w:asciiTheme="minorEastAsia" w:hAnsiTheme="minorEastAsia"/>
                <w:sz w:val="24"/>
                <w:szCs w:val="24"/>
                <w:lang w:val="zh-CN"/>
              </w:rPr>
            </w:pPr>
            <w:r>
              <w:rPr>
                <w:rFonts w:hint="eastAsia" w:cs="仿宋_GB2312" w:asciiTheme="minorEastAsia" w:hAnsiTheme="minorEastAsia"/>
                <w:sz w:val="24"/>
                <w:szCs w:val="24"/>
                <w:lang w:val="zh-CN"/>
              </w:rPr>
              <w:t>4</w:t>
            </w:r>
          </w:p>
        </w:tc>
        <w:tc>
          <w:tcPr>
            <w:tcW w:w="826"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流动图书服务</w:t>
            </w:r>
          </w:p>
        </w:tc>
        <w:tc>
          <w:tcPr>
            <w:tcW w:w="1093"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流动图书服务</w:t>
            </w:r>
          </w:p>
        </w:tc>
        <w:tc>
          <w:tcPr>
            <w:tcW w:w="5310" w:type="dxa"/>
            <w:tcBorders>
              <w:top w:val="single" w:color="000000" w:sz="4" w:space="0"/>
              <w:left w:val="single" w:color="000000" w:sz="4" w:space="0"/>
              <w:bottom w:val="single" w:color="000000" w:sz="4" w:space="0"/>
              <w:right w:val="single" w:color="000000" w:sz="4" w:space="0"/>
            </w:tcBorders>
          </w:tcPr>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1.人员配置:所配备流动服务人员须身体健康，专业素质过硬，有一定工作经验。大客车驾驶员2名，须具有大型载客汽车准驾资格（A1及以上驾照）；总协调人员1名（对于基层流动服务点和阅读推广活动进行提前规划和协调）。</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▲2.服务次数：每年不少于280次。</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3.服务区域——市本级、魏都区、建安区、禹州市、长葛市、鄢陵县、襄城县。</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4.</w:t>
            </w:r>
            <w:r>
              <w:rPr>
                <w:rFonts w:hint="eastAsia" w:cs="仿宋_GB2312" w:asciiTheme="minorEastAsia" w:hAnsiTheme="minorEastAsia"/>
                <w:sz w:val="24"/>
                <w:szCs w:val="24"/>
                <w:lang w:val="zh-CN"/>
              </w:rPr>
              <w:tab/>
            </w:r>
            <w:r>
              <w:rPr>
                <w:rFonts w:hint="eastAsia" w:cs="仿宋_GB2312" w:asciiTheme="minorEastAsia" w:hAnsiTheme="minorEastAsia"/>
                <w:sz w:val="24"/>
                <w:szCs w:val="24"/>
                <w:lang w:val="zh-CN"/>
              </w:rPr>
              <w:t>服务内容：开展图书流动阅读活动，包含活动现场和服务保障、服务策划、服务实施，阅读推广活动。</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▲5.每年不少于12次展览活动</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（展览内容和展板由各区图书馆自行提供）</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不少于12次阅读推广活动。</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6.服务时间及标准：每次流动服务时间不少于8小时，除车辆、设备维护及天气、自然灾害等不可抗力原因，双休日、节假日须正常服务。</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7.车身须有统一的许昌市流动图书服务车字样及标识，车辆外观整洁、干净。</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8.服务人员为经过专业技能培训的专业服务人员，具备一定的图书馆专业知识、专业技能，服务车司机及服务人员工作时须着统一工作装，工作装有明显的标识，同时佩带工作证。</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9.工作人员在回答现场读者问题时，按照采购人提供的相关服务介绍及服务内容，耐心回答读者提问。</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10. 服务人员在执行现场服务业务时，须有详细的服务作业任务单。</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11. 服务人员每次到达服务点时，需对服务点周围的环境进行保洁整理作业，保障服务点环境清洁。</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12.</w:t>
            </w:r>
            <w:r>
              <w:rPr>
                <w:rFonts w:hint="eastAsia" w:cs="仿宋_GB2312" w:asciiTheme="minorEastAsia" w:hAnsiTheme="minorEastAsia"/>
                <w:sz w:val="24"/>
                <w:szCs w:val="24"/>
                <w:lang w:val="zh-CN"/>
              </w:rPr>
              <w:tab/>
            </w:r>
            <w:r>
              <w:rPr>
                <w:rFonts w:hint="eastAsia" w:cs="仿宋_GB2312" w:asciiTheme="minorEastAsia" w:hAnsiTheme="minorEastAsia"/>
                <w:sz w:val="24"/>
                <w:szCs w:val="24"/>
                <w:lang w:val="zh-CN"/>
              </w:rPr>
              <w:t>每次服务定期在各服务点进行集中处理读者问题，比如:“图书逾期罚款”问题、“办理读者证”问题。</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13.</w:t>
            </w:r>
            <w:r>
              <w:rPr>
                <w:rFonts w:hint="eastAsia" w:cs="仿宋_GB2312" w:asciiTheme="minorEastAsia" w:hAnsiTheme="minorEastAsia"/>
                <w:sz w:val="24"/>
                <w:szCs w:val="24"/>
                <w:lang w:val="zh-CN"/>
              </w:rPr>
              <w:tab/>
            </w:r>
            <w:r>
              <w:rPr>
                <w:rFonts w:hint="eastAsia" w:cs="仿宋_GB2312" w:asciiTheme="minorEastAsia" w:hAnsiTheme="minorEastAsia"/>
                <w:sz w:val="24"/>
                <w:szCs w:val="24"/>
                <w:lang w:val="zh-CN"/>
              </w:rPr>
              <w:t>服务人员及与图书馆之间的图书物流资产管理须有科学规范管理，并由专人配合按照采购人的操作规范进行文献配送登记与核销。</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14.</w:t>
            </w:r>
            <w:r>
              <w:rPr>
                <w:rFonts w:hint="eastAsia" w:cs="仿宋_GB2312" w:asciiTheme="minorEastAsia" w:hAnsiTheme="minorEastAsia"/>
                <w:sz w:val="24"/>
                <w:szCs w:val="24"/>
                <w:lang w:val="zh-CN"/>
              </w:rPr>
              <w:tab/>
            </w:r>
            <w:r>
              <w:rPr>
                <w:rFonts w:hint="eastAsia" w:cs="仿宋_GB2312" w:asciiTheme="minorEastAsia" w:hAnsiTheme="minorEastAsia"/>
                <w:sz w:val="24"/>
                <w:szCs w:val="24"/>
                <w:lang w:val="zh-CN"/>
              </w:rPr>
              <w:t>服务车图书在调配书库的出库/入库须采用“专业的图书物流管理软件”进行操作和处理。</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15.</w:t>
            </w:r>
            <w:r>
              <w:rPr>
                <w:rFonts w:hint="eastAsia" w:cs="仿宋_GB2312" w:asciiTheme="minorEastAsia" w:hAnsiTheme="minorEastAsia"/>
                <w:sz w:val="24"/>
                <w:szCs w:val="24"/>
                <w:lang w:val="zh-CN"/>
              </w:rPr>
              <w:tab/>
            </w:r>
            <w:r>
              <w:rPr>
                <w:rFonts w:hint="eastAsia" w:cs="仿宋_GB2312" w:asciiTheme="minorEastAsia" w:hAnsiTheme="minorEastAsia"/>
                <w:sz w:val="24"/>
                <w:szCs w:val="24"/>
                <w:lang w:val="zh-CN"/>
              </w:rPr>
              <w:t>如在作业过程中发现数据与实体有任何误差，请及时与采购方工作人员进行核实、确认和处理。</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16.</w:t>
            </w:r>
            <w:r>
              <w:rPr>
                <w:rFonts w:hint="eastAsia" w:cs="仿宋_GB2312" w:asciiTheme="minorEastAsia" w:hAnsiTheme="minorEastAsia"/>
                <w:sz w:val="24"/>
                <w:szCs w:val="24"/>
                <w:lang w:val="zh-CN"/>
              </w:rPr>
              <w:tab/>
            </w:r>
            <w:r>
              <w:rPr>
                <w:rFonts w:hint="eastAsia" w:cs="仿宋_GB2312" w:asciiTheme="minorEastAsia" w:hAnsiTheme="minorEastAsia"/>
                <w:sz w:val="24"/>
                <w:szCs w:val="24"/>
                <w:lang w:val="zh-CN"/>
              </w:rPr>
              <w:t>服务车出现服务延期、延误等情况时需及时与招标人报告。</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17.</w:t>
            </w:r>
            <w:r>
              <w:rPr>
                <w:rFonts w:hint="eastAsia" w:cs="仿宋_GB2312" w:asciiTheme="minorEastAsia" w:hAnsiTheme="minorEastAsia"/>
                <w:sz w:val="24"/>
                <w:szCs w:val="24"/>
                <w:lang w:val="zh-CN"/>
              </w:rPr>
              <w:tab/>
            </w:r>
            <w:r>
              <w:rPr>
                <w:rFonts w:hint="eastAsia" w:cs="仿宋_GB2312" w:asciiTheme="minorEastAsia" w:hAnsiTheme="minorEastAsia"/>
                <w:sz w:val="24"/>
                <w:szCs w:val="24"/>
                <w:lang w:val="zh-CN"/>
              </w:rPr>
              <w:t>须制订服务配送及管理业务统计数据和报表，每月定期向采购人进行通报和核对。</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18.</w:t>
            </w:r>
            <w:r>
              <w:rPr>
                <w:rFonts w:hint="eastAsia" w:cs="仿宋_GB2312" w:asciiTheme="minorEastAsia" w:hAnsiTheme="minorEastAsia"/>
                <w:sz w:val="24"/>
                <w:szCs w:val="24"/>
                <w:lang w:val="zh-CN"/>
              </w:rPr>
              <w:tab/>
            </w:r>
            <w:r>
              <w:rPr>
                <w:rFonts w:hint="eastAsia" w:cs="仿宋_GB2312" w:asciiTheme="minorEastAsia" w:hAnsiTheme="minorEastAsia"/>
                <w:sz w:val="24"/>
                <w:szCs w:val="24"/>
                <w:lang w:val="zh-CN"/>
              </w:rPr>
              <w:t>服务车流通业务数据实现后台业务系统的数据共享。</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19. 移动图书服务车的电子资源借阅机保证数据实时更新。</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20.</w:t>
            </w:r>
            <w:r>
              <w:rPr>
                <w:rFonts w:hint="eastAsia" w:cs="仿宋_GB2312" w:asciiTheme="minorEastAsia" w:hAnsiTheme="minorEastAsia"/>
                <w:sz w:val="24"/>
                <w:szCs w:val="24"/>
                <w:lang w:val="zh-CN"/>
              </w:rPr>
              <w:tab/>
            </w:r>
            <w:r>
              <w:rPr>
                <w:rFonts w:hint="eastAsia" w:cs="仿宋_GB2312" w:asciiTheme="minorEastAsia" w:hAnsiTheme="minorEastAsia"/>
                <w:sz w:val="24"/>
                <w:szCs w:val="24"/>
                <w:lang w:val="zh-CN"/>
              </w:rPr>
              <w:t>借阅机内epub格式电子书数量不少于5000种，且每月更新不少于150种。全部内容均为正版授权。每册电子书均提供精美高清的图片与资源简介预览。经典读物及畅销内容不少于3000种。</w:t>
            </w:r>
          </w:p>
          <w:p>
            <w:pPr>
              <w:rPr>
                <w:rFonts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lang w:val="zh-CN"/>
              </w:rPr>
              <w:tab/>
            </w:r>
            <w:r>
              <w:rPr>
                <w:rFonts w:hint="eastAsia" w:cs="仿宋_GB2312" w:asciiTheme="minorEastAsia" w:hAnsiTheme="minorEastAsia"/>
                <w:sz w:val="24"/>
                <w:szCs w:val="24"/>
                <w:lang w:val="zh-CN"/>
              </w:rPr>
              <w:t>期刊数量不少于200种，全部内容均为正版授权。其中思政类期刊数量不少于150种，期刊实现每日自动更新。</w:t>
            </w:r>
          </w:p>
          <w:p>
            <w:pPr>
              <w:pStyle w:val="9"/>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22.每年的服务次数和服务内容都是经过专业的策划实施。</w:t>
            </w:r>
          </w:p>
        </w:tc>
        <w:tc>
          <w:tcPr>
            <w:tcW w:w="74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次</w:t>
            </w:r>
          </w:p>
        </w:tc>
        <w:tc>
          <w:tcPr>
            <w:tcW w:w="767"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cs="仿宋_GB2312" w:asciiTheme="minorEastAsia" w:hAnsiTheme="minorEastAsia" w:eastAsiaTheme="minorEastAsia"/>
                <w:b w:val="0"/>
                <w:bCs w:val="0"/>
                <w:caps w:val="0"/>
                <w:color w:val="auto"/>
                <w:sz w:val="24"/>
                <w:szCs w:val="24"/>
                <w:lang w:val="zh-CN"/>
              </w:rPr>
            </w:pPr>
            <w:r>
              <w:rPr>
                <w:rFonts w:hint="eastAsia" w:cs="仿宋_GB2312" w:asciiTheme="minorEastAsia" w:hAnsiTheme="minorEastAsia" w:eastAsiaTheme="minorEastAsia"/>
                <w:b w:val="0"/>
                <w:bCs w:val="0"/>
                <w:caps w:val="0"/>
                <w:color w:val="auto"/>
                <w:sz w:val="24"/>
                <w:szCs w:val="24"/>
                <w:lang w:val="zh-CN"/>
              </w:rPr>
              <w:t>840</w:t>
            </w:r>
          </w:p>
        </w:tc>
      </w:tr>
    </w:tbl>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（三）技术要求</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w:t>
      </w:r>
      <w:r>
        <w:rPr>
          <w:rFonts w:hint="eastAsia" w:cs="宋体" w:asciiTheme="minorEastAsia" w:hAnsiTheme="minorEastAsia"/>
          <w:kern w:val="0"/>
          <w:sz w:val="24"/>
          <w:szCs w:val="24"/>
        </w:rPr>
        <w:t>产品被列入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2、行业标准：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1）</w:t>
      </w:r>
      <w:r>
        <w:rPr>
          <w:rFonts w:hint="eastAsia" w:cs="仿宋_GB2312" w:asciiTheme="minorEastAsia" w:hAnsiTheme="minorEastAsia"/>
          <w:sz w:val="24"/>
          <w:szCs w:val="24"/>
          <w:lang w:val="zh-CN"/>
        </w:rPr>
        <w:t>）流动图书馆服务必备设施及要求序号4馆员工作站（含PC）须符合ISO15693标准及ISO 18000-3标准。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rPr>
        <w:t>流动图书馆服务必备设施及要求序号4RFID图书标签须符合ISO15693标准、ISO 18000-3标准或ISO18000-6C标准等。</w:t>
      </w:r>
    </w:p>
    <w:p>
      <w:pPr>
        <w:widowControl/>
        <w:shd w:val="clear" w:color="auto" w:fill="FFFFFF"/>
        <w:spacing w:line="360" w:lineRule="auto"/>
        <w:ind w:firstLine="481"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en-US" w:eastAsia="zh-CN"/>
        </w:rPr>
        <w:t>3</w:t>
      </w:r>
      <w:r>
        <w:rPr>
          <w:rFonts w:hint="eastAsia" w:cs="宋体" w:asciiTheme="minorEastAsia" w:hAnsiTheme="minorEastAsia"/>
          <w:b/>
          <w:color w:val="000000"/>
          <w:kern w:val="0"/>
          <w:sz w:val="24"/>
          <w:szCs w:val="24"/>
          <w:lang w:val="zh-CN"/>
        </w:rPr>
        <w:t>、采购标的的其他技术、服务等要求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w:t>
      </w:r>
      <w:r>
        <w:rPr>
          <w:rFonts w:hint="eastAsia" w:ascii="宋体" w:cs="宋体"/>
          <w:sz w:val="24"/>
          <w:lang w:val="en-US" w:eastAsia="zh-CN"/>
        </w:rPr>
        <w:t>1</w:t>
      </w:r>
      <w:r>
        <w:rPr>
          <w:rFonts w:hint="eastAsia" w:ascii="宋体" w:cs="宋体"/>
          <w:sz w:val="24"/>
          <w:lang w:val="zh-CN"/>
        </w:rPr>
        <w:t>）投标人须明确投标产品的厂家、品牌、型号、详细参数，</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w:t>
      </w:r>
      <w:r>
        <w:rPr>
          <w:rFonts w:hint="eastAsia" w:ascii="宋体" w:cs="宋体"/>
          <w:sz w:val="24"/>
          <w:lang w:val="en-US" w:eastAsia="zh-CN"/>
        </w:rPr>
        <w:t>2</w:t>
      </w:r>
      <w:r>
        <w:rPr>
          <w:rFonts w:hint="eastAsia" w:ascii="宋体" w:cs="宋体"/>
          <w:sz w:val="24"/>
          <w:lang w:val="zh-CN"/>
        </w:rPr>
        <w:t>）投标人应就本项目（每包或者标段）完整投标，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w:t>
      </w:r>
      <w:r>
        <w:rPr>
          <w:rFonts w:hint="eastAsia" w:ascii="宋体" w:cs="宋体"/>
          <w:sz w:val="24"/>
          <w:lang w:val="en-US" w:eastAsia="zh-CN"/>
        </w:rPr>
        <w:t>3</w:t>
      </w:r>
      <w:r>
        <w:rPr>
          <w:rFonts w:hint="eastAsia" w:ascii="宋体" w:cs="宋体"/>
          <w:sz w:val="24"/>
          <w:lang w:val="zh-CN"/>
        </w:rPr>
        <w:t>）所投产品必须符合国家质量检测标准和本招标文件规定标准的全新正品现货。</w:t>
      </w:r>
    </w:p>
    <w:p>
      <w:pPr>
        <w:spacing w:line="360" w:lineRule="auto"/>
        <w:ind w:firstLine="480" w:firstLineChars="200"/>
        <w:contextualSpacing/>
        <w:rPr>
          <w:rFonts w:cs="宋体" w:asciiTheme="minorEastAsia" w:hAnsiTheme="minorEastAsia"/>
          <w:kern w:val="0"/>
          <w:sz w:val="24"/>
          <w:szCs w:val="24"/>
        </w:rPr>
      </w:pPr>
      <w:r>
        <w:rPr>
          <w:rFonts w:hint="eastAsia" w:ascii="宋体" w:cs="宋体"/>
          <w:sz w:val="24"/>
          <w:lang w:val="zh-CN"/>
        </w:rPr>
        <w:t>（</w:t>
      </w:r>
      <w:r>
        <w:rPr>
          <w:rFonts w:hint="eastAsia" w:ascii="宋体" w:cs="宋体"/>
          <w:sz w:val="24"/>
          <w:lang w:val="en-US" w:eastAsia="zh-CN"/>
        </w:rPr>
        <w:t>4</w:t>
      </w:r>
      <w:r>
        <w:rPr>
          <w:rFonts w:hint="eastAsia" w:ascii="宋体" w:cs="宋体"/>
          <w:sz w:val="24"/>
          <w:lang w:val="zh-CN"/>
        </w:rPr>
        <w:t>）</w:t>
      </w:r>
      <w:r>
        <w:rPr>
          <w:rFonts w:hint="eastAsia" w:cs="宋体" w:asciiTheme="minorEastAsia" w:hAnsiTheme="minorEastAsia"/>
          <w:kern w:val="0"/>
          <w:sz w:val="24"/>
          <w:szCs w:val="24"/>
        </w:rPr>
        <w:t>中标人在服务过程中应负责保障以下安全问题，并提供安全保障承诺函：</w:t>
      </w:r>
    </w:p>
    <w:p>
      <w:pPr>
        <w:numPr>
          <w:ilvl w:val="0"/>
          <w:numId w:val="2"/>
        </w:numPr>
        <w:spacing w:line="360" w:lineRule="auto"/>
        <w:ind w:left="0" w:leftChars="0" w:firstLine="403"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人身安全：主要包括工作人员的人身安全和服务对象的人身安全。</w:t>
      </w:r>
    </w:p>
    <w:p>
      <w:pPr>
        <w:numPr>
          <w:ilvl w:val="0"/>
          <w:numId w:val="2"/>
        </w:numPr>
        <w:spacing w:line="360" w:lineRule="auto"/>
        <w:ind w:left="0" w:leftChars="0" w:firstLine="403"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设备安全：主要包括图书流通车以及车内携带的设备、工具的失窃、损坏等问题。</w:t>
      </w:r>
    </w:p>
    <w:p>
      <w:pPr>
        <w:numPr>
          <w:ilvl w:val="0"/>
          <w:numId w:val="2"/>
        </w:numPr>
        <w:spacing w:line="360" w:lineRule="auto"/>
        <w:ind w:left="0" w:leftChars="0" w:firstLine="403"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文献资料安全：主要包括图书、期刊、报纸、展板等文献资料的失窃和损坏等问题。</w:t>
      </w:r>
    </w:p>
    <w:p>
      <w:pPr>
        <w:numPr>
          <w:ilvl w:val="0"/>
          <w:numId w:val="2"/>
        </w:numPr>
        <w:spacing w:line="360" w:lineRule="auto"/>
        <w:ind w:left="0" w:leftChars="0" w:firstLine="403"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其他安全问题：除上述安全问题以外，在服务过程中出现的其他安全问题。以上安全问题是由中标人自身的原因造成的，则由中标人负责解决，若由不可抗力原因造成的损失，则由招标人和中标人协商解决。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contextualSpacing/>
        <w:textAlignment w:val="auto"/>
        <w:rPr>
          <w:rFonts w:cs="宋体" w:asciiTheme="minorEastAsia" w:hAnsiTheme="minorEastAsia"/>
          <w:kern w:val="0"/>
          <w:sz w:val="24"/>
          <w:szCs w:val="24"/>
        </w:rPr>
      </w:pPr>
      <w:r>
        <w:rPr>
          <w:rFonts w:hint="eastAsia" w:cs="宋体" w:asciiTheme="minorEastAsia" w:hAnsiTheme="minorEastAsia"/>
          <w:kern w:val="0"/>
          <w:sz w:val="24"/>
          <w:szCs w:val="24"/>
        </w:rPr>
        <w:t>服务期内流动服务车、设施设备运行，损耗，保养，维护、资源更新，开展服务活动及人员等各项费用均包含在年度服务费用中。</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contextualSpacing/>
        <w:textAlignment w:val="auto"/>
        <w:rPr>
          <w:rFonts w:cs="宋体" w:asciiTheme="minorEastAsia" w:hAnsiTheme="minorEastAsia"/>
          <w:kern w:val="0"/>
          <w:sz w:val="24"/>
          <w:szCs w:val="24"/>
        </w:rPr>
      </w:pPr>
      <w:r>
        <w:rPr>
          <w:rFonts w:hint="eastAsia" w:cs="宋体" w:asciiTheme="minorEastAsia" w:hAnsiTheme="minorEastAsia"/>
          <w:kern w:val="0"/>
          <w:sz w:val="24"/>
          <w:szCs w:val="24"/>
        </w:rPr>
        <w:t>本项目为购买服务项目，车辆所有权及内部设施归中标人所有。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contextualSpacing/>
        <w:textAlignment w:val="auto"/>
        <w:rPr>
          <w:rFonts w:cs="宋体" w:asciiTheme="minorEastAsia" w:hAnsiTheme="minorEastAsia"/>
          <w:kern w:val="0"/>
          <w:sz w:val="24"/>
          <w:szCs w:val="24"/>
        </w:rPr>
      </w:pPr>
      <w:r>
        <w:rPr>
          <w:rFonts w:hint="eastAsia" w:cs="宋体" w:asciiTheme="minorEastAsia" w:hAnsiTheme="minorEastAsia"/>
          <w:kern w:val="0"/>
          <w:sz w:val="24"/>
          <w:szCs w:val="24"/>
        </w:rPr>
        <w:t>本项目为交钥匙工程，服务期间，因开展服务活动产生的损耗、资源更新、软硬件系统对接、设备维护等费用均由中标人承担。</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contextualSpacing/>
        <w:textAlignment w:val="auto"/>
        <w:rPr>
          <w:rFonts w:cs="宋体" w:asciiTheme="minorEastAsia" w:hAnsiTheme="minorEastAsia"/>
          <w:kern w:val="0"/>
          <w:sz w:val="24"/>
          <w:szCs w:val="24"/>
        </w:rPr>
      </w:pPr>
      <w:r>
        <w:rPr>
          <w:rFonts w:hint="eastAsia" w:cs="宋体" w:asciiTheme="minorEastAsia" w:hAnsiTheme="minorEastAsia"/>
          <w:kern w:val="0"/>
          <w:sz w:val="24"/>
          <w:szCs w:val="24"/>
        </w:rPr>
        <w:t>所提供开展服务的车辆整车及改装后需符合国家相关行业标准、规范，质量检测及安全要求。</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（四）商务要求</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1、交付（实施）时间（期限）：自合同生效之日起</w:t>
      </w:r>
      <w:r>
        <w:rPr>
          <w:rFonts w:hint="eastAsia" w:ascii="仿宋" w:hAnsi="仿宋" w:eastAsia="仿宋" w:cs="仿宋"/>
          <w:kern w:val="0"/>
          <w:sz w:val="28"/>
          <w:szCs w:val="28"/>
          <w:shd w:val="clear" w:color="auto" w:fill="FFFFFF"/>
          <w:lang w:val="en-US" w:eastAsia="zh-CN"/>
        </w:rPr>
        <w:t>60日内交付</w:t>
      </w:r>
      <w:r>
        <w:rPr>
          <w:rFonts w:hint="eastAsia" w:ascii="仿宋" w:hAnsi="仿宋" w:eastAsia="仿宋" w:cs="仿宋"/>
          <w:kern w:val="0"/>
          <w:sz w:val="28"/>
          <w:szCs w:val="28"/>
          <w:shd w:val="clear" w:color="auto" w:fill="FFFFFF"/>
        </w:rPr>
        <w:t>。</w:t>
      </w:r>
    </w:p>
    <w:p>
      <w:pPr>
        <w:widowControl/>
        <w:shd w:val="clear" w:color="auto" w:fill="FFFFFF"/>
        <w:spacing w:line="360" w:lineRule="auto"/>
        <w:ind w:firstLine="600"/>
        <w:contextualSpacing/>
        <w:jc w:val="left"/>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rPr>
        <w:t>2、交付（实施）地点（范围）：</w:t>
      </w:r>
      <w:r>
        <w:rPr>
          <w:rFonts w:hint="eastAsia" w:ascii="仿宋" w:hAnsi="仿宋" w:eastAsia="仿宋" w:cs="仿宋"/>
          <w:kern w:val="0"/>
          <w:sz w:val="28"/>
          <w:szCs w:val="28"/>
          <w:shd w:val="clear" w:color="auto" w:fill="FFFFFF"/>
          <w:lang w:eastAsia="zh-CN"/>
        </w:rPr>
        <w:t>市本级及</w:t>
      </w:r>
      <w:r>
        <w:rPr>
          <w:rFonts w:hint="eastAsia" w:ascii="仿宋" w:hAnsi="仿宋" w:eastAsia="仿宋" w:cs="仿宋"/>
          <w:kern w:val="0"/>
          <w:sz w:val="28"/>
          <w:szCs w:val="28"/>
          <w:shd w:val="clear" w:color="auto" w:fill="FFFFFF"/>
          <w:lang w:val="en-US" w:eastAsia="zh-CN"/>
        </w:rPr>
        <w:t>6个县（市、区）</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3、付款条件：</w:t>
      </w:r>
    </w:p>
    <w:p>
      <w:pPr>
        <w:widowControl/>
        <w:shd w:val="clear" w:color="auto" w:fill="FFFFFF"/>
        <w:spacing w:line="360" w:lineRule="auto"/>
        <w:ind w:firstLine="560" w:firstLineChars="200"/>
        <w:contextualSpacing/>
        <w:jc w:val="left"/>
        <w:rPr>
          <w:rFonts w:ascii="宋体" w:hAnsi="宋体" w:eastAsia="宋体" w:cs="宋体"/>
          <w:kern w:val="0"/>
          <w:sz w:val="28"/>
          <w:szCs w:val="28"/>
        </w:rPr>
      </w:pPr>
      <w:r>
        <w:rPr>
          <w:rFonts w:hint="eastAsia" w:ascii="仿宋" w:hAnsi="仿宋" w:eastAsia="仿宋" w:cs="仿宋"/>
          <w:kern w:val="0"/>
          <w:sz w:val="28"/>
          <w:szCs w:val="28"/>
          <w:shd w:val="clear" w:color="auto" w:fill="FFFFFF"/>
        </w:rPr>
        <w:t>（1）支付方式：银行转账</w:t>
      </w:r>
    </w:p>
    <w:p>
      <w:pPr>
        <w:widowControl/>
        <w:shd w:val="clear" w:color="auto" w:fill="FFFFFF"/>
        <w:spacing w:line="360" w:lineRule="auto"/>
        <w:ind w:firstLine="600"/>
        <w:contextualSpacing/>
        <w:jc w:val="left"/>
        <w:rPr>
          <w:rFonts w:hint="eastAsia" w:ascii="仿宋" w:hAnsi="仿宋" w:eastAsia="仿宋" w:cs="仿宋"/>
          <w:bCs/>
          <w:color w:val="auto"/>
          <w:sz w:val="28"/>
          <w:szCs w:val="28"/>
          <w:lang w:val="zh-CN"/>
        </w:rPr>
      </w:pPr>
      <w:r>
        <w:rPr>
          <w:rFonts w:hint="eastAsia" w:ascii="仿宋" w:hAnsi="仿宋" w:eastAsia="仿宋" w:cs="仿宋"/>
          <w:kern w:val="0"/>
          <w:sz w:val="28"/>
          <w:szCs w:val="28"/>
          <w:shd w:val="clear" w:color="auto" w:fill="FFFFFF"/>
        </w:rPr>
        <w:t>（2）支付进度：</w:t>
      </w:r>
      <w:r>
        <w:rPr>
          <w:rFonts w:hint="eastAsia" w:ascii="仿宋" w:hAnsi="仿宋" w:eastAsia="仿宋" w:cs="仿宋"/>
          <w:color w:val="auto"/>
          <w:kern w:val="0"/>
          <w:sz w:val="28"/>
          <w:szCs w:val="28"/>
          <w:shd w:val="clear" w:color="auto" w:fill="FFFFFF"/>
          <w:lang w:val="zh-CN"/>
        </w:rPr>
        <w:t>1、自合同生效起15个工作日内，采购人向中标人支付合同总金额的30%。2、按照招标文件要求与投标文件承诺，第一年度年末考核合格后15个工作日内采购人向中标人支付合同总金额的25%；第二年度年末考核合格后15个工作日内采购人向中标人支付合同总金额的25%；第三年度年末考核合格后15个工作日内采购人向中标人支付合同总金额的20%。</w:t>
      </w:r>
    </w:p>
    <w:p>
      <w:pPr>
        <w:widowControl/>
        <w:shd w:val="clear" w:color="auto" w:fill="FFFFFF"/>
        <w:spacing w:line="360" w:lineRule="auto"/>
        <w:ind w:firstLine="600"/>
        <w:contextualSpacing/>
        <w:jc w:val="left"/>
        <w:rPr>
          <w:rFonts w:ascii="仿宋" w:hAnsi="仿宋" w:eastAsia="仿宋" w:cs="仿宋"/>
          <w:bCs/>
          <w:sz w:val="28"/>
          <w:szCs w:val="28"/>
          <w:lang w:val="zh-CN"/>
        </w:rPr>
      </w:pPr>
      <w:r>
        <w:rPr>
          <w:rFonts w:hint="eastAsia" w:ascii="仿宋" w:hAnsi="仿宋" w:eastAsia="仿宋" w:cs="仿宋"/>
          <w:bCs/>
          <w:sz w:val="28"/>
          <w:szCs w:val="28"/>
          <w:lang w:val="zh-CN"/>
        </w:rPr>
        <w:t>4、包装和运输</w:t>
      </w:r>
    </w:p>
    <w:p>
      <w:pPr>
        <w:widowControl/>
        <w:shd w:val="clear" w:color="auto" w:fill="FFFFFF"/>
        <w:spacing w:line="360" w:lineRule="auto"/>
        <w:ind w:firstLine="560" w:firstLineChars="2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涉及商品包装和快递包装的项目，投标人提供产品及相关快递服务的具体包装要求和履约验收相关条款应符合财政部办公厅生态环境部办公厅国家邮政局办公室关于印发《商品包装政府采购需求标准（试行）》、《快递包装政府采购需求标准（试行）》的通知（财办库〔</w:t>
      </w:r>
      <w:r>
        <w:rPr>
          <w:rFonts w:ascii="仿宋" w:hAnsi="仿宋" w:eastAsia="仿宋" w:cs="仿宋"/>
          <w:kern w:val="0"/>
          <w:sz w:val="28"/>
          <w:szCs w:val="28"/>
          <w:shd w:val="clear" w:color="auto" w:fill="FFFFFF"/>
        </w:rPr>
        <w:t>2020</w:t>
      </w:r>
      <w:r>
        <w:rPr>
          <w:rFonts w:hint="eastAsia" w:ascii="仿宋" w:hAnsi="仿宋" w:eastAsia="仿宋" w:cs="仿宋"/>
          <w:kern w:val="0"/>
          <w:sz w:val="28"/>
          <w:szCs w:val="28"/>
          <w:shd w:val="clear" w:color="auto" w:fill="FFFFFF"/>
        </w:rPr>
        <w:t>〕</w:t>
      </w:r>
      <w:r>
        <w:rPr>
          <w:rFonts w:ascii="仿宋" w:hAnsi="仿宋" w:eastAsia="仿宋" w:cs="仿宋"/>
          <w:kern w:val="0"/>
          <w:sz w:val="28"/>
          <w:szCs w:val="28"/>
          <w:shd w:val="clear" w:color="auto" w:fill="FFFFFF"/>
        </w:rPr>
        <w:t>123</w:t>
      </w:r>
      <w:r>
        <w:rPr>
          <w:rFonts w:hint="eastAsia" w:ascii="仿宋" w:hAnsi="仿宋" w:eastAsia="仿宋" w:cs="仿宋"/>
          <w:kern w:val="0"/>
          <w:sz w:val="28"/>
          <w:szCs w:val="28"/>
          <w:shd w:val="clear" w:color="auto" w:fill="FFFFFF"/>
        </w:rPr>
        <w:t>号）的规定。</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（五）验收标准</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（必填）</w:t>
      </w:r>
    </w:p>
    <w:p>
      <w:pPr>
        <w:widowControl/>
        <w:shd w:val="clear" w:color="auto" w:fill="FFFFFF"/>
        <w:spacing w:line="360" w:lineRule="auto"/>
        <w:ind w:firstLine="560" w:firstLineChars="200"/>
        <w:contextualSpacing/>
        <w:jc w:val="left"/>
        <w:rPr>
          <w:rFonts w:hint="eastAsia" w:ascii="仿宋" w:hAnsi="仿宋" w:eastAsia="仿宋" w:cs="仿宋"/>
          <w:color w:val="auto"/>
          <w:kern w:val="0"/>
          <w:sz w:val="28"/>
          <w:szCs w:val="28"/>
          <w:shd w:val="clear" w:color="auto" w:fill="FFFFFF"/>
          <w:lang w:val="zh-CN"/>
        </w:rPr>
      </w:pPr>
      <w:r>
        <w:rPr>
          <w:rFonts w:hint="eastAsia" w:ascii="仿宋" w:hAnsi="仿宋" w:eastAsia="仿宋" w:cs="仿宋"/>
          <w:color w:val="auto"/>
          <w:kern w:val="0"/>
          <w:sz w:val="28"/>
          <w:szCs w:val="28"/>
          <w:shd w:val="clear" w:color="auto" w:fill="FFFFFF"/>
        </w:rPr>
        <w:t>以年度为单位，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contextualSpacing/>
        <w:jc w:val="left"/>
        <w:rPr>
          <w:rFonts w:ascii="宋体" w:hAnsi="宋体" w:eastAsia="宋体" w:cs="宋体"/>
          <w:kern w:val="0"/>
          <w:sz w:val="28"/>
          <w:szCs w:val="28"/>
        </w:rPr>
      </w:pPr>
      <w:r>
        <w:rPr>
          <w:rFonts w:hint="eastAsia" w:ascii="黑体" w:hAnsi="宋体" w:eastAsia="黑体" w:cs="黑体"/>
          <w:kern w:val="0"/>
          <w:sz w:val="28"/>
          <w:szCs w:val="28"/>
          <w:shd w:val="clear" w:color="auto" w:fill="FFFFFF"/>
        </w:rPr>
        <w:t>五、评标方法和评标标准</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（一）评标方法</w:t>
      </w:r>
    </w:p>
    <w:p>
      <w:pPr>
        <w:widowControl/>
        <w:shd w:val="clear" w:color="auto" w:fill="FFFFFF"/>
        <w:spacing w:line="360" w:lineRule="auto"/>
        <w:ind w:firstLine="600"/>
        <w:contextualSpacing/>
        <w:jc w:val="left"/>
        <w:rPr>
          <w:rFonts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pPr>
      <w:r>
        <w:rPr>
          <w:rFonts w:hint="eastAsia" w:ascii="仿宋" w:hAnsi="仿宋" w:eastAsia="仿宋" w:cs="仿宋"/>
          <w:kern w:val="0"/>
          <w:sz w:val="28"/>
          <w:szCs w:val="28"/>
          <w:shd w:val="clear" w:color="auto" w:fill="FFFFFF"/>
        </w:rPr>
        <w:sym w:font="Wingdings 2" w:char="00A3"/>
      </w:r>
      <w:r>
        <w:rPr>
          <w:rFonts w:hint="eastAsia" w:ascii="仿宋" w:hAnsi="仿宋" w:eastAsia="仿宋" w:cs="仿宋"/>
          <w:kern w:val="0"/>
          <w:sz w:val="28"/>
          <w:szCs w:val="28"/>
          <w:shd w:val="clear" w:color="auto" w:fill="FFFFFF"/>
        </w:rPr>
        <w:t xml:space="preserve"> 最低评标价法 </w:t>
      </w:r>
      <w:r>
        <w:rPr>
          <w:rFonts w:hint="eastAsia" w:ascii="仿宋" w:hAnsi="仿宋" w:eastAsia="仿宋" w:cs="仿宋"/>
          <w:i/>
          <w:color w:val="558ED5" w:themeColor="text2" w:themeTint="99"/>
          <w:kern w:val="0"/>
          <w:sz w:val="24"/>
          <w:szCs w:val="24"/>
          <w:u w:val="single"/>
          <w:shd w:val="clear" w:color="auto" w:fill="FFFFFF"/>
          <w14:textFill>
            <w14:solidFill>
              <w14:schemeClr w14:val="tx2">
                <w14:lumMod w14:val="60000"/>
                <w14:lumOff w14:val="40000"/>
              </w14:schemeClr>
            </w14:solidFill>
          </w14:textFill>
        </w:rPr>
        <w:t>（竞争性谈判、询价项目）</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sym w:font="Wingdings 2" w:char="0052"/>
      </w:r>
      <w:r>
        <w:rPr>
          <w:rFonts w:hint="eastAsia" w:ascii="仿宋" w:hAnsi="仿宋" w:eastAsia="仿宋" w:cs="仿宋"/>
          <w:kern w:val="0"/>
          <w:sz w:val="28"/>
          <w:szCs w:val="28"/>
          <w:shd w:val="clear" w:color="auto" w:fill="FFFFFF"/>
        </w:rPr>
        <w:t xml:space="preserve"> 综合评分法 </w:t>
      </w:r>
    </w:p>
    <w:p>
      <w:pPr>
        <w:widowControl/>
        <w:shd w:val="clear" w:color="auto" w:fill="FFFFFF"/>
        <w:spacing w:line="360" w:lineRule="auto"/>
        <w:ind w:firstLine="600"/>
        <w:contextualSpacing/>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（二）综合评分法评标标准：</w:t>
      </w:r>
    </w:p>
    <w:p>
      <w:pPr>
        <w:widowControl/>
        <w:shd w:val="clear" w:color="auto" w:fill="FFFFFF"/>
        <w:spacing w:line="360" w:lineRule="auto"/>
        <w:ind w:firstLine="600"/>
        <w:contextualSpacing/>
        <w:jc w:val="left"/>
        <w:rPr>
          <w:rFonts w:ascii="宋体" w:hAnsi="宋体" w:eastAsia="宋体" w:cs="宋体"/>
          <w:kern w:val="0"/>
          <w:sz w:val="28"/>
          <w:szCs w:val="28"/>
        </w:rPr>
      </w:pPr>
      <w:r>
        <w:rPr>
          <w:rFonts w:hint="eastAsia" w:ascii="仿宋" w:hAnsi="仿宋" w:eastAsia="仿宋" w:cs="仿宋"/>
          <w:b/>
          <w:kern w:val="0"/>
          <w:sz w:val="28"/>
          <w:szCs w:val="28"/>
          <w:u w:val="single"/>
          <w:shd w:val="clear" w:color="auto" w:fill="FFFFFF"/>
        </w:rPr>
        <w:t>（综合评分法中涉及评分的技术参数，在采购清单中以“▲”号标明）</w:t>
      </w:r>
    </w:p>
    <w:tbl>
      <w:tblPr>
        <w:tblStyle w:val="11"/>
        <w:tblW w:w="9039" w:type="dxa"/>
        <w:tblInd w:w="0" w:type="dxa"/>
        <w:tblLayout w:type="fixed"/>
        <w:tblCellMar>
          <w:top w:w="0" w:type="dxa"/>
          <w:left w:w="108" w:type="dxa"/>
          <w:bottom w:w="0" w:type="dxa"/>
          <w:right w:w="108" w:type="dxa"/>
        </w:tblCellMar>
      </w:tblPr>
      <w:tblGrid>
        <w:gridCol w:w="1384"/>
        <w:gridCol w:w="1560"/>
        <w:gridCol w:w="6095"/>
      </w:tblGrid>
      <w:tr>
        <w:tblPrEx>
          <w:tblCellMar>
            <w:top w:w="0" w:type="dxa"/>
            <w:left w:w="108" w:type="dxa"/>
            <w:bottom w:w="0" w:type="dxa"/>
            <w:right w:w="108" w:type="dxa"/>
          </w:tblCellMar>
        </w:tblPrEx>
        <w:trPr>
          <w:trHeight w:val="699" w:hRule="atLeast"/>
        </w:trPr>
        <w:tc>
          <w:tcPr>
            <w:tcW w:w="294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rPr>
            </w:pPr>
            <w:r>
              <w:rPr>
                <w:rFonts w:hint="eastAsia" w:ascii="宋体" w:hAnsi="宋体"/>
                <w:color w:val="auto"/>
                <w:szCs w:val="21"/>
              </w:rPr>
              <w:t>分值构成</w:t>
            </w:r>
          </w:p>
          <w:p>
            <w:pPr>
              <w:widowControl/>
              <w:snapToGrid w:val="0"/>
              <w:spacing w:line="360" w:lineRule="auto"/>
              <w:jc w:val="center"/>
              <w:rPr>
                <w:color w:val="auto"/>
              </w:rPr>
            </w:pPr>
            <w:r>
              <w:rPr>
                <w:rFonts w:hint="eastAsia" w:ascii="宋体" w:hAnsi="宋体"/>
                <w:color w:val="auto"/>
                <w:szCs w:val="21"/>
              </w:rPr>
              <w:t>(总分100分)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left"/>
              <w:rPr>
                <w:color w:val="auto"/>
              </w:rPr>
            </w:pPr>
            <w:r>
              <w:rPr>
                <w:rFonts w:hint="eastAsia" w:ascii="宋体" w:hAnsi="宋体"/>
                <w:color w:val="auto"/>
                <w:szCs w:val="21"/>
              </w:rPr>
              <w:t>价格分值：</w:t>
            </w:r>
            <w:r>
              <w:rPr>
                <w:rFonts w:hint="eastAsia" w:ascii="宋体" w:hAnsi="宋体" w:cs="宋体"/>
                <w:color w:val="auto"/>
                <w:kern w:val="0"/>
                <w:szCs w:val="21"/>
                <w:u w:val="single"/>
              </w:rPr>
              <w:t>30</w:t>
            </w:r>
            <w:r>
              <w:rPr>
                <w:rFonts w:hint="eastAsia" w:ascii="宋体" w:hAnsi="宋体"/>
                <w:color w:val="auto"/>
                <w:szCs w:val="21"/>
              </w:rPr>
              <w:t>分</w:t>
            </w:r>
          </w:p>
          <w:p>
            <w:pPr>
              <w:widowControl/>
              <w:spacing w:line="360" w:lineRule="auto"/>
              <w:ind w:firstLine="420" w:firstLineChars="200"/>
              <w:jc w:val="left"/>
              <w:rPr>
                <w:color w:val="auto"/>
              </w:rPr>
            </w:pPr>
            <w:r>
              <w:rPr>
                <w:rFonts w:hint="eastAsia" w:ascii="宋体" w:hAnsi="宋体"/>
                <w:color w:val="auto"/>
                <w:szCs w:val="21"/>
              </w:rPr>
              <w:t>商务部分：</w:t>
            </w:r>
            <w:r>
              <w:rPr>
                <w:rFonts w:hint="eastAsia" w:ascii="宋体" w:hAnsi="宋体" w:cs="宋体"/>
                <w:color w:val="auto"/>
                <w:kern w:val="0"/>
                <w:szCs w:val="21"/>
                <w:u w:val="single"/>
              </w:rPr>
              <w:t>14</w:t>
            </w:r>
            <w:r>
              <w:rPr>
                <w:rFonts w:hint="eastAsia" w:ascii="宋体" w:hAnsi="宋体"/>
                <w:color w:val="auto"/>
                <w:szCs w:val="21"/>
              </w:rPr>
              <w:t>分</w:t>
            </w:r>
          </w:p>
          <w:p>
            <w:pPr>
              <w:widowControl/>
              <w:spacing w:line="360" w:lineRule="auto"/>
              <w:ind w:firstLine="420" w:firstLineChars="200"/>
              <w:jc w:val="left"/>
              <w:rPr>
                <w:color w:val="auto"/>
              </w:rPr>
            </w:pPr>
            <w:r>
              <w:rPr>
                <w:rFonts w:hint="eastAsia" w:ascii="宋体" w:hAnsi="宋体"/>
                <w:color w:val="auto"/>
                <w:szCs w:val="21"/>
              </w:rPr>
              <w:t>技术部分：</w:t>
            </w:r>
            <w:r>
              <w:rPr>
                <w:rFonts w:hint="eastAsia" w:ascii="宋体" w:hAnsi="宋体" w:cs="宋体"/>
                <w:color w:val="auto"/>
                <w:kern w:val="0"/>
                <w:szCs w:val="21"/>
                <w:u w:val="single"/>
              </w:rPr>
              <w:t>36</w:t>
            </w:r>
            <w:r>
              <w:rPr>
                <w:rFonts w:hint="eastAsia" w:ascii="宋体" w:hAnsi="宋体"/>
                <w:color w:val="auto"/>
                <w:szCs w:val="21"/>
              </w:rPr>
              <w:t>分</w:t>
            </w:r>
          </w:p>
          <w:p>
            <w:pPr>
              <w:widowControl/>
              <w:spacing w:line="360" w:lineRule="auto"/>
              <w:ind w:firstLine="420" w:firstLineChars="200"/>
              <w:jc w:val="left"/>
              <w:rPr>
                <w:color w:val="auto"/>
              </w:rPr>
            </w:pPr>
            <w:r>
              <w:rPr>
                <w:rFonts w:hint="eastAsia" w:ascii="宋体" w:hAnsi="宋体"/>
                <w:color w:val="auto"/>
                <w:szCs w:val="21"/>
              </w:rPr>
              <w:t>服务部分：</w:t>
            </w:r>
            <w:r>
              <w:rPr>
                <w:rFonts w:hint="eastAsia" w:ascii="宋体" w:hAnsi="宋体" w:cs="宋体"/>
                <w:color w:val="auto"/>
                <w:kern w:val="0"/>
                <w:szCs w:val="21"/>
                <w:u w:val="single"/>
              </w:rPr>
              <w:t>20</w:t>
            </w:r>
            <w:r>
              <w:rPr>
                <w:rFonts w:hint="eastAsia" w:ascii="宋体" w:hAnsi="宋体"/>
                <w:color w:val="auto"/>
                <w:szCs w:val="21"/>
              </w:rPr>
              <w:t>分</w:t>
            </w:r>
          </w:p>
        </w:tc>
      </w:tr>
      <w:tr>
        <w:tblPrEx>
          <w:tblCellMar>
            <w:top w:w="0" w:type="dxa"/>
            <w:left w:w="108" w:type="dxa"/>
            <w:bottom w:w="0" w:type="dxa"/>
            <w:right w:w="108" w:type="dxa"/>
          </w:tblCellMar>
        </w:tblPrEx>
        <w:trPr>
          <w:trHeight w:val="565"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color w:val="auto"/>
              </w:rPr>
            </w:pPr>
            <w:r>
              <w:rPr>
                <w:rFonts w:hint="eastAsia" w:ascii="宋体" w:hAnsi="宋体" w:cs="宋体"/>
                <w:b/>
                <w:color w:val="auto"/>
                <w:kern w:val="0"/>
                <w:szCs w:val="21"/>
              </w:rPr>
              <w:t>评审项</w:t>
            </w:r>
          </w:p>
        </w:tc>
        <w:tc>
          <w:tcPr>
            <w:tcW w:w="156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color w:val="auto"/>
              </w:rPr>
            </w:pPr>
            <w:r>
              <w:rPr>
                <w:rFonts w:hint="eastAsia" w:ascii="宋体" w:hAnsi="宋体" w:cs="宋体"/>
                <w:b/>
                <w:color w:val="auto"/>
                <w:kern w:val="0"/>
                <w:szCs w:val="21"/>
              </w:rPr>
              <w:t>评分因素</w:t>
            </w:r>
          </w:p>
        </w:tc>
        <w:tc>
          <w:tcPr>
            <w:tcW w:w="609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color w:val="auto"/>
              </w:rPr>
            </w:pPr>
            <w:r>
              <w:rPr>
                <w:rFonts w:hint="eastAsia" w:ascii="宋体" w:hAnsi="宋体" w:cs="宋体"/>
                <w:b/>
                <w:color w:val="auto"/>
                <w:kern w:val="0"/>
                <w:szCs w:val="21"/>
              </w:rPr>
              <w:t>评标标准</w:t>
            </w:r>
          </w:p>
        </w:tc>
      </w:tr>
      <w:tr>
        <w:tblPrEx>
          <w:tblCellMar>
            <w:top w:w="0" w:type="dxa"/>
            <w:left w:w="108" w:type="dxa"/>
            <w:bottom w:w="0" w:type="dxa"/>
            <w:right w:w="108" w:type="dxa"/>
          </w:tblCellMar>
        </w:tblPrEx>
        <w:trPr>
          <w:trHeight w:val="1704"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Chars="-2" w:hanging="4" w:hangingChars="2"/>
              <w:jc w:val="center"/>
              <w:rPr>
                <w:color w:val="auto"/>
              </w:rPr>
            </w:pPr>
            <w:r>
              <w:rPr>
                <w:rFonts w:hint="eastAsia" w:ascii="宋体" w:hAnsi="宋体" w:cs="宋体"/>
                <w:color w:val="auto"/>
                <w:szCs w:val="21"/>
              </w:rPr>
              <w:t>报价部分</w:t>
            </w:r>
          </w:p>
          <w:p>
            <w:pPr>
              <w:widowControl/>
              <w:snapToGrid w:val="0"/>
              <w:spacing w:line="360" w:lineRule="auto"/>
              <w:ind w:leftChars="-2" w:hanging="4" w:hangingChars="2"/>
              <w:jc w:val="center"/>
              <w:rPr>
                <w:color w:val="auto"/>
              </w:rPr>
            </w:pPr>
            <w:r>
              <w:rPr>
                <w:rFonts w:hint="eastAsia" w:ascii="宋体" w:hAnsi="宋体" w:cs="宋体"/>
                <w:color w:val="auto"/>
                <w:szCs w:val="21"/>
              </w:rPr>
              <w:t>（</w:t>
            </w:r>
            <w:r>
              <w:rPr>
                <w:rFonts w:hint="eastAsia" w:ascii="宋体" w:hAnsi="宋体" w:cs="宋体"/>
                <w:color w:val="auto"/>
                <w:kern w:val="0"/>
                <w:szCs w:val="21"/>
                <w:u w:val="single"/>
              </w:rPr>
              <w:t>30</w:t>
            </w:r>
            <w:r>
              <w:rPr>
                <w:rFonts w:hint="eastAsia" w:ascii="宋体" w:hAnsi="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color w:val="auto"/>
              </w:rPr>
            </w:pPr>
            <w:r>
              <w:rPr>
                <w:rFonts w:hint="eastAsia" w:ascii="宋体" w:hAnsi="宋体" w:cs="宋体"/>
                <w:color w:val="auto"/>
                <w:szCs w:val="21"/>
              </w:rPr>
              <w:t>报价（</w:t>
            </w:r>
            <w:r>
              <w:rPr>
                <w:rFonts w:hint="eastAsia" w:ascii="宋体" w:hAnsi="宋体" w:cs="宋体"/>
                <w:color w:val="auto"/>
                <w:kern w:val="0"/>
                <w:szCs w:val="21"/>
                <w:u w:val="single"/>
              </w:rPr>
              <w:t>30</w:t>
            </w:r>
            <w:r>
              <w:rPr>
                <w:rFonts w:hint="eastAsia" w:ascii="宋体" w:hAnsi="宋体" w:cs="宋体"/>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color w:val="auto"/>
              </w:rPr>
            </w:pPr>
            <w:r>
              <w:rPr>
                <w:rFonts w:hint="eastAsia" w:ascii="宋体" w:hAnsi="宋体"/>
                <w:color w:val="auto"/>
                <w:szCs w:val="21"/>
              </w:rPr>
              <w:t>评标基准价：满足招标文件要求的有效投标报价中，最低的投标报价为评标基准价。</w:t>
            </w:r>
          </w:p>
          <w:p>
            <w:pPr>
              <w:widowControl/>
              <w:spacing w:line="360" w:lineRule="auto"/>
              <w:jc w:val="left"/>
              <w:rPr>
                <w:color w:val="auto"/>
              </w:rPr>
            </w:pPr>
            <w:r>
              <w:rPr>
                <w:rFonts w:hint="eastAsia" w:ascii="宋体" w:hAnsi="宋体"/>
                <w:color w:val="auto"/>
                <w:szCs w:val="21"/>
              </w:rPr>
              <w:t>投标报价得分=（评标基准价/投标报价）×</w:t>
            </w:r>
            <w:r>
              <w:rPr>
                <w:rFonts w:hint="eastAsia" w:ascii="宋体" w:hAnsi="宋体" w:cs="宋体"/>
                <w:color w:val="auto"/>
                <w:kern w:val="0"/>
                <w:szCs w:val="21"/>
                <w:u w:val="single"/>
              </w:rPr>
              <w:t>30</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right w:val="single" w:color="auto" w:sz="4" w:space="0"/>
            </w:tcBorders>
            <w:vAlign w:val="center"/>
          </w:tcPr>
          <w:p>
            <w:pPr>
              <w:widowControl/>
              <w:snapToGrid w:val="0"/>
              <w:spacing w:line="360" w:lineRule="auto"/>
              <w:ind w:leftChars="-2" w:hanging="4" w:hangingChars="2"/>
              <w:jc w:val="center"/>
              <w:rPr>
                <w:color w:val="auto"/>
              </w:rPr>
            </w:pPr>
            <w:r>
              <w:rPr>
                <w:rFonts w:hint="eastAsia" w:ascii="宋体" w:hAnsi="宋体" w:cs="宋体"/>
                <w:color w:val="auto"/>
                <w:szCs w:val="21"/>
              </w:rPr>
              <w:t>商务部分</w:t>
            </w:r>
          </w:p>
          <w:p>
            <w:pPr>
              <w:widowControl/>
              <w:snapToGrid w:val="0"/>
              <w:spacing w:line="360" w:lineRule="auto"/>
              <w:ind w:leftChars="-2" w:hanging="4" w:hangingChars="2"/>
              <w:jc w:val="center"/>
              <w:rPr>
                <w:color w:val="auto"/>
              </w:rPr>
            </w:pPr>
            <w:r>
              <w:rPr>
                <w:rFonts w:hint="eastAsia" w:ascii="宋体" w:hAnsi="宋体" w:cs="宋体"/>
                <w:color w:val="auto"/>
                <w:szCs w:val="21"/>
              </w:rPr>
              <w:t>（</w:t>
            </w:r>
            <w:r>
              <w:rPr>
                <w:rFonts w:hint="eastAsia" w:ascii="宋体" w:hAnsi="宋体" w:cs="宋体"/>
                <w:color w:val="auto"/>
                <w:kern w:val="0"/>
                <w:szCs w:val="21"/>
                <w:u w:val="single"/>
              </w:rPr>
              <w:t>14</w:t>
            </w:r>
            <w:r>
              <w:rPr>
                <w:rFonts w:hint="eastAsia" w:ascii="宋体" w:hAnsi="宋体" w:cs="宋体"/>
                <w:color w:val="auto"/>
                <w:szCs w:val="21"/>
              </w:rPr>
              <w:t>分）</w:t>
            </w:r>
          </w:p>
        </w:tc>
        <w:tc>
          <w:tcPr>
            <w:tcW w:w="156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color w:val="auto"/>
              </w:rPr>
            </w:pPr>
            <w:r>
              <w:rPr>
                <w:rFonts w:hint="eastAsia" w:ascii="宋体" w:hAnsi="宋体"/>
                <w:color w:val="auto"/>
                <w:szCs w:val="21"/>
              </w:rPr>
              <w:t>业绩（</w:t>
            </w:r>
            <w:r>
              <w:rPr>
                <w:rFonts w:hint="eastAsia" w:ascii="宋体" w:hAnsi="宋体" w:cs="宋体"/>
                <w:color w:val="auto"/>
                <w:kern w:val="0"/>
                <w:szCs w:val="21"/>
                <w:u w:val="single"/>
                <w:lang w:val="en-US" w:eastAsia="zh-CN"/>
              </w:rPr>
              <w:t>9</w:t>
            </w:r>
            <w:r>
              <w:rPr>
                <w:rFonts w:hint="eastAsia" w:ascii="宋体" w:hAnsi="宋体"/>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color w:val="auto"/>
              </w:rPr>
            </w:pPr>
            <w:r>
              <w:rPr>
                <w:rFonts w:hint="eastAsia" w:ascii="宋体" w:hAnsi="宋体" w:cs="仿宋_GB2312"/>
                <w:color w:val="auto"/>
                <w:szCs w:val="21"/>
              </w:rPr>
              <w:t>投标人提供20</w:t>
            </w:r>
            <w:r>
              <w:rPr>
                <w:rFonts w:hint="eastAsia" w:ascii="宋体" w:hAnsi="宋体" w:cs="仿宋_GB2312"/>
                <w:color w:val="auto"/>
                <w:szCs w:val="21"/>
                <w:lang w:val="en-US" w:eastAsia="zh-CN"/>
              </w:rPr>
              <w:t>20</w:t>
            </w:r>
            <w:r>
              <w:rPr>
                <w:rFonts w:hint="eastAsia" w:ascii="宋体" w:hAnsi="宋体" w:cs="仿宋_GB2312"/>
                <w:color w:val="auto"/>
                <w:szCs w:val="21"/>
              </w:rPr>
              <w:t>年1月1日以来类似项目合同，每提供1个得3分，最高得</w:t>
            </w:r>
            <w:r>
              <w:rPr>
                <w:rFonts w:hint="eastAsia" w:ascii="宋体" w:hAnsi="宋体" w:cs="仿宋_GB2312"/>
                <w:color w:val="auto"/>
                <w:szCs w:val="21"/>
                <w:lang w:val="en-US" w:eastAsia="zh-CN"/>
              </w:rPr>
              <w:t>9</w:t>
            </w:r>
            <w:r>
              <w:rPr>
                <w:rFonts w:hint="eastAsia" w:ascii="宋体" w:hAnsi="宋体" w:cs="仿宋_GB2312"/>
                <w:color w:val="auto"/>
                <w:szCs w:val="21"/>
              </w:rPr>
              <w:t>分。（需提供中标通知书和采购合同）</w:t>
            </w:r>
          </w:p>
        </w:tc>
      </w:tr>
      <w:tr>
        <w:tblPrEx>
          <w:tblCellMar>
            <w:top w:w="0" w:type="dxa"/>
            <w:left w:w="108" w:type="dxa"/>
            <w:bottom w:w="0" w:type="dxa"/>
            <w:right w:w="108" w:type="dxa"/>
          </w:tblCellMar>
        </w:tblPrEx>
        <w:trPr>
          <w:trHeight w:val="907" w:hRule="atLeast"/>
        </w:trPr>
        <w:tc>
          <w:tcPr>
            <w:tcW w:w="1384" w:type="dxa"/>
            <w:vMerge w:val="continue"/>
            <w:tcBorders>
              <w:left w:val="single" w:color="auto" w:sz="4" w:space="0"/>
              <w:right w:val="single" w:color="auto" w:sz="4" w:space="0"/>
            </w:tcBorders>
            <w:vAlign w:val="center"/>
          </w:tcPr>
          <w:p>
            <w:pPr>
              <w:rPr>
                <w:rFonts w:ascii="微软雅黑" w:hAnsi="微软雅黑" w:eastAsia="微软雅黑" w:cs="微软雅黑"/>
                <w:color w:val="auto"/>
                <w:sz w:val="24"/>
              </w:rPr>
            </w:pPr>
          </w:p>
        </w:tc>
        <w:tc>
          <w:tcPr>
            <w:tcW w:w="156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color w:val="auto"/>
              </w:rPr>
            </w:pPr>
            <w:r>
              <w:rPr>
                <w:rFonts w:hint="eastAsia" w:ascii="宋体" w:hAnsi="宋体"/>
                <w:color w:val="auto"/>
                <w:szCs w:val="21"/>
              </w:rPr>
              <w:t>管理体系</w:t>
            </w:r>
          </w:p>
          <w:p>
            <w:pPr>
              <w:widowControl/>
              <w:snapToGrid w:val="0"/>
              <w:spacing w:line="360" w:lineRule="auto"/>
              <w:jc w:val="center"/>
              <w:rPr>
                <w:color w:val="auto"/>
              </w:rPr>
            </w:pPr>
            <w:r>
              <w:rPr>
                <w:rFonts w:hint="eastAsia" w:ascii="宋体" w:hAnsi="宋体"/>
                <w:color w:val="auto"/>
                <w:szCs w:val="21"/>
              </w:rPr>
              <w:t>（</w:t>
            </w:r>
            <w:r>
              <w:rPr>
                <w:rFonts w:hint="eastAsia" w:ascii="宋体" w:hAnsi="宋体" w:cs="宋体"/>
                <w:color w:val="auto"/>
                <w:kern w:val="0"/>
                <w:szCs w:val="21"/>
                <w:u w:val="single"/>
                <w:lang w:val="en-US" w:eastAsia="zh-CN"/>
              </w:rPr>
              <w:t>3</w:t>
            </w:r>
            <w:r>
              <w:rPr>
                <w:rFonts w:hint="eastAsia" w:ascii="宋体" w:hAnsi="宋体"/>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olor w:val="auto"/>
                <w:szCs w:val="21"/>
              </w:rPr>
            </w:pPr>
            <w:r>
              <w:rPr>
                <w:rFonts w:hint="eastAsia" w:ascii="宋体" w:hAnsi="宋体"/>
                <w:color w:val="auto"/>
                <w:szCs w:val="21"/>
              </w:rPr>
              <w:t>1.投标人提供有效的（ISO9001）质量管理体系认证证书得</w:t>
            </w:r>
            <w:r>
              <w:rPr>
                <w:rFonts w:hint="eastAsia" w:ascii="宋体" w:hAnsi="宋体"/>
                <w:color w:val="auto"/>
                <w:szCs w:val="21"/>
                <w:lang w:val="en-US" w:eastAsia="zh-CN"/>
              </w:rPr>
              <w:t>1</w:t>
            </w:r>
            <w:r>
              <w:rPr>
                <w:rFonts w:hint="eastAsia" w:ascii="宋体" w:hAnsi="宋体"/>
                <w:color w:val="auto"/>
                <w:szCs w:val="21"/>
              </w:rPr>
              <w:t>分，没有不得分。</w:t>
            </w:r>
          </w:p>
          <w:p>
            <w:pPr>
              <w:widowControl/>
              <w:spacing w:line="360" w:lineRule="auto"/>
              <w:jc w:val="left"/>
              <w:rPr>
                <w:rFonts w:ascii="宋体" w:hAnsi="宋体"/>
                <w:color w:val="auto"/>
                <w:szCs w:val="21"/>
              </w:rPr>
            </w:pPr>
            <w:r>
              <w:rPr>
                <w:rFonts w:hint="eastAsia" w:ascii="宋体" w:hAnsi="宋体"/>
                <w:color w:val="auto"/>
                <w:szCs w:val="21"/>
              </w:rPr>
              <w:t>2.投标人提供有效的（OHSAS18001）职业健康安全管理体系认证证书得</w:t>
            </w:r>
            <w:r>
              <w:rPr>
                <w:rFonts w:hint="eastAsia" w:ascii="宋体" w:hAnsi="宋体"/>
                <w:color w:val="auto"/>
                <w:szCs w:val="21"/>
                <w:lang w:val="en-US" w:eastAsia="zh-CN"/>
              </w:rPr>
              <w:t>1</w:t>
            </w:r>
            <w:r>
              <w:rPr>
                <w:rFonts w:hint="eastAsia" w:ascii="宋体" w:hAnsi="宋体"/>
                <w:color w:val="auto"/>
                <w:szCs w:val="21"/>
              </w:rPr>
              <w:t>分，没有不得分。</w:t>
            </w:r>
          </w:p>
          <w:p>
            <w:pPr>
              <w:widowControl/>
              <w:spacing w:line="360" w:lineRule="auto"/>
              <w:jc w:val="left"/>
              <w:rPr>
                <w:color w:val="auto"/>
              </w:rPr>
            </w:pPr>
            <w:r>
              <w:rPr>
                <w:rFonts w:hint="eastAsia" w:ascii="宋体" w:hAnsi="宋体"/>
                <w:color w:val="auto"/>
                <w:szCs w:val="21"/>
              </w:rPr>
              <w:t>3.投标人提供有效的（ISO14001）环境管理体系认证证书得</w:t>
            </w:r>
            <w:r>
              <w:rPr>
                <w:rFonts w:hint="eastAsia" w:ascii="宋体" w:hAnsi="宋体"/>
                <w:color w:val="auto"/>
                <w:szCs w:val="21"/>
                <w:lang w:val="en-US" w:eastAsia="zh-CN"/>
              </w:rPr>
              <w:t>1</w:t>
            </w:r>
            <w:r>
              <w:rPr>
                <w:rFonts w:hint="eastAsia" w:ascii="宋体" w:hAnsi="宋体"/>
                <w:color w:val="auto"/>
                <w:szCs w:val="21"/>
              </w:rPr>
              <w:t>分，没有不得分。</w:t>
            </w:r>
          </w:p>
        </w:tc>
      </w:tr>
      <w:tr>
        <w:tblPrEx>
          <w:tblCellMar>
            <w:top w:w="0" w:type="dxa"/>
            <w:left w:w="108" w:type="dxa"/>
            <w:bottom w:w="0" w:type="dxa"/>
            <w:right w:w="108" w:type="dxa"/>
          </w:tblCellMar>
        </w:tblPrEx>
        <w:trPr>
          <w:trHeight w:val="558" w:hRule="atLeast"/>
        </w:trPr>
        <w:tc>
          <w:tcPr>
            <w:tcW w:w="1384" w:type="dxa"/>
            <w:vMerge w:val="continue"/>
            <w:tcBorders>
              <w:left w:val="single" w:color="auto" w:sz="4" w:space="0"/>
              <w:bottom w:val="single" w:color="auto" w:sz="4" w:space="0"/>
              <w:right w:val="single" w:color="auto" w:sz="4" w:space="0"/>
            </w:tcBorders>
            <w:vAlign w:val="center"/>
          </w:tcPr>
          <w:p>
            <w:pPr>
              <w:rPr>
                <w:rFonts w:ascii="微软雅黑" w:hAnsi="微软雅黑" w:eastAsia="微软雅黑" w:cs="微软雅黑"/>
                <w:color w:val="auto"/>
                <w:sz w:val="24"/>
              </w:rPr>
            </w:pPr>
          </w:p>
        </w:tc>
        <w:tc>
          <w:tcPr>
            <w:tcW w:w="15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Theme="minorEastAsia" w:hAnsiTheme="minorEastAsia"/>
                <w:color w:val="auto"/>
              </w:rPr>
            </w:pPr>
            <w:r>
              <w:rPr>
                <w:rFonts w:hint="eastAsia" w:asciiTheme="minorEastAsia" w:hAnsiTheme="minorEastAsia"/>
                <w:color w:val="auto"/>
                <w:szCs w:val="21"/>
              </w:rPr>
              <w:t>节约能源、保护环境政策加分（</w:t>
            </w:r>
            <w:r>
              <w:rPr>
                <w:rFonts w:hint="eastAsia" w:cs="宋体" w:asciiTheme="minorEastAsia" w:hAnsiTheme="minorEastAsia"/>
                <w:color w:val="auto"/>
                <w:kern w:val="0"/>
                <w:szCs w:val="21"/>
                <w:u w:val="single"/>
              </w:rPr>
              <w:t xml:space="preserve">2 </w:t>
            </w:r>
            <w:r>
              <w:rPr>
                <w:rFonts w:hint="eastAsia" w:asciiTheme="minorEastAsia" w:hAnsiTheme="minorEastAsia"/>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heme="minorEastAsia" w:hAnsiTheme="minorEastAsia"/>
                <w:color w:val="auto"/>
              </w:rPr>
            </w:pPr>
            <w:r>
              <w:rPr>
                <w:rFonts w:hint="eastAsia" w:cs="宋体" w:asciiTheme="minorEastAsia" w:hAnsiTheme="minorEastAsia"/>
                <w:color w:val="auto"/>
                <w:kern w:val="0"/>
                <w:szCs w:val="21"/>
              </w:rPr>
              <w:t>1、除政府强制采购的节能产品外，投标人所投产品属于“节能产品政府采购品目清单”优先采购产品，</w:t>
            </w:r>
            <w:r>
              <w:rPr>
                <w:rFonts w:hint="eastAsia" w:cs="仿宋_GB2312" w:asciiTheme="minorEastAsia" w:hAnsiTheme="minorEastAsia"/>
                <w:color w:val="auto"/>
                <w:szCs w:val="21"/>
              </w:rPr>
              <w:t>投标</w:t>
            </w:r>
            <w:r>
              <w:rPr>
                <w:rFonts w:hint="eastAsia" w:asciiTheme="minorEastAsia" w:hAnsiTheme="minorEastAsia"/>
                <w:color w:val="auto"/>
                <w:szCs w:val="21"/>
              </w:rPr>
              <w:t>文件中提供具有国家确定的认证机构出具的、处于有效期之内的节能产品认证证书。每项0.5分，满分1分。</w:t>
            </w:r>
          </w:p>
          <w:p>
            <w:pPr>
              <w:widowControl/>
              <w:spacing w:line="360" w:lineRule="auto"/>
              <w:jc w:val="left"/>
              <w:rPr>
                <w:rFonts w:asciiTheme="minorEastAsia" w:hAnsiTheme="minorEastAsia"/>
                <w:color w:val="auto"/>
              </w:rPr>
            </w:pPr>
            <w:r>
              <w:rPr>
                <w:rFonts w:hint="eastAsia" w:cs="宋体" w:asciiTheme="minorEastAsia" w:hAnsiTheme="minorEastAsia"/>
                <w:color w:val="auto"/>
                <w:kern w:val="0"/>
                <w:szCs w:val="21"/>
              </w:rPr>
              <w:t>2、投标人所投产品属于“环境标志产品政府采购品目清单”内产品，</w:t>
            </w:r>
            <w:r>
              <w:rPr>
                <w:rFonts w:hint="eastAsia" w:cs="仿宋_GB2312" w:asciiTheme="minorEastAsia" w:hAnsiTheme="minorEastAsia"/>
                <w:color w:val="auto"/>
                <w:szCs w:val="21"/>
              </w:rPr>
              <w:t>投标文件中提供</w:t>
            </w:r>
            <w:r>
              <w:rPr>
                <w:rFonts w:hint="eastAsia" w:asciiTheme="minorEastAsia" w:hAnsiTheme="minorEastAsia"/>
                <w:color w:val="auto"/>
                <w:szCs w:val="21"/>
              </w:rPr>
              <w:t>具有国家确定的认证机构出具的、处于有效期之内的</w:t>
            </w:r>
            <w:r>
              <w:rPr>
                <w:rFonts w:hint="eastAsia" w:cs="宋体" w:asciiTheme="minorEastAsia" w:hAnsiTheme="minorEastAsia"/>
                <w:color w:val="auto"/>
                <w:kern w:val="0"/>
                <w:szCs w:val="21"/>
              </w:rPr>
              <w:t>环境标志</w:t>
            </w:r>
            <w:r>
              <w:rPr>
                <w:rFonts w:hint="eastAsia" w:asciiTheme="minorEastAsia" w:hAnsiTheme="minorEastAsia"/>
                <w:color w:val="auto"/>
                <w:szCs w:val="21"/>
              </w:rPr>
              <w:t>产品认证证书</w:t>
            </w:r>
            <w:r>
              <w:rPr>
                <w:rFonts w:hint="eastAsia" w:cs="仿宋_GB2312" w:asciiTheme="minorEastAsia" w:hAnsiTheme="minorEastAsia"/>
                <w:color w:val="auto"/>
                <w:szCs w:val="21"/>
              </w:rPr>
              <w:t>。</w:t>
            </w:r>
            <w:r>
              <w:rPr>
                <w:rFonts w:hint="eastAsia" w:cs="宋体" w:asciiTheme="minorEastAsia" w:hAnsiTheme="minorEastAsia"/>
                <w:color w:val="auto"/>
                <w:kern w:val="0"/>
                <w:szCs w:val="21"/>
              </w:rPr>
              <w:t>每项0.5分，满分1分。</w:t>
            </w:r>
          </w:p>
        </w:tc>
      </w:tr>
      <w:tr>
        <w:tblPrEx>
          <w:tblCellMar>
            <w:top w:w="0" w:type="dxa"/>
            <w:left w:w="108" w:type="dxa"/>
            <w:bottom w:w="0" w:type="dxa"/>
            <w:right w:w="108" w:type="dxa"/>
          </w:tblCellMar>
        </w:tblPrEx>
        <w:trPr>
          <w:trHeight w:val="907" w:hRule="atLeast"/>
        </w:trPr>
        <w:tc>
          <w:tcPr>
            <w:tcW w:w="1384" w:type="dxa"/>
            <w:vMerge w:val="restart"/>
            <w:tcBorders>
              <w:top w:val="nil"/>
              <w:left w:val="single" w:color="auto" w:sz="4" w:space="0"/>
              <w:right w:val="single" w:color="auto" w:sz="4" w:space="0"/>
            </w:tcBorders>
            <w:vAlign w:val="center"/>
          </w:tcPr>
          <w:p>
            <w:pPr>
              <w:widowControl/>
              <w:snapToGrid w:val="0"/>
              <w:spacing w:line="360" w:lineRule="auto"/>
              <w:jc w:val="center"/>
              <w:rPr>
                <w:color w:val="auto"/>
              </w:rPr>
            </w:pPr>
            <w:r>
              <w:rPr>
                <w:rFonts w:hint="eastAsia" w:ascii="宋体" w:hAnsi="宋体" w:cs="宋体"/>
                <w:color w:val="auto"/>
                <w:szCs w:val="21"/>
              </w:rPr>
              <w:t>技术部分</w:t>
            </w:r>
          </w:p>
          <w:p>
            <w:pPr>
              <w:rPr>
                <w:rFonts w:ascii="微软雅黑" w:hAnsi="微软雅黑" w:eastAsia="微软雅黑" w:cs="微软雅黑"/>
                <w:color w:val="auto"/>
                <w:sz w:val="24"/>
              </w:rPr>
            </w:pPr>
            <w:r>
              <w:rPr>
                <w:rFonts w:hint="eastAsia" w:ascii="宋体" w:hAnsi="宋体" w:cs="宋体"/>
                <w:color w:val="auto"/>
                <w:szCs w:val="21"/>
              </w:rPr>
              <w:t>（</w:t>
            </w:r>
            <w:r>
              <w:rPr>
                <w:rFonts w:hint="eastAsia" w:ascii="宋体" w:hAnsi="宋体" w:cs="宋体"/>
                <w:color w:val="auto"/>
                <w:kern w:val="0"/>
                <w:szCs w:val="21"/>
                <w:u w:val="single"/>
              </w:rPr>
              <w:t>36</w:t>
            </w:r>
            <w:r>
              <w:rPr>
                <w:rFonts w:hint="eastAsia" w:ascii="宋体" w:hAnsi="宋体" w:cs="宋体"/>
                <w:color w:val="auto"/>
                <w:szCs w:val="21"/>
              </w:rPr>
              <w:t>分）</w:t>
            </w:r>
          </w:p>
        </w:tc>
        <w:tc>
          <w:tcPr>
            <w:tcW w:w="1560" w:type="dxa"/>
            <w:tcBorders>
              <w:top w:val="nil"/>
              <w:left w:val="nil"/>
              <w:bottom w:val="single" w:color="auto" w:sz="4" w:space="0"/>
              <w:right w:val="single" w:color="auto" w:sz="4" w:space="0"/>
            </w:tcBorders>
            <w:vAlign w:val="center"/>
          </w:tcPr>
          <w:p>
            <w:pPr>
              <w:widowControl/>
              <w:snapToGrid w:val="0"/>
              <w:spacing w:line="360" w:lineRule="auto"/>
              <w:rPr>
                <w:rFonts w:asciiTheme="minorEastAsia" w:hAnsiTheme="minorEastAsia"/>
                <w:color w:val="auto"/>
              </w:rPr>
            </w:pPr>
            <w:r>
              <w:rPr>
                <w:rFonts w:hint="eastAsia" w:asciiTheme="minorEastAsia" w:hAnsiTheme="minorEastAsia"/>
                <w:color w:val="auto"/>
                <w:szCs w:val="21"/>
              </w:rPr>
              <w:t>服务技术规格、参数与要求响应（</w:t>
            </w:r>
            <w:r>
              <w:rPr>
                <w:rFonts w:hint="eastAsia" w:cs="宋体" w:asciiTheme="minorEastAsia" w:hAnsiTheme="minorEastAsia"/>
                <w:color w:val="auto"/>
                <w:kern w:val="0"/>
                <w:szCs w:val="21"/>
                <w:u w:val="single"/>
              </w:rPr>
              <w:t>18</w:t>
            </w:r>
            <w:r>
              <w:rPr>
                <w:rFonts w:hint="eastAsia" w:asciiTheme="minorEastAsia" w:hAnsiTheme="minorEastAsia"/>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Theme="minorEastAsia" w:hAnsiTheme="minorEastAsia"/>
                <w:color w:val="auto"/>
              </w:rPr>
            </w:pPr>
            <w:r>
              <w:rPr>
                <w:rFonts w:hint="eastAsia" w:asciiTheme="minorEastAsia" w:hAnsiTheme="minorEastAsia"/>
                <w:color w:val="auto"/>
                <w:szCs w:val="21"/>
              </w:rPr>
              <w:t>投标技术参数实质性优于“采购清单-流动图书馆服务必备设施及要求”序号1、序号4中带▲项的，每优于1项得3分，满分18分。</w:t>
            </w:r>
          </w:p>
        </w:tc>
      </w:tr>
      <w:tr>
        <w:tblPrEx>
          <w:tblCellMar>
            <w:top w:w="0" w:type="dxa"/>
            <w:left w:w="108" w:type="dxa"/>
            <w:bottom w:w="0" w:type="dxa"/>
            <w:right w:w="108" w:type="dxa"/>
          </w:tblCellMar>
        </w:tblPrEx>
        <w:trPr>
          <w:trHeight w:val="907" w:hRule="atLeast"/>
        </w:trPr>
        <w:tc>
          <w:tcPr>
            <w:tcW w:w="1384" w:type="dxa"/>
            <w:vMerge w:val="continue"/>
            <w:tcBorders>
              <w:left w:val="single" w:color="auto" w:sz="4" w:space="0"/>
              <w:bottom w:val="single" w:color="auto" w:sz="4" w:space="0"/>
              <w:right w:val="single" w:color="auto" w:sz="4" w:space="0"/>
            </w:tcBorders>
            <w:vAlign w:val="center"/>
          </w:tcPr>
          <w:p>
            <w:pPr>
              <w:rPr>
                <w:rFonts w:ascii="微软雅黑" w:hAnsi="微软雅黑" w:eastAsia="微软雅黑" w:cs="微软雅黑"/>
                <w:color w:val="auto"/>
                <w:sz w:val="24"/>
              </w:rPr>
            </w:pPr>
          </w:p>
        </w:tc>
        <w:tc>
          <w:tcPr>
            <w:tcW w:w="156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Theme="minorEastAsia" w:hAnsiTheme="minorEastAsia"/>
                <w:color w:val="auto"/>
              </w:rPr>
            </w:pPr>
            <w:r>
              <w:rPr>
                <w:rFonts w:hint="eastAsia" w:asciiTheme="minorEastAsia" w:hAnsiTheme="minorEastAsia"/>
                <w:color w:val="auto"/>
                <w:szCs w:val="21"/>
              </w:rPr>
              <w:t>技术方案</w:t>
            </w:r>
          </w:p>
          <w:p>
            <w:pPr>
              <w:widowControl/>
              <w:snapToGrid w:val="0"/>
              <w:spacing w:line="360" w:lineRule="auto"/>
              <w:jc w:val="center"/>
              <w:rPr>
                <w:rFonts w:asciiTheme="minorEastAsia" w:hAnsiTheme="minorEastAsia"/>
                <w:color w:val="auto"/>
              </w:rPr>
            </w:pPr>
            <w:r>
              <w:rPr>
                <w:rFonts w:hint="eastAsia" w:asciiTheme="minorEastAsia" w:hAnsiTheme="minorEastAsia"/>
                <w:color w:val="auto"/>
                <w:szCs w:val="21"/>
              </w:rPr>
              <w:t>（</w:t>
            </w:r>
            <w:r>
              <w:rPr>
                <w:rFonts w:hint="eastAsia" w:cs="宋体" w:asciiTheme="minorEastAsia" w:hAnsiTheme="minorEastAsia"/>
                <w:color w:val="auto"/>
                <w:kern w:val="0"/>
                <w:szCs w:val="21"/>
                <w:u w:val="single"/>
              </w:rPr>
              <w:t>18</w:t>
            </w:r>
            <w:r>
              <w:rPr>
                <w:rFonts w:hint="eastAsia" w:asciiTheme="minorEastAsia" w:hAnsiTheme="minorEastAsia"/>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Theme="minorEastAsia" w:hAnsiTheme="minorEastAsia"/>
                <w:color w:val="auto"/>
              </w:rPr>
            </w:pPr>
            <w:r>
              <w:rPr>
                <w:rFonts w:hint="eastAsia" w:asciiTheme="minorEastAsia" w:hAnsiTheme="minorEastAsia"/>
                <w:color w:val="auto"/>
              </w:rPr>
              <w:t>1、技术方案中有车辆改装设计方案，且设备配置齐全，功能完善，有车辆改装系统设计图纸、流动服务车内外效果图或实景图得4分。</w:t>
            </w:r>
          </w:p>
          <w:p>
            <w:pPr>
              <w:widowControl/>
              <w:snapToGrid w:val="0"/>
              <w:spacing w:line="360" w:lineRule="auto"/>
              <w:jc w:val="left"/>
              <w:rPr>
                <w:rFonts w:asciiTheme="minorEastAsia" w:hAnsiTheme="minorEastAsia"/>
                <w:color w:val="auto"/>
              </w:rPr>
            </w:pPr>
            <w:r>
              <w:rPr>
                <w:rFonts w:hint="eastAsia" w:asciiTheme="minorEastAsia" w:hAnsiTheme="minorEastAsia"/>
                <w:color w:val="auto"/>
              </w:rPr>
              <w:t>2.技术方案中有流动服务方案、</w:t>
            </w:r>
            <w:r>
              <w:rPr>
                <w:rFonts w:hint="eastAsia" w:asciiTheme="minorEastAsia" w:hAnsiTheme="minorEastAsia"/>
                <w:color w:val="auto"/>
                <w:szCs w:val="21"/>
              </w:rPr>
              <w:t>人员配备方案、线路规划方案</w:t>
            </w:r>
            <w:r>
              <w:rPr>
                <w:rFonts w:hint="eastAsia" w:asciiTheme="minorEastAsia" w:hAnsiTheme="minorEastAsia"/>
                <w:color w:val="auto"/>
              </w:rPr>
              <w:t>、管理制度措施的得4分；</w:t>
            </w:r>
          </w:p>
          <w:p>
            <w:pPr>
              <w:widowControl/>
              <w:snapToGrid w:val="0"/>
              <w:spacing w:line="360" w:lineRule="auto"/>
              <w:jc w:val="left"/>
              <w:rPr>
                <w:rFonts w:asciiTheme="minorEastAsia" w:hAnsiTheme="minorEastAsia"/>
                <w:color w:val="auto"/>
              </w:rPr>
            </w:pPr>
            <w:r>
              <w:rPr>
                <w:rFonts w:hint="eastAsia" w:asciiTheme="minorEastAsia" w:hAnsiTheme="minorEastAsia"/>
                <w:color w:val="auto"/>
              </w:rPr>
              <w:t>3.服务车辆行驶里程不超过1000公里者得10分；行驶里程≥1000公里，＜5000公里者得5分；行驶里程≥5000公里，＜10000公里者得1分，≥10000公里者不得分（提供承诺函）</w:t>
            </w:r>
          </w:p>
        </w:tc>
      </w:tr>
      <w:tr>
        <w:tblPrEx>
          <w:tblCellMar>
            <w:top w:w="0" w:type="dxa"/>
            <w:left w:w="108" w:type="dxa"/>
            <w:bottom w:w="0" w:type="dxa"/>
            <w:right w:w="108" w:type="dxa"/>
          </w:tblCellMar>
        </w:tblPrEx>
        <w:trPr>
          <w:trHeight w:val="90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color w:val="auto"/>
              </w:rPr>
            </w:pPr>
            <w:r>
              <w:rPr>
                <w:rFonts w:hint="eastAsia" w:ascii="宋体" w:hAnsi="宋体" w:cs="宋体"/>
                <w:color w:val="auto"/>
                <w:szCs w:val="21"/>
              </w:rPr>
              <w:t>服务部分</w:t>
            </w:r>
          </w:p>
          <w:p>
            <w:pPr>
              <w:widowControl/>
              <w:snapToGrid w:val="0"/>
              <w:spacing w:line="360" w:lineRule="auto"/>
              <w:jc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kern w:val="0"/>
                <w:szCs w:val="21"/>
                <w:u w:val="single"/>
              </w:rPr>
              <w:t>20</w:t>
            </w:r>
            <w:r>
              <w:rPr>
                <w:rFonts w:hint="eastAsia" w:ascii="宋体" w:hAnsi="宋体" w:cs="宋体"/>
                <w:color w:val="auto"/>
                <w:szCs w:val="21"/>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olor w:val="auto"/>
              </w:rPr>
            </w:pPr>
            <w:r>
              <w:rPr>
                <w:rFonts w:hint="eastAsia" w:asciiTheme="minorEastAsia" w:hAnsiTheme="minorEastAsia"/>
                <w:color w:val="auto"/>
                <w:szCs w:val="21"/>
              </w:rPr>
              <w:t>出版社授权</w:t>
            </w:r>
          </w:p>
          <w:p>
            <w:pPr>
              <w:widowControl/>
              <w:snapToGrid w:val="0"/>
              <w:spacing w:line="360" w:lineRule="auto"/>
              <w:jc w:val="center"/>
              <w:rPr>
                <w:rFonts w:cs="宋体" w:asciiTheme="minorEastAsia" w:hAnsiTheme="minorEastAsia"/>
                <w:color w:val="auto"/>
                <w:szCs w:val="21"/>
              </w:rPr>
            </w:pPr>
            <w:r>
              <w:rPr>
                <w:rFonts w:hint="eastAsia" w:asciiTheme="minorEastAsia" w:hAnsiTheme="minorEastAsia"/>
                <w:color w:val="auto"/>
                <w:szCs w:val="21"/>
              </w:rPr>
              <w:t>（</w:t>
            </w:r>
            <w:r>
              <w:rPr>
                <w:rFonts w:hint="eastAsia" w:cs="宋体" w:asciiTheme="minorEastAsia" w:hAnsiTheme="minorEastAsia"/>
                <w:color w:val="auto"/>
                <w:kern w:val="0"/>
                <w:szCs w:val="21"/>
                <w:u w:val="single"/>
              </w:rPr>
              <w:t>10</w:t>
            </w:r>
            <w:r>
              <w:rPr>
                <w:rFonts w:hint="eastAsia" w:asciiTheme="minorEastAsia" w:hAnsiTheme="minorEastAsia"/>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Theme="minorEastAsia" w:hAnsiTheme="minorEastAsia"/>
                <w:color w:val="auto"/>
                <w:szCs w:val="21"/>
              </w:rPr>
            </w:pPr>
            <w:r>
              <w:rPr>
                <w:rFonts w:hint="eastAsia" w:asciiTheme="minorEastAsia" w:hAnsiTheme="minorEastAsia"/>
                <w:color w:val="auto"/>
              </w:rPr>
              <w:t>提供中华书局、人民文学出版社、生活读书新知三联书店、商务印书馆、中国美术出版总社、现代教育出版社、中国民主法制出版社、人民音乐出版社、荣宝斋、中国大百科全书出版社的专项授权书（提供出版社或出版社指定数字产品对外合作方针对本项目的专项授权证明）。提供一家授权得1分，满分10分。</w:t>
            </w:r>
          </w:p>
        </w:tc>
      </w:tr>
      <w:tr>
        <w:tblPrEx>
          <w:tblCellMar>
            <w:top w:w="0" w:type="dxa"/>
            <w:left w:w="108" w:type="dxa"/>
            <w:bottom w:w="0" w:type="dxa"/>
            <w:right w:w="108" w:type="dxa"/>
          </w:tblCellMar>
        </w:tblPrEx>
        <w:trPr>
          <w:trHeight w:val="907"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olor w:val="auto"/>
              </w:rPr>
            </w:pPr>
            <w:r>
              <w:rPr>
                <w:rFonts w:hint="eastAsia" w:asciiTheme="minorEastAsia" w:hAnsiTheme="minorEastAsia"/>
                <w:color w:val="auto"/>
                <w:szCs w:val="21"/>
              </w:rPr>
              <w:t>服务人员配备</w:t>
            </w:r>
            <w:r>
              <w:rPr>
                <w:rFonts w:hint="eastAsia" w:cs="宋体" w:asciiTheme="minorEastAsia" w:hAnsiTheme="minorEastAsia"/>
                <w:color w:val="auto"/>
                <w:szCs w:val="21"/>
              </w:rPr>
              <w:t>（</w:t>
            </w:r>
            <w:r>
              <w:rPr>
                <w:rFonts w:hint="eastAsia" w:cs="宋体" w:asciiTheme="minorEastAsia" w:hAnsiTheme="minorEastAsia"/>
                <w:color w:val="auto"/>
                <w:kern w:val="0"/>
                <w:szCs w:val="21"/>
                <w:u w:val="single"/>
              </w:rPr>
              <w:t>8</w:t>
            </w:r>
            <w:r>
              <w:rPr>
                <w:rFonts w:hint="eastAsia" w:cs="宋体" w:asciiTheme="minorEastAsia" w:hAnsiTheme="minorEastAsia"/>
                <w:color w:val="auto"/>
                <w:szCs w:val="21"/>
              </w:rPr>
              <w:t>分）</w:t>
            </w:r>
          </w:p>
        </w:tc>
        <w:tc>
          <w:tcPr>
            <w:tcW w:w="6095" w:type="dxa"/>
            <w:tcBorders>
              <w:top w:val="single" w:color="auto" w:sz="4" w:space="0"/>
              <w:left w:val="nil"/>
              <w:bottom w:val="single" w:color="auto" w:sz="4" w:space="0"/>
              <w:right w:val="single" w:color="auto" w:sz="4" w:space="0"/>
            </w:tcBorders>
            <w:vAlign w:val="center"/>
          </w:tcPr>
          <w:p>
            <w:pPr>
              <w:widowControl/>
              <w:spacing w:line="360" w:lineRule="exact"/>
              <w:rPr>
                <w:rFonts w:cs="宋体" w:asciiTheme="minorEastAsia" w:hAnsiTheme="minorEastAsia"/>
                <w:color w:val="auto"/>
                <w:szCs w:val="21"/>
              </w:rPr>
            </w:pPr>
            <w:r>
              <w:rPr>
                <w:rFonts w:hint="eastAsia" w:cs="宋体" w:asciiTheme="minorEastAsia" w:hAnsiTheme="minorEastAsia"/>
                <w:color w:val="auto"/>
                <w:szCs w:val="21"/>
              </w:rPr>
              <w:t>1.拟派项目服务人员中流动服务车司机驾龄≥5年，且没有重大交通事故历史的得4分。（提供承诺函）</w:t>
            </w:r>
          </w:p>
          <w:p>
            <w:pPr>
              <w:widowControl/>
              <w:spacing w:line="360" w:lineRule="exact"/>
              <w:rPr>
                <w:rFonts w:cs="宋体" w:asciiTheme="minorEastAsia" w:hAnsiTheme="minorEastAsia"/>
                <w:color w:val="auto"/>
                <w:szCs w:val="21"/>
              </w:rPr>
            </w:pPr>
            <w:r>
              <w:rPr>
                <w:rFonts w:hint="eastAsia" w:cs="宋体" w:asciiTheme="minorEastAsia" w:hAnsiTheme="minorEastAsia"/>
                <w:color w:val="auto"/>
                <w:szCs w:val="21"/>
              </w:rPr>
              <w:t>2.拟派项目服务人员具有2年以上图书馆从业经验的得4分（提供承诺函）</w:t>
            </w:r>
          </w:p>
        </w:tc>
      </w:tr>
      <w:tr>
        <w:tblPrEx>
          <w:tblCellMar>
            <w:top w:w="0" w:type="dxa"/>
            <w:left w:w="108" w:type="dxa"/>
            <w:bottom w:w="0" w:type="dxa"/>
            <w:right w:w="108" w:type="dxa"/>
          </w:tblCellMar>
        </w:tblPrEx>
        <w:trPr>
          <w:trHeight w:val="907"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cs="微软雅黑"/>
                <w:color w:val="auto"/>
                <w:sz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Theme="minorEastAsia" w:hAnsiTheme="minorEastAsia"/>
                <w:color w:val="auto"/>
              </w:rPr>
            </w:pPr>
            <w:r>
              <w:rPr>
                <w:rFonts w:hint="eastAsia" w:asciiTheme="minorEastAsia" w:hAnsiTheme="minorEastAsia"/>
                <w:color w:val="auto"/>
                <w:szCs w:val="21"/>
              </w:rPr>
              <w:t>投标文件编制</w:t>
            </w:r>
          </w:p>
          <w:p>
            <w:pPr>
              <w:widowControl/>
              <w:snapToGrid w:val="0"/>
              <w:spacing w:line="360" w:lineRule="auto"/>
              <w:jc w:val="center"/>
              <w:rPr>
                <w:rFonts w:asciiTheme="minorEastAsia" w:hAnsiTheme="minorEastAsia"/>
                <w:color w:val="auto"/>
              </w:rPr>
            </w:pPr>
            <w:r>
              <w:rPr>
                <w:rFonts w:hint="eastAsia" w:asciiTheme="minorEastAsia" w:hAnsiTheme="minorEastAsia"/>
                <w:color w:val="auto"/>
                <w:szCs w:val="21"/>
              </w:rPr>
              <w:t>（2分）</w:t>
            </w:r>
          </w:p>
        </w:tc>
        <w:tc>
          <w:tcPr>
            <w:tcW w:w="6095"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Theme="minorEastAsia" w:hAnsiTheme="minorEastAsia"/>
                <w:color w:val="auto"/>
              </w:rPr>
            </w:pPr>
            <w:r>
              <w:rPr>
                <w:rFonts w:hint="eastAsia" w:asciiTheme="minorEastAsia" w:hAnsiTheme="minorEastAsia"/>
                <w:color w:val="auto"/>
                <w:szCs w:val="21"/>
              </w:rPr>
              <w:t>编制规范、文字清晰、无差错2分。</w:t>
            </w:r>
          </w:p>
        </w:tc>
      </w:tr>
    </w:tbl>
    <w:p>
      <w:pPr>
        <w:widowControl/>
        <w:shd w:val="clear" w:color="auto" w:fill="FFFFFF"/>
        <w:spacing w:line="360" w:lineRule="auto"/>
        <w:contextualSpacing/>
        <w:jc w:val="left"/>
        <w:rPr>
          <w:rFonts w:ascii="宋体" w:hAnsi="宋体" w:eastAsia="宋体" w:cs="宋体"/>
          <w:kern w:val="0"/>
          <w:sz w:val="28"/>
          <w:szCs w:val="28"/>
        </w:rPr>
      </w:pPr>
      <w:r>
        <w:rPr>
          <w:rFonts w:hint="eastAsia" w:ascii="黑体" w:hAnsi="宋体" w:eastAsia="黑体" w:cs="黑体"/>
          <w:kern w:val="0"/>
          <w:sz w:val="28"/>
          <w:szCs w:val="28"/>
          <w:shd w:val="clear" w:color="auto" w:fill="FFFFFF"/>
        </w:rPr>
        <w:t>六、联系方式</w:t>
      </w:r>
    </w:p>
    <w:p>
      <w:pPr>
        <w:widowControl/>
        <w:shd w:val="clear" w:color="auto" w:fill="FFFFFF"/>
        <w:spacing w:line="360" w:lineRule="auto"/>
        <w:contextualSpacing/>
        <w:jc w:val="left"/>
        <w:rPr>
          <w:rFonts w:hint="default" w:ascii="宋体" w:hAnsi="宋体" w:eastAsia="仿宋" w:cs="宋体"/>
          <w:color w:val="auto"/>
          <w:kern w:val="0"/>
          <w:sz w:val="28"/>
          <w:szCs w:val="28"/>
          <w:lang w:val="en-US" w:eastAsia="zh-CN"/>
        </w:rPr>
      </w:pPr>
      <w:r>
        <w:rPr>
          <w:rFonts w:hint="eastAsia" w:ascii="仿宋" w:hAnsi="仿宋" w:eastAsia="仿宋" w:cs="仿宋"/>
          <w:color w:val="auto"/>
          <w:kern w:val="0"/>
          <w:sz w:val="28"/>
          <w:szCs w:val="28"/>
          <w:shd w:val="clear" w:color="auto" w:fill="FFFFFF"/>
        </w:rPr>
        <w:t>联系人姓名： </w:t>
      </w:r>
      <w:r>
        <w:rPr>
          <w:rFonts w:hint="eastAsia" w:ascii="仿宋" w:hAnsi="仿宋" w:eastAsia="仿宋" w:cs="仿宋"/>
          <w:color w:val="auto"/>
          <w:kern w:val="0"/>
          <w:sz w:val="28"/>
          <w:szCs w:val="28"/>
          <w:shd w:val="clear" w:color="auto" w:fill="FFFFFF"/>
          <w:lang w:eastAsia="zh-CN"/>
        </w:rPr>
        <w:t>张帆</w:t>
      </w:r>
      <w:r>
        <w:rPr>
          <w:rFonts w:hint="eastAsia" w:ascii="仿宋" w:hAnsi="仿宋" w:eastAsia="仿宋" w:cs="仿宋"/>
          <w:color w:val="auto"/>
          <w:kern w:val="0"/>
          <w:sz w:val="28"/>
          <w:szCs w:val="28"/>
          <w:shd w:val="clear" w:color="auto" w:fill="FFFFFF"/>
        </w:rPr>
        <w:t>      联系电话（手机）：</w:t>
      </w:r>
      <w:r>
        <w:rPr>
          <w:rFonts w:hint="eastAsia" w:ascii="仿宋" w:hAnsi="仿宋" w:eastAsia="仿宋" w:cs="仿宋"/>
          <w:color w:val="auto"/>
          <w:kern w:val="0"/>
          <w:sz w:val="28"/>
          <w:szCs w:val="28"/>
          <w:shd w:val="clear" w:color="auto" w:fill="FFFFFF"/>
          <w:lang w:val="en-US" w:eastAsia="zh-CN"/>
        </w:rPr>
        <w:t>19903997870</w:t>
      </w:r>
    </w:p>
    <w:p>
      <w:pPr>
        <w:widowControl/>
        <w:shd w:val="clear" w:color="auto" w:fill="FFFFFF"/>
        <w:spacing w:line="360" w:lineRule="auto"/>
        <w:contextualSpacing/>
        <w:jc w:val="left"/>
        <w:rPr>
          <w:rFonts w:hint="eastAsia" w:ascii="仿宋" w:hAnsi="仿宋" w:eastAsia="仿宋" w:cs="仿宋"/>
          <w:color w:val="auto"/>
          <w:kern w:val="0"/>
          <w:sz w:val="28"/>
          <w:szCs w:val="28"/>
          <w:shd w:val="clear" w:color="auto" w:fill="FFFFFF"/>
          <w:lang w:eastAsia="zh-CN"/>
        </w:rPr>
      </w:pPr>
      <w:r>
        <w:rPr>
          <w:rFonts w:hint="eastAsia" w:ascii="仿宋" w:hAnsi="仿宋" w:eastAsia="仿宋" w:cs="仿宋"/>
          <w:color w:val="auto"/>
          <w:kern w:val="0"/>
          <w:sz w:val="28"/>
          <w:szCs w:val="28"/>
          <w:shd w:val="clear" w:color="auto" w:fill="FFFFFF"/>
        </w:rPr>
        <w:t>单位地址：</w:t>
      </w:r>
      <w:r>
        <w:rPr>
          <w:rFonts w:hint="eastAsia" w:ascii="仿宋" w:hAnsi="仿宋" w:eastAsia="仿宋" w:cs="仿宋"/>
          <w:color w:val="auto"/>
          <w:kern w:val="0"/>
          <w:sz w:val="28"/>
          <w:szCs w:val="28"/>
          <w:shd w:val="clear" w:color="auto" w:fill="FFFFFF"/>
          <w:lang w:eastAsia="zh-CN"/>
        </w:rPr>
        <w:t>许昌市八一东路广电大厦</w:t>
      </w:r>
    </w:p>
    <w:p>
      <w:pPr>
        <w:widowControl/>
        <w:shd w:val="clear" w:color="auto" w:fill="FFFFFF"/>
        <w:spacing w:line="360" w:lineRule="auto"/>
        <w:ind w:right="640" w:firstLine="3828"/>
        <w:contextualSpacing/>
        <w:rPr>
          <w:rFonts w:hint="eastAsia" w:ascii="仿宋" w:hAnsi="仿宋" w:eastAsia="仿宋" w:cs="仿宋"/>
          <w:color w:val="auto"/>
          <w:kern w:val="0"/>
          <w:sz w:val="28"/>
          <w:szCs w:val="28"/>
          <w:shd w:val="clear" w:color="auto" w:fill="FFFFFF"/>
        </w:rPr>
      </w:pPr>
    </w:p>
    <w:p>
      <w:pPr>
        <w:widowControl/>
        <w:shd w:val="clear" w:color="auto" w:fill="FFFFFF"/>
        <w:spacing w:line="360" w:lineRule="auto"/>
        <w:ind w:right="640" w:firstLine="3828"/>
        <w:contextualSpacing/>
        <w:rPr>
          <w:rFonts w:ascii="宋体" w:hAnsi="宋体" w:eastAsia="宋体" w:cs="宋体"/>
          <w:i/>
          <w:color w:val="auto"/>
          <w:kern w:val="0"/>
          <w:sz w:val="28"/>
          <w:szCs w:val="28"/>
          <w:u w:val="single"/>
        </w:rPr>
      </w:pPr>
      <w:r>
        <w:rPr>
          <w:rFonts w:hint="eastAsia" w:ascii="仿宋" w:hAnsi="仿宋" w:eastAsia="仿宋" w:cs="仿宋"/>
          <w:color w:val="auto"/>
          <w:kern w:val="0"/>
          <w:sz w:val="28"/>
          <w:szCs w:val="28"/>
          <w:shd w:val="clear" w:color="auto" w:fill="FFFFFF"/>
        </w:rPr>
        <w:t>单位全称：</w:t>
      </w:r>
      <w:r>
        <w:rPr>
          <w:rFonts w:hint="eastAsia" w:ascii="仿宋" w:hAnsi="仿宋" w:eastAsia="仿宋" w:cs="仿宋"/>
          <w:i/>
          <w:color w:val="auto"/>
          <w:kern w:val="0"/>
          <w:sz w:val="28"/>
          <w:szCs w:val="28"/>
          <w:u w:val="single"/>
          <w:shd w:val="clear" w:color="auto" w:fill="FFFFFF"/>
        </w:rPr>
        <w:t xml:space="preserve"> </w:t>
      </w:r>
      <w:r>
        <w:rPr>
          <w:rFonts w:hint="eastAsia" w:ascii="仿宋" w:hAnsi="仿宋" w:eastAsia="仿宋" w:cs="仿宋"/>
          <w:i/>
          <w:color w:val="auto"/>
          <w:kern w:val="0"/>
          <w:sz w:val="24"/>
          <w:szCs w:val="24"/>
          <w:u w:val="single"/>
          <w:shd w:val="clear" w:color="auto" w:fill="FFFFFF"/>
        </w:rPr>
        <w:t>（并加盖单位公章）</w:t>
      </w:r>
    </w:p>
    <w:p>
      <w:pPr>
        <w:widowControl/>
        <w:shd w:val="clear" w:color="auto" w:fill="FFFFFF"/>
        <w:spacing w:line="360" w:lineRule="auto"/>
        <w:ind w:right="640" w:firstLine="5100"/>
        <w:contextualSpacing/>
        <w:jc w:val="center"/>
        <w:rPr>
          <w:rFonts w:ascii="仿宋" w:hAnsi="仿宋" w:eastAsia="仿宋" w:cs="仿宋"/>
          <w:color w:val="auto"/>
          <w:kern w:val="0"/>
          <w:sz w:val="28"/>
          <w:szCs w:val="28"/>
          <w:shd w:val="clear" w:color="auto" w:fill="FFFFFF"/>
        </w:rPr>
      </w:pPr>
      <w:r>
        <w:rPr>
          <w:rFonts w:hint="eastAsia" w:ascii="仿宋" w:hAnsi="仿宋" w:eastAsia="仿宋" w:cs="仿宋"/>
          <w:color w:val="auto"/>
          <w:kern w:val="0"/>
          <w:sz w:val="28"/>
          <w:szCs w:val="28"/>
          <w:shd w:val="clear" w:color="auto" w:fill="FFFFFF"/>
          <w:lang w:val="en-US" w:eastAsia="zh-CN"/>
        </w:rPr>
        <w:t>2024</w:t>
      </w:r>
      <w:r>
        <w:rPr>
          <w:rFonts w:hint="eastAsia" w:ascii="仿宋" w:hAnsi="仿宋" w:eastAsia="仿宋" w:cs="仿宋"/>
          <w:color w:val="auto"/>
          <w:kern w:val="0"/>
          <w:sz w:val="28"/>
          <w:szCs w:val="28"/>
          <w:shd w:val="clear" w:color="auto" w:fill="FFFFFF"/>
        </w:rPr>
        <w:t>年</w:t>
      </w:r>
      <w:r>
        <w:rPr>
          <w:rFonts w:hint="eastAsia" w:ascii="仿宋" w:hAnsi="仿宋" w:eastAsia="仿宋" w:cs="仿宋"/>
          <w:color w:val="auto"/>
          <w:kern w:val="0"/>
          <w:sz w:val="28"/>
          <w:szCs w:val="28"/>
          <w:shd w:val="clear" w:color="auto" w:fill="FFFFFF"/>
          <w:lang w:val="en-US" w:eastAsia="zh-CN"/>
        </w:rPr>
        <w:t>7</w:t>
      </w:r>
      <w:r>
        <w:rPr>
          <w:rFonts w:hint="eastAsia" w:ascii="仿宋" w:hAnsi="仿宋" w:eastAsia="仿宋" w:cs="仿宋"/>
          <w:color w:val="auto"/>
          <w:kern w:val="0"/>
          <w:sz w:val="28"/>
          <w:szCs w:val="28"/>
          <w:shd w:val="clear" w:color="auto" w:fill="FFFFFF"/>
        </w:rPr>
        <w:t>月</w:t>
      </w:r>
      <w:r>
        <w:rPr>
          <w:rFonts w:hint="eastAsia" w:ascii="仿宋" w:hAnsi="仿宋" w:eastAsia="仿宋" w:cs="仿宋"/>
          <w:color w:val="auto"/>
          <w:kern w:val="0"/>
          <w:sz w:val="28"/>
          <w:szCs w:val="28"/>
          <w:shd w:val="clear" w:color="auto" w:fill="FFFFFF"/>
          <w:lang w:val="en-US" w:eastAsia="zh-CN"/>
        </w:rPr>
        <w:t>10</w:t>
      </w:r>
      <w:r>
        <w:rPr>
          <w:rFonts w:hint="eastAsia" w:ascii="仿宋" w:hAnsi="仿宋" w:eastAsia="仿宋" w:cs="仿宋"/>
          <w:color w:val="auto"/>
          <w:kern w:val="0"/>
          <w:sz w:val="28"/>
          <w:szCs w:val="28"/>
          <w:shd w:val="clear" w:color="auto" w:fill="FFFFFF"/>
        </w:rPr>
        <w:t>日</w:t>
      </w:r>
    </w:p>
    <w:p>
      <w:pPr>
        <w:widowControl/>
        <w:shd w:val="clear" w:color="auto" w:fill="FFFFFF"/>
        <w:spacing w:line="360" w:lineRule="auto"/>
        <w:ind w:right="640" w:firstLine="5100"/>
        <w:contextualSpacing/>
        <w:jc w:val="center"/>
        <w:rPr>
          <w:rFonts w:ascii="仿宋" w:hAnsi="仿宋" w:eastAsia="仿宋" w:cs="仿宋"/>
          <w:kern w:val="0"/>
          <w:sz w:val="28"/>
          <w:szCs w:val="28"/>
          <w:shd w:val="clear" w:color="auto" w:fill="FFFFFF"/>
        </w:rPr>
      </w:pPr>
    </w:p>
    <w:p>
      <w:pPr>
        <w:widowControl/>
        <w:shd w:val="clear" w:color="auto" w:fill="FFFFFF"/>
        <w:spacing w:line="360" w:lineRule="auto"/>
        <w:ind w:right="640" w:firstLine="5100"/>
        <w:contextualSpacing/>
        <w:jc w:val="center"/>
        <w:rPr>
          <w:rFonts w:ascii="仿宋" w:hAnsi="仿宋" w:eastAsia="仿宋" w:cs="仿宋"/>
          <w:kern w:val="0"/>
          <w:sz w:val="28"/>
          <w:szCs w:val="28"/>
          <w:shd w:val="clear" w:color="auto" w:fill="FFFFFF"/>
        </w:rPr>
      </w:pPr>
    </w:p>
    <w:p>
      <w:pPr>
        <w:widowControl/>
        <w:shd w:val="clear" w:color="auto" w:fill="FFFFFF"/>
        <w:spacing w:line="360" w:lineRule="auto"/>
        <w:ind w:right="640" w:firstLine="5100"/>
        <w:contextualSpacing/>
        <w:jc w:val="center"/>
        <w:rPr>
          <w:rFonts w:ascii="仿宋" w:hAnsi="仿宋" w:eastAsia="仿宋" w:cs="仿宋"/>
          <w:kern w:val="0"/>
          <w:sz w:val="28"/>
          <w:szCs w:val="28"/>
          <w:shd w:val="clear" w:color="auto" w:fill="FFFFFF"/>
        </w:rPr>
      </w:pPr>
    </w:p>
    <w:p>
      <w:pPr>
        <w:widowControl/>
        <w:shd w:val="clear" w:color="auto" w:fill="FFFFFF"/>
        <w:jc w:val="left"/>
        <w:rPr>
          <w:rFonts w:ascii="楷体" w:hAnsi="楷体" w:eastAsia="楷体" w:cs="仿宋"/>
          <w:b/>
          <w:kern w:val="0"/>
          <w:sz w:val="36"/>
          <w:szCs w:val="36"/>
          <w:shd w:val="clear" w:color="auto" w:fill="FFFFFF"/>
        </w:rPr>
      </w:pPr>
      <w:r>
        <w:rPr>
          <w:rFonts w:hint="eastAsia" w:ascii="楷体" w:hAnsi="楷体" w:eastAsia="楷体" w:cs="仿宋"/>
          <w:b/>
          <w:kern w:val="0"/>
          <w:sz w:val="36"/>
          <w:szCs w:val="36"/>
          <w:shd w:val="clear" w:color="auto" w:fill="FFFFFF"/>
        </w:rPr>
        <w:t>备注：</w:t>
      </w:r>
    </w:p>
    <w:p>
      <w:pPr>
        <w:widowControl/>
        <w:shd w:val="clear" w:color="auto" w:fill="FFFFFF"/>
        <w:spacing w:line="520" w:lineRule="exact"/>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1、政府采购交易科联系方式：</w:t>
      </w:r>
    </w:p>
    <w:p>
      <w:pPr>
        <w:widowControl/>
        <w:shd w:val="clear" w:color="auto" w:fill="FFFFFF"/>
        <w:spacing w:line="520" w:lineRule="exact"/>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电话：0374-2968687，邮箱</w:t>
      </w:r>
      <w:r>
        <w:fldChar w:fldCharType="begin"/>
      </w:r>
      <w:r>
        <w:instrText xml:space="preserve"> HYPERLINK "mailto:xcszfcg@163.com" </w:instrText>
      </w:r>
      <w:r>
        <w:fldChar w:fldCharType="separate"/>
      </w:r>
      <w:r>
        <w:rPr>
          <w:rFonts w:hint="eastAsia" w:ascii="仿宋" w:hAnsi="仿宋" w:eastAsia="仿宋" w:cs="仿宋"/>
          <w:kern w:val="0"/>
          <w:sz w:val="28"/>
          <w:szCs w:val="28"/>
          <w:shd w:val="clear" w:color="auto" w:fill="FFFFFF"/>
        </w:rPr>
        <w:t>xcszfcg@163.com</w:t>
      </w:r>
      <w:r>
        <w:rPr>
          <w:rFonts w:hint="eastAsia" w:ascii="仿宋" w:hAnsi="仿宋" w:eastAsia="仿宋" w:cs="仿宋"/>
          <w:kern w:val="0"/>
          <w:sz w:val="28"/>
          <w:szCs w:val="28"/>
          <w:shd w:val="clear" w:color="auto" w:fill="FFFFFF"/>
        </w:rPr>
        <w:fldChar w:fldCharType="end"/>
      </w:r>
      <w:r>
        <w:rPr>
          <w:rFonts w:hint="eastAsia" w:ascii="仿宋" w:hAnsi="仿宋" w:eastAsia="仿宋" w:cs="仿宋"/>
          <w:kern w:val="0"/>
          <w:sz w:val="28"/>
          <w:szCs w:val="28"/>
          <w:shd w:val="clear" w:color="auto" w:fill="FFFFFF"/>
        </w:rPr>
        <w:t>。</w:t>
      </w:r>
    </w:p>
    <w:p>
      <w:pPr>
        <w:widowControl/>
        <w:shd w:val="clear" w:color="auto" w:fill="FFFFFF"/>
        <w:spacing w:line="520" w:lineRule="exact"/>
        <w:jc w:val="left"/>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2、文档中蓝色</w:t>
      </w:r>
      <w:r>
        <w:rPr>
          <w:rFonts w:ascii="仿宋" w:hAnsi="仿宋" w:eastAsia="仿宋" w:cs="仿宋"/>
          <w:kern w:val="0"/>
          <w:sz w:val="28"/>
          <w:szCs w:val="28"/>
          <w:shd w:val="clear" w:color="auto" w:fill="FFFFFF"/>
        </w:rPr>
        <w:t>斜体标注是对相关内容的提示</w:t>
      </w:r>
      <w:r>
        <w:rPr>
          <w:rFonts w:hint="eastAsia" w:ascii="仿宋" w:hAnsi="仿宋" w:eastAsia="仿宋" w:cs="仿宋"/>
          <w:kern w:val="0"/>
          <w:sz w:val="28"/>
          <w:szCs w:val="28"/>
          <w:shd w:val="clear" w:color="auto" w:fill="FFFFFF"/>
        </w:rPr>
        <w:t>、</w:t>
      </w:r>
      <w:r>
        <w:rPr>
          <w:rFonts w:ascii="仿宋" w:hAnsi="仿宋" w:eastAsia="仿宋" w:cs="仿宋"/>
          <w:kern w:val="0"/>
          <w:sz w:val="28"/>
          <w:szCs w:val="28"/>
          <w:shd w:val="clear" w:color="auto" w:fill="FFFFFF"/>
        </w:rPr>
        <w:t>说明</w:t>
      </w:r>
      <w:r>
        <w:rPr>
          <w:rFonts w:hint="eastAsia" w:ascii="仿宋" w:hAnsi="仿宋" w:eastAsia="仿宋" w:cs="仿宋"/>
          <w:kern w:val="0"/>
          <w:sz w:val="28"/>
          <w:szCs w:val="28"/>
          <w:shd w:val="clear" w:color="auto" w:fill="FFFFFF"/>
        </w:rPr>
        <w:t>，采购人提供材料时请删除。</w:t>
      </w:r>
    </w:p>
    <w:sectPr>
      <w:footerReference r:id="rId3" w:type="default"/>
      <w:pgSz w:w="11906" w:h="16838"/>
      <w:pgMar w:top="2155"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wps:spPr>
                    <wps:txbx>
                      <w:txbxContent>
                        <w:p>
                          <w:pPr>
                            <w:pStyle w:val="7"/>
                          </w:pPr>
                          <w:r>
                            <w:fldChar w:fldCharType="begin"/>
                          </w:r>
                          <w:r>
                            <w:instrText xml:space="preserve"> PAGE  \* MERGEFORMAT </w:instrText>
                          </w:r>
                          <w:r>
                            <w:fldChar w:fldCharType="separate"/>
                          </w:r>
                          <w:r>
                            <w:t>4</w:t>
                          </w:r>
                          <w:r>
                            <w:fldChar w:fldCharType="end"/>
                          </w:r>
                        </w:p>
                      </w:txbxContent>
                    </wps:txbx>
                    <wps:bodyPr rot="0" vert="horz" wrap="none" lIns="0" tIns="0" rIns="0" bIns="0" anchor="t" anchorCtr="false" upright="true">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1u5d9AAAAACAQAADwAAAAAAAAABACAAAAA4AAAAZHJzL2Rvd25yZXYueG1sUEsBAhQA&#10;FAAAAAgAh07iQP8bLbTkAQAAvwMAAA4AAAAAAAAAAQAgAAAANQEAAGRycy9lMm9Eb2MueG1sUEsF&#10;BgAAAAAGAAYAWQEAAI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FD377"/>
    <w:multiLevelType w:val="singleLevel"/>
    <w:tmpl w:val="9FFFD377"/>
    <w:lvl w:ilvl="0" w:tentative="0">
      <w:start w:val="1"/>
      <w:numFmt w:val="decimalEnclosedCircleChinese"/>
      <w:suff w:val="nothing"/>
      <w:lvlText w:val="%1"/>
      <w:lvlJc w:val="left"/>
      <w:pPr>
        <w:tabs>
          <w:tab w:val="left" w:pos="0"/>
        </w:tabs>
        <w:ind w:left="0" w:firstLine="403"/>
      </w:pPr>
      <w:rPr>
        <w:rFonts w:hint="eastAsia" w:ascii="宋体" w:hAnsi="宋体" w:eastAsia="宋体" w:cs="宋体"/>
      </w:rPr>
    </w:lvl>
  </w:abstractNum>
  <w:abstractNum w:abstractNumId="1">
    <w:nsid w:val="FFFBFD89"/>
    <w:multiLevelType w:val="singleLevel"/>
    <w:tmpl w:val="FFFBFD89"/>
    <w:lvl w:ilvl="0" w:tentative="0">
      <w:start w:val="5"/>
      <w:numFmt w:val="decimal"/>
      <w:lvlText w:val="(%1)"/>
      <w:lvlJc w:val="left"/>
      <w:pPr>
        <w:tabs>
          <w:tab w:val="left" w:pos="0"/>
        </w:tabs>
        <w:ind w:left="0" w:leftChars="0" w:firstLine="0" w:firstLineChars="0"/>
      </w:pPr>
      <w:rPr>
        <w:rFonts w:hint="default"/>
      </w:rPr>
    </w:lvl>
  </w:abstractNum>
  <w:abstractNum w:abstractNumId="2">
    <w:nsid w:val="4001377C"/>
    <w:multiLevelType w:val="multilevel"/>
    <w:tmpl w:val="4001377C"/>
    <w:lvl w:ilvl="0" w:tentative="0">
      <w:start w:val="6"/>
      <w:numFmt w:val="bullet"/>
      <w:lvlText w:val="□"/>
      <w:lvlJc w:val="left"/>
      <w:pPr>
        <w:ind w:left="960" w:hanging="360"/>
      </w:pPr>
      <w:rPr>
        <w:rFonts w:hint="eastAsia" w:ascii="仿宋" w:hAnsi="仿宋" w:eastAsia="仿宋" w:cs="仿宋"/>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OWU5ZTBiMGQ1OTU4NjIwMjFmNjNjZWU3MjIwYjkifQ=="/>
  </w:docVars>
  <w:rsids>
    <w:rsidRoot w:val="00B65E63"/>
    <w:rsid w:val="000007B6"/>
    <w:rsid w:val="00003304"/>
    <w:rsid w:val="000037E9"/>
    <w:rsid w:val="00007680"/>
    <w:rsid w:val="00014CDD"/>
    <w:rsid w:val="000207E2"/>
    <w:rsid w:val="00023416"/>
    <w:rsid w:val="00025295"/>
    <w:rsid w:val="0002681F"/>
    <w:rsid w:val="00031AAE"/>
    <w:rsid w:val="00032709"/>
    <w:rsid w:val="000429DB"/>
    <w:rsid w:val="00057EA6"/>
    <w:rsid w:val="0006644B"/>
    <w:rsid w:val="00067E54"/>
    <w:rsid w:val="00073A73"/>
    <w:rsid w:val="000808A9"/>
    <w:rsid w:val="00093E7D"/>
    <w:rsid w:val="00094B84"/>
    <w:rsid w:val="00097F34"/>
    <w:rsid w:val="000A1A79"/>
    <w:rsid w:val="000A24F4"/>
    <w:rsid w:val="000A4B26"/>
    <w:rsid w:val="000A7BE0"/>
    <w:rsid w:val="000B5272"/>
    <w:rsid w:val="000C2BCE"/>
    <w:rsid w:val="000D1DC0"/>
    <w:rsid w:val="000D4425"/>
    <w:rsid w:val="000D7A2A"/>
    <w:rsid w:val="000E388B"/>
    <w:rsid w:val="000E6A23"/>
    <w:rsid w:val="000F0EBE"/>
    <w:rsid w:val="000F4DEE"/>
    <w:rsid w:val="000F5915"/>
    <w:rsid w:val="00107613"/>
    <w:rsid w:val="0011461A"/>
    <w:rsid w:val="001173AF"/>
    <w:rsid w:val="001225D0"/>
    <w:rsid w:val="00122623"/>
    <w:rsid w:val="00122CDD"/>
    <w:rsid w:val="00127ADA"/>
    <w:rsid w:val="0013407B"/>
    <w:rsid w:val="0013479A"/>
    <w:rsid w:val="00135312"/>
    <w:rsid w:val="001355E2"/>
    <w:rsid w:val="0014106D"/>
    <w:rsid w:val="00143CF8"/>
    <w:rsid w:val="00146EE6"/>
    <w:rsid w:val="00151BB6"/>
    <w:rsid w:val="00151BCD"/>
    <w:rsid w:val="00153961"/>
    <w:rsid w:val="00161DD0"/>
    <w:rsid w:val="00164000"/>
    <w:rsid w:val="00164492"/>
    <w:rsid w:val="001709AF"/>
    <w:rsid w:val="001772F8"/>
    <w:rsid w:val="00177788"/>
    <w:rsid w:val="00183776"/>
    <w:rsid w:val="001839FC"/>
    <w:rsid w:val="00185135"/>
    <w:rsid w:val="00192762"/>
    <w:rsid w:val="0019335B"/>
    <w:rsid w:val="00193B84"/>
    <w:rsid w:val="00196705"/>
    <w:rsid w:val="00196EDD"/>
    <w:rsid w:val="001A0AE6"/>
    <w:rsid w:val="001A2D9F"/>
    <w:rsid w:val="001A3E67"/>
    <w:rsid w:val="001A5B8A"/>
    <w:rsid w:val="001A67CF"/>
    <w:rsid w:val="001B3877"/>
    <w:rsid w:val="001C0BE4"/>
    <w:rsid w:val="001C161C"/>
    <w:rsid w:val="001C1F01"/>
    <w:rsid w:val="001C23AF"/>
    <w:rsid w:val="001C2697"/>
    <w:rsid w:val="001D44BC"/>
    <w:rsid w:val="001D4C0B"/>
    <w:rsid w:val="001E0A47"/>
    <w:rsid w:val="001E1FC1"/>
    <w:rsid w:val="001E2697"/>
    <w:rsid w:val="001F06C0"/>
    <w:rsid w:val="001F0DB2"/>
    <w:rsid w:val="001F17B8"/>
    <w:rsid w:val="001F2EA4"/>
    <w:rsid w:val="001F3439"/>
    <w:rsid w:val="001F4047"/>
    <w:rsid w:val="001F47EA"/>
    <w:rsid w:val="00203EAB"/>
    <w:rsid w:val="00207204"/>
    <w:rsid w:val="0021129C"/>
    <w:rsid w:val="00211C63"/>
    <w:rsid w:val="00215A3E"/>
    <w:rsid w:val="00215E70"/>
    <w:rsid w:val="00217BC2"/>
    <w:rsid w:val="00217BC8"/>
    <w:rsid w:val="002209FD"/>
    <w:rsid w:val="0022286D"/>
    <w:rsid w:val="002305C6"/>
    <w:rsid w:val="00231489"/>
    <w:rsid w:val="0023282E"/>
    <w:rsid w:val="00234AC6"/>
    <w:rsid w:val="002350FC"/>
    <w:rsid w:val="00236469"/>
    <w:rsid w:val="00245EA2"/>
    <w:rsid w:val="00247031"/>
    <w:rsid w:val="00252238"/>
    <w:rsid w:val="002549D8"/>
    <w:rsid w:val="00255F0D"/>
    <w:rsid w:val="002605DA"/>
    <w:rsid w:val="00261647"/>
    <w:rsid w:val="0026320B"/>
    <w:rsid w:val="00265D09"/>
    <w:rsid w:val="00270975"/>
    <w:rsid w:val="00273CE4"/>
    <w:rsid w:val="0027599F"/>
    <w:rsid w:val="002765E4"/>
    <w:rsid w:val="0028358E"/>
    <w:rsid w:val="00290897"/>
    <w:rsid w:val="00293FCD"/>
    <w:rsid w:val="00294114"/>
    <w:rsid w:val="0029722E"/>
    <w:rsid w:val="002B0D0E"/>
    <w:rsid w:val="002D3C1F"/>
    <w:rsid w:val="002D7836"/>
    <w:rsid w:val="002E01D1"/>
    <w:rsid w:val="002E4269"/>
    <w:rsid w:val="002E632B"/>
    <w:rsid w:val="002F4332"/>
    <w:rsid w:val="002F6E3E"/>
    <w:rsid w:val="00310356"/>
    <w:rsid w:val="0031294E"/>
    <w:rsid w:val="0031739B"/>
    <w:rsid w:val="003277D3"/>
    <w:rsid w:val="00333562"/>
    <w:rsid w:val="003414BE"/>
    <w:rsid w:val="00344654"/>
    <w:rsid w:val="00344800"/>
    <w:rsid w:val="00347B1E"/>
    <w:rsid w:val="00350241"/>
    <w:rsid w:val="00356711"/>
    <w:rsid w:val="00357925"/>
    <w:rsid w:val="003603A3"/>
    <w:rsid w:val="00361044"/>
    <w:rsid w:val="0036285E"/>
    <w:rsid w:val="0036384C"/>
    <w:rsid w:val="00363A3C"/>
    <w:rsid w:val="003640F4"/>
    <w:rsid w:val="00364764"/>
    <w:rsid w:val="00365B8A"/>
    <w:rsid w:val="00367F21"/>
    <w:rsid w:val="00371952"/>
    <w:rsid w:val="00376206"/>
    <w:rsid w:val="00376C11"/>
    <w:rsid w:val="00380D95"/>
    <w:rsid w:val="00382923"/>
    <w:rsid w:val="00385ED0"/>
    <w:rsid w:val="00386BE3"/>
    <w:rsid w:val="00387E63"/>
    <w:rsid w:val="00390DA5"/>
    <w:rsid w:val="0039144F"/>
    <w:rsid w:val="00393363"/>
    <w:rsid w:val="00393CB2"/>
    <w:rsid w:val="00395239"/>
    <w:rsid w:val="003A0532"/>
    <w:rsid w:val="003A4162"/>
    <w:rsid w:val="003A5163"/>
    <w:rsid w:val="003B29A9"/>
    <w:rsid w:val="003B3627"/>
    <w:rsid w:val="003B6A06"/>
    <w:rsid w:val="003B70DD"/>
    <w:rsid w:val="003B76BF"/>
    <w:rsid w:val="003B7C64"/>
    <w:rsid w:val="003C5483"/>
    <w:rsid w:val="003D0946"/>
    <w:rsid w:val="003D2AD6"/>
    <w:rsid w:val="003D6C74"/>
    <w:rsid w:val="003E22ED"/>
    <w:rsid w:val="003E278E"/>
    <w:rsid w:val="003E694D"/>
    <w:rsid w:val="003F22BB"/>
    <w:rsid w:val="0040087F"/>
    <w:rsid w:val="00402922"/>
    <w:rsid w:val="00402C0E"/>
    <w:rsid w:val="00404BA8"/>
    <w:rsid w:val="00412879"/>
    <w:rsid w:val="004144AF"/>
    <w:rsid w:val="0042509C"/>
    <w:rsid w:val="00425A59"/>
    <w:rsid w:val="0043702C"/>
    <w:rsid w:val="004423EC"/>
    <w:rsid w:val="004456C9"/>
    <w:rsid w:val="00451DAB"/>
    <w:rsid w:val="00452315"/>
    <w:rsid w:val="00464094"/>
    <w:rsid w:val="00465A35"/>
    <w:rsid w:val="004676E5"/>
    <w:rsid w:val="0047188C"/>
    <w:rsid w:val="0047323C"/>
    <w:rsid w:val="00476C2D"/>
    <w:rsid w:val="00492BAA"/>
    <w:rsid w:val="00494F90"/>
    <w:rsid w:val="004976B7"/>
    <w:rsid w:val="004A242A"/>
    <w:rsid w:val="004A252F"/>
    <w:rsid w:val="004C44AD"/>
    <w:rsid w:val="004C5DBE"/>
    <w:rsid w:val="004C628A"/>
    <w:rsid w:val="004E0B00"/>
    <w:rsid w:val="004E462E"/>
    <w:rsid w:val="004E5812"/>
    <w:rsid w:val="004E6137"/>
    <w:rsid w:val="004F6AED"/>
    <w:rsid w:val="005033E2"/>
    <w:rsid w:val="005079B9"/>
    <w:rsid w:val="00514A24"/>
    <w:rsid w:val="00514C35"/>
    <w:rsid w:val="005164EC"/>
    <w:rsid w:val="00520E91"/>
    <w:rsid w:val="00537854"/>
    <w:rsid w:val="00540F8F"/>
    <w:rsid w:val="00541008"/>
    <w:rsid w:val="005503AF"/>
    <w:rsid w:val="0055651C"/>
    <w:rsid w:val="005629AF"/>
    <w:rsid w:val="0056373C"/>
    <w:rsid w:val="005669EE"/>
    <w:rsid w:val="00567C90"/>
    <w:rsid w:val="005704CF"/>
    <w:rsid w:val="00577697"/>
    <w:rsid w:val="00582022"/>
    <w:rsid w:val="0058620B"/>
    <w:rsid w:val="005949E8"/>
    <w:rsid w:val="00594E53"/>
    <w:rsid w:val="00595C6A"/>
    <w:rsid w:val="00595E0C"/>
    <w:rsid w:val="005A17A2"/>
    <w:rsid w:val="005A24A6"/>
    <w:rsid w:val="005A5CA2"/>
    <w:rsid w:val="005A6908"/>
    <w:rsid w:val="005B4E06"/>
    <w:rsid w:val="005B5AAA"/>
    <w:rsid w:val="005B6098"/>
    <w:rsid w:val="005B6A1E"/>
    <w:rsid w:val="005C2F3C"/>
    <w:rsid w:val="005D15F9"/>
    <w:rsid w:val="005D4B99"/>
    <w:rsid w:val="005E1B89"/>
    <w:rsid w:val="005E3B73"/>
    <w:rsid w:val="005E5A48"/>
    <w:rsid w:val="005E6EB6"/>
    <w:rsid w:val="005F05B2"/>
    <w:rsid w:val="005F51A1"/>
    <w:rsid w:val="005F733A"/>
    <w:rsid w:val="00601DB2"/>
    <w:rsid w:val="006027E5"/>
    <w:rsid w:val="006030DC"/>
    <w:rsid w:val="00605B7E"/>
    <w:rsid w:val="00607B0F"/>
    <w:rsid w:val="006131B9"/>
    <w:rsid w:val="00614EBE"/>
    <w:rsid w:val="00615E18"/>
    <w:rsid w:val="006309B7"/>
    <w:rsid w:val="00643E31"/>
    <w:rsid w:val="00644A21"/>
    <w:rsid w:val="00652E15"/>
    <w:rsid w:val="0065725C"/>
    <w:rsid w:val="006572C9"/>
    <w:rsid w:val="00660CDF"/>
    <w:rsid w:val="00662341"/>
    <w:rsid w:val="0066382B"/>
    <w:rsid w:val="00666B2F"/>
    <w:rsid w:val="00672526"/>
    <w:rsid w:val="0067590F"/>
    <w:rsid w:val="006838FE"/>
    <w:rsid w:val="00692045"/>
    <w:rsid w:val="00694EC2"/>
    <w:rsid w:val="00697235"/>
    <w:rsid w:val="006A1900"/>
    <w:rsid w:val="006A4FFD"/>
    <w:rsid w:val="006A51FB"/>
    <w:rsid w:val="006B332B"/>
    <w:rsid w:val="006B5186"/>
    <w:rsid w:val="006C45E2"/>
    <w:rsid w:val="006C7320"/>
    <w:rsid w:val="006D3545"/>
    <w:rsid w:val="006F3CDF"/>
    <w:rsid w:val="006F6E18"/>
    <w:rsid w:val="007005F3"/>
    <w:rsid w:val="00700DA9"/>
    <w:rsid w:val="00704BF3"/>
    <w:rsid w:val="007071C2"/>
    <w:rsid w:val="00711D6E"/>
    <w:rsid w:val="00720FD3"/>
    <w:rsid w:val="00727E4D"/>
    <w:rsid w:val="00730FAC"/>
    <w:rsid w:val="0073463E"/>
    <w:rsid w:val="00734FEC"/>
    <w:rsid w:val="00736D53"/>
    <w:rsid w:val="00737C9C"/>
    <w:rsid w:val="00741FCF"/>
    <w:rsid w:val="00742ADF"/>
    <w:rsid w:val="00745407"/>
    <w:rsid w:val="00750ED9"/>
    <w:rsid w:val="0075338D"/>
    <w:rsid w:val="00757AEA"/>
    <w:rsid w:val="007619DB"/>
    <w:rsid w:val="00763D3B"/>
    <w:rsid w:val="00767B85"/>
    <w:rsid w:val="00770871"/>
    <w:rsid w:val="0077148A"/>
    <w:rsid w:val="00773529"/>
    <w:rsid w:val="00775F8A"/>
    <w:rsid w:val="00780EDE"/>
    <w:rsid w:val="0078481C"/>
    <w:rsid w:val="007A5284"/>
    <w:rsid w:val="007A6459"/>
    <w:rsid w:val="007A67F6"/>
    <w:rsid w:val="007B3D7E"/>
    <w:rsid w:val="007C3EA2"/>
    <w:rsid w:val="007C7130"/>
    <w:rsid w:val="007D0EC1"/>
    <w:rsid w:val="007D2CF1"/>
    <w:rsid w:val="007D3842"/>
    <w:rsid w:val="007E1080"/>
    <w:rsid w:val="007E180C"/>
    <w:rsid w:val="007E2410"/>
    <w:rsid w:val="007E3E3D"/>
    <w:rsid w:val="007E3EE0"/>
    <w:rsid w:val="007E59A0"/>
    <w:rsid w:val="007E6964"/>
    <w:rsid w:val="007F218B"/>
    <w:rsid w:val="00804034"/>
    <w:rsid w:val="00811CBE"/>
    <w:rsid w:val="008143E6"/>
    <w:rsid w:val="008148B2"/>
    <w:rsid w:val="00814A15"/>
    <w:rsid w:val="00815EDF"/>
    <w:rsid w:val="00817F85"/>
    <w:rsid w:val="008267F6"/>
    <w:rsid w:val="00831278"/>
    <w:rsid w:val="00835637"/>
    <w:rsid w:val="0083752C"/>
    <w:rsid w:val="008375DD"/>
    <w:rsid w:val="00840C99"/>
    <w:rsid w:val="0084200F"/>
    <w:rsid w:val="0084278C"/>
    <w:rsid w:val="0084456D"/>
    <w:rsid w:val="008457A9"/>
    <w:rsid w:val="00845E06"/>
    <w:rsid w:val="008518C8"/>
    <w:rsid w:val="00854AC5"/>
    <w:rsid w:val="00855FDF"/>
    <w:rsid w:val="00856DDC"/>
    <w:rsid w:val="00865796"/>
    <w:rsid w:val="008660BA"/>
    <w:rsid w:val="00872945"/>
    <w:rsid w:val="008729BA"/>
    <w:rsid w:val="0087347C"/>
    <w:rsid w:val="008737CB"/>
    <w:rsid w:val="00874809"/>
    <w:rsid w:val="00875A9F"/>
    <w:rsid w:val="008810E3"/>
    <w:rsid w:val="00883464"/>
    <w:rsid w:val="00883611"/>
    <w:rsid w:val="0088600E"/>
    <w:rsid w:val="008879E3"/>
    <w:rsid w:val="008A0E42"/>
    <w:rsid w:val="008A1415"/>
    <w:rsid w:val="008A2FAA"/>
    <w:rsid w:val="008B4097"/>
    <w:rsid w:val="008B5F4B"/>
    <w:rsid w:val="008B7E3D"/>
    <w:rsid w:val="008C0B3A"/>
    <w:rsid w:val="008C53D2"/>
    <w:rsid w:val="008C6A08"/>
    <w:rsid w:val="008D7C21"/>
    <w:rsid w:val="008E3364"/>
    <w:rsid w:val="008E7F85"/>
    <w:rsid w:val="008F30FE"/>
    <w:rsid w:val="008F6A84"/>
    <w:rsid w:val="008F7CF0"/>
    <w:rsid w:val="00906060"/>
    <w:rsid w:val="009100F5"/>
    <w:rsid w:val="0092253E"/>
    <w:rsid w:val="00922C16"/>
    <w:rsid w:val="00923D1D"/>
    <w:rsid w:val="00927C0D"/>
    <w:rsid w:val="009325CA"/>
    <w:rsid w:val="00941677"/>
    <w:rsid w:val="00944A76"/>
    <w:rsid w:val="00953AFB"/>
    <w:rsid w:val="00953DAD"/>
    <w:rsid w:val="009551B5"/>
    <w:rsid w:val="009574A3"/>
    <w:rsid w:val="00967AB9"/>
    <w:rsid w:val="00967DEB"/>
    <w:rsid w:val="00971C2D"/>
    <w:rsid w:val="00972BB0"/>
    <w:rsid w:val="00976718"/>
    <w:rsid w:val="00977275"/>
    <w:rsid w:val="00977B5C"/>
    <w:rsid w:val="00980297"/>
    <w:rsid w:val="00981D7A"/>
    <w:rsid w:val="0098699D"/>
    <w:rsid w:val="009A5FDA"/>
    <w:rsid w:val="009B0C3B"/>
    <w:rsid w:val="009B0EFE"/>
    <w:rsid w:val="009B23E2"/>
    <w:rsid w:val="009C3886"/>
    <w:rsid w:val="009D2012"/>
    <w:rsid w:val="009D2118"/>
    <w:rsid w:val="009D259E"/>
    <w:rsid w:val="009D4DB2"/>
    <w:rsid w:val="009D5913"/>
    <w:rsid w:val="009D7008"/>
    <w:rsid w:val="009E51C0"/>
    <w:rsid w:val="009E6C56"/>
    <w:rsid w:val="009E70A7"/>
    <w:rsid w:val="009F0A23"/>
    <w:rsid w:val="009F1939"/>
    <w:rsid w:val="00A00B1C"/>
    <w:rsid w:val="00A118F7"/>
    <w:rsid w:val="00A14938"/>
    <w:rsid w:val="00A2203A"/>
    <w:rsid w:val="00A226F3"/>
    <w:rsid w:val="00A263E9"/>
    <w:rsid w:val="00A303F1"/>
    <w:rsid w:val="00A30792"/>
    <w:rsid w:val="00A36E0D"/>
    <w:rsid w:val="00A4182B"/>
    <w:rsid w:val="00A50442"/>
    <w:rsid w:val="00A50789"/>
    <w:rsid w:val="00A5568E"/>
    <w:rsid w:val="00A61DCC"/>
    <w:rsid w:val="00A63BBB"/>
    <w:rsid w:val="00A64987"/>
    <w:rsid w:val="00A65B05"/>
    <w:rsid w:val="00A67CA9"/>
    <w:rsid w:val="00A7194C"/>
    <w:rsid w:val="00A72B2F"/>
    <w:rsid w:val="00A7368F"/>
    <w:rsid w:val="00A808CE"/>
    <w:rsid w:val="00A81443"/>
    <w:rsid w:val="00A842D6"/>
    <w:rsid w:val="00A86F3E"/>
    <w:rsid w:val="00A94033"/>
    <w:rsid w:val="00A95171"/>
    <w:rsid w:val="00A96D15"/>
    <w:rsid w:val="00AA2385"/>
    <w:rsid w:val="00AA52D9"/>
    <w:rsid w:val="00AB3D38"/>
    <w:rsid w:val="00AB762C"/>
    <w:rsid w:val="00AB7A09"/>
    <w:rsid w:val="00AB7B84"/>
    <w:rsid w:val="00AC1001"/>
    <w:rsid w:val="00AC3192"/>
    <w:rsid w:val="00AD6DD8"/>
    <w:rsid w:val="00AD7992"/>
    <w:rsid w:val="00AE0F9F"/>
    <w:rsid w:val="00B00DC6"/>
    <w:rsid w:val="00B03816"/>
    <w:rsid w:val="00B0448C"/>
    <w:rsid w:val="00B179C7"/>
    <w:rsid w:val="00B221D1"/>
    <w:rsid w:val="00B22DAD"/>
    <w:rsid w:val="00B37F9E"/>
    <w:rsid w:val="00B40ADA"/>
    <w:rsid w:val="00B414B6"/>
    <w:rsid w:val="00B44520"/>
    <w:rsid w:val="00B44C5B"/>
    <w:rsid w:val="00B46CF7"/>
    <w:rsid w:val="00B52A45"/>
    <w:rsid w:val="00B545F9"/>
    <w:rsid w:val="00B5660F"/>
    <w:rsid w:val="00B60E3E"/>
    <w:rsid w:val="00B61B2C"/>
    <w:rsid w:val="00B63116"/>
    <w:rsid w:val="00B65E63"/>
    <w:rsid w:val="00B732A6"/>
    <w:rsid w:val="00B755A5"/>
    <w:rsid w:val="00B75F34"/>
    <w:rsid w:val="00B80450"/>
    <w:rsid w:val="00B8061E"/>
    <w:rsid w:val="00B875E3"/>
    <w:rsid w:val="00B90D88"/>
    <w:rsid w:val="00B96065"/>
    <w:rsid w:val="00B96BB7"/>
    <w:rsid w:val="00B979F1"/>
    <w:rsid w:val="00BA1378"/>
    <w:rsid w:val="00BA5738"/>
    <w:rsid w:val="00BA7173"/>
    <w:rsid w:val="00BA7DEF"/>
    <w:rsid w:val="00BB21E8"/>
    <w:rsid w:val="00BB3557"/>
    <w:rsid w:val="00BC034D"/>
    <w:rsid w:val="00BC4CA3"/>
    <w:rsid w:val="00BC4E0D"/>
    <w:rsid w:val="00BC593E"/>
    <w:rsid w:val="00BD0A1A"/>
    <w:rsid w:val="00BD61E0"/>
    <w:rsid w:val="00BD68AC"/>
    <w:rsid w:val="00BE0656"/>
    <w:rsid w:val="00BE0B24"/>
    <w:rsid w:val="00BE2DA1"/>
    <w:rsid w:val="00BE5507"/>
    <w:rsid w:val="00BF1552"/>
    <w:rsid w:val="00BF37C2"/>
    <w:rsid w:val="00BF4EDB"/>
    <w:rsid w:val="00BF6C27"/>
    <w:rsid w:val="00C00D83"/>
    <w:rsid w:val="00C15072"/>
    <w:rsid w:val="00C16437"/>
    <w:rsid w:val="00C16FA5"/>
    <w:rsid w:val="00C248C7"/>
    <w:rsid w:val="00C26671"/>
    <w:rsid w:val="00C27953"/>
    <w:rsid w:val="00C31AEC"/>
    <w:rsid w:val="00C321A2"/>
    <w:rsid w:val="00C4197B"/>
    <w:rsid w:val="00C42942"/>
    <w:rsid w:val="00C46EEE"/>
    <w:rsid w:val="00C472C2"/>
    <w:rsid w:val="00C47AB5"/>
    <w:rsid w:val="00C570A0"/>
    <w:rsid w:val="00C627F0"/>
    <w:rsid w:val="00C65C3A"/>
    <w:rsid w:val="00C66A47"/>
    <w:rsid w:val="00C70DC7"/>
    <w:rsid w:val="00C866A1"/>
    <w:rsid w:val="00C91A39"/>
    <w:rsid w:val="00C92552"/>
    <w:rsid w:val="00C94603"/>
    <w:rsid w:val="00CA0559"/>
    <w:rsid w:val="00CB00DA"/>
    <w:rsid w:val="00CC2F29"/>
    <w:rsid w:val="00CC6FE3"/>
    <w:rsid w:val="00CD0709"/>
    <w:rsid w:val="00CD2E46"/>
    <w:rsid w:val="00CE3DEB"/>
    <w:rsid w:val="00CE530B"/>
    <w:rsid w:val="00CE67D3"/>
    <w:rsid w:val="00D00601"/>
    <w:rsid w:val="00D015B2"/>
    <w:rsid w:val="00D018D2"/>
    <w:rsid w:val="00D03FEC"/>
    <w:rsid w:val="00D05557"/>
    <w:rsid w:val="00D1098A"/>
    <w:rsid w:val="00D177E3"/>
    <w:rsid w:val="00D27100"/>
    <w:rsid w:val="00D344F1"/>
    <w:rsid w:val="00D353B7"/>
    <w:rsid w:val="00D40B6C"/>
    <w:rsid w:val="00D427C1"/>
    <w:rsid w:val="00D44FF8"/>
    <w:rsid w:val="00D527BF"/>
    <w:rsid w:val="00D53070"/>
    <w:rsid w:val="00D560DC"/>
    <w:rsid w:val="00D5614A"/>
    <w:rsid w:val="00D5663C"/>
    <w:rsid w:val="00D56EA1"/>
    <w:rsid w:val="00D57029"/>
    <w:rsid w:val="00D63A62"/>
    <w:rsid w:val="00D72D3E"/>
    <w:rsid w:val="00D73DC4"/>
    <w:rsid w:val="00D75587"/>
    <w:rsid w:val="00D80E1C"/>
    <w:rsid w:val="00D86B56"/>
    <w:rsid w:val="00D906B8"/>
    <w:rsid w:val="00D91BD6"/>
    <w:rsid w:val="00D94BBB"/>
    <w:rsid w:val="00D965FB"/>
    <w:rsid w:val="00DA7788"/>
    <w:rsid w:val="00DA7C03"/>
    <w:rsid w:val="00DB350F"/>
    <w:rsid w:val="00DB3DBA"/>
    <w:rsid w:val="00DD0D14"/>
    <w:rsid w:val="00DD23BB"/>
    <w:rsid w:val="00DD7B94"/>
    <w:rsid w:val="00DE2B7D"/>
    <w:rsid w:val="00DE48FF"/>
    <w:rsid w:val="00DE5F70"/>
    <w:rsid w:val="00DF1A4F"/>
    <w:rsid w:val="00DF2B09"/>
    <w:rsid w:val="00E0135F"/>
    <w:rsid w:val="00E01C80"/>
    <w:rsid w:val="00E15885"/>
    <w:rsid w:val="00E216A2"/>
    <w:rsid w:val="00E24DED"/>
    <w:rsid w:val="00E25492"/>
    <w:rsid w:val="00E31EFD"/>
    <w:rsid w:val="00E33C88"/>
    <w:rsid w:val="00E40D5F"/>
    <w:rsid w:val="00E534D3"/>
    <w:rsid w:val="00E54097"/>
    <w:rsid w:val="00E547E8"/>
    <w:rsid w:val="00E557E3"/>
    <w:rsid w:val="00E6050F"/>
    <w:rsid w:val="00E647F0"/>
    <w:rsid w:val="00E70798"/>
    <w:rsid w:val="00E74013"/>
    <w:rsid w:val="00E74941"/>
    <w:rsid w:val="00E9064C"/>
    <w:rsid w:val="00E95825"/>
    <w:rsid w:val="00E972C7"/>
    <w:rsid w:val="00EA6C8C"/>
    <w:rsid w:val="00EB23C7"/>
    <w:rsid w:val="00EB5F36"/>
    <w:rsid w:val="00EC32AD"/>
    <w:rsid w:val="00EC5B36"/>
    <w:rsid w:val="00EE3FC8"/>
    <w:rsid w:val="00EE544F"/>
    <w:rsid w:val="00EE6D24"/>
    <w:rsid w:val="00EF0200"/>
    <w:rsid w:val="00EF2D03"/>
    <w:rsid w:val="00EF5372"/>
    <w:rsid w:val="00F03DFC"/>
    <w:rsid w:val="00F04175"/>
    <w:rsid w:val="00F07C74"/>
    <w:rsid w:val="00F131FD"/>
    <w:rsid w:val="00F15159"/>
    <w:rsid w:val="00F2047C"/>
    <w:rsid w:val="00F42399"/>
    <w:rsid w:val="00F454B6"/>
    <w:rsid w:val="00F4657C"/>
    <w:rsid w:val="00F5119D"/>
    <w:rsid w:val="00F54EAA"/>
    <w:rsid w:val="00F6585E"/>
    <w:rsid w:val="00F678D1"/>
    <w:rsid w:val="00F70CDF"/>
    <w:rsid w:val="00F721EA"/>
    <w:rsid w:val="00F72A33"/>
    <w:rsid w:val="00F736E7"/>
    <w:rsid w:val="00F76977"/>
    <w:rsid w:val="00F76A01"/>
    <w:rsid w:val="00F76B79"/>
    <w:rsid w:val="00F80331"/>
    <w:rsid w:val="00F838FF"/>
    <w:rsid w:val="00F90766"/>
    <w:rsid w:val="00F95221"/>
    <w:rsid w:val="00F954F2"/>
    <w:rsid w:val="00FA3D71"/>
    <w:rsid w:val="00FA446E"/>
    <w:rsid w:val="00FA72DC"/>
    <w:rsid w:val="00FB2906"/>
    <w:rsid w:val="00FB6665"/>
    <w:rsid w:val="00FC3778"/>
    <w:rsid w:val="00FD27F5"/>
    <w:rsid w:val="00FD2806"/>
    <w:rsid w:val="00FE19EB"/>
    <w:rsid w:val="00FF105C"/>
    <w:rsid w:val="0C1E6A6C"/>
    <w:rsid w:val="2BF31327"/>
    <w:rsid w:val="44B34E70"/>
    <w:rsid w:val="59A478F1"/>
    <w:rsid w:val="5DCC52B7"/>
    <w:rsid w:val="611D5E7E"/>
    <w:rsid w:val="626D7E98"/>
    <w:rsid w:val="67EF4630"/>
    <w:rsid w:val="7B9CDE25"/>
    <w:rsid w:val="7BE7772F"/>
    <w:rsid w:val="97FB0643"/>
    <w:rsid w:val="FAF5F4E8"/>
    <w:rsid w:val="FBBF70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qFormat/>
    <w:uiPriority w:val="9"/>
    <w:pPr>
      <w:widowControl/>
      <w:jc w:val="left"/>
      <w:outlineLvl w:val="2"/>
    </w:pPr>
    <w:rPr>
      <w:rFonts w:ascii="宋体" w:hAnsi="宋体" w:eastAsia="宋体" w:cs="宋体"/>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9"/>
    <w:qFormat/>
    <w:uiPriority w:val="0"/>
    <w:pPr>
      <w:adjustRightInd w:val="0"/>
      <w:spacing w:after="120" w:line="360" w:lineRule="atLeast"/>
      <w:ind w:left="420" w:leftChars="200"/>
      <w:jc w:val="left"/>
      <w:textAlignment w:val="baseline"/>
    </w:pPr>
    <w:rPr>
      <w:kern w:val="0"/>
      <w:sz w:val="24"/>
      <w:szCs w:val="20"/>
    </w:rPr>
  </w:style>
  <w:style w:type="paragraph" w:styleId="6">
    <w:name w:val="Balloon Text"/>
    <w:basedOn w:val="1"/>
    <w:link w:val="25"/>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0">
    <w:name w:val="Normal (Web)"/>
    <w:basedOn w:val="1"/>
    <w:unhideWhenUsed/>
    <w:qFormat/>
    <w:uiPriority w:val="99"/>
    <w:pPr>
      <w:widowControl/>
      <w:jc w:val="left"/>
    </w:pPr>
    <w:rPr>
      <w:rFonts w:ascii="宋体" w:hAnsi="宋体" w:eastAsia="宋体" w:cs="宋体"/>
      <w:kern w:val="0"/>
      <w:sz w:val="24"/>
      <w:szCs w:val="24"/>
    </w:rPr>
  </w:style>
  <w:style w:type="table" w:styleId="12">
    <w:name w:val="Table Grid"/>
    <w:basedOn w:val="11"/>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5">
    <w:name w:val="Hyperlink"/>
    <w:basedOn w:val="13"/>
    <w:unhideWhenUsed/>
    <w:qFormat/>
    <w:uiPriority w:val="99"/>
    <w:rPr>
      <w:color w:val="000000"/>
      <w:u w:val="none"/>
    </w:rPr>
  </w:style>
  <w:style w:type="character" w:customStyle="1" w:styleId="16">
    <w:name w:val="标题 3 Char"/>
    <w:basedOn w:val="13"/>
    <w:link w:val="4"/>
    <w:qFormat/>
    <w:uiPriority w:val="9"/>
    <w:rPr>
      <w:rFonts w:ascii="宋体" w:hAnsi="宋体" w:eastAsia="宋体" w:cs="宋体"/>
      <w:kern w:val="0"/>
      <w:sz w:val="27"/>
      <w:szCs w:val="27"/>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character" w:customStyle="1" w:styleId="19">
    <w:name w:val="正文文本缩进 Char"/>
    <w:link w:val="5"/>
    <w:qFormat/>
    <w:uiPriority w:val="0"/>
    <w:rPr>
      <w:sz w:val="24"/>
    </w:rPr>
  </w:style>
  <w:style w:type="character" w:customStyle="1" w:styleId="20">
    <w:name w:val="正文文本缩进 Char1"/>
    <w:basedOn w:val="13"/>
    <w:semiHidden/>
    <w:qFormat/>
    <w:uiPriority w:val="99"/>
    <w:rPr>
      <w:kern w:val="2"/>
      <w:sz w:val="21"/>
      <w:szCs w:val="22"/>
    </w:rPr>
  </w:style>
  <w:style w:type="character" w:customStyle="1" w:styleId="21">
    <w:name w:val="15"/>
    <w:basedOn w:val="13"/>
    <w:qFormat/>
    <w:uiPriority w:val="0"/>
    <w:rPr>
      <w:color w:val="000000"/>
      <w:u w:val="none"/>
    </w:rPr>
  </w:style>
  <w:style w:type="character" w:customStyle="1" w:styleId="22">
    <w:name w:val="标题 1 Char"/>
    <w:basedOn w:val="13"/>
    <w:link w:val="2"/>
    <w:qFormat/>
    <w:uiPriority w:val="9"/>
    <w:rPr>
      <w:b/>
      <w:bCs/>
      <w:kern w:val="44"/>
      <w:sz w:val="44"/>
      <w:szCs w:val="44"/>
    </w:rPr>
  </w:style>
  <w:style w:type="paragraph" w:styleId="23">
    <w:name w:val="List Paragraph"/>
    <w:basedOn w:val="1"/>
    <w:unhideWhenUsed/>
    <w:qFormat/>
    <w:uiPriority w:val="99"/>
    <w:pPr>
      <w:ind w:firstLine="420" w:firstLineChars="200"/>
    </w:pPr>
  </w:style>
  <w:style w:type="character" w:customStyle="1" w:styleId="24">
    <w:name w:val="标题 2 Char"/>
    <w:basedOn w:val="13"/>
    <w:link w:val="3"/>
    <w:semiHidden/>
    <w:qFormat/>
    <w:uiPriority w:val="9"/>
    <w:rPr>
      <w:rFonts w:asciiTheme="majorHAnsi" w:hAnsiTheme="majorHAnsi" w:eastAsiaTheme="majorEastAsia" w:cstheme="majorBidi"/>
      <w:b/>
      <w:bCs/>
      <w:kern w:val="2"/>
      <w:sz w:val="32"/>
      <w:szCs w:val="32"/>
    </w:rPr>
  </w:style>
  <w:style w:type="character" w:customStyle="1" w:styleId="25">
    <w:name w:val="批注框文本 Char"/>
    <w:basedOn w:val="13"/>
    <w:link w:val="6"/>
    <w:semiHidden/>
    <w:qFormat/>
    <w:uiPriority w:val="99"/>
    <w:rPr>
      <w:kern w:val="2"/>
      <w:sz w:val="18"/>
      <w:szCs w:val="18"/>
    </w:rPr>
  </w:style>
  <w:style w:type="paragraph" w:customStyle="1" w:styleId="26">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9773</Words>
  <Characters>11404</Characters>
  <Lines>39</Lines>
  <Paragraphs>11</Paragraphs>
  <TotalTime>512</TotalTime>
  <ScaleCrop>false</ScaleCrop>
  <LinksUpToDate>false</LinksUpToDate>
  <CharactersWithSpaces>11606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2022-08-20T17:13:00Z</dcterms:created>
  <dc:creator>许昌市公共资源交易中心:黄莹莹（备用）</dc:creator>
  <cp:lastModifiedBy>huanghe</cp:lastModifiedBy>
  <cp:lastPrinted>2022-08-20T16:57:00Z</cp:lastPrinted>
  <dcterms:modified xsi:type="dcterms:W3CDTF">2024-07-15T09:41:42Z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A238E31C24DA4D6383804845819661C7_13</vt:lpwstr>
  </property>
</Properties>
</file>