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p>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52"/>
          <w:szCs w:val="52"/>
          <w:highlight w:val="none"/>
        </w:rPr>
        <w:t>建安区建设工程</w:t>
      </w:r>
    </w:p>
    <w:p>
      <w:pPr>
        <w:ind w:left="-282" w:leftChars="-83"/>
        <w:jc w:val="center"/>
        <w:rPr>
          <w:rFonts w:hint="eastAsia" w:ascii="宋体" w:hAnsi="宋体" w:eastAsia="宋体" w:cs="宋体"/>
          <w:b w:val="0"/>
          <w:bCs w:val="0"/>
          <w:color w:val="auto"/>
          <w:sz w:val="24"/>
          <w:szCs w:val="24"/>
          <w:highlight w:val="none"/>
        </w:rPr>
      </w:pPr>
    </w:p>
    <w:p>
      <w:pPr>
        <w:rPr>
          <w:rFonts w:hint="eastAsia" w:ascii="宋体" w:hAnsi="宋体" w:eastAsia="宋体" w:cs="宋体"/>
          <w:b w:val="0"/>
          <w:bCs w:val="0"/>
          <w:color w:val="auto"/>
          <w:sz w:val="24"/>
          <w:szCs w:val="24"/>
          <w:highlight w:val="none"/>
        </w:rPr>
      </w:pPr>
    </w:p>
    <w:p>
      <w:pPr>
        <w:rPr>
          <w:rFonts w:hint="eastAsia" w:ascii="宋体" w:hAnsi="宋体" w:eastAsia="宋体" w:cs="宋体"/>
          <w:b w:val="0"/>
          <w:bCs w:val="0"/>
          <w:color w:val="auto"/>
          <w:sz w:val="24"/>
          <w:szCs w:val="24"/>
          <w:highlight w:val="none"/>
        </w:rPr>
      </w:pPr>
    </w:p>
    <w:p>
      <w:pPr>
        <w:pStyle w:val="33"/>
        <w:ind w:firstLine="340"/>
        <w:rPr>
          <w:rFonts w:hint="eastAsia" w:ascii="宋体" w:hAnsi="宋体" w:eastAsia="宋体" w:cs="宋体"/>
          <w:b w:val="0"/>
          <w:bCs w:val="0"/>
          <w:color w:val="auto"/>
          <w:sz w:val="24"/>
          <w:szCs w:val="24"/>
          <w:highlight w:val="none"/>
        </w:rPr>
      </w:pPr>
    </w:p>
    <w:p>
      <w:pPr>
        <w:jc w:val="center"/>
        <w:rPr>
          <w:rFonts w:hint="eastAsia" w:ascii="宋体" w:hAnsi="宋体" w:eastAsia="宋体" w:cs="宋体"/>
          <w:b w:val="0"/>
          <w:bCs w:val="0"/>
          <w:color w:val="auto"/>
          <w:sz w:val="52"/>
          <w:szCs w:val="52"/>
          <w:highlight w:val="none"/>
        </w:rPr>
      </w:pPr>
      <w:r>
        <w:rPr>
          <w:rFonts w:hint="eastAsia" w:ascii="宋体" w:hAnsi="宋体" w:eastAsia="宋体" w:cs="宋体"/>
          <w:b w:val="0"/>
          <w:bCs w:val="0"/>
          <w:color w:val="auto"/>
          <w:sz w:val="52"/>
          <w:szCs w:val="52"/>
          <w:highlight w:val="none"/>
        </w:rPr>
        <w:t>招</w:t>
      </w:r>
    </w:p>
    <w:p>
      <w:pPr>
        <w:jc w:val="center"/>
        <w:rPr>
          <w:rFonts w:hint="eastAsia" w:ascii="宋体" w:hAnsi="宋体" w:eastAsia="宋体" w:cs="宋体"/>
          <w:b w:val="0"/>
          <w:bCs w:val="0"/>
          <w:color w:val="auto"/>
          <w:sz w:val="52"/>
          <w:szCs w:val="52"/>
          <w:highlight w:val="none"/>
        </w:rPr>
      </w:pPr>
      <w:r>
        <w:rPr>
          <w:rFonts w:hint="eastAsia" w:ascii="宋体" w:hAnsi="宋体" w:eastAsia="宋体" w:cs="宋体"/>
          <w:b w:val="0"/>
          <w:bCs w:val="0"/>
          <w:color w:val="auto"/>
          <w:sz w:val="52"/>
          <w:szCs w:val="52"/>
          <w:highlight w:val="none"/>
        </w:rPr>
        <w:t>标</w:t>
      </w:r>
    </w:p>
    <w:p>
      <w:pPr>
        <w:jc w:val="center"/>
        <w:rPr>
          <w:rFonts w:hint="eastAsia" w:ascii="宋体" w:hAnsi="宋体" w:eastAsia="宋体" w:cs="宋体"/>
          <w:b w:val="0"/>
          <w:bCs w:val="0"/>
          <w:color w:val="auto"/>
          <w:sz w:val="52"/>
          <w:szCs w:val="52"/>
          <w:highlight w:val="none"/>
        </w:rPr>
      </w:pPr>
      <w:r>
        <w:rPr>
          <w:rFonts w:hint="eastAsia" w:ascii="宋体" w:hAnsi="宋体" w:eastAsia="宋体" w:cs="宋体"/>
          <w:b w:val="0"/>
          <w:bCs w:val="0"/>
          <w:color w:val="auto"/>
          <w:sz w:val="52"/>
          <w:szCs w:val="52"/>
          <w:highlight w:val="none"/>
        </w:rPr>
        <w:t>文</w:t>
      </w:r>
    </w:p>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52"/>
          <w:szCs w:val="52"/>
          <w:highlight w:val="none"/>
        </w:rPr>
        <w:t>件</w:t>
      </w:r>
    </w:p>
    <w:p>
      <w:pPr>
        <w:pStyle w:val="33"/>
        <w:ind w:firstLine="340"/>
        <w:rPr>
          <w:rFonts w:hint="eastAsia" w:ascii="宋体" w:hAnsi="宋体" w:eastAsia="宋体" w:cs="宋体"/>
          <w:color w:val="auto"/>
          <w:sz w:val="24"/>
          <w:szCs w:val="24"/>
          <w:highlight w:val="none"/>
        </w:rPr>
      </w:pPr>
    </w:p>
    <w:p>
      <w:pPr>
        <w:pStyle w:val="34"/>
        <w:ind w:left="680" w:firstLine="680"/>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spacing w:line="360" w:lineRule="auto"/>
        <w:ind w:leftChars="400" w:firstLine="840" w:firstLineChars="3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项目编号：</w:t>
      </w:r>
      <w:r>
        <w:rPr>
          <w:rFonts w:hint="eastAsia" w:hAnsi="宋体" w:cs="宋体"/>
          <w:b/>
          <w:bCs/>
          <w:color w:val="auto"/>
          <w:sz w:val="28"/>
          <w:szCs w:val="28"/>
          <w:highlight w:val="none"/>
          <w:lang w:eastAsia="zh-CN"/>
        </w:rPr>
        <w:t>建安建工公字〔2024〕21号</w:t>
      </w:r>
    </w:p>
    <w:p>
      <w:pPr>
        <w:spacing w:line="360" w:lineRule="auto"/>
        <w:ind w:leftChars="400" w:firstLine="840" w:firstLineChars="3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项目名称：</w:t>
      </w:r>
      <w:r>
        <w:rPr>
          <w:rFonts w:hint="eastAsia" w:hAnsi="宋体" w:cs="宋体"/>
          <w:b/>
          <w:bCs/>
          <w:color w:val="auto"/>
          <w:sz w:val="28"/>
          <w:szCs w:val="28"/>
          <w:highlight w:val="none"/>
          <w:lang w:eastAsia="zh-CN"/>
        </w:rPr>
        <w:t>建安区2024年西部乡镇高标准农田建设项目勘测设计</w:t>
      </w:r>
      <w:r>
        <w:rPr>
          <w:rFonts w:hint="eastAsia" w:ascii="宋体" w:hAnsi="宋体" w:eastAsia="宋体" w:cs="宋体"/>
          <w:b/>
          <w:bCs/>
          <w:color w:val="auto"/>
          <w:sz w:val="28"/>
          <w:szCs w:val="28"/>
          <w:highlight w:val="none"/>
          <w:lang w:eastAsia="zh-CN"/>
        </w:rPr>
        <w:t>（不见面开标）</w:t>
      </w:r>
    </w:p>
    <w:p>
      <w:pPr>
        <w:spacing w:line="360" w:lineRule="auto"/>
        <w:ind w:leftChars="400" w:firstLine="840" w:firstLineChars="3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招 标 人：</w:t>
      </w:r>
      <w:r>
        <w:rPr>
          <w:rFonts w:hint="eastAsia" w:hAnsi="宋体" w:cs="宋体"/>
          <w:b/>
          <w:bCs/>
          <w:color w:val="auto"/>
          <w:sz w:val="28"/>
          <w:szCs w:val="28"/>
          <w:highlight w:val="none"/>
          <w:lang w:eastAsia="zh-CN"/>
        </w:rPr>
        <w:t>许昌市建安区农业农村局</w:t>
      </w:r>
    </w:p>
    <w:p>
      <w:pPr>
        <w:pStyle w:val="21"/>
        <w:ind w:left="1360" w:leftChars="400" w:firstLine="840" w:firstLineChars="300"/>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代理机构：</w:t>
      </w:r>
      <w:r>
        <w:rPr>
          <w:rFonts w:hint="eastAsia" w:hAnsi="宋体" w:cs="宋体"/>
          <w:b/>
          <w:bCs/>
          <w:color w:val="auto"/>
          <w:sz w:val="28"/>
          <w:szCs w:val="28"/>
          <w:highlight w:val="none"/>
          <w:lang w:eastAsia="zh-CN"/>
        </w:rPr>
        <w:t>河南特慧工程咨询有限公司</w:t>
      </w:r>
    </w:p>
    <w:p>
      <w:pPr>
        <w:pStyle w:val="21"/>
        <w:ind w:left="0" w:leftChars="0"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月</w:t>
      </w:r>
    </w:p>
    <w:p>
      <w:pPr>
        <w:pStyle w:val="21"/>
        <w:jc w:val="center"/>
        <w:rPr>
          <w:rFonts w:hint="eastAsia" w:ascii="宋体" w:hAnsi="宋体" w:eastAsia="宋体" w:cs="宋体"/>
          <w:b/>
          <w:color w:val="auto"/>
          <w:sz w:val="24"/>
          <w:szCs w:val="24"/>
          <w:highlight w:val="none"/>
        </w:rPr>
      </w:pPr>
    </w:p>
    <w:p>
      <w:pPr>
        <w:pStyle w:val="21"/>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jc w:val="center"/>
        <w:rPr>
          <w:rFonts w:hint="eastAsia" w:ascii="宋体" w:hAnsi="宋体" w:eastAsia="宋体" w:cs="宋体"/>
          <w:b/>
          <w:color w:val="auto"/>
          <w:sz w:val="28"/>
          <w:szCs w:val="28"/>
          <w:highlight w:val="none"/>
        </w:rPr>
      </w:pPr>
    </w:p>
    <w:p>
      <w:pPr>
        <w:tabs>
          <w:tab w:val="left" w:leader="hyphen" w:pos="7919"/>
        </w:tabs>
        <w:snapToGrid w:val="0"/>
        <w:spacing w:line="480" w:lineRule="auto"/>
        <w:ind w:firstLine="64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第一章  招标公告</w:t>
      </w:r>
      <w:r>
        <w:rPr>
          <w:rFonts w:hint="eastAsia" w:ascii="宋体" w:hAnsi="宋体" w:eastAsia="宋体" w:cs="宋体"/>
          <w:b/>
          <w:color w:val="auto"/>
          <w:sz w:val="28"/>
          <w:szCs w:val="28"/>
          <w:highlight w:val="none"/>
        </w:rPr>
        <w:tab/>
      </w:r>
    </w:p>
    <w:p>
      <w:pPr>
        <w:tabs>
          <w:tab w:val="left" w:leader="hyphen" w:pos="7919"/>
        </w:tabs>
        <w:snapToGrid w:val="0"/>
        <w:spacing w:line="480" w:lineRule="auto"/>
        <w:ind w:firstLine="64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第二章  投标</w:t>
      </w:r>
      <w:r>
        <w:rPr>
          <w:rFonts w:hint="eastAsia" w:hAnsi="宋体" w:cs="宋体"/>
          <w:b/>
          <w:color w:val="auto"/>
          <w:sz w:val="28"/>
          <w:szCs w:val="28"/>
          <w:highlight w:val="none"/>
          <w:lang w:val="en-US" w:eastAsia="zh-CN"/>
        </w:rPr>
        <w:t>人</w:t>
      </w:r>
      <w:r>
        <w:rPr>
          <w:rFonts w:hint="eastAsia" w:ascii="宋体" w:hAnsi="宋体" w:eastAsia="宋体" w:cs="宋体"/>
          <w:b/>
          <w:color w:val="auto"/>
          <w:sz w:val="28"/>
          <w:szCs w:val="28"/>
          <w:highlight w:val="none"/>
        </w:rPr>
        <w:t>须知</w:t>
      </w:r>
      <w:r>
        <w:rPr>
          <w:rFonts w:hint="eastAsia" w:ascii="宋体" w:hAnsi="宋体" w:eastAsia="宋体" w:cs="宋体"/>
          <w:b/>
          <w:color w:val="auto"/>
          <w:sz w:val="28"/>
          <w:szCs w:val="28"/>
          <w:highlight w:val="none"/>
        </w:rPr>
        <w:tab/>
      </w:r>
    </w:p>
    <w:p>
      <w:pPr>
        <w:tabs>
          <w:tab w:val="left" w:leader="hyphen" w:pos="7919"/>
        </w:tabs>
        <w:snapToGrid w:val="0"/>
        <w:spacing w:line="480" w:lineRule="auto"/>
        <w:ind w:firstLine="64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第三章  评标办法</w:t>
      </w:r>
      <w:r>
        <w:rPr>
          <w:rFonts w:hint="eastAsia" w:ascii="宋体" w:hAnsi="宋体" w:eastAsia="宋体" w:cs="宋体"/>
          <w:b/>
          <w:color w:val="auto"/>
          <w:sz w:val="28"/>
          <w:szCs w:val="28"/>
          <w:highlight w:val="none"/>
        </w:rPr>
        <w:tab/>
      </w:r>
    </w:p>
    <w:p>
      <w:pPr>
        <w:tabs>
          <w:tab w:val="left" w:leader="hyphen" w:pos="7919"/>
        </w:tabs>
        <w:snapToGrid w:val="0"/>
        <w:spacing w:line="480" w:lineRule="auto"/>
        <w:ind w:firstLine="64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第四章  合同条款及格式</w:t>
      </w:r>
      <w:r>
        <w:rPr>
          <w:rFonts w:hint="eastAsia" w:ascii="宋体" w:hAnsi="宋体" w:eastAsia="宋体" w:cs="宋体"/>
          <w:b/>
          <w:color w:val="auto"/>
          <w:sz w:val="28"/>
          <w:szCs w:val="28"/>
          <w:highlight w:val="none"/>
        </w:rPr>
        <w:tab/>
      </w:r>
    </w:p>
    <w:p>
      <w:pPr>
        <w:tabs>
          <w:tab w:val="left" w:leader="hyphen" w:pos="7919"/>
        </w:tabs>
        <w:snapToGrid w:val="0"/>
        <w:spacing w:line="480" w:lineRule="auto"/>
        <w:ind w:firstLine="64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第五章  发包人要求</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tab/>
      </w:r>
    </w:p>
    <w:p>
      <w:pPr>
        <w:tabs>
          <w:tab w:val="left" w:leader="hyphen" w:pos="7919"/>
        </w:tabs>
        <w:snapToGrid w:val="0"/>
        <w:spacing w:line="480" w:lineRule="auto"/>
        <w:ind w:firstLine="645"/>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第六章  投标文件格式</w:t>
      </w:r>
      <w:r>
        <w:rPr>
          <w:rFonts w:hint="eastAsia" w:ascii="宋体" w:hAnsi="宋体" w:eastAsia="宋体" w:cs="宋体"/>
          <w:b/>
          <w:color w:val="auto"/>
          <w:sz w:val="28"/>
          <w:szCs w:val="28"/>
          <w:highlight w:val="none"/>
        </w:rPr>
        <w:tab/>
      </w:r>
    </w:p>
    <w:p>
      <w:pPr>
        <w:ind w:firstLine="2599" w:firstLineChars="108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ind w:firstLine="2599" w:firstLineChars="1083"/>
        <w:rPr>
          <w:rFonts w:hint="eastAsia" w:ascii="宋体" w:hAnsi="宋体" w:eastAsia="宋体" w:cs="宋体"/>
          <w:b/>
          <w:color w:val="auto"/>
          <w:sz w:val="24"/>
          <w:szCs w:val="24"/>
          <w:highlight w:val="none"/>
        </w:rPr>
        <w:sectPr>
          <w:headerReference r:id="rId4" w:type="first"/>
          <w:footerReference r:id="rId5" w:type="first"/>
          <w:headerReference r:id="rId3" w:type="default"/>
          <w:pgSz w:w="11906" w:h="16838"/>
          <w:pgMar w:top="1304" w:right="1134" w:bottom="1304" w:left="1134" w:header="851" w:footer="992" w:gutter="0"/>
          <w:pgNumType w:fmt="decimal" w:start="1"/>
          <w:cols w:space="0" w:num="1"/>
          <w:docGrid w:type="linesAndChars" w:linePitch="312" w:charSpace="0"/>
        </w:sectPr>
      </w:pPr>
    </w:p>
    <w:p>
      <w:pPr>
        <w:ind w:firstLine="2599" w:firstLineChars="1083"/>
        <w:rPr>
          <w:rFonts w:hint="eastAsia" w:ascii="宋体" w:hAnsi="宋体" w:eastAsia="宋体" w:cs="宋体"/>
          <w:b/>
          <w:color w:val="auto"/>
          <w:sz w:val="24"/>
          <w:szCs w:val="24"/>
          <w:highlight w:val="none"/>
        </w:rPr>
      </w:pPr>
    </w:p>
    <w:p>
      <w:pPr>
        <w:tabs>
          <w:tab w:val="left" w:pos="3185"/>
          <w:tab w:val="center" w:pos="5452"/>
        </w:tabs>
        <w:snapToGrid w:val="0"/>
        <w:spacing w:before="156" w:beforeLines="50"/>
        <w:jc w:val="left"/>
        <w:rPr>
          <w:rFonts w:hint="eastAsia" w:ascii="宋体" w:hAnsi="宋体" w:eastAsia="宋体" w:cs="宋体"/>
          <w:b/>
          <w:color w:val="auto"/>
          <w:sz w:val="24"/>
          <w:szCs w:val="24"/>
          <w:highlight w:val="none"/>
        </w:rPr>
        <w:sectPr>
          <w:type w:val="continuous"/>
          <w:pgSz w:w="11906" w:h="16838"/>
          <w:pgMar w:top="1304" w:right="1134" w:bottom="1304" w:left="1134" w:header="851" w:footer="992" w:gutter="0"/>
          <w:pgNumType w:fmt="decimal"/>
          <w:cols w:space="0" w:num="1"/>
          <w:titlePg/>
          <w:docGrid w:type="linesAndChars" w:linePitch="312" w:charSpace="0"/>
        </w:sectPr>
      </w:pPr>
      <w:bookmarkStart w:id="0" w:name="_Toc215282124"/>
      <w:r>
        <w:rPr>
          <w:rFonts w:hint="eastAsia" w:ascii="宋体" w:hAnsi="宋体" w:eastAsia="宋体" w:cs="宋体"/>
          <w:b/>
          <w:color w:val="auto"/>
          <w:sz w:val="24"/>
          <w:szCs w:val="24"/>
          <w:highlight w:val="none"/>
        </w:rPr>
        <w:t xml:space="preserve">   </w:t>
      </w:r>
    </w:p>
    <w:p>
      <w:pPr>
        <w:tabs>
          <w:tab w:val="left" w:pos="3185"/>
          <w:tab w:val="center" w:pos="5452"/>
        </w:tabs>
        <w:snapToGrid w:val="0"/>
        <w:spacing w:before="120" w:beforeLines="5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第一章 招标公告</w:t>
      </w:r>
    </w:p>
    <w:p>
      <w:pPr>
        <w:autoSpaceDE w:val="0"/>
        <w:autoSpaceDN w:val="0"/>
        <w:adjustRightInd w:val="0"/>
        <w:spacing w:line="520" w:lineRule="exact"/>
        <w:ind w:firstLine="560" w:firstLineChars="200"/>
        <w:jc w:val="center"/>
        <w:outlineLvl w:val="0"/>
        <w:rPr>
          <w:rFonts w:hint="eastAsia" w:ascii="宋体" w:hAnsi="宋体" w:eastAsia="宋体" w:cs="宋体"/>
          <w:b/>
          <w:bCs/>
          <w:color w:val="auto"/>
          <w:sz w:val="28"/>
          <w:szCs w:val="28"/>
          <w:highlight w:val="none"/>
          <w:lang w:eastAsia="zh-CN"/>
        </w:rPr>
      </w:pPr>
      <w:r>
        <w:rPr>
          <w:rFonts w:hint="eastAsia" w:hAnsi="宋体" w:cs="宋体"/>
          <w:b/>
          <w:bCs/>
          <w:color w:val="auto"/>
          <w:sz w:val="28"/>
          <w:szCs w:val="28"/>
          <w:highlight w:val="none"/>
          <w:lang w:eastAsia="zh-CN"/>
        </w:rPr>
        <w:t>建安建工公字〔2024〕21号</w:t>
      </w:r>
    </w:p>
    <w:p>
      <w:pPr>
        <w:autoSpaceDE w:val="0"/>
        <w:autoSpaceDN w:val="0"/>
        <w:adjustRightInd w:val="0"/>
        <w:spacing w:line="520" w:lineRule="exact"/>
        <w:ind w:firstLine="560" w:firstLineChars="200"/>
        <w:jc w:val="center"/>
        <w:outlineLvl w:val="0"/>
        <w:rPr>
          <w:rFonts w:hint="eastAsia" w:hAnsi="宋体" w:cs="宋体"/>
          <w:b/>
          <w:bCs/>
          <w:color w:val="auto"/>
          <w:sz w:val="28"/>
          <w:szCs w:val="28"/>
          <w:highlight w:val="none"/>
          <w:lang w:eastAsia="zh-CN"/>
        </w:rPr>
      </w:pPr>
      <w:r>
        <w:rPr>
          <w:rFonts w:hint="eastAsia" w:hAnsi="宋体" w:cs="宋体"/>
          <w:b/>
          <w:bCs/>
          <w:color w:val="auto"/>
          <w:sz w:val="28"/>
          <w:szCs w:val="28"/>
          <w:highlight w:val="none"/>
          <w:lang w:eastAsia="zh-CN"/>
        </w:rPr>
        <w:t>许昌市建安区农业农村局</w:t>
      </w:r>
    </w:p>
    <w:p>
      <w:pPr>
        <w:autoSpaceDE w:val="0"/>
        <w:autoSpaceDN w:val="0"/>
        <w:adjustRightInd w:val="0"/>
        <w:spacing w:line="520" w:lineRule="exact"/>
        <w:ind w:firstLine="560" w:firstLineChars="200"/>
        <w:jc w:val="center"/>
        <w:outlineLvl w:val="0"/>
        <w:rPr>
          <w:rFonts w:hint="eastAsia" w:ascii="宋体" w:hAnsi="宋体" w:eastAsia="宋体" w:cs="宋体"/>
          <w:b/>
          <w:bCs/>
          <w:color w:val="auto"/>
          <w:sz w:val="28"/>
          <w:szCs w:val="28"/>
          <w:highlight w:val="none"/>
        </w:rPr>
      </w:pPr>
      <w:r>
        <w:rPr>
          <w:rFonts w:hint="eastAsia" w:hAnsi="宋体" w:cs="宋体"/>
          <w:b/>
          <w:bCs/>
          <w:color w:val="auto"/>
          <w:sz w:val="28"/>
          <w:szCs w:val="28"/>
          <w:highlight w:val="none"/>
          <w:lang w:eastAsia="zh-CN"/>
        </w:rPr>
        <w:t>建安区2024年西部乡镇高标准农田建设项目勘测设计</w:t>
      </w:r>
      <w:r>
        <w:rPr>
          <w:rFonts w:hint="eastAsia" w:ascii="宋体" w:hAnsi="宋体" w:eastAsia="宋体" w:cs="宋体"/>
          <w:b/>
          <w:bCs/>
          <w:color w:val="auto"/>
          <w:sz w:val="28"/>
          <w:szCs w:val="28"/>
          <w:highlight w:val="none"/>
        </w:rPr>
        <w:t>（不见面开标）</w:t>
      </w:r>
    </w:p>
    <w:p>
      <w:pPr>
        <w:autoSpaceDE w:val="0"/>
        <w:autoSpaceDN w:val="0"/>
        <w:adjustRightInd w:val="0"/>
        <w:spacing w:line="520" w:lineRule="exact"/>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公开</w:t>
      </w:r>
      <w:r>
        <w:rPr>
          <w:rFonts w:hint="eastAsia" w:ascii="宋体" w:hAnsi="宋体" w:eastAsia="宋体" w:cs="宋体"/>
          <w:b/>
          <w:bCs/>
          <w:color w:val="auto"/>
          <w:sz w:val="28"/>
          <w:szCs w:val="28"/>
          <w:highlight w:val="none"/>
        </w:rPr>
        <w:t>招标公告</w:t>
      </w:r>
    </w:p>
    <w:p>
      <w:pPr>
        <w:widowControl/>
        <w:shd w:val="clear" w:color="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 xml:space="preserve">招标条件 </w:t>
      </w:r>
    </w:p>
    <w:p>
      <w:pPr>
        <w:spacing w:before="71" w:line="374" w:lineRule="auto"/>
        <w:ind w:right="120"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hAnsi="宋体" w:cs="宋体"/>
          <w:b w:val="0"/>
          <w:bCs/>
          <w:i w:val="0"/>
          <w:iCs w:val="0"/>
          <w:color w:val="auto"/>
          <w:sz w:val="24"/>
          <w:szCs w:val="24"/>
          <w:highlight w:val="none"/>
          <w:u w:val="none"/>
          <w:lang w:eastAsia="zh-CN"/>
        </w:rPr>
        <w:t>建安区2024年西部乡镇高标准农田建设项目勘测设计</w:t>
      </w:r>
      <w:r>
        <w:rPr>
          <w:rFonts w:hint="eastAsia" w:ascii="宋体" w:hAnsi="宋体" w:eastAsia="宋体" w:cs="宋体"/>
          <w:color w:val="auto"/>
          <w:sz w:val="24"/>
          <w:szCs w:val="24"/>
          <w:highlight w:val="none"/>
        </w:rPr>
        <w:t>招标已由建安发改审批〔202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号文件批准建设，招标人为</w:t>
      </w:r>
      <w:r>
        <w:rPr>
          <w:rFonts w:hint="eastAsia" w:hAnsi="宋体" w:cs="宋体"/>
          <w:color w:val="auto"/>
          <w:sz w:val="24"/>
          <w:szCs w:val="24"/>
          <w:highlight w:val="none"/>
          <w:lang w:eastAsia="zh-CN"/>
        </w:rPr>
        <w:t>许昌市建安区农业农村局</w:t>
      </w:r>
      <w:r>
        <w:rPr>
          <w:rFonts w:hint="eastAsia" w:ascii="宋体" w:hAnsi="宋体" w:eastAsia="宋体" w:cs="宋体"/>
          <w:color w:val="auto"/>
          <w:sz w:val="24"/>
          <w:szCs w:val="24"/>
          <w:highlight w:val="none"/>
        </w:rPr>
        <w:t>，建设资金为财政资金，招标代理为</w:t>
      </w:r>
      <w:r>
        <w:rPr>
          <w:rFonts w:hint="eastAsia" w:hAnsi="宋体" w:cs="宋体"/>
          <w:color w:val="auto"/>
          <w:sz w:val="24"/>
          <w:szCs w:val="24"/>
          <w:highlight w:val="none"/>
          <w:lang w:eastAsia="zh-CN"/>
        </w:rPr>
        <w:t>河南特慧工程咨询有限公司</w:t>
      </w:r>
      <w:r>
        <w:rPr>
          <w:rFonts w:hint="eastAsia" w:ascii="宋体" w:hAnsi="宋体" w:eastAsia="宋体" w:cs="宋体"/>
          <w:color w:val="auto"/>
          <w:sz w:val="24"/>
          <w:szCs w:val="24"/>
          <w:highlight w:val="none"/>
        </w:rPr>
        <w:t>，项目已具备招标条件，现对</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项目进行公开招标。</w:t>
      </w:r>
    </w:p>
    <w:p>
      <w:pPr>
        <w:autoSpaceDE w:val="0"/>
        <w:autoSpaceDN w:val="0"/>
        <w:adjustRightInd w:val="0"/>
        <w:spacing w:line="420" w:lineRule="exact"/>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二、项目概况与招标范围</w:t>
      </w:r>
    </w:p>
    <w:p>
      <w:pPr>
        <w:autoSpaceDE w:val="0"/>
        <w:autoSpaceDN w:val="0"/>
        <w:adjustRightInd w:val="0"/>
        <w:spacing w:line="520" w:lineRule="exact"/>
        <w:ind w:firstLine="480" w:firstLineChars="2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1、项目编号：</w:t>
      </w:r>
      <w:r>
        <w:rPr>
          <w:rFonts w:hint="eastAsia" w:hAnsi="宋体" w:cs="宋体"/>
          <w:color w:val="auto"/>
          <w:sz w:val="24"/>
          <w:szCs w:val="24"/>
          <w:highlight w:val="none"/>
          <w:lang w:eastAsia="zh-CN"/>
        </w:rPr>
        <w:t>建安建工公字〔2024〕21号</w:t>
      </w:r>
    </w:p>
    <w:p>
      <w:pPr>
        <w:autoSpaceDE w:val="0"/>
        <w:autoSpaceDN w:val="0"/>
        <w:adjustRightInd w:val="0"/>
        <w:spacing w:line="520" w:lineRule="exact"/>
        <w:ind w:firstLine="480" w:firstLineChars="2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hAnsi="宋体" w:cs="宋体"/>
          <w:color w:val="auto"/>
          <w:sz w:val="24"/>
          <w:szCs w:val="24"/>
          <w:highlight w:val="none"/>
          <w:lang w:eastAsia="zh-CN"/>
        </w:rPr>
        <w:t>建安区2024年西部乡镇高标准农田建设项目勘测设计</w:t>
      </w:r>
    </w:p>
    <w:p>
      <w:pPr>
        <w:autoSpaceDE w:val="0"/>
        <w:autoSpaceDN w:val="0"/>
        <w:adjustRightInd w:val="0"/>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3、建设地点：许昌市建安区</w:t>
      </w:r>
    </w:p>
    <w:p>
      <w:pPr>
        <w:autoSpaceDE w:val="0"/>
        <w:autoSpaceDN w:val="0"/>
        <w:adjustRightInd w:val="0"/>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建设规模及主要内容</w:t>
      </w:r>
      <w:r>
        <w:rPr>
          <w:rFonts w:hint="eastAsia" w:ascii="宋体" w:hAnsi="宋体" w:eastAsia="宋体" w:cs="宋体"/>
          <w:color w:val="auto"/>
          <w:sz w:val="24"/>
          <w:szCs w:val="24"/>
          <w:highlight w:val="none"/>
        </w:rPr>
        <w:t>：本项目总投资为19500万元。2024年规划实施5.5万亩高标准农田建设项目 (其中新建3万亩、改造提升2.5万亩 )，涉及灵井镇15个行政村新建高标准农田3万亩；</w:t>
      </w:r>
      <w:r>
        <w:rPr>
          <w:rFonts w:hint="eastAsia" w:hAnsi="宋体" w:cs="宋体"/>
          <w:color w:val="auto"/>
          <w:sz w:val="24"/>
          <w:szCs w:val="24"/>
          <w:highlight w:val="none"/>
          <w:lang w:val="en-US" w:eastAsia="zh-CN"/>
        </w:rPr>
        <w:t>椹</w:t>
      </w:r>
      <w:r>
        <w:rPr>
          <w:rFonts w:hint="eastAsia" w:ascii="宋体" w:hAnsi="宋体" w:eastAsia="宋体" w:cs="宋体"/>
          <w:color w:val="auto"/>
          <w:sz w:val="24"/>
          <w:szCs w:val="24"/>
          <w:highlight w:val="none"/>
        </w:rPr>
        <w:t>涧乡3个行政村和桂村乡6个行政村，改造提升建设面积2.5万亩。项目主要建设内容为灌溉工程、排水工程、农田地力提升工程、种子提升工程、田间道路工程、农田林网与生态环境保护工程、农田输配电工程、农田信息化工程、村庄环境整治工程等。</w:t>
      </w:r>
    </w:p>
    <w:p>
      <w:pPr>
        <w:autoSpaceDE w:val="0"/>
        <w:autoSpaceDN w:val="0"/>
        <w:adjustRightInd w:val="0"/>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本次招标主要内容为建安区2024年西部乡镇高标准农田建设项目勘测</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勘察</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、设计、预算文件编制</w:t>
      </w:r>
      <w:r>
        <w:rPr>
          <w:rFonts w:hint="eastAsia" w:hAnsi="宋体" w:cs="宋体"/>
          <w:color w:val="auto"/>
          <w:sz w:val="24"/>
          <w:szCs w:val="24"/>
          <w:highlight w:val="none"/>
          <w:lang w:val="en-US" w:eastAsia="zh-CN"/>
        </w:rPr>
        <w:t>及</w:t>
      </w:r>
      <w:r>
        <w:rPr>
          <w:rFonts w:hint="eastAsia" w:ascii="宋体" w:hAnsi="宋体" w:eastAsia="宋体" w:cs="宋体"/>
          <w:color w:val="auto"/>
          <w:sz w:val="24"/>
          <w:szCs w:val="24"/>
          <w:highlight w:val="none"/>
        </w:rPr>
        <w:t xml:space="preserve">施工图编制等工作。 </w:t>
      </w:r>
    </w:p>
    <w:p>
      <w:pPr>
        <w:autoSpaceDE w:val="0"/>
        <w:autoSpaceDN w:val="0"/>
        <w:adjustRightInd w:val="0"/>
        <w:spacing w:line="520" w:lineRule="exact"/>
        <w:ind w:firstLine="480" w:firstLineChars="200"/>
        <w:outlineLvl w:val="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、标段划分：本项目共</w:t>
      </w:r>
      <w:r>
        <w:rPr>
          <w:rFonts w:hint="eastAsia" w:ascii="宋体" w:hAnsi="宋体" w:eastAsia="宋体" w:cs="宋体"/>
          <w:color w:val="auto"/>
          <w:sz w:val="24"/>
          <w:szCs w:val="24"/>
          <w:highlight w:val="none"/>
          <w:lang w:val="en-US" w:eastAsia="zh-CN"/>
        </w:rPr>
        <w:t>划分</w:t>
      </w:r>
      <w:r>
        <w:rPr>
          <w:rFonts w:hint="eastAsia" w:ascii="宋体" w:hAnsi="宋体" w:eastAsia="宋体" w:cs="宋体"/>
          <w:color w:val="auto"/>
          <w:sz w:val="24"/>
          <w:szCs w:val="24"/>
          <w:highlight w:val="none"/>
        </w:rPr>
        <w:t>一个标段</w:t>
      </w:r>
      <w:r>
        <w:rPr>
          <w:rFonts w:hint="eastAsia" w:ascii="宋体" w:hAnsi="宋体" w:eastAsia="宋体" w:cs="宋体"/>
          <w:color w:val="auto"/>
          <w:sz w:val="24"/>
          <w:szCs w:val="24"/>
          <w:highlight w:val="none"/>
          <w:lang w:eastAsia="zh-CN"/>
        </w:rPr>
        <w:t>。</w:t>
      </w:r>
    </w:p>
    <w:p>
      <w:pPr>
        <w:autoSpaceDE w:val="0"/>
        <w:autoSpaceDN w:val="0"/>
        <w:adjustRightInd w:val="0"/>
        <w:spacing w:line="520" w:lineRule="exact"/>
        <w:ind w:firstLine="480" w:firstLineChars="200"/>
        <w:outlineLvl w:val="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、招标控制价：</w:t>
      </w:r>
      <w:r>
        <w:rPr>
          <w:rFonts w:hint="eastAsia" w:hAnsi="宋体" w:cs="宋体"/>
          <w:color w:val="auto"/>
          <w:sz w:val="24"/>
          <w:szCs w:val="24"/>
          <w:highlight w:val="none"/>
          <w:lang w:val="en-US" w:eastAsia="zh-CN"/>
        </w:rPr>
        <w:t>2709800.00元</w:t>
      </w:r>
      <w:r>
        <w:rPr>
          <w:rFonts w:hint="eastAsia" w:ascii="宋体" w:hAnsi="宋体" w:eastAsia="宋体" w:cs="宋体"/>
          <w:color w:val="auto"/>
          <w:kern w:val="2"/>
          <w:sz w:val="24"/>
          <w:szCs w:val="24"/>
          <w:highlight w:val="none"/>
        </w:rPr>
        <w:t>。</w:t>
      </w:r>
    </w:p>
    <w:p>
      <w:pPr>
        <w:spacing w:line="540" w:lineRule="exact"/>
        <w:ind w:firstLine="480" w:firstLineChars="200"/>
        <w:jc w:val="left"/>
        <w:rPr>
          <w:rFonts w:hint="eastAsia" w:ascii="宋体" w:hAnsi="宋体" w:eastAsia="宋体" w:cs="宋体"/>
          <w:color w:val="auto"/>
          <w:kern w:val="2"/>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、招标范围：招标文件、答疑纪要（如有）、补充文件（如有）范围内的所有内容，包括勘测、设计、预算文件编制</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施工图编制及项目建设后续服务的全部工作。</w:t>
      </w:r>
    </w:p>
    <w:p>
      <w:pPr>
        <w:autoSpaceDE w:val="0"/>
        <w:autoSpaceDN w:val="0"/>
        <w:adjustRightInd w:val="0"/>
        <w:spacing w:line="520" w:lineRule="exact"/>
        <w:ind w:firstLine="480" w:firstLineChars="200"/>
        <w:outlineLvl w:val="0"/>
        <w:rPr>
          <w:rFonts w:hint="default" w:ascii="宋体" w:hAnsi="宋体" w:eastAsia="宋体" w:cs="宋体"/>
          <w:color w:val="auto"/>
          <w:sz w:val="24"/>
          <w:szCs w:val="24"/>
          <w:highlight w:val="none"/>
          <w:lang w:val="en-US"/>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30日历天</w:t>
      </w:r>
    </w:p>
    <w:p>
      <w:pPr>
        <w:autoSpaceDE w:val="0"/>
        <w:autoSpaceDN w:val="0"/>
        <w:adjustRightInd w:val="0"/>
        <w:spacing w:line="420" w:lineRule="exact"/>
        <w:ind w:firstLine="480" w:firstLineChars="200"/>
        <w:jc w:val="left"/>
        <w:outlineLvl w:val="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、质量要求：设计成果符合国家、省、市有关文件规定的内容及深度</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并通过相关主管部门审查</w:t>
      </w:r>
      <w:r>
        <w:rPr>
          <w:rFonts w:hint="eastAsia" w:ascii="宋体" w:hAnsi="宋体" w:eastAsia="宋体" w:cs="宋体"/>
          <w:color w:val="auto"/>
          <w:sz w:val="24"/>
          <w:szCs w:val="24"/>
          <w:highlight w:val="none"/>
        </w:rPr>
        <w:t>。</w:t>
      </w:r>
    </w:p>
    <w:p>
      <w:pPr>
        <w:autoSpaceDE w:val="0"/>
        <w:autoSpaceDN w:val="0"/>
        <w:adjustRightInd w:val="0"/>
        <w:spacing w:line="420" w:lineRule="exact"/>
        <w:jc w:val="left"/>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highlight w:val="none"/>
          <w:lang w:eastAsia="zh-CN"/>
        </w:rPr>
      </w:pPr>
      <w:bookmarkStart w:id="1" w:name="_Toc28292"/>
      <w:bookmarkEnd w:id="1"/>
      <w:r>
        <w:rPr>
          <w:rFonts w:hint="eastAsia" w:ascii="宋体" w:hAnsi="宋体" w:eastAsia="宋体" w:cs="宋体"/>
          <w:color w:val="auto"/>
          <w:sz w:val="24"/>
          <w:szCs w:val="24"/>
          <w:highlight w:val="none"/>
        </w:rPr>
        <w:t>1、</w:t>
      </w:r>
      <w:r>
        <w:rPr>
          <w:color w:val="auto"/>
          <w:spacing w:val="-8"/>
          <w:sz w:val="24"/>
          <w:szCs w:val="24"/>
          <w:highlight w:val="none"/>
        </w:rPr>
        <w:t>投标人须在中华人民共和国境内注册</w:t>
      </w:r>
      <w:r>
        <w:rPr>
          <w:rFonts w:hint="eastAsia"/>
          <w:color w:val="auto"/>
          <w:spacing w:val="-8"/>
          <w:sz w:val="24"/>
          <w:szCs w:val="24"/>
          <w:highlight w:val="none"/>
          <w:lang w:eastAsia="zh-CN"/>
        </w:rPr>
        <w:t>，</w:t>
      </w:r>
      <w:r>
        <w:rPr>
          <w:rFonts w:hint="eastAsia" w:ascii="宋体" w:hAnsi="宋体" w:eastAsia="宋体" w:cs="宋体"/>
          <w:color w:val="auto"/>
          <w:sz w:val="24"/>
          <w:szCs w:val="24"/>
          <w:highlight w:val="none"/>
        </w:rPr>
        <w:t>具备独立法人资格，</w:t>
      </w:r>
      <w:r>
        <w:rPr>
          <w:rFonts w:hint="eastAsia" w:hAnsi="宋体" w:cs="宋体"/>
          <w:color w:val="auto"/>
          <w:sz w:val="24"/>
          <w:szCs w:val="24"/>
          <w:highlight w:val="none"/>
          <w:lang w:val="en-US" w:eastAsia="zh-CN"/>
        </w:rPr>
        <w:t>并具</w:t>
      </w:r>
      <w:r>
        <w:rPr>
          <w:rFonts w:hint="eastAsia" w:ascii="宋体" w:hAnsi="宋体" w:eastAsia="宋体" w:cs="宋体"/>
          <w:color w:val="auto"/>
          <w:sz w:val="24"/>
          <w:szCs w:val="24"/>
          <w:highlight w:val="none"/>
        </w:rPr>
        <w:t>有</w:t>
      </w:r>
      <w:r>
        <w:rPr>
          <w:rFonts w:hint="eastAsia" w:hAnsi="宋体" w:cs="宋体"/>
          <w:color w:val="auto"/>
          <w:sz w:val="24"/>
          <w:szCs w:val="24"/>
          <w:highlight w:val="none"/>
          <w:lang w:val="en-US" w:eastAsia="zh-CN"/>
        </w:rPr>
        <w:t>有</w:t>
      </w:r>
      <w:r>
        <w:rPr>
          <w:rFonts w:hint="eastAsia" w:ascii="宋体" w:hAnsi="宋体" w:eastAsia="宋体" w:cs="宋体"/>
          <w:color w:val="auto"/>
          <w:sz w:val="24"/>
          <w:szCs w:val="24"/>
          <w:highlight w:val="none"/>
        </w:rPr>
        <w:t>效</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rPr>
        <w:t>营业执照</w:t>
      </w:r>
      <w:r>
        <w:rPr>
          <w:rFonts w:hint="eastAsia" w:hAnsi="宋体" w:cs="宋体"/>
          <w:color w:val="auto"/>
          <w:sz w:val="24"/>
          <w:szCs w:val="24"/>
          <w:highlight w:val="none"/>
          <w:lang w:eastAsia="zh-CN"/>
        </w:rPr>
        <w:t>；</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2、投标人须具有建设行政主管部门核发的工程设计水利行业乙级</w:t>
      </w:r>
      <w:r>
        <w:rPr>
          <w:rFonts w:hint="eastAsia" w:ascii="宋体" w:hAnsi="宋体" w:eastAsia="宋体" w:cs="宋体"/>
          <w:color w:val="auto"/>
          <w:sz w:val="24"/>
          <w:highlight w:val="none"/>
        </w:rPr>
        <w:t>（含乙级）</w:t>
      </w:r>
      <w:r>
        <w:rPr>
          <w:rFonts w:hint="eastAsia" w:ascii="宋体" w:hAnsi="宋体" w:eastAsia="宋体" w:cs="宋体"/>
          <w:color w:val="auto"/>
          <w:sz w:val="24"/>
          <w:szCs w:val="24"/>
          <w:highlight w:val="none"/>
        </w:rPr>
        <w:t>及以上资质，同时具备有工程勘察专业类(岩土工程（勘察）)乙级</w:t>
      </w:r>
      <w:r>
        <w:rPr>
          <w:rFonts w:hint="eastAsia" w:ascii="宋体" w:hAnsi="宋体" w:eastAsia="宋体" w:cs="宋体"/>
          <w:color w:val="auto"/>
          <w:sz w:val="24"/>
          <w:highlight w:val="none"/>
        </w:rPr>
        <w:t>（含乙级）</w:t>
      </w:r>
      <w:r>
        <w:rPr>
          <w:rFonts w:hint="eastAsia" w:ascii="宋体" w:hAnsi="宋体" w:eastAsia="宋体" w:cs="宋体"/>
          <w:color w:val="auto"/>
          <w:sz w:val="24"/>
          <w:szCs w:val="24"/>
          <w:highlight w:val="none"/>
        </w:rPr>
        <w:t>及以上资质</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并在人员、设备、资金等方面具有相应的</w:t>
      </w:r>
      <w:r>
        <w:rPr>
          <w:rFonts w:hint="eastAsia" w:hAnsi="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设计能力；</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3、投标人拟派项目负责人需具备</w:t>
      </w:r>
      <w:r>
        <w:rPr>
          <w:rFonts w:hint="eastAsia" w:hAnsi="宋体" w:cs="宋体"/>
          <w:color w:val="auto"/>
          <w:sz w:val="24"/>
          <w:szCs w:val="24"/>
          <w:highlight w:val="none"/>
          <w:lang w:eastAsia="zh-CN"/>
        </w:rPr>
        <w:t>水利</w:t>
      </w:r>
      <w:r>
        <w:rPr>
          <w:rFonts w:hint="eastAsia" w:ascii="宋体" w:hAnsi="宋体" w:eastAsia="宋体" w:cs="宋体"/>
          <w:color w:val="auto"/>
          <w:sz w:val="24"/>
          <w:szCs w:val="24"/>
          <w:highlight w:val="none"/>
        </w:rPr>
        <w:t>相关专业</w:t>
      </w:r>
      <w:r>
        <w:rPr>
          <w:rFonts w:hint="eastAsia" w:hAnsi="宋体" w:cs="宋体"/>
          <w:color w:val="auto"/>
          <w:sz w:val="24"/>
          <w:szCs w:val="24"/>
          <w:highlight w:val="none"/>
          <w:lang w:eastAsia="zh-CN"/>
        </w:rPr>
        <w:t>高</w:t>
      </w:r>
      <w:r>
        <w:rPr>
          <w:rFonts w:hint="eastAsia" w:ascii="宋体" w:hAnsi="宋体" w:eastAsia="宋体" w:cs="宋体"/>
          <w:color w:val="auto"/>
          <w:sz w:val="24"/>
          <w:szCs w:val="24"/>
          <w:highlight w:val="none"/>
        </w:rPr>
        <w:t>级</w:t>
      </w:r>
      <w:r>
        <w:rPr>
          <w:rFonts w:hint="eastAsia" w:hAnsi="宋体" w:cs="宋体"/>
          <w:color w:val="auto"/>
          <w:sz w:val="24"/>
          <w:szCs w:val="24"/>
          <w:highlight w:val="none"/>
          <w:lang w:eastAsia="zh-CN"/>
        </w:rPr>
        <w:t>（含）</w:t>
      </w:r>
      <w:r>
        <w:rPr>
          <w:rFonts w:hint="eastAsia" w:ascii="宋体" w:hAnsi="宋体" w:eastAsia="宋体" w:cs="宋体"/>
          <w:color w:val="auto"/>
          <w:sz w:val="24"/>
          <w:szCs w:val="24"/>
          <w:highlight w:val="none"/>
        </w:rPr>
        <w:t>及以上技术职称；</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未被“信用中国”网站（www.creditchina.gov.cn）列入失信被执行人、税收违法黑名单，未被“信用河南”网站信用信息栏列入黑名单，以及未被“国家企业信用信息公示系统”网站（www.gsxt.gov.cn）列入经营异常名录或严重失信黑名单等。（招标人、代理机构或评标专家委员会评标现场查询）；</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5、本次招标不接受联合体投标。</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6、本次招标实行资格后审。</w:t>
      </w:r>
    </w:p>
    <w:p>
      <w:pPr>
        <w:autoSpaceDE w:val="0"/>
        <w:autoSpaceDN w:val="0"/>
        <w:adjustRightInd w:val="0"/>
        <w:spacing w:line="420" w:lineRule="exact"/>
        <w:jc w:val="left"/>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四、投标报名方式</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w:t>
      </w:r>
      <w:r>
        <w:rPr>
          <w:rFonts w:hint="eastAsia" w:hAnsi="宋体" w:cs="宋体"/>
          <w:color w:val="auto"/>
          <w:sz w:val="24"/>
          <w:szCs w:val="24"/>
          <w:highlight w:val="none"/>
          <w:lang w:eastAsia="zh-CN"/>
        </w:rPr>
        <w:t>《全国公共资源交易平台（河南省·许昌市）》</w:t>
      </w:r>
      <w:r>
        <w:rPr>
          <w:rFonts w:hint="eastAsia" w:ascii="宋体" w:hAnsi="宋体" w:eastAsia="宋体" w:cs="宋体"/>
          <w:color w:val="auto"/>
          <w:sz w:val="24"/>
          <w:szCs w:val="24"/>
          <w:highlight w:val="none"/>
        </w:rPr>
        <w:t>“系统用户注册”入口（http://ggzy.xuchang.gov.cn:8088/ggzy/eps/public/RegistAllJcxx.html）进行免费注册登记（详见“常见问题解答-诚信库网上注册相关资料下载”）；</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2、在投标截止时间前均可登录</w:t>
      </w:r>
      <w:r>
        <w:rPr>
          <w:rFonts w:hint="eastAsia" w:hAnsi="宋体" w:cs="宋体"/>
          <w:color w:val="auto"/>
          <w:sz w:val="24"/>
          <w:szCs w:val="24"/>
          <w:highlight w:val="none"/>
          <w:lang w:eastAsia="zh-CN"/>
        </w:rPr>
        <w:t>《全国公共资源交易平台（河南省·许昌市）》</w:t>
      </w:r>
      <w:r>
        <w:rPr>
          <w:rFonts w:hint="eastAsia" w:ascii="宋体" w:hAnsi="宋体" w:eastAsia="宋体" w:cs="宋体"/>
          <w:color w:val="auto"/>
          <w:sz w:val="24"/>
          <w:szCs w:val="24"/>
          <w:highlight w:val="none"/>
        </w:rPr>
        <w:t>“投标人/供应商登录”入口（http://ggzy.xuchang.gov.cn:8088/ggzy/）自行下载招标文件等（详见“常见问题解答-交易系统操作手册”）。</w:t>
      </w:r>
    </w:p>
    <w:p>
      <w:pPr>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五、招标文件和工程量清单的获取  </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招标文件和工程量清单的获取：投标人于投标文件递交截止时间前均可登录《全国公共资源交易平台（河南省·许昌市）》（http://ggzy.xuchang.gov.cn/），通过“投标人/供应商登录” 入口自行下载。</w:t>
      </w:r>
    </w:p>
    <w:p>
      <w:pPr>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六、投标文件的递交</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1、本项目为全流程电子化交易项目，投标人应按规定在投标截止时间（同开标时间）前通过《全国公共资源交易平台(河南省·许昌市)》公共资源交易系统成功上传本项目加密电子投标文件。</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2、投标文件提交的截止时间及开标时间：</w:t>
      </w:r>
      <w:r>
        <w:rPr>
          <w:rFonts w:hint="eastAsia" w:hAnsi="宋体" w:cs="宋体"/>
          <w:color w:val="auto"/>
          <w:sz w:val="24"/>
          <w:szCs w:val="24"/>
          <w:highlight w:val="none"/>
          <w:lang w:eastAsia="zh-CN"/>
        </w:rPr>
        <w:t>2024年 6 月 17 日</w:t>
      </w:r>
      <w:r>
        <w:rPr>
          <w:rFonts w:hint="eastAsia" w:ascii="宋体" w:hAnsi="宋体" w:eastAsia="宋体" w:cs="宋体"/>
          <w:color w:val="auto"/>
          <w:sz w:val="24"/>
          <w:szCs w:val="24"/>
          <w:highlight w:val="none"/>
        </w:rPr>
        <w:t>09时30分。</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3、招标人（代理机构）线上开标地点：许昌市建安区新元大道兴业大厦4楼开标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4、逾期送达（未成功上传）的或者未按规定解密的电子投标文件，招标人不予受理。</w:t>
      </w:r>
    </w:p>
    <w:p>
      <w:pPr>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七、发布公告的媒介</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本公告同时在《全国公共资源交易平台（河南省·许昌市）》、《河南省电子招标投标公共服务平台》上发布。</w:t>
      </w:r>
    </w:p>
    <w:p>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八、联系方式</w:t>
      </w:r>
    </w:p>
    <w:p>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称：许昌市建安区农业农村局</w:t>
      </w:r>
    </w:p>
    <w:p>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址：许昌市建安区兴业大厦4楼</w:t>
      </w:r>
    </w:p>
    <w:p>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人：宋小永</w:t>
      </w:r>
    </w:p>
    <w:p>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联系方式：13837495999</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代理机构：河南特慧工程咨询有限公司</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址：许昌市信通国际金融中心D座403室</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项目负责人：刘文燕</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话：13782342879 </w:t>
      </w:r>
    </w:p>
    <w:p>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监督部门：</w:t>
      </w:r>
      <w:r>
        <w:rPr>
          <w:rFonts w:hint="eastAsia" w:ascii="宋体" w:hAnsi="宋体" w:eastAsia="宋体" w:cs="宋体"/>
          <w:color w:val="auto"/>
          <w:sz w:val="24"/>
          <w:szCs w:val="24"/>
          <w:highlight w:val="none"/>
          <w:lang w:val="en-US" w:eastAsia="zh-CN"/>
        </w:rPr>
        <w:t>许昌市建安区农业农村局</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人：冯奇</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联系电话：13938771700</w:t>
      </w:r>
    </w:p>
    <w:p>
      <w:pPr>
        <w:spacing w:line="440" w:lineRule="exact"/>
        <w:ind w:firstLine="360" w:firstLineChars="150"/>
        <w:jc w:val="left"/>
        <w:rPr>
          <w:rFonts w:hint="eastAsia" w:ascii="宋体" w:hAnsi="宋体" w:eastAsia="宋体" w:cs="宋体"/>
          <w:color w:val="auto"/>
          <w:sz w:val="24"/>
          <w:szCs w:val="24"/>
          <w:highlight w:val="none"/>
        </w:rPr>
      </w:pPr>
    </w:p>
    <w:p>
      <w:pPr>
        <w:spacing w:line="440" w:lineRule="exact"/>
        <w:jc w:val="righ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许昌市建安区农业农村局</w:t>
      </w:r>
    </w:p>
    <w:p>
      <w:pPr>
        <w:spacing w:line="440" w:lineRule="exact"/>
        <w:ind w:leftChars="6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202</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p>
    <w:p>
      <w:pPr>
        <w:widowControl/>
        <w:spacing w:line="480" w:lineRule="exact"/>
        <w:rPr>
          <w:rFonts w:hint="eastAsia" w:hAnsi="宋体"/>
          <w:b/>
          <w:color w:val="auto"/>
          <w:sz w:val="28"/>
          <w:szCs w:val="21"/>
          <w:highlight w:val="none"/>
        </w:rPr>
      </w:pPr>
    </w:p>
    <w:p>
      <w:pPr>
        <w:widowControl/>
        <w:spacing w:line="480" w:lineRule="exact"/>
        <w:rPr>
          <w:rFonts w:hint="eastAsia" w:hAnsi="宋体"/>
          <w:b/>
          <w:color w:val="auto"/>
          <w:sz w:val="28"/>
          <w:szCs w:val="21"/>
          <w:highlight w:val="none"/>
        </w:rPr>
      </w:pPr>
    </w:p>
    <w:p>
      <w:pPr>
        <w:widowControl/>
        <w:spacing w:line="480" w:lineRule="exact"/>
        <w:rPr>
          <w:rFonts w:hAnsi="宋体"/>
          <w:b/>
          <w:color w:val="auto"/>
          <w:sz w:val="24"/>
          <w:szCs w:val="24"/>
          <w:highlight w:val="none"/>
        </w:rPr>
      </w:pPr>
      <w:r>
        <w:rPr>
          <w:rFonts w:hint="eastAsia" w:hAnsi="宋体"/>
          <w:b/>
          <w:color w:val="auto"/>
          <w:sz w:val="24"/>
          <w:szCs w:val="24"/>
          <w:highlight w:val="none"/>
        </w:rPr>
        <w:t>温馨提示：</w:t>
      </w:r>
    </w:p>
    <w:p>
      <w:pPr>
        <w:widowControl/>
        <w:spacing w:line="480" w:lineRule="exact"/>
        <w:ind w:firstLine="120" w:firstLineChars="50"/>
        <w:rPr>
          <w:rFonts w:hAnsi="宋体"/>
          <w:b/>
          <w:color w:val="auto"/>
          <w:sz w:val="24"/>
          <w:szCs w:val="24"/>
          <w:highlight w:val="none"/>
        </w:rPr>
      </w:pPr>
      <w:r>
        <w:rPr>
          <w:rFonts w:hint="eastAsia" w:hAnsi="宋体"/>
          <w:b/>
          <w:color w:val="auto"/>
          <w:sz w:val="24"/>
          <w:szCs w:val="24"/>
          <w:highlight w:val="none"/>
        </w:rPr>
        <w:t>本项目为全流程电子化交易项目，请认真阅读招标文件，并注意以下事项。</w:t>
      </w:r>
    </w:p>
    <w:p>
      <w:pPr>
        <w:snapToGrid w:val="0"/>
        <w:spacing w:line="480" w:lineRule="exact"/>
        <w:ind w:left="-170" w:leftChars="-50" w:right="-170" w:rightChars="-50" w:firstLine="480" w:firstLineChars="200"/>
        <w:rPr>
          <w:rFonts w:hAnsi="宋体" w:cs="宋体"/>
          <w:b/>
          <w:bCs/>
          <w:color w:val="auto"/>
          <w:sz w:val="24"/>
          <w:szCs w:val="24"/>
          <w:highlight w:val="none"/>
        </w:rPr>
      </w:pPr>
      <w:r>
        <w:rPr>
          <w:rFonts w:hint="eastAsia" w:hAnsi="宋体" w:cs="宋体"/>
          <w:b/>
          <w:bCs/>
          <w:color w:val="auto"/>
          <w:sz w:val="24"/>
          <w:szCs w:val="24"/>
          <w:highlight w:val="none"/>
        </w:rPr>
        <w:t>1.投标人应按招标文件规定下载、编制、提交、解密电子投标文件。</w:t>
      </w:r>
    </w:p>
    <w:p>
      <w:pPr>
        <w:snapToGrid w:val="0"/>
        <w:spacing w:line="480" w:lineRule="exact"/>
        <w:ind w:left="-170" w:leftChars="-50" w:right="-170" w:rightChars="-50" w:firstLine="480" w:firstLineChars="200"/>
        <w:rPr>
          <w:rFonts w:hAnsi="宋体" w:cs="宋体"/>
          <w:b/>
          <w:bCs/>
          <w:color w:val="auto"/>
          <w:sz w:val="24"/>
          <w:szCs w:val="24"/>
          <w:highlight w:val="none"/>
        </w:rPr>
      </w:pPr>
      <w:r>
        <w:rPr>
          <w:rFonts w:hint="eastAsia" w:hAnsi="宋体" w:cs="宋体"/>
          <w:b/>
          <w:bCs/>
          <w:color w:val="auto"/>
          <w:sz w:val="24"/>
          <w:szCs w:val="24"/>
          <w:highlight w:val="none"/>
        </w:rPr>
        <w:t>2.电子文件下载、制作、提交期间和远程不见面开标（电子投标文件的解密）环节，投标人须使用同一个CA数字证书（证书须在有效期内并可正常使用）。</w:t>
      </w:r>
    </w:p>
    <w:p>
      <w:pPr>
        <w:snapToGrid w:val="0"/>
        <w:spacing w:line="480" w:lineRule="exact"/>
        <w:ind w:left="-170" w:leftChars="-50" w:right="-170" w:rightChars="-50" w:firstLine="480" w:firstLineChars="200"/>
        <w:rPr>
          <w:rFonts w:hAnsi="宋体" w:cs="宋体"/>
          <w:b/>
          <w:bCs/>
          <w:color w:val="auto"/>
          <w:sz w:val="24"/>
          <w:szCs w:val="24"/>
          <w:highlight w:val="none"/>
        </w:rPr>
      </w:pPr>
      <w:r>
        <w:rPr>
          <w:rFonts w:hint="eastAsia" w:hAnsi="宋体" w:cs="宋体"/>
          <w:b/>
          <w:bCs/>
          <w:color w:val="auto"/>
          <w:sz w:val="24"/>
          <w:szCs w:val="24"/>
          <w:highlight w:val="none"/>
        </w:rPr>
        <w:t>3.电子投标文件的制作</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3.1 投标人登录《全国公共资源交易平台(河南省·许昌市)》公共资源交易系统（</w:t>
      </w:r>
      <w:r>
        <w:rPr>
          <w:rFonts w:hAnsi="宋体" w:cs="宋体"/>
          <w:color w:val="auto"/>
          <w:sz w:val="24"/>
          <w:szCs w:val="22"/>
          <w:highlight w:val="none"/>
        </w:rPr>
        <w:t>http://ggzy.xuchang.gov.cn/</w:t>
      </w:r>
      <w:r>
        <w:rPr>
          <w:rFonts w:hint="eastAsia" w:hAnsi="宋体" w:cs="宋体"/>
          <w:color w:val="auto"/>
          <w:sz w:val="24"/>
          <w:szCs w:val="22"/>
          <w:highlight w:val="none"/>
        </w:rPr>
        <w:t>）下载“许昌投标文件制作系统SEARUN</w:t>
      </w:r>
      <w:r>
        <w:rPr>
          <w:rFonts w:hAnsi="宋体" w:cs="宋体"/>
          <w:color w:val="auto"/>
          <w:sz w:val="24"/>
          <w:szCs w:val="22"/>
          <w:highlight w:val="none"/>
        </w:rPr>
        <w:t xml:space="preserve"> </w:t>
      </w:r>
      <w:r>
        <w:rPr>
          <w:rFonts w:hint="eastAsia" w:hAnsi="宋体" w:cs="宋体"/>
          <w:color w:val="auto"/>
          <w:sz w:val="24"/>
          <w:szCs w:val="22"/>
          <w:highlight w:val="none"/>
        </w:rPr>
        <w:t>最新版本”，按招标文件要求制作电子投标文件。</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电子投标文件的制作，参考《全国公共资源交易平台(河南省·许昌市)》公共资源交易系统——组件下载——交易系统操作手册（投标人、供应商）。</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3.2 投标人须将招标文件要求的资质、业绩、荣誉及相关人员证明材料等资料原件扫描件（或图片）制作到所提交的电子投标文件中。</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3.3 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一个标段对应生成一个文件夹（xxxx项目xx标段）, 其中后缀名为“.file”的文件用于电子投标使用。</w:t>
      </w:r>
    </w:p>
    <w:p>
      <w:pPr>
        <w:snapToGrid w:val="0"/>
        <w:spacing w:line="480" w:lineRule="exact"/>
        <w:ind w:left="-170" w:leftChars="-50" w:right="-170" w:rightChars="-50" w:firstLine="480" w:firstLineChars="200"/>
        <w:rPr>
          <w:rFonts w:hAnsi="宋体" w:cs="宋体"/>
          <w:b/>
          <w:bCs/>
          <w:color w:val="auto"/>
          <w:sz w:val="24"/>
          <w:szCs w:val="24"/>
          <w:highlight w:val="none"/>
        </w:rPr>
      </w:pPr>
      <w:r>
        <w:rPr>
          <w:rFonts w:hint="eastAsia" w:hAnsi="宋体" w:cs="宋体"/>
          <w:b/>
          <w:bCs/>
          <w:color w:val="auto"/>
          <w:sz w:val="24"/>
          <w:szCs w:val="24"/>
          <w:highlight w:val="none"/>
        </w:rPr>
        <w:t>4.加密电子投标文件的提交</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4.1加密电子投标文件应在招标文件规定的投标文件提交截止时间（开标时间）之前成功提交至《全国公共资源交易平台(河南省·许昌市)》公共资源交易系统（</w:t>
      </w:r>
      <w:r>
        <w:rPr>
          <w:rFonts w:hAnsi="宋体" w:cs="宋体"/>
          <w:color w:val="auto"/>
          <w:sz w:val="24"/>
          <w:szCs w:val="22"/>
          <w:highlight w:val="none"/>
        </w:rPr>
        <w:t>http://ggzy.xuchang.gov.cn/</w:t>
      </w:r>
      <w:r>
        <w:rPr>
          <w:rFonts w:hint="eastAsia" w:hAnsi="宋体" w:cs="宋体"/>
          <w:color w:val="auto"/>
          <w:sz w:val="24"/>
          <w:szCs w:val="22"/>
          <w:highlight w:val="none"/>
        </w:rPr>
        <w:t>）。</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投标人应充分考虑并预留技术处理和上传数据所需时间。</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4.2 投标人对同一项目多个标段进行投标的，电子投标文件应按标段分别提交。</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4.3 加密电子投标文件成功提交后，《全国公共资源交易平台(河南省·许昌市)》公共资源交易系统（</w:t>
      </w:r>
      <w:r>
        <w:rPr>
          <w:rFonts w:hAnsi="宋体" w:cs="宋体"/>
          <w:color w:val="auto"/>
          <w:sz w:val="24"/>
          <w:szCs w:val="22"/>
          <w:highlight w:val="none"/>
        </w:rPr>
        <w:t>http://ggzy.xuchang.gov.cn/</w:t>
      </w:r>
      <w:r>
        <w:rPr>
          <w:rFonts w:hint="eastAsia" w:hAnsi="宋体" w:cs="宋体"/>
          <w:color w:val="auto"/>
          <w:sz w:val="24"/>
          <w:szCs w:val="22"/>
          <w:highlight w:val="none"/>
        </w:rPr>
        <w:t>）“投标文件提交回执单”。</w:t>
      </w:r>
    </w:p>
    <w:p>
      <w:pPr>
        <w:snapToGrid w:val="0"/>
        <w:spacing w:line="480" w:lineRule="exact"/>
        <w:ind w:right="-170" w:rightChars="-50" w:firstLine="240" w:firstLineChars="100"/>
        <w:rPr>
          <w:rFonts w:hAnsi="宋体" w:cs="宋体"/>
          <w:color w:val="auto"/>
          <w:sz w:val="24"/>
          <w:szCs w:val="24"/>
          <w:highlight w:val="none"/>
        </w:rPr>
      </w:pPr>
      <w:r>
        <w:rPr>
          <w:rFonts w:hint="eastAsia" w:hAnsi="宋体"/>
          <w:b/>
          <w:bCs/>
          <w:color w:val="auto"/>
          <w:sz w:val="24"/>
          <w:szCs w:val="24"/>
          <w:highlight w:val="none"/>
        </w:rPr>
        <w:t>5.远程不见面开标（电子投标文件的解密）</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5.1 投标人应熟悉《许昌市不见面开标操作手册》，并提前设置不见面开标浏览器（设置流程详见《许昌市不见面开标操作手册》）。</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5.2 《许昌市不见面开标操作手册》下载路径：《全国公共资源交易平台（河南省·许昌市）》—“资料下载”栏目。</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5.3 开标时间前投标人应登录本项目不见面开标大厅，按照招标文件确定的开标时间准时参加网上开标。</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5.4 投标人对开标过程和开标记录如有疑义，可在本项目不见面开标大厅“文字互动”对话框或“新增质疑”处在线提出询问。</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5.5 根据代理机构在“文字互动”对话框的通知，投标人选择功能栏“解密环节”按钮进行电子投标文件解密（投标人解密应自代理机构在到达投标截止时间时点击“开标”按钮，开标开始并进行解密120分钟内完成）。投标人未解密或因投标人原因解密失败的，其投标将被拒绝。</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5.6 项目远程不见面开标活动结束时，投标人应在《开标记录表》上进行电子签章。投标人未签章的，视同认可开标结果。</w:t>
      </w:r>
    </w:p>
    <w:p>
      <w:pPr>
        <w:snapToGrid w:val="0"/>
        <w:spacing w:line="480" w:lineRule="exact"/>
        <w:ind w:left="-170" w:leftChars="-50" w:right="-170" w:rightChars="-50" w:firstLine="480" w:firstLineChars="200"/>
        <w:rPr>
          <w:rFonts w:hAnsi="宋体" w:cs="宋体"/>
          <w:b/>
          <w:bCs/>
          <w:color w:val="auto"/>
          <w:sz w:val="24"/>
          <w:szCs w:val="24"/>
          <w:highlight w:val="none"/>
        </w:rPr>
      </w:pPr>
      <w:r>
        <w:rPr>
          <w:rFonts w:hint="eastAsia" w:hAnsi="宋体" w:cs="宋体"/>
          <w:b/>
          <w:bCs/>
          <w:color w:val="auto"/>
          <w:sz w:val="24"/>
          <w:szCs w:val="24"/>
          <w:highlight w:val="none"/>
        </w:rPr>
        <w:t>6.评标依据</w:t>
      </w:r>
    </w:p>
    <w:p>
      <w:pPr>
        <w:autoSpaceDE w:val="0"/>
        <w:autoSpaceDN w:val="0"/>
        <w:adjustRightInd w:val="0"/>
        <w:spacing w:line="480" w:lineRule="exact"/>
        <w:ind w:firstLine="480" w:firstLineChars="200"/>
        <w:outlineLvl w:val="0"/>
        <w:rPr>
          <w:rFonts w:hAnsi="宋体" w:cs="宋体"/>
          <w:color w:val="auto"/>
          <w:sz w:val="24"/>
          <w:szCs w:val="22"/>
          <w:highlight w:val="none"/>
        </w:rPr>
      </w:pPr>
      <w:r>
        <w:rPr>
          <w:rFonts w:hint="eastAsia" w:hAnsi="宋体" w:cs="宋体"/>
          <w:color w:val="auto"/>
          <w:sz w:val="24"/>
          <w:szCs w:val="22"/>
          <w:highlight w:val="none"/>
        </w:rPr>
        <w:t>6.1 采用全流程电子化交易（远程不见面开标）评标时，评标委员会以成功上传、解密的电子投标文件为依据评标。</w:t>
      </w:r>
    </w:p>
    <w:p>
      <w:pPr>
        <w:autoSpaceDE w:val="0"/>
        <w:autoSpaceDN w:val="0"/>
        <w:adjustRightInd w:val="0"/>
        <w:spacing w:line="420" w:lineRule="exact"/>
        <w:ind w:firstLine="480" w:firstLineChars="200"/>
        <w:outlineLvl w:val="0"/>
        <w:rPr>
          <w:rFonts w:hint="eastAsia" w:ascii="宋体" w:hAnsi="宋体" w:eastAsia="宋体" w:cs="宋体"/>
          <w:color w:val="auto"/>
          <w:sz w:val="24"/>
          <w:szCs w:val="24"/>
          <w:highlight w:val="none"/>
        </w:rPr>
      </w:pPr>
      <w:r>
        <w:rPr>
          <w:rFonts w:hint="eastAsia" w:hAnsi="宋体" w:cs="宋体"/>
          <w:color w:val="auto"/>
          <w:sz w:val="24"/>
          <w:szCs w:val="22"/>
          <w:highlight w:val="none"/>
        </w:rPr>
        <w:t>6.2 评审期间，保持投标文件提供的联系方式畅通，评标委员会随时可能对投标文件内容质询，投标人应及时进行答复（包括但不限于电子文档、电子邮件等）</w:t>
      </w:r>
      <w:r>
        <w:rPr>
          <w:rFonts w:hint="eastAsia" w:ascii="宋体" w:hAnsi="宋体" w:eastAsia="宋体" w:cs="宋体"/>
          <w:color w:val="auto"/>
          <w:sz w:val="24"/>
          <w:szCs w:val="24"/>
          <w:highlight w:val="none"/>
        </w:rPr>
        <w:t>。</w:t>
      </w:r>
    </w:p>
    <w:p>
      <w:pPr>
        <w:spacing w:line="360" w:lineRule="auto"/>
        <w:ind w:firstLine="480" w:firstLineChars="200"/>
        <w:jc w:val="center"/>
        <w:rPr>
          <w:rFonts w:hint="eastAsia" w:ascii="宋体" w:hAnsi="宋体" w:eastAsia="宋体" w:cs="宋体"/>
          <w:b/>
          <w:color w:val="auto"/>
          <w:sz w:val="24"/>
          <w:szCs w:val="24"/>
          <w:highlight w:val="none"/>
        </w:rPr>
      </w:pPr>
    </w:p>
    <w:p>
      <w:pPr>
        <w:pStyle w:val="21"/>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1"/>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42"/>
        <w:rPr>
          <w:rFonts w:hint="eastAsia" w:ascii="宋体" w:hAnsi="宋体" w:eastAsia="宋体" w:cs="宋体"/>
          <w:b/>
          <w:color w:val="auto"/>
          <w:sz w:val="24"/>
          <w:szCs w:val="24"/>
          <w:highlight w:val="none"/>
        </w:rPr>
      </w:pPr>
    </w:p>
    <w:p>
      <w:pPr>
        <w:pStyle w:val="42"/>
        <w:rPr>
          <w:rFonts w:hint="eastAsia" w:ascii="宋体" w:hAnsi="宋体" w:eastAsia="宋体" w:cs="宋体"/>
          <w:b/>
          <w:color w:val="auto"/>
          <w:sz w:val="24"/>
          <w:szCs w:val="24"/>
          <w:highlight w:val="none"/>
        </w:rPr>
      </w:pPr>
    </w:p>
    <w:p>
      <w:pPr>
        <w:pStyle w:val="42"/>
        <w:rPr>
          <w:rFonts w:hint="eastAsia" w:ascii="宋体" w:hAnsi="宋体" w:eastAsia="宋体" w:cs="宋体"/>
          <w:b/>
          <w:color w:val="auto"/>
          <w:sz w:val="24"/>
          <w:szCs w:val="24"/>
          <w:highlight w:val="none"/>
        </w:rPr>
      </w:pPr>
    </w:p>
    <w:p>
      <w:pPr>
        <w:pStyle w:val="42"/>
        <w:rPr>
          <w:rFonts w:hint="eastAsia" w:ascii="宋体" w:hAnsi="宋体" w:eastAsia="宋体" w:cs="宋体"/>
          <w:b/>
          <w:color w:val="auto"/>
          <w:sz w:val="24"/>
          <w:szCs w:val="24"/>
          <w:highlight w:val="none"/>
        </w:rPr>
      </w:pPr>
    </w:p>
    <w:p>
      <w:pPr>
        <w:pStyle w:val="42"/>
        <w:rPr>
          <w:rFonts w:hint="eastAsia" w:ascii="宋体" w:hAnsi="宋体" w:eastAsia="宋体" w:cs="宋体"/>
          <w:b/>
          <w:color w:val="auto"/>
          <w:sz w:val="24"/>
          <w:szCs w:val="24"/>
          <w:highlight w:val="none"/>
        </w:rPr>
      </w:pPr>
    </w:p>
    <w:p>
      <w:pPr>
        <w:pStyle w:val="42"/>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32"/>
          <w:szCs w:val="32"/>
          <w:highlight w:val="none"/>
        </w:rPr>
      </w:pPr>
    </w:p>
    <w:p>
      <w:pPr>
        <w:autoSpaceDE w:val="0"/>
        <w:autoSpaceDN w:val="0"/>
        <w:adjustRightInd w:val="0"/>
        <w:jc w:val="center"/>
        <w:outlineLvl w:val="0"/>
        <w:rPr>
          <w:rFonts w:hint="eastAsia" w:ascii="宋体" w:hAnsi="宋体" w:eastAsia="宋体" w:cs="宋体"/>
          <w:b/>
          <w:color w:val="auto"/>
          <w:sz w:val="32"/>
          <w:szCs w:val="32"/>
          <w:highlight w:val="none"/>
        </w:rPr>
      </w:pPr>
    </w:p>
    <w:p>
      <w:pPr>
        <w:autoSpaceDE w:val="0"/>
        <w:autoSpaceDN w:val="0"/>
        <w:adjustRightInd w:val="0"/>
        <w:jc w:val="center"/>
        <w:outlineLvl w:val="0"/>
        <w:rPr>
          <w:rFonts w:hint="eastAsia" w:ascii="宋体" w:hAnsi="宋体" w:eastAsia="宋体" w:cs="宋体"/>
          <w:b/>
          <w:color w:val="auto"/>
          <w:sz w:val="32"/>
          <w:szCs w:val="32"/>
          <w:highlight w:val="none"/>
        </w:rPr>
      </w:pPr>
    </w:p>
    <w:p>
      <w:pPr>
        <w:autoSpaceDE w:val="0"/>
        <w:autoSpaceDN w:val="0"/>
        <w:adjustRightInd w:val="0"/>
        <w:jc w:val="center"/>
        <w:outlineLvl w:val="0"/>
        <w:rPr>
          <w:rFonts w:hint="eastAsia" w:ascii="宋体" w:hAnsi="宋体" w:eastAsia="宋体" w:cs="宋体"/>
          <w:b/>
          <w:color w:val="auto"/>
          <w:sz w:val="32"/>
          <w:szCs w:val="32"/>
          <w:highlight w:val="none"/>
        </w:rPr>
      </w:pPr>
    </w:p>
    <w:p>
      <w:pPr>
        <w:autoSpaceDE w:val="0"/>
        <w:autoSpaceDN w:val="0"/>
        <w:adjustRightInd w:val="0"/>
        <w:jc w:val="center"/>
        <w:outlineLvl w:val="0"/>
        <w:rPr>
          <w:rFonts w:hint="eastAsia" w:ascii="宋体" w:hAnsi="宋体" w:eastAsia="宋体" w:cs="宋体"/>
          <w:b/>
          <w:color w:val="auto"/>
          <w:sz w:val="32"/>
          <w:szCs w:val="32"/>
          <w:highlight w:val="none"/>
        </w:rPr>
      </w:pPr>
    </w:p>
    <w:p>
      <w:pPr>
        <w:autoSpaceDE w:val="0"/>
        <w:autoSpaceDN w:val="0"/>
        <w:adjustRightInd w:val="0"/>
        <w:jc w:val="center"/>
        <w:outlineLvl w:val="0"/>
        <w:rPr>
          <w:rFonts w:hint="eastAsia" w:ascii="宋体" w:hAnsi="宋体" w:eastAsia="宋体" w:cs="宋体"/>
          <w:b/>
          <w:color w:val="auto"/>
          <w:sz w:val="32"/>
          <w:szCs w:val="32"/>
          <w:highlight w:val="none"/>
        </w:rPr>
      </w:pPr>
    </w:p>
    <w:p>
      <w:pPr>
        <w:autoSpaceDE w:val="0"/>
        <w:autoSpaceDN w:val="0"/>
        <w:adjustRightInd w:val="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第二章  </w:t>
      </w:r>
      <w:bookmarkEnd w:id="0"/>
      <w:r>
        <w:rPr>
          <w:rFonts w:hint="eastAsia" w:ascii="宋体" w:hAnsi="宋体" w:eastAsia="宋体" w:cs="宋体"/>
          <w:b/>
          <w:color w:val="auto"/>
          <w:sz w:val="32"/>
          <w:szCs w:val="32"/>
          <w:highlight w:val="none"/>
        </w:rPr>
        <w:t>投标人须知</w:t>
      </w:r>
    </w:p>
    <w:p>
      <w:pPr>
        <w:pStyle w:val="42"/>
        <w:rPr>
          <w:rFonts w:hint="eastAsia" w:ascii="宋体" w:hAnsi="宋体" w:eastAsia="宋体" w:cs="宋体"/>
          <w:color w:val="auto"/>
          <w:sz w:val="24"/>
          <w:szCs w:val="24"/>
          <w:highlight w:val="none"/>
        </w:rPr>
      </w:pPr>
    </w:p>
    <w:p>
      <w:pPr>
        <w:autoSpaceDE w:val="0"/>
        <w:autoSpaceDN w:val="0"/>
        <w:adjustRightInd w:val="0"/>
        <w:spacing w:line="360" w:lineRule="auto"/>
        <w:jc w:val="both"/>
        <w:outlineLvl w:val="0"/>
        <w:rPr>
          <w:rFonts w:hint="eastAsia" w:ascii="宋体" w:hAnsi="宋体" w:eastAsia="宋体" w:cs="宋体"/>
          <w:b/>
          <w:color w:val="auto"/>
          <w:sz w:val="24"/>
          <w:szCs w:val="24"/>
          <w:highlight w:val="none"/>
        </w:rPr>
      </w:pPr>
      <w:bookmarkStart w:id="2" w:name="_Toc283559940"/>
      <w:r>
        <w:rPr>
          <w:rFonts w:hint="eastAsia" w:ascii="宋体" w:hAnsi="宋体" w:eastAsia="宋体" w:cs="宋体"/>
          <w:b/>
          <w:color w:val="auto"/>
          <w:sz w:val="24"/>
          <w:szCs w:val="24"/>
          <w:highlight w:val="none"/>
        </w:rPr>
        <w:t>投标人须知前附表</w:t>
      </w:r>
      <w:bookmarkEnd w:id="2"/>
    </w:p>
    <w:tbl>
      <w:tblPr>
        <w:tblStyle w:val="35"/>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7"/>
        <w:gridCol w:w="50"/>
        <w:gridCol w:w="2220"/>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条款号</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条款名称</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1"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招标人</w:t>
            </w:r>
          </w:p>
        </w:tc>
        <w:tc>
          <w:tcPr>
            <w:tcW w:w="6527" w:type="dxa"/>
            <w:shd w:val="clear" w:color="auto" w:fill="auto"/>
            <w:vAlign w:val="center"/>
          </w:tcPr>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称：许昌市建安区农业农村局</w:t>
            </w:r>
          </w:p>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址：许昌市建安区兴业大厦4楼</w:t>
            </w:r>
          </w:p>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人：宋小永</w:t>
            </w:r>
          </w:p>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联系方式：13837495999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5"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1.1.2</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代理机构</w:t>
            </w:r>
          </w:p>
        </w:tc>
        <w:tc>
          <w:tcPr>
            <w:tcW w:w="6527" w:type="dxa"/>
            <w:shd w:val="clear" w:color="auto" w:fill="auto"/>
            <w:vAlign w:val="center"/>
          </w:tcPr>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代理机构：河南特慧工程咨询有限公司</w:t>
            </w:r>
          </w:p>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地    址：许昌市信通国际金融中心D座403室</w:t>
            </w:r>
          </w:p>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项目负责人：刘文燕</w:t>
            </w:r>
          </w:p>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电  话：13782342879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1.1.3</w:t>
            </w:r>
          </w:p>
        </w:tc>
        <w:tc>
          <w:tcPr>
            <w:tcW w:w="2220" w:type="dxa"/>
            <w:shd w:val="clear" w:color="auto" w:fill="auto"/>
            <w:vAlign w:val="center"/>
          </w:tcPr>
          <w:p>
            <w:pPr>
              <w:keepLines w:val="0"/>
              <w:pageBreakBefore w:val="0"/>
              <w:widowControl w:val="0"/>
              <w:kinsoku/>
              <w:wordWrap/>
              <w:overflowPunct/>
              <w:topLinePunct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6527" w:type="dxa"/>
            <w:shd w:val="clear" w:color="auto" w:fill="auto"/>
            <w:vAlign w:val="center"/>
          </w:tcPr>
          <w:p>
            <w:pPr>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lang w:eastAsia="zh-CN"/>
              </w:rPr>
            </w:pPr>
            <w:r>
              <w:rPr>
                <w:rFonts w:hint="eastAsia" w:hAnsi="宋体" w:cs="宋体"/>
                <w:color w:val="auto"/>
                <w:kern w:val="2"/>
                <w:sz w:val="24"/>
                <w:szCs w:val="24"/>
                <w:highlight w:val="none"/>
                <w:lang w:eastAsia="zh-CN"/>
              </w:rPr>
              <w:t>建安区2024年西部乡镇高标准农田建设项目勘测设计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1.1.4</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建设地点</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outlineLvl w:val="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1.2.2</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出资比例</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1.2.3</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资金落实情况</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招标范围</w:t>
            </w:r>
          </w:p>
        </w:tc>
        <w:tc>
          <w:tcPr>
            <w:tcW w:w="6527" w:type="dxa"/>
            <w:shd w:val="clear" w:color="auto" w:fill="auto"/>
          </w:tcPr>
          <w:p>
            <w:pPr>
              <w:keepLines w:val="0"/>
              <w:pageBreakBefore w:val="0"/>
              <w:widowControl w:val="0"/>
              <w:kinsoku/>
              <w:wordWrap/>
              <w:overflowPunct/>
              <w:topLinePunct w:val="0"/>
              <w:autoSpaceDE w:val="0"/>
              <w:autoSpaceDN w:val="0"/>
              <w:bidi w:val="0"/>
              <w:adjustRightInd w:val="0"/>
              <w:snapToGrid w:val="0"/>
              <w:spacing w:line="312"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招标文件、答疑纪要（如有）、补充文件（如有）范围内的所有内容，包括勘测</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勘察</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、设计、预算文件编制</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施工图编制及项目建设后续服务的全部工作。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1.3.2</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lang w:eastAsia="zh-CN"/>
              </w:rPr>
            </w:pPr>
            <w:r>
              <w:rPr>
                <w:rFonts w:hint="eastAsia" w:hAnsi="宋体" w:cs="宋体"/>
                <w:color w:val="auto"/>
                <w:sz w:val="24"/>
                <w:szCs w:val="24"/>
                <w:highlight w:val="none"/>
                <w:lang w:val="en-US" w:eastAsia="zh-CN"/>
              </w:rPr>
              <w:t>服务期限</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1.3.3</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质量要求</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设计成果符合国家、省、市有关文件规定的内容及深度</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并通过相关主管部门审查</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投标人资质条件</w:t>
            </w:r>
          </w:p>
        </w:tc>
        <w:tc>
          <w:tcPr>
            <w:tcW w:w="65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1.4.2</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是否接受联合体</w:t>
            </w:r>
          </w:p>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踏勘现场</w:t>
            </w:r>
          </w:p>
        </w:tc>
        <w:tc>
          <w:tcPr>
            <w:tcW w:w="6527" w:type="dxa"/>
            <w:shd w:val="clear" w:color="auto" w:fill="auto"/>
            <w:vAlign w:val="center"/>
          </w:tcPr>
          <w:p>
            <w:pPr>
              <w:pStyle w:val="21"/>
              <w:keepLines w:val="0"/>
              <w:pageBreakBefore w:val="0"/>
              <w:widowControl w:val="0"/>
              <w:kinsoku/>
              <w:wordWrap/>
              <w:overflowPunct/>
              <w:topLinePunct w:val="0"/>
              <w:bidi w:val="0"/>
              <w:adjustRightInd w:val="0"/>
              <w:snapToGrid w:val="0"/>
              <w:spacing w:line="312"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1.10.1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投标预备会</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1.10.2</w:t>
            </w:r>
          </w:p>
        </w:tc>
        <w:tc>
          <w:tcPr>
            <w:tcW w:w="2220" w:type="dxa"/>
            <w:shd w:val="clear" w:color="auto" w:fill="auto"/>
            <w:vAlign w:val="center"/>
          </w:tcPr>
          <w:p>
            <w:pPr>
              <w:jc w:val="center"/>
              <w:rPr>
                <w:rFonts w:hint="eastAsia"/>
                <w:color w:val="auto"/>
                <w:sz w:val="24"/>
                <w:szCs w:val="24"/>
                <w:highlight w:val="none"/>
              </w:rPr>
            </w:pPr>
            <w:r>
              <w:rPr>
                <w:color w:val="auto"/>
                <w:sz w:val="24"/>
                <w:szCs w:val="24"/>
                <w:highlight w:val="none"/>
              </w:rPr>
              <w:t>投标人要求澄清招标文件的截止时间</w:t>
            </w:r>
          </w:p>
        </w:tc>
        <w:tc>
          <w:tcPr>
            <w:tcW w:w="65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rPr>
            </w:pPr>
            <w:r>
              <w:rPr>
                <w:rFonts w:hint="eastAsia"/>
                <w:color w:val="auto"/>
                <w:sz w:val="24"/>
                <w:szCs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1.10.3</w:t>
            </w:r>
          </w:p>
        </w:tc>
        <w:tc>
          <w:tcPr>
            <w:tcW w:w="2220" w:type="dxa"/>
            <w:shd w:val="clear" w:color="auto" w:fill="auto"/>
            <w:vAlign w:val="center"/>
          </w:tcPr>
          <w:p>
            <w:pPr>
              <w:jc w:val="center"/>
              <w:rPr>
                <w:rFonts w:hint="eastAsia"/>
                <w:color w:val="auto"/>
                <w:sz w:val="24"/>
                <w:szCs w:val="24"/>
                <w:highlight w:val="none"/>
              </w:rPr>
            </w:pPr>
            <w:r>
              <w:rPr>
                <w:color w:val="auto"/>
                <w:sz w:val="24"/>
                <w:szCs w:val="24"/>
                <w:highlight w:val="none"/>
              </w:rPr>
              <w:t>招标人澄清的时间</w:t>
            </w:r>
          </w:p>
        </w:tc>
        <w:tc>
          <w:tcPr>
            <w:tcW w:w="65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宋体"/>
                <w:color w:val="auto"/>
                <w:sz w:val="24"/>
                <w:szCs w:val="24"/>
                <w:highlight w:val="none"/>
                <w:lang w:eastAsia="zh-CN"/>
              </w:rPr>
            </w:pPr>
            <w:r>
              <w:rPr>
                <w:rFonts w:hint="eastAsia"/>
                <w:color w:val="auto"/>
                <w:sz w:val="24"/>
                <w:szCs w:val="24"/>
                <w:highlight w:val="none"/>
              </w:rPr>
              <w:t>递交投标文件截止之日 15 日前通过公共资源交易系统电子平台发出</w:t>
            </w:r>
            <w:r>
              <w:rPr>
                <w:rFonts w:hint="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分包</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1.12</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2.1 </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招标文件的获取</w:t>
            </w:r>
          </w:p>
        </w:tc>
        <w:tc>
          <w:tcPr>
            <w:tcW w:w="6527" w:type="dxa"/>
            <w:shd w:val="clear" w:color="auto" w:fill="auto"/>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投标人于投标文件递交截止时间前均可登录《全国公共资源交易平台(河南省·许昌市)》，通过“投标人/供应商登录”后自行下载。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投标人要求澄清招标文件的截止时间</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2.2.2</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投标截止时间</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bCs/>
                <w:color w:val="auto"/>
                <w:kern w:val="2"/>
                <w:sz w:val="24"/>
                <w:szCs w:val="24"/>
                <w:highlight w:val="none"/>
              </w:rPr>
            </w:pPr>
            <w:r>
              <w:rPr>
                <w:rFonts w:hint="eastAsia" w:hAnsi="宋体" w:cs="宋体"/>
                <w:b/>
                <w:bCs w:val="0"/>
                <w:color w:val="auto"/>
                <w:kern w:val="2"/>
                <w:sz w:val="24"/>
                <w:szCs w:val="24"/>
                <w:highlight w:val="none"/>
                <w:lang w:eastAsia="zh-CN"/>
              </w:rPr>
              <w:t>2024年 6 月 17 日</w:t>
            </w:r>
            <w:r>
              <w:rPr>
                <w:rFonts w:hint="eastAsia" w:ascii="宋体" w:hAnsi="宋体" w:eastAsia="宋体" w:cs="宋体"/>
                <w:b/>
                <w:bCs w:val="0"/>
                <w:color w:val="auto"/>
                <w:kern w:val="2"/>
                <w:sz w:val="24"/>
                <w:szCs w:val="24"/>
                <w:highlight w:val="none"/>
              </w:rPr>
              <w:t>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2.2.3</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投标人确认收到招标文件澄清的时间</w:t>
            </w:r>
          </w:p>
        </w:tc>
        <w:tc>
          <w:tcPr>
            <w:tcW w:w="6527" w:type="dxa"/>
            <w:shd w:val="clear" w:color="auto" w:fill="auto"/>
            <w:vAlign w:val="top"/>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所有澄清均通过电子交易平台发布，一经发布即视为投标人已 收到并确认，请各投标人及时关注本项目通过电子交易平台发出的通知，如有遗漏自行负责。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投标人确认收到招标文件修改的时间</w:t>
            </w:r>
          </w:p>
        </w:tc>
        <w:tc>
          <w:tcPr>
            <w:tcW w:w="6527" w:type="dxa"/>
            <w:shd w:val="clear" w:color="auto" w:fill="auto"/>
            <w:vAlign w:val="top"/>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所有修改均通过电子交易平台发布，一经发布即视为投标人已收到并确认，请各投标人及时关注本项目通过电子交易平台发出的通知，如有遗漏自行负责。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3.1.1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构成投标文件的其他材料</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招标文件的补充文件（如有）、招标答疑纪要（如有）等。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3.3.1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6527" w:type="dxa"/>
            <w:shd w:val="clear" w:color="auto" w:fill="auto"/>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60日历天（自投标截止之日算起）</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lang w:val="en-US" w:eastAsia="zh-CN"/>
              </w:rPr>
            </w:pPr>
            <w:bookmarkStart w:id="3" w:name="OLE_LINK4" w:colFirst="0" w:colLast="2"/>
            <w:bookmarkStart w:id="4" w:name="_Hlk424659721"/>
            <w:bookmarkStart w:id="5" w:name="OLE_LINK3" w:colFirst="0" w:colLast="2"/>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投标保证金</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不收取</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3.5.2</w:t>
            </w:r>
          </w:p>
        </w:tc>
        <w:tc>
          <w:tcPr>
            <w:tcW w:w="2220" w:type="dxa"/>
            <w:shd w:val="clear" w:color="auto" w:fill="auto"/>
            <w:vAlign w:val="center"/>
          </w:tcPr>
          <w:p>
            <w:pPr>
              <w:keepLines w:val="0"/>
              <w:pageBreakBefore w:val="0"/>
              <w:widowControl w:val="0"/>
              <w:kinsoku/>
              <w:wordWrap/>
              <w:overflowPunct/>
              <w:topLinePunct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近年财务状况要求</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近年，指20</w:t>
            </w:r>
            <w:r>
              <w:rPr>
                <w:rFonts w:hint="eastAsia" w:ascii="宋体" w:hAnsi="宋体" w:eastAsia="宋体" w:cs="宋体"/>
                <w:color w:val="auto"/>
                <w:kern w:val="2"/>
                <w:sz w:val="24"/>
                <w:szCs w:val="24"/>
                <w:highlight w:val="none"/>
                <w:lang w:val="en-US" w:eastAsia="zh-CN"/>
              </w:rPr>
              <w:t>2</w:t>
            </w: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、202</w:t>
            </w:r>
            <w:r>
              <w:rPr>
                <w:rFonts w:hint="eastAsia"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、202</w:t>
            </w:r>
            <w:r>
              <w:rPr>
                <w:rFonts w:hint="eastAsia"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年。（新成立不足三年的企业提供自成立之日以来现有年限的财务会计报表）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3.5.3</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近年完成的</w:t>
            </w:r>
          </w:p>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类似工程项目</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近年，指20</w:t>
            </w:r>
            <w:r>
              <w:rPr>
                <w:rFonts w:hint="eastAsia" w:ascii="宋体" w:hAnsi="宋体" w:eastAsia="宋体" w:cs="宋体"/>
                <w:color w:val="auto"/>
                <w:kern w:val="2"/>
                <w:sz w:val="24"/>
                <w:szCs w:val="24"/>
                <w:highlight w:val="none"/>
                <w:lang w:val="en-US" w:eastAsia="zh-CN"/>
              </w:rPr>
              <w:t>2</w:t>
            </w: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年1月1日（以合同签订时间为准）至今。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3.5.4</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近年发生的诉讼及仲裁</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是否允许递交备选投标方案</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3.7.3</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hAnsi="宋体" w:cs="宋体"/>
                <w:color w:val="auto"/>
                <w:kern w:val="2"/>
                <w:sz w:val="24"/>
                <w:szCs w:val="24"/>
                <w:highlight w:val="none"/>
                <w:lang w:val="en-US" w:eastAsia="zh-CN"/>
              </w:rPr>
              <w:t>投标文件</w:t>
            </w:r>
            <w:r>
              <w:rPr>
                <w:rFonts w:hint="eastAsia" w:ascii="宋体" w:hAnsi="宋体" w:eastAsia="宋体" w:cs="宋体"/>
                <w:color w:val="auto"/>
                <w:kern w:val="2"/>
                <w:sz w:val="24"/>
                <w:szCs w:val="24"/>
                <w:highlight w:val="none"/>
              </w:rPr>
              <w:t>签字或盖章要求</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电子投标文件：按招标文件要求加盖</w:t>
            </w:r>
            <w:r>
              <w:rPr>
                <w:rFonts w:hint="eastAsia" w:ascii="宋体" w:hAnsi="宋体" w:eastAsia="宋体" w:cs="宋体"/>
                <w:b/>
                <w:bCs/>
                <w:color w:val="auto"/>
                <w:kern w:val="2"/>
                <w:sz w:val="24"/>
                <w:szCs w:val="24"/>
                <w:highlight w:val="none"/>
                <w:lang w:val="zh-CN"/>
              </w:rPr>
              <w:t>电子印章和法人电子印章</w:t>
            </w:r>
            <w:r>
              <w:rPr>
                <w:rFonts w:hint="eastAsia" w:ascii="宋体" w:hAnsi="宋体" w:eastAsia="宋体" w:cs="宋体"/>
                <w:b/>
                <w:bCs/>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3.7.4</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成功上传至</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全国公共资源交易平台（河南省·许昌市）</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公共资源交易系统电子投标文件1份（文件格式为：XX公司XXX项目编号.file）。</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color w:val="auto"/>
                <w:sz w:val="24"/>
                <w:szCs w:val="24"/>
                <w:highlight w:val="none"/>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3.7.5</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本项目是否采用</w:t>
            </w:r>
          </w:p>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不见面开标</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lang w:eastAsia="zh-CN"/>
              </w:rPr>
            </w:pPr>
            <w:r>
              <w:rPr>
                <w:rFonts w:hint="eastAsia" w:hAnsi="宋体" w:cs="宋体"/>
                <w:b/>
                <w:bCs w:val="0"/>
                <w:color w:val="auto"/>
                <w:sz w:val="24"/>
                <w:szCs w:val="24"/>
                <w:highlight w:val="none"/>
                <w:lang w:eastAsia="zh-CN"/>
              </w:rPr>
              <w:t>是，本项目采用不见面开标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递交投标文件</w:t>
            </w:r>
          </w:p>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地点</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电子投标文件递交地点：电子投标文件应在招标文件规定的投标文件提交截止时间（开标时间）之前成功提交至</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全国公共资源交易平台(河南省·许昌市)</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4.2.3</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是否退还投标文件</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5.1</w:t>
            </w:r>
          </w:p>
        </w:tc>
        <w:tc>
          <w:tcPr>
            <w:tcW w:w="2220" w:type="dxa"/>
            <w:shd w:val="clear" w:color="auto" w:fill="auto"/>
            <w:vAlign w:val="center"/>
          </w:tcPr>
          <w:p>
            <w:pPr>
              <w:bidi w:val="0"/>
              <w:rPr>
                <w:rFonts w:hint="eastAsia"/>
                <w:color w:val="auto"/>
                <w:sz w:val="24"/>
                <w:szCs w:val="24"/>
                <w:highlight w:val="none"/>
              </w:rPr>
            </w:pPr>
            <w:r>
              <w:rPr>
                <w:rFonts w:hint="eastAsia"/>
                <w:color w:val="auto"/>
                <w:sz w:val="24"/>
                <w:szCs w:val="24"/>
                <w:highlight w:val="none"/>
              </w:rPr>
              <w:t>开标时间和地点</w:t>
            </w:r>
          </w:p>
        </w:tc>
        <w:tc>
          <w:tcPr>
            <w:tcW w:w="6527" w:type="dxa"/>
            <w:shd w:val="clear" w:color="auto" w:fill="auto"/>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rPr>
            </w:pPr>
            <w:r>
              <w:rPr>
                <w:rFonts w:hint="eastAsia"/>
                <w:color w:val="auto"/>
                <w:sz w:val="24"/>
                <w:szCs w:val="24"/>
                <w:highlight w:val="none"/>
              </w:rPr>
              <w:t>开标时间：同投标截止时间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rPr>
            </w:pPr>
            <w:r>
              <w:rPr>
                <w:rFonts w:hint="eastAsia"/>
                <w:color w:val="auto"/>
                <w:sz w:val="24"/>
                <w:szCs w:val="24"/>
                <w:highlight w:val="none"/>
              </w:rPr>
              <w:t>开标地点：许昌市建安区新元大道兴业大厦4楼开标</w:t>
            </w:r>
            <w:r>
              <w:rPr>
                <w:rFonts w:hint="eastAsia"/>
                <w:color w:val="auto"/>
                <w:sz w:val="24"/>
                <w:szCs w:val="24"/>
                <w:highlight w:val="none"/>
                <w:lang w:val="en-US" w:eastAsia="zh-CN"/>
              </w:rPr>
              <w:t>二</w:t>
            </w:r>
            <w:r>
              <w:rPr>
                <w:rFonts w:hint="eastAsia"/>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5.2 </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开标程序</w:t>
            </w:r>
          </w:p>
        </w:tc>
        <w:tc>
          <w:tcPr>
            <w:tcW w:w="6527" w:type="dxa"/>
            <w:shd w:val="clear" w:color="auto" w:fill="auto"/>
          </w:tcPr>
          <w:p>
            <w:pPr>
              <w:keepLines w:val="0"/>
              <w:pageBreakBefore w:val="0"/>
              <w:widowControl w:val="0"/>
              <w:numPr>
                <w:ilvl w:val="0"/>
                <w:numId w:val="1"/>
              </w:numPr>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keepLines w:val="0"/>
              <w:pageBreakBefore w:val="0"/>
              <w:widowControl w:val="0"/>
              <w:numPr>
                <w:ilvl w:val="0"/>
                <w:numId w:val="0"/>
              </w:numPr>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投标截止时间到达时，招标代理机构点击“开标”按钮，开标开始并进行解密，解密时限为120分钟，各投标人可以远程进行解密投标文件。投标人未进行解密或未按规定进行解密的，视为放弃投标。待全部投标人解密完成后，招标人（代理机构）进行一键解密。</w:t>
            </w:r>
          </w:p>
          <w:p>
            <w:pPr>
              <w:keepLines w:val="0"/>
              <w:pageBreakBefore w:val="0"/>
              <w:widowControl w:val="0"/>
              <w:numPr>
                <w:ilvl w:val="0"/>
                <w:numId w:val="0"/>
              </w:numPr>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（3）解密完成后，招标人（代理机构）点击“系数抽取”按钮进行系数抽取，系数抽取情况在“公告通知”处显示。</w:t>
            </w:r>
          </w:p>
          <w:p>
            <w:pPr>
              <w:keepLines w:val="0"/>
              <w:pageBreakBefore w:val="0"/>
              <w:widowControl w:val="0"/>
              <w:numPr>
                <w:ilvl w:val="0"/>
                <w:numId w:val="0"/>
              </w:numPr>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keepLines w:val="0"/>
              <w:pageBreakBefore w:val="0"/>
              <w:widowControl w:val="0"/>
              <w:numPr>
                <w:ilvl w:val="0"/>
                <w:numId w:val="0"/>
              </w:numPr>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（5）如无投标人提出异议，招标代理机构通过“文字互动”对话框通知各投标人进行电子签章。投标人应在《开标记录表》上进行电子签章，未进行电子签章的视为对开标结果无异议。</w:t>
            </w:r>
          </w:p>
          <w:p>
            <w:pPr>
              <w:keepLines w:val="0"/>
              <w:pageBreakBefore w:val="0"/>
              <w:widowControl w:val="0"/>
              <w:numPr>
                <w:ilvl w:val="0"/>
                <w:numId w:val="0"/>
              </w:numPr>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评标委员会的组建</w:t>
            </w:r>
          </w:p>
        </w:tc>
        <w:tc>
          <w:tcPr>
            <w:tcW w:w="6527" w:type="dxa"/>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新宋体" w:hAnsi="新宋体" w:eastAsia="新宋体"/>
                <w:color w:val="auto"/>
                <w:sz w:val="24"/>
                <w:highlight w:val="none"/>
                <w:lang w:val="en-US" w:eastAsia="zh-CN"/>
              </w:rPr>
              <w:t>5</w:t>
            </w:r>
            <w:r>
              <w:rPr>
                <w:rFonts w:hint="eastAsia" w:ascii="新宋体" w:hAnsi="新宋体" w:eastAsia="新宋体"/>
                <w:color w:val="auto"/>
                <w:sz w:val="24"/>
                <w:highlight w:val="none"/>
              </w:rPr>
              <w:t>人，由招标人的代表1人和有关技术、经济等方面的专家4人组成</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lang w:val="en-US" w:eastAsia="zh-CN"/>
              </w:rPr>
              <w:t>其中技</w:t>
            </w:r>
            <w:r>
              <w:rPr>
                <w:rFonts w:hint="eastAsia" w:ascii="新宋体" w:hAnsi="新宋体" w:eastAsia="新宋体"/>
                <w:color w:val="auto"/>
                <w:sz w:val="24"/>
                <w:highlight w:val="none"/>
              </w:rPr>
              <w:t>术、经济等方面的专家</w:t>
            </w:r>
            <w:r>
              <w:rPr>
                <w:rFonts w:hint="eastAsia" w:ascii="新宋体" w:hAnsi="新宋体" w:eastAsia="新宋体"/>
                <w:color w:val="auto"/>
                <w:sz w:val="24"/>
                <w:highlight w:val="none"/>
                <w:lang w:val="en-US" w:eastAsia="zh-CN"/>
              </w:rPr>
              <w:t>不得少于成员总数的三分之二</w:t>
            </w:r>
            <w:r>
              <w:rPr>
                <w:rFonts w:hint="eastAsia" w:ascii="宋体" w:hAnsi="宋体" w:eastAsia="宋体" w:cs="宋体"/>
                <w:color w:val="auto"/>
                <w:sz w:val="24"/>
                <w:szCs w:val="24"/>
                <w:highlight w:val="none"/>
              </w:rPr>
              <w:t>。</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是否授权评标委员会确定中标人</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7.</w:t>
            </w:r>
            <w:r>
              <w:rPr>
                <w:rFonts w:hint="eastAsia" w:hAnsi="宋体" w:cs="宋体"/>
                <w:color w:val="auto"/>
                <w:kern w:val="2"/>
                <w:sz w:val="24"/>
                <w:szCs w:val="24"/>
                <w:highlight w:val="none"/>
                <w:lang w:val="en-US" w:eastAsia="zh-CN"/>
              </w:rPr>
              <w:t>3</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按照中标合同金额的5%取整计算，具体缴纳数额由招标人确定。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4"/>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4"/>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10.1.1</w:t>
            </w:r>
          </w:p>
        </w:tc>
        <w:tc>
          <w:tcPr>
            <w:tcW w:w="2270"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rPr>
              <w:t>类似</w:t>
            </w:r>
            <w:r>
              <w:rPr>
                <w:rFonts w:hint="eastAsia" w:hAnsi="宋体" w:cs="宋体"/>
                <w:b/>
                <w:bCs/>
                <w:color w:val="auto"/>
                <w:kern w:val="2"/>
                <w:sz w:val="24"/>
                <w:szCs w:val="24"/>
                <w:highlight w:val="none"/>
                <w:lang w:val="en-US" w:eastAsia="zh-CN"/>
              </w:rPr>
              <w:t>项目</w:t>
            </w:r>
          </w:p>
        </w:tc>
        <w:tc>
          <w:tcPr>
            <w:tcW w:w="6527"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指20</w:t>
            </w:r>
            <w:r>
              <w:rPr>
                <w:rFonts w:hint="eastAsia" w:ascii="宋体" w:hAnsi="宋体" w:eastAsia="宋体" w:cs="宋体"/>
                <w:b/>
                <w:bCs w:val="0"/>
                <w:color w:val="auto"/>
                <w:sz w:val="24"/>
                <w:szCs w:val="24"/>
                <w:highlight w:val="none"/>
                <w:lang w:val="en-US" w:eastAsia="zh-CN"/>
              </w:rPr>
              <w:t>2</w:t>
            </w:r>
            <w:r>
              <w:rPr>
                <w:rFonts w:hint="eastAsia"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年1月1日（以合同签订时间为准）以来承建过的</w:t>
            </w:r>
            <w:r>
              <w:rPr>
                <w:rFonts w:hint="eastAsia" w:hAnsi="宋体" w:cs="宋体"/>
                <w:b/>
                <w:bCs w:val="0"/>
                <w:color w:val="auto"/>
                <w:sz w:val="24"/>
                <w:szCs w:val="24"/>
                <w:highlight w:val="none"/>
                <w:lang w:val="en-US" w:eastAsia="zh-CN"/>
              </w:rPr>
              <w:t>高标准农田、农田水利或灌区续建配套与节水改造等类似项目勘察</w:t>
            </w:r>
            <w:r>
              <w:rPr>
                <w:rFonts w:hint="eastAsia" w:ascii="宋体" w:hAnsi="宋体" w:eastAsia="宋体" w:cs="宋体"/>
                <w:b/>
                <w:bCs w:val="0"/>
                <w:color w:val="auto"/>
                <w:sz w:val="24"/>
                <w:szCs w:val="24"/>
                <w:highlight w:val="none"/>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9874" w:type="dxa"/>
            <w:gridSpan w:val="4"/>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10.2.1</w:t>
            </w:r>
          </w:p>
        </w:tc>
        <w:tc>
          <w:tcPr>
            <w:tcW w:w="2220" w:type="dxa"/>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招标控制价</w:t>
            </w:r>
          </w:p>
        </w:tc>
        <w:tc>
          <w:tcPr>
            <w:tcW w:w="6527" w:type="dxa"/>
            <w:shd w:val="clear" w:color="auto" w:fill="auto"/>
            <w:vAlign w:val="center"/>
          </w:tcPr>
          <w:p>
            <w:pPr>
              <w:keepNext/>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本工程招标控制价：</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大写：</w:t>
            </w:r>
            <w:r>
              <w:rPr>
                <w:rFonts w:hint="eastAsia" w:hAnsi="宋体" w:cs="宋体"/>
                <w:b/>
                <w:bCs w:val="0"/>
                <w:color w:val="auto"/>
                <w:sz w:val="24"/>
                <w:szCs w:val="24"/>
                <w:highlight w:val="none"/>
                <w:lang w:val="en-US" w:eastAsia="zh-CN"/>
              </w:rPr>
              <w:t>贰佰柒拾万零玖仟捌佰元整</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小写：</w:t>
            </w:r>
            <w:r>
              <w:rPr>
                <w:rFonts w:hint="eastAsia" w:hAnsi="宋体" w:cs="宋体"/>
                <w:b/>
                <w:bCs w:val="0"/>
                <w:color w:val="auto"/>
                <w:sz w:val="24"/>
                <w:szCs w:val="24"/>
                <w:highlight w:val="none"/>
                <w:lang w:val="en-US" w:eastAsia="zh-CN"/>
              </w:rPr>
              <w:t>2709800.00元</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hAnsi="宋体" w:cs="宋体"/>
                <w:b/>
                <w:bCs w:val="0"/>
                <w:color w:val="auto"/>
                <w:sz w:val="24"/>
                <w:szCs w:val="24"/>
                <w:highlight w:val="none"/>
                <w:lang w:val="en-US" w:eastAsia="zh-CN"/>
              </w:rPr>
              <w:t>注：</w:t>
            </w:r>
            <w:r>
              <w:rPr>
                <w:rFonts w:hint="eastAsia" w:ascii="宋体" w:hAnsi="宋体" w:eastAsia="宋体" w:cs="宋体"/>
                <w:b/>
                <w:bCs w:val="0"/>
                <w:color w:val="auto"/>
                <w:sz w:val="24"/>
                <w:szCs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2220" w:type="dxa"/>
            <w:shd w:val="clear" w:color="auto" w:fill="auto"/>
            <w:vAlign w:val="center"/>
          </w:tcPr>
          <w:p>
            <w:pPr>
              <w:keepLines w:val="0"/>
              <w:pageBreakBefore w:val="0"/>
              <w:widowControl w:val="0"/>
              <w:kinsoku/>
              <w:wordWrap/>
              <w:overflowPunct/>
              <w:topLinePunct w:val="0"/>
              <w:bidi w:val="0"/>
              <w:adjustRightInd w:val="0"/>
              <w:snapToGrid w:val="0"/>
              <w:spacing w:line="312"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技术标是否采用“暗标”评审方式</w:t>
            </w:r>
          </w:p>
        </w:tc>
        <w:tc>
          <w:tcPr>
            <w:tcW w:w="6527" w:type="dxa"/>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ind w:left="281" w:hanging="240" w:hangingChars="1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val="0"/>
                <w:color w:val="auto"/>
                <w:sz w:val="24"/>
                <w:szCs w:val="24"/>
                <w:highlight w:val="none"/>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1"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构成投标文件组成部分的“通用合同条款”、“专用合同条款”、“技术标准和要求”和“</w:t>
            </w:r>
            <w:r>
              <w:rPr>
                <w:rFonts w:hint="eastAsia" w:hAnsi="宋体" w:cs="宋体"/>
                <w:color w:val="auto"/>
                <w:kern w:val="2"/>
                <w:sz w:val="24"/>
                <w:szCs w:val="24"/>
                <w:highlight w:val="none"/>
                <w:lang w:val="en-US" w:eastAsia="zh-CN"/>
              </w:rPr>
              <w:t>发包人要求</w:t>
            </w:r>
            <w:r>
              <w:rPr>
                <w:rFonts w:hint="eastAsia" w:ascii="宋体" w:hAnsi="宋体" w:eastAsia="宋体" w:cs="宋体"/>
                <w:color w:val="auto"/>
                <w:kern w:val="2"/>
                <w:sz w:val="24"/>
                <w:szCs w:val="24"/>
                <w:highlight w:val="none"/>
              </w:rPr>
              <w:t>”等章节中出现的措辞“发包人”和“承包人”，在招标投标阶段应当分别按“招标人”和“投标人”进行理解。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构成本招标文件的各个组成文件应互为解释，互为说明；</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1、如有不明确或不一致，构成合同文件组成内容，以合同文件约定内容为准，且以专用合同条款约定的合同文件优先顺序解释；</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2、除招标文件中有特别规定外，仅适用于招标投标阶段的规定，按招标公告（投标邀请书）、投标人须知、评标办法、投标文件格式的先后顺序解释；</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3、同一组成文件中就同一事项的规定或约定不一致的，以编排顺序在后者为准；</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4、同一组成文件不同版本之间有不一致的，以形成时间在后者为准。</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bookmarkStart w:id="6" w:name="_Toc283559965"/>
            <w:bookmarkStart w:id="7" w:name="_Toc225243456"/>
            <w:r>
              <w:rPr>
                <w:rFonts w:hint="eastAsia" w:ascii="宋体" w:hAnsi="宋体" w:eastAsia="宋体" w:cs="宋体"/>
                <w:color w:val="auto"/>
                <w:kern w:val="2"/>
                <w:sz w:val="24"/>
                <w:szCs w:val="24"/>
                <w:highlight w:val="none"/>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1、未成功上传投标文件的；</w:t>
            </w:r>
          </w:p>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sz w:val="24"/>
                <w:szCs w:val="24"/>
                <w:highlight w:val="none"/>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tabs>
                <w:tab w:val="left" w:pos="1213"/>
              </w:tabs>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r>
              <w:rPr>
                <w:rFonts w:hint="eastAsia" w:hAnsi="宋体" w:cs="宋体"/>
                <w:b/>
                <w:bCs/>
                <w:color w:val="auto"/>
                <w:sz w:val="24"/>
                <w:szCs w:val="24"/>
                <w:highlight w:val="none"/>
              </w:rPr>
              <w:t>本项目招标代理费由中标人支付，收费标准</w:t>
            </w:r>
            <w:r>
              <w:rPr>
                <w:rFonts w:hint="eastAsia" w:hAnsi="宋体" w:cs="宋体"/>
                <w:b/>
                <w:bCs/>
                <w:color w:val="auto"/>
                <w:sz w:val="24"/>
                <w:szCs w:val="24"/>
                <w:highlight w:val="none"/>
                <w:lang w:val="en-US" w:eastAsia="zh-CN"/>
              </w:rPr>
              <w:t>参照</w:t>
            </w:r>
            <w:r>
              <w:rPr>
                <w:rFonts w:hint="eastAsia" w:hAnsi="宋体" w:cs="宋体"/>
                <w:b/>
                <w:bCs/>
                <w:color w:val="auto"/>
                <w:sz w:val="24"/>
                <w:szCs w:val="24"/>
                <w:highlight w:val="none"/>
              </w:rPr>
              <w:t>发改价格(2015]299号文件和豫招协［2023］002号文件规定计取</w:t>
            </w:r>
            <w:r>
              <w:rPr>
                <w:rFonts w:hint="eastAsia" w:ascii="宋体" w:hAnsi="宋体" w:eastAsia="宋体" w:cs="宋体"/>
                <w:b/>
                <w:bCs/>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tabs>
                <w:tab w:val="left" w:pos="1213"/>
              </w:tabs>
              <w:kinsoku/>
              <w:wordWrap/>
              <w:overflowPunct/>
              <w:topLinePunct w:val="0"/>
              <w:bidi w:val="0"/>
              <w:adjustRightInd w:val="0"/>
              <w:snapToGrid w:val="0"/>
              <w:spacing w:line="312" w:lineRule="auto"/>
              <w:textAlignment w:val="auto"/>
              <w:rPr>
                <w:rFonts w:hint="eastAsia" w:hAnsi="宋体" w:cs="宋体"/>
                <w:b/>
                <w:bCs/>
                <w:color w:val="auto"/>
                <w:sz w:val="24"/>
                <w:szCs w:val="24"/>
                <w:highlight w:val="none"/>
              </w:rPr>
            </w:pPr>
            <w:r>
              <w:rPr>
                <w:rFonts w:hint="eastAsia" w:ascii="宋体" w:hAnsi="宋体" w:eastAsia="宋体" w:cs="宋体"/>
                <w:color w:val="auto"/>
                <w:kern w:val="2"/>
                <w:sz w:val="24"/>
                <w:szCs w:val="24"/>
                <w:highlight w:val="none"/>
              </w:rPr>
              <w:t>10.11.</w:t>
            </w:r>
            <w:r>
              <w:rPr>
                <w:rFonts w:hint="eastAsia" w:hAnsi="宋体" w:cs="宋体"/>
                <w:color w:val="auto"/>
                <w:kern w:val="2"/>
                <w:sz w:val="24"/>
                <w:szCs w:val="24"/>
                <w:highlight w:val="none"/>
                <w:lang w:val="en-US" w:eastAsia="zh-CN"/>
              </w:rPr>
              <w:t xml:space="preserve">3  </w:t>
            </w:r>
            <w:r>
              <w:rPr>
                <w:rFonts w:hint="eastAsia" w:hAnsi="宋体" w:cs="宋体"/>
                <w:color w:val="auto"/>
                <w:sz w:val="24"/>
                <w:szCs w:val="24"/>
                <w:highlight w:val="none"/>
              </w:rPr>
              <w:t>标后履约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tabs>
                <w:tab w:val="left" w:pos="1213"/>
              </w:tabs>
              <w:kinsoku/>
              <w:wordWrap/>
              <w:overflowPunct/>
              <w:topLinePunct w:val="0"/>
              <w:bidi w:val="0"/>
              <w:adjustRightInd w:val="0"/>
              <w:snapToGrid w:val="0"/>
              <w:spacing w:line="312" w:lineRule="auto"/>
              <w:textAlignment w:val="auto"/>
              <w:rPr>
                <w:rFonts w:hint="eastAsia" w:hAnsi="宋体" w:cs="宋体"/>
                <w:b/>
                <w:bCs/>
                <w:color w:val="auto"/>
                <w:sz w:val="24"/>
                <w:szCs w:val="24"/>
                <w:highlight w:val="none"/>
              </w:rPr>
            </w:pPr>
            <w:r>
              <w:rPr>
                <w:rFonts w:hint="eastAsia" w:hAnsi="宋体" w:cs="宋体"/>
                <w:color w:val="auto"/>
                <w:sz w:val="24"/>
                <w:szCs w:val="24"/>
                <w:highlight w:val="none"/>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outlineLvl w:val="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 w:hRule="atLeast"/>
          <w:jc w:val="center"/>
        </w:trPr>
        <w:tc>
          <w:tcPr>
            <w:tcW w:w="1127" w:type="dxa"/>
            <w:gridSpan w:val="2"/>
            <w:shd w:val="clear" w:color="auto" w:fill="auto"/>
            <w:vAlign w:val="center"/>
          </w:tcPr>
          <w:p>
            <w:pPr>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4"/>
                <w:szCs w:val="24"/>
                <w:highlight w:val="none"/>
              </w:rPr>
            </w:pPr>
          </w:p>
        </w:tc>
        <w:tc>
          <w:tcPr>
            <w:tcW w:w="8747" w:type="dxa"/>
            <w:gridSpan w:val="2"/>
            <w:shd w:val="clear" w:color="auto" w:fill="auto"/>
            <w:vAlign w:val="center"/>
          </w:tcPr>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1、潜在投标人如对招标文件有异议，请在规定时间内在《全国公共资源交易平台（河南省·许昌市）》公共资源交易系统中提出，以其他方式递交的异议不予接受。</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2、投标人在投标截止时间前应随时关注《全国公共资源交易平台（河南省·许昌市）》公共资源交易系统发出的有关本项目的答疑、修改等相关内容。</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3、投标文件依据最终的招标文件进行编制。如果招标文件发生变更，投标人应以招标人最终发出的电子招标文件为准，编制投标文件，务请投标人随时关注项目变更信息。</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4、招标人及其代理机构需留存项目电子档案时，可在质疑期满后使用CA锁从交易平台自行下载。</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5、商务标投标文件制作注意事项：</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投标人登录《全国公共资源交易平台（河南省·许昌市）》公共资源交易系统下载“许昌投标文件制作系统SEARUN 最新版本” 和操作手册（工程项目），按招标文件要求制作商务标投标文件。</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商务标投标文件制作技术咨询：0374-2961598。</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投标人应在投标文件递交的截止时间之前通过</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全国公共资源交易平台（河南省•许昌市）</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公共资源交易系统递交电子投标文件。</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请投标人在上传电子投标文件时认真检查上传投标文件是否完整、正确。</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加密电子投标文件逾期上传的，招标人不予受理。</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 投标人采用银行转账方式提交投标保证金的，应在投标文件递交的截止时间之前按程序完成投标保证金绑定。</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7、投标人需提前熟悉招标文件相关事项及《不见面开标流程操作手册》，并设置不见面开标浏览器（设置流程详见《不见面开标流程操作手册》）。</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8、投标人上传、解密投标文件需使用同一个CA数字证书，需确保用于解密的CA数字证书在有效期内、可正常使用，并在规定时间内完成电子投标文件解密。评标时仅以成功上传、解密的投标文件为准。</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9、对开标过程有关内容有异议（质疑）的，投标人可在本项目的不见面开标大厅通过“文字互动”功能或“新增质疑”处提出异议（质疑），招标人（代理机构）及时进行线上答复。</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不见面开标活动结束时，投标人应在《开标记录表》上进行电子签章，未进行电子签章的视为对开标结果无异议。</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keepLines w:val="0"/>
              <w:pageBreakBefore w:val="0"/>
              <w:widowControl w:val="0"/>
              <w:kinsoku/>
              <w:wordWrap/>
              <w:overflowPunct/>
              <w:topLinePunct w:val="0"/>
              <w:autoSpaceDE w:val="0"/>
              <w:autoSpaceDN w:val="0"/>
              <w:bidi w:val="0"/>
              <w:adjustRightInd w:val="0"/>
              <w:snapToGrid w:val="0"/>
              <w:spacing w:line="312" w:lineRule="auto"/>
              <w:jc w:val="left"/>
              <w:textAlignment w:val="auto"/>
              <w:outlineLvl w:val="0"/>
              <w:rPr>
                <w:rFonts w:hint="eastAsia" w:ascii="宋体" w:hAnsi="宋体" w:eastAsia="宋体" w:cs="宋体"/>
                <w:color w:val="auto"/>
                <w:kern w:val="2"/>
                <w:sz w:val="24"/>
                <w:szCs w:val="24"/>
                <w:highlight w:val="none"/>
              </w:rPr>
            </w:pPr>
            <w:r>
              <w:rPr>
                <w:rFonts w:hint="eastAsia" w:ascii="宋体" w:hAnsi="宋体" w:eastAsia="宋体" w:cs="宋体"/>
                <w:b/>
                <w:color w:val="auto"/>
                <w:sz w:val="24"/>
                <w:szCs w:val="24"/>
                <w:highlight w:val="none"/>
              </w:rPr>
              <w:t>11、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pPr>
        <w:rPr>
          <w:rFonts w:hint="eastAsia" w:ascii="宋体" w:hAnsi="宋体" w:eastAsia="宋体" w:cs="宋体"/>
          <w:b/>
          <w:color w:val="auto"/>
          <w:sz w:val="24"/>
          <w:szCs w:val="24"/>
          <w:highlight w:val="none"/>
        </w:rPr>
      </w:pPr>
      <w:bookmarkStart w:id="8" w:name="_Toc283559947"/>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p>
    <w:p>
      <w:pPr>
        <w:autoSpaceDE w:val="0"/>
        <w:autoSpaceDN w:val="0"/>
        <w:spacing w:line="44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总则</w:t>
      </w:r>
    </w:p>
    <w:p>
      <w:pPr>
        <w:autoSpaceDE w:val="0"/>
        <w:autoSpaceDN w:val="0"/>
        <w:spacing w:line="44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项目概况</w:t>
      </w:r>
      <w:r>
        <w:rPr>
          <w:rFonts w:hint="eastAsia" w:ascii="宋体" w:hAnsi="宋体" w:eastAsia="宋体" w:cs="宋体"/>
          <w:b/>
          <w:color w:val="auto"/>
          <w:sz w:val="24"/>
          <w:szCs w:val="24"/>
          <w:highlight w:val="none"/>
        </w:rPr>
        <w:tab/>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根据《中华人民共和国招标投标法》等有关法律、法规和规章的规定，本招标项目已具备招标条件，现对</w:t>
      </w:r>
      <w:r>
        <w:rPr>
          <w:color w:val="auto"/>
          <w:spacing w:val="-3"/>
          <w:sz w:val="24"/>
          <w:szCs w:val="24"/>
          <w:highlight w:val="none"/>
        </w:rPr>
        <w:t>本</w:t>
      </w:r>
      <w:r>
        <w:rPr>
          <w:rFonts w:hint="eastAsia"/>
          <w:color w:val="auto"/>
          <w:spacing w:val="-3"/>
          <w:sz w:val="24"/>
          <w:szCs w:val="24"/>
          <w:highlight w:val="none"/>
          <w:lang w:val="en-US" w:eastAsia="zh-CN"/>
        </w:rPr>
        <w:t>项目勘察设计</w:t>
      </w:r>
      <w:r>
        <w:rPr>
          <w:rFonts w:hint="eastAsia" w:ascii="宋体" w:hAnsi="宋体" w:eastAsia="宋体" w:cs="宋体"/>
          <w:color w:val="auto"/>
          <w:sz w:val="24"/>
          <w:szCs w:val="24"/>
          <w:highlight w:val="none"/>
        </w:rPr>
        <w:t>进行招标。</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本招标项目招标人：见投标人须知前附表。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本招标项目代理机构：见投标人须知前附表。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本标段建设地点：见申请人须知前附表。</w:t>
      </w:r>
    </w:p>
    <w:p>
      <w:pPr>
        <w:autoSpaceDE w:val="0"/>
        <w:autoSpaceDN w:val="0"/>
        <w:spacing w:line="44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资金来源和落实情况</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本招标项目的资金来源：见投标人须知前附表。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本招标项目的出资比例：见投标人须知前附表。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本招标项目的资金落实情况：见投标人须知前附表。</w:t>
      </w:r>
    </w:p>
    <w:p>
      <w:pPr>
        <w:autoSpaceDE w:val="0"/>
        <w:autoSpaceDN w:val="0"/>
        <w:spacing w:line="44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招标范围、工期和质量要求</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本招标项目的招标范围：见投标人须知前附表。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本招标项目的工期要求：见投标人须知前附表。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本招标项目的质量要求：见投标人须知前附表。</w:t>
      </w:r>
    </w:p>
    <w:p>
      <w:pPr>
        <w:autoSpaceDE w:val="0"/>
        <w:autoSpaceDN w:val="0"/>
        <w:spacing w:line="44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投标人及项目负责人资格要求</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1.4.1投标人、项目负责人资格要求：见投标人须知前附表。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投标人资格要求（详见投标人须知前附表）</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1.4.3投标人不得存在下列情形之一：</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（3）为本标段的监理人；</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（4）为本标段的代建人； </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（5）为本标段提供招标代理服务的； </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（9）被责令停业的； </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（10）被暂停或取消投标资格的； </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（11）财产被接管或冻结的；</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（12）在最近三年内有骗取中标或严重违约或重大工程质量问题的。</w:t>
      </w:r>
    </w:p>
    <w:p>
      <w:pPr>
        <w:autoSpaceDE w:val="0"/>
        <w:autoSpaceDN w:val="0"/>
        <w:spacing w:line="440" w:lineRule="exact"/>
        <w:jc w:val="left"/>
        <w:outlineLvl w:val="0"/>
        <w:rPr>
          <w:rFonts w:hint="eastAsia" w:ascii="宋体" w:hAnsi="宋体" w:eastAsia="宋体" w:cs="宋体"/>
          <w:b/>
          <w:color w:val="auto"/>
          <w:sz w:val="24"/>
          <w:szCs w:val="24"/>
          <w:highlight w:val="none"/>
        </w:rPr>
      </w:pPr>
      <w:bookmarkStart w:id="9" w:name="_Toc179632552"/>
      <w:bookmarkStart w:id="10" w:name="_Toc152042311"/>
      <w:bookmarkStart w:id="11" w:name="_Toc152045535"/>
      <w:bookmarkStart w:id="12" w:name="_Toc144974503"/>
      <w:r>
        <w:rPr>
          <w:rFonts w:hint="eastAsia" w:ascii="宋体" w:hAnsi="宋体" w:eastAsia="宋体" w:cs="宋体"/>
          <w:b/>
          <w:color w:val="auto"/>
          <w:sz w:val="24"/>
          <w:szCs w:val="24"/>
          <w:highlight w:val="none"/>
        </w:rPr>
        <w:t>1.5 费用承担</w:t>
      </w:r>
      <w:bookmarkEnd w:id="9"/>
      <w:bookmarkEnd w:id="10"/>
      <w:bookmarkEnd w:id="11"/>
      <w:bookmarkEnd w:id="12"/>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pPr>
        <w:autoSpaceDE w:val="0"/>
        <w:autoSpaceDN w:val="0"/>
        <w:spacing w:line="440" w:lineRule="exact"/>
        <w:jc w:val="left"/>
        <w:outlineLvl w:val="0"/>
        <w:rPr>
          <w:rFonts w:hint="eastAsia" w:ascii="宋体" w:hAnsi="宋体" w:eastAsia="宋体" w:cs="宋体"/>
          <w:b/>
          <w:color w:val="auto"/>
          <w:sz w:val="24"/>
          <w:szCs w:val="24"/>
          <w:highlight w:val="none"/>
        </w:rPr>
      </w:pPr>
      <w:bookmarkStart w:id="13" w:name="_Toc152042312"/>
      <w:bookmarkStart w:id="14" w:name="_Toc152045536"/>
      <w:bookmarkStart w:id="15" w:name="_Toc144974504"/>
      <w:bookmarkStart w:id="16" w:name="_Toc179632553"/>
      <w:r>
        <w:rPr>
          <w:rFonts w:hint="eastAsia" w:ascii="宋体" w:hAnsi="宋体" w:eastAsia="宋体" w:cs="宋体"/>
          <w:b/>
          <w:color w:val="auto"/>
          <w:sz w:val="24"/>
          <w:szCs w:val="24"/>
          <w:highlight w:val="none"/>
        </w:rPr>
        <w:t>1.6 保密</w:t>
      </w:r>
      <w:bookmarkEnd w:id="13"/>
      <w:bookmarkEnd w:id="14"/>
      <w:bookmarkEnd w:id="15"/>
      <w:bookmarkEnd w:id="16"/>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int="eastAsia" w:ascii="宋体" w:hAnsi="宋体" w:eastAsia="宋体" w:cs="宋体"/>
          <w:b/>
          <w:color w:val="auto"/>
          <w:sz w:val="24"/>
          <w:szCs w:val="24"/>
          <w:highlight w:val="none"/>
        </w:rPr>
      </w:pPr>
      <w:bookmarkStart w:id="17" w:name="_Toc144974505"/>
      <w:bookmarkStart w:id="18" w:name="_Toc152045537"/>
      <w:bookmarkStart w:id="19" w:name="_Toc179632554"/>
      <w:bookmarkStart w:id="20" w:name="_Toc152042313"/>
      <w:r>
        <w:rPr>
          <w:rFonts w:hint="eastAsia" w:ascii="宋体" w:hAnsi="宋体" w:eastAsia="宋体" w:cs="宋体"/>
          <w:b/>
          <w:color w:val="auto"/>
          <w:sz w:val="24"/>
          <w:szCs w:val="24"/>
          <w:highlight w:val="none"/>
        </w:rPr>
        <w:t>1.7 语言</w:t>
      </w:r>
      <w:bookmarkEnd w:id="17"/>
      <w:r>
        <w:rPr>
          <w:rFonts w:hint="eastAsia" w:ascii="宋体" w:hAnsi="宋体" w:eastAsia="宋体" w:cs="宋体"/>
          <w:b/>
          <w:color w:val="auto"/>
          <w:sz w:val="24"/>
          <w:szCs w:val="24"/>
          <w:highlight w:val="none"/>
        </w:rPr>
        <w:t>文字</w:t>
      </w:r>
      <w:bookmarkEnd w:id="18"/>
      <w:bookmarkEnd w:id="19"/>
      <w:bookmarkEnd w:id="20"/>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除专用术语外，与招标投标有关的语言均使用中文。必要时专用术语应附有中文注释。</w:t>
      </w:r>
    </w:p>
    <w:p>
      <w:pPr>
        <w:autoSpaceDE w:val="0"/>
        <w:autoSpaceDN w:val="0"/>
        <w:spacing w:line="440" w:lineRule="exact"/>
        <w:jc w:val="left"/>
        <w:outlineLvl w:val="0"/>
        <w:rPr>
          <w:rFonts w:hint="eastAsia" w:ascii="宋体" w:hAnsi="宋体" w:eastAsia="宋体" w:cs="宋体"/>
          <w:b/>
          <w:color w:val="auto"/>
          <w:sz w:val="24"/>
          <w:szCs w:val="24"/>
          <w:highlight w:val="none"/>
        </w:rPr>
      </w:pPr>
      <w:bookmarkStart w:id="21" w:name="_Toc152045538"/>
      <w:bookmarkStart w:id="22" w:name="_Toc179632555"/>
      <w:bookmarkStart w:id="23" w:name="_Toc144974506"/>
      <w:bookmarkStart w:id="24" w:name="_Toc152042314"/>
      <w:r>
        <w:rPr>
          <w:rFonts w:hint="eastAsia" w:ascii="宋体" w:hAnsi="宋体" w:eastAsia="宋体" w:cs="宋体"/>
          <w:b/>
          <w:color w:val="auto"/>
          <w:sz w:val="24"/>
          <w:szCs w:val="24"/>
          <w:highlight w:val="none"/>
        </w:rPr>
        <w:t>1.8 计量单位</w:t>
      </w:r>
      <w:bookmarkEnd w:id="21"/>
      <w:bookmarkEnd w:id="22"/>
      <w:bookmarkEnd w:id="23"/>
      <w:bookmarkEnd w:id="24"/>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autoSpaceDE w:val="0"/>
        <w:autoSpaceDN w:val="0"/>
        <w:spacing w:line="44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踏勘现场</w:t>
      </w:r>
      <w:bookmarkEnd w:id="8"/>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 不组织。          </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int="eastAsia" w:ascii="宋体" w:hAnsi="宋体" w:eastAsia="宋体" w:cs="宋体"/>
          <w:b/>
          <w:color w:val="auto"/>
          <w:sz w:val="24"/>
          <w:szCs w:val="24"/>
          <w:highlight w:val="none"/>
        </w:rPr>
      </w:pPr>
      <w:bookmarkStart w:id="25" w:name="_Toc283559948"/>
      <w:r>
        <w:rPr>
          <w:rFonts w:hint="eastAsia" w:ascii="宋体" w:hAnsi="宋体" w:eastAsia="宋体" w:cs="宋体"/>
          <w:b/>
          <w:color w:val="auto"/>
          <w:sz w:val="24"/>
          <w:szCs w:val="24"/>
          <w:highlight w:val="none"/>
        </w:rPr>
        <w:t>1.10 投标预备会</w:t>
      </w:r>
      <w:bookmarkEnd w:id="25"/>
    </w:p>
    <w:p>
      <w:pPr>
        <w:autoSpaceDE w:val="0"/>
        <w:autoSpaceDN w:val="0"/>
        <w:spacing w:line="450" w:lineRule="exact"/>
        <w:ind w:firstLine="480" w:firstLineChars="200"/>
        <w:jc w:val="left"/>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1.10.1 招标人不召开投标预备会。</w:t>
      </w:r>
    </w:p>
    <w:p>
      <w:pPr>
        <w:autoSpaceDE w:val="0"/>
        <w:autoSpaceDN w:val="0"/>
        <w:spacing w:line="45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int="eastAsia" w:ascii="宋体" w:hAnsi="宋体" w:eastAsia="宋体" w:cs="宋体"/>
          <w:b/>
          <w:color w:val="auto"/>
          <w:sz w:val="24"/>
          <w:szCs w:val="24"/>
          <w:highlight w:val="none"/>
        </w:rPr>
      </w:pPr>
      <w:bookmarkStart w:id="26" w:name="_Toc283559949"/>
      <w:r>
        <w:rPr>
          <w:rFonts w:hint="eastAsia" w:ascii="宋体" w:hAnsi="宋体" w:eastAsia="宋体" w:cs="宋体"/>
          <w:b/>
          <w:color w:val="auto"/>
          <w:sz w:val="24"/>
          <w:szCs w:val="24"/>
          <w:highlight w:val="none"/>
        </w:rPr>
        <w:t>1.11 分包</w:t>
      </w:r>
      <w:bookmarkEnd w:id="26"/>
    </w:p>
    <w:p>
      <w:pPr>
        <w:autoSpaceDE w:val="0"/>
        <w:autoSpaceDN w:val="0"/>
        <w:spacing w:line="450" w:lineRule="exact"/>
        <w:ind w:firstLine="480" w:firstLineChars="200"/>
        <w:jc w:val="left"/>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不允许。</w:t>
      </w:r>
    </w:p>
    <w:p>
      <w:pPr>
        <w:autoSpaceDE w:val="0"/>
        <w:autoSpaceDN w:val="0"/>
        <w:adjustRightInd w:val="0"/>
        <w:spacing w:line="450" w:lineRule="exact"/>
        <w:jc w:val="left"/>
        <w:outlineLvl w:val="0"/>
        <w:rPr>
          <w:rFonts w:hint="eastAsia" w:ascii="宋体" w:hAnsi="宋体" w:eastAsia="宋体" w:cs="宋体"/>
          <w:b/>
          <w:color w:val="auto"/>
          <w:sz w:val="24"/>
          <w:szCs w:val="24"/>
          <w:highlight w:val="none"/>
        </w:rPr>
      </w:pPr>
      <w:bookmarkStart w:id="27" w:name="_Toc283559950"/>
      <w:r>
        <w:rPr>
          <w:rFonts w:hint="eastAsia" w:ascii="宋体" w:hAnsi="宋体" w:eastAsia="宋体" w:cs="宋体"/>
          <w:b/>
          <w:color w:val="auto"/>
          <w:sz w:val="24"/>
          <w:szCs w:val="24"/>
          <w:highlight w:val="none"/>
        </w:rPr>
        <w:t>1.12 偏离</w:t>
      </w:r>
      <w:bookmarkEnd w:id="27"/>
    </w:p>
    <w:p>
      <w:pPr>
        <w:autoSpaceDE w:val="0"/>
        <w:autoSpaceDN w:val="0"/>
        <w:adjustRightInd w:val="0"/>
        <w:spacing w:line="450" w:lineRule="exact"/>
        <w:ind w:firstLine="480" w:firstLineChars="200"/>
        <w:jc w:val="left"/>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投标人须知前附表允许投标文件偏离招标文件某些要求的，偏离应当符合招标文件规定的偏离范围和幅度。</w:t>
      </w:r>
    </w:p>
    <w:p>
      <w:pPr>
        <w:pStyle w:val="45"/>
        <w:spacing w:line="450" w:lineRule="exact"/>
        <w:jc w:val="both"/>
        <w:outlineLvl w:val="0"/>
        <w:rPr>
          <w:rFonts w:hint="eastAsia" w:ascii="宋体" w:hAnsi="宋体" w:eastAsia="宋体" w:cs="宋体"/>
          <w:b/>
          <w:color w:val="auto"/>
          <w:sz w:val="24"/>
          <w:szCs w:val="24"/>
          <w:highlight w:val="none"/>
        </w:rPr>
      </w:pPr>
      <w:bookmarkStart w:id="28" w:name="_Toc283559951"/>
      <w:r>
        <w:rPr>
          <w:rFonts w:hint="eastAsia" w:ascii="宋体" w:hAnsi="宋体" w:eastAsia="宋体" w:cs="宋体"/>
          <w:b/>
          <w:color w:val="auto"/>
          <w:sz w:val="24"/>
          <w:szCs w:val="24"/>
          <w:highlight w:val="none"/>
        </w:rPr>
        <w:t>2. 招标文件</w:t>
      </w:r>
      <w:bookmarkEnd w:id="28"/>
    </w:p>
    <w:p>
      <w:pPr>
        <w:autoSpaceDE w:val="0"/>
        <w:autoSpaceDN w:val="0"/>
        <w:spacing w:line="450" w:lineRule="exact"/>
        <w:jc w:val="left"/>
        <w:outlineLvl w:val="0"/>
        <w:rPr>
          <w:rFonts w:hint="eastAsia" w:ascii="宋体" w:hAnsi="宋体" w:eastAsia="宋体" w:cs="宋体"/>
          <w:b/>
          <w:color w:val="auto"/>
          <w:sz w:val="24"/>
          <w:szCs w:val="24"/>
          <w:highlight w:val="none"/>
        </w:rPr>
      </w:pPr>
      <w:bookmarkStart w:id="29" w:name="_Toc283559952"/>
      <w:r>
        <w:rPr>
          <w:rFonts w:hint="eastAsia" w:ascii="宋体" w:hAnsi="宋体" w:eastAsia="宋体" w:cs="宋体"/>
          <w:b/>
          <w:color w:val="auto"/>
          <w:sz w:val="24"/>
          <w:szCs w:val="24"/>
          <w:highlight w:val="none"/>
        </w:rPr>
        <w:t>2.1 招标文件的组成</w:t>
      </w:r>
      <w:bookmarkEnd w:id="29"/>
    </w:p>
    <w:p>
      <w:pPr>
        <w:autoSpaceDE w:val="0"/>
        <w:autoSpaceDN w:val="0"/>
        <w:spacing w:line="450" w:lineRule="exact"/>
        <w:ind w:firstLine="480" w:firstLineChars="200"/>
        <w:jc w:val="left"/>
        <w:outlineLvl w:val="0"/>
        <w:rPr>
          <w:rFonts w:hint="eastAsia" w:ascii="宋体" w:hAnsi="宋体" w:eastAsia="宋体" w:cs="宋体"/>
          <w:color w:val="auto"/>
          <w:sz w:val="24"/>
          <w:szCs w:val="24"/>
          <w:highlight w:val="none"/>
        </w:rPr>
      </w:pPr>
      <w:bookmarkStart w:id="30" w:name="_Toc283559953"/>
      <w:r>
        <w:rPr>
          <w:rFonts w:hint="eastAsia" w:ascii="宋体" w:hAnsi="宋体" w:eastAsia="宋体" w:cs="宋体"/>
          <w:color w:val="auto"/>
          <w:sz w:val="24"/>
          <w:szCs w:val="24"/>
          <w:highlight w:val="none"/>
        </w:rPr>
        <w:t>本招标文件包括：</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（4）合同条款及格式； </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hAnsi="宋体" w:cs="宋体"/>
          <w:color w:val="auto"/>
          <w:sz w:val="24"/>
          <w:szCs w:val="24"/>
          <w:highlight w:val="none"/>
          <w:lang w:val="en-US" w:eastAsia="zh-CN"/>
        </w:rPr>
        <w:t>发包人要求</w:t>
      </w:r>
      <w:r>
        <w:rPr>
          <w:rFonts w:hint="eastAsia" w:ascii="宋体" w:hAnsi="宋体" w:eastAsia="宋体" w:cs="宋体"/>
          <w:color w:val="auto"/>
          <w:sz w:val="24"/>
          <w:szCs w:val="24"/>
          <w:highlight w:val="none"/>
        </w:rPr>
        <w:t>；</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（7）投标人须知前附表规定的其他材料；</w:t>
      </w:r>
    </w:p>
    <w:p>
      <w:pPr>
        <w:autoSpaceDE w:val="0"/>
        <w:autoSpaceDN w:val="0"/>
        <w:spacing w:line="45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根据本章第2.2 款和第2.3 款对招标文件所作的澄清、修改，构成招标文件的组成部分。</w:t>
      </w:r>
    </w:p>
    <w:p>
      <w:pPr>
        <w:autoSpaceDE w:val="0"/>
        <w:autoSpaceDN w:val="0"/>
        <w:spacing w:line="45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招标文件的澄清</w:t>
      </w:r>
      <w:bookmarkEnd w:id="30"/>
    </w:p>
    <w:p>
      <w:pPr>
        <w:spacing w:line="450" w:lineRule="exact"/>
        <w:ind w:firstLine="410" w:firstLineChars="171"/>
        <w:rPr>
          <w:rFonts w:hint="eastAsia" w:ascii="宋体" w:hAnsi="宋体" w:eastAsia="宋体" w:cs="宋体"/>
          <w:color w:val="auto"/>
          <w:sz w:val="24"/>
          <w:szCs w:val="24"/>
          <w:highlight w:val="none"/>
        </w:rPr>
      </w:pPr>
      <w:bookmarkStart w:id="31" w:name="_Toc283559954"/>
      <w:r>
        <w:rPr>
          <w:rFonts w:hint="eastAsia" w:ascii="宋体" w:hAnsi="宋体" w:eastAsia="宋体" w:cs="宋体"/>
          <w:color w:val="auto"/>
          <w:sz w:val="24"/>
          <w:szCs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eastAsia="宋体" w:cs="宋体"/>
          <w:b/>
          <w:bCs/>
          <w:color w:val="auto"/>
          <w:sz w:val="24"/>
          <w:szCs w:val="24"/>
          <w:highlight w:val="none"/>
        </w:rPr>
        <w:t>如未提出异议，视为全面接受。</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招标文件的澄清将在投标人须知前附表规定的投标截止时间15天前通过</w:t>
      </w:r>
      <w:r>
        <w:rPr>
          <w:rFonts w:hint="eastAsia" w:hAnsi="宋体" w:cs="宋体"/>
          <w:color w:val="auto"/>
          <w:sz w:val="24"/>
          <w:szCs w:val="24"/>
          <w:highlight w:val="none"/>
          <w:lang w:eastAsia="zh-CN"/>
        </w:rPr>
        <w:t>《全国公共资源交易平台（河南省·许昌市）》</w:t>
      </w:r>
      <w:r>
        <w:rPr>
          <w:rFonts w:hint="eastAsia" w:ascii="宋体" w:hAnsi="宋体" w:eastAsia="宋体" w:cs="宋体"/>
          <w:color w:val="auto"/>
          <w:sz w:val="24"/>
          <w:szCs w:val="24"/>
          <w:highlight w:val="none"/>
        </w:rPr>
        <w:t>公共资源交易系统发出，但不指明澄清问题的来源。如果澄清发出的时间距投标截止时间不足15天，相应延长投标截止时间。</w:t>
      </w:r>
    </w:p>
    <w:p>
      <w:pPr>
        <w:spacing w:line="45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所有澄清、答疑全部以</w:t>
      </w:r>
      <w:r>
        <w:rPr>
          <w:rFonts w:hint="eastAsia" w:hAnsi="宋体" w:cs="宋体"/>
          <w:color w:val="auto"/>
          <w:sz w:val="24"/>
          <w:szCs w:val="24"/>
          <w:highlight w:val="none"/>
          <w:lang w:eastAsia="zh-CN"/>
        </w:rPr>
        <w:t>《全国公共资源交易平台（河南省·许昌市）》</w:t>
      </w:r>
      <w:r>
        <w:rPr>
          <w:rFonts w:hint="eastAsia" w:ascii="宋体" w:hAnsi="宋体" w:eastAsia="宋体" w:cs="宋体"/>
          <w:color w:val="auto"/>
          <w:sz w:val="24"/>
          <w:szCs w:val="24"/>
          <w:highlight w:val="none"/>
        </w:rPr>
        <w:t>公共资源交易系统发出的为准，不再接受书面形式的递交。</w:t>
      </w:r>
    </w:p>
    <w:p>
      <w:pPr>
        <w:autoSpaceDE w:val="0"/>
        <w:autoSpaceDN w:val="0"/>
        <w:spacing w:line="45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招标文件的修改</w:t>
      </w:r>
      <w:bookmarkEnd w:id="31"/>
    </w:p>
    <w:p>
      <w:pPr>
        <w:autoSpaceDE w:val="0"/>
        <w:autoSpaceDN w:val="0"/>
        <w:spacing w:line="42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在投标截止时间15天前，招标人可以通过公共资源交易系统电子平台修改招标文件，如果修改招标文件的时间距投标截止时间不足15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当招标文件、补充通知、答疑纪要，内容相互矛盾时，以最后发出的通知或纪要为准。</w:t>
      </w:r>
    </w:p>
    <w:p>
      <w:pPr>
        <w:autoSpaceDE w:val="0"/>
        <w:autoSpaceDN w:val="0"/>
        <w:spacing w:line="420" w:lineRule="exact"/>
        <w:jc w:val="left"/>
        <w:outlineLvl w:val="0"/>
        <w:rPr>
          <w:rFonts w:hint="eastAsia" w:ascii="宋体" w:hAnsi="宋体" w:eastAsia="宋体" w:cs="宋体"/>
          <w:b/>
          <w:color w:val="auto"/>
          <w:sz w:val="24"/>
          <w:szCs w:val="24"/>
          <w:highlight w:val="none"/>
        </w:rPr>
      </w:pPr>
      <w:bookmarkStart w:id="32" w:name="_Toc152042322"/>
      <w:bookmarkStart w:id="33" w:name="_Toc179632564"/>
      <w:bookmarkStart w:id="34" w:name="_Toc144974514"/>
      <w:bookmarkStart w:id="35" w:name="_Toc152045546"/>
      <w:r>
        <w:rPr>
          <w:rFonts w:hint="eastAsia" w:ascii="宋体" w:hAnsi="宋体" w:eastAsia="宋体" w:cs="宋体"/>
          <w:b/>
          <w:color w:val="auto"/>
          <w:sz w:val="24"/>
          <w:szCs w:val="24"/>
          <w:highlight w:val="none"/>
        </w:rPr>
        <w:t>3. 投标文件</w:t>
      </w:r>
      <w:bookmarkEnd w:id="32"/>
      <w:bookmarkEnd w:id="33"/>
      <w:bookmarkEnd w:id="34"/>
      <w:bookmarkEnd w:id="35"/>
    </w:p>
    <w:p>
      <w:pPr>
        <w:autoSpaceDE w:val="0"/>
        <w:autoSpaceDN w:val="0"/>
        <w:spacing w:line="420" w:lineRule="exact"/>
        <w:jc w:val="left"/>
        <w:outlineLvl w:val="0"/>
        <w:rPr>
          <w:rFonts w:hint="eastAsia" w:ascii="宋体" w:hAnsi="宋体" w:eastAsia="宋体" w:cs="宋体"/>
          <w:b/>
          <w:color w:val="auto"/>
          <w:sz w:val="24"/>
          <w:szCs w:val="24"/>
          <w:highlight w:val="none"/>
        </w:rPr>
      </w:pPr>
      <w:bookmarkStart w:id="36" w:name="_Toc278443453"/>
      <w:r>
        <w:rPr>
          <w:rFonts w:hint="eastAsia" w:ascii="宋体" w:hAnsi="宋体" w:eastAsia="宋体" w:cs="宋体"/>
          <w:b/>
          <w:color w:val="auto"/>
          <w:sz w:val="24"/>
          <w:szCs w:val="24"/>
          <w:highlight w:val="none"/>
        </w:rPr>
        <w:t>3.1投标文件的组成</w:t>
      </w:r>
    </w:p>
    <w:p>
      <w:pPr>
        <w:autoSpaceDE w:val="0"/>
        <w:autoSpaceDN w:val="0"/>
        <w:spacing w:line="42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投标文件应包括下列内容：</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设计方案；</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项目管理机构配备情况；</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投标单位基本情况表；</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企业荣誉及奖项；</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近年完成的类似项目情况表；</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正在</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勘察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设计</w:t>
      </w:r>
      <w:r>
        <w:rPr>
          <w:rFonts w:hint="eastAsia" w:ascii="宋体" w:hAnsi="宋体" w:eastAsia="宋体" w:cs="宋体"/>
          <w:color w:val="auto"/>
          <w:sz w:val="24"/>
          <w:szCs w:val="24"/>
          <w:highlight w:val="none"/>
        </w:rPr>
        <w:t>的和新承接的项目情况；</w:t>
      </w:r>
    </w:p>
    <w:p>
      <w:pPr>
        <w:numPr>
          <w:ilvl w:val="0"/>
          <w:numId w:val="2"/>
        </w:numPr>
        <w:spacing w:line="4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w:t>
      </w:r>
    </w:p>
    <w:p>
      <w:pPr>
        <w:numPr>
          <w:ilvl w:val="0"/>
          <w:numId w:val="2"/>
        </w:numPr>
        <w:spacing w:line="460" w:lineRule="exact"/>
        <w:contextualSpacing/>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投标人须知前附表规定的其他材</w:t>
      </w:r>
      <w:r>
        <w:rPr>
          <w:rFonts w:hint="eastAsia" w:ascii="宋体" w:hAnsi="宋体" w:eastAsia="宋体" w:cs="宋体"/>
          <w:b w:val="0"/>
          <w:bCs w:val="0"/>
          <w:color w:val="auto"/>
          <w:sz w:val="24"/>
          <w:szCs w:val="24"/>
          <w:highlight w:val="none"/>
        </w:rPr>
        <w:t>料。</w:t>
      </w:r>
    </w:p>
    <w:p>
      <w:pPr>
        <w:autoSpaceDE w:val="0"/>
        <w:autoSpaceDN w:val="0"/>
        <w:spacing w:line="420" w:lineRule="exact"/>
        <w:jc w:val="left"/>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 投标报价</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3.2.1 承包人的报价应包含完成本项目所发生的一切费用，除另有约定外，</w:t>
      </w:r>
      <w:r>
        <w:rPr>
          <w:rFonts w:hint="eastAsia"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rPr>
        <w:t>人对合同价格不予变动。</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3.2.2  投标人应按第六章“投标文件格式”的要求填写报价。</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3.2.3  投标人应充分了解施工场地的位置、周边环境、道路、装卸、保管、安装限制以及影响投标报价的其他要素，结合自身情况进行投标报价，但不得以低于成本的报价竞标。</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3.2.4  招标人设有最高投标限价的，投标人的投标报价不得超过最高投标限价。</w:t>
      </w:r>
    </w:p>
    <w:p>
      <w:pPr>
        <w:autoSpaceDE w:val="0"/>
        <w:autoSpaceDN w:val="0"/>
        <w:spacing w:line="420" w:lineRule="exact"/>
        <w:jc w:val="left"/>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投标有效期</w:t>
      </w:r>
      <w:bookmarkEnd w:id="36"/>
    </w:p>
    <w:p>
      <w:pPr>
        <w:tabs>
          <w:tab w:val="left" w:pos="1260"/>
        </w:tabs>
        <w:autoSpaceDE w:val="0"/>
        <w:autoSpaceDN w:val="0"/>
        <w:adjustRightIn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adjustRightInd w:val="0"/>
        <w:spacing w:line="46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3.3.3 投标保证金：不收取。</w:t>
      </w:r>
    </w:p>
    <w:p>
      <w:pPr>
        <w:tabs>
          <w:tab w:val="left" w:pos="1260"/>
        </w:tabs>
        <w:autoSpaceDE w:val="0"/>
        <w:autoSpaceDN w:val="0"/>
        <w:adjustRightInd w:val="0"/>
        <w:spacing w:line="460" w:lineRule="exact"/>
        <w:jc w:val="left"/>
        <w:rPr>
          <w:rFonts w:hint="eastAsia" w:ascii="宋体" w:hAnsi="宋体" w:eastAsia="宋体" w:cs="宋体"/>
          <w:b/>
          <w:color w:val="auto"/>
          <w:sz w:val="24"/>
          <w:szCs w:val="24"/>
          <w:highlight w:val="none"/>
        </w:rPr>
      </w:pPr>
      <w:bookmarkStart w:id="37" w:name="_Toc283559960"/>
      <w:r>
        <w:rPr>
          <w:rFonts w:hint="eastAsia" w:ascii="宋体" w:hAnsi="宋体" w:eastAsia="宋体" w:cs="宋体"/>
          <w:b/>
          <w:color w:val="auto"/>
          <w:sz w:val="24"/>
          <w:szCs w:val="24"/>
          <w:highlight w:val="none"/>
        </w:rPr>
        <w:t>3.5 资格审查资料</w:t>
      </w:r>
    </w:p>
    <w:p>
      <w:pPr>
        <w:tabs>
          <w:tab w:val="left" w:pos="1260"/>
        </w:tabs>
        <w:autoSpaceDE w:val="0"/>
        <w:autoSpaceDN w:val="0"/>
        <w:adjustRightInd w:val="0"/>
        <w:spacing w:line="46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3.5.1 “投标人基本情况表”应附投标人营业执照副本</w:t>
      </w:r>
      <w:r>
        <w:rPr>
          <w:rFonts w:hint="eastAsia" w:hAnsi="宋体" w:cs="宋体"/>
          <w:color w:val="auto"/>
          <w:sz w:val="24"/>
          <w:szCs w:val="24"/>
          <w:highlight w:val="none"/>
          <w:lang w:val="zh-CN"/>
        </w:rPr>
        <w:t>、</w:t>
      </w:r>
      <w:r>
        <w:rPr>
          <w:rFonts w:hint="eastAsia" w:ascii="Calibri" w:hAnsi="Calibri" w:eastAsia="Calibri" w:cs="Calibri"/>
          <w:color w:val="auto"/>
          <w:spacing w:val="-1"/>
          <w:sz w:val="24"/>
          <w:szCs w:val="24"/>
          <w:highlight w:val="none"/>
          <w:lang w:val="en-US" w:eastAsia="zh-CN"/>
        </w:rPr>
        <w:t>资质证书副本</w:t>
      </w:r>
      <w:r>
        <w:rPr>
          <w:rFonts w:hint="eastAsia" w:ascii="宋体" w:hAnsi="宋体" w:eastAsia="宋体" w:cs="宋体"/>
          <w:color w:val="auto"/>
          <w:sz w:val="24"/>
          <w:szCs w:val="24"/>
          <w:highlight w:val="none"/>
          <w:lang w:val="zh-CN"/>
        </w:rPr>
        <w:t>等材料的原件扫描件</w:t>
      </w:r>
      <w:r>
        <w:rPr>
          <w:rFonts w:hint="eastAsia" w:hAnsi="宋体" w:cs="宋体"/>
          <w:color w:val="auto"/>
          <w:sz w:val="24"/>
          <w:szCs w:val="24"/>
          <w:highlight w:val="none"/>
          <w:lang w:val="en-US" w:eastAsia="zh-CN"/>
        </w:rPr>
        <w:t>或图片</w:t>
      </w:r>
      <w:r>
        <w:rPr>
          <w:rFonts w:hint="eastAsia" w:ascii="宋体" w:hAnsi="宋体" w:eastAsia="宋体" w:cs="宋体"/>
          <w:color w:val="auto"/>
          <w:sz w:val="24"/>
          <w:szCs w:val="24"/>
          <w:highlight w:val="none"/>
          <w:lang w:val="zh-CN"/>
        </w:rPr>
        <w:t>。</w:t>
      </w:r>
    </w:p>
    <w:p>
      <w:pPr>
        <w:tabs>
          <w:tab w:val="left" w:pos="1260"/>
        </w:tabs>
        <w:autoSpaceDE w:val="0"/>
        <w:autoSpaceDN w:val="0"/>
        <w:adjustRightInd w:val="0"/>
        <w:spacing w:line="46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3.5.2 “近年财务状况表”应附经会计师事务所或审计机构审计的财务会计报表的原件扫描件</w:t>
      </w:r>
      <w:r>
        <w:rPr>
          <w:rFonts w:hint="eastAsia" w:hAnsi="宋体" w:cs="宋体"/>
          <w:color w:val="auto"/>
          <w:sz w:val="24"/>
          <w:szCs w:val="24"/>
          <w:highlight w:val="none"/>
          <w:lang w:val="en-US" w:eastAsia="zh-CN"/>
        </w:rPr>
        <w:t>或图片</w:t>
      </w:r>
      <w:r>
        <w:rPr>
          <w:rFonts w:hint="eastAsia" w:ascii="宋体" w:hAnsi="宋体" w:eastAsia="宋体" w:cs="宋体"/>
          <w:color w:val="auto"/>
          <w:sz w:val="24"/>
          <w:szCs w:val="24"/>
          <w:highlight w:val="none"/>
          <w:lang w:val="zh-CN"/>
        </w:rPr>
        <w:t>，具体年份要求见投标人须知前附表。</w:t>
      </w:r>
    </w:p>
    <w:p>
      <w:pPr>
        <w:tabs>
          <w:tab w:val="left" w:pos="1260"/>
        </w:tabs>
        <w:autoSpaceDE w:val="0"/>
        <w:autoSpaceDN w:val="0"/>
        <w:adjustRightInd w:val="0"/>
        <w:spacing w:line="46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3.5.3 “近年完成的</w:t>
      </w:r>
      <w:r>
        <w:rPr>
          <w:rFonts w:hint="eastAsia" w:ascii="宋体" w:hAnsi="宋体" w:eastAsia="宋体" w:cs="宋体"/>
          <w:color w:val="auto"/>
          <w:sz w:val="24"/>
          <w:szCs w:val="24"/>
          <w:highlight w:val="none"/>
        </w:rPr>
        <w:t>类似</w:t>
      </w:r>
      <w:r>
        <w:rPr>
          <w:rFonts w:hint="eastAsia" w:ascii="宋体" w:hAnsi="宋体" w:eastAsia="宋体" w:cs="宋体"/>
          <w:color w:val="auto"/>
          <w:sz w:val="24"/>
          <w:szCs w:val="24"/>
          <w:highlight w:val="none"/>
          <w:lang w:val="zh-CN"/>
        </w:rPr>
        <w:t>项目情况表”应附合同协议书</w:t>
      </w:r>
      <w:r>
        <w:rPr>
          <w:rFonts w:hint="eastAsia" w:hAnsi="宋体" w:cs="宋体"/>
          <w:color w:val="auto"/>
          <w:sz w:val="24"/>
          <w:highlight w:val="none"/>
        </w:rPr>
        <w:t>和</w:t>
      </w:r>
      <w:r>
        <w:rPr>
          <w:rFonts w:hint="eastAsia" w:hAnsi="宋体" w:cs="宋体"/>
          <w:color w:val="auto"/>
          <w:sz w:val="24"/>
          <w:highlight w:val="none"/>
          <w:lang w:eastAsia="zh-CN"/>
        </w:rPr>
        <w:t>中标（成交）通知书</w:t>
      </w:r>
      <w:r>
        <w:rPr>
          <w:rFonts w:hint="eastAsia" w:ascii="宋体" w:hAnsi="宋体" w:eastAsia="宋体" w:cs="宋体"/>
          <w:color w:val="auto"/>
          <w:sz w:val="24"/>
          <w:szCs w:val="24"/>
          <w:highlight w:val="none"/>
          <w:lang w:val="zh-CN"/>
        </w:rPr>
        <w:t>的原件扫描件</w:t>
      </w:r>
      <w:r>
        <w:rPr>
          <w:rFonts w:hint="eastAsia" w:hAnsi="宋体" w:cs="宋体"/>
          <w:color w:val="auto"/>
          <w:sz w:val="24"/>
          <w:szCs w:val="24"/>
          <w:highlight w:val="none"/>
          <w:lang w:val="en-US" w:eastAsia="zh-CN"/>
        </w:rPr>
        <w:t>或图片</w:t>
      </w:r>
      <w:r>
        <w:rPr>
          <w:rFonts w:hint="eastAsia" w:ascii="宋体" w:hAnsi="宋体" w:eastAsia="宋体" w:cs="宋体"/>
          <w:color w:val="auto"/>
          <w:sz w:val="24"/>
          <w:szCs w:val="24"/>
          <w:highlight w:val="none"/>
          <w:lang w:val="zh-CN"/>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3.5.4 “正在</w:t>
      </w:r>
      <w:r>
        <w:rPr>
          <w:rFonts w:hint="eastAsia" w:hAnsi="宋体" w:cs="宋体"/>
          <w:color w:val="auto"/>
          <w:sz w:val="24"/>
          <w:szCs w:val="24"/>
          <w:highlight w:val="none"/>
          <w:lang w:val="en-US" w:eastAsia="zh-CN"/>
        </w:rPr>
        <w:t>设计</w:t>
      </w:r>
      <w:r>
        <w:rPr>
          <w:rFonts w:hint="eastAsia" w:ascii="宋体" w:hAnsi="宋体" w:eastAsia="宋体" w:cs="宋体"/>
          <w:color w:val="auto"/>
          <w:sz w:val="24"/>
          <w:szCs w:val="24"/>
          <w:highlight w:val="none"/>
          <w:lang w:val="zh-CN"/>
        </w:rPr>
        <w:t>和新承接的项目情况表”应附合同协议书</w:t>
      </w:r>
      <w:r>
        <w:rPr>
          <w:rFonts w:hint="eastAsia" w:hAnsi="宋体" w:cs="宋体"/>
          <w:color w:val="auto"/>
          <w:sz w:val="24"/>
          <w:highlight w:val="none"/>
        </w:rPr>
        <w:t>和</w:t>
      </w:r>
      <w:r>
        <w:rPr>
          <w:rFonts w:hint="eastAsia" w:hAnsi="宋体" w:cs="宋体"/>
          <w:color w:val="auto"/>
          <w:sz w:val="24"/>
          <w:highlight w:val="none"/>
          <w:lang w:eastAsia="zh-CN"/>
        </w:rPr>
        <w:t>中标（成交）通知书</w:t>
      </w:r>
      <w:r>
        <w:rPr>
          <w:rFonts w:hint="eastAsia" w:ascii="宋体" w:hAnsi="宋体" w:eastAsia="宋体" w:cs="宋体"/>
          <w:color w:val="auto"/>
          <w:sz w:val="24"/>
          <w:szCs w:val="24"/>
          <w:highlight w:val="none"/>
          <w:lang w:val="zh-CN"/>
        </w:rPr>
        <w:t>的原件扫描件</w:t>
      </w:r>
      <w:r>
        <w:rPr>
          <w:rFonts w:hint="eastAsia" w:hAnsi="宋体" w:cs="宋体"/>
          <w:color w:val="auto"/>
          <w:sz w:val="24"/>
          <w:szCs w:val="24"/>
          <w:highlight w:val="none"/>
          <w:lang w:val="en-US" w:eastAsia="zh-CN"/>
        </w:rPr>
        <w:t>或图片</w:t>
      </w:r>
      <w:r>
        <w:rPr>
          <w:rFonts w:hint="eastAsia" w:ascii="宋体" w:hAnsi="宋体" w:eastAsia="宋体" w:cs="宋体"/>
          <w:color w:val="auto"/>
          <w:sz w:val="24"/>
          <w:szCs w:val="24"/>
          <w:highlight w:val="none"/>
          <w:lang w:val="zh-CN"/>
        </w:rPr>
        <w:t>。每张表格只填写一个项目，并标明序号。</w:t>
      </w:r>
    </w:p>
    <w:p>
      <w:pPr>
        <w:tabs>
          <w:tab w:val="left" w:pos="1260"/>
        </w:tabs>
        <w:autoSpaceDE w:val="0"/>
        <w:autoSpaceDN w:val="0"/>
        <w:adjustRightInd w:val="0"/>
        <w:spacing w:line="460" w:lineRule="exact"/>
        <w:ind w:firstLine="720" w:firstLineChars="30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 xml:space="preserve">3.5.5 </w:t>
      </w:r>
      <w:r>
        <w:rPr>
          <w:rFonts w:hint="eastAsia" w:hAnsi="宋体" w:cs="宋体"/>
          <w:color w:val="auto"/>
          <w:sz w:val="24"/>
          <w:highlight w:val="none"/>
        </w:rPr>
        <w:t>“近年发生的诉讼及仲裁情况”应说明相关情况，并附法院或仲裁机构作出的判决、裁决等有关法律文书原件扫描件，具体年份要求见投标人须知前附表</w:t>
      </w:r>
      <w:r>
        <w:rPr>
          <w:rFonts w:hint="eastAsia" w:ascii="宋体" w:hAnsi="宋体" w:eastAsia="宋体" w:cs="宋体"/>
          <w:color w:val="auto"/>
          <w:sz w:val="24"/>
          <w:szCs w:val="24"/>
          <w:highlight w:val="none"/>
        </w:rPr>
        <w:t>。</w:t>
      </w:r>
    </w:p>
    <w:p>
      <w:pPr>
        <w:autoSpaceDE w:val="0"/>
        <w:autoSpaceDN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3.6 </w:t>
      </w:r>
      <w:bookmarkStart w:id="38" w:name="_Toc152042329"/>
      <w:bookmarkStart w:id="39" w:name="_Toc179632571"/>
      <w:bookmarkStart w:id="40" w:name="_Toc152045553"/>
      <w:bookmarkStart w:id="41" w:name="_Toc144974521"/>
      <w:r>
        <w:rPr>
          <w:rFonts w:hint="eastAsia" w:ascii="宋体" w:hAnsi="宋体" w:eastAsia="宋体" w:cs="宋体"/>
          <w:b/>
          <w:color w:val="auto"/>
          <w:sz w:val="24"/>
          <w:szCs w:val="24"/>
          <w:highlight w:val="none"/>
        </w:rPr>
        <w:t>备选投标方案</w:t>
      </w:r>
    </w:p>
    <w:bookmarkEnd w:id="38"/>
    <w:bookmarkEnd w:id="39"/>
    <w:bookmarkEnd w:id="40"/>
    <w:bookmarkEnd w:id="41"/>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int="eastAsia" w:ascii="宋体" w:hAnsi="宋体" w:eastAsia="宋体" w:cs="宋体"/>
          <w:b/>
          <w:color w:val="auto"/>
          <w:sz w:val="24"/>
          <w:szCs w:val="24"/>
          <w:highlight w:val="none"/>
        </w:rPr>
      </w:pPr>
      <w:bookmarkStart w:id="42" w:name="_Toc283559961"/>
      <w:r>
        <w:rPr>
          <w:rFonts w:hint="eastAsia" w:ascii="宋体" w:hAnsi="宋体" w:eastAsia="宋体" w:cs="宋体"/>
          <w:b/>
          <w:color w:val="auto"/>
          <w:sz w:val="24"/>
          <w:szCs w:val="24"/>
          <w:highlight w:val="none"/>
        </w:rPr>
        <w:t>3.7 投标文件的编制</w:t>
      </w:r>
    </w:p>
    <w:p>
      <w:pPr>
        <w:tabs>
          <w:tab w:val="left" w:pos="709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投标文件应参照第六章“投标文件格式”进行编写，如有必要，可以增加附页， 作为投标 文件的组成部分。其中，投标函附录在满足招标文件要求的基础上，可以提出比招标文件要求更有利于招标人的承诺。投标人编制的投标文件应当满足招标文件规定的基本格式要求。</w:t>
      </w:r>
    </w:p>
    <w:p>
      <w:pPr>
        <w:tabs>
          <w:tab w:val="left" w:pos="709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 投标人登录许昌公共资源交易系统下载“许昌投标文件制作系统SEARUN 最新版本”，按招标文件要求制作电子投标文件。</w:t>
      </w:r>
    </w:p>
    <w:p>
      <w:pPr>
        <w:tabs>
          <w:tab w:val="left" w:pos="709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 同时生成与电子投标文件内容、水印码、电子签章一致的PDF文件。</w:t>
      </w:r>
    </w:p>
    <w:p>
      <w:pPr>
        <w:tabs>
          <w:tab w:val="left" w:pos="709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 当生成的电子投标文件投标报价大小写不一致时，以大写为准。</w:t>
      </w:r>
    </w:p>
    <w:p>
      <w:pPr>
        <w:tabs>
          <w:tab w:val="left" w:pos="709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3.7.6 投标文件制作技术咨询：0374-2961598。</w:t>
      </w:r>
    </w:p>
    <w:p>
      <w:pPr>
        <w:pStyle w:val="45"/>
        <w:jc w:val="both"/>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投标</w:t>
      </w:r>
      <w:bookmarkEnd w:id="42"/>
    </w:p>
    <w:p>
      <w:pPr>
        <w:autoSpaceDE w:val="0"/>
        <w:autoSpaceDN w:val="0"/>
        <w:adjustRightInd w:val="0"/>
        <w:jc w:val="left"/>
        <w:outlineLvl w:val="0"/>
        <w:rPr>
          <w:rFonts w:hint="eastAsia" w:ascii="宋体" w:hAnsi="宋体" w:eastAsia="宋体" w:cs="宋体"/>
          <w:b/>
          <w:color w:val="auto"/>
          <w:sz w:val="24"/>
          <w:szCs w:val="24"/>
          <w:highlight w:val="none"/>
        </w:rPr>
      </w:pPr>
      <w:bookmarkStart w:id="43" w:name="_Toc283559962"/>
      <w:bookmarkStart w:id="44" w:name="_Toc283559970"/>
      <w:r>
        <w:rPr>
          <w:rFonts w:hint="eastAsia" w:ascii="宋体" w:hAnsi="宋体" w:eastAsia="宋体" w:cs="宋体"/>
          <w:b/>
          <w:color w:val="auto"/>
          <w:sz w:val="24"/>
          <w:szCs w:val="24"/>
          <w:highlight w:val="none"/>
        </w:rPr>
        <w:t>4.1 投标文件的</w:t>
      </w:r>
      <w:bookmarkEnd w:id="43"/>
      <w:r>
        <w:rPr>
          <w:rFonts w:hint="eastAsia" w:ascii="宋体" w:hAnsi="宋体" w:eastAsia="宋体" w:cs="宋体"/>
          <w:b/>
          <w:color w:val="auto"/>
          <w:sz w:val="24"/>
          <w:szCs w:val="24"/>
          <w:highlight w:val="none"/>
        </w:rPr>
        <w:t>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投标人应在投标人须知前附表中规定的投标截止时间前成功上传电子投标文件。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除投标人须知前附表另有规定外，投标人所提交的电子投标文件不予退还。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逾期未成功上传的电子投标文件，招标人不予受理。</w:t>
      </w:r>
    </w:p>
    <w:p>
      <w:pPr>
        <w:autoSpaceDE w:val="0"/>
        <w:autoSpaceDN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 </w:t>
      </w:r>
      <w:bookmarkStart w:id="45" w:name="_Toc283559964"/>
      <w:r>
        <w:rPr>
          <w:rFonts w:hint="eastAsia" w:ascii="宋体" w:hAnsi="宋体" w:eastAsia="宋体" w:cs="宋体"/>
          <w:b/>
          <w:bCs/>
          <w:color w:val="auto"/>
          <w:sz w:val="24"/>
          <w:szCs w:val="24"/>
          <w:highlight w:val="none"/>
        </w:rPr>
        <w:t>投标文件的修改与撤回</w:t>
      </w:r>
      <w:bookmarkEnd w:id="45"/>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在投标人须知前附表中规定的投标截止时间前，投标人可以修改或撤回已提交的电子投标文件，修改或撤回应以书面形式通知招标人。</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投标人修改或撤回已提交电子投标文件的书面通知应按照投标人须知前附表第3.7.3项的要求签字或盖章。招标人收到书面通知后，向投标人出具签收凭证。</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修改的内容为投标文件的组成部分。修改的电子投标文件应按照本章第3条、第4条规定进行编制、密封、标记和提交，并标明“修改”字样。</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 投标人应当在投标截止时间前完成电子投标文件的提交，可以补充、修改或撤回。投标截止时间前未完成电子投标文件提交、取得“投标文件提交回执单”的，视为撤回投标文件。</w:t>
      </w:r>
    </w:p>
    <w:p>
      <w:pPr>
        <w:pStyle w:val="45"/>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开标</w:t>
      </w:r>
    </w:p>
    <w:p>
      <w:pPr>
        <w:autoSpaceDE w:val="0"/>
        <w:autoSpaceDN w:val="0"/>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 开标时间和地点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 开标程序</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（1）本项目采用“远程不见面”开标方式</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到达时，招标代理机构点击“开标”按钮，开标开始并进行解密，解密时限为120分钟，各投标人可以远程进行解密投标文件。投标人未进行解密或未按规定进行解密的，视为放弃投标。待全部投标人解密完成后，招标人（代理机构）进行一键解密。</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（4）如无投标人提出异议，招标代理机构通过“文字互动”对话框通知各投标人进行电子签章。投标人应在《开标记录表》上进行电子签章，未进行电子签章的视为对开标结果无异议。</w:t>
      </w:r>
    </w:p>
    <w:p>
      <w:pPr>
        <w:pStyle w:val="45"/>
        <w:snapToGrid w:val="0"/>
        <w:spacing w:line="420" w:lineRule="atLeast"/>
        <w:ind w:firstLine="480" w:firstLineChars="200"/>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（5）招标人（代理机构）签章并上传《开标记录表》，不见面开标活动结束。</w:t>
      </w:r>
    </w:p>
    <w:p>
      <w:pPr>
        <w:pStyle w:val="45"/>
        <w:spacing w:line="440" w:lineRule="exact"/>
        <w:jc w:val="both"/>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评标</w:t>
      </w:r>
      <w:bookmarkEnd w:id="44"/>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bookmarkStart w:id="46" w:name="_Toc283559971"/>
      <w:r>
        <w:rPr>
          <w:rFonts w:hint="eastAsia" w:ascii="宋体" w:hAnsi="宋体" w:eastAsia="宋体" w:cs="宋体"/>
          <w:b/>
          <w:color w:val="auto"/>
          <w:sz w:val="24"/>
          <w:szCs w:val="24"/>
          <w:highlight w:val="none"/>
        </w:rPr>
        <w:t>6.1 评标委员会</w:t>
      </w:r>
      <w:bookmarkEnd w:id="46"/>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（1）招标人或投标人的主要负责人的近亲属；</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（3）与投标人有经济利益关系，可能影响对投标公正评审的；</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pPr>
        <w:autoSpaceDE w:val="0"/>
        <w:autoSpaceDN w:val="0"/>
        <w:spacing w:line="440" w:lineRule="exact"/>
        <w:ind w:firstLine="480" w:firstLineChars="200"/>
        <w:jc w:val="left"/>
        <w:outlineLvl w:val="0"/>
        <w:rPr>
          <w:rFonts w:hint="eastAsia" w:ascii="宋体" w:hAnsi="宋体" w:eastAsia="宋体" w:cs="宋体"/>
          <w:b/>
          <w:color w:val="auto"/>
          <w:sz w:val="24"/>
          <w:szCs w:val="24"/>
          <w:highlight w:val="none"/>
        </w:rPr>
      </w:pPr>
      <w:bookmarkStart w:id="47" w:name="_Toc283559972"/>
      <w:r>
        <w:rPr>
          <w:rFonts w:hint="eastAsia" w:ascii="宋体" w:hAnsi="宋体" w:eastAsia="宋体" w:cs="宋体"/>
          <w:b/>
          <w:color w:val="auto"/>
          <w:sz w:val="24"/>
          <w:szCs w:val="24"/>
          <w:highlight w:val="none"/>
        </w:rPr>
        <w:t>6.2 评标原则</w:t>
      </w:r>
      <w:bookmarkEnd w:id="47"/>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autoSpaceDE w:val="0"/>
        <w:autoSpaceDN w:val="0"/>
        <w:spacing w:line="440" w:lineRule="exact"/>
        <w:ind w:firstLine="480" w:firstLineChars="200"/>
        <w:jc w:val="left"/>
        <w:outlineLvl w:val="0"/>
        <w:rPr>
          <w:rFonts w:hint="eastAsia" w:ascii="宋体" w:hAnsi="宋体" w:eastAsia="宋体" w:cs="宋体"/>
          <w:b/>
          <w:color w:val="auto"/>
          <w:sz w:val="24"/>
          <w:szCs w:val="24"/>
          <w:highlight w:val="none"/>
        </w:rPr>
      </w:pPr>
      <w:bookmarkStart w:id="48" w:name="_Toc283559973"/>
      <w:r>
        <w:rPr>
          <w:rFonts w:hint="eastAsia" w:ascii="宋体" w:hAnsi="宋体" w:eastAsia="宋体" w:cs="宋体"/>
          <w:b/>
          <w:color w:val="auto"/>
          <w:sz w:val="24"/>
          <w:szCs w:val="24"/>
          <w:highlight w:val="none"/>
        </w:rPr>
        <w:t>6.3 评标</w:t>
      </w:r>
      <w:bookmarkEnd w:id="48"/>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评标委员会按照第三章“评标办法”规定的方法、评审因素、标准和程序对投标文件进行评审。第三章“评标办法”没有规定的方法、评审因素和标准，不作为评标依据。</w:t>
      </w:r>
    </w:p>
    <w:p>
      <w:pPr>
        <w:autoSpaceDE w:val="0"/>
        <w:autoSpaceDN w:val="0"/>
        <w:spacing w:line="440" w:lineRule="exact"/>
        <w:ind w:firstLine="480" w:firstLineChars="200"/>
        <w:jc w:val="left"/>
        <w:outlineLvl w:val="0"/>
        <w:rPr>
          <w:rFonts w:hint="eastAsia" w:ascii="宋体" w:hAnsi="宋体" w:eastAsia="宋体" w:cs="宋体"/>
          <w:b/>
          <w:color w:val="auto"/>
          <w:sz w:val="24"/>
          <w:szCs w:val="24"/>
          <w:highlight w:val="none"/>
        </w:rPr>
      </w:pPr>
      <w:bookmarkStart w:id="49" w:name="_Toc283559974"/>
      <w:r>
        <w:rPr>
          <w:rFonts w:hint="eastAsia" w:ascii="宋体" w:hAnsi="宋体" w:eastAsia="宋体" w:cs="宋体"/>
          <w:b/>
          <w:color w:val="auto"/>
          <w:sz w:val="24"/>
          <w:szCs w:val="24"/>
          <w:highlight w:val="none"/>
        </w:rPr>
        <w:t>7. 合同授予</w:t>
      </w:r>
      <w:bookmarkEnd w:id="49"/>
    </w:p>
    <w:p>
      <w:pPr>
        <w:autoSpaceDE w:val="0"/>
        <w:autoSpaceDN w:val="0"/>
        <w:spacing w:line="440" w:lineRule="exact"/>
        <w:ind w:firstLine="480" w:firstLineChars="200"/>
        <w:jc w:val="left"/>
        <w:outlineLvl w:val="0"/>
        <w:rPr>
          <w:rFonts w:hint="eastAsia" w:ascii="宋体" w:hAnsi="宋体" w:eastAsia="宋体" w:cs="宋体"/>
          <w:b/>
          <w:color w:val="auto"/>
          <w:sz w:val="24"/>
          <w:szCs w:val="24"/>
          <w:highlight w:val="none"/>
        </w:rPr>
      </w:pPr>
      <w:bookmarkStart w:id="50" w:name="_Toc283559975"/>
      <w:r>
        <w:rPr>
          <w:rFonts w:hint="eastAsia" w:ascii="宋体" w:hAnsi="宋体" w:eastAsia="宋体" w:cs="宋体"/>
          <w:b/>
          <w:color w:val="auto"/>
          <w:sz w:val="24"/>
          <w:szCs w:val="24"/>
          <w:highlight w:val="none"/>
        </w:rPr>
        <w:t>7.1 定标方式</w:t>
      </w:r>
      <w:bookmarkEnd w:id="50"/>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ind w:firstLine="480" w:firstLineChars="200"/>
        <w:jc w:val="left"/>
        <w:outlineLvl w:val="0"/>
        <w:rPr>
          <w:rFonts w:hint="eastAsia" w:ascii="宋体" w:hAnsi="宋体" w:eastAsia="宋体" w:cs="宋体"/>
          <w:b/>
          <w:color w:val="auto"/>
          <w:sz w:val="24"/>
          <w:szCs w:val="24"/>
          <w:highlight w:val="none"/>
        </w:rPr>
      </w:pPr>
      <w:bookmarkStart w:id="51" w:name="_Toc283559976"/>
      <w:r>
        <w:rPr>
          <w:rFonts w:hint="eastAsia" w:ascii="宋体" w:hAnsi="宋体" w:eastAsia="宋体" w:cs="宋体"/>
          <w:b/>
          <w:color w:val="auto"/>
          <w:sz w:val="24"/>
          <w:szCs w:val="24"/>
          <w:highlight w:val="none"/>
        </w:rPr>
        <w:t>7.2中标通知</w:t>
      </w:r>
      <w:bookmarkEnd w:id="51"/>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 款规定的投标有效期内，招标人以书面形式向中标人发出中标通知书，同时将中标结果通知未中标的投标人。</w:t>
      </w:r>
      <w:bookmarkStart w:id="52" w:name="_Toc152042345"/>
      <w:bookmarkStart w:id="53" w:name="_Toc144974537"/>
      <w:bookmarkStart w:id="54" w:name="_Toc179632587"/>
      <w:bookmarkStart w:id="55" w:name="_Toc152045569"/>
    </w:p>
    <w:bookmarkEnd w:id="52"/>
    <w:bookmarkEnd w:id="53"/>
    <w:bookmarkEnd w:id="54"/>
    <w:bookmarkEnd w:id="55"/>
    <w:p>
      <w:pPr>
        <w:autoSpaceDE w:val="0"/>
        <w:autoSpaceDN w:val="0"/>
        <w:adjustRightInd w:val="0"/>
        <w:snapToGrid w:val="0"/>
        <w:spacing w:line="440" w:lineRule="exact"/>
        <w:ind w:firstLine="480" w:firstLineChars="200"/>
        <w:jc w:val="left"/>
        <w:outlineLvl w:val="0"/>
        <w:rPr>
          <w:rFonts w:hAnsi="宋体" w:cs="宋体"/>
          <w:b/>
          <w:color w:val="auto"/>
          <w:sz w:val="24"/>
          <w:highlight w:val="none"/>
        </w:rPr>
      </w:pPr>
      <w:r>
        <w:rPr>
          <w:rFonts w:hint="eastAsia" w:ascii="宋体" w:hAnsi="宋体" w:eastAsia="宋体" w:cs="宋体"/>
          <w:b/>
          <w:color w:val="auto"/>
          <w:sz w:val="24"/>
          <w:szCs w:val="24"/>
          <w:highlight w:val="none"/>
        </w:rPr>
        <w:t xml:space="preserve">7.3 </w:t>
      </w:r>
      <w:bookmarkStart w:id="56" w:name="_Toc283559990"/>
      <w:r>
        <w:rPr>
          <w:rFonts w:hint="eastAsia" w:hAnsi="宋体" w:cs="宋体"/>
          <w:b/>
          <w:color w:val="auto"/>
          <w:sz w:val="24"/>
          <w:highlight w:val="none"/>
        </w:rPr>
        <w:t>履约</w:t>
      </w:r>
      <w:r>
        <w:rPr>
          <w:rFonts w:hint="eastAsia" w:hAnsi="宋体" w:cs="宋体"/>
          <w:b/>
          <w:bCs/>
          <w:color w:val="auto"/>
          <w:sz w:val="24"/>
          <w:highlight w:val="none"/>
        </w:rPr>
        <w:t>保证金</w:t>
      </w:r>
    </w:p>
    <w:p>
      <w:pPr>
        <w:autoSpaceDE w:val="0"/>
        <w:autoSpaceDN w:val="0"/>
        <w:adjustRightInd w:val="0"/>
        <w:snapToGrid w:val="0"/>
        <w:spacing w:line="440" w:lineRule="exact"/>
        <w:ind w:firstLine="480" w:firstLineChars="200"/>
        <w:jc w:val="left"/>
        <w:outlineLvl w:val="0"/>
        <w:rPr>
          <w:rFonts w:hAnsi="宋体" w:cs="宋体"/>
          <w:b/>
          <w:color w:val="auto"/>
          <w:sz w:val="24"/>
          <w:highlight w:val="none"/>
        </w:rPr>
      </w:pPr>
      <w:r>
        <w:rPr>
          <w:rFonts w:hint="eastAsia" w:hAnsi="宋体" w:cs="宋体"/>
          <w:b/>
          <w:bCs/>
          <w:color w:val="auto"/>
          <w:sz w:val="24"/>
          <w:highlight w:val="none"/>
        </w:rPr>
        <w:t>（一）履约保证金提交方式和比例</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（1）中标人所提交的履约保证金仅限当次中标项目（标段）有效，不得重复替代使用。一个投标企业有多个标段或者有多个项目同时中标的，中标人应按项目、标段分别提交履约保证金。</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（2）履约保证金由中标人以支票、汇票、本票或者金融机构、担保机构出具的保函等形式提交。</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（3）履约保证金提交比例和数额由招标人确定，原则上按照中标合同金额的5%取整计算。</w:t>
      </w:r>
    </w:p>
    <w:p>
      <w:pPr>
        <w:autoSpaceDE w:val="0"/>
        <w:autoSpaceDN w:val="0"/>
        <w:spacing w:line="440" w:lineRule="exact"/>
        <w:ind w:firstLine="480" w:firstLineChars="200"/>
        <w:jc w:val="left"/>
        <w:outlineLvl w:val="0"/>
        <w:rPr>
          <w:rFonts w:hAnsi="宋体" w:cs="宋体"/>
          <w:b/>
          <w:bCs/>
          <w:color w:val="auto"/>
          <w:sz w:val="24"/>
          <w:highlight w:val="none"/>
        </w:rPr>
      </w:pPr>
      <w:r>
        <w:rPr>
          <w:rFonts w:hint="eastAsia" w:hAnsi="宋体" w:cs="宋体"/>
          <w:b/>
          <w:bCs/>
          <w:color w:val="auto"/>
          <w:sz w:val="24"/>
          <w:highlight w:val="none"/>
        </w:rPr>
        <w:t>（二）履约保证金的退还（见附表一）</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履约期满，经招标人确认，中标人持《履约保证金退还申请表》、履约保证金转账凭证（加盖公章）办理退款，区交易中心在收到退款手续后五日内退还履约保证金及银行同期活期存款利息至中标人原提交账户。</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（2）发生质疑、投诉、举报或有关部门立案调查的，区交易中心依据相关行政监督部门的意见暂停退还履约保证金，待行政监督部门对相关情况处置后，按照有关规定办理。</w:t>
      </w:r>
    </w:p>
    <w:p>
      <w:pPr>
        <w:autoSpaceDE w:val="0"/>
        <w:autoSpaceDN w:val="0"/>
        <w:spacing w:line="440" w:lineRule="exact"/>
        <w:ind w:firstLine="480" w:firstLineChars="200"/>
        <w:jc w:val="left"/>
        <w:outlineLvl w:val="0"/>
        <w:rPr>
          <w:rFonts w:hAnsi="宋体" w:cs="宋体"/>
          <w:b/>
          <w:color w:val="auto"/>
          <w:sz w:val="24"/>
          <w:highlight w:val="none"/>
        </w:rPr>
      </w:pPr>
      <w:r>
        <w:rPr>
          <w:rFonts w:hint="eastAsia" w:hAnsi="宋体" w:cs="宋体"/>
          <w:b/>
          <w:color w:val="auto"/>
          <w:sz w:val="24"/>
          <w:highlight w:val="none"/>
        </w:rPr>
        <w:t>7.4 签订合同</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给招标人造成的损失中标人还应当对超过部分予以赔偿。</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hAnsi="宋体" w:cs="宋体"/>
          <w:color w:val="auto"/>
          <w:sz w:val="24"/>
          <w:highlight w:val="none"/>
        </w:rPr>
        <w:t>7.4.2 发出中标通知书后，招标人无正当理由拒签合同的，给中标人造成损失的，还应当赔偿损失</w:t>
      </w:r>
      <w:r>
        <w:rPr>
          <w:rFonts w:hint="eastAsia" w:ascii="宋体" w:hAnsi="宋体" w:eastAsia="宋体" w:cs="宋体"/>
          <w:color w:val="auto"/>
          <w:sz w:val="24"/>
          <w:szCs w:val="24"/>
          <w:highlight w:val="none"/>
        </w:rPr>
        <w:t>。</w:t>
      </w:r>
    </w:p>
    <w:p>
      <w:pPr>
        <w:autoSpaceDE w:val="0"/>
        <w:autoSpaceDN w:val="0"/>
        <w:spacing w:line="44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8.重新招标和不再招标</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8.1重新招标有下列情形之一的，招标人将重新招标：</w:t>
      </w:r>
    </w:p>
    <w:p>
      <w:pPr>
        <w:autoSpaceDE w:val="0"/>
        <w:autoSpaceDN w:val="0"/>
        <w:spacing w:line="440" w:lineRule="exact"/>
        <w:ind w:firstLine="720" w:firstLineChars="3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（1）投标截止时间止，投标人少于3个的；</w:t>
      </w:r>
    </w:p>
    <w:p>
      <w:pPr>
        <w:autoSpaceDE w:val="0"/>
        <w:autoSpaceDN w:val="0"/>
        <w:spacing w:line="440" w:lineRule="exact"/>
        <w:ind w:firstLine="720" w:firstLineChars="3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（2）经评标委员会评审后否决所有投标的。</w:t>
      </w:r>
    </w:p>
    <w:p>
      <w:pPr>
        <w:autoSpaceDE w:val="0"/>
        <w:autoSpaceDN w:val="0"/>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8.2不再招标重新招标后投标人仍少于3个，属于必须审批或核准的工程建设项目，经原审批或核准部门批准后不再进行招标。</w:t>
      </w:r>
    </w:p>
    <w:p>
      <w:pPr>
        <w:autoSpaceDE w:val="0"/>
        <w:autoSpaceDN w:val="0"/>
        <w:spacing w:line="44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9.纪律和监督</w:t>
      </w:r>
    </w:p>
    <w:p>
      <w:pPr>
        <w:pStyle w:val="21"/>
        <w:ind w:left="0" w:leftChars="0" w:firstLine="240"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9.1对招标人的纪律要求</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招标人不得泄露招标投标活动中应当保密的情况和资料，不得与投标人串通损害国家利益、社会公共利益或者他人合法权益。</w:t>
      </w:r>
    </w:p>
    <w:p>
      <w:pPr>
        <w:spacing w:line="360" w:lineRule="auto"/>
        <w:ind w:firstLine="240"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9.2对投标人的纪律要求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120"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9.3对评标委员会成员的纪律要求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120"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9.4对与评标活动有关的工作人员的纪律要求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spacing w:line="440" w:lineRule="exact"/>
        <w:ind w:firstLine="120" w:firstLineChars="50"/>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9.5投诉</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投标人和其他利害关系人认为本次招标活动违反法律、法规和规章规定的，有权向有关行政监督部门投诉。</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10.需要补充的其他内容</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pPr>
        <w:rPr>
          <w:rFonts w:hint="eastAsia" w:ascii="宋体" w:hAnsi="宋体" w:eastAsia="宋体" w:cs="宋体"/>
          <w:b/>
          <w:bCs/>
          <w:color w:val="auto"/>
          <w:sz w:val="32"/>
          <w:szCs w:val="32"/>
          <w:highlight w:val="none"/>
        </w:rPr>
      </w:pPr>
      <w:bookmarkStart w:id="57" w:name="_Toc296890982"/>
      <w:bookmarkEnd w:id="57"/>
      <w:bookmarkStart w:id="58" w:name="_Toc278443522"/>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p>
    <w:p>
      <w:pPr>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附表一：</w:t>
      </w:r>
    </w:p>
    <w:p>
      <w:pPr>
        <w:ind w:firstLine="2420" w:firstLineChars="550"/>
        <w:rPr>
          <w:rFonts w:ascii="方正小标宋简体" w:hAnsi="宋体" w:eastAsia="方正小标宋简体" w:cs="宋体"/>
          <w:color w:val="auto"/>
          <w:sz w:val="44"/>
          <w:szCs w:val="44"/>
          <w:highlight w:val="none"/>
        </w:rPr>
      </w:pPr>
      <w:r>
        <w:rPr>
          <w:rFonts w:hint="eastAsia" w:ascii="宋体" w:hAnsi="宋体" w:eastAsia="宋体" w:cs="宋体"/>
          <w:color w:val="auto"/>
          <w:sz w:val="44"/>
          <w:szCs w:val="44"/>
          <w:highlight w:val="none"/>
        </w:rPr>
        <w:t>履约保证金退还申请表</w:t>
      </w:r>
    </w:p>
    <w:p>
      <w:pPr>
        <w:pStyle w:val="33"/>
        <w:ind w:firstLine="340"/>
        <w:rPr>
          <w:color w:val="auto"/>
          <w:highlight w:val="none"/>
        </w:rPr>
      </w:pPr>
    </w:p>
    <w:tbl>
      <w:tblPr>
        <w:tblStyle w:val="3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384"/>
        <w:gridCol w:w="405"/>
        <w:gridCol w:w="155"/>
        <w:gridCol w:w="940"/>
        <w:gridCol w:w="72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exact"/>
        </w:trPr>
        <w:tc>
          <w:tcPr>
            <w:tcW w:w="2263" w:type="dxa"/>
            <w:vAlign w:val="center"/>
          </w:tcPr>
          <w:p>
            <w:pPr>
              <w:spacing w:line="360" w:lineRule="exact"/>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项目名称</w:t>
            </w:r>
          </w:p>
        </w:tc>
        <w:tc>
          <w:tcPr>
            <w:tcW w:w="7031" w:type="dxa"/>
            <w:gridSpan w:val="6"/>
            <w:vAlign w:val="center"/>
          </w:tcPr>
          <w:p>
            <w:pPr>
              <w:spacing w:line="360" w:lineRule="exact"/>
              <w:ind w:firstLine="280" w:firstLineChars="100"/>
              <w:rPr>
                <w:rFonts w:ascii="仿宋_GB2312" w:hAnsi="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2263" w:type="dxa"/>
            <w:vAlign w:val="center"/>
          </w:tcPr>
          <w:p>
            <w:pPr>
              <w:spacing w:line="360" w:lineRule="exact"/>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项目编号</w:t>
            </w:r>
          </w:p>
        </w:tc>
        <w:tc>
          <w:tcPr>
            <w:tcW w:w="7031" w:type="dxa"/>
            <w:gridSpan w:val="6"/>
            <w:vAlign w:val="center"/>
          </w:tcPr>
          <w:p>
            <w:pPr>
              <w:spacing w:line="360" w:lineRule="exact"/>
              <w:ind w:firstLine="280" w:firstLineChars="100"/>
              <w:rPr>
                <w:rFonts w:ascii="仿宋_GB2312" w:hAnsi="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2263" w:type="dxa"/>
            <w:vAlign w:val="center"/>
          </w:tcPr>
          <w:p>
            <w:pPr>
              <w:spacing w:line="360" w:lineRule="exact"/>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招标人（全称）</w:t>
            </w:r>
          </w:p>
        </w:tc>
        <w:tc>
          <w:tcPr>
            <w:tcW w:w="7031" w:type="dxa"/>
            <w:gridSpan w:val="6"/>
            <w:vAlign w:val="center"/>
          </w:tcPr>
          <w:p>
            <w:pPr>
              <w:spacing w:line="360" w:lineRule="exact"/>
              <w:jc w:val="center"/>
              <w:rPr>
                <w:rFonts w:ascii="仿宋_GB2312" w:hAnsi="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2263" w:type="dxa"/>
            <w:vAlign w:val="center"/>
          </w:tcPr>
          <w:p>
            <w:pPr>
              <w:spacing w:line="360" w:lineRule="exact"/>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中标人（全称）</w:t>
            </w:r>
          </w:p>
        </w:tc>
        <w:tc>
          <w:tcPr>
            <w:tcW w:w="7031" w:type="dxa"/>
            <w:gridSpan w:val="6"/>
            <w:vAlign w:val="center"/>
          </w:tcPr>
          <w:p>
            <w:pPr>
              <w:spacing w:line="360" w:lineRule="exact"/>
              <w:jc w:val="center"/>
              <w:rPr>
                <w:rFonts w:ascii="仿宋_GB2312" w:hAnsi="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trPr>
        <w:tc>
          <w:tcPr>
            <w:tcW w:w="2263" w:type="dxa"/>
            <w:vAlign w:val="center"/>
          </w:tcPr>
          <w:p>
            <w:pPr>
              <w:spacing w:line="360" w:lineRule="exact"/>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 xml:space="preserve">   开户银行</w:t>
            </w:r>
          </w:p>
        </w:tc>
        <w:tc>
          <w:tcPr>
            <w:tcW w:w="2789" w:type="dxa"/>
            <w:gridSpan w:val="2"/>
            <w:vAlign w:val="center"/>
          </w:tcPr>
          <w:p>
            <w:pPr>
              <w:rPr>
                <w:rFonts w:ascii="仿宋_GB2312" w:hAnsi="仿宋_GB2312" w:cs="仿宋_GB2312"/>
                <w:color w:val="auto"/>
                <w:sz w:val="28"/>
                <w:szCs w:val="28"/>
                <w:highlight w:val="none"/>
              </w:rPr>
            </w:pPr>
          </w:p>
        </w:tc>
        <w:tc>
          <w:tcPr>
            <w:tcW w:w="1095" w:type="dxa"/>
            <w:gridSpan w:val="2"/>
            <w:vAlign w:val="center"/>
          </w:tcPr>
          <w:p>
            <w:pPr>
              <w:spacing w:line="360" w:lineRule="exact"/>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账号</w:t>
            </w:r>
          </w:p>
        </w:tc>
        <w:tc>
          <w:tcPr>
            <w:tcW w:w="3147" w:type="dxa"/>
            <w:gridSpan w:val="2"/>
            <w:vAlign w:val="center"/>
          </w:tcPr>
          <w:p>
            <w:pPr>
              <w:rPr>
                <w:rFonts w:ascii="仿宋_GB2312" w:hAnsi="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2263" w:type="dxa"/>
            <w:vAlign w:val="center"/>
          </w:tcPr>
          <w:p>
            <w:pPr>
              <w:spacing w:line="360" w:lineRule="exact"/>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 xml:space="preserve">    金  额</w:t>
            </w:r>
          </w:p>
        </w:tc>
        <w:tc>
          <w:tcPr>
            <w:tcW w:w="7031" w:type="dxa"/>
            <w:gridSpan w:val="6"/>
            <w:vAlign w:val="center"/>
          </w:tcPr>
          <w:p>
            <w:pPr>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2263" w:type="dxa"/>
            <w:vAlign w:val="center"/>
          </w:tcPr>
          <w:p>
            <w:pPr>
              <w:spacing w:line="360" w:lineRule="exact"/>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 xml:space="preserve">   中标时间</w:t>
            </w:r>
          </w:p>
        </w:tc>
        <w:tc>
          <w:tcPr>
            <w:tcW w:w="2944" w:type="dxa"/>
            <w:gridSpan w:val="3"/>
            <w:vAlign w:val="center"/>
          </w:tcPr>
          <w:p>
            <w:pPr>
              <w:rPr>
                <w:rFonts w:ascii="仿宋_GB2312" w:hAnsi="仿宋_GB2312" w:cs="仿宋_GB2312"/>
                <w:color w:val="auto"/>
                <w:sz w:val="28"/>
                <w:szCs w:val="28"/>
                <w:highlight w:val="none"/>
              </w:rPr>
            </w:pPr>
          </w:p>
        </w:tc>
        <w:tc>
          <w:tcPr>
            <w:tcW w:w="1665" w:type="dxa"/>
            <w:gridSpan w:val="2"/>
            <w:vAlign w:val="center"/>
          </w:tcPr>
          <w:p>
            <w:pPr>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履约期限</w:t>
            </w:r>
          </w:p>
        </w:tc>
        <w:tc>
          <w:tcPr>
            <w:tcW w:w="2422" w:type="dxa"/>
            <w:vAlign w:val="center"/>
          </w:tcPr>
          <w:p>
            <w:pPr>
              <w:rPr>
                <w:rFonts w:ascii="仿宋_GB2312" w:hAnsi="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2263" w:type="dxa"/>
            <w:vAlign w:val="center"/>
          </w:tcPr>
          <w:p>
            <w:pPr>
              <w:spacing w:line="360" w:lineRule="exact"/>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shd w:val="clear" w:color="auto" w:fill="FFFFFF"/>
              </w:rPr>
              <w:t>完工时间</w:t>
            </w:r>
          </w:p>
        </w:tc>
        <w:tc>
          <w:tcPr>
            <w:tcW w:w="7031" w:type="dxa"/>
            <w:gridSpan w:val="6"/>
            <w:vAlign w:val="center"/>
          </w:tcPr>
          <w:p>
            <w:pPr>
              <w:spacing w:line="360" w:lineRule="exact"/>
              <w:jc w:val="center"/>
              <w:rPr>
                <w:rFonts w:ascii="仿宋_GB2312" w:hAnsi="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4647" w:type="dxa"/>
            <w:gridSpan w:val="2"/>
            <w:vAlign w:val="center"/>
          </w:tcPr>
          <w:p>
            <w:pPr>
              <w:spacing w:line="360" w:lineRule="exact"/>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中标人确认</w:t>
            </w:r>
          </w:p>
        </w:tc>
        <w:tc>
          <w:tcPr>
            <w:tcW w:w="4647" w:type="dxa"/>
            <w:gridSpan w:val="5"/>
            <w:vAlign w:val="center"/>
          </w:tcPr>
          <w:p>
            <w:pPr>
              <w:spacing w:line="360" w:lineRule="exact"/>
              <w:jc w:val="center"/>
              <w:rPr>
                <w:rFonts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招标人确认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5" w:hRule="exact"/>
        </w:trPr>
        <w:tc>
          <w:tcPr>
            <w:tcW w:w="4647" w:type="dxa"/>
            <w:gridSpan w:val="2"/>
            <w:vAlign w:val="center"/>
          </w:tcPr>
          <w:p>
            <w:pPr>
              <w:jc w:val="left"/>
              <w:rPr>
                <w:rFonts w:ascii="仿宋_GB2312" w:hAnsi="仿宋_GB2312" w:cs="仿宋_GB2312"/>
                <w:color w:val="auto"/>
                <w:sz w:val="28"/>
                <w:szCs w:val="28"/>
                <w:highlight w:val="none"/>
              </w:rPr>
            </w:pPr>
          </w:p>
          <w:p>
            <w:pPr>
              <w:jc w:val="left"/>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法定代表人（签字）：</w:t>
            </w:r>
          </w:p>
          <w:p>
            <w:pPr>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联系电话：</w:t>
            </w:r>
          </w:p>
          <w:p>
            <w:pPr>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p>
          <w:p>
            <w:pPr>
              <w:ind w:firstLine="560" w:firstLineChars="200"/>
              <w:rPr>
                <w:rFonts w:ascii="仿宋_GB2312" w:hAnsi="仿宋_GB2312" w:cs="仿宋_GB2312"/>
                <w:color w:val="auto"/>
                <w:sz w:val="28"/>
                <w:szCs w:val="28"/>
                <w:highlight w:val="none"/>
              </w:rPr>
            </w:pPr>
          </w:p>
          <w:p>
            <w:pPr>
              <w:ind w:firstLine="560" w:firstLineChars="200"/>
              <w:jc w:val="right"/>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（公 章）</w:t>
            </w:r>
          </w:p>
          <w:p>
            <w:pPr>
              <w:ind w:firstLine="560" w:firstLineChars="200"/>
              <w:jc w:val="right"/>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年   月   日</w:t>
            </w:r>
          </w:p>
        </w:tc>
        <w:tc>
          <w:tcPr>
            <w:tcW w:w="4647" w:type="dxa"/>
            <w:gridSpan w:val="5"/>
            <w:vAlign w:val="center"/>
          </w:tcPr>
          <w:p>
            <w:pPr>
              <w:jc w:val="left"/>
              <w:rPr>
                <w:rFonts w:ascii="仿宋_GB2312" w:hAnsi="仿宋_GB2312" w:cs="仿宋_GB2312"/>
                <w:color w:val="auto"/>
                <w:sz w:val="28"/>
                <w:szCs w:val="28"/>
                <w:highlight w:val="none"/>
              </w:rPr>
            </w:pPr>
          </w:p>
          <w:p>
            <w:pPr>
              <w:jc w:val="left"/>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法定代表人（签字）：</w:t>
            </w:r>
          </w:p>
          <w:p>
            <w:pPr>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联系电话：</w:t>
            </w:r>
          </w:p>
          <w:p>
            <w:pPr>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p>
          <w:p>
            <w:pPr>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p>
          <w:p>
            <w:pPr>
              <w:ind w:firstLine="560" w:firstLineChars="200"/>
              <w:jc w:val="right"/>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（公 章）</w:t>
            </w:r>
          </w:p>
          <w:p>
            <w:pPr>
              <w:ind w:firstLine="560" w:firstLineChars="200"/>
              <w:jc w:val="right"/>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年   月   日</w:t>
            </w:r>
          </w:p>
        </w:tc>
      </w:tr>
      <w:bookmarkEnd w:id="58"/>
    </w:tbl>
    <w:p>
      <w:pPr>
        <w:pStyle w:val="98"/>
        <w:spacing w:line="360" w:lineRule="auto"/>
        <w:ind w:left="0" w:firstLine="2880" w:firstLineChars="900"/>
        <w:jc w:val="both"/>
        <w:rPr>
          <w:rFonts w:hint="eastAsia" w:ascii="宋体" w:hAnsi="宋体" w:eastAsia="宋体" w:cs="宋体"/>
          <w:color w:val="auto"/>
          <w:sz w:val="32"/>
          <w:szCs w:val="32"/>
          <w:highlight w:val="none"/>
        </w:rPr>
      </w:pPr>
    </w:p>
    <w:p>
      <w:pPr>
        <w:pStyle w:val="98"/>
        <w:spacing w:line="360" w:lineRule="auto"/>
        <w:ind w:left="0" w:firstLine="2880"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评标办法（综合评估法）</w:t>
      </w: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一、评标办法依据“关于印发《标准设备采购招标文件》等五个标准招标文件的通知发改法规[2017]1606号”，评标应遵循公正、公平、择优的原则严格按照招标文件进行。</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评标办法前附表</w:t>
      </w:r>
    </w:p>
    <w:tbl>
      <w:tblPr>
        <w:tblStyle w:val="35"/>
        <w:tblW w:w="10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880"/>
        <w:gridCol w:w="1940"/>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1495" w:type="dxa"/>
            <w:gridSpan w:val="2"/>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940"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762"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61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0"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按最终得分由高到低的顺序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exact"/>
          <w:jc w:val="center"/>
        </w:trPr>
        <w:tc>
          <w:tcPr>
            <w:tcW w:w="615" w:type="dxa"/>
            <w:vMerge w:val="restart"/>
            <w:vAlign w:val="center"/>
          </w:tcPr>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80" w:type="dxa"/>
            <w:vMerge w:val="restar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 标准</w:t>
            </w: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exac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投标函及投标函附录签字盖章</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exact"/>
          <w:jc w:val="center"/>
        </w:trPr>
        <w:tc>
          <w:tcPr>
            <w:tcW w:w="615" w:type="dxa"/>
            <w:vMerge w:val="restart"/>
            <w:vAlign w:val="center"/>
          </w:tcPr>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880" w:type="dxa"/>
            <w:vMerge w:val="restart"/>
            <w:vAlign w:val="center"/>
          </w:tcPr>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 标准</w:t>
            </w: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w:t>
            </w:r>
            <w:r>
              <w:rPr>
                <w:rFonts w:hint="eastAsia" w:ascii="宋体" w:hAnsi="宋体" w:eastAsia="宋体" w:cs="宋体"/>
                <w:color w:val="auto"/>
                <w:sz w:val="21"/>
                <w:szCs w:val="21"/>
                <w:highlight w:val="none"/>
                <w:lang w:val="en-US" w:eastAsia="zh-CN"/>
              </w:rPr>
              <w:t>用</w:t>
            </w:r>
            <w:r>
              <w:rPr>
                <w:rFonts w:hint="eastAsia" w:ascii="宋体" w:hAnsi="宋体" w:eastAsia="宋体" w:cs="宋体"/>
                <w:color w:val="auto"/>
                <w:sz w:val="21"/>
                <w:szCs w:val="21"/>
                <w:highlight w:val="none"/>
              </w:rPr>
              <w:t>要求</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762" w:type="dxa"/>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 w:hRule="atLeast"/>
          <w:jc w:val="center"/>
        </w:trPr>
        <w:tc>
          <w:tcPr>
            <w:tcW w:w="615" w:type="dxa"/>
            <w:vMerge w:val="restar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80" w:type="dxa"/>
            <w:vMerge w:val="restar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 审标准</w:t>
            </w: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 w:hRule="atLeas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 w:hRule="atLeas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 w:hRule="atLeas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 w:hRule="atLeas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 w:hRule="atLeast"/>
          <w:jc w:val="center"/>
        </w:trPr>
        <w:tc>
          <w:tcPr>
            <w:tcW w:w="615" w:type="dxa"/>
            <w:vMerge w:val="continue"/>
            <w:vAlign w:val="center"/>
          </w:tcPr>
          <w:p>
            <w:pPr>
              <w:spacing w:line="360" w:lineRule="auto"/>
              <w:rPr>
                <w:rFonts w:hint="eastAsia" w:ascii="宋体" w:hAnsi="宋体" w:eastAsia="宋体" w:cs="宋体"/>
                <w:color w:val="auto"/>
                <w:sz w:val="21"/>
                <w:szCs w:val="21"/>
                <w:highlight w:val="none"/>
              </w:rPr>
            </w:pPr>
          </w:p>
        </w:tc>
        <w:tc>
          <w:tcPr>
            <w:tcW w:w="880" w:type="dxa"/>
            <w:vMerge w:val="continue"/>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495" w:type="dxa"/>
            <w:gridSpan w:val="2"/>
            <w:vAlign w:val="top"/>
          </w:tcPr>
          <w:p>
            <w:pPr>
              <w:jc w:val="center"/>
              <w:rPr>
                <w:rFonts w:hint="eastAsia"/>
                <w:b/>
                <w:bCs/>
                <w:color w:val="auto"/>
                <w:sz w:val="21"/>
                <w:szCs w:val="21"/>
                <w:highlight w:val="none"/>
              </w:rPr>
            </w:pPr>
            <w:r>
              <w:rPr>
                <w:rFonts w:hint="eastAsia"/>
                <w:b/>
                <w:bCs/>
                <w:color w:val="auto"/>
                <w:sz w:val="21"/>
                <w:szCs w:val="21"/>
                <w:highlight w:val="none"/>
              </w:rPr>
              <w:t>条款号</w:t>
            </w:r>
          </w:p>
        </w:tc>
        <w:tc>
          <w:tcPr>
            <w:tcW w:w="1940" w:type="dxa"/>
            <w:vAlign w:val="top"/>
          </w:tcPr>
          <w:p>
            <w:pPr>
              <w:jc w:val="center"/>
              <w:rPr>
                <w:rFonts w:hint="eastAsia"/>
                <w:b/>
                <w:bCs/>
                <w:color w:val="auto"/>
                <w:sz w:val="21"/>
                <w:szCs w:val="21"/>
                <w:highlight w:val="none"/>
              </w:rPr>
            </w:pPr>
            <w:r>
              <w:rPr>
                <w:rFonts w:hint="eastAsia"/>
                <w:b/>
                <w:bCs/>
                <w:color w:val="auto"/>
                <w:sz w:val="21"/>
                <w:szCs w:val="21"/>
                <w:highlight w:val="none"/>
              </w:rPr>
              <w:t>条款内容</w:t>
            </w:r>
          </w:p>
        </w:tc>
        <w:tc>
          <w:tcPr>
            <w:tcW w:w="6762" w:type="dxa"/>
            <w:vAlign w:val="top"/>
          </w:tcPr>
          <w:p>
            <w:pPr>
              <w:jc w:val="center"/>
              <w:rPr>
                <w:rFonts w:hint="eastAsia"/>
                <w:b/>
                <w:bCs/>
                <w:color w:val="auto"/>
                <w:sz w:val="21"/>
                <w:szCs w:val="21"/>
                <w:highlight w:val="none"/>
              </w:rPr>
            </w:pPr>
            <w:r>
              <w:rPr>
                <w:rFonts w:hint="eastAsia"/>
                <w:b/>
                <w:bCs/>
                <w:color w:val="auto"/>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exact"/>
          <w:jc w:val="center"/>
        </w:trPr>
        <w:tc>
          <w:tcPr>
            <w:tcW w:w="1495" w:type="dxa"/>
            <w:gridSpan w:val="2"/>
            <w:vAlign w:val="center"/>
          </w:tcPr>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940" w:type="dxa"/>
            <w:vAlign w:val="center"/>
          </w:tcPr>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 100分)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投标报价：20分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资信业绩：3</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设计方案：</w:t>
            </w:r>
            <w:r>
              <w:rPr>
                <w:rFonts w:hint="eastAsia" w:hAnsi="宋体" w:cs="宋体"/>
                <w:color w:val="auto"/>
                <w:sz w:val="21"/>
                <w:szCs w:val="21"/>
                <w:highlight w:val="none"/>
                <w:lang w:val="en-US" w:eastAsia="zh-CN"/>
              </w:rPr>
              <w:t>46</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9" w:hRule="atLeast"/>
          <w:jc w:val="center"/>
        </w:trPr>
        <w:tc>
          <w:tcPr>
            <w:tcW w:w="1495" w:type="dxa"/>
            <w:gridSpan w:val="2"/>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w:t>
            </w: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（0-20分）</w:t>
            </w:r>
          </w:p>
        </w:tc>
        <w:tc>
          <w:tcPr>
            <w:tcW w:w="676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评标基准价D=0.5×E+0.5×F</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其中：E-招标人的控制价；</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以评标基准价为基础，报价等于评标基准价得20分，每低于基准价的1%在20分基础上减0.5分，扣完为止；每高于评标基准价的1%，在20分基础上减1分，扣完为止。</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（注：不满1%的按</w:t>
            </w:r>
            <w:r>
              <w:rPr>
                <w:rFonts w:hint="eastAsia" w:hAnsi="宋体" w:cs="宋体"/>
                <w:color w:val="auto"/>
                <w:sz w:val="21"/>
                <w:szCs w:val="21"/>
                <w:highlight w:val="none"/>
                <w:lang w:val="en-US" w:eastAsia="zh-CN"/>
              </w:rPr>
              <w:t>内插法</w:t>
            </w:r>
            <w:r>
              <w:rPr>
                <w:rFonts w:hint="eastAsia" w:ascii="宋体" w:hAnsi="宋体" w:eastAsia="宋体" w:cs="宋体"/>
                <w:color w:val="auto"/>
                <w:sz w:val="21"/>
                <w:szCs w:val="21"/>
                <w:highlight w:val="none"/>
              </w:rPr>
              <w:t>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exact"/>
          <w:jc w:val="center"/>
        </w:trPr>
        <w:tc>
          <w:tcPr>
            <w:tcW w:w="615" w:type="dxa"/>
            <w:vMerge w:val="restart"/>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2.2.2（2）</w:t>
            </w:r>
          </w:p>
        </w:tc>
        <w:tc>
          <w:tcPr>
            <w:tcW w:w="880" w:type="dxa"/>
            <w:vMerge w:val="restart"/>
            <w:tcBorders>
              <w:lef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资信业绩（3</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获得工程勘察（勘测）设计</w:t>
            </w:r>
            <w:r>
              <w:rPr>
                <w:rFonts w:hint="eastAsia" w:hAnsi="宋体" w:cs="宋体"/>
                <w:color w:val="auto"/>
                <w:sz w:val="21"/>
                <w:szCs w:val="21"/>
                <w:highlight w:val="none"/>
                <w:lang w:eastAsia="zh-CN"/>
              </w:rPr>
              <w:t>行业</w:t>
            </w:r>
            <w:r>
              <w:rPr>
                <w:rFonts w:hint="eastAsia" w:ascii="宋体" w:hAnsi="宋体" w:eastAsia="宋体" w:cs="宋体"/>
                <w:color w:val="auto"/>
                <w:sz w:val="21"/>
                <w:szCs w:val="21"/>
                <w:highlight w:val="none"/>
              </w:rPr>
              <w:t>类奖项的，</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提供一项得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hAnsi="宋体" w:cs="宋体"/>
                <w:color w:val="auto"/>
                <w:sz w:val="21"/>
                <w:szCs w:val="21"/>
                <w:highlight w:val="none"/>
                <w:lang w:val="en-US" w:eastAsia="zh-CN"/>
              </w:rPr>
              <w:t>以证书和同级奖励文件为准</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615"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880" w:type="dxa"/>
            <w:vMerge w:val="continue"/>
            <w:tcBorders>
              <w:lef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762" w:type="dxa"/>
            <w:vAlign w:val="center"/>
          </w:tcPr>
          <w:p>
            <w:pPr>
              <w:spacing w:line="360" w:lineRule="auto"/>
              <w:rPr>
                <w:rFonts w:hint="eastAsia" w:ascii="宋体" w:hAnsi="宋体" w:eastAsia="宋体" w:cs="宋体"/>
                <w:color w:val="auto"/>
                <w:sz w:val="21"/>
                <w:szCs w:val="21"/>
                <w:highlight w:val="none"/>
                <w:lang w:eastAsia="zh-CN"/>
              </w:rPr>
            </w:pPr>
            <w:r>
              <w:rPr>
                <w:rFonts w:hint="eastAsia" w:ascii="新宋体" w:hAnsi="新宋体" w:eastAsia="新宋体"/>
                <w:color w:val="auto"/>
                <w:sz w:val="21"/>
                <w:szCs w:val="21"/>
                <w:highlight w:val="none"/>
                <w:lang w:eastAsia="zh-CN"/>
              </w:rPr>
              <w:t>具有良好的商业</w:t>
            </w:r>
            <w:r>
              <w:rPr>
                <w:rFonts w:hint="eastAsia" w:ascii="新宋体" w:hAnsi="新宋体" w:eastAsia="新宋体"/>
                <w:color w:val="auto"/>
                <w:sz w:val="21"/>
                <w:szCs w:val="21"/>
                <w:highlight w:val="none"/>
              </w:rPr>
              <w:t>信用</w:t>
            </w:r>
            <w:r>
              <w:rPr>
                <w:rFonts w:hint="eastAsia" w:ascii="新宋体" w:hAnsi="新宋体" w:eastAsia="新宋体"/>
                <w:color w:val="auto"/>
                <w:sz w:val="21"/>
                <w:szCs w:val="21"/>
                <w:highlight w:val="none"/>
                <w:lang w:eastAsia="zh-CN"/>
              </w:rPr>
              <w:t>，投标人提供信用</w:t>
            </w:r>
            <w:r>
              <w:rPr>
                <w:rFonts w:hint="eastAsia" w:ascii="新宋体" w:hAnsi="新宋体" w:eastAsia="新宋体"/>
                <w:color w:val="auto"/>
                <w:sz w:val="21"/>
                <w:szCs w:val="21"/>
                <w:highlight w:val="none"/>
              </w:rPr>
              <w:t>评价机构出具的有效信用评价报告。信用等级分值：AAA级为</w:t>
            </w:r>
            <w:r>
              <w:rPr>
                <w:rFonts w:hint="eastAsia" w:ascii="新宋体" w:hAnsi="新宋体" w:eastAsia="新宋体"/>
                <w:color w:val="auto"/>
                <w:sz w:val="21"/>
                <w:szCs w:val="21"/>
                <w:highlight w:val="none"/>
                <w:lang w:val="en-US" w:eastAsia="zh-CN"/>
              </w:rPr>
              <w:t>4</w:t>
            </w:r>
            <w:r>
              <w:rPr>
                <w:rFonts w:hint="eastAsia" w:ascii="新宋体" w:hAnsi="新宋体" w:eastAsia="新宋体"/>
                <w:color w:val="auto"/>
                <w:sz w:val="21"/>
                <w:szCs w:val="21"/>
                <w:highlight w:val="none"/>
              </w:rPr>
              <w:t>分，AA级为</w:t>
            </w:r>
            <w:r>
              <w:rPr>
                <w:rFonts w:hint="eastAsia" w:ascii="新宋体" w:hAnsi="新宋体" w:eastAsia="新宋体"/>
                <w:color w:val="auto"/>
                <w:sz w:val="21"/>
                <w:szCs w:val="21"/>
                <w:highlight w:val="none"/>
                <w:lang w:val="en-US" w:eastAsia="zh-CN"/>
              </w:rPr>
              <w:t>2</w:t>
            </w:r>
            <w:r>
              <w:rPr>
                <w:rFonts w:hint="eastAsia" w:ascii="新宋体" w:hAnsi="新宋体" w:eastAsia="新宋体"/>
                <w:color w:val="auto"/>
                <w:sz w:val="21"/>
                <w:szCs w:val="21"/>
                <w:highlight w:val="none"/>
              </w:rPr>
              <w:t>分，A级为1分，没有不得分。</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以证书和评价报告为准</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615"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880" w:type="dxa"/>
            <w:vMerge w:val="continue"/>
            <w:tcBorders>
              <w:lef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年1月1日以来投标单位具有类似业绩者，每项得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分；本项最多得1</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hAnsi="宋体" w:cs="宋体"/>
                <w:color w:val="auto"/>
                <w:sz w:val="21"/>
                <w:szCs w:val="21"/>
                <w:highlight w:val="none"/>
                <w:lang w:val="en-US" w:eastAsia="zh-CN"/>
              </w:rPr>
              <w:t>以</w:t>
            </w:r>
            <w:r>
              <w:rPr>
                <w:rFonts w:hint="eastAsia" w:ascii="宋体" w:hAnsi="宋体" w:eastAsia="宋体" w:cs="宋体"/>
                <w:color w:val="auto"/>
                <w:sz w:val="21"/>
                <w:szCs w:val="21"/>
                <w:highlight w:val="none"/>
              </w:rPr>
              <w:t>合同和中标</w:t>
            </w:r>
            <w:r>
              <w:rPr>
                <w:rFonts w:hint="eastAsia" w:hAnsi="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hAnsi="宋体" w:cs="宋体"/>
                <w:color w:val="auto"/>
                <w:sz w:val="21"/>
                <w:szCs w:val="21"/>
                <w:highlight w:val="none"/>
                <w:lang w:val="en-US" w:eastAsia="zh-CN"/>
              </w:rPr>
              <w:t>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615"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880" w:type="dxa"/>
            <w:vMerge w:val="continue"/>
            <w:tcBorders>
              <w:lef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主要人员资历</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项目团队中除项目负责人以外，每有一人具有</w:t>
            </w:r>
            <w:r>
              <w:rPr>
                <w:rFonts w:hint="eastAsia" w:hAnsi="宋体" w:cs="宋体"/>
                <w:color w:val="auto"/>
                <w:sz w:val="21"/>
                <w:szCs w:val="21"/>
                <w:highlight w:val="none"/>
                <w:lang w:eastAsia="zh-CN"/>
              </w:rPr>
              <w:t>水利</w:t>
            </w:r>
            <w:r>
              <w:rPr>
                <w:rFonts w:hint="eastAsia" w:ascii="宋体" w:hAnsi="宋体" w:eastAsia="宋体" w:cs="宋体"/>
                <w:color w:val="auto"/>
                <w:sz w:val="21"/>
                <w:szCs w:val="21"/>
                <w:highlight w:val="none"/>
              </w:rPr>
              <w:t>相关专业高级技术职称的，加</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分；本项目最多加12分（须提供职称及近三个月养老保险缴费证明）。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15" w:type="dxa"/>
            <w:vMerge w:val="restart"/>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2.2.2（3）</w:t>
            </w:r>
          </w:p>
        </w:tc>
        <w:tc>
          <w:tcPr>
            <w:tcW w:w="880" w:type="dxa"/>
            <w:vMerge w:val="restart"/>
            <w:tcBorders>
              <w:lef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总体勘察设计思路方案评分标准（</w:t>
            </w:r>
            <w:r>
              <w:rPr>
                <w:rFonts w:hint="eastAsia" w:hAnsi="宋体" w:cs="宋体"/>
                <w:color w:val="auto"/>
                <w:sz w:val="21"/>
                <w:szCs w:val="21"/>
                <w:highlight w:val="none"/>
                <w:lang w:val="en-US" w:eastAsia="zh-CN"/>
              </w:rPr>
              <w:t>46</w:t>
            </w:r>
            <w:r>
              <w:rPr>
                <w:rFonts w:hint="eastAsia" w:ascii="宋体" w:hAnsi="宋体" w:eastAsia="宋体" w:cs="宋体"/>
                <w:color w:val="auto"/>
                <w:sz w:val="21"/>
                <w:szCs w:val="21"/>
                <w:highlight w:val="none"/>
              </w:rPr>
              <w:t>分）</w:t>
            </w: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对招标项目的理解和对工程总体勘察设计思路</w:t>
            </w:r>
            <w:r>
              <w:rPr>
                <w:rFonts w:hint="eastAsia" w:hAnsi="宋体" w:cs="宋体"/>
                <w:color w:val="auto"/>
                <w:sz w:val="21"/>
                <w:szCs w:val="21"/>
                <w:highlight w:val="none"/>
                <w:lang w:eastAsia="zh-CN"/>
              </w:rPr>
              <w:t>及勘察设计方案</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对工程理解透彻，对工程总体勘察设计思路</w:t>
            </w:r>
            <w:r>
              <w:rPr>
                <w:rFonts w:hint="eastAsia" w:hAnsi="宋体" w:cs="宋体"/>
                <w:color w:val="auto"/>
                <w:sz w:val="21"/>
                <w:szCs w:val="21"/>
                <w:highlight w:val="none"/>
                <w:lang w:eastAsia="zh-CN"/>
              </w:rPr>
              <w:t>、勘察设计方案</w:t>
            </w:r>
            <w:r>
              <w:rPr>
                <w:rFonts w:hint="eastAsia" w:ascii="宋体" w:hAnsi="宋体" w:eastAsia="宋体" w:cs="宋体"/>
                <w:color w:val="auto"/>
                <w:sz w:val="21"/>
                <w:szCs w:val="21"/>
                <w:highlight w:val="none"/>
              </w:rPr>
              <w:t>分析准确、有针对性，得</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对工程理解比较透彻，对工程总体勘察设计思路</w:t>
            </w:r>
            <w:r>
              <w:rPr>
                <w:rFonts w:hint="eastAsia" w:hAnsi="宋体" w:cs="宋体"/>
                <w:color w:val="auto"/>
                <w:sz w:val="21"/>
                <w:szCs w:val="21"/>
                <w:highlight w:val="none"/>
                <w:lang w:eastAsia="zh-CN"/>
              </w:rPr>
              <w:t>、勘察设计方案</w:t>
            </w:r>
            <w:r>
              <w:rPr>
                <w:rFonts w:hint="eastAsia" w:ascii="宋体" w:hAnsi="宋体" w:eastAsia="宋体" w:cs="宋体"/>
                <w:color w:val="auto"/>
                <w:sz w:val="21"/>
                <w:szCs w:val="21"/>
                <w:highlight w:val="none"/>
              </w:rPr>
              <w:t>分析比较准确、比较有针对性，得</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对工程理解基本透彻，对工程总体勘察设计思路</w:t>
            </w:r>
            <w:r>
              <w:rPr>
                <w:rFonts w:hint="eastAsia" w:hAnsi="宋体" w:cs="宋体"/>
                <w:color w:val="auto"/>
                <w:sz w:val="21"/>
                <w:szCs w:val="21"/>
                <w:highlight w:val="none"/>
                <w:lang w:eastAsia="zh-CN"/>
              </w:rPr>
              <w:t>、勘察设计方案</w:t>
            </w:r>
            <w:r>
              <w:rPr>
                <w:rFonts w:hint="eastAsia" w:ascii="宋体" w:hAnsi="宋体" w:eastAsia="宋体" w:cs="宋体"/>
                <w:color w:val="auto"/>
                <w:sz w:val="21"/>
                <w:szCs w:val="21"/>
                <w:highlight w:val="none"/>
              </w:rPr>
              <w:t>分析基本准确、基本有针对性，得0-</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jc w:val="center"/>
        </w:trPr>
        <w:tc>
          <w:tcPr>
            <w:tcW w:w="615"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880" w:type="dxa"/>
            <w:vMerge w:val="continue"/>
            <w:tcBorders>
              <w:lef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设计内容分析（</w:t>
            </w:r>
            <w:r>
              <w:rPr>
                <w:rFonts w:hint="eastAsia" w:hAnsi="宋体" w:cs="宋体"/>
                <w:color w:val="auto"/>
                <w:sz w:val="21"/>
                <w:szCs w:val="21"/>
                <w:highlight w:val="none"/>
                <w:lang w:val="en-US" w:eastAsia="zh-CN"/>
              </w:rPr>
              <w:t>10分</w:t>
            </w:r>
            <w:r>
              <w:rPr>
                <w:rFonts w:hint="eastAsia" w:hAnsi="宋体" w:cs="宋体"/>
                <w:color w:val="auto"/>
                <w:sz w:val="21"/>
                <w:szCs w:val="21"/>
                <w:highlight w:val="none"/>
                <w:lang w:eastAsia="zh-CN"/>
              </w:rPr>
              <w:t>）</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设计内容</w:t>
            </w:r>
            <w:r>
              <w:rPr>
                <w:rFonts w:hint="eastAsia" w:ascii="宋体" w:hAnsi="宋体" w:eastAsia="宋体" w:cs="宋体"/>
                <w:color w:val="auto"/>
                <w:sz w:val="21"/>
                <w:szCs w:val="21"/>
                <w:highlight w:val="none"/>
              </w:rPr>
              <w:t>分析准确、有针对性，得</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设计内容</w:t>
            </w:r>
            <w:r>
              <w:rPr>
                <w:rFonts w:hint="eastAsia" w:ascii="宋体" w:hAnsi="宋体" w:eastAsia="宋体" w:cs="宋体"/>
                <w:color w:val="auto"/>
                <w:sz w:val="21"/>
                <w:szCs w:val="21"/>
                <w:highlight w:val="none"/>
              </w:rPr>
              <w:t>分析比较准确、比较有针对性，得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设计内容</w:t>
            </w:r>
            <w:r>
              <w:rPr>
                <w:rFonts w:hint="eastAsia" w:ascii="宋体" w:hAnsi="宋体" w:eastAsia="宋体" w:cs="宋体"/>
                <w:color w:val="auto"/>
                <w:sz w:val="21"/>
                <w:szCs w:val="21"/>
                <w:highlight w:val="none"/>
              </w:rPr>
              <w:t>分析基本准确、基本有针对性，得0-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jc w:val="center"/>
        </w:trPr>
        <w:tc>
          <w:tcPr>
            <w:tcW w:w="615"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880" w:type="dxa"/>
            <w:vMerge w:val="continue"/>
            <w:tcBorders>
              <w:lef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技术关键点和难点论述</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对策措施</w:t>
            </w:r>
          </w:p>
          <w:p>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技术关键点和难点论述及对策措施</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思路清晰、符合工程实际，得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技术关键点和难点论述及对策措施</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比较符合工程实际，得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技术关键点和难点论述及对策措施</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基本符合工程实际，得0-</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15"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880" w:type="dxa"/>
            <w:vMerge w:val="continue"/>
            <w:tcBorders>
              <w:lef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进度计划及保障措施（</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进度计划合理、保障措施得力得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进度计划比较合理、保障措施比较得力得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进度计划基本合理、保障措施基本得力得0-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15"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880" w:type="dxa"/>
            <w:vMerge w:val="continue"/>
            <w:tcBorders>
              <w:lef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质量保证体系及保证措施</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质量保证体系健全，措施合理得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质量保证体系比较健全，措施比较合理得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质量保证体系基本健全，措施基本合理得0-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615" w:type="dxa"/>
            <w:vMerge w:val="continue"/>
            <w:tcBorders>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880" w:type="dxa"/>
            <w:vMerge w:val="continue"/>
            <w:tcBorders>
              <w:lef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94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76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合理化建议可行得4-</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合理化建议比较可行得2-3分；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合理化建议基本可行得0-1分。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15" w:type="dxa"/>
            <w:tcBorders>
              <w:right w:val="single" w:color="auto" w:sz="4" w:space="0"/>
            </w:tcBorders>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定标</w:t>
            </w:r>
          </w:p>
        </w:tc>
        <w:tc>
          <w:tcPr>
            <w:tcW w:w="9582" w:type="dxa"/>
            <w:gridSpan w:val="3"/>
            <w:tcBorders>
              <w:left w:val="single" w:color="auto" w:sz="4" w:space="0"/>
            </w:tcBorders>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1、中标候选人的推荐：按照上述办法评审后，评标委员会应当按照投标人的得分由高到低排序，向招标人推荐1-3名中标候选人。如果投标人的得分相等时，报价低的居前</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报价也相等时，评标委员会可通过公开随机抽取的方式确定有顺序的中标候选人。</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定中标人：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pPr>
        <w:autoSpaceDE w:val="0"/>
        <w:autoSpaceDN w:val="0"/>
        <w:spacing w:line="520" w:lineRule="exact"/>
        <w:ind w:firstLine="480" w:firstLineChars="200"/>
        <w:contextualSpacing/>
        <w:rPr>
          <w:rFonts w:hint="eastAsia" w:ascii="宋体" w:hAnsi="宋体" w:eastAsia="宋体" w:cs="宋体"/>
          <w:b/>
          <w:bCs/>
          <w:color w:val="auto"/>
          <w:sz w:val="24"/>
          <w:szCs w:val="24"/>
          <w:highlight w:val="none"/>
        </w:rPr>
      </w:pP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rPr>
        <w:t>：1）业绩合同以</w:t>
      </w:r>
      <w:r>
        <w:rPr>
          <w:rFonts w:hint="eastAsia" w:hAnsi="宋体" w:cs="宋体"/>
          <w:b/>
          <w:bCs/>
          <w:color w:val="auto"/>
          <w:sz w:val="24"/>
          <w:szCs w:val="24"/>
          <w:highlight w:val="none"/>
          <w:lang w:eastAsia="zh-CN"/>
        </w:rPr>
        <w:t>中标（成交）通知书</w:t>
      </w:r>
      <w:r>
        <w:rPr>
          <w:rFonts w:hint="eastAsia" w:hAnsi="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合同</w:t>
      </w:r>
      <w:r>
        <w:rPr>
          <w:rFonts w:hint="eastAsia" w:hAnsi="宋体" w:cs="宋体"/>
          <w:b/>
          <w:bCs/>
          <w:color w:val="auto"/>
          <w:sz w:val="24"/>
          <w:szCs w:val="24"/>
          <w:highlight w:val="none"/>
          <w:lang w:val="en-US" w:eastAsia="zh-CN"/>
        </w:rPr>
        <w:t>为准，</w:t>
      </w:r>
      <w:r>
        <w:rPr>
          <w:rFonts w:hint="eastAsia" w:ascii="宋体" w:hAnsi="宋体" w:eastAsia="宋体" w:cs="宋体"/>
          <w:b/>
          <w:bCs/>
          <w:color w:val="auto"/>
          <w:sz w:val="24"/>
          <w:szCs w:val="24"/>
          <w:highlight w:val="none"/>
        </w:rPr>
        <w:t>业绩</w:t>
      </w:r>
      <w:r>
        <w:rPr>
          <w:rFonts w:hint="eastAsia" w:hAnsi="宋体" w:cs="宋体"/>
          <w:b/>
          <w:bCs/>
          <w:color w:val="auto"/>
          <w:sz w:val="24"/>
          <w:szCs w:val="24"/>
          <w:highlight w:val="none"/>
          <w:lang w:val="en-US" w:eastAsia="zh-CN"/>
        </w:rPr>
        <w:t>时间以合同签订时间</w:t>
      </w:r>
      <w:r>
        <w:rPr>
          <w:rFonts w:hint="eastAsia" w:ascii="宋体" w:hAnsi="宋体" w:eastAsia="宋体" w:cs="宋体"/>
          <w:b/>
          <w:bCs/>
          <w:color w:val="auto"/>
          <w:sz w:val="24"/>
          <w:szCs w:val="24"/>
          <w:highlight w:val="none"/>
        </w:rPr>
        <w:t>为准，获奖证书以发证日期为准。</w:t>
      </w:r>
    </w:p>
    <w:p>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凡评标办法里涉及到的证书、证件及业绩材料等，均应在投标文件中附其原件扫描件或图片，否则该项得分应作0分处理。</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1.评标委员会的组建和评标方法</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1.1评标委员会的组建：详见第二章投标人须知前附表。</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1.2评标专家应严格按照招标文件要求查看“硬件特征码”相关信息并进行评审，在评标报告中显示“不同投标人电子投标文件制作硬件特征码”是否雷同的分析及判定结果。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1.2评标方法：本次评标采用综合评估法。</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2.评审标准</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2.1初步评审标准</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2.1.1形式评审标准：见评标办法前附表。</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2.1.2资格审查标准：见评标办法前附表。</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2.1.3响应性评审标准：见评标办法前附表。</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2.1.4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2.2.1分值构成</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（1）形式评审标准：见评标办法前附表；</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（2）资格评审标准：见评标办法前附表；</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（3）响应性评审标准：见评标办法前附表；</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pPr>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2.2.1分值构成</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（1）投标报价：见评标办法前附表；</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（2）资信业绩部分：见评标办法前附表；</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（3）勘察设计方案部分：见评标办法前附表； </w:t>
      </w:r>
    </w:p>
    <w:p>
      <w:pPr>
        <w:pStyle w:val="21"/>
        <w:keepNext w:val="0"/>
        <w:keepLines w:val="0"/>
        <w:pageBreakBefore w:val="0"/>
        <w:widowControl w:val="0"/>
        <w:kinsoku/>
        <w:wordWrap/>
        <w:overflowPunct/>
        <w:topLinePunct w:val="0"/>
        <w:autoSpaceDE/>
        <w:autoSpaceDN/>
        <w:bidi w:val="0"/>
        <w:adjustRightInd/>
        <w:snapToGrid/>
        <w:spacing w:line="240" w:lineRule="auto"/>
        <w:ind w:left="418" w:leftChars="123"/>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3.评标程序</w:t>
      </w:r>
    </w:p>
    <w:p>
      <w:pPr>
        <w:pStyle w:val="21"/>
        <w:keepNext w:val="0"/>
        <w:keepLines w:val="0"/>
        <w:pageBreakBefore w:val="0"/>
        <w:widowControl w:val="0"/>
        <w:kinsoku/>
        <w:wordWrap/>
        <w:overflowPunct/>
        <w:topLinePunct w:val="0"/>
        <w:autoSpaceDE/>
        <w:autoSpaceDN/>
        <w:bidi w:val="0"/>
        <w:adjustRightInd/>
        <w:snapToGrid/>
        <w:spacing w:line="240" w:lineRule="auto"/>
        <w:ind w:left="418" w:leftChars="123"/>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3.1初步评审</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3.1.1评标委员会依据本章第2.1项规定的评审标准对投标文件进行初步评审。有一项不符合评审标准的，评标委员会应当否决其投标。</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3.1.2投标人有以下情形之一的，评标委员会应当否决其投标：</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（1）第二章“投标人须知”第1.4项规定的任何一种情形的；</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（2）串通投标或弄虚作假或有其他违法行为的；</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（3）不按评标委员会要求澄清、说明或补正的。</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）对投标文件进行一致性分析，分析投标文件是否有雷同现象，判定投标人是否有串通投标行为。</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3.1.3投标报价有算术错误的，评标委员会按以下原则对投标报价进行修正，修正的价格经投标人书面确认后具有约束力。投标人不接受修正价格的，评标委员会应当否决其投标。</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3.2详细评审3.2.1评标委员会按本章评标办法前附表规定的量化因素和分值进行打分，并计算出综合评估得分。评标办法前附表有特殊规定的，从其规定。</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（1）按本章第2.2.2（1）规定的评审因素和分值对投标人投标报价计算出得分A；</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（2）按本章第2.2.2（2）规定的评审因素和分值对资信业绩计算出得分B；</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（3）按本章第2.2.2（3）规定的评审因素和分值对总体勘察设计思路方案计算出得分C；</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3.2.2评分分值计算保留小数点后两位，小数点后第三位“四舍五入”。</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3.2.3投标人得分=A+B+C，评委评分的算术平均值为投标人最终得分，保留小数点后两位，小数点后第三位四舍五入。</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3.3投标文件的澄清和补正</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.3.1在评标过程中，评标委员会可以书面形式要求投标人对所提交投标文件中不明确的内容进行书面澄清或说明，或者对细微偏差进行补正。评标委员会不接受投标人主动提出的澄清、说明或补正。</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3.3.2澄清、说明和补正不得改变投标文件的实质性内容。投标人的书面澄清、说明和补正属于投标文件的组成部分。</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3.3.3评标委员会对投标人提交的澄清、说明或补正有疑问的，可以要求投标人进一步澄清、说明或补正，直至满足评标委员会的要求。</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评标委员会对投标文件中有含义不明确的内容、明显文字或者计算错误，认为需要投标人作出必要的澄清、说明的，经评标委员会讨论，并经二分之一以上委员同意、主任委员签字，以书面形式送达投标人；投标人对需要澄清的问题，以书面形式并经法定代表人或者授权代表人签字后，作为投标文件的组成部分，在规定的时间内送达评标委员会。评标委员会不得向投标人提出带有暗示性或诱导性的问题，或向其明确投标文件中的遗漏和错误，不得接受投标人主动提出的澄清、说明。除此之外，评标开始后，评标委员会不得接受场外递交的任何材料。</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3.4评标结果</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3.4.1除第二章“投标人须知”前附表授权直接确定中标人外，评标委员会按照得分由高到低的顺序推荐中标候选人。</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3.4.2评标委员会完成评标后，应当向招标人提交书面评标报告。</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3.5、评标报告</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3.5.1评标委员会根据投标人须知前附表的规定向招标人提交评标报告。评标报告应当由全体评标委员会成员签字，并于评标结束时抄送有关行政监督部门。</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3.6、中标人的确立</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勘察设计项目费用招标文件预期差距较大，或者对招标人明显不利的，招标人可以重新招标。 </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3.7、公示</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确定后，招标人应当在本招标项目招标公告发布的同一媒介上进行公示，公示时间不少于3日。公示期满后，招标人应当将招标投标情况书面报告提交招标投标管理部门备案，向中标人发出中标通知书，并向所有合格投标人告知中标结果。</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3.8、特殊情况的处置程序</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3.8.1关于评标活动暂停 </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3.8.1.1评标委员会应当执行连续评标的原则，按评标办法中规定的程序、内容、方法、标准完成全部评标工作。只有发生不可抗力导致评标工作无法继续时，评标活动方可暂停。</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3.8.1.2发生评标暂停情况时，评标委员会应当封存全部投标文件和评标记录，待不可抗力的影响结束且具备继续评标的条件时，由原评标委员会继续评标。</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3.8.</w:t>
      </w:r>
      <w:r>
        <w:rPr>
          <w:rFonts w:hint="eastAsia" w:ascii="宋体" w:hAnsi="宋体" w:eastAsia="宋体" w:cs="宋体"/>
          <w:b/>
          <w:color w:val="auto"/>
          <w:sz w:val="24"/>
          <w:szCs w:val="24"/>
          <w:highlight w:val="none"/>
        </w:rPr>
        <w:t>2关于评标中途更换评标委员会成员</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3.8.2.1除非发生下列情况之一，评标委员会成员不得在评标中途更换：</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（1）因不可抗拒的客观原因，不能到场或需在评标中途退出评标活动。</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（2）根据法律法规规定，某个或某几个评标委员会成员需要回避。</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退出评标的评标委员会成员，其已完成的评标行为无效。由招标人根据本招标文件规定的评标委员会成员产生方式另行确定替代者进行评标。         </w:t>
      </w:r>
    </w:p>
    <w:p>
      <w:pPr>
        <w:pStyle w:val="21"/>
        <w:keepNext w:val="0"/>
        <w:keepLines w:val="0"/>
        <w:pageBreakBefore w:val="0"/>
        <w:widowControl w:val="0"/>
        <w:kinsoku/>
        <w:wordWrap/>
        <w:overflowPunct/>
        <w:topLinePunct w:val="0"/>
        <w:autoSpaceDE/>
        <w:autoSpaceDN/>
        <w:bidi w:val="0"/>
        <w:adjustRightInd/>
        <w:snapToGrid/>
        <w:spacing w:line="288" w:lineRule="auto"/>
        <w:ind w:left="237" w:leftChars="70"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3.8.3记名投票</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在任何评标环节中，需评标委员会就某项定性的评审结论做出表决的，由评标委员会全体成员按照少数服从多数的原则，以记名投票方式表决。</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3.8.4评标委员会对评标结果有异议的</w:t>
      </w:r>
    </w:p>
    <w:p>
      <w:pPr>
        <w:pStyle w:val="21"/>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w:t>
      </w:r>
      <w:bookmarkEnd w:id="56"/>
      <w:bookmarkStart w:id="59" w:name="_Toc26082"/>
      <w:bookmarkStart w:id="60" w:name="_Toc401323967"/>
      <w:bookmarkStart w:id="61" w:name="_Toc15330"/>
      <w:r>
        <w:rPr>
          <w:rFonts w:hint="eastAsia" w:ascii="宋体" w:hAnsi="宋体" w:eastAsia="宋体" w:cs="宋体"/>
          <w:b/>
          <w:color w:val="auto"/>
          <w:sz w:val="24"/>
          <w:szCs w:val="24"/>
          <w:highlight w:val="none"/>
        </w:rPr>
        <w:br w:type="page"/>
      </w:r>
    </w:p>
    <w:p>
      <w:pPr>
        <w:numPr>
          <w:ilvl w:val="0"/>
          <w:numId w:val="3"/>
        </w:num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合同条款及格式</w:t>
      </w:r>
      <w:bookmarkEnd w:id="59"/>
      <w:bookmarkEnd w:id="60"/>
      <w:bookmarkEnd w:id="61"/>
    </w:p>
    <w:p>
      <w:pPr>
        <w:spacing w:line="360" w:lineRule="auto"/>
        <w:jc w:val="left"/>
        <w:rPr>
          <w:rFonts w:hint="eastAsia" w:ascii="宋体" w:hAnsi="宋体" w:eastAsia="宋体" w:cs="宋体"/>
          <w:b/>
          <w:color w:val="auto"/>
          <w:sz w:val="24"/>
          <w:szCs w:val="24"/>
          <w:highlight w:val="none"/>
        </w:rPr>
      </w:pPr>
    </w:p>
    <w:p>
      <w:pPr>
        <w:spacing w:line="360" w:lineRule="auto"/>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参</w:t>
      </w:r>
      <w:r>
        <w:rPr>
          <w:rFonts w:hint="eastAsia" w:hAnsi="宋体" w:cs="宋体"/>
          <w:b/>
          <w:color w:val="auto"/>
          <w:sz w:val="24"/>
          <w:szCs w:val="24"/>
          <w:highlight w:val="none"/>
          <w:lang w:val="en-US" w:eastAsia="zh-CN"/>
        </w:rPr>
        <w:t>照</w:t>
      </w:r>
      <w:r>
        <w:rPr>
          <w:rFonts w:hint="eastAsia" w:ascii="宋体" w:hAnsi="宋体" w:eastAsia="宋体" w:cs="宋体"/>
          <w:b/>
          <w:color w:val="auto"/>
          <w:sz w:val="24"/>
          <w:szCs w:val="24"/>
          <w:highlight w:val="none"/>
        </w:rPr>
        <w:t>由中华人民共和国住房和城乡建设部与国家工商行政管理局联合制定的</w:t>
      </w:r>
      <w:r>
        <w:rPr>
          <w:rFonts w:hint="eastAsia" w:hAnsi="宋体" w:cs="宋体"/>
          <w:b/>
          <w:color w:val="auto"/>
          <w:sz w:val="24"/>
          <w:szCs w:val="24"/>
          <w:highlight w:val="none"/>
          <w:lang w:val="en-US" w:eastAsia="zh-CN"/>
        </w:rPr>
        <w:t>《建设工程勘察合同（示范文本）》（GF-2016-0203）和《建设工程设计合同示范文本（专业建设工程）》</w:t>
      </w:r>
      <w:r>
        <w:rPr>
          <w:rFonts w:hint="eastAsia" w:ascii="宋体" w:hAnsi="宋体" w:eastAsia="宋体" w:cs="宋体"/>
          <w:b/>
          <w:color w:val="auto"/>
          <w:sz w:val="24"/>
          <w:szCs w:val="24"/>
          <w:highlight w:val="none"/>
        </w:rPr>
        <w:t>（GF-2015-0210）签订合同。</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具体条款以实际签订内容为准</w:t>
      </w:r>
      <w:r>
        <w:rPr>
          <w:rFonts w:hint="eastAsia" w:hAnsi="宋体" w:cs="宋体"/>
          <w:b/>
          <w:color w:val="auto"/>
          <w:sz w:val="24"/>
          <w:szCs w:val="24"/>
          <w:highlight w:val="none"/>
          <w:lang w:eastAsia="zh-CN"/>
        </w:rPr>
        <w:t>）</w:t>
      </w: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4"/>
        <w:ind w:left="680" w:firstLine="560"/>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4"/>
        <w:ind w:left="680" w:firstLine="560"/>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21"/>
        <w:ind w:left="680" w:firstLine="2160" w:firstLineChars="900"/>
        <w:jc w:val="left"/>
        <w:rPr>
          <w:rFonts w:hint="eastAsia" w:ascii="宋体" w:hAnsi="宋体" w:eastAsia="宋体" w:cs="宋体"/>
          <w:b/>
          <w:color w:val="auto"/>
          <w:sz w:val="24"/>
          <w:szCs w:val="24"/>
          <w:highlight w:val="none"/>
        </w:rPr>
      </w:pPr>
    </w:p>
    <w:p>
      <w:pPr>
        <w:pStyle w:val="21"/>
        <w:ind w:left="680" w:firstLine="2160" w:firstLineChars="900"/>
        <w:jc w:val="left"/>
        <w:rPr>
          <w:rFonts w:hint="eastAsia" w:ascii="宋体" w:hAnsi="宋体" w:eastAsia="宋体" w:cs="宋体"/>
          <w:b/>
          <w:color w:val="auto"/>
          <w:sz w:val="24"/>
          <w:szCs w:val="24"/>
          <w:highlight w:val="none"/>
        </w:rPr>
      </w:pPr>
    </w:p>
    <w:p>
      <w:pPr>
        <w:pStyle w:val="21"/>
        <w:ind w:left="680" w:firstLine="2160" w:firstLineChars="900"/>
        <w:jc w:val="left"/>
        <w:rPr>
          <w:rFonts w:hint="eastAsia" w:ascii="宋体" w:hAnsi="宋体" w:eastAsia="宋体" w:cs="宋体"/>
          <w:b/>
          <w:color w:val="auto"/>
          <w:sz w:val="24"/>
          <w:szCs w:val="24"/>
          <w:highlight w:val="none"/>
        </w:rPr>
      </w:pPr>
    </w:p>
    <w:p>
      <w:pPr>
        <w:rPr>
          <w:rFonts w:hint="eastAsia"/>
          <w:color w:val="auto"/>
          <w:highlight w:val="none"/>
        </w:rPr>
      </w:pPr>
    </w:p>
    <w:p>
      <w:pPr>
        <w:pStyle w:val="21"/>
        <w:ind w:left="0" w:lef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 xml:space="preserve">第五章 </w:t>
      </w: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发包人要求</w:t>
      </w:r>
    </w:p>
    <w:p>
      <w:pPr>
        <w:bidi w:val="0"/>
        <w:rPr>
          <w:b/>
          <w:bCs/>
          <w:color w:val="auto"/>
          <w:sz w:val="24"/>
          <w:szCs w:val="24"/>
          <w:highlight w:val="none"/>
        </w:rPr>
      </w:pPr>
    </w:p>
    <w:p>
      <w:pPr>
        <w:bidi w:val="0"/>
        <w:rPr>
          <w:b/>
          <w:bCs/>
          <w:color w:val="auto"/>
          <w:sz w:val="24"/>
          <w:szCs w:val="24"/>
          <w:highlight w:val="none"/>
        </w:rPr>
      </w:pPr>
      <w:r>
        <w:rPr>
          <w:b/>
          <w:bCs/>
          <w:color w:val="auto"/>
          <w:sz w:val="24"/>
          <w:szCs w:val="24"/>
          <w:highlight w:val="none"/>
        </w:rPr>
        <w:t>一、项目位置</w:t>
      </w:r>
    </w:p>
    <w:p>
      <w:pPr>
        <w:pStyle w:val="15"/>
        <w:spacing w:before="180" w:line="360" w:lineRule="auto"/>
        <w:ind w:left="485"/>
        <w:rPr>
          <w:color w:val="auto"/>
          <w:sz w:val="24"/>
          <w:szCs w:val="24"/>
          <w:highlight w:val="none"/>
        </w:rPr>
      </w:pPr>
      <w:r>
        <w:rPr>
          <w:rFonts w:hint="eastAsia"/>
          <w:color w:val="auto"/>
          <w:spacing w:val="-1"/>
          <w:sz w:val="24"/>
          <w:szCs w:val="24"/>
          <w:highlight w:val="none"/>
          <w:lang w:val="en-US" w:eastAsia="zh-CN"/>
        </w:rPr>
        <w:t>许昌市建安区</w:t>
      </w:r>
      <w:r>
        <w:rPr>
          <w:color w:val="auto"/>
          <w:spacing w:val="-1"/>
          <w:sz w:val="24"/>
          <w:szCs w:val="24"/>
          <w:highlight w:val="none"/>
        </w:rPr>
        <w:t>。</w:t>
      </w:r>
    </w:p>
    <w:p>
      <w:pPr>
        <w:bidi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项目概况</w:t>
      </w:r>
    </w:p>
    <w:p>
      <w:pPr>
        <w:autoSpaceDE w:val="0"/>
        <w:autoSpaceDN w:val="0"/>
        <w:adjustRightInd w:val="0"/>
        <w:spacing w:line="360" w:lineRule="auto"/>
        <w:ind w:firstLine="480" w:firstLineChars="200"/>
        <w:jc w:val="left"/>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本项目总投资为19500万元。本项目主要建设内容：2024年规划实施5.5万亩高标准农田建设项目 (其中新建3万亩、改造提升2.5万亩 )，涉及灵井镇15个行政村新建高标准农田3万亩；</w:t>
      </w:r>
      <w:r>
        <w:rPr>
          <w:rFonts w:hint="eastAsia" w:hAnsi="宋体" w:cs="宋体"/>
          <w:color w:val="auto"/>
          <w:kern w:val="0"/>
          <w:sz w:val="24"/>
          <w:szCs w:val="24"/>
          <w:highlight w:val="none"/>
          <w:lang w:val="en-US" w:eastAsia="zh-CN"/>
        </w:rPr>
        <w:t>椹</w:t>
      </w:r>
      <w:bookmarkStart w:id="120" w:name="_GoBack"/>
      <w:bookmarkEnd w:id="120"/>
      <w:r>
        <w:rPr>
          <w:rFonts w:hint="eastAsia" w:ascii="宋体" w:hAnsi="宋体" w:cs="宋体"/>
          <w:color w:val="auto"/>
          <w:kern w:val="0"/>
          <w:sz w:val="24"/>
          <w:szCs w:val="24"/>
          <w:highlight w:val="none"/>
        </w:rPr>
        <w:t>涧乡3个行政村和桂村乡6个行政村，改造提升建设面积2.5万亩。项目主要建设内容为灌溉工程、排水工程、农田地力提升工程、种子提升工程、田间道路工程、农田林网与生态环境保护工程、农田输配电工程、农田信息化工程、村庄环境整治工程等。</w:t>
      </w:r>
    </w:p>
    <w:p>
      <w:pPr>
        <w:autoSpaceDE w:val="0"/>
        <w:autoSpaceDN w:val="0"/>
        <w:adjustRightInd w:val="0"/>
        <w:spacing w:line="360" w:lineRule="auto"/>
        <w:ind w:firstLine="480" w:firstLineChars="200"/>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本次招标主要内容为</w:t>
      </w:r>
      <w:r>
        <w:rPr>
          <w:rFonts w:hint="eastAsia" w:ascii="宋体" w:hAnsi="宋体" w:eastAsia="宋体" w:cs="宋体"/>
          <w:color w:val="auto"/>
          <w:kern w:val="0"/>
          <w:sz w:val="24"/>
          <w:szCs w:val="24"/>
          <w:highlight w:val="none"/>
          <w:lang w:eastAsia="zh-CN"/>
        </w:rPr>
        <w:t>建安区2024年西部乡镇高标准农田建设项目</w:t>
      </w:r>
      <w:r>
        <w:rPr>
          <w:rFonts w:hint="eastAsia" w:ascii="宋体" w:hAnsi="宋体" w:eastAsia="宋体" w:cs="宋体"/>
          <w:color w:val="auto"/>
          <w:sz w:val="24"/>
          <w:szCs w:val="24"/>
          <w:highlight w:val="none"/>
        </w:rPr>
        <w:t>勘测</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勘察</w:t>
      </w:r>
      <w:r>
        <w:rPr>
          <w:rFonts w:hint="eastAsia" w:hAnsi="宋体" w:cs="宋体"/>
          <w:color w:val="auto"/>
          <w:sz w:val="24"/>
          <w:szCs w:val="24"/>
          <w:highlight w:val="none"/>
          <w:lang w:eastAsia="zh-CN"/>
        </w:rPr>
        <w:t>）</w:t>
      </w:r>
      <w:r>
        <w:rPr>
          <w:rFonts w:hint="eastAsia" w:ascii="宋体" w:hAnsi="宋体" w:eastAsia="宋体" w:cs="宋体"/>
          <w:color w:val="auto"/>
          <w:kern w:val="0"/>
          <w:sz w:val="24"/>
          <w:szCs w:val="24"/>
          <w:highlight w:val="none"/>
        </w:rPr>
        <w:t>、设计、预算文件编制、施工图编制等工作。</w:t>
      </w:r>
    </w:p>
    <w:p>
      <w:pPr>
        <w:autoSpaceDE w:val="0"/>
        <w:autoSpaceDN w:val="0"/>
        <w:adjustRightInd w:val="0"/>
        <w:spacing w:line="360" w:lineRule="auto"/>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三、技术要求</w:t>
      </w:r>
    </w:p>
    <w:p>
      <w:pPr>
        <w:autoSpaceDE w:val="0"/>
        <w:autoSpaceDN w:val="0"/>
        <w:adjustRightInd w:val="0"/>
        <w:spacing w:line="360" w:lineRule="auto"/>
        <w:ind w:firstLine="480" w:firstLineChars="200"/>
        <w:jc w:val="left"/>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投标人应充分考虑现场周围情况，结合区域规划，并尽量做到节能、环保、节约，体现以人为本的思想。投标人应充分考虑项目实用功能，达到响应设计深度。</w:t>
      </w:r>
    </w:p>
    <w:p>
      <w:pPr>
        <w:autoSpaceDE w:val="0"/>
        <w:autoSpaceDN w:val="0"/>
        <w:adjustRightInd w:val="0"/>
        <w:spacing w:line="360" w:lineRule="auto"/>
        <w:ind w:firstLine="480" w:firstLineChars="200"/>
        <w:jc w:val="left"/>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各阶段成果文件提交节点按招标人要求执行，</w:t>
      </w:r>
      <w:r>
        <w:rPr>
          <w:rFonts w:hint="eastAsia" w:ascii="宋体" w:hAnsi="宋体" w:cs="宋体"/>
          <w:color w:val="auto"/>
          <w:kern w:val="0"/>
          <w:sz w:val="24"/>
          <w:szCs w:val="24"/>
          <w:highlight w:val="none"/>
        </w:rPr>
        <w:t>设计成果符合国家、省、市有关文件规定的内容及深度</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并通过相关主管部门审查</w:t>
      </w:r>
      <w:r>
        <w:rPr>
          <w:rFonts w:hint="eastAsia" w:ascii="宋体" w:hAnsi="宋体" w:cs="宋体"/>
          <w:color w:val="auto"/>
          <w:kern w:val="0"/>
          <w:sz w:val="24"/>
          <w:szCs w:val="24"/>
          <w:highlight w:val="none"/>
        </w:rPr>
        <w:t>。设计成果的计量单位均应采用国际标准计量单位，文字一律采用中文。中标人最终提供完整的</w:t>
      </w:r>
      <w:r>
        <w:rPr>
          <w:rFonts w:hint="eastAsia" w:ascii="宋体" w:hAnsi="宋体" w:cs="宋体"/>
          <w:color w:val="auto"/>
          <w:kern w:val="0"/>
          <w:sz w:val="24"/>
          <w:szCs w:val="24"/>
          <w:highlight w:val="none"/>
          <w:lang w:eastAsia="zh-CN"/>
        </w:rPr>
        <w:t>纸质及</w:t>
      </w:r>
      <w:r>
        <w:rPr>
          <w:rFonts w:hint="eastAsia" w:ascii="宋体" w:hAnsi="宋体" w:cs="宋体"/>
          <w:color w:val="auto"/>
          <w:kern w:val="0"/>
          <w:sz w:val="24"/>
          <w:szCs w:val="24"/>
          <w:highlight w:val="none"/>
        </w:rPr>
        <w:t>电子设计资料交予招标人。</w:t>
      </w:r>
    </w:p>
    <w:p>
      <w:pPr>
        <w:autoSpaceDE w:val="0"/>
        <w:autoSpaceDN w:val="0"/>
        <w:adjustRightInd w:val="0"/>
        <w:spacing w:line="360" w:lineRule="auto"/>
        <w:ind w:firstLine="480" w:firstLineChars="200"/>
        <w:jc w:val="left"/>
        <w:outlineLvl w:val="0"/>
        <w:rPr>
          <w:rFonts w:hint="eastAsia" w:ascii="宋体" w:hAnsi="宋体" w:cs="宋体"/>
          <w:color w:val="auto"/>
          <w:kern w:val="0"/>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autoSpaceDE w:val="0"/>
        <w:autoSpaceDN w:val="0"/>
        <w:adjustRightInd w:val="0"/>
        <w:jc w:val="center"/>
        <w:outlineLvl w:val="0"/>
        <w:rPr>
          <w:rFonts w:hint="eastAsia" w:ascii="宋体" w:hAnsi="宋体" w:eastAsia="宋体" w:cs="宋体"/>
          <w:b/>
          <w:color w:val="auto"/>
          <w:sz w:val="24"/>
          <w:szCs w:val="24"/>
          <w:highlight w:val="none"/>
        </w:rPr>
      </w:pPr>
    </w:p>
    <w:p>
      <w:pPr>
        <w:ind w:firstLine="160" w:firstLineChars="50"/>
        <w:jc w:val="center"/>
        <w:rPr>
          <w:rFonts w:hint="eastAsia" w:ascii="宋体" w:hAnsi="宋体" w:eastAsia="宋体" w:cs="宋体"/>
          <w:b/>
          <w:bCs/>
          <w:color w:val="auto"/>
          <w:sz w:val="32"/>
          <w:szCs w:val="32"/>
          <w:highlight w:val="none"/>
        </w:rPr>
      </w:pPr>
      <w:bookmarkStart w:id="62" w:name="_Toc275504616"/>
    </w:p>
    <w:p>
      <w:pPr>
        <w:ind w:firstLine="160" w:firstLineChars="50"/>
        <w:jc w:val="center"/>
        <w:rPr>
          <w:rFonts w:hint="eastAsia" w:ascii="宋体" w:hAnsi="宋体" w:eastAsia="宋体" w:cs="宋体"/>
          <w:b/>
          <w:bCs/>
          <w:color w:val="auto"/>
          <w:sz w:val="32"/>
          <w:szCs w:val="32"/>
          <w:highlight w:val="none"/>
        </w:rPr>
      </w:pPr>
    </w:p>
    <w:p>
      <w:pPr>
        <w:ind w:firstLine="160" w:firstLine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章 投标文件格式</w:t>
      </w:r>
      <w:bookmarkEnd w:id="62"/>
    </w:p>
    <w:p>
      <w:pPr>
        <w:rPr>
          <w:rFonts w:hint="eastAsia" w:ascii="宋体" w:hAnsi="宋体" w:eastAsia="宋体" w:cs="宋体"/>
          <w:color w:val="auto"/>
          <w:sz w:val="24"/>
          <w:szCs w:val="24"/>
          <w:highlight w:val="none"/>
        </w:rPr>
      </w:pPr>
    </w:p>
    <w:p>
      <w:pPr>
        <w:autoSpaceDE w:val="0"/>
        <w:autoSpaceDN w:val="0"/>
        <w:adjustRightInd w:val="0"/>
        <w:jc w:val="center"/>
        <w:rPr>
          <w:rFonts w:hint="eastAsia" w:ascii="宋体" w:hAnsi="宋体" w:eastAsia="宋体" w:cs="宋体"/>
          <w:b/>
          <w:color w:val="auto"/>
          <w:spacing w:val="60"/>
          <w:sz w:val="36"/>
          <w:szCs w:val="36"/>
          <w:highlight w:val="none"/>
          <w:u w:val="single"/>
        </w:rPr>
      </w:pPr>
      <w:r>
        <w:rPr>
          <w:rFonts w:hint="eastAsia" w:ascii="宋体" w:hAnsi="宋体" w:eastAsia="宋体" w:cs="宋体"/>
          <w:b/>
          <w:color w:val="auto"/>
          <w:spacing w:val="60"/>
          <w:sz w:val="36"/>
          <w:szCs w:val="36"/>
          <w:highlight w:val="none"/>
          <w:u w:val="single"/>
        </w:rPr>
        <w:t xml:space="preserve">        （工程名称）</w:t>
      </w:r>
    </w:p>
    <w:p>
      <w:pPr>
        <w:tabs>
          <w:tab w:val="center" w:pos="4739"/>
        </w:tabs>
        <w:ind w:left="180"/>
        <w:jc w:val="center"/>
        <w:rPr>
          <w:rFonts w:hint="eastAsia" w:ascii="宋体" w:hAnsi="宋体" w:eastAsia="宋体" w:cs="宋体"/>
          <w:b/>
          <w:color w:val="auto"/>
          <w:sz w:val="36"/>
          <w:szCs w:val="36"/>
          <w:highlight w:val="none"/>
        </w:rPr>
      </w:pPr>
    </w:p>
    <w:p>
      <w:pPr>
        <w:tabs>
          <w:tab w:val="center" w:pos="4739"/>
        </w:tabs>
        <w:ind w:left="180"/>
        <w:rPr>
          <w:rFonts w:hint="eastAsia" w:ascii="宋体" w:hAnsi="宋体" w:eastAsia="宋体" w:cs="宋体"/>
          <w:color w:val="auto"/>
          <w:sz w:val="36"/>
          <w:szCs w:val="36"/>
          <w:highlight w:val="none"/>
        </w:rPr>
      </w:pPr>
    </w:p>
    <w:p>
      <w:pPr>
        <w:tabs>
          <w:tab w:val="center" w:pos="4739"/>
        </w:tabs>
        <w:ind w:left="180"/>
        <w:rPr>
          <w:rFonts w:hint="eastAsia" w:ascii="宋体" w:hAnsi="宋体" w:eastAsia="宋体" w:cs="宋体"/>
          <w:color w:val="auto"/>
          <w:sz w:val="36"/>
          <w:szCs w:val="36"/>
          <w:highlight w:val="none"/>
        </w:rPr>
      </w:pPr>
    </w:p>
    <w:p>
      <w:pPr>
        <w:tabs>
          <w:tab w:val="center" w:pos="4739"/>
        </w:tabs>
        <w:ind w:left="180"/>
        <w:rPr>
          <w:rFonts w:hint="eastAsia" w:ascii="宋体" w:hAnsi="宋体" w:eastAsia="宋体" w:cs="宋体"/>
          <w:color w:val="auto"/>
          <w:sz w:val="36"/>
          <w:szCs w:val="36"/>
          <w:highlight w:val="none"/>
        </w:rPr>
      </w:pPr>
    </w:p>
    <w:p>
      <w:pPr>
        <w:tabs>
          <w:tab w:val="center" w:pos="4739"/>
        </w:tabs>
        <w:ind w:left="18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文 件</w:t>
      </w:r>
      <w:r>
        <w:rPr>
          <w:rFonts w:hint="eastAsia" w:ascii="宋体" w:hAnsi="宋体" w:eastAsia="宋体" w:cs="宋体"/>
          <w:color w:val="auto"/>
          <w:sz w:val="36"/>
          <w:szCs w:val="36"/>
          <w:highlight w:val="none"/>
        </w:rPr>
        <w:t xml:space="preserve">                           </w:t>
      </w:r>
      <w:r>
        <w:rPr>
          <w:rFonts w:hint="eastAsia" w:ascii="宋体" w:hAnsi="宋体" w:eastAsia="宋体" w:cs="宋体"/>
          <w:b/>
          <w:color w:val="auto"/>
          <w:sz w:val="36"/>
          <w:szCs w:val="36"/>
          <w:highlight w:val="none"/>
        </w:rPr>
        <w:t xml:space="preserve"> </w:t>
      </w:r>
    </w:p>
    <w:p>
      <w:pPr>
        <w:tabs>
          <w:tab w:val="center" w:pos="4739"/>
        </w:tabs>
        <w:ind w:left="180" w:firstLine="3640" w:firstLineChars="1300"/>
        <w:jc w:val="both"/>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项目编号：</w:t>
      </w:r>
    </w:p>
    <w:p>
      <w:pPr>
        <w:tabs>
          <w:tab w:val="center" w:pos="4739"/>
        </w:tabs>
        <w:ind w:left="180"/>
        <w:rPr>
          <w:rFonts w:hint="eastAsia" w:ascii="宋体" w:hAnsi="宋体" w:eastAsia="宋体" w:cs="宋体"/>
          <w:color w:val="auto"/>
          <w:sz w:val="28"/>
          <w:szCs w:val="28"/>
          <w:highlight w:val="none"/>
        </w:rPr>
      </w:pPr>
    </w:p>
    <w:p>
      <w:pPr>
        <w:tabs>
          <w:tab w:val="center" w:pos="4739"/>
        </w:tabs>
        <w:ind w:left="180"/>
        <w:rPr>
          <w:rFonts w:hint="eastAsia" w:ascii="宋体" w:hAnsi="宋体" w:eastAsia="宋体" w:cs="宋体"/>
          <w:color w:val="auto"/>
          <w:sz w:val="28"/>
          <w:szCs w:val="28"/>
          <w:highlight w:val="none"/>
        </w:rPr>
      </w:pPr>
    </w:p>
    <w:p>
      <w:pPr>
        <w:tabs>
          <w:tab w:val="center" w:pos="4739"/>
        </w:tabs>
        <w:ind w:left="180"/>
        <w:rPr>
          <w:rFonts w:hint="eastAsia" w:ascii="宋体" w:hAnsi="宋体" w:eastAsia="宋体" w:cs="宋体"/>
          <w:color w:val="auto"/>
          <w:sz w:val="28"/>
          <w:szCs w:val="28"/>
          <w:highlight w:val="none"/>
        </w:rPr>
      </w:pPr>
    </w:p>
    <w:p>
      <w:pPr>
        <w:tabs>
          <w:tab w:val="center" w:pos="4739"/>
        </w:tabs>
        <w:ind w:left="180"/>
        <w:rPr>
          <w:rFonts w:hint="eastAsia" w:ascii="宋体" w:hAnsi="宋体" w:eastAsia="宋体" w:cs="宋体"/>
          <w:color w:val="auto"/>
          <w:sz w:val="28"/>
          <w:szCs w:val="28"/>
          <w:highlight w:val="none"/>
        </w:rPr>
      </w:pPr>
    </w:p>
    <w:p>
      <w:pPr>
        <w:tabs>
          <w:tab w:val="center" w:pos="4739"/>
        </w:tabs>
        <w:ind w:left="180"/>
        <w:rPr>
          <w:rFonts w:hint="eastAsia" w:ascii="宋体" w:hAnsi="宋体" w:eastAsia="宋体" w:cs="宋体"/>
          <w:color w:val="auto"/>
          <w:sz w:val="28"/>
          <w:szCs w:val="28"/>
          <w:highlight w:val="none"/>
        </w:rPr>
      </w:pPr>
    </w:p>
    <w:p>
      <w:pPr>
        <w:tabs>
          <w:tab w:val="center" w:pos="4739"/>
        </w:tabs>
        <w:ind w:left="180"/>
        <w:rPr>
          <w:rFonts w:hint="eastAsia" w:ascii="宋体" w:hAnsi="宋体" w:eastAsia="宋体" w:cs="宋体"/>
          <w:color w:val="auto"/>
          <w:sz w:val="28"/>
          <w:szCs w:val="28"/>
          <w:highlight w:val="none"/>
        </w:rPr>
      </w:pPr>
    </w:p>
    <w:p>
      <w:pPr>
        <w:tabs>
          <w:tab w:val="center" w:pos="4739"/>
        </w:tabs>
        <w:ind w:left="180"/>
        <w:rPr>
          <w:rFonts w:hint="eastAsia" w:ascii="宋体" w:hAnsi="宋体" w:eastAsia="宋体" w:cs="宋体"/>
          <w:color w:val="auto"/>
          <w:sz w:val="28"/>
          <w:szCs w:val="28"/>
          <w:highlight w:val="none"/>
        </w:rPr>
      </w:pPr>
    </w:p>
    <w:p>
      <w:pPr>
        <w:tabs>
          <w:tab w:val="center" w:pos="4739"/>
        </w:tabs>
        <w:ind w:left="180"/>
        <w:rPr>
          <w:rFonts w:hint="eastAsia" w:ascii="宋体" w:hAnsi="宋体" w:eastAsia="宋体" w:cs="宋体"/>
          <w:color w:val="auto"/>
          <w:sz w:val="28"/>
          <w:szCs w:val="28"/>
          <w:highlight w:val="none"/>
        </w:rPr>
      </w:pPr>
    </w:p>
    <w:p>
      <w:pPr>
        <w:tabs>
          <w:tab w:val="center" w:pos="4739"/>
        </w:tabs>
        <w:ind w:left="180"/>
        <w:rPr>
          <w:rFonts w:hint="eastAsia" w:ascii="宋体" w:hAnsi="宋体" w:eastAsia="宋体" w:cs="宋体"/>
          <w:color w:val="auto"/>
          <w:sz w:val="28"/>
          <w:szCs w:val="28"/>
          <w:highlight w:val="none"/>
        </w:rPr>
      </w:pPr>
    </w:p>
    <w:p>
      <w:pPr>
        <w:tabs>
          <w:tab w:val="center" w:pos="4739"/>
        </w:tabs>
        <w:spacing w:line="360" w:lineRule="auto"/>
        <w:ind w:left="18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pPr>
        <w:tabs>
          <w:tab w:val="center" w:pos="4739"/>
        </w:tabs>
        <w:spacing w:line="360" w:lineRule="auto"/>
        <w:ind w:left="18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pPr>
        <w:tabs>
          <w:tab w:val="center" w:pos="4739"/>
        </w:tabs>
        <w:spacing w:line="360" w:lineRule="auto"/>
        <w:ind w:left="18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autoSpaceDE w:val="0"/>
        <w:autoSpaceDN w:val="0"/>
        <w:adjustRightInd w:val="0"/>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2"/>
          <w:szCs w:val="32"/>
          <w:highlight w:val="none"/>
        </w:rPr>
        <w:t>目    录</w:t>
      </w:r>
    </w:p>
    <w:p>
      <w:pPr>
        <w:autoSpaceDE w:val="0"/>
        <w:autoSpaceDN w:val="0"/>
        <w:adjustRightInd w:val="0"/>
        <w:contextualSpacing/>
        <w:jc w:val="center"/>
        <w:rPr>
          <w:rFonts w:hint="eastAsia" w:ascii="宋体" w:hAnsi="宋体" w:eastAsia="宋体" w:cs="宋体"/>
          <w:b/>
          <w:color w:val="auto"/>
          <w:sz w:val="24"/>
          <w:szCs w:val="24"/>
          <w:highlight w:val="none"/>
        </w:rPr>
      </w:pP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设计方案；</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项目管理机构配备情况；</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投标单位基本情况表；</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企业荣誉及奖项；</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近年完成的类似项目情况表；</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正在</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勘察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设计</w:t>
      </w:r>
      <w:r>
        <w:rPr>
          <w:rFonts w:hint="eastAsia" w:ascii="宋体" w:hAnsi="宋体" w:eastAsia="宋体" w:cs="宋体"/>
          <w:color w:val="auto"/>
          <w:sz w:val="24"/>
          <w:szCs w:val="24"/>
          <w:highlight w:val="none"/>
        </w:rPr>
        <w:t>的和新承接的项目情况；</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w:t>
      </w:r>
    </w:p>
    <w:p>
      <w:pPr>
        <w:numPr>
          <w:ilvl w:val="0"/>
          <w:numId w:val="4"/>
        </w:numPr>
        <w:spacing w:line="360" w:lineRule="auto"/>
        <w:ind w:left="840" w:left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投标人须知前附表规定的其他材料。</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left="1377" w:leftChars="405"/>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投标文件编制过程中应</w:t>
      </w:r>
      <w:r>
        <w:rPr>
          <w:rFonts w:hint="eastAsia"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rPr>
        <w:t>本章提供的格式填报。</w:t>
      </w:r>
    </w:p>
    <w:p>
      <w:pPr>
        <w:spacing w:line="360" w:lineRule="auto"/>
        <w:ind w:left="1377" w:leftChars="405"/>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如有本章未提供的格式，投标人可自行编制。</w:t>
      </w:r>
    </w:p>
    <w:p>
      <w:pPr>
        <w:contextualSpacing/>
        <w:jc w:val="center"/>
        <w:rPr>
          <w:rFonts w:hint="eastAsia" w:ascii="宋体" w:hAnsi="宋体" w:eastAsia="宋体" w:cs="宋体"/>
          <w:color w:val="auto"/>
          <w:sz w:val="24"/>
          <w:szCs w:val="24"/>
          <w:highlight w:val="none"/>
        </w:rPr>
      </w:pPr>
      <w:bookmarkStart w:id="63" w:name="_Toc7450"/>
      <w:bookmarkStart w:id="64" w:name="_Toc25289"/>
      <w:bookmarkStart w:id="65" w:name="_Toc19590"/>
      <w:bookmarkStart w:id="66" w:name="_Toc428968298"/>
      <w:bookmarkStart w:id="67" w:name="_Toc32383"/>
      <w:bookmarkStart w:id="68" w:name="_Toc8040"/>
      <w:bookmarkStart w:id="69" w:name="_Toc144974864"/>
      <w:bookmarkStart w:id="70" w:name="_Toc152042585"/>
      <w:bookmarkStart w:id="71" w:name="_Toc152045796"/>
      <w:bookmarkStart w:id="72" w:name="_Toc247514288"/>
      <w:bookmarkStart w:id="73" w:name="_Toc247527836"/>
    </w:p>
    <w:p>
      <w:pPr>
        <w:contextualSpacing/>
        <w:jc w:val="center"/>
        <w:rPr>
          <w:rFonts w:hint="eastAsia" w:ascii="宋体" w:hAnsi="宋体" w:eastAsia="宋体" w:cs="宋体"/>
          <w:color w:val="auto"/>
          <w:sz w:val="24"/>
          <w:szCs w:val="24"/>
          <w:highlight w:val="none"/>
        </w:rPr>
      </w:pPr>
    </w:p>
    <w:p>
      <w:pPr>
        <w:contextualSpacing/>
        <w:jc w:val="center"/>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contextualSpacing/>
        <w:jc w:val="center"/>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bidi w:val="0"/>
        <w:jc w:val="center"/>
        <w:rPr>
          <w:rFonts w:hint="eastAsia"/>
          <w:b/>
          <w:bCs/>
          <w:color w:val="auto"/>
          <w:highlight w:val="none"/>
        </w:rPr>
      </w:pPr>
      <w:bookmarkStart w:id="74" w:name="_Toc34742962"/>
    </w:p>
    <w:p>
      <w:pPr>
        <w:bidi w:val="0"/>
        <w:jc w:val="center"/>
        <w:rPr>
          <w:rFonts w:hint="eastAsia"/>
          <w:b/>
          <w:bCs/>
          <w:color w:val="auto"/>
          <w:highlight w:val="none"/>
        </w:rPr>
      </w:pPr>
      <w:r>
        <w:rPr>
          <w:rFonts w:hint="eastAsia"/>
          <w:b/>
          <w:bCs/>
          <w:color w:val="auto"/>
          <w:sz w:val="32"/>
          <w:szCs w:val="32"/>
          <w:highlight w:val="none"/>
        </w:rPr>
        <w:t>一、投标函及投标函附录</w:t>
      </w:r>
      <w:bookmarkEnd w:id="63"/>
      <w:bookmarkEnd w:id="64"/>
      <w:bookmarkEnd w:id="65"/>
      <w:bookmarkEnd w:id="66"/>
      <w:bookmarkEnd w:id="67"/>
      <w:bookmarkEnd w:id="68"/>
      <w:bookmarkEnd w:id="74"/>
    </w:p>
    <w:p>
      <w:pPr>
        <w:contextualSpacing/>
        <w:jc w:val="center"/>
        <w:rPr>
          <w:rFonts w:hint="eastAsia" w:ascii="宋体" w:hAnsi="宋体" w:eastAsia="宋体" w:cs="宋体"/>
          <w:b/>
          <w:bCs/>
          <w:color w:val="auto"/>
          <w:sz w:val="24"/>
          <w:szCs w:val="24"/>
          <w:highlight w:val="none"/>
        </w:rPr>
      </w:pPr>
      <w:bookmarkStart w:id="75" w:name="_Toc144974858"/>
      <w:bookmarkStart w:id="76" w:name="_Toc247527829"/>
      <w:bookmarkStart w:id="77" w:name="_Toc19928"/>
      <w:bookmarkStart w:id="78" w:name="_Toc7255"/>
      <w:bookmarkStart w:id="79" w:name="_Toc428968299"/>
      <w:bookmarkStart w:id="80" w:name="_Toc152045789"/>
      <w:bookmarkStart w:id="81" w:name="_Toc29289"/>
      <w:bookmarkStart w:id="82" w:name="_Toc247514248"/>
      <w:bookmarkStart w:id="83" w:name="_Toc152042578"/>
      <w:bookmarkStart w:id="84" w:name="_Toc2992"/>
      <w:bookmarkStart w:id="85" w:name="_Toc19295"/>
      <w:r>
        <w:rPr>
          <w:rFonts w:hint="eastAsia" w:ascii="宋体" w:hAnsi="宋体" w:eastAsia="宋体" w:cs="宋体"/>
          <w:b/>
          <w:bCs/>
          <w:color w:val="auto"/>
          <w:sz w:val="28"/>
          <w:szCs w:val="28"/>
          <w:highlight w:val="none"/>
        </w:rPr>
        <w:t>（一）投标函</w:t>
      </w:r>
      <w:bookmarkEnd w:id="75"/>
      <w:bookmarkEnd w:id="76"/>
      <w:bookmarkEnd w:id="77"/>
      <w:bookmarkEnd w:id="78"/>
      <w:bookmarkEnd w:id="79"/>
      <w:bookmarkEnd w:id="80"/>
      <w:bookmarkEnd w:id="81"/>
      <w:bookmarkEnd w:id="82"/>
      <w:bookmarkEnd w:id="83"/>
      <w:bookmarkEnd w:id="84"/>
      <w:bookmarkEnd w:id="85"/>
    </w:p>
    <w:p>
      <w:pPr>
        <w:spacing w:line="360" w:lineRule="auto"/>
        <w:contextualSpacing/>
        <w:rPr>
          <w:rFonts w:hint="eastAsia" w:ascii="宋体" w:hAnsi="宋体" w:eastAsia="宋体" w:cs="宋体"/>
          <w:color w:val="auto"/>
          <w:sz w:val="24"/>
          <w:szCs w:val="24"/>
          <w:highlight w:val="none"/>
          <w:u w:val="single"/>
        </w:rPr>
      </w:pP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（项目名称）招标文件的全部内容，</w:t>
      </w:r>
      <w:r>
        <w:rPr>
          <w:rFonts w:hint="eastAsia" w:ascii="宋体" w:hAnsi="宋体" w:eastAsia="宋体" w:cs="宋体"/>
          <w:bCs/>
          <w:color w:val="auto"/>
          <w:sz w:val="24"/>
          <w:szCs w:val="24"/>
          <w:highlight w:val="none"/>
        </w:rPr>
        <w:t>投标报价为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元，服务期限为：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日历天，按合同约定进行</w:t>
      </w:r>
      <w:r>
        <w:rPr>
          <w:rFonts w:hint="eastAsia" w:hAnsi="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设计，实现工程目的，设计质量要求：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86" w:name="_Hlk7505119"/>
      <w:r>
        <w:rPr>
          <w:rFonts w:hint="eastAsia" w:ascii="宋体" w:hAnsi="宋体" w:eastAsia="宋体" w:cs="宋体"/>
          <w:color w:val="auto"/>
          <w:sz w:val="24"/>
          <w:szCs w:val="24"/>
          <w:highlight w:val="none"/>
        </w:rPr>
        <w:t>．</w:t>
      </w:r>
      <w:bookmarkEnd w:id="86"/>
      <w:r>
        <w:rPr>
          <w:rFonts w:hint="eastAsia" w:ascii="宋体" w:hAnsi="宋体" w:eastAsia="宋体" w:cs="宋体"/>
          <w:color w:val="auto"/>
          <w:sz w:val="24"/>
          <w:szCs w:val="24"/>
          <w:highlight w:val="none"/>
        </w:rPr>
        <w:t>我方承诺在招标文件规定的投标有效期内不修改、撤销投标文件。</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3．如我方中标：</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（2）随同本投标函递交的投标函附录属于合同文件的组成部分。</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（3）我方承诺按照招标文件规定向你方递交履约保证金。</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（4）我方承诺在合同约定的期限内完成并移交全部合同工程。</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（5）我方承诺按相关规定足额缴纳招标代理服务费。</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4．我方在此声明，所递交的投标文件及有关资料内容完整、真实和准确。</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pPr>
        <w:spacing w:line="360" w:lineRule="auto"/>
        <w:ind w:firstLine="4200" w:firstLineChars="1750"/>
        <w:contextualSpacing/>
        <w:rPr>
          <w:rFonts w:hint="eastAsia" w:ascii="宋体" w:hAnsi="宋体" w:eastAsia="宋体" w:cs="宋体"/>
          <w:color w:val="auto"/>
          <w:sz w:val="24"/>
          <w:szCs w:val="24"/>
          <w:highlight w:val="none"/>
        </w:rPr>
      </w:pPr>
    </w:p>
    <w:p>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spacing w:line="360" w:lineRule="auto"/>
        <w:ind w:firstLine="4200" w:firstLineChars="17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200" w:firstLineChars="17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spacing w:line="360" w:lineRule="auto"/>
        <w:ind w:firstLine="4200" w:firstLineChars="17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spacing w:line="360" w:lineRule="auto"/>
        <w:ind w:firstLine="4560" w:firstLineChars="19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60" w:lineRule="exact"/>
        <w:ind w:firstLine="5400" w:firstLineChars="2250"/>
        <w:contextualSpacing/>
        <w:rPr>
          <w:rFonts w:hint="eastAsia" w:ascii="宋体" w:hAnsi="宋体" w:eastAsia="宋体" w:cs="宋体"/>
          <w:color w:val="auto"/>
          <w:sz w:val="24"/>
          <w:szCs w:val="24"/>
          <w:highlight w:val="none"/>
        </w:rPr>
      </w:pPr>
    </w:p>
    <w:p>
      <w:pPr>
        <w:autoSpaceDE w:val="0"/>
        <w:autoSpaceDN w:val="0"/>
        <w:adjustRightInd w:val="0"/>
        <w:ind w:firstLine="2640" w:firstLineChars="1100"/>
        <w:contextualSpacing/>
        <w:rPr>
          <w:rStyle w:val="100"/>
          <w:rFonts w:hint="eastAsia" w:ascii="宋体" w:hAnsi="宋体" w:eastAsia="宋体" w:cs="宋体"/>
          <w:b/>
          <w:color w:val="auto"/>
          <w:sz w:val="24"/>
          <w:szCs w:val="24"/>
          <w:highlight w:val="none"/>
        </w:rPr>
      </w:pPr>
      <w:bookmarkStart w:id="87" w:name="_Toc250616672"/>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8"/>
          <w:szCs w:val="28"/>
          <w:highlight w:val="none"/>
          <w:lang w:val="en-US" w:eastAsia="zh-CN"/>
        </w:rPr>
        <w:t xml:space="preserve"> </w:t>
      </w:r>
      <w:r>
        <w:rPr>
          <w:rStyle w:val="100"/>
          <w:rFonts w:hint="eastAsia" w:ascii="宋体" w:hAnsi="宋体" w:eastAsia="宋体" w:cs="宋体"/>
          <w:b/>
          <w:color w:val="auto"/>
          <w:sz w:val="28"/>
          <w:szCs w:val="28"/>
          <w:highlight w:val="none"/>
        </w:rPr>
        <w:t>（二）投标函附录</w:t>
      </w:r>
      <w:bookmarkEnd w:id="87"/>
    </w:p>
    <w:p>
      <w:pPr>
        <w:pStyle w:val="21"/>
        <w:ind w:left="680"/>
        <w:rPr>
          <w:rFonts w:hint="eastAsia" w:ascii="宋体" w:hAnsi="宋体" w:eastAsia="宋体" w:cs="宋体"/>
          <w:color w:val="auto"/>
          <w:sz w:val="24"/>
          <w:szCs w:val="24"/>
          <w:highlight w:val="none"/>
        </w:rPr>
      </w:pPr>
    </w:p>
    <w:tbl>
      <w:tblPr>
        <w:tblStyle w:val="35"/>
        <w:tblpPr w:leftFromText="180" w:rightFromText="180" w:vertAnchor="text" w:horzAnchor="margin" w:tblpXSpec="center"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984"/>
        <w:gridCol w:w="2175"/>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369"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10" w:type="dxa"/>
            <w:gridSpan w:val="3"/>
            <w:vAlign w:val="center"/>
          </w:tcPr>
          <w:p>
            <w:pPr>
              <w:contextualSpacing/>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369" w:type="dxa"/>
            <w:vAlign w:val="center"/>
          </w:tcPr>
          <w:p>
            <w:pPr>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p>
        </w:tc>
        <w:tc>
          <w:tcPr>
            <w:tcW w:w="6110" w:type="dxa"/>
            <w:gridSpan w:val="3"/>
            <w:vAlign w:val="center"/>
          </w:tcPr>
          <w:p>
            <w:pPr>
              <w:contextualSpacing/>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369"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984" w:type="dxa"/>
            <w:vAlign w:val="center"/>
          </w:tcPr>
          <w:p>
            <w:pPr>
              <w:contextualSpacing/>
              <w:jc w:val="center"/>
              <w:rPr>
                <w:rFonts w:hint="eastAsia" w:ascii="宋体" w:hAnsi="宋体" w:eastAsia="宋体" w:cs="宋体"/>
                <w:color w:val="auto"/>
                <w:sz w:val="24"/>
                <w:szCs w:val="24"/>
                <w:highlight w:val="none"/>
              </w:rPr>
            </w:pPr>
          </w:p>
        </w:tc>
        <w:tc>
          <w:tcPr>
            <w:tcW w:w="2175"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证书编号、级别</w:t>
            </w:r>
          </w:p>
        </w:tc>
        <w:tc>
          <w:tcPr>
            <w:tcW w:w="1951" w:type="dxa"/>
            <w:vAlign w:val="center"/>
          </w:tcPr>
          <w:p>
            <w:pPr>
              <w:contextualSpacing/>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3369"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投标报价</w:t>
            </w:r>
          </w:p>
        </w:tc>
        <w:tc>
          <w:tcPr>
            <w:tcW w:w="6110" w:type="dxa"/>
            <w:gridSpan w:val="3"/>
            <w:vAlign w:val="center"/>
          </w:tcPr>
          <w:p>
            <w:pPr>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p>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369"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投标质量</w:t>
            </w:r>
          </w:p>
        </w:tc>
        <w:tc>
          <w:tcPr>
            <w:tcW w:w="6110" w:type="dxa"/>
            <w:gridSpan w:val="3"/>
            <w:vAlign w:val="center"/>
          </w:tcPr>
          <w:p>
            <w:pPr>
              <w:contextualSpacing/>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369"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110" w:type="dxa"/>
            <w:gridSpan w:val="3"/>
            <w:vAlign w:val="center"/>
          </w:tcPr>
          <w:p>
            <w:pPr>
              <w:contextualSpacing/>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369"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110" w:type="dxa"/>
            <w:gridSpan w:val="3"/>
            <w:vAlign w:val="center"/>
          </w:tcPr>
          <w:p>
            <w:pPr>
              <w:contextualSpacing/>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479" w:type="dxa"/>
            <w:gridSpan w:val="4"/>
          </w:tcPr>
          <w:p>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w:t>
            </w:r>
            <w:r>
              <w:rPr>
                <w:rFonts w:hint="eastAsia" w:ascii="宋体" w:hAnsi="宋体" w:eastAsia="宋体" w:cs="宋体"/>
                <w:b/>
                <w:bCs/>
                <w:color w:val="auto"/>
                <w:sz w:val="24"/>
                <w:szCs w:val="24"/>
                <w:highlight w:val="none"/>
              </w:rPr>
              <w:t>：</w:t>
            </w:r>
          </w:p>
          <w:p>
            <w:pPr>
              <w:contextualSpacing/>
              <w:rPr>
                <w:rFonts w:hint="eastAsia" w:ascii="宋体" w:hAnsi="宋体" w:eastAsia="宋体" w:cs="宋体"/>
                <w:color w:val="auto"/>
                <w:sz w:val="24"/>
                <w:szCs w:val="24"/>
                <w:highlight w:val="none"/>
              </w:rPr>
            </w:pPr>
          </w:p>
          <w:p>
            <w:pPr>
              <w:contextualSpacing/>
              <w:rPr>
                <w:rFonts w:hint="eastAsia" w:ascii="宋体" w:hAnsi="宋体" w:eastAsia="宋体" w:cs="宋体"/>
                <w:color w:val="auto"/>
                <w:sz w:val="24"/>
                <w:szCs w:val="24"/>
                <w:highlight w:val="none"/>
              </w:rPr>
            </w:pPr>
          </w:p>
          <w:p>
            <w:pPr>
              <w:contextualSpacing/>
              <w:rPr>
                <w:rFonts w:hint="eastAsia" w:ascii="宋体" w:hAnsi="宋体" w:eastAsia="宋体" w:cs="宋体"/>
                <w:color w:val="auto"/>
                <w:sz w:val="24"/>
                <w:szCs w:val="24"/>
                <w:highlight w:val="none"/>
              </w:rPr>
            </w:pPr>
          </w:p>
          <w:p>
            <w:pPr>
              <w:contextualSpacing/>
              <w:rPr>
                <w:rFonts w:hint="eastAsia" w:ascii="宋体" w:hAnsi="宋体" w:eastAsia="宋体" w:cs="宋体"/>
                <w:color w:val="auto"/>
                <w:sz w:val="24"/>
                <w:szCs w:val="24"/>
                <w:highlight w:val="none"/>
              </w:rPr>
            </w:pPr>
          </w:p>
        </w:tc>
      </w:tr>
    </w:tbl>
    <w:p>
      <w:pPr>
        <w:spacing w:line="360" w:lineRule="auto"/>
        <w:ind w:right="315"/>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投标单位（盖章）：</w:t>
      </w:r>
    </w:p>
    <w:p>
      <w:pPr>
        <w:spacing w:line="360" w:lineRule="auto"/>
        <w:ind w:right="315"/>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法定代表人或委托代理人（签字）：</w:t>
      </w:r>
    </w:p>
    <w:p>
      <w:pPr>
        <w:spacing w:line="360" w:lineRule="auto"/>
        <w:ind w:right="1110"/>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33"/>
        <w:ind w:firstLine="280"/>
        <w:rPr>
          <w:rFonts w:hint="eastAsia" w:ascii="宋体" w:hAnsi="宋体" w:eastAsia="宋体" w:cs="宋体"/>
          <w:color w:val="auto"/>
          <w:sz w:val="24"/>
          <w:szCs w:val="24"/>
          <w:highlight w:val="none"/>
        </w:rPr>
      </w:pPr>
      <w:bookmarkStart w:id="88" w:name="_Toc247514283"/>
      <w:bookmarkStart w:id="89" w:name="_Toc144974860"/>
      <w:bookmarkStart w:id="90" w:name="_Toc23078"/>
      <w:bookmarkStart w:id="91" w:name="_Toc152045791"/>
      <w:bookmarkStart w:id="92" w:name="_Toc1283"/>
      <w:bookmarkStart w:id="93" w:name="_Toc31088"/>
      <w:bookmarkStart w:id="94" w:name="_Toc10163"/>
      <w:bookmarkStart w:id="95" w:name="_Toc428968301"/>
      <w:bookmarkStart w:id="96" w:name="_Toc22999"/>
      <w:bookmarkStart w:id="97" w:name="_Toc152042580"/>
      <w:bookmarkStart w:id="98" w:name="_Toc247527831"/>
    </w:p>
    <w:p>
      <w:pPr>
        <w:rPr>
          <w:rFonts w:hint="eastAsia" w:ascii="宋体" w:hAnsi="宋体" w:eastAsia="宋体" w:cs="宋体"/>
          <w:color w:val="auto"/>
          <w:sz w:val="24"/>
          <w:szCs w:val="24"/>
          <w:highlight w:val="none"/>
        </w:rPr>
      </w:pPr>
    </w:p>
    <w:p>
      <w:pPr>
        <w:bidi w:val="0"/>
        <w:rPr>
          <w:rStyle w:val="100"/>
          <w:rFonts w:hint="eastAsia" w:ascii="宋体" w:hAnsi="宋体" w:eastAsia="宋体" w:cs="宋体"/>
          <w:bCs w:val="0"/>
          <w:color w:val="auto"/>
          <w:sz w:val="24"/>
          <w:szCs w:val="24"/>
          <w:highlight w:val="none"/>
        </w:rPr>
      </w:pPr>
      <w:bookmarkStart w:id="99" w:name="_Toc34742963"/>
    </w:p>
    <w:p>
      <w:pPr>
        <w:bidi w:val="0"/>
        <w:rPr>
          <w:rStyle w:val="100"/>
          <w:rFonts w:hint="eastAsia" w:ascii="宋体" w:hAnsi="宋体" w:eastAsia="宋体" w:cs="宋体"/>
          <w:bCs w:val="0"/>
          <w:color w:val="auto"/>
          <w:sz w:val="24"/>
          <w:szCs w:val="24"/>
          <w:highlight w:val="none"/>
        </w:rPr>
      </w:pPr>
    </w:p>
    <w:p>
      <w:pPr>
        <w:pStyle w:val="4"/>
        <w:jc w:val="center"/>
        <w:rPr>
          <w:rStyle w:val="100"/>
          <w:rFonts w:hint="eastAsia" w:ascii="宋体" w:hAnsi="宋体" w:eastAsia="宋体" w:cs="宋体"/>
          <w:bCs w:val="0"/>
          <w:color w:val="auto"/>
          <w:sz w:val="24"/>
          <w:szCs w:val="24"/>
          <w:highlight w:val="none"/>
        </w:rPr>
      </w:pPr>
      <w:r>
        <w:rPr>
          <w:rStyle w:val="100"/>
          <w:rFonts w:hint="eastAsia" w:ascii="宋体" w:hAnsi="宋体" w:eastAsia="宋体" w:cs="宋体"/>
          <w:bCs w:val="0"/>
          <w:color w:val="auto"/>
          <w:sz w:val="32"/>
          <w:szCs w:val="32"/>
          <w:highlight w:val="none"/>
        </w:rPr>
        <w:t>二、法定代表人身份证明</w:t>
      </w:r>
      <w:bookmarkEnd w:id="88"/>
      <w:bookmarkEnd w:id="89"/>
      <w:bookmarkEnd w:id="90"/>
      <w:bookmarkEnd w:id="91"/>
      <w:bookmarkEnd w:id="92"/>
      <w:bookmarkEnd w:id="93"/>
      <w:bookmarkEnd w:id="94"/>
      <w:bookmarkEnd w:id="95"/>
      <w:bookmarkEnd w:id="96"/>
      <w:bookmarkEnd w:id="97"/>
      <w:bookmarkEnd w:id="98"/>
      <w:bookmarkEnd w:id="99"/>
    </w:p>
    <w:p>
      <w:pPr>
        <w:spacing w:line="460" w:lineRule="exact"/>
        <w:ind w:left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460" w:lineRule="exact"/>
        <w:ind w:left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460" w:lineRule="exact"/>
        <w:ind w:left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460" w:lineRule="exact"/>
        <w:ind w:left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60" w:lineRule="exact"/>
        <w:ind w:left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spacing w:line="460" w:lineRule="exact"/>
        <w:ind w:left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spacing w:line="460" w:lineRule="exact"/>
        <w:ind w:left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（投标单位）  </w:t>
      </w:r>
      <w:r>
        <w:rPr>
          <w:rFonts w:hint="eastAsia" w:ascii="宋体" w:hAnsi="宋体" w:eastAsia="宋体" w:cs="宋体"/>
          <w:color w:val="auto"/>
          <w:sz w:val="24"/>
          <w:szCs w:val="24"/>
          <w:highlight w:val="none"/>
        </w:rPr>
        <w:t xml:space="preserve"> 的法定代表人。</w:t>
      </w:r>
    </w:p>
    <w:p>
      <w:pPr>
        <w:spacing w:line="460" w:lineRule="exact"/>
        <w:ind w:leftChars="20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460" w:lineRule="exact"/>
        <w:ind w:leftChars="200"/>
        <w:contextualSpacing/>
        <w:rPr>
          <w:rFonts w:hint="eastAsia" w:ascii="宋体" w:hAnsi="宋体" w:eastAsia="宋体" w:cs="宋体"/>
          <w:color w:val="auto"/>
          <w:sz w:val="24"/>
          <w:szCs w:val="24"/>
          <w:highlight w:val="none"/>
        </w:rPr>
      </w:pPr>
    </w:p>
    <w:p>
      <w:pPr>
        <w:spacing w:line="460" w:lineRule="exact"/>
        <w:ind w:left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p>
      <w:pPr>
        <w:spacing w:line="460" w:lineRule="exact"/>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460" w:lineRule="exact"/>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460" w:lineRule="exact"/>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  </w:t>
      </w:r>
      <w:bookmarkStart w:id="100" w:name="_Toc247527832"/>
      <w:bookmarkStart w:id="101" w:name="_Toc152042581"/>
      <w:bookmarkStart w:id="102" w:name="_Toc31566"/>
      <w:bookmarkStart w:id="103" w:name="_Toc247514284"/>
      <w:bookmarkStart w:id="104" w:name="_Toc152045792"/>
      <w:bookmarkStart w:id="105" w:name="_Toc428968302"/>
      <w:bookmarkStart w:id="106" w:name="_Toc144974861"/>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p>
      <w:pPr>
        <w:bidi w:val="0"/>
        <w:rPr>
          <w:rFonts w:hint="eastAsia"/>
          <w:color w:val="auto"/>
          <w:highlight w:val="none"/>
        </w:rPr>
      </w:pPr>
      <w:bookmarkStart w:id="107" w:name="_Toc34742964"/>
    </w:p>
    <w:p>
      <w:pPr>
        <w:bidi w:val="0"/>
        <w:rPr>
          <w:rFonts w:hint="eastAsia"/>
          <w:color w:val="auto"/>
          <w:highlight w:val="none"/>
        </w:rPr>
      </w:pPr>
    </w:p>
    <w:p>
      <w:pPr>
        <w:bidi w:val="0"/>
        <w:rPr>
          <w:rFonts w:hint="eastAsia"/>
          <w:color w:val="auto"/>
          <w:highlight w:val="none"/>
        </w:rPr>
      </w:pPr>
    </w:p>
    <w:p>
      <w:pPr>
        <w:bidi w:val="0"/>
        <w:rPr>
          <w:rStyle w:val="100"/>
          <w:rFonts w:hint="eastAsia" w:ascii="宋体" w:hAnsi="宋体" w:eastAsia="宋体" w:cs="宋体"/>
          <w:bCs w:val="0"/>
          <w:color w:val="auto"/>
          <w:sz w:val="28"/>
          <w:szCs w:val="28"/>
          <w:highlight w:val="none"/>
        </w:rPr>
      </w:pPr>
    </w:p>
    <w:p>
      <w:pPr>
        <w:pStyle w:val="4"/>
        <w:ind w:firstLine="177"/>
        <w:jc w:val="center"/>
        <w:rPr>
          <w:rStyle w:val="100"/>
          <w:rFonts w:hint="eastAsia" w:ascii="宋体" w:hAnsi="宋体" w:eastAsia="宋体" w:cs="宋体"/>
          <w:bCs w:val="0"/>
          <w:color w:val="auto"/>
          <w:sz w:val="24"/>
          <w:szCs w:val="24"/>
          <w:highlight w:val="none"/>
        </w:rPr>
      </w:pPr>
      <w:r>
        <w:rPr>
          <w:rStyle w:val="100"/>
          <w:rFonts w:hint="eastAsia" w:ascii="宋体" w:hAnsi="宋体" w:eastAsia="宋体" w:cs="宋体"/>
          <w:bCs w:val="0"/>
          <w:color w:val="auto"/>
          <w:sz w:val="32"/>
          <w:szCs w:val="32"/>
          <w:highlight w:val="none"/>
        </w:rPr>
        <w:t>三、授权委托书</w:t>
      </w:r>
      <w:bookmarkEnd w:id="100"/>
      <w:bookmarkEnd w:id="101"/>
      <w:bookmarkEnd w:id="102"/>
      <w:bookmarkEnd w:id="103"/>
      <w:bookmarkEnd w:id="104"/>
      <w:bookmarkEnd w:id="105"/>
      <w:bookmarkEnd w:id="106"/>
      <w:bookmarkEnd w:id="107"/>
    </w:p>
    <w:p>
      <w:pPr>
        <w:contextualSpacing/>
        <w:rPr>
          <w:rFonts w:hint="eastAsia" w:ascii="宋体" w:hAnsi="宋体" w:eastAsia="宋体" w:cs="宋体"/>
          <w:color w:val="auto"/>
          <w:sz w:val="24"/>
          <w:szCs w:val="24"/>
          <w:highlight w:val="none"/>
        </w:rPr>
      </w:pP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）为我公司处理</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投标事宜的唯一授权委托人，该项委托权不得转让。</w:t>
      </w: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附：法定代表人（单位负责人）及授权委托人身份证复印件（正反面）</w:t>
      </w:r>
    </w:p>
    <w:p>
      <w:pPr>
        <w:spacing w:line="360" w:lineRule="auto"/>
        <w:ind w:firstLine="480" w:firstLineChars="200"/>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 </w:t>
      </w:r>
      <w:r>
        <w:rPr>
          <w:rFonts w:hint="eastAsia" w:ascii="宋体" w:hAnsi="宋体" w:eastAsia="宋体" w:cs="宋体"/>
          <w:color w:val="auto"/>
          <w:sz w:val="24"/>
          <w:szCs w:val="24"/>
          <w:highlight w:val="none"/>
          <w:u w:val="single"/>
        </w:rPr>
        <w:t xml:space="preserve">                      （盖章）</w:t>
      </w:r>
    </w:p>
    <w:p>
      <w:pPr>
        <w:spacing w:line="360" w:lineRule="auto"/>
        <w:ind w:firstLine="480" w:firstLineChars="200"/>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w:t>
      </w:r>
    </w:p>
    <w:p>
      <w:pPr>
        <w:spacing w:line="360" w:lineRule="auto"/>
        <w:ind w:firstLine="480" w:firstLineChars="200"/>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受委托人：  </w:t>
      </w:r>
      <w:r>
        <w:rPr>
          <w:rFonts w:hint="eastAsia" w:ascii="宋体" w:hAnsi="宋体" w:eastAsia="宋体" w:cs="宋体"/>
          <w:color w:val="auto"/>
          <w:sz w:val="24"/>
          <w:szCs w:val="24"/>
          <w:highlight w:val="none"/>
          <w:u w:val="single"/>
        </w:rPr>
        <w:t xml:space="preserve">                     （签字）</w:t>
      </w:r>
    </w:p>
    <w:p>
      <w:pPr>
        <w:spacing w:line="360" w:lineRule="auto"/>
        <w:ind w:firstLine="480" w:firstLineChars="200"/>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45"/>
        <w:contextualSpacing/>
        <w:rPr>
          <w:rFonts w:hint="eastAsia" w:ascii="宋体" w:hAnsi="宋体" w:eastAsia="宋体" w:cs="宋体"/>
          <w:color w:val="auto"/>
          <w:sz w:val="24"/>
          <w:szCs w:val="24"/>
          <w:highlight w:val="none"/>
        </w:rPr>
      </w:pPr>
    </w:p>
    <w:p>
      <w:pPr>
        <w:contextualSpacing/>
        <w:jc w:val="center"/>
        <w:rPr>
          <w:rFonts w:hint="eastAsia" w:ascii="宋体" w:hAnsi="宋体" w:eastAsia="宋体" w:cs="宋体"/>
          <w:b/>
          <w:bCs/>
          <w:color w:val="auto"/>
          <w:sz w:val="24"/>
          <w:szCs w:val="24"/>
          <w:highlight w:val="none"/>
        </w:rPr>
      </w:pPr>
      <w:bookmarkStart w:id="108" w:name="_Toc428968304"/>
      <w:bookmarkStart w:id="109" w:name="_Toc27372"/>
      <w:bookmarkStart w:id="110" w:name="_Toc296602998"/>
    </w:p>
    <w:p>
      <w:pPr>
        <w:contextualSpacing/>
        <w:jc w:val="center"/>
        <w:rPr>
          <w:rFonts w:hint="eastAsia" w:ascii="宋体" w:hAnsi="宋体" w:eastAsia="宋体" w:cs="宋体"/>
          <w:b/>
          <w:bCs/>
          <w:color w:val="auto"/>
          <w:sz w:val="24"/>
          <w:szCs w:val="24"/>
          <w:highlight w:val="none"/>
        </w:rPr>
      </w:pPr>
    </w:p>
    <w:p>
      <w:pPr>
        <w:contextualSpacing/>
        <w:jc w:val="center"/>
        <w:rPr>
          <w:rFonts w:hint="eastAsia" w:ascii="宋体" w:hAnsi="宋体" w:eastAsia="宋体" w:cs="宋体"/>
          <w:b/>
          <w:bCs/>
          <w:color w:val="auto"/>
          <w:sz w:val="24"/>
          <w:szCs w:val="24"/>
          <w:highlight w:val="none"/>
        </w:rPr>
      </w:pPr>
    </w:p>
    <w:bookmarkEnd w:id="108"/>
    <w:bookmarkEnd w:id="109"/>
    <w:bookmarkEnd w:id="110"/>
    <w:p>
      <w:pPr>
        <w:autoSpaceDE w:val="0"/>
        <w:autoSpaceDN w:val="0"/>
        <w:adjustRightInd w:val="0"/>
        <w:contextualSpacing/>
        <w:jc w:val="center"/>
        <w:rPr>
          <w:rFonts w:hint="eastAsia" w:ascii="宋体" w:hAnsi="宋体" w:eastAsia="宋体" w:cs="宋体"/>
          <w:b/>
          <w:bCs/>
          <w:color w:val="auto"/>
          <w:sz w:val="24"/>
          <w:szCs w:val="24"/>
          <w:highlight w:val="none"/>
        </w:rPr>
      </w:pPr>
    </w:p>
    <w:p>
      <w:pPr>
        <w:pStyle w:val="21"/>
        <w:ind w:left="680"/>
        <w:rPr>
          <w:rFonts w:hint="eastAsia" w:ascii="宋体" w:hAnsi="宋体" w:eastAsia="宋体" w:cs="宋体"/>
          <w:color w:val="auto"/>
          <w:sz w:val="24"/>
          <w:szCs w:val="24"/>
          <w:highlight w:val="none"/>
        </w:rPr>
      </w:pPr>
    </w:p>
    <w:p>
      <w:pPr>
        <w:pStyle w:val="21"/>
        <w:ind w:left="680"/>
        <w:rPr>
          <w:rFonts w:hint="eastAsia" w:ascii="宋体" w:hAnsi="宋体" w:eastAsia="宋体" w:cs="宋体"/>
          <w:color w:val="auto"/>
          <w:sz w:val="24"/>
          <w:szCs w:val="24"/>
          <w:highlight w:val="none"/>
        </w:rPr>
      </w:pPr>
    </w:p>
    <w:p>
      <w:pPr>
        <w:pStyle w:val="21"/>
        <w:ind w:left="680"/>
        <w:rPr>
          <w:rFonts w:hint="eastAsia" w:ascii="宋体" w:hAnsi="宋体" w:eastAsia="宋体" w:cs="宋体"/>
          <w:color w:val="auto"/>
          <w:sz w:val="24"/>
          <w:szCs w:val="24"/>
          <w:highlight w:val="none"/>
        </w:rPr>
      </w:pPr>
    </w:p>
    <w:p>
      <w:pPr>
        <w:pStyle w:val="21"/>
        <w:ind w:left="68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4"/>
        <w:ind w:firstLine="177"/>
        <w:jc w:val="center"/>
        <w:rPr>
          <w:rFonts w:hint="eastAsia" w:ascii="宋体" w:hAnsi="宋体" w:eastAsia="宋体" w:cs="宋体"/>
          <w:color w:val="auto"/>
          <w:sz w:val="28"/>
          <w:szCs w:val="28"/>
          <w:highlight w:val="none"/>
        </w:rPr>
      </w:pPr>
      <w:bookmarkStart w:id="111" w:name="_Toc34742967"/>
      <w:r>
        <w:rPr>
          <w:rFonts w:hint="eastAsia" w:ascii="宋体" w:hAnsi="宋体" w:eastAsia="宋体" w:cs="宋体"/>
          <w:color w:val="auto"/>
          <w:sz w:val="28"/>
          <w:szCs w:val="28"/>
          <w:highlight w:val="none"/>
        </w:rPr>
        <w:t xml:space="preserve"> </w:t>
      </w:r>
      <w:bookmarkStart w:id="112" w:name="_Toc34742966"/>
      <w:r>
        <w:rPr>
          <w:rFonts w:hint="eastAsia" w:ascii="宋体" w:hAnsi="宋体" w:eastAsia="宋体" w:cs="宋体"/>
          <w:color w:val="auto"/>
          <w:sz w:val="32"/>
          <w:szCs w:val="32"/>
          <w:highlight w:val="none"/>
        </w:rPr>
        <w:t>四、</w:t>
      </w:r>
      <w:r>
        <w:rPr>
          <w:rFonts w:hint="eastAsia" w:hAnsi="宋体" w:cs="宋体"/>
          <w:color w:val="auto"/>
          <w:sz w:val="32"/>
          <w:szCs w:val="32"/>
          <w:highlight w:val="none"/>
          <w:lang w:val="en-US" w:eastAsia="zh-CN"/>
        </w:rPr>
        <w:t>勘察</w:t>
      </w:r>
      <w:r>
        <w:rPr>
          <w:rFonts w:hint="eastAsia" w:ascii="宋体" w:hAnsi="宋体" w:eastAsia="宋体" w:cs="宋体"/>
          <w:color w:val="auto"/>
          <w:sz w:val="32"/>
          <w:szCs w:val="32"/>
          <w:highlight w:val="none"/>
        </w:rPr>
        <w:t>设计方案</w:t>
      </w:r>
      <w:bookmarkEnd w:id="112"/>
    </w:p>
    <w:p>
      <w:pPr>
        <w:autoSpaceDE w:val="0"/>
        <w:autoSpaceDN w:val="0"/>
        <w:adjustRightInd w:val="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内容</w:t>
      </w:r>
      <w:r>
        <w:rPr>
          <w:rFonts w:hint="eastAsia" w:ascii="宋体" w:hAnsi="宋体" w:eastAsia="宋体" w:cs="宋体"/>
          <w:color w:val="auto"/>
          <w:sz w:val="24"/>
          <w:szCs w:val="24"/>
          <w:highlight w:val="none"/>
        </w:rPr>
        <w:t>格式自拟）</w:t>
      </w:r>
    </w:p>
    <w:p>
      <w:pPr>
        <w:autoSpaceDE w:val="0"/>
        <w:autoSpaceDN w:val="0"/>
        <w:adjustRightInd w:val="0"/>
        <w:contextualSpacing/>
        <w:jc w:val="center"/>
        <w:rPr>
          <w:rFonts w:hint="eastAsia" w:ascii="宋体" w:hAnsi="宋体" w:eastAsia="宋体" w:cs="宋体"/>
          <w:b/>
          <w:bCs/>
          <w:color w:val="auto"/>
          <w:sz w:val="24"/>
          <w:szCs w:val="24"/>
          <w:highlight w:val="none"/>
        </w:rPr>
      </w:pPr>
    </w:p>
    <w:p>
      <w:pPr>
        <w:pStyle w:val="4"/>
        <w:ind w:firstLine="138"/>
        <w:jc w:val="center"/>
        <w:rPr>
          <w:rFonts w:hint="eastAsia" w:ascii="宋体" w:hAnsi="宋体" w:eastAsia="宋体" w:cs="宋体"/>
          <w:color w:val="auto"/>
          <w:sz w:val="24"/>
          <w:szCs w:val="24"/>
          <w:highlight w:val="none"/>
        </w:rPr>
      </w:pPr>
    </w:p>
    <w:p>
      <w:pPr>
        <w:pStyle w:val="4"/>
        <w:ind w:firstLine="138"/>
        <w:jc w:val="center"/>
        <w:rPr>
          <w:rFonts w:hint="eastAsia" w:ascii="宋体" w:hAnsi="宋体" w:eastAsia="宋体" w:cs="宋体"/>
          <w:color w:val="auto"/>
          <w:sz w:val="24"/>
          <w:szCs w:val="24"/>
          <w:highlight w:val="none"/>
        </w:rPr>
      </w:pPr>
    </w:p>
    <w:bookmarkEnd w:id="111"/>
    <w:p>
      <w:pPr>
        <w:autoSpaceDE w:val="0"/>
        <w:autoSpaceDN w:val="0"/>
        <w:adjustRightInd w:val="0"/>
        <w:ind w:right="215"/>
        <w:contextualSpacing/>
        <w:rPr>
          <w:rFonts w:hint="eastAsia" w:ascii="宋体" w:hAnsi="宋体" w:eastAsia="宋体" w:cs="宋体"/>
          <w:color w:val="auto"/>
          <w:sz w:val="24"/>
          <w:szCs w:val="24"/>
          <w:highlight w:val="none"/>
        </w:rPr>
      </w:pPr>
    </w:p>
    <w:p>
      <w:pPr>
        <w:pStyle w:val="4"/>
        <w:ind w:firstLine="138"/>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32"/>
          <w:szCs w:val="32"/>
          <w:highlight w:val="none"/>
        </w:rPr>
        <w:t>五、项目管理机构配备情况</w:t>
      </w:r>
    </w:p>
    <w:p>
      <w:pPr>
        <w:autoSpaceDE w:val="0"/>
        <w:autoSpaceDN w:val="0"/>
        <w:adjustRightInd w:val="0"/>
        <w:ind w:right="215"/>
        <w:contextualSpacing/>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（一）拟委任的主要人员汇总表</w:t>
      </w:r>
    </w:p>
    <w:p>
      <w:pPr>
        <w:autoSpaceDE w:val="0"/>
        <w:autoSpaceDN w:val="0"/>
        <w:adjustRightInd w:val="0"/>
        <w:ind w:right="215" w:firstLine="420"/>
        <w:contextualSpacing/>
        <w:jc w:val="center"/>
        <w:rPr>
          <w:rFonts w:hint="eastAsia" w:ascii="宋体" w:hAnsi="宋体" w:eastAsia="宋体" w:cs="宋体"/>
          <w:b/>
          <w:color w:val="auto"/>
          <w:sz w:val="24"/>
          <w:szCs w:val="24"/>
          <w:highlight w:val="none"/>
        </w:rPr>
      </w:pPr>
    </w:p>
    <w:tbl>
      <w:tblPr>
        <w:tblStyle w:val="3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9"/>
        <w:gridCol w:w="1534"/>
        <w:gridCol w:w="1191"/>
        <w:gridCol w:w="726"/>
        <w:gridCol w:w="585"/>
        <w:gridCol w:w="1363"/>
        <w:gridCol w:w="853"/>
        <w:gridCol w:w="1050"/>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vMerge w:val="restart"/>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95" w:type="pct"/>
            <w:vMerge w:val="restart"/>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本项目任职</w:t>
            </w:r>
          </w:p>
        </w:tc>
        <w:tc>
          <w:tcPr>
            <w:tcW w:w="617" w:type="pct"/>
            <w:vMerge w:val="restart"/>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76" w:type="pct"/>
            <w:vMerge w:val="restart"/>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303" w:type="pct"/>
            <w:vMerge w:val="restart"/>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1692" w:type="pct"/>
            <w:gridSpan w:val="3"/>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706" w:type="pct"/>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vMerge w:val="continue"/>
          </w:tcPr>
          <w:p>
            <w:pPr>
              <w:bidi w:val="0"/>
              <w:rPr>
                <w:rFonts w:hint="eastAsia" w:ascii="宋体" w:hAnsi="宋体" w:eastAsia="宋体" w:cs="宋体"/>
                <w:color w:val="auto"/>
                <w:sz w:val="21"/>
                <w:szCs w:val="21"/>
                <w:highlight w:val="none"/>
              </w:rPr>
            </w:pPr>
          </w:p>
        </w:tc>
        <w:tc>
          <w:tcPr>
            <w:tcW w:w="795" w:type="pct"/>
            <w:vMerge w:val="continue"/>
          </w:tcPr>
          <w:p>
            <w:pPr>
              <w:bidi w:val="0"/>
              <w:rPr>
                <w:rFonts w:hint="eastAsia" w:ascii="宋体" w:hAnsi="宋体" w:eastAsia="宋体" w:cs="宋体"/>
                <w:color w:val="auto"/>
                <w:sz w:val="21"/>
                <w:szCs w:val="21"/>
                <w:highlight w:val="none"/>
              </w:rPr>
            </w:pPr>
          </w:p>
        </w:tc>
        <w:tc>
          <w:tcPr>
            <w:tcW w:w="617" w:type="pct"/>
            <w:vMerge w:val="continue"/>
          </w:tcPr>
          <w:p>
            <w:pPr>
              <w:bidi w:val="0"/>
              <w:rPr>
                <w:rFonts w:hint="eastAsia" w:ascii="宋体" w:hAnsi="宋体" w:eastAsia="宋体" w:cs="宋体"/>
                <w:color w:val="auto"/>
                <w:sz w:val="21"/>
                <w:szCs w:val="21"/>
                <w:highlight w:val="none"/>
              </w:rPr>
            </w:pPr>
          </w:p>
        </w:tc>
        <w:tc>
          <w:tcPr>
            <w:tcW w:w="376" w:type="pct"/>
            <w:vMerge w:val="continue"/>
          </w:tcPr>
          <w:p>
            <w:pPr>
              <w:bidi w:val="0"/>
              <w:rPr>
                <w:rFonts w:hint="eastAsia" w:ascii="宋体" w:hAnsi="宋体" w:eastAsia="宋体" w:cs="宋体"/>
                <w:color w:val="auto"/>
                <w:sz w:val="21"/>
                <w:szCs w:val="21"/>
                <w:highlight w:val="none"/>
              </w:rPr>
            </w:pPr>
          </w:p>
        </w:tc>
        <w:tc>
          <w:tcPr>
            <w:tcW w:w="303" w:type="pct"/>
            <w:vMerge w:val="continue"/>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442" w:type="pct"/>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543" w:type="pct"/>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8" w:type="pct"/>
          </w:tcPr>
          <w:p>
            <w:pPr>
              <w:bidi w:val="0"/>
              <w:rPr>
                <w:rFonts w:hint="eastAsia" w:ascii="宋体" w:hAnsi="宋体" w:eastAsia="宋体" w:cs="宋体"/>
                <w:color w:val="auto"/>
                <w:sz w:val="21"/>
                <w:szCs w:val="21"/>
                <w:highlight w:val="none"/>
              </w:rPr>
            </w:pPr>
          </w:p>
        </w:tc>
        <w:tc>
          <w:tcPr>
            <w:tcW w:w="795" w:type="pct"/>
          </w:tcPr>
          <w:p>
            <w:pPr>
              <w:bidi w:val="0"/>
              <w:rPr>
                <w:rFonts w:hint="eastAsia" w:ascii="宋体" w:hAnsi="宋体" w:eastAsia="宋体" w:cs="宋体"/>
                <w:color w:val="auto"/>
                <w:sz w:val="21"/>
                <w:szCs w:val="21"/>
                <w:highlight w:val="none"/>
              </w:rPr>
            </w:pPr>
          </w:p>
        </w:tc>
        <w:tc>
          <w:tcPr>
            <w:tcW w:w="617" w:type="pct"/>
          </w:tcPr>
          <w:p>
            <w:pPr>
              <w:bidi w:val="0"/>
              <w:rPr>
                <w:rFonts w:hint="eastAsia" w:ascii="宋体" w:hAnsi="宋体" w:eastAsia="宋体" w:cs="宋体"/>
                <w:color w:val="auto"/>
                <w:sz w:val="21"/>
                <w:szCs w:val="21"/>
                <w:highlight w:val="none"/>
              </w:rPr>
            </w:pPr>
          </w:p>
        </w:tc>
        <w:tc>
          <w:tcPr>
            <w:tcW w:w="376" w:type="pct"/>
          </w:tcPr>
          <w:p>
            <w:pPr>
              <w:bidi w:val="0"/>
              <w:rPr>
                <w:rFonts w:hint="eastAsia" w:ascii="宋体" w:hAnsi="宋体" w:eastAsia="宋体" w:cs="宋体"/>
                <w:color w:val="auto"/>
                <w:sz w:val="21"/>
                <w:szCs w:val="21"/>
                <w:highlight w:val="none"/>
              </w:rPr>
            </w:pPr>
          </w:p>
        </w:tc>
        <w:tc>
          <w:tcPr>
            <w:tcW w:w="30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c>
          <w:tcPr>
            <w:tcW w:w="442" w:type="pct"/>
          </w:tcPr>
          <w:p>
            <w:pPr>
              <w:bidi w:val="0"/>
              <w:rPr>
                <w:rFonts w:hint="eastAsia" w:ascii="宋体" w:hAnsi="宋体" w:eastAsia="宋体" w:cs="宋体"/>
                <w:color w:val="auto"/>
                <w:sz w:val="21"/>
                <w:szCs w:val="21"/>
                <w:highlight w:val="none"/>
              </w:rPr>
            </w:pPr>
          </w:p>
        </w:tc>
        <w:tc>
          <w:tcPr>
            <w:tcW w:w="543" w:type="pct"/>
          </w:tcPr>
          <w:p>
            <w:pPr>
              <w:bidi w:val="0"/>
              <w:rPr>
                <w:rFonts w:hint="eastAsia" w:ascii="宋体" w:hAnsi="宋体" w:eastAsia="宋体" w:cs="宋体"/>
                <w:color w:val="auto"/>
                <w:sz w:val="21"/>
                <w:szCs w:val="21"/>
                <w:highlight w:val="none"/>
              </w:rPr>
            </w:pPr>
          </w:p>
        </w:tc>
        <w:tc>
          <w:tcPr>
            <w:tcW w:w="706" w:type="pct"/>
          </w:tcPr>
          <w:p>
            <w:pPr>
              <w:bidi w:val="0"/>
              <w:rPr>
                <w:rFonts w:hint="eastAsia" w:ascii="宋体" w:hAnsi="宋体" w:eastAsia="宋体" w:cs="宋体"/>
                <w:color w:val="auto"/>
                <w:sz w:val="21"/>
                <w:szCs w:val="21"/>
                <w:highlight w:val="none"/>
              </w:rPr>
            </w:pPr>
          </w:p>
        </w:tc>
      </w:tr>
    </w:tbl>
    <w:p>
      <w:pPr>
        <w:spacing w:before="156" w:beforeLines="50" w:after="312" w:afterLines="100"/>
        <w:ind w:firstLine="2400" w:firstLineChars="1000"/>
        <w:contextualSpacing/>
        <w:rPr>
          <w:rFonts w:hint="eastAsia" w:ascii="宋体" w:hAnsi="宋体" w:eastAsia="宋体" w:cs="宋体"/>
          <w:b/>
          <w:color w:val="auto"/>
          <w:sz w:val="24"/>
          <w:szCs w:val="24"/>
          <w:highlight w:val="none"/>
        </w:rPr>
      </w:pPr>
    </w:p>
    <w:p>
      <w:pPr>
        <w:spacing w:before="156" w:beforeLines="50" w:after="312" w:afterLines="100"/>
        <w:ind w:firstLine="2400" w:firstLineChars="1000"/>
        <w:contextualSpacing/>
        <w:rPr>
          <w:rFonts w:hint="eastAsia" w:ascii="宋体" w:hAnsi="宋体" w:eastAsia="宋体" w:cs="宋体"/>
          <w:b/>
          <w:color w:val="auto"/>
          <w:sz w:val="24"/>
          <w:szCs w:val="24"/>
          <w:highlight w:val="none"/>
        </w:rPr>
      </w:pPr>
    </w:p>
    <w:p>
      <w:pPr>
        <w:spacing w:before="156" w:beforeLines="50" w:after="312" w:afterLines="100"/>
        <w:ind w:firstLine="2400" w:firstLineChars="1000"/>
        <w:contextualSpacing/>
        <w:rPr>
          <w:rFonts w:hint="eastAsia" w:ascii="宋体" w:hAnsi="宋体" w:eastAsia="宋体" w:cs="宋体"/>
          <w:b/>
          <w:color w:val="auto"/>
          <w:sz w:val="24"/>
          <w:szCs w:val="24"/>
          <w:highlight w:val="none"/>
        </w:rPr>
      </w:pPr>
    </w:p>
    <w:p>
      <w:pPr>
        <w:spacing w:before="156" w:beforeLines="50" w:after="312" w:afterLines="100"/>
        <w:ind w:firstLine="2400" w:firstLineChars="1000"/>
        <w:contextualSpacing/>
        <w:rPr>
          <w:rFonts w:hint="eastAsia" w:ascii="宋体" w:hAnsi="宋体" w:eastAsia="宋体" w:cs="宋体"/>
          <w:b/>
          <w:color w:val="auto"/>
          <w:sz w:val="24"/>
          <w:szCs w:val="24"/>
          <w:highlight w:val="none"/>
        </w:rPr>
      </w:pPr>
    </w:p>
    <w:p>
      <w:pPr>
        <w:spacing w:before="156" w:beforeLines="50" w:after="312" w:afterLines="100"/>
        <w:ind w:firstLine="2400" w:firstLineChars="1000"/>
        <w:contextualSpacing/>
        <w:rPr>
          <w:rFonts w:hint="eastAsia" w:ascii="宋体" w:hAnsi="宋体" w:eastAsia="宋体" w:cs="宋体"/>
          <w:b/>
          <w:color w:val="auto"/>
          <w:sz w:val="24"/>
          <w:szCs w:val="24"/>
          <w:highlight w:val="none"/>
        </w:rPr>
      </w:pPr>
    </w:p>
    <w:p>
      <w:pPr>
        <w:spacing w:before="156" w:beforeLines="50" w:after="312" w:afterLines="100"/>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（二）主要人员简历表</w:t>
      </w:r>
    </w:p>
    <w:p>
      <w:pPr>
        <w:ind w:firstLine="720" w:firstLineChars="300"/>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附件1：</w:t>
      </w:r>
      <w:r>
        <w:rPr>
          <w:rFonts w:hint="eastAsia" w:ascii="宋体" w:hAnsi="宋体" w:eastAsia="宋体" w:cs="宋体"/>
          <w:b/>
          <w:bCs/>
          <w:color w:val="auto"/>
          <w:sz w:val="24"/>
          <w:szCs w:val="24"/>
          <w:highlight w:val="none"/>
        </w:rPr>
        <w:t>项目负责人简历表</w:t>
      </w:r>
    </w:p>
    <w:p>
      <w:pPr>
        <w:contextualSpacing/>
        <w:rPr>
          <w:rFonts w:hint="eastAsia" w:ascii="宋体" w:hAnsi="宋体" w:eastAsia="宋体" w:cs="宋体"/>
          <w:color w:val="auto"/>
          <w:sz w:val="24"/>
          <w:szCs w:val="24"/>
          <w:highlight w:val="none"/>
        </w:rPr>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tblPrEx>
          <w:tblCellMar>
            <w:top w:w="0" w:type="dxa"/>
            <w:left w:w="0" w:type="dxa"/>
            <w:bottom w:w="0" w:type="dxa"/>
            <w:right w:w="0" w:type="dxa"/>
          </w:tblCellMar>
        </w:tblPrEx>
        <w:trPr>
          <w:trHeight w:val="890" w:hRule="exact"/>
          <w:jc w:val="center"/>
        </w:trPr>
        <w:tc>
          <w:tcPr>
            <w:tcW w:w="1186" w:type="dxa"/>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名</w:t>
            </w:r>
          </w:p>
        </w:tc>
        <w:tc>
          <w:tcPr>
            <w:tcW w:w="1049" w:type="dxa"/>
            <w:gridSpan w:val="2"/>
          </w:tcPr>
          <w:p>
            <w:pPr>
              <w:bidi w:val="0"/>
              <w:rPr>
                <w:rFonts w:hint="eastAsia" w:ascii="宋体" w:hAnsi="宋体" w:eastAsia="宋体" w:cs="宋体"/>
                <w:color w:val="auto"/>
                <w:sz w:val="21"/>
                <w:szCs w:val="21"/>
                <w:highlight w:val="none"/>
              </w:rPr>
            </w:pPr>
          </w:p>
        </w:tc>
        <w:tc>
          <w:tcPr>
            <w:tcW w:w="958" w:type="dxa"/>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Pr>
          <w:p>
            <w:pPr>
              <w:bidi w:val="0"/>
              <w:rPr>
                <w:rFonts w:hint="eastAsia" w:ascii="宋体" w:hAnsi="宋体" w:eastAsia="宋体" w:cs="宋体"/>
                <w:color w:val="auto"/>
                <w:sz w:val="21"/>
                <w:szCs w:val="21"/>
                <w:highlight w:val="none"/>
              </w:rPr>
            </w:pPr>
          </w:p>
        </w:tc>
        <w:tc>
          <w:tcPr>
            <w:tcW w:w="2367" w:type="dxa"/>
            <w:gridSpan w:val="3"/>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w:t>
            </w: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（或上岗证书）名称</w:t>
            </w:r>
          </w:p>
        </w:tc>
        <w:tc>
          <w:tcPr>
            <w:tcW w:w="1897" w:type="dxa"/>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jc w:val="center"/>
        </w:trPr>
        <w:tc>
          <w:tcPr>
            <w:tcW w:w="1186" w:type="dxa"/>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称</w:t>
            </w:r>
          </w:p>
        </w:tc>
        <w:tc>
          <w:tcPr>
            <w:tcW w:w="1049" w:type="dxa"/>
            <w:gridSpan w:val="2"/>
          </w:tcPr>
          <w:p>
            <w:pPr>
              <w:bidi w:val="0"/>
              <w:rPr>
                <w:rFonts w:hint="eastAsia" w:ascii="宋体" w:hAnsi="宋体" w:eastAsia="宋体" w:cs="宋体"/>
                <w:color w:val="auto"/>
                <w:sz w:val="21"/>
                <w:szCs w:val="21"/>
                <w:highlight w:val="none"/>
              </w:rPr>
            </w:pPr>
          </w:p>
        </w:tc>
        <w:tc>
          <w:tcPr>
            <w:tcW w:w="958" w:type="dxa"/>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Pr>
          <w:p>
            <w:pPr>
              <w:bidi w:val="0"/>
              <w:rPr>
                <w:rFonts w:hint="eastAsia" w:ascii="宋体" w:hAnsi="宋体" w:eastAsia="宋体" w:cs="宋体"/>
                <w:color w:val="auto"/>
                <w:sz w:val="21"/>
                <w:szCs w:val="21"/>
                <w:highlight w:val="none"/>
              </w:rPr>
            </w:pPr>
          </w:p>
        </w:tc>
        <w:tc>
          <w:tcPr>
            <w:tcW w:w="2367" w:type="dxa"/>
            <w:gridSpan w:val="3"/>
            <w:vAlign w:val="center"/>
          </w:tcPr>
          <w:p>
            <w:pPr>
              <w:bidi w:val="0"/>
              <w:jc w:val="both"/>
              <w:rPr>
                <w:rFonts w:hint="eastAsia" w:ascii="宋体" w:hAnsi="宋体" w:eastAsia="宋体" w:cs="宋体"/>
                <w:color w:val="auto"/>
                <w:sz w:val="21"/>
                <w:szCs w:val="21"/>
                <w:highlight w:val="none"/>
              </w:rPr>
            </w:pP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7" w:type="dxa"/>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exact"/>
          <w:jc w:val="center"/>
        </w:trPr>
        <w:tc>
          <w:tcPr>
            <w:tcW w:w="1186" w:type="dxa"/>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Pr>
          <w:p>
            <w:pPr>
              <w:bidi w:val="0"/>
              <w:rPr>
                <w:rFonts w:hint="eastAsia" w:ascii="宋体" w:hAnsi="宋体" w:eastAsia="宋体" w:cs="宋体"/>
                <w:color w:val="auto"/>
                <w:sz w:val="21"/>
                <w:szCs w:val="21"/>
                <w:highlight w:val="none"/>
              </w:rPr>
            </w:pPr>
          </w:p>
        </w:tc>
        <w:tc>
          <w:tcPr>
            <w:tcW w:w="2367" w:type="dxa"/>
            <w:gridSpan w:val="3"/>
            <w:vAlign w:val="center"/>
          </w:tcPr>
          <w:p>
            <w:pPr>
              <w:bidi w:val="0"/>
              <w:jc w:val="both"/>
              <w:rPr>
                <w:rFonts w:hint="eastAsia" w:ascii="宋体" w:hAnsi="宋体" w:eastAsia="宋体" w:cs="宋体"/>
                <w:color w:val="auto"/>
                <w:sz w:val="21"/>
                <w:szCs w:val="21"/>
                <w:highlight w:val="none"/>
              </w:rPr>
            </w:pP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从事设计工作年限</w:t>
            </w:r>
          </w:p>
        </w:tc>
        <w:tc>
          <w:tcPr>
            <w:tcW w:w="1897" w:type="dxa"/>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1186" w:type="dxa"/>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7336" w:type="dxa"/>
            <w:gridSpan w:val="8"/>
          </w:tcPr>
          <w:p>
            <w:pPr>
              <w:bidi w:val="0"/>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学校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jc w:val="center"/>
        </w:trPr>
        <w:tc>
          <w:tcPr>
            <w:tcW w:w="8522" w:type="dxa"/>
            <w:gridSpan w:val="9"/>
          </w:tcPr>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jc w:val="center"/>
        </w:trPr>
        <w:tc>
          <w:tcPr>
            <w:tcW w:w="1543" w:type="dxa"/>
            <w:gridSpan w:val="2"/>
          </w:tcPr>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1" w:type="dxa"/>
            <w:gridSpan w:val="4"/>
          </w:tcPr>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0" w:type="dxa"/>
          </w:tcPr>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Pr>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543" w:type="dxa"/>
            <w:gridSpan w:val="2"/>
          </w:tcPr>
          <w:p>
            <w:pPr>
              <w:bidi w:val="0"/>
              <w:rPr>
                <w:rFonts w:hint="eastAsia" w:ascii="宋体" w:hAnsi="宋体" w:eastAsia="宋体" w:cs="宋体"/>
                <w:color w:val="auto"/>
                <w:sz w:val="21"/>
                <w:szCs w:val="21"/>
                <w:highlight w:val="none"/>
              </w:rPr>
            </w:pPr>
          </w:p>
        </w:tc>
        <w:tc>
          <w:tcPr>
            <w:tcW w:w="3421" w:type="dxa"/>
            <w:gridSpan w:val="4"/>
          </w:tcPr>
          <w:p>
            <w:pPr>
              <w:bidi w:val="0"/>
              <w:rPr>
                <w:rFonts w:hint="eastAsia" w:ascii="宋体" w:hAnsi="宋体" w:eastAsia="宋体" w:cs="宋体"/>
                <w:color w:val="auto"/>
                <w:sz w:val="21"/>
                <w:szCs w:val="21"/>
                <w:highlight w:val="none"/>
              </w:rPr>
            </w:pPr>
          </w:p>
        </w:tc>
        <w:tc>
          <w:tcPr>
            <w:tcW w:w="1260" w:type="dxa"/>
          </w:tcPr>
          <w:p>
            <w:pPr>
              <w:bidi w:val="0"/>
              <w:rPr>
                <w:rFonts w:hint="eastAsia" w:ascii="宋体" w:hAnsi="宋体" w:eastAsia="宋体" w:cs="宋体"/>
                <w:color w:val="auto"/>
                <w:sz w:val="21"/>
                <w:szCs w:val="21"/>
                <w:highlight w:val="none"/>
              </w:rPr>
            </w:pPr>
          </w:p>
        </w:tc>
        <w:tc>
          <w:tcPr>
            <w:tcW w:w="2297" w:type="dxa"/>
            <w:gridSpan w:val="2"/>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jc w:val="center"/>
        </w:trPr>
        <w:tc>
          <w:tcPr>
            <w:tcW w:w="1543" w:type="dxa"/>
            <w:gridSpan w:val="2"/>
          </w:tcPr>
          <w:p>
            <w:pPr>
              <w:bidi w:val="0"/>
              <w:rPr>
                <w:rFonts w:hint="eastAsia" w:ascii="宋体" w:hAnsi="宋体" w:eastAsia="宋体" w:cs="宋体"/>
                <w:color w:val="auto"/>
                <w:sz w:val="21"/>
                <w:szCs w:val="21"/>
                <w:highlight w:val="none"/>
              </w:rPr>
            </w:pPr>
          </w:p>
        </w:tc>
        <w:tc>
          <w:tcPr>
            <w:tcW w:w="3421" w:type="dxa"/>
            <w:gridSpan w:val="4"/>
          </w:tcPr>
          <w:p>
            <w:pPr>
              <w:bidi w:val="0"/>
              <w:rPr>
                <w:rFonts w:hint="eastAsia" w:ascii="宋体" w:hAnsi="宋体" w:eastAsia="宋体" w:cs="宋体"/>
                <w:color w:val="auto"/>
                <w:sz w:val="21"/>
                <w:szCs w:val="21"/>
                <w:highlight w:val="none"/>
              </w:rPr>
            </w:pPr>
          </w:p>
        </w:tc>
        <w:tc>
          <w:tcPr>
            <w:tcW w:w="1260" w:type="dxa"/>
          </w:tcPr>
          <w:p>
            <w:pPr>
              <w:bidi w:val="0"/>
              <w:rPr>
                <w:rFonts w:hint="eastAsia" w:ascii="宋体" w:hAnsi="宋体" w:eastAsia="宋体" w:cs="宋体"/>
                <w:color w:val="auto"/>
                <w:sz w:val="21"/>
                <w:szCs w:val="21"/>
                <w:highlight w:val="none"/>
              </w:rPr>
            </w:pPr>
          </w:p>
        </w:tc>
        <w:tc>
          <w:tcPr>
            <w:tcW w:w="2297" w:type="dxa"/>
            <w:gridSpan w:val="2"/>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543" w:type="dxa"/>
            <w:gridSpan w:val="2"/>
          </w:tcPr>
          <w:p>
            <w:pPr>
              <w:bidi w:val="0"/>
              <w:rPr>
                <w:rFonts w:hint="eastAsia" w:ascii="宋体" w:hAnsi="宋体" w:eastAsia="宋体" w:cs="宋体"/>
                <w:color w:val="auto"/>
                <w:sz w:val="21"/>
                <w:szCs w:val="21"/>
                <w:highlight w:val="none"/>
              </w:rPr>
            </w:pPr>
          </w:p>
        </w:tc>
        <w:tc>
          <w:tcPr>
            <w:tcW w:w="3421" w:type="dxa"/>
            <w:gridSpan w:val="4"/>
          </w:tcPr>
          <w:p>
            <w:pPr>
              <w:bidi w:val="0"/>
              <w:rPr>
                <w:rFonts w:hint="eastAsia" w:ascii="宋体" w:hAnsi="宋体" w:eastAsia="宋体" w:cs="宋体"/>
                <w:color w:val="auto"/>
                <w:sz w:val="21"/>
                <w:szCs w:val="21"/>
                <w:highlight w:val="none"/>
              </w:rPr>
            </w:pPr>
          </w:p>
        </w:tc>
        <w:tc>
          <w:tcPr>
            <w:tcW w:w="1260" w:type="dxa"/>
          </w:tcPr>
          <w:p>
            <w:pPr>
              <w:bidi w:val="0"/>
              <w:rPr>
                <w:rFonts w:hint="eastAsia" w:ascii="宋体" w:hAnsi="宋体" w:eastAsia="宋体" w:cs="宋体"/>
                <w:color w:val="auto"/>
                <w:sz w:val="21"/>
                <w:szCs w:val="21"/>
                <w:highlight w:val="none"/>
              </w:rPr>
            </w:pPr>
          </w:p>
        </w:tc>
        <w:tc>
          <w:tcPr>
            <w:tcW w:w="2297" w:type="dxa"/>
            <w:gridSpan w:val="2"/>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543" w:type="dxa"/>
            <w:gridSpan w:val="2"/>
          </w:tcPr>
          <w:p>
            <w:pPr>
              <w:bidi w:val="0"/>
              <w:rPr>
                <w:rFonts w:hint="eastAsia" w:ascii="宋体" w:hAnsi="宋体" w:eastAsia="宋体" w:cs="宋体"/>
                <w:color w:val="auto"/>
                <w:sz w:val="21"/>
                <w:szCs w:val="21"/>
                <w:highlight w:val="none"/>
              </w:rPr>
            </w:pPr>
          </w:p>
        </w:tc>
        <w:tc>
          <w:tcPr>
            <w:tcW w:w="3421" w:type="dxa"/>
            <w:gridSpan w:val="4"/>
          </w:tcPr>
          <w:p>
            <w:pPr>
              <w:bidi w:val="0"/>
              <w:rPr>
                <w:rFonts w:hint="eastAsia" w:ascii="宋体" w:hAnsi="宋体" w:eastAsia="宋体" w:cs="宋体"/>
                <w:color w:val="auto"/>
                <w:sz w:val="21"/>
                <w:szCs w:val="21"/>
                <w:highlight w:val="none"/>
              </w:rPr>
            </w:pPr>
          </w:p>
        </w:tc>
        <w:tc>
          <w:tcPr>
            <w:tcW w:w="1260" w:type="dxa"/>
          </w:tcPr>
          <w:p>
            <w:pPr>
              <w:bidi w:val="0"/>
              <w:rPr>
                <w:rFonts w:hint="eastAsia" w:ascii="宋体" w:hAnsi="宋体" w:eastAsia="宋体" w:cs="宋体"/>
                <w:color w:val="auto"/>
                <w:sz w:val="21"/>
                <w:szCs w:val="21"/>
                <w:highlight w:val="none"/>
              </w:rPr>
            </w:pPr>
          </w:p>
        </w:tc>
        <w:tc>
          <w:tcPr>
            <w:tcW w:w="2297" w:type="dxa"/>
            <w:gridSpan w:val="2"/>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jc w:val="center"/>
        </w:trPr>
        <w:tc>
          <w:tcPr>
            <w:tcW w:w="1543" w:type="dxa"/>
            <w:gridSpan w:val="2"/>
          </w:tcPr>
          <w:p>
            <w:pPr>
              <w:bidi w:val="0"/>
              <w:rPr>
                <w:rFonts w:hint="eastAsia" w:ascii="宋体" w:hAnsi="宋体" w:eastAsia="宋体" w:cs="宋体"/>
                <w:color w:val="auto"/>
                <w:sz w:val="21"/>
                <w:szCs w:val="21"/>
                <w:highlight w:val="none"/>
              </w:rPr>
            </w:pPr>
          </w:p>
        </w:tc>
        <w:tc>
          <w:tcPr>
            <w:tcW w:w="3421" w:type="dxa"/>
            <w:gridSpan w:val="4"/>
          </w:tcPr>
          <w:p>
            <w:pPr>
              <w:bidi w:val="0"/>
              <w:rPr>
                <w:rFonts w:hint="eastAsia" w:ascii="宋体" w:hAnsi="宋体" w:eastAsia="宋体" w:cs="宋体"/>
                <w:color w:val="auto"/>
                <w:sz w:val="21"/>
                <w:szCs w:val="21"/>
                <w:highlight w:val="none"/>
              </w:rPr>
            </w:pPr>
          </w:p>
        </w:tc>
        <w:tc>
          <w:tcPr>
            <w:tcW w:w="1260" w:type="dxa"/>
          </w:tcPr>
          <w:p>
            <w:pPr>
              <w:bidi w:val="0"/>
              <w:rPr>
                <w:rFonts w:hint="eastAsia" w:ascii="宋体" w:hAnsi="宋体" w:eastAsia="宋体" w:cs="宋体"/>
                <w:color w:val="auto"/>
                <w:sz w:val="21"/>
                <w:szCs w:val="21"/>
                <w:highlight w:val="none"/>
              </w:rPr>
            </w:pPr>
          </w:p>
        </w:tc>
        <w:tc>
          <w:tcPr>
            <w:tcW w:w="2297" w:type="dxa"/>
            <w:gridSpan w:val="2"/>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543" w:type="dxa"/>
            <w:gridSpan w:val="2"/>
          </w:tcPr>
          <w:p>
            <w:pPr>
              <w:bidi w:val="0"/>
              <w:rPr>
                <w:rFonts w:hint="eastAsia" w:ascii="宋体" w:hAnsi="宋体" w:eastAsia="宋体" w:cs="宋体"/>
                <w:color w:val="auto"/>
                <w:sz w:val="21"/>
                <w:szCs w:val="21"/>
                <w:highlight w:val="none"/>
              </w:rPr>
            </w:pPr>
          </w:p>
        </w:tc>
        <w:tc>
          <w:tcPr>
            <w:tcW w:w="3421" w:type="dxa"/>
            <w:gridSpan w:val="4"/>
          </w:tcPr>
          <w:p>
            <w:pPr>
              <w:bidi w:val="0"/>
              <w:rPr>
                <w:rFonts w:hint="eastAsia" w:ascii="宋体" w:hAnsi="宋体" w:eastAsia="宋体" w:cs="宋体"/>
                <w:color w:val="auto"/>
                <w:sz w:val="21"/>
                <w:szCs w:val="21"/>
                <w:highlight w:val="none"/>
              </w:rPr>
            </w:pPr>
          </w:p>
        </w:tc>
        <w:tc>
          <w:tcPr>
            <w:tcW w:w="1260" w:type="dxa"/>
          </w:tcPr>
          <w:p>
            <w:pPr>
              <w:bidi w:val="0"/>
              <w:rPr>
                <w:rFonts w:hint="eastAsia" w:ascii="宋体" w:hAnsi="宋体" w:eastAsia="宋体" w:cs="宋体"/>
                <w:color w:val="auto"/>
                <w:sz w:val="21"/>
                <w:szCs w:val="21"/>
                <w:highlight w:val="none"/>
              </w:rPr>
            </w:pPr>
          </w:p>
        </w:tc>
        <w:tc>
          <w:tcPr>
            <w:tcW w:w="2297" w:type="dxa"/>
            <w:gridSpan w:val="2"/>
          </w:tcPr>
          <w:p>
            <w:pPr>
              <w:bidi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543" w:type="dxa"/>
            <w:gridSpan w:val="2"/>
          </w:tcPr>
          <w:p>
            <w:pPr>
              <w:bidi w:val="0"/>
              <w:rPr>
                <w:rFonts w:hint="eastAsia" w:ascii="宋体" w:hAnsi="宋体" w:eastAsia="宋体" w:cs="宋体"/>
                <w:color w:val="auto"/>
                <w:sz w:val="21"/>
                <w:szCs w:val="21"/>
                <w:highlight w:val="none"/>
              </w:rPr>
            </w:pPr>
          </w:p>
        </w:tc>
        <w:tc>
          <w:tcPr>
            <w:tcW w:w="3421" w:type="dxa"/>
            <w:gridSpan w:val="4"/>
          </w:tcPr>
          <w:p>
            <w:pPr>
              <w:bidi w:val="0"/>
              <w:rPr>
                <w:rFonts w:hint="eastAsia" w:ascii="宋体" w:hAnsi="宋体" w:eastAsia="宋体" w:cs="宋体"/>
                <w:color w:val="auto"/>
                <w:sz w:val="21"/>
                <w:szCs w:val="21"/>
                <w:highlight w:val="none"/>
              </w:rPr>
            </w:pPr>
          </w:p>
        </w:tc>
        <w:tc>
          <w:tcPr>
            <w:tcW w:w="1260" w:type="dxa"/>
          </w:tcPr>
          <w:p>
            <w:pPr>
              <w:bidi w:val="0"/>
              <w:rPr>
                <w:rFonts w:hint="eastAsia" w:ascii="宋体" w:hAnsi="宋体" w:eastAsia="宋体" w:cs="宋体"/>
                <w:color w:val="auto"/>
                <w:sz w:val="21"/>
                <w:szCs w:val="21"/>
                <w:highlight w:val="none"/>
              </w:rPr>
            </w:pPr>
          </w:p>
        </w:tc>
        <w:tc>
          <w:tcPr>
            <w:tcW w:w="2297" w:type="dxa"/>
            <w:gridSpan w:val="2"/>
          </w:tcPr>
          <w:p>
            <w:pPr>
              <w:bidi w:val="0"/>
              <w:rPr>
                <w:rFonts w:hint="eastAsia" w:ascii="宋体" w:hAnsi="宋体" w:eastAsia="宋体" w:cs="宋体"/>
                <w:color w:val="auto"/>
                <w:sz w:val="21"/>
                <w:szCs w:val="21"/>
                <w:highlight w:val="none"/>
              </w:rPr>
            </w:pPr>
          </w:p>
        </w:tc>
      </w:tr>
    </w:tbl>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p>
    <w:p>
      <w:pPr>
        <w:spacing w:before="156" w:beforeLines="50" w:after="312" w:afterLines="100"/>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附件2：承诺书</w:t>
      </w:r>
    </w:p>
    <w:p>
      <w:pPr>
        <w:rPr>
          <w:rFonts w:hint="eastAsia" w:ascii="宋体" w:hAnsi="宋体" w:eastAsia="宋体" w:cs="宋体"/>
          <w:color w:val="auto"/>
          <w:sz w:val="24"/>
          <w:szCs w:val="24"/>
          <w:highlight w:val="none"/>
        </w:rPr>
      </w:pPr>
    </w:p>
    <w:p>
      <w:pPr>
        <w:pStyle w:val="45"/>
        <w:spacing w:line="460" w:lineRule="exact"/>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承诺书</w:t>
      </w:r>
    </w:p>
    <w:p>
      <w:pPr>
        <w:pStyle w:val="45"/>
        <w:spacing w:line="460" w:lineRule="exact"/>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pPr>
        <w:spacing w:line="460" w:lineRule="exact"/>
        <w:ind w:firstLine="820" w:firstLineChars="342"/>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如若我方中标，我方承诺在</w:t>
      </w:r>
      <w:r>
        <w:rPr>
          <w:rFonts w:hint="eastAsia" w:hAnsi="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设计期间不因资金未及时到位而拖延工期，且保证在合同约定的期限内按质按量完成全部合同工作并移交及成果文件。</w:t>
      </w:r>
    </w:p>
    <w:p>
      <w:pPr>
        <w:pStyle w:val="45"/>
        <w:spacing w:line="460" w:lineRule="exact"/>
        <w:ind w:firstLine="2880" w:firstLineChars="1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（加盖单位公章）</w:t>
      </w:r>
    </w:p>
    <w:p>
      <w:pPr>
        <w:pStyle w:val="45"/>
        <w:spacing w:line="460" w:lineRule="exact"/>
        <w:ind w:firstLine="2880" w:firstLineChars="1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45"/>
        <w:spacing w:line="460" w:lineRule="exact"/>
        <w:ind w:firstLine="3360" w:firstLineChars="14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年    月    日</w:t>
      </w:r>
      <w:r>
        <w:rPr>
          <w:rFonts w:hint="eastAsia" w:ascii="宋体" w:hAnsi="宋体" w:eastAsia="宋体" w:cs="宋体"/>
          <w:color w:val="auto"/>
          <w:kern w:val="2"/>
          <w:sz w:val="24"/>
          <w:szCs w:val="24"/>
          <w:highlight w:val="none"/>
        </w:rPr>
        <w:t xml:space="preserve">                        </w:t>
      </w:r>
    </w:p>
    <w:p>
      <w:pPr>
        <w:contextualSpacing/>
        <w:rPr>
          <w:rFonts w:hint="eastAsia" w:ascii="宋体" w:hAnsi="宋体" w:eastAsia="宋体" w:cs="宋体"/>
          <w:b/>
          <w:bCs/>
          <w:color w:val="auto"/>
          <w:sz w:val="24"/>
          <w:szCs w:val="24"/>
          <w:highlight w:val="none"/>
        </w:rPr>
      </w:pPr>
    </w:p>
    <w:p>
      <w:pPr>
        <w:pStyle w:val="33"/>
        <w:ind w:firstLine="280"/>
        <w:contextualSpacing/>
        <w:rPr>
          <w:rFonts w:hint="eastAsia" w:ascii="宋体" w:hAnsi="宋体" w:eastAsia="宋体" w:cs="宋体"/>
          <w:color w:val="auto"/>
          <w:sz w:val="24"/>
          <w:szCs w:val="24"/>
          <w:highlight w:val="none"/>
        </w:rPr>
      </w:pPr>
    </w:p>
    <w:p>
      <w:pPr>
        <w:contextualSpacing/>
        <w:rPr>
          <w:rFonts w:hint="eastAsia" w:ascii="宋体" w:hAnsi="宋体" w:eastAsia="宋体" w:cs="宋体"/>
          <w:b/>
          <w:bCs/>
          <w:color w:val="auto"/>
          <w:sz w:val="24"/>
          <w:szCs w:val="24"/>
          <w:highlight w:val="none"/>
        </w:rPr>
      </w:pPr>
    </w:p>
    <w:p>
      <w:pPr>
        <w:contextualSpacing/>
        <w:rPr>
          <w:rFonts w:hint="eastAsia" w:ascii="宋体" w:hAnsi="宋体" w:eastAsia="宋体" w:cs="宋体"/>
          <w:b/>
          <w:bCs/>
          <w:color w:val="auto"/>
          <w:sz w:val="24"/>
          <w:szCs w:val="24"/>
          <w:highlight w:val="none"/>
        </w:rPr>
      </w:pPr>
    </w:p>
    <w:p>
      <w:pPr>
        <w:contextualSpacing/>
        <w:jc w:val="left"/>
        <w:rPr>
          <w:rFonts w:hint="eastAsia" w:ascii="宋体" w:hAnsi="宋体" w:eastAsia="宋体" w:cs="宋体"/>
          <w:b/>
          <w:color w:val="auto"/>
          <w:sz w:val="24"/>
          <w:szCs w:val="24"/>
          <w:highlight w:val="none"/>
        </w:rPr>
      </w:pPr>
    </w:p>
    <w:p>
      <w:pPr>
        <w:contextualSpacing/>
        <w:jc w:val="lef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w:t>
      </w:r>
    </w:p>
    <w:p>
      <w:pPr>
        <w:spacing w:line="460" w:lineRule="exact"/>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“不挂靠、不转包、不违法分包”专项承诺书</w:t>
      </w:r>
    </w:p>
    <w:p>
      <w:pPr>
        <w:spacing w:line="460" w:lineRule="exact"/>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（招标人）    </w:t>
      </w:r>
      <w:r>
        <w:rPr>
          <w:rFonts w:hint="eastAsia" w:ascii="宋体" w:hAnsi="宋体" w:eastAsia="宋体" w:cs="宋体"/>
          <w:color w:val="auto"/>
          <w:sz w:val="24"/>
          <w:szCs w:val="24"/>
          <w:highlight w:val="none"/>
        </w:rPr>
        <w:t>：</w:t>
      </w:r>
    </w:p>
    <w:p>
      <w:pPr>
        <w:spacing w:line="460" w:lineRule="exact"/>
        <w:ind w:firstLine="480" w:firstLineChars="200"/>
        <w:contextualSpacing/>
        <w:rPr>
          <w:rFonts w:hint="eastAsia" w:ascii="宋体" w:hAnsi="宋体" w:eastAsia="宋体" w:cs="宋体"/>
          <w:b/>
          <w:color w:val="auto"/>
          <w:sz w:val="24"/>
          <w:szCs w:val="24"/>
          <w:highlight w:val="none"/>
          <w:shd w:val="clear" w:color="auto" w:fill="FFFFFF"/>
        </w:rPr>
      </w:pPr>
      <w:r>
        <w:rPr>
          <w:rFonts w:hint="eastAsia" w:ascii="宋体" w:hAnsi="宋体" w:eastAsia="宋体" w:cs="宋体"/>
          <w:color w:val="auto"/>
          <w:sz w:val="24"/>
          <w:szCs w:val="24"/>
          <w:highlight w:val="none"/>
        </w:rPr>
        <w:t>我单位为守法经营的企业，针对本次（</w:t>
      </w:r>
      <w:r>
        <w:rPr>
          <w:rFonts w:hint="eastAsia" w:ascii="宋体" w:hAnsi="宋体" w:eastAsia="宋体" w:cs="宋体"/>
          <w:color w:val="auto"/>
          <w:sz w:val="24"/>
          <w:szCs w:val="24"/>
          <w:highlight w:val="none"/>
          <w:u w:val="single"/>
        </w:rPr>
        <w:t>项目及标段全称）</w:t>
      </w:r>
      <w:r>
        <w:rPr>
          <w:rFonts w:hint="eastAsia" w:ascii="宋体" w:hAnsi="宋体" w:eastAsia="宋体" w:cs="宋体"/>
          <w:color w:val="auto"/>
          <w:sz w:val="24"/>
          <w:szCs w:val="24"/>
          <w:highlight w:val="none"/>
        </w:rPr>
        <w:t>招标项目，我公司郑重承诺：</w:t>
      </w:r>
      <w:r>
        <w:rPr>
          <w:rFonts w:hint="eastAsia" w:ascii="宋体" w:hAnsi="宋体" w:eastAsia="宋体" w:cs="宋体"/>
          <w:b/>
          <w:color w:val="auto"/>
          <w:sz w:val="24"/>
          <w:szCs w:val="24"/>
          <w:highlight w:val="none"/>
          <w:shd w:val="clear" w:color="auto" w:fill="FFFFFF"/>
        </w:rPr>
        <w:t>绝不挂靠、不转包、不</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rFonts w:hint="eastAsia" w:ascii="宋体" w:hAnsi="宋体" w:eastAsia="宋体" w:cs="宋体"/>
          <w:color w:val="auto"/>
          <w:sz w:val="24"/>
          <w:szCs w:val="24"/>
          <w:highlight w:val="none"/>
        </w:rPr>
        <w:fldChar w:fldCharType="separate"/>
      </w:r>
      <w:r>
        <w:rPr>
          <w:rStyle w:val="41"/>
          <w:rFonts w:hint="eastAsia" w:ascii="宋体" w:hAnsi="宋体" w:eastAsia="宋体" w:cs="宋体"/>
          <w:b/>
          <w:color w:val="auto"/>
          <w:sz w:val="24"/>
          <w:szCs w:val="24"/>
          <w:highlight w:val="none"/>
          <w:shd w:val="clear" w:color="auto" w:fill="FFFFFF"/>
        </w:rPr>
        <w:t>违法分包</w:t>
      </w:r>
      <w:r>
        <w:rPr>
          <w:rStyle w:val="41"/>
          <w:rFonts w:hint="eastAsia" w:ascii="宋体" w:hAnsi="宋体" w:eastAsia="宋体" w:cs="宋体"/>
          <w:b/>
          <w:color w:val="auto"/>
          <w:sz w:val="24"/>
          <w:szCs w:val="24"/>
          <w:highlight w:val="none"/>
          <w:shd w:val="clear" w:color="auto" w:fill="FFFFFF"/>
        </w:rPr>
        <w:fldChar w:fldCharType="end"/>
      </w:r>
      <w:r>
        <w:rPr>
          <w:rFonts w:hint="eastAsia" w:ascii="宋体" w:hAnsi="宋体" w:eastAsia="宋体" w:cs="宋体"/>
          <w:b/>
          <w:color w:val="auto"/>
          <w:sz w:val="24"/>
          <w:szCs w:val="24"/>
          <w:highlight w:val="none"/>
          <w:shd w:val="clear" w:color="auto" w:fill="FFFFFF"/>
        </w:rPr>
        <w:t>。</w:t>
      </w:r>
    </w:p>
    <w:p>
      <w:pPr>
        <w:spacing w:line="4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若有挂靠、转包或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rFonts w:hint="eastAsia" w:ascii="宋体" w:hAnsi="宋体" w:eastAsia="宋体" w:cs="宋体"/>
          <w:color w:val="auto"/>
          <w:sz w:val="24"/>
          <w:szCs w:val="24"/>
          <w:highlight w:val="none"/>
        </w:rPr>
        <w:fldChar w:fldCharType="separate"/>
      </w:r>
      <w:r>
        <w:rPr>
          <w:rStyle w:val="41"/>
          <w:rFonts w:hint="eastAsia" w:ascii="宋体" w:hAnsi="宋体" w:eastAsia="宋体" w:cs="宋体"/>
          <w:color w:val="auto"/>
          <w:sz w:val="24"/>
          <w:szCs w:val="24"/>
          <w:highlight w:val="none"/>
          <w:shd w:val="clear" w:color="auto" w:fill="FFFFFF"/>
        </w:rPr>
        <w:t>违法分包</w:t>
      </w:r>
      <w:r>
        <w:rPr>
          <w:rStyle w:val="41"/>
          <w:rFonts w:hint="eastAsia" w:ascii="宋体" w:hAnsi="宋体" w:eastAsia="宋体" w:cs="宋体"/>
          <w:color w:val="auto"/>
          <w:sz w:val="24"/>
          <w:szCs w:val="24"/>
          <w:highlight w:val="none"/>
          <w:shd w:val="clear" w:color="auto" w:fill="FFFFFF"/>
        </w:rPr>
        <w:fldChar w:fldCharType="end"/>
      </w:r>
      <w:r>
        <w:rPr>
          <w:rFonts w:hint="eastAsia" w:ascii="宋体" w:hAnsi="宋体" w:eastAsia="宋体" w:cs="宋体"/>
          <w:color w:val="auto"/>
          <w:sz w:val="24"/>
          <w:szCs w:val="24"/>
          <w:highlight w:val="none"/>
          <w:shd w:val="clear" w:color="auto" w:fill="FFFFFF"/>
        </w:rPr>
        <w:t>行为愿意接受以下处罚：</w:t>
      </w:r>
    </w:p>
    <w:p>
      <w:pPr>
        <w:spacing w:line="460" w:lineRule="exact"/>
        <w:ind w:firstLine="480" w:firstLineChars="200"/>
        <w:contextualSpacing/>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1、由招标人向市、省和国家建设等行政主管部门报告，记入不良记录，并愿意接受任何处理决定；</w:t>
      </w:r>
    </w:p>
    <w:p>
      <w:pPr>
        <w:spacing w:line="460" w:lineRule="exact"/>
        <w:ind w:firstLine="480" w:firstLineChars="200"/>
        <w:contextualSpacing/>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 xml:space="preserve">    2、投标期间没收投标保证金，合同履行期间发包人有权责令其出场、没收履约保证金，并有权单方面取消承包人的中标资格，终止合同，</w:t>
      </w:r>
      <w:r>
        <w:rPr>
          <w:rFonts w:hint="eastAsia" w:hAnsi="宋体" w:cs="宋体"/>
          <w:b/>
          <w:color w:val="auto"/>
          <w:sz w:val="24"/>
          <w:szCs w:val="24"/>
          <w:highlight w:val="none"/>
          <w:shd w:val="clear" w:color="auto" w:fill="FFFFFF"/>
          <w:lang w:eastAsia="zh-CN"/>
        </w:rPr>
        <w:t>由此产生</w:t>
      </w:r>
      <w:r>
        <w:rPr>
          <w:rFonts w:hint="eastAsia" w:ascii="宋体" w:hAnsi="宋体" w:eastAsia="宋体" w:cs="宋体"/>
          <w:b/>
          <w:color w:val="auto"/>
          <w:sz w:val="24"/>
          <w:szCs w:val="24"/>
          <w:highlight w:val="none"/>
          <w:shd w:val="clear" w:color="auto" w:fill="FFFFFF"/>
        </w:rPr>
        <w:t>的责任和损失均由承包人负责，发包人有权向承包人索赔；</w:t>
      </w:r>
    </w:p>
    <w:p>
      <w:pPr>
        <w:spacing w:line="460" w:lineRule="exact"/>
        <w:ind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clear" w:color="auto" w:fill="FFFFFF"/>
        </w:rPr>
        <w:t xml:space="preserve">     3、由招标人联系司法机关追究相关法律责任。</w:t>
      </w:r>
    </w:p>
    <w:p>
      <w:pPr>
        <w:spacing w:line="460" w:lineRule="exact"/>
        <w:ind w:firstLine="480" w:firstLineChars="200"/>
        <w:contextualSpacing/>
        <w:rPr>
          <w:rFonts w:hint="eastAsia" w:ascii="宋体" w:hAnsi="宋体" w:eastAsia="宋体" w:cs="宋体"/>
          <w:color w:val="auto"/>
          <w:sz w:val="24"/>
          <w:szCs w:val="24"/>
          <w:highlight w:val="none"/>
        </w:rPr>
      </w:pPr>
    </w:p>
    <w:p>
      <w:pPr>
        <w:spacing w:line="460" w:lineRule="exact"/>
        <w:ind w:firstLine="480" w:firstLineChars="200"/>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单位全称： （盖  章） </w:t>
      </w:r>
    </w:p>
    <w:p>
      <w:pPr>
        <w:spacing w:line="460" w:lineRule="exact"/>
        <w:ind w:firstLine="480" w:firstLineChars="200"/>
        <w:contextualSpacing/>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 字） </w:t>
      </w:r>
    </w:p>
    <w:p>
      <w:pPr>
        <w:autoSpaceDE w:val="0"/>
        <w:autoSpaceDN w:val="0"/>
        <w:adjustRightInd w:val="0"/>
        <w:spacing w:line="460" w:lineRule="exact"/>
        <w:ind w:left="7000" w:hanging="6000" w:hangingChars="25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pStyle w:val="4"/>
        <w:tabs>
          <w:tab w:val="left" w:pos="3740"/>
        </w:tabs>
        <w:jc w:val="center"/>
        <w:rPr>
          <w:rFonts w:hint="eastAsia" w:ascii="宋体" w:hAnsi="宋体" w:eastAsia="宋体" w:cs="宋体"/>
          <w:color w:val="auto"/>
          <w:sz w:val="24"/>
          <w:szCs w:val="24"/>
          <w:highlight w:val="none"/>
        </w:rPr>
      </w:pPr>
      <w:bookmarkStart w:id="113" w:name="_Toc34742968"/>
      <w:r>
        <w:rPr>
          <w:rFonts w:hint="eastAsia" w:ascii="宋体" w:hAnsi="宋体" w:eastAsia="宋体" w:cs="宋体"/>
          <w:color w:val="auto"/>
          <w:sz w:val="28"/>
          <w:szCs w:val="28"/>
          <w:highlight w:val="none"/>
        </w:rPr>
        <w:t>六、投标单位基本情况表</w:t>
      </w:r>
      <w:bookmarkEnd w:id="113"/>
    </w:p>
    <w:tbl>
      <w:tblPr>
        <w:tblStyle w:val="3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bidi w:val="0"/>
              <w:rPr>
                <w:color w:val="auto"/>
                <w:sz w:val="21"/>
                <w:szCs w:val="21"/>
                <w:highlight w:val="none"/>
              </w:rPr>
            </w:pPr>
            <w:r>
              <w:rPr>
                <w:color w:val="auto"/>
                <w:sz w:val="21"/>
                <w:szCs w:val="21"/>
                <w:highlight w:val="none"/>
              </w:rPr>
              <w:t>投标人名称</w:t>
            </w:r>
          </w:p>
        </w:tc>
        <w:tc>
          <w:tcPr>
            <w:tcW w:w="6842" w:type="dxa"/>
            <w:gridSpan w:val="8"/>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bidi w:val="0"/>
              <w:rPr>
                <w:color w:val="auto"/>
                <w:sz w:val="21"/>
                <w:szCs w:val="21"/>
                <w:highlight w:val="none"/>
              </w:rPr>
            </w:pPr>
            <w:r>
              <w:rPr>
                <w:color w:val="auto"/>
                <w:sz w:val="21"/>
                <w:szCs w:val="21"/>
                <w:highlight w:val="none"/>
              </w:rPr>
              <w:t>注册地址</w:t>
            </w:r>
          </w:p>
        </w:tc>
        <w:tc>
          <w:tcPr>
            <w:tcW w:w="3212" w:type="dxa"/>
            <w:gridSpan w:val="3"/>
          </w:tcPr>
          <w:p>
            <w:pPr>
              <w:bidi w:val="0"/>
              <w:rPr>
                <w:color w:val="auto"/>
                <w:sz w:val="21"/>
                <w:szCs w:val="21"/>
                <w:highlight w:val="none"/>
              </w:rPr>
            </w:pPr>
          </w:p>
        </w:tc>
        <w:tc>
          <w:tcPr>
            <w:tcW w:w="1286" w:type="dxa"/>
            <w:gridSpan w:val="2"/>
          </w:tcPr>
          <w:p>
            <w:pPr>
              <w:bidi w:val="0"/>
              <w:rPr>
                <w:color w:val="auto"/>
                <w:sz w:val="21"/>
                <w:szCs w:val="21"/>
                <w:highlight w:val="none"/>
              </w:rPr>
            </w:pPr>
            <w:r>
              <w:rPr>
                <w:color w:val="auto"/>
                <w:sz w:val="21"/>
                <w:szCs w:val="21"/>
                <w:highlight w:val="none"/>
              </w:rPr>
              <w:t>邮政编码</w:t>
            </w:r>
          </w:p>
        </w:tc>
        <w:tc>
          <w:tcPr>
            <w:tcW w:w="2343" w:type="dxa"/>
            <w:gridSpan w:val="3"/>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tcPr>
          <w:p>
            <w:pPr>
              <w:bidi w:val="0"/>
              <w:rPr>
                <w:color w:val="auto"/>
                <w:sz w:val="21"/>
                <w:szCs w:val="21"/>
                <w:highlight w:val="none"/>
              </w:rPr>
            </w:pPr>
          </w:p>
          <w:p>
            <w:pPr>
              <w:bidi w:val="0"/>
              <w:rPr>
                <w:color w:val="auto"/>
                <w:sz w:val="21"/>
                <w:szCs w:val="21"/>
                <w:highlight w:val="none"/>
              </w:rPr>
            </w:pPr>
            <w:r>
              <w:rPr>
                <w:color w:val="auto"/>
                <w:sz w:val="21"/>
                <w:szCs w:val="21"/>
                <w:highlight w:val="none"/>
              </w:rPr>
              <w:t>联系方式</w:t>
            </w:r>
          </w:p>
        </w:tc>
        <w:tc>
          <w:tcPr>
            <w:tcW w:w="898" w:type="dxa"/>
          </w:tcPr>
          <w:p>
            <w:pPr>
              <w:bidi w:val="0"/>
              <w:rPr>
                <w:color w:val="auto"/>
                <w:sz w:val="21"/>
                <w:szCs w:val="21"/>
                <w:highlight w:val="none"/>
              </w:rPr>
            </w:pPr>
            <w:r>
              <w:rPr>
                <w:color w:val="auto"/>
                <w:sz w:val="21"/>
                <w:szCs w:val="21"/>
                <w:highlight w:val="none"/>
              </w:rPr>
              <w:t>联系人</w:t>
            </w:r>
          </w:p>
        </w:tc>
        <w:tc>
          <w:tcPr>
            <w:tcW w:w="2314" w:type="dxa"/>
            <w:gridSpan w:val="2"/>
          </w:tcPr>
          <w:p>
            <w:pPr>
              <w:bidi w:val="0"/>
              <w:rPr>
                <w:color w:val="auto"/>
                <w:sz w:val="21"/>
                <w:szCs w:val="21"/>
                <w:highlight w:val="none"/>
              </w:rPr>
            </w:pPr>
          </w:p>
        </w:tc>
        <w:tc>
          <w:tcPr>
            <w:tcW w:w="1286" w:type="dxa"/>
            <w:gridSpan w:val="2"/>
          </w:tcPr>
          <w:p>
            <w:pPr>
              <w:bidi w:val="0"/>
              <w:rPr>
                <w:color w:val="auto"/>
                <w:sz w:val="21"/>
                <w:szCs w:val="21"/>
                <w:highlight w:val="none"/>
              </w:rPr>
            </w:pPr>
            <w:r>
              <w:rPr>
                <w:color w:val="auto"/>
                <w:sz w:val="21"/>
                <w:szCs w:val="21"/>
                <w:highlight w:val="none"/>
              </w:rPr>
              <w:t>电 话</w:t>
            </w:r>
          </w:p>
        </w:tc>
        <w:tc>
          <w:tcPr>
            <w:tcW w:w="2343" w:type="dxa"/>
            <w:gridSpan w:val="3"/>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tcPr>
          <w:p>
            <w:pPr>
              <w:bidi w:val="0"/>
              <w:rPr>
                <w:color w:val="auto"/>
                <w:sz w:val="21"/>
                <w:szCs w:val="21"/>
                <w:highlight w:val="none"/>
              </w:rPr>
            </w:pPr>
          </w:p>
        </w:tc>
        <w:tc>
          <w:tcPr>
            <w:tcW w:w="898" w:type="dxa"/>
          </w:tcPr>
          <w:p>
            <w:pPr>
              <w:bidi w:val="0"/>
              <w:rPr>
                <w:color w:val="auto"/>
                <w:sz w:val="21"/>
                <w:szCs w:val="21"/>
                <w:highlight w:val="none"/>
              </w:rPr>
            </w:pPr>
            <w:r>
              <w:rPr>
                <w:color w:val="auto"/>
                <w:sz w:val="21"/>
                <w:szCs w:val="21"/>
                <w:highlight w:val="none"/>
              </w:rPr>
              <w:t>传</w:t>
            </w:r>
            <w:r>
              <w:rPr>
                <w:color w:val="auto"/>
                <w:sz w:val="21"/>
                <w:szCs w:val="21"/>
                <w:highlight w:val="none"/>
              </w:rPr>
              <w:tab/>
            </w:r>
            <w:r>
              <w:rPr>
                <w:color w:val="auto"/>
                <w:sz w:val="21"/>
                <w:szCs w:val="21"/>
                <w:highlight w:val="none"/>
              </w:rPr>
              <w:t>真</w:t>
            </w:r>
          </w:p>
        </w:tc>
        <w:tc>
          <w:tcPr>
            <w:tcW w:w="2314" w:type="dxa"/>
            <w:gridSpan w:val="2"/>
          </w:tcPr>
          <w:p>
            <w:pPr>
              <w:bidi w:val="0"/>
              <w:rPr>
                <w:color w:val="auto"/>
                <w:sz w:val="21"/>
                <w:szCs w:val="21"/>
                <w:highlight w:val="none"/>
              </w:rPr>
            </w:pPr>
          </w:p>
        </w:tc>
        <w:tc>
          <w:tcPr>
            <w:tcW w:w="1286" w:type="dxa"/>
            <w:gridSpan w:val="2"/>
          </w:tcPr>
          <w:p>
            <w:pPr>
              <w:bidi w:val="0"/>
              <w:rPr>
                <w:color w:val="auto"/>
                <w:sz w:val="21"/>
                <w:szCs w:val="21"/>
                <w:highlight w:val="none"/>
              </w:rPr>
            </w:pPr>
            <w:r>
              <w:rPr>
                <w:color w:val="auto"/>
                <w:sz w:val="21"/>
                <w:szCs w:val="21"/>
                <w:highlight w:val="none"/>
              </w:rPr>
              <w:t>网 址</w:t>
            </w:r>
          </w:p>
        </w:tc>
        <w:tc>
          <w:tcPr>
            <w:tcW w:w="2343" w:type="dxa"/>
            <w:gridSpan w:val="3"/>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bidi w:val="0"/>
              <w:rPr>
                <w:color w:val="auto"/>
                <w:sz w:val="21"/>
                <w:szCs w:val="21"/>
                <w:highlight w:val="none"/>
              </w:rPr>
            </w:pPr>
            <w:r>
              <w:rPr>
                <w:color w:val="auto"/>
                <w:sz w:val="21"/>
                <w:szCs w:val="21"/>
                <w:highlight w:val="none"/>
              </w:rPr>
              <w:t>法定代表人</w:t>
            </w:r>
          </w:p>
        </w:tc>
        <w:tc>
          <w:tcPr>
            <w:tcW w:w="898" w:type="dxa"/>
          </w:tcPr>
          <w:p>
            <w:pPr>
              <w:bidi w:val="0"/>
              <w:rPr>
                <w:color w:val="auto"/>
                <w:sz w:val="21"/>
                <w:szCs w:val="21"/>
                <w:highlight w:val="none"/>
              </w:rPr>
            </w:pPr>
            <w:r>
              <w:rPr>
                <w:color w:val="auto"/>
                <w:sz w:val="21"/>
                <w:szCs w:val="21"/>
                <w:highlight w:val="none"/>
              </w:rPr>
              <w:t>姓名</w:t>
            </w:r>
          </w:p>
        </w:tc>
        <w:tc>
          <w:tcPr>
            <w:tcW w:w="1027" w:type="dxa"/>
          </w:tcPr>
          <w:p>
            <w:pPr>
              <w:bidi w:val="0"/>
              <w:rPr>
                <w:color w:val="auto"/>
                <w:sz w:val="21"/>
                <w:szCs w:val="21"/>
                <w:highlight w:val="none"/>
              </w:rPr>
            </w:pPr>
          </w:p>
        </w:tc>
        <w:tc>
          <w:tcPr>
            <w:tcW w:w="1287" w:type="dxa"/>
          </w:tcPr>
          <w:p>
            <w:pPr>
              <w:bidi w:val="0"/>
              <w:rPr>
                <w:color w:val="auto"/>
                <w:sz w:val="21"/>
                <w:szCs w:val="21"/>
                <w:highlight w:val="none"/>
              </w:rPr>
            </w:pPr>
            <w:r>
              <w:rPr>
                <w:color w:val="auto"/>
                <w:sz w:val="21"/>
                <w:szCs w:val="21"/>
                <w:highlight w:val="none"/>
              </w:rPr>
              <w:t>技术职称</w:t>
            </w:r>
          </w:p>
        </w:tc>
        <w:tc>
          <w:tcPr>
            <w:tcW w:w="1286" w:type="dxa"/>
            <w:gridSpan w:val="2"/>
          </w:tcPr>
          <w:p>
            <w:pPr>
              <w:bidi w:val="0"/>
              <w:rPr>
                <w:color w:val="auto"/>
                <w:sz w:val="21"/>
                <w:szCs w:val="21"/>
                <w:highlight w:val="none"/>
              </w:rPr>
            </w:pPr>
          </w:p>
        </w:tc>
        <w:tc>
          <w:tcPr>
            <w:tcW w:w="1114" w:type="dxa"/>
            <w:gridSpan w:val="2"/>
          </w:tcPr>
          <w:p>
            <w:pPr>
              <w:bidi w:val="0"/>
              <w:rPr>
                <w:color w:val="auto"/>
                <w:sz w:val="21"/>
                <w:szCs w:val="21"/>
                <w:highlight w:val="none"/>
              </w:rPr>
            </w:pPr>
            <w:r>
              <w:rPr>
                <w:color w:val="auto"/>
                <w:sz w:val="21"/>
                <w:szCs w:val="21"/>
                <w:highlight w:val="none"/>
              </w:rPr>
              <w:t>电话</w:t>
            </w:r>
          </w:p>
        </w:tc>
        <w:tc>
          <w:tcPr>
            <w:tcW w:w="1229" w:type="dxa"/>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bidi w:val="0"/>
              <w:rPr>
                <w:color w:val="auto"/>
                <w:sz w:val="21"/>
                <w:szCs w:val="21"/>
                <w:highlight w:val="none"/>
              </w:rPr>
            </w:pPr>
            <w:r>
              <w:rPr>
                <w:color w:val="auto"/>
                <w:sz w:val="21"/>
                <w:szCs w:val="21"/>
                <w:highlight w:val="none"/>
              </w:rPr>
              <w:t>技术负责人</w:t>
            </w:r>
          </w:p>
        </w:tc>
        <w:tc>
          <w:tcPr>
            <w:tcW w:w="898" w:type="dxa"/>
          </w:tcPr>
          <w:p>
            <w:pPr>
              <w:bidi w:val="0"/>
              <w:rPr>
                <w:color w:val="auto"/>
                <w:sz w:val="21"/>
                <w:szCs w:val="21"/>
                <w:highlight w:val="none"/>
              </w:rPr>
            </w:pPr>
            <w:r>
              <w:rPr>
                <w:color w:val="auto"/>
                <w:sz w:val="21"/>
                <w:szCs w:val="21"/>
                <w:highlight w:val="none"/>
              </w:rPr>
              <w:t>姓名</w:t>
            </w:r>
          </w:p>
        </w:tc>
        <w:tc>
          <w:tcPr>
            <w:tcW w:w="1027" w:type="dxa"/>
          </w:tcPr>
          <w:p>
            <w:pPr>
              <w:bidi w:val="0"/>
              <w:rPr>
                <w:color w:val="auto"/>
                <w:sz w:val="21"/>
                <w:szCs w:val="21"/>
                <w:highlight w:val="none"/>
              </w:rPr>
            </w:pPr>
          </w:p>
        </w:tc>
        <w:tc>
          <w:tcPr>
            <w:tcW w:w="1287" w:type="dxa"/>
          </w:tcPr>
          <w:p>
            <w:pPr>
              <w:bidi w:val="0"/>
              <w:rPr>
                <w:color w:val="auto"/>
                <w:sz w:val="21"/>
                <w:szCs w:val="21"/>
                <w:highlight w:val="none"/>
              </w:rPr>
            </w:pPr>
            <w:r>
              <w:rPr>
                <w:color w:val="auto"/>
                <w:sz w:val="21"/>
                <w:szCs w:val="21"/>
                <w:highlight w:val="none"/>
              </w:rPr>
              <w:t>技术职称</w:t>
            </w:r>
          </w:p>
        </w:tc>
        <w:tc>
          <w:tcPr>
            <w:tcW w:w="1286" w:type="dxa"/>
            <w:gridSpan w:val="2"/>
          </w:tcPr>
          <w:p>
            <w:pPr>
              <w:bidi w:val="0"/>
              <w:rPr>
                <w:color w:val="auto"/>
                <w:sz w:val="21"/>
                <w:szCs w:val="21"/>
                <w:highlight w:val="none"/>
              </w:rPr>
            </w:pPr>
          </w:p>
        </w:tc>
        <w:tc>
          <w:tcPr>
            <w:tcW w:w="1114" w:type="dxa"/>
            <w:gridSpan w:val="2"/>
          </w:tcPr>
          <w:p>
            <w:pPr>
              <w:bidi w:val="0"/>
              <w:rPr>
                <w:color w:val="auto"/>
                <w:sz w:val="21"/>
                <w:szCs w:val="21"/>
                <w:highlight w:val="none"/>
              </w:rPr>
            </w:pPr>
            <w:r>
              <w:rPr>
                <w:color w:val="auto"/>
                <w:sz w:val="21"/>
                <w:szCs w:val="21"/>
                <w:highlight w:val="none"/>
              </w:rPr>
              <w:t>电话</w:t>
            </w:r>
          </w:p>
        </w:tc>
        <w:tc>
          <w:tcPr>
            <w:tcW w:w="1229" w:type="dxa"/>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trPr>
        <w:tc>
          <w:tcPr>
            <w:tcW w:w="2045" w:type="dxa"/>
          </w:tcPr>
          <w:p>
            <w:pPr>
              <w:bidi w:val="0"/>
              <w:rPr>
                <w:color w:val="auto"/>
                <w:sz w:val="21"/>
                <w:szCs w:val="21"/>
                <w:highlight w:val="none"/>
              </w:rPr>
            </w:pPr>
            <w:r>
              <w:rPr>
                <w:color w:val="auto"/>
                <w:sz w:val="21"/>
                <w:szCs w:val="21"/>
                <w:highlight w:val="none"/>
              </w:rPr>
              <w:t>企业</w:t>
            </w:r>
            <w:r>
              <w:rPr>
                <w:rFonts w:hint="eastAsia"/>
                <w:color w:val="auto"/>
                <w:sz w:val="21"/>
                <w:szCs w:val="21"/>
                <w:highlight w:val="none"/>
                <w:lang w:val="en-US" w:eastAsia="zh-CN"/>
              </w:rPr>
              <w:t>勘察、设计</w:t>
            </w:r>
            <w:r>
              <w:rPr>
                <w:color w:val="auto"/>
                <w:sz w:val="21"/>
                <w:szCs w:val="21"/>
                <w:highlight w:val="none"/>
              </w:rPr>
              <w:t>资质</w:t>
            </w:r>
          </w:p>
          <w:p>
            <w:pPr>
              <w:bidi w:val="0"/>
              <w:rPr>
                <w:color w:val="auto"/>
                <w:sz w:val="21"/>
                <w:szCs w:val="21"/>
                <w:highlight w:val="none"/>
              </w:rPr>
            </w:pPr>
            <w:r>
              <w:rPr>
                <w:color w:val="auto"/>
                <w:sz w:val="21"/>
                <w:szCs w:val="21"/>
                <w:highlight w:val="none"/>
              </w:rPr>
              <w:t>证书</w:t>
            </w:r>
          </w:p>
        </w:tc>
        <w:tc>
          <w:tcPr>
            <w:tcW w:w="6842" w:type="dxa"/>
            <w:gridSpan w:val="8"/>
          </w:tcPr>
          <w:p>
            <w:pPr>
              <w:bidi w:val="0"/>
              <w:ind w:firstLine="420" w:firstLineChars="200"/>
              <w:rPr>
                <w:color w:val="auto"/>
                <w:sz w:val="21"/>
                <w:szCs w:val="21"/>
                <w:highlight w:val="none"/>
              </w:rPr>
            </w:pPr>
            <w:r>
              <w:rPr>
                <w:color w:val="auto"/>
                <w:sz w:val="21"/>
                <w:szCs w:val="21"/>
                <w:highlight w:val="none"/>
              </w:rPr>
              <w:t>类型：</w:t>
            </w:r>
            <w:r>
              <w:rPr>
                <w:color w:val="auto"/>
                <w:sz w:val="21"/>
                <w:szCs w:val="21"/>
                <w:highlight w:val="none"/>
              </w:rPr>
              <w:tab/>
            </w:r>
            <w:r>
              <w:rPr>
                <w:color w:val="auto"/>
                <w:sz w:val="21"/>
                <w:szCs w:val="21"/>
                <w:highlight w:val="none"/>
              </w:rPr>
              <w:t>等级：</w:t>
            </w:r>
            <w:r>
              <w:rPr>
                <w:color w:val="auto"/>
                <w:sz w:val="21"/>
                <w:szCs w:val="21"/>
                <w:highlight w:val="none"/>
              </w:rPr>
              <w:tab/>
            </w:r>
            <w:r>
              <w:rPr>
                <w:color w:val="auto"/>
                <w:sz w:val="21"/>
                <w:szCs w:val="21"/>
                <w:highlight w:val="none"/>
              </w:rPr>
              <w:t>证书号：</w:t>
            </w:r>
          </w:p>
          <w:p>
            <w:pPr>
              <w:bidi w:val="0"/>
              <w:ind w:firstLine="420" w:firstLineChars="200"/>
              <w:rPr>
                <w:rFonts w:hint="eastAsia"/>
                <w:color w:val="auto"/>
                <w:sz w:val="21"/>
                <w:szCs w:val="21"/>
                <w:highlight w:val="none"/>
                <w:lang w:eastAsia="zh-CN"/>
              </w:rPr>
            </w:pPr>
            <w:r>
              <w:rPr>
                <w:color w:val="auto"/>
                <w:sz w:val="21"/>
                <w:szCs w:val="21"/>
                <w:highlight w:val="none"/>
              </w:rPr>
              <w:t>类型：</w:t>
            </w:r>
            <w:r>
              <w:rPr>
                <w:color w:val="auto"/>
                <w:sz w:val="21"/>
                <w:szCs w:val="21"/>
                <w:highlight w:val="none"/>
              </w:rPr>
              <w:tab/>
            </w:r>
            <w:r>
              <w:rPr>
                <w:color w:val="auto"/>
                <w:sz w:val="21"/>
                <w:szCs w:val="21"/>
                <w:highlight w:val="none"/>
              </w:rPr>
              <w:t>等级：</w:t>
            </w:r>
            <w:r>
              <w:rPr>
                <w:color w:val="auto"/>
                <w:sz w:val="21"/>
                <w:szCs w:val="21"/>
                <w:highlight w:val="none"/>
              </w:rPr>
              <w:tab/>
            </w:r>
            <w:r>
              <w:rPr>
                <w:color w:val="auto"/>
                <w:sz w:val="21"/>
                <w:szCs w:val="21"/>
                <w:highlight w:val="none"/>
              </w:rPr>
              <w:t>证书号</w:t>
            </w:r>
            <w:r>
              <w:rPr>
                <w:rFonts w:hint="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tcPr>
          <w:p>
            <w:pPr>
              <w:bidi w:val="0"/>
              <w:rPr>
                <w:color w:val="auto"/>
                <w:sz w:val="21"/>
                <w:szCs w:val="21"/>
                <w:highlight w:val="none"/>
              </w:rPr>
            </w:pPr>
            <w:r>
              <w:rPr>
                <w:color w:val="auto"/>
                <w:sz w:val="21"/>
                <w:szCs w:val="21"/>
                <w:highlight w:val="none"/>
              </w:rPr>
              <w:t>质量管理体系证书</w:t>
            </w:r>
          </w:p>
          <w:p>
            <w:pPr>
              <w:bidi w:val="0"/>
              <w:rPr>
                <w:color w:val="auto"/>
                <w:sz w:val="21"/>
                <w:szCs w:val="21"/>
                <w:highlight w:val="none"/>
              </w:rPr>
            </w:pPr>
            <w:r>
              <w:rPr>
                <w:color w:val="auto"/>
                <w:sz w:val="21"/>
                <w:szCs w:val="21"/>
                <w:highlight w:val="none"/>
              </w:rPr>
              <w:t>（如有）</w:t>
            </w:r>
          </w:p>
        </w:tc>
        <w:tc>
          <w:tcPr>
            <w:tcW w:w="6842" w:type="dxa"/>
            <w:gridSpan w:val="8"/>
          </w:tcPr>
          <w:p>
            <w:pPr>
              <w:bidi w:val="0"/>
              <w:rPr>
                <w:color w:val="auto"/>
                <w:sz w:val="21"/>
                <w:szCs w:val="21"/>
                <w:highlight w:val="none"/>
              </w:rPr>
            </w:pPr>
          </w:p>
          <w:p>
            <w:pPr>
              <w:bidi w:val="0"/>
              <w:ind w:firstLine="420" w:firstLineChars="200"/>
              <w:rPr>
                <w:color w:val="auto"/>
                <w:sz w:val="21"/>
                <w:szCs w:val="21"/>
                <w:highlight w:val="none"/>
              </w:rPr>
            </w:pPr>
            <w:r>
              <w:rPr>
                <w:color w:val="auto"/>
                <w:sz w:val="21"/>
                <w:szCs w:val="21"/>
                <w:highlight w:val="none"/>
              </w:rPr>
              <w:t>类型：</w:t>
            </w:r>
            <w:r>
              <w:rPr>
                <w:color w:val="auto"/>
                <w:sz w:val="21"/>
                <w:szCs w:val="21"/>
                <w:highlight w:val="none"/>
              </w:rPr>
              <w:tab/>
            </w:r>
            <w:r>
              <w:rPr>
                <w:color w:val="auto"/>
                <w:sz w:val="21"/>
                <w:szCs w:val="21"/>
                <w:highlight w:val="none"/>
              </w:rPr>
              <w:t>等级：</w:t>
            </w:r>
            <w:r>
              <w:rPr>
                <w:color w:val="auto"/>
                <w:sz w:val="21"/>
                <w:szCs w:val="21"/>
                <w:highlight w:val="none"/>
              </w:rPr>
              <w:tab/>
            </w:r>
            <w:r>
              <w:rPr>
                <w:color w:val="auto"/>
                <w:sz w:val="21"/>
                <w:szCs w:val="21"/>
                <w:highlight w:val="none"/>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bidi w:val="0"/>
              <w:rPr>
                <w:color w:val="auto"/>
                <w:sz w:val="21"/>
                <w:szCs w:val="21"/>
                <w:highlight w:val="none"/>
              </w:rPr>
            </w:pPr>
            <w:r>
              <w:rPr>
                <w:color w:val="auto"/>
                <w:sz w:val="21"/>
                <w:szCs w:val="21"/>
                <w:highlight w:val="none"/>
              </w:rPr>
              <w:t>营业执照号</w:t>
            </w:r>
          </w:p>
        </w:tc>
        <w:tc>
          <w:tcPr>
            <w:tcW w:w="3212" w:type="dxa"/>
            <w:gridSpan w:val="3"/>
          </w:tcPr>
          <w:p>
            <w:pPr>
              <w:bidi w:val="0"/>
              <w:rPr>
                <w:color w:val="auto"/>
                <w:sz w:val="21"/>
                <w:szCs w:val="21"/>
                <w:highlight w:val="none"/>
              </w:rPr>
            </w:pPr>
          </w:p>
        </w:tc>
        <w:tc>
          <w:tcPr>
            <w:tcW w:w="3629" w:type="dxa"/>
            <w:gridSpan w:val="5"/>
          </w:tcPr>
          <w:p>
            <w:pPr>
              <w:bidi w:val="0"/>
              <w:rPr>
                <w:color w:val="auto"/>
                <w:sz w:val="21"/>
                <w:szCs w:val="21"/>
                <w:highlight w:val="none"/>
              </w:rPr>
            </w:pPr>
            <w:r>
              <w:rPr>
                <w:color w:val="auto"/>
                <w:sz w:val="21"/>
                <w:szCs w:val="21"/>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bidi w:val="0"/>
              <w:rPr>
                <w:color w:val="auto"/>
                <w:sz w:val="21"/>
                <w:szCs w:val="21"/>
                <w:highlight w:val="none"/>
              </w:rPr>
            </w:pPr>
            <w:r>
              <w:rPr>
                <w:color w:val="auto"/>
                <w:sz w:val="21"/>
                <w:szCs w:val="21"/>
                <w:highlight w:val="none"/>
              </w:rPr>
              <w:t>注册资本</w:t>
            </w:r>
          </w:p>
        </w:tc>
        <w:tc>
          <w:tcPr>
            <w:tcW w:w="3212" w:type="dxa"/>
            <w:gridSpan w:val="3"/>
          </w:tcPr>
          <w:p>
            <w:pPr>
              <w:bidi w:val="0"/>
              <w:rPr>
                <w:color w:val="auto"/>
                <w:sz w:val="21"/>
                <w:szCs w:val="21"/>
                <w:highlight w:val="none"/>
              </w:rPr>
            </w:pPr>
          </w:p>
        </w:tc>
        <w:tc>
          <w:tcPr>
            <w:tcW w:w="415" w:type="dxa"/>
            <w:vMerge w:val="restart"/>
          </w:tcPr>
          <w:p>
            <w:pPr>
              <w:bidi w:val="0"/>
              <w:rPr>
                <w:color w:val="auto"/>
                <w:sz w:val="21"/>
                <w:szCs w:val="21"/>
                <w:highlight w:val="none"/>
              </w:rPr>
            </w:pPr>
          </w:p>
          <w:p>
            <w:pPr>
              <w:bidi w:val="0"/>
              <w:rPr>
                <w:color w:val="auto"/>
                <w:sz w:val="21"/>
                <w:szCs w:val="21"/>
                <w:highlight w:val="none"/>
              </w:rPr>
            </w:pPr>
          </w:p>
          <w:p>
            <w:pPr>
              <w:bidi w:val="0"/>
              <w:rPr>
                <w:color w:val="auto"/>
                <w:sz w:val="21"/>
                <w:szCs w:val="21"/>
                <w:highlight w:val="none"/>
              </w:rPr>
            </w:pPr>
            <w:r>
              <w:rPr>
                <w:color w:val="auto"/>
                <w:sz w:val="21"/>
                <w:szCs w:val="21"/>
                <w:highlight w:val="none"/>
              </w:rPr>
              <w:t>其 中</w:t>
            </w:r>
          </w:p>
        </w:tc>
        <w:tc>
          <w:tcPr>
            <w:tcW w:w="1699" w:type="dxa"/>
            <w:gridSpan w:val="2"/>
          </w:tcPr>
          <w:p>
            <w:pPr>
              <w:bidi w:val="0"/>
              <w:rPr>
                <w:color w:val="auto"/>
                <w:sz w:val="21"/>
                <w:szCs w:val="21"/>
                <w:highlight w:val="none"/>
              </w:rPr>
            </w:pPr>
            <w:r>
              <w:rPr>
                <w:color w:val="auto"/>
                <w:sz w:val="21"/>
                <w:szCs w:val="21"/>
                <w:highlight w:val="none"/>
              </w:rPr>
              <w:t>高级职称人员</w:t>
            </w:r>
          </w:p>
        </w:tc>
        <w:tc>
          <w:tcPr>
            <w:tcW w:w="1515" w:type="dxa"/>
            <w:gridSpan w:val="2"/>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bidi w:val="0"/>
              <w:rPr>
                <w:color w:val="auto"/>
                <w:sz w:val="21"/>
                <w:szCs w:val="21"/>
                <w:highlight w:val="none"/>
              </w:rPr>
            </w:pPr>
            <w:r>
              <w:rPr>
                <w:color w:val="auto"/>
                <w:sz w:val="21"/>
                <w:szCs w:val="21"/>
                <w:highlight w:val="none"/>
              </w:rPr>
              <w:t>成立日期</w:t>
            </w:r>
          </w:p>
        </w:tc>
        <w:tc>
          <w:tcPr>
            <w:tcW w:w="3212" w:type="dxa"/>
            <w:gridSpan w:val="3"/>
          </w:tcPr>
          <w:p>
            <w:pPr>
              <w:bidi w:val="0"/>
              <w:rPr>
                <w:color w:val="auto"/>
                <w:sz w:val="21"/>
                <w:szCs w:val="21"/>
                <w:highlight w:val="none"/>
              </w:rPr>
            </w:pPr>
          </w:p>
        </w:tc>
        <w:tc>
          <w:tcPr>
            <w:tcW w:w="415" w:type="dxa"/>
            <w:vMerge w:val="continue"/>
          </w:tcPr>
          <w:p>
            <w:pPr>
              <w:bidi w:val="0"/>
              <w:rPr>
                <w:color w:val="auto"/>
                <w:sz w:val="21"/>
                <w:szCs w:val="21"/>
                <w:highlight w:val="none"/>
              </w:rPr>
            </w:pPr>
          </w:p>
        </w:tc>
        <w:tc>
          <w:tcPr>
            <w:tcW w:w="1699" w:type="dxa"/>
            <w:gridSpan w:val="2"/>
          </w:tcPr>
          <w:p>
            <w:pPr>
              <w:bidi w:val="0"/>
              <w:rPr>
                <w:color w:val="auto"/>
                <w:sz w:val="21"/>
                <w:szCs w:val="21"/>
                <w:highlight w:val="none"/>
              </w:rPr>
            </w:pPr>
            <w:r>
              <w:rPr>
                <w:color w:val="auto"/>
                <w:sz w:val="21"/>
                <w:szCs w:val="21"/>
                <w:highlight w:val="none"/>
              </w:rPr>
              <w:t>中级职称人员</w:t>
            </w:r>
          </w:p>
        </w:tc>
        <w:tc>
          <w:tcPr>
            <w:tcW w:w="1515" w:type="dxa"/>
            <w:gridSpan w:val="2"/>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bidi w:val="0"/>
              <w:rPr>
                <w:color w:val="auto"/>
                <w:sz w:val="21"/>
                <w:szCs w:val="21"/>
                <w:highlight w:val="none"/>
              </w:rPr>
            </w:pPr>
            <w:r>
              <w:rPr>
                <w:color w:val="auto"/>
                <w:sz w:val="21"/>
                <w:szCs w:val="21"/>
                <w:highlight w:val="none"/>
              </w:rPr>
              <w:t>基本账户开户银行</w:t>
            </w:r>
          </w:p>
        </w:tc>
        <w:tc>
          <w:tcPr>
            <w:tcW w:w="3212" w:type="dxa"/>
            <w:gridSpan w:val="3"/>
          </w:tcPr>
          <w:p>
            <w:pPr>
              <w:bidi w:val="0"/>
              <w:rPr>
                <w:color w:val="auto"/>
                <w:sz w:val="21"/>
                <w:szCs w:val="21"/>
                <w:highlight w:val="none"/>
              </w:rPr>
            </w:pPr>
          </w:p>
        </w:tc>
        <w:tc>
          <w:tcPr>
            <w:tcW w:w="415" w:type="dxa"/>
            <w:vMerge w:val="continue"/>
          </w:tcPr>
          <w:p>
            <w:pPr>
              <w:bidi w:val="0"/>
              <w:rPr>
                <w:color w:val="auto"/>
                <w:sz w:val="21"/>
                <w:szCs w:val="21"/>
                <w:highlight w:val="none"/>
              </w:rPr>
            </w:pPr>
          </w:p>
        </w:tc>
        <w:tc>
          <w:tcPr>
            <w:tcW w:w="1699" w:type="dxa"/>
            <w:gridSpan w:val="2"/>
          </w:tcPr>
          <w:p>
            <w:pPr>
              <w:bidi w:val="0"/>
              <w:rPr>
                <w:color w:val="auto"/>
                <w:sz w:val="21"/>
                <w:szCs w:val="21"/>
                <w:highlight w:val="none"/>
              </w:rPr>
            </w:pPr>
            <w:r>
              <w:rPr>
                <w:color w:val="auto"/>
                <w:sz w:val="21"/>
                <w:szCs w:val="21"/>
                <w:highlight w:val="none"/>
              </w:rPr>
              <w:t>技术人员数量</w:t>
            </w:r>
          </w:p>
        </w:tc>
        <w:tc>
          <w:tcPr>
            <w:tcW w:w="1515" w:type="dxa"/>
            <w:gridSpan w:val="2"/>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bidi w:val="0"/>
              <w:rPr>
                <w:color w:val="auto"/>
                <w:sz w:val="21"/>
                <w:szCs w:val="21"/>
                <w:highlight w:val="none"/>
              </w:rPr>
            </w:pPr>
            <w:r>
              <w:rPr>
                <w:color w:val="auto"/>
                <w:sz w:val="21"/>
                <w:szCs w:val="21"/>
                <w:highlight w:val="none"/>
              </w:rPr>
              <w:t>基本账户银行账号</w:t>
            </w:r>
          </w:p>
        </w:tc>
        <w:tc>
          <w:tcPr>
            <w:tcW w:w="3212" w:type="dxa"/>
            <w:gridSpan w:val="3"/>
          </w:tcPr>
          <w:p>
            <w:pPr>
              <w:bidi w:val="0"/>
              <w:rPr>
                <w:color w:val="auto"/>
                <w:sz w:val="21"/>
                <w:szCs w:val="21"/>
                <w:highlight w:val="none"/>
              </w:rPr>
            </w:pPr>
          </w:p>
        </w:tc>
        <w:tc>
          <w:tcPr>
            <w:tcW w:w="415" w:type="dxa"/>
            <w:vMerge w:val="continue"/>
          </w:tcPr>
          <w:p>
            <w:pPr>
              <w:bidi w:val="0"/>
              <w:rPr>
                <w:color w:val="auto"/>
                <w:sz w:val="21"/>
                <w:szCs w:val="21"/>
                <w:highlight w:val="none"/>
              </w:rPr>
            </w:pPr>
          </w:p>
        </w:tc>
        <w:tc>
          <w:tcPr>
            <w:tcW w:w="1699" w:type="dxa"/>
            <w:gridSpan w:val="2"/>
          </w:tcPr>
          <w:p>
            <w:pPr>
              <w:bidi w:val="0"/>
              <w:rPr>
                <w:color w:val="auto"/>
                <w:sz w:val="21"/>
                <w:szCs w:val="21"/>
                <w:highlight w:val="none"/>
              </w:rPr>
            </w:pPr>
            <w:r>
              <w:rPr>
                <w:color w:val="auto"/>
                <w:sz w:val="21"/>
                <w:szCs w:val="21"/>
                <w:highlight w:val="none"/>
              </w:rPr>
              <w:t>各类注册人员</w:t>
            </w:r>
          </w:p>
        </w:tc>
        <w:tc>
          <w:tcPr>
            <w:tcW w:w="1515" w:type="dxa"/>
            <w:gridSpan w:val="2"/>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bidi w:val="0"/>
              <w:rPr>
                <w:color w:val="auto"/>
                <w:sz w:val="21"/>
                <w:szCs w:val="21"/>
                <w:highlight w:val="none"/>
              </w:rPr>
            </w:pPr>
            <w:r>
              <w:rPr>
                <w:color w:val="auto"/>
                <w:sz w:val="21"/>
                <w:szCs w:val="21"/>
                <w:highlight w:val="none"/>
              </w:rPr>
              <w:t>经营范围</w:t>
            </w:r>
          </w:p>
        </w:tc>
        <w:tc>
          <w:tcPr>
            <w:tcW w:w="6842" w:type="dxa"/>
            <w:gridSpan w:val="8"/>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tcPr>
          <w:p>
            <w:pPr>
              <w:bidi w:val="0"/>
              <w:rPr>
                <w:color w:val="auto"/>
                <w:sz w:val="21"/>
                <w:szCs w:val="21"/>
                <w:highlight w:val="none"/>
              </w:rPr>
            </w:pPr>
            <w:r>
              <w:rPr>
                <w:color w:val="auto"/>
                <w:sz w:val="21"/>
                <w:szCs w:val="21"/>
                <w:highlight w:val="none"/>
              </w:rPr>
              <w:t>投标人关联企业情 况（包括但不限于与 投标人法定代表人 为同一人或者存在 控股、管理关系的不</w:t>
            </w:r>
          </w:p>
          <w:p>
            <w:pPr>
              <w:bidi w:val="0"/>
              <w:rPr>
                <w:color w:val="auto"/>
                <w:sz w:val="21"/>
                <w:szCs w:val="21"/>
                <w:highlight w:val="none"/>
              </w:rPr>
            </w:pPr>
            <w:r>
              <w:rPr>
                <w:color w:val="auto"/>
                <w:sz w:val="21"/>
                <w:szCs w:val="21"/>
                <w:highlight w:val="none"/>
              </w:rPr>
              <w:t>同单位）</w:t>
            </w:r>
          </w:p>
        </w:tc>
        <w:tc>
          <w:tcPr>
            <w:tcW w:w="6842" w:type="dxa"/>
            <w:gridSpan w:val="8"/>
          </w:tcPr>
          <w:p>
            <w:pPr>
              <w:bidi w:val="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bidi w:val="0"/>
              <w:rPr>
                <w:color w:val="auto"/>
                <w:sz w:val="21"/>
                <w:szCs w:val="21"/>
                <w:highlight w:val="none"/>
              </w:rPr>
            </w:pPr>
            <w:r>
              <w:rPr>
                <w:color w:val="auto"/>
                <w:sz w:val="21"/>
                <w:szCs w:val="21"/>
                <w:highlight w:val="none"/>
              </w:rPr>
              <w:t>备注</w:t>
            </w:r>
          </w:p>
        </w:tc>
        <w:tc>
          <w:tcPr>
            <w:tcW w:w="6842" w:type="dxa"/>
            <w:gridSpan w:val="8"/>
          </w:tcPr>
          <w:p>
            <w:pPr>
              <w:bidi w:val="0"/>
              <w:rPr>
                <w:color w:val="auto"/>
                <w:sz w:val="21"/>
                <w:szCs w:val="21"/>
                <w:highlight w:val="none"/>
              </w:rPr>
            </w:pPr>
          </w:p>
        </w:tc>
      </w:tr>
    </w:tbl>
    <w:p>
      <w:pPr>
        <w:autoSpaceDE w:val="0"/>
        <w:autoSpaceDN w:val="0"/>
        <w:adjustRightInd w:val="0"/>
        <w:ind w:right="215"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备注：本表后应附企业法人营业执照、企业资质证书副本等材料的原件扫描件或图片。</w:t>
      </w:r>
      <w:bookmarkStart w:id="114" w:name="_Toc34742969"/>
    </w:p>
    <w:p>
      <w:pPr>
        <w:bidi w:val="0"/>
        <w:rPr>
          <w:rFonts w:hint="eastAsia"/>
          <w:color w:val="auto"/>
          <w:highlight w:val="none"/>
        </w:rPr>
      </w:pPr>
    </w:p>
    <w:p>
      <w:pPr>
        <w:bidi w:val="0"/>
        <w:rPr>
          <w:rFonts w:hint="eastAsia"/>
          <w:color w:val="auto"/>
          <w:highlight w:val="none"/>
        </w:rPr>
      </w:pPr>
    </w:p>
    <w:p>
      <w:pPr>
        <w:pStyle w:val="4"/>
        <w:ind w:firstLine="177"/>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七、企业荣誉及奖项</w:t>
      </w:r>
      <w:bookmarkEnd w:id="114"/>
    </w:p>
    <w:p>
      <w:pPr>
        <w:autoSpaceDE w:val="0"/>
        <w:autoSpaceDN w:val="0"/>
        <w:adjustRightInd w:val="0"/>
        <w:ind w:right="215"/>
        <w:contextualSpacing/>
        <w:rPr>
          <w:rFonts w:hint="eastAsia" w:ascii="宋体" w:hAnsi="宋体" w:eastAsia="宋体" w:cs="宋体"/>
          <w:b/>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5"/>
        <w:gridCol w:w="220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05"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05"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奖项名称</w:t>
            </w:r>
          </w:p>
        </w:tc>
        <w:tc>
          <w:tcPr>
            <w:tcW w:w="2205"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颁发时间</w:t>
            </w:r>
          </w:p>
        </w:tc>
        <w:tc>
          <w:tcPr>
            <w:tcW w:w="2205" w:type="dxa"/>
            <w:vAlign w:val="center"/>
          </w:tcPr>
          <w:p>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c>
          <w:tcPr>
            <w:tcW w:w="2205" w:type="dxa"/>
            <w:vAlign w:val="center"/>
          </w:tcPr>
          <w:p>
            <w:pPr>
              <w:contextualSpacing/>
              <w:jc w:val="center"/>
              <w:rPr>
                <w:rFonts w:hint="eastAsia" w:ascii="宋体" w:hAnsi="宋体" w:eastAsia="宋体" w:cs="宋体"/>
                <w:color w:val="auto"/>
                <w:sz w:val="24"/>
                <w:szCs w:val="24"/>
                <w:highlight w:val="none"/>
              </w:rPr>
            </w:pPr>
          </w:p>
        </w:tc>
      </w:tr>
    </w:tbl>
    <w:p>
      <w:pPr>
        <w:autoSpaceDE w:val="0"/>
        <w:autoSpaceDN w:val="0"/>
        <w:adjustRightInd w:val="0"/>
        <w:ind w:right="215"/>
        <w:contextualSpacing/>
        <w:rPr>
          <w:rFonts w:hint="eastAsia" w:ascii="宋体" w:hAnsi="宋体" w:eastAsia="宋体" w:cs="宋体"/>
          <w:color w:val="auto"/>
          <w:sz w:val="24"/>
          <w:szCs w:val="24"/>
          <w:highlight w:val="none"/>
        </w:rPr>
      </w:pPr>
    </w:p>
    <w:p>
      <w:pPr>
        <w:autoSpaceDE w:val="0"/>
        <w:autoSpaceDN w:val="0"/>
        <w:adjustRightInd w:val="0"/>
        <w:ind w:right="215"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注：本表后须提供获奖证书或相关证明文件，时间以证书颁发时间为准。</w:t>
      </w:r>
    </w:p>
    <w:p>
      <w:pPr>
        <w:autoSpaceDE w:val="0"/>
        <w:autoSpaceDN w:val="0"/>
        <w:adjustRightInd w:val="0"/>
        <w:ind w:right="215" w:firstLine="420"/>
        <w:contextualSpacing/>
        <w:jc w:val="center"/>
        <w:rPr>
          <w:rFonts w:hint="eastAsia" w:ascii="宋体" w:hAnsi="宋体" w:eastAsia="宋体" w:cs="宋体"/>
          <w:b/>
          <w:bCs/>
          <w:color w:val="auto"/>
          <w:sz w:val="24"/>
          <w:szCs w:val="24"/>
          <w:highlight w:val="none"/>
        </w:rPr>
      </w:pPr>
    </w:p>
    <w:p>
      <w:pPr>
        <w:pStyle w:val="33"/>
        <w:ind w:firstLine="280"/>
        <w:contextualSpacing/>
        <w:rPr>
          <w:rFonts w:hint="eastAsia" w:ascii="宋体" w:hAnsi="宋体" w:eastAsia="宋体" w:cs="宋体"/>
          <w:color w:val="auto"/>
          <w:sz w:val="24"/>
          <w:szCs w:val="24"/>
          <w:highlight w:val="none"/>
        </w:rPr>
      </w:pPr>
    </w:p>
    <w:p>
      <w:pPr>
        <w:pStyle w:val="33"/>
        <w:ind w:firstLine="280"/>
        <w:contextualSpacing/>
        <w:rPr>
          <w:rFonts w:hint="eastAsia" w:ascii="宋体" w:hAnsi="宋体" w:eastAsia="宋体" w:cs="宋体"/>
          <w:color w:val="auto"/>
          <w:sz w:val="24"/>
          <w:szCs w:val="24"/>
          <w:highlight w:val="none"/>
        </w:rPr>
      </w:pPr>
    </w:p>
    <w:p>
      <w:pPr>
        <w:pStyle w:val="33"/>
        <w:ind w:firstLine="280"/>
        <w:contextualSpacing/>
        <w:rPr>
          <w:rFonts w:hint="eastAsia" w:ascii="宋体" w:hAnsi="宋体" w:eastAsia="宋体" w:cs="宋体"/>
          <w:color w:val="auto"/>
          <w:sz w:val="24"/>
          <w:szCs w:val="24"/>
          <w:highlight w:val="none"/>
        </w:rPr>
      </w:pPr>
    </w:p>
    <w:p>
      <w:pPr>
        <w:pStyle w:val="33"/>
        <w:ind w:firstLine="280"/>
        <w:contextualSpacing/>
        <w:rPr>
          <w:rFonts w:hint="eastAsia" w:ascii="宋体" w:hAnsi="宋体" w:eastAsia="宋体" w:cs="宋体"/>
          <w:color w:val="auto"/>
          <w:sz w:val="24"/>
          <w:szCs w:val="24"/>
          <w:highlight w:val="none"/>
        </w:rPr>
      </w:pPr>
    </w:p>
    <w:p>
      <w:pPr>
        <w:pStyle w:val="33"/>
        <w:ind w:firstLine="280"/>
        <w:contextualSpacing/>
        <w:rPr>
          <w:rFonts w:hint="eastAsia" w:ascii="宋体" w:hAnsi="宋体" w:eastAsia="宋体" w:cs="宋体"/>
          <w:color w:val="auto"/>
          <w:sz w:val="24"/>
          <w:szCs w:val="24"/>
          <w:highlight w:val="none"/>
        </w:rPr>
      </w:pPr>
    </w:p>
    <w:p>
      <w:pPr>
        <w:pStyle w:val="33"/>
        <w:ind w:firstLine="280"/>
        <w:contextualSpacing/>
        <w:rPr>
          <w:rFonts w:hint="eastAsia" w:ascii="宋体" w:hAnsi="宋体" w:eastAsia="宋体" w:cs="宋体"/>
          <w:color w:val="auto"/>
          <w:sz w:val="24"/>
          <w:szCs w:val="24"/>
          <w:highlight w:val="none"/>
        </w:rPr>
      </w:pPr>
    </w:p>
    <w:p>
      <w:pPr>
        <w:pStyle w:val="3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3"/>
        <w:ind w:firstLine="280"/>
        <w:contextualSpacing/>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rPr>
      </w:pPr>
      <w:bookmarkStart w:id="115" w:name="_Toc34742970"/>
    </w:p>
    <w:p>
      <w:pPr>
        <w:pStyle w:val="4"/>
        <w:ind w:firstLine="177"/>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八、近年财务状况</w:t>
      </w:r>
      <w:bookmarkEnd w:id="115"/>
    </w:p>
    <w:p>
      <w:pPr>
        <w:autoSpaceDE w:val="0"/>
        <w:autoSpaceDN w:val="0"/>
        <w:adjustRightInd w:val="0"/>
        <w:ind w:right="215" w:firstLine="420"/>
        <w:contextualSpacing/>
        <w:rPr>
          <w:rFonts w:hint="eastAsia" w:ascii="宋体" w:hAnsi="宋体" w:eastAsia="宋体" w:cs="宋体"/>
          <w:color w:val="auto"/>
          <w:sz w:val="24"/>
          <w:szCs w:val="24"/>
          <w:highlight w:val="none"/>
        </w:rPr>
      </w:pPr>
    </w:p>
    <w:p>
      <w:pPr>
        <w:autoSpaceDE w:val="0"/>
        <w:autoSpaceDN w:val="0"/>
        <w:adjustRightInd w:val="0"/>
        <w:spacing w:line="360" w:lineRule="auto"/>
        <w:ind w:right="215"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备注：在此附经会计师事务所或审计机构审计的财务会计报表，具体年份及要求见第二章“投标人须知”的规定。</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ind w:firstLine="138"/>
        <w:jc w:val="center"/>
        <w:rPr>
          <w:rFonts w:hint="eastAsia" w:ascii="宋体" w:hAnsi="宋体" w:eastAsia="宋体" w:cs="宋体"/>
          <w:color w:val="auto"/>
          <w:sz w:val="24"/>
          <w:szCs w:val="24"/>
          <w:highlight w:val="none"/>
        </w:rPr>
      </w:pPr>
      <w:bookmarkStart w:id="116" w:name="_Toc34742971"/>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4"/>
        <w:ind w:firstLine="177"/>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九、近年完成的类似项目情况表</w:t>
      </w:r>
      <w:bookmarkEnd w:id="116"/>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项目名称</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项目所在地</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发包人名称</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269" w:type="dxa"/>
          </w:tcPr>
          <w:p>
            <w:pPr>
              <w:pStyle w:val="99"/>
              <w:rPr>
                <w:color w:val="auto"/>
                <w:sz w:val="17"/>
                <w:highlight w:val="none"/>
              </w:rPr>
            </w:pPr>
          </w:p>
          <w:p>
            <w:pPr>
              <w:pStyle w:val="99"/>
              <w:spacing w:before="1"/>
              <w:ind w:left="478" w:right="478"/>
              <w:jc w:val="center"/>
              <w:rPr>
                <w:color w:val="auto"/>
                <w:sz w:val="21"/>
                <w:highlight w:val="none"/>
              </w:rPr>
            </w:pPr>
            <w:r>
              <w:rPr>
                <w:color w:val="auto"/>
                <w:sz w:val="21"/>
                <w:highlight w:val="none"/>
              </w:rPr>
              <w:t>发包人地址</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发包人电话</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合同价格</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bidi w:val="0"/>
              <w:rPr>
                <w:color w:val="auto"/>
                <w:sz w:val="21"/>
                <w:szCs w:val="21"/>
                <w:highlight w:val="none"/>
              </w:rPr>
            </w:pPr>
          </w:p>
          <w:p>
            <w:pPr>
              <w:bidi w:val="0"/>
              <w:rPr>
                <w:color w:val="auto"/>
                <w:sz w:val="21"/>
                <w:szCs w:val="21"/>
                <w:highlight w:val="none"/>
              </w:rPr>
            </w:pPr>
            <w:r>
              <w:rPr>
                <w:rFonts w:hint="eastAsia"/>
                <w:color w:val="auto"/>
                <w:sz w:val="21"/>
                <w:szCs w:val="21"/>
                <w:highlight w:val="none"/>
                <w:lang w:eastAsia="zh-CN"/>
              </w:rPr>
              <w:t>（</w:t>
            </w:r>
            <w:r>
              <w:rPr>
                <w:color w:val="auto"/>
                <w:sz w:val="21"/>
                <w:szCs w:val="21"/>
                <w:highlight w:val="none"/>
              </w:rPr>
              <w:t>勘察</w:t>
            </w:r>
            <w:r>
              <w:rPr>
                <w:rFonts w:hint="eastAsia"/>
                <w:color w:val="auto"/>
                <w:sz w:val="21"/>
                <w:szCs w:val="21"/>
                <w:highlight w:val="none"/>
                <w:lang w:eastAsia="zh-CN"/>
              </w:rPr>
              <w:t>）</w:t>
            </w:r>
            <w:r>
              <w:rPr>
                <w:color w:val="auto"/>
                <w:sz w:val="21"/>
                <w:szCs w:val="21"/>
                <w:highlight w:val="none"/>
              </w:rPr>
              <w:t>设计服务期限</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bidi w:val="0"/>
              <w:rPr>
                <w:color w:val="auto"/>
                <w:sz w:val="21"/>
                <w:szCs w:val="21"/>
                <w:highlight w:val="none"/>
              </w:rPr>
            </w:pPr>
          </w:p>
          <w:p>
            <w:pPr>
              <w:bidi w:val="0"/>
              <w:rPr>
                <w:color w:val="auto"/>
                <w:sz w:val="21"/>
                <w:szCs w:val="21"/>
                <w:highlight w:val="none"/>
              </w:rPr>
            </w:pPr>
            <w:r>
              <w:rPr>
                <w:rFonts w:hint="eastAsia"/>
                <w:color w:val="auto"/>
                <w:sz w:val="21"/>
                <w:szCs w:val="21"/>
                <w:highlight w:val="none"/>
                <w:lang w:eastAsia="zh-CN"/>
              </w:rPr>
              <w:t>（</w:t>
            </w:r>
            <w:r>
              <w:rPr>
                <w:color w:val="auto"/>
                <w:sz w:val="21"/>
                <w:szCs w:val="21"/>
                <w:highlight w:val="none"/>
              </w:rPr>
              <w:t>勘察</w:t>
            </w:r>
            <w:r>
              <w:rPr>
                <w:rFonts w:hint="eastAsia"/>
                <w:color w:val="auto"/>
                <w:sz w:val="21"/>
                <w:szCs w:val="21"/>
                <w:highlight w:val="none"/>
                <w:lang w:eastAsia="zh-CN"/>
              </w:rPr>
              <w:t>）</w:t>
            </w:r>
            <w:r>
              <w:rPr>
                <w:color w:val="auto"/>
                <w:sz w:val="21"/>
                <w:szCs w:val="21"/>
                <w:highlight w:val="none"/>
              </w:rPr>
              <w:t>设计内容</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项目负责人</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269" w:type="dxa"/>
          </w:tcPr>
          <w:p>
            <w:pPr>
              <w:pStyle w:val="99"/>
              <w:rPr>
                <w:color w:val="auto"/>
                <w:sz w:val="20"/>
                <w:highlight w:val="none"/>
              </w:rPr>
            </w:pPr>
          </w:p>
          <w:p>
            <w:pPr>
              <w:pStyle w:val="99"/>
              <w:rPr>
                <w:color w:val="auto"/>
                <w:sz w:val="20"/>
                <w:highlight w:val="none"/>
              </w:rPr>
            </w:pPr>
          </w:p>
          <w:p>
            <w:pPr>
              <w:pStyle w:val="99"/>
              <w:rPr>
                <w:color w:val="auto"/>
                <w:sz w:val="20"/>
                <w:highlight w:val="none"/>
              </w:rPr>
            </w:pPr>
          </w:p>
          <w:p>
            <w:pPr>
              <w:pStyle w:val="99"/>
              <w:rPr>
                <w:color w:val="auto"/>
                <w:sz w:val="20"/>
                <w:highlight w:val="none"/>
              </w:rPr>
            </w:pPr>
          </w:p>
          <w:p>
            <w:pPr>
              <w:pStyle w:val="99"/>
              <w:spacing w:before="1"/>
              <w:rPr>
                <w:color w:val="auto"/>
                <w:sz w:val="29"/>
                <w:highlight w:val="none"/>
              </w:rPr>
            </w:pPr>
          </w:p>
          <w:p>
            <w:pPr>
              <w:pStyle w:val="99"/>
              <w:ind w:left="478" w:right="478"/>
              <w:jc w:val="center"/>
              <w:rPr>
                <w:color w:val="auto"/>
                <w:sz w:val="21"/>
                <w:highlight w:val="none"/>
              </w:rPr>
            </w:pPr>
            <w:r>
              <w:rPr>
                <w:color w:val="auto"/>
                <w:sz w:val="21"/>
                <w:highlight w:val="none"/>
              </w:rPr>
              <w:t>项目描述</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9" w:right="478"/>
              <w:jc w:val="center"/>
              <w:rPr>
                <w:color w:val="auto"/>
                <w:sz w:val="21"/>
                <w:highlight w:val="none"/>
              </w:rPr>
            </w:pPr>
            <w:r>
              <w:rPr>
                <w:color w:val="auto"/>
                <w:sz w:val="21"/>
                <w:highlight w:val="none"/>
              </w:rPr>
              <w:t>备注</w:t>
            </w:r>
          </w:p>
        </w:tc>
        <w:tc>
          <w:tcPr>
            <w:tcW w:w="6253" w:type="dxa"/>
          </w:tcPr>
          <w:p>
            <w:pPr>
              <w:rPr>
                <w:color w:val="auto"/>
                <w:highlight w:val="none"/>
              </w:rPr>
            </w:pPr>
          </w:p>
        </w:tc>
      </w:tr>
    </w:tbl>
    <w:p>
      <w:pPr>
        <w:contextualSpacing/>
        <w:rPr>
          <w:rFonts w:hint="eastAsia" w:ascii="宋体" w:hAnsi="宋体" w:eastAsia="宋体" w:cs="宋体"/>
          <w:b/>
          <w:color w:val="auto"/>
          <w:sz w:val="24"/>
          <w:szCs w:val="24"/>
          <w:highlight w:val="none"/>
        </w:rPr>
      </w:pPr>
    </w:p>
    <w:p>
      <w:pPr>
        <w:contextualSpacing/>
        <w:rPr>
          <w:rFonts w:hint="eastAsia" w:ascii="宋体" w:hAnsi="宋体" w:eastAsia="宋体" w:cs="宋体"/>
          <w:b/>
          <w:color w:val="auto"/>
          <w:sz w:val="24"/>
          <w:szCs w:val="24"/>
          <w:highlight w:val="none"/>
        </w:rPr>
      </w:pPr>
    </w:p>
    <w:p>
      <w:pPr>
        <w:contextualSpacing/>
        <w:rPr>
          <w:rFonts w:hint="eastAsia" w:ascii="宋体" w:hAnsi="宋体" w:eastAsia="宋体" w:cs="宋体"/>
          <w:b/>
          <w:color w:val="auto"/>
          <w:sz w:val="24"/>
          <w:szCs w:val="24"/>
          <w:highlight w:val="none"/>
        </w:rPr>
      </w:pPr>
    </w:p>
    <w:p>
      <w:pPr>
        <w:rPr>
          <w:rFonts w:hint="eastAsia" w:ascii="宋体" w:hAnsi="宋体" w:eastAsia="宋体" w:cs="宋体"/>
          <w:color w:val="auto"/>
          <w:sz w:val="24"/>
          <w:szCs w:val="24"/>
          <w:highlight w:val="none"/>
        </w:rPr>
      </w:pPr>
      <w:bookmarkStart w:id="117" w:name="_Toc34742972"/>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4"/>
        <w:ind w:firstLine="177"/>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w:t>
      </w:r>
      <w:bookmarkEnd w:id="117"/>
      <w:r>
        <w:rPr>
          <w:rFonts w:hint="eastAsia" w:ascii="宋体" w:hAnsi="宋体" w:eastAsia="宋体" w:cs="宋体"/>
          <w:color w:val="auto"/>
          <w:sz w:val="28"/>
          <w:szCs w:val="28"/>
          <w:highlight w:val="none"/>
        </w:rPr>
        <w:t>正在</w:t>
      </w:r>
      <w:r>
        <w:rPr>
          <w:rFonts w:hint="eastAsia" w:hAnsi="宋体" w:cs="宋体"/>
          <w:color w:val="auto"/>
          <w:sz w:val="28"/>
          <w:szCs w:val="28"/>
          <w:highlight w:val="none"/>
          <w:lang w:eastAsia="zh-CN"/>
        </w:rPr>
        <w:t>（</w:t>
      </w:r>
      <w:r>
        <w:rPr>
          <w:rFonts w:hint="eastAsia" w:hAnsi="宋体" w:cs="宋体"/>
          <w:color w:val="auto"/>
          <w:sz w:val="28"/>
          <w:szCs w:val="28"/>
          <w:highlight w:val="none"/>
          <w:lang w:val="en-US" w:eastAsia="zh-CN"/>
        </w:rPr>
        <w:t>勘察</w:t>
      </w:r>
      <w:r>
        <w:rPr>
          <w:rFonts w:hint="eastAsia" w:hAnsi="宋体" w:cs="宋体"/>
          <w:color w:val="auto"/>
          <w:sz w:val="28"/>
          <w:szCs w:val="28"/>
          <w:highlight w:val="none"/>
          <w:lang w:eastAsia="zh-CN"/>
        </w:rPr>
        <w:t>）</w:t>
      </w:r>
      <w:r>
        <w:rPr>
          <w:rFonts w:hint="eastAsia" w:ascii="宋体" w:hAnsi="宋体" w:eastAsia="宋体" w:cs="宋体"/>
          <w:color w:val="auto"/>
          <w:sz w:val="28"/>
          <w:szCs w:val="28"/>
          <w:highlight w:val="none"/>
        </w:rPr>
        <w:t>设计</w:t>
      </w:r>
      <w:r>
        <w:rPr>
          <w:rFonts w:hint="eastAsia" w:hAnsi="宋体" w:cs="宋体"/>
          <w:color w:val="auto"/>
          <w:sz w:val="28"/>
          <w:szCs w:val="28"/>
          <w:highlight w:val="none"/>
          <w:lang w:val="en-US" w:eastAsia="zh-CN"/>
        </w:rPr>
        <w:t>的</w:t>
      </w:r>
      <w:r>
        <w:rPr>
          <w:rFonts w:hint="eastAsia" w:ascii="宋体" w:hAnsi="宋体" w:eastAsia="宋体" w:cs="宋体"/>
          <w:color w:val="auto"/>
          <w:sz w:val="28"/>
          <w:szCs w:val="28"/>
          <w:highlight w:val="none"/>
        </w:rPr>
        <w:t>和新承接的项目情况表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项目名称</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项目所在地</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发包人名称</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269" w:type="dxa"/>
          </w:tcPr>
          <w:p>
            <w:pPr>
              <w:pStyle w:val="99"/>
              <w:rPr>
                <w:color w:val="auto"/>
                <w:sz w:val="17"/>
                <w:highlight w:val="none"/>
              </w:rPr>
            </w:pPr>
          </w:p>
          <w:p>
            <w:pPr>
              <w:pStyle w:val="99"/>
              <w:spacing w:before="1"/>
              <w:ind w:left="478" w:right="478"/>
              <w:jc w:val="center"/>
              <w:rPr>
                <w:color w:val="auto"/>
                <w:sz w:val="21"/>
                <w:highlight w:val="none"/>
              </w:rPr>
            </w:pPr>
            <w:r>
              <w:rPr>
                <w:color w:val="auto"/>
                <w:sz w:val="21"/>
                <w:highlight w:val="none"/>
              </w:rPr>
              <w:t>发包人地址</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发包人电话</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签约合同价</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bidi w:val="0"/>
              <w:rPr>
                <w:color w:val="auto"/>
                <w:sz w:val="21"/>
                <w:szCs w:val="21"/>
                <w:highlight w:val="none"/>
              </w:rPr>
            </w:pPr>
          </w:p>
          <w:p>
            <w:pPr>
              <w:bidi w:val="0"/>
              <w:rPr>
                <w:color w:val="auto"/>
                <w:sz w:val="21"/>
                <w:szCs w:val="21"/>
                <w:highlight w:val="none"/>
              </w:rPr>
            </w:pPr>
            <w:r>
              <w:rPr>
                <w:rFonts w:hint="eastAsia"/>
                <w:color w:val="auto"/>
                <w:sz w:val="21"/>
                <w:szCs w:val="21"/>
                <w:highlight w:val="none"/>
                <w:lang w:eastAsia="zh-CN"/>
              </w:rPr>
              <w:t>（</w:t>
            </w:r>
            <w:r>
              <w:rPr>
                <w:color w:val="auto"/>
                <w:sz w:val="21"/>
                <w:szCs w:val="21"/>
                <w:highlight w:val="none"/>
              </w:rPr>
              <w:t>勘察</w:t>
            </w:r>
            <w:r>
              <w:rPr>
                <w:rFonts w:hint="eastAsia"/>
                <w:color w:val="auto"/>
                <w:sz w:val="21"/>
                <w:szCs w:val="21"/>
                <w:highlight w:val="none"/>
                <w:lang w:eastAsia="zh-CN"/>
              </w:rPr>
              <w:t>）</w:t>
            </w:r>
            <w:r>
              <w:rPr>
                <w:color w:val="auto"/>
                <w:sz w:val="21"/>
                <w:szCs w:val="21"/>
                <w:highlight w:val="none"/>
              </w:rPr>
              <w:t>设计服务期限</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bidi w:val="0"/>
              <w:rPr>
                <w:color w:val="auto"/>
                <w:sz w:val="21"/>
                <w:szCs w:val="21"/>
                <w:highlight w:val="none"/>
              </w:rPr>
            </w:pPr>
          </w:p>
          <w:p>
            <w:pPr>
              <w:bidi w:val="0"/>
              <w:rPr>
                <w:color w:val="auto"/>
                <w:sz w:val="21"/>
                <w:szCs w:val="21"/>
                <w:highlight w:val="none"/>
              </w:rPr>
            </w:pPr>
            <w:r>
              <w:rPr>
                <w:rFonts w:hint="eastAsia"/>
                <w:color w:val="auto"/>
                <w:sz w:val="21"/>
                <w:szCs w:val="21"/>
                <w:highlight w:val="none"/>
                <w:lang w:eastAsia="zh-CN"/>
              </w:rPr>
              <w:t>（</w:t>
            </w:r>
            <w:r>
              <w:rPr>
                <w:color w:val="auto"/>
                <w:sz w:val="21"/>
                <w:szCs w:val="21"/>
                <w:highlight w:val="none"/>
              </w:rPr>
              <w:t>勘察</w:t>
            </w:r>
            <w:r>
              <w:rPr>
                <w:rFonts w:hint="eastAsia"/>
                <w:color w:val="auto"/>
                <w:sz w:val="21"/>
                <w:szCs w:val="21"/>
                <w:highlight w:val="none"/>
                <w:lang w:eastAsia="zh-CN"/>
              </w:rPr>
              <w:t>）</w:t>
            </w:r>
            <w:r>
              <w:rPr>
                <w:color w:val="auto"/>
                <w:sz w:val="21"/>
                <w:szCs w:val="21"/>
                <w:highlight w:val="none"/>
              </w:rPr>
              <w:t>设计内容</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8" w:right="478"/>
              <w:jc w:val="center"/>
              <w:rPr>
                <w:color w:val="auto"/>
                <w:sz w:val="21"/>
                <w:highlight w:val="none"/>
              </w:rPr>
            </w:pPr>
            <w:r>
              <w:rPr>
                <w:color w:val="auto"/>
                <w:sz w:val="21"/>
                <w:highlight w:val="none"/>
              </w:rPr>
              <w:t>项目负责人</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269" w:type="dxa"/>
          </w:tcPr>
          <w:p>
            <w:pPr>
              <w:pStyle w:val="99"/>
              <w:rPr>
                <w:color w:val="auto"/>
                <w:sz w:val="20"/>
                <w:highlight w:val="none"/>
              </w:rPr>
            </w:pPr>
          </w:p>
          <w:p>
            <w:pPr>
              <w:pStyle w:val="99"/>
              <w:rPr>
                <w:color w:val="auto"/>
                <w:sz w:val="20"/>
                <w:highlight w:val="none"/>
              </w:rPr>
            </w:pPr>
          </w:p>
          <w:p>
            <w:pPr>
              <w:pStyle w:val="99"/>
              <w:rPr>
                <w:color w:val="auto"/>
                <w:sz w:val="20"/>
                <w:highlight w:val="none"/>
              </w:rPr>
            </w:pPr>
          </w:p>
          <w:p>
            <w:pPr>
              <w:pStyle w:val="99"/>
              <w:rPr>
                <w:color w:val="auto"/>
                <w:sz w:val="20"/>
                <w:highlight w:val="none"/>
              </w:rPr>
            </w:pPr>
          </w:p>
          <w:p>
            <w:pPr>
              <w:pStyle w:val="99"/>
              <w:spacing w:before="1"/>
              <w:rPr>
                <w:color w:val="auto"/>
                <w:sz w:val="29"/>
                <w:highlight w:val="none"/>
              </w:rPr>
            </w:pPr>
          </w:p>
          <w:p>
            <w:pPr>
              <w:pStyle w:val="99"/>
              <w:ind w:left="478" w:right="478"/>
              <w:jc w:val="center"/>
              <w:rPr>
                <w:color w:val="auto"/>
                <w:sz w:val="21"/>
                <w:highlight w:val="none"/>
              </w:rPr>
            </w:pPr>
            <w:r>
              <w:rPr>
                <w:color w:val="auto"/>
                <w:sz w:val="21"/>
                <w:highlight w:val="none"/>
              </w:rPr>
              <w:t>项目描述</w:t>
            </w:r>
          </w:p>
        </w:tc>
        <w:tc>
          <w:tcPr>
            <w:tcW w:w="6253"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99"/>
              <w:rPr>
                <w:color w:val="auto"/>
                <w:sz w:val="17"/>
                <w:highlight w:val="none"/>
              </w:rPr>
            </w:pPr>
          </w:p>
          <w:p>
            <w:pPr>
              <w:pStyle w:val="99"/>
              <w:ind w:left="479" w:right="478"/>
              <w:jc w:val="center"/>
              <w:rPr>
                <w:color w:val="auto"/>
                <w:sz w:val="21"/>
                <w:highlight w:val="none"/>
              </w:rPr>
            </w:pPr>
            <w:r>
              <w:rPr>
                <w:color w:val="auto"/>
                <w:sz w:val="21"/>
                <w:highlight w:val="none"/>
              </w:rPr>
              <w:t>备注</w:t>
            </w:r>
          </w:p>
        </w:tc>
        <w:tc>
          <w:tcPr>
            <w:tcW w:w="6253" w:type="dxa"/>
          </w:tcPr>
          <w:p>
            <w:pPr>
              <w:rPr>
                <w:color w:val="auto"/>
                <w:highlight w:val="none"/>
              </w:rPr>
            </w:pPr>
          </w:p>
        </w:tc>
      </w:tr>
    </w:tbl>
    <w:p>
      <w:pPr>
        <w:autoSpaceDE w:val="0"/>
        <w:autoSpaceDN w:val="0"/>
        <w:adjustRightInd w:val="0"/>
        <w:ind w:right="215"/>
        <w:contextualSpacing/>
        <w:jc w:val="center"/>
        <w:rPr>
          <w:rFonts w:hint="eastAsia" w:ascii="宋体" w:hAnsi="宋体" w:eastAsia="宋体" w:cs="宋体"/>
          <w:b/>
          <w:bCs/>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pStyle w:val="33"/>
        <w:ind w:firstLine="28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ind w:firstLine="177"/>
        <w:jc w:val="center"/>
        <w:rPr>
          <w:rFonts w:hint="eastAsia" w:ascii="宋体" w:hAnsi="宋体" w:eastAsia="宋体" w:cs="宋体"/>
          <w:color w:val="auto"/>
          <w:sz w:val="28"/>
          <w:szCs w:val="28"/>
          <w:highlight w:val="none"/>
        </w:rPr>
      </w:pPr>
      <w:bookmarkStart w:id="118" w:name="_Toc34742973"/>
      <w:r>
        <w:rPr>
          <w:rFonts w:hint="eastAsia" w:ascii="宋体" w:hAnsi="宋体" w:eastAsia="宋体" w:cs="宋体"/>
          <w:color w:val="auto"/>
          <w:sz w:val="28"/>
          <w:szCs w:val="28"/>
          <w:highlight w:val="none"/>
        </w:rPr>
        <w:t>十一、近年发生的诉讼及仲裁情况</w:t>
      </w:r>
      <w:bookmarkEnd w:id="118"/>
    </w:p>
    <w:p>
      <w:pPr>
        <w:autoSpaceDE w:val="0"/>
        <w:autoSpaceDN w:val="0"/>
        <w:adjustRightInd w:val="0"/>
        <w:ind w:right="215"/>
        <w:contextualSpacing/>
        <w:jc w:val="center"/>
        <w:rPr>
          <w:rFonts w:hint="eastAsia" w:ascii="宋体" w:hAnsi="宋体" w:eastAsia="宋体" w:cs="宋体"/>
          <w:b/>
          <w:bCs/>
          <w:color w:val="auto"/>
          <w:sz w:val="24"/>
          <w:szCs w:val="24"/>
          <w:highlight w:val="none"/>
        </w:rPr>
      </w:pPr>
    </w:p>
    <w:p>
      <w:pPr>
        <w:pStyle w:val="4"/>
        <w:ind w:firstLine="157"/>
        <w:jc w:val="center"/>
        <w:rPr>
          <w:rFonts w:hint="eastAsia" w:ascii="宋体" w:hAnsi="宋体" w:eastAsia="宋体" w:cs="宋体"/>
          <w:color w:val="auto"/>
          <w:sz w:val="28"/>
          <w:szCs w:val="28"/>
          <w:highlight w:val="none"/>
        </w:rPr>
      </w:pPr>
      <w:bookmarkStart w:id="119" w:name="_Toc34742974"/>
    </w:p>
    <w:p>
      <w:pPr>
        <w:pStyle w:val="4"/>
        <w:ind w:firstLine="157"/>
        <w:jc w:val="center"/>
        <w:rPr>
          <w:rFonts w:hint="eastAsia" w:ascii="宋体" w:hAnsi="宋体" w:eastAsia="宋体" w:cs="宋体"/>
          <w:color w:val="auto"/>
          <w:sz w:val="28"/>
          <w:szCs w:val="28"/>
          <w:highlight w:val="none"/>
        </w:rPr>
      </w:pPr>
    </w:p>
    <w:p>
      <w:pPr>
        <w:pStyle w:val="4"/>
        <w:ind w:firstLine="157"/>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十二、投标人须知前附表规定的其他材料</w:t>
      </w:r>
      <w:bookmarkEnd w:id="69"/>
      <w:bookmarkEnd w:id="70"/>
      <w:bookmarkEnd w:id="71"/>
      <w:bookmarkEnd w:id="72"/>
      <w:bookmarkEnd w:id="73"/>
      <w:bookmarkEnd w:id="119"/>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sectPr>
      <w:footerReference r:id="rId8" w:type="first"/>
      <w:headerReference r:id="rId6" w:type="default"/>
      <w:footerReference r:id="rId7" w:type="default"/>
      <w:pgSz w:w="11906" w:h="16838"/>
      <w:pgMar w:top="1304" w:right="1134" w:bottom="1304" w:left="1134" w:header="851"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8BDC8F9-2A8F-455B-A124-BCF617A8CF82}"/>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C0C541A8-D679-481B-8F9D-2863C2375F05}"/>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embedRegular r:id="rId3" w:fontKey="{2E338316-8DCD-4AAB-89A0-71BED114FC24}"/>
  </w:font>
  <w:font w:name="方正小标宋简体">
    <w:panose1 w:val="02000000000000000000"/>
    <w:charset w:val="86"/>
    <w:family w:val="script"/>
    <w:pitch w:val="default"/>
    <w:sig w:usb0="00000001" w:usb1="08000000" w:usb2="00000000" w:usb3="00000000" w:csb0="00040000" w:csb1="00000000"/>
    <w:embedRegular r:id="rId4" w:fontKey="{60F26FA1-5559-4D01-B8CE-18BB68C8A770}"/>
  </w:font>
  <w:font w:name="华文中宋">
    <w:panose1 w:val="02010600040101010101"/>
    <w:charset w:val="86"/>
    <w:family w:val="auto"/>
    <w:pitch w:val="default"/>
    <w:sig w:usb0="00000287" w:usb1="080F0000" w:usb2="00000000" w:usb3="00000000" w:csb0="0004009F" w:csb1="DFD70000"/>
    <w:embedRegular r:id="rId5" w:fontKey="{29BB30B6-9319-49CF-BAA0-C9DE478EF21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6" name="文本框 1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I2nFfTECAABUBAAADgAAAAAAAAABACAAAAAgAQAAZHJzL2Uyb0RvYy54bWxQSwUG&#10;AAAAAAYABgBZAQAAwwUAAAAA&#10;">
              <v:fill on="f" focussize="0,0"/>
              <v:stroke on="f" weight="0.5pt"/>
              <v:imagedata o:title=""/>
              <o:lock v:ext="edit" aspectratio="f"/>
              <v:textbox inset="0mm,0mm,0mm,0mm" style="mso-fit-shape-to-text:t;">
                <w:txbxContent>
                  <w:p>
                    <w:pPr>
                      <w:pStyle w:val="2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2"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xQoCTDACAABVBAAADgAAAAAAAAABACAAAAAhAQAAZHJzL2Uyb0RvYy54bWxQSwUG&#10;AAAAAAYABgBZAQAAwwUAAAAA&#10;">
              <v:fill on="f" focussize="0,0"/>
              <v:stroke on="f" weight="0.5pt"/>
              <v:imagedata o:title=""/>
              <o:lock v:ext="edit" aspectratio="f"/>
              <v:textbox inset="0mm,0mm,0mm,0mm" style="mso-fit-shape-to-text:t;">
                <w:txbxContent>
                  <w:p>
                    <w:pPr>
                      <w:pStyle w:val="2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rPr>
        <w:sz w:val="3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D9BAA"/>
    <w:multiLevelType w:val="singleLevel"/>
    <w:tmpl w:val="84AD9BAA"/>
    <w:lvl w:ilvl="0" w:tentative="0">
      <w:start w:val="1"/>
      <w:numFmt w:val="chineseCounting"/>
      <w:suff w:val="nothing"/>
      <w:lvlText w:val="%1、"/>
      <w:lvlJc w:val="left"/>
      <w:pPr>
        <w:ind w:left="840" w:firstLine="420"/>
      </w:pPr>
      <w:rPr>
        <w:rFonts w:hint="eastAsia"/>
      </w:rPr>
    </w:lvl>
  </w:abstractNum>
  <w:abstractNum w:abstractNumId="1">
    <w:nsid w:val="C55BC15F"/>
    <w:multiLevelType w:val="singleLevel"/>
    <w:tmpl w:val="C55BC15F"/>
    <w:lvl w:ilvl="0" w:tentative="0">
      <w:start w:val="1"/>
      <w:numFmt w:val="chineseCounting"/>
      <w:suff w:val="nothing"/>
      <w:lvlText w:val="%1、"/>
      <w:lvlJc w:val="left"/>
      <w:pPr>
        <w:ind w:left="0" w:firstLine="420"/>
      </w:pPr>
      <w:rPr>
        <w:rFonts w:hint="eastAsia"/>
      </w:rPr>
    </w:lvl>
  </w:abstractNum>
  <w:abstractNum w:abstractNumId="2">
    <w:nsid w:val="33F473BD"/>
    <w:multiLevelType w:val="singleLevel"/>
    <w:tmpl w:val="33F473BD"/>
    <w:lvl w:ilvl="0" w:tentative="0">
      <w:start w:val="4"/>
      <w:numFmt w:val="chineseCounting"/>
      <w:suff w:val="space"/>
      <w:lvlText w:val="第%1章"/>
      <w:lvlJc w:val="left"/>
      <w:rPr>
        <w:rFonts w:hint="eastAsia"/>
      </w:rPr>
    </w:lvl>
  </w:abstractNum>
  <w:abstractNum w:abstractNumId="3">
    <w:nsid w:val="7778B880"/>
    <w:multiLevelType w:val="singleLevel"/>
    <w:tmpl w:val="7778B880"/>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3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DI3YTEzMGE2ZWQ1M2M4YjkwNzQ3ZDJmYjZjNjUifQ=="/>
  </w:docVars>
  <w:rsids>
    <w:rsidRoot w:val="00172A27"/>
    <w:rsid w:val="00002165"/>
    <w:rsid w:val="000206AB"/>
    <w:rsid w:val="00020C45"/>
    <w:rsid w:val="0002487C"/>
    <w:rsid w:val="000307B7"/>
    <w:rsid w:val="0004677C"/>
    <w:rsid w:val="00053998"/>
    <w:rsid w:val="0005578B"/>
    <w:rsid w:val="00056F61"/>
    <w:rsid w:val="00061810"/>
    <w:rsid w:val="00061BCD"/>
    <w:rsid w:val="000712EF"/>
    <w:rsid w:val="0008358D"/>
    <w:rsid w:val="000948C6"/>
    <w:rsid w:val="000A0646"/>
    <w:rsid w:val="000A720A"/>
    <w:rsid w:val="000C5130"/>
    <w:rsid w:val="000D038F"/>
    <w:rsid w:val="000D0E00"/>
    <w:rsid w:val="000D70F0"/>
    <w:rsid w:val="000D761F"/>
    <w:rsid w:val="000E2033"/>
    <w:rsid w:val="000F52B5"/>
    <w:rsid w:val="000F5B86"/>
    <w:rsid w:val="00100498"/>
    <w:rsid w:val="0011639C"/>
    <w:rsid w:val="00117A4F"/>
    <w:rsid w:val="00141371"/>
    <w:rsid w:val="00145854"/>
    <w:rsid w:val="001617DE"/>
    <w:rsid w:val="0016212C"/>
    <w:rsid w:val="001621DF"/>
    <w:rsid w:val="00170351"/>
    <w:rsid w:val="00172A27"/>
    <w:rsid w:val="00176F7E"/>
    <w:rsid w:val="00190A8C"/>
    <w:rsid w:val="001912DC"/>
    <w:rsid w:val="001A030E"/>
    <w:rsid w:val="001A0CCF"/>
    <w:rsid w:val="001B7BE4"/>
    <w:rsid w:val="001C7AF9"/>
    <w:rsid w:val="001C7C8B"/>
    <w:rsid w:val="001E18A6"/>
    <w:rsid w:val="001E4D19"/>
    <w:rsid w:val="00205C6A"/>
    <w:rsid w:val="0021062E"/>
    <w:rsid w:val="00215CE4"/>
    <w:rsid w:val="002175FB"/>
    <w:rsid w:val="002225A8"/>
    <w:rsid w:val="00223194"/>
    <w:rsid w:val="00223978"/>
    <w:rsid w:val="002330D7"/>
    <w:rsid w:val="0024756F"/>
    <w:rsid w:val="00262141"/>
    <w:rsid w:val="0027780B"/>
    <w:rsid w:val="00280C6E"/>
    <w:rsid w:val="002838F3"/>
    <w:rsid w:val="00285179"/>
    <w:rsid w:val="00290A21"/>
    <w:rsid w:val="002941A4"/>
    <w:rsid w:val="002966BB"/>
    <w:rsid w:val="002A38DB"/>
    <w:rsid w:val="002B449E"/>
    <w:rsid w:val="002B6CFD"/>
    <w:rsid w:val="002C349A"/>
    <w:rsid w:val="002E4AC4"/>
    <w:rsid w:val="002E5D21"/>
    <w:rsid w:val="00304A59"/>
    <w:rsid w:val="0032098B"/>
    <w:rsid w:val="003329E0"/>
    <w:rsid w:val="00344459"/>
    <w:rsid w:val="003506AC"/>
    <w:rsid w:val="00352160"/>
    <w:rsid w:val="00354011"/>
    <w:rsid w:val="003666F0"/>
    <w:rsid w:val="00377806"/>
    <w:rsid w:val="0038300E"/>
    <w:rsid w:val="00385434"/>
    <w:rsid w:val="00386B3C"/>
    <w:rsid w:val="00393239"/>
    <w:rsid w:val="003963BC"/>
    <w:rsid w:val="003A64AC"/>
    <w:rsid w:val="003B04D0"/>
    <w:rsid w:val="003B483B"/>
    <w:rsid w:val="003B7BFC"/>
    <w:rsid w:val="003E2B83"/>
    <w:rsid w:val="003E5FBF"/>
    <w:rsid w:val="003E7787"/>
    <w:rsid w:val="003F06C8"/>
    <w:rsid w:val="003F16E6"/>
    <w:rsid w:val="003F292E"/>
    <w:rsid w:val="00404A7B"/>
    <w:rsid w:val="004064C6"/>
    <w:rsid w:val="004116B0"/>
    <w:rsid w:val="0041298A"/>
    <w:rsid w:val="00415BC0"/>
    <w:rsid w:val="00415F75"/>
    <w:rsid w:val="00416279"/>
    <w:rsid w:val="004200A1"/>
    <w:rsid w:val="00425C54"/>
    <w:rsid w:val="00440A37"/>
    <w:rsid w:val="00442F54"/>
    <w:rsid w:val="0044423C"/>
    <w:rsid w:val="00447C9B"/>
    <w:rsid w:val="004501F4"/>
    <w:rsid w:val="00460F0E"/>
    <w:rsid w:val="00461496"/>
    <w:rsid w:val="004622E3"/>
    <w:rsid w:val="004648C0"/>
    <w:rsid w:val="0047049E"/>
    <w:rsid w:val="00477253"/>
    <w:rsid w:val="00485602"/>
    <w:rsid w:val="00497640"/>
    <w:rsid w:val="004A0686"/>
    <w:rsid w:val="004A662C"/>
    <w:rsid w:val="004C1527"/>
    <w:rsid w:val="004C2CFA"/>
    <w:rsid w:val="004D21E7"/>
    <w:rsid w:val="004D2B00"/>
    <w:rsid w:val="004D3442"/>
    <w:rsid w:val="004D4388"/>
    <w:rsid w:val="004D4ACD"/>
    <w:rsid w:val="004D67C6"/>
    <w:rsid w:val="004E06CE"/>
    <w:rsid w:val="004E2E23"/>
    <w:rsid w:val="004E3346"/>
    <w:rsid w:val="004E3A03"/>
    <w:rsid w:val="004F1948"/>
    <w:rsid w:val="00500D76"/>
    <w:rsid w:val="005046F1"/>
    <w:rsid w:val="00505474"/>
    <w:rsid w:val="0051467F"/>
    <w:rsid w:val="005203E6"/>
    <w:rsid w:val="00521D31"/>
    <w:rsid w:val="00567406"/>
    <w:rsid w:val="00576B9F"/>
    <w:rsid w:val="00576DE9"/>
    <w:rsid w:val="005A722F"/>
    <w:rsid w:val="005A7DF1"/>
    <w:rsid w:val="005B35F4"/>
    <w:rsid w:val="005B4B16"/>
    <w:rsid w:val="005C2FC1"/>
    <w:rsid w:val="005C7B38"/>
    <w:rsid w:val="005C7D89"/>
    <w:rsid w:val="005D63C0"/>
    <w:rsid w:val="005E1B1D"/>
    <w:rsid w:val="005E77ED"/>
    <w:rsid w:val="005F5DB4"/>
    <w:rsid w:val="006009F8"/>
    <w:rsid w:val="0061138F"/>
    <w:rsid w:val="0061516E"/>
    <w:rsid w:val="0062656E"/>
    <w:rsid w:val="00627B5D"/>
    <w:rsid w:val="006321AA"/>
    <w:rsid w:val="00647429"/>
    <w:rsid w:val="00661C56"/>
    <w:rsid w:val="00670388"/>
    <w:rsid w:val="00696913"/>
    <w:rsid w:val="006A3BD6"/>
    <w:rsid w:val="006A5386"/>
    <w:rsid w:val="006A5E6A"/>
    <w:rsid w:val="006B08B8"/>
    <w:rsid w:val="006B3950"/>
    <w:rsid w:val="006B525D"/>
    <w:rsid w:val="006C4683"/>
    <w:rsid w:val="006C58EE"/>
    <w:rsid w:val="006D2897"/>
    <w:rsid w:val="006D3A14"/>
    <w:rsid w:val="006D5BAE"/>
    <w:rsid w:val="006D6994"/>
    <w:rsid w:val="006E42B1"/>
    <w:rsid w:val="006F263A"/>
    <w:rsid w:val="006F2F1D"/>
    <w:rsid w:val="00701FE7"/>
    <w:rsid w:val="0070443C"/>
    <w:rsid w:val="00711825"/>
    <w:rsid w:val="00715420"/>
    <w:rsid w:val="00715CEE"/>
    <w:rsid w:val="007235DE"/>
    <w:rsid w:val="007258B7"/>
    <w:rsid w:val="00730C7C"/>
    <w:rsid w:val="0074102E"/>
    <w:rsid w:val="00741680"/>
    <w:rsid w:val="00743906"/>
    <w:rsid w:val="00751460"/>
    <w:rsid w:val="007545F3"/>
    <w:rsid w:val="00760E93"/>
    <w:rsid w:val="007675A2"/>
    <w:rsid w:val="0077071E"/>
    <w:rsid w:val="007838C2"/>
    <w:rsid w:val="0078772C"/>
    <w:rsid w:val="007A249B"/>
    <w:rsid w:val="007B2BA4"/>
    <w:rsid w:val="007C1BEC"/>
    <w:rsid w:val="007C65BC"/>
    <w:rsid w:val="007C74AE"/>
    <w:rsid w:val="007D1872"/>
    <w:rsid w:val="007E2EFF"/>
    <w:rsid w:val="007E6E4C"/>
    <w:rsid w:val="007F00E2"/>
    <w:rsid w:val="007F6E1C"/>
    <w:rsid w:val="008100C7"/>
    <w:rsid w:val="0081250A"/>
    <w:rsid w:val="0081767F"/>
    <w:rsid w:val="0082156C"/>
    <w:rsid w:val="008224F7"/>
    <w:rsid w:val="00827E47"/>
    <w:rsid w:val="008353F2"/>
    <w:rsid w:val="00837836"/>
    <w:rsid w:val="00843389"/>
    <w:rsid w:val="00855EAA"/>
    <w:rsid w:val="0086256C"/>
    <w:rsid w:val="00866A73"/>
    <w:rsid w:val="00894659"/>
    <w:rsid w:val="008A0D4C"/>
    <w:rsid w:val="008A6355"/>
    <w:rsid w:val="008B0C19"/>
    <w:rsid w:val="008B19B5"/>
    <w:rsid w:val="008D64E5"/>
    <w:rsid w:val="008D77C9"/>
    <w:rsid w:val="008F0CB9"/>
    <w:rsid w:val="008F5961"/>
    <w:rsid w:val="009035CE"/>
    <w:rsid w:val="00903E33"/>
    <w:rsid w:val="009046D3"/>
    <w:rsid w:val="00906655"/>
    <w:rsid w:val="00913652"/>
    <w:rsid w:val="00914023"/>
    <w:rsid w:val="009211DC"/>
    <w:rsid w:val="00922BEC"/>
    <w:rsid w:val="00936B24"/>
    <w:rsid w:val="00942D61"/>
    <w:rsid w:val="00953E1B"/>
    <w:rsid w:val="00960292"/>
    <w:rsid w:val="009702AD"/>
    <w:rsid w:val="00971BC1"/>
    <w:rsid w:val="00985D17"/>
    <w:rsid w:val="009A54C5"/>
    <w:rsid w:val="009B0078"/>
    <w:rsid w:val="009B413B"/>
    <w:rsid w:val="009C15B6"/>
    <w:rsid w:val="009C7275"/>
    <w:rsid w:val="009E392F"/>
    <w:rsid w:val="009E399B"/>
    <w:rsid w:val="009E474B"/>
    <w:rsid w:val="009E64A0"/>
    <w:rsid w:val="009E6D32"/>
    <w:rsid w:val="009F6862"/>
    <w:rsid w:val="00A02446"/>
    <w:rsid w:val="00A11DD3"/>
    <w:rsid w:val="00A11E71"/>
    <w:rsid w:val="00A12DF3"/>
    <w:rsid w:val="00A205FA"/>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A6A09"/>
    <w:rsid w:val="00AC4975"/>
    <w:rsid w:val="00AD298E"/>
    <w:rsid w:val="00AD7AC3"/>
    <w:rsid w:val="00AE100A"/>
    <w:rsid w:val="00AE432D"/>
    <w:rsid w:val="00AF1EF9"/>
    <w:rsid w:val="00AF2C84"/>
    <w:rsid w:val="00B05078"/>
    <w:rsid w:val="00B11B44"/>
    <w:rsid w:val="00B3016A"/>
    <w:rsid w:val="00B309E0"/>
    <w:rsid w:val="00B3250C"/>
    <w:rsid w:val="00B33A32"/>
    <w:rsid w:val="00B52AA1"/>
    <w:rsid w:val="00B6036D"/>
    <w:rsid w:val="00B6140C"/>
    <w:rsid w:val="00B64709"/>
    <w:rsid w:val="00B81F2F"/>
    <w:rsid w:val="00B84440"/>
    <w:rsid w:val="00B97E45"/>
    <w:rsid w:val="00BA1328"/>
    <w:rsid w:val="00BA3D75"/>
    <w:rsid w:val="00BC2BAE"/>
    <w:rsid w:val="00BC4812"/>
    <w:rsid w:val="00BE3E23"/>
    <w:rsid w:val="00BE4A23"/>
    <w:rsid w:val="00BF3412"/>
    <w:rsid w:val="00BF3D10"/>
    <w:rsid w:val="00BF64FD"/>
    <w:rsid w:val="00C069A4"/>
    <w:rsid w:val="00C179DF"/>
    <w:rsid w:val="00C32821"/>
    <w:rsid w:val="00C40DF7"/>
    <w:rsid w:val="00C616A4"/>
    <w:rsid w:val="00C63EA8"/>
    <w:rsid w:val="00C81E1C"/>
    <w:rsid w:val="00C82665"/>
    <w:rsid w:val="00C83852"/>
    <w:rsid w:val="00C840A3"/>
    <w:rsid w:val="00C94803"/>
    <w:rsid w:val="00C96F90"/>
    <w:rsid w:val="00CC2ADE"/>
    <w:rsid w:val="00CD7C23"/>
    <w:rsid w:val="00CF455D"/>
    <w:rsid w:val="00D01B2E"/>
    <w:rsid w:val="00D14B49"/>
    <w:rsid w:val="00D23424"/>
    <w:rsid w:val="00D30BB3"/>
    <w:rsid w:val="00D33253"/>
    <w:rsid w:val="00D479FE"/>
    <w:rsid w:val="00D6617A"/>
    <w:rsid w:val="00D763A0"/>
    <w:rsid w:val="00D76418"/>
    <w:rsid w:val="00D82AF8"/>
    <w:rsid w:val="00D8521A"/>
    <w:rsid w:val="00DA20B7"/>
    <w:rsid w:val="00DA29A1"/>
    <w:rsid w:val="00DA2BDF"/>
    <w:rsid w:val="00DA3EDB"/>
    <w:rsid w:val="00DC5ADB"/>
    <w:rsid w:val="00DE66BC"/>
    <w:rsid w:val="00DE77C1"/>
    <w:rsid w:val="00DF7149"/>
    <w:rsid w:val="00DF7553"/>
    <w:rsid w:val="00E04A80"/>
    <w:rsid w:val="00E10CA0"/>
    <w:rsid w:val="00E1107C"/>
    <w:rsid w:val="00E26CD1"/>
    <w:rsid w:val="00E44B4D"/>
    <w:rsid w:val="00E52A0A"/>
    <w:rsid w:val="00E538F9"/>
    <w:rsid w:val="00E603CB"/>
    <w:rsid w:val="00E644D1"/>
    <w:rsid w:val="00E66398"/>
    <w:rsid w:val="00E719F2"/>
    <w:rsid w:val="00E75C90"/>
    <w:rsid w:val="00EA5008"/>
    <w:rsid w:val="00EB030B"/>
    <w:rsid w:val="00EB7565"/>
    <w:rsid w:val="00F03446"/>
    <w:rsid w:val="00F06F47"/>
    <w:rsid w:val="00F10827"/>
    <w:rsid w:val="00F43C2A"/>
    <w:rsid w:val="00F467A0"/>
    <w:rsid w:val="00F63C92"/>
    <w:rsid w:val="00F67CC6"/>
    <w:rsid w:val="00F701DA"/>
    <w:rsid w:val="00F70363"/>
    <w:rsid w:val="00F728FE"/>
    <w:rsid w:val="00F7314E"/>
    <w:rsid w:val="00F9261B"/>
    <w:rsid w:val="00F96FE0"/>
    <w:rsid w:val="00FA19A9"/>
    <w:rsid w:val="00FA563C"/>
    <w:rsid w:val="00FA7AF4"/>
    <w:rsid w:val="00FB34E1"/>
    <w:rsid w:val="00FB52C0"/>
    <w:rsid w:val="00FC0C1C"/>
    <w:rsid w:val="00FD2C2A"/>
    <w:rsid w:val="00FE199D"/>
    <w:rsid w:val="00FE4731"/>
    <w:rsid w:val="00FE563D"/>
    <w:rsid w:val="00FF206D"/>
    <w:rsid w:val="00FF29C1"/>
    <w:rsid w:val="00FF7975"/>
    <w:rsid w:val="010422EE"/>
    <w:rsid w:val="010B1A6C"/>
    <w:rsid w:val="010E73C0"/>
    <w:rsid w:val="01110E06"/>
    <w:rsid w:val="011922C1"/>
    <w:rsid w:val="011A5453"/>
    <w:rsid w:val="011B5EC7"/>
    <w:rsid w:val="011C4FCB"/>
    <w:rsid w:val="011F41CF"/>
    <w:rsid w:val="01234E3E"/>
    <w:rsid w:val="01296C1F"/>
    <w:rsid w:val="01325959"/>
    <w:rsid w:val="01486A70"/>
    <w:rsid w:val="014A322C"/>
    <w:rsid w:val="014C4E4F"/>
    <w:rsid w:val="0158740A"/>
    <w:rsid w:val="016962E4"/>
    <w:rsid w:val="017976CF"/>
    <w:rsid w:val="01865784"/>
    <w:rsid w:val="018708CC"/>
    <w:rsid w:val="01916193"/>
    <w:rsid w:val="01961EEE"/>
    <w:rsid w:val="019C1840"/>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5B95"/>
    <w:rsid w:val="02247BED"/>
    <w:rsid w:val="0225032D"/>
    <w:rsid w:val="02262B8E"/>
    <w:rsid w:val="02352F22"/>
    <w:rsid w:val="02397D55"/>
    <w:rsid w:val="023A3804"/>
    <w:rsid w:val="023B5027"/>
    <w:rsid w:val="023B7FBB"/>
    <w:rsid w:val="02431DC0"/>
    <w:rsid w:val="0248240F"/>
    <w:rsid w:val="02505855"/>
    <w:rsid w:val="02510E5A"/>
    <w:rsid w:val="02581F53"/>
    <w:rsid w:val="025C776F"/>
    <w:rsid w:val="025F2843"/>
    <w:rsid w:val="026223DF"/>
    <w:rsid w:val="026631F1"/>
    <w:rsid w:val="02675512"/>
    <w:rsid w:val="026A3323"/>
    <w:rsid w:val="026B531D"/>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EB0626"/>
    <w:rsid w:val="02F679FE"/>
    <w:rsid w:val="02FD37F2"/>
    <w:rsid w:val="03156621"/>
    <w:rsid w:val="03163FAD"/>
    <w:rsid w:val="031A2A62"/>
    <w:rsid w:val="03213611"/>
    <w:rsid w:val="032248BA"/>
    <w:rsid w:val="032359AD"/>
    <w:rsid w:val="033B664C"/>
    <w:rsid w:val="033E4D02"/>
    <w:rsid w:val="03457EE3"/>
    <w:rsid w:val="034C0ABC"/>
    <w:rsid w:val="034E4787"/>
    <w:rsid w:val="03500B36"/>
    <w:rsid w:val="0364090D"/>
    <w:rsid w:val="036647A3"/>
    <w:rsid w:val="036A5698"/>
    <w:rsid w:val="037039DE"/>
    <w:rsid w:val="037571BD"/>
    <w:rsid w:val="03770009"/>
    <w:rsid w:val="03771167"/>
    <w:rsid w:val="037C3E90"/>
    <w:rsid w:val="0385544A"/>
    <w:rsid w:val="038E41B6"/>
    <w:rsid w:val="03966709"/>
    <w:rsid w:val="03971F22"/>
    <w:rsid w:val="0397597E"/>
    <w:rsid w:val="03985275"/>
    <w:rsid w:val="03AA4FC1"/>
    <w:rsid w:val="03B20F4F"/>
    <w:rsid w:val="03B676B0"/>
    <w:rsid w:val="03C069E5"/>
    <w:rsid w:val="03C10F03"/>
    <w:rsid w:val="03DD73B7"/>
    <w:rsid w:val="03E04E1A"/>
    <w:rsid w:val="03E8463F"/>
    <w:rsid w:val="03E85EE4"/>
    <w:rsid w:val="03EE65E6"/>
    <w:rsid w:val="03F04217"/>
    <w:rsid w:val="03F07992"/>
    <w:rsid w:val="03F5780A"/>
    <w:rsid w:val="03F630D5"/>
    <w:rsid w:val="04054A2B"/>
    <w:rsid w:val="04064707"/>
    <w:rsid w:val="040934D0"/>
    <w:rsid w:val="040E2349"/>
    <w:rsid w:val="04122E14"/>
    <w:rsid w:val="04123476"/>
    <w:rsid w:val="0414519C"/>
    <w:rsid w:val="041461E1"/>
    <w:rsid w:val="041729A1"/>
    <w:rsid w:val="042275C0"/>
    <w:rsid w:val="042630B7"/>
    <w:rsid w:val="042B2101"/>
    <w:rsid w:val="042E2E4B"/>
    <w:rsid w:val="04343D80"/>
    <w:rsid w:val="04366698"/>
    <w:rsid w:val="043738DE"/>
    <w:rsid w:val="0438675C"/>
    <w:rsid w:val="043A1192"/>
    <w:rsid w:val="04433B28"/>
    <w:rsid w:val="04475344"/>
    <w:rsid w:val="044F5570"/>
    <w:rsid w:val="04605E2A"/>
    <w:rsid w:val="04663D13"/>
    <w:rsid w:val="046A0239"/>
    <w:rsid w:val="046C195A"/>
    <w:rsid w:val="046E1037"/>
    <w:rsid w:val="04722C01"/>
    <w:rsid w:val="048266DA"/>
    <w:rsid w:val="04833A0F"/>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293E"/>
    <w:rsid w:val="04DF3FCB"/>
    <w:rsid w:val="04E05700"/>
    <w:rsid w:val="04E172CD"/>
    <w:rsid w:val="04E41E41"/>
    <w:rsid w:val="04E43029"/>
    <w:rsid w:val="04E929B4"/>
    <w:rsid w:val="04EA3AA0"/>
    <w:rsid w:val="04F57CA3"/>
    <w:rsid w:val="04F61493"/>
    <w:rsid w:val="05166C6E"/>
    <w:rsid w:val="052A72E0"/>
    <w:rsid w:val="05336A3F"/>
    <w:rsid w:val="05383258"/>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DA767E"/>
    <w:rsid w:val="05E655CF"/>
    <w:rsid w:val="05EC14DC"/>
    <w:rsid w:val="05F011D3"/>
    <w:rsid w:val="05F0226B"/>
    <w:rsid w:val="05F145CC"/>
    <w:rsid w:val="05F26614"/>
    <w:rsid w:val="05F810FA"/>
    <w:rsid w:val="06005707"/>
    <w:rsid w:val="06015AE4"/>
    <w:rsid w:val="06030411"/>
    <w:rsid w:val="060841B3"/>
    <w:rsid w:val="060C6CC9"/>
    <w:rsid w:val="060E4A90"/>
    <w:rsid w:val="0610252C"/>
    <w:rsid w:val="06150DBA"/>
    <w:rsid w:val="061D639D"/>
    <w:rsid w:val="06363A09"/>
    <w:rsid w:val="063D0506"/>
    <w:rsid w:val="065B0E15"/>
    <w:rsid w:val="06672F0B"/>
    <w:rsid w:val="066D4902"/>
    <w:rsid w:val="066E53C9"/>
    <w:rsid w:val="06717DA2"/>
    <w:rsid w:val="06732D72"/>
    <w:rsid w:val="06783059"/>
    <w:rsid w:val="067F7AA5"/>
    <w:rsid w:val="06855742"/>
    <w:rsid w:val="069C1423"/>
    <w:rsid w:val="069F291D"/>
    <w:rsid w:val="06A7610C"/>
    <w:rsid w:val="06AF012A"/>
    <w:rsid w:val="06B703F0"/>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151F38"/>
    <w:rsid w:val="071D240B"/>
    <w:rsid w:val="072221F1"/>
    <w:rsid w:val="07281AD5"/>
    <w:rsid w:val="07341714"/>
    <w:rsid w:val="07391A2B"/>
    <w:rsid w:val="073F52A3"/>
    <w:rsid w:val="073F684C"/>
    <w:rsid w:val="07403BC9"/>
    <w:rsid w:val="07407105"/>
    <w:rsid w:val="07430BA0"/>
    <w:rsid w:val="074C551B"/>
    <w:rsid w:val="07576188"/>
    <w:rsid w:val="075A37C9"/>
    <w:rsid w:val="075B1A0B"/>
    <w:rsid w:val="07637D7E"/>
    <w:rsid w:val="07757831"/>
    <w:rsid w:val="077617AB"/>
    <w:rsid w:val="07766C19"/>
    <w:rsid w:val="077A76B2"/>
    <w:rsid w:val="077B15AC"/>
    <w:rsid w:val="07855785"/>
    <w:rsid w:val="078A6793"/>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173025"/>
    <w:rsid w:val="08291F0C"/>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378AE"/>
    <w:rsid w:val="08894651"/>
    <w:rsid w:val="089B0FEE"/>
    <w:rsid w:val="089C4071"/>
    <w:rsid w:val="08A272BD"/>
    <w:rsid w:val="08A35A30"/>
    <w:rsid w:val="08AB7C23"/>
    <w:rsid w:val="08BA55B6"/>
    <w:rsid w:val="08BD0C5B"/>
    <w:rsid w:val="08BF5F8D"/>
    <w:rsid w:val="08C14C8E"/>
    <w:rsid w:val="08C6101C"/>
    <w:rsid w:val="08CD7F6B"/>
    <w:rsid w:val="08D82379"/>
    <w:rsid w:val="08DA51ED"/>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6316B"/>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71E22"/>
    <w:rsid w:val="0A0D690A"/>
    <w:rsid w:val="0A0F3C75"/>
    <w:rsid w:val="0A1A5383"/>
    <w:rsid w:val="0A3121BC"/>
    <w:rsid w:val="0A345174"/>
    <w:rsid w:val="0A37791B"/>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344E1"/>
    <w:rsid w:val="0AF92D82"/>
    <w:rsid w:val="0AFD4675"/>
    <w:rsid w:val="0AFE4389"/>
    <w:rsid w:val="0AFF5621"/>
    <w:rsid w:val="0B036B82"/>
    <w:rsid w:val="0B041292"/>
    <w:rsid w:val="0B0978FC"/>
    <w:rsid w:val="0B0D3507"/>
    <w:rsid w:val="0B0F6AB9"/>
    <w:rsid w:val="0B1109DE"/>
    <w:rsid w:val="0B15582D"/>
    <w:rsid w:val="0B2517FA"/>
    <w:rsid w:val="0B306A12"/>
    <w:rsid w:val="0B363484"/>
    <w:rsid w:val="0B394C11"/>
    <w:rsid w:val="0B405E34"/>
    <w:rsid w:val="0B422C4E"/>
    <w:rsid w:val="0B444D3C"/>
    <w:rsid w:val="0B495A95"/>
    <w:rsid w:val="0B4A0D9A"/>
    <w:rsid w:val="0B4A3D67"/>
    <w:rsid w:val="0B571266"/>
    <w:rsid w:val="0B5F5790"/>
    <w:rsid w:val="0B6364EE"/>
    <w:rsid w:val="0B6539A0"/>
    <w:rsid w:val="0B6F76B9"/>
    <w:rsid w:val="0B8111F7"/>
    <w:rsid w:val="0B835D2D"/>
    <w:rsid w:val="0B893108"/>
    <w:rsid w:val="0B8D3B33"/>
    <w:rsid w:val="0B8F0F8E"/>
    <w:rsid w:val="0B90524D"/>
    <w:rsid w:val="0B924E63"/>
    <w:rsid w:val="0B935589"/>
    <w:rsid w:val="0B976211"/>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123F0A"/>
    <w:rsid w:val="0C2F476E"/>
    <w:rsid w:val="0C355D3B"/>
    <w:rsid w:val="0C49492D"/>
    <w:rsid w:val="0C511332"/>
    <w:rsid w:val="0C5C550B"/>
    <w:rsid w:val="0C656A4B"/>
    <w:rsid w:val="0C71462B"/>
    <w:rsid w:val="0C75458E"/>
    <w:rsid w:val="0C910126"/>
    <w:rsid w:val="0C934DB6"/>
    <w:rsid w:val="0C995BDF"/>
    <w:rsid w:val="0CA273F1"/>
    <w:rsid w:val="0CB11936"/>
    <w:rsid w:val="0CB82D96"/>
    <w:rsid w:val="0CC27407"/>
    <w:rsid w:val="0CCC5C04"/>
    <w:rsid w:val="0CD2047B"/>
    <w:rsid w:val="0CDB2A0A"/>
    <w:rsid w:val="0CDB32E5"/>
    <w:rsid w:val="0CDB7DFA"/>
    <w:rsid w:val="0CDC66FE"/>
    <w:rsid w:val="0CE12681"/>
    <w:rsid w:val="0CEF24BA"/>
    <w:rsid w:val="0CF167FE"/>
    <w:rsid w:val="0D032F9E"/>
    <w:rsid w:val="0D065361"/>
    <w:rsid w:val="0D0D6A84"/>
    <w:rsid w:val="0D0E21C5"/>
    <w:rsid w:val="0D245BED"/>
    <w:rsid w:val="0D2702AE"/>
    <w:rsid w:val="0D2A3CB9"/>
    <w:rsid w:val="0D2E7CDE"/>
    <w:rsid w:val="0D347316"/>
    <w:rsid w:val="0D51347C"/>
    <w:rsid w:val="0D52544D"/>
    <w:rsid w:val="0D545DB7"/>
    <w:rsid w:val="0D631BA2"/>
    <w:rsid w:val="0D6D6AFF"/>
    <w:rsid w:val="0D761084"/>
    <w:rsid w:val="0D7A1D94"/>
    <w:rsid w:val="0D7B7B4A"/>
    <w:rsid w:val="0D851495"/>
    <w:rsid w:val="0D8F1F77"/>
    <w:rsid w:val="0D924CCC"/>
    <w:rsid w:val="0D98121C"/>
    <w:rsid w:val="0DA22EBD"/>
    <w:rsid w:val="0DB37422"/>
    <w:rsid w:val="0DC8678B"/>
    <w:rsid w:val="0DD264AC"/>
    <w:rsid w:val="0DD31D8F"/>
    <w:rsid w:val="0DDE19E8"/>
    <w:rsid w:val="0DDF3681"/>
    <w:rsid w:val="0DE21B55"/>
    <w:rsid w:val="0DE8177F"/>
    <w:rsid w:val="0DEC2ADB"/>
    <w:rsid w:val="0DF45C0B"/>
    <w:rsid w:val="0E0C2AFD"/>
    <w:rsid w:val="0E0D31E9"/>
    <w:rsid w:val="0E0E47F0"/>
    <w:rsid w:val="0E0F5D1B"/>
    <w:rsid w:val="0E121D9A"/>
    <w:rsid w:val="0E1B2CC9"/>
    <w:rsid w:val="0E20453A"/>
    <w:rsid w:val="0E2E6AB6"/>
    <w:rsid w:val="0E2F217C"/>
    <w:rsid w:val="0E3761EB"/>
    <w:rsid w:val="0E3B7750"/>
    <w:rsid w:val="0E510D62"/>
    <w:rsid w:val="0E5E1C72"/>
    <w:rsid w:val="0E63199B"/>
    <w:rsid w:val="0E663B07"/>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65B07"/>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B23C0"/>
    <w:rsid w:val="0F7E2308"/>
    <w:rsid w:val="0F854E6E"/>
    <w:rsid w:val="0F8D1D66"/>
    <w:rsid w:val="0F8E634C"/>
    <w:rsid w:val="0F923D51"/>
    <w:rsid w:val="0F960DE0"/>
    <w:rsid w:val="0FA16073"/>
    <w:rsid w:val="0FA55C6A"/>
    <w:rsid w:val="0FAC1D9A"/>
    <w:rsid w:val="0FB0737F"/>
    <w:rsid w:val="0FB35CCF"/>
    <w:rsid w:val="0FB407C9"/>
    <w:rsid w:val="0FB47BED"/>
    <w:rsid w:val="0FCD2660"/>
    <w:rsid w:val="0FCE6FEC"/>
    <w:rsid w:val="0FE426F8"/>
    <w:rsid w:val="0FE47F4E"/>
    <w:rsid w:val="0FEA1AF9"/>
    <w:rsid w:val="0FEB6B2A"/>
    <w:rsid w:val="0FEC6591"/>
    <w:rsid w:val="0FFC1CD4"/>
    <w:rsid w:val="10041DCD"/>
    <w:rsid w:val="10052AF4"/>
    <w:rsid w:val="100B7FAC"/>
    <w:rsid w:val="100C0C63"/>
    <w:rsid w:val="101823C5"/>
    <w:rsid w:val="10211832"/>
    <w:rsid w:val="10215FFC"/>
    <w:rsid w:val="10251309"/>
    <w:rsid w:val="10261BAA"/>
    <w:rsid w:val="102B15CE"/>
    <w:rsid w:val="1038272C"/>
    <w:rsid w:val="1039146F"/>
    <w:rsid w:val="103C6776"/>
    <w:rsid w:val="10430DCD"/>
    <w:rsid w:val="104A034A"/>
    <w:rsid w:val="106306D4"/>
    <w:rsid w:val="10645D4C"/>
    <w:rsid w:val="10660739"/>
    <w:rsid w:val="1069565E"/>
    <w:rsid w:val="106F11B4"/>
    <w:rsid w:val="10762B17"/>
    <w:rsid w:val="10762BFF"/>
    <w:rsid w:val="10794743"/>
    <w:rsid w:val="108B5B30"/>
    <w:rsid w:val="10957BCE"/>
    <w:rsid w:val="10965B95"/>
    <w:rsid w:val="109B7E33"/>
    <w:rsid w:val="109E1F6F"/>
    <w:rsid w:val="10A53705"/>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040B0"/>
    <w:rsid w:val="10F93E88"/>
    <w:rsid w:val="11053D0E"/>
    <w:rsid w:val="11067954"/>
    <w:rsid w:val="11113331"/>
    <w:rsid w:val="1112518B"/>
    <w:rsid w:val="11237EAA"/>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1E4B26"/>
    <w:rsid w:val="122F1B99"/>
    <w:rsid w:val="123021D6"/>
    <w:rsid w:val="12392DAF"/>
    <w:rsid w:val="123A5950"/>
    <w:rsid w:val="124567D1"/>
    <w:rsid w:val="124B3A99"/>
    <w:rsid w:val="124D0777"/>
    <w:rsid w:val="1253458F"/>
    <w:rsid w:val="126111F8"/>
    <w:rsid w:val="126322CB"/>
    <w:rsid w:val="12691E05"/>
    <w:rsid w:val="12714F58"/>
    <w:rsid w:val="12735ED9"/>
    <w:rsid w:val="12766327"/>
    <w:rsid w:val="127C2CBD"/>
    <w:rsid w:val="128428CC"/>
    <w:rsid w:val="1287602C"/>
    <w:rsid w:val="128B78AF"/>
    <w:rsid w:val="129528F2"/>
    <w:rsid w:val="129B402D"/>
    <w:rsid w:val="129E1CBC"/>
    <w:rsid w:val="12A5368B"/>
    <w:rsid w:val="12A67371"/>
    <w:rsid w:val="12AC6B78"/>
    <w:rsid w:val="12B41CD9"/>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2191F"/>
    <w:rsid w:val="13396B15"/>
    <w:rsid w:val="135A16CE"/>
    <w:rsid w:val="135B45D7"/>
    <w:rsid w:val="1369407F"/>
    <w:rsid w:val="136A0D4C"/>
    <w:rsid w:val="136A43D4"/>
    <w:rsid w:val="136B4255"/>
    <w:rsid w:val="13701D45"/>
    <w:rsid w:val="13704865"/>
    <w:rsid w:val="13730467"/>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226A6"/>
    <w:rsid w:val="14E4562D"/>
    <w:rsid w:val="14E56C94"/>
    <w:rsid w:val="14EF073D"/>
    <w:rsid w:val="14F36498"/>
    <w:rsid w:val="14F36FB6"/>
    <w:rsid w:val="14F87477"/>
    <w:rsid w:val="14FA7EF1"/>
    <w:rsid w:val="14FD00C3"/>
    <w:rsid w:val="1509154F"/>
    <w:rsid w:val="150B34E4"/>
    <w:rsid w:val="15140CE6"/>
    <w:rsid w:val="15152D81"/>
    <w:rsid w:val="15170A83"/>
    <w:rsid w:val="151E3969"/>
    <w:rsid w:val="15282B11"/>
    <w:rsid w:val="152A13AC"/>
    <w:rsid w:val="152A5B52"/>
    <w:rsid w:val="15303351"/>
    <w:rsid w:val="15343A2B"/>
    <w:rsid w:val="15383237"/>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9F0E26"/>
    <w:rsid w:val="15B73BFA"/>
    <w:rsid w:val="15BE121B"/>
    <w:rsid w:val="15C30D3C"/>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43FCA"/>
    <w:rsid w:val="16DA63EA"/>
    <w:rsid w:val="16E44891"/>
    <w:rsid w:val="16F75C6C"/>
    <w:rsid w:val="16FD68E3"/>
    <w:rsid w:val="17001B19"/>
    <w:rsid w:val="170034BA"/>
    <w:rsid w:val="1703063D"/>
    <w:rsid w:val="17040016"/>
    <w:rsid w:val="170A1C60"/>
    <w:rsid w:val="170E2DF2"/>
    <w:rsid w:val="170F2832"/>
    <w:rsid w:val="170F75FB"/>
    <w:rsid w:val="17212FDD"/>
    <w:rsid w:val="17256BD7"/>
    <w:rsid w:val="172E5971"/>
    <w:rsid w:val="17357DFC"/>
    <w:rsid w:val="17364AED"/>
    <w:rsid w:val="174342F4"/>
    <w:rsid w:val="174972AA"/>
    <w:rsid w:val="176150E8"/>
    <w:rsid w:val="17732C32"/>
    <w:rsid w:val="177E7E5E"/>
    <w:rsid w:val="17835E48"/>
    <w:rsid w:val="178E4E42"/>
    <w:rsid w:val="17905152"/>
    <w:rsid w:val="1790532E"/>
    <w:rsid w:val="17907896"/>
    <w:rsid w:val="17912484"/>
    <w:rsid w:val="17937A67"/>
    <w:rsid w:val="179A3C68"/>
    <w:rsid w:val="179C4C7B"/>
    <w:rsid w:val="17A309C4"/>
    <w:rsid w:val="17A44464"/>
    <w:rsid w:val="17A52561"/>
    <w:rsid w:val="17A72250"/>
    <w:rsid w:val="17C337B8"/>
    <w:rsid w:val="17CE0C4A"/>
    <w:rsid w:val="17D61088"/>
    <w:rsid w:val="17E04FBA"/>
    <w:rsid w:val="17F2486F"/>
    <w:rsid w:val="17F61E32"/>
    <w:rsid w:val="17FE0021"/>
    <w:rsid w:val="180462DC"/>
    <w:rsid w:val="181513AA"/>
    <w:rsid w:val="181A3C74"/>
    <w:rsid w:val="18375583"/>
    <w:rsid w:val="1839097D"/>
    <w:rsid w:val="184D386A"/>
    <w:rsid w:val="184F1307"/>
    <w:rsid w:val="18520930"/>
    <w:rsid w:val="18564AEC"/>
    <w:rsid w:val="185C2A97"/>
    <w:rsid w:val="18631BD8"/>
    <w:rsid w:val="189916D9"/>
    <w:rsid w:val="189B76BE"/>
    <w:rsid w:val="189D0AEC"/>
    <w:rsid w:val="189E4D69"/>
    <w:rsid w:val="18A80767"/>
    <w:rsid w:val="18AD14A5"/>
    <w:rsid w:val="18B6371F"/>
    <w:rsid w:val="18BB5B10"/>
    <w:rsid w:val="18D035D9"/>
    <w:rsid w:val="18D458AC"/>
    <w:rsid w:val="18D5153F"/>
    <w:rsid w:val="18DD6A2D"/>
    <w:rsid w:val="18E71D82"/>
    <w:rsid w:val="18E72DBC"/>
    <w:rsid w:val="18EE4A1B"/>
    <w:rsid w:val="18F616EF"/>
    <w:rsid w:val="18FF026F"/>
    <w:rsid w:val="190C3ACE"/>
    <w:rsid w:val="19112AB7"/>
    <w:rsid w:val="191A476F"/>
    <w:rsid w:val="19211BB6"/>
    <w:rsid w:val="192C22CA"/>
    <w:rsid w:val="19376D41"/>
    <w:rsid w:val="19381FF6"/>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1B334A"/>
    <w:rsid w:val="1A273344"/>
    <w:rsid w:val="1A30182C"/>
    <w:rsid w:val="1A361478"/>
    <w:rsid w:val="1A395FF0"/>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23C2A"/>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04774"/>
    <w:rsid w:val="1C262C17"/>
    <w:rsid w:val="1C275CCA"/>
    <w:rsid w:val="1C291F47"/>
    <w:rsid w:val="1C2A0049"/>
    <w:rsid w:val="1C3155A1"/>
    <w:rsid w:val="1C394F6A"/>
    <w:rsid w:val="1C3A685C"/>
    <w:rsid w:val="1C414F4E"/>
    <w:rsid w:val="1C495D9A"/>
    <w:rsid w:val="1C4B07DE"/>
    <w:rsid w:val="1C4C7A56"/>
    <w:rsid w:val="1C4F1B55"/>
    <w:rsid w:val="1C587A23"/>
    <w:rsid w:val="1C5E0AF6"/>
    <w:rsid w:val="1C5F3259"/>
    <w:rsid w:val="1C667C91"/>
    <w:rsid w:val="1C6A08AC"/>
    <w:rsid w:val="1C6B0F54"/>
    <w:rsid w:val="1C702A13"/>
    <w:rsid w:val="1C724DAA"/>
    <w:rsid w:val="1C8036FB"/>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003C0"/>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10708"/>
    <w:rsid w:val="1DA47622"/>
    <w:rsid w:val="1DA97E12"/>
    <w:rsid w:val="1DAE5B43"/>
    <w:rsid w:val="1DB95EDE"/>
    <w:rsid w:val="1DC037E3"/>
    <w:rsid w:val="1DC102D2"/>
    <w:rsid w:val="1DC30883"/>
    <w:rsid w:val="1DC62049"/>
    <w:rsid w:val="1DCF3BA5"/>
    <w:rsid w:val="1DD90759"/>
    <w:rsid w:val="1DE44FE9"/>
    <w:rsid w:val="1DE73034"/>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DE62F3"/>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90700A"/>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23733"/>
    <w:rsid w:val="20537C02"/>
    <w:rsid w:val="206D114B"/>
    <w:rsid w:val="207037DB"/>
    <w:rsid w:val="2072643A"/>
    <w:rsid w:val="20772799"/>
    <w:rsid w:val="207E798A"/>
    <w:rsid w:val="2083429A"/>
    <w:rsid w:val="208C4948"/>
    <w:rsid w:val="20A278EC"/>
    <w:rsid w:val="20AE2E6A"/>
    <w:rsid w:val="20AE37FE"/>
    <w:rsid w:val="20B14A46"/>
    <w:rsid w:val="20B75901"/>
    <w:rsid w:val="20D1397F"/>
    <w:rsid w:val="20D3484E"/>
    <w:rsid w:val="20D47DB9"/>
    <w:rsid w:val="20DD35B1"/>
    <w:rsid w:val="20E72F5B"/>
    <w:rsid w:val="20E8638E"/>
    <w:rsid w:val="20F35474"/>
    <w:rsid w:val="20FA25EC"/>
    <w:rsid w:val="20FA52BF"/>
    <w:rsid w:val="21035CC4"/>
    <w:rsid w:val="21095F4C"/>
    <w:rsid w:val="211439E6"/>
    <w:rsid w:val="211543B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17E7"/>
    <w:rsid w:val="2223235D"/>
    <w:rsid w:val="22286427"/>
    <w:rsid w:val="22397D8C"/>
    <w:rsid w:val="223B2BE2"/>
    <w:rsid w:val="223C3819"/>
    <w:rsid w:val="224C0FD5"/>
    <w:rsid w:val="224D7197"/>
    <w:rsid w:val="225100AD"/>
    <w:rsid w:val="22523CD8"/>
    <w:rsid w:val="22530AAC"/>
    <w:rsid w:val="226024E1"/>
    <w:rsid w:val="22654C58"/>
    <w:rsid w:val="227F7D4E"/>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C5519"/>
    <w:rsid w:val="230E4694"/>
    <w:rsid w:val="230F581C"/>
    <w:rsid w:val="231F2FE4"/>
    <w:rsid w:val="23273BD2"/>
    <w:rsid w:val="23350AE4"/>
    <w:rsid w:val="23412A03"/>
    <w:rsid w:val="23457434"/>
    <w:rsid w:val="234C745B"/>
    <w:rsid w:val="23527D45"/>
    <w:rsid w:val="235B7F38"/>
    <w:rsid w:val="23606E4D"/>
    <w:rsid w:val="236503B6"/>
    <w:rsid w:val="2370314F"/>
    <w:rsid w:val="23813681"/>
    <w:rsid w:val="2382385E"/>
    <w:rsid w:val="23850B41"/>
    <w:rsid w:val="239F2CDA"/>
    <w:rsid w:val="23AA5BAD"/>
    <w:rsid w:val="23B01736"/>
    <w:rsid w:val="23B15280"/>
    <w:rsid w:val="23B43BD2"/>
    <w:rsid w:val="23B74D20"/>
    <w:rsid w:val="23BA6F2A"/>
    <w:rsid w:val="23C0578B"/>
    <w:rsid w:val="23CE02AC"/>
    <w:rsid w:val="23E63240"/>
    <w:rsid w:val="23EC46D8"/>
    <w:rsid w:val="23ED5BF9"/>
    <w:rsid w:val="23F004DE"/>
    <w:rsid w:val="23FD080D"/>
    <w:rsid w:val="23FD3B1C"/>
    <w:rsid w:val="23FE4E88"/>
    <w:rsid w:val="23FE4EB2"/>
    <w:rsid w:val="24034323"/>
    <w:rsid w:val="240842B1"/>
    <w:rsid w:val="2408669A"/>
    <w:rsid w:val="240C3267"/>
    <w:rsid w:val="24151319"/>
    <w:rsid w:val="24253A31"/>
    <w:rsid w:val="244C7F99"/>
    <w:rsid w:val="244F0613"/>
    <w:rsid w:val="245453D0"/>
    <w:rsid w:val="245625A7"/>
    <w:rsid w:val="245D5736"/>
    <w:rsid w:val="245F6AF8"/>
    <w:rsid w:val="24894FD6"/>
    <w:rsid w:val="248C7020"/>
    <w:rsid w:val="249C35F9"/>
    <w:rsid w:val="249E3D74"/>
    <w:rsid w:val="24A2569A"/>
    <w:rsid w:val="24A528B4"/>
    <w:rsid w:val="24AE1BC0"/>
    <w:rsid w:val="24B71C84"/>
    <w:rsid w:val="24B804FF"/>
    <w:rsid w:val="24C23897"/>
    <w:rsid w:val="24C343F9"/>
    <w:rsid w:val="24CA0360"/>
    <w:rsid w:val="24D90211"/>
    <w:rsid w:val="24DC0D82"/>
    <w:rsid w:val="24E10FDA"/>
    <w:rsid w:val="24ED41EB"/>
    <w:rsid w:val="24ED5C2B"/>
    <w:rsid w:val="24EF3B68"/>
    <w:rsid w:val="24F36739"/>
    <w:rsid w:val="24F62D36"/>
    <w:rsid w:val="24FE3E0F"/>
    <w:rsid w:val="251329BB"/>
    <w:rsid w:val="25161964"/>
    <w:rsid w:val="2517331B"/>
    <w:rsid w:val="25173C39"/>
    <w:rsid w:val="251E1929"/>
    <w:rsid w:val="25271BB2"/>
    <w:rsid w:val="25341659"/>
    <w:rsid w:val="254F243E"/>
    <w:rsid w:val="25523B88"/>
    <w:rsid w:val="255B3032"/>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44926"/>
    <w:rsid w:val="26572B04"/>
    <w:rsid w:val="265C39F8"/>
    <w:rsid w:val="265D3A52"/>
    <w:rsid w:val="26657B0A"/>
    <w:rsid w:val="26720C27"/>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96471"/>
    <w:rsid w:val="26FB070C"/>
    <w:rsid w:val="26FD2231"/>
    <w:rsid w:val="27075B1E"/>
    <w:rsid w:val="270E4D09"/>
    <w:rsid w:val="2713651F"/>
    <w:rsid w:val="271543AD"/>
    <w:rsid w:val="271D34AE"/>
    <w:rsid w:val="272750D6"/>
    <w:rsid w:val="272C033E"/>
    <w:rsid w:val="272F6637"/>
    <w:rsid w:val="274134FB"/>
    <w:rsid w:val="2743510B"/>
    <w:rsid w:val="275128D9"/>
    <w:rsid w:val="27597D4F"/>
    <w:rsid w:val="275D37D3"/>
    <w:rsid w:val="2770629A"/>
    <w:rsid w:val="27754280"/>
    <w:rsid w:val="277A70D2"/>
    <w:rsid w:val="277E1B8C"/>
    <w:rsid w:val="279219D6"/>
    <w:rsid w:val="27946DDD"/>
    <w:rsid w:val="27995BD4"/>
    <w:rsid w:val="27A04ED3"/>
    <w:rsid w:val="27A263EF"/>
    <w:rsid w:val="27A516D7"/>
    <w:rsid w:val="27A54D07"/>
    <w:rsid w:val="27AA4164"/>
    <w:rsid w:val="27B7398D"/>
    <w:rsid w:val="27BB07F0"/>
    <w:rsid w:val="27BD3038"/>
    <w:rsid w:val="27C424FA"/>
    <w:rsid w:val="27C45095"/>
    <w:rsid w:val="27C87524"/>
    <w:rsid w:val="27D21DCE"/>
    <w:rsid w:val="27D71CB3"/>
    <w:rsid w:val="27E639D9"/>
    <w:rsid w:val="27F01DF4"/>
    <w:rsid w:val="27F53979"/>
    <w:rsid w:val="27F77119"/>
    <w:rsid w:val="27FE0E3E"/>
    <w:rsid w:val="28015A58"/>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4CE0"/>
    <w:rsid w:val="288C5967"/>
    <w:rsid w:val="288F1EE2"/>
    <w:rsid w:val="289A661F"/>
    <w:rsid w:val="28AC3FE1"/>
    <w:rsid w:val="28AE707D"/>
    <w:rsid w:val="28B44B90"/>
    <w:rsid w:val="28B5571D"/>
    <w:rsid w:val="28BD7362"/>
    <w:rsid w:val="28BE7C77"/>
    <w:rsid w:val="28C078DB"/>
    <w:rsid w:val="28C4760B"/>
    <w:rsid w:val="28C73850"/>
    <w:rsid w:val="28E15C15"/>
    <w:rsid w:val="28E45332"/>
    <w:rsid w:val="28EB0CDA"/>
    <w:rsid w:val="28F51407"/>
    <w:rsid w:val="290443B8"/>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1FCB"/>
    <w:rsid w:val="297E5F1B"/>
    <w:rsid w:val="29860B35"/>
    <w:rsid w:val="298C1F0D"/>
    <w:rsid w:val="298F6D69"/>
    <w:rsid w:val="29927798"/>
    <w:rsid w:val="299A1F40"/>
    <w:rsid w:val="299B4CCE"/>
    <w:rsid w:val="29A10CA3"/>
    <w:rsid w:val="29A25925"/>
    <w:rsid w:val="29A52ADA"/>
    <w:rsid w:val="29AB498E"/>
    <w:rsid w:val="29B51BCE"/>
    <w:rsid w:val="29BE2653"/>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AE58D7"/>
    <w:rsid w:val="2AB94C2A"/>
    <w:rsid w:val="2ADA17A4"/>
    <w:rsid w:val="2ADE189C"/>
    <w:rsid w:val="2ADE3E21"/>
    <w:rsid w:val="2AEA1D81"/>
    <w:rsid w:val="2AEF66A5"/>
    <w:rsid w:val="2AF730EF"/>
    <w:rsid w:val="2B053E3F"/>
    <w:rsid w:val="2B0634AA"/>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66531"/>
    <w:rsid w:val="2B5A0AC6"/>
    <w:rsid w:val="2B661A55"/>
    <w:rsid w:val="2B6645EF"/>
    <w:rsid w:val="2B6724FA"/>
    <w:rsid w:val="2B6C0A85"/>
    <w:rsid w:val="2B6D7350"/>
    <w:rsid w:val="2B7001CA"/>
    <w:rsid w:val="2B8C1610"/>
    <w:rsid w:val="2B8C4D14"/>
    <w:rsid w:val="2B8F2F37"/>
    <w:rsid w:val="2B967A5F"/>
    <w:rsid w:val="2B9E4CEF"/>
    <w:rsid w:val="2BB84E97"/>
    <w:rsid w:val="2BC24025"/>
    <w:rsid w:val="2BC9015F"/>
    <w:rsid w:val="2BD72421"/>
    <w:rsid w:val="2BDB7F43"/>
    <w:rsid w:val="2BDD4B8C"/>
    <w:rsid w:val="2BE45464"/>
    <w:rsid w:val="2BE85CD5"/>
    <w:rsid w:val="2BF47537"/>
    <w:rsid w:val="2BFA3804"/>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042CA"/>
    <w:rsid w:val="2CE43AFB"/>
    <w:rsid w:val="2CED1B47"/>
    <w:rsid w:val="2CF17367"/>
    <w:rsid w:val="2CF7030B"/>
    <w:rsid w:val="2D0529D6"/>
    <w:rsid w:val="2D0852FA"/>
    <w:rsid w:val="2D0C2ACD"/>
    <w:rsid w:val="2D110A42"/>
    <w:rsid w:val="2D1606BB"/>
    <w:rsid w:val="2D191BFC"/>
    <w:rsid w:val="2D1C41CB"/>
    <w:rsid w:val="2D22411A"/>
    <w:rsid w:val="2D277C67"/>
    <w:rsid w:val="2D2A2EAD"/>
    <w:rsid w:val="2D2F04EF"/>
    <w:rsid w:val="2D3A170F"/>
    <w:rsid w:val="2D3D26C4"/>
    <w:rsid w:val="2D45096D"/>
    <w:rsid w:val="2D46765E"/>
    <w:rsid w:val="2D474916"/>
    <w:rsid w:val="2D4A731D"/>
    <w:rsid w:val="2D581AE2"/>
    <w:rsid w:val="2D64385C"/>
    <w:rsid w:val="2D7D162B"/>
    <w:rsid w:val="2D81716B"/>
    <w:rsid w:val="2D8A698B"/>
    <w:rsid w:val="2D8D5DBA"/>
    <w:rsid w:val="2D9804E1"/>
    <w:rsid w:val="2D9C0236"/>
    <w:rsid w:val="2DA23802"/>
    <w:rsid w:val="2DA53C82"/>
    <w:rsid w:val="2DB95849"/>
    <w:rsid w:val="2DBB3BC7"/>
    <w:rsid w:val="2DC44641"/>
    <w:rsid w:val="2DC76AB5"/>
    <w:rsid w:val="2DCA1E06"/>
    <w:rsid w:val="2DCF0C0B"/>
    <w:rsid w:val="2DE24E4E"/>
    <w:rsid w:val="2E011683"/>
    <w:rsid w:val="2E013850"/>
    <w:rsid w:val="2E1901D5"/>
    <w:rsid w:val="2E195DA0"/>
    <w:rsid w:val="2E243782"/>
    <w:rsid w:val="2E272B04"/>
    <w:rsid w:val="2E2961A9"/>
    <w:rsid w:val="2E31770C"/>
    <w:rsid w:val="2E4C12F6"/>
    <w:rsid w:val="2E544482"/>
    <w:rsid w:val="2E54560E"/>
    <w:rsid w:val="2E594F14"/>
    <w:rsid w:val="2E607D45"/>
    <w:rsid w:val="2E644C2A"/>
    <w:rsid w:val="2E685BDF"/>
    <w:rsid w:val="2E7342D4"/>
    <w:rsid w:val="2E7841CC"/>
    <w:rsid w:val="2E7B37E9"/>
    <w:rsid w:val="2E7B5BFA"/>
    <w:rsid w:val="2E83209F"/>
    <w:rsid w:val="2E9C2ACC"/>
    <w:rsid w:val="2E9E3FF0"/>
    <w:rsid w:val="2EAD42E7"/>
    <w:rsid w:val="2EB9479F"/>
    <w:rsid w:val="2ECC4378"/>
    <w:rsid w:val="2ED14AA3"/>
    <w:rsid w:val="2EDF2A3C"/>
    <w:rsid w:val="2EE05F81"/>
    <w:rsid w:val="2EE42D97"/>
    <w:rsid w:val="2EFA7EAE"/>
    <w:rsid w:val="2F055CA7"/>
    <w:rsid w:val="2F0D4075"/>
    <w:rsid w:val="2F0D4BF4"/>
    <w:rsid w:val="2F0E6CF0"/>
    <w:rsid w:val="2F1A008D"/>
    <w:rsid w:val="2F1E5DC6"/>
    <w:rsid w:val="2F23132D"/>
    <w:rsid w:val="2F250233"/>
    <w:rsid w:val="2F2D68C1"/>
    <w:rsid w:val="2F2E5819"/>
    <w:rsid w:val="2F315706"/>
    <w:rsid w:val="2F342845"/>
    <w:rsid w:val="2F3D05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5458F"/>
    <w:rsid w:val="2FAC21B4"/>
    <w:rsid w:val="2FB053ED"/>
    <w:rsid w:val="2FBE38BB"/>
    <w:rsid w:val="2FCE399D"/>
    <w:rsid w:val="2FD1570F"/>
    <w:rsid w:val="2FE104A7"/>
    <w:rsid w:val="2FE30EA0"/>
    <w:rsid w:val="2FE44C40"/>
    <w:rsid w:val="2FE80C2E"/>
    <w:rsid w:val="2FEC4ED7"/>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E6432"/>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67053"/>
    <w:rsid w:val="30EE5F87"/>
    <w:rsid w:val="30EE6E8E"/>
    <w:rsid w:val="30F34025"/>
    <w:rsid w:val="31006CF4"/>
    <w:rsid w:val="3102177B"/>
    <w:rsid w:val="31064FE4"/>
    <w:rsid w:val="310A3865"/>
    <w:rsid w:val="310E5C94"/>
    <w:rsid w:val="310F08BA"/>
    <w:rsid w:val="311E3B79"/>
    <w:rsid w:val="312C43CB"/>
    <w:rsid w:val="312F60DE"/>
    <w:rsid w:val="314C2934"/>
    <w:rsid w:val="31590B77"/>
    <w:rsid w:val="315C55CC"/>
    <w:rsid w:val="316164CB"/>
    <w:rsid w:val="317923F6"/>
    <w:rsid w:val="317A18D0"/>
    <w:rsid w:val="31830E9D"/>
    <w:rsid w:val="31840C06"/>
    <w:rsid w:val="318641A1"/>
    <w:rsid w:val="31881145"/>
    <w:rsid w:val="319266F0"/>
    <w:rsid w:val="31A6072E"/>
    <w:rsid w:val="31A815F8"/>
    <w:rsid w:val="31A9113B"/>
    <w:rsid w:val="31B87014"/>
    <w:rsid w:val="31BD40F2"/>
    <w:rsid w:val="31C07AC1"/>
    <w:rsid w:val="31CA7244"/>
    <w:rsid w:val="31D315D8"/>
    <w:rsid w:val="31D51DB8"/>
    <w:rsid w:val="31DD77B1"/>
    <w:rsid w:val="31E54AE7"/>
    <w:rsid w:val="31EE7AC2"/>
    <w:rsid w:val="31EF4542"/>
    <w:rsid w:val="31F17843"/>
    <w:rsid w:val="31F94640"/>
    <w:rsid w:val="32001232"/>
    <w:rsid w:val="3209485F"/>
    <w:rsid w:val="320D00ED"/>
    <w:rsid w:val="320F5E1E"/>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07074B"/>
    <w:rsid w:val="33164755"/>
    <w:rsid w:val="332417BF"/>
    <w:rsid w:val="33300DD6"/>
    <w:rsid w:val="333767A2"/>
    <w:rsid w:val="334F0A3B"/>
    <w:rsid w:val="33526C43"/>
    <w:rsid w:val="335D58AD"/>
    <w:rsid w:val="33663A6F"/>
    <w:rsid w:val="336729E0"/>
    <w:rsid w:val="33712774"/>
    <w:rsid w:val="33755A20"/>
    <w:rsid w:val="337E24E4"/>
    <w:rsid w:val="338210C7"/>
    <w:rsid w:val="338A058A"/>
    <w:rsid w:val="338C545C"/>
    <w:rsid w:val="339A3505"/>
    <w:rsid w:val="33A231C7"/>
    <w:rsid w:val="33AF11CD"/>
    <w:rsid w:val="33B71897"/>
    <w:rsid w:val="33B81DE3"/>
    <w:rsid w:val="33BA23C1"/>
    <w:rsid w:val="33BB050F"/>
    <w:rsid w:val="33BD483A"/>
    <w:rsid w:val="33C24013"/>
    <w:rsid w:val="33C91265"/>
    <w:rsid w:val="33CE5CA0"/>
    <w:rsid w:val="33D134FA"/>
    <w:rsid w:val="33DE136B"/>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8E56EF"/>
    <w:rsid w:val="34A010C1"/>
    <w:rsid w:val="34B462E0"/>
    <w:rsid w:val="34C93E6E"/>
    <w:rsid w:val="34CF0EBB"/>
    <w:rsid w:val="34D3018A"/>
    <w:rsid w:val="34D62A1C"/>
    <w:rsid w:val="34DB3478"/>
    <w:rsid w:val="34DB7451"/>
    <w:rsid w:val="34DE0455"/>
    <w:rsid w:val="34DE70CB"/>
    <w:rsid w:val="34EB34AC"/>
    <w:rsid w:val="34FF745B"/>
    <w:rsid w:val="350267A3"/>
    <w:rsid w:val="35202B7F"/>
    <w:rsid w:val="35281CD8"/>
    <w:rsid w:val="35291E25"/>
    <w:rsid w:val="352A4911"/>
    <w:rsid w:val="352E3248"/>
    <w:rsid w:val="352E5990"/>
    <w:rsid w:val="35337105"/>
    <w:rsid w:val="35347E5E"/>
    <w:rsid w:val="353F708A"/>
    <w:rsid w:val="3543129D"/>
    <w:rsid w:val="354541DE"/>
    <w:rsid w:val="35456CD6"/>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2E54D6"/>
    <w:rsid w:val="3639778C"/>
    <w:rsid w:val="364411F3"/>
    <w:rsid w:val="365114C5"/>
    <w:rsid w:val="36534A2B"/>
    <w:rsid w:val="365605AB"/>
    <w:rsid w:val="365737AE"/>
    <w:rsid w:val="3665213D"/>
    <w:rsid w:val="36652728"/>
    <w:rsid w:val="36664758"/>
    <w:rsid w:val="366D02FE"/>
    <w:rsid w:val="36707940"/>
    <w:rsid w:val="367B33FE"/>
    <w:rsid w:val="367C0C5C"/>
    <w:rsid w:val="36832176"/>
    <w:rsid w:val="36916911"/>
    <w:rsid w:val="3699101E"/>
    <w:rsid w:val="36A23F8F"/>
    <w:rsid w:val="36A80D1E"/>
    <w:rsid w:val="36B13142"/>
    <w:rsid w:val="36B932B8"/>
    <w:rsid w:val="36BA4D13"/>
    <w:rsid w:val="36BE69F6"/>
    <w:rsid w:val="36C97D20"/>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5D331E"/>
    <w:rsid w:val="3762597F"/>
    <w:rsid w:val="37626ADD"/>
    <w:rsid w:val="377320B8"/>
    <w:rsid w:val="377F2132"/>
    <w:rsid w:val="377F4F81"/>
    <w:rsid w:val="37854B5B"/>
    <w:rsid w:val="3786773A"/>
    <w:rsid w:val="37932AD8"/>
    <w:rsid w:val="37950A5B"/>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2478F"/>
    <w:rsid w:val="37E81714"/>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79315D"/>
    <w:rsid w:val="387B47CC"/>
    <w:rsid w:val="38AE517B"/>
    <w:rsid w:val="38BC4707"/>
    <w:rsid w:val="38D63519"/>
    <w:rsid w:val="38E35F12"/>
    <w:rsid w:val="38E7265F"/>
    <w:rsid w:val="38F71600"/>
    <w:rsid w:val="38F81758"/>
    <w:rsid w:val="38FB486B"/>
    <w:rsid w:val="38FC28CE"/>
    <w:rsid w:val="39056723"/>
    <w:rsid w:val="390C2820"/>
    <w:rsid w:val="390E2B03"/>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14A00"/>
    <w:rsid w:val="39935C42"/>
    <w:rsid w:val="399E3F57"/>
    <w:rsid w:val="399E6655"/>
    <w:rsid w:val="39BF1AE9"/>
    <w:rsid w:val="39C935EA"/>
    <w:rsid w:val="39CA20D6"/>
    <w:rsid w:val="39CF6562"/>
    <w:rsid w:val="39DA2C71"/>
    <w:rsid w:val="39DF3F96"/>
    <w:rsid w:val="39E94462"/>
    <w:rsid w:val="39F1790B"/>
    <w:rsid w:val="3A007477"/>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726B1E"/>
    <w:rsid w:val="3A803445"/>
    <w:rsid w:val="3A820939"/>
    <w:rsid w:val="3A8457E9"/>
    <w:rsid w:val="3A936EAD"/>
    <w:rsid w:val="3A952F9B"/>
    <w:rsid w:val="3AA45EAC"/>
    <w:rsid w:val="3AB64200"/>
    <w:rsid w:val="3ABD7B89"/>
    <w:rsid w:val="3AC50924"/>
    <w:rsid w:val="3ACF4766"/>
    <w:rsid w:val="3AD37D3F"/>
    <w:rsid w:val="3AE667A3"/>
    <w:rsid w:val="3AE96818"/>
    <w:rsid w:val="3AF2191D"/>
    <w:rsid w:val="3B0D6C43"/>
    <w:rsid w:val="3B1808C0"/>
    <w:rsid w:val="3B2B5F2D"/>
    <w:rsid w:val="3B303AA0"/>
    <w:rsid w:val="3B3C7DA5"/>
    <w:rsid w:val="3B41130E"/>
    <w:rsid w:val="3B4C3DB2"/>
    <w:rsid w:val="3B504B09"/>
    <w:rsid w:val="3B5102FE"/>
    <w:rsid w:val="3B651539"/>
    <w:rsid w:val="3B656DBF"/>
    <w:rsid w:val="3B6B5142"/>
    <w:rsid w:val="3B73751E"/>
    <w:rsid w:val="3B7469FD"/>
    <w:rsid w:val="3B764496"/>
    <w:rsid w:val="3B792376"/>
    <w:rsid w:val="3B7C2DEA"/>
    <w:rsid w:val="3B81545F"/>
    <w:rsid w:val="3B8B47CF"/>
    <w:rsid w:val="3B9059FD"/>
    <w:rsid w:val="3B956D38"/>
    <w:rsid w:val="3BA052D2"/>
    <w:rsid w:val="3BA072A0"/>
    <w:rsid w:val="3BA763FC"/>
    <w:rsid w:val="3BAA58B1"/>
    <w:rsid w:val="3BB829D4"/>
    <w:rsid w:val="3BB863FA"/>
    <w:rsid w:val="3BBF6814"/>
    <w:rsid w:val="3BC23A0E"/>
    <w:rsid w:val="3BCB1D59"/>
    <w:rsid w:val="3BD15A61"/>
    <w:rsid w:val="3BE43903"/>
    <w:rsid w:val="3BE6193C"/>
    <w:rsid w:val="3BEF2173"/>
    <w:rsid w:val="3BF820E8"/>
    <w:rsid w:val="3BFC0F79"/>
    <w:rsid w:val="3BFF5BC2"/>
    <w:rsid w:val="3C04169E"/>
    <w:rsid w:val="3C043ACB"/>
    <w:rsid w:val="3C063E6F"/>
    <w:rsid w:val="3C07395E"/>
    <w:rsid w:val="3C0A747E"/>
    <w:rsid w:val="3C0F2C7B"/>
    <w:rsid w:val="3C1079DE"/>
    <w:rsid w:val="3C151B51"/>
    <w:rsid w:val="3C1975A9"/>
    <w:rsid w:val="3C1D26AB"/>
    <w:rsid w:val="3C416BDA"/>
    <w:rsid w:val="3C42492C"/>
    <w:rsid w:val="3C4444C3"/>
    <w:rsid w:val="3C4D305E"/>
    <w:rsid w:val="3C5101A0"/>
    <w:rsid w:val="3C5649C0"/>
    <w:rsid w:val="3C60438C"/>
    <w:rsid w:val="3C6732A7"/>
    <w:rsid w:val="3C68401C"/>
    <w:rsid w:val="3C7C0F63"/>
    <w:rsid w:val="3C7E6FB3"/>
    <w:rsid w:val="3C812E4B"/>
    <w:rsid w:val="3C835CB8"/>
    <w:rsid w:val="3C8618CD"/>
    <w:rsid w:val="3C8A366F"/>
    <w:rsid w:val="3C8A45FC"/>
    <w:rsid w:val="3C953734"/>
    <w:rsid w:val="3C9C5ED7"/>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81099"/>
    <w:rsid w:val="3D3C3F6B"/>
    <w:rsid w:val="3D3F09DA"/>
    <w:rsid w:val="3D412AC6"/>
    <w:rsid w:val="3D624AB6"/>
    <w:rsid w:val="3D641CBD"/>
    <w:rsid w:val="3D757922"/>
    <w:rsid w:val="3D8149CD"/>
    <w:rsid w:val="3D871B71"/>
    <w:rsid w:val="3D8728DF"/>
    <w:rsid w:val="3DB01BF7"/>
    <w:rsid w:val="3DB27522"/>
    <w:rsid w:val="3DBA0DE7"/>
    <w:rsid w:val="3DD439B5"/>
    <w:rsid w:val="3DE610AB"/>
    <w:rsid w:val="3DE95942"/>
    <w:rsid w:val="3DFA3F0C"/>
    <w:rsid w:val="3DFB53FC"/>
    <w:rsid w:val="3E05197D"/>
    <w:rsid w:val="3E074FBE"/>
    <w:rsid w:val="3E0811A4"/>
    <w:rsid w:val="3E0C41BF"/>
    <w:rsid w:val="3E1179C0"/>
    <w:rsid w:val="3E164886"/>
    <w:rsid w:val="3E16694F"/>
    <w:rsid w:val="3E1F0990"/>
    <w:rsid w:val="3E29681C"/>
    <w:rsid w:val="3E3A6C92"/>
    <w:rsid w:val="3E3C4BDD"/>
    <w:rsid w:val="3E3D2DA2"/>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DA1354"/>
    <w:rsid w:val="3EE609FC"/>
    <w:rsid w:val="3EEA5FB7"/>
    <w:rsid w:val="3EEE7261"/>
    <w:rsid w:val="3EF04038"/>
    <w:rsid w:val="3EF11F83"/>
    <w:rsid w:val="3F067E66"/>
    <w:rsid w:val="3F091EB0"/>
    <w:rsid w:val="3F164BA2"/>
    <w:rsid w:val="3F1E4F89"/>
    <w:rsid w:val="3F2D158E"/>
    <w:rsid w:val="3F49022C"/>
    <w:rsid w:val="3F4A0246"/>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BF0173"/>
    <w:rsid w:val="3FC21535"/>
    <w:rsid w:val="3FD225D7"/>
    <w:rsid w:val="3FE301C3"/>
    <w:rsid w:val="3FE9328C"/>
    <w:rsid w:val="3FEB0156"/>
    <w:rsid w:val="3FED5807"/>
    <w:rsid w:val="3FEF10D8"/>
    <w:rsid w:val="3FF623EF"/>
    <w:rsid w:val="4004250A"/>
    <w:rsid w:val="401457BD"/>
    <w:rsid w:val="401B49F1"/>
    <w:rsid w:val="401E51CD"/>
    <w:rsid w:val="402F2E6D"/>
    <w:rsid w:val="40300D0E"/>
    <w:rsid w:val="40452EB0"/>
    <w:rsid w:val="4051523C"/>
    <w:rsid w:val="40531097"/>
    <w:rsid w:val="405D28AF"/>
    <w:rsid w:val="40602524"/>
    <w:rsid w:val="40756BFA"/>
    <w:rsid w:val="40787A40"/>
    <w:rsid w:val="408234D9"/>
    <w:rsid w:val="40825FDC"/>
    <w:rsid w:val="40833C36"/>
    <w:rsid w:val="40874723"/>
    <w:rsid w:val="40953B7A"/>
    <w:rsid w:val="40981A85"/>
    <w:rsid w:val="409E301A"/>
    <w:rsid w:val="409F5F96"/>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8157F"/>
    <w:rsid w:val="418E57A1"/>
    <w:rsid w:val="41937C94"/>
    <w:rsid w:val="419E3F5A"/>
    <w:rsid w:val="41AB68E1"/>
    <w:rsid w:val="41AF72C1"/>
    <w:rsid w:val="41C124F9"/>
    <w:rsid w:val="41CA7531"/>
    <w:rsid w:val="41D03CD9"/>
    <w:rsid w:val="41D1217F"/>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04D77"/>
    <w:rsid w:val="42385A57"/>
    <w:rsid w:val="423B0C83"/>
    <w:rsid w:val="423E6CF6"/>
    <w:rsid w:val="423E710F"/>
    <w:rsid w:val="42453399"/>
    <w:rsid w:val="42545D27"/>
    <w:rsid w:val="42585005"/>
    <w:rsid w:val="426805C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BF09E7"/>
    <w:rsid w:val="42C11694"/>
    <w:rsid w:val="42C7045F"/>
    <w:rsid w:val="42D15EE7"/>
    <w:rsid w:val="42D71245"/>
    <w:rsid w:val="42E07EA7"/>
    <w:rsid w:val="42E36E18"/>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437B7C"/>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14D5A"/>
    <w:rsid w:val="43FC4765"/>
    <w:rsid w:val="44054203"/>
    <w:rsid w:val="44082F23"/>
    <w:rsid w:val="4413719D"/>
    <w:rsid w:val="44190BF7"/>
    <w:rsid w:val="441B0BA6"/>
    <w:rsid w:val="441C3BED"/>
    <w:rsid w:val="441D2188"/>
    <w:rsid w:val="44420C90"/>
    <w:rsid w:val="444314A3"/>
    <w:rsid w:val="44497A42"/>
    <w:rsid w:val="4451561F"/>
    <w:rsid w:val="44515FE4"/>
    <w:rsid w:val="44537DBC"/>
    <w:rsid w:val="4456364C"/>
    <w:rsid w:val="445D5E68"/>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16C8D"/>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BE6DCB"/>
    <w:rsid w:val="45C41A09"/>
    <w:rsid w:val="45E033B4"/>
    <w:rsid w:val="45E05619"/>
    <w:rsid w:val="45EA2A62"/>
    <w:rsid w:val="45EB6A74"/>
    <w:rsid w:val="45F329DC"/>
    <w:rsid w:val="45F3766A"/>
    <w:rsid w:val="45F87068"/>
    <w:rsid w:val="460C76EA"/>
    <w:rsid w:val="462A0480"/>
    <w:rsid w:val="4634113C"/>
    <w:rsid w:val="464A3ADD"/>
    <w:rsid w:val="464D4840"/>
    <w:rsid w:val="46597930"/>
    <w:rsid w:val="465C610C"/>
    <w:rsid w:val="465E1080"/>
    <w:rsid w:val="4666373F"/>
    <w:rsid w:val="46724ABA"/>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3F574D"/>
    <w:rsid w:val="47451DFC"/>
    <w:rsid w:val="47531DD7"/>
    <w:rsid w:val="47571727"/>
    <w:rsid w:val="47645B43"/>
    <w:rsid w:val="47672F66"/>
    <w:rsid w:val="476B0B76"/>
    <w:rsid w:val="477168E1"/>
    <w:rsid w:val="477751EC"/>
    <w:rsid w:val="477A2088"/>
    <w:rsid w:val="479F6447"/>
    <w:rsid w:val="47A84DA9"/>
    <w:rsid w:val="47A91C2D"/>
    <w:rsid w:val="47AC2DC1"/>
    <w:rsid w:val="47B54A8C"/>
    <w:rsid w:val="47B8584F"/>
    <w:rsid w:val="47B97715"/>
    <w:rsid w:val="47BD4A55"/>
    <w:rsid w:val="47BE1862"/>
    <w:rsid w:val="47C4286E"/>
    <w:rsid w:val="47C660BC"/>
    <w:rsid w:val="47C759B2"/>
    <w:rsid w:val="47C84C3C"/>
    <w:rsid w:val="47DF7B25"/>
    <w:rsid w:val="47E133F8"/>
    <w:rsid w:val="47F646ED"/>
    <w:rsid w:val="47FE02E7"/>
    <w:rsid w:val="4804251B"/>
    <w:rsid w:val="48110298"/>
    <w:rsid w:val="48160AA7"/>
    <w:rsid w:val="481806F7"/>
    <w:rsid w:val="4819425B"/>
    <w:rsid w:val="481B64AF"/>
    <w:rsid w:val="481D3C11"/>
    <w:rsid w:val="48321E97"/>
    <w:rsid w:val="4833129C"/>
    <w:rsid w:val="48366EC2"/>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2DD"/>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C705C"/>
    <w:rsid w:val="49EF1699"/>
    <w:rsid w:val="49F149D7"/>
    <w:rsid w:val="49F30E9C"/>
    <w:rsid w:val="49FD0AA4"/>
    <w:rsid w:val="4A0C7F02"/>
    <w:rsid w:val="4A0F57C3"/>
    <w:rsid w:val="4A130855"/>
    <w:rsid w:val="4A155327"/>
    <w:rsid w:val="4A156CA7"/>
    <w:rsid w:val="4A1A4CA7"/>
    <w:rsid w:val="4A275EAF"/>
    <w:rsid w:val="4A2A508F"/>
    <w:rsid w:val="4A2D6303"/>
    <w:rsid w:val="4A363EB8"/>
    <w:rsid w:val="4A3B4BD8"/>
    <w:rsid w:val="4A3C0215"/>
    <w:rsid w:val="4A4907E5"/>
    <w:rsid w:val="4A505AB9"/>
    <w:rsid w:val="4A513344"/>
    <w:rsid w:val="4A552F8A"/>
    <w:rsid w:val="4A5E387A"/>
    <w:rsid w:val="4A7927AA"/>
    <w:rsid w:val="4A7B0D63"/>
    <w:rsid w:val="4A7D687D"/>
    <w:rsid w:val="4A863A25"/>
    <w:rsid w:val="4A8E7904"/>
    <w:rsid w:val="4A8F4094"/>
    <w:rsid w:val="4A9935EB"/>
    <w:rsid w:val="4A9F1CBF"/>
    <w:rsid w:val="4AA116D0"/>
    <w:rsid w:val="4AAF7853"/>
    <w:rsid w:val="4AB061E4"/>
    <w:rsid w:val="4AB07239"/>
    <w:rsid w:val="4AB11443"/>
    <w:rsid w:val="4ABB3920"/>
    <w:rsid w:val="4AC202BA"/>
    <w:rsid w:val="4AC859CA"/>
    <w:rsid w:val="4ACC7F9D"/>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82488"/>
    <w:rsid w:val="4C3B516A"/>
    <w:rsid w:val="4C3D5BD1"/>
    <w:rsid w:val="4C3F71A8"/>
    <w:rsid w:val="4C447F3C"/>
    <w:rsid w:val="4C563314"/>
    <w:rsid w:val="4C5F28A1"/>
    <w:rsid w:val="4C7503BA"/>
    <w:rsid w:val="4C751C25"/>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414F3"/>
    <w:rsid w:val="4D7F5C38"/>
    <w:rsid w:val="4D8E5F8B"/>
    <w:rsid w:val="4D93304A"/>
    <w:rsid w:val="4D955331"/>
    <w:rsid w:val="4D9705E7"/>
    <w:rsid w:val="4D9724CF"/>
    <w:rsid w:val="4D9E2A66"/>
    <w:rsid w:val="4D9E716C"/>
    <w:rsid w:val="4DA023BB"/>
    <w:rsid w:val="4DA421BC"/>
    <w:rsid w:val="4DAC2626"/>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A1EFF"/>
    <w:rsid w:val="4E0F4B1C"/>
    <w:rsid w:val="4E1D6E69"/>
    <w:rsid w:val="4E345F2C"/>
    <w:rsid w:val="4E350611"/>
    <w:rsid w:val="4E42201F"/>
    <w:rsid w:val="4E4A07D9"/>
    <w:rsid w:val="4E59654F"/>
    <w:rsid w:val="4E5A5335"/>
    <w:rsid w:val="4E5D52F4"/>
    <w:rsid w:val="4E5E1C79"/>
    <w:rsid w:val="4E60303C"/>
    <w:rsid w:val="4E7757DA"/>
    <w:rsid w:val="4E810360"/>
    <w:rsid w:val="4E8E3DCC"/>
    <w:rsid w:val="4E97377E"/>
    <w:rsid w:val="4EA04FCD"/>
    <w:rsid w:val="4EA500AC"/>
    <w:rsid w:val="4EA802E2"/>
    <w:rsid w:val="4EAF7AF8"/>
    <w:rsid w:val="4EB02A00"/>
    <w:rsid w:val="4EB02AFA"/>
    <w:rsid w:val="4EB04FBD"/>
    <w:rsid w:val="4EC81611"/>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1F2E34"/>
    <w:rsid w:val="4F2159C0"/>
    <w:rsid w:val="4F2B024A"/>
    <w:rsid w:val="4F2F3D4F"/>
    <w:rsid w:val="4F39005A"/>
    <w:rsid w:val="4F430BCD"/>
    <w:rsid w:val="4F4D79E6"/>
    <w:rsid w:val="4F680013"/>
    <w:rsid w:val="4F692200"/>
    <w:rsid w:val="4F6A3BA4"/>
    <w:rsid w:val="4F760AE0"/>
    <w:rsid w:val="4F7A4A12"/>
    <w:rsid w:val="4F7E4810"/>
    <w:rsid w:val="4F817B37"/>
    <w:rsid w:val="4F9F714F"/>
    <w:rsid w:val="4FA41107"/>
    <w:rsid w:val="4FB07C78"/>
    <w:rsid w:val="4FD018BC"/>
    <w:rsid w:val="500C177B"/>
    <w:rsid w:val="50100886"/>
    <w:rsid w:val="50175434"/>
    <w:rsid w:val="503D1C10"/>
    <w:rsid w:val="503E1327"/>
    <w:rsid w:val="503F19CC"/>
    <w:rsid w:val="50506634"/>
    <w:rsid w:val="50543A73"/>
    <w:rsid w:val="50583DB2"/>
    <w:rsid w:val="505E3326"/>
    <w:rsid w:val="50660E2A"/>
    <w:rsid w:val="50665A2B"/>
    <w:rsid w:val="50673B5C"/>
    <w:rsid w:val="50681DF5"/>
    <w:rsid w:val="506A4060"/>
    <w:rsid w:val="50760C36"/>
    <w:rsid w:val="507A0041"/>
    <w:rsid w:val="507F37CB"/>
    <w:rsid w:val="5082131A"/>
    <w:rsid w:val="508274F8"/>
    <w:rsid w:val="508B158A"/>
    <w:rsid w:val="50960658"/>
    <w:rsid w:val="50982913"/>
    <w:rsid w:val="50A335EC"/>
    <w:rsid w:val="50A53185"/>
    <w:rsid w:val="50AA2150"/>
    <w:rsid w:val="50AB1BC0"/>
    <w:rsid w:val="50AD68AB"/>
    <w:rsid w:val="50BB28BF"/>
    <w:rsid w:val="50BF52A8"/>
    <w:rsid w:val="50C01B39"/>
    <w:rsid w:val="50C161BA"/>
    <w:rsid w:val="50C21833"/>
    <w:rsid w:val="50CB0142"/>
    <w:rsid w:val="50CE42A9"/>
    <w:rsid w:val="50D049C2"/>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8B468B"/>
    <w:rsid w:val="519D79E5"/>
    <w:rsid w:val="51AA21BB"/>
    <w:rsid w:val="51B539F5"/>
    <w:rsid w:val="51BA7944"/>
    <w:rsid w:val="51BB248E"/>
    <w:rsid w:val="51C27787"/>
    <w:rsid w:val="51C42F09"/>
    <w:rsid w:val="51CC12F8"/>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20DAC"/>
    <w:rsid w:val="52F90701"/>
    <w:rsid w:val="53006DA6"/>
    <w:rsid w:val="53041ADB"/>
    <w:rsid w:val="531008AA"/>
    <w:rsid w:val="53132328"/>
    <w:rsid w:val="531A0466"/>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1EA5"/>
    <w:rsid w:val="546D6DB6"/>
    <w:rsid w:val="54716B27"/>
    <w:rsid w:val="547E706C"/>
    <w:rsid w:val="54824034"/>
    <w:rsid w:val="548276A8"/>
    <w:rsid w:val="54871E87"/>
    <w:rsid w:val="548B25B9"/>
    <w:rsid w:val="548B31D4"/>
    <w:rsid w:val="548F22BA"/>
    <w:rsid w:val="54984846"/>
    <w:rsid w:val="549A0AF6"/>
    <w:rsid w:val="54A473D2"/>
    <w:rsid w:val="54A93422"/>
    <w:rsid w:val="54B222BC"/>
    <w:rsid w:val="54B70268"/>
    <w:rsid w:val="54BF5F92"/>
    <w:rsid w:val="54C00AB1"/>
    <w:rsid w:val="54C96D05"/>
    <w:rsid w:val="54CB6BA1"/>
    <w:rsid w:val="54E030F4"/>
    <w:rsid w:val="54E32C80"/>
    <w:rsid w:val="54E6138D"/>
    <w:rsid w:val="54E95BBC"/>
    <w:rsid w:val="54F121EA"/>
    <w:rsid w:val="550241E8"/>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AB103F"/>
    <w:rsid w:val="55B202EF"/>
    <w:rsid w:val="55B51957"/>
    <w:rsid w:val="55C3006B"/>
    <w:rsid w:val="55C663BD"/>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468CA"/>
    <w:rsid w:val="562B368C"/>
    <w:rsid w:val="56332FB1"/>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9B7D91"/>
    <w:rsid w:val="56A17A26"/>
    <w:rsid w:val="56A87B0A"/>
    <w:rsid w:val="56B82F30"/>
    <w:rsid w:val="56B94260"/>
    <w:rsid w:val="56CB030D"/>
    <w:rsid w:val="56D227CA"/>
    <w:rsid w:val="56D51AEF"/>
    <w:rsid w:val="56D93732"/>
    <w:rsid w:val="56EC26FD"/>
    <w:rsid w:val="56F07703"/>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48E9"/>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4ECC"/>
    <w:rsid w:val="58957B8C"/>
    <w:rsid w:val="589859D5"/>
    <w:rsid w:val="58B1106E"/>
    <w:rsid w:val="58B74379"/>
    <w:rsid w:val="58BA3C16"/>
    <w:rsid w:val="58C462F4"/>
    <w:rsid w:val="58D44CF7"/>
    <w:rsid w:val="58DC7A23"/>
    <w:rsid w:val="58E120C2"/>
    <w:rsid w:val="58F86CA7"/>
    <w:rsid w:val="58F87A38"/>
    <w:rsid w:val="58FC22F8"/>
    <w:rsid w:val="5907461C"/>
    <w:rsid w:val="591914FD"/>
    <w:rsid w:val="591A29EC"/>
    <w:rsid w:val="5929788E"/>
    <w:rsid w:val="592A0DD7"/>
    <w:rsid w:val="59313B43"/>
    <w:rsid w:val="59351AA3"/>
    <w:rsid w:val="59352AD9"/>
    <w:rsid w:val="5938606F"/>
    <w:rsid w:val="593A75C5"/>
    <w:rsid w:val="593B05DA"/>
    <w:rsid w:val="5943699B"/>
    <w:rsid w:val="5948761B"/>
    <w:rsid w:val="594C242A"/>
    <w:rsid w:val="594E04CA"/>
    <w:rsid w:val="594E748C"/>
    <w:rsid w:val="59583D39"/>
    <w:rsid w:val="598B6C27"/>
    <w:rsid w:val="598E0D3B"/>
    <w:rsid w:val="598E5B13"/>
    <w:rsid w:val="59A35379"/>
    <w:rsid w:val="59AA7F0E"/>
    <w:rsid w:val="59B343D9"/>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770"/>
    <w:rsid w:val="5A557EB5"/>
    <w:rsid w:val="5A5D411C"/>
    <w:rsid w:val="5A602845"/>
    <w:rsid w:val="5A664A8A"/>
    <w:rsid w:val="5A681BF1"/>
    <w:rsid w:val="5A6E398A"/>
    <w:rsid w:val="5A707004"/>
    <w:rsid w:val="5A8B344D"/>
    <w:rsid w:val="5A8C0FD8"/>
    <w:rsid w:val="5A987FB9"/>
    <w:rsid w:val="5A9F3D40"/>
    <w:rsid w:val="5A9F7511"/>
    <w:rsid w:val="5AA862DB"/>
    <w:rsid w:val="5AAE46AA"/>
    <w:rsid w:val="5AB204D6"/>
    <w:rsid w:val="5ABA380B"/>
    <w:rsid w:val="5ABC00FB"/>
    <w:rsid w:val="5ACD0B07"/>
    <w:rsid w:val="5ADB55E3"/>
    <w:rsid w:val="5ADD68C2"/>
    <w:rsid w:val="5AE32AE6"/>
    <w:rsid w:val="5AE412C2"/>
    <w:rsid w:val="5AE83649"/>
    <w:rsid w:val="5AEC5725"/>
    <w:rsid w:val="5AF01F35"/>
    <w:rsid w:val="5AF3320E"/>
    <w:rsid w:val="5AF4660E"/>
    <w:rsid w:val="5B19529D"/>
    <w:rsid w:val="5B24111A"/>
    <w:rsid w:val="5B264F16"/>
    <w:rsid w:val="5B2C5561"/>
    <w:rsid w:val="5B3E502A"/>
    <w:rsid w:val="5B3F06DB"/>
    <w:rsid w:val="5B4356DA"/>
    <w:rsid w:val="5B4D464F"/>
    <w:rsid w:val="5B565EED"/>
    <w:rsid w:val="5B6349B8"/>
    <w:rsid w:val="5B6F3756"/>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0F47B3"/>
    <w:rsid w:val="5C1E7FB5"/>
    <w:rsid w:val="5C226B2B"/>
    <w:rsid w:val="5C244811"/>
    <w:rsid w:val="5C306AB3"/>
    <w:rsid w:val="5C3122F7"/>
    <w:rsid w:val="5C3203E9"/>
    <w:rsid w:val="5C341906"/>
    <w:rsid w:val="5C40175F"/>
    <w:rsid w:val="5C4A08CE"/>
    <w:rsid w:val="5C513044"/>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C5AAE"/>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61429"/>
    <w:rsid w:val="5D4E6909"/>
    <w:rsid w:val="5D4F5BC3"/>
    <w:rsid w:val="5D5B03C3"/>
    <w:rsid w:val="5D616801"/>
    <w:rsid w:val="5D624A8F"/>
    <w:rsid w:val="5D6E22AC"/>
    <w:rsid w:val="5D6E6800"/>
    <w:rsid w:val="5D7842D3"/>
    <w:rsid w:val="5D8164DD"/>
    <w:rsid w:val="5D886297"/>
    <w:rsid w:val="5DA40E8D"/>
    <w:rsid w:val="5DA8512A"/>
    <w:rsid w:val="5DAF52FF"/>
    <w:rsid w:val="5DCA24E7"/>
    <w:rsid w:val="5DDB710D"/>
    <w:rsid w:val="5DDD54BF"/>
    <w:rsid w:val="5DE01715"/>
    <w:rsid w:val="5DE03BCF"/>
    <w:rsid w:val="5DEE3AC0"/>
    <w:rsid w:val="5DF07B1E"/>
    <w:rsid w:val="5DF179D9"/>
    <w:rsid w:val="5DF6271C"/>
    <w:rsid w:val="5DFA4F4B"/>
    <w:rsid w:val="5E0000CE"/>
    <w:rsid w:val="5E0851AC"/>
    <w:rsid w:val="5E24120B"/>
    <w:rsid w:val="5E2872E8"/>
    <w:rsid w:val="5E340FC7"/>
    <w:rsid w:val="5E3762D9"/>
    <w:rsid w:val="5E38357C"/>
    <w:rsid w:val="5E387A14"/>
    <w:rsid w:val="5E421222"/>
    <w:rsid w:val="5E484388"/>
    <w:rsid w:val="5E4A59E7"/>
    <w:rsid w:val="5E4E5934"/>
    <w:rsid w:val="5E5C408E"/>
    <w:rsid w:val="5E6838D1"/>
    <w:rsid w:val="5E6D0203"/>
    <w:rsid w:val="5E713415"/>
    <w:rsid w:val="5E7205D5"/>
    <w:rsid w:val="5E7F6F4D"/>
    <w:rsid w:val="5E8054AC"/>
    <w:rsid w:val="5E8D5E03"/>
    <w:rsid w:val="5E920C9D"/>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D20C0"/>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95B95"/>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66318F"/>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1D1"/>
    <w:rsid w:val="62431761"/>
    <w:rsid w:val="624A65D0"/>
    <w:rsid w:val="624E0623"/>
    <w:rsid w:val="624E6B9B"/>
    <w:rsid w:val="624F6627"/>
    <w:rsid w:val="62512AD5"/>
    <w:rsid w:val="62536463"/>
    <w:rsid w:val="6255136F"/>
    <w:rsid w:val="625611CE"/>
    <w:rsid w:val="625A1082"/>
    <w:rsid w:val="62620E6D"/>
    <w:rsid w:val="62664464"/>
    <w:rsid w:val="62673636"/>
    <w:rsid w:val="62681508"/>
    <w:rsid w:val="626E2017"/>
    <w:rsid w:val="6272555A"/>
    <w:rsid w:val="62730367"/>
    <w:rsid w:val="627C640F"/>
    <w:rsid w:val="628C7CD0"/>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821DF"/>
    <w:rsid w:val="62EA2907"/>
    <w:rsid w:val="62FA7B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3DB1"/>
    <w:rsid w:val="641D53F9"/>
    <w:rsid w:val="641E3A4F"/>
    <w:rsid w:val="641F6C60"/>
    <w:rsid w:val="6436137F"/>
    <w:rsid w:val="643F19BD"/>
    <w:rsid w:val="64410544"/>
    <w:rsid w:val="6452759F"/>
    <w:rsid w:val="645E347D"/>
    <w:rsid w:val="6469515D"/>
    <w:rsid w:val="646973C5"/>
    <w:rsid w:val="64714BD8"/>
    <w:rsid w:val="6472228E"/>
    <w:rsid w:val="647B3489"/>
    <w:rsid w:val="648471BD"/>
    <w:rsid w:val="648C34AD"/>
    <w:rsid w:val="64940FF4"/>
    <w:rsid w:val="64980C6D"/>
    <w:rsid w:val="649D1428"/>
    <w:rsid w:val="64A21BEC"/>
    <w:rsid w:val="64A36F8D"/>
    <w:rsid w:val="64A61E80"/>
    <w:rsid w:val="64BC309B"/>
    <w:rsid w:val="64D2493A"/>
    <w:rsid w:val="64D42B0D"/>
    <w:rsid w:val="64DA26F4"/>
    <w:rsid w:val="64DE29BA"/>
    <w:rsid w:val="64DF0ED2"/>
    <w:rsid w:val="64E43804"/>
    <w:rsid w:val="64ED600A"/>
    <w:rsid w:val="64F46FD2"/>
    <w:rsid w:val="64F549AC"/>
    <w:rsid w:val="64F8178D"/>
    <w:rsid w:val="650B7D2C"/>
    <w:rsid w:val="65290E28"/>
    <w:rsid w:val="65295741"/>
    <w:rsid w:val="652E2E79"/>
    <w:rsid w:val="653D1103"/>
    <w:rsid w:val="65483DA3"/>
    <w:rsid w:val="656136BC"/>
    <w:rsid w:val="65621FA1"/>
    <w:rsid w:val="656B693C"/>
    <w:rsid w:val="65727D75"/>
    <w:rsid w:val="65942986"/>
    <w:rsid w:val="65970A16"/>
    <w:rsid w:val="65A15117"/>
    <w:rsid w:val="65A2467E"/>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3723AA"/>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3B9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54BF4"/>
    <w:rsid w:val="67580C06"/>
    <w:rsid w:val="675E7B94"/>
    <w:rsid w:val="67623859"/>
    <w:rsid w:val="67631224"/>
    <w:rsid w:val="676B3FED"/>
    <w:rsid w:val="677D2D55"/>
    <w:rsid w:val="67804BC2"/>
    <w:rsid w:val="67870B7B"/>
    <w:rsid w:val="678E07C6"/>
    <w:rsid w:val="678F3496"/>
    <w:rsid w:val="679D6FF4"/>
    <w:rsid w:val="67A105DD"/>
    <w:rsid w:val="67BD39A4"/>
    <w:rsid w:val="67C31474"/>
    <w:rsid w:val="67C44765"/>
    <w:rsid w:val="67CC7664"/>
    <w:rsid w:val="67D67C1A"/>
    <w:rsid w:val="67DF1A8A"/>
    <w:rsid w:val="67ED67E7"/>
    <w:rsid w:val="67F12F74"/>
    <w:rsid w:val="6802139C"/>
    <w:rsid w:val="6807528B"/>
    <w:rsid w:val="680B3DE0"/>
    <w:rsid w:val="680B49A5"/>
    <w:rsid w:val="680E7CB8"/>
    <w:rsid w:val="68141A4C"/>
    <w:rsid w:val="681472ED"/>
    <w:rsid w:val="68167FF4"/>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1D33EA"/>
    <w:rsid w:val="6921109D"/>
    <w:rsid w:val="692C606C"/>
    <w:rsid w:val="693F2E17"/>
    <w:rsid w:val="694D7694"/>
    <w:rsid w:val="69517793"/>
    <w:rsid w:val="69541FA4"/>
    <w:rsid w:val="695C7531"/>
    <w:rsid w:val="69602EEE"/>
    <w:rsid w:val="69657E2E"/>
    <w:rsid w:val="69747D39"/>
    <w:rsid w:val="697A2455"/>
    <w:rsid w:val="6989582D"/>
    <w:rsid w:val="698F58C5"/>
    <w:rsid w:val="69961C1D"/>
    <w:rsid w:val="699E641D"/>
    <w:rsid w:val="69A9357D"/>
    <w:rsid w:val="69B17D0A"/>
    <w:rsid w:val="69B81B12"/>
    <w:rsid w:val="69BF761B"/>
    <w:rsid w:val="69C97405"/>
    <w:rsid w:val="69CB57AB"/>
    <w:rsid w:val="69CB66E6"/>
    <w:rsid w:val="69DB27C0"/>
    <w:rsid w:val="69E57691"/>
    <w:rsid w:val="69F43BDC"/>
    <w:rsid w:val="69F513F8"/>
    <w:rsid w:val="69FE1592"/>
    <w:rsid w:val="6A002402"/>
    <w:rsid w:val="6A0D33C2"/>
    <w:rsid w:val="6A166966"/>
    <w:rsid w:val="6A1A7A46"/>
    <w:rsid w:val="6A250D38"/>
    <w:rsid w:val="6A2F4124"/>
    <w:rsid w:val="6A335E50"/>
    <w:rsid w:val="6A3B18E7"/>
    <w:rsid w:val="6A3D5314"/>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0678FD"/>
    <w:rsid w:val="6B3158B9"/>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41875"/>
    <w:rsid w:val="6B780A0C"/>
    <w:rsid w:val="6B7D18E3"/>
    <w:rsid w:val="6B7D1C01"/>
    <w:rsid w:val="6B8834DA"/>
    <w:rsid w:val="6B8E15AC"/>
    <w:rsid w:val="6B9E2AD3"/>
    <w:rsid w:val="6BA10998"/>
    <w:rsid w:val="6BA71EE5"/>
    <w:rsid w:val="6BA854E8"/>
    <w:rsid w:val="6BA97EFD"/>
    <w:rsid w:val="6BAA5459"/>
    <w:rsid w:val="6BC81A9A"/>
    <w:rsid w:val="6BC8480E"/>
    <w:rsid w:val="6BD95B85"/>
    <w:rsid w:val="6BD974AE"/>
    <w:rsid w:val="6BDD1068"/>
    <w:rsid w:val="6BDE7655"/>
    <w:rsid w:val="6BE74E05"/>
    <w:rsid w:val="6BF64629"/>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322BF"/>
    <w:rsid w:val="6C86041B"/>
    <w:rsid w:val="6C8A45D5"/>
    <w:rsid w:val="6C8C49CF"/>
    <w:rsid w:val="6C9069CF"/>
    <w:rsid w:val="6C9D1787"/>
    <w:rsid w:val="6CA4216E"/>
    <w:rsid w:val="6CA44DB8"/>
    <w:rsid w:val="6CA75AA2"/>
    <w:rsid w:val="6CA95B15"/>
    <w:rsid w:val="6CB52B9E"/>
    <w:rsid w:val="6CC5455B"/>
    <w:rsid w:val="6CC62C2C"/>
    <w:rsid w:val="6CCC6FE0"/>
    <w:rsid w:val="6CCD4A60"/>
    <w:rsid w:val="6CD94D1A"/>
    <w:rsid w:val="6CDC689C"/>
    <w:rsid w:val="6CE82177"/>
    <w:rsid w:val="6CEB2609"/>
    <w:rsid w:val="6CFC572F"/>
    <w:rsid w:val="6CFE37CA"/>
    <w:rsid w:val="6D13285A"/>
    <w:rsid w:val="6D1C0FED"/>
    <w:rsid w:val="6D1C25DF"/>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64744"/>
    <w:rsid w:val="6ECB0CA3"/>
    <w:rsid w:val="6ECE0B27"/>
    <w:rsid w:val="6ED02623"/>
    <w:rsid w:val="6ED92856"/>
    <w:rsid w:val="6EDF1AD6"/>
    <w:rsid w:val="6EE05FAD"/>
    <w:rsid w:val="6EEB2A66"/>
    <w:rsid w:val="6EF77132"/>
    <w:rsid w:val="6EFC3A87"/>
    <w:rsid w:val="6F057F8B"/>
    <w:rsid w:val="6F084036"/>
    <w:rsid w:val="6F0913AC"/>
    <w:rsid w:val="6F0A702E"/>
    <w:rsid w:val="6F1208E8"/>
    <w:rsid w:val="6F1C28F9"/>
    <w:rsid w:val="6F1D4537"/>
    <w:rsid w:val="6F1E3281"/>
    <w:rsid w:val="6F206148"/>
    <w:rsid w:val="6F2464EF"/>
    <w:rsid w:val="6F25291A"/>
    <w:rsid w:val="6F27711C"/>
    <w:rsid w:val="6F2A63C0"/>
    <w:rsid w:val="6F2C3765"/>
    <w:rsid w:val="6F455670"/>
    <w:rsid w:val="6F493831"/>
    <w:rsid w:val="6F4B6565"/>
    <w:rsid w:val="6F4C79AB"/>
    <w:rsid w:val="6F6531B8"/>
    <w:rsid w:val="6F6C1230"/>
    <w:rsid w:val="6F6C3DB3"/>
    <w:rsid w:val="6F6E605C"/>
    <w:rsid w:val="6F7C5BB2"/>
    <w:rsid w:val="6F8D4A4C"/>
    <w:rsid w:val="6F966872"/>
    <w:rsid w:val="6FAE1262"/>
    <w:rsid w:val="6FAF434E"/>
    <w:rsid w:val="6FB90805"/>
    <w:rsid w:val="6FBB3A78"/>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7E0075"/>
    <w:rsid w:val="708F44D3"/>
    <w:rsid w:val="709465EC"/>
    <w:rsid w:val="709F5322"/>
    <w:rsid w:val="70A214DF"/>
    <w:rsid w:val="70AB74CF"/>
    <w:rsid w:val="70AE4BE5"/>
    <w:rsid w:val="70AE52B6"/>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52674"/>
    <w:rsid w:val="71BE7204"/>
    <w:rsid w:val="71C15203"/>
    <w:rsid w:val="71D53C85"/>
    <w:rsid w:val="71D97B23"/>
    <w:rsid w:val="71DB65D7"/>
    <w:rsid w:val="71E11088"/>
    <w:rsid w:val="71EE363B"/>
    <w:rsid w:val="71F56317"/>
    <w:rsid w:val="71FF78F9"/>
    <w:rsid w:val="72084708"/>
    <w:rsid w:val="720A645F"/>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304AE"/>
    <w:rsid w:val="72A41D00"/>
    <w:rsid w:val="72A43286"/>
    <w:rsid w:val="72AA5C03"/>
    <w:rsid w:val="72BF2D59"/>
    <w:rsid w:val="72CC7471"/>
    <w:rsid w:val="72D01440"/>
    <w:rsid w:val="72D139F9"/>
    <w:rsid w:val="72D23D19"/>
    <w:rsid w:val="72D647BB"/>
    <w:rsid w:val="72EA66F6"/>
    <w:rsid w:val="72FA314C"/>
    <w:rsid w:val="72FB2114"/>
    <w:rsid w:val="72FE2838"/>
    <w:rsid w:val="730208D7"/>
    <w:rsid w:val="730E3A7E"/>
    <w:rsid w:val="73180030"/>
    <w:rsid w:val="732727A1"/>
    <w:rsid w:val="733077BC"/>
    <w:rsid w:val="733D6593"/>
    <w:rsid w:val="734F7676"/>
    <w:rsid w:val="7355190C"/>
    <w:rsid w:val="735F1E39"/>
    <w:rsid w:val="73626EF3"/>
    <w:rsid w:val="736B1B21"/>
    <w:rsid w:val="73734CF6"/>
    <w:rsid w:val="73773105"/>
    <w:rsid w:val="737A69F2"/>
    <w:rsid w:val="737A6DD2"/>
    <w:rsid w:val="737C3B6E"/>
    <w:rsid w:val="737C789F"/>
    <w:rsid w:val="737F3564"/>
    <w:rsid w:val="73855211"/>
    <w:rsid w:val="738F55BE"/>
    <w:rsid w:val="739A5F82"/>
    <w:rsid w:val="73A063CB"/>
    <w:rsid w:val="73A100EF"/>
    <w:rsid w:val="73A3244B"/>
    <w:rsid w:val="73A90825"/>
    <w:rsid w:val="73C52756"/>
    <w:rsid w:val="73CE3686"/>
    <w:rsid w:val="73D535AF"/>
    <w:rsid w:val="73DA381C"/>
    <w:rsid w:val="73F16F74"/>
    <w:rsid w:val="73F65E56"/>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42F37"/>
    <w:rsid w:val="7516627A"/>
    <w:rsid w:val="75183776"/>
    <w:rsid w:val="751F61E0"/>
    <w:rsid w:val="75224721"/>
    <w:rsid w:val="75285460"/>
    <w:rsid w:val="752D0846"/>
    <w:rsid w:val="753003AF"/>
    <w:rsid w:val="75325F00"/>
    <w:rsid w:val="75355985"/>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642F8"/>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BA6DBB"/>
    <w:rsid w:val="76C10CF8"/>
    <w:rsid w:val="76C40C69"/>
    <w:rsid w:val="76C830A5"/>
    <w:rsid w:val="76D75FBA"/>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5B5276"/>
    <w:rsid w:val="7769365D"/>
    <w:rsid w:val="776C0B5A"/>
    <w:rsid w:val="77705083"/>
    <w:rsid w:val="7772175A"/>
    <w:rsid w:val="7794033F"/>
    <w:rsid w:val="779E3786"/>
    <w:rsid w:val="77BA3908"/>
    <w:rsid w:val="77C11EE5"/>
    <w:rsid w:val="77CD498C"/>
    <w:rsid w:val="77DB7F41"/>
    <w:rsid w:val="77E13575"/>
    <w:rsid w:val="77EB6576"/>
    <w:rsid w:val="77F447F0"/>
    <w:rsid w:val="77FF5915"/>
    <w:rsid w:val="78013EBF"/>
    <w:rsid w:val="7805190E"/>
    <w:rsid w:val="7809335A"/>
    <w:rsid w:val="780B61C0"/>
    <w:rsid w:val="780C2D51"/>
    <w:rsid w:val="780C7E0C"/>
    <w:rsid w:val="78185AD9"/>
    <w:rsid w:val="781D03F1"/>
    <w:rsid w:val="781E1935"/>
    <w:rsid w:val="781F3917"/>
    <w:rsid w:val="78293A6F"/>
    <w:rsid w:val="782D5E2E"/>
    <w:rsid w:val="78512B14"/>
    <w:rsid w:val="78513111"/>
    <w:rsid w:val="78525B74"/>
    <w:rsid w:val="785C23A0"/>
    <w:rsid w:val="785C39A9"/>
    <w:rsid w:val="785F21D7"/>
    <w:rsid w:val="7861664E"/>
    <w:rsid w:val="78624F42"/>
    <w:rsid w:val="78627B1D"/>
    <w:rsid w:val="786B4684"/>
    <w:rsid w:val="786F162C"/>
    <w:rsid w:val="786F528C"/>
    <w:rsid w:val="7879271E"/>
    <w:rsid w:val="788E6C8E"/>
    <w:rsid w:val="789074A7"/>
    <w:rsid w:val="7898558E"/>
    <w:rsid w:val="78A64BE2"/>
    <w:rsid w:val="78A67000"/>
    <w:rsid w:val="78BB2955"/>
    <w:rsid w:val="78BF346B"/>
    <w:rsid w:val="78CA1D23"/>
    <w:rsid w:val="78D1228F"/>
    <w:rsid w:val="78D472E6"/>
    <w:rsid w:val="78D93125"/>
    <w:rsid w:val="78DE7753"/>
    <w:rsid w:val="78E12B75"/>
    <w:rsid w:val="78F5477B"/>
    <w:rsid w:val="78F553B7"/>
    <w:rsid w:val="78F77E5D"/>
    <w:rsid w:val="78FA50E8"/>
    <w:rsid w:val="78FE3063"/>
    <w:rsid w:val="79032268"/>
    <w:rsid w:val="79210330"/>
    <w:rsid w:val="792358EB"/>
    <w:rsid w:val="793423AD"/>
    <w:rsid w:val="793566EA"/>
    <w:rsid w:val="793A45C1"/>
    <w:rsid w:val="793B70EF"/>
    <w:rsid w:val="7949656C"/>
    <w:rsid w:val="795311B6"/>
    <w:rsid w:val="79533802"/>
    <w:rsid w:val="79684193"/>
    <w:rsid w:val="796D0D69"/>
    <w:rsid w:val="796E3E74"/>
    <w:rsid w:val="797048E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25240"/>
    <w:rsid w:val="79C9060F"/>
    <w:rsid w:val="79CA7E01"/>
    <w:rsid w:val="79D41DC3"/>
    <w:rsid w:val="79D544BA"/>
    <w:rsid w:val="79E7530B"/>
    <w:rsid w:val="79EC2957"/>
    <w:rsid w:val="79EF427F"/>
    <w:rsid w:val="79F273C6"/>
    <w:rsid w:val="79F92FCA"/>
    <w:rsid w:val="79FB71AC"/>
    <w:rsid w:val="7A0254DE"/>
    <w:rsid w:val="7A0550F6"/>
    <w:rsid w:val="7A080F43"/>
    <w:rsid w:val="7A135E80"/>
    <w:rsid w:val="7A1C3212"/>
    <w:rsid w:val="7A214813"/>
    <w:rsid w:val="7A2150CD"/>
    <w:rsid w:val="7A2213F0"/>
    <w:rsid w:val="7A3326FC"/>
    <w:rsid w:val="7A374022"/>
    <w:rsid w:val="7A380449"/>
    <w:rsid w:val="7A3C5AEC"/>
    <w:rsid w:val="7A452E08"/>
    <w:rsid w:val="7A4800B0"/>
    <w:rsid w:val="7A4A2FC4"/>
    <w:rsid w:val="7A5605FF"/>
    <w:rsid w:val="7A61758E"/>
    <w:rsid w:val="7A657225"/>
    <w:rsid w:val="7A6967B4"/>
    <w:rsid w:val="7A6D1D3E"/>
    <w:rsid w:val="7A743833"/>
    <w:rsid w:val="7A7B571D"/>
    <w:rsid w:val="7A7F15B6"/>
    <w:rsid w:val="7A84569A"/>
    <w:rsid w:val="7A845CC9"/>
    <w:rsid w:val="7A84797B"/>
    <w:rsid w:val="7A862C70"/>
    <w:rsid w:val="7A8F5629"/>
    <w:rsid w:val="7A9876D3"/>
    <w:rsid w:val="7AB36004"/>
    <w:rsid w:val="7AB377A7"/>
    <w:rsid w:val="7AB82515"/>
    <w:rsid w:val="7AB84296"/>
    <w:rsid w:val="7AB848D8"/>
    <w:rsid w:val="7ABB3F5E"/>
    <w:rsid w:val="7AC343A4"/>
    <w:rsid w:val="7ACA7F25"/>
    <w:rsid w:val="7AD57521"/>
    <w:rsid w:val="7AEC1E9B"/>
    <w:rsid w:val="7AEC7422"/>
    <w:rsid w:val="7AED79A0"/>
    <w:rsid w:val="7AED7F8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4E1B6F"/>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A95B3C"/>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536B6"/>
    <w:rsid w:val="7CF613F9"/>
    <w:rsid w:val="7CF90AAA"/>
    <w:rsid w:val="7D0509A8"/>
    <w:rsid w:val="7D080696"/>
    <w:rsid w:val="7D131213"/>
    <w:rsid w:val="7D143198"/>
    <w:rsid w:val="7D233D17"/>
    <w:rsid w:val="7D311055"/>
    <w:rsid w:val="7D343AA8"/>
    <w:rsid w:val="7D3A05C1"/>
    <w:rsid w:val="7D437F94"/>
    <w:rsid w:val="7D4400A1"/>
    <w:rsid w:val="7D51661E"/>
    <w:rsid w:val="7D5C0A4E"/>
    <w:rsid w:val="7D5D01DD"/>
    <w:rsid w:val="7D641950"/>
    <w:rsid w:val="7D696952"/>
    <w:rsid w:val="7D6B674C"/>
    <w:rsid w:val="7D79759A"/>
    <w:rsid w:val="7D7B4CC5"/>
    <w:rsid w:val="7D833A86"/>
    <w:rsid w:val="7D880EDF"/>
    <w:rsid w:val="7D8E049A"/>
    <w:rsid w:val="7DA47F91"/>
    <w:rsid w:val="7DAA3917"/>
    <w:rsid w:val="7DAA7E2E"/>
    <w:rsid w:val="7DB0187C"/>
    <w:rsid w:val="7DBA3498"/>
    <w:rsid w:val="7DC033E3"/>
    <w:rsid w:val="7DD20BAB"/>
    <w:rsid w:val="7DD71768"/>
    <w:rsid w:val="7DDD74A3"/>
    <w:rsid w:val="7DDF4738"/>
    <w:rsid w:val="7DE56F9F"/>
    <w:rsid w:val="7DEF7BFB"/>
    <w:rsid w:val="7DF007AE"/>
    <w:rsid w:val="7E084328"/>
    <w:rsid w:val="7E0D5D12"/>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45129"/>
    <w:rsid w:val="7EC70552"/>
    <w:rsid w:val="7ECB516B"/>
    <w:rsid w:val="7ED5272B"/>
    <w:rsid w:val="7ED60B31"/>
    <w:rsid w:val="7EDD1569"/>
    <w:rsid w:val="7EE23BBA"/>
    <w:rsid w:val="7EE32EB1"/>
    <w:rsid w:val="7EE76A5E"/>
    <w:rsid w:val="7EEE4540"/>
    <w:rsid w:val="7EF030E0"/>
    <w:rsid w:val="7EFD1878"/>
    <w:rsid w:val="7F002510"/>
    <w:rsid w:val="7F125C1D"/>
    <w:rsid w:val="7F134D6B"/>
    <w:rsid w:val="7F2C695B"/>
    <w:rsid w:val="7F370F4F"/>
    <w:rsid w:val="7F3D2627"/>
    <w:rsid w:val="7F4F6ADA"/>
    <w:rsid w:val="7F5235FC"/>
    <w:rsid w:val="7F5363F5"/>
    <w:rsid w:val="7F5C6383"/>
    <w:rsid w:val="7F656973"/>
    <w:rsid w:val="7F66524D"/>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autoRedefine/>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6">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autoRedefine/>
    <w:qFormat/>
    <w:uiPriority w:val="0"/>
    <w:pPr>
      <w:jc w:val="left"/>
    </w:pPr>
  </w:style>
  <w:style w:type="paragraph" w:styleId="14">
    <w:name w:val="Body Text 3"/>
    <w:basedOn w:val="1"/>
    <w:autoRedefine/>
    <w:qFormat/>
    <w:uiPriority w:val="0"/>
    <w:rPr>
      <w:sz w:val="24"/>
    </w:rPr>
  </w:style>
  <w:style w:type="paragraph" w:styleId="15">
    <w:name w:val="Body Text"/>
    <w:basedOn w:val="1"/>
    <w:link w:val="94"/>
    <w:autoRedefine/>
    <w:qFormat/>
    <w:uiPriority w:val="0"/>
    <w:pPr>
      <w:spacing w:after="120"/>
    </w:pPr>
  </w:style>
  <w:style w:type="paragraph" w:styleId="16">
    <w:name w:val="Body Text Indent"/>
    <w:basedOn w:val="1"/>
    <w:autoRedefine/>
    <w:qFormat/>
    <w:uiPriority w:val="0"/>
    <w:pPr>
      <w:spacing w:after="120"/>
      <w:ind w:left="420" w:leftChars="200"/>
    </w:pPr>
  </w:style>
  <w:style w:type="paragraph" w:styleId="17">
    <w:name w:val="toc 5"/>
    <w:basedOn w:val="1"/>
    <w:next w:val="1"/>
    <w:autoRedefine/>
    <w:qFormat/>
    <w:uiPriority w:val="0"/>
    <w:pPr>
      <w:tabs>
        <w:tab w:val="right" w:leader="dot" w:pos="8296"/>
      </w:tabs>
      <w:ind w:left="1050" w:leftChars="500"/>
    </w:pPr>
  </w:style>
  <w:style w:type="paragraph" w:styleId="18">
    <w:name w:val="toc 3"/>
    <w:basedOn w:val="1"/>
    <w:next w:val="1"/>
    <w:autoRedefine/>
    <w:semiHidden/>
    <w:qFormat/>
    <w:uiPriority w:val="0"/>
    <w:pPr>
      <w:ind w:left="840" w:leftChars="400"/>
    </w:pPr>
  </w:style>
  <w:style w:type="paragraph" w:styleId="19">
    <w:name w:val="Plain Text"/>
    <w:basedOn w:val="1"/>
    <w:link w:val="51"/>
    <w:autoRedefine/>
    <w:qFormat/>
    <w:uiPriority w:val="0"/>
    <w:rPr>
      <w:rFonts w:hAnsi="Courier New" w:cs="Courier New"/>
      <w:kern w:val="2"/>
      <w:sz w:val="21"/>
      <w:szCs w:val="21"/>
    </w:rPr>
  </w:style>
  <w:style w:type="paragraph" w:styleId="20">
    <w:name w:val="Date"/>
    <w:basedOn w:val="1"/>
    <w:next w:val="1"/>
    <w:autoRedefine/>
    <w:qFormat/>
    <w:uiPriority w:val="0"/>
    <w:pPr>
      <w:ind w:left="100" w:leftChars="2500"/>
    </w:pPr>
  </w:style>
  <w:style w:type="paragraph" w:styleId="21">
    <w:name w:val="Body Text Indent 2"/>
    <w:basedOn w:val="1"/>
    <w:next w:val="1"/>
    <w:autoRedefine/>
    <w:qFormat/>
    <w:uiPriority w:val="0"/>
    <w:pPr>
      <w:spacing w:after="120" w:line="480" w:lineRule="auto"/>
      <w:ind w:left="420" w:leftChars="200"/>
    </w:pPr>
  </w:style>
  <w:style w:type="paragraph" w:styleId="22">
    <w:name w:val="Balloon Text"/>
    <w:basedOn w:val="1"/>
    <w:autoRedefine/>
    <w:semiHidden/>
    <w:qFormat/>
    <w:uiPriority w:val="0"/>
    <w:rPr>
      <w:sz w:val="18"/>
      <w:szCs w:val="18"/>
    </w:rPr>
  </w:style>
  <w:style w:type="paragraph" w:styleId="23">
    <w:name w:val="footer"/>
    <w:basedOn w:val="1"/>
    <w:link w:val="60"/>
    <w:autoRedefine/>
    <w:qFormat/>
    <w:uiPriority w:val="99"/>
    <w:pPr>
      <w:tabs>
        <w:tab w:val="center" w:pos="4153"/>
        <w:tab w:val="right" w:pos="8306"/>
      </w:tabs>
      <w:snapToGrid w:val="0"/>
      <w:jc w:val="left"/>
    </w:pPr>
    <w:rPr>
      <w:rFonts w:ascii="Times New Roman"/>
      <w:kern w:val="2"/>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link w:val="9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pPr>
      <w:tabs>
        <w:tab w:val="right" w:leader="dot" w:pos="9060"/>
      </w:tabs>
      <w:spacing w:line="580" w:lineRule="exact"/>
    </w:pPr>
    <w:rPr>
      <w:rFonts w:ascii="黑体" w:hAnsi="宋体" w:eastAsia="黑体" w:cs="TimesNewRomanPSMT"/>
    </w:rPr>
  </w:style>
  <w:style w:type="paragraph" w:styleId="27">
    <w:name w:val="toc 4"/>
    <w:basedOn w:val="1"/>
    <w:next w:val="1"/>
    <w:autoRedefine/>
    <w:qFormat/>
    <w:uiPriority w:val="0"/>
    <w:pPr>
      <w:tabs>
        <w:tab w:val="left" w:pos="1890"/>
        <w:tab w:val="right" w:leader="dot" w:pos="8296"/>
      </w:tabs>
      <w:ind w:left="630" w:leftChars="300"/>
    </w:pPr>
  </w:style>
  <w:style w:type="paragraph" w:styleId="28">
    <w:name w:val="Body Text Indent 3"/>
    <w:basedOn w:val="1"/>
    <w:autoRedefine/>
    <w:qFormat/>
    <w:uiPriority w:val="0"/>
    <w:pPr>
      <w:ind w:firstLine="420" w:firstLineChars="200"/>
    </w:pPr>
    <w:rPr>
      <w:rFonts w:hAnsi="宋体"/>
    </w:rPr>
  </w:style>
  <w:style w:type="paragraph" w:styleId="29">
    <w:name w:val="Body Text 2"/>
    <w:basedOn w:val="1"/>
    <w:autoRedefine/>
    <w:qFormat/>
    <w:uiPriority w:val="0"/>
    <w:pPr>
      <w:spacing w:line="480" w:lineRule="auto"/>
    </w:pPr>
    <w:rPr>
      <w:rFonts w:ascii="Times New Roman"/>
    </w:rPr>
  </w:style>
  <w:style w:type="paragraph" w:styleId="30">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Normal (Web)"/>
    <w:basedOn w:val="1"/>
    <w:autoRedefine/>
    <w:qFormat/>
    <w:uiPriority w:val="0"/>
    <w:pPr>
      <w:widowControl/>
      <w:spacing w:before="100" w:beforeAutospacing="1" w:after="100" w:afterAutospacing="1"/>
      <w:jc w:val="left"/>
    </w:pPr>
    <w:rPr>
      <w:rFonts w:hAnsi="宋体" w:cs="宋体"/>
      <w:sz w:val="24"/>
    </w:rPr>
  </w:style>
  <w:style w:type="paragraph" w:styleId="32">
    <w:name w:val="Title"/>
    <w:basedOn w:val="1"/>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Body Text First Indent"/>
    <w:basedOn w:val="15"/>
    <w:next w:val="34"/>
    <w:link w:val="95"/>
    <w:autoRedefine/>
    <w:qFormat/>
    <w:uiPriority w:val="0"/>
    <w:pPr>
      <w:ind w:firstLine="420" w:firstLineChars="100"/>
    </w:pPr>
  </w:style>
  <w:style w:type="paragraph" w:styleId="34">
    <w:name w:val="Body Text First Indent 2"/>
    <w:basedOn w:val="16"/>
    <w:autoRedefine/>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37">
    <w:name w:val="Strong"/>
    <w:autoRedefine/>
    <w:qFormat/>
    <w:uiPriority w:val="22"/>
    <w:rPr>
      <w:b/>
      <w:bCs/>
    </w:rPr>
  </w:style>
  <w:style w:type="character" w:styleId="38">
    <w:name w:val="page number"/>
    <w:basedOn w:val="36"/>
    <w:autoRedefine/>
    <w:qFormat/>
    <w:uiPriority w:val="0"/>
  </w:style>
  <w:style w:type="character" w:styleId="39">
    <w:name w:val="FollowedHyperlink"/>
    <w:autoRedefine/>
    <w:qFormat/>
    <w:uiPriority w:val="0"/>
    <w:rPr>
      <w:color w:val="000000"/>
      <w:u w:val="none"/>
    </w:rPr>
  </w:style>
  <w:style w:type="character" w:styleId="40">
    <w:name w:val="Emphasis"/>
    <w:basedOn w:val="36"/>
    <w:autoRedefine/>
    <w:qFormat/>
    <w:uiPriority w:val="0"/>
  </w:style>
  <w:style w:type="character" w:styleId="41">
    <w:name w:val="Hyperlink"/>
    <w:basedOn w:val="36"/>
    <w:autoRedefine/>
    <w:qFormat/>
    <w:uiPriority w:val="0"/>
    <w:rPr>
      <w:color w:val="000000"/>
      <w:u w:val="none"/>
    </w:rPr>
  </w:style>
  <w:style w:type="paragraph" w:customStyle="1" w:styleId="42">
    <w:name w:val="无间隔1"/>
    <w:basedOn w:val="1"/>
    <w:autoRedefine/>
    <w:qFormat/>
    <w:uiPriority w:val="0"/>
    <w:pPr>
      <w:spacing w:line="400" w:lineRule="exact"/>
    </w:pPr>
    <w:rPr>
      <w:rFonts w:ascii="Times New Roman"/>
      <w:sz w:val="24"/>
    </w:rPr>
  </w:style>
  <w:style w:type="paragraph" w:customStyle="1" w:styleId="43">
    <w:name w:val="style4"/>
    <w:basedOn w:val="1"/>
    <w:next w:val="44"/>
    <w:autoRedefine/>
    <w:qFormat/>
    <w:uiPriority w:val="0"/>
    <w:pPr>
      <w:widowControl/>
      <w:spacing w:before="280" w:after="280"/>
    </w:pPr>
    <w:rPr>
      <w:sz w:val="18"/>
    </w:rPr>
  </w:style>
  <w:style w:type="paragraph" w:customStyle="1" w:styleId="4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hover3"/>
    <w:autoRedefine/>
    <w:qFormat/>
    <w:uiPriority w:val="0"/>
    <w:rPr>
      <w:bdr w:val="single" w:color="FFCC33" w:sz="6" w:space="0"/>
    </w:rPr>
  </w:style>
  <w:style w:type="character" w:customStyle="1" w:styleId="47">
    <w:name w:val="tit1"/>
    <w:basedOn w:val="36"/>
    <w:autoRedefine/>
    <w:qFormat/>
    <w:uiPriority w:val="0"/>
  </w:style>
  <w:style w:type="character" w:customStyle="1" w:styleId="48">
    <w:name w:val="textcontents"/>
    <w:basedOn w:val="36"/>
    <w:autoRedefine/>
    <w:qFormat/>
    <w:uiPriority w:val="0"/>
  </w:style>
  <w:style w:type="character" w:customStyle="1" w:styleId="49">
    <w:name w:val="down"/>
    <w:autoRedefine/>
    <w:qFormat/>
    <w:uiPriority w:val="0"/>
    <w:rPr>
      <w:shd w:val="clear" w:color="auto" w:fill="DAEEF9"/>
    </w:rPr>
  </w:style>
  <w:style w:type="character" w:customStyle="1" w:styleId="50">
    <w:name w:val="标题 2 Char"/>
    <w:link w:val="3"/>
    <w:autoRedefine/>
    <w:qFormat/>
    <w:uiPriority w:val="0"/>
    <w:rPr>
      <w:rFonts w:ascii="Arial" w:hAnsi="Arial" w:eastAsia="黑体"/>
      <w:b/>
      <w:bCs/>
      <w:kern w:val="2"/>
      <w:sz w:val="32"/>
      <w:szCs w:val="32"/>
      <w:lang w:val="en-US" w:eastAsia="zh-CN" w:bidi="ar-SA"/>
    </w:rPr>
  </w:style>
  <w:style w:type="character" w:customStyle="1" w:styleId="51">
    <w:name w:val="纯文本 Char"/>
    <w:link w:val="19"/>
    <w:autoRedefine/>
    <w:qFormat/>
    <w:uiPriority w:val="0"/>
    <w:rPr>
      <w:rFonts w:ascii="宋体" w:hAnsi="Courier New" w:eastAsia="宋体" w:cs="Courier New"/>
      <w:kern w:val="2"/>
      <w:sz w:val="21"/>
      <w:szCs w:val="21"/>
      <w:lang w:val="en-US" w:eastAsia="zh-CN" w:bidi="ar-SA"/>
    </w:rPr>
  </w:style>
  <w:style w:type="character" w:customStyle="1" w:styleId="52">
    <w:name w:val="lsl"/>
    <w:basedOn w:val="36"/>
    <w:autoRedefine/>
    <w:qFormat/>
    <w:uiPriority w:val="0"/>
  </w:style>
  <w:style w:type="character" w:customStyle="1" w:styleId="53">
    <w:name w:val="tit"/>
    <w:basedOn w:val="36"/>
    <w:autoRedefine/>
    <w:qFormat/>
    <w:uiPriority w:val="0"/>
  </w:style>
  <w:style w:type="character" w:customStyle="1" w:styleId="54">
    <w:name w:val="sl"/>
    <w:basedOn w:val="36"/>
    <w:autoRedefine/>
    <w:qFormat/>
    <w:uiPriority w:val="0"/>
  </w:style>
  <w:style w:type="character" w:customStyle="1" w:styleId="55">
    <w:name w:val="up"/>
    <w:basedOn w:val="36"/>
    <w:autoRedefine/>
    <w:qFormat/>
    <w:uiPriority w:val="0"/>
  </w:style>
  <w:style w:type="character" w:customStyle="1" w:styleId="56">
    <w:name w:val="lsr"/>
    <w:basedOn w:val="36"/>
    <w:autoRedefine/>
    <w:qFormat/>
    <w:uiPriority w:val="0"/>
  </w:style>
  <w:style w:type="character" w:customStyle="1" w:styleId="57">
    <w:name w:val="cpb"/>
    <w:autoRedefine/>
    <w:qFormat/>
    <w:uiPriority w:val="0"/>
    <w:rPr>
      <w:color w:val="FFFFFF"/>
    </w:rPr>
  </w:style>
  <w:style w:type="character" w:customStyle="1" w:styleId="58">
    <w:name w:val="sr"/>
    <w:basedOn w:val="36"/>
    <w:autoRedefine/>
    <w:qFormat/>
    <w:uiPriority w:val="0"/>
  </w:style>
  <w:style w:type="character" w:customStyle="1" w:styleId="59">
    <w:name w:val="apple-converted-space"/>
    <w:basedOn w:val="36"/>
    <w:autoRedefine/>
    <w:qFormat/>
    <w:uiPriority w:val="0"/>
  </w:style>
  <w:style w:type="character" w:customStyle="1" w:styleId="60">
    <w:name w:val="页脚 Char"/>
    <w:link w:val="23"/>
    <w:autoRedefine/>
    <w:qFormat/>
    <w:uiPriority w:val="99"/>
    <w:rPr>
      <w:kern w:val="2"/>
      <w:sz w:val="18"/>
      <w:szCs w:val="18"/>
    </w:rPr>
  </w:style>
  <w:style w:type="character" w:customStyle="1" w:styleId="61">
    <w:name w:val="font161"/>
    <w:autoRedefine/>
    <w:qFormat/>
    <w:uiPriority w:val="0"/>
    <w:rPr>
      <w:b/>
      <w:bCs/>
      <w:sz w:val="32"/>
      <w:szCs w:val="32"/>
    </w:rPr>
  </w:style>
  <w:style w:type="paragraph" w:customStyle="1" w:styleId="62">
    <w:name w:val="z-窗体顶端1"/>
    <w:basedOn w:val="1"/>
    <w:next w:val="1"/>
    <w:autoRedefine/>
    <w:qFormat/>
    <w:uiPriority w:val="0"/>
    <w:pPr>
      <w:pBdr>
        <w:bottom w:val="single" w:color="auto" w:sz="6" w:space="1"/>
      </w:pBdr>
      <w:jc w:val="center"/>
    </w:pPr>
    <w:rPr>
      <w:rFonts w:ascii="Arial"/>
      <w:vanish/>
      <w:sz w:val="16"/>
    </w:rPr>
  </w:style>
  <w:style w:type="paragraph" w:customStyle="1" w:styleId="63">
    <w:name w:val="表格"/>
    <w:basedOn w:val="1"/>
    <w:autoRedefine/>
    <w:qFormat/>
    <w:uiPriority w:val="0"/>
    <w:pPr>
      <w:jc w:val="center"/>
      <w:textAlignment w:val="center"/>
    </w:pPr>
    <w:rPr>
      <w:rFonts w:ascii="华文细黑" w:hAnsi="华文细黑"/>
    </w:rPr>
  </w:style>
  <w:style w:type="paragraph" w:customStyle="1" w:styleId="64">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kern w:val="2"/>
      <w:sz w:val="21"/>
      <w:szCs w:val="24"/>
    </w:rPr>
  </w:style>
  <w:style w:type="paragraph" w:customStyle="1" w:styleId="6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66">
    <w:name w:val="正文 + 自动设置"/>
    <w:basedOn w:val="2"/>
    <w:autoRedefine/>
    <w:qFormat/>
    <w:uiPriority w:val="0"/>
    <w:pPr>
      <w:tabs>
        <w:tab w:val="left" w:pos="840"/>
      </w:tabs>
      <w:spacing w:before="360" w:after="360" w:line="480" w:lineRule="auto"/>
      <w:jc w:val="center"/>
    </w:pPr>
    <w:rPr>
      <w:rFonts w:eastAsia="黑体"/>
      <w:bCs w:val="0"/>
      <w:sz w:val="36"/>
      <w:szCs w:val="20"/>
    </w:rPr>
  </w:style>
  <w:style w:type="paragraph" w:customStyle="1" w:styleId="6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6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9">
    <w:name w:val="Char1"/>
    <w:basedOn w:val="1"/>
    <w:autoRedefine/>
    <w:qFormat/>
    <w:uiPriority w:val="0"/>
    <w:pPr>
      <w:adjustRightInd w:val="0"/>
      <w:spacing w:line="600" w:lineRule="exact"/>
      <w:ind w:firstLine="560" w:firstLineChars="200"/>
      <w:jc w:val="center"/>
    </w:pPr>
  </w:style>
  <w:style w:type="paragraph" w:customStyle="1" w:styleId="70">
    <w:name w:val="Char"/>
    <w:basedOn w:val="1"/>
    <w:autoRedefine/>
    <w:qFormat/>
    <w:uiPriority w:val="0"/>
    <w:rPr>
      <w:rFonts w:ascii="仿宋_GB2312" w:eastAsia="仿宋_GB2312"/>
      <w:b/>
      <w:sz w:val="32"/>
      <w:szCs w:val="32"/>
    </w:rPr>
  </w:style>
  <w:style w:type="paragraph" w:customStyle="1" w:styleId="71">
    <w:name w:val="p0"/>
    <w:basedOn w:val="1"/>
    <w:autoRedefine/>
    <w:qFormat/>
    <w:uiPriority w:val="0"/>
    <w:pPr>
      <w:widowControl/>
      <w:spacing w:line="408" w:lineRule="auto"/>
      <w:ind w:left="1"/>
      <w:textAlignment w:val="bottom"/>
    </w:pPr>
    <w:rPr>
      <w:color w:val="000000"/>
    </w:rPr>
  </w:style>
  <w:style w:type="paragraph" w:customStyle="1" w:styleId="72">
    <w:name w:val="1"/>
    <w:basedOn w:val="1"/>
    <w:next w:val="1"/>
    <w:autoRedefine/>
    <w:qFormat/>
    <w:uiPriority w:val="0"/>
  </w:style>
  <w:style w:type="paragraph" w:customStyle="1" w:styleId="73">
    <w:name w:val="默认段落字体 Para Char Char Char Char Char Char Char"/>
    <w:basedOn w:val="1"/>
    <w:autoRedefine/>
    <w:qFormat/>
    <w:uiPriority w:val="0"/>
    <w:rPr>
      <w:rFonts w:ascii="Tahoma" w:hAnsi="Tahoma"/>
      <w:sz w:val="24"/>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5">
    <w:name w:val="表格文字"/>
    <w:basedOn w:val="1"/>
    <w:autoRedefine/>
    <w:qFormat/>
    <w:uiPriority w:val="0"/>
    <w:pPr>
      <w:adjustRightInd w:val="0"/>
      <w:spacing w:line="420" w:lineRule="atLeast"/>
      <w:jc w:val="left"/>
      <w:textAlignment w:val="baseline"/>
    </w:pPr>
  </w:style>
  <w:style w:type="paragraph" w:customStyle="1" w:styleId="76">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77">
    <w:name w:val="z-窗体底端1"/>
    <w:basedOn w:val="1"/>
    <w:next w:val="1"/>
    <w:autoRedefine/>
    <w:qFormat/>
    <w:uiPriority w:val="0"/>
    <w:pPr>
      <w:pBdr>
        <w:top w:val="single" w:color="auto" w:sz="6" w:space="1"/>
      </w:pBdr>
      <w:jc w:val="center"/>
    </w:pPr>
    <w:rPr>
      <w:rFonts w:ascii="Arial"/>
      <w:vanish/>
      <w:sz w:val="16"/>
    </w:rPr>
  </w:style>
  <w:style w:type="paragraph" w:customStyle="1" w:styleId="78">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79">
    <w:name w:val="cjk"/>
    <w:basedOn w:val="1"/>
    <w:autoRedefine/>
    <w:qFormat/>
    <w:uiPriority w:val="0"/>
    <w:pPr>
      <w:widowControl/>
      <w:jc w:val="left"/>
    </w:pPr>
    <w:rPr>
      <w:rFonts w:hAnsi="宋体" w:cs="宋体"/>
      <w:sz w:val="24"/>
      <w:szCs w:val="24"/>
    </w:rPr>
  </w:style>
  <w:style w:type="character" w:customStyle="1" w:styleId="80">
    <w:name w:val="15"/>
    <w:autoRedefine/>
    <w:qFormat/>
    <w:uiPriority w:val="0"/>
    <w:rPr>
      <w:rFonts w:hint="default" w:ascii="Times New Roman" w:hAnsi="Times New Roman" w:cs="Times New Roman"/>
      <w:color w:val="0000FF"/>
      <w:u w:val="single"/>
    </w:rPr>
  </w:style>
  <w:style w:type="character" w:customStyle="1" w:styleId="81">
    <w:name w:val="blue"/>
    <w:basedOn w:val="36"/>
    <w:autoRedefine/>
    <w:qFormat/>
    <w:uiPriority w:val="0"/>
    <w:rPr>
      <w:color w:val="0371C6"/>
      <w:sz w:val="21"/>
      <w:szCs w:val="21"/>
    </w:rPr>
  </w:style>
  <w:style w:type="character" w:customStyle="1" w:styleId="82">
    <w:name w:val="gb-jt"/>
    <w:basedOn w:val="36"/>
    <w:autoRedefine/>
    <w:qFormat/>
    <w:uiPriority w:val="0"/>
  </w:style>
  <w:style w:type="character" w:customStyle="1" w:styleId="83">
    <w:name w:val="red"/>
    <w:basedOn w:val="36"/>
    <w:autoRedefine/>
    <w:qFormat/>
    <w:uiPriority w:val="0"/>
    <w:rPr>
      <w:color w:val="FF0000"/>
      <w:sz w:val="18"/>
      <w:szCs w:val="18"/>
    </w:rPr>
  </w:style>
  <w:style w:type="character" w:customStyle="1" w:styleId="84">
    <w:name w:val="red1"/>
    <w:basedOn w:val="36"/>
    <w:autoRedefine/>
    <w:qFormat/>
    <w:uiPriority w:val="0"/>
    <w:rPr>
      <w:color w:val="FF0000"/>
      <w:sz w:val="18"/>
      <w:szCs w:val="18"/>
    </w:rPr>
  </w:style>
  <w:style w:type="character" w:customStyle="1" w:styleId="85">
    <w:name w:val="red2"/>
    <w:basedOn w:val="36"/>
    <w:autoRedefine/>
    <w:qFormat/>
    <w:uiPriority w:val="0"/>
    <w:rPr>
      <w:color w:val="FF0000"/>
    </w:rPr>
  </w:style>
  <w:style w:type="character" w:customStyle="1" w:styleId="86">
    <w:name w:val="green"/>
    <w:basedOn w:val="36"/>
    <w:autoRedefine/>
    <w:qFormat/>
    <w:uiPriority w:val="0"/>
    <w:rPr>
      <w:color w:val="66AE00"/>
      <w:sz w:val="18"/>
      <w:szCs w:val="18"/>
    </w:rPr>
  </w:style>
  <w:style w:type="character" w:customStyle="1" w:styleId="87">
    <w:name w:val="green1"/>
    <w:basedOn w:val="36"/>
    <w:autoRedefine/>
    <w:qFormat/>
    <w:uiPriority w:val="0"/>
    <w:rPr>
      <w:color w:val="66AE00"/>
      <w:sz w:val="18"/>
      <w:szCs w:val="18"/>
    </w:rPr>
  </w:style>
  <w:style w:type="character" w:customStyle="1" w:styleId="88">
    <w:name w:val="hover25"/>
    <w:basedOn w:val="36"/>
    <w:autoRedefine/>
    <w:qFormat/>
    <w:uiPriority w:val="0"/>
  </w:style>
  <w:style w:type="character" w:customStyle="1" w:styleId="89">
    <w:name w:val="right"/>
    <w:basedOn w:val="36"/>
    <w:autoRedefine/>
    <w:qFormat/>
    <w:uiPriority w:val="0"/>
    <w:rPr>
      <w:color w:val="999999"/>
      <w:sz w:val="18"/>
      <w:szCs w:val="18"/>
    </w:rPr>
  </w:style>
  <w:style w:type="character" w:customStyle="1" w:styleId="90">
    <w:name w:val="hover"/>
    <w:basedOn w:val="36"/>
    <w:autoRedefine/>
    <w:qFormat/>
    <w:uiPriority w:val="0"/>
  </w:style>
  <w:style w:type="character" w:customStyle="1" w:styleId="91">
    <w:name w:val="页眉 Char"/>
    <w:basedOn w:val="36"/>
    <w:link w:val="25"/>
    <w:autoRedefine/>
    <w:qFormat/>
    <w:uiPriority w:val="0"/>
    <w:rPr>
      <w:rFonts w:ascii="宋体"/>
      <w:sz w:val="18"/>
      <w:szCs w:val="18"/>
    </w:rPr>
  </w:style>
  <w:style w:type="character" w:customStyle="1" w:styleId="92">
    <w:name w:val="red3"/>
    <w:basedOn w:val="36"/>
    <w:autoRedefine/>
    <w:qFormat/>
    <w:uiPriority w:val="0"/>
    <w:rPr>
      <w:color w:val="FF0000"/>
    </w:rPr>
  </w:style>
  <w:style w:type="character" w:customStyle="1" w:styleId="93">
    <w:name w:val="hover24"/>
    <w:basedOn w:val="36"/>
    <w:autoRedefine/>
    <w:qFormat/>
    <w:uiPriority w:val="0"/>
  </w:style>
  <w:style w:type="character" w:customStyle="1" w:styleId="94">
    <w:name w:val="正文文本 Char"/>
    <w:basedOn w:val="36"/>
    <w:link w:val="15"/>
    <w:autoRedefine/>
    <w:qFormat/>
    <w:uiPriority w:val="0"/>
    <w:rPr>
      <w:rFonts w:hint="eastAsia" w:ascii="宋体" w:hAnsi="宋体" w:eastAsia="宋体" w:cs="宋体"/>
      <w:sz w:val="34"/>
      <w:szCs w:val="34"/>
    </w:rPr>
  </w:style>
  <w:style w:type="character" w:customStyle="1" w:styleId="95">
    <w:name w:val="正文首行缩进 Char"/>
    <w:basedOn w:val="94"/>
    <w:link w:val="33"/>
    <w:autoRedefine/>
    <w:qFormat/>
    <w:uiPriority w:val="0"/>
    <w:rPr>
      <w:rFonts w:hint="eastAsia" w:ascii="宋体" w:hAnsi="宋体" w:eastAsia="宋体" w:cs="宋体"/>
      <w:sz w:val="34"/>
      <w:szCs w:val="34"/>
    </w:rPr>
  </w:style>
  <w:style w:type="paragraph" w:customStyle="1" w:styleId="96">
    <w:name w:val="_Style 6"/>
    <w:basedOn w:val="2"/>
    <w:next w:val="1"/>
    <w:autoRedefine/>
    <w:qFormat/>
    <w:uiPriority w:val="0"/>
    <w:pPr>
      <w:outlineLvl w:val="9"/>
    </w:pPr>
  </w:style>
  <w:style w:type="character" w:customStyle="1" w:styleId="97">
    <w:name w:val="active4"/>
    <w:basedOn w:val="36"/>
    <w:autoRedefine/>
    <w:qFormat/>
    <w:uiPriority w:val="0"/>
    <w:rPr>
      <w:color w:val="FFFFFF"/>
      <w:shd w:val="clear" w:color="auto" w:fill="2B7AFC"/>
    </w:rPr>
  </w:style>
  <w:style w:type="paragraph" w:customStyle="1" w:styleId="98">
    <w:name w:val="Heading 11"/>
    <w:basedOn w:val="1"/>
    <w:autoRedefine/>
    <w:qFormat/>
    <w:uiPriority w:val="99"/>
    <w:pPr>
      <w:spacing w:line="590" w:lineRule="exact"/>
      <w:ind w:left="3"/>
      <w:jc w:val="center"/>
      <w:outlineLvl w:val="1"/>
    </w:pPr>
    <w:rPr>
      <w:rFonts w:ascii="Microsoft JhengHei" w:hAnsi="Microsoft JhengHei" w:eastAsia="Microsoft JhengHei" w:cs="Microsoft JhengHei"/>
      <w:b/>
      <w:bCs/>
      <w:kern w:val="2"/>
      <w:sz w:val="44"/>
      <w:szCs w:val="44"/>
    </w:rPr>
  </w:style>
  <w:style w:type="paragraph" w:customStyle="1" w:styleId="99">
    <w:name w:val="Table Paragraph"/>
    <w:basedOn w:val="1"/>
    <w:autoRedefine/>
    <w:qFormat/>
    <w:uiPriority w:val="1"/>
    <w:rPr>
      <w:rFonts w:ascii="Calibri" w:hAnsi="Calibri"/>
      <w:kern w:val="2"/>
      <w:sz w:val="21"/>
      <w:szCs w:val="24"/>
    </w:rPr>
  </w:style>
  <w:style w:type="character" w:customStyle="1" w:styleId="100">
    <w:name w:val="NormalCharacter"/>
    <w:autoRedefine/>
    <w:qFormat/>
    <w:uiPriority w:val="0"/>
  </w:style>
  <w:style w:type="character" w:customStyle="1" w:styleId="101">
    <w:name w:val="active"/>
    <w:basedOn w:val="36"/>
    <w:autoRedefine/>
    <w:qFormat/>
    <w:uiPriority w:val="0"/>
    <w:rPr>
      <w:color w:val="FFFFFF"/>
      <w:shd w:val="clear" w:fill="2B7AFC"/>
    </w:rPr>
  </w:style>
  <w:style w:type="paragraph" w:customStyle="1" w:styleId="102">
    <w:name w:val="Table Text"/>
    <w:basedOn w:val="1"/>
    <w:autoRedefine/>
    <w:semiHidden/>
    <w:qFormat/>
    <w:uiPriority w:val="0"/>
    <w:rPr>
      <w:rFonts w:ascii="宋体" w:hAnsi="宋体" w:eastAsia="宋体" w:cs="宋体"/>
      <w:sz w:val="24"/>
      <w:szCs w:val="24"/>
      <w:lang w:val="en-US" w:eastAsia="en-US" w:bidi="ar-SA"/>
    </w:rPr>
  </w:style>
  <w:style w:type="table" w:customStyle="1" w:styleId="10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EACAC-C1A4-4D21-A056-C96368A8A61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20778</Words>
  <Characters>22256</Characters>
  <Lines>187</Lines>
  <Paragraphs>52</Paragraphs>
  <TotalTime>5</TotalTime>
  <ScaleCrop>false</ScaleCrop>
  <LinksUpToDate>false</LinksUpToDate>
  <CharactersWithSpaces>23882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2023-04-24T10:14:00Z</dcterms:created>
  <dc:creator>微软用户</dc:creator>
  <cp:lastModifiedBy>河南特慧工程咨询有限公司:朱新彪</cp:lastModifiedBy>
  <cp:lastPrinted>2024-05-24T09:19:00Z</cp:lastPrinted>
  <dcterms:modified xsi:type="dcterms:W3CDTF">2024-05-31T07:53:22Z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CD403DA1AA174B408DDC2352EBEB0DF1_13</vt:lpwstr>
  </property>
</Properties>
</file>