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70" w:rsidRPr="00887570" w:rsidRDefault="00887570" w:rsidP="00896349">
      <w:pPr>
        <w:widowControl/>
        <w:spacing w:before="240" w:after="240" w:line="280" w:lineRule="exact"/>
        <w:jc w:val="center"/>
        <w:rPr>
          <w:rFonts w:ascii="宋体" w:eastAsia="宋体" w:hAnsi="宋体" w:cs="宋体"/>
          <w:kern w:val="0"/>
          <w:sz w:val="24"/>
        </w:rPr>
      </w:pPr>
      <w:bookmarkStart w:id="0" w:name="_GoBack"/>
      <w:bookmarkEnd w:id="0"/>
      <w:r w:rsidRPr="00887570">
        <w:rPr>
          <w:rFonts w:ascii="宋体" w:eastAsia="宋体" w:hAnsi="宋体" w:cs="宋体" w:hint="eastAsia"/>
          <w:b/>
          <w:bCs/>
          <w:color w:val="000000"/>
          <w:kern w:val="0"/>
          <w:sz w:val="36"/>
          <w:szCs w:val="36"/>
          <w:shd w:val="clear" w:color="auto" w:fill="FFFFFF"/>
        </w:rPr>
        <w:t>长葛市国有建设用地使用权出让网上挂牌公告</w:t>
      </w:r>
    </w:p>
    <w:p w:rsidR="00887570" w:rsidRPr="00887570" w:rsidRDefault="00887570" w:rsidP="00896349">
      <w:pPr>
        <w:widowControl/>
        <w:spacing w:before="240" w:after="240" w:line="280" w:lineRule="exact"/>
        <w:jc w:val="center"/>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（长葛市网挂（2024）2号）</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经长葛市人民政府批准，长葛市自然资源和规划局决定以网上挂牌方式出让以下4（幅）地块的国有建设用地使用权，并指定长葛市地产交易中心组织实施。现将有关事项公告如下：</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一、挂牌地块的基本情况和规划指标要求</w:t>
      </w:r>
    </w:p>
    <w:tbl>
      <w:tblPr>
        <w:tblW w:w="14616" w:type="dxa"/>
        <w:tblInd w:w="93" w:type="dxa"/>
        <w:tblLook w:val="04A0" w:firstRow="1" w:lastRow="0" w:firstColumn="1" w:lastColumn="0" w:noHBand="0" w:noVBand="1"/>
      </w:tblPr>
      <w:tblGrid>
        <w:gridCol w:w="866"/>
        <w:gridCol w:w="1016"/>
        <w:gridCol w:w="1477"/>
        <w:gridCol w:w="1116"/>
        <w:gridCol w:w="1116"/>
        <w:gridCol w:w="1228"/>
        <w:gridCol w:w="921"/>
        <w:gridCol w:w="1080"/>
        <w:gridCol w:w="1080"/>
        <w:gridCol w:w="1080"/>
        <w:gridCol w:w="1080"/>
        <w:gridCol w:w="1422"/>
        <w:gridCol w:w="1134"/>
      </w:tblGrid>
      <w:tr w:rsidR="00B82772" w:rsidRPr="00896349" w:rsidTr="0000383F">
        <w:trPr>
          <w:trHeight w:val="129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序号</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地块编号</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位置</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总面积</w:t>
            </w:r>
            <w:r w:rsidRPr="00896349">
              <w:rPr>
                <w:rFonts w:ascii="宋体" w:eastAsia="宋体" w:hAnsi="宋体" w:cs="宋体" w:hint="eastAsia"/>
                <w:kern w:val="0"/>
                <w:sz w:val="20"/>
                <w:szCs w:val="20"/>
              </w:rPr>
              <w:br/>
              <w:t>（㎡.亩）</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出让面积</w:t>
            </w:r>
            <w:r w:rsidRPr="00896349">
              <w:rPr>
                <w:rFonts w:ascii="宋体" w:eastAsia="宋体" w:hAnsi="宋体" w:cs="宋体" w:hint="eastAsia"/>
                <w:kern w:val="0"/>
                <w:sz w:val="20"/>
                <w:szCs w:val="20"/>
              </w:rPr>
              <w:br/>
              <w:t>（㎡.亩）</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用途</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出让年限</w:t>
            </w:r>
            <w:r w:rsidRPr="00896349">
              <w:rPr>
                <w:rFonts w:ascii="宋体" w:eastAsia="宋体" w:hAnsi="宋体" w:cs="宋体" w:hint="eastAsia"/>
                <w:kern w:val="0"/>
                <w:sz w:val="20"/>
                <w:szCs w:val="20"/>
              </w:rPr>
              <w:br/>
              <w:t>（年）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容积率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建筑密度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绿地率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建筑限高</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出让起始价</w:t>
            </w:r>
            <w:r w:rsidRPr="00896349">
              <w:rPr>
                <w:rFonts w:ascii="宋体" w:eastAsia="宋体" w:hAnsi="宋体" w:cs="宋体" w:hint="eastAsia"/>
                <w:kern w:val="0"/>
                <w:sz w:val="20"/>
                <w:szCs w:val="20"/>
              </w:rPr>
              <w:br/>
              <w:t>保证金</w:t>
            </w:r>
            <w:r w:rsidRPr="00896349">
              <w:rPr>
                <w:rFonts w:ascii="宋体" w:eastAsia="宋体" w:hAnsi="宋体" w:cs="宋体" w:hint="eastAsia"/>
                <w:kern w:val="0"/>
                <w:sz w:val="20"/>
                <w:szCs w:val="20"/>
              </w:rPr>
              <w:br/>
              <w:t>增价幅度</w:t>
            </w:r>
            <w:r w:rsidRPr="00896349">
              <w:rPr>
                <w:rFonts w:ascii="宋体" w:eastAsia="宋体" w:hAnsi="宋体" w:cs="宋体" w:hint="eastAsia"/>
                <w:kern w:val="0"/>
                <w:sz w:val="20"/>
                <w:szCs w:val="20"/>
              </w:rPr>
              <w:br/>
              <w:t>（万元）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备注</w:t>
            </w:r>
          </w:p>
        </w:tc>
      </w:tr>
      <w:tr w:rsidR="00B82772" w:rsidRPr="00896349" w:rsidTr="0000383F">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1</w:t>
            </w:r>
          </w:p>
        </w:tc>
        <w:tc>
          <w:tcPr>
            <w:tcW w:w="10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2024-01#</w:t>
            </w:r>
          </w:p>
        </w:tc>
        <w:tc>
          <w:tcPr>
            <w:tcW w:w="1477"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石固镇乔庄村现状道路西侧</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33695.74</w:t>
            </w:r>
            <w:r w:rsidRPr="00896349">
              <w:rPr>
                <w:rFonts w:ascii="仿宋" w:eastAsia="仿宋" w:hAnsi="仿宋" w:cs="宋体" w:hint="eastAsia"/>
                <w:color w:val="000000"/>
                <w:kern w:val="0"/>
                <w:sz w:val="20"/>
                <w:szCs w:val="20"/>
              </w:rPr>
              <w:br/>
              <w:t>（50.54）</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32608.72</w:t>
            </w:r>
            <w:r w:rsidRPr="00896349">
              <w:rPr>
                <w:rFonts w:ascii="仿宋" w:eastAsia="仿宋" w:hAnsi="仿宋" w:cs="宋体" w:hint="eastAsia"/>
                <w:color w:val="000000"/>
                <w:kern w:val="0"/>
                <w:sz w:val="20"/>
                <w:szCs w:val="20"/>
              </w:rPr>
              <w:br/>
              <w:t>（48.91）</w:t>
            </w:r>
          </w:p>
        </w:tc>
        <w:tc>
          <w:tcPr>
            <w:tcW w:w="1228"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工业用地（采矿业）</w:t>
            </w:r>
          </w:p>
        </w:tc>
        <w:tc>
          <w:tcPr>
            <w:tcW w:w="921"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＞0.8</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＜60米</w:t>
            </w:r>
          </w:p>
        </w:tc>
        <w:tc>
          <w:tcPr>
            <w:tcW w:w="1422"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1035</w:t>
            </w:r>
            <w:r w:rsidRPr="00896349">
              <w:rPr>
                <w:rFonts w:ascii="仿宋" w:eastAsia="仿宋" w:hAnsi="仿宋" w:cs="宋体" w:hint="eastAsia"/>
                <w:kern w:val="0"/>
                <w:sz w:val="20"/>
                <w:szCs w:val="20"/>
              </w:rPr>
              <w:br/>
              <w:t>625</w:t>
            </w:r>
            <w:r w:rsidRPr="00896349">
              <w:rPr>
                <w:rFonts w:ascii="仿宋" w:eastAsia="仿宋" w:hAnsi="仿宋" w:cs="宋体" w:hint="eastAsia"/>
                <w:kern w:val="0"/>
                <w:sz w:val="20"/>
                <w:szCs w:val="20"/>
              </w:rPr>
              <w:br/>
              <w:t>15</w:t>
            </w:r>
          </w:p>
        </w:tc>
        <w:tc>
          <w:tcPr>
            <w:tcW w:w="1134" w:type="dxa"/>
            <w:tcBorders>
              <w:top w:val="nil"/>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现状</w:t>
            </w:r>
          </w:p>
        </w:tc>
      </w:tr>
      <w:tr w:rsidR="00B82772" w:rsidRPr="00896349" w:rsidTr="0000383F">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2024-02#</w:t>
            </w:r>
          </w:p>
        </w:tc>
        <w:tc>
          <w:tcPr>
            <w:tcW w:w="1477"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石固镇花杨村现状道路南侧</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30082.33</w:t>
            </w:r>
            <w:r w:rsidRPr="00896349">
              <w:rPr>
                <w:rFonts w:ascii="仿宋" w:eastAsia="仿宋" w:hAnsi="仿宋" w:cs="宋体" w:hint="eastAsia"/>
                <w:kern w:val="0"/>
                <w:sz w:val="20"/>
                <w:szCs w:val="20"/>
              </w:rPr>
              <w:br/>
              <w:t>（45.12）</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29635.2</w:t>
            </w:r>
            <w:r w:rsidRPr="00896349">
              <w:rPr>
                <w:rFonts w:ascii="仿宋" w:eastAsia="仿宋" w:hAnsi="仿宋" w:cs="宋体" w:hint="eastAsia"/>
                <w:kern w:val="0"/>
                <w:sz w:val="20"/>
                <w:szCs w:val="20"/>
              </w:rPr>
              <w:br/>
              <w:t>（44.45）</w:t>
            </w:r>
          </w:p>
        </w:tc>
        <w:tc>
          <w:tcPr>
            <w:tcW w:w="1228"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工业用地（采矿业）</w:t>
            </w:r>
          </w:p>
        </w:tc>
        <w:tc>
          <w:tcPr>
            <w:tcW w:w="921"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＞0.8</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＜60米</w:t>
            </w:r>
          </w:p>
        </w:tc>
        <w:tc>
          <w:tcPr>
            <w:tcW w:w="1422"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940</w:t>
            </w:r>
            <w:r w:rsidRPr="00896349">
              <w:rPr>
                <w:rFonts w:ascii="仿宋" w:eastAsia="仿宋" w:hAnsi="仿宋" w:cs="宋体" w:hint="eastAsia"/>
                <w:kern w:val="0"/>
                <w:sz w:val="20"/>
                <w:szCs w:val="20"/>
              </w:rPr>
              <w:br/>
              <w:t>565</w:t>
            </w:r>
            <w:r w:rsidRPr="00896349">
              <w:rPr>
                <w:rFonts w:ascii="仿宋" w:eastAsia="仿宋" w:hAnsi="仿宋" w:cs="宋体" w:hint="eastAsia"/>
                <w:kern w:val="0"/>
                <w:sz w:val="20"/>
                <w:szCs w:val="20"/>
              </w:rPr>
              <w:br/>
              <w:t>10</w:t>
            </w:r>
          </w:p>
        </w:tc>
        <w:tc>
          <w:tcPr>
            <w:tcW w:w="1134" w:type="dxa"/>
            <w:tcBorders>
              <w:top w:val="nil"/>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现状</w:t>
            </w:r>
          </w:p>
        </w:tc>
      </w:tr>
      <w:tr w:rsidR="00B82772" w:rsidRPr="00896349" w:rsidTr="0000383F">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3</w:t>
            </w:r>
          </w:p>
        </w:tc>
        <w:tc>
          <w:tcPr>
            <w:tcW w:w="10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2024-03#</w:t>
            </w:r>
          </w:p>
        </w:tc>
        <w:tc>
          <w:tcPr>
            <w:tcW w:w="1477"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S225东侧、规划纬四路北侧</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50111.68</w:t>
            </w:r>
            <w:r w:rsidRPr="00896349">
              <w:rPr>
                <w:rFonts w:ascii="仿宋" w:eastAsia="仿宋" w:hAnsi="仿宋" w:cs="宋体" w:hint="eastAsia"/>
                <w:color w:val="000000"/>
                <w:kern w:val="0"/>
                <w:sz w:val="20"/>
                <w:szCs w:val="20"/>
              </w:rPr>
              <w:br/>
              <w:t>（75.17）</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50111.68</w:t>
            </w:r>
            <w:r w:rsidRPr="00896349">
              <w:rPr>
                <w:rFonts w:ascii="仿宋" w:eastAsia="仿宋" w:hAnsi="仿宋" w:cs="宋体" w:hint="eastAsia"/>
                <w:color w:val="000000"/>
                <w:kern w:val="0"/>
                <w:sz w:val="20"/>
                <w:szCs w:val="20"/>
              </w:rPr>
              <w:br/>
              <w:t>（75.17）</w:t>
            </w:r>
          </w:p>
        </w:tc>
        <w:tc>
          <w:tcPr>
            <w:tcW w:w="1228"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工业用地</w:t>
            </w:r>
          </w:p>
        </w:tc>
        <w:tc>
          <w:tcPr>
            <w:tcW w:w="921"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≥8米（厂房）</w:t>
            </w:r>
          </w:p>
        </w:tc>
        <w:tc>
          <w:tcPr>
            <w:tcW w:w="1422"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2610</w:t>
            </w:r>
            <w:r w:rsidRPr="00896349">
              <w:rPr>
                <w:rFonts w:ascii="仿宋" w:eastAsia="仿宋" w:hAnsi="仿宋" w:cs="宋体" w:hint="eastAsia"/>
                <w:kern w:val="0"/>
                <w:sz w:val="20"/>
                <w:szCs w:val="20"/>
              </w:rPr>
              <w:br/>
              <w:t>1570</w:t>
            </w:r>
            <w:r w:rsidRPr="00896349">
              <w:rPr>
                <w:rFonts w:ascii="仿宋" w:eastAsia="仿宋" w:hAnsi="仿宋" w:cs="宋体" w:hint="eastAsia"/>
                <w:kern w:val="0"/>
                <w:sz w:val="20"/>
                <w:szCs w:val="20"/>
              </w:rPr>
              <w:br/>
              <w:t>30</w:t>
            </w:r>
          </w:p>
        </w:tc>
        <w:tc>
          <w:tcPr>
            <w:tcW w:w="1134" w:type="dxa"/>
            <w:tcBorders>
              <w:top w:val="nil"/>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现状</w:t>
            </w:r>
          </w:p>
        </w:tc>
      </w:tr>
      <w:tr w:rsidR="00B82772" w:rsidRPr="00896349" w:rsidTr="0000383F">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4</w:t>
            </w:r>
          </w:p>
        </w:tc>
        <w:tc>
          <w:tcPr>
            <w:tcW w:w="10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2023-26#</w:t>
            </w:r>
          </w:p>
        </w:tc>
        <w:tc>
          <w:tcPr>
            <w:tcW w:w="1477"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颍川路北侧、劳动路西侧</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16535.55</w:t>
            </w:r>
            <w:r w:rsidRPr="00896349">
              <w:rPr>
                <w:rFonts w:ascii="仿宋" w:eastAsia="仿宋" w:hAnsi="仿宋" w:cs="宋体" w:hint="eastAsia"/>
                <w:color w:val="000000"/>
                <w:kern w:val="0"/>
                <w:sz w:val="20"/>
                <w:szCs w:val="20"/>
              </w:rPr>
              <w:br/>
              <w:t>（24.8）</w:t>
            </w:r>
          </w:p>
        </w:tc>
        <w:tc>
          <w:tcPr>
            <w:tcW w:w="1116"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color w:val="000000"/>
                <w:kern w:val="0"/>
                <w:sz w:val="20"/>
                <w:szCs w:val="20"/>
              </w:rPr>
            </w:pPr>
            <w:r w:rsidRPr="00896349">
              <w:rPr>
                <w:rFonts w:ascii="仿宋" w:eastAsia="仿宋" w:hAnsi="仿宋" w:cs="宋体" w:hint="eastAsia"/>
                <w:color w:val="000000"/>
                <w:kern w:val="0"/>
                <w:sz w:val="20"/>
                <w:szCs w:val="20"/>
              </w:rPr>
              <w:t>12896.64</w:t>
            </w:r>
            <w:r w:rsidRPr="00896349">
              <w:rPr>
                <w:rFonts w:ascii="仿宋" w:eastAsia="仿宋" w:hAnsi="仿宋" w:cs="宋体" w:hint="eastAsia"/>
                <w:color w:val="000000"/>
                <w:kern w:val="0"/>
                <w:sz w:val="20"/>
                <w:szCs w:val="20"/>
              </w:rPr>
              <w:br/>
              <w:t>（19.34）</w:t>
            </w:r>
          </w:p>
        </w:tc>
        <w:tc>
          <w:tcPr>
            <w:tcW w:w="1228"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居住兼容</w:t>
            </w:r>
            <w:r w:rsidRPr="00896349">
              <w:rPr>
                <w:rFonts w:ascii="仿宋" w:eastAsia="仿宋" w:hAnsi="仿宋" w:cs="宋体" w:hint="eastAsia"/>
                <w:kern w:val="0"/>
                <w:sz w:val="20"/>
                <w:szCs w:val="20"/>
              </w:rPr>
              <w:br/>
              <w:t>商业用地</w:t>
            </w:r>
          </w:p>
        </w:tc>
        <w:tc>
          <w:tcPr>
            <w:tcW w:w="921"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居住70</w:t>
            </w:r>
            <w:r w:rsidRPr="00896349">
              <w:rPr>
                <w:rFonts w:ascii="仿宋" w:eastAsia="仿宋" w:hAnsi="仿宋" w:cs="宋体" w:hint="eastAsia"/>
                <w:kern w:val="0"/>
                <w:sz w:val="20"/>
                <w:szCs w:val="20"/>
              </w:rPr>
              <w:br/>
              <w:t>商业40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＜60米</w:t>
            </w:r>
          </w:p>
        </w:tc>
        <w:tc>
          <w:tcPr>
            <w:tcW w:w="1422" w:type="dxa"/>
            <w:tcBorders>
              <w:top w:val="nil"/>
              <w:left w:val="nil"/>
              <w:bottom w:val="single" w:sz="4" w:space="0" w:color="auto"/>
              <w:right w:val="single" w:sz="4" w:space="0" w:color="auto"/>
            </w:tcBorders>
            <w:shd w:val="clear" w:color="auto" w:fill="auto"/>
            <w:vAlign w:val="center"/>
            <w:hideMark/>
          </w:tcPr>
          <w:p w:rsidR="00B82772" w:rsidRPr="00896349" w:rsidRDefault="00B82772" w:rsidP="0000383F">
            <w:pPr>
              <w:widowControl/>
              <w:jc w:val="center"/>
              <w:rPr>
                <w:rFonts w:ascii="仿宋" w:eastAsia="仿宋" w:hAnsi="仿宋" w:cs="宋体"/>
                <w:kern w:val="0"/>
                <w:sz w:val="20"/>
                <w:szCs w:val="20"/>
              </w:rPr>
            </w:pPr>
            <w:r w:rsidRPr="00896349">
              <w:rPr>
                <w:rFonts w:ascii="仿宋" w:eastAsia="仿宋" w:hAnsi="仿宋" w:cs="宋体" w:hint="eastAsia"/>
                <w:kern w:val="0"/>
                <w:sz w:val="20"/>
                <w:szCs w:val="20"/>
              </w:rPr>
              <w:t>2130</w:t>
            </w:r>
            <w:r w:rsidRPr="00896349">
              <w:rPr>
                <w:rFonts w:ascii="仿宋" w:eastAsia="仿宋" w:hAnsi="仿宋" w:cs="宋体" w:hint="eastAsia"/>
                <w:kern w:val="0"/>
                <w:sz w:val="20"/>
                <w:szCs w:val="20"/>
              </w:rPr>
              <w:br/>
              <w:t>1280</w:t>
            </w:r>
            <w:r w:rsidRPr="00896349">
              <w:rPr>
                <w:rFonts w:ascii="仿宋" w:eastAsia="仿宋" w:hAnsi="仿宋" w:cs="宋体" w:hint="eastAsia"/>
                <w:kern w:val="0"/>
                <w:sz w:val="20"/>
                <w:szCs w:val="20"/>
              </w:rPr>
              <w:br/>
              <w:t>25</w:t>
            </w:r>
          </w:p>
        </w:tc>
        <w:tc>
          <w:tcPr>
            <w:tcW w:w="1134" w:type="dxa"/>
            <w:tcBorders>
              <w:top w:val="nil"/>
              <w:left w:val="nil"/>
              <w:bottom w:val="single" w:sz="4" w:space="0" w:color="auto"/>
              <w:right w:val="single" w:sz="4" w:space="0" w:color="auto"/>
            </w:tcBorders>
            <w:shd w:val="clear" w:color="auto" w:fill="auto"/>
            <w:noWrap/>
            <w:vAlign w:val="center"/>
            <w:hideMark/>
          </w:tcPr>
          <w:p w:rsidR="00B82772" w:rsidRPr="00896349" w:rsidRDefault="00B82772" w:rsidP="0000383F">
            <w:pPr>
              <w:widowControl/>
              <w:jc w:val="center"/>
              <w:rPr>
                <w:rFonts w:ascii="宋体" w:eastAsia="宋体" w:hAnsi="宋体" w:cs="宋体"/>
                <w:kern w:val="0"/>
                <w:sz w:val="20"/>
                <w:szCs w:val="20"/>
              </w:rPr>
            </w:pPr>
            <w:r w:rsidRPr="00896349">
              <w:rPr>
                <w:rFonts w:ascii="宋体" w:eastAsia="宋体" w:hAnsi="宋体" w:cs="宋体" w:hint="eastAsia"/>
                <w:kern w:val="0"/>
                <w:sz w:val="20"/>
                <w:szCs w:val="20"/>
              </w:rPr>
              <w:t>现状</w:t>
            </w:r>
          </w:p>
        </w:tc>
      </w:tr>
    </w:tbl>
    <w:p w:rsidR="00896349" w:rsidRDefault="00896349" w:rsidP="00896349">
      <w:pPr>
        <w:widowControl/>
        <w:spacing w:before="240" w:after="240" w:line="280" w:lineRule="exact"/>
        <w:ind w:firstLine="540"/>
        <w:jc w:val="left"/>
        <w:rPr>
          <w:rFonts w:ascii="宋体" w:eastAsia="宋体" w:hAnsi="宋体" w:cs="宋体"/>
          <w:b/>
          <w:bCs/>
          <w:color w:val="000000"/>
          <w:kern w:val="0"/>
          <w:sz w:val="29"/>
          <w:szCs w:val="29"/>
          <w:shd w:val="clear" w:color="auto" w:fill="FFFFFF"/>
        </w:rPr>
      </w:pP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具体以规划部门出具的规划指标为准，详见《规划设计条件通知书》。</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二、竞买申请条件和要求</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中华人民共和国境内外的法人、自然人和其他组织，符合网上出让公告或出让须知中明确的资格条件，均可参加本次国有建设用地使用权网上挂牌活动。</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lastRenderedPageBreak/>
        <w:t>三、确定竞得入选人方式</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本次国有建设用地使用权网上挂牌出让按照价高者得原则确定竞得入选人。</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（1）地块如果未设底价的，报价最高者即为竞得入选人。</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（2）地块如果设有底价的，报价最高且不低于底价者即为竞得入选人。</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四、报名及保证金截止时间</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竞买申请人可在2024年02月08日 08时00分至2024年03月07日 17时00分登录河南省土地使用权网上交易系统，提交申请。竞买保证金到账截止时间为</w:t>
      </w:r>
    </w:p>
    <w:p w:rsidR="00887570" w:rsidRPr="00887570" w:rsidRDefault="00887570" w:rsidP="000E16D8">
      <w:pPr>
        <w:widowControl/>
        <w:spacing w:before="240" w:after="240" w:line="280" w:lineRule="exact"/>
        <w:ind w:firstLineChars="200" w:firstLine="58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2024年03月07日 17时00分（地块编号：2024-01#）。</w:t>
      </w:r>
      <w:r w:rsidRPr="00887570">
        <w:rPr>
          <w:rFonts w:ascii="宋体" w:eastAsia="宋体" w:hAnsi="宋体" w:cs="宋体" w:hint="eastAsia"/>
          <w:color w:val="000000"/>
          <w:kern w:val="0"/>
          <w:sz w:val="29"/>
          <w:szCs w:val="29"/>
          <w:shd w:val="clear" w:color="auto" w:fill="FFFFFF"/>
        </w:rPr>
        <w:br/>
        <w:t xml:space="preserve">　　2024年03月07日 17时00分（地块编号：2024-02#）。</w:t>
      </w:r>
      <w:r w:rsidRPr="00887570">
        <w:rPr>
          <w:rFonts w:ascii="宋体" w:eastAsia="宋体" w:hAnsi="宋体" w:cs="宋体" w:hint="eastAsia"/>
          <w:color w:val="000000"/>
          <w:kern w:val="0"/>
          <w:sz w:val="29"/>
          <w:szCs w:val="29"/>
          <w:shd w:val="clear" w:color="auto" w:fill="FFFFFF"/>
        </w:rPr>
        <w:br/>
        <w:t xml:space="preserve">　　2024年03月07日 17时00分（地块编号：2024-03#）。</w:t>
      </w:r>
      <w:r w:rsidRPr="00887570">
        <w:rPr>
          <w:rFonts w:ascii="宋体" w:eastAsia="宋体" w:hAnsi="宋体" w:cs="宋体" w:hint="eastAsia"/>
          <w:color w:val="000000"/>
          <w:kern w:val="0"/>
          <w:sz w:val="29"/>
          <w:szCs w:val="29"/>
          <w:shd w:val="clear" w:color="auto" w:fill="FFFFFF"/>
        </w:rPr>
        <w:br/>
        <w:t xml:space="preserve">　　2024年03月07日 17时00分（地块编号：2023-26#）。</w:t>
      </w:r>
      <w:r w:rsidRPr="00887570">
        <w:rPr>
          <w:rFonts w:ascii="宋体" w:eastAsia="宋体" w:hAnsi="宋体" w:cs="宋体" w:hint="eastAsia"/>
          <w:color w:val="000000"/>
          <w:kern w:val="0"/>
          <w:sz w:val="29"/>
          <w:szCs w:val="29"/>
          <w:shd w:val="clear" w:color="auto" w:fill="FFFFFF"/>
        </w:rPr>
        <w:br/>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温馨提示：为避免因竞买保证金到账时间延误，影响您顺利获取网上交易竞买资格，建议您在保证金到账截止时间的1至2天之前交纳竞买保证金。</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五、挂牌时间及网址</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挂牌报价时间为：</w:t>
      </w:r>
    </w:p>
    <w:p w:rsidR="00887570" w:rsidRPr="00887570" w:rsidRDefault="00887570" w:rsidP="000E16D8">
      <w:pPr>
        <w:widowControl/>
        <w:spacing w:before="240" w:after="240" w:line="280" w:lineRule="exact"/>
        <w:ind w:firstLineChars="200" w:firstLine="580"/>
        <w:jc w:val="left"/>
        <w:rPr>
          <w:rFonts w:ascii="宋体" w:eastAsia="宋体" w:hAnsi="宋体" w:cs="宋体"/>
          <w:kern w:val="0"/>
          <w:sz w:val="24"/>
        </w:rPr>
      </w:pPr>
      <w:r w:rsidRPr="00887570">
        <w:rPr>
          <w:rFonts w:ascii="宋体" w:eastAsia="宋体" w:hAnsi="宋体" w:cs="宋体" w:hint="eastAsia"/>
          <w:color w:val="000000"/>
          <w:kern w:val="0"/>
          <w:sz w:val="29"/>
          <w:szCs w:val="29"/>
        </w:rPr>
        <w:t>2024-01#地块： 2024年02月28日 08时00分00秒至2024年03月08日 10时00分00秒。</w:t>
      </w:r>
      <w:r w:rsidRPr="00887570">
        <w:rPr>
          <w:rFonts w:ascii="宋体" w:eastAsia="宋体" w:hAnsi="宋体" w:cs="宋体" w:hint="eastAsia"/>
          <w:color w:val="000000"/>
          <w:kern w:val="0"/>
          <w:sz w:val="29"/>
          <w:szCs w:val="29"/>
        </w:rPr>
        <w:br/>
        <w:t xml:space="preserve">　　2024-02#地块： 2024年02月28日 08时00分00秒至2024年03月08日 10时05分00秒。</w:t>
      </w:r>
      <w:r w:rsidRPr="00887570">
        <w:rPr>
          <w:rFonts w:ascii="宋体" w:eastAsia="宋体" w:hAnsi="宋体" w:cs="宋体" w:hint="eastAsia"/>
          <w:color w:val="000000"/>
          <w:kern w:val="0"/>
          <w:sz w:val="29"/>
          <w:szCs w:val="29"/>
        </w:rPr>
        <w:br/>
        <w:t xml:space="preserve">　　2024-03#地块： 2024年02月28日 08时00分00秒至2024年03月08日 10时10分00秒。</w:t>
      </w:r>
      <w:r w:rsidRPr="00887570">
        <w:rPr>
          <w:rFonts w:ascii="宋体" w:eastAsia="宋体" w:hAnsi="宋体" w:cs="宋体" w:hint="eastAsia"/>
          <w:color w:val="000000"/>
          <w:kern w:val="0"/>
          <w:sz w:val="29"/>
          <w:szCs w:val="29"/>
        </w:rPr>
        <w:br/>
        <w:t xml:space="preserve">　　2023-26#地块： 2024年02月28日 08时00分00秒至2024年03月08日 10时15分00秒。</w:t>
      </w:r>
      <w:r w:rsidRPr="00887570">
        <w:rPr>
          <w:rFonts w:ascii="宋体" w:eastAsia="宋体" w:hAnsi="宋体" w:cs="宋体" w:hint="eastAsia"/>
          <w:color w:val="000000"/>
          <w:kern w:val="0"/>
          <w:sz w:val="29"/>
          <w:szCs w:val="29"/>
        </w:rPr>
        <w:br/>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挂牌网址：http://td.hnggzy.com。</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六、出让资料获取方式</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本次挂牌出让的详细资料和具体要求，见挂牌出让须知及其他出让文件。挂牌出让须知及其他出让文件可从网上交易系统查看和打印。</w:t>
      </w:r>
    </w:p>
    <w:p w:rsidR="00896349" w:rsidRDefault="00896349" w:rsidP="00896349">
      <w:pPr>
        <w:pStyle w:val="a3"/>
        <w:widowControl/>
        <w:spacing w:before="210" w:beforeAutospacing="0" w:after="210" w:afterAutospacing="0" w:line="280" w:lineRule="exact"/>
        <w:ind w:firstLine="540"/>
        <w:rPr>
          <w:rFonts w:ascii="sans-serif" w:eastAsia="sans-serif" w:hAnsi="sans-serif" w:cs="sans-serif"/>
          <w:color w:val="000000"/>
        </w:rPr>
      </w:pPr>
      <w:r>
        <w:rPr>
          <w:rStyle w:val="a4"/>
          <w:rFonts w:ascii="宋体" w:eastAsia="宋体" w:hAnsi="宋体" w:cs="宋体" w:hint="eastAsia"/>
          <w:color w:val="000000"/>
          <w:sz w:val="28"/>
          <w:szCs w:val="28"/>
          <w:shd w:val="clear" w:color="auto" w:fill="FFFFFF"/>
        </w:rPr>
        <w:lastRenderedPageBreak/>
        <w:t>七、资格审查</w:t>
      </w:r>
    </w:p>
    <w:p w:rsidR="00896349" w:rsidRDefault="00896349" w:rsidP="00896349">
      <w:pPr>
        <w:widowControl/>
        <w:spacing w:before="240" w:after="240" w:line="280" w:lineRule="exact"/>
        <w:ind w:firstLine="540"/>
        <w:jc w:val="lef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b/>
          <w:bCs/>
          <w:color w:val="000000"/>
          <w:kern w:val="0"/>
          <w:sz w:val="29"/>
          <w:szCs w:val="29"/>
          <w:shd w:val="clear" w:color="auto" w:fill="FFFFFF"/>
        </w:rPr>
        <w:t>八、风险提示</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竞买人应该谨慎报价，报价一经提交，不得修改或者撤回。网上挂牌报价截止之前，竞买人至少进行一次有效报价才有资格参加限时竞价。</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特此公告</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联系电话：0374-6110359</w:t>
      </w:r>
      <w:r w:rsidRPr="00887570">
        <w:rPr>
          <w:rFonts w:ascii="宋体" w:eastAsia="宋体" w:hAnsi="宋体" w:cs="宋体" w:hint="eastAsia"/>
          <w:kern w:val="0"/>
          <w:sz w:val="29"/>
          <w:szCs w:val="29"/>
          <w:shd w:val="clear" w:color="auto" w:fill="FFFFFF"/>
        </w:rPr>
        <w:t>、6189181</w:t>
      </w:r>
    </w:p>
    <w:p w:rsidR="00887570" w:rsidRPr="00887570" w:rsidRDefault="00887570" w:rsidP="00896349">
      <w:pPr>
        <w:widowControl/>
        <w:spacing w:before="240" w:after="240" w:line="280" w:lineRule="exact"/>
        <w:ind w:firstLine="540"/>
        <w:jc w:val="lef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联系人： 李先生</w:t>
      </w:r>
    </w:p>
    <w:p w:rsidR="00887570" w:rsidRPr="00887570" w:rsidRDefault="00887570" w:rsidP="00896349">
      <w:pPr>
        <w:widowControl/>
        <w:spacing w:before="240" w:after="240" w:line="280" w:lineRule="exact"/>
        <w:jc w:val="righ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长葛市地产交易中心</w:t>
      </w:r>
    </w:p>
    <w:p w:rsidR="00887570" w:rsidRPr="00887570" w:rsidRDefault="00887570" w:rsidP="00896349">
      <w:pPr>
        <w:widowControl/>
        <w:spacing w:before="240" w:after="240" w:line="280" w:lineRule="exact"/>
        <w:jc w:val="right"/>
        <w:rPr>
          <w:rFonts w:ascii="宋体" w:eastAsia="宋体" w:hAnsi="宋体" w:cs="宋体"/>
          <w:kern w:val="0"/>
          <w:sz w:val="24"/>
        </w:rPr>
      </w:pPr>
      <w:r w:rsidRPr="00887570">
        <w:rPr>
          <w:rFonts w:ascii="宋体" w:eastAsia="宋体" w:hAnsi="宋体" w:cs="宋体" w:hint="eastAsia"/>
          <w:color w:val="000000"/>
          <w:kern w:val="0"/>
          <w:sz w:val="29"/>
          <w:szCs w:val="29"/>
          <w:shd w:val="clear" w:color="auto" w:fill="FFFFFF"/>
        </w:rPr>
        <w:t>2024年02月08日</w:t>
      </w:r>
    </w:p>
    <w:p w:rsidR="00887570" w:rsidRPr="00887570" w:rsidRDefault="00887570" w:rsidP="00896349">
      <w:pPr>
        <w:widowControl/>
        <w:spacing w:before="75" w:after="75" w:line="280" w:lineRule="exact"/>
        <w:jc w:val="left"/>
        <w:rPr>
          <w:rFonts w:ascii="宋体" w:eastAsia="宋体" w:hAnsi="宋体" w:cs="宋体"/>
          <w:kern w:val="0"/>
          <w:sz w:val="24"/>
        </w:rPr>
      </w:pPr>
      <w:r w:rsidRPr="00887570">
        <w:rPr>
          <w:rFonts w:ascii="Calibri" w:eastAsia="宋体" w:hAnsi="Calibri" w:cs="Calibri"/>
          <w:kern w:val="0"/>
          <w:sz w:val="29"/>
          <w:szCs w:val="29"/>
        </w:rPr>
        <w:t> </w:t>
      </w:r>
    </w:p>
    <w:p w:rsidR="008C6527" w:rsidRPr="00887570" w:rsidRDefault="008C6527" w:rsidP="00896349">
      <w:pPr>
        <w:spacing w:line="280" w:lineRule="exact"/>
      </w:pPr>
    </w:p>
    <w:sectPr w:rsidR="008C6527" w:rsidRPr="00887570">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504C"/>
    <w:multiLevelType w:val="hybridMultilevel"/>
    <w:tmpl w:val="3182A748"/>
    <w:lvl w:ilvl="0" w:tplc="2B8AD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2FjNDlkMjcxYjhiOWM1NDg5ODY5YTZkZjcwZjUifQ=="/>
  </w:docVars>
  <w:rsids>
    <w:rsidRoot w:val="5CBD7C0B"/>
    <w:rsid w:val="000E16D8"/>
    <w:rsid w:val="00341EE9"/>
    <w:rsid w:val="00632F34"/>
    <w:rsid w:val="00887570"/>
    <w:rsid w:val="00896349"/>
    <w:rsid w:val="008C6527"/>
    <w:rsid w:val="00AB408B"/>
    <w:rsid w:val="00B76B68"/>
    <w:rsid w:val="00B82772"/>
    <w:rsid w:val="00EF68FA"/>
    <w:rsid w:val="00F81814"/>
    <w:rsid w:val="00FA0275"/>
    <w:rsid w:val="18736D2E"/>
    <w:rsid w:val="538B6DC0"/>
    <w:rsid w:val="5CBD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8721">
      <w:bodyDiv w:val="1"/>
      <w:marLeft w:val="0"/>
      <w:marRight w:val="0"/>
      <w:marTop w:val="0"/>
      <w:marBottom w:val="0"/>
      <w:divBdr>
        <w:top w:val="none" w:sz="0" w:space="0" w:color="auto"/>
        <w:left w:val="none" w:sz="0" w:space="0" w:color="auto"/>
        <w:bottom w:val="none" w:sz="0" w:space="0" w:color="auto"/>
        <w:right w:val="none" w:sz="0" w:space="0" w:color="auto"/>
      </w:divBdr>
    </w:div>
    <w:div w:id="362829748">
      <w:bodyDiv w:val="1"/>
      <w:marLeft w:val="0"/>
      <w:marRight w:val="0"/>
      <w:marTop w:val="0"/>
      <w:marBottom w:val="0"/>
      <w:divBdr>
        <w:top w:val="none" w:sz="0" w:space="0" w:color="auto"/>
        <w:left w:val="none" w:sz="0" w:space="0" w:color="auto"/>
        <w:bottom w:val="none" w:sz="0" w:space="0" w:color="auto"/>
        <w:right w:val="none" w:sz="0" w:space="0" w:color="auto"/>
      </w:divBdr>
    </w:div>
    <w:div w:id="75008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2024-01-10T02:51:00Z</cp:lastPrinted>
  <dcterms:created xsi:type="dcterms:W3CDTF">2024-02-08T03:34:00Z</dcterms:created>
  <dcterms:modified xsi:type="dcterms:W3CDTF">2024-02-08T03:34:00Z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5BF498DB337B4E2B8E660C642A9DB324_13</vt:lpwstr>
  </property>
</Properties>
</file>