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81" w:rsidRDefault="00D60FF3" w:rsidP="00D60FF3">
      <w:pPr>
        <w:widowControl/>
        <w:spacing w:line="360" w:lineRule="atLeast"/>
        <w:jc w:val="center"/>
        <w:rPr>
          <w:rFonts w:asciiTheme="minorEastAsia" w:hAnsiTheme="minorEastAsia" w:cs="仿宋_GB2312" w:hint="eastAsia"/>
          <w:b/>
          <w:color w:val="000000"/>
          <w:kern w:val="0"/>
          <w:sz w:val="44"/>
          <w:szCs w:val="44"/>
          <w:shd w:val="clear" w:color="auto" w:fill="FFFFFF"/>
        </w:rPr>
      </w:pPr>
      <w:r w:rsidRPr="00D60FF3">
        <w:rPr>
          <w:rFonts w:asciiTheme="minorEastAsia" w:hAnsiTheme="minorEastAsia" w:cs="仿宋_GB2312" w:hint="eastAsia"/>
          <w:b/>
          <w:color w:val="000000"/>
          <w:kern w:val="0"/>
          <w:sz w:val="44"/>
          <w:szCs w:val="44"/>
          <w:shd w:val="clear" w:color="auto" w:fill="FFFFFF"/>
        </w:rPr>
        <w:t>ZFCG-G201</w:t>
      </w:r>
      <w:r w:rsidR="007D4381">
        <w:rPr>
          <w:rFonts w:asciiTheme="minorEastAsia" w:hAnsiTheme="minorEastAsia" w:cs="仿宋_GB2312" w:hint="eastAsia"/>
          <w:b/>
          <w:color w:val="000000"/>
          <w:kern w:val="0"/>
          <w:sz w:val="44"/>
          <w:szCs w:val="44"/>
          <w:shd w:val="clear" w:color="auto" w:fill="FFFFFF"/>
        </w:rPr>
        <w:t>3039</w:t>
      </w:r>
      <w:r w:rsidRPr="00D60FF3">
        <w:rPr>
          <w:rFonts w:asciiTheme="minorEastAsia" w:hAnsiTheme="minorEastAsia" w:cs="仿宋_GB2312" w:hint="eastAsia"/>
          <w:b/>
          <w:color w:val="000000"/>
          <w:kern w:val="0"/>
          <w:sz w:val="44"/>
          <w:szCs w:val="44"/>
          <w:shd w:val="clear" w:color="auto" w:fill="FFFFFF"/>
        </w:rPr>
        <w:t>号许昌市</w:t>
      </w:r>
      <w:r w:rsidR="007D4381">
        <w:rPr>
          <w:rFonts w:asciiTheme="minorEastAsia" w:hAnsiTheme="minorEastAsia" w:cs="仿宋_GB2312" w:hint="eastAsia"/>
          <w:b/>
          <w:color w:val="000000"/>
          <w:kern w:val="0"/>
          <w:sz w:val="44"/>
          <w:szCs w:val="44"/>
          <w:shd w:val="clear" w:color="auto" w:fill="FFFFFF"/>
        </w:rPr>
        <w:t>教育局</w:t>
      </w:r>
      <w:r w:rsidRPr="00D60FF3">
        <w:rPr>
          <w:rFonts w:asciiTheme="minorEastAsia" w:hAnsiTheme="minorEastAsia" w:cs="仿宋_GB2312" w:hint="eastAsia"/>
          <w:b/>
          <w:color w:val="000000"/>
          <w:kern w:val="0"/>
          <w:sz w:val="44"/>
          <w:szCs w:val="44"/>
          <w:shd w:val="clear" w:color="auto" w:fill="FFFFFF"/>
        </w:rPr>
        <w:t>“许昌市</w:t>
      </w:r>
      <w:r w:rsidR="007D4381">
        <w:rPr>
          <w:rFonts w:asciiTheme="minorEastAsia" w:hAnsiTheme="minorEastAsia" w:cs="仿宋_GB2312" w:hint="eastAsia"/>
          <w:b/>
          <w:color w:val="000000"/>
          <w:kern w:val="0"/>
          <w:sz w:val="44"/>
          <w:szCs w:val="44"/>
          <w:shd w:val="clear" w:color="auto" w:fill="FFFFFF"/>
        </w:rPr>
        <w:t>教育局许昌市教育专网建设</w:t>
      </w:r>
      <w:r w:rsidRPr="00D60FF3">
        <w:rPr>
          <w:rFonts w:asciiTheme="minorEastAsia" w:hAnsiTheme="minorEastAsia" w:cs="仿宋_GB2312" w:hint="eastAsia"/>
          <w:b/>
          <w:color w:val="000000"/>
          <w:kern w:val="0"/>
          <w:sz w:val="44"/>
          <w:szCs w:val="44"/>
          <w:shd w:val="clear" w:color="auto" w:fill="FFFFFF"/>
        </w:rPr>
        <w:t>”服务项目</w:t>
      </w:r>
    </w:p>
    <w:p w:rsidR="00E250F2" w:rsidRPr="00D60FF3" w:rsidRDefault="002C12B0" w:rsidP="00D60FF3">
      <w:pPr>
        <w:widowControl/>
        <w:spacing w:line="360" w:lineRule="atLeast"/>
        <w:jc w:val="center"/>
        <w:rPr>
          <w:rFonts w:asciiTheme="minorEastAsia" w:hAnsiTheme="minorEastAsia" w:cs="仿宋_GB2312"/>
          <w:b/>
          <w:color w:val="000000"/>
          <w:kern w:val="0"/>
          <w:sz w:val="44"/>
          <w:szCs w:val="44"/>
          <w:shd w:val="clear" w:color="auto" w:fill="FFFFFF"/>
        </w:rPr>
      </w:pPr>
      <w:r w:rsidRPr="00D60FF3">
        <w:rPr>
          <w:rFonts w:asciiTheme="minorEastAsia" w:hAnsiTheme="minorEastAsia" w:cs="仿宋_GB2312"/>
          <w:b/>
          <w:color w:val="000000"/>
          <w:kern w:val="0"/>
          <w:sz w:val="44"/>
          <w:szCs w:val="44"/>
          <w:shd w:val="clear" w:color="auto" w:fill="FFFFFF"/>
        </w:rPr>
        <w:t>采购需求</w:t>
      </w:r>
      <w:bookmarkStart w:id="0" w:name="_GoBack"/>
      <w:bookmarkEnd w:id="0"/>
    </w:p>
    <w:p w:rsidR="00D60FF3" w:rsidRDefault="00D60FF3">
      <w:pPr>
        <w:widowControl/>
        <w:spacing w:line="360" w:lineRule="atLeast"/>
        <w:ind w:firstLine="600"/>
        <w:jc w:val="left"/>
        <w:rPr>
          <w:rFonts w:ascii="黑体" w:eastAsia="黑体" w:hAnsi="宋体" w:cs="黑体"/>
          <w:color w:val="000000"/>
          <w:kern w:val="0"/>
          <w:sz w:val="30"/>
          <w:szCs w:val="30"/>
          <w:shd w:val="clear" w:color="auto" w:fill="FFFFFF"/>
        </w:rPr>
      </w:pPr>
    </w:p>
    <w:p w:rsidR="00E250F2" w:rsidRDefault="00D60FF3">
      <w:pPr>
        <w:widowControl/>
        <w:spacing w:line="360" w:lineRule="atLeast"/>
        <w:ind w:firstLine="600"/>
        <w:jc w:val="left"/>
      </w:pPr>
      <w:r>
        <w:rPr>
          <w:rFonts w:ascii="黑体" w:eastAsia="黑体" w:hAnsi="宋体" w:cs="黑体" w:hint="eastAsia"/>
          <w:color w:val="000000"/>
          <w:kern w:val="0"/>
          <w:sz w:val="30"/>
          <w:szCs w:val="30"/>
          <w:shd w:val="clear" w:color="auto" w:fill="FFFFFF"/>
        </w:rPr>
        <w:t>一</w:t>
      </w:r>
      <w:r w:rsidR="002C12B0">
        <w:rPr>
          <w:rFonts w:ascii="黑体" w:eastAsia="黑体" w:hAnsi="宋体" w:cs="黑体" w:hint="eastAsia"/>
          <w:color w:val="000000"/>
          <w:kern w:val="0"/>
          <w:sz w:val="30"/>
          <w:szCs w:val="30"/>
          <w:shd w:val="clear" w:color="auto" w:fill="FFFFFF"/>
        </w:rPr>
        <w:t>、采购需求</w:t>
      </w:r>
    </w:p>
    <w:p w:rsidR="007D4381" w:rsidRDefault="007D4381" w:rsidP="007D4381">
      <w:pPr>
        <w:shd w:val="clear" w:color="auto" w:fill="FFFFFF"/>
        <w:ind w:firstLineChars="200" w:firstLine="640"/>
        <w:contextualSpacing/>
        <w:rPr>
          <w:rFonts w:ascii="楷体" w:eastAsia="楷体" w:hAnsi="楷体" w:cs="楷体"/>
          <w:kern w:val="0"/>
          <w:sz w:val="32"/>
          <w:szCs w:val="32"/>
          <w:shd w:val="clear" w:color="auto" w:fill="FFFFFF"/>
        </w:rPr>
      </w:pPr>
      <w:r>
        <w:rPr>
          <w:rFonts w:ascii="楷体" w:eastAsia="楷体" w:hAnsi="楷体" w:cs="楷体" w:hint="eastAsia"/>
          <w:kern w:val="0"/>
          <w:sz w:val="32"/>
          <w:szCs w:val="32"/>
          <w:shd w:val="clear" w:color="auto" w:fill="FFFFFF"/>
        </w:rPr>
        <w:t>（一）项目概况</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教育专网建设项目采购主要有四方面服务要求。一是以太全光网络链路；二是许昌市智慧教育平台；三是可信的网络与信息安全保障；四是快捷高效运维与服务。项目年费用预算为820万元（其中市直80万元）。</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项目实际费用按照建设覆盖教室数量按年计费，总费用不突破预算价。根据测算，项目建设将涵盖全市1026所公办学校，13744个教室。其中开发区13所，教室数162个；</w:t>
      </w:r>
      <w:proofErr w:type="gramStart"/>
      <w:r>
        <w:rPr>
          <w:rFonts w:ascii="仿宋" w:eastAsia="仿宋" w:hAnsi="仿宋" w:cs="仿宋" w:hint="eastAsia"/>
          <w:kern w:val="0"/>
          <w:sz w:val="32"/>
          <w:szCs w:val="32"/>
          <w:shd w:val="clear" w:color="auto" w:fill="FFFFFF"/>
        </w:rPr>
        <w:t>建安区</w:t>
      </w:r>
      <w:proofErr w:type="gramEnd"/>
      <w:r>
        <w:rPr>
          <w:rFonts w:ascii="仿宋" w:eastAsia="仿宋" w:hAnsi="仿宋" w:cs="仿宋" w:hint="eastAsia"/>
          <w:kern w:val="0"/>
          <w:sz w:val="32"/>
          <w:szCs w:val="32"/>
          <w:shd w:val="clear" w:color="auto" w:fill="FFFFFF"/>
        </w:rPr>
        <w:t>110所，教室数1449个；东城区26所，教室数601个；魏都区39所，教室数997个；示范区8所，教室数151个；襄城县200所，教室数2267个；鄢陵县156所，教室数1922个；禹州市289所，教室数3149个；长葛市158所，教室数1895个；市直27所，教室数1151个。</w:t>
      </w:r>
    </w:p>
    <w:p w:rsidR="007D4381" w:rsidRDefault="007D4381" w:rsidP="007D4381">
      <w:pPr>
        <w:shd w:val="clear" w:color="auto" w:fill="FFFFFF"/>
        <w:ind w:firstLineChars="200" w:firstLine="640"/>
        <w:contextualSpacing/>
        <w:rPr>
          <w:rFonts w:ascii="楷体" w:eastAsia="楷体" w:hAnsi="楷体" w:cs="楷体"/>
          <w:kern w:val="0"/>
          <w:sz w:val="32"/>
          <w:szCs w:val="32"/>
          <w:shd w:val="clear" w:color="auto" w:fill="FFFFFF"/>
        </w:rPr>
      </w:pPr>
      <w:r>
        <w:rPr>
          <w:rFonts w:ascii="楷体" w:eastAsia="楷体" w:hAnsi="楷体" w:cs="楷体" w:hint="eastAsia"/>
          <w:kern w:val="0"/>
          <w:sz w:val="32"/>
          <w:szCs w:val="32"/>
          <w:shd w:val="clear" w:color="auto" w:fill="FFFFFF"/>
        </w:rPr>
        <w:t>（二）采购清单</w:t>
      </w:r>
    </w:p>
    <w:tbl>
      <w:tblPr>
        <w:tblW w:w="9621" w:type="dxa"/>
        <w:tblInd w:w="-381"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023"/>
        <w:gridCol w:w="2067"/>
        <w:gridCol w:w="3066"/>
        <w:gridCol w:w="993"/>
        <w:gridCol w:w="850"/>
        <w:gridCol w:w="1622"/>
      </w:tblGrid>
      <w:tr w:rsidR="007D4381" w:rsidTr="00617FBE">
        <w:trPr>
          <w:trHeight w:val="730"/>
        </w:trPr>
        <w:tc>
          <w:tcPr>
            <w:tcW w:w="1023"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黑体" w:eastAsia="黑体" w:hAnsi="黑体"/>
                <w:sz w:val="28"/>
                <w:szCs w:val="28"/>
              </w:rPr>
            </w:pPr>
            <w:r>
              <w:rPr>
                <w:rFonts w:ascii="黑体" w:eastAsia="黑体" w:hAnsi="黑体" w:cs="黑体" w:hint="eastAsia"/>
                <w:sz w:val="28"/>
                <w:szCs w:val="28"/>
              </w:rPr>
              <w:t>序号</w:t>
            </w:r>
          </w:p>
        </w:tc>
        <w:tc>
          <w:tcPr>
            <w:tcW w:w="2067"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黑体" w:eastAsia="黑体" w:hAnsi="黑体"/>
                <w:sz w:val="28"/>
                <w:szCs w:val="28"/>
              </w:rPr>
            </w:pPr>
            <w:r>
              <w:rPr>
                <w:rFonts w:ascii="黑体" w:eastAsia="黑体" w:hAnsi="黑体" w:cs="黑体" w:hint="eastAsia"/>
                <w:sz w:val="28"/>
                <w:szCs w:val="28"/>
              </w:rPr>
              <w:t>货物名称</w:t>
            </w:r>
          </w:p>
        </w:tc>
        <w:tc>
          <w:tcPr>
            <w:tcW w:w="3066"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黑体" w:eastAsia="黑体" w:hAnsi="黑体"/>
                <w:sz w:val="28"/>
                <w:szCs w:val="28"/>
              </w:rPr>
            </w:pPr>
            <w:r>
              <w:rPr>
                <w:rFonts w:ascii="黑体" w:eastAsia="黑体" w:hAnsi="黑体" w:cs="黑体" w:hint="eastAsia"/>
                <w:sz w:val="28"/>
                <w:szCs w:val="28"/>
              </w:rPr>
              <w:t>技术规格及主要参数</w:t>
            </w:r>
          </w:p>
        </w:tc>
        <w:tc>
          <w:tcPr>
            <w:tcW w:w="993"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黑体" w:eastAsia="黑体" w:hAnsi="黑体"/>
                <w:sz w:val="28"/>
                <w:szCs w:val="28"/>
              </w:rPr>
            </w:pPr>
            <w:r>
              <w:rPr>
                <w:rFonts w:ascii="黑体" w:eastAsia="黑体" w:hAnsi="黑体" w:cs="黑体" w:hint="eastAsia"/>
                <w:sz w:val="28"/>
                <w:szCs w:val="28"/>
              </w:rPr>
              <w:t>单位</w:t>
            </w:r>
          </w:p>
        </w:tc>
        <w:tc>
          <w:tcPr>
            <w:tcW w:w="850"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黑体" w:eastAsia="黑体" w:hAnsi="黑体"/>
                <w:sz w:val="28"/>
                <w:szCs w:val="28"/>
              </w:rPr>
            </w:pPr>
            <w:r>
              <w:rPr>
                <w:rFonts w:ascii="黑体" w:eastAsia="黑体" w:hAnsi="黑体" w:cs="黑体" w:hint="eastAsia"/>
                <w:sz w:val="28"/>
                <w:szCs w:val="28"/>
              </w:rPr>
              <w:t>数量</w:t>
            </w:r>
          </w:p>
        </w:tc>
        <w:tc>
          <w:tcPr>
            <w:tcW w:w="1622" w:type="dxa"/>
            <w:tcBorders>
              <w:top w:val="single" w:sz="8" w:space="0" w:color="auto"/>
              <w:left w:val="nil"/>
              <w:bottom w:val="single" w:sz="8" w:space="0" w:color="auto"/>
              <w:right w:val="single" w:sz="8" w:space="0" w:color="auto"/>
            </w:tcBorders>
            <w:shd w:val="clear" w:color="auto" w:fill="FFFFFF"/>
          </w:tcPr>
          <w:p w:rsidR="007D4381" w:rsidRDefault="007D4381" w:rsidP="00617FBE">
            <w:pPr>
              <w:spacing w:line="400" w:lineRule="exact"/>
              <w:jc w:val="center"/>
              <w:rPr>
                <w:rFonts w:ascii="黑体" w:eastAsia="黑体" w:hAnsi="黑体"/>
                <w:sz w:val="28"/>
                <w:szCs w:val="28"/>
              </w:rPr>
            </w:pPr>
            <w:r>
              <w:rPr>
                <w:rFonts w:ascii="黑体" w:eastAsia="黑体" w:hAnsi="黑体" w:cs="黑体" w:hint="eastAsia"/>
                <w:sz w:val="28"/>
                <w:szCs w:val="28"/>
              </w:rPr>
              <w:t>采购标的对应的中小企业划分标准所属行业</w:t>
            </w:r>
          </w:p>
        </w:tc>
      </w:tr>
      <w:tr w:rsidR="007D4381" w:rsidTr="00617FBE">
        <w:trPr>
          <w:trHeight w:val="637"/>
        </w:trPr>
        <w:tc>
          <w:tcPr>
            <w:tcW w:w="1023"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p>
        </w:tc>
        <w:tc>
          <w:tcPr>
            <w:tcW w:w="20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以太全光网络链路服务</w:t>
            </w:r>
          </w:p>
        </w:tc>
        <w:tc>
          <w:tcPr>
            <w:tcW w:w="306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详见服务要求</w:t>
            </w:r>
          </w:p>
        </w:tc>
        <w:tc>
          <w:tcPr>
            <w:tcW w:w="99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 </w:t>
            </w:r>
          </w:p>
        </w:tc>
        <w:tc>
          <w:tcPr>
            <w:tcW w:w="85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622" w:type="dxa"/>
            <w:tcBorders>
              <w:top w:val="nil"/>
              <w:left w:val="nil"/>
              <w:bottom w:val="single" w:sz="8" w:space="0" w:color="auto"/>
              <w:right w:val="single" w:sz="8" w:space="0" w:color="auto"/>
            </w:tcBorders>
            <w:shd w:val="clear" w:color="auto" w:fill="FFFFFF"/>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软件和信息技术服务业</w:t>
            </w:r>
          </w:p>
        </w:tc>
      </w:tr>
      <w:tr w:rsidR="007D4381" w:rsidTr="00617FBE">
        <w:trPr>
          <w:trHeight w:val="637"/>
        </w:trPr>
        <w:tc>
          <w:tcPr>
            <w:tcW w:w="1023"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0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shd w:val="clear" w:color="auto" w:fill="FFFFFF"/>
              </w:rPr>
              <w:t>智慧教育平台服务</w:t>
            </w:r>
          </w:p>
        </w:tc>
        <w:tc>
          <w:tcPr>
            <w:tcW w:w="306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详见服务要求</w:t>
            </w:r>
          </w:p>
        </w:tc>
        <w:tc>
          <w:tcPr>
            <w:tcW w:w="99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 </w:t>
            </w:r>
          </w:p>
        </w:tc>
        <w:tc>
          <w:tcPr>
            <w:tcW w:w="85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622" w:type="dxa"/>
            <w:tcBorders>
              <w:top w:val="nil"/>
              <w:left w:val="nil"/>
              <w:bottom w:val="single" w:sz="8" w:space="0" w:color="auto"/>
              <w:right w:val="single" w:sz="8" w:space="0" w:color="auto"/>
            </w:tcBorders>
            <w:shd w:val="clear" w:color="auto" w:fill="FFFFFF"/>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软件和信息技术服务业</w:t>
            </w:r>
          </w:p>
        </w:tc>
      </w:tr>
      <w:tr w:rsidR="007D4381" w:rsidTr="00617FBE">
        <w:trPr>
          <w:trHeight w:val="637"/>
        </w:trPr>
        <w:tc>
          <w:tcPr>
            <w:tcW w:w="1023"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0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网络与信息安全保障服务</w:t>
            </w:r>
          </w:p>
        </w:tc>
        <w:tc>
          <w:tcPr>
            <w:tcW w:w="306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详见服务要求</w:t>
            </w:r>
          </w:p>
        </w:tc>
        <w:tc>
          <w:tcPr>
            <w:tcW w:w="99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 </w:t>
            </w:r>
          </w:p>
        </w:tc>
        <w:tc>
          <w:tcPr>
            <w:tcW w:w="85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622" w:type="dxa"/>
            <w:tcBorders>
              <w:top w:val="nil"/>
              <w:left w:val="nil"/>
              <w:bottom w:val="single" w:sz="8" w:space="0" w:color="auto"/>
              <w:right w:val="single" w:sz="8" w:space="0" w:color="auto"/>
            </w:tcBorders>
            <w:shd w:val="clear" w:color="auto" w:fill="FFFFFF"/>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软件和信息技术服务业</w:t>
            </w:r>
          </w:p>
        </w:tc>
      </w:tr>
      <w:tr w:rsidR="007D4381" w:rsidTr="00617FBE">
        <w:trPr>
          <w:trHeight w:val="90"/>
        </w:trPr>
        <w:tc>
          <w:tcPr>
            <w:tcW w:w="1023" w:type="dxa"/>
            <w:tcBorders>
              <w:top w:val="nil"/>
              <w:left w:val="single" w:sz="8" w:space="0" w:color="auto"/>
              <w:bottom w:val="single" w:sz="4"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067"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运维服务</w:t>
            </w:r>
          </w:p>
        </w:tc>
        <w:tc>
          <w:tcPr>
            <w:tcW w:w="3066"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详见服务要求</w:t>
            </w:r>
          </w:p>
        </w:tc>
        <w:tc>
          <w:tcPr>
            <w:tcW w:w="993"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 </w:t>
            </w:r>
          </w:p>
        </w:tc>
        <w:tc>
          <w:tcPr>
            <w:tcW w:w="850"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622" w:type="dxa"/>
            <w:tcBorders>
              <w:top w:val="nil"/>
              <w:left w:val="nil"/>
              <w:bottom w:val="single" w:sz="4" w:space="0" w:color="auto"/>
              <w:right w:val="single" w:sz="8" w:space="0" w:color="auto"/>
            </w:tcBorders>
            <w:shd w:val="clear" w:color="auto" w:fill="FFFFFF"/>
            <w:vAlign w:val="center"/>
          </w:tcPr>
          <w:p w:rsidR="007D4381" w:rsidRDefault="007D4381" w:rsidP="00617FB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软件和信息技术服务业 </w:t>
            </w:r>
          </w:p>
        </w:tc>
      </w:tr>
    </w:tbl>
    <w:p w:rsidR="007D4381" w:rsidRDefault="007D4381" w:rsidP="007D4381">
      <w:pPr>
        <w:shd w:val="clear" w:color="auto" w:fill="FFFFFF"/>
        <w:ind w:firstLineChars="200" w:firstLine="640"/>
        <w:contextualSpacing/>
        <w:rPr>
          <w:rFonts w:ascii="楷体" w:eastAsia="楷体" w:hAnsi="楷体" w:cs="楷体"/>
          <w:kern w:val="0"/>
          <w:sz w:val="32"/>
          <w:szCs w:val="32"/>
          <w:shd w:val="clear" w:color="auto" w:fill="FFFFFF"/>
        </w:rPr>
      </w:pPr>
      <w:r>
        <w:rPr>
          <w:rFonts w:ascii="楷体" w:eastAsia="楷体" w:hAnsi="楷体" w:cs="楷体" w:hint="eastAsia"/>
          <w:kern w:val="0"/>
          <w:sz w:val="32"/>
          <w:szCs w:val="32"/>
          <w:shd w:val="clear" w:color="auto" w:fill="FFFFFF"/>
        </w:rPr>
        <w:t>（三）服务要求</w:t>
      </w:r>
    </w:p>
    <w:p w:rsidR="007D4381" w:rsidRDefault="007D4381" w:rsidP="007D4381">
      <w:pPr>
        <w:shd w:val="clear" w:color="auto" w:fill="FFFFFF"/>
        <w:ind w:firstLineChars="200" w:firstLine="640"/>
        <w:contextualSpacing/>
        <w:rPr>
          <w:rFonts w:ascii="黑体" w:eastAsia="黑体" w:hAnsi="黑体" w:cs="仿宋"/>
          <w:b/>
          <w:bCs/>
          <w:kern w:val="0"/>
          <w:sz w:val="32"/>
          <w:szCs w:val="32"/>
          <w:shd w:val="clear" w:color="auto" w:fill="FFFFFF"/>
        </w:rPr>
      </w:pPr>
      <w:r>
        <w:rPr>
          <w:rFonts w:ascii="黑体" w:eastAsia="黑体" w:hAnsi="黑体" w:cs="宋体" w:hint="eastAsia"/>
          <w:sz w:val="32"/>
          <w:szCs w:val="32"/>
        </w:rPr>
        <w:t>以太全光网络链路服务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许昌市教育专网采用以太全光网建设模式，从市级核心到区县交换汇聚中心、到学校、到教室和教师桌面终端全部采用光纤链路。根据《河南省“十四五”教育信息化发展规划的通知》（</w:t>
      </w:r>
      <w:proofErr w:type="gramStart"/>
      <w:r>
        <w:rPr>
          <w:rFonts w:ascii="仿宋" w:eastAsia="仿宋" w:hAnsi="仿宋" w:cs="仿宋" w:hint="eastAsia"/>
          <w:kern w:val="0"/>
          <w:sz w:val="32"/>
          <w:szCs w:val="32"/>
          <w:shd w:val="clear" w:color="auto" w:fill="FFFFFF"/>
        </w:rPr>
        <w:t>豫教科技</w:t>
      </w:r>
      <w:proofErr w:type="gramEnd"/>
      <w:r>
        <w:rPr>
          <w:rFonts w:ascii="仿宋" w:eastAsia="仿宋" w:hAnsi="仿宋" w:cs="仿宋" w:hint="eastAsia"/>
          <w:kern w:val="0"/>
          <w:sz w:val="32"/>
          <w:szCs w:val="32"/>
          <w:shd w:val="clear" w:color="auto" w:fill="FFFFFF"/>
        </w:rPr>
        <w:t>﹝2022﹞52号）及《河 南 省 教 育 厅关于实施中小学数字校园提升行动的意见》</w:t>
      </w:r>
      <w:proofErr w:type="gramStart"/>
      <w:r>
        <w:rPr>
          <w:rFonts w:ascii="仿宋" w:eastAsia="仿宋" w:hAnsi="仿宋" w:cs="仿宋" w:hint="eastAsia"/>
          <w:kern w:val="0"/>
          <w:sz w:val="32"/>
          <w:szCs w:val="32"/>
          <w:shd w:val="clear" w:color="auto" w:fill="FFFFFF"/>
        </w:rPr>
        <w:t>教科技</w:t>
      </w:r>
      <w:proofErr w:type="gramEnd"/>
      <w:r>
        <w:rPr>
          <w:rFonts w:ascii="仿宋" w:eastAsia="仿宋" w:hAnsi="仿宋" w:cs="仿宋" w:hint="eastAsia"/>
          <w:kern w:val="0"/>
          <w:sz w:val="32"/>
          <w:szCs w:val="32"/>
          <w:shd w:val="clear" w:color="auto" w:fill="FFFFFF"/>
        </w:rPr>
        <w:t>〔2022〕205号的文件精神，校园网络采用</w:t>
      </w:r>
      <w:proofErr w:type="gramStart"/>
      <w:r>
        <w:rPr>
          <w:rFonts w:ascii="仿宋" w:eastAsia="仿宋" w:hAnsi="仿宋" w:cs="仿宋" w:hint="eastAsia"/>
          <w:kern w:val="0"/>
          <w:sz w:val="32"/>
          <w:szCs w:val="32"/>
          <w:shd w:val="clear" w:color="auto" w:fill="FFFFFF"/>
        </w:rPr>
        <w:t>以太光</w:t>
      </w:r>
      <w:proofErr w:type="gramEnd"/>
      <w:r>
        <w:rPr>
          <w:rFonts w:ascii="仿宋" w:eastAsia="仿宋" w:hAnsi="仿宋" w:cs="仿宋" w:hint="eastAsia"/>
          <w:kern w:val="0"/>
          <w:sz w:val="32"/>
          <w:szCs w:val="32"/>
          <w:shd w:val="clear" w:color="auto" w:fill="FFFFFF"/>
        </w:rPr>
        <w:t>网模式，无线网部署基于WIFI6的无线网络全覆盖，实现IPV6全覆盖，宽带网络万兆到县，千兆到校、百兆进班/桌面。</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bookmarkStart w:id="1" w:name="_Toc2437"/>
      <w:bookmarkEnd w:id="1"/>
      <w:r>
        <w:rPr>
          <w:rFonts w:ascii="仿宋" w:eastAsia="仿宋" w:hAnsi="仿宋" w:cs="仿宋" w:hint="eastAsia"/>
          <w:b/>
          <w:bCs/>
          <w:kern w:val="0"/>
          <w:sz w:val="32"/>
          <w:szCs w:val="32"/>
          <w:shd w:val="clear" w:color="auto" w:fill="FFFFFF"/>
        </w:rPr>
        <w:t>1.总体要求</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骨干网要保障带宽的专用通道，在接入层、IP 骨干层、传输层采用网络保障手段，保障教育专网的用户体验和网络服务质量。学校师生的上网流量以及教学、办公所需要的各类业务流量，需要和非教育类客户进行区隔，保障教育网络的服务质量，实现专网专用；学校师生和所有网络信息点，</w:t>
      </w:r>
      <w:r>
        <w:rPr>
          <w:rFonts w:ascii="仿宋" w:eastAsia="仿宋" w:hAnsi="仿宋" w:cs="仿宋" w:hint="eastAsia"/>
          <w:b/>
          <w:bCs/>
          <w:kern w:val="0"/>
          <w:sz w:val="32"/>
          <w:szCs w:val="32"/>
          <w:shd w:val="clear" w:color="auto" w:fill="FFFFFF"/>
        </w:rPr>
        <w:lastRenderedPageBreak/>
        <w:t>需具备同时访问教育网络资源和可管可控互联网上网的条件。学校之间通过教育专网实现班班互通、班校互通、班云互联、家校互联、连接教育网和互联网，解决网络孤岛问题。教育专网除了承载基础的教育业务，还承担教育绿色上网、网络审计、对教育资源安全访问、</w:t>
      </w:r>
      <w:proofErr w:type="gramStart"/>
      <w:r>
        <w:rPr>
          <w:rFonts w:ascii="仿宋" w:eastAsia="仿宋" w:hAnsi="仿宋" w:cs="仿宋" w:hint="eastAsia"/>
          <w:b/>
          <w:bCs/>
          <w:kern w:val="0"/>
          <w:sz w:val="32"/>
          <w:szCs w:val="32"/>
          <w:shd w:val="clear" w:color="auto" w:fill="FFFFFF"/>
        </w:rPr>
        <w:t>云化教育</w:t>
      </w:r>
      <w:proofErr w:type="gramEnd"/>
      <w:r>
        <w:rPr>
          <w:rFonts w:ascii="仿宋" w:eastAsia="仿宋" w:hAnsi="仿宋" w:cs="仿宋" w:hint="eastAsia"/>
          <w:b/>
          <w:bCs/>
          <w:kern w:val="0"/>
          <w:sz w:val="32"/>
          <w:szCs w:val="32"/>
          <w:shd w:val="clear" w:color="auto" w:fill="FFFFFF"/>
        </w:rPr>
        <w:t>应用等功能的引入和分发。</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（1）可靠性</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大带宽，低时延，从设备级、链路级、网络级等多个层次保证专网的可靠性、稳定性，保证实时性业务平稳运行。</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bookmarkStart w:id="2" w:name="_Toc750"/>
      <w:bookmarkEnd w:id="2"/>
      <w:r>
        <w:rPr>
          <w:rFonts w:ascii="仿宋" w:eastAsia="仿宋" w:hAnsi="仿宋" w:cs="仿宋" w:hint="eastAsia"/>
          <w:b/>
          <w:bCs/>
          <w:kern w:val="0"/>
          <w:sz w:val="32"/>
          <w:szCs w:val="32"/>
          <w:shd w:val="clear" w:color="auto" w:fill="FFFFFF"/>
        </w:rPr>
        <w:t>（2）扩展性</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教育专网划分为核心层、汇聚层、接入层，每层功能清晰，架构稳定，易于扩展和维护，所选设备接口具备多样性和兼容性，设备选型具备前瞻性，适应未来5-10年的发展。</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bookmarkStart w:id="3" w:name="_Toc7404"/>
      <w:bookmarkEnd w:id="3"/>
      <w:r>
        <w:rPr>
          <w:rFonts w:ascii="仿宋" w:eastAsia="仿宋" w:hAnsi="仿宋" w:cs="仿宋" w:hint="eastAsia"/>
          <w:b/>
          <w:bCs/>
          <w:kern w:val="0"/>
          <w:sz w:val="32"/>
          <w:szCs w:val="32"/>
          <w:shd w:val="clear" w:color="auto" w:fill="FFFFFF"/>
        </w:rPr>
        <w:t>（3）冗余性</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关键设备采用双节点冗余设计，关键链路采用双备份或者负载分担，关键设备的电源、主控板等关键部件冗余备份,提高整个网络的可靠性。</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bookmarkStart w:id="4" w:name="_Toc4596"/>
      <w:bookmarkEnd w:id="4"/>
      <w:r>
        <w:rPr>
          <w:rFonts w:ascii="仿宋" w:eastAsia="仿宋" w:hAnsi="仿宋" w:cs="仿宋" w:hint="eastAsia"/>
          <w:b/>
          <w:bCs/>
          <w:kern w:val="0"/>
          <w:sz w:val="32"/>
          <w:szCs w:val="32"/>
          <w:shd w:val="clear" w:color="auto" w:fill="FFFFFF"/>
        </w:rPr>
        <w:t>（4）安全性</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网络安全符合国家网络安全相关法律法规要求，教育专网安全达到网络</w:t>
      </w:r>
      <w:proofErr w:type="gramStart"/>
      <w:r>
        <w:rPr>
          <w:rFonts w:ascii="仿宋" w:eastAsia="仿宋" w:hAnsi="仿宋" w:cs="仿宋" w:hint="eastAsia"/>
          <w:kern w:val="0"/>
          <w:sz w:val="32"/>
          <w:szCs w:val="32"/>
          <w:shd w:val="clear" w:color="auto" w:fill="FFFFFF"/>
        </w:rPr>
        <w:t>安全等保二级</w:t>
      </w:r>
      <w:proofErr w:type="gramEnd"/>
      <w:r>
        <w:rPr>
          <w:rFonts w:ascii="仿宋" w:eastAsia="仿宋" w:hAnsi="仿宋" w:cs="仿宋" w:hint="eastAsia"/>
          <w:kern w:val="0"/>
          <w:sz w:val="32"/>
          <w:szCs w:val="32"/>
          <w:shd w:val="clear" w:color="auto" w:fill="FFFFFF"/>
        </w:rPr>
        <w:t>。各县（市、区）教育局作为各区域网络安全责任主体，可实现对网络安全事件的事前预判，事后追踪。</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bookmarkStart w:id="5" w:name="_Toc1484"/>
      <w:bookmarkEnd w:id="5"/>
      <w:r>
        <w:rPr>
          <w:rFonts w:ascii="仿宋" w:eastAsia="仿宋" w:hAnsi="仿宋" w:cs="仿宋" w:hint="eastAsia"/>
          <w:b/>
          <w:bCs/>
          <w:kern w:val="0"/>
          <w:sz w:val="32"/>
          <w:szCs w:val="32"/>
          <w:shd w:val="clear" w:color="auto" w:fill="FFFFFF"/>
        </w:rPr>
        <w:lastRenderedPageBreak/>
        <w:t>（5）易维护性</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网络应当具有良好的可管理性，便于维护，选取集成度高、模块可通用的产品，实现网络的</w:t>
      </w:r>
      <w:proofErr w:type="gramStart"/>
      <w:r>
        <w:rPr>
          <w:rFonts w:ascii="仿宋" w:eastAsia="仿宋" w:hAnsi="仿宋" w:cs="仿宋" w:hint="eastAsia"/>
          <w:kern w:val="0"/>
          <w:sz w:val="32"/>
          <w:szCs w:val="32"/>
          <w:shd w:val="clear" w:color="auto" w:fill="FFFFFF"/>
        </w:rPr>
        <w:t>便捷维护</w:t>
      </w:r>
      <w:proofErr w:type="gramEnd"/>
      <w:r>
        <w:rPr>
          <w:rFonts w:ascii="仿宋" w:eastAsia="仿宋" w:hAnsi="仿宋" w:cs="仿宋" w:hint="eastAsia"/>
          <w:kern w:val="0"/>
          <w:sz w:val="32"/>
          <w:szCs w:val="32"/>
          <w:shd w:val="clear" w:color="auto" w:fill="FFFFFF"/>
        </w:rPr>
        <w:t>和快速故障定位。</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（6）统一认证</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接入用户统一认证，实现教育专网网内用户全网认证，执行灵活而精细的策略管控。</w:t>
      </w:r>
    </w:p>
    <w:p w:rsidR="007D4381" w:rsidRDefault="007D4381" w:rsidP="007D4381">
      <w:pPr>
        <w:numPr>
          <w:ilvl w:val="0"/>
          <w:numId w:val="1"/>
        </w:num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管理维护</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实现市、县、校三级通过设备WEB管理界面进行设备管理维护，也可通过</w:t>
      </w:r>
      <w:proofErr w:type="gramStart"/>
      <w:r>
        <w:rPr>
          <w:rFonts w:ascii="仿宋" w:eastAsia="仿宋" w:hAnsi="仿宋" w:cs="仿宋" w:hint="eastAsia"/>
          <w:kern w:val="0"/>
          <w:sz w:val="32"/>
          <w:szCs w:val="32"/>
          <w:shd w:val="clear" w:color="auto" w:fill="FFFFFF"/>
        </w:rPr>
        <w:t>云管理</w:t>
      </w:r>
      <w:proofErr w:type="gramEnd"/>
      <w:r>
        <w:rPr>
          <w:rFonts w:ascii="仿宋" w:eastAsia="仿宋" w:hAnsi="仿宋" w:cs="仿宋" w:hint="eastAsia"/>
          <w:kern w:val="0"/>
          <w:sz w:val="32"/>
          <w:szCs w:val="32"/>
          <w:shd w:val="clear" w:color="auto" w:fill="FFFFFF"/>
        </w:rPr>
        <w:t>平台WEB界面进行设备管理维护。</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2.市级骨干网</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bookmarkStart w:id="6" w:name="_Toc35004257"/>
      <w:bookmarkEnd w:id="6"/>
      <w:r>
        <w:rPr>
          <w:rFonts w:ascii="仿宋" w:eastAsia="仿宋" w:hAnsi="仿宋" w:cs="仿宋" w:hint="eastAsia"/>
          <w:kern w:val="0"/>
          <w:sz w:val="32"/>
          <w:szCs w:val="32"/>
          <w:shd w:val="clear" w:color="auto" w:fill="FFFFFF"/>
        </w:rPr>
        <w:t>建设1个市级数据中心，10个（或以上）区县数据交换汇聚中心，市域内学校通过光纤接入教育专网，实现万兆光纤到县，千兆光纤到校，光纤到教室、终端。教育专网互联网出口初始带宽为20G，出口带宽设立动态弹性扩容机制，达到峰值70%以上即实时提升出口带宽。网络设备全面支持IPV6、无线网络支持WIFI6，实现 IPV6 的规模部署及全覆盖。</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市级核心设备基本要求。交换机交换容量≥500T。AC控制器可管理辖区内所有AP（包含根据业务需求合同期内新增AP），实名认证后，用户可实现全区域无线网络设备漫游。</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3.区县骨干网</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bookmarkStart w:id="7" w:name="_Toc29494"/>
      <w:bookmarkEnd w:id="7"/>
      <w:r>
        <w:rPr>
          <w:rFonts w:ascii="仿宋" w:eastAsia="仿宋" w:hAnsi="仿宋" w:cs="仿宋" w:hint="eastAsia"/>
          <w:kern w:val="0"/>
          <w:sz w:val="32"/>
          <w:szCs w:val="32"/>
          <w:shd w:val="clear" w:color="auto" w:fill="FFFFFF"/>
        </w:rPr>
        <w:lastRenderedPageBreak/>
        <w:t>根据地理位置和行政区域划分，全市设立10个及以上区县数据交换汇聚中心，辖区所有入网学校通过光纤连接到区县中心。</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区县数据交换中心设备基本要求。大于900个教室的区县数据交换中心交换机，交换容量不低于100T；小于900个教室的区县数据交换中心交换机，交换容量不低于50T。</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4.校园网络</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完成约1026所学校校园光网建设。学校教师办公室和学生教室等办公、教学场所（含各类功能教室、会议室等）实现有线无线一体化覆盖。满足高峰期的群体并发访问。宽带网络上行及下行带宽可实时运行1G/10G速率，保障教学场景业务流畅运行。</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（1）有线网络。市区及各区县学校网络建设要求光纤到班，实现有线网络教室和办公室、功能教室等合理全覆盖。</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（2）校园无线网络覆盖采用WIFI6标准，可实现与认证系统联动，实现无线网络实名认证、跨校、区漫游等功能。实现教学楼、办公楼等公共区域无线全覆盖,并充分解决大流量、高并发问题。</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（3）通过接入网络，师生可通过PC、移动终端等各类联网设备实现时时、处处网络学习和网络备课。</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（4）利用校内服务器，学校可实现内部多媒体信息交换、视频点播、互动教学等功能。</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（5）校园网网络终端设备具备同时承载触控一体机、校园广播、校园监控、电子班牌、录播、打印机、办公电脑、无线AP等所有IP业务能力。</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（6）可实现校园生活电子化(包括如:</w:t>
      </w:r>
      <w:proofErr w:type="gramStart"/>
      <w:r>
        <w:rPr>
          <w:rFonts w:ascii="仿宋" w:eastAsia="仿宋" w:hAnsi="仿宋" w:cs="仿宋" w:hint="eastAsia"/>
          <w:kern w:val="0"/>
          <w:sz w:val="32"/>
          <w:szCs w:val="32"/>
          <w:shd w:val="clear" w:color="auto" w:fill="FFFFFF"/>
        </w:rPr>
        <w:t>一</w:t>
      </w:r>
      <w:proofErr w:type="gramEnd"/>
      <w:r>
        <w:rPr>
          <w:rFonts w:ascii="仿宋" w:eastAsia="仿宋" w:hAnsi="仿宋" w:cs="仿宋" w:hint="eastAsia"/>
          <w:kern w:val="0"/>
          <w:sz w:val="32"/>
          <w:szCs w:val="32"/>
          <w:shd w:val="clear" w:color="auto" w:fill="FFFFFF"/>
        </w:rPr>
        <w:t>卡通消费,</w:t>
      </w:r>
      <w:proofErr w:type="gramStart"/>
      <w:r>
        <w:rPr>
          <w:rFonts w:ascii="仿宋" w:eastAsia="仿宋" w:hAnsi="仿宋" w:cs="仿宋" w:hint="eastAsia"/>
          <w:kern w:val="0"/>
          <w:sz w:val="32"/>
          <w:szCs w:val="32"/>
          <w:shd w:val="clear" w:color="auto" w:fill="FFFFFF"/>
        </w:rPr>
        <w:t>门禁卡</w:t>
      </w:r>
      <w:proofErr w:type="gramEnd"/>
      <w:r>
        <w:rPr>
          <w:rFonts w:ascii="仿宋" w:eastAsia="仿宋" w:hAnsi="仿宋" w:cs="仿宋" w:hint="eastAsia"/>
          <w:kern w:val="0"/>
          <w:sz w:val="32"/>
          <w:szCs w:val="32"/>
          <w:shd w:val="clear" w:color="auto" w:fill="FFFFFF"/>
        </w:rPr>
        <w:t>等)。</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（7）可实现校级对入网用户管理（包括白名单确认等功能）。</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（8）教室预留四个及以上有线网络接口，满足教学一体机、视频监控、数字语音广播、</w:t>
      </w:r>
      <w:proofErr w:type="gramStart"/>
      <w:r>
        <w:rPr>
          <w:rFonts w:ascii="仿宋" w:eastAsia="仿宋" w:hAnsi="仿宋" w:cs="仿宋" w:hint="eastAsia"/>
          <w:kern w:val="0"/>
          <w:sz w:val="32"/>
          <w:szCs w:val="32"/>
          <w:shd w:val="clear" w:color="auto" w:fill="FFFFFF"/>
        </w:rPr>
        <w:t>班牌等</w:t>
      </w:r>
      <w:proofErr w:type="gramEnd"/>
      <w:r>
        <w:rPr>
          <w:rFonts w:ascii="仿宋" w:eastAsia="仿宋" w:hAnsi="仿宋" w:cs="仿宋" w:hint="eastAsia"/>
          <w:kern w:val="0"/>
          <w:sz w:val="32"/>
          <w:szCs w:val="32"/>
          <w:shd w:val="clear" w:color="auto" w:fill="FFFFFF"/>
        </w:rPr>
        <w:t>终端设备需求。（对有特殊需求的学校可以增加到6个及以上有线网络接口）。</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9）学校网络按照学校教室数量规模分类规划设计，但在实际建设中必须入校实地勘验后一校一案，并根据学校实际信息点数，采用不同档次的设备，既符合学校实际需求又具有足够的冗余量，满足学校日益增加的数字化教学需求。</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（10）学校设备基本要求</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学校教室数少于24个，核心交换机交换容量≥400Gbps；学校教室数少于48大于等于24个</w:t>
      </w:r>
      <w:bookmarkStart w:id="8" w:name="_Toc16564"/>
      <w:r>
        <w:rPr>
          <w:rFonts w:ascii="仿宋" w:eastAsia="仿宋" w:hAnsi="仿宋" w:cs="仿宋" w:hint="eastAsia"/>
          <w:kern w:val="0"/>
          <w:sz w:val="32"/>
          <w:szCs w:val="32"/>
          <w:shd w:val="clear" w:color="auto" w:fill="FFFFFF"/>
        </w:rPr>
        <w:t>，核心交换机交换容量≥800Gbps；学校教室数少于90大于等于48个，核心交换机交换容量≥2Tbps；学校教室数大于等于90个，核心交换机交换容量≥10Tbps，且为框式架构交换机。</w:t>
      </w:r>
      <w:bookmarkEnd w:id="8"/>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无线AP采用企业级AP，教室及办公室等中低</w:t>
      </w:r>
      <w:proofErr w:type="gramStart"/>
      <w:r>
        <w:rPr>
          <w:rFonts w:ascii="仿宋" w:eastAsia="仿宋" w:hAnsi="仿宋" w:cs="仿宋" w:hint="eastAsia"/>
          <w:kern w:val="0"/>
          <w:sz w:val="32"/>
          <w:szCs w:val="32"/>
          <w:shd w:val="clear" w:color="auto" w:fill="FFFFFF"/>
        </w:rPr>
        <w:t>密区域</w:t>
      </w:r>
      <w:proofErr w:type="gramEnd"/>
      <w:r>
        <w:rPr>
          <w:rFonts w:ascii="仿宋" w:eastAsia="仿宋" w:hAnsi="仿宋" w:cs="仿宋" w:hint="eastAsia"/>
          <w:kern w:val="0"/>
          <w:sz w:val="32"/>
          <w:szCs w:val="32"/>
          <w:shd w:val="clear" w:color="auto" w:fill="FFFFFF"/>
        </w:rPr>
        <w:t>AP</w:t>
      </w:r>
      <w:r>
        <w:rPr>
          <w:rFonts w:ascii="仿宋" w:eastAsia="仿宋" w:hAnsi="仿宋" w:cs="仿宋" w:hint="eastAsia"/>
          <w:kern w:val="0"/>
          <w:sz w:val="32"/>
          <w:szCs w:val="32"/>
          <w:shd w:val="clear" w:color="auto" w:fill="FFFFFF"/>
        </w:rPr>
        <w:lastRenderedPageBreak/>
        <w:t>不低于双射频，整机4条空间流；会议室等高密区域AP不低于三射频，整机8条空间流。</w:t>
      </w:r>
    </w:p>
    <w:p w:rsidR="007D4381" w:rsidRDefault="007D4381" w:rsidP="007D4381">
      <w:pPr>
        <w:shd w:val="clear" w:color="auto" w:fill="FFFFFF"/>
        <w:ind w:firstLineChars="200" w:firstLine="640"/>
        <w:contextualSpacing/>
        <w:rPr>
          <w:rFonts w:ascii="黑体" w:eastAsia="黑体" w:hAnsi="黑体" w:cs="仿宋"/>
          <w:kern w:val="0"/>
          <w:sz w:val="32"/>
          <w:szCs w:val="32"/>
          <w:shd w:val="clear" w:color="auto" w:fill="FFFFFF"/>
        </w:rPr>
      </w:pPr>
      <w:r>
        <w:rPr>
          <w:rFonts w:ascii="黑体" w:eastAsia="黑体" w:hAnsi="黑体" w:cs="仿宋" w:hint="eastAsia"/>
          <w:kern w:val="0"/>
          <w:sz w:val="32"/>
          <w:szCs w:val="32"/>
          <w:shd w:val="clear" w:color="auto" w:fill="FFFFFF"/>
        </w:rPr>
        <w:t>智慧教育平台服务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采用“云-网-端”的架构模式。充分运用大数据、</w:t>
      </w:r>
      <w:proofErr w:type="gramStart"/>
      <w:r>
        <w:rPr>
          <w:rFonts w:ascii="仿宋" w:eastAsia="仿宋" w:hAnsi="仿宋" w:cs="仿宋" w:hint="eastAsia"/>
          <w:kern w:val="0"/>
          <w:sz w:val="32"/>
          <w:szCs w:val="32"/>
          <w:shd w:val="clear" w:color="auto" w:fill="FFFFFF"/>
        </w:rPr>
        <w:t>云计算</w:t>
      </w:r>
      <w:proofErr w:type="gramEnd"/>
      <w:r>
        <w:rPr>
          <w:rFonts w:ascii="仿宋" w:eastAsia="仿宋" w:hAnsi="仿宋" w:cs="仿宋" w:hint="eastAsia"/>
          <w:kern w:val="0"/>
          <w:sz w:val="32"/>
          <w:szCs w:val="32"/>
          <w:shd w:val="clear" w:color="auto" w:fill="FFFFFF"/>
        </w:rPr>
        <w:t>和人工智能技术，具有强大的信息和大数据存储、管理和处理能力。实现教育基础信息管理系统、教育用户统一实名认证系统、服务融合接入管理系统、教育内容安全监管系统、多级虚拟平台映射管理等五套基础平台系统建设。实现数据资产采集系统、数据资产管理系统、数据服务支撑系统、数据运维监控系统和数据安全管理系统等大数据平台建设，支持数据运营管理系统、数据建模管理系统、数据</w:t>
      </w:r>
      <w:proofErr w:type="gramStart"/>
      <w:r>
        <w:rPr>
          <w:rFonts w:ascii="仿宋" w:eastAsia="仿宋" w:hAnsi="仿宋" w:cs="仿宋" w:hint="eastAsia"/>
          <w:kern w:val="0"/>
          <w:sz w:val="32"/>
          <w:szCs w:val="32"/>
          <w:shd w:val="clear" w:color="auto" w:fill="FFFFFF"/>
        </w:rPr>
        <w:t>云维护</w:t>
      </w:r>
      <w:proofErr w:type="gramEnd"/>
      <w:r>
        <w:rPr>
          <w:rFonts w:ascii="仿宋" w:eastAsia="仿宋" w:hAnsi="仿宋" w:cs="仿宋" w:hint="eastAsia"/>
          <w:kern w:val="0"/>
          <w:sz w:val="32"/>
          <w:szCs w:val="32"/>
          <w:shd w:val="clear" w:color="auto" w:fill="FFFFFF"/>
        </w:rPr>
        <w:t>支持系统等数据平台建设。以及完成运维配置管理、容器管理、运维监控、运维作业、智能引擎等大平台智能运</w:t>
      </w:r>
      <w:proofErr w:type="gramStart"/>
      <w:r>
        <w:rPr>
          <w:rFonts w:ascii="仿宋" w:eastAsia="仿宋" w:hAnsi="仿宋" w:cs="仿宋" w:hint="eastAsia"/>
          <w:kern w:val="0"/>
          <w:sz w:val="32"/>
          <w:szCs w:val="32"/>
          <w:shd w:val="clear" w:color="auto" w:fill="FFFFFF"/>
        </w:rPr>
        <w:t>维系统</w:t>
      </w:r>
      <w:proofErr w:type="gramEnd"/>
      <w:r>
        <w:rPr>
          <w:rFonts w:ascii="仿宋" w:eastAsia="仿宋" w:hAnsi="仿宋" w:cs="仿宋" w:hint="eastAsia"/>
          <w:kern w:val="0"/>
          <w:sz w:val="32"/>
          <w:szCs w:val="32"/>
          <w:shd w:val="clear" w:color="auto" w:fill="FFFFFF"/>
        </w:rPr>
        <w:t>的建设，构建许昌市统一规划建设、统一数据标准、统一认证服务、统一管理运营、统一应用服务、统一运</w:t>
      </w:r>
      <w:proofErr w:type="gramStart"/>
      <w:r>
        <w:rPr>
          <w:rFonts w:ascii="仿宋" w:eastAsia="仿宋" w:hAnsi="仿宋" w:cs="仿宋" w:hint="eastAsia"/>
          <w:kern w:val="0"/>
          <w:sz w:val="32"/>
          <w:szCs w:val="32"/>
          <w:shd w:val="clear" w:color="auto" w:fill="FFFFFF"/>
        </w:rPr>
        <w:t>维保障</w:t>
      </w:r>
      <w:proofErr w:type="gramEnd"/>
      <w:r>
        <w:rPr>
          <w:rFonts w:ascii="仿宋" w:eastAsia="仿宋" w:hAnsi="仿宋" w:cs="仿宋" w:hint="eastAsia"/>
          <w:kern w:val="0"/>
          <w:sz w:val="32"/>
          <w:szCs w:val="32"/>
          <w:shd w:val="clear" w:color="auto" w:fill="FFFFFF"/>
        </w:rPr>
        <w:t>的安全可控的“互联网+教育”大平台。实现教育资源“一点接入、全体系共享”。平台采用“本地+云”混合部署模式。</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打造许昌市智慧教育平台APP。除提供APP营运管理、APP基础应用，还支持通过APP开放平台制定统一的标准接入规范（H5接入），并实现谁</w:t>
      </w:r>
      <w:proofErr w:type="gramStart"/>
      <w:r>
        <w:rPr>
          <w:rFonts w:ascii="仿宋" w:eastAsia="仿宋" w:hAnsi="仿宋" w:cs="仿宋" w:hint="eastAsia"/>
          <w:kern w:val="0"/>
          <w:sz w:val="32"/>
          <w:szCs w:val="32"/>
          <w:shd w:val="clear" w:color="auto" w:fill="FFFFFF"/>
        </w:rPr>
        <w:t>接入谁</w:t>
      </w:r>
      <w:proofErr w:type="gramEnd"/>
      <w:r>
        <w:rPr>
          <w:rFonts w:ascii="仿宋" w:eastAsia="仿宋" w:hAnsi="仿宋" w:cs="仿宋" w:hint="eastAsia"/>
          <w:kern w:val="0"/>
          <w:sz w:val="32"/>
          <w:szCs w:val="32"/>
          <w:shd w:val="clear" w:color="auto" w:fill="FFFFFF"/>
        </w:rPr>
        <w:t>负责。</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平台内含六项主要业务模块。合同期内，根据业务开展，增添功能模块产生的费用由中标人承担。合同结束后原中标</w:t>
      </w:r>
      <w:r>
        <w:rPr>
          <w:rFonts w:ascii="仿宋" w:eastAsia="仿宋" w:hAnsi="仿宋" w:cs="仿宋" w:hint="eastAsia"/>
          <w:kern w:val="0"/>
          <w:sz w:val="32"/>
          <w:szCs w:val="32"/>
          <w:shd w:val="clear" w:color="auto" w:fill="FFFFFF"/>
        </w:rPr>
        <w:lastRenderedPageBreak/>
        <w:t>人有责任协助教育部门进行数据迁移，保证数据的完整性和安全性，数据迁移产生的费用由新中标人承担。</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1.统一业务管理服务</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（1）统一门户认证</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实现统一的用户注册、身份认证和权限管理服务，实现统一的授权机制及一套方便、安全的口令认证方法，用户只需一次注册登录就可以访问其权限范围内的各应用系统，做到真正意义上的“单点登录”。可</w:t>
      </w:r>
      <w:proofErr w:type="gramStart"/>
      <w:r>
        <w:rPr>
          <w:rFonts w:ascii="仿宋" w:eastAsia="仿宋" w:hAnsi="仿宋" w:cs="仿宋" w:hint="eastAsia"/>
          <w:kern w:val="0"/>
          <w:sz w:val="32"/>
          <w:szCs w:val="32"/>
          <w:shd w:val="clear" w:color="auto" w:fill="FFFFFF"/>
        </w:rPr>
        <w:t>对接省</w:t>
      </w:r>
      <w:proofErr w:type="gramEnd"/>
      <w:r>
        <w:rPr>
          <w:rFonts w:ascii="仿宋" w:eastAsia="仿宋" w:hAnsi="仿宋" w:cs="仿宋" w:hint="eastAsia"/>
          <w:kern w:val="0"/>
          <w:sz w:val="32"/>
          <w:szCs w:val="32"/>
          <w:shd w:val="clear" w:color="auto" w:fill="FFFFFF"/>
        </w:rPr>
        <w:t>平台、国家智慧教育平台，实现同一账号不同平台间漫游。</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（2）统一用户中心</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管理平台可提供教育局、学校、教师、学生和家长等不同用户群体各项基础信息维护的功能，可实现给不同管理者分配不同的管理权限，为各级教育管理机构提供监测管理功能，为创新管理方式、提高服务水平提供有力工具。</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2.数据中心管理服务</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（1）业务开放平台服务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业务开放平台具备平台应用系统内部集成对接能力，以及外部第三</w:t>
      </w:r>
      <w:proofErr w:type="gramStart"/>
      <w:r>
        <w:rPr>
          <w:rFonts w:ascii="仿宋" w:eastAsia="仿宋" w:hAnsi="仿宋" w:cs="仿宋" w:hint="eastAsia"/>
          <w:kern w:val="0"/>
          <w:sz w:val="32"/>
          <w:szCs w:val="32"/>
          <w:shd w:val="clear" w:color="auto" w:fill="FFFFFF"/>
        </w:rPr>
        <w:t>方应用</w:t>
      </w:r>
      <w:proofErr w:type="gramEnd"/>
      <w:r>
        <w:rPr>
          <w:rFonts w:ascii="仿宋" w:eastAsia="仿宋" w:hAnsi="仿宋" w:cs="仿宋" w:hint="eastAsia"/>
          <w:kern w:val="0"/>
          <w:sz w:val="32"/>
          <w:szCs w:val="32"/>
          <w:shd w:val="clear" w:color="auto" w:fill="FFFFFF"/>
        </w:rPr>
        <w:t>业务系统的对接能力，实现与第三方资源平台、应用平台、教与学应用集中管理与鉴权，方便应用快速接入到教育云平台。主要功能应包括数据对接能力、单点登录（统一认证）对接能力和应用展示能力。</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 xml:space="preserve">（2）数据中心管理 </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平台可实现多种标准扩展接口，便于第三</w:t>
      </w:r>
      <w:proofErr w:type="gramStart"/>
      <w:r>
        <w:rPr>
          <w:rFonts w:ascii="仿宋" w:eastAsia="仿宋" w:hAnsi="仿宋" w:cs="仿宋" w:hint="eastAsia"/>
          <w:kern w:val="0"/>
          <w:sz w:val="32"/>
          <w:szCs w:val="32"/>
          <w:shd w:val="clear" w:color="auto" w:fill="FFFFFF"/>
        </w:rPr>
        <w:t>方业务</w:t>
      </w:r>
      <w:proofErr w:type="gramEnd"/>
      <w:r>
        <w:rPr>
          <w:rFonts w:ascii="仿宋" w:eastAsia="仿宋" w:hAnsi="仿宋" w:cs="仿宋" w:hint="eastAsia"/>
          <w:kern w:val="0"/>
          <w:sz w:val="32"/>
          <w:szCs w:val="32"/>
          <w:shd w:val="clear" w:color="auto" w:fill="FFFFFF"/>
        </w:rPr>
        <w:t>应用与许昌智慧教育平台的对接，实现对第三方平台或应用集中管理与鉴权，方便应用快速接入到许昌智慧教育平台。</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3.智慧教学应用服务</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（1）教师应用</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b/>
          <w:bCs/>
          <w:kern w:val="0"/>
          <w:sz w:val="32"/>
          <w:szCs w:val="32"/>
          <w:shd w:val="clear" w:color="auto" w:fill="FFFFFF"/>
        </w:rPr>
        <w:t>①</w:t>
      </w:r>
      <w:r>
        <w:rPr>
          <w:rFonts w:ascii="仿宋" w:eastAsia="仿宋" w:hAnsi="仿宋" w:cs="仿宋" w:hint="eastAsia"/>
          <w:b/>
          <w:bCs/>
          <w:kern w:val="0"/>
          <w:sz w:val="32"/>
          <w:szCs w:val="32"/>
          <w:shd w:val="clear" w:color="auto" w:fill="FFFFFF"/>
        </w:rPr>
        <w:t>AI个性化备课应用服务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可按课时、课型精准推送教学资源授课包（教学资源和工具）。根据应用大数</w:t>
      </w:r>
      <w:proofErr w:type="gramStart"/>
      <w:r>
        <w:rPr>
          <w:rFonts w:ascii="仿宋" w:eastAsia="仿宋" w:hAnsi="仿宋" w:cs="仿宋" w:hint="eastAsia"/>
          <w:kern w:val="0"/>
          <w:sz w:val="32"/>
          <w:szCs w:val="32"/>
          <w:shd w:val="clear" w:color="auto" w:fill="FFFFFF"/>
        </w:rPr>
        <w:t>据实时</w:t>
      </w:r>
      <w:proofErr w:type="gramEnd"/>
      <w:r>
        <w:rPr>
          <w:rFonts w:ascii="仿宋" w:eastAsia="仿宋" w:hAnsi="仿宋" w:cs="仿宋" w:hint="eastAsia"/>
          <w:kern w:val="0"/>
          <w:sz w:val="32"/>
          <w:szCs w:val="32"/>
          <w:shd w:val="clear" w:color="auto" w:fill="FFFFFF"/>
        </w:rPr>
        <w:t>推送“最热、最新”教学资源和工具。</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教学资源授课包涵盖一个课时的各个教学环节，满足教师多种教学场景需求，将“平台资源 + 教师云盘 + 区域教研评优资源 + 本地资源”一站式融合打通，均可一键加入教师教学资源授课包。可实现教学资源一键添加、上传、删除、排序、组卷，个性定制专属授课包。提供与授课教室实现自动同步的功能，在授课时可快速调用备课资源。</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b/>
          <w:bCs/>
          <w:kern w:val="0"/>
          <w:sz w:val="32"/>
          <w:szCs w:val="32"/>
          <w:shd w:val="clear" w:color="auto" w:fill="FFFFFF"/>
        </w:rPr>
        <w:t>②</w:t>
      </w:r>
      <w:r>
        <w:rPr>
          <w:rFonts w:ascii="仿宋" w:eastAsia="仿宋" w:hAnsi="仿宋" w:cs="仿宋" w:hint="eastAsia"/>
          <w:b/>
          <w:bCs/>
          <w:kern w:val="0"/>
          <w:sz w:val="32"/>
          <w:szCs w:val="32"/>
          <w:shd w:val="clear" w:color="auto" w:fill="FFFFFF"/>
        </w:rPr>
        <w:t>课堂授课应用服务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可实现教师备课成果实时同步至课堂，教师授课时可一键调用，提供简便工具与学科配套的专业工具可实现课堂互动式教学。</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b/>
          <w:bCs/>
          <w:kern w:val="0"/>
          <w:sz w:val="32"/>
          <w:szCs w:val="32"/>
          <w:shd w:val="clear" w:color="auto" w:fill="FFFFFF"/>
        </w:rPr>
        <w:t>③</w:t>
      </w:r>
      <w:r>
        <w:rPr>
          <w:rFonts w:ascii="仿宋" w:eastAsia="仿宋" w:hAnsi="仿宋" w:cs="仿宋" w:hint="eastAsia"/>
          <w:b/>
          <w:bCs/>
          <w:kern w:val="0"/>
          <w:sz w:val="32"/>
          <w:szCs w:val="32"/>
          <w:shd w:val="clear" w:color="auto" w:fill="FFFFFF"/>
        </w:rPr>
        <w:t>课后应用服务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可实现与教材目录相匹配的在线题库类资源，以及检测习题和试题试卷资源。提供课后分层习题资源，可实现老师</w:t>
      </w:r>
      <w:r>
        <w:rPr>
          <w:rFonts w:ascii="仿宋" w:eastAsia="仿宋" w:hAnsi="仿宋" w:cs="仿宋" w:hint="eastAsia"/>
          <w:kern w:val="0"/>
          <w:sz w:val="32"/>
          <w:szCs w:val="32"/>
          <w:shd w:val="clear" w:color="auto" w:fill="FFFFFF"/>
        </w:rPr>
        <w:lastRenderedPageBreak/>
        <w:t>按学习小组或学生布置作业，作答结果实现自动批改，学生可自主获取练习报告和错题本，同时提供相关的学习内容，解决学生课堂上知识掌握不牢固、作业辅导等问题。</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针对语言类学科小初语文和小初英语，提供智能听读练习。教师下发练习任务，学生进行同步听说训练，学生成果由AI智能测评，可即时反馈发音情况，纠正发音问题；系统自动统计班级学情（作业完成情况，易错点、用时），为教师教学和学生日常学业评估，素质</w:t>
      </w:r>
      <w:proofErr w:type="gramStart"/>
      <w:r>
        <w:rPr>
          <w:rFonts w:ascii="仿宋" w:eastAsia="仿宋" w:hAnsi="仿宋" w:cs="仿宋" w:hint="eastAsia"/>
          <w:kern w:val="0"/>
          <w:sz w:val="32"/>
          <w:szCs w:val="32"/>
          <w:shd w:val="clear" w:color="auto" w:fill="FFFFFF"/>
        </w:rPr>
        <w:t>评价做</w:t>
      </w:r>
      <w:proofErr w:type="gramEnd"/>
      <w:r>
        <w:rPr>
          <w:rFonts w:ascii="仿宋" w:eastAsia="仿宋" w:hAnsi="仿宋" w:cs="仿宋" w:hint="eastAsia"/>
          <w:kern w:val="0"/>
          <w:sz w:val="32"/>
          <w:szCs w:val="32"/>
          <w:shd w:val="clear" w:color="auto" w:fill="FFFFFF"/>
        </w:rPr>
        <w:t>参考。</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b/>
          <w:bCs/>
          <w:kern w:val="0"/>
          <w:sz w:val="32"/>
          <w:szCs w:val="32"/>
          <w:shd w:val="clear" w:color="auto" w:fill="FFFFFF"/>
        </w:rPr>
        <w:t>④</w:t>
      </w:r>
      <w:proofErr w:type="gramStart"/>
      <w:r>
        <w:rPr>
          <w:rFonts w:ascii="仿宋" w:eastAsia="仿宋" w:hAnsi="仿宋" w:cs="仿宋" w:hint="eastAsia"/>
          <w:b/>
          <w:bCs/>
          <w:kern w:val="0"/>
          <w:sz w:val="32"/>
          <w:szCs w:val="32"/>
          <w:shd w:val="clear" w:color="auto" w:fill="FFFFFF"/>
        </w:rPr>
        <w:t>组卷中心</w:t>
      </w:r>
      <w:proofErr w:type="gramEnd"/>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proofErr w:type="gramStart"/>
      <w:r>
        <w:rPr>
          <w:rFonts w:ascii="仿宋" w:eastAsia="仿宋" w:hAnsi="仿宋" w:cs="仿宋" w:hint="eastAsia"/>
          <w:kern w:val="0"/>
          <w:sz w:val="32"/>
          <w:szCs w:val="32"/>
          <w:shd w:val="clear" w:color="auto" w:fill="FFFFFF"/>
        </w:rPr>
        <w:t>组卷中心</w:t>
      </w:r>
      <w:proofErr w:type="gramEnd"/>
      <w:r>
        <w:rPr>
          <w:rFonts w:ascii="仿宋" w:eastAsia="仿宋" w:hAnsi="仿宋" w:cs="仿宋" w:hint="eastAsia"/>
          <w:kern w:val="0"/>
          <w:sz w:val="32"/>
          <w:szCs w:val="32"/>
          <w:shd w:val="clear" w:color="auto" w:fill="FFFFFF"/>
        </w:rPr>
        <w:t>提供同步挑题、</w:t>
      </w:r>
      <w:proofErr w:type="gramStart"/>
      <w:r>
        <w:rPr>
          <w:rFonts w:ascii="仿宋" w:eastAsia="仿宋" w:hAnsi="仿宋" w:cs="仿宋" w:hint="eastAsia"/>
          <w:kern w:val="0"/>
          <w:sz w:val="32"/>
          <w:szCs w:val="32"/>
          <w:shd w:val="clear" w:color="auto" w:fill="FFFFFF"/>
        </w:rPr>
        <w:t>套卷挑题</w:t>
      </w:r>
      <w:proofErr w:type="gramEnd"/>
      <w:r>
        <w:rPr>
          <w:rFonts w:ascii="仿宋" w:eastAsia="仿宋" w:hAnsi="仿宋" w:cs="仿宋" w:hint="eastAsia"/>
          <w:kern w:val="0"/>
          <w:sz w:val="32"/>
          <w:szCs w:val="32"/>
          <w:shd w:val="clear" w:color="auto" w:fill="FFFFFF"/>
        </w:rPr>
        <w:t>、智能组卷、试题导入、我的套卷，可实现按照教材目录智能匹配练习题、套卷，可实现试卷命名、分值设置。可实现从试题来源、题型、难度、分类、知识点等方面，选择适合课程的试卷。</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b/>
          <w:bCs/>
          <w:kern w:val="0"/>
          <w:sz w:val="32"/>
          <w:szCs w:val="32"/>
          <w:shd w:val="clear" w:color="auto" w:fill="FFFFFF"/>
        </w:rPr>
        <w:t>⑤</w:t>
      </w:r>
      <w:r>
        <w:rPr>
          <w:rFonts w:ascii="仿宋" w:eastAsia="仿宋" w:hAnsi="仿宋" w:cs="仿宋" w:hint="eastAsia"/>
          <w:b/>
          <w:bCs/>
          <w:kern w:val="0"/>
          <w:sz w:val="32"/>
          <w:szCs w:val="32"/>
          <w:shd w:val="clear" w:color="auto" w:fill="FFFFFF"/>
        </w:rPr>
        <w:t>AI</w:t>
      </w:r>
      <w:proofErr w:type="gramStart"/>
      <w:r>
        <w:rPr>
          <w:rFonts w:ascii="仿宋" w:eastAsia="仿宋" w:hAnsi="仿宋" w:cs="仿宋" w:hint="eastAsia"/>
          <w:b/>
          <w:bCs/>
          <w:kern w:val="0"/>
          <w:sz w:val="32"/>
          <w:szCs w:val="32"/>
          <w:shd w:val="clear" w:color="auto" w:fill="FFFFFF"/>
        </w:rPr>
        <w:t>考点学</w:t>
      </w:r>
      <w:proofErr w:type="gramEnd"/>
      <w:r>
        <w:rPr>
          <w:rFonts w:ascii="仿宋" w:eastAsia="仿宋" w:hAnsi="仿宋" w:cs="仿宋" w:hint="eastAsia"/>
          <w:b/>
          <w:bCs/>
          <w:kern w:val="0"/>
          <w:sz w:val="32"/>
          <w:szCs w:val="32"/>
          <w:shd w:val="clear" w:color="auto" w:fill="FFFFFF"/>
        </w:rPr>
        <w:t>情分析</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proofErr w:type="gramStart"/>
      <w:r>
        <w:rPr>
          <w:rFonts w:ascii="仿宋" w:eastAsia="仿宋" w:hAnsi="仿宋" w:cs="仿宋" w:hint="eastAsia"/>
          <w:kern w:val="0"/>
          <w:sz w:val="32"/>
          <w:szCs w:val="32"/>
          <w:shd w:val="clear" w:color="auto" w:fill="FFFFFF"/>
        </w:rPr>
        <w:t>组卷测评</w:t>
      </w:r>
      <w:proofErr w:type="gramEnd"/>
      <w:r>
        <w:rPr>
          <w:rFonts w:ascii="仿宋" w:eastAsia="仿宋" w:hAnsi="仿宋" w:cs="仿宋" w:hint="eastAsia"/>
          <w:kern w:val="0"/>
          <w:sz w:val="32"/>
          <w:szCs w:val="32"/>
          <w:shd w:val="clear" w:color="auto" w:fill="FFFFFF"/>
        </w:rPr>
        <w:t>具备按年级、学期、学科、版本、章节、目录，提供同步课程的考点内容，选择考点及难度，自动生成测评试卷。可实现以练习的方式按班级、小组、学生进行发送，并灵活设置练习名称、发布时间、练习截止时间等。</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可实现学情报告查看，根据测评试卷的测评结果，提供考点整体学情分析报告、班级学情报告和个人学情报告，包括班级学情报告和试卷讲评。为教师有针对性进行教学提供数据支撑。</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lastRenderedPageBreak/>
        <w:t>（2）学生/家长应用</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b/>
          <w:bCs/>
          <w:kern w:val="0"/>
          <w:sz w:val="32"/>
          <w:szCs w:val="32"/>
          <w:shd w:val="clear" w:color="auto" w:fill="FFFFFF"/>
        </w:rPr>
        <w:t>①</w:t>
      </w:r>
      <w:r>
        <w:rPr>
          <w:rFonts w:ascii="仿宋" w:eastAsia="仿宋" w:hAnsi="仿宋" w:cs="仿宋" w:hint="eastAsia"/>
          <w:b/>
          <w:bCs/>
          <w:kern w:val="0"/>
          <w:sz w:val="32"/>
          <w:szCs w:val="32"/>
          <w:shd w:val="clear" w:color="auto" w:fill="FFFFFF"/>
        </w:rPr>
        <w:t>互动消息</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具备通知、消息接收到查看、学校练习任务的消息互动，可实现学生、家长通过PC端、手机端进行图片和文字等形式互动。提供班级互动学习、交流、展示应用，含班级交流圈、班级作品秀等部分。</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b/>
          <w:bCs/>
          <w:kern w:val="0"/>
          <w:sz w:val="32"/>
          <w:szCs w:val="32"/>
          <w:shd w:val="clear" w:color="auto" w:fill="FFFFFF"/>
        </w:rPr>
        <w:t>②</w:t>
      </w:r>
      <w:r>
        <w:rPr>
          <w:rFonts w:ascii="仿宋" w:eastAsia="仿宋" w:hAnsi="仿宋" w:cs="仿宋" w:hint="eastAsia"/>
          <w:b/>
          <w:bCs/>
          <w:kern w:val="0"/>
          <w:sz w:val="32"/>
          <w:szCs w:val="32"/>
          <w:shd w:val="clear" w:color="auto" w:fill="FFFFFF"/>
        </w:rPr>
        <w:t>智能练习</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提供日常练习、自定义练习、同步考点练习任务的在线作答、提交与反馈，巩固课堂学习内容。</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b/>
          <w:bCs/>
          <w:kern w:val="0"/>
          <w:sz w:val="32"/>
          <w:szCs w:val="32"/>
          <w:shd w:val="clear" w:color="auto" w:fill="FFFFFF"/>
        </w:rPr>
        <w:t>③</w:t>
      </w:r>
      <w:r>
        <w:rPr>
          <w:rFonts w:ascii="仿宋" w:eastAsia="仿宋" w:hAnsi="仿宋" w:cs="仿宋" w:hint="eastAsia"/>
          <w:b/>
          <w:bCs/>
          <w:kern w:val="0"/>
          <w:sz w:val="32"/>
          <w:szCs w:val="32"/>
          <w:shd w:val="clear" w:color="auto" w:fill="FFFFFF"/>
        </w:rPr>
        <w:t>本地特色课程学习</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需实现校级、区级、市级本地特色课程内容的学习。具备为学生提供本地网络化的学习资源展示功能，需具备按课程表和同步教材目录两种课程展示方式进行学习。具备视频、图片、文档、音频等多种格式的课程资源学习，满足学生学习各种丰富课程内容。</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b/>
          <w:bCs/>
          <w:kern w:val="0"/>
          <w:sz w:val="32"/>
          <w:szCs w:val="32"/>
          <w:shd w:val="clear" w:color="auto" w:fill="FFFFFF"/>
        </w:rPr>
        <w:t>④</w:t>
      </w:r>
      <w:r>
        <w:rPr>
          <w:rFonts w:ascii="仿宋" w:eastAsia="仿宋" w:hAnsi="仿宋" w:cs="仿宋" w:hint="eastAsia"/>
          <w:b/>
          <w:bCs/>
          <w:kern w:val="0"/>
          <w:sz w:val="32"/>
          <w:szCs w:val="32"/>
          <w:shd w:val="clear" w:color="auto" w:fill="FFFFFF"/>
        </w:rPr>
        <w:t>自主学习</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同步课程学习：所有同步内容与同步教材版本保持一致，满足课程版本与课程章节的灵活设置。可基于课程环节进行课程学习与练习，学习过程中需满足及时进行在线检测的要求。</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（3）管理应用</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提供市级、区县、校级管理应用服务，可实现教育局机</w:t>
      </w:r>
      <w:r>
        <w:rPr>
          <w:rFonts w:ascii="仿宋" w:eastAsia="仿宋" w:hAnsi="仿宋" w:cs="仿宋" w:hint="eastAsia"/>
          <w:kern w:val="0"/>
          <w:sz w:val="32"/>
          <w:szCs w:val="32"/>
          <w:shd w:val="clear" w:color="auto" w:fill="FFFFFF"/>
        </w:rPr>
        <w:lastRenderedPageBreak/>
        <w:t>构下的教研管理者、电教管理者；学校单位下的校长、学科组长、电教管理者角色的管理应用。</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4.智慧</w:t>
      </w:r>
      <w:proofErr w:type="gramStart"/>
      <w:r>
        <w:rPr>
          <w:rFonts w:ascii="仿宋" w:eastAsia="仿宋" w:hAnsi="仿宋" w:cs="仿宋" w:hint="eastAsia"/>
          <w:kern w:val="0"/>
          <w:sz w:val="32"/>
          <w:szCs w:val="32"/>
          <w:shd w:val="clear" w:color="auto" w:fill="FFFFFF"/>
        </w:rPr>
        <w:t>研训应用</w:t>
      </w:r>
      <w:proofErr w:type="gramEnd"/>
      <w:r>
        <w:rPr>
          <w:rFonts w:ascii="仿宋" w:eastAsia="仿宋" w:hAnsi="仿宋" w:cs="仿宋" w:hint="eastAsia"/>
          <w:kern w:val="0"/>
          <w:sz w:val="32"/>
          <w:szCs w:val="32"/>
          <w:shd w:val="clear" w:color="auto" w:fill="FFFFFF"/>
        </w:rPr>
        <w:t>服务</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（1）教师网上协同教研应用服务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提供网络教研系统，可实现市/区县教育局相关科室、学校教研组通过网络教研平台线上开展各类学科教研成果评比活动及网络集体备课活动。</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教师评课：可实现学科类教研活动的成果上传、分级审核、评委线上评分、评分结果智能统计、优秀教研成果展示；可实现教研成果同步共享至校本/区本/市本资源。</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集体备课：具备网络集体备课的组织实施，备课范围可实现校级备课、区级备课、市级备课。</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（2）教师信息应用技能提升服务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为教师提供线下的教育信息应用技术培训，可实现按市级、区级和校级开展教育培训和信息化应用技术提升现场活动，具备开展相关培训、评测能力。</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（3）线上直播教学功能</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可实现县、市、</w:t>
      </w:r>
      <w:proofErr w:type="gramStart"/>
      <w:r>
        <w:rPr>
          <w:rFonts w:ascii="仿宋" w:eastAsia="仿宋" w:hAnsi="仿宋" w:cs="仿宋" w:hint="eastAsia"/>
          <w:kern w:val="0"/>
          <w:sz w:val="32"/>
          <w:szCs w:val="32"/>
          <w:shd w:val="clear" w:color="auto" w:fill="FFFFFF"/>
        </w:rPr>
        <w:t>校线上</w:t>
      </w:r>
      <w:proofErr w:type="gramEnd"/>
      <w:r>
        <w:rPr>
          <w:rFonts w:ascii="仿宋" w:eastAsia="仿宋" w:hAnsi="仿宋" w:cs="仿宋" w:hint="eastAsia"/>
          <w:kern w:val="0"/>
          <w:sz w:val="32"/>
          <w:szCs w:val="32"/>
          <w:shd w:val="clear" w:color="auto" w:fill="FFFFFF"/>
        </w:rPr>
        <w:t>远程培训，名师专题讲座，集体教研在线研讨等功能。</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5.本地资源建设应用服务</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（1）本地数字资源建设及整合服务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可实现根据本地教情、学情特点建立校本资源库、区本</w:t>
      </w:r>
      <w:r>
        <w:rPr>
          <w:rFonts w:ascii="仿宋" w:eastAsia="仿宋" w:hAnsi="仿宋" w:cs="仿宋" w:hint="eastAsia"/>
          <w:kern w:val="0"/>
          <w:sz w:val="32"/>
          <w:szCs w:val="32"/>
          <w:shd w:val="clear" w:color="auto" w:fill="FFFFFF"/>
        </w:rPr>
        <w:lastRenderedPageBreak/>
        <w:t>资源库、市</w:t>
      </w:r>
      <w:proofErr w:type="gramStart"/>
      <w:r>
        <w:rPr>
          <w:rFonts w:ascii="仿宋" w:eastAsia="仿宋" w:hAnsi="仿宋" w:cs="仿宋" w:hint="eastAsia"/>
          <w:kern w:val="0"/>
          <w:sz w:val="32"/>
          <w:szCs w:val="32"/>
          <w:shd w:val="clear" w:color="auto" w:fill="FFFFFF"/>
        </w:rPr>
        <w:t>本资源</w:t>
      </w:r>
      <w:proofErr w:type="gramEnd"/>
      <w:r>
        <w:rPr>
          <w:rFonts w:ascii="仿宋" w:eastAsia="仿宋" w:hAnsi="仿宋" w:cs="仿宋" w:hint="eastAsia"/>
          <w:kern w:val="0"/>
          <w:sz w:val="32"/>
          <w:szCs w:val="32"/>
          <w:shd w:val="clear" w:color="auto" w:fill="FFFFFF"/>
        </w:rPr>
        <w:t>库，满足市教育局/区县教育局/学校及教师、学生的共享应用；可实现本地数字资源建设情况数据</w:t>
      </w:r>
      <w:proofErr w:type="gramStart"/>
      <w:r>
        <w:rPr>
          <w:rFonts w:ascii="仿宋" w:eastAsia="仿宋" w:hAnsi="仿宋" w:cs="仿宋" w:hint="eastAsia"/>
          <w:kern w:val="0"/>
          <w:sz w:val="32"/>
          <w:szCs w:val="32"/>
          <w:shd w:val="clear" w:color="auto" w:fill="FFFFFF"/>
        </w:rPr>
        <w:t>化统计</w:t>
      </w:r>
      <w:proofErr w:type="gramEnd"/>
      <w:r>
        <w:rPr>
          <w:rFonts w:ascii="仿宋" w:eastAsia="仿宋" w:hAnsi="仿宋" w:cs="仿宋" w:hint="eastAsia"/>
          <w:kern w:val="0"/>
          <w:sz w:val="32"/>
          <w:szCs w:val="32"/>
          <w:shd w:val="clear" w:color="auto" w:fill="FFFFFF"/>
        </w:rPr>
        <w:t>展示；可实现同步教材目录建设及个性化资源目录建设（目录能够便捷移动、复制、排序等）；可实现各级本地资源按照子目录选择性的开放给学生进行学习，用于市/区县/校级</w:t>
      </w:r>
      <w:proofErr w:type="gramStart"/>
      <w:r>
        <w:rPr>
          <w:rFonts w:ascii="仿宋" w:eastAsia="仿宋" w:hAnsi="仿宋" w:cs="仿宋" w:hint="eastAsia"/>
          <w:kern w:val="0"/>
          <w:sz w:val="32"/>
          <w:szCs w:val="32"/>
          <w:shd w:val="clear" w:color="auto" w:fill="FFFFFF"/>
        </w:rPr>
        <w:t>学生公益</w:t>
      </w:r>
      <w:proofErr w:type="gramEnd"/>
      <w:r>
        <w:rPr>
          <w:rFonts w:ascii="仿宋" w:eastAsia="仿宋" w:hAnsi="仿宋" w:cs="仿宋" w:hint="eastAsia"/>
          <w:kern w:val="0"/>
          <w:sz w:val="32"/>
          <w:szCs w:val="32"/>
          <w:shd w:val="clear" w:color="auto" w:fill="FFFFFF"/>
        </w:rPr>
        <w:t>课建设应用场景；可实现通过“集体备课、在线评课等学科教研类评选活动”评选出的优秀成果，沉淀至校本资源、区本资源、市本资源，有效融入云平台智慧教育大资源体系中。</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（2）本地双减课堂应用服务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提供双减课堂应用系统，可实现本地同步课程或专项课程上传、课程审核、学生课表管理、排课管理、课表发布、催交任务、学生学习数据统计等服务，应用于市/区县/</w:t>
      </w:r>
      <w:proofErr w:type="gramStart"/>
      <w:r>
        <w:rPr>
          <w:rFonts w:ascii="仿宋" w:eastAsia="仿宋" w:hAnsi="仿宋" w:cs="仿宋" w:hint="eastAsia"/>
          <w:kern w:val="0"/>
          <w:sz w:val="32"/>
          <w:szCs w:val="32"/>
          <w:shd w:val="clear" w:color="auto" w:fill="FFFFFF"/>
        </w:rPr>
        <w:t>学校本地</w:t>
      </w:r>
      <w:proofErr w:type="gramEnd"/>
      <w:r>
        <w:rPr>
          <w:rFonts w:ascii="仿宋" w:eastAsia="仿宋" w:hAnsi="仿宋" w:cs="仿宋" w:hint="eastAsia"/>
          <w:kern w:val="0"/>
          <w:sz w:val="32"/>
          <w:szCs w:val="32"/>
          <w:shd w:val="clear" w:color="auto" w:fill="FFFFFF"/>
        </w:rPr>
        <w:t>序时学习课堂、网络云课堂或在线课堂建设及学生学习。</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本地双减课堂可实现学生通过PC端和手机端进行在线课程学习，可实现课表和课程列表两种方式展示，课程内容支撑多级分类展示。</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6.数字化特色教学资源体系应用服务</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（1）学科特色资源</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根据学科教学特点，以教育学、心理学、脑科学相关理论为基础，把学科知识体系、学生认知体系和AI智能体系</w:t>
      </w:r>
      <w:r>
        <w:rPr>
          <w:rFonts w:ascii="仿宋" w:eastAsia="仿宋" w:hAnsi="仿宋" w:cs="仿宋" w:hint="eastAsia"/>
          <w:kern w:val="0"/>
          <w:sz w:val="32"/>
          <w:szCs w:val="32"/>
          <w:shd w:val="clear" w:color="auto" w:fill="FFFFFF"/>
        </w:rPr>
        <w:lastRenderedPageBreak/>
        <w:t>相结合，提供学科特色应用产品。如小学语文学拼音、生字、古文诗词、单元知识体系导图，小学数学思维可视化、例题精讲，小学英语单词卡、听力训练，小学科学仿真实验等。初中语文古文诗词、必备知识点课件，初中数学新知讲解、提升微课，初中英语听力训练、单词听写，初中化学</w:t>
      </w:r>
      <w:proofErr w:type="gramStart"/>
      <w:r>
        <w:rPr>
          <w:rFonts w:ascii="仿宋" w:eastAsia="仿宋" w:hAnsi="仿宋" w:cs="仿宋" w:hint="eastAsia"/>
          <w:kern w:val="0"/>
          <w:sz w:val="32"/>
          <w:szCs w:val="32"/>
          <w:shd w:val="clear" w:color="auto" w:fill="FFFFFF"/>
        </w:rPr>
        <w:t>知识点微课</w:t>
      </w:r>
      <w:proofErr w:type="gramEnd"/>
      <w:r>
        <w:rPr>
          <w:rFonts w:ascii="仿宋" w:eastAsia="仿宋" w:hAnsi="仿宋" w:cs="仿宋" w:hint="eastAsia"/>
          <w:kern w:val="0"/>
          <w:sz w:val="32"/>
          <w:szCs w:val="32"/>
          <w:shd w:val="clear" w:color="auto" w:fill="FFFFFF"/>
        </w:rPr>
        <w:t>，初中生物仿真实验，初中物理演示实验等。高中语文特色教学课件，高中数学原创名师课件，高中英语单词听写、词汇精讲，高中地理游戏课件等。</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（2）人工智能（创客）教育</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proofErr w:type="gramStart"/>
      <w:r>
        <w:rPr>
          <w:rFonts w:ascii="仿宋" w:eastAsia="仿宋" w:hAnsi="仿宋" w:cs="仿宋" w:hint="eastAsia"/>
          <w:kern w:val="0"/>
          <w:sz w:val="32"/>
          <w:szCs w:val="32"/>
          <w:shd w:val="clear" w:color="auto" w:fill="FFFFFF"/>
        </w:rPr>
        <w:t>人工智能创客管理</w:t>
      </w:r>
      <w:proofErr w:type="gramEnd"/>
      <w:r>
        <w:rPr>
          <w:rFonts w:ascii="仿宋" w:eastAsia="仿宋" w:hAnsi="仿宋" w:cs="仿宋" w:hint="eastAsia"/>
          <w:kern w:val="0"/>
          <w:sz w:val="32"/>
          <w:szCs w:val="32"/>
          <w:shd w:val="clear" w:color="auto" w:fill="FFFFFF"/>
        </w:rPr>
        <w:t>模块。可实现不同层级管理员分层管理权限，即区域管理员可以管理创建区域内的学校</w:t>
      </w:r>
      <w:proofErr w:type="gramStart"/>
      <w:r>
        <w:rPr>
          <w:rFonts w:ascii="仿宋" w:eastAsia="仿宋" w:hAnsi="仿宋" w:cs="仿宋" w:hint="eastAsia"/>
          <w:kern w:val="0"/>
          <w:sz w:val="32"/>
          <w:szCs w:val="32"/>
          <w:shd w:val="clear" w:color="auto" w:fill="FFFFFF"/>
        </w:rPr>
        <w:t>帐号</w:t>
      </w:r>
      <w:proofErr w:type="gramEnd"/>
      <w:r>
        <w:rPr>
          <w:rFonts w:ascii="仿宋" w:eastAsia="仿宋" w:hAnsi="仿宋" w:cs="仿宋" w:hint="eastAsia"/>
          <w:kern w:val="0"/>
          <w:sz w:val="32"/>
          <w:szCs w:val="32"/>
          <w:shd w:val="clear" w:color="auto" w:fill="FFFFFF"/>
        </w:rPr>
        <w:t>权限，可以查看区域内课程的所有资源，可实现为各学校开通课程使用权限；校级平台可实现多种学校用户权限管理。学生可自主申请账号，班主任审核即可完成账号设置。</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人工智能（创客）课程资源。根据许昌人工（创客）教育发展，配套完善小学、初中、高中三个阶段的数字课程资源。</w:t>
      </w:r>
    </w:p>
    <w:p w:rsidR="007D4381" w:rsidRDefault="007D4381" w:rsidP="007D4381">
      <w:pPr>
        <w:shd w:val="clear" w:color="auto" w:fill="FFFFFF"/>
        <w:ind w:firstLineChars="200" w:firstLine="640"/>
        <w:contextualSpacing/>
        <w:rPr>
          <w:rFonts w:ascii="黑体" w:eastAsia="黑体" w:hAnsi="黑体"/>
          <w:kern w:val="0"/>
          <w:sz w:val="32"/>
          <w:szCs w:val="32"/>
          <w:shd w:val="clear" w:color="auto" w:fill="FFFFFF"/>
        </w:rPr>
      </w:pPr>
      <w:bookmarkStart w:id="9" w:name="_Toc14499"/>
      <w:bookmarkEnd w:id="9"/>
      <w:r>
        <w:rPr>
          <w:rFonts w:ascii="黑体" w:eastAsia="黑体" w:hAnsi="黑体" w:cs="黑体" w:hint="eastAsia"/>
          <w:kern w:val="0"/>
          <w:sz w:val="32"/>
          <w:szCs w:val="32"/>
          <w:shd w:val="clear" w:color="auto" w:fill="FFFFFF"/>
        </w:rPr>
        <w:t>网络与信息安全保障服务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教育专网建设整体安全要符合《网络安全法》要求，包括但不局限于网络系统运营日志保存、上网行为分析、出口入侵防御、防病毒、终端准入、数据备份回复、主动安全态势感知等，网络安全防护能力达到网络安全</w:t>
      </w:r>
      <w:proofErr w:type="gramStart"/>
      <w:r>
        <w:rPr>
          <w:rFonts w:ascii="仿宋" w:eastAsia="仿宋" w:hAnsi="仿宋" w:cs="仿宋" w:hint="eastAsia"/>
          <w:kern w:val="0"/>
          <w:sz w:val="32"/>
          <w:szCs w:val="32"/>
          <w:shd w:val="clear" w:color="auto" w:fill="FFFFFF"/>
        </w:rPr>
        <w:t>二级等保要求</w:t>
      </w:r>
      <w:proofErr w:type="gramEnd"/>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lastRenderedPageBreak/>
        <w:t>能对师生的上网行为进行监控和管理，保证学生只能访问白名单中的网站并且屏蔽游戏，色情，购物等和学习无关的网络访问业务。校内个人隐私信息采用加密存储方式存储。全网设置信息安全管控中心管理系统，对敏感数据与信息安全相关网络出入口进行安全管控，安全中心指标做到100%敏感信息网络无泄漏。提供黑白名单、上网访问时间</w:t>
      </w:r>
      <w:proofErr w:type="gramStart"/>
      <w:r>
        <w:rPr>
          <w:rFonts w:ascii="仿宋" w:eastAsia="仿宋" w:hAnsi="仿宋" w:cs="仿宋" w:hint="eastAsia"/>
          <w:kern w:val="0"/>
          <w:sz w:val="32"/>
          <w:szCs w:val="32"/>
          <w:shd w:val="clear" w:color="auto" w:fill="FFFFFF"/>
        </w:rPr>
        <w:t>段控制</w:t>
      </w:r>
      <w:proofErr w:type="gramEnd"/>
      <w:r>
        <w:rPr>
          <w:rFonts w:ascii="仿宋" w:eastAsia="仿宋" w:hAnsi="仿宋" w:cs="仿宋" w:hint="eastAsia"/>
          <w:kern w:val="0"/>
          <w:sz w:val="32"/>
          <w:szCs w:val="32"/>
          <w:shd w:val="clear" w:color="auto" w:fill="FFFFFF"/>
        </w:rPr>
        <w:t>等基础的上网行为管理，可提供对访问特定网站、特定资源的主机实现溯源。</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1.上网行为分析及溯源</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可实现本地认证、第三方认证服务器认证、</w:t>
      </w:r>
      <w:proofErr w:type="gramStart"/>
      <w:r>
        <w:rPr>
          <w:rFonts w:ascii="仿宋" w:eastAsia="仿宋" w:hAnsi="仿宋" w:cs="仿宋" w:hint="eastAsia"/>
          <w:kern w:val="0"/>
          <w:sz w:val="32"/>
          <w:szCs w:val="32"/>
          <w:shd w:val="clear" w:color="auto" w:fill="FFFFFF"/>
        </w:rPr>
        <w:t>微信认证</w:t>
      </w:r>
      <w:proofErr w:type="gramEnd"/>
      <w:r>
        <w:rPr>
          <w:rFonts w:ascii="仿宋" w:eastAsia="仿宋" w:hAnsi="仿宋" w:cs="仿宋" w:hint="eastAsia"/>
          <w:kern w:val="0"/>
          <w:sz w:val="32"/>
          <w:szCs w:val="32"/>
          <w:shd w:val="clear" w:color="auto" w:fill="FFFFFF"/>
        </w:rPr>
        <w:t>、短信认证、Portal认证、APP认证和混合认证等多种用户识别手段,将各类用户上网行为定位到“人”。学校计算教室终端计算机采用无感知的认证方式入网。可实现主流入侵攻击和病毒的检测和防御并保证每周更新特征库。可实现网络私接行为识别和管理，可自定义设置PC终端和移动终端的接入数量阀值，有效保障网络安全接入。</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2.边界安全防护</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具备攻击防范功能，可实现：Land、IP Spoofing、IP分片报文、ARP欺骗、ARP主动反向查询、TCP报文标志位不合法、超大ICMP报文、地址扫描、端口扫描等攻击防范，还应具备</w:t>
      </w:r>
      <w:proofErr w:type="spellStart"/>
      <w:r>
        <w:rPr>
          <w:rFonts w:ascii="仿宋" w:eastAsia="仿宋" w:hAnsi="仿宋" w:cs="仿宋" w:hint="eastAsia"/>
          <w:kern w:val="0"/>
          <w:sz w:val="32"/>
          <w:szCs w:val="32"/>
          <w:shd w:val="clear" w:color="auto" w:fill="FFFFFF"/>
        </w:rPr>
        <w:t>DDoS</w:t>
      </w:r>
      <w:proofErr w:type="spellEnd"/>
      <w:r>
        <w:rPr>
          <w:rFonts w:ascii="仿宋" w:eastAsia="仿宋" w:hAnsi="仿宋" w:cs="仿宋" w:hint="eastAsia"/>
          <w:kern w:val="0"/>
          <w:sz w:val="32"/>
          <w:szCs w:val="32"/>
          <w:shd w:val="clear" w:color="auto" w:fill="FFFFFF"/>
        </w:rPr>
        <w:t>攻击的检测防御能力。</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bookmarkStart w:id="10" w:name="_Toc24586"/>
      <w:bookmarkEnd w:id="10"/>
      <w:r>
        <w:rPr>
          <w:rFonts w:ascii="仿宋" w:eastAsia="仿宋" w:hAnsi="仿宋" w:cs="仿宋" w:hint="eastAsia"/>
          <w:b/>
          <w:bCs/>
          <w:kern w:val="0"/>
          <w:sz w:val="32"/>
          <w:szCs w:val="32"/>
          <w:shd w:val="clear" w:color="auto" w:fill="FFFFFF"/>
        </w:rPr>
        <w:t>3.信息数据安全</w:t>
      </w:r>
    </w:p>
    <w:p w:rsidR="007D4381" w:rsidRP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sidRPr="007D4381">
        <w:rPr>
          <w:rFonts w:ascii="仿宋" w:eastAsia="仿宋" w:hAnsi="仿宋" w:cs="仿宋" w:hint="eastAsia"/>
          <w:kern w:val="0"/>
          <w:sz w:val="32"/>
          <w:szCs w:val="32"/>
          <w:shd w:val="clear" w:color="auto" w:fill="FFFFFF"/>
        </w:rPr>
        <w:lastRenderedPageBreak/>
        <w:t>重要数据可实现实施备份及灾后恢复，师生等个人用户信息数据安全保密。</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4.硬件设备要求</w:t>
      </w:r>
    </w:p>
    <w:p w:rsidR="007D4381" w:rsidRP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sidRPr="007D4381">
        <w:rPr>
          <w:rFonts w:ascii="仿宋" w:eastAsia="仿宋" w:hAnsi="仿宋" w:cs="仿宋" w:hint="eastAsia"/>
          <w:kern w:val="0"/>
          <w:sz w:val="32"/>
          <w:szCs w:val="32"/>
          <w:shd w:val="clear" w:color="auto" w:fill="FFFFFF"/>
        </w:rPr>
        <w:t>（1）防火墙设备。单台防火墙吞吐量≥50G。</w:t>
      </w:r>
    </w:p>
    <w:p w:rsidR="007D4381" w:rsidRP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sidRPr="007D4381">
        <w:rPr>
          <w:rFonts w:ascii="仿宋" w:eastAsia="仿宋" w:hAnsi="仿宋" w:cs="仿宋" w:hint="eastAsia"/>
          <w:kern w:val="0"/>
          <w:sz w:val="32"/>
          <w:szCs w:val="32"/>
          <w:shd w:val="clear" w:color="auto" w:fill="FFFFFF"/>
        </w:rPr>
        <w:t>（2）用户实名认证系统。系统容纳用户数不低于10万，授权用户数不低于6万。根据应用需求和用户量增加，中标人须无条件及时扩容。</w:t>
      </w:r>
    </w:p>
    <w:p w:rsidR="007D4381" w:rsidRP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sidRPr="007D4381">
        <w:rPr>
          <w:rFonts w:ascii="仿宋" w:eastAsia="仿宋" w:hAnsi="仿宋" w:cs="仿宋" w:hint="eastAsia"/>
          <w:kern w:val="0"/>
          <w:sz w:val="32"/>
          <w:szCs w:val="32"/>
          <w:shd w:val="clear" w:color="auto" w:fill="FFFFFF"/>
        </w:rPr>
        <w:t>（3）上网行为管理及日志审计系统设备。设备可采取集中部署市级核心或灵活部署到县区数据交换中心（甚至超大规模学校），实现用户实名上网行为分析及溯源的市、县分级管理。用户上网行为日志存储能力不低于180天。</w:t>
      </w:r>
    </w:p>
    <w:p w:rsidR="007D4381" w:rsidRP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sidRPr="007D4381">
        <w:rPr>
          <w:rFonts w:ascii="仿宋" w:eastAsia="仿宋" w:hAnsi="仿宋" w:cs="仿宋" w:hint="eastAsia"/>
          <w:kern w:val="0"/>
          <w:sz w:val="32"/>
          <w:szCs w:val="32"/>
          <w:shd w:val="clear" w:color="auto" w:fill="FFFFFF"/>
        </w:rPr>
        <w:t>（4）态势安全感知系统主动探知能力不低于教育专网互联网出口峰值带宽，并随出口带宽调整中标人无条件及时扩容。</w:t>
      </w:r>
    </w:p>
    <w:p w:rsidR="007D4381" w:rsidRDefault="007D4381" w:rsidP="007D4381">
      <w:pPr>
        <w:shd w:val="clear" w:color="auto" w:fill="FFFFFF"/>
        <w:ind w:firstLineChars="200" w:firstLine="640"/>
        <w:contextualSpacing/>
        <w:rPr>
          <w:rFonts w:ascii="黑体" w:eastAsia="黑体" w:hAnsi="黑体"/>
          <w:kern w:val="0"/>
          <w:sz w:val="32"/>
          <w:szCs w:val="32"/>
          <w:shd w:val="clear" w:color="auto" w:fill="FFFFFF"/>
        </w:rPr>
      </w:pPr>
      <w:bookmarkStart w:id="11" w:name="_Toc6551"/>
      <w:bookmarkEnd w:id="11"/>
      <w:r>
        <w:rPr>
          <w:rFonts w:ascii="黑体" w:eastAsia="黑体" w:hAnsi="黑体" w:cs="黑体" w:hint="eastAsia"/>
          <w:kern w:val="0"/>
          <w:sz w:val="32"/>
          <w:szCs w:val="32"/>
          <w:shd w:val="clear" w:color="auto" w:fill="FFFFFF"/>
        </w:rPr>
        <w:t>运维与服务</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中标运营商作为运维与服务主体保障全市日常教学工作平稳安全运行，保证超过99%的时间，超过99%的用户可以正常接入网络。保障日常教学的安全稳定。可视化网络管理平台，达到网络统一可视化管理、故障自愈、自动调优等，并结合管理需求建设相应的账号、权限分配机制。</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1.运</w:t>
      </w:r>
      <w:proofErr w:type="gramStart"/>
      <w:r>
        <w:rPr>
          <w:rFonts w:ascii="仿宋" w:eastAsia="仿宋" w:hAnsi="仿宋" w:cs="仿宋" w:hint="eastAsia"/>
          <w:b/>
          <w:bCs/>
          <w:kern w:val="0"/>
          <w:sz w:val="32"/>
          <w:szCs w:val="32"/>
          <w:shd w:val="clear" w:color="auto" w:fill="FFFFFF"/>
        </w:rPr>
        <w:t>维人员</w:t>
      </w:r>
      <w:proofErr w:type="gramEnd"/>
      <w:r>
        <w:rPr>
          <w:rFonts w:ascii="仿宋" w:eastAsia="仿宋" w:hAnsi="仿宋" w:cs="仿宋" w:hint="eastAsia"/>
          <w:b/>
          <w:bCs/>
          <w:kern w:val="0"/>
          <w:sz w:val="32"/>
          <w:szCs w:val="32"/>
          <w:shd w:val="clear" w:color="auto" w:fill="FFFFFF"/>
        </w:rPr>
        <w:t>配置和故障响应时间</w:t>
      </w:r>
    </w:p>
    <w:tbl>
      <w:tblPr>
        <w:tblW w:w="936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2"/>
        <w:gridCol w:w="2917"/>
        <w:gridCol w:w="2114"/>
      </w:tblGrid>
      <w:tr w:rsidR="007D4381" w:rsidTr="00617FBE">
        <w:trPr>
          <w:trHeight w:val="225"/>
        </w:trPr>
        <w:tc>
          <w:tcPr>
            <w:tcW w:w="4332" w:type="dxa"/>
          </w:tcPr>
          <w:p w:rsidR="007D4381" w:rsidRDefault="007D4381" w:rsidP="00617FBE">
            <w:pPr>
              <w:widowControl/>
              <w:spacing w:line="360" w:lineRule="auto"/>
              <w:contextualSpacing/>
              <w:jc w:val="center"/>
              <w:rPr>
                <w:rFonts w:ascii="黑体" w:eastAsia="黑体" w:hAnsi="黑体"/>
                <w:bCs/>
                <w:kern w:val="0"/>
                <w:sz w:val="28"/>
                <w:szCs w:val="28"/>
                <w:shd w:val="clear" w:color="auto" w:fill="FFFFFF"/>
              </w:rPr>
            </w:pPr>
            <w:r>
              <w:rPr>
                <w:rFonts w:ascii="黑体" w:eastAsia="黑体" w:hAnsi="黑体" w:cs="黑体" w:hint="eastAsia"/>
                <w:bCs/>
                <w:kern w:val="0"/>
                <w:sz w:val="28"/>
                <w:szCs w:val="28"/>
                <w:shd w:val="clear" w:color="auto" w:fill="FFFFFF"/>
              </w:rPr>
              <w:lastRenderedPageBreak/>
              <w:t>故障级别</w:t>
            </w:r>
          </w:p>
        </w:tc>
        <w:tc>
          <w:tcPr>
            <w:tcW w:w="2917" w:type="dxa"/>
          </w:tcPr>
          <w:p w:rsidR="007D4381" w:rsidRDefault="007D4381" w:rsidP="00617FBE">
            <w:pPr>
              <w:widowControl/>
              <w:spacing w:line="360" w:lineRule="auto"/>
              <w:contextualSpacing/>
              <w:jc w:val="center"/>
              <w:rPr>
                <w:rFonts w:ascii="黑体" w:eastAsia="黑体" w:hAnsi="黑体"/>
                <w:bCs/>
                <w:kern w:val="0"/>
                <w:sz w:val="28"/>
                <w:szCs w:val="28"/>
                <w:shd w:val="clear" w:color="auto" w:fill="FFFFFF"/>
              </w:rPr>
            </w:pPr>
            <w:r>
              <w:rPr>
                <w:rFonts w:ascii="黑体" w:eastAsia="黑体" w:hAnsi="黑体" w:cs="黑体" w:hint="eastAsia"/>
                <w:bCs/>
                <w:kern w:val="0"/>
                <w:sz w:val="28"/>
                <w:szCs w:val="28"/>
                <w:shd w:val="clear" w:color="auto" w:fill="FFFFFF"/>
              </w:rPr>
              <w:t>响应时间</w:t>
            </w:r>
          </w:p>
        </w:tc>
        <w:tc>
          <w:tcPr>
            <w:tcW w:w="2114" w:type="dxa"/>
          </w:tcPr>
          <w:p w:rsidR="007D4381" w:rsidRDefault="007D4381" w:rsidP="00617FBE">
            <w:pPr>
              <w:widowControl/>
              <w:spacing w:line="360" w:lineRule="auto"/>
              <w:contextualSpacing/>
              <w:jc w:val="center"/>
              <w:rPr>
                <w:rFonts w:ascii="黑体" w:eastAsia="黑体" w:hAnsi="黑体"/>
                <w:bCs/>
                <w:kern w:val="0"/>
                <w:sz w:val="28"/>
                <w:szCs w:val="28"/>
                <w:shd w:val="clear" w:color="auto" w:fill="FFFFFF"/>
              </w:rPr>
            </w:pPr>
            <w:r>
              <w:rPr>
                <w:rFonts w:ascii="黑体" w:eastAsia="黑体" w:hAnsi="黑体" w:cs="黑体" w:hint="eastAsia"/>
                <w:bCs/>
                <w:kern w:val="0"/>
                <w:sz w:val="28"/>
                <w:szCs w:val="28"/>
                <w:shd w:val="clear" w:color="auto" w:fill="FFFFFF"/>
              </w:rPr>
              <w:t>解决时间</w:t>
            </w:r>
          </w:p>
        </w:tc>
      </w:tr>
      <w:tr w:rsidR="007D4381" w:rsidTr="00617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4332" w:type="dxa"/>
            <w:tcBorders>
              <w:top w:val="nil"/>
              <w:left w:val="single" w:sz="4" w:space="0" w:color="auto"/>
              <w:bottom w:val="single" w:sz="4" w:space="0" w:color="auto"/>
              <w:right w:val="single" w:sz="4" w:space="0" w:color="auto"/>
            </w:tcBorders>
            <w:vAlign w:val="center"/>
          </w:tcPr>
          <w:p w:rsidR="007D4381" w:rsidRDefault="007D4381" w:rsidP="00617FBE">
            <w:pPr>
              <w:shd w:val="clear" w:color="auto" w:fill="FFFFFF"/>
              <w:spacing w:line="400" w:lineRule="exact"/>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I级：属于紧急问题；其具体现象为：骨干网络出现故障链路不通或平台异常不能使用。</w:t>
            </w:r>
          </w:p>
        </w:tc>
        <w:tc>
          <w:tcPr>
            <w:tcW w:w="2917" w:type="dxa"/>
            <w:tcBorders>
              <w:top w:val="nil"/>
              <w:left w:val="nil"/>
              <w:bottom w:val="single" w:sz="4" w:space="0" w:color="auto"/>
              <w:right w:val="single" w:sz="4" w:space="0" w:color="auto"/>
            </w:tcBorders>
          </w:tcPr>
          <w:p w:rsidR="007D4381" w:rsidRDefault="007D4381" w:rsidP="00617FBE">
            <w:pPr>
              <w:shd w:val="clear" w:color="auto" w:fill="FFFFFF"/>
              <w:spacing w:line="400" w:lineRule="exact"/>
              <w:contextualSpacing/>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10分钟响应，30小时内提交故障处理方案</w:t>
            </w:r>
          </w:p>
        </w:tc>
        <w:tc>
          <w:tcPr>
            <w:tcW w:w="2114" w:type="dxa"/>
            <w:tcBorders>
              <w:top w:val="nil"/>
              <w:left w:val="nil"/>
              <w:bottom w:val="single" w:sz="4" w:space="0" w:color="auto"/>
              <w:right w:val="single" w:sz="4" w:space="0" w:color="auto"/>
            </w:tcBorders>
          </w:tcPr>
          <w:p w:rsidR="007D4381" w:rsidRDefault="007D4381" w:rsidP="00617FBE">
            <w:pPr>
              <w:shd w:val="clear" w:color="auto" w:fill="FFFFFF"/>
              <w:spacing w:line="400" w:lineRule="exact"/>
              <w:contextualSpacing/>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1小时以内</w:t>
            </w:r>
          </w:p>
        </w:tc>
      </w:tr>
      <w:tr w:rsidR="007D4381" w:rsidTr="00617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2"/>
        </w:trPr>
        <w:tc>
          <w:tcPr>
            <w:tcW w:w="4332" w:type="dxa"/>
            <w:tcBorders>
              <w:top w:val="nil"/>
              <w:left w:val="single" w:sz="4" w:space="0" w:color="auto"/>
              <w:bottom w:val="single" w:sz="4" w:space="0" w:color="auto"/>
              <w:right w:val="single" w:sz="4" w:space="0" w:color="auto"/>
            </w:tcBorders>
            <w:vAlign w:val="center"/>
          </w:tcPr>
          <w:p w:rsidR="007D4381" w:rsidRDefault="007D4381" w:rsidP="00617FBE">
            <w:pPr>
              <w:shd w:val="clear" w:color="auto" w:fill="FFFFFF"/>
              <w:spacing w:line="400" w:lineRule="exact"/>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II级：属于严重问题；其具体现象为：骨干网络出现故障，系统报错，部分学校网络异常；平台部分业务运行异常。</w:t>
            </w:r>
          </w:p>
        </w:tc>
        <w:tc>
          <w:tcPr>
            <w:tcW w:w="2917" w:type="dxa"/>
            <w:tcBorders>
              <w:top w:val="nil"/>
              <w:left w:val="nil"/>
              <w:bottom w:val="single" w:sz="4" w:space="0" w:color="auto"/>
              <w:right w:val="single" w:sz="4" w:space="0" w:color="auto"/>
            </w:tcBorders>
          </w:tcPr>
          <w:p w:rsidR="007D4381" w:rsidRDefault="007D4381" w:rsidP="00617FBE">
            <w:pPr>
              <w:shd w:val="clear" w:color="auto" w:fill="FFFFFF"/>
              <w:spacing w:line="400" w:lineRule="exact"/>
              <w:contextualSpacing/>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10分钟响应，2小时内提交故障处理方案</w:t>
            </w:r>
          </w:p>
        </w:tc>
        <w:tc>
          <w:tcPr>
            <w:tcW w:w="2114" w:type="dxa"/>
            <w:tcBorders>
              <w:top w:val="nil"/>
              <w:left w:val="nil"/>
              <w:bottom w:val="single" w:sz="4" w:space="0" w:color="auto"/>
              <w:right w:val="single" w:sz="4" w:space="0" w:color="auto"/>
            </w:tcBorders>
          </w:tcPr>
          <w:p w:rsidR="007D4381" w:rsidRDefault="007D4381" w:rsidP="00617FBE">
            <w:pPr>
              <w:shd w:val="clear" w:color="auto" w:fill="FFFFFF"/>
              <w:spacing w:line="400" w:lineRule="exact"/>
              <w:contextualSpacing/>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2小时以内</w:t>
            </w:r>
          </w:p>
        </w:tc>
      </w:tr>
      <w:tr w:rsidR="007D4381" w:rsidTr="00617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2"/>
        </w:trPr>
        <w:tc>
          <w:tcPr>
            <w:tcW w:w="4332" w:type="dxa"/>
            <w:tcBorders>
              <w:top w:val="nil"/>
              <w:left w:val="single" w:sz="4" w:space="0" w:color="auto"/>
              <w:bottom w:val="single" w:sz="4" w:space="0" w:color="auto"/>
              <w:right w:val="single" w:sz="4" w:space="0" w:color="auto"/>
            </w:tcBorders>
            <w:vAlign w:val="center"/>
          </w:tcPr>
          <w:p w:rsidR="007D4381" w:rsidRDefault="007D4381" w:rsidP="00617FBE">
            <w:pPr>
              <w:shd w:val="clear" w:color="auto" w:fill="FFFFFF"/>
              <w:spacing w:line="400" w:lineRule="exact"/>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III级：属于较严重问题；其具体现象为：网络出现故障，系统报错，不影响业务使用；平台部分业务运行异常。</w:t>
            </w:r>
          </w:p>
        </w:tc>
        <w:tc>
          <w:tcPr>
            <w:tcW w:w="2917" w:type="dxa"/>
            <w:tcBorders>
              <w:top w:val="nil"/>
              <w:left w:val="nil"/>
              <w:bottom w:val="single" w:sz="4" w:space="0" w:color="auto"/>
              <w:right w:val="single" w:sz="4" w:space="0" w:color="auto"/>
            </w:tcBorders>
          </w:tcPr>
          <w:p w:rsidR="007D4381" w:rsidRDefault="007D4381" w:rsidP="00617FBE">
            <w:pPr>
              <w:shd w:val="clear" w:color="auto" w:fill="FFFFFF"/>
              <w:spacing w:line="400" w:lineRule="exact"/>
              <w:contextualSpacing/>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30分钟响应，2小时内提交故障处理方案</w:t>
            </w:r>
          </w:p>
        </w:tc>
        <w:tc>
          <w:tcPr>
            <w:tcW w:w="2114" w:type="dxa"/>
            <w:tcBorders>
              <w:top w:val="nil"/>
              <w:left w:val="nil"/>
              <w:bottom w:val="single" w:sz="4" w:space="0" w:color="auto"/>
              <w:right w:val="single" w:sz="4" w:space="0" w:color="auto"/>
            </w:tcBorders>
          </w:tcPr>
          <w:p w:rsidR="007D4381" w:rsidRDefault="007D4381" w:rsidP="00617FBE">
            <w:pPr>
              <w:shd w:val="clear" w:color="auto" w:fill="FFFFFF"/>
              <w:spacing w:line="400" w:lineRule="exact"/>
              <w:contextualSpacing/>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8小时以内</w:t>
            </w:r>
          </w:p>
        </w:tc>
      </w:tr>
      <w:tr w:rsidR="007D4381" w:rsidTr="00617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4332" w:type="dxa"/>
            <w:tcBorders>
              <w:top w:val="nil"/>
              <w:left w:val="single" w:sz="4" w:space="0" w:color="auto"/>
              <w:bottom w:val="single" w:sz="4" w:space="0" w:color="auto"/>
              <w:right w:val="single" w:sz="4" w:space="0" w:color="auto"/>
            </w:tcBorders>
            <w:vAlign w:val="center"/>
          </w:tcPr>
          <w:p w:rsidR="007D4381" w:rsidRDefault="007D4381" w:rsidP="00617FBE">
            <w:pPr>
              <w:shd w:val="clear" w:color="auto" w:fill="FFFFFF"/>
              <w:spacing w:line="400" w:lineRule="exact"/>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IV级：属于普通问题；其具体现象为：个别终端异常。</w:t>
            </w:r>
          </w:p>
        </w:tc>
        <w:tc>
          <w:tcPr>
            <w:tcW w:w="2917" w:type="dxa"/>
            <w:tcBorders>
              <w:top w:val="nil"/>
              <w:left w:val="nil"/>
              <w:bottom w:val="single" w:sz="4" w:space="0" w:color="auto"/>
              <w:right w:val="single" w:sz="4" w:space="0" w:color="auto"/>
            </w:tcBorders>
          </w:tcPr>
          <w:p w:rsidR="007D4381" w:rsidRDefault="007D4381" w:rsidP="00617FBE">
            <w:pPr>
              <w:shd w:val="clear" w:color="auto" w:fill="FFFFFF"/>
              <w:spacing w:line="400" w:lineRule="exact"/>
              <w:contextualSpacing/>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30分钟响应，4小时内提交故障处理方案</w:t>
            </w:r>
          </w:p>
        </w:tc>
        <w:tc>
          <w:tcPr>
            <w:tcW w:w="2114" w:type="dxa"/>
            <w:tcBorders>
              <w:top w:val="nil"/>
              <w:left w:val="nil"/>
              <w:bottom w:val="single" w:sz="4" w:space="0" w:color="auto"/>
              <w:right w:val="single" w:sz="4" w:space="0" w:color="auto"/>
            </w:tcBorders>
          </w:tcPr>
          <w:p w:rsidR="007D4381" w:rsidRDefault="007D4381" w:rsidP="00617FBE">
            <w:pPr>
              <w:shd w:val="clear" w:color="auto" w:fill="FFFFFF"/>
              <w:spacing w:line="400" w:lineRule="exact"/>
              <w:contextualSpacing/>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24小时以内</w:t>
            </w:r>
          </w:p>
        </w:tc>
      </w:tr>
    </w:tbl>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2.可视化运维管理</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实现</w:t>
      </w:r>
      <w:proofErr w:type="gramStart"/>
      <w:r>
        <w:rPr>
          <w:rFonts w:ascii="仿宋" w:eastAsia="仿宋" w:hAnsi="仿宋" w:cs="仿宋" w:hint="eastAsia"/>
          <w:kern w:val="0"/>
          <w:sz w:val="32"/>
          <w:szCs w:val="32"/>
          <w:shd w:val="clear" w:color="auto" w:fill="FFFFFF"/>
        </w:rPr>
        <w:t>云管理</w:t>
      </w:r>
      <w:proofErr w:type="gramEnd"/>
      <w:r>
        <w:rPr>
          <w:rFonts w:ascii="仿宋" w:eastAsia="仿宋" w:hAnsi="仿宋" w:cs="仿宋" w:hint="eastAsia"/>
          <w:kern w:val="0"/>
          <w:sz w:val="32"/>
          <w:szCs w:val="32"/>
          <w:shd w:val="clear" w:color="auto" w:fill="FFFFFF"/>
        </w:rPr>
        <w:t>网络服务，通过可视化的监控运</w:t>
      </w:r>
      <w:proofErr w:type="gramStart"/>
      <w:r>
        <w:rPr>
          <w:rFonts w:ascii="仿宋" w:eastAsia="仿宋" w:hAnsi="仿宋" w:cs="仿宋" w:hint="eastAsia"/>
          <w:kern w:val="0"/>
          <w:sz w:val="32"/>
          <w:szCs w:val="32"/>
          <w:shd w:val="clear" w:color="auto" w:fill="FFFFFF"/>
        </w:rPr>
        <w:t>维实现</w:t>
      </w:r>
      <w:proofErr w:type="gramEnd"/>
      <w:r>
        <w:rPr>
          <w:rFonts w:ascii="仿宋" w:eastAsia="仿宋" w:hAnsi="仿宋" w:cs="仿宋" w:hint="eastAsia"/>
          <w:kern w:val="0"/>
          <w:sz w:val="32"/>
          <w:szCs w:val="32"/>
          <w:shd w:val="clear" w:color="auto" w:fill="FFFFFF"/>
        </w:rPr>
        <w:t>以下服务。开发教育专网运维服务系统APP端（或者小程序），用于平时故障上报。运维服务实现“申报-响应-排除”的闭环管理。</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全网重要节点网络设备7*24小时状态监控，在出现设备故障或性能问题时，通过短信、邮件等方式进行告警。</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分级权限管理，可实现以校、镇、区、市等为单位进行设备分组，可实现特定设备组指定运维管理员进行在线运维。</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可实现设备的固件在线升级功能，网络设备云端在线固件升级，可实现定时升级，周期升级策略制定，保证设备的</w:t>
      </w:r>
      <w:r>
        <w:rPr>
          <w:rFonts w:ascii="仿宋" w:eastAsia="仿宋" w:hAnsi="仿宋" w:cs="仿宋" w:hint="eastAsia"/>
          <w:kern w:val="0"/>
          <w:sz w:val="32"/>
          <w:szCs w:val="32"/>
          <w:shd w:val="clear" w:color="auto" w:fill="FFFFFF"/>
        </w:rPr>
        <w:lastRenderedPageBreak/>
        <w:t>稳定性及最新安全漏洞的及时更新。</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可实现设备的即插即用，现场提供远程</w:t>
      </w:r>
      <w:proofErr w:type="gramStart"/>
      <w:r>
        <w:rPr>
          <w:rFonts w:ascii="仿宋" w:eastAsia="仿宋" w:hAnsi="仿宋" w:cs="仿宋" w:hint="eastAsia"/>
          <w:kern w:val="0"/>
          <w:sz w:val="32"/>
          <w:szCs w:val="32"/>
          <w:shd w:val="clear" w:color="auto" w:fill="FFFFFF"/>
        </w:rPr>
        <w:t>免扫码</w:t>
      </w:r>
      <w:proofErr w:type="gramEnd"/>
      <w:r>
        <w:rPr>
          <w:rFonts w:ascii="仿宋" w:eastAsia="仿宋" w:hAnsi="仿宋" w:cs="仿宋" w:hint="eastAsia"/>
          <w:kern w:val="0"/>
          <w:sz w:val="32"/>
          <w:szCs w:val="32"/>
          <w:shd w:val="clear" w:color="auto" w:fill="FFFFFF"/>
        </w:rPr>
        <w:t>开局、APP</w:t>
      </w:r>
      <w:proofErr w:type="gramStart"/>
      <w:r>
        <w:rPr>
          <w:rFonts w:ascii="仿宋" w:eastAsia="仿宋" w:hAnsi="仿宋" w:cs="仿宋" w:hint="eastAsia"/>
          <w:kern w:val="0"/>
          <w:sz w:val="32"/>
          <w:szCs w:val="32"/>
          <w:shd w:val="clear" w:color="auto" w:fill="FFFFFF"/>
        </w:rPr>
        <w:t>扫码开局</w:t>
      </w:r>
      <w:proofErr w:type="gramEnd"/>
      <w:r>
        <w:rPr>
          <w:rFonts w:ascii="仿宋" w:eastAsia="仿宋" w:hAnsi="仿宋" w:cs="仿宋" w:hint="eastAsia"/>
          <w:kern w:val="0"/>
          <w:sz w:val="32"/>
          <w:szCs w:val="32"/>
          <w:shd w:val="clear" w:color="auto" w:fill="FFFFFF"/>
        </w:rPr>
        <w:t>、DHCP开局、注册查询中心开局等。</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可实现可视化大屏展示，通过大屏即可随时看到整个教育专网网络的设备状态及业务体验。</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可实现用户通过仪表</w:t>
      </w:r>
      <w:proofErr w:type="gramStart"/>
      <w:r>
        <w:rPr>
          <w:rFonts w:ascii="仿宋" w:eastAsia="仿宋" w:hAnsi="仿宋" w:cs="仿宋" w:hint="eastAsia"/>
          <w:kern w:val="0"/>
          <w:sz w:val="32"/>
          <w:szCs w:val="32"/>
          <w:shd w:val="clear" w:color="auto" w:fill="FFFFFF"/>
        </w:rPr>
        <w:t>盘查看</w:t>
      </w:r>
      <w:proofErr w:type="gramEnd"/>
      <w:r>
        <w:rPr>
          <w:rFonts w:ascii="仿宋" w:eastAsia="仿宋" w:hAnsi="仿宋" w:cs="仿宋" w:hint="eastAsia"/>
          <w:kern w:val="0"/>
          <w:sz w:val="32"/>
          <w:szCs w:val="32"/>
          <w:shd w:val="clear" w:color="auto" w:fill="FFFFFF"/>
        </w:rPr>
        <w:t>接入当前网络中的所有终端的关键信息，包括总用户数、使用流量趋势、Top终端的厂商分布等。</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可实现网络自动调优，智能无线射频调优，可实现智能识别边缘AP、预测AP负载，免人工介入根据网络最新情况不断自动优化网络，从而使整网性能保持最佳。</w:t>
      </w:r>
    </w:p>
    <w:p w:rsidR="007D4381" w:rsidRDefault="007D4381" w:rsidP="007D4381">
      <w:pPr>
        <w:shd w:val="clear" w:color="auto" w:fill="FFFFFF"/>
        <w:ind w:firstLineChars="200" w:firstLine="643"/>
        <w:contextualSpacing/>
        <w:rPr>
          <w:rFonts w:ascii="仿宋" w:eastAsia="仿宋" w:hAnsi="仿宋" w:cs="仿宋"/>
          <w:b/>
          <w:bCs/>
          <w:kern w:val="0"/>
          <w:sz w:val="32"/>
          <w:szCs w:val="32"/>
          <w:shd w:val="clear" w:color="auto" w:fill="FFFFFF"/>
        </w:rPr>
      </w:pPr>
      <w:r>
        <w:rPr>
          <w:rFonts w:ascii="仿宋" w:eastAsia="仿宋" w:hAnsi="仿宋" w:cs="仿宋" w:hint="eastAsia"/>
          <w:b/>
          <w:bCs/>
          <w:kern w:val="0"/>
          <w:sz w:val="32"/>
          <w:szCs w:val="32"/>
          <w:shd w:val="clear" w:color="auto" w:fill="FFFFFF"/>
        </w:rPr>
        <w:t>3.建立备品备件库</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建立备品备件库，储备充足的设备安装调试过程中及质量保证期内的随机备品备件（含易损易耗件），以及时替换在设备安装调试过程中及质量保证期内损坏的设备。</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4.该项目要求提供运维服务3年，</w:t>
      </w:r>
      <w:proofErr w:type="gramStart"/>
      <w:r>
        <w:rPr>
          <w:rFonts w:ascii="仿宋" w:eastAsia="仿宋" w:hAnsi="仿宋" w:cs="仿宋" w:hint="eastAsia"/>
          <w:kern w:val="0"/>
          <w:sz w:val="32"/>
          <w:szCs w:val="32"/>
          <w:shd w:val="clear" w:color="auto" w:fill="FFFFFF"/>
        </w:rPr>
        <w:t>自项目</w:t>
      </w:r>
      <w:proofErr w:type="gramEnd"/>
      <w:r>
        <w:rPr>
          <w:rFonts w:ascii="仿宋" w:eastAsia="仿宋" w:hAnsi="仿宋" w:cs="仿宋" w:hint="eastAsia"/>
          <w:kern w:val="0"/>
          <w:sz w:val="32"/>
          <w:szCs w:val="32"/>
          <w:shd w:val="clear" w:color="auto" w:fill="FFFFFF"/>
        </w:rPr>
        <w:t>整体验收通过并出具验收报告之日起计算。</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5.运</w:t>
      </w:r>
      <w:proofErr w:type="gramStart"/>
      <w:r>
        <w:rPr>
          <w:rFonts w:ascii="仿宋" w:eastAsia="仿宋" w:hAnsi="仿宋" w:cs="仿宋" w:hint="eastAsia"/>
          <w:kern w:val="0"/>
          <w:sz w:val="32"/>
          <w:szCs w:val="32"/>
          <w:shd w:val="clear" w:color="auto" w:fill="FFFFFF"/>
        </w:rPr>
        <w:t>维期间</w:t>
      </w:r>
      <w:proofErr w:type="gramEnd"/>
      <w:r>
        <w:rPr>
          <w:rFonts w:ascii="仿宋" w:eastAsia="仿宋" w:hAnsi="仿宋" w:cs="仿宋" w:hint="eastAsia"/>
          <w:kern w:val="0"/>
          <w:sz w:val="32"/>
          <w:szCs w:val="32"/>
          <w:shd w:val="clear" w:color="auto" w:fill="FFFFFF"/>
        </w:rPr>
        <w:t>需提供市县乡三级运维服务，区县单位直属学校和乡镇学校配备专职运维人员，每学期运</w:t>
      </w:r>
      <w:proofErr w:type="gramStart"/>
      <w:r>
        <w:rPr>
          <w:rFonts w:ascii="仿宋" w:eastAsia="仿宋" w:hAnsi="仿宋" w:cs="仿宋" w:hint="eastAsia"/>
          <w:kern w:val="0"/>
          <w:sz w:val="32"/>
          <w:szCs w:val="32"/>
          <w:shd w:val="clear" w:color="auto" w:fill="FFFFFF"/>
        </w:rPr>
        <w:t>维人员</w:t>
      </w:r>
      <w:proofErr w:type="gramEnd"/>
      <w:r>
        <w:rPr>
          <w:rFonts w:ascii="仿宋" w:eastAsia="仿宋" w:hAnsi="仿宋" w:cs="仿宋" w:hint="eastAsia"/>
          <w:kern w:val="0"/>
          <w:sz w:val="32"/>
          <w:szCs w:val="32"/>
          <w:shd w:val="clear" w:color="auto" w:fill="FFFFFF"/>
        </w:rPr>
        <w:t>对辖区学校网络进行至少一次运维巡检。</w:t>
      </w:r>
    </w:p>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6.运维期内需为本项目软件提供免费升级及维护服务。</w:t>
      </w:r>
    </w:p>
    <w:p w:rsidR="007D4381" w:rsidRDefault="007D4381" w:rsidP="007D4381">
      <w:pPr>
        <w:shd w:val="clear" w:color="auto" w:fill="FFFFFF"/>
        <w:ind w:firstLineChars="200" w:firstLine="640"/>
        <w:contextualSpacing/>
        <w:rPr>
          <w:rFonts w:ascii="黑体" w:eastAsia="黑体" w:hAnsi="黑体" w:cs="仿宋"/>
          <w:kern w:val="0"/>
          <w:sz w:val="32"/>
          <w:szCs w:val="32"/>
          <w:shd w:val="clear" w:color="auto" w:fill="FFFFFF"/>
        </w:rPr>
      </w:pPr>
      <w:r>
        <w:rPr>
          <w:rFonts w:ascii="黑体" w:eastAsia="黑体" w:hAnsi="黑体" w:cs="仿宋" w:hint="eastAsia"/>
          <w:kern w:val="0"/>
          <w:sz w:val="32"/>
          <w:szCs w:val="32"/>
          <w:shd w:val="clear" w:color="auto" w:fill="FFFFFF"/>
        </w:rPr>
        <w:t xml:space="preserve">教育专网覆盖学校及教室数量 </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4"/>
        <w:gridCol w:w="1294"/>
        <w:gridCol w:w="1294"/>
        <w:gridCol w:w="1294"/>
        <w:gridCol w:w="1295"/>
        <w:gridCol w:w="1295"/>
        <w:gridCol w:w="1576"/>
      </w:tblGrid>
      <w:tr w:rsidR="007D4381" w:rsidTr="00617FBE">
        <w:tc>
          <w:tcPr>
            <w:tcW w:w="1294" w:type="dxa"/>
            <w:tcBorders>
              <w:top w:val="single" w:sz="4" w:space="0" w:color="auto"/>
              <w:left w:val="single" w:sz="4" w:space="0" w:color="auto"/>
              <w:bottom w:val="single" w:sz="4" w:space="0" w:color="auto"/>
              <w:right w:val="single" w:sz="4" w:space="0" w:color="auto"/>
            </w:tcBorders>
            <w:vAlign w:val="center"/>
          </w:tcPr>
          <w:p w:rsidR="007D4381" w:rsidRDefault="007D4381" w:rsidP="00617FBE">
            <w:pPr>
              <w:shd w:val="clear" w:color="auto" w:fill="FFFFFF"/>
              <w:spacing w:line="360" w:lineRule="exact"/>
              <w:contextualSpacing/>
              <w:jc w:val="center"/>
              <w:rPr>
                <w:rFonts w:ascii="黑体" w:eastAsia="黑体" w:hAnsi="黑体"/>
                <w:kern w:val="0"/>
                <w:sz w:val="28"/>
                <w:szCs w:val="28"/>
                <w:shd w:val="clear" w:color="auto" w:fill="FFFFFF"/>
              </w:rPr>
            </w:pPr>
            <w:r>
              <w:rPr>
                <w:rFonts w:ascii="黑体" w:eastAsia="黑体" w:hAnsi="黑体" w:cs="黑体" w:hint="eastAsia"/>
                <w:kern w:val="0"/>
                <w:sz w:val="28"/>
                <w:szCs w:val="28"/>
                <w:shd w:val="clear" w:color="auto" w:fill="FFFFFF"/>
              </w:rPr>
              <w:lastRenderedPageBreak/>
              <w:t>区域</w:t>
            </w:r>
          </w:p>
        </w:tc>
        <w:tc>
          <w:tcPr>
            <w:tcW w:w="1294" w:type="dxa"/>
            <w:tcBorders>
              <w:top w:val="single" w:sz="4" w:space="0" w:color="auto"/>
              <w:left w:val="nil"/>
              <w:bottom w:val="single" w:sz="4" w:space="0" w:color="auto"/>
              <w:right w:val="single" w:sz="4" w:space="0" w:color="auto"/>
            </w:tcBorders>
            <w:vAlign w:val="center"/>
          </w:tcPr>
          <w:p w:rsidR="007D4381" w:rsidRDefault="007D4381" w:rsidP="00617FBE">
            <w:pPr>
              <w:shd w:val="clear" w:color="auto" w:fill="FFFFFF"/>
              <w:spacing w:line="360" w:lineRule="exact"/>
              <w:contextualSpacing/>
              <w:jc w:val="center"/>
              <w:rPr>
                <w:rFonts w:ascii="黑体" w:eastAsia="黑体" w:hAnsi="黑体"/>
                <w:kern w:val="0"/>
                <w:sz w:val="28"/>
                <w:szCs w:val="28"/>
                <w:shd w:val="clear" w:color="auto" w:fill="FFFFFF"/>
              </w:rPr>
            </w:pPr>
            <w:r>
              <w:rPr>
                <w:rFonts w:ascii="黑体" w:eastAsia="黑体" w:hAnsi="黑体" w:cs="黑体" w:hint="eastAsia"/>
                <w:kern w:val="0"/>
                <w:sz w:val="28"/>
                <w:szCs w:val="28"/>
                <w:shd w:val="clear" w:color="auto" w:fill="FFFFFF"/>
              </w:rPr>
              <w:t>Ⅰ类学校数量</w:t>
            </w:r>
          </w:p>
        </w:tc>
        <w:tc>
          <w:tcPr>
            <w:tcW w:w="1294" w:type="dxa"/>
            <w:tcBorders>
              <w:top w:val="single" w:sz="4" w:space="0" w:color="auto"/>
              <w:left w:val="nil"/>
              <w:bottom w:val="single" w:sz="4" w:space="0" w:color="auto"/>
              <w:right w:val="single" w:sz="4" w:space="0" w:color="auto"/>
            </w:tcBorders>
            <w:vAlign w:val="center"/>
          </w:tcPr>
          <w:p w:rsidR="007D4381" w:rsidRDefault="007D4381" w:rsidP="00617FBE">
            <w:pPr>
              <w:shd w:val="clear" w:color="auto" w:fill="FFFFFF"/>
              <w:spacing w:line="360" w:lineRule="exact"/>
              <w:contextualSpacing/>
              <w:jc w:val="center"/>
              <w:rPr>
                <w:rFonts w:ascii="黑体" w:eastAsia="黑体" w:hAnsi="黑体"/>
                <w:kern w:val="0"/>
                <w:sz w:val="28"/>
                <w:szCs w:val="28"/>
                <w:shd w:val="clear" w:color="auto" w:fill="FFFFFF"/>
              </w:rPr>
            </w:pPr>
            <w:r>
              <w:rPr>
                <w:rFonts w:ascii="黑体" w:eastAsia="黑体" w:hAnsi="黑体" w:cs="黑体" w:hint="eastAsia"/>
                <w:kern w:val="0"/>
                <w:sz w:val="28"/>
                <w:szCs w:val="28"/>
                <w:shd w:val="clear" w:color="auto" w:fill="FFFFFF"/>
              </w:rPr>
              <w:t>Ⅱ类学校数量</w:t>
            </w:r>
          </w:p>
        </w:tc>
        <w:tc>
          <w:tcPr>
            <w:tcW w:w="1294" w:type="dxa"/>
            <w:tcBorders>
              <w:top w:val="single" w:sz="4" w:space="0" w:color="auto"/>
              <w:left w:val="nil"/>
              <w:bottom w:val="single" w:sz="4" w:space="0" w:color="auto"/>
              <w:right w:val="single" w:sz="4" w:space="0" w:color="auto"/>
            </w:tcBorders>
            <w:vAlign w:val="center"/>
          </w:tcPr>
          <w:p w:rsidR="007D4381" w:rsidRDefault="007D4381" w:rsidP="00617FBE">
            <w:pPr>
              <w:shd w:val="clear" w:color="auto" w:fill="FFFFFF"/>
              <w:spacing w:line="360" w:lineRule="exact"/>
              <w:contextualSpacing/>
              <w:jc w:val="center"/>
              <w:rPr>
                <w:rFonts w:ascii="黑体" w:eastAsia="黑体" w:hAnsi="黑体"/>
                <w:kern w:val="0"/>
                <w:sz w:val="28"/>
                <w:szCs w:val="28"/>
                <w:shd w:val="clear" w:color="auto" w:fill="FFFFFF"/>
              </w:rPr>
            </w:pPr>
            <w:r>
              <w:rPr>
                <w:rFonts w:ascii="黑体" w:eastAsia="黑体" w:hAnsi="黑体" w:cs="黑体" w:hint="eastAsia"/>
                <w:kern w:val="0"/>
                <w:sz w:val="28"/>
                <w:szCs w:val="28"/>
                <w:shd w:val="clear" w:color="auto" w:fill="FFFFFF"/>
              </w:rPr>
              <w:t>Ⅲ类学校数量</w:t>
            </w:r>
          </w:p>
        </w:tc>
        <w:tc>
          <w:tcPr>
            <w:tcW w:w="1295" w:type="dxa"/>
            <w:tcBorders>
              <w:top w:val="single" w:sz="4" w:space="0" w:color="auto"/>
              <w:left w:val="nil"/>
              <w:bottom w:val="single" w:sz="4" w:space="0" w:color="auto"/>
              <w:right w:val="single" w:sz="4" w:space="0" w:color="auto"/>
            </w:tcBorders>
            <w:vAlign w:val="center"/>
          </w:tcPr>
          <w:p w:rsidR="007D4381" w:rsidRDefault="007D4381" w:rsidP="00617FBE">
            <w:pPr>
              <w:shd w:val="clear" w:color="auto" w:fill="FFFFFF"/>
              <w:spacing w:line="360" w:lineRule="exact"/>
              <w:contextualSpacing/>
              <w:jc w:val="center"/>
              <w:rPr>
                <w:rFonts w:ascii="黑体" w:eastAsia="黑体" w:hAnsi="黑体"/>
                <w:kern w:val="0"/>
                <w:sz w:val="28"/>
                <w:szCs w:val="28"/>
                <w:shd w:val="clear" w:color="auto" w:fill="FFFFFF"/>
              </w:rPr>
            </w:pPr>
            <w:r>
              <w:rPr>
                <w:rFonts w:ascii="黑体" w:eastAsia="黑体" w:hAnsi="黑体" w:cs="黑体" w:hint="eastAsia"/>
                <w:kern w:val="0"/>
                <w:sz w:val="28"/>
                <w:szCs w:val="28"/>
                <w:shd w:val="clear" w:color="auto" w:fill="FFFFFF"/>
              </w:rPr>
              <w:t>Ⅳ类学校数量</w:t>
            </w:r>
          </w:p>
        </w:tc>
        <w:tc>
          <w:tcPr>
            <w:tcW w:w="1295" w:type="dxa"/>
            <w:tcBorders>
              <w:top w:val="single" w:sz="4" w:space="0" w:color="auto"/>
              <w:left w:val="nil"/>
              <w:bottom w:val="single" w:sz="4" w:space="0" w:color="auto"/>
              <w:right w:val="single" w:sz="4" w:space="0" w:color="auto"/>
            </w:tcBorders>
            <w:vAlign w:val="center"/>
          </w:tcPr>
          <w:p w:rsidR="007D4381" w:rsidRDefault="007D4381" w:rsidP="00617FBE">
            <w:pPr>
              <w:shd w:val="clear" w:color="auto" w:fill="FFFFFF"/>
              <w:spacing w:line="360" w:lineRule="exact"/>
              <w:contextualSpacing/>
              <w:jc w:val="center"/>
              <w:rPr>
                <w:rFonts w:ascii="黑体" w:eastAsia="黑体" w:hAnsi="黑体"/>
                <w:kern w:val="0"/>
                <w:sz w:val="28"/>
                <w:szCs w:val="28"/>
                <w:shd w:val="clear" w:color="auto" w:fill="FFFFFF"/>
              </w:rPr>
            </w:pPr>
            <w:r>
              <w:rPr>
                <w:rFonts w:ascii="黑体" w:eastAsia="黑体" w:hAnsi="黑体" w:cs="黑体" w:hint="eastAsia"/>
                <w:kern w:val="0"/>
                <w:sz w:val="28"/>
                <w:szCs w:val="28"/>
                <w:shd w:val="clear" w:color="auto" w:fill="FFFFFF"/>
              </w:rPr>
              <w:t>学校总数量</w:t>
            </w:r>
          </w:p>
        </w:tc>
        <w:tc>
          <w:tcPr>
            <w:tcW w:w="1576" w:type="dxa"/>
            <w:tcBorders>
              <w:top w:val="single" w:sz="4" w:space="0" w:color="auto"/>
              <w:left w:val="nil"/>
              <w:bottom w:val="single" w:sz="4" w:space="0" w:color="auto"/>
              <w:right w:val="single" w:sz="4" w:space="0" w:color="auto"/>
            </w:tcBorders>
            <w:vAlign w:val="center"/>
          </w:tcPr>
          <w:p w:rsidR="007D4381" w:rsidRDefault="007D4381" w:rsidP="00617FBE">
            <w:pPr>
              <w:shd w:val="clear" w:color="auto" w:fill="FFFFFF"/>
              <w:spacing w:line="360" w:lineRule="exact"/>
              <w:contextualSpacing/>
              <w:jc w:val="center"/>
              <w:rPr>
                <w:rFonts w:ascii="黑体" w:eastAsia="黑体" w:hAnsi="黑体"/>
                <w:kern w:val="0"/>
                <w:sz w:val="28"/>
                <w:szCs w:val="28"/>
                <w:shd w:val="clear" w:color="auto" w:fill="FFFFFF"/>
              </w:rPr>
            </w:pPr>
            <w:r>
              <w:rPr>
                <w:rFonts w:ascii="黑体" w:eastAsia="黑体" w:hAnsi="黑体" w:cs="黑体" w:hint="eastAsia"/>
                <w:kern w:val="0"/>
                <w:sz w:val="28"/>
                <w:szCs w:val="28"/>
                <w:shd w:val="clear" w:color="auto" w:fill="FFFFFF"/>
              </w:rPr>
              <w:t>教室数量</w:t>
            </w:r>
          </w:p>
        </w:tc>
      </w:tr>
      <w:tr w:rsidR="007D4381" w:rsidTr="00617FBE">
        <w:tc>
          <w:tcPr>
            <w:tcW w:w="1294" w:type="dxa"/>
            <w:tcBorders>
              <w:top w:val="single" w:sz="4" w:space="0" w:color="auto"/>
              <w:left w:val="single" w:sz="4" w:space="0" w:color="auto"/>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市直</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7</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6</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12</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27</w:t>
            </w:r>
          </w:p>
        </w:tc>
        <w:tc>
          <w:tcPr>
            <w:tcW w:w="1576"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1151</w:t>
            </w:r>
          </w:p>
        </w:tc>
      </w:tr>
      <w:tr w:rsidR="007D4381" w:rsidTr="00617FBE">
        <w:tc>
          <w:tcPr>
            <w:tcW w:w="1294" w:type="dxa"/>
            <w:tcBorders>
              <w:top w:val="single" w:sz="4" w:space="0" w:color="auto"/>
              <w:left w:val="single" w:sz="4" w:space="0" w:color="auto"/>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示范区</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8</w:t>
            </w:r>
          </w:p>
        </w:tc>
        <w:tc>
          <w:tcPr>
            <w:tcW w:w="1576"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151</w:t>
            </w:r>
          </w:p>
        </w:tc>
      </w:tr>
      <w:tr w:rsidR="007D4381" w:rsidTr="00617FBE">
        <w:tc>
          <w:tcPr>
            <w:tcW w:w="1294" w:type="dxa"/>
            <w:tcBorders>
              <w:top w:val="single" w:sz="4" w:space="0" w:color="auto"/>
              <w:left w:val="single" w:sz="4" w:space="0" w:color="auto"/>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东城区</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11</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14</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26</w:t>
            </w:r>
          </w:p>
        </w:tc>
        <w:tc>
          <w:tcPr>
            <w:tcW w:w="1576"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601</w:t>
            </w:r>
          </w:p>
        </w:tc>
      </w:tr>
      <w:tr w:rsidR="007D4381" w:rsidTr="00617FBE">
        <w:tc>
          <w:tcPr>
            <w:tcW w:w="1294" w:type="dxa"/>
            <w:tcBorders>
              <w:top w:val="single" w:sz="4" w:space="0" w:color="auto"/>
              <w:left w:val="single" w:sz="4" w:space="0" w:color="auto"/>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襄城县</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13</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181</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200</w:t>
            </w:r>
          </w:p>
        </w:tc>
        <w:tc>
          <w:tcPr>
            <w:tcW w:w="1576"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2267</w:t>
            </w:r>
          </w:p>
        </w:tc>
      </w:tr>
      <w:tr w:rsidR="007D4381" w:rsidTr="00617FBE">
        <w:tc>
          <w:tcPr>
            <w:tcW w:w="1294" w:type="dxa"/>
            <w:tcBorders>
              <w:top w:val="single" w:sz="4" w:space="0" w:color="auto"/>
              <w:left w:val="single" w:sz="4" w:space="0" w:color="auto"/>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鄢陵县</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14</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135</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156</w:t>
            </w:r>
          </w:p>
        </w:tc>
        <w:tc>
          <w:tcPr>
            <w:tcW w:w="1576"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1922</w:t>
            </w:r>
          </w:p>
        </w:tc>
      </w:tr>
      <w:tr w:rsidR="007D4381" w:rsidTr="00617FBE">
        <w:tc>
          <w:tcPr>
            <w:tcW w:w="1294" w:type="dxa"/>
            <w:tcBorders>
              <w:top w:val="single" w:sz="4" w:space="0" w:color="auto"/>
              <w:left w:val="single" w:sz="4" w:space="0" w:color="auto"/>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禹州市</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5</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16</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266</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289</w:t>
            </w:r>
          </w:p>
        </w:tc>
        <w:tc>
          <w:tcPr>
            <w:tcW w:w="1576"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3149</w:t>
            </w:r>
          </w:p>
        </w:tc>
      </w:tr>
      <w:tr w:rsidR="007D4381" w:rsidTr="00617FBE">
        <w:tc>
          <w:tcPr>
            <w:tcW w:w="1294" w:type="dxa"/>
            <w:tcBorders>
              <w:top w:val="single" w:sz="4" w:space="0" w:color="auto"/>
              <w:left w:val="single" w:sz="4" w:space="0" w:color="auto"/>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魏都区</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5</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12</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21</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39</w:t>
            </w:r>
          </w:p>
        </w:tc>
        <w:tc>
          <w:tcPr>
            <w:tcW w:w="1576"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997</w:t>
            </w:r>
          </w:p>
        </w:tc>
      </w:tr>
      <w:tr w:rsidR="007D4381" w:rsidTr="00617FBE">
        <w:tc>
          <w:tcPr>
            <w:tcW w:w="1294" w:type="dxa"/>
            <w:tcBorders>
              <w:top w:val="single" w:sz="4" w:space="0" w:color="auto"/>
              <w:left w:val="single" w:sz="4" w:space="0" w:color="auto"/>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长葛市</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10</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142</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158</w:t>
            </w:r>
          </w:p>
        </w:tc>
        <w:tc>
          <w:tcPr>
            <w:tcW w:w="1576"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1895</w:t>
            </w:r>
          </w:p>
        </w:tc>
      </w:tr>
      <w:tr w:rsidR="007D4381" w:rsidTr="00617FBE">
        <w:tc>
          <w:tcPr>
            <w:tcW w:w="1294" w:type="dxa"/>
            <w:tcBorders>
              <w:top w:val="single" w:sz="4" w:space="0" w:color="auto"/>
              <w:left w:val="single" w:sz="4" w:space="0" w:color="auto"/>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proofErr w:type="gramStart"/>
            <w:r>
              <w:rPr>
                <w:rFonts w:ascii="仿宋" w:eastAsia="仿宋" w:hAnsi="仿宋" w:cs="仿宋" w:hint="eastAsia"/>
                <w:kern w:val="0"/>
                <w:sz w:val="28"/>
                <w:szCs w:val="28"/>
                <w:shd w:val="clear" w:color="auto" w:fill="FFFFFF"/>
              </w:rPr>
              <w:t>建安区</w:t>
            </w:r>
            <w:proofErr w:type="gramEnd"/>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6</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7</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97</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110</w:t>
            </w:r>
          </w:p>
        </w:tc>
        <w:tc>
          <w:tcPr>
            <w:tcW w:w="1576"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1449</w:t>
            </w:r>
          </w:p>
        </w:tc>
      </w:tr>
      <w:tr w:rsidR="007D4381" w:rsidTr="00617FBE">
        <w:tc>
          <w:tcPr>
            <w:tcW w:w="1294" w:type="dxa"/>
            <w:tcBorders>
              <w:top w:val="single" w:sz="4" w:space="0" w:color="auto"/>
              <w:left w:val="single" w:sz="4" w:space="0" w:color="auto"/>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开发区</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11</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13</w:t>
            </w:r>
          </w:p>
        </w:tc>
        <w:tc>
          <w:tcPr>
            <w:tcW w:w="1576"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162</w:t>
            </w:r>
          </w:p>
        </w:tc>
      </w:tr>
      <w:tr w:rsidR="007D4381" w:rsidTr="00617FBE">
        <w:tc>
          <w:tcPr>
            <w:tcW w:w="1294" w:type="dxa"/>
            <w:tcBorders>
              <w:top w:val="single" w:sz="4" w:space="0" w:color="auto"/>
              <w:left w:val="single" w:sz="4" w:space="0" w:color="auto"/>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合计</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14</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34</w:t>
            </w:r>
          </w:p>
        </w:tc>
        <w:tc>
          <w:tcPr>
            <w:tcW w:w="1294"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95</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883</w:t>
            </w:r>
          </w:p>
        </w:tc>
        <w:tc>
          <w:tcPr>
            <w:tcW w:w="1295"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1026</w:t>
            </w:r>
          </w:p>
        </w:tc>
        <w:tc>
          <w:tcPr>
            <w:tcW w:w="1576" w:type="dxa"/>
            <w:tcBorders>
              <w:top w:val="single" w:sz="4" w:space="0" w:color="auto"/>
              <w:left w:val="nil"/>
              <w:bottom w:val="single" w:sz="4" w:space="0" w:color="auto"/>
              <w:right w:val="single" w:sz="4" w:space="0" w:color="auto"/>
            </w:tcBorders>
          </w:tcPr>
          <w:p w:rsidR="007D4381" w:rsidRDefault="007D4381" w:rsidP="00617FBE">
            <w:pPr>
              <w:shd w:val="clear" w:color="auto" w:fill="FFFFFF"/>
              <w:spacing w:line="360" w:lineRule="exact"/>
              <w:contextualSpacing/>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13744</w:t>
            </w:r>
          </w:p>
        </w:tc>
      </w:tr>
    </w:tbl>
    <w:p w:rsidR="007D4381" w:rsidRDefault="007D4381" w:rsidP="007D4381">
      <w:pPr>
        <w:shd w:val="clear" w:color="auto" w:fill="FFFFFF"/>
        <w:ind w:firstLineChars="200" w:firstLine="640"/>
        <w:contextualSpacing/>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注：Ⅰ类学校，学校教室数大于等于90个。Ⅱ类学校，学校教室数少于90大于等于48个。Ⅲ类学校，学校教室数少于48大于等于24个。Ⅳ类学校，学校教室数少于24个。</w:t>
      </w:r>
    </w:p>
    <w:p w:rsidR="007D4381" w:rsidRPr="007D4381" w:rsidRDefault="007D4381">
      <w:pPr>
        <w:widowControl/>
        <w:spacing w:line="360" w:lineRule="atLeast"/>
        <w:ind w:firstLine="600"/>
        <w:jc w:val="left"/>
        <w:rPr>
          <w:rFonts w:ascii="仿宋" w:eastAsia="仿宋" w:hAnsi="仿宋" w:cs="仿宋" w:hint="eastAsia"/>
          <w:color w:val="000000"/>
          <w:kern w:val="0"/>
          <w:sz w:val="30"/>
          <w:szCs w:val="30"/>
          <w:shd w:val="clear" w:color="auto" w:fill="FFFFFF"/>
        </w:rPr>
      </w:pPr>
    </w:p>
    <w:p w:rsidR="007D4381" w:rsidRDefault="007D4381">
      <w:pPr>
        <w:widowControl/>
        <w:spacing w:line="360" w:lineRule="atLeast"/>
        <w:ind w:firstLine="600"/>
        <w:jc w:val="left"/>
        <w:rPr>
          <w:rFonts w:ascii="仿宋" w:eastAsia="仿宋" w:hAnsi="仿宋" w:cs="仿宋" w:hint="eastAsia"/>
          <w:color w:val="000000"/>
          <w:kern w:val="0"/>
          <w:sz w:val="30"/>
          <w:szCs w:val="30"/>
          <w:shd w:val="clear" w:color="auto" w:fill="FFFFFF"/>
        </w:rPr>
      </w:pPr>
    </w:p>
    <w:p w:rsidR="007D4381" w:rsidRDefault="007D4381">
      <w:pPr>
        <w:widowControl/>
        <w:spacing w:line="360" w:lineRule="atLeast"/>
        <w:ind w:firstLine="600"/>
        <w:jc w:val="left"/>
        <w:rPr>
          <w:rFonts w:ascii="仿宋" w:eastAsia="仿宋" w:hAnsi="仿宋" w:cs="仿宋" w:hint="eastAsia"/>
          <w:color w:val="000000"/>
          <w:kern w:val="0"/>
          <w:sz w:val="30"/>
          <w:szCs w:val="30"/>
          <w:shd w:val="clear" w:color="auto" w:fill="FFFFFF"/>
        </w:rPr>
      </w:pPr>
    </w:p>
    <w:sectPr w:rsidR="007D4381" w:rsidSect="00E250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2BB" w:rsidRDefault="004A52BB" w:rsidP="00E250F2">
      <w:r>
        <w:separator/>
      </w:r>
    </w:p>
  </w:endnote>
  <w:endnote w:type="continuationSeparator" w:id="0">
    <w:p w:rsidR="004A52BB" w:rsidRDefault="004A52BB" w:rsidP="00E2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F2" w:rsidRDefault="00A95C98">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next-textbox:#_x0000_s4097;mso-fit-shape-to-text:t" inset="0,0,0,0">
            <w:txbxContent>
              <w:p w:rsidR="00E250F2" w:rsidRDefault="00A95C98">
                <w:pPr>
                  <w:pStyle w:val="a6"/>
                </w:pPr>
                <w:r>
                  <w:rPr>
                    <w:rFonts w:hint="eastAsia"/>
                  </w:rPr>
                  <w:fldChar w:fldCharType="begin"/>
                </w:r>
                <w:r w:rsidR="002C12B0">
                  <w:rPr>
                    <w:rFonts w:hint="eastAsia"/>
                  </w:rPr>
                  <w:instrText xml:space="preserve"> PAGE  \* MERGEFORMAT </w:instrText>
                </w:r>
                <w:r>
                  <w:rPr>
                    <w:rFonts w:hint="eastAsia"/>
                  </w:rPr>
                  <w:fldChar w:fldCharType="separate"/>
                </w:r>
                <w:r w:rsidR="007D4381">
                  <w:rPr>
                    <w:noProof/>
                  </w:rPr>
                  <w:t>1</w:t>
                </w:r>
                <w:r>
                  <w:rPr>
                    <w:rFonts w:hint="eastAsia"/>
                  </w:rPr>
                  <w:fldChar w:fldCharType="end"/>
                </w:r>
              </w:p>
            </w:txbxContent>
          </v:textbox>
          <w10:wrap anchorx="margin"/>
        </v:shape>
      </w:pict>
    </w:r>
  </w:p>
  <w:p w:rsidR="00E250F2" w:rsidRDefault="00E250F2">
    <w:pPr>
      <w:pStyle w:val="a6"/>
    </w:pPr>
  </w:p>
  <w:p w:rsidR="00E250F2" w:rsidRDefault="00E250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2BB" w:rsidRDefault="004A52BB" w:rsidP="00E250F2">
      <w:r>
        <w:separator/>
      </w:r>
    </w:p>
  </w:footnote>
  <w:footnote w:type="continuationSeparator" w:id="0">
    <w:p w:rsidR="004A52BB" w:rsidRDefault="004A52BB" w:rsidP="00E25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153E1"/>
    <w:multiLevelType w:val="multilevel"/>
    <w:tmpl w:val="60F153E1"/>
    <w:lvl w:ilvl="0">
      <w:start w:val="7"/>
      <w:numFmt w:val="decimal"/>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37A5"/>
    <w:rsid w:val="000669F7"/>
    <w:rsid w:val="000723FA"/>
    <w:rsid w:val="000A294C"/>
    <w:rsid w:val="000A6A2A"/>
    <w:rsid w:val="000F5374"/>
    <w:rsid w:val="00101164"/>
    <w:rsid w:val="00101AC5"/>
    <w:rsid w:val="001261F7"/>
    <w:rsid w:val="00186658"/>
    <w:rsid w:val="001A2E28"/>
    <w:rsid w:val="001B48F2"/>
    <w:rsid w:val="00250AF2"/>
    <w:rsid w:val="002A6926"/>
    <w:rsid w:val="002B495C"/>
    <w:rsid w:val="002C12B0"/>
    <w:rsid w:val="003529F0"/>
    <w:rsid w:val="00357A89"/>
    <w:rsid w:val="0037746A"/>
    <w:rsid w:val="003B661B"/>
    <w:rsid w:val="003D25B3"/>
    <w:rsid w:val="003D7551"/>
    <w:rsid w:val="00403638"/>
    <w:rsid w:val="00451DA5"/>
    <w:rsid w:val="004544E0"/>
    <w:rsid w:val="004731EC"/>
    <w:rsid w:val="004A52BB"/>
    <w:rsid w:val="004D1349"/>
    <w:rsid w:val="004D4FB3"/>
    <w:rsid w:val="00507555"/>
    <w:rsid w:val="0050783E"/>
    <w:rsid w:val="00526FD7"/>
    <w:rsid w:val="00585E36"/>
    <w:rsid w:val="005979AE"/>
    <w:rsid w:val="005E135E"/>
    <w:rsid w:val="00753450"/>
    <w:rsid w:val="00776CF9"/>
    <w:rsid w:val="007D4381"/>
    <w:rsid w:val="00843292"/>
    <w:rsid w:val="008C1236"/>
    <w:rsid w:val="008C4C47"/>
    <w:rsid w:val="008D092D"/>
    <w:rsid w:val="009111D3"/>
    <w:rsid w:val="009230F9"/>
    <w:rsid w:val="009435A1"/>
    <w:rsid w:val="009438C8"/>
    <w:rsid w:val="00A537A5"/>
    <w:rsid w:val="00A84862"/>
    <w:rsid w:val="00A93B00"/>
    <w:rsid w:val="00A95C98"/>
    <w:rsid w:val="00AF7072"/>
    <w:rsid w:val="00B376E5"/>
    <w:rsid w:val="00B378AB"/>
    <w:rsid w:val="00B65D1A"/>
    <w:rsid w:val="00B95141"/>
    <w:rsid w:val="00BC77D5"/>
    <w:rsid w:val="00CD336D"/>
    <w:rsid w:val="00D60FF3"/>
    <w:rsid w:val="00D70702"/>
    <w:rsid w:val="00DA1A58"/>
    <w:rsid w:val="00DB6270"/>
    <w:rsid w:val="00DE468C"/>
    <w:rsid w:val="00DF1ACC"/>
    <w:rsid w:val="00E22522"/>
    <w:rsid w:val="00E250F2"/>
    <w:rsid w:val="00EC362A"/>
    <w:rsid w:val="00F063FD"/>
    <w:rsid w:val="00F117F5"/>
    <w:rsid w:val="00F16DA1"/>
    <w:rsid w:val="00F45A58"/>
    <w:rsid w:val="065310BC"/>
    <w:rsid w:val="07A031A0"/>
    <w:rsid w:val="116D6E9B"/>
    <w:rsid w:val="1C2B197C"/>
    <w:rsid w:val="1E614354"/>
    <w:rsid w:val="24226AA9"/>
    <w:rsid w:val="28AE33AE"/>
    <w:rsid w:val="2A810C6F"/>
    <w:rsid w:val="2B351E3B"/>
    <w:rsid w:val="2F7208DD"/>
    <w:rsid w:val="30772DB3"/>
    <w:rsid w:val="3133559A"/>
    <w:rsid w:val="342527CA"/>
    <w:rsid w:val="389F16B5"/>
    <w:rsid w:val="38BD45FF"/>
    <w:rsid w:val="3AB915FA"/>
    <w:rsid w:val="3ABF2A40"/>
    <w:rsid w:val="3E5818E3"/>
    <w:rsid w:val="41ED1033"/>
    <w:rsid w:val="442C5B81"/>
    <w:rsid w:val="452B2C17"/>
    <w:rsid w:val="46EF2CD0"/>
    <w:rsid w:val="48580401"/>
    <w:rsid w:val="498F529D"/>
    <w:rsid w:val="499F111B"/>
    <w:rsid w:val="4B0C2E7E"/>
    <w:rsid w:val="50C035DA"/>
    <w:rsid w:val="51F00BDF"/>
    <w:rsid w:val="53F354E2"/>
    <w:rsid w:val="563769D0"/>
    <w:rsid w:val="5B5F0673"/>
    <w:rsid w:val="626D4B44"/>
    <w:rsid w:val="65057DCC"/>
    <w:rsid w:val="6C425305"/>
    <w:rsid w:val="76DC7A09"/>
    <w:rsid w:val="77EE189C"/>
    <w:rsid w:val="784B0870"/>
    <w:rsid w:val="7EB50B29"/>
    <w:rsid w:val="7EDA3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50F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250F2"/>
    <w:pPr>
      <w:jc w:val="left"/>
      <w:outlineLvl w:val="2"/>
    </w:pPr>
    <w:rPr>
      <w:rFonts w:ascii="宋体" w:eastAsia="宋体" w:hAnsi="宋体" w:cs="Times New Roman" w:hint="eastAsia"/>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250F2"/>
    <w:pPr>
      <w:ind w:firstLineChars="100" w:firstLine="420"/>
    </w:pPr>
    <w:rPr>
      <w:rFonts w:ascii="宋体" w:eastAsia="宋体" w:hAnsi="Times New Roman" w:cs="Times New Roman"/>
      <w:kern w:val="0"/>
      <w:sz w:val="34"/>
      <w:szCs w:val="20"/>
    </w:rPr>
  </w:style>
  <w:style w:type="paragraph" w:styleId="a4">
    <w:name w:val="Body Text"/>
    <w:basedOn w:val="a"/>
    <w:uiPriority w:val="99"/>
    <w:unhideWhenUsed/>
    <w:qFormat/>
    <w:rsid w:val="00E250F2"/>
    <w:pPr>
      <w:spacing w:after="120"/>
    </w:pPr>
  </w:style>
  <w:style w:type="paragraph" w:styleId="a5">
    <w:name w:val="annotation text"/>
    <w:basedOn w:val="a"/>
    <w:qFormat/>
    <w:rsid w:val="00E250F2"/>
    <w:pPr>
      <w:jc w:val="left"/>
    </w:pPr>
  </w:style>
  <w:style w:type="paragraph" w:styleId="a6">
    <w:name w:val="footer"/>
    <w:basedOn w:val="a"/>
    <w:link w:val="Char"/>
    <w:qFormat/>
    <w:rsid w:val="00E250F2"/>
    <w:pPr>
      <w:tabs>
        <w:tab w:val="center" w:pos="4153"/>
        <w:tab w:val="right" w:pos="8306"/>
      </w:tabs>
      <w:snapToGrid w:val="0"/>
      <w:jc w:val="left"/>
    </w:pPr>
    <w:rPr>
      <w:sz w:val="18"/>
      <w:szCs w:val="18"/>
    </w:rPr>
  </w:style>
  <w:style w:type="paragraph" w:styleId="a7">
    <w:name w:val="header"/>
    <w:basedOn w:val="a"/>
    <w:link w:val="Char0"/>
    <w:qFormat/>
    <w:rsid w:val="00E250F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250F2"/>
    <w:rPr>
      <w:rFonts w:ascii="Calibri" w:eastAsia="宋体" w:hAnsi="Calibri" w:cs="Times New Roman"/>
      <w:sz w:val="24"/>
    </w:rPr>
  </w:style>
  <w:style w:type="character" w:styleId="a9">
    <w:name w:val="FollowedHyperlink"/>
    <w:basedOn w:val="a1"/>
    <w:qFormat/>
    <w:rsid w:val="00E250F2"/>
    <w:rPr>
      <w:color w:val="000000"/>
      <w:u w:val="none"/>
    </w:rPr>
  </w:style>
  <w:style w:type="character" w:styleId="aa">
    <w:name w:val="Emphasis"/>
    <w:basedOn w:val="a1"/>
    <w:qFormat/>
    <w:rsid w:val="00E250F2"/>
  </w:style>
  <w:style w:type="character" w:styleId="ab">
    <w:name w:val="Hyperlink"/>
    <w:basedOn w:val="a1"/>
    <w:qFormat/>
    <w:rsid w:val="00E250F2"/>
    <w:rPr>
      <w:color w:val="000000"/>
      <w:u w:val="none"/>
    </w:rPr>
  </w:style>
  <w:style w:type="character" w:customStyle="1" w:styleId="hover">
    <w:name w:val="hover"/>
    <w:basedOn w:val="a1"/>
    <w:qFormat/>
    <w:rsid w:val="00E250F2"/>
  </w:style>
  <w:style w:type="character" w:customStyle="1" w:styleId="red">
    <w:name w:val="red"/>
    <w:basedOn w:val="a1"/>
    <w:qFormat/>
    <w:rsid w:val="00E250F2"/>
    <w:rPr>
      <w:color w:val="FF0000"/>
      <w:sz w:val="18"/>
      <w:szCs w:val="18"/>
    </w:rPr>
  </w:style>
  <w:style w:type="character" w:customStyle="1" w:styleId="red1">
    <w:name w:val="red1"/>
    <w:basedOn w:val="a1"/>
    <w:qFormat/>
    <w:rsid w:val="00E250F2"/>
    <w:rPr>
      <w:color w:val="FF0000"/>
      <w:sz w:val="18"/>
      <w:szCs w:val="18"/>
    </w:rPr>
  </w:style>
  <w:style w:type="character" w:customStyle="1" w:styleId="red2">
    <w:name w:val="red2"/>
    <w:basedOn w:val="a1"/>
    <w:qFormat/>
    <w:rsid w:val="00E250F2"/>
    <w:rPr>
      <w:color w:val="CC0000"/>
    </w:rPr>
  </w:style>
  <w:style w:type="character" w:customStyle="1" w:styleId="red3">
    <w:name w:val="red3"/>
    <w:basedOn w:val="a1"/>
    <w:qFormat/>
    <w:rsid w:val="00E250F2"/>
    <w:rPr>
      <w:color w:val="FF0000"/>
    </w:rPr>
  </w:style>
  <w:style w:type="character" w:customStyle="1" w:styleId="green">
    <w:name w:val="green"/>
    <w:basedOn w:val="a1"/>
    <w:qFormat/>
    <w:rsid w:val="00E250F2"/>
    <w:rPr>
      <w:color w:val="66AE00"/>
      <w:sz w:val="18"/>
      <w:szCs w:val="18"/>
    </w:rPr>
  </w:style>
  <w:style w:type="character" w:customStyle="1" w:styleId="green1">
    <w:name w:val="green1"/>
    <w:basedOn w:val="a1"/>
    <w:qFormat/>
    <w:rsid w:val="00E250F2"/>
    <w:rPr>
      <w:color w:val="66AE00"/>
      <w:sz w:val="18"/>
      <w:szCs w:val="18"/>
    </w:rPr>
  </w:style>
  <w:style w:type="character" w:customStyle="1" w:styleId="gb-jt">
    <w:name w:val="gb-jt"/>
    <w:basedOn w:val="a1"/>
    <w:qFormat/>
    <w:rsid w:val="00E250F2"/>
  </w:style>
  <w:style w:type="character" w:customStyle="1" w:styleId="blue">
    <w:name w:val="blue"/>
    <w:basedOn w:val="a1"/>
    <w:qFormat/>
    <w:rsid w:val="00E250F2"/>
    <w:rPr>
      <w:color w:val="0371C6"/>
      <w:sz w:val="21"/>
      <w:szCs w:val="21"/>
    </w:rPr>
  </w:style>
  <w:style w:type="character" w:customStyle="1" w:styleId="right">
    <w:name w:val="right"/>
    <w:basedOn w:val="a1"/>
    <w:qFormat/>
    <w:rsid w:val="00E250F2"/>
    <w:rPr>
      <w:color w:val="999999"/>
      <w:sz w:val="18"/>
      <w:szCs w:val="18"/>
    </w:rPr>
  </w:style>
  <w:style w:type="character" w:customStyle="1" w:styleId="hover25">
    <w:name w:val="hover25"/>
    <w:basedOn w:val="a1"/>
    <w:qFormat/>
    <w:rsid w:val="00E250F2"/>
  </w:style>
  <w:style w:type="character" w:customStyle="1" w:styleId="Char0">
    <w:name w:val="页眉 Char"/>
    <w:basedOn w:val="a1"/>
    <w:link w:val="a7"/>
    <w:qFormat/>
    <w:rsid w:val="00E250F2"/>
    <w:rPr>
      <w:rFonts w:asciiTheme="minorHAnsi" w:eastAsiaTheme="minorEastAsia" w:hAnsiTheme="minorHAnsi" w:cstheme="minorBidi"/>
      <w:kern w:val="2"/>
      <w:sz w:val="18"/>
      <w:szCs w:val="18"/>
    </w:rPr>
  </w:style>
  <w:style w:type="character" w:customStyle="1" w:styleId="Char">
    <w:name w:val="页脚 Char"/>
    <w:basedOn w:val="a1"/>
    <w:link w:val="a6"/>
    <w:qFormat/>
    <w:rsid w:val="00E250F2"/>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E250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8212</Words>
  <Characters>659</Characters>
  <Application>Microsoft Office Word</Application>
  <DocSecurity>0</DocSecurity>
  <Lines>5</Lines>
  <Paragraphs>17</Paragraphs>
  <ScaleCrop>false</ScaleCrop>
  <Company>Microsoft</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sgj</dc:creator>
  <cp:lastModifiedBy>许昌市公共资源交易中心:黄莹莹</cp:lastModifiedBy>
  <cp:revision>2</cp:revision>
  <cp:lastPrinted>2019-04-24T09:28:00Z</cp:lastPrinted>
  <dcterms:created xsi:type="dcterms:W3CDTF">2023-05-23T02:11:00Z</dcterms:created>
  <dcterms:modified xsi:type="dcterms:W3CDTF">2023-05-23T02:11:00Z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