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cstheme="majorEastAsia"/>
          <w:b/>
          <w:bCs/>
          <w:color w:val="000000"/>
          <w:sz w:val="44"/>
          <w:szCs w:val="44"/>
        </w:rPr>
      </w:pPr>
    </w:p>
    <w:p>
      <w:pPr>
        <w:jc w:val="center"/>
        <w:rPr>
          <w:rFonts w:asciiTheme="majorEastAsia" w:hAnsiTheme="majorEastAsia" w:eastAsiaTheme="majorEastAsia" w:cstheme="majorEastAsia"/>
          <w:b/>
          <w:bCs/>
          <w:color w:val="000000"/>
          <w:sz w:val="44"/>
          <w:szCs w:val="44"/>
        </w:rPr>
      </w:pPr>
      <w:r>
        <w:rPr>
          <w:rFonts w:hint="eastAsia" w:asciiTheme="majorEastAsia" w:hAnsiTheme="majorEastAsia" w:eastAsiaTheme="majorEastAsia" w:cstheme="majorEastAsia"/>
          <w:b/>
          <w:bCs/>
          <w:color w:val="000000"/>
          <w:sz w:val="44"/>
          <w:szCs w:val="44"/>
        </w:rPr>
        <w:t>许昌科技学校“河南省职业学校“双高”项目建设（二）(不见面开标)”项目</w:t>
      </w:r>
    </w:p>
    <w:p>
      <w:pPr>
        <w:rPr>
          <w:rFonts w:ascii="微软简隶书" w:eastAsia="微软简隶书"/>
          <w:color w:val="000000"/>
          <w:u w:val="single"/>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jc w:val="center"/>
        <w:rPr>
          <w:rFonts w:asciiTheme="majorEastAsia" w:hAnsiTheme="majorEastAsia" w:eastAsiaTheme="majorEastAsia" w:cstheme="majorEastAsia"/>
          <w:bCs/>
          <w:color w:val="000000"/>
          <w:w w:val="90"/>
          <w:sz w:val="120"/>
          <w:szCs w:val="120"/>
        </w:rPr>
      </w:pPr>
      <w:r>
        <w:rPr>
          <w:rFonts w:hint="eastAsia" w:asciiTheme="majorEastAsia" w:hAnsiTheme="majorEastAsia" w:eastAsiaTheme="majorEastAsia" w:cstheme="majorEastAsia"/>
          <w:bCs/>
          <w:color w:val="000000"/>
          <w:w w:val="90"/>
          <w:sz w:val="120"/>
          <w:szCs w:val="120"/>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Theme="majorEastAsia" w:hAnsiTheme="majorEastAsia" w:eastAsiaTheme="majorEastAsia" w:cstheme="majorEastAsia"/>
          <w:b/>
          <w:bCs/>
          <w:color w:val="000000"/>
          <w:sz w:val="36"/>
          <w:szCs w:val="36"/>
        </w:rPr>
      </w:pPr>
      <w:r>
        <w:rPr>
          <w:rFonts w:hint="eastAsia" w:ascii="隶书" w:eastAsia="隶书"/>
          <w:b/>
          <w:bCs/>
          <w:color w:val="000000"/>
          <w:sz w:val="36"/>
        </w:rPr>
        <w:t xml:space="preserve">   </w:t>
      </w:r>
      <w:r>
        <w:rPr>
          <w:rFonts w:hint="eastAsia" w:asciiTheme="majorEastAsia" w:hAnsiTheme="majorEastAsia" w:eastAsiaTheme="majorEastAsia" w:cstheme="majorEastAsia"/>
          <w:b/>
          <w:bCs/>
          <w:color w:val="000000"/>
          <w:sz w:val="36"/>
          <w:szCs w:val="36"/>
        </w:rPr>
        <w:t xml:space="preserve">   项目编号：ZFCG-G2020</w:t>
      </w:r>
      <w:r>
        <w:rPr>
          <w:rFonts w:hint="eastAsia" w:asciiTheme="majorEastAsia" w:hAnsiTheme="majorEastAsia" w:eastAsiaTheme="majorEastAsia" w:cstheme="majorEastAsia"/>
          <w:b/>
          <w:bCs/>
          <w:color w:val="000000"/>
          <w:sz w:val="36"/>
          <w:szCs w:val="36"/>
          <w:lang w:val="en-US" w:eastAsia="zh-CN"/>
        </w:rPr>
        <w:t>081</w:t>
      </w:r>
      <w:r>
        <w:rPr>
          <w:rFonts w:hint="eastAsia" w:asciiTheme="majorEastAsia" w:hAnsiTheme="majorEastAsia" w:eastAsiaTheme="majorEastAsia" w:cstheme="majorEastAsia"/>
          <w:b/>
          <w:bCs/>
          <w:color w:val="000000"/>
          <w:sz w:val="36"/>
          <w:szCs w:val="36"/>
        </w:rPr>
        <w:t>号</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采购单位：许昌科技学校</w:t>
      </w:r>
    </w:p>
    <w:p>
      <w:pPr>
        <w:ind w:firstLine="1084" w:firstLineChars="300"/>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代理机构：许昌市政府采购服务中心</w:t>
      </w:r>
    </w:p>
    <w:p>
      <w:pP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 xml:space="preserve">      </w:t>
      </w:r>
    </w:p>
    <w:p>
      <w:pPr>
        <w:jc w:val="center"/>
        <w:rPr>
          <w:rFonts w:asciiTheme="majorEastAsia" w:hAnsiTheme="majorEastAsia" w:eastAsiaTheme="majorEastAsia" w:cstheme="majorEastAsia"/>
          <w:b/>
          <w:bCs/>
          <w:color w:val="000000"/>
          <w:sz w:val="36"/>
          <w:szCs w:val="36"/>
        </w:rPr>
      </w:pPr>
      <w:r>
        <w:rPr>
          <w:rFonts w:hint="eastAsia" w:asciiTheme="majorEastAsia" w:hAnsiTheme="majorEastAsia" w:eastAsiaTheme="majorEastAsia" w:cstheme="majorEastAsia"/>
          <w:b/>
          <w:bCs/>
          <w:color w:val="000000"/>
          <w:sz w:val="36"/>
          <w:szCs w:val="36"/>
        </w:rPr>
        <w:t>二〇二〇年</w:t>
      </w:r>
      <w:r>
        <w:rPr>
          <w:rFonts w:hint="eastAsia" w:asciiTheme="majorEastAsia" w:hAnsiTheme="majorEastAsia" w:eastAsiaTheme="majorEastAsia" w:cstheme="majorEastAsia"/>
          <w:b/>
          <w:bCs/>
          <w:color w:val="000000"/>
          <w:sz w:val="36"/>
          <w:szCs w:val="36"/>
          <w:lang w:eastAsia="zh-CN"/>
        </w:rPr>
        <w:t>六</w:t>
      </w:r>
      <w:r>
        <w:rPr>
          <w:rFonts w:hint="eastAsia" w:asciiTheme="majorEastAsia" w:hAnsiTheme="majorEastAsia" w:eastAsiaTheme="majorEastAsia" w:cstheme="majorEastAsia"/>
          <w:b/>
          <w:bCs/>
          <w:color w:val="000000"/>
          <w:sz w:val="36"/>
          <w:szCs w:val="36"/>
        </w:rPr>
        <w:t>月</w:t>
      </w:r>
      <w:r>
        <w:rPr>
          <w:rFonts w:hint="eastAsia" w:asciiTheme="majorEastAsia" w:hAnsiTheme="majorEastAsia" w:eastAsiaTheme="majorEastAsia" w:cstheme="majorEastAsia"/>
          <w:b/>
          <w:bCs/>
          <w:color w:val="000000"/>
          <w:sz w:val="36"/>
          <w:szCs w:val="36"/>
          <w:lang w:eastAsia="zh-CN"/>
        </w:rPr>
        <w:t>二十二</w:t>
      </w:r>
      <w:r>
        <w:rPr>
          <w:rFonts w:hint="eastAsia" w:asciiTheme="majorEastAsia" w:hAnsiTheme="majorEastAsia" w:eastAsiaTheme="majorEastAsia" w:cstheme="majorEastAsia"/>
          <w:b/>
          <w:bCs/>
          <w:color w:val="000000"/>
          <w:sz w:val="36"/>
          <w:szCs w:val="36"/>
        </w:rPr>
        <w:t>日</w:t>
      </w:r>
    </w:p>
    <w:p>
      <w:pPr>
        <w:rPr>
          <w:rFonts w:asciiTheme="majorEastAsia" w:hAnsiTheme="majorEastAsia" w:eastAsiaTheme="majorEastAsia" w:cstheme="majorEastAsia"/>
          <w:b/>
          <w:bCs/>
          <w:color w:val="000000"/>
          <w:sz w:val="36"/>
          <w:szCs w:val="36"/>
        </w:rPr>
      </w:pPr>
    </w:p>
    <w:p>
      <w:pPr>
        <w:autoSpaceDE w:val="0"/>
        <w:autoSpaceDN w:val="0"/>
        <w:adjustRightInd w:val="0"/>
        <w:spacing w:line="700" w:lineRule="exact"/>
        <w:ind w:firstLine="551"/>
        <w:jc w:val="center"/>
        <w:rPr>
          <w:rFonts w:cs="宋体" w:asciiTheme="majorEastAsia" w:hAnsiTheme="majorEastAsia" w:eastAsiaTheme="majorEastAsia"/>
          <w:b/>
          <w:kern w:val="0"/>
          <w:sz w:val="44"/>
          <w:szCs w:val="44"/>
        </w:rPr>
      </w:pPr>
      <w:r>
        <w:rPr>
          <w:rFonts w:hint="eastAsia" w:cs="宋体" w:asciiTheme="majorEastAsia" w:hAnsiTheme="majorEastAsia" w:eastAsiaTheme="majorEastAsia"/>
          <w:b/>
          <w:kern w:val="0"/>
          <w:sz w:val="44"/>
          <w:szCs w:val="44"/>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第三章 </w:t>
      </w:r>
      <w:r>
        <w:rPr>
          <w:rFonts w:hint="eastAsia" w:asciiTheme="majorEastAsia" w:hAnsiTheme="majorEastAsia" w:eastAsiaTheme="majorEastAsia" w:cstheme="majorEastAsia"/>
          <w:b/>
          <w:kern w:val="0"/>
          <w:sz w:val="30"/>
          <w:szCs w:val="30"/>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第四章 </w:t>
      </w:r>
      <w:r>
        <w:rPr>
          <w:rFonts w:hint="eastAsia" w:asciiTheme="majorEastAsia" w:hAnsiTheme="majorEastAsia" w:eastAsiaTheme="majorEastAsia" w:cstheme="majorEastAsia"/>
          <w:b/>
          <w:kern w:val="0"/>
          <w:sz w:val="30"/>
          <w:szCs w:val="30"/>
        </w:rPr>
        <w:t>投标人须知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第五章 </w:t>
      </w:r>
      <w:r>
        <w:rPr>
          <w:rFonts w:hint="eastAsia" w:asciiTheme="majorEastAsia" w:hAnsiTheme="majorEastAsia" w:eastAsiaTheme="majorEastAsia" w:cstheme="majorEastAsia"/>
          <w:b/>
          <w:kern w:val="0"/>
          <w:sz w:val="30"/>
          <w:szCs w:val="30"/>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第六章 </w:t>
      </w:r>
      <w:r>
        <w:rPr>
          <w:rFonts w:hint="eastAsia" w:asciiTheme="majorEastAsia" w:hAnsiTheme="majorEastAsia" w:eastAsiaTheme="majorEastAsia" w:cstheme="majorEastAsia"/>
          <w:b/>
          <w:kern w:val="0"/>
          <w:sz w:val="30"/>
          <w:szCs w:val="30"/>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b/>
          <w:bCs/>
          <w:sz w:val="30"/>
          <w:szCs w:val="30"/>
          <w:lang w:val="zh-CN"/>
        </w:rPr>
        <w:t xml:space="preserve">第七章 </w:t>
      </w:r>
      <w:r>
        <w:rPr>
          <w:rFonts w:hint="eastAsia" w:asciiTheme="majorEastAsia" w:hAnsiTheme="majorEastAsia" w:eastAsiaTheme="majorEastAsia" w:cstheme="majorEastAsia"/>
          <w:b/>
          <w:kern w:val="0"/>
          <w:sz w:val="30"/>
          <w:szCs w:val="30"/>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0"/>
          <w:szCs w:val="30"/>
        </w:rPr>
      </w:pPr>
      <w:r>
        <w:rPr>
          <w:rFonts w:hint="eastAsia" w:asciiTheme="majorEastAsia" w:hAnsiTheme="majorEastAsia" w:eastAsiaTheme="majorEastAsia" w:cstheme="majorEastAsia"/>
          <w:b/>
          <w:bCs/>
          <w:sz w:val="30"/>
          <w:szCs w:val="30"/>
          <w:lang w:val="zh-CN"/>
        </w:rPr>
        <w:t xml:space="preserve">第八章 </w:t>
      </w:r>
      <w:r>
        <w:rPr>
          <w:rFonts w:hint="eastAsia" w:asciiTheme="majorEastAsia" w:hAnsiTheme="majorEastAsia" w:eastAsiaTheme="majorEastAsia" w:cstheme="majorEastAsia"/>
          <w:b/>
          <w:kern w:val="0"/>
          <w:sz w:val="30"/>
          <w:szCs w:val="30"/>
        </w:rPr>
        <w:t>投标文件有关格式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投标邀请</w:t>
      </w:r>
    </w:p>
    <w:p>
      <w:pPr>
        <w:pStyle w:val="20"/>
        <w:widowControl/>
        <w:shd w:val="clear" w:color="auto" w:fill="FFFFFF"/>
        <w:spacing w:line="360" w:lineRule="auto"/>
        <w:ind w:firstLine="420" w:firstLineChars="200"/>
        <w:contextualSpacing/>
        <w:jc w:val="left"/>
        <w:rPr>
          <w:color w:val="000000"/>
          <w:sz w:val="21"/>
          <w:szCs w:val="21"/>
          <w:shd w:val="clear" w:color="auto" w:fill="FFFFFF"/>
        </w:rPr>
      </w:pPr>
    </w:p>
    <w:p>
      <w:pPr>
        <w:pStyle w:val="20"/>
        <w:widowControl/>
        <w:shd w:val="clear" w:color="auto" w:fill="FFFFFF"/>
        <w:spacing w:line="360" w:lineRule="auto"/>
        <w:ind w:firstLine="420" w:firstLineChars="200"/>
        <w:contextualSpacing/>
        <w:jc w:val="left"/>
        <w:rPr>
          <w:color w:val="000000"/>
          <w:sz w:val="21"/>
          <w:szCs w:val="21"/>
          <w:shd w:val="clear" w:color="auto" w:fill="FFFFFF"/>
        </w:rPr>
      </w:pPr>
      <w:r>
        <w:rPr>
          <w:rFonts w:hint="eastAsia"/>
          <w:color w:val="000000"/>
          <w:sz w:val="21"/>
          <w:szCs w:val="21"/>
          <w:shd w:val="clear" w:color="auto" w:fill="FFFFFF"/>
        </w:rPr>
        <w:t>许昌市政府采购服</w:t>
      </w:r>
      <w:r>
        <w:rPr>
          <w:rFonts w:hint="eastAsia" w:cs="仿宋_GB2312" w:asciiTheme="minorEastAsia" w:hAnsiTheme="minorEastAsia" w:eastAsiaTheme="minorEastAsia"/>
          <w:color w:val="000000"/>
          <w:sz w:val="21"/>
          <w:szCs w:val="21"/>
          <w:shd w:val="clear" w:color="auto" w:fill="FFFFFF"/>
        </w:rPr>
        <w:t>务中心(以下简称采购中心) 受许昌科技学校的委托，对“河南省职业学校“双高”项目建设（二）(不见面开标)”项目进行公开招标。现邀请符合本招标文件规定条件的投标人前来投标。</w:t>
      </w:r>
    </w:p>
    <w:p>
      <w:pPr>
        <w:pStyle w:val="20"/>
        <w:widowControl/>
        <w:shd w:val="clear" w:color="auto" w:fill="FFFFFF"/>
        <w:spacing w:line="360" w:lineRule="auto"/>
        <w:contextualSpacing/>
        <w:jc w:val="left"/>
        <w:rPr>
          <w:rFonts w:cs="黑体" w:asciiTheme="minorEastAsia" w:hAnsiTheme="minorEastAsia" w:eastAsiaTheme="minorEastAsia"/>
          <w:b/>
          <w:bCs/>
          <w:color w:val="000000"/>
          <w:sz w:val="21"/>
          <w:szCs w:val="21"/>
        </w:rPr>
      </w:pPr>
      <w:r>
        <w:rPr>
          <w:rFonts w:hint="eastAsia" w:ascii="黑体" w:hAnsi="黑体" w:eastAsia="黑体" w:cs="黑体"/>
          <w:bCs/>
          <w:color w:val="000000"/>
          <w:sz w:val="21"/>
          <w:szCs w:val="21"/>
          <w:shd w:val="clear" w:color="auto" w:fill="FFFFFF"/>
        </w:rPr>
        <w:t xml:space="preserve">    </w:t>
      </w:r>
      <w:r>
        <w:rPr>
          <w:rFonts w:hint="eastAsia" w:cs="黑体" w:asciiTheme="minorEastAsia" w:hAnsiTheme="minorEastAsia" w:eastAsiaTheme="minorEastAsia"/>
          <w:b/>
          <w:bCs/>
          <w:color w:val="000000"/>
          <w:sz w:val="21"/>
          <w:szCs w:val="21"/>
          <w:shd w:val="clear" w:color="auto" w:fill="FFFFFF"/>
        </w:rPr>
        <w:t>一、项目基本情况</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（一）项目名称：河南省职业学校“双高”项目建设（二）(不见面开标)</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（二）项目编号：ZFCG-G2020</w:t>
      </w:r>
      <w:r>
        <w:rPr>
          <w:rFonts w:hint="eastAsia" w:cs="仿宋_GB2312" w:asciiTheme="minorEastAsia" w:hAnsiTheme="minorEastAsia" w:eastAsiaTheme="minorEastAsia"/>
          <w:color w:val="000000"/>
          <w:sz w:val="21"/>
          <w:szCs w:val="21"/>
          <w:shd w:val="clear" w:color="auto" w:fill="FFFFFF"/>
          <w:lang w:val="en-US" w:eastAsia="zh-CN"/>
        </w:rPr>
        <w:t>081</w:t>
      </w:r>
      <w:r>
        <w:rPr>
          <w:rFonts w:hint="eastAsia" w:cs="仿宋_GB2312" w:asciiTheme="minorEastAsia" w:hAnsiTheme="minorEastAsia" w:eastAsiaTheme="minorEastAsia"/>
          <w:color w:val="000000"/>
          <w:sz w:val="21"/>
          <w:szCs w:val="21"/>
          <w:shd w:val="clear" w:color="auto" w:fill="FFFFFF"/>
        </w:rPr>
        <w:t xml:space="preserve">号    </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 xml:space="preserve">（三）采购方式：公开招标                                                                                                                         </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四）项目主要内容、数量及要求：汽车运用与维修实训基地进行提升改造，整车实训室购置实训车辆3台，汽车尾气分析仪、汽车发动机配气机构及配套工具等实训设备23台（套）；汽车营销实训室购置汽车营销实训考核系统和汽车营销配件管理系统、汽车营销实训工具汽车配件等软硬件设施8台（套）；新能源汽车实训室购置实训车辆1台，配套的整车故障设置平台、充电设备装配与调试实训台等实训设备27台（套）。</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（五）预算金额：1730000元。最高限价：1730000元。</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（六）交付（服务、完工）时间 ：</w:t>
      </w:r>
      <w:bookmarkStart w:id="0" w:name="交付日期"/>
      <w:r>
        <w:rPr>
          <w:rFonts w:hint="eastAsia" w:cs="仿宋_GB2312" w:asciiTheme="minorEastAsia" w:hAnsiTheme="minorEastAsia" w:eastAsiaTheme="minorEastAsia"/>
          <w:color w:val="000000"/>
          <w:sz w:val="21"/>
          <w:szCs w:val="21"/>
        </w:rPr>
        <w:t>自合同生效</w:t>
      </w:r>
      <w:r>
        <w:rPr>
          <w:rFonts w:hint="eastAsia" w:cs="仿宋_GB2312" w:asciiTheme="minorEastAsia" w:hAnsiTheme="minorEastAsia" w:eastAsiaTheme="minorEastAsia"/>
          <w:color w:val="000000"/>
          <w:sz w:val="21"/>
          <w:szCs w:val="21"/>
          <w:shd w:val="clear" w:color="auto" w:fill="FFFFFF"/>
        </w:rPr>
        <w:t>之日起</w:t>
      </w:r>
      <w:bookmarkEnd w:id="0"/>
      <w:r>
        <w:rPr>
          <w:rFonts w:hint="eastAsia" w:cs="仿宋_GB2312" w:asciiTheme="minorEastAsia" w:hAnsiTheme="minorEastAsia" w:eastAsiaTheme="minorEastAsia"/>
          <w:color w:val="000000"/>
          <w:sz w:val="21"/>
          <w:szCs w:val="21"/>
          <w:shd w:val="clear" w:color="auto" w:fill="FFFFFF"/>
        </w:rPr>
        <w:t>45日</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（七）交付（服务、完工）地点：许昌科技学校</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（八）进口产品：不允许。</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（九）分包：不允许。</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本项目落实节能环保、中小微型企业、监狱企业、残疾人福利性单位扶持等相关政府采购政策。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三、投标人资格要求</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（一）符合《中华人民共和国政府采购法》第二十二条之规定。</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w:t>
      </w:r>
      <w:r>
        <w:rPr>
          <w:rFonts w:cs="仿宋_GB2312" w:asciiTheme="minorEastAsia" w:hAnsiTheme="minorEastAsia" w:eastAsiaTheme="minorEastAsia"/>
          <w:color w:val="000000"/>
          <w:sz w:val="21"/>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中国政府采购网</w:t>
      </w:r>
      <w:r>
        <w:rPr>
          <w:rFonts w:hint="eastAsia" w:cs="仿宋_GB2312" w:asciiTheme="minorEastAsia" w:hAnsiTheme="minorEastAsia" w:eastAsiaTheme="minorEastAsia"/>
          <w:color w:val="000000"/>
          <w:sz w:val="21"/>
          <w:szCs w:val="21"/>
          <w:shd w:val="clear" w:color="auto" w:fill="FFFFFF"/>
        </w:rPr>
        <w:t>”</w:t>
      </w:r>
      <w:r>
        <w:rPr>
          <w:rFonts w:cs="仿宋_GB2312" w:asciiTheme="minorEastAsia" w:hAnsiTheme="minorEastAsia" w:eastAsiaTheme="minorEastAsia"/>
          <w:color w:val="000000"/>
          <w:sz w:val="21"/>
          <w:szCs w:val="21"/>
          <w:shd w:val="clear" w:color="auto" w:fill="FFFFFF"/>
        </w:rPr>
        <w:t xml:space="preserve"> (www.ccgp.gov.cn)政府采购严重违法失信行为记录名单的投标人</w:t>
      </w:r>
      <w:r>
        <w:rPr>
          <w:rFonts w:hint="eastAsia" w:cs="仿宋_GB2312" w:asciiTheme="minorEastAsia" w:hAnsiTheme="minorEastAsia" w:eastAsiaTheme="minorEastAsia"/>
          <w:color w:val="000000"/>
          <w:sz w:val="21"/>
          <w:szCs w:val="21"/>
          <w:shd w:val="clear" w:color="auto" w:fill="FFFFFF"/>
        </w:rPr>
        <w:t>；“中国社会组织公共服务平台”网站（</w:t>
      </w:r>
      <w:r>
        <w:rPr>
          <w:rFonts w:cs="仿宋_GB2312" w:asciiTheme="minorEastAsia" w:hAnsiTheme="minorEastAsia" w:eastAsiaTheme="minorEastAsia"/>
          <w:color w:val="000000"/>
          <w:sz w:val="21"/>
          <w:szCs w:val="21"/>
          <w:shd w:val="clear" w:color="auto" w:fill="FFFFFF"/>
        </w:rPr>
        <w:t>www.chinanpo.gov.cn</w:t>
      </w:r>
      <w:r>
        <w:rPr>
          <w:rFonts w:hint="eastAsia" w:cs="仿宋_GB2312" w:asciiTheme="minorEastAsia" w:hAnsiTheme="minorEastAsia" w:eastAsiaTheme="minorEastAsia"/>
          <w:color w:val="000000"/>
          <w:sz w:val="21"/>
          <w:szCs w:val="21"/>
          <w:shd w:val="clear" w:color="auto" w:fill="FFFFFF"/>
        </w:rPr>
        <w:t>）严重违法失信名单的社会组织。</w:t>
      </w:r>
    </w:p>
    <w:p>
      <w:pPr>
        <w:pStyle w:val="20"/>
        <w:widowControl/>
        <w:shd w:val="clear" w:color="auto" w:fill="FFFFFF"/>
        <w:wordWrap w:val="0"/>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(三)本次招标不接受联合体投标。</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四、招标文件的获取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（一）持CA数字认证证书，登录《全国公共资源交易平台（河南省·许昌市）》“系统用户注册”入口http://</w:t>
      </w:r>
      <w:r>
        <w:t xml:space="preserve"> </w:t>
      </w:r>
      <w:r>
        <w:rPr>
          <w:rFonts w:cs="仿宋_GB2312" w:asciiTheme="minorEastAsia" w:hAnsiTheme="minorEastAsia" w:eastAsiaTheme="minorEastAsia"/>
          <w:color w:val="000000"/>
          <w:sz w:val="21"/>
          <w:szCs w:val="21"/>
          <w:shd w:val="clear" w:color="auto" w:fill="FFFFFF"/>
        </w:rPr>
        <w:t>ggzy.xuchang.gov.cn:8088/ggzy/eps/public/RegistAllJcxx.html</w:t>
      </w:r>
      <w:r>
        <w:rPr>
          <w:rFonts w:hint="eastAsia" w:cs="仿宋_GB2312" w:asciiTheme="minorEastAsia" w:hAnsiTheme="minorEastAsia" w:eastAsiaTheme="minorEastAsia"/>
          <w:color w:val="000000"/>
          <w:sz w:val="21"/>
          <w:szCs w:val="21"/>
          <w:shd w:val="clear" w:color="auto" w:fill="FFFFFF"/>
        </w:rPr>
        <w:t>）进行免费注册登记（详见“常见问题解答-诚信库网上注册相关资料下载”）；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r>
        <w:rPr>
          <w:rFonts w:hint="eastAsia" w:cs="仿宋_GB2312" w:asciiTheme="minorEastAsia" w:hAnsiTheme="minorEastAsia" w:eastAsiaTheme="minorEastAsia"/>
          <w:color w:val="000000"/>
          <w:sz w:val="21"/>
          <w:szCs w:val="21"/>
          <w:shd w:val="clear" w:color="auto" w:fill="FFFFFF"/>
        </w:rPr>
        <w:t>（二）在投标截止时间前均可登录《全国公共资源交易平台（河南省·许昌市）》“投标人/供应商登录”入口（</w:t>
      </w:r>
      <w:r>
        <w:rPr>
          <w:rFonts w:cs="仿宋_GB2312" w:asciiTheme="minorEastAsia" w:hAnsiTheme="minorEastAsia" w:eastAsiaTheme="minorEastAsia"/>
          <w:color w:val="000000"/>
          <w:sz w:val="21"/>
          <w:szCs w:val="21"/>
          <w:shd w:val="clear" w:color="auto" w:fill="FFFFFF"/>
        </w:rPr>
        <w:t>ggzy.xuchang.gov.cn:8088/ggzy/</w:t>
      </w:r>
      <w:r>
        <w:rPr>
          <w:rFonts w:hint="eastAsia" w:cs="仿宋_GB2312" w:asciiTheme="minorEastAsia" w:hAnsiTheme="minorEastAsia" w:eastAsiaTheme="minorEastAsia"/>
          <w:color w:val="000000"/>
          <w:sz w:val="21"/>
          <w:szCs w:val="21"/>
          <w:shd w:val="clear" w:color="auto" w:fill="FFFFFF"/>
        </w:rPr>
        <w:t>）自行免费下载招标文件（详见“常见问题解答-交易系统操作手册”）。</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五、投标截止时间、开标时间及地点</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（一）投标截止及开标时间：2020年</w:t>
      </w:r>
      <w:r>
        <w:rPr>
          <w:rFonts w:hint="eastAsia" w:cs="仿宋_GB2312" w:asciiTheme="minorEastAsia" w:hAnsiTheme="minorEastAsia" w:eastAsiaTheme="minorEastAsia"/>
          <w:color w:val="000000"/>
          <w:sz w:val="21"/>
          <w:szCs w:val="21"/>
          <w:u w:val="single"/>
          <w:lang w:val="en-US" w:eastAsia="zh-CN"/>
        </w:rPr>
        <w:t>7</w:t>
      </w:r>
      <w:r>
        <w:rPr>
          <w:rFonts w:hint="eastAsia" w:cs="仿宋_GB2312" w:asciiTheme="minorEastAsia" w:hAnsiTheme="minorEastAsia" w:eastAsiaTheme="minorEastAsia"/>
          <w:color w:val="000000"/>
          <w:sz w:val="21"/>
          <w:szCs w:val="21"/>
        </w:rPr>
        <w:t>月</w:t>
      </w:r>
      <w:r>
        <w:rPr>
          <w:rFonts w:hint="eastAsia" w:cs="仿宋_GB2312" w:asciiTheme="minorEastAsia" w:hAnsiTheme="minorEastAsia" w:eastAsiaTheme="minorEastAsia"/>
          <w:color w:val="000000"/>
          <w:sz w:val="21"/>
          <w:szCs w:val="21"/>
          <w:u w:val="single"/>
          <w:lang w:val="en-US" w:eastAsia="zh-CN"/>
        </w:rPr>
        <w:t>14</w:t>
      </w:r>
      <w:r>
        <w:rPr>
          <w:rFonts w:hint="eastAsia" w:cs="仿宋_GB2312" w:asciiTheme="minorEastAsia" w:hAnsiTheme="minorEastAsia" w:eastAsiaTheme="minorEastAsia"/>
          <w:color w:val="000000"/>
          <w:sz w:val="21"/>
          <w:szCs w:val="21"/>
        </w:rPr>
        <w:t>日</w:t>
      </w:r>
      <w:r>
        <w:rPr>
          <w:rFonts w:hint="eastAsia" w:cs="仿宋_GB2312" w:asciiTheme="minorEastAsia" w:hAnsiTheme="minorEastAsia" w:eastAsiaTheme="minorEastAsia"/>
          <w:color w:val="000000"/>
          <w:sz w:val="21"/>
          <w:szCs w:val="21"/>
          <w:u w:val="single"/>
          <w:lang w:val="en-US" w:eastAsia="zh-CN"/>
        </w:rPr>
        <w:t>8</w:t>
      </w:r>
      <w:r>
        <w:rPr>
          <w:rFonts w:hint="eastAsia" w:cs="仿宋_GB2312" w:asciiTheme="minorEastAsia" w:hAnsiTheme="minorEastAsia" w:eastAsiaTheme="minorEastAsia"/>
          <w:color w:val="000000"/>
          <w:sz w:val="21"/>
          <w:szCs w:val="21"/>
        </w:rPr>
        <w:t>时</w:t>
      </w:r>
      <w:r>
        <w:rPr>
          <w:rFonts w:hint="eastAsia" w:cs="仿宋_GB2312" w:asciiTheme="minorEastAsia" w:hAnsiTheme="minorEastAsia" w:eastAsiaTheme="minorEastAsia"/>
          <w:color w:val="000000"/>
          <w:sz w:val="21"/>
          <w:szCs w:val="21"/>
          <w:u w:val="single"/>
          <w:lang w:val="en-US" w:eastAsia="zh-CN"/>
        </w:rPr>
        <w:t>30</w:t>
      </w:r>
      <w:r>
        <w:rPr>
          <w:rFonts w:hint="eastAsia" w:cs="仿宋_GB2312" w:asciiTheme="minorEastAsia" w:hAnsiTheme="minorEastAsia" w:eastAsiaTheme="minorEastAsia"/>
          <w:color w:val="000000"/>
          <w:sz w:val="21"/>
          <w:szCs w:val="21"/>
        </w:rPr>
        <w:t>分（北京时间），逾期提交或不符合规定的投标文件不予接受。</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000000"/>
          <w:sz w:val="21"/>
          <w:szCs w:val="21"/>
        </w:rPr>
        <w:t>（二）开标地点：许昌市公共资源交易</w:t>
      </w:r>
      <w:r>
        <w:rPr>
          <w:rFonts w:hint="eastAsia" w:cs="仿宋_GB2312" w:asciiTheme="minorEastAsia" w:hAnsiTheme="minorEastAsia" w:eastAsiaTheme="minorEastAsia"/>
          <w:color w:val="auto"/>
          <w:sz w:val="21"/>
          <w:szCs w:val="21"/>
        </w:rPr>
        <w:t>中心三楼开标</w:t>
      </w:r>
      <w:r>
        <w:rPr>
          <w:rFonts w:hint="eastAsia" w:cs="仿宋_GB2312" w:asciiTheme="minorEastAsia" w:hAnsiTheme="minorEastAsia" w:eastAsiaTheme="minorEastAsia"/>
          <w:color w:val="auto"/>
          <w:sz w:val="21"/>
          <w:szCs w:val="21"/>
          <w:u w:val="single"/>
          <w:lang w:eastAsia="zh-CN"/>
        </w:rPr>
        <w:t>五</w:t>
      </w:r>
      <w:r>
        <w:rPr>
          <w:rFonts w:hint="eastAsia" w:cs="仿宋_GB2312" w:asciiTheme="minorEastAsia" w:hAnsiTheme="minorEastAsia" w:eastAsiaTheme="minorEastAsia"/>
          <w:color w:val="auto"/>
          <w:sz w:val="21"/>
          <w:szCs w:val="21"/>
        </w:rPr>
        <w:t>室。（</w:t>
      </w:r>
      <w:r>
        <w:rPr>
          <w:rFonts w:hint="eastAsia" w:cs="Arial" w:asciiTheme="minorEastAsia" w:hAnsiTheme="minorEastAsia" w:eastAsiaTheme="minorEastAsia"/>
          <w:b/>
          <w:color w:val="auto"/>
          <w:sz w:val="21"/>
          <w:szCs w:val="21"/>
        </w:rPr>
        <w:t>本项目采用远程不见面开标，投标人无须到现场</w:t>
      </w:r>
      <w:r>
        <w:rPr>
          <w:rFonts w:hint="eastAsia" w:cs="Arial" w:asciiTheme="minorEastAsia" w:hAnsiTheme="minorEastAsia" w:eastAsiaTheme="minorEastAsia"/>
          <w:color w:val="auto"/>
          <w:sz w:val="21"/>
          <w:szCs w:val="21"/>
        </w:rPr>
        <w:t>）</w:t>
      </w:r>
      <w:r>
        <w:rPr>
          <w:rFonts w:hint="eastAsia" w:cs="仿宋_GB2312" w:asciiTheme="minorEastAsia" w:hAnsiTheme="minorEastAsia" w:eastAsiaTheme="minorEastAsia"/>
          <w:color w:val="auto"/>
          <w:sz w:val="21"/>
          <w:szCs w:val="21"/>
        </w:rPr>
        <w:t>。</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（三） 本项目为全流程电子化交易项目，投标人须提交电子投标文件。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1、加密电子投标文件</w:t>
      </w:r>
      <w:r>
        <w:rPr>
          <w:rFonts w:hint="eastAsia" w:cs="宋体" w:asciiTheme="minorEastAsia" w:hAnsiTheme="minorEastAsia"/>
          <w:color w:val="auto"/>
          <w:sz w:val="21"/>
          <w:szCs w:val="21"/>
        </w:rPr>
        <w:t>（</w:t>
      </w:r>
      <w:r>
        <w:rPr>
          <w:rFonts w:asciiTheme="minorEastAsia" w:hAnsiTheme="minorEastAsia" w:eastAsiaTheme="minorEastAsia"/>
          <w:color w:val="auto"/>
          <w:sz w:val="21"/>
          <w:szCs w:val="21"/>
        </w:rPr>
        <w:t>.file</w:t>
      </w:r>
      <w:r>
        <w:rPr>
          <w:rFonts w:hint="eastAsia" w:cs="宋体" w:asciiTheme="minorEastAsia" w:hAnsiTheme="minorEastAsia"/>
          <w:color w:val="auto"/>
          <w:sz w:val="21"/>
          <w:szCs w:val="21"/>
        </w:rPr>
        <w:t>格式）须</w:t>
      </w:r>
      <w:r>
        <w:rPr>
          <w:rFonts w:hint="eastAsia" w:cs="仿宋_GB2312" w:asciiTheme="minorEastAsia" w:hAnsiTheme="minorEastAsia" w:eastAsiaTheme="minorEastAsia"/>
          <w:color w:val="auto"/>
          <w:sz w:val="21"/>
          <w:szCs w:val="21"/>
        </w:rPr>
        <w:t>在投标截止时间（开标时间）前通过《全国公共资源交易平台(河南省</w:t>
      </w:r>
      <w:r>
        <w:rPr>
          <w:rFonts w:hint="eastAsia" w:ascii="MS Mincho" w:hAnsi="MS Mincho" w:eastAsia="MS Mincho" w:cs="MS Mincho"/>
          <w:color w:val="auto"/>
          <w:sz w:val="21"/>
          <w:szCs w:val="21"/>
        </w:rPr>
        <w:t>▪</w:t>
      </w:r>
      <w:r>
        <w:rPr>
          <w:rFonts w:hint="eastAsia" w:ascii="宋体" w:hAnsi="宋体" w:cs="宋体"/>
          <w:color w:val="auto"/>
          <w:sz w:val="21"/>
          <w:szCs w:val="21"/>
        </w:rPr>
        <w:t>许昌市</w:t>
      </w:r>
      <w:r>
        <w:rPr>
          <w:rFonts w:hint="eastAsia" w:cs="仿宋_GB2312" w:asciiTheme="minorEastAsia" w:hAnsiTheme="minorEastAsia" w:eastAsiaTheme="minorEastAsia"/>
          <w:color w:val="auto"/>
          <w:sz w:val="21"/>
          <w:szCs w:val="21"/>
        </w:rPr>
        <w:t>)》公共资源交易系统成功上传。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rPr>
        <w:t>2、开标时间前，投标人</w:t>
      </w:r>
      <w:r>
        <w:rPr>
          <w:rFonts w:hint="eastAsia" w:cs="仿宋_GB2312" w:asciiTheme="minorEastAsia" w:hAnsiTheme="minorEastAsia" w:eastAsiaTheme="minorEastAsia"/>
          <w:color w:val="auto"/>
          <w:sz w:val="21"/>
          <w:szCs w:val="21"/>
          <w:shd w:val="clear" w:color="auto" w:fill="FFFFFF"/>
        </w:rPr>
        <w:t>使用CA数字证书登录全国公共资源交易平台（河南省·许昌市）——进入公共资源交易系统（http://ggzy.xuchang.gov.cn:8088/ggzy/）——点击“项目信息——项目名称”——在系统操作导航栏点击“开标——不见面开标大厅”，</w:t>
      </w:r>
      <w:r>
        <w:rPr>
          <w:rFonts w:hint="eastAsia" w:cs="仿宋_GB2312" w:asciiTheme="minorEastAsia" w:hAnsiTheme="minorEastAsia" w:eastAsiaTheme="minorEastAsia"/>
          <w:color w:val="auto"/>
          <w:sz w:val="21"/>
          <w:szCs w:val="21"/>
        </w:rPr>
        <w:t>按照开标时间准时参加线上开标，进行远程解密、在线询问、电子签章等。</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auto"/>
          <w:sz w:val="21"/>
          <w:szCs w:val="21"/>
          <w:shd w:val="clear" w:color="auto" w:fill="FFFFFF"/>
        </w:rPr>
        <w:t>六、本次招标公告同时在《中国政府采购网》、《河南省政府采购网》、《许昌市政府采购网》、《全国公共资源交易平台（河南省·许昌市）》、《中国·许昌</w:t>
      </w:r>
      <w:r>
        <w:rPr>
          <w:rFonts w:hint="eastAsia" w:cs="黑体" w:asciiTheme="minorEastAsia" w:hAnsiTheme="minorEastAsia" w:eastAsiaTheme="minorEastAsia"/>
          <w:b/>
          <w:bCs/>
          <w:color w:val="000000"/>
          <w:sz w:val="21"/>
          <w:szCs w:val="21"/>
          <w:shd w:val="clear" w:color="auto" w:fill="FFFFFF"/>
        </w:rPr>
        <w:t xml:space="preserve"> 许昌市政府网》发布。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z w:val="21"/>
          <w:szCs w:val="21"/>
          <w:shd w:val="clear" w:color="auto" w:fill="FFFFFF"/>
        </w:rPr>
        <w:t>七、公告期限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rPr>
      </w:pPr>
      <w:r>
        <w:rPr>
          <w:rFonts w:hint="eastAsia" w:cs="仿宋_GB2312" w:asciiTheme="minorEastAsia" w:hAnsiTheme="minorEastAsia" w:eastAsiaTheme="minorEastAsia"/>
          <w:color w:val="000000"/>
          <w:sz w:val="21"/>
          <w:szCs w:val="21"/>
        </w:rPr>
        <w:t>本招标公告自发布之日起公告期限为5个工作日。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rPr>
      </w:pPr>
      <w:r>
        <w:rPr>
          <w:rFonts w:hint="eastAsia" w:cs="黑体" w:asciiTheme="minorEastAsia" w:hAnsiTheme="minorEastAsia" w:eastAsiaTheme="minorEastAsia"/>
          <w:b/>
          <w:bCs/>
          <w:color w:val="000000"/>
          <w:sz w:val="21"/>
          <w:szCs w:val="21"/>
        </w:rPr>
        <w:t>八、联系方式</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采购人</w:t>
      </w:r>
      <w:r>
        <w:rPr>
          <w:rFonts w:hint="eastAsia" w:ascii="宋体" w:hAnsi="宋体"/>
          <w:szCs w:val="21"/>
        </w:rPr>
        <w:t>：</w:t>
      </w:r>
      <w:r>
        <w:rPr>
          <w:rFonts w:hint="eastAsia" w:cs="仿宋_GB2312" w:asciiTheme="minorEastAsia" w:hAnsiTheme="minorEastAsia" w:eastAsiaTheme="minorEastAsia"/>
          <w:color w:val="000000"/>
          <w:sz w:val="21"/>
          <w:szCs w:val="21"/>
          <w:shd w:val="clear" w:color="auto" w:fill="FFFFFF"/>
        </w:rPr>
        <w:t>许昌科技学校</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ascii="宋体" w:hAnsi="宋体"/>
          <w:szCs w:val="21"/>
        </w:rPr>
        <w:t>地址</w:t>
      </w:r>
      <w:r>
        <w:rPr>
          <w:rFonts w:hint="eastAsia" w:cs="Arial" w:asciiTheme="minorEastAsia" w:hAnsiTheme="minorEastAsia"/>
          <w:color w:val="000000"/>
          <w:szCs w:val="21"/>
        </w:rPr>
        <w:t>：许昌市建安区永昌东路职教园许昌科技学校</w:t>
      </w:r>
    </w:p>
    <w:p>
      <w:pPr>
        <w:adjustRightInd w:val="0"/>
        <w:spacing w:line="360" w:lineRule="auto"/>
        <w:ind w:firstLine="840" w:firstLineChars="400"/>
        <w:contextualSpacing/>
        <w:jc w:val="left"/>
        <w:rPr>
          <w:rFonts w:cs="Arial" w:asciiTheme="minorEastAsia" w:hAnsiTheme="minorEastAsia"/>
          <w:color w:val="000000"/>
          <w:szCs w:val="21"/>
        </w:rPr>
      </w:pPr>
      <w:r>
        <w:rPr>
          <w:rFonts w:hint="eastAsia" w:cs="Arial" w:asciiTheme="minorEastAsia" w:hAnsiTheme="minorEastAsia"/>
          <w:color w:val="000000"/>
          <w:szCs w:val="21"/>
        </w:rPr>
        <w:t xml:space="preserve">联系人：黄金来              </w:t>
      </w:r>
      <w:r>
        <w:rPr>
          <w:rFonts w:hint="eastAsia" w:cs="Arial" w:asciiTheme="minorEastAsia" w:hAnsiTheme="minorEastAsia"/>
          <w:color w:val="000000"/>
          <w:szCs w:val="21"/>
          <w:lang w:val="en-US" w:eastAsia="zh-CN"/>
        </w:rPr>
        <w:t xml:space="preserve">       </w:t>
      </w:r>
      <w:r>
        <w:rPr>
          <w:rFonts w:hint="eastAsia" w:cs="Arial" w:asciiTheme="minorEastAsia" w:hAnsiTheme="minorEastAsia"/>
          <w:color w:val="000000"/>
          <w:szCs w:val="21"/>
        </w:rPr>
        <w:t xml:space="preserve">     联系电话：15225095876</w:t>
      </w:r>
    </w:p>
    <w:p>
      <w:pPr>
        <w:adjustRightInd w:val="0"/>
        <w:spacing w:line="360" w:lineRule="auto"/>
        <w:ind w:firstLine="843" w:firstLineChars="400"/>
        <w:contextualSpacing/>
        <w:jc w:val="left"/>
        <w:rPr>
          <w:rFonts w:ascii="宋体" w:hAnsi="宋体"/>
          <w:szCs w:val="21"/>
        </w:rPr>
      </w:pPr>
      <w:r>
        <w:rPr>
          <w:rFonts w:hint="eastAsia" w:ascii="宋体" w:hAnsi="宋体"/>
          <w:b/>
          <w:szCs w:val="21"/>
        </w:rPr>
        <w:t>集中采购机构</w:t>
      </w:r>
      <w:r>
        <w:rPr>
          <w:rFonts w:hint="eastAsia" w:ascii="宋体" w:hAnsi="宋体"/>
          <w:szCs w:val="21"/>
        </w:rPr>
        <w:t xml:space="preserve">：许昌市政府采购服务中心 </w:t>
      </w:r>
    </w:p>
    <w:p>
      <w:pPr>
        <w:adjustRightInd w:val="0"/>
        <w:spacing w:line="360" w:lineRule="auto"/>
        <w:ind w:firstLine="840" w:firstLineChars="400"/>
        <w:contextualSpacing/>
        <w:jc w:val="left"/>
        <w:rPr>
          <w:rFonts w:ascii="宋体" w:hAnsi="宋体"/>
          <w:szCs w:val="21"/>
        </w:rPr>
      </w:pPr>
      <w:r>
        <w:rPr>
          <w:rFonts w:hint="eastAsia" w:ascii="宋体" w:hAnsi="宋体"/>
          <w:szCs w:val="21"/>
        </w:rPr>
        <w:t>地址：许昌市</w:t>
      </w:r>
      <w:r>
        <w:rPr>
          <w:rFonts w:cs="Arial" w:asciiTheme="minorEastAsia" w:hAnsiTheme="minorEastAsia"/>
          <w:color w:val="000000"/>
          <w:szCs w:val="21"/>
        </w:rPr>
        <w:t>龙兴路与竹林路交汇处</w:t>
      </w:r>
      <w:r>
        <w:rPr>
          <w:rFonts w:hint="eastAsia" w:cs="仿宋_GB2312" w:asciiTheme="minorEastAsia" w:hAnsiTheme="minorEastAsia"/>
          <w:color w:val="000000"/>
          <w:szCs w:val="21"/>
        </w:rPr>
        <w:t>创业服务中心C座</w:t>
      </w:r>
    </w:p>
    <w:p>
      <w:pPr>
        <w:adjustRightInd w:val="0"/>
        <w:spacing w:line="360" w:lineRule="auto"/>
        <w:ind w:firstLine="840" w:firstLineChars="400"/>
        <w:contextualSpacing/>
        <w:jc w:val="left"/>
        <w:rPr>
          <w:rFonts w:hint="default" w:ascii="宋体" w:hAnsi="宋体" w:eastAsiaTheme="minorEastAsia"/>
          <w:szCs w:val="21"/>
          <w:lang w:val="en-US" w:eastAsia="zh-CN"/>
        </w:rPr>
      </w:pPr>
      <w:r>
        <w:rPr>
          <w:rFonts w:hint="eastAsia" w:ascii="宋体" w:hAnsi="宋体"/>
          <w:szCs w:val="21"/>
        </w:rPr>
        <w:t>联系人：</w:t>
      </w:r>
      <w:r>
        <w:rPr>
          <w:rFonts w:hint="eastAsia" w:ascii="宋体" w:hAnsi="宋体"/>
          <w:szCs w:val="21"/>
          <w:lang w:eastAsia="zh-CN"/>
        </w:rPr>
        <w:t>杨女士</w:t>
      </w:r>
      <w:r>
        <w:rPr>
          <w:rFonts w:hint="eastAsia" w:ascii="宋体" w:hAnsi="宋体"/>
          <w:szCs w:val="21"/>
        </w:rPr>
        <w:t xml:space="preserve">                           联系电话：</w:t>
      </w:r>
      <w:bookmarkStart w:id="1" w:name="联系人电话"/>
      <w:r>
        <w:rPr>
          <w:rFonts w:ascii="宋体" w:hAnsi="宋体"/>
          <w:szCs w:val="21"/>
        </w:rPr>
        <w:t>0</w:t>
      </w:r>
      <w:bookmarkEnd w:id="1"/>
      <w:r>
        <w:rPr>
          <w:rFonts w:hint="eastAsia" w:ascii="宋体" w:hAnsi="宋体"/>
          <w:szCs w:val="21"/>
        </w:rPr>
        <w:t>374-</w:t>
      </w:r>
      <w:r>
        <w:rPr>
          <w:rFonts w:hint="eastAsia" w:ascii="宋体" w:hAnsi="宋体"/>
          <w:szCs w:val="21"/>
          <w:lang w:val="en-US" w:eastAsia="zh-CN"/>
        </w:rPr>
        <w:t>2968687</w:t>
      </w: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right"/>
        <w:rPr>
          <w:rFonts w:ascii="宋体" w:hAnsi="宋体"/>
          <w:szCs w:val="21"/>
        </w:rPr>
      </w:pPr>
      <w:r>
        <w:rPr>
          <w:rFonts w:hint="eastAsia" w:cs="仿宋_GB2312" w:asciiTheme="minorEastAsia" w:hAnsiTheme="minorEastAsia" w:eastAsiaTheme="minorEastAsia"/>
          <w:color w:val="000000"/>
          <w:sz w:val="21"/>
          <w:szCs w:val="21"/>
          <w:shd w:val="clear" w:color="auto" w:fill="FFFFFF"/>
        </w:rPr>
        <w:t>许昌科技学校</w:t>
      </w:r>
    </w:p>
    <w:p>
      <w:pPr>
        <w:adjustRightInd w:val="0"/>
        <w:snapToGrid w:val="0"/>
        <w:spacing w:line="360" w:lineRule="auto"/>
        <w:ind w:firstLine="840" w:firstLineChars="400"/>
        <w:jc w:val="right"/>
        <w:rPr>
          <w:rFonts w:ascii="宋体" w:hAnsi="宋体"/>
          <w:szCs w:val="21"/>
        </w:rPr>
      </w:pPr>
      <w:r>
        <w:rPr>
          <w:rFonts w:hint="eastAsia" w:ascii="宋体" w:hAnsi="宋体"/>
          <w:szCs w:val="21"/>
        </w:rPr>
        <w:t>二〇二〇年</w:t>
      </w:r>
      <w:r>
        <w:rPr>
          <w:rFonts w:hint="eastAsia" w:ascii="宋体" w:hAnsi="宋体"/>
          <w:szCs w:val="21"/>
          <w:lang w:eastAsia="zh-CN"/>
        </w:rPr>
        <w:t>六</w:t>
      </w:r>
      <w:r>
        <w:rPr>
          <w:rFonts w:hint="eastAsia" w:ascii="宋体" w:hAnsi="宋体"/>
          <w:szCs w:val="21"/>
        </w:rPr>
        <w:t>月</w:t>
      </w:r>
      <w:r>
        <w:rPr>
          <w:rFonts w:hint="eastAsia" w:ascii="宋体" w:hAnsi="宋体"/>
          <w:szCs w:val="21"/>
          <w:lang w:eastAsia="zh-CN"/>
        </w:rPr>
        <w:t>二十二</w:t>
      </w:r>
      <w:r>
        <w:rPr>
          <w:rFonts w:hint="eastAsia" w:ascii="宋体" w:hAnsi="宋体"/>
          <w:szCs w:val="21"/>
        </w:rPr>
        <w:t>日</w:t>
      </w: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1"/>
        <w:ind w:firstLine="321"/>
        <w:rPr>
          <w:rFonts w:ascii="仿宋_GB2312" w:eastAsia="仿宋_GB2312"/>
          <w:b/>
          <w:sz w:val="32"/>
          <w:szCs w:val="32"/>
        </w:rPr>
      </w:pP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1.</w:t>
      </w:r>
      <w:r>
        <w:rPr>
          <w:rFonts w:hint="eastAsia" w:hAnsi="宋体"/>
          <w:b/>
          <w:color w:val="auto"/>
          <w:szCs w:val="21"/>
        </w:rPr>
        <w:t>投标人应按招标文件规定编制、提交、解密电子投标文件。</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2</w:t>
      </w:r>
      <w:r>
        <w:rPr>
          <w:rFonts w:asciiTheme="minorEastAsia" w:hAnsiTheme="minorEastAsia"/>
          <w:b/>
          <w:color w:val="auto"/>
          <w:szCs w:val="21"/>
        </w:rPr>
        <w:t>.</w:t>
      </w:r>
      <w:r>
        <w:rPr>
          <w:rFonts w:hint="eastAsia" w:hAnsi="宋体"/>
          <w:b/>
          <w:color w:val="auto"/>
          <w:szCs w:val="21"/>
        </w:rPr>
        <w:t>电子文件下载、制作、提交期间和远程不见面开标（</w:t>
      </w:r>
      <w:r>
        <w:rPr>
          <w:rFonts w:hint="eastAsia" w:hAnsi="宋体"/>
          <w:color w:val="auto"/>
          <w:szCs w:val="21"/>
        </w:rPr>
        <w:t>电子投标文件的解密</w:t>
      </w:r>
      <w:r>
        <w:rPr>
          <w:rFonts w:hint="eastAsia" w:hAnsi="宋体"/>
          <w:b/>
          <w:color w:val="auto"/>
          <w:szCs w:val="21"/>
        </w:rPr>
        <w:t>）环节，投标人须使用同一个</w:t>
      </w:r>
      <w:r>
        <w:rPr>
          <w:rFonts w:hAnsi="宋体"/>
          <w:b/>
          <w:color w:val="auto"/>
          <w:szCs w:val="21"/>
        </w:rPr>
        <w:t>CA数字证书</w:t>
      </w:r>
      <w:r>
        <w:rPr>
          <w:rFonts w:hint="eastAsia" w:hAnsi="宋体"/>
          <w:b/>
          <w:color w:val="auto"/>
          <w:szCs w:val="21"/>
        </w:rPr>
        <w:t>（证书须在有效期内并可正常使用）</w:t>
      </w:r>
      <w:r>
        <w:rPr>
          <w:rFonts w:hAnsi="宋体"/>
          <w:b/>
          <w:color w:val="auto"/>
          <w:szCs w:val="21"/>
        </w:rPr>
        <w:t>。</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3</w:t>
      </w:r>
      <w:r>
        <w:rPr>
          <w:rFonts w:hint="eastAsia" w:asciiTheme="minorEastAsia" w:hAnsiTheme="minorEastAsia"/>
          <w:b/>
          <w:color w:val="auto"/>
          <w:szCs w:val="21"/>
        </w:rPr>
        <w:t>.</w:t>
      </w:r>
      <w:r>
        <w:rPr>
          <w:rFonts w:hint="eastAsia" w:hAnsi="宋体"/>
          <w:b/>
          <w:color w:val="auto"/>
          <w:szCs w:val="21"/>
        </w:rPr>
        <w:t>电子投标文件的制作</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w:t>
      </w:r>
      <w:r>
        <w:rPr>
          <w:rFonts w:hint="eastAsia" w:asciiTheme="minorEastAsia" w:hAnsiTheme="minorEastAsia"/>
          <w:color w:val="auto"/>
          <w:szCs w:val="21"/>
        </w:rPr>
        <w:t>.1</w:t>
      </w:r>
      <w:r>
        <w:rPr>
          <w:rFonts w:hint="eastAsia" w:hAnsi="宋体"/>
          <w:color w:val="auto"/>
          <w:szCs w:val="21"/>
        </w:rPr>
        <w:t xml:space="preserve"> 投标人登录《全国公共资源交易平台</w:t>
      </w:r>
      <w:r>
        <w:rPr>
          <w:rFonts w:hint="eastAsia" w:asciiTheme="majorEastAsia" w:hAnsiTheme="majorEastAsia" w:eastAsiaTheme="maj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6"/>
          <w:rFonts w:hAnsi="宋体"/>
          <w:color w:val="auto"/>
          <w:szCs w:val="21"/>
        </w:rPr>
        <w:t>http://221.14.6.70:8088/ggzy/</w:t>
      </w:r>
      <w:r>
        <w:rPr>
          <w:rStyle w:val="26"/>
          <w:rFonts w:hAnsi="宋体"/>
          <w:color w:val="auto"/>
          <w:szCs w:val="21"/>
        </w:rPr>
        <w:fldChar w:fldCharType="end"/>
      </w:r>
      <w:r>
        <w:rPr>
          <w:rFonts w:hint="eastAsia" w:hAnsi="宋体"/>
          <w:color w:val="auto"/>
          <w:szCs w:val="21"/>
        </w:rPr>
        <w:t>）下载“许昌投标文件制作系统SEARUN 最新版本”，按招标文件要求制作电子投标文件。</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电子投标文件的制作，参考《全国公共资源交易平台</w:t>
      </w:r>
      <w:r>
        <w:rPr>
          <w:rFonts w:hint="eastAsia" w:asciiTheme="minorEastAsia" w:hAnsiTheme="minorEastAsia"/>
          <w:color w:val="auto"/>
          <w:szCs w:val="21"/>
        </w:rPr>
        <w:t>(</w:t>
      </w:r>
      <w:r>
        <w:rPr>
          <w:rFonts w:hint="eastAsia" w:hAnsi="宋体"/>
          <w:color w:val="auto"/>
          <w:szCs w:val="21"/>
        </w:rPr>
        <w:t>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asciiTheme="minorEastAsia" w:hAnsiTheme="minorEastAsia"/>
          <w:color w:val="auto"/>
          <w:szCs w:val="21"/>
        </w:rPr>
        <w:t>)</w:t>
      </w:r>
      <w:r>
        <w:rPr>
          <w:rFonts w:hint="eastAsia" w:hAnsi="宋体"/>
          <w:color w:val="auto"/>
          <w:szCs w:val="21"/>
        </w:rPr>
        <w:t>》公共资源交易系统——组件下载——交易系统操作手册（投标人、供应商）。</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w:t>
      </w:r>
      <w:r>
        <w:rPr>
          <w:rFonts w:hint="eastAsia" w:asciiTheme="minorEastAsia" w:hAnsiTheme="minorEastAsia"/>
          <w:color w:val="auto"/>
          <w:szCs w:val="21"/>
        </w:rPr>
        <w:t>.</w:t>
      </w:r>
      <w:r>
        <w:rPr>
          <w:rFonts w:asciiTheme="minorEastAsia" w:hAnsiTheme="minorEastAsia"/>
          <w:color w:val="auto"/>
          <w:szCs w:val="21"/>
        </w:rPr>
        <w:t>2</w:t>
      </w:r>
      <w:r>
        <w:rPr>
          <w:rFonts w:hint="eastAsia" w:hAnsi="宋体"/>
          <w:color w:val="auto"/>
          <w:szCs w:val="21"/>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3.3</w:t>
      </w:r>
      <w:r>
        <w:rPr>
          <w:rFonts w:hint="eastAsia" w:hAnsi="宋体"/>
          <w:color w:val="auto"/>
          <w:szCs w:val="21"/>
        </w:rPr>
        <w:t>投标人对同一项目多个标段进行投标的，应分别下载所投标段的招标文件，按标段制作电子投标文件，并</w:t>
      </w:r>
      <w:r>
        <w:rPr>
          <w:rFonts w:hAnsi="宋体"/>
          <w:color w:val="auto"/>
          <w:szCs w:val="21"/>
        </w:rPr>
        <w:t>按招标文件要求在相应位置加盖</w:t>
      </w:r>
      <w:r>
        <w:rPr>
          <w:rFonts w:hint="eastAsia" w:hAnsi="宋体"/>
          <w:color w:val="auto"/>
          <w:szCs w:val="21"/>
        </w:rPr>
        <w:t>投标人</w:t>
      </w:r>
      <w:r>
        <w:rPr>
          <w:rFonts w:hAnsi="宋体"/>
          <w:color w:val="auto"/>
          <w:szCs w:val="21"/>
        </w:rPr>
        <w:t>电子印章</w:t>
      </w:r>
      <w:r>
        <w:rPr>
          <w:rFonts w:hint="eastAsia" w:hAnsi="宋体"/>
          <w:color w:val="auto"/>
          <w:szCs w:val="21"/>
        </w:rPr>
        <w:t>和法人电子印章。</w:t>
      </w:r>
    </w:p>
    <w:p>
      <w:pPr>
        <w:tabs>
          <w:tab w:val="left" w:pos="7095"/>
        </w:tabs>
        <w:spacing w:line="360" w:lineRule="auto"/>
        <w:ind w:left="105" w:leftChars="50" w:firstLine="315" w:firstLineChars="150"/>
        <w:contextualSpacing/>
        <w:rPr>
          <w:rFonts w:hAnsi="宋体"/>
          <w:color w:val="auto"/>
          <w:szCs w:val="21"/>
        </w:rPr>
      </w:pPr>
      <w:r>
        <w:rPr>
          <w:rFonts w:hint="eastAsia" w:hAnsi="宋体"/>
          <w:color w:val="auto"/>
          <w:szCs w:val="21"/>
        </w:rPr>
        <w:t>一个标段对应生成一个文件夹（xxxx项目xx标段）,其中后缀名为“</w:t>
      </w:r>
      <w:r>
        <w:rPr>
          <w:rFonts w:hAnsi="宋体"/>
          <w:color w:val="auto"/>
          <w:szCs w:val="21"/>
        </w:rPr>
        <w:t>.file</w:t>
      </w:r>
      <w:r>
        <w:rPr>
          <w:rFonts w:hint="eastAsia" w:hAnsi="宋体"/>
          <w:color w:val="auto"/>
          <w:szCs w:val="21"/>
        </w:rPr>
        <w:t>”的文件用于电子投标使用。</w:t>
      </w:r>
    </w:p>
    <w:p>
      <w:pPr>
        <w:tabs>
          <w:tab w:val="left" w:pos="7095"/>
        </w:tabs>
        <w:spacing w:line="360" w:lineRule="auto"/>
        <w:ind w:firstLine="422" w:firstLineChars="200"/>
        <w:contextualSpacing/>
        <w:rPr>
          <w:rFonts w:hAnsi="宋体"/>
          <w:b/>
          <w:color w:val="auto"/>
          <w:szCs w:val="21"/>
        </w:rPr>
      </w:pPr>
      <w:r>
        <w:rPr>
          <w:rFonts w:asciiTheme="minorEastAsia" w:hAnsiTheme="minorEastAsia"/>
          <w:b/>
          <w:color w:val="auto"/>
          <w:szCs w:val="21"/>
        </w:rPr>
        <w:t>4</w:t>
      </w:r>
      <w:r>
        <w:rPr>
          <w:rFonts w:hint="eastAsia" w:asciiTheme="minorEastAsia" w:hAnsiTheme="minorEastAsia"/>
          <w:b/>
          <w:color w:val="auto"/>
          <w:szCs w:val="21"/>
        </w:rPr>
        <w:t>.加密</w:t>
      </w:r>
      <w:r>
        <w:rPr>
          <w:rFonts w:hint="eastAsia" w:hAnsi="宋体"/>
          <w:b/>
          <w:color w:val="auto"/>
          <w:szCs w:val="21"/>
        </w:rPr>
        <w:t>电子投标文件的提交</w:t>
      </w:r>
    </w:p>
    <w:p>
      <w:pPr>
        <w:tabs>
          <w:tab w:val="left" w:pos="7095"/>
        </w:tabs>
        <w:spacing w:line="360" w:lineRule="auto"/>
        <w:contextualSpacing/>
        <w:rPr>
          <w:rFonts w:hAnsi="宋体"/>
          <w:color w:val="auto"/>
          <w:szCs w:val="21"/>
        </w:rPr>
      </w:pPr>
      <w:r>
        <w:rPr>
          <w:rFonts w:hint="eastAsia" w:hAnsi="宋体"/>
          <w:color w:val="auto"/>
          <w:szCs w:val="21"/>
        </w:rPr>
        <w:t xml:space="preserve">    </w:t>
      </w:r>
      <w:r>
        <w:rPr>
          <w:rFonts w:asciiTheme="minorEastAsia" w:hAnsiTheme="minorEastAsia"/>
          <w:color w:val="auto"/>
          <w:szCs w:val="21"/>
        </w:rPr>
        <w:t>4</w:t>
      </w:r>
      <w:r>
        <w:rPr>
          <w:rFonts w:hint="eastAsia" w:asciiTheme="minorEastAsia" w:hAnsiTheme="minorEastAsia"/>
          <w:color w:val="auto"/>
          <w:szCs w:val="21"/>
        </w:rPr>
        <w:t>.1加密</w:t>
      </w:r>
      <w:r>
        <w:rPr>
          <w:rFonts w:hint="eastAsia" w:hAnsi="宋体"/>
          <w:color w:val="auto"/>
          <w:szCs w:val="21"/>
        </w:rPr>
        <w:t>电子投标文件应按规定在投标截止时间（开标时间）之前成功提交至《全国公共资源交易平台(河南省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6"/>
          <w:rFonts w:hAnsi="宋体"/>
          <w:color w:val="auto"/>
          <w:szCs w:val="21"/>
        </w:rPr>
        <w:t>http://221.14.6.70:8088/ggzy/</w:t>
      </w:r>
      <w:r>
        <w:rPr>
          <w:rStyle w:val="26"/>
          <w:rFonts w:hAnsi="宋体"/>
          <w:color w:val="auto"/>
          <w:szCs w:val="21"/>
        </w:rPr>
        <w:fldChar w:fldCharType="end"/>
      </w:r>
      <w:r>
        <w:rPr>
          <w:rFonts w:hint="eastAsia" w:hAnsi="宋体"/>
          <w:color w:val="auto"/>
          <w:szCs w:val="21"/>
        </w:rPr>
        <w:t>）。</w:t>
      </w:r>
    </w:p>
    <w:p>
      <w:pPr>
        <w:tabs>
          <w:tab w:val="left" w:pos="7095"/>
        </w:tabs>
        <w:spacing w:line="360" w:lineRule="auto"/>
        <w:ind w:firstLine="420" w:firstLineChars="200"/>
        <w:contextualSpacing/>
        <w:rPr>
          <w:rFonts w:hAnsi="宋体"/>
          <w:color w:val="auto"/>
          <w:szCs w:val="21"/>
        </w:rPr>
      </w:pPr>
      <w:r>
        <w:rPr>
          <w:rFonts w:hint="eastAsia" w:hAnsi="宋体"/>
          <w:color w:val="auto"/>
          <w:szCs w:val="21"/>
        </w:rPr>
        <w:t>投标人应充分考虑并预留技术处理和上传数据所需时间。</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 xml:space="preserve">2 </w:t>
      </w:r>
      <w:r>
        <w:rPr>
          <w:rFonts w:hint="eastAsia" w:hAnsi="宋体"/>
          <w:color w:val="auto"/>
          <w:szCs w:val="21"/>
        </w:rPr>
        <w:t>投标人对同一项目多个标段进行投标的，加密电子投标文件应按标段分别提交。</w:t>
      </w:r>
    </w:p>
    <w:p>
      <w:pPr>
        <w:tabs>
          <w:tab w:val="left" w:pos="7095"/>
        </w:tabs>
        <w:spacing w:line="360" w:lineRule="auto"/>
        <w:ind w:firstLine="420" w:firstLineChars="200"/>
        <w:contextualSpacing/>
        <w:rPr>
          <w:rFonts w:hAnsi="宋体"/>
          <w:color w:val="auto"/>
          <w:szCs w:val="21"/>
        </w:rPr>
      </w:pPr>
      <w:r>
        <w:rPr>
          <w:rFonts w:asciiTheme="minorEastAsia" w:hAnsiTheme="minorEastAsia"/>
          <w:color w:val="auto"/>
          <w:szCs w:val="21"/>
        </w:rPr>
        <w:t>4</w:t>
      </w:r>
      <w:r>
        <w:rPr>
          <w:rFonts w:hint="eastAsia" w:asciiTheme="minorEastAsia" w:hAnsiTheme="minorEastAsia"/>
          <w:color w:val="auto"/>
          <w:szCs w:val="21"/>
        </w:rPr>
        <w:t>.</w:t>
      </w:r>
      <w:r>
        <w:rPr>
          <w:rFonts w:asciiTheme="minorEastAsia" w:hAnsiTheme="minorEastAsia"/>
          <w:color w:val="auto"/>
          <w:szCs w:val="21"/>
        </w:rPr>
        <w:t>3</w:t>
      </w:r>
      <w:r>
        <w:rPr>
          <w:rFonts w:hint="eastAsia" w:asciiTheme="minorEastAsia" w:hAnsiTheme="minorEastAsia"/>
          <w:color w:val="auto"/>
          <w:szCs w:val="21"/>
        </w:rPr>
        <w:t xml:space="preserve"> 加密</w:t>
      </w:r>
      <w:r>
        <w:rPr>
          <w:rFonts w:hint="eastAsia" w:hAnsi="宋体"/>
          <w:color w:val="auto"/>
          <w:szCs w:val="21"/>
        </w:rPr>
        <w:t>电子投标文件成功提交后，《全国公共资源交易平台(河南省</w:t>
      </w:r>
      <w:r>
        <w:rPr>
          <w:rFonts w:hint="eastAsia" w:ascii="MS Mincho" w:hAnsi="MS Mincho" w:eastAsia="MS Mincho" w:cs="MS Mincho"/>
          <w:color w:val="auto"/>
          <w:szCs w:val="21"/>
        </w:rPr>
        <w:t>▪</w:t>
      </w:r>
      <w:r>
        <w:rPr>
          <w:rFonts w:hint="eastAsia" w:ascii="宋体" w:hAnsi="宋体" w:eastAsia="宋体" w:cs="宋体"/>
          <w:color w:val="auto"/>
          <w:szCs w:val="21"/>
        </w:rPr>
        <w:t>许昌市</w:t>
      </w:r>
      <w:r>
        <w:rPr>
          <w:rFonts w:hint="eastAsia" w:hAnsi="宋体"/>
          <w:color w:val="auto"/>
          <w:szCs w:val="21"/>
        </w:rPr>
        <w:t>)》公共资源交易系统（</w:t>
      </w:r>
      <w:r>
        <w:rPr>
          <w:color w:val="auto"/>
        </w:rPr>
        <w:fldChar w:fldCharType="begin"/>
      </w:r>
      <w:r>
        <w:rPr>
          <w:color w:val="auto"/>
        </w:rPr>
        <w:instrText xml:space="preserve"> HYPERLINK "http://221.14.6.70:8088/ggzy/" </w:instrText>
      </w:r>
      <w:r>
        <w:rPr>
          <w:color w:val="auto"/>
        </w:rPr>
        <w:fldChar w:fldCharType="separate"/>
      </w:r>
      <w:r>
        <w:rPr>
          <w:rStyle w:val="26"/>
          <w:rFonts w:hAnsi="宋体"/>
          <w:color w:val="auto"/>
          <w:szCs w:val="21"/>
        </w:rPr>
        <w:t>http://221.14.6.70:8088/ggzy/</w:t>
      </w:r>
      <w:r>
        <w:rPr>
          <w:rStyle w:val="26"/>
          <w:rFonts w:hAnsi="宋体"/>
          <w:color w:val="auto"/>
          <w:szCs w:val="21"/>
        </w:rPr>
        <w:fldChar w:fldCharType="end"/>
      </w:r>
      <w:r>
        <w:rPr>
          <w:rFonts w:hint="eastAsia" w:hAnsi="宋体"/>
          <w:color w:val="auto"/>
          <w:szCs w:val="21"/>
        </w:rPr>
        <w:t>）</w:t>
      </w:r>
      <w:r>
        <w:rPr>
          <w:rFonts w:hint="eastAsia" w:cs="仿宋_GB2312" w:asciiTheme="minorEastAsia" w:hAnsiTheme="minorEastAsia"/>
          <w:color w:val="auto"/>
          <w:szCs w:val="21"/>
        </w:rPr>
        <w:t>生成“投标文件提交回执单”。</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5.远程不见面开标（</w:t>
      </w:r>
      <w:r>
        <w:rPr>
          <w:rFonts w:hint="eastAsia" w:hAnsi="宋体"/>
          <w:b/>
          <w:color w:val="auto"/>
          <w:szCs w:val="21"/>
        </w:rPr>
        <w:t>电子投标文件的解密</w:t>
      </w:r>
      <w:r>
        <w:rPr>
          <w:rFonts w:hint="eastAsia" w:asciiTheme="minorEastAsia" w:hAnsiTheme="minorEastAsia"/>
          <w:b/>
          <w:color w:val="auto"/>
          <w:szCs w:val="21"/>
        </w:rPr>
        <w:t>）</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5</w:t>
      </w:r>
      <w:r>
        <w:rPr>
          <w:rFonts w:asciiTheme="minorEastAsia" w:hAnsiTheme="minorEastAsia"/>
          <w:color w:val="auto"/>
          <w:szCs w:val="21"/>
        </w:rPr>
        <w:t>.</w:t>
      </w:r>
      <w:r>
        <w:rPr>
          <w:rFonts w:hint="eastAsia" w:asciiTheme="minorEastAsia" w:hAnsiTheme="minorEastAsia"/>
          <w:color w:val="auto"/>
          <w:szCs w:val="21"/>
        </w:rPr>
        <w:t xml:space="preserve">1 </w:t>
      </w:r>
      <w:r>
        <w:rPr>
          <w:rFonts w:hint="eastAsia" w:hAnsi="宋体"/>
          <w:color w:val="auto"/>
          <w:szCs w:val="21"/>
        </w:rPr>
        <w:t>投标人应熟悉《许昌市不见面操作手册》，并提前设置不见面开标浏览器（设置流程详见《许昌市不见面操作手册》）。</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 xml:space="preserve">5.2 </w:t>
      </w:r>
      <w:r>
        <w:rPr>
          <w:rFonts w:hint="eastAsia" w:hAnsi="宋体"/>
          <w:color w:val="auto"/>
          <w:szCs w:val="21"/>
        </w:rPr>
        <w:t>《许昌市不见面操作手册》下载路径：全国公共资源交易平台（河南省·许昌市）—“资料下载”栏目。</w:t>
      </w:r>
    </w:p>
    <w:p>
      <w:pPr>
        <w:tabs>
          <w:tab w:val="left" w:pos="7095"/>
        </w:tabs>
        <w:spacing w:line="360" w:lineRule="auto"/>
        <w:ind w:firstLine="420"/>
        <w:contextualSpacing/>
        <w:rPr>
          <w:rFonts w:hAnsi="宋体"/>
          <w:color w:val="auto"/>
          <w:szCs w:val="21"/>
        </w:rPr>
      </w:pPr>
      <w:r>
        <w:rPr>
          <w:rFonts w:hint="eastAsia" w:asciiTheme="minorEastAsia" w:hAnsiTheme="minorEastAsia"/>
          <w:color w:val="auto"/>
          <w:szCs w:val="21"/>
        </w:rPr>
        <w:t>5.</w:t>
      </w:r>
      <w:r>
        <w:rPr>
          <w:rFonts w:asciiTheme="minorEastAsia" w:hAnsiTheme="minorEastAsia"/>
          <w:color w:val="auto"/>
          <w:szCs w:val="21"/>
        </w:rPr>
        <w:t>3</w:t>
      </w:r>
      <w:r>
        <w:rPr>
          <w:rFonts w:hint="eastAsia" w:cs="仿宋_GB2312" w:asciiTheme="minorEastAsia" w:hAnsiTheme="minorEastAsia"/>
          <w:color w:val="auto"/>
          <w:szCs w:val="21"/>
        </w:rPr>
        <w:t>开标时间前投标人应登录本项目不见面开标大厅，按照招标文件确定的开标时间准时参加网上开标。</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5.4</w:t>
      </w:r>
      <w:r>
        <w:rPr>
          <w:rFonts w:hint="eastAsia" w:hAnsi="宋体"/>
          <w:color w:val="auto"/>
          <w:szCs w:val="21"/>
        </w:rPr>
        <w:t>投标人对开标过程和开标记录如有疑义，可在本项目不见面开标大厅“文字互动”对话框或“新增质疑”处在线提出询问。</w:t>
      </w:r>
    </w:p>
    <w:p>
      <w:pPr>
        <w:tabs>
          <w:tab w:val="left" w:pos="7095"/>
        </w:tabs>
        <w:spacing w:line="360" w:lineRule="auto"/>
        <w:ind w:firstLine="420" w:firstLineChars="200"/>
        <w:contextualSpacing/>
        <w:rPr>
          <w:rFonts w:asciiTheme="minorEastAsia" w:hAnsiTheme="minorEastAsia"/>
          <w:color w:val="auto"/>
          <w:szCs w:val="21"/>
        </w:rPr>
      </w:pPr>
      <w:r>
        <w:rPr>
          <w:rFonts w:hint="eastAsia" w:asciiTheme="minorEastAsia" w:hAnsiTheme="minorEastAsia"/>
          <w:color w:val="auto"/>
          <w:szCs w:val="21"/>
        </w:rPr>
        <w:t>5.5根据采购代理机构在“文字互动”对话框的通知，投标人选择功能栏“解密环节”按钮进行电子投标文件解密（投标人解密应自采购代理机构点击“开标开始”按钮后60分钟内完成）。投标人未解密或</w:t>
      </w:r>
      <w:r>
        <w:rPr>
          <w:rFonts w:hint="eastAsia" w:cs="宋体" w:asciiTheme="minorEastAsia" w:hAnsiTheme="minorEastAsia"/>
          <w:color w:val="auto"/>
          <w:kern w:val="0"/>
          <w:szCs w:val="21"/>
        </w:rPr>
        <w:t>因投标人原因解密失败的，其投标将被拒绝。</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5.6项目远程</w:t>
      </w:r>
      <w:r>
        <w:rPr>
          <w:rFonts w:hint="eastAsia" w:hAnsi="宋体"/>
          <w:color w:val="auto"/>
          <w:szCs w:val="21"/>
        </w:rPr>
        <w:t>不见面开标活动结束时，投标人应在《开标记录表》上进行电子签章。投标人未签章的，视同认可开标结果。</w:t>
      </w:r>
    </w:p>
    <w:p>
      <w:pPr>
        <w:tabs>
          <w:tab w:val="left" w:pos="7095"/>
        </w:tabs>
        <w:spacing w:line="360" w:lineRule="auto"/>
        <w:ind w:firstLine="422" w:firstLineChars="200"/>
        <w:contextualSpacing/>
        <w:rPr>
          <w:rFonts w:hAnsi="宋体"/>
          <w:b/>
          <w:color w:val="auto"/>
          <w:szCs w:val="21"/>
        </w:rPr>
      </w:pPr>
      <w:r>
        <w:rPr>
          <w:rFonts w:hint="eastAsia" w:asciiTheme="minorEastAsia" w:hAnsiTheme="minorEastAsia"/>
          <w:b/>
          <w:color w:val="auto"/>
          <w:szCs w:val="21"/>
        </w:rPr>
        <w:t>6.</w:t>
      </w:r>
      <w:r>
        <w:rPr>
          <w:rFonts w:hint="eastAsia" w:hAnsi="宋体"/>
          <w:b/>
          <w:color w:val="auto"/>
          <w:szCs w:val="21"/>
        </w:rPr>
        <w:t>评标依据</w:t>
      </w:r>
    </w:p>
    <w:p>
      <w:pPr>
        <w:tabs>
          <w:tab w:val="left" w:pos="7095"/>
        </w:tabs>
        <w:spacing w:line="360" w:lineRule="auto"/>
        <w:ind w:firstLine="420" w:firstLineChars="200"/>
        <w:contextualSpacing/>
        <w:rPr>
          <w:rFonts w:hAnsi="宋体"/>
          <w:color w:val="auto"/>
          <w:szCs w:val="21"/>
        </w:rPr>
      </w:pPr>
      <w:r>
        <w:rPr>
          <w:rFonts w:hint="eastAsia" w:asciiTheme="minorEastAsia" w:hAnsiTheme="minorEastAsia"/>
          <w:color w:val="auto"/>
          <w:szCs w:val="21"/>
        </w:rPr>
        <w:t>6.1</w:t>
      </w:r>
      <w:r>
        <w:rPr>
          <w:rFonts w:hint="eastAsia" w:hAnsi="宋体"/>
          <w:color w:val="auto"/>
          <w:szCs w:val="21"/>
        </w:rPr>
        <w:t>全流程电子化交易（不见面开标）项目，评标委员会以成功上传、解密的电子投标文件为依据评审。</w:t>
      </w:r>
    </w:p>
    <w:p>
      <w:pPr>
        <w:tabs>
          <w:tab w:val="left" w:pos="7095"/>
        </w:tabs>
        <w:spacing w:line="360" w:lineRule="auto"/>
        <w:ind w:firstLine="420" w:firstLineChars="200"/>
        <w:contextualSpacing/>
        <w:rPr>
          <w:rFonts w:asciiTheme="minorEastAsia" w:hAnsiTheme="minorEastAsia"/>
          <w:color w:val="auto"/>
          <w:szCs w:val="21"/>
        </w:rPr>
      </w:pPr>
      <w:r>
        <w:rPr>
          <w:rFonts w:hint="eastAsia" w:asciiTheme="minorEastAsia" w:hAnsiTheme="minorEastAsia"/>
          <w:color w:val="auto"/>
          <w:szCs w:val="21"/>
        </w:rPr>
        <w:t>6.2 评标期间，投标人应保持通讯手机畅通。</w:t>
      </w:r>
      <w:r>
        <w:rPr>
          <w:rFonts w:hint="eastAsia" w:cs="宋体" w:asciiTheme="minorEastAsia" w:hAnsiTheme="minorEastAsia"/>
          <w:color w:val="auto"/>
          <w:kern w:val="0"/>
          <w:szCs w:val="21"/>
        </w:rPr>
        <w:t>评标委员会</w:t>
      </w:r>
      <w:r>
        <w:rPr>
          <w:rFonts w:hint="eastAsia" w:asciiTheme="minorEastAsia" w:hAnsiTheme="minorEastAsia"/>
          <w:color w:val="auto"/>
          <w:szCs w:val="21"/>
        </w:rPr>
        <w:t>如</w:t>
      </w:r>
      <w:r>
        <w:rPr>
          <w:rFonts w:hint="eastAsia" w:cs="宋体" w:asciiTheme="minorEastAsia" w:hAnsiTheme="minorEastAsia"/>
          <w:color w:val="auto"/>
          <w:kern w:val="0"/>
          <w:szCs w:val="21"/>
        </w:rPr>
        <w:t>要求投标人作出澄清、说明或者补正等，投标人应在评标委员会要求的评标期间合理的时间内通过电子邮件形式提供。</w:t>
      </w:r>
    </w:p>
    <w:p>
      <w:pPr>
        <w:tabs>
          <w:tab w:val="left" w:pos="7095"/>
        </w:tabs>
        <w:spacing w:line="360" w:lineRule="auto"/>
        <w:ind w:firstLine="420" w:firstLineChars="200"/>
        <w:contextualSpacing/>
        <w:rPr>
          <w:color w:val="auto"/>
        </w:rPr>
      </w:pPr>
      <w:r>
        <w:rPr>
          <w:rFonts w:hint="eastAsia" w:cs="宋体" w:asciiTheme="minorEastAsia" w:hAnsiTheme="minorEastAsia"/>
          <w:color w:val="auto"/>
          <w:kern w:val="0"/>
          <w:szCs w:val="21"/>
        </w:rPr>
        <w:t>投标人通过电子邮件提供的书面说明或相关证明材料应加盖公章，或者由法定代表人或其授权的代表签字。</w:t>
      </w:r>
    </w:p>
    <w:p>
      <w:pPr>
        <w:tabs>
          <w:tab w:val="left" w:pos="7095"/>
        </w:tabs>
        <w:spacing w:line="360" w:lineRule="auto"/>
        <w:ind w:firstLine="420" w:firstLineChars="200"/>
        <w:contextualSpacing/>
        <w:rPr>
          <w:rFonts w:hAnsi="宋体"/>
          <w:color w:val="auto"/>
          <w:szCs w:val="21"/>
        </w:rPr>
      </w:pPr>
    </w:p>
    <w:p>
      <w:pPr>
        <w:widowControl/>
        <w:jc w:val="left"/>
        <w:rPr>
          <w:rFonts w:cs="宋体" w:asciiTheme="majorEastAsia" w:hAnsiTheme="majorEastAsia" w:eastAsiaTheme="majorEastAsia"/>
          <w:b/>
          <w:color w:val="auto"/>
          <w:kern w:val="0"/>
          <w:sz w:val="32"/>
          <w:szCs w:val="32"/>
        </w:rPr>
      </w:pPr>
      <w:r>
        <w:rPr>
          <w:rFonts w:cs="宋体" w:asciiTheme="majorEastAsia" w:hAnsiTheme="majorEastAsia" w:eastAsiaTheme="majorEastAsia"/>
          <w:b/>
          <w:color w:val="auto"/>
          <w:kern w:val="0"/>
          <w:sz w:val="32"/>
          <w:szCs w:val="32"/>
        </w:rPr>
        <w:br w:type="page"/>
      </w:r>
    </w:p>
    <w:p>
      <w:pPr>
        <w:numPr>
          <w:ilvl w:val="0"/>
          <w:numId w:val="4"/>
        </w:num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项目需求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一、本项目需实现的功能或者目标</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1、满足许昌科技学校高水平中等职业学校2019-2020学年建设计划汽车运用与维修实训基地提升改造工程项目建设内容要求。</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2、对整车实训室、新能源汽车实训室和汽车营销实训室提升改造，用于我校汽车运用于维修专业学生实训实习使用，以更好的提升我校汽车运用与维修专业建设水平，提高日常教学水平和学生的技能水平。</w:t>
      </w: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二、采购清单</w:t>
      </w:r>
    </w:p>
    <w:tbl>
      <w:tblPr>
        <w:tblStyle w:val="22"/>
        <w:tblW w:w="9315" w:type="dxa"/>
        <w:tblInd w:w="4"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42"/>
        <w:gridCol w:w="1164"/>
        <w:gridCol w:w="3749"/>
        <w:gridCol w:w="1776"/>
        <w:gridCol w:w="425"/>
        <w:gridCol w:w="709"/>
        <w:gridCol w:w="8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730"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pPr>
            <w:r>
              <w:rPr>
                <w:rFonts w:hint="eastAsia" w:ascii="宋体" w:hAnsi="宋体" w:eastAsia="宋体" w:cs="宋体"/>
                <w:szCs w:val="21"/>
              </w:rPr>
              <w:t>序号</w:t>
            </w:r>
          </w:p>
        </w:tc>
        <w:tc>
          <w:tcPr>
            <w:tcW w:w="1164"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pPr>
            <w:r>
              <w:rPr>
                <w:rFonts w:hint="eastAsia" w:ascii="宋体" w:hAnsi="宋体" w:eastAsia="宋体" w:cs="宋体"/>
                <w:szCs w:val="21"/>
              </w:rPr>
              <w:t>货物名称</w:t>
            </w:r>
          </w:p>
        </w:tc>
        <w:tc>
          <w:tcPr>
            <w:tcW w:w="5525" w:type="dxa"/>
            <w:gridSpan w:val="2"/>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pPr>
            <w:r>
              <w:rPr>
                <w:rFonts w:hint="eastAsia" w:ascii="宋体" w:hAnsi="宋体" w:eastAsia="宋体" w:cs="宋体"/>
                <w:szCs w:val="21"/>
              </w:rPr>
              <w:t>技术规格及主要参数</w:t>
            </w:r>
          </w:p>
        </w:tc>
        <w:tc>
          <w:tcPr>
            <w:tcW w:w="425"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pPr>
            <w:r>
              <w:rPr>
                <w:rFonts w:hint="eastAsia" w:ascii="宋体" w:hAnsi="宋体" w:eastAsia="宋体" w:cs="宋体"/>
                <w:szCs w:val="21"/>
              </w:rPr>
              <w:t>单位</w:t>
            </w:r>
          </w:p>
        </w:tc>
        <w:tc>
          <w:tcPr>
            <w:tcW w:w="709"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pPr>
            <w:r>
              <w:rPr>
                <w:rFonts w:hint="eastAsia" w:ascii="宋体" w:hAnsi="宋体" w:eastAsia="宋体" w:cs="宋体"/>
                <w:szCs w:val="21"/>
              </w:rPr>
              <w:t>数量</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ascii="宋体" w:hAnsi="宋体" w:eastAsia="宋体" w:cs="宋体"/>
                <w:szCs w:val="21"/>
              </w:rPr>
              <w:t>是否为核心产品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7"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pPr>
            <w:r>
              <w:rPr>
                <w:rFonts w:hint="eastAsia"/>
              </w:rPr>
              <w:t>1</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整车实训教学车辆</w:t>
            </w:r>
          </w:p>
        </w:tc>
        <w:tc>
          <w:tcPr>
            <w:tcW w:w="5525" w:type="dxa"/>
            <w:gridSpan w:val="2"/>
            <w:tcBorders>
              <w:tl2br w:val="nil"/>
              <w:tr2bl w:val="nil"/>
            </w:tcBorders>
            <w:shd w:val="clear" w:color="auto" w:fill="auto"/>
            <w:tcMar>
              <w:left w:w="105" w:type="dxa"/>
              <w:right w:w="105" w:type="dxa"/>
            </w:tcMar>
            <w:vAlign w:val="center"/>
          </w:tcPr>
          <w:p>
            <w:pPr>
              <w:ind w:left="4" w:leftChars="2" w:right="4" w:rightChars="2"/>
              <w:rPr>
                <w:rFonts w:ascii="宋体" w:hAnsi="宋体" w:cs="新宋体"/>
                <w:szCs w:val="21"/>
              </w:rPr>
            </w:pPr>
            <w:r>
              <w:rPr>
                <w:rFonts w:hint="eastAsia" w:ascii="宋体" w:hAnsi="宋体" w:cs="新宋体"/>
                <w:szCs w:val="21"/>
              </w:rPr>
              <w:t>车身尺寸：</w:t>
            </w:r>
            <w:r>
              <w:rPr>
                <w:rFonts w:hint="eastAsia" w:ascii="宋体" w:hAnsi="宋体" w:eastAsia="宋体" w:cs="宋体"/>
                <w:szCs w:val="21"/>
              </w:rPr>
              <w:t>≧</w:t>
            </w:r>
            <w:r>
              <w:rPr>
                <w:rFonts w:hint="eastAsia" w:ascii="宋体" w:hAnsi="宋体" w:cs="新宋体"/>
                <w:szCs w:val="21"/>
              </w:rPr>
              <w:t>4723*1802*1466mm</w:t>
            </w:r>
          </w:p>
          <w:p>
            <w:pPr>
              <w:ind w:left="4" w:leftChars="2" w:right="4" w:rightChars="2"/>
              <w:rPr>
                <w:rFonts w:ascii="宋体" w:hAnsi="宋体" w:cs="新宋体"/>
                <w:szCs w:val="21"/>
              </w:rPr>
            </w:pPr>
            <w:r>
              <w:rPr>
                <w:rFonts w:hint="eastAsia" w:ascii="宋体" w:hAnsi="宋体" w:cs="新宋体"/>
                <w:szCs w:val="21"/>
              </w:rPr>
              <w:t>车身结构：4门5座三厢车</w:t>
            </w:r>
          </w:p>
          <w:p>
            <w:pPr>
              <w:ind w:left="4" w:leftChars="2" w:right="4" w:rightChars="2"/>
              <w:rPr>
                <w:rFonts w:ascii="宋体" w:hAnsi="宋体" w:cs="新宋体"/>
                <w:szCs w:val="21"/>
              </w:rPr>
            </w:pPr>
            <w:r>
              <w:rPr>
                <w:rFonts w:hint="eastAsia" w:ascii="宋体" w:hAnsi="宋体" w:cs="新宋体"/>
                <w:szCs w:val="21"/>
              </w:rPr>
              <w:t>整车质保：三年或10万公里</w:t>
            </w:r>
          </w:p>
          <w:p>
            <w:pPr>
              <w:ind w:left="4" w:leftChars="2" w:right="4" w:rightChars="2"/>
              <w:rPr>
                <w:rFonts w:ascii="宋体" w:hAnsi="宋体" w:cs="新宋体"/>
                <w:szCs w:val="21"/>
              </w:rPr>
            </w:pPr>
            <w:r>
              <w:rPr>
                <w:rFonts w:hint="eastAsia" w:ascii="宋体" w:hAnsi="宋体" w:cs="新宋体"/>
                <w:szCs w:val="21"/>
              </w:rPr>
              <w:t xml:space="preserve">发 动 机：1.3T  L3  </w:t>
            </w:r>
          </w:p>
          <w:p>
            <w:pPr>
              <w:ind w:left="4" w:leftChars="2" w:right="4" w:rightChars="2"/>
              <w:rPr>
                <w:rFonts w:ascii="宋体" w:hAnsi="宋体" w:cs="新宋体"/>
                <w:szCs w:val="21"/>
              </w:rPr>
            </w:pPr>
            <w:r>
              <w:rPr>
                <w:rFonts w:hint="eastAsia" w:ascii="宋体" w:hAnsi="宋体" w:cs="新宋体"/>
                <w:szCs w:val="21"/>
              </w:rPr>
              <w:t>驱动方式：前置前驱</w:t>
            </w:r>
          </w:p>
          <w:p>
            <w:pPr>
              <w:ind w:left="4" w:leftChars="2" w:right="4" w:rightChars="2"/>
              <w:rPr>
                <w:rFonts w:ascii="宋体" w:hAnsi="宋体" w:cs="新宋体"/>
                <w:szCs w:val="21"/>
              </w:rPr>
            </w:pPr>
            <w:r>
              <w:rPr>
                <w:rFonts w:hint="eastAsia" w:ascii="宋体" w:hAnsi="宋体" w:cs="新宋体"/>
                <w:szCs w:val="21"/>
              </w:rPr>
              <w:t>变</w:t>
            </w:r>
            <w:r>
              <w:rPr>
                <w:rFonts w:ascii="宋体" w:hAnsi="宋体" w:cs="新宋体"/>
                <w:szCs w:val="21"/>
              </w:rPr>
              <w:t>速箱：无级变速</w:t>
            </w:r>
          </w:p>
          <w:p>
            <w:pPr>
              <w:ind w:left="4" w:leftChars="2" w:right="4" w:rightChars="2"/>
              <w:rPr>
                <w:rFonts w:ascii="宋体" w:hAnsi="宋体" w:cs="新宋体"/>
                <w:szCs w:val="21"/>
              </w:rPr>
            </w:pPr>
            <w:r>
              <w:rPr>
                <w:rFonts w:hint="eastAsia" w:ascii="宋体" w:hAnsi="宋体" w:cs="新宋体"/>
                <w:szCs w:val="21"/>
              </w:rPr>
              <w:t>油箱</w:t>
            </w:r>
            <w:r>
              <w:rPr>
                <w:rFonts w:ascii="宋体" w:hAnsi="宋体" w:cs="新宋体"/>
                <w:szCs w:val="21"/>
              </w:rPr>
              <w:t>容</w:t>
            </w:r>
            <w:r>
              <w:rPr>
                <w:rFonts w:hint="eastAsia" w:ascii="宋体" w:hAnsi="宋体" w:cs="新宋体"/>
                <w:szCs w:val="21"/>
              </w:rPr>
              <w:t>积</w:t>
            </w:r>
            <w:r>
              <w:rPr>
                <w:rFonts w:ascii="宋体" w:hAnsi="宋体" w:cs="新宋体"/>
                <w:szCs w:val="21"/>
              </w:rPr>
              <w:t>：</w:t>
            </w:r>
            <w:r>
              <w:rPr>
                <w:rFonts w:hint="eastAsia" w:ascii="宋体" w:hAnsi="宋体" w:eastAsia="宋体" w:cs="宋体"/>
                <w:szCs w:val="21"/>
              </w:rPr>
              <w:t>≧</w:t>
            </w:r>
            <w:r>
              <w:rPr>
                <w:rFonts w:hint="eastAsia" w:ascii="宋体" w:hAnsi="宋体" w:cs="新宋体"/>
                <w:szCs w:val="21"/>
              </w:rPr>
              <w:t>52L</w:t>
            </w:r>
          </w:p>
          <w:p>
            <w:pPr>
              <w:ind w:left="4" w:leftChars="2" w:right="4" w:rightChars="2"/>
              <w:rPr>
                <w:rFonts w:ascii="宋体" w:hAnsi="宋体" w:cs="新宋体"/>
                <w:szCs w:val="21"/>
              </w:rPr>
            </w:pPr>
            <w:r>
              <w:rPr>
                <w:rFonts w:hint="eastAsia" w:ascii="宋体" w:hAnsi="宋体" w:cs="新宋体"/>
                <w:szCs w:val="21"/>
              </w:rPr>
              <w:t>整</w:t>
            </w:r>
            <w:r>
              <w:rPr>
                <w:rFonts w:ascii="宋体" w:hAnsi="宋体" w:cs="新宋体"/>
                <w:szCs w:val="21"/>
              </w:rPr>
              <w:t>车质量（</w:t>
            </w:r>
            <w:r>
              <w:rPr>
                <w:rFonts w:hint="eastAsia" w:ascii="宋体" w:hAnsi="宋体" w:cs="新宋体"/>
                <w:szCs w:val="21"/>
              </w:rPr>
              <w:t>kg</w:t>
            </w:r>
            <w:r>
              <w:rPr>
                <w:rFonts w:ascii="宋体" w:hAnsi="宋体" w:cs="新宋体"/>
                <w:szCs w:val="21"/>
              </w:rPr>
              <w:t>）:</w:t>
            </w:r>
            <w:r>
              <w:rPr>
                <w:rFonts w:hint="eastAsia" w:ascii="宋体" w:hAnsi="宋体" w:eastAsia="宋体" w:cs="宋体"/>
                <w:szCs w:val="21"/>
              </w:rPr>
              <w:t>≧</w:t>
            </w:r>
            <w:r>
              <w:rPr>
                <w:rFonts w:ascii="宋体" w:hAnsi="宋体" w:cs="新宋体"/>
                <w:szCs w:val="21"/>
              </w:rPr>
              <w:t>1320</w:t>
            </w:r>
          </w:p>
          <w:p>
            <w:pPr>
              <w:ind w:left="4" w:leftChars="2" w:right="4" w:rightChars="2"/>
              <w:rPr>
                <w:rFonts w:ascii="宋体" w:hAnsi="宋体" w:cs="新宋体"/>
                <w:szCs w:val="21"/>
              </w:rPr>
            </w:pPr>
            <w:r>
              <w:rPr>
                <w:rFonts w:hint="eastAsia" w:ascii="宋体" w:hAnsi="宋体" w:cs="新宋体"/>
                <w:szCs w:val="21"/>
              </w:rPr>
              <w:t>最</w:t>
            </w:r>
            <w:r>
              <w:rPr>
                <w:rFonts w:ascii="宋体" w:hAnsi="宋体" w:cs="新宋体"/>
                <w:szCs w:val="21"/>
              </w:rPr>
              <w:t>大马力（</w:t>
            </w:r>
            <w:r>
              <w:rPr>
                <w:rFonts w:hint="eastAsia" w:ascii="宋体" w:hAnsi="宋体" w:cs="新宋体"/>
                <w:szCs w:val="21"/>
              </w:rPr>
              <w:t>ps</w:t>
            </w:r>
            <w:r>
              <w:rPr>
                <w:rFonts w:ascii="宋体" w:hAnsi="宋体" w:cs="新宋体"/>
                <w:szCs w:val="21"/>
              </w:rPr>
              <w:t>）</w:t>
            </w:r>
            <w:r>
              <w:rPr>
                <w:rFonts w:hint="eastAsia" w:ascii="宋体" w:hAnsi="宋体" w:cs="新宋体"/>
                <w:szCs w:val="21"/>
              </w:rPr>
              <w:t>:</w:t>
            </w:r>
            <w:r>
              <w:rPr>
                <w:rFonts w:hint="eastAsia" w:ascii="宋体" w:hAnsi="宋体" w:eastAsia="宋体" w:cs="宋体"/>
                <w:szCs w:val="21"/>
              </w:rPr>
              <w:t>≧</w:t>
            </w:r>
            <w:r>
              <w:rPr>
                <w:rFonts w:ascii="宋体" w:hAnsi="宋体" w:cs="新宋体"/>
                <w:szCs w:val="21"/>
              </w:rPr>
              <w:t>165</w:t>
            </w:r>
          </w:p>
          <w:p>
            <w:pPr>
              <w:ind w:left="4" w:leftChars="2" w:right="4" w:rightChars="2"/>
              <w:rPr>
                <w:rFonts w:ascii="宋体" w:hAnsi="宋体" w:cs="新宋体"/>
                <w:szCs w:val="21"/>
              </w:rPr>
            </w:pPr>
            <w:r>
              <w:rPr>
                <w:rFonts w:hint="eastAsia" w:ascii="宋体" w:hAnsi="宋体" w:cs="新宋体"/>
                <w:szCs w:val="21"/>
              </w:rPr>
              <w:t>最</w:t>
            </w:r>
            <w:r>
              <w:rPr>
                <w:rFonts w:ascii="宋体" w:hAnsi="宋体" w:cs="新宋体"/>
                <w:szCs w:val="21"/>
              </w:rPr>
              <w:t>大功率（</w:t>
            </w:r>
            <w:r>
              <w:rPr>
                <w:rFonts w:hint="eastAsia" w:ascii="宋体" w:hAnsi="宋体" w:cs="新宋体"/>
                <w:szCs w:val="21"/>
              </w:rPr>
              <w:t>KW</w:t>
            </w:r>
            <w:r>
              <w:rPr>
                <w:rFonts w:ascii="宋体" w:hAnsi="宋体" w:cs="新宋体"/>
                <w:szCs w:val="21"/>
              </w:rPr>
              <w:t>）:</w:t>
            </w:r>
            <w:r>
              <w:rPr>
                <w:rFonts w:hint="eastAsia" w:ascii="宋体" w:hAnsi="宋体" w:eastAsia="宋体" w:cs="宋体"/>
                <w:szCs w:val="21"/>
              </w:rPr>
              <w:t>≧</w:t>
            </w:r>
            <w:r>
              <w:rPr>
                <w:rFonts w:ascii="宋体" w:hAnsi="宋体" w:cs="新宋体"/>
                <w:szCs w:val="21"/>
              </w:rPr>
              <w:t>121</w:t>
            </w:r>
          </w:p>
          <w:p>
            <w:pPr>
              <w:ind w:left="4" w:leftChars="2" w:right="4" w:rightChars="2"/>
              <w:rPr>
                <w:rFonts w:ascii="宋体" w:hAnsi="宋体" w:cs="新宋体"/>
                <w:szCs w:val="21"/>
              </w:rPr>
            </w:pPr>
            <w:r>
              <w:rPr>
                <w:rFonts w:hint="eastAsia" w:ascii="宋体" w:hAnsi="宋体" w:cs="新宋体"/>
                <w:szCs w:val="21"/>
              </w:rPr>
              <w:t>最</w:t>
            </w:r>
            <w:r>
              <w:rPr>
                <w:rFonts w:ascii="宋体" w:hAnsi="宋体" w:cs="新宋体"/>
                <w:szCs w:val="21"/>
              </w:rPr>
              <w:t>大功率转带（</w:t>
            </w:r>
            <w:r>
              <w:rPr>
                <w:rFonts w:hint="eastAsia" w:ascii="宋体" w:hAnsi="宋体" w:cs="新宋体"/>
                <w:szCs w:val="21"/>
              </w:rPr>
              <w:t>rpm</w:t>
            </w:r>
            <w:r>
              <w:rPr>
                <w:rFonts w:ascii="宋体" w:hAnsi="宋体" w:cs="新宋体"/>
                <w:szCs w:val="21"/>
              </w:rPr>
              <w:t>）</w:t>
            </w:r>
            <w:r>
              <w:rPr>
                <w:rFonts w:hint="eastAsia" w:ascii="宋体" w:hAnsi="宋体" w:cs="新宋体"/>
                <w:szCs w:val="21"/>
              </w:rPr>
              <w:t>:</w:t>
            </w:r>
            <w:r>
              <w:rPr>
                <w:rFonts w:hint="eastAsia" w:ascii="宋体" w:hAnsi="宋体" w:eastAsia="宋体" w:cs="宋体"/>
                <w:szCs w:val="21"/>
              </w:rPr>
              <w:t>≧</w:t>
            </w:r>
            <w:r>
              <w:rPr>
                <w:rFonts w:hint="eastAsia" w:ascii="宋体" w:hAnsi="宋体" w:cs="新宋体"/>
                <w:szCs w:val="21"/>
              </w:rPr>
              <w:t>5600</w:t>
            </w:r>
          </w:p>
          <w:p>
            <w:pPr>
              <w:ind w:left="4" w:leftChars="2" w:right="4" w:rightChars="2"/>
              <w:rPr>
                <w:rFonts w:ascii="宋体" w:hAnsi="宋体" w:cs="新宋体"/>
                <w:szCs w:val="21"/>
              </w:rPr>
            </w:pPr>
            <w:r>
              <w:rPr>
                <w:rFonts w:hint="eastAsia" w:ascii="宋体" w:hAnsi="宋体" w:cs="新宋体"/>
                <w:szCs w:val="21"/>
              </w:rPr>
              <w:t>燃油</w:t>
            </w:r>
            <w:r>
              <w:rPr>
                <w:rFonts w:ascii="宋体" w:hAnsi="宋体" w:cs="新宋体"/>
                <w:szCs w:val="21"/>
              </w:rPr>
              <w:t>标号：</w:t>
            </w:r>
            <w:r>
              <w:rPr>
                <w:rFonts w:hint="eastAsia" w:ascii="宋体" w:hAnsi="宋体" w:cs="新宋体"/>
                <w:szCs w:val="21"/>
              </w:rPr>
              <w:t>92号</w:t>
            </w:r>
            <w:r>
              <w:rPr>
                <w:rFonts w:ascii="宋体" w:hAnsi="宋体" w:cs="新宋体"/>
                <w:szCs w:val="21"/>
              </w:rPr>
              <w:t>汽油</w:t>
            </w:r>
          </w:p>
          <w:p>
            <w:pPr>
              <w:ind w:left="4" w:leftChars="2" w:right="4" w:rightChars="2"/>
              <w:rPr>
                <w:rFonts w:ascii="宋体" w:hAnsi="宋体" w:cs="新宋体"/>
                <w:kern w:val="0"/>
                <w:szCs w:val="21"/>
              </w:rPr>
            </w:pPr>
            <w:r>
              <w:rPr>
                <w:rFonts w:hint="eastAsia" w:ascii="宋体" w:hAnsi="宋体" w:cs="新宋体"/>
                <w:szCs w:val="21"/>
              </w:rPr>
              <w:t>供</w:t>
            </w:r>
            <w:r>
              <w:rPr>
                <w:rFonts w:ascii="宋体" w:hAnsi="宋体" w:cs="新宋体"/>
                <w:szCs w:val="21"/>
              </w:rPr>
              <w:t>油方式：直喷</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台</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pPr>
            <w:r>
              <w:rPr>
                <w:rFonts w:hint="eastAsia"/>
              </w:rPr>
              <w:t>2</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发动机拆装正时专用工具</w:t>
            </w:r>
          </w:p>
        </w:tc>
        <w:tc>
          <w:tcPr>
            <w:tcW w:w="5525" w:type="dxa"/>
            <w:gridSpan w:val="2"/>
            <w:tcBorders>
              <w:tl2br w:val="nil"/>
              <w:tr2bl w:val="nil"/>
            </w:tcBorders>
            <w:shd w:val="clear" w:color="auto" w:fill="auto"/>
            <w:tcMar>
              <w:left w:w="105" w:type="dxa"/>
              <w:right w:w="105" w:type="dxa"/>
            </w:tcMar>
            <w:vAlign w:val="center"/>
          </w:tcPr>
          <w:p>
            <w:pPr>
              <w:pStyle w:val="58"/>
              <w:rPr>
                <w:rFonts w:ascii="宋体" w:hAnsi="宋体" w:cs="新宋体"/>
                <w:szCs w:val="21"/>
              </w:rPr>
            </w:pPr>
            <w:r>
              <w:rPr>
                <w:rFonts w:hint="eastAsia" w:ascii="宋体" w:hAnsi="宋体" w:cs="新宋体"/>
                <w:szCs w:val="21"/>
              </w:rPr>
              <w:t>7件套：制动盘锥形垫圈\正时皮带张紧器杆\凸轮轴正时齿轮锁止工具\锁销-传动皮带\飞轮锁止工具及配套螺栓\凸轮轴锁止工具</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2</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3</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配气机构拆装正时调整工具</w:t>
            </w:r>
          </w:p>
        </w:tc>
        <w:tc>
          <w:tcPr>
            <w:tcW w:w="5525" w:type="dxa"/>
            <w:gridSpan w:val="2"/>
            <w:tcBorders>
              <w:tl2br w:val="nil"/>
              <w:tr2bl w:val="nil"/>
            </w:tcBorders>
            <w:shd w:val="clear" w:color="auto" w:fill="auto"/>
            <w:tcMar>
              <w:left w:w="105" w:type="dxa"/>
              <w:right w:w="105" w:type="dxa"/>
            </w:tcMar>
            <w:vAlign w:val="center"/>
          </w:tcPr>
          <w:p>
            <w:pPr>
              <w:widowControl/>
              <w:textAlignment w:val="center"/>
              <w:rPr>
                <w:rFonts w:ascii="宋体" w:hAnsi="宋体" w:cs="新宋体"/>
                <w:kern w:val="0"/>
                <w:szCs w:val="21"/>
              </w:rPr>
            </w:pPr>
            <w:r>
              <w:rPr>
                <w:rFonts w:hint="eastAsia" w:ascii="宋体" w:hAnsi="宋体" w:cs="新宋体"/>
                <w:kern w:val="0"/>
                <w:szCs w:val="21"/>
              </w:rPr>
              <w:t>圆</w:t>
            </w:r>
            <w:r>
              <w:rPr>
                <w:rFonts w:ascii="宋体" w:hAnsi="宋体" w:cs="新宋体"/>
                <w:kern w:val="0"/>
                <w:szCs w:val="21"/>
              </w:rPr>
              <w:t>型，</w:t>
            </w:r>
            <w:r>
              <w:rPr>
                <w:rFonts w:hint="eastAsia" w:ascii="宋体" w:hAnsi="宋体" w:cs="新宋体"/>
                <w:kern w:val="0"/>
                <w:szCs w:val="21"/>
              </w:rPr>
              <w:t>方</w:t>
            </w:r>
            <w:r>
              <w:rPr>
                <w:rFonts w:ascii="宋体" w:hAnsi="宋体" w:cs="新宋体"/>
                <w:kern w:val="0"/>
                <w:szCs w:val="21"/>
              </w:rPr>
              <w:t>便摆放发</w:t>
            </w:r>
            <w:r>
              <w:rPr>
                <w:rFonts w:hint="eastAsia" w:ascii="宋体" w:hAnsi="宋体" w:cs="新宋体"/>
                <w:kern w:val="0"/>
                <w:szCs w:val="21"/>
              </w:rPr>
              <w:t>动</w:t>
            </w:r>
            <w:r>
              <w:rPr>
                <w:rFonts w:ascii="宋体" w:hAnsi="宋体" w:cs="新宋体"/>
                <w:kern w:val="0"/>
                <w:szCs w:val="21"/>
              </w:rPr>
              <w:t>机缸体配件</w:t>
            </w:r>
            <w:r>
              <w:rPr>
                <w:rFonts w:hint="eastAsia" w:ascii="宋体" w:hAnsi="宋体" w:cs="新宋体"/>
                <w:kern w:val="0"/>
                <w:szCs w:val="21"/>
              </w:rPr>
              <w:t>，</w:t>
            </w:r>
            <w:r>
              <w:rPr>
                <w:rFonts w:ascii="宋体" w:hAnsi="宋体" w:cs="新宋体"/>
                <w:kern w:val="0"/>
                <w:szCs w:val="21"/>
              </w:rPr>
              <w:t>提高效率。</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2</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4</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配气机构拆装专用工具</w:t>
            </w:r>
          </w:p>
        </w:tc>
        <w:tc>
          <w:tcPr>
            <w:tcW w:w="5525" w:type="dxa"/>
            <w:gridSpan w:val="2"/>
            <w:tcBorders>
              <w:tl2br w:val="nil"/>
              <w:tr2bl w:val="nil"/>
            </w:tcBorders>
            <w:shd w:val="clear" w:color="auto" w:fill="auto"/>
            <w:tcMar>
              <w:left w:w="105" w:type="dxa"/>
              <w:right w:w="105" w:type="dxa"/>
            </w:tcMar>
            <w:vAlign w:val="center"/>
          </w:tcPr>
          <w:p>
            <w:pPr>
              <w:widowControl/>
              <w:textAlignment w:val="center"/>
              <w:rPr>
                <w:rFonts w:ascii="宋体" w:hAnsi="宋体" w:cs="新宋体"/>
                <w:szCs w:val="21"/>
              </w:rPr>
            </w:pPr>
            <w:r>
              <w:rPr>
                <w:rFonts w:hint="eastAsia" w:ascii="宋体" w:hAnsi="宋体" w:cs="新宋体"/>
                <w:szCs w:val="21"/>
              </w:rPr>
              <w:t>22件套，用于1.6LDE发动机气门油封更换时气门的拆卸和安装，主要包含工具为：气门锁片吸棒、免拆式气门钳空气软管、气门油封装配杆、气门油封装配头、免拆式气门钳滑杆、铝制快速型气门钳、免拆式气门压缩器、免拆式气门压头延长杆、气门油封拔取钳、气门锁片安装器等</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5</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5</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汽车发动机配气机构拆装实训</w:t>
            </w:r>
          </w:p>
        </w:tc>
        <w:tc>
          <w:tcPr>
            <w:tcW w:w="5525" w:type="dxa"/>
            <w:gridSpan w:val="2"/>
            <w:tcBorders>
              <w:tl2br w:val="nil"/>
              <w:tr2bl w:val="nil"/>
            </w:tcBorders>
            <w:shd w:val="clear" w:color="auto" w:fill="auto"/>
            <w:tcMar>
              <w:left w:w="105" w:type="dxa"/>
              <w:right w:w="105" w:type="dxa"/>
            </w:tcMar>
            <w:vAlign w:val="center"/>
          </w:tcPr>
          <w:p>
            <w:pPr>
              <w:widowControl/>
              <w:textAlignment w:val="center"/>
              <w:rPr>
                <w:rFonts w:ascii="宋体" w:hAnsi="宋体" w:cs="新宋体"/>
                <w:szCs w:val="21"/>
              </w:rPr>
            </w:pPr>
            <w:r>
              <w:rPr>
                <w:rFonts w:hint="eastAsia" w:ascii="宋体" w:hAnsi="宋体" w:cs="新宋体"/>
                <w:szCs w:val="21"/>
              </w:rPr>
              <w:t>1.发动机翻转架及气缸盖辅助连接板装置：</w:t>
            </w:r>
          </w:p>
          <w:p>
            <w:pPr>
              <w:widowControl/>
              <w:textAlignment w:val="center"/>
              <w:rPr>
                <w:rFonts w:ascii="宋体" w:hAnsi="宋体" w:cs="新宋体"/>
                <w:szCs w:val="21"/>
              </w:rPr>
            </w:pPr>
            <w:r>
              <w:rPr>
                <w:rFonts w:hint="eastAsia" w:ascii="宋体" w:hAnsi="宋体" w:cs="新宋体"/>
                <w:szCs w:val="21"/>
              </w:rPr>
              <w:t>1.1配置减速装置，带有自锁功能，可360度翻转，并能以工作角度安全锁止；</w:t>
            </w:r>
          </w:p>
          <w:p>
            <w:pPr>
              <w:widowControl/>
              <w:textAlignment w:val="center"/>
              <w:rPr>
                <w:rFonts w:ascii="宋体" w:hAnsi="宋体" w:cs="新宋体"/>
                <w:szCs w:val="21"/>
              </w:rPr>
            </w:pPr>
            <w:r>
              <w:rPr>
                <w:rFonts w:hint="eastAsia" w:ascii="宋体" w:hAnsi="宋体" w:cs="新宋体"/>
                <w:szCs w:val="21"/>
              </w:rPr>
              <w:t>1.2配置专用气缸盖总成连接板，底座带接油盘，做到三不落地；</w:t>
            </w:r>
          </w:p>
          <w:p>
            <w:pPr>
              <w:widowControl/>
              <w:textAlignment w:val="center"/>
              <w:rPr>
                <w:rFonts w:ascii="宋体" w:hAnsi="宋体" w:cs="新宋体"/>
                <w:szCs w:val="21"/>
              </w:rPr>
            </w:pPr>
            <w:r>
              <w:rPr>
                <w:rFonts w:hint="eastAsia" w:ascii="宋体" w:hAnsi="宋体" w:cs="新宋体"/>
                <w:szCs w:val="21"/>
              </w:rPr>
              <w:t>1.3整体台架采用刚性结构焊接，所用材料如方管、角钢等采用国标标准材料，表面喷塑处理带万向脚轮，台架活动灵活，方便教学；</w:t>
            </w:r>
          </w:p>
          <w:p>
            <w:pPr>
              <w:widowControl/>
              <w:textAlignment w:val="center"/>
              <w:rPr>
                <w:rFonts w:ascii="宋体" w:hAnsi="宋体" w:cs="新宋体"/>
                <w:szCs w:val="21"/>
              </w:rPr>
            </w:pPr>
            <w:r>
              <w:rPr>
                <w:rFonts w:hint="eastAsia" w:ascii="宋体" w:hAnsi="宋体" w:cs="新宋体"/>
                <w:szCs w:val="21"/>
              </w:rPr>
              <w:t>1.4配备专业的发动机气缸盖拆装检测指导实训软件，具体要求见功能特点第3点；</w:t>
            </w:r>
          </w:p>
          <w:p>
            <w:pPr>
              <w:widowControl/>
              <w:textAlignment w:val="center"/>
              <w:rPr>
                <w:rFonts w:ascii="宋体" w:hAnsi="宋体" w:cs="新宋体"/>
                <w:szCs w:val="21"/>
              </w:rPr>
            </w:pPr>
            <w:r>
              <w:rPr>
                <w:rFonts w:hint="eastAsia" w:ascii="宋体" w:hAnsi="宋体" w:cs="新宋体"/>
                <w:szCs w:val="21"/>
              </w:rPr>
              <w:t>1.5配备使用说明书、维修资料、实训指导书（含任务页课时安排）、操作视频等资料。</w:t>
            </w:r>
          </w:p>
          <w:p>
            <w:pPr>
              <w:widowControl/>
              <w:textAlignment w:val="center"/>
              <w:rPr>
                <w:rFonts w:ascii="宋体" w:hAnsi="宋体" w:cs="新宋体"/>
                <w:szCs w:val="21"/>
              </w:rPr>
            </w:pPr>
            <w:r>
              <w:rPr>
                <w:rFonts w:hint="eastAsia" w:ascii="宋体" w:hAnsi="宋体" w:cs="新宋体"/>
                <w:szCs w:val="21"/>
              </w:rPr>
              <w:t>2.气缸盖总成：</w:t>
            </w:r>
          </w:p>
          <w:p>
            <w:pPr>
              <w:widowControl/>
              <w:textAlignment w:val="center"/>
              <w:rPr>
                <w:rFonts w:ascii="宋体" w:hAnsi="宋体" w:cs="新宋体"/>
                <w:szCs w:val="21"/>
              </w:rPr>
            </w:pPr>
            <w:r>
              <w:rPr>
                <w:rFonts w:hint="eastAsia" w:ascii="宋体" w:hAnsi="宋体" w:cs="新宋体"/>
                <w:szCs w:val="21"/>
              </w:rPr>
              <w:t>气缸盖总成，零部件完整，附件齐全，功能完好能满足实训拆装要求。</w:t>
            </w:r>
          </w:p>
          <w:p>
            <w:pPr>
              <w:widowControl/>
              <w:textAlignment w:val="center"/>
              <w:rPr>
                <w:rFonts w:ascii="宋体" w:hAnsi="宋体" w:cs="新宋体"/>
                <w:szCs w:val="21"/>
              </w:rPr>
            </w:pPr>
            <w:r>
              <w:rPr>
                <w:rFonts w:hint="eastAsia" w:ascii="宋体" w:hAnsi="宋体" w:cs="新宋体"/>
                <w:szCs w:val="21"/>
              </w:rPr>
              <w:t>3.气缸盖拆装工具：</w:t>
            </w:r>
          </w:p>
          <w:p>
            <w:pPr>
              <w:widowControl/>
              <w:textAlignment w:val="center"/>
              <w:rPr>
                <w:rFonts w:ascii="宋体" w:hAnsi="宋体" w:cs="新宋体"/>
                <w:szCs w:val="21"/>
              </w:rPr>
            </w:pPr>
            <w:r>
              <w:rPr>
                <w:rFonts w:hint="eastAsia" w:ascii="宋体" w:hAnsi="宋体" w:cs="新宋体"/>
                <w:szCs w:val="21"/>
              </w:rPr>
              <w:t>配套气缸盖拆装专用工具。</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台</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4</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6</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压力仪表</w:t>
            </w:r>
          </w:p>
        </w:tc>
        <w:tc>
          <w:tcPr>
            <w:tcW w:w="5525" w:type="dxa"/>
            <w:gridSpan w:val="2"/>
            <w:tcBorders>
              <w:tl2br w:val="nil"/>
              <w:tr2bl w:val="nil"/>
            </w:tcBorders>
            <w:shd w:val="clear" w:color="auto" w:fill="auto"/>
            <w:tcMar>
              <w:left w:w="105" w:type="dxa"/>
              <w:right w:w="105" w:type="dxa"/>
            </w:tcMar>
            <w:vAlign w:val="center"/>
          </w:tcPr>
          <w:p>
            <w:pPr>
              <w:widowControl/>
              <w:textAlignment w:val="center"/>
              <w:rPr>
                <w:rFonts w:ascii="宋体" w:hAnsi="宋体" w:cs="新宋体"/>
                <w:kern w:val="0"/>
                <w:szCs w:val="21"/>
              </w:rPr>
            </w:pPr>
            <w:r>
              <w:rPr>
                <w:rFonts w:hint="eastAsia" w:ascii="宋体" w:hAnsi="宋体" w:cs="新宋体"/>
                <w:kern w:val="0"/>
                <w:szCs w:val="21"/>
              </w:rPr>
              <w:t>14件水箱压力表组</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2</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7</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尾气分析仪</w:t>
            </w:r>
          </w:p>
        </w:tc>
        <w:tc>
          <w:tcPr>
            <w:tcW w:w="5525" w:type="dxa"/>
            <w:gridSpan w:val="2"/>
            <w:tcBorders>
              <w:tl2br w:val="nil"/>
              <w:tr2bl w:val="nil"/>
            </w:tcBorders>
            <w:shd w:val="clear" w:color="auto" w:fill="auto"/>
            <w:tcMar>
              <w:left w:w="105" w:type="dxa"/>
              <w:right w:w="105" w:type="dxa"/>
            </w:tcMar>
            <w:vAlign w:val="center"/>
          </w:tcPr>
          <w:p>
            <w:pPr>
              <w:textAlignment w:val="center"/>
              <w:rPr>
                <w:rFonts w:ascii="宋体" w:hAnsi="宋体" w:cs="新宋体"/>
                <w:szCs w:val="21"/>
              </w:rPr>
            </w:pPr>
            <w:r>
              <w:rPr>
                <w:rFonts w:hint="eastAsia" w:ascii="宋体" w:hAnsi="宋体" w:cs="新宋体"/>
                <w:szCs w:val="21"/>
              </w:rPr>
              <w:t>主要技术参数</w:t>
            </w:r>
          </w:p>
          <w:p>
            <w:pPr>
              <w:textAlignment w:val="center"/>
              <w:rPr>
                <w:rFonts w:ascii="宋体" w:hAnsi="宋体" w:cs="新宋体"/>
                <w:szCs w:val="21"/>
              </w:rPr>
            </w:pPr>
            <w:r>
              <w:rPr>
                <w:rFonts w:hint="eastAsia" w:ascii="宋体" w:hAnsi="宋体" w:cs="新宋体"/>
                <w:szCs w:val="21"/>
              </w:rPr>
              <w:t>测量名称  测量范围 精度</w:t>
            </w:r>
          </w:p>
          <w:p>
            <w:pPr>
              <w:textAlignment w:val="center"/>
              <w:rPr>
                <w:rFonts w:ascii="宋体" w:hAnsi="宋体" w:cs="新宋体"/>
                <w:szCs w:val="21"/>
              </w:rPr>
            </w:pPr>
            <w:r>
              <w:rPr>
                <w:rFonts w:ascii="宋体" w:hAnsi="宋体"/>
                <w:szCs w:val="21"/>
              </w:rPr>
              <w:t>▲</w:t>
            </w:r>
            <w:r>
              <w:rPr>
                <w:rFonts w:hint="eastAsia" w:ascii="宋体" w:hAnsi="宋体" w:cs="新宋体"/>
                <w:szCs w:val="21"/>
              </w:rPr>
              <w:t xml:space="preserve">CO 0 – </w:t>
            </w:r>
            <w:r>
              <w:rPr>
                <w:rFonts w:ascii="宋体" w:hAnsi="宋体" w:cs="新宋体"/>
                <w:szCs w:val="21"/>
              </w:rPr>
              <w:t>5</w:t>
            </w:r>
            <w:r>
              <w:rPr>
                <w:rFonts w:hint="eastAsia" w:ascii="宋体" w:hAnsi="宋体" w:cs="新宋体"/>
                <w:szCs w:val="21"/>
              </w:rPr>
              <w:t>.00 %vol 0.001 %vol</w:t>
            </w:r>
          </w:p>
          <w:p>
            <w:pPr>
              <w:textAlignment w:val="center"/>
              <w:rPr>
                <w:rFonts w:ascii="宋体" w:hAnsi="宋体" w:cs="新宋体"/>
                <w:szCs w:val="21"/>
              </w:rPr>
            </w:pPr>
            <w:r>
              <w:rPr>
                <w:rFonts w:ascii="宋体" w:hAnsi="宋体"/>
                <w:szCs w:val="21"/>
              </w:rPr>
              <w:t>▲</w:t>
            </w:r>
            <w:r>
              <w:rPr>
                <w:rFonts w:hint="eastAsia" w:ascii="宋体" w:hAnsi="宋体" w:cs="新宋体"/>
                <w:szCs w:val="21"/>
              </w:rPr>
              <w:t xml:space="preserve">CO2 0 – </w:t>
            </w:r>
            <w:r>
              <w:rPr>
                <w:rFonts w:ascii="宋体" w:hAnsi="宋体" w:cs="新宋体"/>
                <w:szCs w:val="21"/>
              </w:rPr>
              <w:t>10</w:t>
            </w:r>
            <w:r>
              <w:rPr>
                <w:rFonts w:hint="eastAsia" w:ascii="宋体" w:hAnsi="宋体" w:cs="新宋体"/>
                <w:szCs w:val="21"/>
              </w:rPr>
              <w:t>.00 %vol 0.01 %vol</w:t>
            </w:r>
          </w:p>
          <w:p>
            <w:pPr>
              <w:textAlignment w:val="center"/>
              <w:rPr>
                <w:rFonts w:ascii="宋体" w:hAnsi="宋体" w:cs="新宋体"/>
                <w:szCs w:val="21"/>
              </w:rPr>
            </w:pPr>
            <w:r>
              <w:rPr>
                <w:rFonts w:hint="eastAsia" w:ascii="宋体" w:hAnsi="宋体" w:cs="新宋体"/>
                <w:szCs w:val="21"/>
              </w:rPr>
              <w:t>HC 0 - 9999 ppm vol 1 ppm vol</w:t>
            </w:r>
          </w:p>
          <w:p>
            <w:pPr>
              <w:textAlignment w:val="center"/>
              <w:rPr>
                <w:rFonts w:ascii="宋体" w:hAnsi="宋体" w:cs="新宋体"/>
                <w:szCs w:val="21"/>
              </w:rPr>
            </w:pPr>
            <w:r>
              <w:rPr>
                <w:rFonts w:ascii="宋体" w:hAnsi="宋体"/>
                <w:szCs w:val="21"/>
              </w:rPr>
              <w:t>▲</w:t>
            </w:r>
            <w:r>
              <w:rPr>
                <w:rFonts w:hint="eastAsia" w:ascii="宋体" w:hAnsi="宋体" w:cs="新宋体"/>
                <w:szCs w:val="21"/>
              </w:rPr>
              <w:t xml:space="preserve">O2 0 – </w:t>
            </w:r>
            <w:r>
              <w:rPr>
                <w:rFonts w:ascii="宋体" w:hAnsi="宋体" w:cs="新宋体"/>
                <w:szCs w:val="21"/>
              </w:rPr>
              <w:t>20</w:t>
            </w:r>
            <w:r>
              <w:rPr>
                <w:rFonts w:hint="eastAsia" w:ascii="宋体" w:hAnsi="宋体" w:cs="新宋体"/>
                <w:szCs w:val="21"/>
              </w:rPr>
              <w:t>.00 %vol 0.01 %vol</w:t>
            </w:r>
          </w:p>
          <w:p>
            <w:pPr>
              <w:textAlignment w:val="center"/>
              <w:rPr>
                <w:rFonts w:ascii="宋体" w:hAnsi="宋体" w:cs="新宋体"/>
                <w:szCs w:val="21"/>
              </w:rPr>
            </w:pPr>
            <w:r>
              <w:rPr>
                <w:rFonts w:hint="eastAsia" w:ascii="宋体" w:hAnsi="宋体" w:cs="新宋体"/>
                <w:szCs w:val="21"/>
              </w:rPr>
              <w:t>λ 0.500 – 9.999 0.001</w:t>
            </w:r>
          </w:p>
          <w:p>
            <w:pPr>
              <w:textAlignment w:val="center"/>
              <w:rPr>
                <w:rFonts w:ascii="宋体" w:hAnsi="宋体" w:cs="新宋体"/>
                <w:szCs w:val="21"/>
              </w:rPr>
            </w:pPr>
            <w:r>
              <w:rPr>
                <w:rFonts w:hint="eastAsia" w:ascii="宋体" w:hAnsi="宋体" w:cs="新宋体"/>
                <w:szCs w:val="21"/>
              </w:rPr>
              <w:t>Covrai. （非德国） 0 – 10.00 %vol 0.01 %vol</w:t>
            </w:r>
          </w:p>
          <w:p>
            <w:pPr>
              <w:textAlignment w:val="center"/>
              <w:rPr>
                <w:rFonts w:ascii="宋体" w:hAnsi="宋体" w:cs="新宋体"/>
                <w:szCs w:val="21"/>
              </w:rPr>
            </w:pPr>
            <w:r>
              <w:rPr>
                <w:rFonts w:ascii="宋体" w:hAnsi="宋体"/>
                <w:szCs w:val="21"/>
              </w:rPr>
              <w:t>▲</w:t>
            </w:r>
            <w:r>
              <w:rPr>
                <w:rFonts w:hint="eastAsia" w:ascii="宋体" w:hAnsi="宋体" w:cs="新宋体"/>
                <w:szCs w:val="21"/>
              </w:rPr>
              <w:t xml:space="preserve">NO 0 – </w:t>
            </w:r>
            <w:r>
              <w:rPr>
                <w:rFonts w:ascii="宋体" w:hAnsi="宋体" w:cs="新宋体"/>
                <w:szCs w:val="21"/>
              </w:rPr>
              <w:t>4</w:t>
            </w:r>
            <w:r>
              <w:rPr>
                <w:rFonts w:hint="eastAsia" w:ascii="宋体" w:hAnsi="宋体" w:cs="新宋体"/>
                <w:szCs w:val="21"/>
              </w:rPr>
              <w:t>000 ppm vol 1 ppm vol</w:t>
            </w:r>
          </w:p>
          <w:p>
            <w:pPr>
              <w:textAlignment w:val="center"/>
              <w:rPr>
                <w:rFonts w:ascii="宋体" w:hAnsi="宋体" w:cs="新宋体"/>
                <w:kern w:val="0"/>
                <w:szCs w:val="21"/>
              </w:rPr>
            </w:pPr>
            <w:r>
              <w:rPr>
                <w:rFonts w:hint="eastAsia" w:ascii="宋体" w:hAnsi="宋体" w:cs="新宋体"/>
                <w:szCs w:val="21"/>
              </w:rPr>
              <w:t>精度等级 1，OIML R99 Ed. 2008 标准 0 级</w:t>
            </w:r>
            <w:r>
              <w:rPr>
                <w:rFonts w:hint="eastAsia" w:ascii="宋体" w:hAnsi="宋体" w:cs="新宋体"/>
                <w:color w:val="FF0000"/>
                <w:szCs w:val="21"/>
              </w:rPr>
              <w:t xml:space="preserve"> </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8</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仪器仪表</w:t>
            </w:r>
          </w:p>
        </w:tc>
        <w:tc>
          <w:tcPr>
            <w:tcW w:w="5525" w:type="dxa"/>
            <w:gridSpan w:val="2"/>
            <w:tcBorders>
              <w:tl2br w:val="nil"/>
              <w:tr2bl w:val="nil"/>
            </w:tcBorders>
            <w:shd w:val="clear" w:color="auto" w:fill="auto"/>
            <w:tcMar>
              <w:left w:w="105" w:type="dxa"/>
              <w:right w:w="105" w:type="dxa"/>
            </w:tcMar>
            <w:vAlign w:val="center"/>
          </w:tcPr>
          <w:p>
            <w:pPr>
              <w:widowControl/>
              <w:textAlignment w:val="center"/>
              <w:rPr>
                <w:rFonts w:ascii="宋体" w:hAnsi="宋体" w:cs="新宋体"/>
                <w:kern w:val="0"/>
                <w:szCs w:val="21"/>
              </w:rPr>
            </w:pPr>
            <w:r>
              <w:rPr>
                <w:rFonts w:hint="eastAsia" w:ascii="宋体" w:hAnsi="宋体" w:cs="新宋体"/>
                <w:szCs w:val="21"/>
                <w:shd w:val="clear" w:color="auto" w:fill="FFFFFF"/>
              </w:rPr>
              <w:t>直流电压2/20/200/1000V±(0.5%＋1)</w:t>
            </w:r>
            <w:r>
              <w:rPr>
                <w:rFonts w:hint="eastAsia" w:ascii="宋体" w:hAnsi="宋体" w:cs="新宋体"/>
                <w:szCs w:val="21"/>
                <w:shd w:val="clear" w:color="auto" w:fill="FFFFFF"/>
              </w:rPr>
              <w:br w:type="textWrapping"/>
            </w:r>
            <w:r>
              <w:rPr>
                <w:rFonts w:hint="eastAsia" w:ascii="宋体" w:hAnsi="宋体" w:cs="新宋体"/>
                <w:szCs w:val="21"/>
                <w:shd w:val="clear" w:color="auto" w:fill="FFFFFF"/>
              </w:rPr>
              <w:t>交流电压2/20/200/700V±(0.8%＋3)</w:t>
            </w:r>
            <w:r>
              <w:rPr>
                <w:rFonts w:hint="eastAsia" w:ascii="宋体" w:hAnsi="宋体" w:cs="新宋体"/>
                <w:szCs w:val="21"/>
                <w:shd w:val="clear" w:color="auto" w:fill="FFFFFF"/>
              </w:rPr>
              <w:br w:type="textWrapping"/>
            </w:r>
            <w:r>
              <w:rPr>
                <w:rFonts w:hint="eastAsia" w:ascii="宋体" w:hAnsi="宋体" w:cs="新宋体"/>
                <w:szCs w:val="21"/>
                <w:shd w:val="clear" w:color="auto" w:fill="FFFFFF"/>
              </w:rPr>
              <w:t>直流电流20m/200m/20A±(0.8%＋2)</w:t>
            </w:r>
            <w:r>
              <w:rPr>
                <w:rFonts w:hint="eastAsia" w:ascii="宋体" w:hAnsi="宋体" w:cs="新宋体"/>
                <w:szCs w:val="21"/>
                <w:shd w:val="clear" w:color="auto" w:fill="FFFFFF"/>
              </w:rPr>
              <w:br w:type="textWrapping"/>
            </w:r>
            <w:r>
              <w:rPr>
                <w:rFonts w:hint="eastAsia" w:ascii="宋体" w:hAnsi="宋体" w:cs="新宋体"/>
                <w:szCs w:val="21"/>
                <w:shd w:val="clear" w:color="auto" w:fill="FFFFFF"/>
              </w:rPr>
              <w:t>交流电流20m/200m/20A±(1%＋3)</w:t>
            </w:r>
            <w:r>
              <w:rPr>
                <w:rFonts w:hint="eastAsia" w:ascii="宋体" w:hAnsi="宋体" w:cs="新宋体"/>
                <w:szCs w:val="21"/>
                <w:shd w:val="clear" w:color="auto" w:fill="FFFFFF"/>
              </w:rPr>
              <w:br w:type="textWrapping"/>
            </w:r>
            <w:r>
              <w:rPr>
                <w:rFonts w:hint="eastAsia" w:ascii="宋体" w:hAnsi="宋体" w:cs="新宋体"/>
                <w:szCs w:val="21"/>
                <w:shd w:val="clear" w:color="auto" w:fill="FFFFFF"/>
              </w:rPr>
              <w:t>电阻200/20K/200K/20MΩ±(0.8%＋1)</w:t>
            </w:r>
            <w:r>
              <w:rPr>
                <w:rFonts w:hint="eastAsia" w:ascii="宋体" w:hAnsi="宋体" w:cs="新宋体"/>
                <w:szCs w:val="21"/>
                <w:shd w:val="clear" w:color="auto" w:fill="FFFFFF"/>
              </w:rPr>
              <w:br w:type="textWrapping"/>
            </w:r>
            <w:r>
              <w:rPr>
                <w:rFonts w:hint="eastAsia" w:ascii="宋体" w:hAnsi="宋体" w:cs="新宋体"/>
                <w:szCs w:val="21"/>
                <w:shd w:val="clear" w:color="auto" w:fill="FFFFFF"/>
              </w:rPr>
              <w:t>温度-40℃-1000℃±(1%＋3)</w:t>
            </w:r>
            <w:r>
              <w:rPr>
                <w:rFonts w:hint="eastAsia" w:ascii="宋体" w:hAnsi="宋体" w:cs="新宋体"/>
                <w:szCs w:val="21"/>
                <w:shd w:val="clear" w:color="auto" w:fill="FFFFFF"/>
              </w:rPr>
              <w:br w:type="textWrapping"/>
            </w:r>
            <w:r>
              <w:rPr>
                <w:rFonts w:hint="eastAsia" w:ascii="宋体" w:hAnsi="宋体" w:cs="新宋体"/>
                <w:szCs w:val="21"/>
                <w:shd w:val="clear" w:color="auto" w:fill="FFFFFF"/>
              </w:rPr>
              <w:t>分电器触点的闭合角3/4/5/6/8CYL±(1.2%＋2)</w:t>
            </w:r>
            <w:r>
              <w:rPr>
                <w:rFonts w:hint="eastAsia" w:ascii="宋体" w:hAnsi="宋体" w:cs="新宋体"/>
                <w:szCs w:val="21"/>
                <w:shd w:val="clear" w:color="auto" w:fill="FFFFFF"/>
              </w:rPr>
              <w:br w:type="textWrapping"/>
            </w:r>
            <w:r>
              <w:rPr>
                <w:rFonts w:hint="eastAsia" w:ascii="宋体" w:hAnsi="宋体" w:cs="新宋体"/>
                <w:szCs w:val="21"/>
                <w:shd w:val="clear" w:color="auto" w:fill="FFFFFF"/>
              </w:rPr>
              <w:t>转速3/4/5/6/8CYL±(1.2%＋2)</w:t>
            </w:r>
            <w:r>
              <w:rPr>
                <w:rFonts w:hint="eastAsia" w:ascii="宋体" w:hAnsi="宋体" w:cs="新宋体"/>
                <w:szCs w:val="21"/>
                <w:shd w:val="clear" w:color="auto" w:fill="FFFFFF"/>
              </w:rPr>
              <w:br w:type="textWrapping"/>
            </w:r>
            <w:r>
              <w:rPr>
                <w:rFonts w:hint="eastAsia" w:ascii="宋体" w:hAnsi="宋体" w:cs="新宋体"/>
                <w:szCs w:val="21"/>
                <w:shd w:val="clear" w:color="auto" w:fill="FFFFFF"/>
              </w:rPr>
              <w:t>二极管测量</w:t>
            </w:r>
            <w:r>
              <w:rPr>
                <w:rFonts w:hint="eastAsia" w:ascii="宋体" w:hAnsi="宋体" w:cs="新宋体"/>
                <w:szCs w:val="21"/>
                <w:shd w:val="clear" w:color="auto" w:fill="FFFFFF"/>
              </w:rPr>
              <w:br w:type="textWrapping"/>
            </w:r>
            <w:r>
              <w:rPr>
                <w:rFonts w:hint="eastAsia" w:ascii="宋体" w:hAnsi="宋体" w:cs="新宋体"/>
                <w:szCs w:val="21"/>
                <w:shd w:val="clear" w:color="auto" w:fill="FFFFFF"/>
              </w:rPr>
              <w:t>三极管测量</w:t>
            </w:r>
            <w:r>
              <w:rPr>
                <w:rFonts w:hint="eastAsia" w:ascii="宋体" w:hAnsi="宋体" w:cs="新宋体"/>
                <w:szCs w:val="21"/>
                <w:shd w:val="clear" w:color="auto" w:fill="FFFFFF"/>
              </w:rPr>
              <w:br w:type="textWrapping"/>
            </w:r>
            <w:r>
              <w:rPr>
                <w:rFonts w:hint="eastAsia" w:ascii="宋体" w:hAnsi="宋体" w:cs="新宋体"/>
                <w:szCs w:val="21"/>
                <w:shd w:val="clear" w:color="auto" w:fill="FFFFFF"/>
              </w:rPr>
              <w:t>通断蜂鸣</w:t>
            </w:r>
            <w:r>
              <w:rPr>
                <w:rFonts w:hint="eastAsia" w:ascii="宋体" w:hAnsi="宋体" w:cs="新宋体"/>
                <w:szCs w:val="21"/>
                <w:shd w:val="clear" w:color="auto" w:fill="FFFFFF"/>
              </w:rPr>
              <w:br w:type="textWrapping"/>
            </w:r>
            <w:r>
              <w:rPr>
                <w:rFonts w:hint="eastAsia" w:ascii="宋体" w:hAnsi="宋体" w:cs="新宋体"/>
                <w:szCs w:val="21"/>
                <w:shd w:val="clear" w:color="auto" w:fill="FFFFFF"/>
              </w:rPr>
              <w:t>数据保持</w:t>
            </w:r>
            <w:r>
              <w:rPr>
                <w:rFonts w:hint="eastAsia" w:ascii="宋体" w:hAnsi="宋体" w:cs="新宋体"/>
                <w:szCs w:val="21"/>
                <w:shd w:val="clear" w:color="auto" w:fill="FFFFFF"/>
              </w:rPr>
              <w:br w:type="textWrapping"/>
            </w:r>
            <w:r>
              <w:rPr>
                <w:rFonts w:hint="eastAsia" w:ascii="宋体" w:hAnsi="宋体" w:cs="新宋体"/>
                <w:szCs w:val="21"/>
                <w:shd w:val="clear" w:color="auto" w:fill="FFFFFF"/>
              </w:rPr>
              <w:t>电源9V电池（6F22）</w:t>
            </w:r>
            <w:r>
              <w:rPr>
                <w:rFonts w:hint="eastAsia" w:ascii="宋体" w:hAnsi="宋体" w:cs="新宋体"/>
                <w:szCs w:val="21"/>
                <w:shd w:val="clear" w:color="auto" w:fill="FFFFFF"/>
              </w:rPr>
              <w:br w:type="textWrapping"/>
            </w:r>
            <w:r>
              <w:rPr>
                <w:rFonts w:hint="eastAsia" w:ascii="宋体" w:hAnsi="宋体" w:cs="新宋体"/>
                <w:szCs w:val="21"/>
                <w:shd w:val="clear" w:color="auto" w:fill="FFFFFF"/>
              </w:rPr>
              <w:t>输入端自动阻塞系统</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4</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9</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整车实训教学车辆</w:t>
            </w:r>
          </w:p>
        </w:tc>
        <w:tc>
          <w:tcPr>
            <w:tcW w:w="5525" w:type="dxa"/>
            <w:gridSpan w:val="2"/>
            <w:tcBorders>
              <w:tl2br w:val="nil"/>
              <w:tr2bl w:val="nil"/>
            </w:tcBorders>
            <w:shd w:val="clear" w:color="auto" w:fill="auto"/>
            <w:tcMar>
              <w:left w:w="105" w:type="dxa"/>
              <w:right w:w="105" w:type="dxa"/>
            </w:tcMar>
            <w:vAlign w:val="center"/>
          </w:tcPr>
          <w:p>
            <w:pPr>
              <w:widowControl/>
              <w:textAlignment w:val="center"/>
              <w:rPr>
                <w:rFonts w:ascii="宋体" w:hAnsi="宋体" w:cs="新宋体"/>
                <w:kern w:val="0"/>
                <w:szCs w:val="21"/>
              </w:rPr>
            </w:pPr>
            <w:r>
              <w:rPr>
                <w:rFonts w:hint="eastAsia" w:ascii="宋体" w:hAnsi="宋体" w:cs="新宋体"/>
                <w:kern w:val="0"/>
                <w:szCs w:val="21"/>
              </w:rPr>
              <w:t>二手汽油轿车，手动挡,车辆</w:t>
            </w:r>
            <w:r>
              <w:rPr>
                <w:rFonts w:ascii="宋体" w:hAnsi="宋体" w:cs="新宋体"/>
                <w:kern w:val="0"/>
                <w:szCs w:val="21"/>
              </w:rPr>
              <w:t>正常行驶，全车框架无明显损伤</w:t>
            </w:r>
            <w:r>
              <w:rPr>
                <w:rFonts w:hint="eastAsia" w:ascii="宋体" w:hAnsi="宋体" w:cs="新宋体"/>
                <w:kern w:val="0"/>
                <w:szCs w:val="21"/>
              </w:rPr>
              <w:t>，各项功能正常使用，满足国家现行排放标准</w:t>
            </w:r>
            <w:r>
              <w:rPr>
                <w:rFonts w:ascii="宋体" w:hAnsi="宋体" w:cs="新宋体"/>
                <w:kern w:val="0"/>
                <w:szCs w:val="21"/>
              </w:rPr>
              <w:t>。</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台</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2</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 w:hRule="atLeast"/>
        </w:trPr>
        <w:tc>
          <w:tcPr>
            <w:tcW w:w="642" w:type="dxa"/>
            <w:vMerge w:val="restart"/>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10</w:t>
            </w:r>
          </w:p>
        </w:tc>
        <w:tc>
          <w:tcPr>
            <w:tcW w:w="1164" w:type="dxa"/>
            <w:vMerge w:val="restart"/>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汽车营销实训车辆配件</w:t>
            </w: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kern w:val="0"/>
                <w:szCs w:val="21"/>
              </w:rPr>
            </w:pPr>
            <w:r>
              <w:rPr>
                <w:rFonts w:hint="eastAsia" w:ascii="宋体" w:hAnsi="宋体" w:cs="宋体"/>
                <w:kern w:val="0"/>
                <w:szCs w:val="21"/>
              </w:rPr>
              <w:t>产品名称</w:t>
            </w:r>
          </w:p>
        </w:tc>
        <w:tc>
          <w:tcPr>
            <w:tcW w:w="1776"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kern w:val="0"/>
                <w:szCs w:val="21"/>
              </w:rPr>
            </w:pPr>
            <w:r>
              <w:rPr>
                <w:rFonts w:hint="eastAsia" w:ascii="宋体" w:hAnsi="宋体" w:cs="宋体"/>
                <w:kern w:val="0"/>
                <w:szCs w:val="21"/>
              </w:rPr>
              <w:t>数量</w:t>
            </w:r>
          </w:p>
        </w:tc>
        <w:tc>
          <w:tcPr>
            <w:tcW w:w="425" w:type="dxa"/>
            <w:vMerge w:val="restart"/>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kern w:val="0"/>
                <w:szCs w:val="21"/>
              </w:rPr>
            </w:pPr>
            <w:r>
              <w:rPr>
                <w:rFonts w:hint="eastAsia" w:ascii="宋体" w:hAnsi="宋体" w:cs="新宋体"/>
                <w:kern w:val="0"/>
                <w:szCs w:val="21"/>
              </w:rPr>
              <w:t>套</w:t>
            </w:r>
          </w:p>
        </w:tc>
        <w:tc>
          <w:tcPr>
            <w:tcW w:w="709" w:type="dxa"/>
            <w:vMerge w:val="restart"/>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kern w:val="0"/>
                <w:szCs w:val="21"/>
              </w:rPr>
            </w:pPr>
            <w:r>
              <w:rPr>
                <w:rFonts w:hint="eastAsia" w:ascii="宋体" w:hAnsi="宋体" w:cs="新宋体"/>
                <w:kern w:val="0"/>
                <w:szCs w:val="21"/>
              </w:rPr>
              <w:t>1</w:t>
            </w:r>
          </w:p>
        </w:tc>
        <w:tc>
          <w:tcPr>
            <w:tcW w:w="850" w:type="dxa"/>
            <w:vMerge w:val="restart"/>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活塞总成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3</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曲轴总成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双质量飞轮总成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变速箱发动机连接总成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凸轮轴位置执行器电磁阀总成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2</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曲轴箱压力调节阀总成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凸轮轴位置传感器</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排气凸轮轴总成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曲轴箱通风管总成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bottom"/>
          </w:tcPr>
          <w:p>
            <w:pPr>
              <w:widowControl/>
              <w:jc w:val="center"/>
              <w:textAlignment w:val="bottom"/>
              <w:rPr>
                <w:rFonts w:ascii="宋体" w:hAnsi="宋体" w:cs="宋体"/>
                <w:szCs w:val="21"/>
              </w:rPr>
            </w:pPr>
            <w:r>
              <w:rPr>
                <w:rFonts w:hint="eastAsia" w:ascii="宋体" w:hAnsi="宋体" w:cs="宋体"/>
                <w:kern w:val="0"/>
                <w:szCs w:val="21"/>
              </w:rPr>
              <w:t xml:space="preserve"> 曲轴箱通风管总成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碳罐脱附控制阀总成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机油泵总成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机油泵链轮</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正时链总成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进气调相器</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2</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正时链导轨</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bottom"/>
          </w:tcPr>
          <w:p>
            <w:pPr>
              <w:widowControl/>
              <w:jc w:val="center"/>
              <w:textAlignment w:val="bottom"/>
              <w:rPr>
                <w:rFonts w:ascii="宋体" w:hAnsi="宋体" w:cs="宋体"/>
                <w:szCs w:val="21"/>
              </w:rPr>
            </w:pPr>
            <w:r>
              <w:rPr>
                <w:rFonts w:hint="eastAsia" w:ascii="宋体" w:hAnsi="宋体" w:cs="宋体"/>
                <w:kern w:val="0"/>
                <w:szCs w:val="21"/>
              </w:rPr>
              <w:t>涨紧器导轨总成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正时链喷油嘴总成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正时链条张紧器总成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机油泵链条张紧器</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发动机水泵总成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节温器及壳体总成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涡轮增压器总成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节气门体总成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辅助驱动张紧器总成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发动机真空泵总成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水泵皮带</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点火线圈总成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3</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爆震传感器</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机油压力传感器</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进气温度压力传感器</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发动机高压燃油泵</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喷油器总成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3</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上转向管柱</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前悬架减振器（左）</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前悬架减振器（右）</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前下控制臂总成（左）</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前下控制臂总成（右）</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前轴轮毂轴承</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2</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后悬架减振器</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2</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后悬架辅助弹簧</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2</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后轮毂轴承</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2</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前制动钳壳体总成（左）</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前制动钳壳体总成（右）</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驻车电动机总成（左）</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驻车电动机总成（左）</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后制动钳壳体总成（左）</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后制动钳壳体总成（右）</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制动助力器总成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制动主缸总成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制动助力器真空泵总成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前轮传动半轴总成（左）</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前轮传动半轴总成（右）</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制动调节器单元总成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前轮速传感器总成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2</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前制动盘</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2</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69"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制动储液罐总成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油门踏板总成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前除霜风道</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驾驶座安全带总成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第二排座椅中间安全带总成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车顶前横梁总成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充电口壳体总成</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前门下铰链总成（左）</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前门下铰链总成（右）</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前翼子板（左）</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前翼子板（左）</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后三角窗总成（左）</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1" w:hRule="atLeast"/>
        </w:trPr>
        <w:tc>
          <w:tcPr>
            <w:tcW w:w="642" w:type="dxa"/>
            <w:vMerge w:val="continue"/>
            <w:tcBorders>
              <w:tl2br w:val="nil"/>
              <w:tr2bl w:val="nil"/>
            </w:tcBorders>
            <w:shd w:val="clear" w:color="auto" w:fill="auto"/>
            <w:tcMar>
              <w:left w:w="105" w:type="dxa"/>
              <w:right w:w="105" w:type="dxa"/>
            </w:tcMar>
            <w:vAlign w:val="center"/>
          </w:tcPr>
          <w:p>
            <w:pPr>
              <w:widowControl/>
              <w:textAlignment w:val="center"/>
            </w:pPr>
          </w:p>
        </w:tc>
        <w:tc>
          <w:tcPr>
            <w:tcW w:w="1164" w:type="dxa"/>
            <w:vMerge w:val="continue"/>
            <w:tcBorders>
              <w:tl2br w:val="nil"/>
              <w:tr2bl w:val="nil"/>
            </w:tcBorders>
            <w:shd w:val="clear" w:color="auto" w:fill="auto"/>
            <w:tcMar>
              <w:left w:w="105" w:type="dxa"/>
              <w:right w:w="105" w:type="dxa"/>
            </w:tcMar>
            <w:vAlign w:val="center"/>
          </w:tcPr>
          <w:p>
            <w:pPr>
              <w:widowControl/>
              <w:textAlignment w:val="center"/>
            </w:pPr>
          </w:p>
        </w:tc>
        <w:tc>
          <w:tcPr>
            <w:tcW w:w="374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宋体"/>
                <w:szCs w:val="21"/>
              </w:rPr>
            </w:pPr>
            <w:r>
              <w:rPr>
                <w:rFonts w:hint="eastAsia" w:ascii="宋体" w:hAnsi="宋体" w:cs="宋体"/>
                <w:kern w:val="0"/>
                <w:szCs w:val="21"/>
              </w:rPr>
              <w:t>后三角窗总成（右）</w:t>
            </w:r>
          </w:p>
        </w:tc>
        <w:tc>
          <w:tcPr>
            <w:tcW w:w="1776" w:type="dxa"/>
            <w:tcBorders>
              <w:tl2br w:val="nil"/>
              <w:tr2bl w:val="nil"/>
            </w:tcBorders>
            <w:shd w:val="clear" w:color="auto" w:fill="auto"/>
            <w:tcMar>
              <w:left w:w="105" w:type="dxa"/>
              <w:right w:w="105" w:type="dxa"/>
            </w:tcMar>
            <w:vAlign w:val="center"/>
          </w:tcPr>
          <w:p>
            <w:pPr>
              <w:widowControl/>
              <w:jc w:val="center"/>
              <w:textAlignment w:val="center"/>
            </w:pPr>
            <w:r>
              <w:rPr>
                <w:rFonts w:hint="eastAsia" w:ascii="宋体" w:hAnsi="宋体" w:cs="宋体"/>
                <w:kern w:val="0"/>
                <w:szCs w:val="21"/>
              </w:rPr>
              <w:t>1</w:t>
            </w:r>
          </w:p>
        </w:tc>
        <w:tc>
          <w:tcPr>
            <w:tcW w:w="425" w:type="dxa"/>
            <w:vMerge w:val="continue"/>
            <w:tcBorders>
              <w:tl2br w:val="nil"/>
              <w:tr2bl w:val="nil"/>
            </w:tcBorders>
            <w:shd w:val="clear" w:color="auto" w:fill="auto"/>
            <w:tcMar>
              <w:left w:w="105" w:type="dxa"/>
              <w:right w:w="105" w:type="dxa"/>
            </w:tcMar>
            <w:vAlign w:val="center"/>
          </w:tcPr>
          <w:p>
            <w:pPr>
              <w:widowControl/>
              <w:textAlignment w:val="center"/>
            </w:pPr>
          </w:p>
        </w:tc>
        <w:tc>
          <w:tcPr>
            <w:tcW w:w="709" w:type="dxa"/>
            <w:vMerge w:val="continue"/>
            <w:tcBorders>
              <w:tl2br w:val="nil"/>
              <w:tr2bl w:val="nil"/>
            </w:tcBorders>
            <w:shd w:val="clear" w:color="auto" w:fill="auto"/>
            <w:tcMar>
              <w:left w:w="105" w:type="dxa"/>
              <w:right w:w="105" w:type="dxa"/>
            </w:tcMar>
            <w:vAlign w:val="center"/>
          </w:tcPr>
          <w:p>
            <w:pPr>
              <w:widowControl/>
              <w:textAlignment w:val="center"/>
            </w:pPr>
          </w:p>
        </w:tc>
        <w:tc>
          <w:tcPr>
            <w:tcW w:w="850" w:type="dxa"/>
            <w:vMerge w:val="continue"/>
            <w:tcBorders>
              <w:tl2br w:val="nil"/>
              <w:tr2bl w:val="nil"/>
            </w:tcBorders>
            <w:shd w:val="clear" w:color="auto" w:fill="auto"/>
            <w:vAlign w:val="center"/>
          </w:tcPr>
          <w:p>
            <w:pPr>
              <w:widowControl/>
              <w:textAlignment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11</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szCs w:val="21"/>
              </w:rPr>
              <w:t>零件车</w:t>
            </w:r>
          </w:p>
        </w:tc>
        <w:tc>
          <w:tcPr>
            <w:tcW w:w="5525" w:type="dxa"/>
            <w:gridSpan w:val="2"/>
            <w:tcBorders>
              <w:tl2br w:val="nil"/>
              <w:tr2bl w:val="nil"/>
            </w:tcBorders>
            <w:shd w:val="clear" w:color="auto" w:fill="auto"/>
            <w:tcMar>
              <w:left w:w="105" w:type="dxa"/>
              <w:right w:w="105" w:type="dxa"/>
            </w:tcMar>
            <w:vAlign w:val="center"/>
          </w:tcPr>
          <w:p>
            <w:pPr>
              <w:widowControl/>
              <w:textAlignment w:val="center"/>
              <w:rPr>
                <w:rFonts w:ascii="宋体" w:hAnsi="宋体" w:cs="新宋体"/>
                <w:szCs w:val="21"/>
              </w:rPr>
            </w:pPr>
            <w:r>
              <w:rPr>
                <w:rFonts w:hint="eastAsia" w:ascii="宋体" w:hAnsi="宋体" w:cs="新宋体"/>
                <w:szCs w:val="21"/>
              </w:rPr>
              <w:t>层数：三层</w:t>
            </w:r>
          </w:p>
          <w:p>
            <w:pPr>
              <w:pStyle w:val="58"/>
              <w:rPr>
                <w:rFonts w:ascii="宋体" w:hAnsi="宋体" w:cs="新宋体"/>
                <w:kern w:val="0"/>
                <w:szCs w:val="21"/>
              </w:rPr>
            </w:pPr>
            <w:r>
              <w:rPr>
                <w:rFonts w:hint="eastAsia" w:ascii="宋体" w:hAnsi="宋体" w:cs="新宋体"/>
                <w:kern w:val="0"/>
                <w:szCs w:val="21"/>
              </w:rPr>
              <w:t>尺寸：</w:t>
            </w:r>
            <w:r>
              <w:rPr>
                <w:rFonts w:hint="eastAsia" w:ascii="宋体" w:hAnsi="宋体" w:cs="宋体"/>
                <w:kern w:val="0"/>
                <w:szCs w:val="21"/>
              </w:rPr>
              <w:t>≧</w:t>
            </w:r>
            <w:r>
              <w:rPr>
                <w:rFonts w:hint="eastAsia" w:ascii="宋体" w:hAnsi="宋体" w:cs="新宋体"/>
                <w:kern w:val="0"/>
                <w:szCs w:val="21"/>
              </w:rPr>
              <w:t>760*350*760mm</w:t>
            </w:r>
          </w:p>
          <w:p>
            <w:pPr>
              <w:pStyle w:val="58"/>
              <w:rPr>
                <w:rFonts w:ascii="宋体" w:hAnsi="宋体" w:cs="新宋体"/>
                <w:kern w:val="0"/>
                <w:szCs w:val="21"/>
              </w:rPr>
            </w:pPr>
            <w:r>
              <w:rPr>
                <w:rFonts w:hint="eastAsia" w:ascii="宋体" w:hAnsi="宋体" w:cs="新宋体"/>
                <w:kern w:val="0"/>
                <w:szCs w:val="21"/>
              </w:rPr>
              <w:t>净重：</w:t>
            </w:r>
            <w:r>
              <w:rPr>
                <w:rFonts w:hint="eastAsia" w:ascii="宋体" w:hAnsi="宋体" w:cs="宋体"/>
                <w:kern w:val="0"/>
                <w:szCs w:val="21"/>
              </w:rPr>
              <w:t>≧</w:t>
            </w:r>
            <w:r>
              <w:rPr>
                <w:rFonts w:hint="eastAsia" w:ascii="宋体" w:hAnsi="宋体" w:cs="新宋体"/>
                <w:kern w:val="0"/>
                <w:szCs w:val="21"/>
              </w:rPr>
              <w:t>12kg</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台</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3</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12</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新能源汽车实训教学车辆</w:t>
            </w:r>
          </w:p>
        </w:tc>
        <w:tc>
          <w:tcPr>
            <w:tcW w:w="5525" w:type="dxa"/>
            <w:gridSpan w:val="2"/>
            <w:tcBorders>
              <w:tl2br w:val="nil"/>
              <w:tr2bl w:val="nil"/>
            </w:tcBorders>
            <w:shd w:val="clear" w:color="auto" w:fill="auto"/>
            <w:tcMar>
              <w:left w:w="105" w:type="dxa"/>
              <w:right w:w="105" w:type="dxa"/>
            </w:tcMar>
            <w:vAlign w:val="center"/>
          </w:tcPr>
          <w:p>
            <w:pPr>
              <w:widowControl/>
              <w:rPr>
                <w:rFonts w:ascii="宋体" w:hAnsi="宋体" w:cs="新宋体"/>
                <w:kern w:val="0"/>
                <w:szCs w:val="21"/>
              </w:rPr>
            </w:pPr>
            <w:r>
              <w:rPr>
                <w:rFonts w:hint="eastAsia" w:ascii="宋体" w:hAnsi="宋体" w:cs="新宋体"/>
                <w:kern w:val="0"/>
                <w:szCs w:val="21"/>
              </w:rPr>
              <w:t>新能源高性能A级纯电动三厢轿车，适用于职业院校及培训机构基于整车的实训教学、技能训练和考核评价。</w:t>
            </w:r>
          </w:p>
          <w:p>
            <w:pPr>
              <w:widowControl/>
              <w:rPr>
                <w:rFonts w:ascii="宋体" w:hAnsi="宋体" w:cs="新宋体"/>
                <w:kern w:val="0"/>
                <w:szCs w:val="21"/>
              </w:rPr>
            </w:pPr>
            <w:r>
              <w:rPr>
                <w:rFonts w:hint="eastAsia" w:ascii="宋体" w:hAnsi="宋体" w:cs="新宋体"/>
                <w:kern w:val="0"/>
                <w:szCs w:val="21"/>
              </w:rPr>
              <w:t>1、技术特点</w:t>
            </w:r>
          </w:p>
          <w:p>
            <w:pPr>
              <w:widowControl/>
              <w:rPr>
                <w:rFonts w:ascii="宋体" w:hAnsi="宋体" w:cs="新宋体"/>
                <w:kern w:val="0"/>
                <w:szCs w:val="21"/>
              </w:rPr>
            </w:pPr>
            <w:r>
              <w:rPr>
                <w:rFonts w:hint="eastAsia" w:ascii="宋体" w:hAnsi="宋体" w:cs="新宋体"/>
                <w:kern w:val="0"/>
                <w:szCs w:val="21"/>
              </w:rPr>
              <w:t>1.1能源类型：纯电动；续航里程：</w:t>
            </w:r>
            <w:r>
              <w:rPr>
                <w:rFonts w:hint="eastAsia" w:ascii="宋体" w:hAnsi="宋体" w:eastAsia="宋体" w:cs="宋体"/>
                <w:kern w:val="0"/>
                <w:szCs w:val="21"/>
              </w:rPr>
              <w:t>≧</w:t>
            </w:r>
            <w:r>
              <w:rPr>
                <w:rFonts w:hint="eastAsia" w:ascii="宋体" w:hAnsi="宋体" w:cs="新宋体"/>
                <w:kern w:val="0"/>
                <w:szCs w:val="21"/>
              </w:rPr>
              <w:t>400km；电机类型：永磁同步电机；最大功率：</w:t>
            </w:r>
            <w:r>
              <w:rPr>
                <w:rFonts w:hint="eastAsia" w:ascii="宋体" w:hAnsi="宋体" w:eastAsia="宋体" w:cs="宋体"/>
                <w:kern w:val="0"/>
                <w:szCs w:val="21"/>
              </w:rPr>
              <w:t>≧</w:t>
            </w:r>
            <w:r>
              <w:rPr>
                <w:rFonts w:hint="eastAsia" w:ascii="宋体" w:hAnsi="宋体" w:cs="新宋体"/>
                <w:kern w:val="0"/>
                <w:szCs w:val="21"/>
              </w:rPr>
              <w:t>120kw；电池类型：三元锂电池；电池容量：</w:t>
            </w:r>
            <w:r>
              <w:rPr>
                <w:rFonts w:hint="eastAsia" w:ascii="宋体" w:hAnsi="宋体" w:eastAsia="宋体" w:cs="宋体"/>
                <w:kern w:val="0"/>
                <w:szCs w:val="21"/>
              </w:rPr>
              <w:t>≧</w:t>
            </w:r>
            <w:r>
              <w:rPr>
                <w:rFonts w:hint="eastAsia" w:ascii="宋体" w:hAnsi="宋体" w:cs="新宋体"/>
                <w:kern w:val="0"/>
                <w:szCs w:val="21"/>
              </w:rPr>
              <w:t>153Ah。</w:t>
            </w:r>
          </w:p>
          <w:p>
            <w:pPr>
              <w:widowControl/>
              <w:rPr>
                <w:rFonts w:ascii="宋体" w:hAnsi="宋体" w:cs="新宋体"/>
                <w:kern w:val="0"/>
                <w:szCs w:val="21"/>
              </w:rPr>
            </w:pPr>
            <w:r>
              <w:rPr>
                <w:rFonts w:hint="eastAsia" w:ascii="宋体" w:hAnsi="宋体" w:cs="新宋体"/>
                <w:kern w:val="0"/>
                <w:szCs w:val="21"/>
              </w:rPr>
              <w:t>1.2具备高压配电保护、继电器状态检测保护、预充电检测和主动放电安全管理、绝缘检测安全管理、碰撞安全管理、物理隔离保护、互锁检测等保护策略。</w:t>
            </w:r>
          </w:p>
          <w:p>
            <w:pPr>
              <w:widowControl/>
              <w:rPr>
                <w:rFonts w:ascii="宋体" w:hAnsi="宋体" w:cs="新宋体"/>
                <w:kern w:val="0"/>
                <w:szCs w:val="21"/>
              </w:rPr>
            </w:pPr>
            <w:r>
              <w:rPr>
                <w:rFonts w:hint="eastAsia" w:ascii="宋体" w:hAnsi="宋体" w:cs="新宋体"/>
                <w:kern w:val="0"/>
                <w:szCs w:val="21"/>
              </w:rPr>
              <w:t>1.3搭载“能效金三角”高效动力系统，采用轻量化高能智控电池系统及ITCS2.0智能温控系统；配置HEDS高效电驱系统；配置智能高效精敏电控系统。</w:t>
            </w:r>
          </w:p>
          <w:p>
            <w:pPr>
              <w:widowControl/>
              <w:rPr>
                <w:rFonts w:ascii="宋体" w:hAnsi="宋体" w:cs="新宋体"/>
                <w:kern w:val="0"/>
                <w:szCs w:val="21"/>
              </w:rPr>
            </w:pPr>
            <w:r>
              <w:rPr>
                <w:rFonts w:hint="eastAsia" w:ascii="宋体" w:hAnsi="宋体" w:cs="新宋体"/>
                <w:kern w:val="0"/>
                <w:szCs w:val="21"/>
              </w:rPr>
              <w:t>1.4配备充电站快充、家用快充盒、家用慢冲盒、充电站慢充、应急线充5种充电模式，便于用户根据不同充电环境选择最佳充电途径。</w:t>
            </w:r>
          </w:p>
          <w:p>
            <w:pPr>
              <w:widowControl/>
              <w:rPr>
                <w:rFonts w:ascii="宋体" w:hAnsi="宋体" w:cs="新宋体"/>
                <w:kern w:val="0"/>
                <w:szCs w:val="21"/>
              </w:rPr>
            </w:pPr>
            <w:r>
              <w:rPr>
                <w:rFonts w:hint="eastAsia" w:ascii="宋体" w:hAnsi="宋体" w:cs="新宋体"/>
                <w:kern w:val="0"/>
                <w:szCs w:val="21"/>
              </w:rPr>
              <w:t>2、教学配置</w:t>
            </w:r>
          </w:p>
          <w:p>
            <w:pPr>
              <w:widowControl/>
              <w:rPr>
                <w:rFonts w:ascii="宋体" w:hAnsi="宋体" w:cs="新宋体"/>
                <w:kern w:val="0"/>
                <w:szCs w:val="21"/>
              </w:rPr>
            </w:pPr>
            <w:r>
              <w:rPr>
                <w:rFonts w:hint="eastAsia" w:ascii="宋体" w:hAnsi="宋体" w:cs="新宋体"/>
                <w:kern w:val="0"/>
                <w:szCs w:val="21"/>
              </w:rPr>
              <w:t>1.1配备原厂电池管理系统（BMS）连接器对插适配线束，实现车辆与“整车故障设置平台和故障检测盒（包含软硬件）”技术平台的快速无损连接,便于故障设置和数据检测。</w:t>
            </w:r>
          </w:p>
          <w:p>
            <w:pPr>
              <w:widowControl/>
              <w:rPr>
                <w:rFonts w:ascii="宋体" w:hAnsi="宋体" w:cs="新宋体"/>
                <w:kern w:val="0"/>
                <w:szCs w:val="21"/>
              </w:rPr>
            </w:pPr>
            <w:r>
              <w:rPr>
                <w:rFonts w:hint="eastAsia" w:ascii="宋体" w:hAnsi="宋体" w:cs="新宋体"/>
                <w:kern w:val="0"/>
                <w:szCs w:val="21"/>
              </w:rPr>
              <w:t>1.2配备原厂整车控制器（VCU）连接器对插转接盒及适配线束，实现车辆与“整车故障设置平台和故障检测盒（包含软硬件）”技术平台的快速无损连接,便于故障设置和数据检测。</w:t>
            </w:r>
          </w:p>
          <w:p>
            <w:pPr>
              <w:widowControl/>
              <w:rPr>
                <w:rFonts w:ascii="宋体" w:hAnsi="宋体" w:cs="新宋体"/>
                <w:kern w:val="0"/>
                <w:szCs w:val="21"/>
              </w:rPr>
            </w:pPr>
            <w:r>
              <w:rPr>
                <w:rFonts w:hint="eastAsia" w:ascii="宋体" w:hAnsi="宋体" w:cs="新宋体"/>
                <w:kern w:val="0"/>
                <w:szCs w:val="21"/>
              </w:rPr>
              <w:t>1.3配备原厂电机控制器（PEU）连接器对插转接盒及适配线束，实现车辆与“整车故障设置平台和故障检测盒（包含软硬件）”技术平台的快速无损连接,便于故障设置和数据检测。</w:t>
            </w:r>
          </w:p>
          <w:p>
            <w:pPr>
              <w:widowControl/>
              <w:rPr>
                <w:rFonts w:ascii="宋体" w:hAnsi="宋体" w:cs="新宋体"/>
                <w:kern w:val="0"/>
                <w:szCs w:val="21"/>
              </w:rPr>
            </w:pPr>
            <w:r>
              <w:rPr>
                <w:rFonts w:hint="eastAsia" w:ascii="宋体" w:hAnsi="宋体" w:cs="新宋体"/>
                <w:kern w:val="0"/>
                <w:szCs w:val="21"/>
              </w:rPr>
              <w:t>1.4配备原厂车载充电机（OBC）连接器对插转接盒及适配线束，实现车辆与“整车故障设置平台和故障检测盒（包含软硬件）”技术平台的快速无损连接,便于故障设置和数据检测。</w:t>
            </w:r>
          </w:p>
          <w:p>
            <w:pPr>
              <w:widowControl/>
              <w:rPr>
                <w:rFonts w:ascii="宋体" w:hAnsi="宋体" w:cs="新宋体"/>
                <w:kern w:val="0"/>
                <w:szCs w:val="21"/>
              </w:rPr>
            </w:pPr>
            <w:r>
              <w:rPr>
                <w:rFonts w:hint="eastAsia" w:ascii="宋体" w:hAnsi="宋体" w:cs="新宋体"/>
                <w:kern w:val="0"/>
                <w:szCs w:val="21"/>
              </w:rPr>
              <w:t>3、主要功能</w:t>
            </w:r>
          </w:p>
          <w:p>
            <w:pPr>
              <w:widowControl/>
              <w:rPr>
                <w:rFonts w:ascii="宋体" w:hAnsi="宋体" w:cs="新宋体"/>
                <w:kern w:val="0"/>
                <w:szCs w:val="21"/>
              </w:rPr>
            </w:pPr>
            <w:r>
              <w:rPr>
                <w:rFonts w:hint="eastAsia" w:ascii="宋体" w:hAnsi="宋体" w:cs="新宋体"/>
                <w:kern w:val="0"/>
                <w:szCs w:val="21"/>
              </w:rPr>
              <w:t>3.1 新能源汽车故障诊断与排除</w:t>
            </w:r>
          </w:p>
          <w:p>
            <w:pPr>
              <w:widowControl/>
              <w:rPr>
                <w:rFonts w:ascii="宋体" w:hAnsi="宋体" w:cs="新宋体"/>
                <w:kern w:val="0"/>
                <w:szCs w:val="21"/>
              </w:rPr>
            </w:pPr>
            <w:r>
              <w:rPr>
                <w:rFonts w:hint="eastAsia" w:ascii="宋体" w:hAnsi="宋体" w:cs="新宋体"/>
                <w:kern w:val="0"/>
                <w:szCs w:val="21"/>
              </w:rPr>
              <w:t>3.2 新能源汽车维护与高压组件更换</w:t>
            </w:r>
          </w:p>
          <w:p>
            <w:pPr>
              <w:widowControl/>
              <w:rPr>
                <w:rFonts w:ascii="宋体" w:hAnsi="宋体" w:cs="新宋体"/>
                <w:kern w:val="0"/>
                <w:szCs w:val="21"/>
              </w:rPr>
            </w:pPr>
            <w:r>
              <w:rPr>
                <w:rFonts w:hint="eastAsia" w:ascii="宋体" w:hAnsi="宋体" w:cs="新宋体"/>
                <w:kern w:val="0"/>
                <w:szCs w:val="21"/>
              </w:rPr>
              <w:t>3.3 新能源汽车电动化系统实训教学</w:t>
            </w:r>
          </w:p>
          <w:p>
            <w:pPr>
              <w:widowControl/>
              <w:rPr>
                <w:rFonts w:ascii="宋体" w:hAnsi="宋体" w:cs="新宋体"/>
                <w:kern w:val="0"/>
                <w:szCs w:val="21"/>
              </w:rPr>
            </w:pPr>
            <w:r>
              <w:rPr>
                <w:rFonts w:hint="eastAsia" w:ascii="宋体" w:hAnsi="宋体" w:cs="新宋体"/>
                <w:kern w:val="0"/>
                <w:szCs w:val="21"/>
              </w:rPr>
              <w:t>3.4 新能源汽车电动化系统技能训练</w:t>
            </w:r>
          </w:p>
          <w:p>
            <w:pPr>
              <w:widowControl/>
              <w:textAlignment w:val="center"/>
              <w:rPr>
                <w:rFonts w:ascii="宋体" w:hAnsi="宋体" w:cs="新宋体"/>
                <w:kern w:val="0"/>
                <w:szCs w:val="21"/>
              </w:rPr>
            </w:pPr>
            <w:r>
              <w:rPr>
                <w:rFonts w:hint="eastAsia" w:ascii="宋体" w:hAnsi="宋体" w:cs="新宋体"/>
                <w:kern w:val="0"/>
                <w:szCs w:val="21"/>
              </w:rPr>
              <w:t>3.5 基于整车的实训教学和技能训练</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台</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13</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整车故障设置平台和故障检测盒</w:t>
            </w:r>
          </w:p>
        </w:tc>
        <w:tc>
          <w:tcPr>
            <w:tcW w:w="5525" w:type="dxa"/>
            <w:gridSpan w:val="2"/>
            <w:tcBorders>
              <w:tl2br w:val="nil"/>
              <w:tr2bl w:val="nil"/>
            </w:tcBorders>
            <w:shd w:val="clear" w:color="auto" w:fill="auto"/>
            <w:tcMar>
              <w:left w:w="105" w:type="dxa"/>
              <w:right w:w="105" w:type="dxa"/>
            </w:tcMar>
            <w:vAlign w:val="center"/>
          </w:tcPr>
          <w:p>
            <w:pPr>
              <w:widowControl/>
              <w:rPr>
                <w:rFonts w:ascii="宋体" w:hAnsi="宋体" w:cs="新宋体"/>
                <w:kern w:val="0"/>
                <w:szCs w:val="21"/>
              </w:rPr>
            </w:pPr>
            <w:r>
              <w:rPr>
                <w:rFonts w:hint="eastAsia" w:ascii="宋体" w:hAnsi="宋体" w:cs="新宋体"/>
                <w:kern w:val="0"/>
                <w:szCs w:val="21"/>
              </w:rPr>
              <w:t>整车故障设置平台和故障检测盒（包含软硬件），依据新能源汽车理实一体化教学理念设计，适用于职业院校及培训机构车辆电动化系统的数据采集、故障诊断等实训教学、技能训练和考核评价。</w:t>
            </w:r>
          </w:p>
          <w:p>
            <w:pPr>
              <w:widowControl/>
              <w:rPr>
                <w:rFonts w:ascii="宋体" w:hAnsi="宋体" w:cs="新宋体"/>
                <w:kern w:val="0"/>
                <w:szCs w:val="21"/>
              </w:rPr>
            </w:pPr>
            <w:r>
              <w:rPr>
                <w:rFonts w:hint="eastAsia" w:ascii="宋体" w:hAnsi="宋体" w:cs="新宋体"/>
                <w:kern w:val="0"/>
                <w:szCs w:val="21"/>
              </w:rPr>
              <w:t>1、产品配置</w:t>
            </w:r>
          </w:p>
          <w:p>
            <w:pPr>
              <w:widowControl/>
              <w:rPr>
                <w:rFonts w:ascii="宋体" w:hAnsi="宋体" w:cs="新宋体"/>
                <w:kern w:val="0"/>
                <w:szCs w:val="21"/>
              </w:rPr>
            </w:pPr>
            <w:r>
              <w:rPr>
                <w:rFonts w:hint="eastAsia" w:ascii="宋体" w:hAnsi="宋体" w:cs="新宋体"/>
                <w:kern w:val="0"/>
                <w:szCs w:val="21"/>
              </w:rPr>
              <w:t>整车故障设置平台和故障检测盒（包含软硬件）包括操控台、智能交互系统、数据采集系统、故障设置系统、手持移动终端、故障检测盒、测量膜，并可选配学生无线终端。</w:t>
            </w:r>
          </w:p>
          <w:p>
            <w:pPr>
              <w:widowControl/>
              <w:rPr>
                <w:rFonts w:ascii="宋体" w:hAnsi="宋体" w:cs="新宋体"/>
                <w:kern w:val="0"/>
                <w:szCs w:val="21"/>
              </w:rPr>
            </w:pPr>
            <w:r>
              <w:rPr>
                <w:rFonts w:hint="eastAsia" w:ascii="宋体" w:hAnsi="宋体" w:cs="新宋体"/>
                <w:kern w:val="0"/>
                <w:szCs w:val="21"/>
              </w:rPr>
              <w:t>1.1操控台</w:t>
            </w:r>
          </w:p>
          <w:p>
            <w:pPr>
              <w:widowControl/>
              <w:rPr>
                <w:rFonts w:ascii="宋体" w:hAnsi="宋体" w:cs="新宋体"/>
                <w:kern w:val="0"/>
                <w:szCs w:val="21"/>
              </w:rPr>
            </w:pPr>
            <w:r>
              <w:rPr>
                <w:rFonts w:hint="eastAsia" w:ascii="宋体" w:hAnsi="宋体" w:cs="新宋体"/>
                <w:kern w:val="0"/>
                <w:szCs w:val="21"/>
              </w:rPr>
              <w:t>操控台为移动立式结构，工业钣金成型，表面静电喷涂。控制柜上部嵌装18.5寸工业级电容触摸显示屏，控制柜下部配置侧开门内置式五层抽拉收纳箱，用于放置故障设置和数据采集系统、手持移动终端、故障检测盒、故障设置盒、测量膜等。</w:t>
            </w:r>
          </w:p>
          <w:p>
            <w:pPr>
              <w:widowControl/>
              <w:rPr>
                <w:rFonts w:ascii="宋体" w:hAnsi="宋体" w:cs="新宋体"/>
                <w:kern w:val="0"/>
                <w:szCs w:val="21"/>
              </w:rPr>
            </w:pPr>
            <w:r>
              <w:rPr>
                <w:rFonts w:hint="eastAsia" w:ascii="宋体" w:hAnsi="宋体" w:cs="新宋体"/>
                <w:kern w:val="0"/>
                <w:szCs w:val="21"/>
              </w:rPr>
              <w:t>1.2智能交互系统</w:t>
            </w:r>
          </w:p>
          <w:p>
            <w:pPr>
              <w:widowControl/>
              <w:rPr>
                <w:rFonts w:ascii="宋体" w:hAnsi="宋体" w:cs="新宋体"/>
                <w:kern w:val="0"/>
                <w:szCs w:val="21"/>
              </w:rPr>
            </w:pPr>
            <w:r>
              <w:rPr>
                <w:rFonts w:hint="eastAsia" w:ascii="宋体" w:hAnsi="宋体" w:cs="新宋体"/>
                <w:kern w:val="0"/>
                <w:szCs w:val="21"/>
              </w:rPr>
              <w:t>智能交互系统用于整车故障设置平台和车辆电动化系统的智能交互。系统应用UI操作界面，可实现车型选择、系统分级、故障设置、数据采集、状态显示、一键清除等功能。支持操控终端、手持移动终端、学生无线终端的互联互通。</w:t>
            </w:r>
          </w:p>
          <w:p>
            <w:pPr>
              <w:widowControl/>
              <w:rPr>
                <w:rFonts w:ascii="宋体" w:hAnsi="宋体" w:cs="新宋体"/>
                <w:kern w:val="0"/>
                <w:szCs w:val="21"/>
              </w:rPr>
            </w:pPr>
            <w:r>
              <w:rPr>
                <w:rFonts w:hint="eastAsia" w:ascii="宋体" w:hAnsi="宋体" w:cs="新宋体"/>
                <w:kern w:val="0"/>
                <w:szCs w:val="21"/>
              </w:rPr>
              <w:t>1.3数据采集系统</w:t>
            </w:r>
          </w:p>
          <w:p>
            <w:pPr>
              <w:widowControl/>
              <w:rPr>
                <w:rFonts w:ascii="宋体" w:hAnsi="宋体" w:cs="新宋体"/>
                <w:kern w:val="0"/>
                <w:szCs w:val="21"/>
              </w:rPr>
            </w:pPr>
            <w:r>
              <w:rPr>
                <w:rFonts w:hint="eastAsia" w:ascii="宋体" w:hAnsi="宋体" w:cs="新宋体"/>
                <w:kern w:val="0"/>
                <w:szCs w:val="21"/>
              </w:rPr>
              <w:t>数据采集系统采用工业造型设计和开模制作，内置PCB板电路封装，用于车辆电池管理系统（BMS）、整车控制器（VCU）、电机控制器（PEU）、车载充电机（OBC）等系统的数据采集。系统包含软硬件，具备信号识别、数据采集、信息传输等功能。</w:t>
            </w:r>
          </w:p>
          <w:p>
            <w:pPr>
              <w:widowControl/>
              <w:rPr>
                <w:rFonts w:ascii="宋体" w:hAnsi="宋体" w:cs="新宋体"/>
                <w:kern w:val="0"/>
                <w:szCs w:val="21"/>
              </w:rPr>
            </w:pPr>
            <w:r>
              <w:rPr>
                <w:rFonts w:hint="eastAsia" w:ascii="宋体" w:hAnsi="宋体" w:cs="新宋体"/>
                <w:kern w:val="0"/>
                <w:szCs w:val="21"/>
              </w:rPr>
              <w:t>1.4故障设置系统</w:t>
            </w:r>
          </w:p>
          <w:p>
            <w:pPr>
              <w:widowControl/>
              <w:rPr>
                <w:rFonts w:ascii="宋体" w:hAnsi="宋体" w:cs="新宋体"/>
                <w:kern w:val="0"/>
                <w:szCs w:val="21"/>
              </w:rPr>
            </w:pPr>
            <w:r>
              <w:rPr>
                <w:rFonts w:hint="eastAsia" w:ascii="宋体" w:hAnsi="宋体" w:cs="新宋体"/>
                <w:kern w:val="0"/>
                <w:szCs w:val="21"/>
              </w:rPr>
              <w:t>故障设置系统采用工业造型设计和开模制作，内置PCB板电路封装，用于车辆电池管理系统（BMS）、整车控制器（VCU）、电机控制器（PEU）、车载充电机（OBC）等系统的故障设置。系统包含软硬件，具备故障设置、状态显示、一键清除等功能。</w:t>
            </w:r>
          </w:p>
          <w:p>
            <w:pPr>
              <w:widowControl/>
              <w:rPr>
                <w:rFonts w:ascii="宋体" w:hAnsi="宋体" w:cs="新宋体"/>
                <w:kern w:val="0"/>
                <w:szCs w:val="21"/>
              </w:rPr>
            </w:pPr>
            <w:r>
              <w:rPr>
                <w:rFonts w:hint="eastAsia" w:ascii="宋体" w:hAnsi="宋体" w:cs="新宋体"/>
                <w:kern w:val="0"/>
                <w:szCs w:val="21"/>
              </w:rPr>
              <w:t>1.5手持移动终端</w:t>
            </w:r>
          </w:p>
          <w:p>
            <w:pPr>
              <w:widowControl/>
              <w:rPr>
                <w:rFonts w:ascii="宋体" w:hAnsi="宋体" w:cs="新宋体"/>
                <w:kern w:val="0"/>
                <w:szCs w:val="21"/>
              </w:rPr>
            </w:pPr>
            <w:r>
              <w:rPr>
                <w:rFonts w:hint="eastAsia" w:ascii="宋体" w:hAnsi="宋体" w:cs="新宋体"/>
                <w:kern w:val="0"/>
                <w:szCs w:val="21"/>
              </w:rPr>
              <w:t>手持移动终端采用工业造型设计和开模制作，封装10.1寸电容触摸显示屏，支持多路传输和实时交互，可与操控终端并行使用，也可拓展学生终端组网应用，实现车辆电动化系统的故障设置和数据采集。</w:t>
            </w:r>
          </w:p>
          <w:p>
            <w:pPr>
              <w:widowControl/>
              <w:rPr>
                <w:rFonts w:ascii="宋体" w:hAnsi="宋体" w:cs="新宋体"/>
                <w:kern w:val="0"/>
                <w:szCs w:val="21"/>
              </w:rPr>
            </w:pPr>
            <w:r>
              <w:rPr>
                <w:rFonts w:hint="eastAsia" w:ascii="宋体" w:hAnsi="宋体" w:cs="新宋体"/>
                <w:kern w:val="0"/>
                <w:szCs w:val="21"/>
              </w:rPr>
              <w:t>1.6故障检测盒</w:t>
            </w:r>
          </w:p>
          <w:p>
            <w:pPr>
              <w:widowControl/>
              <w:rPr>
                <w:rFonts w:ascii="宋体" w:hAnsi="宋体" w:cs="新宋体"/>
                <w:kern w:val="0"/>
                <w:szCs w:val="21"/>
              </w:rPr>
            </w:pPr>
            <w:r>
              <w:rPr>
                <w:rFonts w:hint="eastAsia" w:ascii="宋体" w:hAnsi="宋体" w:cs="新宋体"/>
                <w:kern w:val="0"/>
                <w:szCs w:val="21"/>
              </w:rPr>
              <w:t>故障检测盒采用工业造型设计和开模制作，内置PCB板电路封装，用于车辆电池管理系统（BMS）、整车控制器（VCU）、电机控制器（PEU）、车载充电机（OBC）等系统的故障检测。具备电信号双端检测功能，同时可以设置断路、短路、虚接故障。</w:t>
            </w:r>
          </w:p>
          <w:p>
            <w:pPr>
              <w:widowControl/>
              <w:rPr>
                <w:rFonts w:ascii="宋体" w:hAnsi="宋体" w:cs="新宋体"/>
                <w:kern w:val="0"/>
                <w:szCs w:val="21"/>
              </w:rPr>
            </w:pPr>
            <w:r>
              <w:rPr>
                <w:rFonts w:hint="eastAsia" w:ascii="宋体" w:hAnsi="宋体" w:cs="新宋体"/>
                <w:kern w:val="0"/>
                <w:szCs w:val="21"/>
              </w:rPr>
              <w:t>1.7测量膜</w:t>
            </w:r>
          </w:p>
          <w:p>
            <w:pPr>
              <w:widowControl/>
              <w:rPr>
                <w:rFonts w:ascii="宋体" w:hAnsi="宋体" w:cs="新宋体"/>
                <w:kern w:val="0"/>
                <w:szCs w:val="21"/>
              </w:rPr>
            </w:pPr>
            <w:r>
              <w:rPr>
                <w:rFonts w:hint="eastAsia" w:ascii="宋体" w:hAnsi="宋体" w:cs="新宋体"/>
                <w:kern w:val="0"/>
                <w:szCs w:val="21"/>
              </w:rPr>
              <w:t>测量膜采用薄膜材料微雕印刷，包含车辆电池管理系统（BMS）、整车控制器（VCU）、电机控制器（PEU）、车载充电机（OBC）独立面膜。各系统面膜严格对应车辆针脚定义和检测端口，操作便捷、定义准确。</w:t>
            </w:r>
          </w:p>
          <w:p>
            <w:pPr>
              <w:widowControl/>
              <w:rPr>
                <w:rFonts w:ascii="宋体" w:hAnsi="宋体" w:cs="新宋体"/>
                <w:kern w:val="0"/>
                <w:szCs w:val="21"/>
              </w:rPr>
            </w:pPr>
            <w:r>
              <w:rPr>
                <w:rFonts w:hint="eastAsia" w:ascii="宋体" w:hAnsi="宋体" w:cs="新宋体"/>
                <w:kern w:val="0"/>
                <w:szCs w:val="21"/>
              </w:rPr>
              <w:t>1.8学生无线终端</w:t>
            </w:r>
          </w:p>
          <w:p>
            <w:pPr>
              <w:widowControl/>
              <w:rPr>
                <w:rFonts w:ascii="宋体" w:hAnsi="宋体" w:cs="新宋体"/>
                <w:kern w:val="0"/>
                <w:szCs w:val="21"/>
              </w:rPr>
            </w:pPr>
            <w:r>
              <w:rPr>
                <w:rFonts w:hint="eastAsia" w:ascii="宋体" w:hAnsi="宋体" w:cs="新宋体"/>
                <w:kern w:val="0"/>
                <w:szCs w:val="21"/>
              </w:rPr>
              <w:t>学生无线终端采用工业造型设计和开模制作，封装10寸电容触摸显示屏，内置WIFI，支持多路传输和在线学习，具备数据采集、故障诊断等实训和考核功能，可实现不少于30个终端节点的组网应用。</w:t>
            </w:r>
          </w:p>
          <w:p>
            <w:pPr>
              <w:widowControl/>
              <w:rPr>
                <w:rFonts w:ascii="宋体" w:hAnsi="宋体" w:cs="新宋体"/>
                <w:kern w:val="0"/>
                <w:szCs w:val="21"/>
              </w:rPr>
            </w:pPr>
            <w:r>
              <w:rPr>
                <w:rFonts w:hint="eastAsia" w:ascii="宋体" w:hAnsi="宋体" w:cs="新宋体"/>
                <w:kern w:val="0"/>
                <w:szCs w:val="21"/>
              </w:rPr>
              <w:t>2、技术特点</w:t>
            </w:r>
          </w:p>
          <w:p>
            <w:pPr>
              <w:widowControl/>
              <w:rPr>
                <w:rFonts w:ascii="宋体" w:hAnsi="宋体" w:cs="新宋体"/>
                <w:kern w:val="0"/>
                <w:szCs w:val="21"/>
              </w:rPr>
            </w:pPr>
            <w:r>
              <w:rPr>
                <w:rFonts w:hint="eastAsia" w:ascii="宋体" w:hAnsi="宋体" w:cs="新宋体"/>
                <w:kern w:val="0"/>
                <w:szCs w:val="21"/>
              </w:rPr>
              <w:t>2.1故障设置</w:t>
            </w:r>
          </w:p>
          <w:p>
            <w:pPr>
              <w:widowControl/>
              <w:rPr>
                <w:rFonts w:ascii="宋体" w:hAnsi="宋体" w:cs="新宋体"/>
                <w:kern w:val="0"/>
                <w:szCs w:val="21"/>
              </w:rPr>
            </w:pPr>
            <w:r>
              <w:rPr>
                <w:rFonts w:hint="eastAsia" w:ascii="宋体" w:hAnsi="宋体" w:cs="新宋体"/>
                <w:kern w:val="0"/>
                <w:szCs w:val="21"/>
              </w:rPr>
              <w:t>系统采用MTE控制技术和DRC消弧技术，单一故障点不少于100路，可任意组合复合故障，具备一键清除功能。同时支持手动故障设置，并可实现断路、短路、虚接故障设置。</w:t>
            </w:r>
          </w:p>
          <w:p>
            <w:pPr>
              <w:widowControl/>
              <w:rPr>
                <w:rFonts w:ascii="宋体" w:hAnsi="宋体" w:cs="新宋体"/>
                <w:kern w:val="0"/>
                <w:szCs w:val="21"/>
              </w:rPr>
            </w:pPr>
            <w:r>
              <w:rPr>
                <w:rFonts w:hint="eastAsia" w:ascii="宋体" w:hAnsi="宋体" w:cs="新宋体"/>
                <w:kern w:val="0"/>
                <w:szCs w:val="21"/>
              </w:rPr>
              <w:t>2.2数据采集</w:t>
            </w:r>
          </w:p>
          <w:p>
            <w:pPr>
              <w:widowControl/>
              <w:rPr>
                <w:rFonts w:ascii="宋体" w:hAnsi="宋体" w:cs="新宋体"/>
                <w:kern w:val="0"/>
                <w:szCs w:val="21"/>
              </w:rPr>
            </w:pPr>
            <w:r>
              <w:rPr>
                <w:rFonts w:hint="eastAsia" w:ascii="宋体" w:hAnsi="宋体" w:cs="新宋体"/>
                <w:kern w:val="0"/>
                <w:szCs w:val="21"/>
              </w:rPr>
              <w:t>系统采用ARM V7M架构的Cortex-M3内核。具备100路以上节点电信号的实时采集和信息处理，自动识别交直流信号，持续捕捉电路动态特征。</w:t>
            </w:r>
          </w:p>
          <w:p>
            <w:pPr>
              <w:widowControl/>
              <w:rPr>
                <w:rFonts w:ascii="宋体" w:hAnsi="宋体" w:cs="新宋体"/>
                <w:kern w:val="0"/>
                <w:szCs w:val="21"/>
              </w:rPr>
            </w:pPr>
            <w:r>
              <w:rPr>
                <w:rFonts w:hint="eastAsia" w:ascii="宋体" w:hAnsi="宋体" w:cs="新宋体"/>
                <w:kern w:val="0"/>
                <w:szCs w:val="21"/>
              </w:rPr>
              <w:t>2.3无线传输</w:t>
            </w:r>
          </w:p>
          <w:p>
            <w:pPr>
              <w:widowControl/>
              <w:rPr>
                <w:rFonts w:ascii="宋体" w:hAnsi="宋体" w:cs="新宋体"/>
                <w:kern w:val="0"/>
                <w:szCs w:val="21"/>
              </w:rPr>
            </w:pPr>
            <w:r>
              <w:rPr>
                <w:rFonts w:hint="eastAsia" w:ascii="宋体" w:hAnsi="宋体" w:cs="新宋体"/>
                <w:kern w:val="0"/>
                <w:szCs w:val="21"/>
              </w:rPr>
              <w:t>系统采用IEEE802.11b标准，</w:t>
            </w:r>
            <w:r>
              <w:rPr>
                <w:rFonts w:ascii="宋体" w:hAnsi="宋体"/>
                <w:szCs w:val="21"/>
              </w:rPr>
              <w:t>▲</w:t>
            </w:r>
            <w:r>
              <w:rPr>
                <w:rFonts w:hint="eastAsia" w:ascii="宋体" w:hAnsi="宋体" w:cs="新宋体"/>
                <w:kern w:val="0"/>
                <w:szCs w:val="21"/>
              </w:rPr>
              <w:t>传输速率可达</w:t>
            </w:r>
            <w:r>
              <w:rPr>
                <w:rFonts w:ascii="宋体" w:hAnsi="宋体" w:cs="新宋体"/>
                <w:kern w:val="0"/>
                <w:szCs w:val="21"/>
              </w:rPr>
              <w:t>8</w:t>
            </w:r>
            <w:r>
              <w:rPr>
                <w:rFonts w:hint="eastAsia" w:ascii="宋体" w:hAnsi="宋体" w:cs="新宋体"/>
                <w:kern w:val="0"/>
                <w:szCs w:val="21"/>
              </w:rPr>
              <w:t>Mbps，</w:t>
            </w:r>
            <w:r>
              <w:rPr>
                <w:rFonts w:ascii="宋体" w:hAnsi="宋体"/>
                <w:szCs w:val="21"/>
              </w:rPr>
              <w:t>▲</w:t>
            </w:r>
            <w:r>
              <w:rPr>
                <w:rFonts w:hint="eastAsia" w:ascii="宋体" w:hAnsi="宋体" w:cs="新宋体"/>
                <w:kern w:val="0"/>
                <w:szCs w:val="21"/>
              </w:rPr>
              <w:t>有效距离超</w:t>
            </w:r>
            <w:r>
              <w:rPr>
                <w:rFonts w:ascii="宋体" w:hAnsi="宋体" w:cs="新宋体"/>
                <w:kern w:val="0"/>
                <w:szCs w:val="21"/>
              </w:rPr>
              <w:t>8</w:t>
            </w:r>
            <w:r>
              <w:rPr>
                <w:rFonts w:hint="eastAsia" w:ascii="宋体" w:hAnsi="宋体" w:cs="新宋体"/>
                <w:kern w:val="0"/>
                <w:szCs w:val="21"/>
              </w:rPr>
              <w:t>m，与802.11设备兼容，直接序列扩频采用BPSK和DQPSK调制技术，支持1Mbps和2Mbps数据速率。</w:t>
            </w:r>
          </w:p>
          <w:p>
            <w:pPr>
              <w:widowControl/>
              <w:rPr>
                <w:rFonts w:ascii="宋体" w:hAnsi="宋体" w:cs="新宋体"/>
                <w:kern w:val="0"/>
                <w:szCs w:val="21"/>
              </w:rPr>
            </w:pPr>
            <w:r>
              <w:rPr>
                <w:rFonts w:hint="eastAsia" w:ascii="宋体" w:hAnsi="宋体" w:cs="新宋体"/>
                <w:kern w:val="0"/>
                <w:szCs w:val="21"/>
              </w:rPr>
              <w:t>2.4智能交互</w:t>
            </w:r>
          </w:p>
          <w:p>
            <w:pPr>
              <w:widowControl/>
              <w:rPr>
                <w:rFonts w:ascii="宋体" w:hAnsi="宋体" w:cs="新宋体"/>
                <w:kern w:val="0"/>
                <w:szCs w:val="21"/>
              </w:rPr>
            </w:pPr>
            <w:r>
              <w:rPr>
                <w:rFonts w:hint="eastAsia" w:ascii="宋体" w:hAnsi="宋体" w:cs="新宋体"/>
                <w:kern w:val="0"/>
                <w:szCs w:val="21"/>
              </w:rPr>
              <w:t>系统采用FCS控制技术和CAN网络通讯技术，内置WIFI。可实现操控终端、手持移动终端、学生无线终端与故障设置和数据采集装置的智能交互。</w:t>
            </w:r>
          </w:p>
          <w:p>
            <w:pPr>
              <w:widowControl/>
              <w:rPr>
                <w:rFonts w:ascii="宋体" w:hAnsi="宋体" w:cs="新宋体"/>
                <w:kern w:val="0"/>
                <w:szCs w:val="21"/>
              </w:rPr>
            </w:pPr>
            <w:r>
              <w:rPr>
                <w:rFonts w:hint="eastAsia" w:ascii="宋体" w:hAnsi="宋体" w:cs="新宋体"/>
                <w:kern w:val="0"/>
                <w:szCs w:val="21"/>
              </w:rPr>
              <w:t>2.5多元控制</w:t>
            </w:r>
          </w:p>
          <w:p>
            <w:pPr>
              <w:widowControl/>
              <w:rPr>
                <w:rFonts w:ascii="宋体" w:hAnsi="宋体" w:cs="新宋体"/>
                <w:kern w:val="0"/>
                <w:szCs w:val="21"/>
              </w:rPr>
            </w:pPr>
            <w:r>
              <w:rPr>
                <w:rFonts w:hint="eastAsia" w:ascii="宋体" w:hAnsi="宋体" w:cs="新宋体"/>
                <w:kern w:val="0"/>
                <w:szCs w:val="21"/>
              </w:rPr>
              <w:t>平台与车辆通过无线传输和智能交互，既可使用操控终端进行故障设置和数据采集，也可使用手持移动终端进行故障设置和数据采集。</w:t>
            </w:r>
          </w:p>
          <w:p>
            <w:pPr>
              <w:widowControl/>
              <w:rPr>
                <w:rFonts w:ascii="宋体" w:hAnsi="宋体" w:cs="新宋体"/>
                <w:kern w:val="0"/>
                <w:szCs w:val="21"/>
              </w:rPr>
            </w:pPr>
            <w:r>
              <w:rPr>
                <w:rFonts w:hint="eastAsia" w:ascii="宋体" w:hAnsi="宋体" w:cs="新宋体"/>
                <w:kern w:val="0"/>
                <w:szCs w:val="21"/>
              </w:rPr>
              <w:t>2.6双端测量</w:t>
            </w:r>
          </w:p>
          <w:p>
            <w:pPr>
              <w:widowControl/>
              <w:rPr>
                <w:rFonts w:ascii="宋体" w:hAnsi="宋体" w:cs="新宋体"/>
                <w:kern w:val="0"/>
                <w:szCs w:val="21"/>
              </w:rPr>
            </w:pPr>
            <w:r>
              <w:rPr>
                <w:rFonts w:hint="eastAsia" w:ascii="宋体" w:hAnsi="宋体" w:cs="新宋体"/>
                <w:kern w:val="0"/>
                <w:szCs w:val="21"/>
              </w:rPr>
              <w:t>平台既可通过操控终端、手持移动终端、学生无线终端使用UI操作界面进行数字化数据测量，也可通过故障检测盒上下游双端子使用万用表、示波器进行直接测量。</w:t>
            </w:r>
          </w:p>
          <w:p>
            <w:pPr>
              <w:widowControl/>
              <w:rPr>
                <w:rFonts w:ascii="宋体" w:hAnsi="宋体" w:cs="新宋体"/>
                <w:kern w:val="0"/>
                <w:szCs w:val="21"/>
              </w:rPr>
            </w:pPr>
            <w:r>
              <w:rPr>
                <w:rFonts w:hint="eastAsia" w:ascii="宋体" w:hAnsi="宋体" w:cs="新宋体"/>
                <w:kern w:val="0"/>
                <w:szCs w:val="21"/>
              </w:rPr>
              <w:t>2.7移动互联</w:t>
            </w:r>
          </w:p>
          <w:p>
            <w:pPr>
              <w:widowControl/>
              <w:rPr>
                <w:rFonts w:ascii="宋体" w:hAnsi="宋体" w:cs="新宋体"/>
                <w:kern w:val="0"/>
                <w:szCs w:val="21"/>
              </w:rPr>
            </w:pPr>
            <w:r>
              <w:rPr>
                <w:rFonts w:hint="eastAsia" w:ascii="宋体" w:hAnsi="宋体" w:cs="新宋体"/>
                <w:kern w:val="0"/>
                <w:szCs w:val="21"/>
              </w:rPr>
              <w:t>平台可自由拓展内置WIFI的学生终端。通过无线传输和智能交互，支持多达30组学生无线终端与1组操控终端或手持移动终端同时在线学习，同步实现数据测量和故障分析。</w:t>
            </w:r>
          </w:p>
          <w:p>
            <w:pPr>
              <w:widowControl/>
              <w:rPr>
                <w:rFonts w:ascii="宋体" w:hAnsi="宋体" w:cs="新宋体"/>
                <w:kern w:val="0"/>
                <w:szCs w:val="21"/>
              </w:rPr>
            </w:pPr>
            <w:r>
              <w:rPr>
                <w:rFonts w:hint="eastAsia" w:ascii="宋体" w:hAnsi="宋体" w:cs="新宋体"/>
                <w:kern w:val="0"/>
                <w:szCs w:val="21"/>
              </w:rPr>
              <w:t>2.8无损连接</w:t>
            </w:r>
          </w:p>
          <w:p>
            <w:pPr>
              <w:widowControl/>
              <w:rPr>
                <w:rFonts w:ascii="宋体" w:hAnsi="宋体" w:cs="新宋体"/>
                <w:kern w:val="0"/>
                <w:szCs w:val="21"/>
              </w:rPr>
            </w:pPr>
            <w:r>
              <w:rPr>
                <w:rFonts w:hint="eastAsia" w:ascii="宋体" w:hAnsi="宋体" w:cs="新宋体"/>
                <w:kern w:val="0"/>
                <w:szCs w:val="21"/>
              </w:rPr>
              <w:t>平台接口与整车转接盒配套，在不破坏原车线束的条件下，可实现平台与车辆电池管理系统、整车控制器、电机控制器、车载充电机等系统的无损连接。</w:t>
            </w:r>
          </w:p>
          <w:p>
            <w:pPr>
              <w:widowControl/>
              <w:rPr>
                <w:rFonts w:ascii="宋体" w:hAnsi="宋体" w:cs="新宋体"/>
                <w:kern w:val="0"/>
                <w:szCs w:val="21"/>
              </w:rPr>
            </w:pPr>
            <w:r>
              <w:rPr>
                <w:rFonts w:hint="eastAsia" w:ascii="宋体" w:hAnsi="宋体" w:cs="新宋体"/>
                <w:kern w:val="0"/>
                <w:szCs w:val="21"/>
              </w:rPr>
              <w:t>2.9开模设计</w:t>
            </w:r>
          </w:p>
          <w:p>
            <w:pPr>
              <w:widowControl/>
              <w:rPr>
                <w:rFonts w:ascii="宋体" w:hAnsi="宋体" w:cs="新宋体"/>
                <w:kern w:val="0"/>
                <w:szCs w:val="21"/>
              </w:rPr>
            </w:pPr>
            <w:r>
              <w:rPr>
                <w:rFonts w:hint="eastAsia" w:ascii="宋体" w:hAnsi="宋体" w:cs="新宋体"/>
                <w:kern w:val="0"/>
                <w:szCs w:val="21"/>
              </w:rPr>
              <w:t xml:space="preserve">数据采集系统、故障设置系统、手持移动终端、故障检测盒、学生无线终端等均采用工业化造型设计和开模制作，结构美观、实用便捷。 </w:t>
            </w:r>
          </w:p>
          <w:p>
            <w:pPr>
              <w:widowControl/>
              <w:rPr>
                <w:rFonts w:ascii="宋体" w:hAnsi="宋体" w:cs="新宋体"/>
                <w:kern w:val="0"/>
                <w:szCs w:val="21"/>
              </w:rPr>
            </w:pPr>
            <w:r>
              <w:rPr>
                <w:rFonts w:hint="eastAsia" w:ascii="宋体" w:hAnsi="宋体" w:cs="新宋体"/>
                <w:kern w:val="0"/>
                <w:szCs w:val="21"/>
              </w:rPr>
              <w:t>2.10工业布线</w:t>
            </w:r>
          </w:p>
          <w:p>
            <w:pPr>
              <w:widowControl/>
              <w:rPr>
                <w:rFonts w:ascii="宋体" w:hAnsi="宋体" w:cs="新宋体"/>
                <w:kern w:val="0"/>
                <w:szCs w:val="21"/>
              </w:rPr>
            </w:pPr>
            <w:r>
              <w:rPr>
                <w:rFonts w:hint="eastAsia" w:ascii="宋体" w:hAnsi="宋体" w:cs="新宋体"/>
                <w:kern w:val="0"/>
                <w:szCs w:val="21"/>
              </w:rPr>
              <w:t>所有的电气连接全部使用汽车专用电线和接插件，满足防错自锁、通流能力和拔插循环等工业级要求。采取车辆系统就近连接的设计原则，最大程度缩短配线长度。</w:t>
            </w:r>
          </w:p>
          <w:p>
            <w:pPr>
              <w:widowControl/>
              <w:rPr>
                <w:rFonts w:ascii="宋体" w:hAnsi="宋体" w:cs="新宋体"/>
                <w:kern w:val="0"/>
                <w:szCs w:val="21"/>
              </w:rPr>
            </w:pPr>
            <w:r>
              <w:rPr>
                <w:rFonts w:hint="eastAsia" w:ascii="宋体" w:hAnsi="宋体" w:cs="新宋体"/>
                <w:kern w:val="0"/>
                <w:szCs w:val="21"/>
              </w:rPr>
              <w:t>3、主要功能</w:t>
            </w:r>
          </w:p>
          <w:p>
            <w:pPr>
              <w:widowControl/>
              <w:rPr>
                <w:rFonts w:ascii="宋体" w:hAnsi="宋体" w:cs="新宋体"/>
                <w:kern w:val="0"/>
                <w:szCs w:val="21"/>
              </w:rPr>
            </w:pPr>
            <w:r>
              <w:rPr>
                <w:rFonts w:hint="eastAsia" w:ascii="宋体" w:hAnsi="宋体" w:cs="新宋体"/>
                <w:kern w:val="0"/>
                <w:szCs w:val="21"/>
              </w:rPr>
              <w:t>3.1 PEU电源系统的数据分析和故障诊断</w:t>
            </w:r>
          </w:p>
          <w:p>
            <w:pPr>
              <w:widowControl/>
              <w:rPr>
                <w:rFonts w:ascii="宋体" w:hAnsi="宋体" w:cs="新宋体"/>
                <w:kern w:val="0"/>
                <w:szCs w:val="21"/>
              </w:rPr>
            </w:pPr>
            <w:r>
              <w:rPr>
                <w:rFonts w:hint="eastAsia" w:ascii="宋体" w:hAnsi="宋体" w:cs="新宋体"/>
                <w:kern w:val="0"/>
                <w:szCs w:val="21"/>
              </w:rPr>
              <w:t>3.2 PEU互锁信号的数据分析和故障诊断</w:t>
            </w:r>
          </w:p>
          <w:p>
            <w:pPr>
              <w:widowControl/>
              <w:rPr>
                <w:rFonts w:ascii="宋体" w:hAnsi="宋体" w:cs="新宋体"/>
                <w:kern w:val="0"/>
                <w:szCs w:val="21"/>
              </w:rPr>
            </w:pPr>
            <w:r>
              <w:rPr>
                <w:rFonts w:hint="eastAsia" w:ascii="宋体" w:hAnsi="宋体" w:cs="新宋体"/>
                <w:kern w:val="0"/>
                <w:szCs w:val="21"/>
              </w:rPr>
              <w:t>3.3 PEU唤醒信号的数据分析和故障诊断</w:t>
            </w:r>
          </w:p>
          <w:p>
            <w:pPr>
              <w:widowControl/>
              <w:rPr>
                <w:rFonts w:ascii="宋体" w:hAnsi="宋体" w:cs="新宋体"/>
                <w:kern w:val="0"/>
                <w:szCs w:val="21"/>
              </w:rPr>
            </w:pPr>
            <w:r>
              <w:rPr>
                <w:rFonts w:hint="eastAsia" w:ascii="宋体" w:hAnsi="宋体" w:cs="新宋体"/>
                <w:kern w:val="0"/>
                <w:szCs w:val="21"/>
              </w:rPr>
              <w:t>3.4 PEU电机温度传感器的数据分析和故障诊断</w:t>
            </w:r>
          </w:p>
          <w:p>
            <w:pPr>
              <w:widowControl/>
              <w:rPr>
                <w:rFonts w:ascii="宋体" w:hAnsi="宋体" w:cs="新宋体"/>
                <w:kern w:val="0"/>
                <w:szCs w:val="21"/>
              </w:rPr>
            </w:pPr>
            <w:r>
              <w:rPr>
                <w:rFonts w:hint="eastAsia" w:ascii="宋体" w:hAnsi="宋体" w:cs="新宋体"/>
                <w:kern w:val="0"/>
                <w:szCs w:val="21"/>
              </w:rPr>
              <w:t>3.5 PEU旋变传感器的数据分析和故障诊断</w:t>
            </w:r>
          </w:p>
          <w:p>
            <w:pPr>
              <w:widowControl/>
              <w:rPr>
                <w:rFonts w:ascii="宋体" w:hAnsi="宋体" w:cs="新宋体"/>
                <w:kern w:val="0"/>
                <w:szCs w:val="21"/>
              </w:rPr>
            </w:pPr>
            <w:r>
              <w:rPr>
                <w:rFonts w:hint="eastAsia" w:ascii="宋体" w:hAnsi="宋体" w:cs="新宋体"/>
                <w:kern w:val="0"/>
                <w:szCs w:val="21"/>
              </w:rPr>
              <w:t>3.6 PEU P-CAN总线的数据分析和故障诊断</w:t>
            </w:r>
          </w:p>
          <w:p>
            <w:pPr>
              <w:widowControl/>
              <w:rPr>
                <w:rFonts w:ascii="宋体" w:hAnsi="宋体" w:cs="新宋体"/>
                <w:kern w:val="0"/>
                <w:szCs w:val="21"/>
              </w:rPr>
            </w:pPr>
            <w:r>
              <w:rPr>
                <w:rFonts w:hint="eastAsia" w:ascii="宋体" w:hAnsi="宋体" w:cs="新宋体"/>
                <w:kern w:val="0"/>
                <w:szCs w:val="21"/>
              </w:rPr>
              <w:t>3.7 DC/DC直流充电的数据分析和故障诊断</w:t>
            </w:r>
          </w:p>
          <w:p>
            <w:pPr>
              <w:widowControl/>
              <w:rPr>
                <w:rFonts w:ascii="宋体" w:hAnsi="宋体" w:cs="新宋体"/>
                <w:kern w:val="0"/>
                <w:szCs w:val="21"/>
              </w:rPr>
            </w:pPr>
            <w:r>
              <w:rPr>
                <w:rFonts w:hint="eastAsia" w:ascii="宋体" w:hAnsi="宋体" w:cs="新宋体"/>
                <w:kern w:val="0"/>
                <w:szCs w:val="21"/>
              </w:rPr>
              <w:t>3.8 VCU电源系统的数据分析和故障诊断</w:t>
            </w:r>
          </w:p>
          <w:p>
            <w:pPr>
              <w:widowControl/>
              <w:rPr>
                <w:rFonts w:ascii="宋体" w:hAnsi="宋体" w:cs="新宋体"/>
                <w:kern w:val="0"/>
                <w:szCs w:val="21"/>
              </w:rPr>
            </w:pPr>
            <w:r>
              <w:rPr>
                <w:rFonts w:hint="eastAsia" w:ascii="宋体" w:hAnsi="宋体" w:cs="新宋体"/>
                <w:kern w:val="0"/>
                <w:szCs w:val="21"/>
              </w:rPr>
              <w:t>3.9 VCU制动灯开关的数据分析和故障诊断</w:t>
            </w:r>
          </w:p>
          <w:p>
            <w:pPr>
              <w:widowControl/>
              <w:rPr>
                <w:rFonts w:ascii="宋体" w:hAnsi="宋体" w:cs="新宋体"/>
                <w:kern w:val="0"/>
                <w:szCs w:val="21"/>
              </w:rPr>
            </w:pPr>
            <w:r>
              <w:rPr>
                <w:rFonts w:hint="eastAsia" w:ascii="宋体" w:hAnsi="宋体" w:cs="新宋体"/>
                <w:kern w:val="0"/>
                <w:szCs w:val="21"/>
              </w:rPr>
              <w:t>3.10 VCU电子换挡器的数据分析和故障诊断</w:t>
            </w:r>
          </w:p>
          <w:p>
            <w:pPr>
              <w:widowControl/>
              <w:rPr>
                <w:rFonts w:ascii="宋体" w:hAnsi="宋体" w:cs="新宋体"/>
                <w:kern w:val="0"/>
                <w:szCs w:val="21"/>
              </w:rPr>
            </w:pPr>
            <w:r>
              <w:rPr>
                <w:rFonts w:hint="eastAsia" w:ascii="宋体" w:hAnsi="宋体" w:cs="新宋体"/>
                <w:kern w:val="0"/>
                <w:szCs w:val="21"/>
              </w:rPr>
              <w:t>3.11 VCU互锁信号的数据分析和故障诊断</w:t>
            </w:r>
          </w:p>
          <w:p>
            <w:pPr>
              <w:widowControl/>
              <w:rPr>
                <w:rFonts w:ascii="宋体" w:hAnsi="宋体" w:cs="新宋体"/>
                <w:kern w:val="0"/>
                <w:szCs w:val="21"/>
              </w:rPr>
            </w:pPr>
            <w:r>
              <w:rPr>
                <w:rFonts w:hint="eastAsia" w:ascii="宋体" w:hAnsi="宋体" w:cs="新宋体"/>
                <w:kern w:val="0"/>
                <w:szCs w:val="21"/>
              </w:rPr>
              <w:t>3.12 VCU V-CAN总线的数据分析和故障诊断</w:t>
            </w:r>
          </w:p>
          <w:p>
            <w:pPr>
              <w:widowControl/>
              <w:rPr>
                <w:rFonts w:ascii="宋体" w:hAnsi="宋体" w:cs="新宋体"/>
                <w:kern w:val="0"/>
                <w:szCs w:val="21"/>
              </w:rPr>
            </w:pPr>
            <w:r>
              <w:rPr>
                <w:rFonts w:hint="eastAsia" w:ascii="宋体" w:hAnsi="宋体" w:cs="新宋体"/>
                <w:kern w:val="0"/>
                <w:szCs w:val="21"/>
              </w:rPr>
              <w:t>3.13 VCU P-CAN总线的数据分析和故障诊断</w:t>
            </w:r>
          </w:p>
          <w:p>
            <w:pPr>
              <w:widowControl/>
              <w:rPr>
                <w:rFonts w:ascii="宋体" w:hAnsi="宋体" w:cs="新宋体"/>
                <w:kern w:val="0"/>
                <w:szCs w:val="21"/>
              </w:rPr>
            </w:pPr>
            <w:r>
              <w:rPr>
                <w:rFonts w:hint="eastAsia" w:ascii="宋体" w:hAnsi="宋体" w:cs="新宋体"/>
                <w:kern w:val="0"/>
                <w:szCs w:val="21"/>
              </w:rPr>
              <w:t>3.14 VCU唤醒信号的数据分析和故障诊断</w:t>
            </w:r>
          </w:p>
          <w:p>
            <w:pPr>
              <w:widowControl/>
              <w:rPr>
                <w:rFonts w:ascii="宋体" w:hAnsi="宋体" w:cs="新宋体"/>
                <w:kern w:val="0"/>
                <w:szCs w:val="21"/>
              </w:rPr>
            </w:pPr>
            <w:r>
              <w:rPr>
                <w:rFonts w:hint="eastAsia" w:ascii="宋体" w:hAnsi="宋体" w:cs="新宋体"/>
                <w:kern w:val="0"/>
                <w:szCs w:val="21"/>
              </w:rPr>
              <w:t>3.15 VCU模式开关的数据分析和故障诊断</w:t>
            </w:r>
          </w:p>
          <w:p>
            <w:pPr>
              <w:widowControl/>
              <w:rPr>
                <w:rFonts w:ascii="宋体" w:hAnsi="宋体" w:cs="新宋体"/>
                <w:kern w:val="0"/>
                <w:szCs w:val="21"/>
              </w:rPr>
            </w:pPr>
            <w:r>
              <w:rPr>
                <w:rFonts w:hint="eastAsia" w:ascii="宋体" w:hAnsi="宋体" w:cs="新宋体"/>
                <w:kern w:val="0"/>
                <w:szCs w:val="21"/>
              </w:rPr>
              <w:t>3.16 VCU加速踏板传感器的数据分析和故障诊断</w:t>
            </w:r>
          </w:p>
          <w:p>
            <w:pPr>
              <w:widowControl/>
              <w:rPr>
                <w:rFonts w:ascii="宋体" w:hAnsi="宋体" w:cs="新宋体"/>
                <w:kern w:val="0"/>
                <w:szCs w:val="21"/>
              </w:rPr>
            </w:pPr>
            <w:r>
              <w:rPr>
                <w:rFonts w:hint="eastAsia" w:ascii="宋体" w:hAnsi="宋体" w:cs="新宋体"/>
                <w:kern w:val="0"/>
                <w:szCs w:val="21"/>
              </w:rPr>
              <w:t>3.17 VCU启动信号的数据分析和故障诊断</w:t>
            </w:r>
          </w:p>
          <w:p>
            <w:pPr>
              <w:widowControl/>
              <w:rPr>
                <w:rFonts w:ascii="宋体" w:hAnsi="宋体" w:cs="新宋体"/>
                <w:kern w:val="0"/>
                <w:szCs w:val="21"/>
              </w:rPr>
            </w:pPr>
            <w:r>
              <w:rPr>
                <w:rFonts w:hint="eastAsia" w:ascii="宋体" w:hAnsi="宋体" w:cs="新宋体"/>
                <w:kern w:val="0"/>
                <w:szCs w:val="21"/>
              </w:rPr>
              <w:t>3.18 OBC P-CAN总线的数据分析和故障诊断</w:t>
            </w:r>
          </w:p>
          <w:p>
            <w:pPr>
              <w:widowControl/>
              <w:rPr>
                <w:rFonts w:ascii="宋体" w:hAnsi="宋体" w:cs="新宋体"/>
                <w:kern w:val="0"/>
                <w:szCs w:val="21"/>
              </w:rPr>
            </w:pPr>
            <w:r>
              <w:rPr>
                <w:rFonts w:hint="eastAsia" w:ascii="宋体" w:hAnsi="宋体" w:cs="新宋体"/>
                <w:kern w:val="0"/>
                <w:szCs w:val="21"/>
              </w:rPr>
              <w:t>3.19 OBC温度传感器的数据分析和故障诊断</w:t>
            </w:r>
          </w:p>
          <w:p>
            <w:pPr>
              <w:widowControl/>
              <w:rPr>
                <w:rFonts w:ascii="宋体" w:hAnsi="宋体" w:cs="新宋体"/>
                <w:kern w:val="0"/>
                <w:szCs w:val="21"/>
              </w:rPr>
            </w:pPr>
            <w:r>
              <w:rPr>
                <w:rFonts w:hint="eastAsia" w:ascii="宋体" w:hAnsi="宋体" w:cs="新宋体"/>
                <w:kern w:val="0"/>
                <w:szCs w:val="21"/>
              </w:rPr>
              <w:t>3.20 OBC充电连接确认信号的数据分析和故障诊断</w:t>
            </w:r>
          </w:p>
          <w:p>
            <w:pPr>
              <w:widowControl/>
              <w:rPr>
                <w:rFonts w:ascii="宋体" w:hAnsi="宋体" w:cs="新宋体"/>
                <w:kern w:val="0"/>
                <w:szCs w:val="21"/>
              </w:rPr>
            </w:pPr>
            <w:r>
              <w:rPr>
                <w:rFonts w:hint="eastAsia" w:ascii="宋体" w:hAnsi="宋体" w:cs="新宋体"/>
                <w:kern w:val="0"/>
                <w:szCs w:val="21"/>
              </w:rPr>
              <w:t>3.21 OBC充电控制信号的数据分析和故障诊断</w:t>
            </w:r>
          </w:p>
          <w:p>
            <w:pPr>
              <w:widowControl/>
              <w:rPr>
                <w:rFonts w:ascii="宋体" w:hAnsi="宋体" w:cs="新宋体"/>
                <w:kern w:val="0"/>
                <w:szCs w:val="21"/>
              </w:rPr>
            </w:pPr>
            <w:r>
              <w:rPr>
                <w:rFonts w:hint="eastAsia" w:ascii="宋体" w:hAnsi="宋体" w:cs="新宋体"/>
                <w:kern w:val="0"/>
                <w:szCs w:val="21"/>
              </w:rPr>
              <w:t>3.22 OBC充电电子锁的数据分析和故障诊断</w:t>
            </w:r>
          </w:p>
          <w:p>
            <w:pPr>
              <w:widowControl/>
              <w:rPr>
                <w:rFonts w:ascii="宋体" w:hAnsi="宋体" w:cs="新宋体"/>
                <w:kern w:val="0"/>
                <w:szCs w:val="21"/>
              </w:rPr>
            </w:pPr>
            <w:r>
              <w:rPr>
                <w:rFonts w:hint="eastAsia" w:ascii="宋体" w:hAnsi="宋体" w:cs="新宋体"/>
                <w:kern w:val="0"/>
                <w:szCs w:val="21"/>
              </w:rPr>
              <w:t>3.23 OBC充电指示灯的数据分析和故障诊断</w:t>
            </w:r>
          </w:p>
          <w:p>
            <w:pPr>
              <w:widowControl/>
              <w:rPr>
                <w:rFonts w:ascii="宋体" w:hAnsi="宋体" w:cs="新宋体"/>
                <w:kern w:val="0"/>
                <w:szCs w:val="21"/>
              </w:rPr>
            </w:pPr>
            <w:r>
              <w:rPr>
                <w:rFonts w:hint="eastAsia" w:ascii="宋体" w:hAnsi="宋体" w:cs="新宋体"/>
                <w:kern w:val="0"/>
                <w:szCs w:val="21"/>
              </w:rPr>
              <w:t>3.24 BMS电源系统的数据分析和故障诊断</w:t>
            </w:r>
          </w:p>
          <w:p>
            <w:pPr>
              <w:widowControl/>
              <w:rPr>
                <w:rFonts w:ascii="宋体" w:hAnsi="宋体" w:cs="新宋体"/>
                <w:kern w:val="0"/>
                <w:szCs w:val="21"/>
              </w:rPr>
            </w:pPr>
            <w:r>
              <w:rPr>
                <w:rFonts w:hint="eastAsia" w:ascii="宋体" w:hAnsi="宋体" w:cs="新宋体"/>
                <w:kern w:val="0"/>
                <w:szCs w:val="21"/>
              </w:rPr>
              <w:t>3.25 BMS P-CAN总线的数据分析和故障诊断</w:t>
            </w:r>
          </w:p>
          <w:p>
            <w:pPr>
              <w:widowControl/>
              <w:rPr>
                <w:rFonts w:ascii="宋体" w:hAnsi="宋体" w:cs="新宋体"/>
                <w:kern w:val="0"/>
                <w:szCs w:val="21"/>
              </w:rPr>
            </w:pPr>
            <w:r>
              <w:rPr>
                <w:rFonts w:hint="eastAsia" w:ascii="宋体" w:hAnsi="宋体" w:cs="新宋体"/>
                <w:kern w:val="0"/>
                <w:szCs w:val="21"/>
              </w:rPr>
              <w:t>3.26 BMS唤醒信号的数据分析和故障诊断</w:t>
            </w:r>
          </w:p>
          <w:p>
            <w:pPr>
              <w:widowControl/>
              <w:rPr>
                <w:rFonts w:ascii="宋体" w:hAnsi="宋体" w:cs="新宋体"/>
                <w:kern w:val="0"/>
                <w:szCs w:val="21"/>
              </w:rPr>
            </w:pPr>
            <w:r>
              <w:rPr>
                <w:rFonts w:hint="eastAsia" w:ascii="宋体" w:hAnsi="宋体" w:cs="新宋体"/>
                <w:kern w:val="0"/>
                <w:szCs w:val="21"/>
              </w:rPr>
              <w:t>3.27 BMS碰撞信号的数据分析和故障诊断</w:t>
            </w:r>
          </w:p>
          <w:p>
            <w:pPr>
              <w:widowControl/>
              <w:rPr>
                <w:rFonts w:ascii="宋体" w:hAnsi="宋体" w:cs="新宋体"/>
                <w:kern w:val="0"/>
                <w:szCs w:val="21"/>
              </w:rPr>
            </w:pPr>
            <w:r>
              <w:rPr>
                <w:rFonts w:hint="eastAsia" w:ascii="宋体" w:hAnsi="宋体" w:cs="新宋体"/>
                <w:kern w:val="0"/>
                <w:szCs w:val="21"/>
              </w:rPr>
              <w:t>3.28直流充电插座CAN总线的数据分析和故障诊断</w:t>
            </w:r>
          </w:p>
          <w:p>
            <w:pPr>
              <w:widowControl/>
              <w:rPr>
                <w:rFonts w:ascii="宋体" w:hAnsi="宋体" w:cs="新宋体"/>
                <w:kern w:val="0"/>
                <w:szCs w:val="21"/>
              </w:rPr>
            </w:pPr>
            <w:r>
              <w:rPr>
                <w:rFonts w:hint="eastAsia" w:ascii="宋体" w:hAnsi="宋体" w:cs="新宋体"/>
                <w:kern w:val="0"/>
                <w:szCs w:val="21"/>
              </w:rPr>
              <w:t>3.29直流充电插座连接确认信号的数据分析和故障诊断</w:t>
            </w:r>
          </w:p>
          <w:p>
            <w:pPr>
              <w:widowControl/>
              <w:rPr>
                <w:rFonts w:ascii="宋体" w:hAnsi="宋体" w:cs="新宋体"/>
                <w:kern w:val="0"/>
                <w:szCs w:val="21"/>
              </w:rPr>
            </w:pPr>
            <w:r>
              <w:rPr>
                <w:rFonts w:hint="eastAsia" w:ascii="宋体" w:hAnsi="宋体" w:cs="新宋体"/>
                <w:kern w:val="0"/>
                <w:szCs w:val="21"/>
              </w:rPr>
              <w:t>3.30直流充电插座充电唤醒信号的数据分析和故障诊断</w:t>
            </w:r>
          </w:p>
          <w:p>
            <w:pPr>
              <w:widowControl/>
              <w:rPr>
                <w:rFonts w:ascii="宋体" w:hAnsi="宋体" w:cs="新宋体"/>
                <w:kern w:val="0"/>
                <w:szCs w:val="21"/>
              </w:rPr>
            </w:pPr>
            <w:r>
              <w:rPr>
                <w:rFonts w:hint="eastAsia" w:ascii="宋体" w:hAnsi="宋体" w:cs="新宋体"/>
                <w:kern w:val="0"/>
                <w:szCs w:val="21"/>
              </w:rPr>
              <w:t>3.31直流充电插座温度传感器的数据分析和故障诊断</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14</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动力总成拆装平台</w:t>
            </w:r>
          </w:p>
        </w:tc>
        <w:tc>
          <w:tcPr>
            <w:tcW w:w="5525" w:type="dxa"/>
            <w:gridSpan w:val="2"/>
            <w:tcBorders>
              <w:tl2br w:val="nil"/>
              <w:tr2bl w:val="nil"/>
            </w:tcBorders>
            <w:shd w:val="clear" w:color="auto" w:fill="auto"/>
            <w:tcMar>
              <w:left w:w="105" w:type="dxa"/>
              <w:right w:w="105" w:type="dxa"/>
            </w:tcMar>
            <w:vAlign w:val="bottom"/>
          </w:tcPr>
          <w:p>
            <w:pPr>
              <w:widowControl/>
              <w:rPr>
                <w:rFonts w:ascii="宋体" w:hAnsi="宋体" w:cs="新宋体"/>
                <w:kern w:val="0"/>
                <w:szCs w:val="21"/>
              </w:rPr>
            </w:pPr>
            <w:r>
              <w:rPr>
                <w:rFonts w:hint="eastAsia" w:ascii="宋体" w:hAnsi="宋体" w:cs="新宋体"/>
                <w:kern w:val="0"/>
                <w:szCs w:val="21"/>
              </w:rPr>
              <w:t>一、功能要求：</w:t>
            </w:r>
            <w:r>
              <w:rPr>
                <w:rFonts w:hint="eastAsia" w:ascii="宋体" w:hAnsi="宋体" w:cs="新宋体"/>
                <w:kern w:val="0"/>
                <w:szCs w:val="21"/>
              </w:rPr>
              <w:br w:type="textWrapping"/>
            </w:r>
            <w:r>
              <w:rPr>
                <w:rFonts w:hint="eastAsia" w:ascii="宋体" w:hAnsi="宋体" w:cs="新宋体"/>
                <w:kern w:val="0"/>
                <w:szCs w:val="21"/>
              </w:rPr>
              <w:t>1、配套原厂动力总成，符合动力总成拆装平台的拆装、测量、维修、考核的技术需求。</w:t>
            </w:r>
            <w:r>
              <w:rPr>
                <w:rFonts w:hint="eastAsia" w:ascii="宋体" w:hAnsi="宋体" w:cs="新宋体"/>
                <w:kern w:val="0"/>
                <w:szCs w:val="21"/>
              </w:rPr>
              <w:br w:type="textWrapping"/>
            </w:r>
            <w:r>
              <w:rPr>
                <w:rFonts w:hint="eastAsia" w:ascii="宋体" w:hAnsi="宋体" w:cs="新宋体"/>
                <w:kern w:val="0"/>
                <w:szCs w:val="21"/>
              </w:rPr>
              <w:t>2、完全满足各职业院校对“新能源汽车检测与维修”技能训练的技术需求。</w:t>
            </w:r>
            <w:r>
              <w:rPr>
                <w:rFonts w:hint="eastAsia" w:ascii="宋体" w:hAnsi="宋体" w:cs="新宋体"/>
                <w:color w:val="FF0000"/>
                <w:kern w:val="0"/>
                <w:szCs w:val="21"/>
              </w:rPr>
              <w:br w:type="textWrapping"/>
            </w:r>
            <w:r>
              <w:rPr>
                <w:rFonts w:hint="eastAsia" w:ascii="宋体" w:hAnsi="宋体" w:cs="新宋体"/>
                <w:kern w:val="0"/>
                <w:szCs w:val="21"/>
              </w:rPr>
              <w:t>3、设备可对动力总成的P档机构、主副轴齿轮组等磨损情况的分析检测，对副轴与差速器高度、深度的数据测量和调整练习，对副轴与差速器调整垫片选择的计算练习等。</w:t>
            </w:r>
            <w:r>
              <w:rPr>
                <w:rFonts w:hint="eastAsia" w:ascii="宋体" w:hAnsi="宋体" w:cs="新宋体"/>
                <w:kern w:val="0"/>
                <w:szCs w:val="21"/>
              </w:rPr>
              <w:br w:type="textWrapping"/>
            </w:r>
            <w:r>
              <w:rPr>
                <w:rFonts w:hint="eastAsia" w:ascii="宋体" w:hAnsi="宋体" w:cs="新宋体"/>
                <w:kern w:val="0"/>
                <w:szCs w:val="21"/>
              </w:rPr>
              <w:t>4、可完成永磁同步电机与变速器的分离、永磁同步电机与变速器的组装、输入轴齿轮的分离、输入轴齿轮的装配、副轴齿轮的分离、副轴齿轮的装配、差速器齿轮的分离、差速器齿轮的装配等拆装、练习、考核。</w:t>
            </w:r>
            <w:r>
              <w:rPr>
                <w:rFonts w:hint="eastAsia" w:ascii="宋体" w:hAnsi="宋体" w:cs="新宋体"/>
                <w:color w:val="FF0000"/>
                <w:kern w:val="0"/>
                <w:szCs w:val="21"/>
              </w:rPr>
              <w:br w:type="textWrapping"/>
            </w:r>
            <w:r>
              <w:rPr>
                <w:rFonts w:hint="eastAsia" w:ascii="宋体" w:hAnsi="宋体" w:cs="新宋体"/>
                <w:kern w:val="0"/>
                <w:szCs w:val="21"/>
              </w:rPr>
              <w:t>5、配套多媒体实训指导软件，充分利用现代学生对多媒体的热爱，提高学习兴趣，可让院校有效利用现代多媒体教学理念，优势资源共享，让大多数学生参与进来共享优质教学资源。</w:t>
            </w:r>
            <w:r>
              <w:rPr>
                <w:rFonts w:hint="eastAsia" w:ascii="宋体" w:hAnsi="宋体" w:cs="新宋体"/>
                <w:kern w:val="0"/>
                <w:szCs w:val="21"/>
              </w:rPr>
              <w:br w:type="textWrapping"/>
            </w:r>
            <w:r>
              <w:rPr>
                <w:rFonts w:hint="eastAsia" w:ascii="宋体" w:hAnsi="宋体" w:cs="新宋体"/>
                <w:kern w:val="0"/>
                <w:szCs w:val="21"/>
              </w:rPr>
              <w:t>6、采用国标钢材，无缝焊接，金属表面采用喷烤漆工艺处理，漆面坚固美观，配备大面积接油盘保障三不落地的汽车维修要求，油盆采用优质不锈钢无缝焊接，美观易清理。</w:t>
            </w:r>
            <w:r>
              <w:rPr>
                <w:rFonts w:hint="eastAsia" w:ascii="宋体" w:hAnsi="宋体" w:cs="新宋体"/>
                <w:kern w:val="0"/>
                <w:szCs w:val="21"/>
              </w:rPr>
              <w:br w:type="textWrapping"/>
            </w:r>
            <w:r>
              <w:rPr>
                <w:rFonts w:hint="eastAsia" w:ascii="宋体" w:hAnsi="宋体" w:cs="新宋体"/>
                <w:kern w:val="0"/>
                <w:szCs w:val="21"/>
              </w:rPr>
              <w:t>7、实训台底部带有自锁脚轮与固定调节螺栓，可方便移动与固定。</w:t>
            </w:r>
            <w:r>
              <w:rPr>
                <w:rFonts w:hint="eastAsia" w:ascii="宋体" w:hAnsi="宋体" w:cs="新宋体"/>
                <w:kern w:val="0"/>
                <w:szCs w:val="21"/>
              </w:rPr>
              <w:br w:type="textWrapping"/>
            </w:r>
            <w:r>
              <w:rPr>
                <w:rFonts w:hint="eastAsia" w:ascii="宋体" w:hAnsi="宋体" w:cs="新宋体"/>
                <w:kern w:val="0"/>
                <w:szCs w:val="21"/>
              </w:rPr>
              <w:t>二、技术参数：</w:t>
            </w:r>
            <w:r>
              <w:rPr>
                <w:rFonts w:hint="eastAsia" w:ascii="宋体" w:hAnsi="宋体" w:cs="新宋体"/>
                <w:kern w:val="0"/>
                <w:szCs w:val="21"/>
              </w:rPr>
              <w:br w:type="textWrapping"/>
            </w:r>
            <w:r>
              <w:rPr>
                <w:rFonts w:hint="eastAsia" w:ascii="宋体" w:hAnsi="宋体" w:cs="新宋体"/>
                <w:kern w:val="0"/>
                <w:szCs w:val="21"/>
              </w:rPr>
              <w:t>2.1.动力总成技术参数</w:t>
            </w:r>
            <w:r>
              <w:rPr>
                <w:rFonts w:hint="eastAsia" w:ascii="宋体" w:hAnsi="宋体" w:cs="新宋体"/>
                <w:kern w:val="0"/>
                <w:szCs w:val="21"/>
              </w:rPr>
              <w:br w:type="textWrapping"/>
            </w:r>
            <w:r>
              <w:rPr>
                <w:rFonts w:hint="eastAsia" w:ascii="宋体" w:hAnsi="宋体" w:cs="新宋体"/>
                <w:kern w:val="0"/>
                <w:szCs w:val="21"/>
              </w:rPr>
              <w:t>电动机最大输出扭矩：310N.m/(0～4929rpm)/30s</w:t>
            </w:r>
            <w:r>
              <w:rPr>
                <w:rFonts w:hint="eastAsia" w:ascii="宋体" w:hAnsi="宋体" w:cs="新宋体"/>
                <w:kern w:val="0"/>
                <w:szCs w:val="21"/>
              </w:rPr>
              <w:br w:type="textWrapping"/>
            </w:r>
            <w:r>
              <w:rPr>
                <w:rFonts w:hint="eastAsia" w:ascii="宋体" w:hAnsi="宋体" w:cs="新宋体"/>
                <w:kern w:val="0"/>
                <w:szCs w:val="21"/>
              </w:rPr>
              <w:t>电动机额定扭矩：160N.m/(0～4775rpm)/持续</w:t>
            </w:r>
            <w:r>
              <w:rPr>
                <w:rFonts w:hint="eastAsia" w:ascii="宋体" w:hAnsi="宋体" w:cs="新宋体"/>
                <w:kern w:val="0"/>
                <w:szCs w:val="21"/>
              </w:rPr>
              <w:br w:type="textWrapping"/>
            </w:r>
            <w:r>
              <w:rPr>
                <w:rFonts w:hint="eastAsia" w:ascii="宋体" w:hAnsi="宋体" w:cs="新宋体"/>
                <w:kern w:val="0"/>
                <w:szCs w:val="21"/>
              </w:rPr>
              <w:t>电动机最大输入功率160kW/(4929～12000rpm)/30s</w:t>
            </w:r>
            <w:r>
              <w:rPr>
                <w:rFonts w:hint="eastAsia" w:ascii="宋体" w:hAnsi="宋体" w:cs="新宋体"/>
                <w:kern w:val="0"/>
                <w:szCs w:val="21"/>
              </w:rPr>
              <w:br w:type="textWrapping"/>
            </w:r>
            <w:r>
              <w:rPr>
                <w:rFonts w:hint="eastAsia" w:ascii="宋体" w:hAnsi="宋体" w:cs="新宋体"/>
                <w:kern w:val="0"/>
                <w:szCs w:val="21"/>
              </w:rPr>
              <w:t>电动机额定功率：80kW/(4775～12000rpm)/持续</w:t>
            </w:r>
            <w:r>
              <w:rPr>
                <w:rFonts w:hint="eastAsia" w:ascii="宋体" w:hAnsi="宋体" w:cs="新宋体"/>
                <w:kern w:val="0"/>
                <w:szCs w:val="21"/>
              </w:rPr>
              <w:br w:type="textWrapping"/>
            </w:r>
            <w:r>
              <w:rPr>
                <w:rFonts w:hint="eastAsia" w:ascii="宋体" w:hAnsi="宋体" w:cs="新宋体"/>
                <w:kern w:val="0"/>
                <w:szCs w:val="21"/>
              </w:rPr>
              <w:t>电动机最大输出转速(包括驱动最高输入转速和随动最高输入转速)：12000rpm</w:t>
            </w:r>
            <w:r>
              <w:rPr>
                <w:rFonts w:hint="eastAsia" w:ascii="宋体" w:hAnsi="宋体" w:cs="新宋体"/>
                <w:kern w:val="0"/>
                <w:szCs w:val="21"/>
              </w:rPr>
              <w:br w:type="textWrapping"/>
            </w:r>
            <w:r>
              <w:rPr>
                <w:rFonts w:hint="eastAsia" w:ascii="宋体" w:hAnsi="宋体" w:cs="新宋体"/>
                <w:kern w:val="0"/>
                <w:szCs w:val="21"/>
              </w:rPr>
              <w:t>电动力总成总成重量：</w:t>
            </w:r>
            <w:r>
              <w:rPr>
                <w:rFonts w:hint="eastAsia" w:ascii="宋体" w:hAnsi="宋体" w:eastAsia="宋体" w:cs="宋体"/>
                <w:kern w:val="0"/>
                <w:szCs w:val="21"/>
              </w:rPr>
              <w:t>≧</w:t>
            </w:r>
            <w:r>
              <w:rPr>
                <w:rFonts w:hint="eastAsia" w:ascii="宋体" w:hAnsi="宋体" w:cs="新宋体"/>
                <w:kern w:val="0"/>
                <w:szCs w:val="21"/>
              </w:rPr>
              <w:t>103kg</w:t>
            </w:r>
            <w:r>
              <w:rPr>
                <w:rFonts w:hint="eastAsia" w:ascii="宋体" w:hAnsi="宋体" w:cs="新宋体"/>
                <w:kern w:val="0"/>
                <w:szCs w:val="21"/>
              </w:rPr>
              <w:br w:type="textWrapping"/>
            </w:r>
            <w:r>
              <w:rPr>
                <w:rFonts w:hint="eastAsia" w:ascii="宋体" w:hAnsi="宋体" w:cs="新宋体"/>
                <w:kern w:val="0"/>
                <w:szCs w:val="21"/>
              </w:rPr>
              <w:t>电机轴中心与差速器中心的距离：</w:t>
            </w:r>
            <w:r>
              <w:rPr>
                <w:rFonts w:hint="eastAsia" w:ascii="宋体" w:hAnsi="宋体" w:eastAsia="宋体" w:cs="宋体"/>
                <w:kern w:val="0"/>
                <w:szCs w:val="21"/>
              </w:rPr>
              <w:t>≧</w:t>
            </w:r>
            <w:r>
              <w:rPr>
                <w:rFonts w:hint="eastAsia" w:ascii="宋体" w:hAnsi="宋体" w:cs="新宋体"/>
                <w:kern w:val="0"/>
                <w:szCs w:val="21"/>
              </w:rPr>
              <w:t>239mm</w:t>
            </w:r>
            <w:r>
              <w:rPr>
                <w:rFonts w:hint="eastAsia" w:ascii="宋体" w:hAnsi="宋体" w:cs="新宋体"/>
                <w:kern w:val="0"/>
                <w:szCs w:val="21"/>
              </w:rPr>
              <w:br w:type="textWrapping"/>
            </w:r>
            <w:r>
              <w:rPr>
                <w:rFonts w:hint="eastAsia" w:ascii="宋体" w:hAnsi="宋体" w:cs="新宋体"/>
                <w:kern w:val="0"/>
                <w:szCs w:val="21"/>
              </w:rPr>
              <w:t>变速箱润滑油量：1.85～1.95L</w:t>
            </w:r>
            <w:r>
              <w:rPr>
                <w:rFonts w:hint="eastAsia" w:ascii="宋体" w:hAnsi="宋体" w:cs="新宋体"/>
                <w:kern w:val="0"/>
                <w:szCs w:val="21"/>
              </w:rPr>
              <w:br w:type="textWrapping"/>
            </w:r>
            <w:r>
              <w:rPr>
                <w:rFonts w:hint="eastAsia" w:ascii="宋体" w:hAnsi="宋体" w:cs="新宋体"/>
                <w:kern w:val="0"/>
                <w:szCs w:val="21"/>
              </w:rPr>
              <w:t>变速箱润滑油类型：齿轮油SAE75W-90</w:t>
            </w:r>
            <w:r>
              <w:rPr>
                <w:rFonts w:hint="eastAsia" w:ascii="宋体" w:hAnsi="宋体" w:cs="新宋体"/>
                <w:kern w:val="0"/>
                <w:szCs w:val="21"/>
              </w:rPr>
              <w:br w:type="textWrapping"/>
            </w:r>
            <w:r>
              <w:rPr>
                <w:rFonts w:hint="eastAsia" w:ascii="宋体" w:hAnsi="宋体" w:cs="新宋体"/>
                <w:kern w:val="0"/>
                <w:szCs w:val="21"/>
              </w:rPr>
              <w:t>2.2.拆装翻转架操可360°旋转，方便电机与变速器的分离与装配</w:t>
            </w:r>
            <w:r>
              <w:rPr>
                <w:rFonts w:hint="eastAsia" w:ascii="宋体" w:hAnsi="宋体" w:cs="新宋体"/>
                <w:kern w:val="0"/>
                <w:szCs w:val="21"/>
              </w:rPr>
              <w:br w:type="textWrapping"/>
            </w:r>
            <w:r>
              <w:rPr>
                <w:rFonts w:hint="eastAsia" w:ascii="宋体" w:hAnsi="宋体" w:cs="新宋体"/>
                <w:kern w:val="0"/>
                <w:szCs w:val="21"/>
              </w:rPr>
              <w:t>产品尺寸：</w:t>
            </w:r>
            <w:r>
              <w:rPr>
                <w:rFonts w:hint="eastAsia" w:ascii="宋体" w:hAnsi="宋体" w:eastAsia="宋体" w:cs="宋体"/>
                <w:kern w:val="0"/>
                <w:szCs w:val="21"/>
              </w:rPr>
              <w:t>≧</w:t>
            </w:r>
            <w:r>
              <w:rPr>
                <w:rFonts w:hint="eastAsia" w:ascii="宋体" w:hAnsi="宋体" w:cs="新宋体"/>
                <w:kern w:val="0"/>
                <w:szCs w:val="21"/>
              </w:rPr>
              <w:t>950mm×700mm×850mm（长×宽×高）</w:t>
            </w:r>
            <w:r>
              <w:rPr>
                <w:rFonts w:hint="eastAsia" w:ascii="宋体" w:hAnsi="宋体" w:cs="新宋体"/>
                <w:kern w:val="0"/>
                <w:szCs w:val="21"/>
              </w:rPr>
              <w:br w:type="textWrapping"/>
            </w:r>
            <w:r>
              <w:rPr>
                <w:rFonts w:hint="eastAsia" w:ascii="宋体" w:hAnsi="宋体" w:cs="新宋体"/>
                <w:kern w:val="0"/>
                <w:szCs w:val="21"/>
              </w:rPr>
              <w:t>不锈钢接油盘：</w:t>
            </w:r>
            <w:r>
              <w:rPr>
                <w:rFonts w:hint="eastAsia" w:ascii="宋体" w:hAnsi="宋体" w:eastAsia="宋体" w:cs="宋体"/>
                <w:kern w:val="0"/>
                <w:szCs w:val="21"/>
              </w:rPr>
              <w:t>≧</w:t>
            </w:r>
            <w:r>
              <w:rPr>
                <w:rFonts w:hint="eastAsia" w:ascii="宋体" w:hAnsi="宋体" w:cs="新宋体"/>
                <w:kern w:val="0"/>
                <w:szCs w:val="21"/>
              </w:rPr>
              <w:t>660mm×590mm×35mm(长×宽×深)</w:t>
            </w:r>
            <w:r>
              <w:rPr>
                <w:rFonts w:hint="eastAsia" w:ascii="宋体" w:hAnsi="宋体" w:cs="新宋体"/>
                <w:kern w:val="0"/>
                <w:szCs w:val="21"/>
              </w:rPr>
              <w:br w:type="textWrapping"/>
            </w:r>
            <w:r>
              <w:rPr>
                <w:rFonts w:hint="eastAsia" w:ascii="宋体" w:hAnsi="宋体" w:cs="新宋体"/>
                <w:kern w:val="0"/>
                <w:szCs w:val="21"/>
              </w:rPr>
              <w:t>底盘:</w:t>
            </w:r>
            <w:r>
              <w:rPr>
                <w:rFonts w:hint="eastAsia" w:ascii="宋体" w:hAnsi="宋体" w:eastAsia="宋体" w:cs="宋体"/>
                <w:kern w:val="0"/>
                <w:szCs w:val="21"/>
              </w:rPr>
              <w:t>≧</w:t>
            </w:r>
            <w:r>
              <w:rPr>
                <w:rFonts w:hint="eastAsia" w:ascii="宋体" w:hAnsi="宋体" w:cs="新宋体"/>
                <w:kern w:val="0"/>
                <w:szCs w:val="21"/>
              </w:rPr>
              <w:t>950mm×700mm（长×宽）</w:t>
            </w:r>
            <w:r>
              <w:rPr>
                <w:rFonts w:hint="eastAsia" w:ascii="宋体" w:hAnsi="宋体" w:cs="新宋体"/>
                <w:kern w:val="0"/>
                <w:szCs w:val="21"/>
              </w:rPr>
              <w:br w:type="textWrapping"/>
            </w:r>
            <w:r>
              <w:rPr>
                <w:rFonts w:hint="eastAsia" w:ascii="宋体" w:hAnsi="宋体" w:cs="新宋体"/>
                <w:kern w:val="0"/>
                <w:szCs w:val="21"/>
              </w:rPr>
              <w:t>立柱:</w:t>
            </w:r>
            <w:r>
              <w:rPr>
                <w:rFonts w:hint="eastAsia" w:ascii="宋体" w:hAnsi="宋体" w:eastAsia="宋体" w:cs="宋体"/>
                <w:kern w:val="0"/>
                <w:szCs w:val="21"/>
              </w:rPr>
              <w:t>≧</w:t>
            </w:r>
            <w:r>
              <w:rPr>
                <w:rFonts w:hint="eastAsia" w:ascii="宋体" w:hAnsi="宋体" w:cs="新宋体"/>
                <w:kern w:val="0"/>
                <w:szCs w:val="21"/>
              </w:rPr>
              <w:t>200mm×150mm(长×宽)</w:t>
            </w:r>
            <w:r>
              <w:rPr>
                <w:rFonts w:hint="eastAsia" w:ascii="宋体" w:hAnsi="宋体" w:cs="新宋体"/>
                <w:kern w:val="0"/>
                <w:szCs w:val="21"/>
              </w:rPr>
              <w:br w:type="textWrapping"/>
            </w:r>
            <w:r>
              <w:rPr>
                <w:rFonts w:hint="eastAsia" w:ascii="宋体" w:hAnsi="宋体" w:cs="新宋体"/>
                <w:kern w:val="0"/>
                <w:szCs w:val="21"/>
              </w:rPr>
              <w:t>手轮:</w:t>
            </w:r>
            <w:r>
              <w:rPr>
                <w:rFonts w:hint="eastAsia" w:ascii="宋体" w:hAnsi="宋体" w:eastAsia="宋体" w:cs="宋体"/>
                <w:kern w:val="0"/>
                <w:szCs w:val="21"/>
              </w:rPr>
              <w:t>≧</w:t>
            </w:r>
            <w:r>
              <w:rPr>
                <w:rFonts w:hint="eastAsia" w:ascii="宋体" w:hAnsi="宋体" w:cs="新宋体"/>
                <w:kern w:val="0"/>
                <w:szCs w:val="21"/>
              </w:rPr>
              <w:t>190mm（直径）</w:t>
            </w:r>
            <w:r>
              <w:rPr>
                <w:rFonts w:hint="eastAsia" w:ascii="宋体" w:hAnsi="宋体" w:cs="新宋体"/>
                <w:kern w:val="0"/>
                <w:szCs w:val="21"/>
              </w:rPr>
              <w:br w:type="textWrapping"/>
            </w:r>
            <w:r>
              <w:rPr>
                <w:rFonts w:hint="eastAsia" w:ascii="宋体" w:hAnsi="宋体" w:cs="新宋体"/>
                <w:kern w:val="0"/>
                <w:szCs w:val="21"/>
              </w:rPr>
              <w:t>主轴:</w:t>
            </w:r>
            <w:r>
              <w:rPr>
                <w:rFonts w:hint="eastAsia" w:ascii="宋体" w:hAnsi="宋体" w:eastAsia="宋体" w:cs="宋体"/>
                <w:kern w:val="0"/>
                <w:szCs w:val="21"/>
              </w:rPr>
              <w:t>≧</w:t>
            </w:r>
            <w:r>
              <w:rPr>
                <w:rFonts w:hint="eastAsia" w:ascii="宋体" w:hAnsi="宋体" w:cs="新宋体"/>
                <w:kern w:val="0"/>
                <w:szCs w:val="21"/>
              </w:rPr>
              <w:t>40mm（直径）</w:t>
            </w:r>
            <w:r>
              <w:rPr>
                <w:rFonts w:hint="eastAsia" w:ascii="宋体" w:hAnsi="宋体" w:cs="新宋体"/>
                <w:kern w:val="0"/>
                <w:szCs w:val="21"/>
              </w:rPr>
              <w:br w:type="textWrapping"/>
            </w:r>
            <w:r>
              <w:rPr>
                <w:rFonts w:hint="eastAsia" w:ascii="宋体" w:hAnsi="宋体" w:cs="新宋体"/>
                <w:kern w:val="0"/>
                <w:szCs w:val="21"/>
              </w:rPr>
              <w:t>载重量:</w:t>
            </w:r>
            <w:r>
              <w:rPr>
                <w:rFonts w:hint="eastAsia" w:ascii="宋体" w:hAnsi="宋体" w:eastAsia="宋体" w:cs="宋体"/>
                <w:kern w:val="0"/>
                <w:szCs w:val="21"/>
              </w:rPr>
              <w:t>≧</w:t>
            </w:r>
            <w:r>
              <w:rPr>
                <w:rFonts w:hint="eastAsia" w:ascii="宋体" w:hAnsi="宋体" w:cs="新宋体"/>
                <w:kern w:val="0"/>
                <w:szCs w:val="21"/>
              </w:rPr>
              <w:t>150Kg</w:t>
            </w:r>
            <w:r>
              <w:rPr>
                <w:rFonts w:hint="eastAsia" w:ascii="宋体" w:hAnsi="宋体" w:cs="新宋体"/>
                <w:color w:val="FF0000"/>
                <w:kern w:val="0"/>
                <w:szCs w:val="21"/>
              </w:rPr>
              <w:br w:type="textWrapping"/>
            </w:r>
            <w:r>
              <w:rPr>
                <w:rFonts w:hint="eastAsia" w:ascii="宋体" w:hAnsi="宋体" w:cs="新宋体"/>
                <w:kern w:val="0"/>
                <w:szCs w:val="21"/>
              </w:rPr>
              <w:t>移动脚轮：3寸万向轮带刹车</w:t>
            </w:r>
            <w:r>
              <w:rPr>
                <w:rFonts w:hint="eastAsia" w:ascii="宋体" w:hAnsi="宋体" w:cs="新宋体"/>
                <w:kern w:val="0"/>
                <w:szCs w:val="21"/>
              </w:rPr>
              <w:br w:type="textWrapping"/>
            </w:r>
            <w:r>
              <w:rPr>
                <w:rFonts w:hint="eastAsia" w:ascii="宋体" w:hAnsi="宋体" w:cs="新宋体"/>
                <w:kern w:val="0"/>
                <w:szCs w:val="21"/>
              </w:rPr>
              <w:t>三、可完成实训项目：</w:t>
            </w:r>
            <w:r>
              <w:rPr>
                <w:rFonts w:hint="eastAsia" w:ascii="宋体" w:hAnsi="宋体" w:cs="新宋体"/>
                <w:kern w:val="0"/>
                <w:szCs w:val="21"/>
              </w:rPr>
              <w:br w:type="textWrapping"/>
            </w:r>
            <w:r>
              <w:rPr>
                <w:rFonts w:hint="eastAsia" w:ascii="宋体" w:hAnsi="宋体" w:cs="新宋体"/>
                <w:kern w:val="0"/>
                <w:szCs w:val="21"/>
              </w:rPr>
              <w:t>①永磁同步电机与变速器的分离</w:t>
            </w:r>
            <w:r>
              <w:rPr>
                <w:rFonts w:hint="eastAsia" w:ascii="宋体" w:hAnsi="宋体" w:cs="新宋体"/>
                <w:kern w:val="0"/>
                <w:szCs w:val="21"/>
              </w:rPr>
              <w:br w:type="textWrapping"/>
            </w:r>
            <w:r>
              <w:rPr>
                <w:rFonts w:hint="eastAsia" w:ascii="宋体" w:hAnsi="宋体" w:cs="新宋体"/>
                <w:kern w:val="0"/>
                <w:szCs w:val="21"/>
              </w:rPr>
              <w:t>②永磁同步电机与变速器的组装</w:t>
            </w:r>
            <w:r>
              <w:rPr>
                <w:rFonts w:hint="eastAsia" w:ascii="宋体" w:hAnsi="宋体" w:cs="新宋体"/>
                <w:kern w:val="0"/>
                <w:szCs w:val="21"/>
              </w:rPr>
              <w:br w:type="textWrapping"/>
            </w:r>
            <w:r>
              <w:rPr>
                <w:rFonts w:hint="eastAsia" w:ascii="宋体" w:hAnsi="宋体" w:cs="新宋体"/>
                <w:kern w:val="0"/>
                <w:szCs w:val="21"/>
              </w:rPr>
              <w:t>③输入轴齿轮的分离</w:t>
            </w:r>
            <w:r>
              <w:rPr>
                <w:rFonts w:hint="eastAsia" w:ascii="宋体" w:hAnsi="宋体" w:cs="新宋体"/>
                <w:kern w:val="0"/>
                <w:szCs w:val="21"/>
              </w:rPr>
              <w:br w:type="textWrapping"/>
            </w:r>
            <w:r>
              <w:rPr>
                <w:rFonts w:hint="eastAsia" w:ascii="宋体" w:hAnsi="宋体" w:cs="新宋体"/>
                <w:kern w:val="0"/>
                <w:szCs w:val="21"/>
              </w:rPr>
              <w:t>④输入轴齿轮的装配</w:t>
            </w:r>
            <w:r>
              <w:rPr>
                <w:rFonts w:hint="eastAsia" w:ascii="宋体" w:hAnsi="宋体" w:cs="新宋体"/>
                <w:kern w:val="0"/>
                <w:szCs w:val="21"/>
              </w:rPr>
              <w:br w:type="textWrapping"/>
            </w:r>
            <w:r>
              <w:rPr>
                <w:rFonts w:hint="eastAsia" w:ascii="宋体" w:hAnsi="宋体" w:cs="新宋体"/>
                <w:kern w:val="0"/>
                <w:szCs w:val="21"/>
              </w:rPr>
              <w:t>⑤副轴齿轮的分离</w:t>
            </w:r>
            <w:r>
              <w:rPr>
                <w:rFonts w:hint="eastAsia" w:ascii="宋体" w:hAnsi="宋体" w:cs="新宋体"/>
                <w:kern w:val="0"/>
                <w:szCs w:val="21"/>
              </w:rPr>
              <w:br w:type="textWrapping"/>
            </w:r>
            <w:r>
              <w:rPr>
                <w:rFonts w:hint="eastAsia" w:ascii="宋体" w:hAnsi="宋体" w:cs="新宋体"/>
                <w:kern w:val="0"/>
                <w:szCs w:val="21"/>
              </w:rPr>
              <w:t>⑥副轴齿轮的装配</w:t>
            </w:r>
            <w:r>
              <w:rPr>
                <w:rFonts w:hint="eastAsia" w:ascii="宋体" w:hAnsi="宋体" w:cs="新宋体"/>
                <w:kern w:val="0"/>
                <w:szCs w:val="21"/>
              </w:rPr>
              <w:br w:type="textWrapping"/>
            </w:r>
            <w:r>
              <w:rPr>
                <w:rFonts w:hint="eastAsia" w:ascii="宋体" w:hAnsi="宋体" w:cs="新宋体"/>
                <w:kern w:val="0"/>
                <w:szCs w:val="21"/>
              </w:rPr>
              <w:t>⑦差速器齿轮的分离</w:t>
            </w:r>
            <w:r>
              <w:rPr>
                <w:rFonts w:hint="eastAsia" w:ascii="宋体" w:hAnsi="宋体" w:cs="新宋体"/>
                <w:kern w:val="0"/>
                <w:szCs w:val="21"/>
              </w:rPr>
              <w:br w:type="textWrapping"/>
            </w:r>
            <w:r>
              <w:rPr>
                <w:rFonts w:hint="eastAsia" w:ascii="宋体" w:hAnsi="宋体" w:cs="新宋体"/>
                <w:kern w:val="0"/>
                <w:szCs w:val="21"/>
              </w:rPr>
              <w:t>⑧差速器齿轮的装配</w:t>
            </w:r>
            <w:r>
              <w:rPr>
                <w:rFonts w:hint="eastAsia" w:ascii="宋体" w:hAnsi="宋体" w:cs="新宋体"/>
                <w:kern w:val="0"/>
                <w:szCs w:val="21"/>
              </w:rPr>
              <w:br w:type="textWrapping"/>
            </w:r>
            <w:r>
              <w:rPr>
                <w:rFonts w:hint="eastAsia" w:ascii="宋体" w:hAnsi="宋体" w:cs="新宋体"/>
                <w:kern w:val="0"/>
                <w:szCs w:val="21"/>
              </w:rPr>
              <w:t>⑨齿轮组磨损状况</w:t>
            </w:r>
            <w:r>
              <w:rPr>
                <w:rFonts w:hint="eastAsia" w:ascii="宋体" w:hAnsi="宋体" w:cs="新宋体"/>
                <w:kern w:val="0"/>
                <w:szCs w:val="21"/>
              </w:rPr>
              <w:br w:type="textWrapping"/>
            </w:r>
            <w:r>
              <w:rPr>
                <w:rFonts w:hint="eastAsia" w:ascii="宋体" w:hAnsi="宋体" w:cs="新宋体"/>
                <w:kern w:val="0"/>
                <w:szCs w:val="21"/>
              </w:rPr>
              <w:t>⑩副轴与差速器工作数据的检测</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15</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充电设备装配与调试实训台</w:t>
            </w:r>
          </w:p>
        </w:tc>
        <w:tc>
          <w:tcPr>
            <w:tcW w:w="5525" w:type="dxa"/>
            <w:gridSpan w:val="2"/>
            <w:tcBorders>
              <w:tl2br w:val="nil"/>
              <w:tr2bl w:val="nil"/>
            </w:tcBorders>
            <w:shd w:val="clear" w:color="auto" w:fill="auto"/>
            <w:tcMar>
              <w:left w:w="105" w:type="dxa"/>
              <w:right w:w="105" w:type="dxa"/>
            </w:tcMar>
            <w:vAlign w:val="bottom"/>
          </w:tcPr>
          <w:p>
            <w:pPr>
              <w:widowControl/>
              <w:rPr>
                <w:rFonts w:ascii="宋体" w:hAnsi="宋体" w:cs="新宋体"/>
                <w:kern w:val="0"/>
                <w:szCs w:val="21"/>
              </w:rPr>
            </w:pPr>
            <w:r>
              <w:rPr>
                <w:rFonts w:hint="eastAsia" w:ascii="宋体" w:hAnsi="宋体" w:cs="新宋体"/>
                <w:kern w:val="0"/>
                <w:szCs w:val="21"/>
              </w:rPr>
              <w:t>一、充电桩技术参数要求：</w:t>
            </w:r>
            <w:r>
              <w:rPr>
                <w:rFonts w:hint="eastAsia" w:ascii="宋体" w:hAnsi="宋体" w:cs="新宋体"/>
                <w:kern w:val="0"/>
                <w:szCs w:val="21"/>
              </w:rPr>
              <w:br w:type="textWrapping"/>
            </w:r>
            <w:r>
              <w:rPr>
                <w:rFonts w:hint="eastAsia" w:ascii="宋体" w:hAnsi="宋体" w:cs="新宋体"/>
                <w:kern w:val="0"/>
                <w:szCs w:val="21"/>
              </w:rPr>
              <w:t>1.外形尺寸（mm）：750*500*1600（长*宽*高 充电桩）+600*750*960（长*宽*高 负载箱）</w:t>
            </w:r>
            <w:r>
              <w:rPr>
                <w:rFonts w:hint="eastAsia" w:ascii="宋体" w:hAnsi="宋体" w:cs="新宋体"/>
                <w:kern w:val="0"/>
                <w:szCs w:val="21"/>
              </w:rPr>
              <w:br w:type="textWrapping"/>
            </w:r>
            <w:r>
              <w:rPr>
                <w:rFonts w:hint="eastAsia" w:ascii="宋体" w:hAnsi="宋体" w:cs="新宋体"/>
                <w:kern w:val="0"/>
                <w:szCs w:val="21"/>
              </w:rPr>
              <w:t>2.输入电源：        AC220V±15%  50Hz</w:t>
            </w:r>
            <w:r>
              <w:rPr>
                <w:rFonts w:hint="eastAsia" w:ascii="宋体" w:hAnsi="宋体" w:cs="新宋体"/>
                <w:kern w:val="0"/>
                <w:szCs w:val="21"/>
              </w:rPr>
              <w:br w:type="textWrapping"/>
            </w:r>
            <w:r>
              <w:rPr>
                <w:rFonts w:hint="eastAsia" w:ascii="宋体" w:hAnsi="宋体" w:cs="新宋体"/>
                <w:kern w:val="0"/>
                <w:szCs w:val="21"/>
              </w:rPr>
              <w:t>3.系统支持：        在线更新</w:t>
            </w:r>
            <w:r>
              <w:rPr>
                <w:rFonts w:hint="eastAsia" w:ascii="宋体" w:hAnsi="宋体" w:cs="新宋体"/>
                <w:kern w:val="0"/>
                <w:szCs w:val="21"/>
              </w:rPr>
              <w:br w:type="textWrapping"/>
            </w:r>
            <w:r>
              <w:rPr>
                <w:rFonts w:hint="eastAsia" w:ascii="宋体" w:hAnsi="宋体" w:cs="新宋体"/>
                <w:kern w:val="0"/>
                <w:szCs w:val="21"/>
              </w:rPr>
              <w:t>4.输出额定电压：    AC220V±15%  50Hz</w:t>
            </w:r>
            <w:r>
              <w:rPr>
                <w:rFonts w:hint="eastAsia" w:ascii="宋体" w:hAnsi="宋体" w:cs="新宋体"/>
                <w:kern w:val="0"/>
                <w:szCs w:val="21"/>
              </w:rPr>
              <w:br w:type="textWrapping"/>
            </w:r>
            <w:r>
              <w:rPr>
                <w:rFonts w:hint="eastAsia" w:ascii="宋体" w:hAnsi="宋体" w:cs="新宋体"/>
                <w:kern w:val="0"/>
                <w:szCs w:val="21"/>
              </w:rPr>
              <w:t>输出额定功率：    7KW</w:t>
            </w:r>
            <w:r>
              <w:rPr>
                <w:rFonts w:hint="eastAsia" w:ascii="宋体" w:hAnsi="宋体" w:cs="新宋体"/>
                <w:kern w:val="0"/>
                <w:szCs w:val="21"/>
              </w:rPr>
              <w:br w:type="textWrapping"/>
            </w:r>
            <w:r>
              <w:rPr>
                <w:rFonts w:hint="eastAsia" w:ascii="宋体" w:hAnsi="宋体" w:cs="新宋体"/>
                <w:kern w:val="0"/>
                <w:szCs w:val="21"/>
              </w:rPr>
              <w:t>输出额定电流：    32A</w:t>
            </w:r>
            <w:r>
              <w:rPr>
                <w:rFonts w:hint="eastAsia" w:ascii="宋体" w:hAnsi="宋体" w:cs="新宋体"/>
                <w:kern w:val="0"/>
                <w:szCs w:val="21"/>
              </w:rPr>
              <w:br w:type="textWrapping"/>
            </w:r>
            <w:r>
              <w:rPr>
                <w:rFonts w:hint="eastAsia" w:ascii="宋体" w:hAnsi="宋体" w:cs="新宋体"/>
                <w:kern w:val="0"/>
                <w:szCs w:val="21"/>
              </w:rPr>
              <w:t>过流保护：        35.2A</w:t>
            </w:r>
            <w:r>
              <w:rPr>
                <w:rFonts w:hint="eastAsia" w:ascii="宋体" w:hAnsi="宋体" w:cs="新宋体"/>
                <w:kern w:val="0"/>
                <w:szCs w:val="21"/>
              </w:rPr>
              <w:br w:type="textWrapping"/>
            </w:r>
            <w:r>
              <w:rPr>
                <w:rFonts w:hint="eastAsia" w:ascii="宋体" w:hAnsi="宋体" w:cs="新宋体"/>
                <w:kern w:val="0"/>
                <w:szCs w:val="21"/>
              </w:rPr>
              <w:t>5. 过压保护        ≥264Vac</w:t>
            </w:r>
            <w:r>
              <w:rPr>
                <w:rFonts w:hint="eastAsia" w:ascii="宋体" w:hAnsi="宋体" w:cs="新宋体"/>
                <w:kern w:val="0"/>
                <w:szCs w:val="21"/>
              </w:rPr>
              <w:br w:type="textWrapping"/>
            </w:r>
            <w:r>
              <w:rPr>
                <w:rFonts w:hint="eastAsia" w:ascii="宋体" w:hAnsi="宋体" w:cs="新宋体"/>
                <w:kern w:val="0"/>
                <w:szCs w:val="21"/>
              </w:rPr>
              <w:t>6. 欠压保护        ≤176Vac</w:t>
            </w:r>
            <w:r>
              <w:rPr>
                <w:rFonts w:hint="eastAsia" w:ascii="宋体" w:hAnsi="宋体" w:cs="新宋体"/>
                <w:kern w:val="0"/>
                <w:szCs w:val="21"/>
              </w:rPr>
              <w:br w:type="textWrapping"/>
            </w:r>
            <w:r>
              <w:rPr>
                <w:rFonts w:hint="eastAsia" w:ascii="宋体" w:hAnsi="宋体" w:cs="新宋体"/>
                <w:kern w:val="0"/>
                <w:szCs w:val="21"/>
              </w:rPr>
              <w:t>7. 漏电保护动作电流      30mA</w:t>
            </w:r>
            <w:r>
              <w:rPr>
                <w:rFonts w:hint="eastAsia" w:ascii="宋体" w:hAnsi="宋体" w:cs="新宋体"/>
                <w:kern w:val="0"/>
                <w:szCs w:val="21"/>
              </w:rPr>
              <w:br w:type="textWrapping"/>
            </w:r>
            <w:r>
              <w:rPr>
                <w:rFonts w:hint="eastAsia" w:ascii="宋体" w:hAnsi="宋体" w:cs="新宋体"/>
                <w:kern w:val="0"/>
                <w:szCs w:val="21"/>
              </w:rPr>
              <w:t>8. 电能表                2.0级多功能交流电能表</w:t>
            </w:r>
            <w:r>
              <w:rPr>
                <w:rFonts w:hint="eastAsia" w:ascii="宋体" w:hAnsi="宋体" w:cs="新宋体"/>
                <w:kern w:val="0"/>
                <w:szCs w:val="21"/>
              </w:rPr>
              <w:br w:type="textWrapping"/>
            </w:r>
            <w:r>
              <w:rPr>
                <w:rFonts w:hint="eastAsia" w:ascii="宋体" w:hAnsi="宋体" w:cs="新宋体"/>
                <w:kern w:val="0"/>
                <w:szCs w:val="21"/>
              </w:rPr>
              <w:t>9.工作环境</w:t>
            </w:r>
            <w:r>
              <w:rPr>
                <w:rFonts w:hint="eastAsia" w:ascii="宋体" w:hAnsi="宋体" w:cs="新宋体"/>
                <w:kern w:val="0"/>
                <w:szCs w:val="21"/>
              </w:rPr>
              <w:br w:type="textWrapping"/>
            </w:r>
            <w:r>
              <w:rPr>
                <w:rFonts w:hint="eastAsia" w:ascii="宋体" w:hAnsi="宋体" w:cs="新宋体"/>
                <w:kern w:val="0"/>
                <w:szCs w:val="21"/>
              </w:rPr>
              <w:t>温度：                  -20℃～+50℃</w:t>
            </w:r>
            <w:r>
              <w:rPr>
                <w:rFonts w:hint="eastAsia" w:ascii="宋体" w:hAnsi="宋体" w:cs="新宋体"/>
                <w:kern w:val="0"/>
                <w:szCs w:val="21"/>
              </w:rPr>
              <w:br w:type="textWrapping"/>
            </w:r>
            <w:r>
              <w:rPr>
                <w:rFonts w:hint="eastAsia" w:ascii="宋体" w:hAnsi="宋体" w:cs="新宋体"/>
                <w:kern w:val="0"/>
                <w:szCs w:val="21"/>
              </w:rPr>
              <w:t>相对湿度：              5％～95％</w:t>
            </w:r>
            <w:r>
              <w:rPr>
                <w:rFonts w:hint="eastAsia" w:ascii="宋体" w:hAnsi="宋体" w:cs="新宋体"/>
                <w:kern w:val="0"/>
                <w:szCs w:val="21"/>
              </w:rPr>
              <w:br w:type="textWrapping"/>
            </w:r>
            <w:r>
              <w:rPr>
                <w:rFonts w:hint="eastAsia" w:ascii="宋体" w:hAnsi="宋体" w:cs="新宋体"/>
                <w:kern w:val="0"/>
                <w:szCs w:val="21"/>
              </w:rPr>
              <w:t xml:space="preserve">海拔高度：              ≤1000m </w:t>
            </w:r>
            <w:r>
              <w:rPr>
                <w:rFonts w:hint="eastAsia" w:ascii="宋体" w:hAnsi="宋体" w:cs="新宋体"/>
                <w:kern w:val="0"/>
                <w:szCs w:val="21"/>
              </w:rPr>
              <w:br w:type="textWrapping"/>
            </w:r>
            <w:r>
              <w:rPr>
                <w:rFonts w:hint="eastAsia" w:ascii="宋体" w:hAnsi="宋体" w:cs="新宋体"/>
                <w:kern w:val="0"/>
                <w:szCs w:val="21"/>
              </w:rPr>
              <w:t>10.防护等级：               IP54</w:t>
            </w:r>
            <w:r>
              <w:rPr>
                <w:rFonts w:hint="eastAsia" w:ascii="宋体" w:hAnsi="宋体" w:cs="新宋体"/>
                <w:kern w:val="0"/>
                <w:szCs w:val="21"/>
              </w:rPr>
              <w:br w:type="textWrapping"/>
            </w:r>
            <w:r>
              <w:rPr>
                <w:rFonts w:hint="eastAsia" w:ascii="宋体" w:hAnsi="宋体" w:cs="新宋体"/>
                <w:kern w:val="0"/>
                <w:szCs w:val="21"/>
              </w:rPr>
              <w:t xml:space="preserve">11.寿命：                   </w:t>
            </w:r>
            <w:r>
              <w:rPr>
                <w:rFonts w:hint="eastAsia" w:ascii="宋体" w:hAnsi="宋体" w:eastAsia="宋体" w:cs="宋体"/>
                <w:szCs w:val="21"/>
              </w:rPr>
              <w:t>≧</w:t>
            </w:r>
            <w:r>
              <w:rPr>
                <w:rFonts w:hint="eastAsia" w:ascii="宋体" w:hAnsi="宋体" w:cs="新宋体"/>
                <w:kern w:val="0"/>
                <w:szCs w:val="21"/>
              </w:rPr>
              <w:t xml:space="preserve">10000次  </w:t>
            </w:r>
            <w:r>
              <w:rPr>
                <w:rFonts w:hint="eastAsia" w:ascii="宋体" w:hAnsi="宋体" w:cs="新宋体"/>
                <w:kern w:val="0"/>
                <w:szCs w:val="21"/>
              </w:rPr>
              <w:br w:type="textWrapping"/>
            </w:r>
            <w:r>
              <w:rPr>
                <w:rFonts w:hint="eastAsia" w:ascii="宋体" w:hAnsi="宋体" w:cs="新宋体"/>
                <w:kern w:val="0"/>
                <w:szCs w:val="21"/>
              </w:rPr>
              <w:t>12.充电方式：                刷卡/APP</w:t>
            </w:r>
            <w:r>
              <w:rPr>
                <w:rFonts w:hint="eastAsia" w:ascii="宋体" w:hAnsi="宋体" w:cs="新宋体"/>
                <w:kern w:val="0"/>
                <w:szCs w:val="21"/>
              </w:rPr>
              <w:br w:type="textWrapping"/>
            </w:r>
            <w:r>
              <w:rPr>
                <w:rFonts w:hint="eastAsia" w:ascii="宋体" w:hAnsi="宋体" w:cs="新宋体"/>
                <w:kern w:val="0"/>
                <w:szCs w:val="21"/>
              </w:rPr>
              <w:t>13.通讯方式：                以太网/4G模块</w:t>
            </w:r>
            <w:r>
              <w:rPr>
                <w:rFonts w:hint="eastAsia" w:ascii="宋体" w:hAnsi="宋体" w:cs="新宋体"/>
                <w:kern w:val="0"/>
                <w:szCs w:val="21"/>
              </w:rPr>
              <w:br w:type="textWrapping"/>
            </w:r>
            <w:r>
              <w:rPr>
                <w:rFonts w:hint="eastAsia" w:ascii="宋体" w:hAnsi="宋体" w:cs="新宋体"/>
                <w:kern w:val="0"/>
                <w:szCs w:val="21"/>
              </w:rPr>
              <w:t>二、可完成实训项目要求：</w:t>
            </w:r>
            <w:r>
              <w:rPr>
                <w:rFonts w:hint="eastAsia" w:ascii="宋体" w:hAnsi="宋体" w:cs="新宋体"/>
                <w:kern w:val="0"/>
                <w:szCs w:val="21"/>
              </w:rPr>
              <w:br w:type="textWrapping"/>
            </w:r>
            <w:r>
              <w:rPr>
                <w:rFonts w:hint="eastAsia" w:ascii="宋体" w:hAnsi="宋体" w:cs="新宋体"/>
                <w:kern w:val="0"/>
                <w:szCs w:val="21"/>
              </w:rPr>
              <w:t>1. 了解交流充电桩结构原理。</w:t>
            </w:r>
            <w:r>
              <w:rPr>
                <w:rFonts w:hint="eastAsia" w:ascii="宋体" w:hAnsi="宋体" w:cs="新宋体"/>
                <w:kern w:val="0"/>
                <w:szCs w:val="21"/>
              </w:rPr>
              <w:br w:type="textWrapping"/>
            </w:r>
            <w:r>
              <w:rPr>
                <w:rFonts w:hint="eastAsia" w:ascii="宋体" w:hAnsi="宋体" w:cs="新宋体"/>
                <w:kern w:val="0"/>
                <w:szCs w:val="21"/>
              </w:rPr>
              <w:t>2. 了解交流充电桩主要零部件功能。</w:t>
            </w:r>
            <w:r>
              <w:rPr>
                <w:rFonts w:hint="eastAsia" w:ascii="宋体" w:hAnsi="宋体" w:cs="新宋体"/>
                <w:kern w:val="0"/>
                <w:szCs w:val="21"/>
              </w:rPr>
              <w:br w:type="textWrapping"/>
            </w:r>
            <w:r>
              <w:rPr>
                <w:rFonts w:hint="eastAsia" w:ascii="宋体" w:hAnsi="宋体" w:cs="新宋体"/>
                <w:kern w:val="0"/>
                <w:szCs w:val="21"/>
              </w:rPr>
              <w:t>3. 掌握充电桩线束和配件的选用方法。</w:t>
            </w:r>
            <w:r>
              <w:rPr>
                <w:rFonts w:hint="eastAsia" w:ascii="宋体" w:hAnsi="宋体" w:cs="新宋体"/>
                <w:kern w:val="0"/>
                <w:szCs w:val="21"/>
              </w:rPr>
              <w:br w:type="textWrapping"/>
            </w:r>
            <w:r>
              <w:rPr>
                <w:rFonts w:hint="eastAsia" w:ascii="宋体" w:hAnsi="宋体" w:cs="新宋体"/>
                <w:kern w:val="0"/>
                <w:szCs w:val="21"/>
              </w:rPr>
              <w:t>4. 掌握电源线的选配、冷压接线端子选配和压接工艺。</w:t>
            </w:r>
            <w:r>
              <w:rPr>
                <w:rFonts w:hint="eastAsia" w:ascii="宋体" w:hAnsi="宋体" w:cs="新宋体"/>
                <w:kern w:val="0"/>
                <w:szCs w:val="21"/>
              </w:rPr>
              <w:br w:type="textWrapping"/>
            </w:r>
            <w:r>
              <w:rPr>
                <w:rFonts w:hint="eastAsia" w:ascii="宋体" w:hAnsi="宋体" w:cs="新宋体"/>
                <w:kern w:val="0"/>
                <w:szCs w:val="21"/>
              </w:rPr>
              <w:t>5. 掌握线束连接正确性的测试方法。</w:t>
            </w:r>
            <w:r>
              <w:rPr>
                <w:rFonts w:hint="eastAsia" w:ascii="宋体" w:hAnsi="宋体" w:cs="新宋体"/>
                <w:kern w:val="0"/>
                <w:szCs w:val="21"/>
              </w:rPr>
              <w:br w:type="textWrapping"/>
            </w:r>
            <w:r>
              <w:rPr>
                <w:rFonts w:hint="eastAsia" w:ascii="宋体" w:hAnsi="宋体" w:cs="新宋体"/>
                <w:kern w:val="0"/>
                <w:szCs w:val="21"/>
              </w:rPr>
              <w:t>6. 掌握充电桩绝缘阻值的测量方法。</w:t>
            </w:r>
            <w:r>
              <w:rPr>
                <w:rFonts w:hint="eastAsia" w:ascii="宋体" w:hAnsi="宋体" w:cs="新宋体"/>
                <w:kern w:val="0"/>
                <w:szCs w:val="21"/>
              </w:rPr>
              <w:br w:type="textWrapping"/>
            </w:r>
            <w:r>
              <w:rPr>
                <w:rFonts w:hint="eastAsia" w:ascii="宋体" w:hAnsi="宋体" w:cs="新宋体"/>
                <w:kern w:val="0"/>
                <w:szCs w:val="21"/>
              </w:rPr>
              <w:t>7. 掌握L线和N线的判别方法。</w:t>
            </w:r>
            <w:r>
              <w:rPr>
                <w:rFonts w:hint="eastAsia" w:ascii="宋体" w:hAnsi="宋体" w:cs="新宋体"/>
                <w:kern w:val="0"/>
                <w:szCs w:val="21"/>
              </w:rPr>
              <w:br w:type="textWrapping"/>
            </w:r>
            <w:r>
              <w:rPr>
                <w:rFonts w:hint="eastAsia" w:ascii="宋体" w:hAnsi="宋体" w:cs="新宋体"/>
                <w:kern w:val="0"/>
                <w:szCs w:val="21"/>
              </w:rPr>
              <w:t>8. 掌握PE接地电阻值测量方法。</w:t>
            </w:r>
            <w:r>
              <w:rPr>
                <w:rFonts w:hint="eastAsia" w:ascii="宋体" w:hAnsi="宋体" w:cs="新宋体"/>
                <w:kern w:val="0"/>
                <w:szCs w:val="21"/>
              </w:rPr>
              <w:br w:type="textWrapping"/>
            </w:r>
            <w:r>
              <w:rPr>
                <w:rFonts w:hint="eastAsia" w:ascii="宋体" w:hAnsi="宋体" w:cs="新宋体"/>
                <w:kern w:val="0"/>
                <w:szCs w:val="21"/>
              </w:rPr>
              <w:t>9. 掌握漏电保护模块的安装方法。</w:t>
            </w:r>
            <w:r>
              <w:rPr>
                <w:rFonts w:hint="eastAsia" w:ascii="宋体" w:hAnsi="宋体" w:cs="新宋体"/>
                <w:kern w:val="0"/>
                <w:szCs w:val="21"/>
              </w:rPr>
              <w:br w:type="textWrapping"/>
            </w:r>
            <w:r>
              <w:rPr>
                <w:rFonts w:hint="eastAsia" w:ascii="宋体" w:hAnsi="宋体" w:cs="新宋体"/>
                <w:kern w:val="0"/>
                <w:szCs w:val="21"/>
              </w:rPr>
              <w:t>10. 掌握防雷器模块的安装方法。</w:t>
            </w:r>
            <w:r>
              <w:rPr>
                <w:rFonts w:hint="eastAsia" w:ascii="宋体" w:hAnsi="宋体" w:cs="新宋体"/>
                <w:kern w:val="0"/>
                <w:szCs w:val="21"/>
              </w:rPr>
              <w:br w:type="textWrapping"/>
            </w:r>
            <w:r>
              <w:rPr>
                <w:rFonts w:hint="eastAsia" w:ascii="宋体" w:hAnsi="宋体" w:cs="新宋体"/>
                <w:kern w:val="0"/>
                <w:szCs w:val="21"/>
              </w:rPr>
              <w:t>11. 掌握电能表的安装方法。</w:t>
            </w:r>
            <w:r>
              <w:rPr>
                <w:rFonts w:hint="eastAsia" w:ascii="宋体" w:hAnsi="宋体" w:cs="新宋体"/>
                <w:kern w:val="0"/>
                <w:szCs w:val="21"/>
              </w:rPr>
              <w:br w:type="textWrapping"/>
            </w:r>
            <w:r>
              <w:rPr>
                <w:rFonts w:hint="eastAsia" w:ascii="宋体" w:hAnsi="宋体" w:cs="新宋体"/>
                <w:kern w:val="0"/>
                <w:szCs w:val="21"/>
              </w:rPr>
              <w:t>12. 掌握系统的初始设置方法。</w:t>
            </w:r>
            <w:r>
              <w:rPr>
                <w:rFonts w:hint="eastAsia" w:ascii="宋体" w:hAnsi="宋体" w:cs="新宋体"/>
                <w:kern w:val="0"/>
                <w:szCs w:val="21"/>
              </w:rPr>
              <w:br w:type="textWrapping"/>
            </w:r>
            <w:r>
              <w:rPr>
                <w:rFonts w:hint="eastAsia" w:ascii="宋体" w:hAnsi="宋体" w:cs="新宋体"/>
                <w:kern w:val="0"/>
                <w:szCs w:val="21"/>
              </w:rPr>
              <w:t>13. 掌握充电桩内部保护防护机制和原理。</w:t>
            </w:r>
            <w:r>
              <w:rPr>
                <w:rFonts w:hint="eastAsia" w:ascii="宋体" w:hAnsi="宋体" w:cs="新宋体"/>
                <w:kern w:val="0"/>
                <w:szCs w:val="21"/>
              </w:rPr>
              <w:br w:type="textWrapping"/>
            </w:r>
            <w:r>
              <w:rPr>
                <w:rFonts w:hint="eastAsia" w:ascii="宋体" w:hAnsi="宋体" w:cs="新宋体"/>
                <w:kern w:val="0"/>
                <w:szCs w:val="21"/>
              </w:rPr>
              <w:t>14. 明确交流充电桩装配调试操作安全注意事项。</w:t>
            </w:r>
            <w:r>
              <w:rPr>
                <w:rFonts w:hint="eastAsia" w:ascii="宋体" w:hAnsi="宋体" w:cs="新宋体"/>
                <w:kern w:val="0"/>
                <w:szCs w:val="21"/>
              </w:rPr>
              <w:br w:type="textWrapping"/>
            </w:r>
            <w:r>
              <w:rPr>
                <w:rFonts w:hint="eastAsia" w:ascii="宋体" w:hAnsi="宋体" w:cs="新宋体"/>
                <w:kern w:val="0"/>
                <w:szCs w:val="21"/>
              </w:rPr>
              <w:t>15. 掌握充电桩装配调试与维修方法。</w:t>
            </w:r>
            <w:r>
              <w:rPr>
                <w:rFonts w:hint="eastAsia" w:ascii="宋体" w:hAnsi="宋体" w:cs="新宋体"/>
                <w:kern w:val="0"/>
                <w:szCs w:val="21"/>
              </w:rPr>
              <w:br w:type="textWrapping"/>
            </w:r>
            <w:r>
              <w:rPr>
                <w:rFonts w:hint="eastAsia" w:ascii="宋体" w:hAnsi="宋体" w:cs="新宋体"/>
                <w:kern w:val="0"/>
                <w:szCs w:val="21"/>
              </w:rPr>
              <w:t>16. 掌握交流充电桩充电操作和测试过程</w:t>
            </w:r>
            <w:r>
              <w:rPr>
                <w:rFonts w:hint="eastAsia" w:ascii="宋体" w:hAnsi="宋体" w:cs="新宋体"/>
                <w:kern w:val="0"/>
                <w:szCs w:val="21"/>
              </w:rPr>
              <w:br w:type="textWrapping"/>
            </w:r>
            <w:r>
              <w:rPr>
                <w:rFonts w:hint="eastAsia" w:ascii="宋体" w:hAnsi="宋体" w:cs="新宋体"/>
                <w:kern w:val="0"/>
                <w:szCs w:val="21"/>
              </w:rPr>
              <w:t>三、基本配置：</w:t>
            </w:r>
            <w:r>
              <w:rPr>
                <w:rFonts w:hint="eastAsia" w:ascii="宋体" w:hAnsi="宋体" w:cs="新宋体"/>
                <w:kern w:val="0"/>
                <w:szCs w:val="21"/>
              </w:rPr>
              <w:br w:type="textWrapping"/>
            </w:r>
            <w:r>
              <w:rPr>
                <w:rFonts w:hint="eastAsia" w:ascii="宋体" w:hAnsi="宋体" w:cs="新宋体"/>
                <w:kern w:val="0"/>
                <w:szCs w:val="21"/>
              </w:rPr>
              <w:t>充电桩桩体，漏电保护开关，交流接触器、电源板、控制板组件、LED灯板、急停开关、LCD显示屏、计量电表、刷卡模块、以太网模块或4G模块（选配）以及充电枪等，配套充电桩负载装置。</w:t>
            </w:r>
            <w:r>
              <w:rPr>
                <w:rFonts w:hint="eastAsia" w:ascii="宋体" w:hAnsi="宋体" w:cs="新宋体"/>
                <w:kern w:val="0"/>
                <w:szCs w:val="21"/>
              </w:rPr>
              <w:br w:type="textWrapping"/>
            </w:r>
            <w:r>
              <w:rPr>
                <w:rFonts w:hint="eastAsia" w:ascii="宋体" w:hAnsi="宋体" w:cs="新宋体"/>
                <w:kern w:val="0"/>
                <w:szCs w:val="21"/>
              </w:rPr>
              <w:t>四、充电桩负载装置</w:t>
            </w:r>
            <w:r>
              <w:rPr>
                <w:rFonts w:hint="eastAsia" w:ascii="宋体" w:hAnsi="宋体" w:cs="新宋体"/>
                <w:kern w:val="0"/>
                <w:szCs w:val="21"/>
              </w:rPr>
              <w:br w:type="textWrapping"/>
            </w:r>
            <w:r>
              <w:rPr>
                <w:rFonts w:hint="eastAsia" w:ascii="宋体" w:hAnsi="宋体" w:cs="新宋体"/>
                <w:kern w:val="0"/>
                <w:szCs w:val="21"/>
              </w:rPr>
              <w:t>充电桩负载装置用于检测充电设备装配与调试智能实训台的装配性能是否达到技术要求，检验装配是否正确，能否到达不同等级的充电功率状态，适用于充电设备装配与调试智能实训台技术操作的各种检测要求。</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16</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一体化集成工量具</w:t>
            </w:r>
          </w:p>
        </w:tc>
        <w:tc>
          <w:tcPr>
            <w:tcW w:w="5525" w:type="dxa"/>
            <w:gridSpan w:val="2"/>
            <w:tcBorders>
              <w:tl2br w:val="nil"/>
              <w:tr2bl w:val="nil"/>
            </w:tcBorders>
            <w:shd w:val="clear" w:color="auto" w:fill="auto"/>
            <w:tcMar>
              <w:left w:w="105" w:type="dxa"/>
              <w:right w:w="105" w:type="dxa"/>
            </w:tcMar>
            <w:vAlign w:val="center"/>
          </w:tcPr>
          <w:p>
            <w:pPr>
              <w:widowControl/>
              <w:jc w:val="left"/>
              <w:textAlignment w:val="center"/>
              <w:rPr>
                <w:rFonts w:ascii="宋体" w:hAnsi="宋体" w:cs="新宋体"/>
                <w:kern w:val="0"/>
                <w:szCs w:val="21"/>
              </w:rPr>
            </w:pPr>
            <w:r>
              <w:rPr>
                <w:rFonts w:hint="eastAsia" w:ascii="宋体" w:hAnsi="宋体" w:cs="新宋体"/>
                <w:kern w:val="0"/>
                <w:szCs w:val="21"/>
              </w:rPr>
              <w:t>7抽屉柜形多功能工具手推车、三层零件车、电机旋转测试专用工具</w:t>
            </w:r>
          </w:p>
          <w:p>
            <w:pPr>
              <w:widowControl/>
              <w:jc w:val="left"/>
              <w:textAlignment w:val="center"/>
              <w:rPr>
                <w:rFonts w:ascii="宋体" w:hAnsi="宋体" w:cs="新宋体"/>
                <w:kern w:val="0"/>
                <w:szCs w:val="21"/>
              </w:rPr>
            </w:pPr>
            <w:r>
              <w:rPr>
                <w:rFonts w:hint="eastAsia" w:ascii="宋体" w:hAnsi="宋体" w:cs="新宋体"/>
                <w:kern w:val="0"/>
                <w:szCs w:val="21"/>
              </w:rPr>
              <w:t>150件综合组套、手电筒、指针式扭矩扳手（0-300N˙M）、冰点测试仪、预置式扭矩扳手（5-25N˙M、60-342 N˙M）、水管拆装工具（含水管钳、卡箍钳）、水管堵头（2套：PEU、OBC进出水口的原件及管路端）、拉拔器、橡皮锤30mm/45mm各一只、绝缘开口扳手8-15mm、绝缘一字批、绝缘十字批、千斤顶、压线钳、油封安装工具、轴承安装工具、电工胶布、铲刀、直头卡簧钳、维修开关（遥控钥匙）放置盒、5L量杯2只；</w:t>
            </w:r>
          </w:p>
          <w:p>
            <w:pPr>
              <w:widowControl/>
              <w:textAlignment w:val="center"/>
              <w:rPr>
                <w:rFonts w:ascii="宋体" w:hAnsi="宋体" w:cs="新宋体"/>
                <w:kern w:val="0"/>
                <w:szCs w:val="21"/>
              </w:rPr>
            </w:pPr>
            <w:r>
              <w:rPr>
                <w:rFonts w:hint="eastAsia" w:ascii="宋体" w:hAnsi="宋体" w:cs="新宋体"/>
                <w:kern w:val="0"/>
                <w:szCs w:val="21"/>
              </w:rPr>
              <w:t>常规量具包括;游标卡尺（带深度0-300mm）、钢直尺（0-300mm）、高度尺(0-300mm)、深度尺(0-300mm)、基准尺(白钢条)、气密性检测仪（卡箍、软管2根）和胎压表2用。</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17</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手持式示波器</w:t>
            </w:r>
          </w:p>
        </w:tc>
        <w:tc>
          <w:tcPr>
            <w:tcW w:w="5525" w:type="dxa"/>
            <w:gridSpan w:val="2"/>
            <w:tcBorders>
              <w:tl2br w:val="nil"/>
              <w:tr2bl w:val="nil"/>
            </w:tcBorders>
            <w:shd w:val="clear" w:color="auto" w:fill="auto"/>
            <w:tcMar>
              <w:left w:w="105" w:type="dxa"/>
              <w:right w:w="105" w:type="dxa"/>
            </w:tcMar>
            <w:vAlign w:val="center"/>
          </w:tcPr>
          <w:p>
            <w:pPr>
              <w:widowControl/>
              <w:textAlignment w:val="center"/>
              <w:rPr>
                <w:rFonts w:ascii="宋体" w:hAnsi="宋体" w:cs="新宋体"/>
                <w:kern w:val="0"/>
                <w:szCs w:val="21"/>
              </w:rPr>
            </w:pPr>
            <w:r>
              <w:rPr>
                <w:rFonts w:hint="eastAsia" w:ascii="宋体" w:hAnsi="宋体" w:cs="新宋体"/>
                <w:kern w:val="0"/>
                <w:szCs w:val="21"/>
              </w:rPr>
              <w:t>①双输入数字示波器和万用表。</w:t>
            </w:r>
            <w:r>
              <w:rPr>
                <w:rFonts w:hint="eastAsia" w:ascii="宋体" w:hAnsi="宋体" w:cs="新宋体"/>
                <w:kern w:val="0"/>
                <w:szCs w:val="21"/>
              </w:rPr>
              <w:br w:type="textWrapping"/>
            </w:r>
            <w:r>
              <w:rPr>
                <w:rFonts w:hint="eastAsia" w:ascii="宋体" w:hAnsi="宋体" w:cs="新宋体"/>
                <w:kern w:val="0"/>
                <w:szCs w:val="21"/>
              </w:rPr>
              <w:t>②实时采样率500MS/s，带宽100MHz，存储深度每通7.5kpts，垂直灵敏度5mV/div-50V/div。</w:t>
            </w:r>
            <w:r>
              <w:rPr>
                <w:rFonts w:hint="eastAsia" w:ascii="宋体" w:hAnsi="宋体" w:cs="新宋体"/>
                <w:kern w:val="0"/>
                <w:szCs w:val="21"/>
              </w:rPr>
              <w:br w:type="textWrapping"/>
            </w:r>
            <w:r>
              <w:rPr>
                <w:rFonts w:hint="eastAsia" w:ascii="宋体" w:hAnsi="宋体" w:cs="新宋体"/>
                <w:kern w:val="0"/>
                <w:szCs w:val="21"/>
              </w:rPr>
              <w:t>③触发类型包括脉宽、视频、边沿、交替等。</w:t>
            </w:r>
            <w:r>
              <w:rPr>
                <w:rFonts w:hint="eastAsia" w:ascii="宋体" w:hAnsi="宋体" w:cs="新宋体"/>
                <w:kern w:val="0"/>
                <w:szCs w:val="21"/>
              </w:rPr>
              <w:br w:type="textWrapping"/>
            </w:r>
            <w:r>
              <w:rPr>
                <w:rFonts w:hint="eastAsia" w:ascii="宋体" w:hAnsi="宋体" w:cs="新宋体"/>
                <w:kern w:val="0"/>
                <w:szCs w:val="21"/>
              </w:rPr>
              <w:t>④具有精细的视窗扩展功能、屏幕拷贝功能、U盘升级功能。</w:t>
            </w:r>
            <w:r>
              <w:rPr>
                <w:rFonts w:hint="eastAsia" w:ascii="宋体" w:hAnsi="宋体" w:cs="新宋体"/>
                <w:kern w:val="0"/>
                <w:szCs w:val="21"/>
              </w:rPr>
              <w:br w:type="textWrapping"/>
            </w:r>
            <w:r>
              <w:rPr>
                <w:rFonts w:hint="eastAsia" w:ascii="宋体" w:hAnsi="宋体" w:cs="新宋体"/>
                <w:kern w:val="0"/>
                <w:szCs w:val="21"/>
              </w:rPr>
              <w:t>⑤7000mAh锂电池供电，持续工作时间不低于7个小时。</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台</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18</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万用表</w:t>
            </w:r>
          </w:p>
        </w:tc>
        <w:tc>
          <w:tcPr>
            <w:tcW w:w="5525" w:type="dxa"/>
            <w:gridSpan w:val="2"/>
            <w:tcBorders>
              <w:tl2br w:val="nil"/>
              <w:tr2bl w:val="nil"/>
            </w:tcBorders>
            <w:shd w:val="clear" w:color="auto" w:fill="auto"/>
            <w:tcMar>
              <w:left w:w="105" w:type="dxa"/>
              <w:right w:w="105" w:type="dxa"/>
            </w:tcMar>
            <w:vAlign w:val="center"/>
          </w:tcPr>
          <w:p>
            <w:pPr>
              <w:widowControl/>
              <w:textAlignment w:val="center"/>
              <w:rPr>
                <w:rFonts w:ascii="宋体" w:hAnsi="宋体" w:cs="新宋体"/>
                <w:kern w:val="0"/>
                <w:szCs w:val="21"/>
              </w:rPr>
            </w:pPr>
            <w:r>
              <w:rPr>
                <w:rFonts w:hint="eastAsia" w:ascii="宋体" w:hAnsi="宋体" w:cs="新宋体"/>
                <w:kern w:val="0"/>
                <w:szCs w:val="21"/>
              </w:rPr>
              <w:t>可测试直流电压（DC1000V）、交流电压（AC750V）、电阻、电容、频率、直流电流、交流电流、二极管测试、通断报警、低压显示、单位符号显示、数据保持、自动关机、过载保护、输入阻抗、采样频率、交流频响、操作方式、显示计数、钳口张开、电源等功能。</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19</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绝缘测试仪</w:t>
            </w:r>
          </w:p>
        </w:tc>
        <w:tc>
          <w:tcPr>
            <w:tcW w:w="5525" w:type="dxa"/>
            <w:gridSpan w:val="2"/>
            <w:tcBorders>
              <w:tl2br w:val="nil"/>
              <w:tr2bl w:val="nil"/>
            </w:tcBorders>
            <w:shd w:val="clear" w:color="auto" w:fill="auto"/>
            <w:tcMar>
              <w:left w:w="105" w:type="dxa"/>
              <w:right w:w="105" w:type="dxa"/>
            </w:tcMar>
            <w:vAlign w:val="center"/>
          </w:tcPr>
          <w:p>
            <w:pPr>
              <w:widowControl/>
              <w:textAlignment w:val="center"/>
              <w:rPr>
                <w:rFonts w:ascii="宋体" w:hAnsi="宋体" w:cs="新宋体"/>
                <w:kern w:val="0"/>
                <w:szCs w:val="21"/>
              </w:rPr>
            </w:pPr>
            <w:r>
              <w:rPr>
                <w:rFonts w:hint="eastAsia" w:ascii="宋体" w:hAnsi="宋体" w:cs="新宋体"/>
                <w:kern w:val="0"/>
                <w:szCs w:val="21"/>
              </w:rPr>
              <w:t>①0.1MΩ至10GΩ的绝缘测试，绝缘测试电压100V、250V、500V和1000V，短路电流约2mA，绝缘等级CATⅢ600V。</w:t>
            </w:r>
            <w:r>
              <w:rPr>
                <w:rFonts w:hint="eastAsia" w:ascii="宋体" w:hAnsi="宋体" w:cs="新宋体"/>
                <w:kern w:val="0"/>
                <w:szCs w:val="21"/>
              </w:rPr>
              <w:br w:type="textWrapping"/>
            </w:r>
            <w:r>
              <w:rPr>
                <w:rFonts w:hint="eastAsia" w:ascii="宋体" w:hAnsi="宋体" w:cs="新宋体"/>
                <w:kern w:val="0"/>
                <w:szCs w:val="21"/>
              </w:rPr>
              <w:t>②具有PI极化指数测量，设置任意两点时间，自动测量电阻比率。</w:t>
            </w:r>
            <w:r>
              <w:rPr>
                <w:rFonts w:hint="eastAsia" w:ascii="宋体" w:hAnsi="宋体" w:cs="新宋体"/>
                <w:kern w:val="0"/>
                <w:szCs w:val="21"/>
              </w:rPr>
              <w:br w:type="textWrapping"/>
            </w:r>
            <w:r>
              <w:rPr>
                <w:rFonts w:hint="eastAsia" w:ascii="宋体" w:hAnsi="宋体" w:cs="新宋体"/>
                <w:kern w:val="0"/>
                <w:szCs w:val="21"/>
              </w:rPr>
              <w:t>③COMP比较功能，可以设置绝缘电阻上下值，并有超差提示。</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台</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20</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接地电阻测试仪</w:t>
            </w:r>
          </w:p>
        </w:tc>
        <w:tc>
          <w:tcPr>
            <w:tcW w:w="5525" w:type="dxa"/>
            <w:gridSpan w:val="2"/>
            <w:tcBorders>
              <w:tl2br w:val="nil"/>
              <w:tr2bl w:val="nil"/>
            </w:tcBorders>
            <w:shd w:val="clear" w:color="auto" w:fill="auto"/>
            <w:tcMar>
              <w:left w:w="105" w:type="dxa"/>
              <w:right w:w="105" w:type="dxa"/>
            </w:tcMar>
            <w:vAlign w:val="center"/>
          </w:tcPr>
          <w:p>
            <w:pPr>
              <w:widowControl/>
              <w:textAlignment w:val="center"/>
              <w:rPr>
                <w:rFonts w:ascii="宋体" w:hAnsi="宋体" w:cs="新宋体"/>
                <w:kern w:val="0"/>
                <w:szCs w:val="21"/>
              </w:rPr>
            </w:pPr>
            <w:r>
              <w:rPr>
                <w:rFonts w:hint="eastAsia" w:ascii="宋体" w:hAnsi="宋体" w:cs="新宋体"/>
                <w:kern w:val="0"/>
                <w:szCs w:val="21"/>
              </w:rPr>
              <w:t>①具有背光和电池低电压显示、数据保持和储存、自动关机省电功能。</w:t>
            </w:r>
            <w:r>
              <w:rPr>
                <w:rFonts w:hint="eastAsia" w:ascii="宋体" w:hAnsi="宋体" w:cs="新宋体"/>
                <w:kern w:val="0"/>
                <w:szCs w:val="21"/>
              </w:rPr>
              <w:br w:type="textWrapping"/>
            </w:r>
            <w:r>
              <w:rPr>
                <w:rFonts w:hint="eastAsia" w:ascii="宋体" w:hAnsi="宋体" w:cs="新宋体"/>
                <w:kern w:val="0"/>
                <w:szCs w:val="21"/>
              </w:rPr>
              <w:t>②可作机密的三线式测量，也可做简易的二线式测量等</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台</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21</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万用接线盒</w:t>
            </w:r>
          </w:p>
        </w:tc>
        <w:tc>
          <w:tcPr>
            <w:tcW w:w="5525" w:type="dxa"/>
            <w:gridSpan w:val="2"/>
            <w:tcBorders>
              <w:tl2br w:val="nil"/>
              <w:tr2bl w:val="nil"/>
            </w:tcBorders>
            <w:shd w:val="clear" w:color="auto" w:fill="auto"/>
            <w:tcMar>
              <w:left w:w="105" w:type="dxa"/>
              <w:right w:w="105" w:type="dxa"/>
            </w:tcMar>
            <w:vAlign w:val="center"/>
          </w:tcPr>
          <w:p>
            <w:pPr>
              <w:widowControl/>
              <w:textAlignment w:val="center"/>
              <w:rPr>
                <w:rFonts w:ascii="宋体" w:hAnsi="宋体" w:cs="新宋体"/>
                <w:kern w:val="0"/>
                <w:szCs w:val="21"/>
              </w:rPr>
            </w:pPr>
            <w:r>
              <w:rPr>
                <w:rFonts w:hint="eastAsia" w:ascii="宋体" w:hAnsi="宋体" w:cs="新宋体"/>
                <w:kern w:val="0"/>
                <w:szCs w:val="21"/>
              </w:rPr>
              <w:t>包含各种规格的“T”型线，能满足竞赛整车系统的所有保险丝、继电器、元器件插接测量之用，要有足够的通流能力和可重复插接使用能力。</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22</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故障诊断仪</w:t>
            </w:r>
          </w:p>
        </w:tc>
        <w:tc>
          <w:tcPr>
            <w:tcW w:w="5525" w:type="dxa"/>
            <w:gridSpan w:val="2"/>
            <w:tcBorders>
              <w:tl2br w:val="nil"/>
              <w:tr2bl w:val="nil"/>
            </w:tcBorders>
            <w:shd w:val="clear" w:color="auto" w:fill="auto"/>
            <w:tcMar>
              <w:left w:w="105" w:type="dxa"/>
              <w:right w:w="105" w:type="dxa"/>
            </w:tcMar>
            <w:vAlign w:val="center"/>
          </w:tcPr>
          <w:p>
            <w:pPr>
              <w:widowControl/>
              <w:textAlignment w:val="center"/>
              <w:rPr>
                <w:rFonts w:ascii="宋体" w:hAnsi="宋体" w:cs="新宋体"/>
                <w:kern w:val="0"/>
                <w:szCs w:val="21"/>
              </w:rPr>
            </w:pPr>
            <w:r>
              <w:rPr>
                <w:rFonts w:hint="eastAsia" w:ascii="宋体" w:hAnsi="宋体" w:cs="新宋体"/>
                <w:kern w:val="0"/>
                <w:szCs w:val="21"/>
              </w:rPr>
              <w:t>功能特点：</w:t>
            </w:r>
            <w:r>
              <w:rPr>
                <w:rFonts w:hint="eastAsia" w:ascii="宋体" w:hAnsi="宋体" w:cs="新宋体"/>
                <w:kern w:val="0"/>
                <w:szCs w:val="21"/>
              </w:rPr>
              <w:br w:type="textWrapping"/>
            </w:r>
            <w:r>
              <w:rPr>
                <w:rFonts w:hint="eastAsia" w:ascii="宋体" w:hAnsi="宋体" w:cs="新宋体"/>
                <w:kern w:val="0"/>
                <w:szCs w:val="21"/>
              </w:rPr>
              <w:t>１、具备纯电动汽车动力电池管理系统、电池热管理控制器系统、低压电池管理系统、DC-DC总成系统、主控制器系统、电机控制器系统读码、清码、读取数据流完整信息和进行执行元件驱动诊断、编程等基本功能。</w:t>
            </w:r>
            <w:r>
              <w:rPr>
                <w:rFonts w:hint="eastAsia" w:ascii="宋体" w:hAnsi="宋体" w:cs="新宋体"/>
                <w:kern w:val="0"/>
                <w:szCs w:val="21"/>
              </w:rPr>
              <w:br w:type="textWrapping"/>
            </w:r>
            <w:r>
              <w:rPr>
                <w:rFonts w:hint="eastAsia" w:ascii="宋体" w:hAnsi="宋体" w:cs="新宋体"/>
                <w:kern w:val="0"/>
                <w:szCs w:val="21"/>
              </w:rPr>
              <w:t>2、操作系统  Android TM 4.0,Ice Cream Sandwich操作系统</w:t>
            </w:r>
            <w:r>
              <w:rPr>
                <w:rFonts w:hint="eastAsia" w:ascii="宋体" w:hAnsi="宋体" w:cs="新宋体"/>
                <w:kern w:val="0"/>
                <w:szCs w:val="21"/>
              </w:rPr>
              <w:br w:type="textWrapping"/>
            </w:r>
            <w:r>
              <w:rPr>
                <w:rFonts w:hint="eastAsia" w:ascii="宋体" w:hAnsi="宋体" w:cs="新宋体"/>
                <w:kern w:val="0"/>
                <w:szCs w:val="21"/>
              </w:rPr>
              <w:t>3、处理器   四核处理器 1.4GHz</w:t>
            </w:r>
            <w:r>
              <w:rPr>
                <w:rFonts w:hint="eastAsia" w:ascii="宋体" w:hAnsi="宋体" w:cs="新宋体"/>
                <w:kern w:val="0"/>
                <w:szCs w:val="21"/>
              </w:rPr>
              <w:br w:type="textWrapping"/>
            </w:r>
            <w:r>
              <w:rPr>
                <w:rFonts w:hint="eastAsia" w:ascii="宋体" w:hAnsi="宋体" w:cs="新宋体"/>
                <w:kern w:val="0"/>
                <w:szCs w:val="21"/>
              </w:rPr>
              <w:t>4、存储器  2GB RAM &amp; 32GB 板上存储器</w:t>
            </w:r>
            <w:r>
              <w:rPr>
                <w:rFonts w:hint="eastAsia" w:ascii="宋体" w:hAnsi="宋体" w:cs="新宋体"/>
                <w:kern w:val="0"/>
                <w:szCs w:val="21"/>
              </w:rPr>
              <w:br w:type="textWrapping"/>
            </w:r>
            <w:r>
              <w:rPr>
                <w:rFonts w:hint="eastAsia" w:ascii="宋体" w:hAnsi="宋体" w:cs="新宋体"/>
                <w:kern w:val="0"/>
                <w:szCs w:val="21"/>
              </w:rPr>
              <w:t>5、显示器  9.7 英寸 LED 电容式觉摸屏，1024x768P 分辨率</w:t>
            </w:r>
            <w:r>
              <w:rPr>
                <w:rFonts w:hint="eastAsia" w:ascii="宋体" w:hAnsi="宋体" w:cs="新宋体"/>
                <w:kern w:val="0"/>
                <w:szCs w:val="21"/>
              </w:rPr>
              <w:br w:type="textWrapping"/>
            </w:r>
            <w:r>
              <w:rPr>
                <w:rFonts w:hint="eastAsia" w:ascii="宋体" w:hAnsi="宋体" w:cs="新宋体"/>
                <w:kern w:val="0"/>
                <w:szCs w:val="21"/>
              </w:rPr>
              <w:t>6、解码器VCI 设备可通过测试主线连接 OBD II/EOBD 兼容车辆并获得供电。通过测试主线建立 VCI 设备与车辆之间的通信后，VCI 设备可将接收到的车辆数据传送平板诊断设备</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23</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人员防护套装</w:t>
            </w:r>
          </w:p>
        </w:tc>
        <w:tc>
          <w:tcPr>
            <w:tcW w:w="5525" w:type="dxa"/>
            <w:gridSpan w:val="2"/>
            <w:tcBorders>
              <w:tl2br w:val="nil"/>
              <w:tr2bl w:val="nil"/>
            </w:tcBorders>
            <w:shd w:val="clear" w:color="auto" w:fill="auto"/>
            <w:tcMar>
              <w:left w:w="105" w:type="dxa"/>
              <w:right w:w="105" w:type="dxa"/>
            </w:tcMar>
            <w:vAlign w:val="center"/>
          </w:tcPr>
          <w:p>
            <w:pPr>
              <w:widowControl/>
              <w:jc w:val="left"/>
              <w:rPr>
                <w:rFonts w:ascii="宋体" w:hAnsi="宋体" w:cs="新宋体"/>
                <w:kern w:val="0"/>
                <w:szCs w:val="21"/>
              </w:rPr>
            </w:pPr>
            <w:r>
              <w:rPr>
                <w:rFonts w:hint="eastAsia" w:ascii="宋体" w:hAnsi="宋体" w:cs="新宋体"/>
                <w:kern w:val="0"/>
                <w:szCs w:val="21"/>
              </w:rPr>
              <w:t>包括绝缘手套、耐磨手套、护目镜、安全帽各1套</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2</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24</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工位安全防护套装</w:t>
            </w:r>
          </w:p>
        </w:tc>
        <w:tc>
          <w:tcPr>
            <w:tcW w:w="5525" w:type="dxa"/>
            <w:gridSpan w:val="2"/>
            <w:tcBorders>
              <w:tl2br w:val="nil"/>
              <w:tr2bl w:val="nil"/>
            </w:tcBorders>
            <w:shd w:val="clear" w:color="auto" w:fill="auto"/>
            <w:tcMar>
              <w:left w:w="105" w:type="dxa"/>
              <w:right w:w="105" w:type="dxa"/>
            </w:tcMar>
            <w:vAlign w:val="center"/>
          </w:tcPr>
          <w:p>
            <w:pPr>
              <w:widowControl/>
              <w:jc w:val="left"/>
              <w:rPr>
                <w:rFonts w:ascii="宋体" w:hAnsi="宋体" w:cs="新宋体"/>
                <w:kern w:val="0"/>
                <w:szCs w:val="21"/>
              </w:rPr>
            </w:pPr>
            <w:r>
              <w:rPr>
                <w:rFonts w:hint="eastAsia" w:ascii="宋体" w:hAnsi="宋体" w:cs="新宋体"/>
                <w:kern w:val="0"/>
                <w:szCs w:val="21"/>
              </w:rPr>
              <w:t>包括警示牌、隔离带套装、绝缘防护垫等各1套</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2</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25</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变速箱拆装实训台</w:t>
            </w:r>
          </w:p>
        </w:tc>
        <w:tc>
          <w:tcPr>
            <w:tcW w:w="5525" w:type="dxa"/>
            <w:gridSpan w:val="2"/>
            <w:tcBorders>
              <w:tl2br w:val="nil"/>
              <w:tr2bl w:val="nil"/>
            </w:tcBorders>
            <w:shd w:val="clear" w:color="auto" w:fill="auto"/>
            <w:tcMar>
              <w:left w:w="105" w:type="dxa"/>
              <w:right w:w="105" w:type="dxa"/>
            </w:tcMar>
            <w:vAlign w:val="center"/>
          </w:tcPr>
          <w:p>
            <w:pPr>
              <w:jc w:val="left"/>
              <w:rPr>
                <w:rFonts w:ascii="宋体" w:hAnsi="宋体" w:cs="新宋体"/>
                <w:szCs w:val="21"/>
              </w:rPr>
            </w:pPr>
            <w:r>
              <w:rPr>
                <w:rFonts w:hint="eastAsia" w:ascii="宋体" w:hAnsi="宋体" w:cs="新宋体"/>
                <w:szCs w:val="21"/>
              </w:rPr>
              <w:t>一、功能要求：</w:t>
            </w:r>
          </w:p>
          <w:p>
            <w:pPr>
              <w:jc w:val="left"/>
              <w:rPr>
                <w:rFonts w:ascii="宋体" w:hAnsi="宋体" w:cs="新宋体"/>
                <w:szCs w:val="21"/>
              </w:rPr>
            </w:pPr>
            <w:r>
              <w:rPr>
                <w:rFonts w:hint="eastAsia" w:ascii="宋体" w:hAnsi="宋体" w:cs="新宋体"/>
                <w:szCs w:val="21"/>
              </w:rPr>
              <w:t>拆装工作台采用不锈钢桌面设计，便于清洁。</w:t>
            </w:r>
          </w:p>
          <w:p>
            <w:pPr>
              <w:jc w:val="left"/>
              <w:rPr>
                <w:rFonts w:ascii="宋体" w:hAnsi="宋体" w:cs="新宋体"/>
                <w:szCs w:val="21"/>
              </w:rPr>
            </w:pPr>
            <w:r>
              <w:rPr>
                <w:rFonts w:hint="eastAsia" w:ascii="宋体" w:hAnsi="宋体" w:cs="新宋体"/>
                <w:szCs w:val="21"/>
              </w:rPr>
              <w:t>配套专用减速器翻转机构，翻转机构可以360°翻转任意角度锁止，保证教学实训安全；</w:t>
            </w:r>
          </w:p>
          <w:p>
            <w:pPr>
              <w:jc w:val="left"/>
              <w:rPr>
                <w:rFonts w:ascii="宋体" w:hAnsi="宋体" w:cs="新宋体"/>
                <w:szCs w:val="21"/>
              </w:rPr>
            </w:pPr>
            <w:r>
              <w:rPr>
                <w:rFonts w:hint="eastAsia" w:ascii="宋体" w:hAnsi="宋体" w:cs="新宋体"/>
                <w:szCs w:val="21"/>
              </w:rPr>
              <w:t>配套主减速齿轮检测平台，可水平放置被检测的齿轮。</w:t>
            </w:r>
          </w:p>
          <w:p>
            <w:pPr>
              <w:jc w:val="left"/>
              <w:rPr>
                <w:rFonts w:ascii="宋体" w:hAnsi="宋体" w:cs="新宋体"/>
                <w:b/>
                <w:bCs/>
                <w:szCs w:val="21"/>
              </w:rPr>
            </w:pPr>
            <w:r>
              <w:rPr>
                <w:rFonts w:hint="eastAsia" w:ascii="宋体" w:hAnsi="宋体" w:cs="新宋体"/>
                <w:szCs w:val="21"/>
              </w:rPr>
              <w:t>二、参数要求</w:t>
            </w:r>
            <w:r>
              <w:rPr>
                <w:rFonts w:hint="eastAsia" w:ascii="宋体" w:hAnsi="宋体" w:cs="新宋体"/>
                <w:b/>
                <w:bCs/>
                <w:szCs w:val="21"/>
              </w:rPr>
              <w:t>：</w:t>
            </w:r>
          </w:p>
          <w:p>
            <w:pPr>
              <w:jc w:val="left"/>
              <w:rPr>
                <w:rFonts w:ascii="宋体" w:hAnsi="宋体" w:cs="新宋体"/>
                <w:kern w:val="0"/>
                <w:szCs w:val="21"/>
              </w:rPr>
            </w:pPr>
            <w:r>
              <w:rPr>
                <w:rFonts w:hint="eastAsia" w:ascii="宋体" w:hAnsi="宋体" w:cs="新宋体"/>
                <w:szCs w:val="21"/>
              </w:rPr>
              <w:t>工作台尺寸约：</w:t>
            </w:r>
            <w:r>
              <w:rPr>
                <w:rFonts w:hint="eastAsia" w:ascii="宋体" w:hAnsi="宋体" w:cs="新宋体"/>
                <w:kern w:val="0"/>
                <w:szCs w:val="21"/>
              </w:rPr>
              <w:t>长*宽*高</w:t>
            </w:r>
            <w:r>
              <w:rPr>
                <w:rFonts w:hint="eastAsia" w:ascii="宋体" w:hAnsi="宋体" w:eastAsia="宋体" w:cs="宋体"/>
                <w:kern w:val="0"/>
                <w:szCs w:val="21"/>
              </w:rPr>
              <w:t>≧</w:t>
            </w:r>
            <w:r>
              <w:rPr>
                <w:rFonts w:hint="eastAsia" w:ascii="宋体" w:hAnsi="宋体" w:cs="新宋体"/>
                <w:kern w:val="0"/>
                <w:szCs w:val="21"/>
              </w:rPr>
              <w:t>2040mm×1040mm×900mm</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台</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26</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绝缘工作台</w:t>
            </w:r>
          </w:p>
        </w:tc>
        <w:tc>
          <w:tcPr>
            <w:tcW w:w="5525" w:type="dxa"/>
            <w:gridSpan w:val="2"/>
            <w:tcBorders>
              <w:tl2br w:val="nil"/>
              <w:tr2bl w:val="nil"/>
            </w:tcBorders>
            <w:shd w:val="clear" w:color="auto" w:fill="auto"/>
            <w:tcMar>
              <w:left w:w="105" w:type="dxa"/>
              <w:right w:w="105" w:type="dxa"/>
            </w:tcMar>
            <w:vAlign w:val="center"/>
          </w:tcPr>
          <w:p>
            <w:pPr>
              <w:widowControl/>
              <w:jc w:val="left"/>
              <w:textAlignment w:val="top"/>
              <w:rPr>
                <w:rFonts w:ascii="宋体" w:hAnsi="宋体" w:cs="新宋体"/>
                <w:kern w:val="0"/>
                <w:szCs w:val="21"/>
              </w:rPr>
            </w:pPr>
            <w:r>
              <w:rPr>
                <w:rFonts w:hint="eastAsia" w:ascii="宋体" w:hAnsi="宋体" w:cs="新宋体"/>
                <w:kern w:val="0"/>
                <w:szCs w:val="21"/>
              </w:rPr>
              <w:t>动力总成拆装专用工作台：</w:t>
            </w:r>
          </w:p>
          <w:p>
            <w:pPr>
              <w:widowControl/>
              <w:jc w:val="left"/>
              <w:textAlignment w:val="top"/>
              <w:rPr>
                <w:rFonts w:ascii="宋体" w:hAnsi="宋体" w:cs="新宋体"/>
                <w:kern w:val="0"/>
                <w:szCs w:val="21"/>
              </w:rPr>
            </w:pPr>
            <w:r>
              <w:rPr>
                <w:rFonts w:hint="eastAsia" w:ascii="宋体" w:hAnsi="宋体" w:cs="新宋体"/>
                <w:kern w:val="0"/>
                <w:szCs w:val="21"/>
              </w:rPr>
              <w:t>（1）平台设计有可调节变速箱的360度任意反转机构。</w:t>
            </w:r>
          </w:p>
          <w:p>
            <w:pPr>
              <w:widowControl/>
              <w:jc w:val="left"/>
              <w:textAlignment w:val="top"/>
              <w:rPr>
                <w:rFonts w:ascii="宋体" w:hAnsi="宋体" w:cs="新宋体"/>
                <w:kern w:val="0"/>
                <w:szCs w:val="21"/>
              </w:rPr>
            </w:pPr>
            <w:r>
              <w:rPr>
                <w:rFonts w:hint="eastAsia" w:ascii="宋体" w:hAnsi="宋体" w:cs="新宋体"/>
                <w:kern w:val="0"/>
                <w:szCs w:val="21"/>
              </w:rPr>
              <w:t>（2）平台台面四周设计油槽，齿轮拆卸、清洗、安装时油污直接可以回流到集油装置，保持环境整洁。</w:t>
            </w:r>
          </w:p>
          <w:p>
            <w:pPr>
              <w:widowControl/>
              <w:jc w:val="left"/>
              <w:textAlignment w:val="top"/>
              <w:rPr>
                <w:rFonts w:ascii="宋体" w:hAnsi="宋体" w:cs="新宋体"/>
                <w:kern w:val="0"/>
                <w:szCs w:val="21"/>
              </w:rPr>
            </w:pPr>
            <w:r>
              <w:rPr>
                <w:rFonts w:hint="eastAsia" w:ascii="宋体" w:hAnsi="宋体" w:cs="新宋体"/>
                <w:kern w:val="0"/>
                <w:szCs w:val="21"/>
              </w:rPr>
              <w:t>（3）平台采用钢质材料，可承受不低于1吨的有效载荷。</w:t>
            </w:r>
          </w:p>
          <w:p>
            <w:pPr>
              <w:widowControl/>
              <w:jc w:val="left"/>
              <w:textAlignment w:val="top"/>
              <w:rPr>
                <w:rFonts w:ascii="宋体" w:hAnsi="宋体" w:cs="新宋体"/>
                <w:kern w:val="0"/>
                <w:szCs w:val="21"/>
              </w:rPr>
            </w:pPr>
            <w:r>
              <w:rPr>
                <w:rFonts w:hint="eastAsia" w:ascii="宋体" w:hAnsi="宋体" w:cs="新宋体"/>
                <w:kern w:val="0"/>
                <w:szCs w:val="21"/>
              </w:rPr>
              <w:t>（4）平台有效解决学员动力总成拆装与调试的高频率技能训练。</w:t>
            </w:r>
          </w:p>
          <w:p>
            <w:pPr>
              <w:widowControl/>
              <w:jc w:val="left"/>
              <w:textAlignment w:val="top"/>
              <w:rPr>
                <w:rFonts w:ascii="宋体" w:hAnsi="宋体" w:cs="新宋体"/>
                <w:kern w:val="0"/>
                <w:szCs w:val="21"/>
              </w:rPr>
            </w:pPr>
            <w:r>
              <w:rPr>
                <w:rFonts w:hint="eastAsia" w:ascii="宋体" w:hAnsi="宋体" w:cs="新宋体"/>
                <w:kern w:val="0"/>
                <w:szCs w:val="21"/>
              </w:rPr>
              <w:t>（5）平台尺寸（长*宽*高）：≥1900*900*680（mm）</w:t>
            </w:r>
          </w:p>
          <w:p>
            <w:pPr>
              <w:widowControl/>
              <w:jc w:val="left"/>
              <w:textAlignment w:val="top"/>
              <w:rPr>
                <w:rFonts w:ascii="宋体" w:hAnsi="宋体" w:cs="新宋体"/>
                <w:kern w:val="0"/>
                <w:szCs w:val="21"/>
              </w:rPr>
            </w:pPr>
            <w:r>
              <w:rPr>
                <w:rFonts w:hint="eastAsia" w:ascii="宋体" w:hAnsi="宋体" w:cs="新宋体"/>
                <w:kern w:val="0"/>
                <w:szCs w:val="21"/>
              </w:rPr>
              <w:t>（6）配套变速箱上盖摆放支架</w:t>
            </w:r>
          </w:p>
          <w:p>
            <w:pPr>
              <w:widowControl/>
              <w:jc w:val="left"/>
              <w:textAlignment w:val="top"/>
              <w:rPr>
                <w:rFonts w:ascii="宋体" w:hAnsi="宋体" w:cs="新宋体"/>
                <w:kern w:val="0"/>
                <w:szCs w:val="21"/>
              </w:rPr>
            </w:pPr>
            <w:r>
              <w:rPr>
                <w:rFonts w:hint="eastAsia" w:ascii="宋体" w:hAnsi="宋体" w:cs="新宋体"/>
                <w:kern w:val="0"/>
                <w:szCs w:val="21"/>
              </w:rPr>
              <w:t xml:space="preserve">（7）配套轴承摆放支架 </w:t>
            </w:r>
          </w:p>
          <w:p>
            <w:pPr>
              <w:widowControl/>
              <w:jc w:val="left"/>
              <w:textAlignment w:val="top"/>
              <w:rPr>
                <w:rFonts w:ascii="宋体" w:hAnsi="宋体" w:cs="新宋体"/>
                <w:kern w:val="0"/>
                <w:szCs w:val="21"/>
              </w:rPr>
            </w:pPr>
            <w:r>
              <w:rPr>
                <w:rFonts w:hint="eastAsia" w:ascii="宋体" w:hAnsi="宋体" w:cs="新宋体"/>
                <w:kern w:val="0"/>
                <w:szCs w:val="21"/>
              </w:rPr>
              <w:t>充电装调模块绝缘工作台：</w:t>
            </w:r>
          </w:p>
          <w:p>
            <w:pPr>
              <w:widowControl/>
              <w:jc w:val="left"/>
              <w:textAlignment w:val="top"/>
              <w:rPr>
                <w:rFonts w:ascii="宋体" w:hAnsi="宋体" w:cs="新宋体"/>
                <w:kern w:val="0"/>
                <w:szCs w:val="21"/>
              </w:rPr>
            </w:pPr>
            <w:r>
              <w:rPr>
                <w:rFonts w:hint="eastAsia" w:ascii="宋体" w:hAnsi="宋体" w:cs="新宋体"/>
                <w:kern w:val="0"/>
                <w:szCs w:val="21"/>
              </w:rPr>
              <w:t>1、工作台台面选用实木材质，配2层抽屉。</w:t>
            </w:r>
          </w:p>
          <w:p>
            <w:pPr>
              <w:widowControl/>
              <w:jc w:val="left"/>
              <w:textAlignment w:val="top"/>
              <w:rPr>
                <w:rFonts w:ascii="宋体" w:hAnsi="宋体" w:cs="新宋体"/>
                <w:kern w:val="0"/>
                <w:szCs w:val="21"/>
              </w:rPr>
            </w:pPr>
            <w:r>
              <w:rPr>
                <w:rFonts w:hint="eastAsia" w:ascii="宋体" w:hAnsi="宋体" w:cs="新宋体"/>
                <w:kern w:val="0"/>
                <w:szCs w:val="21"/>
              </w:rPr>
              <w:t>2、配有螺丝分类存放盒</w:t>
            </w:r>
          </w:p>
          <w:p>
            <w:pPr>
              <w:widowControl/>
              <w:jc w:val="left"/>
              <w:textAlignment w:val="top"/>
              <w:rPr>
                <w:rFonts w:ascii="宋体" w:hAnsi="宋体" w:cs="新宋体"/>
                <w:kern w:val="0"/>
                <w:szCs w:val="21"/>
              </w:rPr>
            </w:pPr>
            <w:r>
              <w:rPr>
                <w:rFonts w:hint="eastAsia" w:ascii="宋体" w:hAnsi="宋体" w:cs="新宋体"/>
                <w:kern w:val="0"/>
                <w:szCs w:val="21"/>
              </w:rPr>
              <w:t>3、桌面采用防静电材料，尺寸（长*宽*高）：≥1500*750*850mm</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台</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27</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油液回收/加注机</w:t>
            </w:r>
          </w:p>
        </w:tc>
        <w:tc>
          <w:tcPr>
            <w:tcW w:w="5525" w:type="dxa"/>
            <w:gridSpan w:val="2"/>
            <w:tcBorders>
              <w:tl2br w:val="nil"/>
              <w:tr2bl w:val="nil"/>
            </w:tcBorders>
            <w:shd w:val="clear" w:color="auto" w:fill="auto"/>
            <w:tcMar>
              <w:left w:w="105" w:type="dxa"/>
              <w:right w:w="105" w:type="dxa"/>
            </w:tcMar>
            <w:vAlign w:val="center"/>
          </w:tcPr>
          <w:p>
            <w:pPr>
              <w:widowControl/>
              <w:jc w:val="left"/>
              <w:textAlignment w:val="center"/>
              <w:rPr>
                <w:rFonts w:ascii="宋体" w:hAnsi="宋体" w:cs="新宋体"/>
                <w:kern w:val="0"/>
                <w:szCs w:val="21"/>
              </w:rPr>
            </w:pPr>
            <w:r>
              <w:rPr>
                <w:rFonts w:hint="eastAsia" w:ascii="宋体" w:hAnsi="宋体" w:cs="新宋体"/>
                <w:kern w:val="0"/>
                <w:szCs w:val="21"/>
              </w:rPr>
              <w:t>油液加注机：</w:t>
            </w:r>
          </w:p>
          <w:p>
            <w:pPr>
              <w:widowControl/>
              <w:jc w:val="left"/>
              <w:textAlignment w:val="center"/>
              <w:rPr>
                <w:rFonts w:ascii="宋体" w:hAnsi="宋体" w:cs="新宋体"/>
                <w:kern w:val="0"/>
                <w:szCs w:val="21"/>
              </w:rPr>
            </w:pPr>
            <w:r>
              <w:rPr>
                <w:rFonts w:hint="eastAsia" w:ascii="宋体" w:hAnsi="宋体" w:cs="新宋体"/>
                <w:kern w:val="0"/>
                <w:szCs w:val="21"/>
              </w:rPr>
              <w:t>（1）设备采用电子称重传感器计量,微电脑控制精确等量，内部采用模块设计,故障率极低,在短时间内自动完成油液更换与加注等。</w:t>
            </w:r>
          </w:p>
          <w:p>
            <w:pPr>
              <w:widowControl/>
              <w:jc w:val="left"/>
              <w:textAlignment w:val="center"/>
              <w:rPr>
                <w:rFonts w:ascii="宋体" w:hAnsi="宋体" w:cs="新宋体"/>
                <w:kern w:val="0"/>
                <w:szCs w:val="21"/>
              </w:rPr>
            </w:pPr>
            <w:r>
              <w:rPr>
                <w:rFonts w:hint="eastAsia" w:ascii="宋体" w:hAnsi="宋体" w:cs="新宋体"/>
                <w:kern w:val="0"/>
                <w:szCs w:val="21"/>
              </w:rPr>
              <w:t>（2）全自动识别进出油方向，智能转换自动变速箱进出油方向。</w:t>
            </w:r>
          </w:p>
          <w:p>
            <w:pPr>
              <w:widowControl/>
              <w:jc w:val="left"/>
              <w:textAlignment w:val="center"/>
              <w:rPr>
                <w:rFonts w:ascii="宋体" w:hAnsi="宋体" w:cs="新宋体"/>
                <w:kern w:val="0"/>
                <w:szCs w:val="21"/>
              </w:rPr>
            </w:pPr>
            <w:r>
              <w:rPr>
                <w:rFonts w:hint="eastAsia" w:ascii="宋体" w:hAnsi="宋体" w:cs="新宋体"/>
                <w:kern w:val="0"/>
                <w:szCs w:val="21"/>
              </w:rPr>
              <w:t>（3）全自动完成新旧油液更换功能。</w:t>
            </w:r>
          </w:p>
          <w:p>
            <w:pPr>
              <w:widowControl/>
              <w:jc w:val="left"/>
              <w:textAlignment w:val="center"/>
              <w:rPr>
                <w:rFonts w:ascii="宋体" w:hAnsi="宋体" w:cs="新宋体"/>
                <w:kern w:val="0"/>
                <w:szCs w:val="21"/>
              </w:rPr>
            </w:pPr>
            <w:r>
              <w:rPr>
                <w:rFonts w:hint="eastAsia" w:ascii="宋体" w:hAnsi="宋体" w:cs="新宋体"/>
                <w:kern w:val="0"/>
                <w:szCs w:val="21"/>
              </w:rPr>
              <w:t>（4）全自动型智能电子控制新、旧油高精度等量交换。</w:t>
            </w:r>
          </w:p>
          <w:p>
            <w:pPr>
              <w:widowControl/>
              <w:jc w:val="left"/>
              <w:textAlignment w:val="center"/>
              <w:rPr>
                <w:rFonts w:ascii="宋体" w:hAnsi="宋体" w:cs="新宋体"/>
                <w:kern w:val="0"/>
                <w:szCs w:val="21"/>
              </w:rPr>
            </w:pPr>
            <w:r>
              <w:rPr>
                <w:rFonts w:hint="eastAsia" w:ascii="宋体" w:hAnsi="宋体" w:cs="新宋体"/>
                <w:kern w:val="0"/>
                <w:szCs w:val="21"/>
              </w:rPr>
              <w:t>（5）油压直接显示，大屏液晶显示屏导航操作,简单实用。</w:t>
            </w:r>
          </w:p>
          <w:p>
            <w:pPr>
              <w:widowControl/>
              <w:jc w:val="left"/>
              <w:textAlignment w:val="center"/>
              <w:rPr>
                <w:rFonts w:ascii="宋体" w:hAnsi="宋体" w:cs="新宋体"/>
                <w:kern w:val="0"/>
                <w:szCs w:val="21"/>
              </w:rPr>
            </w:pPr>
            <w:r>
              <w:rPr>
                <w:rFonts w:hint="eastAsia" w:ascii="宋体" w:hAnsi="宋体" w:cs="新宋体"/>
                <w:kern w:val="0"/>
                <w:szCs w:val="21"/>
              </w:rPr>
              <w:t>（6）多种专用接头,适用各类纯电动汽车车型，有效解决手工更换变速箱油不彻底的问题。</w:t>
            </w:r>
          </w:p>
          <w:p>
            <w:pPr>
              <w:widowControl/>
              <w:jc w:val="left"/>
              <w:textAlignment w:val="center"/>
              <w:rPr>
                <w:rFonts w:ascii="宋体" w:hAnsi="宋体" w:cs="新宋体"/>
                <w:kern w:val="0"/>
                <w:szCs w:val="21"/>
              </w:rPr>
            </w:pPr>
            <w:r>
              <w:rPr>
                <w:rFonts w:hint="eastAsia" w:ascii="宋体" w:hAnsi="宋体" w:cs="新宋体"/>
                <w:kern w:val="0"/>
                <w:szCs w:val="21"/>
              </w:rPr>
              <w:t>二、技术参数</w:t>
            </w:r>
          </w:p>
          <w:p>
            <w:pPr>
              <w:widowControl/>
              <w:jc w:val="left"/>
              <w:textAlignment w:val="center"/>
              <w:rPr>
                <w:rFonts w:ascii="宋体" w:hAnsi="宋体" w:cs="新宋体"/>
                <w:kern w:val="0"/>
                <w:szCs w:val="21"/>
              </w:rPr>
            </w:pPr>
            <w:r>
              <w:rPr>
                <w:rFonts w:hint="eastAsia" w:ascii="宋体" w:hAnsi="宋体" w:cs="新宋体"/>
                <w:kern w:val="0"/>
                <w:szCs w:val="21"/>
              </w:rPr>
              <w:t>工作温度：-10℃~+40℃</w:t>
            </w:r>
          </w:p>
          <w:p>
            <w:pPr>
              <w:widowControl/>
              <w:jc w:val="left"/>
              <w:textAlignment w:val="center"/>
              <w:rPr>
                <w:rFonts w:ascii="宋体" w:hAnsi="宋体" w:cs="新宋体"/>
                <w:kern w:val="0"/>
                <w:szCs w:val="21"/>
              </w:rPr>
            </w:pPr>
            <w:r>
              <w:rPr>
                <w:rFonts w:hint="eastAsia" w:ascii="宋体" w:hAnsi="宋体" w:cs="新宋体"/>
                <w:kern w:val="0"/>
                <w:szCs w:val="21"/>
              </w:rPr>
              <w:t>相对湿度：＜85%</w:t>
            </w:r>
          </w:p>
          <w:p>
            <w:pPr>
              <w:widowControl/>
              <w:jc w:val="left"/>
              <w:textAlignment w:val="center"/>
              <w:rPr>
                <w:rFonts w:ascii="宋体" w:hAnsi="宋体" w:cs="新宋体"/>
                <w:kern w:val="0"/>
                <w:szCs w:val="21"/>
              </w:rPr>
            </w:pPr>
            <w:r>
              <w:rPr>
                <w:rFonts w:hint="eastAsia" w:ascii="宋体" w:hAnsi="宋体" w:cs="新宋体"/>
                <w:kern w:val="0"/>
                <w:szCs w:val="21"/>
              </w:rPr>
              <w:t>压力表：0~150psi</w:t>
            </w:r>
          </w:p>
          <w:p>
            <w:pPr>
              <w:widowControl/>
              <w:jc w:val="left"/>
              <w:textAlignment w:val="center"/>
              <w:rPr>
                <w:rFonts w:ascii="宋体" w:hAnsi="宋体" w:cs="新宋体"/>
                <w:kern w:val="0"/>
                <w:szCs w:val="21"/>
              </w:rPr>
            </w:pPr>
            <w:r>
              <w:rPr>
                <w:rFonts w:hint="eastAsia" w:ascii="宋体" w:hAnsi="宋体" w:cs="新宋体"/>
                <w:kern w:val="0"/>
                <w:szCs w:val="21"/>
              </w:rPr>
              <w:t>滤清器精度：5μm</w:t>
            </w:r>
          </w:p>
          <w:p>
            <w:pPr>
              <w:widowControl/>
              <w:jc w:val="left"/>
              <w:textAlignment w:val="center"/>
              <w:rPr>
                <w:rFonts w:ascii="宋体" w:hAnsi="宋体" w:cs="新宋体"/>
                <w:kern w:val="0"/>
                <w:szCs w:val="21"/>
              </w:rPr>
            </w:pPr>
            <w:r>
              <w:rPr>
                <w:rFonts w:hint="eastAsia" w:ascii="宋体" w:hAnsi="宋体" w:cs="新宋体"/>
                <w:kern w:val="0"/>
                <w:szCs w:val="21"/>
              </w:rPr>
              <w:t>油箱：20L x 2</w:t>
            </w:r>
          </w:p>
          <w:p>
            <w:pPr>
              <w:widowControl/>
              <w:jc w:val="left"/>
              <w:textAlignment w:val="center"/>
              <w:rPr>
                <w:rFonts w:ascii="宋体" w:hAnsi="宋体" w:cs="新宋体"/>
                <w:kern w:val="0"/>
                <w:szCs w:val="21"/>
              </w:rPr>
            </w:pPr>
            <w:r>
              <w:rPr>
                <w:rFonts w:hint="eastAsia" w:ascii="宋体" w:hAnsi="宋体" w:cs="新宋体"/>
                <w:kern w:val="0"/>
                <w:szCs w:val="21"/>
              </w:rPr>
              <w:t>等量交换误差：±100克</w:t>
            </w:r>
          </w:p>
          <w:p>
            <w:pPr>
              <w:widowControl/>
              <w:jc w:val="left"/>
              <w:textAlignment w:val="center"/>
              <w:rPr>
                <w:rFonts w:ascii="宋体" w:hAnsi="宋体" w:cs="新宋体"/>
                <w:kern w:val="0"/>
                <w:szCs w:val="21"/>
              </w:rPr>
            </w:pPr>
            <w:r>
              <w:rPr>
                <w:rFonts w:hint="eastAsia" w:ascii="宋体" w:hAnsi="宋体" w:cs="新宋体"/>
                <w:kern w:val="0"/>
                <w:szCs w:val="21"/>
              </w:rPr>
              <w:t>噪音：&lt;70db</w:t>
            </w:r>
          </w:p>
          <w:p>
            <w:pPr>
              <w:widowControl/>
              <w:jc w:val="left"/>
              <w:textAlignment w:val="center"/>
              <w:rPr>
                <w:rFonts w:ascii="宋体" w:hAnsi="宋体" w:cs="新宋体"/>
                <w:kern w:val="0"/>
                <w:szCs w:val="21"/>
              </w:rPr>
            </w:pPr>
            <w:r>
              <w:rPr>
                <w:rFonts w:hint="eastAsia" w:ascii="宋体" w:hAnsi="宋体" w:cs="新宋体"/>
                <w:kern w:val="0"/>
                <w:szCs w:val="21"/>
              </w:rPr>
              <w:t>油液回收机：</w:t>
            </w:r>
            <w:r>
              <w:rPr>
                <w:rFonts w:hint="eastAsia" w:ascii="宋体" w:hAnsi="宋体" w:cs="新宋体"/>
                <w:kern w:val="0"/>
                <w:szCs w:val="21"/>
              </w:rPr>
              <w:br w:type="textWrapping"/>
            </w:r>
            <w:r>
              <w:rPr>
                <w:rFonts w:hint="eastAsia" w:ascii="宋体" w:hAnsi="宋体" w:cs="新宋体"/>
                <w:kern w:val="0"/>
                <w:szCs w:val="21"/>
              </w:rPr>
              <w:t>设备配置大范围油液收集盆、防止油液滴漏地面，方便油液加注或易损件更换。回收机储油桶不低于30L。回收机配置脚轮和扶手，移动方便。</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台</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28</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冷却液回收与自动加注机</w:t>
            </w:r>
          </w:p>
        </w:tc>
        <w:tc>
          <w:tcPr>
            <w:tcW w:w="5525" w:type="dxa"/>
            <w:gridSpan w:val="2"/>
            <w:tcBorders>
              <w:tl2br w:val="nil"/>
              <w:tr2bl w:val="nil"/>
            </w:tcBorders>
            <w:shd w:val="clear" w:color="auto" w:fill="auto"/>
            <w:tcMar>
              <w:left w:w="105" w:type="dxa"/>
              <w:right w:w="105" w:type="dxa"/>
            </w:tcMar>
            <w:vAlign w:val="center"/>
          </w:tcPr>
          <w:p>
            <w:pPr>
              <w:widowControl/>
              <w:jc w:val="left"/>
              <w:textAlignment w:val="center"/>
              <w:rPr>
                <w:rFonts w:ascii="宋体" w:hAnsi="宋体" w:cs="新宋体"/>
                <w:kern w:val="0"/>
                <w:szCs w:val="21"/>
              </w:rPr>
            </w:pPr>
            <w:r>
              <w:rPr>
                <w:rFonts w:hint="eastAsia" w:ascii="宋体" w:hAnsi="宋体" w:cs="新宋体"/>
                <w:kern w:val="0"/>
                <w:szCs w:val="21"/>
              </w:rPr>
              <w:t>一、产品要求</w:t>
            </w:r>
          </w:p>
          <w:p>
            <w:pPr>
              <w:widowControl/>
              <w:jc w:val="left"/>
              <w:textAlignment w:val="center"/>
              <w:rPr>
                <w:rFonts w:ascii="宋体" w:hAnsi="宋体" w:cs="新宋体"/>
                <w:kern w:val="0"/>
                <w:szCs w:val="21"/>
              </w:rPr>
            </w:pPr>
            <w:r>
              <w:rPr>
                <w:rFonts w:hint="eastAsia" w:ascii="宋体" w:hAnsi="宋体" w:cs="新宋体"/>
                <w:kern w:val="0"/>
                <w:szCs w:val="21"/>
              </w:rPr>
              <w:t>（1）液晶中文显示屏,操作简单实用；具有：回收旧液功能、加注新液功能、循环清洗功能、排完旧油桶功能、排完新油桶功能、加压检漏功能、加注压力过高保护功能、管路抽真空功能等。</w:t>
            </w:r>
          </w:p>
          <w:p>
            <w:pPr>
              <w:widowControl/>
              <w:jc w:val="left"/>
              <w:textAlignment w:val="center"/>
              <w:rPr>
                <w:rFonts w:ascii="宋体" w:hAnsi="宋体" w:cs="新宋体"/>
                <w:kern w:val="0"/>
                <w:szCs w:val="21"/>
              </w:rPr>
            </w:pPr>
            <w:r>
              <w:rPr>
                <w:rFonts w:hint="eastAsia" w:ascii="宋体" w:hAnsi="宋体" w:cs="新宋体"/>
                <w:kern w:val="0"/>
                <w:szCs w:val="21"/>
              </w:rPr>
              <w:t>（2）背景灯光显示窗便于观察新旧液回收加注速率及颜色对比情况。</w:t>
            </w:r>
          </w:p>
          <w:p>
            <w:pPr>
              <w:widowControl/>
              <w:jc w:val="left"/>
              <w:textAlignment w:val="center"/>
              <w:rPr>
                <w:rFonts w:ascii="宋体" w:hAnsi="宋体" w:cs="新宋体"/>
                <w:kern w:val="0"/>
                <w:szCs w:val="21"/>
              </w:rPr>
            </w:pPr>
            <w:r>
              <w:rPr>
                <w:rFonts w:hint="eastAsia" w:ascii="宋体" w:hAnsi="宋体" w:cs="新宋体"/>
                <w:kern w:val="0"/>
                <w:szCs w:val="21"/>
              </w:rPr>
              <w:t xml:space="preserve">（3）实现冷却液更换自动操作，解决手动操作更换冷却液费时的弊端,有效提高工作效率。  </w:t>
            </w:r>
          </w:p>
          <w:p>
            <w:pPr>
              <w:widowControl/>
              <w:jc w:val="left"/>
              <w:textAlignment w:val="center"/>
              <w:rPr>
                <w:rFonts w:ascii="宋体" w:hAnsi="宋体" w:cs="新宋体"/>
                <w:kern w:val="0"/>
                <w:szCs w:val="21"/>
              </w:rPr>
            </w:pPr>
            <w:r>
              <w:rPr>
                <w:rFonts w:hint="eastAsia" w:ascii="宋体" w:hAnsi="宋体" w:cs="新宋体"/>
                <w:kern w:val="0"/>
                <w:szCs w:val="21"/>
              </w:rPr>
              <w:t>二、技术参数</w:t>
            </w:r>
          </w:p>
          <w:p>
            <w:pPr>
              <w:widowControl/>
              <w:jc w:val="left"/>
              <w:textAlignment w:val="center"/>
              <w:rPr>
                <w:rFonts w:ascii="宋体" w:hAnsi="宋体" w:cs="新宋体"/>
                <w:kern w:val="0"/>
                <w:szCs w:val="21"/>
              </w:rPr>
            </w:pPr>
            <w:r>
              <w:rPr>
                <w:rFonts w:hint="eastAsia" w:ascii="宋体" w:hAnsi="宋体" w:cs="新宋体"/>
                <w:kern w:val="0"/>
                <w:szCs w:val="21"/>
              </w:rPr>
              <w:t>电压：DC12V</w:t>
            </w:r>
          </w:p>
          <w:p>
            <w:pPr>
              <w:widowControl/>
              <w:jc w:val="left"/>
              <w:textAlignment w:val="center"/>
              <w:rPr>
                <w:rFonts w:ascii="宋体" w:hAnsi="宋体" w:cs="新宋体"/>
                <w:kern w:val="0"/>
                <w:szCs w:val="21"/>
              </w:rPr>
            </w:pPr>
            <w:r>
              <w:rPr>
                <w:rFonts w:hint="eastAsia" w:ascii="宋体" w:hAnsi="宋体" w:cs="新宋体"/>
                <w:kern w:val="0"/>
                <w:szCs w:val="21"/>
              </w:rPr>
              <w:t>工作气压：≤6bar</w:t>
            </w:r>
          </w:p>
          <w:p>
            <w:pPr>
              <w:widowControl/>
              <w:jc w:val="left"/>
              <w:textAlignment w:val="center"/>
              <w:rPr>
                <w:rFonts w:ascii="宋体" w:hAnsi="宋体" w:cs="新宋体"/>
                <w:kern w:val="0"/>
                <w:szCs w:val="21"/>
              </w:rPr>
            </w:pPr>
            <w:r>
              <w:rPr>
                <w:rFonts w:hint="eastAsia" w:ascii="宋体" w:hAnsi="宋体" w:cs="新宋体"/>
                <w:kern w:val="0"/>
                <w:szCs w:val="21"/>
              </w:rPr>
              <w:t>最大功率：</w:t>
            </w:r>
            <w:r>
              <w:rPr>
                <w:rFonts w:hint="eastAsia" w:ascii="宋体" w:hAnsi="宋体" w:eastAsia="宋体" w:cs="宋体"/>
                <w:szCs w:val="21"/>
              </w:rPr>
              <w:t>≧</w:t>
            </w:r>
            <w:r>
              <w:rPr>
                <w:rFonts w:hint="eastAsia" w:ascii="宋体" w:hAnsi="宋体" w:cs="新宋体"/>
                <w:kern w:val="0"/>
                <w:szCs w:val="21"/>
              </w:rPr>
              <w:t>150W</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台</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29</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车辆举升机</w:t>
            </w:r>
          </w:p>
        </w:tc>
        <w:tc>
          <w:tcPr>
            <w:tcW w:w="5525" w:type="dxa"/>
            <w:gridSpan w:val="2"/>
            <w:tcBorders>
              <w:tl2br w:val="nil"/>
              <w:tr2bl w:val="nil"/>
            </w:tcBorders>
            <w:shd w:val="clear" w:color="auto" w:fill="auto"/>
            <w:tcMar>
              <w:left w:w="105" w:type="dxa"/>
              <w:right w:w="105" w:type="dxa"/>
            </w:tcMar>
            <w:vAlign w:val="center"/>
          </w:tcPr>
          <w:p>
            <w:pPr>
              <w:adjustRightInd w:val="0"/>
              <w:snapToGrid w:val="0"/>
              <w:jc w:val="left"/>
              <w:rPr>
                <w:rFonts w:ascii="宋体" w:hAnsi="宋体" w:cs="新宋体"/>
                <w:spacing w:val="8"/>
                <w:szCs w:val="21"/>
              </w:rPr>
            </w:pPr>
            <w:r>
              <w:rPr>
                <w:rFonts w:hint="eastAsia" w:ascii="宋体" w:hAnsi="宋体" w:cs="新宋体"/>
                <w:szCs w:val="21"/>
              </w:rPr>
              <w:t>龙门双柱式</w:t>
            </w:r>
          </w:p>
          <w:p>
            <w:pPr>
              <w:adjustRightInd w:val="0"/>
              <w:snapToGrid w:val="0"/>
              <w:jc w:val="left"/>
              <w:rPr>
                <w:rFonts w:ascii="宋体" w:hAnsi="宋体" w:cs="新宋体"/>
                <w:spacing w:val="8"/>
                <w:szCs w:val="21"/>
              </w:rPr>
            </w:pPr>
            <w:r>
              <w:rPr>
                <w:rFonts w:hint="eastAsia" w:ascii="宋体" w:hAnsi="宋体" w:cs="新宋体"/>
                <w:spacing w:val="8"/>
                <w:szCs w:val="21"/>
              </w:rPr>
              <w:t>举升重量：</w:t>
            </w:r>
            <w:r>
              <w:rPr>
                <w:rFonts w:hint="eastAsia" w:ascii="宋体" w:hAnsi="宋体" w:eastAsia="宋体" w:cs="宋体"/>
                <w:spacing w:val="8"/>
                <w:szCs w:val="21"/>
              </w:rPr>
              <w:t>≧</w:t>
            </w:r>
            <w:r>
              <w:rPr>
                <w:rFonts w:hint="eastAsia" w:ascii="宋体" w:hAnsi="宋体" w:cs="新宋体"/>
                <w:spacing w:val="8"/>
                <w:szCs w:val="21"/>
              </w:rPr>
              <w:t>4000KG</w:t>
            </w:r>
          </w:p>
          <w:p>
            <w:pPr>
              <w:adjustRightInd w:val="0"/>
              <w:snapToGrid w:val="0"/>
              <w:jc w:val="left"/>
              <w:rPr>
                <w:rFonts w:ascii="宋体" w:hAnsi="宋体" w:cs="新宋体"/>
                <w:spacing w:val="8"/>
                <w:szCs w:val="21"/>
              </w:rPr>
            </w:pPr>
            <w:r>
              <w:rPr>
                <w:rFonts w:hint="eastAsia" w:ascii="宋体" w:hAnsi="宋体" w:cs="新宋体"/>
                <w:spacing w:val="8"/>
                <w:szCs w:val="21"/>
              </w:rPr>
              <w:t>最低举升高度：</w:t>
            </w:r>
            <w:r>
              <w:rPr>
                <w:rFonts w:hint="eastAsia" w:ascii="宋体" w:hAnsi="宋体" w:eastAsia="宋体" w:cs="宋体"/>
                <w:spacing w:val="8"/>
                <w:szCs w:val="21"/>
              </w:rPr>
              <w:t>≧</w:t>
            </w:r>
            <w:r>
              <w:rPr>
                <w:rFonts w:hint="eastAsia" w:ascii="宋体" w:hAnsi="宋体" w:cs="新宋体"/>
                <w:spacing w:val="8"/>
                <w:szCs w:val="21"/>
              </w:rPr>
              <w:t>100mm</w:t>
            </w:r>
          </w:p>
          <w:p>
            <w:pPr>
              <w:adjustRightInd w:val="0"/>
              <w:snapToGrid w:val="0"/>
              <w:jc w:val="left"/>
              <w:rPr>
                <w:rFonts w:ascii="宋体" w:hAnsi="宋体" w:cs="新宋体"/>
                <w:spacing w:val="8"/>
                <w:szCs w:val="21"/>
              </w:rPr>
            </w:pPr>
            <w:r>
              <w:rPr>
                <w:rFonts w:hint="eastAsia" w:ascii="宋体" w:hAnsi="宋体" w:cs="新宋体"/>
                <w:spacing w:val="8"/>
                <w:szCs w:val="21"/>
              </w:rPr>
              <w:t>最高举升高度：</w:t>
            </w:r>
            <w:r>
              <w:rPr>
                <w:rFonts w:hint="eastAsia" w:ascii="宋体" w:hAnsi="宋体" w:eastAsia="宋体" w:cs="宋体"/>
                <w:spacing w:val="8"/>
                <w:szCs w:val="21"/>
              </w:rPr>
              <w:t>≧</w:t>
            </w:r>
            <w:r>
              <w:rPr>
                <w:rFonts w:hint="eastAsia" w:ascii="宋体" w:hAnsi="宋体" w:cs="新宋体"/>
                <w:spacing w:val="8"/>
                <w:szCs w:val="21"/>
              </w:rPr>
              <w:t>1850mm</w:t>
            </w:r>
          </w:p>
          <w:p>
            <w:pPr>
              <w:adjustRightInd w:val="0"/>
              <w:snapToGrid w:val="0"/>
              <w:jc w:val="left"/>
              <w:rPr>
                <w:rFonts w:ascii="宋体" w:hAnsi="宋体" w:cs="新宋体"/>
                <w:spacing w:val="8"/>
                <w:szCs w:val="21"/>
              </w:rPr>
            </w:pPr>
            <w:r>
              <w:rPr>
                <w:rFonts w:hint="eastAsia" w:ascii="宋体" w:hAnsi="宋体" w:cs="新宋体"/>
                <w:spacing w:val="8"/>
                <w:szCs w:val="21"/>
              </w:rPr>
              <w:t>总高度：</w:t>
            </w:r>
            <w:r>
              <w:rPr>
                <w:rFonts w:hint="eastAsia" w:ascii="宋体" w:hAnsi="宋体" w:eastAsia="宋体" w:cs="宋体"/>
                <w:spacing w:val="8"/>
                <w:szCs w:val="21"/>
              </w:rPr>
              <w:t>≧</w:t>
            </w:r>
            <w:r>
              <w:rPr>
                <w:rFonts w:hint="eastAsia" w:ascii="宋体" w:hAnsi="宋体" w:cs="新宋体"/>
                <w:spacing w:val="8"/>
                <w:szCs w:val="21"/>
              </w:rPr>
              <w:t>3912mm</w:t>
            </w:r>
          </w:p>
          <w:p>
            <w:pPr>
              <w:adjustRightInd w:val="0"/>
              <w:snapToGrid w:val="0"/>
              <w:jc w:val="left"/>
              <w:rPr>
                <w:rFonts w:ascii="宋体" w:hAnsi="宋体" w:cs="新宋体"/>
                <w:spacing w:val="8"/>
                <w:szCs w:val="21"/>
              </w:rPr>
            </w:pPr>
            <w:r>
              <w:rPr>
                <w:rFonts w:hint="eastAsia" w:ascii="宋体" w:hAnsi="宋体" w:cs="新宋体"/>
                <w:spacing w:val="8"/>
                <w:szCs w:val="21"/>
              </w:rPr>
              <w:t>有效宽度：</w:t>
            </w:r>
            <w:r>
              <w:rPr>
                <w:rFonts w:hint="eastAsia" w:ascii="宋体" w:hAnsi="宋体" w:eastAsia="宋体" w:cs="宋体"/>
                <w:spacing w:val="8"/>
                <w:szCs w:val="21"/>
              </w:rPr>
              <w:t>≧</w:t>
            </w:r>
            <w:r>
              <w:rPr>
                <w:rFonts w:hint="eastAsia" w:ascii="宋体" w:hAnsi="宋体" w:cs="新宋体"/>
                <w:spacing w:val="8"/>
                <w:szCs w:val="21"/>
              </w:rPr>
              <w:t>3000mm</w:t>
            </w:r>
          </w:p>
          <w:p>
            <w:pPr>
              <w:adjustRightInd w:val="0"/>
              <w:snapToGrid w:val="0"/>
              <w:jc w:val="left"/>
              <w:rPr>
                <w:rFonts w:ascii="宋体" w:hAnsi="宋体" w:cs="新宋体"/>
                <w:spacing w:val="8"/>
                <w:szCs w:val="21"/>
              </w:rPr>
            </w:pPr>
            <w:r>
              <w:rPr>
                <w:rFonts w:hint="eastAsia" w:ascii="宋体" w:hAnsi="宋体" w:cs="新宋体"/>
                <w:spacing w:val="8"/>
                <w:szCs w:val="21"/>
              </w:rPr>
              <w:t>总宽度：</w:t>
            </w:r>
            <w:r>
              <w:rPr>
                <w:rFonts w:hint="eastAsia" w:ascii="宋体" w:hAnsi="宋体" w:eastAsia="宋体" w:cs="宋体"/>
                <w:spacing w:val="8"/>
                <w:szCs w:val="21"/>
              </w:rPr>
              <w:t>≧</w:t>
            </w:r>
            <w:r>
              <w:rPr>
                <w:rFonts w:hint="eastAsia" w:ascii="宋体" w:hAnsi="宋体" w:cs="新宋体"/>
                <w:spacing w:val="8"/>
                <w:szCs w:val="21"/>
              </w:rPr>
              <w:t>3610mm</w:t>
            </w:r>
          </w:p>
          <w:p>
            <w:pPr>
              <w:adjustRightInd w:val="0"/>
              <w:snapToGrid w:val="0"/>
              <w:jc w:val="left"/>
              <w:rPr>
                <w:rFonts w:ascii="宋体" w:hAnsi="宋体" w:cs="新宋体"/>
                <w:spacing w:val="8"/>
                <w:szCs w:val="21"/>
              </w:rPr>
            </w:pPr>
            <w:r>
              <w:rPr>
                <w:rFonts w:hint="eastAsia" w:ascii="宋体" w:hAnsi="宋体" w:cs="新宋体"/>
                <w:spacing w:val="8"/>
                <w:szCs w:val="21"/>
              </w:rPr>
              <w:t>上升时间：≤60S</w:t>
            </w:r>
          </w:p>
          <w:p>
            <w:pPr>
              <w:adjustRightInd w:val="0"/>
              <w:snapToGrid w:val="0"/>
              <w:jc w:val="left"/>
              <w:rPr>
                <w:rFonts w:ascii="宋体" w:hAnsi="宋体" w:cs="新宋体"/>
                <w:spacing w:val="8"/>
                <w:szCs w:val="21"/>
              </w:rPr>
            </w:pPr>
            <w:r>
              <w:rPr>
                <w:rFonts w:hint="eastAsia" w:ascii="宋体" w:hAnsi="宋体" w:cs="新宋体"/>
                <w:spacing w:val="8"/>
                <w:szCs w:val="21"/>
              </w:rPr>
              <w:t>下降时间：≥30S</w:t>
            </w:r>
          </w:p>
          <w:p>
            <w:pPr>
              <w:widowControl/>
              <w:textAlignment w:val="center"/>
              <w:rPr>
                <w:rFonts w:ascii="宋体" w:hAnsi="宋体" w:cs="新宋体"/>
                <w:kern w:val="0"/>
                <w:szCs w:val="21"/>
              </w:rPr>
            </w:pPr>
            <w:r>
              <w:rPr>
                <w:rFonts w:hint="eastAsia" w:ascii="宋体" w:hAnsi="宋体" w:cs="新宋体"/>
                <w:spacing w:val="8"/>
                <w:szCs w:val="21"/>
              </w:rPr>
              <w:t>动力单元：220V/380V， 50hz/60hz，1ph/3ph， 1.8kw/2.2kw</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台</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spacing w:before="156" w:beforeLines="50"/>
              <w:ind w:leftChars="-2" w:hanging="4" w:hangingChars="2"/>
              <w:jc w:val="center"/>
              <w:rPr>
                <w:rFonts w:ascii="宋体" w:hAnsi="宋体" w:eastAsia="宋体" w:cs="宋体"/>
                <w:szCs w:val="21"/>
              </w:rPr>
            </w:pPr>
            <w:r>
              <w:rPr>
                <w:rFonts w:hint="eastAsia" w:ascii="宋体" w:hAnsi="宋体" w:eastAsia="宋体" w:cs="宋体"/>
                <w:szCs w:val="21"/>
              </w:rPr>
              <w:t>30</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汽车营销基本技能考核系统</w:t>
            </w:r>
          </w:p>
        </w:tc>
        <w:tc>
          <w:tcPr>
            <w:tcW w:w="5525" w:type="dxa"/>
            <w:gridSpan w:val="2"/>
            <w:tcBorders>
              <w:tl2br w:val="nil"/>
              <w:tr2bl w:val="nil"/>
            </w:tcBorders>
            <w:shd w:val="clear" w:color="auto" w:fill="auto"/>
            <w:tcMar>
              <w:left w:w="105" w:type="dxa"/>
              <w:right w:w="105" w:type="dxa"/>
            </w:tcMar>
            <w:vAlign w:val="center"/>
          </w:tcPr>
          <w:p>
            <w:pPr>
              <w:jc w:val="left"/>
              <w:rPr>
                <w:rFonts w:ascii="宋体" w:hAnsi="宋体" w:cs="Arial"/>
                <w:szCs w:val="21"/>
              </w:rPr>
            </w:pPr>
            <w:r>
              <w:rPr>
                <w:rFonts w:hint="eastAsia" w:ascii="宋体" w:hAnsi="宋体" w:cs="Arial"/>
                <w:szCs w:val="21"/>
              </w:rPr>
              <w:t>1.考评系统以汽车后市场的广阔业界为背景，针对汽车营销领域的工作岗位，考察考生对汽车营销的基本工作情境中的基础技能的灵活掌握和实际操作水平。</w:t>
            </w:r>
          </w:p>
          <w:p>
            <w:pPr>
              <w:jc w:val="left"/>
              <w:rPr>
                <w:rFonts w:ascii="宋体" w:hAnsi="宋体" w:cs="Arial"/>
                <w:szCs w:val="21"/>
              </w:rPr>
            </w:pPr>
            <w:r>
              <w:rPr>
                <w:rFonts w:hint="eastAsia" w:ascii="宋体" w:hAnsi="宋体" w:cs="Arial"/>
                <w:szCs w:val="21"/>
              </w:rPr>
              <w:t>2.考评系统以常见的工作基本流程为核心，以实际工作情境为载体，以汽车4S店管理系统、保险公司业务管理系统等为原型，以情境分析、信息搜集、业务办理、表单制作为主线进行设计，以全面考核考生在接近真实的工作场景中的具体技能与综合能力为目标，进行任务题目设计。</w:t>
            </w:r>
          </w:p>
          <w:p>
            <w:pPr>
              <w:jc w:val="left"/>
              <w:rPr>
                <w:rFonts w:ascii="宋体" w:hAnsi="宋体" w:cs="Arial"/>
                <w:szCs w:val="21"/>
              </w:rPr>
            </w:pPr>
            <w:r>
              <w:rPr>
                <w:rFonts w:hint="eastAsia" w:ascii="宋体" w:hAnsi="宋体" w:cs="Arial"/>
                <w:szCs w:val="21"/>
              </w:rPr>
              <w:t>3.考评系统中针对新车购销和车险承保两大业务模块下的八个子任务进行考核，考核知识内容范围广。</w:t>
            </w:r>
          </w:p>
          <w:p>
            <w:pPr>
              <w:jc w:val="left"/>
              <w:rPr>
                <w:rFonts w:ascii="宋体" w:hAnsi="宋体" w:cs="Arial"/>
                <w:szCs w:val="21"/>
              </w:rPr>
            </w:pPr>
            <w:r>
              <w:rPr>
                <w:rFonts w:hint="eastAsia" w:ascii="宋体" w:hAnsi="宋体" w:cs="Arial"/>
                <w:szCs w:val="21"/>
              </w:rPr>
              <w:t>3.1新车购销模块中依照汽车4S店中真实的销售管理工作，设计采购入库、新车销售、一条龙服务、销售收款、新车交付五个子任务。涉及到的单据有：采购入库单、整车销售单、一条龙服务预估单、核算收款单以及交车确认单等。</w:t>
            </w:r>
          </w:p>
          <w:p>
            <w:pPr>
              <w:jc w:val="left"/>
              <w:rPr>
                <w:rFonts w:ascii="宋体" w:hAnsi="宋体" w:cs="Arial"/>
                <w:szCs w:val="21"/>
              </w:rPr>
            </w:pPr>
            <w:r>
              <w:rPr>
                <w:rFonts w:hint="eastAsia" w:ascii="宋体" w:hAnsi="宋体" w:cs="Arial"/>
                <w:szCs w:val="21"/>
              </w:rPr>
              <w:t>3.2车险承保模块中依照保险公司在汽车投保、审核、验车、核保过程中的工作内容，设计业务登记、保费计算、核保制单共三个子任务，涉及到的单证有：驾驶证、行驶证、车辆登记证、投保单、机动车交通事故责任强制保险单、机动车商业保险单等。</w:t>
            </w:r>
          </w:p>
          <w:p>
            <w:pPr>
              <w:jc w:val="left"/>
              <w:rPr>
                <w:rFonts w:ascii="宋体" w:hAnsi="宋体" w:cs="Arial"/>
                <w:szCs w:val="21"/>
              </w:rPr>
            </w:pPr>
            <w:r>
              <w:rPr>
                <w:rFonts w:hint="eastAsia" w:ascii="宋体" w:hAnsi="宋体" w:cs="Arial"/>
                <w:szCs w:val="21"/>
              </w:rPr>
              <w:t>4.任务考核中的题面信息通过情景视频的形式描述了多种工作情况，将关键信息融入到情景视频和业务资料图片中，考生可完成工作表单信息的查询、分析、填写、提交等工作。</w:t>
            </w:r>
          </w:p>
          <w:p>
            <w:pPr>
              <w:jc w:val="left"/>
              <w:rPr>
                <w:rFonts w:ascii="宋体" w:hAnsi="宋体" w:cs="Arial"/>
                <w:szCs w:val="21"/>
              </w:rPr>
            </w:pPr>
            <w:r>
              <w:rPr>
                <w:rFonts w:hint="eastAsia" w:ascii="宋体" w:hAnsi="宋体" w:cs="Arial"/>
                <w:szCs w:val="21"/>
              </w:rPr>
              <w:t>5.题面信息分为任务下达情景视频、业务资料图片两部分。</w:t>
            </w:r>
          </w:p>
          <w:p>
            <w:pPr>
              <w:jc w:val="left"/>
              <w:rPr>
                <w:rFonts w:ascii="宋体" w:hAnsi="宋体" w:cs="Arial"/>
                <w:szCs w:val="21"/>
              </w:rPr>
            </w:pPr>
            <w:r>
              <w:rPr>
                <w:rFonts w:hint="eastAsia" w:ascii="宋体" w:hAnsi="宋体" w:cs="Arial"/>
                <w:szCs w:val="21"/>
              </w:rPr>
              <w:t>5.1 任务下达视频：实人实景拍摄视频，播放时长1分~3分不等。播放次数限制为两次，不可使用快进、后退按钮进行视频重复观看。</w:t>
            </w:r>
          </w:p>
          <w:p>
            <w:pPr>
              <w:jc w:val="left"/>
              <w:rPr>
                <w:rFonts w:ascii="宋体" w:hAnsi="宋体" w:cs="Arial"/>
                <w:szCs w:val="21"/>
              </w:rPr>
            </w:pPr>
            <w:r>
              <w:rPr>
                <w:rFonts w:hint="eastAsia" w:ascii="宋体" w:hAnsi="宋体" w:cs="Arial"/>
                <w:szCs w:val="21"/>
              </w:rPr>
              <w:t>5.2 业务资料图片：以图片形式对考核过程中所需业务资料进行展现，以资料名称作为区分。</w:t>
            </w:r>
          </w:p>
          <w:p>
            <w:pPr>
              <w:jc w:val="left"/>
              <w:rPr>
                <w:rFonts w:ascii="宋体" w:hAnsi="宋体" w:cs="Arial"/>
                <w:szCs w:val="21"/>
              </w:rPr>
            </w:pPr>
            <w:r>
              <w:rPr>
                <w:rFonts w:hint="eastAsia" w:ascii="宋体" w:hAnsi="宋体" w:cs="Arial"/>
                <w:szCs w:val="21"/>
              </w:rPr>
              <w:t>6.新车购销业务模块：包含采购入库、新车销售、一条龙服务、销售收款、新车交付五大考核子任务。</w:t>
            </w:r>
          </w:p>
          <w:p>
            <w:pPr>
              <w:jc w:val="left"/>
              <w:rPr>
                <w:rFonts w:ascii="宋体" w:hAnsi="宋体" w:cs="Arial"/>
                <w:szCs w:val="21"/>
              </w:rPr>
            </w:pPr>
            <w:r>
              <w:rPr>
                <w:rFonts w:hint="eastAsia" w:ascii="宋体" w:hAnsi="宋体" w:cs="Arial"/>
                <w:szCs w:val="21"/>
              </w:rPr>
              <w:t>6.1采购入库：含有新车采购计划单和新车采购入库单两个单据。系统提供库存查询功能，供考生确定车型库存量、确定采购车型及数量。考生可以根据题面信息，选择合适的供应商并填写采购计划表，同时根据业务资料，完善车辆信息，完成新车入库单的表单填写功能。</w:t>
            </w:r>
          </w:p>
          <w:p>
            <w:pPr>
              <w:jc w:val="left"/>
              <w:rPr>
                <w:rFonts w:ascii="宋体" w:hAnsi="宋体" w:cs="Arial"/>
                <w:szCs w:val="21"/>
              </w:rPr>
            </w:pPr>
            <w:r>
              <w:rPr>
                <w:rFonts w:hint="eastAsia" w:ascii="宋体" w:hAnsi="宋体" w:cs="Arial"/>
                <w:szCs w:val="21"/>
              </w:rPr>
              <w:t>6.2新车销售：含有购车预订记录单与整车销售单。考生可根据题面信息完成客户基本信息、确定客户所购车辆、车辆附加信息和车主信息等信息的表单填写功能。</w:t>
            </w:r>
          </w:p>
          <w:p>
            <w:pPr>
              <w:jc w:val="left"/>
              <w:rPr>
                <w:rFonts w:ascii="宋体" w:hAnsi="宋体" w:cs="Arial"/>
                <w:szCs w:val="21"/>
              </w:rPr>
            </w:pPr>
            <w:r>
              <w:rPr>
                <w:rFonts w:hint="eastAsia" w:ascii="宋体" w:hAnsi="宋体" w:cs="Arial"/>
                <w:szCs w:val="21"/>
              </w:rPr>
              <w:t>6.3一条龙服务：含有一条龙服务预估单。考生可根据题面信息完成客户保险业务办理、加装符合需求的汽车精品、计算车辆的车船使用税和车辆购置税等信息的表单填写功能。</w:t>
            </w:r>
          </w:p>
          <w:p>
            <w:pPr>
              <w:jc w:val="left"/>
              <w:rPr>
                <w:rFonts w:ascii="宋体" w:hAnsi="宋体" w:cs="Arial"/>
                <w:szCs w:val="21"/>
              </w:rPr>
            </w:pPr>
            <w:r>
              <w:rPr>
                <w:rFonts w:hint="eastAsia" w:ascii="宋体" w:hAnsi="宋体" w:cs="Arial"/>
                <w:szCs w:val="21"/>
              </w:rPr>
              <w:t>6.4销售收款：含有收款单。考生可根据题面信息完成收款单中的收款日期、收款金额、付款方式等信息的表单填写功能。</w:t>
            </w:r>
          </w:p>
          <w:p>
            <w:pPr>
              <w:jc w:val="left"/>
              <w:rPr>
                <w:rFonts w:ascii="宋体" w:hAnsi="宋体" w:cs="Arial"/>
                <w:szCs w:val="21"/>
              </w:rPr>
            </w:pPr>
            <w:r>
              <w:rPr>
                <w:rFonts w:hint="eastAsia" w:ascii="宋体" w:hAnsi="宋体" w:cs="Arial"/>
                <w:szCs w:val="21"/>
              </w:rPr>
              <w:t>6.5新车交付：含有交车确认单。考生可根据题面信息，调取客户的整车销售单并完成交车里程、提车人、提车地点等信息的表单填写功能。</w:t>
            </w:r>
          </w:p>
          <w:p>
            <w:pPr>
              <w:jc w:val="left"/>
              <w:rPr>
                <w:rFonts w:ascii="宋体" w:hAnsi="宋体" w:cs="Arial"/>
                <w:szCs w:val="21"/>
              </w:rPr>
            </w:pPr>
            <w:r>
              <w:rPr>
                <w:rFonts w:hint="eastAsia" w:ascii="宋体" w:hAnsi="宋体" w:cs="Arial"/>
                <w:szCs w:val="21"/>
              </w:rPr>
              <w:t>7.车险承保业务模块：包含业务登记、保费计算、核保制单共三大考核子任务。</w:t>
            </w:r>
          </w:p>
          <w:p>
            <w:pPr>
              <w:jc w:val="left"/>
              <w:rPr>
                <w:rFonts w:ascii="宋体" w:hAnsi="宋体" w:cs="Arial"/>
                <w:szCs w:val="21"/>
              </w:rPr>
            </w:pPr>
            <w:r>
              <w:rPr>
                <w:rFonts w:hint="eastAsia" w:ascii="宋体" w:hAnsi="宋体" w:cs="Arial"/>
                <w:szCs w:val="21"/>
              </w:rPr>
              <w:t>7.1业务登记：考生可根据题面信息完成基础信息和业务信息的表单填写，主要包括客户、车辆和业务信息等。</w:t>
            </w:r>
          </w:p>
          <w:p>
            <w:pPr>
              <w:jc w:val="left"/>
              <w:rPr>
                <w:rFonts w:ascii="宋体" w:hAnsi="宋体" w:cs="Arial"/>
                <w:szCs w:val="21"/>
              </w:rPr>
            </w:pPr>
            <w:r>
              <w:rPr>
                <w:rFonts w:hint="eastAsia" w:ascii="宋体" w:hAnsi="宋体" w:cs="Arial"/>
                <w:szCs w:val="21"/>
              </w:rPr>
              <w:t>7.2保费计算：考生可根据题面信息完成交强险的计算和商业险的计算与表单填写功能。</w:t>
            </w:r>
          </w:p>
          <w:p>
            <w:pPr>
              <w:jc w:val="left"/>
              <w:rPr>
                <w:rFonts w:ascii="宋体" w:hAnsi="宋体" w:cs="Arial"/>
                <w:szCs w:val="21"/>
              </w:rPr>
            </w:pPr>
            <w:r>
              <w:rPr>
                <w:rFonts w:hint="eastAsia" w:ascii="宋体" w:hAnsi="宋体" w:cs="Arial"/>
                <w:szCs w:val="21"/>
              </w:rPr>
              <w:t>7.3核保制单：考生可根据题面信息完成核保审核、查验车辆、核保综合审查、出具保单四个业务操作。</w:t>
            </w:r>
          </w:p>
          <w:p>
            <w:pPr>
              <w:jc w:val="left"/>
              <w:rPr>
                <w:rFonts w:ascii="宋体" w:hAnsi="宋体" w:cs="Arial"/>
                <w:szCs w:val="21"/>
              </w:rPr>
            </w:pPr>
            <w:r>
              <w:rPr>
                <w:rFonts w:hint="eastAsia" w:ascii="宋体" w:hAnsi="宋体" w:cs="Arial"/>
                <w:szCs w:val="21"/>
              </w:rPr>
              <w:t>8.情景考核：以交互动画的形式对理论考核知识点进行考核，情景内容传达明确、便于联想记忆知识内容。</w:t>
            </w:r>
          </w:p>
          <w:p>
            <w:pPr>
              <w:jc w:val="left"/>
              <w:rPr>
                <w:rFonts w:ascii="宋体" w:hAnsi="宋体" w:cs="Arial"/>
                <w:szCs w:val="21"/>
              </w:rPr>
            </w:pPr>
            <w:r>
              <w:rPr>
                <w:rFonts w:hint="eastAsia" w:ascii="宋体" w:hAnsi="宋体" w:cs="Arial"/>
                <w:szCs w:val="21"/>
              </w:rPr>
              <w:t>9.后台管理功能，管理员用户不仅可在后台管理系统中进行用户管理，还可进行基础信息管理、试题管理、试卷管理、考试管理、在线用户控制、控制考试和查询考试日志。</w:t>
            </w:r>
          </w:p>
          <w:p>
            <w:pPr>
              <w:jc w:val="left"/>
              <w:rPr>
                <w:rFonts w:ascii="宋体" w:hAnsi="宋体" w:cs="Arial"/>
                <w:szCs w:val="21"/>
              </w:rPr>
            </w:pPr>
            <w:r>
              <w:rPr>
                <w:rFonts w:hint="eastAsia" w:ascii="宋体" w:hAnsi="宋体" w:cs="Arial"/>
                <w:szCs w:val="21"/>
              </w:rPr>
              <w:t>9.1基础信息管理：在出题前为各流程做数据准备工作，方便教师出题。</w:t>
            </w:r>
          </w:p>
          <w:p>
            <w:pPr>
              <w:jc w:val="left"/>
              <w:rPr>
                <w:rFonts w:ascii="宋体" w:hAnsi="宋体" w:cs="Arial"/>
                <w:szCs w:val="21"/>
              </w:rPr>
            </w:pPr>
            <w:r>
              <w:rPr>
                <w:rFonts w:hint="eastAsia" w:ascii="宋体" w:hAnsi="宋体" w:cs="Arial"/>
                <w:szCs w:val="21"/>
              </w:rPr>
              <w:t>9.2试题管理功能：除进行新车购销业务、车险承保业务中各流程的试题数据录入工作与分值设定工作外，还提供情景考核管理功能，方便教师对理论知识考核交互动画的统一管理。教师在新车购销业务、车险承保业务中通过调用情景考核交互动画、设置分值，即可完成情景考核试题的设定。</w:t>
            </w:r>
          </w:p>
          <w:p>
            <w:pPr>
              <w:jc w:val="left"/>
              <w:rPr>
                <w:rFonts w:ascii="宋体" w:hAnsi="宋体" w:cs="Arial"/>
                <w:szCs w:val="21"/>
              </w:rPr>
            </w:pPr>
            <w:r>
              <w:rPr>
                <w:rFonts w:hint="eastAsia" w:ascii="宋体" w:hAnsi="宋体" w:cs="Arial"/>
                <w:szCs w:val="21"/>
              </w:rPr>
              <w:t>9.3试卷管理中的组卷功能可进行试卷时长、分制、随机组卷方式（混合卷、A、B卷）、分值比重划分（平均分配、手动分配）、以及组卷试题的选择。</w:t>
            </w:r>
          </w:p>
          <w:p>
            <w:pPr>
              <w:jc w:val="left"/>
              <w:rPr>
                <w:rFonts w:ascii="宋体" w:hAnsi="宋体" w:cs="Arial"/>
                <w:szCs w:val="21"/>
              </w:rPr>
            </w:pPr>
            <w:r>
              <w:rPr>
                <w:rFonts w:hint="eastAsia" w:ascii="宋体" w:hAnsi="宋体" w:cs="Arial"/>
                <w:szCs w:val="21"/>
              </w:rPr>
              <w:t>9.4考试管理模块包括新建考试、查看|修改考试、分配密码、查看密码、随机分发试卷、开始考试、结束考试、统计成绩、考试答卷详情以及导出成绩（excel、pdf）。</w:t>
            </w:r>
          </w:p>
          <w:p>
            <w:pPr>
              <w:jc w:val="left"/>
              <w:rPr>
                <w:rFonts w:ascii="宋体" w:hAnsi="宋体" w:cs="Arial"/>
                <w:szCs w:val="21"/>
              </w:rPr>
            </w:pPr>
            <w:r>
              <w:rPr>
                <w:rFonts w:hint="eastAsia" w:ascii="宋体" w:hAnsi="宋体" w:cs="Arial"/>
                <w:szCs w:val="21"/>
              </w:rPr>
              <w:t>9.5考核系统可以完整记录答卷过程中每一个答题点，答题结束系统可以自动评分；系统可根据各模块所占的分值比重自动换算为百分制；在比赛准备阶段，教师用户可自由选择试题的数量和评分机制，教师也可由系统随机抽取试题来进行考核。</w:t>
            </w:r>
          </w:p>
          <w:p>
            <w:pPr>
              <w:jc w:val="left"/>
              <w:rPr>
                <w:rFonts w:ascii="宋体" w:hAnsi="宋体" w:cs="Arial"/>
                <w:szCs w:val="21"/>
              </w:rPr>
            </w:pPr>
            <w:r>
              <w:rPr>
                <w:rFonts w:hint="eastAsia" w:ascii="宋体" w:hAnsi="宋体" w:cs="Arial"/>
                <w:szCs w:val="21"/>
              </w:rPr>
              <w:t>9.6在线用户控制：可下线因意外操作导致的学生，解决登录异常问题。</w:t>
            </w:r>
          </w:p>
          <w:p>
            <w:pPr>
              <w:jc w:val="left"/>
              <w:rPr>
                <w:rFonts w:ascii="宋体" w:hAnsi="宋体" w:cs="Arial"/>
                <w:szCs w:val="21"/>
              </w:rPr>
            </w:pPr>
            <w:r>
              <w:rPr>
                <w:rFonts w:hint="eastAsia" w:ascii="宋体" w:hAnsi="宋体" w:cs="Arial"/>
                <w:szCs w:val="21"/>
              </w:rPr>
              <w:t>9.7控制考试：可进行学生加时操作，通过加时解决电脑意外关机等导致的考试时长丢失问题。</w:t>
            </w:r>
          </w:p>
          <w:p>
            <w:pPr>
              <w:jc w:val="left"/>
              <w:rPr>
                <w:rFonts w:ascii="宋体" w:hAnsi="宋体" w:cs="Arial"/>
                <w:szCs w:val="21"/>
              </w:rPr>
            </w:pPr>
            <w:r>
              <w:rPr>
                <w:rFonts w:hint="eastAsia" w:ascii="宋体" w:hAnsi="宋体" w:cs="Arial"/>
                <w:szCs w:val="21"/>
              </w:rPr>
              <w:t>10.软件为B/S网络版，分为服务器端、工作站端，用户可在局域网环境中进行在线考核。工作站端中存储考试中的任务下达视频，考试时可直接利用本地视频进播放，减少服务器端的访问压力，保证考试顺利进行。</w:t>
            </w:r>
          </w:p>
          <w:p>
            <w:pPr>
              <w:jc w:val="left"/>
              <w:rPr>
                <w:rFonts w:ascii="宋体" w:hAnsi="宋体" w:cs="Arial"/>
                <w:szCs w:val="21"/>
              </w:rPr>
            </w:pPr>
            <w:r>
              <w:rPr>
                <w:rFonts w:hint="eastAsia" w:ascii="宋体" w:hAnsi="宋体" w:cs="Arial"/>
                <w:szCs w:val="21"/>
              </w:rPr>
              <w:t>11.软件网络要求：要求使用局域网，且工作站端与服务器端均处于同一IP网段内，严禁使用二级网络。</w:t>
            </w:r>
          </w:p>
          <w:p>
            <w:pPr>
              <w:jc w:val="left"/>
              <w:rPr>
                <w:rFonts w:ascii="宋体" w:hAnsi="宋体" w:cs="Arial"/>
                <w:szCs w:val="21"/>
              </w:rPr>
            </w:pPr>
            <w:r>
              <w:rPr>
                <w:rFonts w:hint="eastAsia" w:ascii="宋体" w:hAnsi="宋体" w:cs="Arial"/>
                <w:szCs w:val="21"/>
              </w:rPr>
              <w:t>12.优先使用Internet Explorer 11.0浏览器，若系统不支持IE11浏览器，请使用Google Chrome浏览器。请注意安装Flash player ActiveX 16.0以上版本的浏览器插件，声卡驱动。</w:t>
            </w:r>
          </w:p>
          <w:p>
            <w:pPr>
              <w:widowControl/>
              <w:jc w:val="left"/>
              <w:textAlignment w:val="center"/>
              <w:rPr>
                <w:rFonts w:ascii="宋体" w:hAnsi="宋体" w:cs="宋体"/>
                <w:color w:val="000000" w:themeColor="text1"/>
                <w:kern w:val="0"/>
                <w:szCs w:val="21"/>
              </w:rPr>
            </w:pPr>
            <w:r>
              <w:rPr>
                <w:rFonts w:hint="eastAsia" w:ascii="宋体" w:hAnsi="宋体" w:cs="宋体"/>
                <w:color w:val="000000" w:themeColor="text1"/>
                <w:kern w:val="0"/>
                <w:szCs w:val="21"/>
              </w:rPr>
              <w:t>1</w:t>
            </w:r>
            <w:r>
              <w:rPr>
                <w:rFonts w:ascii="宋体" w:hAnsi="宋体" w:cs="宋体"/>
                <w:color w:val="000000" w:themeColor="text1"/>
                <w:kern w:val="0"/>
                <w:szCs w:val="21"/>
              </w:rPr>
              <w:t>3</w:t>
            </w:r>
            <w:r>
              <w:rPr>
                <w:rFonts w:hint="eastAsia" w:ascii="宋体" w:hAnsi="宋体" w:cs="宋体"/>
                <w:color w:val="000000" w:themeColor="text1"/>
                <w:kern w:val="0"/>
                <w:szCs w:val="21"/>
              </w:rPr>
              <w:t>.软件为网络版，站点数量最少50个点；该系统应满足全国职业院校技能大赛汽车营销赛项的技术规范并</w:t>
            </w:r>
            <w:r>
              <w:rPr>
                <w:rFonts w:ascii="宋体" w:hAnsi="宋体" w:cs="宋体"/>
                <w:color w:val="000000" w:themeColor="text1"/>
                <w:kern w:val="0"/>
                <w:szCs w:val="21"/>
              </w:rPr>
              <w:t>为</w:t>
            </w:r>
            <w:r>
              <w:rPr>
                <w:rFonts w:hint="eastAsia" w:ascii="宋体" w:hAnsi="宋体" w:cs="宋体"/>
                <w:color w:val="000000" w:themeColor="text1"/>
                <w:kern w:val="0"/>
                <w:szCs w:val="21"/>
              </w:rPr>
              <w:t>大赛器材供应商库提</w:t>
            </w:r>
            <w:r>
              <w:rPr>
                <w:rFonts w:ascii="宋体" w:hAnsi="宋体" w:cs="宋体"/>
                <w:color w:val="000000" w:themeColor="text1"/>
                <w:kern w:val="0"/>
                <w:szCs w:val="21"/>
              </w:rPr>
              <w:t>供相关证明</w:t>
            </w:r>
            <w:r>
              <w:rPr>
                <w:rFonts w:hint="eastAsia" w:ascii="宋体" w:hAnsi="宋体" w:cs="宋体"/>
                <w:color w:val="000000" w:themeColor="text1"/>
                <w:kern w:val="0"/>
                <w:szCs w:val="21"/>
              </w:rPr>
              <w:t>加盖</w:t>
            </w:r>
            <w:r>
              <w:rPr>
                <w:rFonts w:ascii="宋体" w:hAnsi="宋体" w:cs="宋体"/>
                <w:color w:val="000000" w:themeColor="text1"/>
                <w:kern w:val="0"/>
                <w:szCs w:val="21"/>
              </w:rPr>
              <w:t>厂家公章。</w:t>
            </w:r>
          </w:p>
          <w:p>
            <w:pPr>
              <w:widowControl/>
              <w:jc w:val="left"/>
              <w:textAlignment w:val="center"/>
              <w:rPr>
                <w:rFonts w:ascii="宋体" w:hAnsi="宋体" w:cs="宋体"/>
                <w:color w:val="000000" w:themeColor="text1"/>
                <w:kern w:val="0"/>
                <w:szCs w:val="21"/>
              </w:rPr>
            </w:pPr>
            <w:r>
              <w:rPr>
                <w:rFonts w:ascii="宋体" w:hAnsi="宋体" w:cs="宋体"/>
                <w:kern w:val="0"/>
                <w:szCs w:val="21"/>
                <w:lang w:bidi="ar"/>
              </w:rPr>
              <w:t>14</w:t>
            </w:r>
            <w:r>
              <w:rPr>
                <w:rFonts w:hint="eastAsia" w:ascii="宋体" w:hAnsi="宋体" w:cs="宋体"/>
                <w:kern w:val="0"/>
                <w:szCs w:val="21"/>
                <w:lang w:bidi="ar"/>
              </w:rPr>
              <w:t>.该系统用于汽车营销基础知识及汽车营销基本技能的日常教学评估、期末考核及大赛。</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95" w:hRule="atLeast"/>
        </w:trPr>
        <w:tc>
          <w:tcPr>
            <w:tcW w:w="642"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31</w:t>
            </w:r>
          </w:p>
        </w:tc>
        <w:tc>
          <w:tcPr>
            <w:tcW w:w="1164"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汽车服务接待仿真教学系统</w:t>
            </w:r>
          </w:p>
        </w:tc>
        <w:tc>
          <w:tcPr>
            <w:tcW w:w="5525" w:type="dxa"/>
            <w:gridSpan w:val="2"/>
            <w:tcBorders>
              <w:tl2br w:val="nil"/>
              <w:tr2bl w:val="nil"/>
            </w:tcBorders>
            <w:shd w:val="clear" w:color="auto" w:fill="auto"/>
            <w:tcMar>
              <w:left w:w="105" w:type="dxa"/>
              <w:right w:w="105" w:type="dxa"/>
            </w:tcMar>
            <w:vAlign w:val="center"/>
          </w:tcPr>
          <w:p>
            <w:pPr>
              <w:jc w:val="left"/>
              <w:rPr>
                <w:rFonts w:ascii="宋体" w:hAnsi="宋体" w:cs="Arial"/>
                <w:szCs w:val="21"/>
              </w:rPr>
            </w:pPr>
            <w:r>
              <w:rPr>
                <w:rFonts w:hint="eastAsia" w:ascii="宋体" w:hAnsi="宋体" w:cs="Arial"/>
                <w:szCs w:val="21"/>
              </w:rPr>
              <w:t>1.系统以分三维建模和实拍视频等动画方式实现互动教学。</w:t>
            </w:r>
          </w:p>
          <w:p>
            <w:pPr>
              <w:jc w:val="left"/>
              <w:rPr>
                <w:rFonts w:ascii="宋体" w:hAnsi="宋体" w:cs="Arial"/>
                <w:szCs w:val="21"/>
              </w:rPr>
            </w:pPr>
            <w:r>
              <w:rPr>
                <w:rFonts w:hint="eastAsia" w:ascii="宋体" w:hAnsi="宋体" w:cs="Arial"/>
                <w:szCs w:val="21"/>
              </w:rPr>
              <w:t>2.在每一个任务节点，学生可以选择不同的选项，使剧情按照不同的分支进行，以使学生了解各种交流方式的不同结果。</w:t>
            </w:r>
          </w:p>
          <w:p>
            <w:pPr>
              <w:jc w:val="left"/>
              <w:rPr>
                <w:rFonts w:ascii="宋体" w:hAnsi="宋体" w:cs="Arial"/>
                <w:szCs w:val="21"/>
              </w:rPr>
            </w:pPr>
            <w:r>
              <w:rPr>
                <w:rFonts w:hint="eastAsia" w:ascii="宋体" w:hAnsi="宋体" w:cs="Arial"/>
                <w:szCs w:val="21"/>
              </w:rPr>
              <w:t>3.教学部分教学课程章节编制，用动画、音频、视频、案例等多媒体互动方式让学员系统化地练习汽车技术服务与营销的基本技能。</w:t>
            </w:r>
          </w:p>
          <w:p>
            <w:pPr>
              <w:jc w:val="left"/>
              <w:rPr>
                <w:rFonts w:ascii="宋体" w:hAnsi="宋体" w:cs="Arial"/>
                <w:szCs w:val="21"/>
              </w:rPr>
            </w:pPr>
            <w:r>
              <w:rPr>
                <w:rFonts w:hint="eastAsia" w:ascii="宋体" w:hAnsi="宋体" w:cs="Arial"/>
                <w:szCs w:val="21"/>
              </w:rPr>
              <w:t>4.教学系统包含教学管理、题库管理、情景模拟、视频纠错、练习考试等模块。</w:t>
            </w:r>
          </w:p>
          <w:p>
            <w:pPr>
              <w:jc w:val="left"/>
              <w:rPr>
                <w:rFonts w:ascii="宋体" w:hAnsi="宋体" w:cs="Arial"/>
                <w:szCs w:val="21"/>
              </w:rPr>
            </w:pPr>
            <w:r>
              <w:rPr>
                <w:rFonts w:hint="eastAsia" w:ascii="宋体" w:hAnsi="宋体" w:cs="Arial"/>
                <w:szCs w:val="21"/>
              </w:rPr>
              <w:t>5.教学系统的主要内容全部采用三维建模，以动画仿真形式介绍汽车维修接待的全部流程。包含了招揽客户、预约管理、准备工作、维修接待、接车制单、咨询服务、作业管理、完工检查、结算交车、跟踪服务等课题，每个课题都采用交互式的教学方式。</w:t>
            </w:r>
          </w:p>
          <w:p>
            <w:pPr>
              <w:jc w:val="left"/>
              <w:rPr>
                <w:rFonts w:ascii="宋体" w:hAnsi="宋体" w:cs="Arial"/>
                <w:szCs w:val="21"/>
              </w:rPr>
            </w:pPr>
            <w:r>
              <w:rPr>
                <w:rFonts w:hint="eastAsia" w:ascii="宋体" w:hAnsi="宋体" w:cs="Arial"/>
                <w:szCs w:val="21"/>
              </w:rPr>
              <w:t>5.1招揽客户包括客户服务档案的利用、非本店销售车辆的首次回厂、按照标准建立客户服务档案、客户回厂维修、保养时加入维修信息、客户服务档案的日常维护等</w:t>
            </w:r>
          </w:p>
          <w:p>
            <w:pPr>
              <w:jc w:val="left"/>
              <w:rPr>
                <w:rFonts w:ascii="宋体" w:hAnsi="宋体" w:cs="Arial"/>
                <w:szCs w:val="21"/>
              </w:rPr>
            </w:pPr>
            <w:r>
              <w:rPr>
                <w:rFonts w:hint="eastAsia" w:ascii="宋体" w:hAnsi="宋体" w:cs="Arial"/>
                <w:szCs w:val="21"/>
              </w:rPr>
              <w:t>5.2预约管理包括获取客户车辆信息、了解客户关心的问题、估计车辆的维修费用、确认客户的预约要求、审查维修和接待能力、估计交车时间、确认预约的内容、为客户到来做好准备继而转入接待工作流程</w:t>
            </w:r>
          </w:p>
          <w:p>
            <w:pPr>
              <w:jc w:val="left"/>
              <w:rPr>
                <w:rFonts w:ascii="宋体" w:hAnsi="宋体" w:cs="Arial"/>
                <w:szCs w:val="21"/>
              </w:rPr>
            </w:pPr>
            <w:r>
              <w:rPr>
                <w:rFonts w:hint="eastAsia" w:ascii="宋体" w:hAnsi="宋体" w:cs="Arial"/>
                <w:szCs w:val="21"/>
              </w:rPr>
              <w:t>5.3准备工作包括草拟工作订单、检查是否是重复维修或者是遗漏维修项目、估计是否需要进一步工作并定好技术方案、填写材料出库单并通知相关人员做好准备、检查准备情况及时调整方案以及外出服务注意事项等</w:t>
            </w:r>
          </w:p>
          <w:p>
            <w:pPr>
              <w:jc w:val="left"/>
              <w:rPr>
                <w:rFonts w:ascii="宋体" w:hAnsi="宋体" w:cs="Arial"/>
                <w:szCs w:val="21"/>
              </w:rPr>
            </w:pPr>
            <w:r>
              <w:rPr>
                <w:rFonts w:hint="eastAsia" w:ascii="宋体" w:hAnsi="宋体" w:cs="Arial"/>
                <w:szCs w:val="21"/>
              </w:rPr>
              <w:t>5.4维修接待包括仪容仪表练习（装饰品、服装、工具等练习）、客户到达维修站、迅速出迎礼貌问候、自我介绍并询问客户、预约确认和预约提醒、安装维修三保、取得保养手册并记录车辆信息、询问客户维修项目并及时记录、询问客户是否增加其他维修项目、建议客户增加其他维修项目、维修项目确认、车内功能检查、车外功能检查和车辆上的物品确认等。</w:t>
            </w:r>
          </w:p>
          <w:p>
            <w:pPr>
              <w:jc w:val="left"/>
              <w:rPr>
                <w:rFonts w:ascii="宋体" w:hAnsi="宋体" w:cs="Arial"/>
                <w:szCs w:val="21"/>
              </w:rPr>
            </w:pPr>
            <w:r>
              <w:rPr>
                <w:rFonts w:hint="eastAsia" w:ascii="宋体" w:hAnsi="宋体" w:cs="Arial"/>
                <w:szCs w:val="21"/>
              </w:rPr>
              <w:t>5.5接车制单包括问诊、费用估计、预计完工时间、用户确认、说明交车程序、介绍客户休息室或送走客户。</w:t>
            </w:r>
          </w:p>
          <w:p>
            <w:pPr>
              <w:jc w:val="left"/>
              <w:rPr>
                <w:rFonts w:ascii="宋体" w:hAnsi="宋体" w:cs="Arial"/>
                <w:szCs w:val="21"/>
              </w:rPr>
            </w:pPr>
            <w:r>
              <w:rPr>
                <w:rFonts w:hint="eastAsia" w:ascii="宋体" w:hAnsi="宋体" w:cs="Arial"/>
                <w:szCs w:val="21"/>
              </w:rPr>
              <w:t>5.6咨询服务包括来电咨询、问候客户、倾听客户意见并分类（投诉、咨询以及紧急求援等）；如果是紧急求援应先倾听客户的真实情况、客户车辆是否可以自行行驶、如果不能自行行驶随即安排现场救援、回厂维修，排出故障、结算等。</w:t>
            </w:r>
          </w:p>
          <w:p>
            <w:pPr>
              <w:jc w:val="left"/>
              <w:rPr>
                <w:rFonts w:ascii="宋体" w:hAnsi="宋体" w:cs="Arial"/>
                <w:szCs w:val="21"/>
              </w:rPr>
            </w:pPr>
            <w:r>
              <w:rPr>
                <w:rFonts w:hint="eastAsia" w:ascii="宋体" w:hAnsi="宋体" w:cs="Arial"/>
                <w:szCs w:val="21"/>
              </w:rPr>
              <w:t>5.7作业管理包括确认是否需要优先派工、初步判定工作难度、确认客户提车时间、确认工作、了解技术工的技术情况、了解车间的使用情况；派工包括记录每日派工记录表、更新维修时间管理表；检查是否需要追加维修项目、得到确认后维修、进入维修工作流程。</w:t>
            </w:r>
          </w:p>
          <w:p>
            <w:pPr>
              <w:jc w:val="left"/>
              <w:rPr>
                <w:rFonts w:ascii="宋体" w:hAnsi="宋体" w:cs="Arial"/>
                <w:szCs w:val="21"/>
              </w:rPr>
            </w:pPr>
            <w:r>
              <w:rPr>
                <w:rFonts w:hint="eastAsia" w:ascii="宋体" w:hAnsi="宋体" w:cs="Arial"/>
                <w:szCs w:val="21"/>
              </w:rPr>
              <w:t>5.8完工检查包括自检、互检和质检；记录终检结果、向调度汇报、车辆清洁等</w:t>
            </w:r>
          </w:p>
          <w:p>
            <w:pPr>
              <w:jc w:val="left"/>
              <w:rPr>
                <w:rFonts w:ascii="宋体" w:hAnsi="宋体" w:cs="Arial"/>
                <w:szCs w:val="21"/>
              </w:rPr>
            </w:pPr>
            <w:r>
              <w:rPr>
                <w:rFonts w:hint="eastAsia" w:ascii="宋体" w:hAnsi="宋体" w:cs="Arial"/>
                <w:szCs w:val="21"/>
              </w:rPr>
              <w:t>5.9结算交车包括车辆移交前台、确认书面工作完毕、检查车辆维修工作均已完成、完成车辆维修结算单、向客户详细说明维修项目的明细和费用、向客户证实故障已经排除、结算车辆维修费用、交车等。</w:t>
            </w:r>
          </w:p>
          <w:p>
            <w:pPr>
              <w:jc w:val="left"/>
              <w:rPr>
                <w:rFonts w:ascii="宋体" w:hAnsi="宋体" w:cs="Arial"/>
                <w:szCs w:val="21"/>
              </w:rPr>
            </w:pPr>
            <w:r>
              <w:rPr>
                <w:rFonts w:hint="eastAsia" w:ascii="宋体" w:hAnsi="宋体" w:cs="Arial"/>
                <w:szCs w:val="21"/>
              </w:rPr>
              <w:t>5.10服务跟踪包括客户联系准备工作、规定时间内联系客户、确认客户车辆维修后的使用情况、记录电话内容，汇报相关领导；如有客户抱怨，记录相关信息，确认是否需要返厂维修、安排返修从而进入接待环节。</w:t>
            </w:r>
          </w:p>
          <w:p>
            <w:pPr>
              <w:jc w:val="left"/>
              <w:rPr>
                <w:rFonts w:ascii="宋体" w:hAnsi="宋体" w:cs="Arial"/>
                <w:szCs w:val="21"/>
              </w:rPr>
            </w:pPr>
            <w:r>
              <w:rPr>
                <w:rFonts w:hint="eastAsia" w:ascii="宋体" w:hAnsi="宋体" w:cs="Arial"/>
                <w:szCs w:val="21"/>
              </w:rPr>
              <w:t>视频纠错环节包括电话预约、环车检查、前台接待、维修等待和结算交车等；每个流程都具有正确做法、错误做法、答案纠正以及漫画讲解等。</w:t>
            </w:r>
          </w:p>
          <w:p>
            <w:pPr>
              <w:jc w:val="left"/>
              <w:rPr>
                <w:rFonts w:ascii="宋体" w:hAnsi="宋体" w:cs="Arial"/>
                <w:szCs w:val="21"/>
              </w:rPr>
            </w:pPr>
            <w:r>
              <w:rPr>
                <w:rFonts w:hint="eastAsia" w:ascii="宋体" w:hAnsi="宋体" w:cs="Arial"/>
                <w:szCs w:val="21"/>
              </w:rPr>
              <w:t>6.以授课易用性和工作技能实训为设计立足点，筛选出汽车维修服务行业中34个典型工作任务，包含主动预约、被动预约、使用汽车服务企业管理系统、预约确认、正前方检查、正后方检查、交车前检查、结算、一版维修保养服务跟踪回访、大客户的客户关怀、向客户汇报车辆保养进度等任务。</w:t>
            </w:r>
          </w:p>
          <w:p>
            <w:pPr>
              <w:jc w:val="left"/>
              <w:rPr>
                <w:rFonts w:ascii="宋体" w:hAnsi="宋体" w:cs="Arial"/>
                <w:szCs w:val="21"/>
              </w:rPr>
            </w:pPr>
            <w:r>
              <w:rPr>
                <w:rFonts w:hint="eastAsia" w:ascii="宋体" w:hAnsi="宋体" w:cs="Arial"/>
                <w:szCs w:val="21"/>
              </w:rPr>
              <w:t>7.学生可以不受场地和环境限制随时进行实训练习，提高工作岗位业务技能和综合技能。本系统支持不同品牌汽车的数据升级,满足各学校后续对于不同车型数据需求的升级技术要求。</w:t>
            </w:r>
          </w:p>
          <w:p>
            <w:pPr>
              <w:jc w:val="left"/>
              <w:rPr>
                <w:rFonts w:ascii="宋体" w:hAnsi="宋体" w:cs="Arial"/>
                <w:szCs w:val="21"/>
              </w:rPr>
            </w:pPr>
            <w:r>
              <w:rPr>
                <w:rFonts w:hint="eastAsia" w:ascii="宋体" w:hAnsi="宋体" w:cs="Arial"/>
                <w:szCs w:val="21"/>
              </w:rPr>
              <w:t>8.为满足教学需求，内嵌精简版“4S店预约管理系统”，包含预约管理、项目进度管理、结算、客户回访和报表等模块功能。用户可以通过此系统对不同情况的客户进行主动预约，查看预约排班表，预约确定；在车辆维修时,进行项目进度管理，添加物料、增项等电脑实操练习环节；也能练习如何通过“预约管理系统”进行客户回访，查看客户保养记录等内容。</w:t>
            </w:r>
          </w:p>
          <w:p>
            <w:pPr>
              <w:jc w:val="left"/>
              <w:rPr>
                <w:rFonts w:ascii="宋体" w:hAnsi="宋体"/>
                <w:szCs w:val="21"/>
              </w:rPr>
            </w:pPr>
            <w:r>
              <w:rPr>
                <w:rFonts w:hint="eastAsia" w:ascii="宋体" w:hAnsi="宋体" w:cs="Arial"/>
                <w:szCs w:val="21"/>
              </w:rPr>
              <w:t>9.系统采用3D游戏型交互方式设计。整套系统贯穿3D人物交谈、打招呼、递名片、填写表单、为客户倒水、介绍维修技师、进行三件套安装等交互。右键进行360度方向控制、旋转场景、以第一人称视角或第三人称视角全场景漫游。</w:t>
            </w:r>
          </w:p>
        </w:tc>
        <w:tc>
          <w:tcPr>
            <w:tcW w:w="425"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套</w:t>
            </w:r>
          </w:p>
        </w:tc>
        <w:tc>
          <w:tcPr>
            <w:tcW w:w="709" w:type="dxa"/>
            <w:tcBorders>
              <w:tl2br w:val="nil"/>
              <w:tr2bl w:val="nil"/>
            </w:tcBorders>
            <w:shd w:val="clear" w:color="auto" w:fill="auto"/>
            <w:tcMar>
              <w:left w:w="105" w:type="dxa"/>
              <w:right w:w="105" w:type="dxa"/>
            </w:tcMar>
            <w:vAlign w:val="center"/>
          </w:tcPr>
          <w:p>
            <w:pPr>
              <w:widowControl/>
              <w:jc w:val="center"/>
              <w:textAlignment w:val="center"/>
              <w:rPr>
                <w:rFonts w:ascii="宋体" w:hAnsi="宋体" w:cs="新宋体"/>
                <w:szCs w:val="21"/>
              </w:rPr>
            </w:pPr>
            <w:r>
              <w:rPr>
                <w:rFonts w:hint="eastAsia" w:ascii="宋体" w:hAnsi="宋体" w:cs="新宋体"/>
                <w:kern w:val="0"/>
                <w:szCs w:val="21"/>
              </w:rPr>
              <w:t>1</w:t>
            </w:r>
          </w:p>
        </w:tc>
        <w:tc>
          <w:tcPr>
            <w:tcW w:w="850" w:type="dxa"/>
            <w:tcBorders>
              <w:tl2br w:val="nil"/>
              <w:tr2bl w:val="nil"/>
            </w:tcBorders>
            <w:shd w:val="clear" w:color="auto" w:fill="auto"/>
            <w:vAlign w:val="center"/>
          </w:tcPr>
          <w:p>
            <w:pPr>
              <w:widowControl/>
              <w:spacing w:before="156" w:beforeLines="50"/>
              <w:ind w:leftChars="-2" w:hanging="4" w:hangingChars="2"/>
              <w:jc w:val="center"/>
            </w:pPr>
            <w:r>
              <w:rPr>
                <w:rFonts w:hint="eastAsia"/>
              </w:rPr>
              <w:t>否</w:t>
            </w:r>
          </w:p>
        </w:tc>
      </w:tr>
    </w:tbl>
    <w:p>
      <w:pPr>
        <w:spacing w:line="360" w:lineRule="auto"/>
        <w:ind w:firstLine="482" w:firstLineChars="200"/>
        <w:contextualSpacing/>
        <w:rPr>
          <w:rFonts w:cs="微软雅黑" w:asciiTheme="minorEastAsia" w:hAnsiTheme="minorEastAsia"/>
          <w:b/>
          <w:color w:val="FF0000"/>
          <w:sz w:val="24"/>
          <w:szCs w:val="24"/>
        </w:rPr>
      </w:pPr>
      <w:r>
        <w:rPr>
          <w:rFonts w:hint="eastAsia" w:cs="微软雅黑" w:asciiTheme="minorEastAsia" w:hAnsiTheme="minorEastAsia"/>
          <w:b/>
          <w:color w:val="FF0000"/>
          <w:sz w:val="24"/>
          <w:szCs w:val="24"/>
        </w:rPr>
        <w:t>本采购清单中所列技术规格或主要参数为最低要求，不允许负偏离，否则将承担其投标被视为非实质性响应投标的风险。</w:t>
      </w:r>
    </w:p>
    <w:p>
      <w:pPr>
        <w:spacing w:line="360" w:lineRule="auto"/>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三、采购标的执行标准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color w:val="auto"/>
          <w:kern w:val="0"/>
          <w:sz w:val="24"/>
          <w:szCs w:val="24"/>
        </w:rPr>
      </w:pPr>
      <w:r>
        <w:rPr>
          <w:rFonts w:hint="eastAsia" w:cs="仿宋_GB2312" w:asciiTheme="minorEastAsia" w:hAnsiTheme="minorEastAsia"/>
          <w:sz w:val="24"/>
          <w:szCs w:val="24"/>
          <w:lang w:val="zh-CN"/>
        </w:rPr>
        <w:t>如投标人所投产品属于“中国强制性产品认证”（3C认证）范围内,则必须承诺采用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并在有效期内的产品，应在投标文件中提供“所投产品符合国家强制性要求承诺函”并加盖投标人公章，否则将承担其投标被视为非实</w:t>
      </w:r>
      <w:r>
        <w:rPr>
          <w:rFonts w:hint="eastAsia" w:cs="仿宋_GB2312" w:asciiTheme="minorEastAsia" w:hAnsiTheme="minorEastAsia"/>
          <w:color w:val="auto"/>
          <w:sz w:val="24"/>
          <w:szCs w:val="24"/>
          <w:lang w:val="zh-CN"/>
        </w:rPr>
        <w:t>质性响应投标的风险。</w:t>
      </w:r>
    </w:p>
    <w:p>
      <w:pPr>
        <w:spacing w:line="360" w:lineRule="auto"/>
        <w:ind w:firstLine="480" w:firstLineChars="200"/>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（2）</w:t>
      </w:r>
      <w:r>
        <w:rPr>
          <w:rFonts w:cs="宋体" w:asciiTheme="minorEastAsia" w:hAnsiTheme="minorEastAsia"/>
          <w:color w:val="auto"/>
          <w:kern w:val="0"/>
          <w:sz w:val="24"/>
          <w:szCs w:val="24"/>
        </w:rPr>
        <w:t>信息安全产品强制性</w:t>
      </w:r>
      <w:r>
        <w:rPr>
          <w:rFonts w:hint="eastAsia" w:cs="宋体" w:asciiTheme="minorEastAsia" w:hAnsiTheme="minorEastAsia"/>
          <w:color w:val="auto"/>
          <w:kern w:val="0"/>
          <w:sz w:val="24"/>
          <w:szCs w:val="24"/>
        </w:rPr>
        <w:t>认证</w:t>
      </w:r>
    </w:p>
    <w:p>
      <w:pPr>
        <w:spacing w:line="360" w:lineRule="auto"/>
        <w:ind w:firstLine="480" w:firstLineChars="200"/>
        <w:contextualSpacing/>
        <w:rPr>
          <w:rFonts w:cs="宋体" w:asciiTheme="minorEastAsia" w:hAnsiTheme="minorEastAsia"/>
          <w:color w:val="auto"/>
          <w:kern w:val="0"/>
          <w:sz w:val="24"/>
          <w:szCs w:val="24"/>
        </w:rPr>
      </w:pPr>
      <w:r>
        <w:rPr>
          <w:rFonts w:hint="eastAsia" w:cs="仿宋_GB2312" w:asciiTheme="minorEastAsia" w:hAnsiTheme="minorEastAsia"/>
          <w:color w:val="auto"/>
          <w:sz w:val="24"/>
          <w:szCs w:val="24"/>
          <w:lang w:val="zh-CN"/>
        </w:rPr>
        <w:t>如投标人所投产品</w:t>
      </w:r>
      <w:r>
        <w:rPr>
          <w:rFonts w:hint="eastAsia" w:cs="宋体" w:asciiTheme="minorEastAsia" w:hAnsiTheme="minorEastAsia"/>
          <w:color w:val="auto"/>
          <w:kern w:val="0"/>
          <w:sz w:val="24"/>
          <w:szCs w:val="24"/>
        </w:rPr>
        <w:t>被列入</w:t>
      </w:r>
      <w:r>
        <w:rPr>
          <w:rFonts w:cs="宋体" w:asciiTheme="minorEastAsia" w:hAnsiTheme="minorEastAsia"/>
          <w:color w:val="auto"/>
          <w:kern w:val="0"/>
          <w:sz w:val="24"/>
          <w:szCs w:val="24"/>
        </w:rPr>
        <w:t>《信息安全产品强制性认证目录》，</w:t>
      </w:r>
      <w:r>
        <w:rPr>
          <w:rFonts w:hint="eastAsia" w:cs="宋体" w:asciiTheme="minorEastAsia" w:hAnsiTheme="minorEastAsia"/>
          <w:color w:val="auto"/>
          <w:kern w:val="0"/>
          <w:sz w:val="24"/>
          <w:szCs w:val="24"/>
        </w:rPr>
        <w:t>投标人</w:t>
      </w:r>
      <w:r>
        <w:rPr>
          <w:rFonts w:cs="宋体" w:asciiTheme="minorEastAsia" w:hAnsiTheme="minorEastAsia"/>
          <w:color w:val="auto"/>
          <w:kern w:val="0"/>
          <w:sz w:val="24"/>
          <w:szCs w:val="24"/>
        </w:rPr>
        <w:t>不能提供超出此目录范畴外的替代品</w:t>
      </w:r>
      <w:r>
        <w:rPr>
          <w:rFonts w:hint="eastAsia" w:cs="宋体" w:asciiTheme="minorEastAsia" w:hAnsiTheme="minorEastAsia"/>
          <w:color w:val="auto"/>
          <w:kern w:val="0"/>
          <w:sz w:val="24"/>
          <w:szCs w:val="24"/>
        </w:rPr>
        <w:t>并须在投标文件中提供：</w:t>
      </w:r>
    </w:p>
    <w:p>
      <w:pPr>
        <w:wordWrap w:val="0"/>
        <w:spacing w:line="360" w:lineRule="auto"/>
        <w:ind w:firstLine="480" w:firstLineChars="200"/>
        <w:contextualSpacing/>
        <w:rPr>
          <w:rFonts w:cs="宋体" w:asciiTheme="minorEastAsia" w:hAnsiTheme="minorEastAsia"/>
          <w:color w:val="auto"/>
          <w:kern w:val="0"/>
          <w:sz w:val="24"/>
          <w:szCs w:val="24"/>
        </w:rPr>
      </w:pPr>
      <w:r>
        <w:rPr>
          <w:rFonts w:hint="eastAsia" w:cs="宋体" w:asciiTheme="minorEastAsia" w:hAnsiTheme="minorEastAsia"/>
          <w:color w:val="auto"/>
          <w:kern w:val="0"/>
          <w:sz w:val="24"/>
          <w:szCs w:val="24"/>
        </w:rPr>
        <w:t>①中国信息安全认证中心官网（</w:t>
      </w:r>
      <w:r>
        <w:rPr>
          <w:rFonts w:cs="宋体" w:asciiTheme="minorEastAsia" w:hAnsiTheme="minorEastAsia"/>
          <w:color w:val="auto"/>
          <w:kern w:val="0"/>
          <w:sz w:val="24"/>
          <w:szCs w:val="24"/>
        </w:rPr>
        <w:t>http://www.isccc.gov.cn/index.shtml</w:t>
      </w:r>
      <w:r>
        <w:rPr>
          <w:rFonts w:hint="eastAsia" w:cs="宋体" w:asciiTheme="minorEastAsia" w:hAnsiTheme="minorEastAsia"/>
          <w:color w:val="auto"/>
          <w:kern w:val="0"/>
          <w:sz w:val="24"/>
          <w:szCs w:val="24"/>
        </w:rPr>
        <w:t>）产品查询结果截图并加盖投标人公章；</w:t>
      </w:r>
    </w:p>
    <w:p>
      <w:pPr>
        <w:wordWrap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color w:val="auto"/>
          <w:kern w:val="0"/>
          <w:sz w:val="24"/>
          <w:szCs w:val="24"/>
        </w:rPr>
        <w:t>②中国信息安全认证中心颁发的</w:t>
      </w:r>
      <w:r>
        <w:rPr>
          <w:rFonts w:cs="宋体" w:asciiTheme="minorEastAsia" w:hAnsiTheme="minorEastAsia"/>
          <w:color w:val="auto"/>
          <w:kern w:val="0"/>
          <w:sz w:val="24"/>
          <w:szCs w:val="24"/>
        </w:rPr>
        <w:t>《</w:t>
      </w:r>
      <w:r>
        <w:rPr>
          <w:color w:val="auto"/>
        </w:rPr>
        <w:fldChar w:fldCharType="begin"/>
      </w:r>
      <w:r>
        <w:rPr>
          <w:color w:val="auto"/>
        </w:rPr>
        <w:instrText xml:space="preserve"> HYPERLINK "http://www.cnca.gov.cn/cnca/zwxx/ggxx/images/2010/07/19/A6C32D2A507AC2A38326896013A67542.doc" \t "_blank" </w:instrText>
      </w:r>
      <w:r>
        <w:rPr>
          <w:color w:val="auto"/>
        </w:rPr>
        <w:fldChar w:fldCharType="separate"/>
      </w:r>
      <w:r>
        <w:rPr>
          <w:rFonts w:hint="eastAsia" w:cs="宋体" w:asciiTheme="minorEastAsia" w:hAnsiTheme="minorEastAsia"/>
          <w:color w:val="auto"/>
          <w:kern w:val="0"/>
          <w:sz w:val="24"/>
          <w:szCs w:val="24"/>
        </w:rPr>
        <w:t>中国国家信息安全产品认证证书</w:t>
      </w:r>
      <w:r>
        <w:rPr>
          <w:rFonts w:hint="eastAsia" w:cs="宋体" w:asciiTheme="minorEastAsia" w:hAnsiTheme="minorEastAsia"/>
          <w:color w:val="auto"/>
          <w:kern w:val="0"/>
          <w:sz w:val="24"/>
          <w:szCs w:val="24"/>
        </w:rPr>
        <w:fldChar w:fldCharType="end"/>
      </w:r>
      <w:r>
        <w:rPr>
          <w:rFonts w:cs="宋体" w:asciiTheme="minorEastAsia" w:hAnsiTheme="minorEastAsia"/>
          <w:color w:val="auto"/>
          <w:kern w:val="0"/>
          <w:sz w:val="24"/>
          <w:szCs w:val="24"/>
        </w:rPr>
        <w:t>》</w:t>
      </w:r>
      <w:r>
        <w:rPr>
          <w:rFonts w:hint="eastAsia" w:cs="宋体" w:asciiTheme="minorEastAsia" w:hAnsiTheme="minorEastAsia"/>
          <w:color w:val="auto"/>
          <w:kern w:val="0"/>
          <w:sz w:val="24"/>
          <w:szCs w:val="24"/>
        </w:rPr>
        <w:t>的原件扫描件（或图片）并加盖投标人公章</w:t>
      </w:r>
      <w:r>
        <w:rPr>
          <w:rFonts w:hint="eastAsia" w:cs="宋体" w:asciiTheme="minorEastAsia" w:hAnsiTheme="minorEastAsia"/>
          <w:kern w:val="0"/>
          <w:sz w:val="24"/>
          <w:szCs w:val="24"/>
        </w:rPr>
        <w:t>。</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spacing w:line="360" w:lineRule="auto"/>
        <w:ind w:firstLine="482" w:firstLineChars="200"/>
        <w:contextualSpacing/>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四、服务标准、期限、效率等要求</w:t>
      </w:r>
    </w:p>
    <w:p>
      <w:pPr>
        <w:wordWrap w:val="0"/>
        <w:topLinePunct/>
        <w:autoSpaceDE w:val="0"/>
        <w:autoSpaceDN w:val="0"/>
        <w:adjustRightInd w:val="0"/>
        <w:spacing w:line="360" w:lineRule="auto"/>
        <w:ind w:firstLine="482"/>
        <w:rPr>
          <w:rFonts w:hint="eastAsia" w:ascii="宋体" w:cs="宋体"/>
          <w:sz w:val="24"/>
          <w:lang w:val="zh-CN"/>
        </w:rPr>
      </w:pPr>
      <w:r>
        <w:rPr>
          <w:rFonts w:hint="eastAsia" w:ascii="宋体" w:cs="宋体"/>
          <w:sz w:val="24"/>
          <w:lang w:val="zh-CN"/>
        </w:rPr>
        <w:t>1、质 保 期：一年免费质保。</w:t>
      </w:r>
    </w:p>
    <w:p>
      <w:pPr>
        <w:wordWrap w:val="0"/>
        <w:topLinePunct/>
        <w:autoSpaceDE w:val="0"/>
        <w:autoSpaceDN w:val="0"/>
        <w:adjustRightInd w:val="0"/>
        <w:spacing w:line="360" w:lineRule="auto"/>
        <w:ind w:firstLine="482"/>
        <w:rPr>
          <w:rFonts w:hint="eastAsia" w:ascii="宋体" w:cs="宋体"/>
          <w:sz w:val="24"/>
          <w:lang w:val="zh-CN"/>
        </w:rPr>
      </w:pPr>
      <w:r>
        <w:rPr>
          <w:rFonts w:hint="eastAsia" w:ascii="宋体" w:cs="宋体"/>
          <w:sz w:val="24"/>
          <w:lang w:val="zh-CN"/>
        </w:rPr>
        <w:t>2、提供7*24小时服务，24小时解决问题。</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Cs w:val="21"/>
          <w:lang w:val="zh-CN"/>
        </w:rPr>
      </w:pPr>
      <w:r>
        <w:rPr>
          <w:rFonts w:hint="eastAsia" w:cs="宋体" w:asciiTheme="minorEastAsia" w:hAnsiTheme="minorEastAsia"/>
          <w:b/>
          <w:color w:val="000000"/>
          <w:kern w:val="0"/>
          <w:sz w:val="24"/>
          <w:szCs w:val="24"/>
          <w:lang w:val="zh-CN"/>
        </w:rPr>
        <w:t>五、采购标的的其他技术、服务等要求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1、投标人须明确投标产品的厂家、品牌、型号、详细参数，</w:t>
      </w:r>
      <w:r>
        <w:rPr>
          <w:rFonts w:hint="eastAsia" w:ascii="宋体" w:cs="宋体"/>
          <w:b/>
          <w:sz w:val="24"/>
          <w:lang w:val="zh-CN"/>
        </w:rPr>
        <w:t>否则为无效投标。</w:t>
      </w:r>
    </w:p>
    <w:p>
      <w:pPr>
        <w:wordWrap w:val="0"/>
        <w:topLinePunct/>
        <w:autoSpaceDE w:val="0"/>
        <w:autoSpaceDN w:val="0"/>
        <w:adjustRightInd w:val="0"/>
        <w:spacing w:line="360" w:lineRule="auto"/>
        <w:ind w:firstLine="482"/>
        <w:rPr>
          <w:rFonts w:hint="eastAsia" w:ascii="宋体" w:cs="宋体"/>
          <w:b/>
          <w:sz w:val="24"/>
          <w:lang w:val="zh-CN"/>
        </w:rPr>
      </w:pPr>
      <w:r>
        <w:rPr>
          <w:rFonts w:hint="eastAsia" w:ascii="宋体" w:cs="宋体"/>
          <w:sz w:val="24"/>
          <w:lang w:val="zh-CN"/>
        </w:rPr>
        <w:t>2、投标人应就本项目完整投标，</w:t>
      </w:r>
      <w:r>
        <w:rPr>
          <w:rFonts w:hint="eastAsia" w:ascii="宋体" w:cs="宋体"/>
          <w:b/>
          <w:sz w:val="24"/>
          <w:lang w:val="zh-CN"/>
        </w:rPr>
        <w:t>否则为无效投标。</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3</w:t>
      </w:r>
      <w:r>
        <w:rPr>
          <w:rFonts w:hint="eastAsia" w:ascii="宋体" w:cs="宋体"/>
          <w:sz w:val="24"/>
          <w:lang w:val="zh-CN"/>
        </w:rPr>
        <w:t>、验收中发现中标人未按合同规定的时间、地点或方式履约，提供的货物或服务的数量、质量、性能、功能达不到合同约定的，中标人应采取补足、更换或退货等处理措施，并承担相应的费用和损失。</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4</w:t>
      </w:r>
      <w:r>
        <w:rPr>
          <w:rFonts w:hint="eastAsia" w:ascii="宋体" w:cs="宋体"/>
          <w:sz w:val="24"/>
          <w:lang w:val="zh-CN"/>
        </w:rPr>
        <w:t>、中标人应将关键设备的用户手册、保修手册、随机工具交付使用者，使用操作及安全须知等重要资料应附中文说明。</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5</w:t>
      </w:r>
      <w:r>
        <w:rPr>
          <w:rFonts w:hint="eastAsia" w:ascii="宋体" w:cs="宋体"/>
          <w:sz w:val="24"/>
          <w:lang w:val="zh-CN"/>
        </w:rPr>
        <w:t>、投标人负责货物的现场安装调试和售后服务，免费为专业技术人员进行维护、操作、保养等方面的现场培训，直至能熟练独立操作为止；定期回访采购人，跟踪采购人使用情况，提供技术支持。</w:t>
      </w:r>
    </w:p>
    <w:p>
      <w:pPr>
        <w:wordWrap w:val="0"/>
        <w:topLinePunct/>
        <w:spacing w:line="360" w:lineRule="auto"/>
        <w:ind w:firstLine="480" w:firstLineChars="200"/>
        <w:rPr>
          <w:rFonts w:hint="eastAsia" w:ascii="宋体" w:cs="宋体"/>
          <w:sz w:val="24"/>
          <w:lang w:val="zh-CN"/>
        </w:rPr>
      </w:pPr>
      <w:r>
        <w:rPr>
          <w:rFonts w:hint="eastAsia" w:ascii="宋体" w:cs="宋体"/>
          <w:sz w:val="24"/>
          <w:lang w:val="en-US" w:eastAsia="zh-CN"/>
        </w:rPr>
        <w:t>6</w:t>
      </w:r>
      <w:r>
        <w:rPr>
          <w:rFonts w:hint="eastAsia" w:ascii="宋体" w:cs="宋体"/>
          <w:sz w:val="24"/>
          <w:lang w:val="zh-CN"/>
        </w:rPr>
        <w:t>、本项目为交钥匙工程（项目投标报价为总包价，包含货物采购、包装、运输、装卸、备品备件、专用工具、特殊工具、安装调试、检测验收、现场协调、人员培训、质保、税金、等一切费用），如有招标文件中没有明确，而本项目必须的各种材料、设备、施工器械均应包括在本项目中，采购人不再另行进行支付有关款项。</w:t>
      </w:r>
    </w:p>
    <w:p>
      <w:pPr>
        <w:wordWrap w:val="0"/>
        <w:topLinePunct/>
        <w:spacing w:line="360" w:lineRule="auto"/>
        <w:ind w:firstLine="480" w:firstLineChars="200"/>
        <w:rPr>
          <w:rFonts w:ascii="宋体" w:cs="宋体"/>
          <w:sz w:val="24"/>
          <w:lang w:val="zh-CN"/>
        </w:rPr>
      </w:pPr>
      <w:r>
        <w:rPr>
          <w:rFonts w:hint="eastAsia" w:ascii="宋体" w:cs="宋体"/>
          <w:sz w:val="24"/>
          <w:lang w:val="en-US" w:eastAsia="zh-CN"/>
        </w:rPr>
        <w:t>7</w:t>
      </w:r>
      <w:r>
        <w:rPr>
          <w:rFonts w:hint="eastAsia" w:ascii="宋体" w:cs="宋体"/>
          <w:sz w:val="24"/>
          <w:lang w:val="zh-CN"/>
        </w:rPr>
        <w:t>、所投产品必须符合国家质量检测标准和本招标文件规定标准的全新正品现货。</w:t>
      </w:r>
    </w:p>
    <w:p>
      <w:pPr>
        <w:widowControl/>
        <w:shd w:val="clear" w:color="auto" w:fill="FFFFFF"/>
        <w:spacing w:line="360" w:lineRule="auto"/>
        <w:ind w:firstLine="482" w:firstLineChars="200"/>
        <w:contextualSpacing/>
        <w:jc w:val="left"/>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六、验收标准</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hint="eastAsia" w:ascii="宋体" w:cs="宋体"/>
          <w:sz w:val="24"/>
          <w:lang w:val="zh-CN"/>
        </w:rPr>
      </w:pPr>
      <w:r>
        <w:rPr>
          <w:rFonts w:hint="eastAsia" w:ascii="宋体" w:cs="宋体"/>
          <w:sz w:val="24"/>
          <w:lang w:val="zh-CN"/>
        </w:rPr>
        <w:t>2、按照招标文件要求、投标文件响应和承诺验收。</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sz w:val="21"/>
          <w:szCs w:val="21"/>
          <w:shd w:val="clear" w:color="auto" w:fill="FFFFFF"/>
        </w:rPr>
      </w:pPr>
      <w:r>
        <w:rPr>
          <w:rFonts w:hint="eastAsia" w:cs="黑体" w:asciiTheme="minorEastAsia" w:hAnsiTheme="minorEastAsia" w:eastAsiaTheme="minorEastAsia"/>
          <w:b/>
          <w:bCs/>
          <w:color w:val="000000"/>
          <w:shd w:val="clear" w:color="auto" w:fill="FFFFFF"/>
        </w:rPr>
        <w:t>七、本项目预算金额 1730000元。最高限价1730000</w:t>
      </w:r>
      <w:r>
        <w:rPr>
          <w:rFonts w:hint="eastAsia" w:cs="黑体" w:asciiTheme="minorEastAsia" w:hAnsiTheme="minorEastAsia" w:eastAsiaTheme="minorEastAsia"/>
          <w:b/>
          <w:bCs/>
          <w:color w:val="000000"/>
          <w:shd w:val="clear" w:color="auto" w:fill="FFFFFF"/>
          <w:lang w:val="zh-CN"/>
        </w:rPr>
        <w:t>元。超出最</w:t>
      </w:r>
      <w:r>
        <w:rPr>
          <w:rFonts w:hint="eastAsia" w:cs="宋体" w:asciiTheme="minorEastAsia" w:hAnsiTheme="minorEastAsia" w:eastAsiaTheme="minorEastAsia"/>
          <w:b/>
          <w:color w:val="000000"/>
          <w:kern w:val="0"/>
          <w:lang w:val="zh-CN"/>
        </w:rPr>
        <w:t>高限价的投标无效。</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八、资金支付</w:t>
      </w:r>
    </w:p>
    <w:p>
      <w:pPr>
        <w:wordWrap w:val="0"/>
        <w:topLinePunct/>
        <w:spacing w:line="360" w:lineRule="auto"/>
        <w:ind w:firstLine="480" w:firstLineChars="200"/>
        <w:rPr>
          <w:rFonts w:hint="eastAsia" w:ascii="宋体" w:cs="宋体"/>
          <w:sz w:val="24"/>
          <w:lang w:val="zh-CN"/>
        </w:rPr>
      </w:pPr>
      <w:r>
        <w:rPr>
          <w:rFonts w:hint="eastAsia" w:cs="宋体" w:asciiTheme="minorEastAsia" w:hAnsiTheme="minorEastAsia"/>
          <w:color w:val="000000"/>
          <w:kern w:val="0"/>
          <w:sz w:val="24"/>
          <w:szCs w:val="24"/>
          <w:lang w:val="zh-CN"/>
        </w:rPr>
        <w:t>1、支付方式</w:t>
      </w:r>
      <w:r>
        <w:rPr>
          <w:rFonts w:hint="eastAsia" w:ascii="宋体" w:cs="宋体"/>
          <w:sz w:val="24"/>
          <w:lang w:val="zh-CN"/>
        </w:rPr>
        <w:t>：银行转账</w:t>
      </w:r>
    </w:p>
    <w:p>
      <w:pPr>
        <w:wordWrap w:val="0"/>
        <w:topLinePunct/>
        <w:spacing w:line="360" w:lineRule="auto"/>
        <w:ind w:firstLine="480" w:firstLineChars="200"/>
        <w:rPr>
          <w:rFonts w:hint="eastAsia" w:ascii="宋体" w:cs="宋体" w:eastAsiaTheme="minorEastAsia"/>
          <w:sz w:val="24"/>
          <w:lang w:val="en-US" w:eastAsia="zh-CN"/>
        </w:rPr>
      </w:pPr>
      <w:r>
        <w:rPr>
          <w:rFonts w:hint="eastAsia" w:ascii="宋体" w:cs="宋体"/>
          <w:sz w:val="24"/>
          <w:lang w:val="zh-CN"/>
        </w:rPr>
        <w:t>2、支付时间及条件：经验收合格付合同总价款的90%，剩余10%满一年无质量问题一次付清</w:t>
      </w:r>
      <w:r>
        <w:rPr>
          <w:rFonts w:hint="eastAsia" w:ascii="宋体" w:cs="宋体"/>
          <w:sz w:val="24"/>
          <w:lang w:val="zh-CN" w:eastAsia="zh-CN"/>
        </w:rPr>
        <w:t>。</w:t>
      </w:r>
    </w:p>
    <w:p>
      <w:pPr>
        <w:autoSpaceDE w:val="0"/>
        <w:autoSpaceDN w:val="0"/>
        <w:adjustRightInd w:val="0"/>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招标文件中凡标有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条款均为实质性要求条款，投标文件须完全响应，未实质响应的，按照无效投标处理。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项目名称：河南省职业学校“双高”项目建设（二）</w:t>
            </w:r>
          </w:p>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(不见面开标)</w:t>
            </w:r>
          </w:p>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项目编号：ZFCG-G2020</w:t>
            </w:r>
            <w:r>
              <w:rPr>
                <w:rFonts w:hint="eastAsia" w:cs="仿宋_GB2312" w:asciiTheme="minorEastAsia" w:hAnsiTheme="minorEastAsia"/>
                <w:color w:val="auto"/>
                <w:szCs w:val="21"/>
                <w:lang w:val="en-US" w:eastAsia="zh-CN"/>
              </w:rPr>
              <w:t>081</w:t>
            </w:r>
            <w:r>
              <w:rPr>
                <w:rFonts w:hint="eastAsia" w:cs="仿宋_GB2312" w:asciiTheme="minorEastAsia" w:hAnsiTheme="minorEastAsia"/>
                <w:color w:val="auto"/>
                <w:szCs w:val="21"/>
              </w:rPr>
              <w:t>号</w:t>
            </w:r>
          </w:p>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项目内容：汽车运用与维修实训基地进行提升改造，整车实训室购置实训车辆3台，汽车尾气分析仪、汽车发动机配气机构及配套工具等实训设备23台（套）；汽车营销实训室购置汽车营销实训考核系统和汽车营销配件管理系统、汽车营销实训工具汽车配件等软硬件设施8台（套）；新能源汽车实训室购置实训车辆1台，配套的整车故障设置平台、充电设备装配与调试实训台等实训设备27台（套）。</w:t>
            </w:r>
          </w:p>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项目地址：许昌科技学校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名称：许昌科技学校</w:t>
            </w:r>
          </w:p>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地址：许昌市建安区永昌东路职教园许昌科技学校</w:t>
            </w:r>
          </w:p>
          <w:p>
            <w:pPr>
              <w:autoSpaceDE w:val="0"/>
              <w:autoSpaceDN w:val="0"/>
              <w:adjustRightInd w:val="0"/>
              <w:spacing w:line="360" w:lineRule="auto"/>
              <w:jc w:val="left"/>
              <w:rPr>
                <w:rFonts w:hint="eastAsia" w:cs="仿宋_GB2312" w:asciiTheme="minorEastAsia" w:hAnsiTheme="minorEastAsia"/>
                <w:color w:val="auto"/>
                <w:szCs w:val="21"/>
              </w:rPr>
            </w:pPr>
            <w:r>
              <w:rPr>
                <w:rFonts w:hint="eastAsia" w:cs="仿宋_GB2312" w:asciiTheme="minorEastAsia" w:hAnsiTheme="minorEastAsia"/>
                <w:color w:val="auto"/>
                <w:szCs w:val="21"/>
              </w:rPr>
              <w:t>联系人： 黄金来                   电话：15225095876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color w:val="auto"/>
                <w:szCs w:val="21"/>
              </w:rPr>
            </w:pPr>
            <w:r>
              <w:rPr>
                <w:rFonts w:hint="eastAsia" w:cs="仿宋_GB2312" w:asciiTheme="minorEastAsia" w:hAnsiTheme="minorEastAsia"/>
                <w:color w:val="auto"/>
                <w:szCs w:val="21"/>
              </w:rPr>
              <w:t>名称：许昌市政府采购服务中心</w:t>
            </w:r>
          </w:p>
          <w:p>
            <w:pPr>
              <w:autoSpaceDE w:val="0"/>
              <w:autoSpaceDN w:val="0"/>
              <w:adjustRightInd w:val="0"/>
              <w:spacing w:line="360" w:lineRule="auto"/>
              <w:jc w:val="left"/>
              <w:rPr>
                <w:rFonts w:cs="仿宋_GB2312" w:asciiTheme="minorEastAsia" w:hAnsiTheme="minorEastAsia"/>
                <w:color w:val="auto"/>
                <w:sz w:val="24"/>
                <w:szCs w:val="24"/>
              </w:rPr>
            </w:pPr>
            <w:r>
              <w:rPr>
                <w:rFonts w:hint="eastAsia" w:cs="仿宋_GB2312" w:asciiTheme="minorEastAsia" w:hAnsiTheme="minorEastAsia"/>
                <w:color w:val="auto"/>
                <w:szCs w:val="21"/>
              </w:rPr>
              <w:t>地址：许昌市龙兴路与竹林路交汇处公创业服务中心C座</w:t>
            </w:r>
          </w:p>
          <w:p>
            <w:pPr>
              <w:autoSpaceDE w:val="0"/>
              <w:autoSpaceDN w:val="0"/>
              <w:adjustRightInd w:val="0"/>
              <w:spacing w:line="360" w:lineRule="auto"/>
              <w:jc w:val="left"/>
              <w:rPr>
                <w:rFonts w:hint="default" w:cs="仿宋_GB2312" w:asciiTheme="minorEastAsia" w:hAnsiTheme="minorEastAsia" w:eastAsiaTheme="minorEastAsia"/>
                <w:color w:val="auto"/>
                <w:szCs w:val="21"/>
                <w:lang w:val="en-US" w:eastAsia="zh-CN"/>
              </w:rPr>
            </w:pPr>
            <w:r>
              <w:rPr>
                <w:rFonts w:hint="eastAsia" w:cs="仿宋_GB2312" w:asciiTheme="minorEastAsia" w:hAnsiTheme="minorEastAsia"/>
                <w:color w:val="auto"/>
                <w:szCs w:val="21"/>
              </w:rPr>
              <w:t>联系人：</w:t>
            </w:r>
            <w:r>
              <w:rPr>
                <w:rFonts w:hint="eastAsia" w:cs="仿宋_GB2312" w:asciiTheme="minorEastAsia" w:hAnsiTheme="minorEastAsia"/>
                <w:color w:val="auto"/>
                <w:szCs w:val="21"/>
                <w:lang w:eastAsia="zh-CN"/>
              </w:rPr>
              <w:t>杨女士</w:t>
            </w:r>
            <w:r>
              <w:rPr>
                <w:rFonts w:hint="eastAsia" w:cs="仿宋_GB2312" w:asciiTheme="minorEastAsia" w:hAnsiTheme="minorEastAsia"/>
                <w:color w:val="auto"/>
                <w:szCs w:val="21"/>
              </w:rPr>
              <w:t xml:space="preserve">                    电话：0374-</w:t>
            </w:r>
            <w:r>
              <w:rPr>
                <w:rFonts w:hint="eastAsia" w:cs="仿宋_GB2312" w:asciiTheme="minorEastAsia" w:hAnsiTheme="minorEastAsia"/>
                <w:color w:val="auto"/>
                <w:szCs w:val="21"/>
                <w:lang w:val="en-US" w:eastAsia="zh-CN"/>
              </w:rPr>
              <w:t>2968687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color w:val="auto"/>
                <w:szCs w:val="21"/>
                <w:lang w:val="zh-CN"/>
              </w:rPr>
            </w:pPr>
            <w:r>
              <w:rPr>
                <w:rFonts w:hint="eastAsia" w:cs="宋体" w:asciiTheme="minorEastAsia" w:hAnsiTheme="minorEastAsia"/>
                <w:b/>
                <w:bCs/>
                <w:color w:val="auto"/>
                <w:szCs w:val="21"/>
                <w:lang w:val="zh-CN"/>
              </w:rPr>
              <w:t>一、</w:t>
            </w:r>
            <w:r>
              <w:rPr>
                <w:rFonts w:cs="宋体" w:asciiTheme="minorEastAsia" w:hAnsiTheme="minorEastAsia"/>
                <w:b/>
                <w:bCs/>
                <w:color w:val="auto"/>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1、企业法人营业执照或营业执照。（企业投标提供）</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2、事业单位法人证书。（事业单位投标提供）</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3、执业许可证。（非企业专业服务机构投标提供）</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4、个体工商户营业执照。（个体工商户投标提供）</w:t>
            </w:r>
          </w:p>
          <w:p>
            <w:pPr>
              <w:autoSpaceDE w:val="0"/>
              <w:autoSpaceDN w:val="0"/>
              <w:adjustRightInd w:val="0"/>
              <w:spacing w:line="360" w:lineRule="auto"/>
              <w:jc w:val="left"/>
              <w:rPr>
                <w:rFonts w:cs="宋体" w:asciiTheme="minorEastAsia" w:hAnsiTheme="minorEastAsia"/>
                <w:bCs/>
                <w:color w:val="auto"/>
                <w:szCs w:val="21"/>
                <w:lang w:val="zh-CN"/>
              </w:rPr>
            </w:pPr>
            <w:r>
              <w:rPr>
                <w:rFonts w:hint="eastAsia" w:cs="宋体" w:asciiTheme="minorEastAsia" w:hAnsiTheme="minorEastAsia"/>
                <w:bCs/>
                <w:color w:val="auto"/>
                <w:szCs w:val="21"/>
                <w:lang w:val="zh-CN"/>
              </w:rPr>
              <w:t>5、自然人身份证明。（自然人投标提供）</w:t>
            </w:r>
          </w:p>
          <w:p>
            <w:pPr>
              <w:autoSpaceDE w:val="0"/>
              <w:autoSpaceDN w:val="0"/>
              <w:adjustRightInd w:val="0"/>
              <w:spacing w:line="360" w:lineRule="auto"/>
              <w:jc w:val="left"/>
              <w:rPr>
                <w:rFonts w:cs="宋体" w:asciiTheme="minorEastAsia" w:hAnsiTheme="minorEastAsia"/>
                <w:bCs/>
                <w:color w:val="auto"/>
                <w:szCs w:val="21"/>
                <w:lang w:val="zh-CN"/>
              </w:rPr>
            </w:pPr>
            <w:r>
              <w:rPr>
                <w:rFonts w:hint="eastAsia" w:cs="宋体" w:asciiTheme="minorEastAsia" w:hAnsiTheme="minorEastAsia"/>
                <w:bCs/>
                <w:color w:val="auto"/>
                <w:szCs w:val="21"/>
                <w:lang w:val="zh-CN"/>
              </w:rPr>
              <w:t>6、民办非企业单位登记证书。（民办非企业单位投标提供）</w:t>
            </w:r>
          </w:p>
          <w:p>
            <w:pPr>
              <w:autoSpaceDE w:val="0"/>
              <w:autoSpaceDN w:val="0"/>
              <w:adjustRightInd w:val="0"/>
              <w:spacing w:line="360" w:lineRule="auto"/>
              <w:jc w:val="left"/>
              <w:rPr>
                <w:rFonts w:cs="仿宋_GB2312" w:asciiTheme="minorEastAsia" w:hAnsiTheme="minorEastAsia"/>
                <w:b/>
                <w:color w:val="auto"/>
                <w:szCs w:val="21"/>
              </w:rPr>
            </w:pPr>
            <w:r>
              <w:rPr>
                <w:rFonts w:hint="eastAsia" w:cs="仿宋_GB2312" w:asciiTheme="minorEastAsia" w:hAnsiTheme="minorEastAsia"/>
                <w:b/>
                <w:color w:val="auto"/>
                <w:szCs w:val="21"/>
              </w:rPr>
              <w:t>二、财务状况报告相关材料</w:t>
            </w:r>
          </w:p>
          <w:p>
            <w:pPr>
              <w:spacing w:line="360" w:lineRule="auto"/>
              <w:rPr>
                <w:rFonts w:asciiTheme="minorEastAsia" w:hAnsiTheme="minorEastAsia"/>
                <w:bCs/>
                <w:color w:val="auto"/>
                <w:szCs w:val="21"/>
              </w:rPr>
            </w:pPr>
            <w:r>
              <w:rPr>
                <w:rFonts w:hint="eastAsia" w:asciiTheme="minorEastAsia" w:hAnsiTheme="minorEastAsia"/>
                <w:bCs/>
                <w:color w:val="auto"/>
                <w:szCs w:val="21"/>
              </w:rPr>
              <w:t>1、投标人是法人（法人包括企业法人、机关法人、事业单位法人和社会团体法人），提供本单位：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①2018年度或2019年度经审计的财务报告，包括资产负债表、利润表、现金流量表、所有者权益变动表及其附注；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②基本开户银行出具的资信证明；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p>
            <w:pPr>
              <w:spacing w:line="360" w:lineRule="auto"/>
              <w:rPr>
                <w:rFonts w:asciiTheme="minorEastAsia" w:hAnsiTheme="minorEastAsia"/>
                <w:bCs/>
                <w:color w:val="auto"/>
                <w:szCs w:val="21"/>
              </w:rPr>
            </w:pPr>
            <w:r>
              <w:rPr>
                <w:rFonts w:hint="eastAsia" w:asciiTheme="minorEastAsia" w:hAnsiTheme="minorEastAsia"/>
                <w:bCs/>
                <w:color w:val="auto"/>
                <w:szCs w:val="21"/>
              </w:rPr>
              <w:t>2、投标人（其他组织和自然人）提供本单位：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①2018年度或2019年度经审计的财务报告，包括资产负债表、利润表、现金流量表、所有者权益变动表及其附注；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仿宋_GB2312" w:asciiTheme="minorEastAsia" w:hAnsiTheme="minorEastAsia"/>
                <w:b/>
                <w:color w:val="auto"/>
                <w:szCs w:val="21"/>
              </w:rPr>
              <w:t>三、依法缴纳税收相关材料</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参加本次政府采购项目投标截止时间前六个月内任意一个月缴纳税收凭据。（依法免税的投标人，应提供相应文件证明依法免税）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color w:val="auto"/>
                <w:szCs w:val="21"/>
                <w:lang w:val="zh-CN"/>
              </w:rPr>
            </w:pPr>
            <w:r>
              <w:rPr>
                <w:rFonts w:hint="eastAsia" w:cs="宋体" w:asciiTheme="minorEastAsia" w:hAnsiTheme="minorEastAsia"/>
                <w:b/>
                <w:bCs/>
                <w:color w:val="auto"/>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color w:val="auto"/>
                <w:szCs w:val="21"/>
                <w:lang w:val="zh-CN"/>
              </w:rPr>
            </w:pPr>
            <w:r>
              <w:rPr>
                <w:rFonts w:hint="eastAsia" w:cs="宋体" w:asciiTheme="minorEastAsia" w:hAnsiTheme="minorEastAsia"/>
                <w:bCs/>
                <w:color w:val="auto"/>
                <w:szCs w:val="21"/>
                <w:lang w:val="zh-CN"/>
              </w:rPr>
              <w:t>参加本次政府采购项目投标截止时间前六个月内任意一个月缴纳社会保险凭据。（依法不需要缴纳社会保障资金的投标人，应提供相应文件证明依法不需要缴纳社会保障资金）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color w:val="auto"/>
                <w:szCs w:val="21"/>
                <w:lang w:val="zh-CN"/>
              </w:rPr>
            </w:pPr>
            <w:r>
              <w:rPr>
                <w:rFonts w:hint="eastAsia" w:cs="宋体" w:asciiTheme="minorEastAsia" w:hAnsiTheme="minorEastAsia"/>
                <w:b/>
                <w:bCs/>
                <w:color w:val="auto"/>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color w:val="auto"/>
                <w:szCs w:val="21"/>
                <w:lang w:val="zh-CN"/>
              </w:rPr>
            </w:pPr>
            <w:r>
              <w:rPr>
                <w:rFonts w:hint="eastAsia" w:cs="宋体" w:asciiTheme="minorEastAsia" w:hAnsiTheme="minorEastAsia"/>
                <w:bCs/>
                <w:color w:val="auto"/>
                <w:szCs w:val="21"/>
                <w:lang w:val="zh-CN"/>
              </w:rPr>
              <w:t>1、相关设备的购置发票、专业技术人员职称证书、用工合同等；</w:t>
            </w:r>
          </w:p>
          <w:p>
            <w:pPr>
              <w:spacing w:line="360" w:lineRule="auto"/>
              <w:rPr>
                <w:rFonts w:asciiTheme="minorEastAsia" w:hAnsiTheme="minorEastAsia"/>
                <w:bCs/>
                <w:color w:val="auto"/>
                <w:szCs w:val="21"/>
              </w:rPr>
            </w:pPr>
            <w:r>
              <w:rPr>
                <w:rFonts w:hint="eastAsia" w:asciiTheme="minorEastAsia" w:hAnsiTheme="minorEastAsia"/>
                <w:bCs/>
                <w:color w:val="auto"/>
                <w:szCs w:val="21"/>
              </w:rPr>
              <w:t>2、投标人具备履行合同所必须的设备和专业技术能力承诺函或声明（承诺函或声明格式自拟）。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auto"/>
                <w:sz w:val="24"/>
                <w:szCs w:val="24"/>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1～2其中之一即可。</w:t>
            </w:r>
          </w:p>
          <w:p>
            <w:pPr>
              <w:autoSpaceDE w:val="0"/>
              <w:autoSpaceDN w:val="0"/>
              <w:adjustRightInd w:val="0"/>
              <w:spacing w:line="360" w:lineRule="auto"/>
              <w:ind w:right="-11"/>
              <w:rPr>
                <w:rFonts w:cs="宋体" w:asciiTheme="minorEastAsia" w:hAnsiTheme="minorEastAsia"/>
                <w:b/>
                <w:bCs/>
                <w:color w:val="auto"/>
                <w:szCs w:val="21"/>
                <w:lang w:val="zh-CN"/>
              </w:rPr>
            </w:pPr>
            <w:r>
              <w:rPr>
                <w:rFonts w:hint="eastAsia" w:cs="宋体" w:asciiTheme="minorEastAsia" w:hAnsiTheme="minorEastAsia"/>
                <w:b/>
                <w:color w:val="auto"/>
                <w:kern w:val="0"/>
                <w:szCs w:val="21"/>
              </w:rPr>
              <w:t>六、</w:t>
            </w:r>
            <w:r>
              <w:rPr>
                <w:rFonts w:cs="宋体" w:asciiTheme="minorEastAsia" w:hAnsiTheme="minorEastAsia"/>
                <w:b/>
                <w:bCs/>
                <w:color w:val="auto"/>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投标人“</w:t>
            </w:r>
            <w:r>
              <w:rPr>
                <w:rFonts w:cs="宋体" w:asciiTheme="minorEastAsia" w:hAnsiTheme="minorEastAsia"/>
                <w:bCs/>
                <w:color w:val="auto"/>
                <w:szCs w:val="21"/>
                <w:lang w:val="zh-CN"/>
              </w:rPr>
              <w:t>参加政府采购活动前3年内在经营活动中没有重大违法记录的书面声明</w:t>
            </w:r>
            <w:r>
              <w:rPr>
                <w:rFonts w:hint="eastAsia" w:cs="宋体" w:asciiTheme="minorEastAsia" w:hAnsiTheme="minorEastAsia"/>
                <w:bCs/>
                <w:color w:val="auto"/>
                <w:szCs w:val="21"/>
                <w:lang w:val="zh-CN"/>
              </w:rPr>
              <w:t>”。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color w:val="auto"/>
                <w:kern w:val="0"/>
                <w:szCs w:val="21"/>
              </w:rPr>
            </w:pPr>
            <w:r>
              <w:rPr>
                <w:rFonts w:hint="eastAsia" w:cs="宋体" w:asciiTheme="minorEastAsia" w:hAnsiTheme="minorEastAsia"/>
                <w:b/>
                <w:bCs/>
                <w:color w:val="auto"/>
                <w:szCs w:val="21"/>
                <w:lang w:val="zh-CN"/>
              </w:rPr>
              <w:t>七、</w:t>
            </w:r>
            <w:r>
              <w:rPr>
                <w:rFonts w:cs="仿宋_GB2312" w:asciiTheme="minorEastAsia" w:hAnsiTheme="minorEastAsia"/>
                <w:b/>
                <w:color w:val="auto"/>
                <w:szCs w:val="21"/>
                <w:shd w:val="clear" w:color="auto" w:fill="FFFFFF"/>
              </w:rPr>
              <w:t>未被列入“信用中国”网站(www.creditchina.gov.cn)失信被执行人、重大税收违法案件当事人名单的投标人；</w:t>
            </w:r>
            <w:r>
              <w:rPr>
                <w:rFonts w:hint="eastAsia" w:cs="仿宋_GB2312" w:asciiTheme="minorEastAsia" w:hAnsiTheme="minorEastAsia"/>
                <w:b/>
                <w:color w:val="auto"/>
                <w:szCs w:val="21"/>
                <w:shd w:val="clear" w:color="auto" w:fill="FFFFFF"/>
              </w:rPr>
              <w:t>“</w:t>
            </w:r>
            <w:r>
              <w:rPr>
                <w:rFonts w:cs="仿宋_GB2312" w:asciiTheme="minorEastAsia" w:hAnsiTheme="minorEastAsia"/>
                <w:b/>
                <w:color w:val="auto"/>
                <w:szCs w:val="21"/>
                <w:shd w:val="clear" w:color="auto" w:fill="FFFFFF"/>
              </w:rPr>
              <w:t>中国政府采购网</w:t>
            </w:r>
            <w:r>
              <w:rPr>
                <w:rFonts w:hint="eastAsia" w:cs="仿宋_GB2312" w:asciiTheme="minorEastAsia" w:hAnsiTheme="minorEastAsia"/>
                <w:b/>
                <w:color w:val="auto"/>
                <w:szCs w:val="21"/>
                <w:shd w:val="clear" w:color="auto" w:fill="FFFFFF"/>
              </w:rPr>
              <w:t>”</w:t>
            </w:r>
            <w:r>
              <w:rPr>
                <w:rFonts w:cs="仿宋_GB2312" w:asciiTheme="minorEastAsia" w:hAnsiTheme="minorEastAsia"/>
                <w:b/>
                <w:color w:val="auto"/>
                <w:szCs w:val="21"/>
                <w:shd w:val="clear" w:color="auto" w:fill="FFFFFF"/>
              </w:rPr>
              <w:t xml:space="preserve"> (www.ccgp.gov.cn)政府采购严重违法失信行为记录名单的投标人</w:t>
            </w:r>
            <w:r>
              <w:rPr>
                <w:rFonts w:hint="eastAsia" w:cs="宋体" w:asciiTheme="minorEastAsia" w:hAnsiTheme="minorEastAsia"/>
                <w:b/>
                <w:bCs/>
                <w:color w:val="auto"/>
                <w:szCs w:val="21"/>
                <w:lang w:val="zh-CN"/>
              </w:rPr>
              <w:t>；</w:t>
            </w:r>
            <w:r>
              <w:rPr>
                <w:rFonts w:hint="eastAsia" w:cs="仿宋_GB2312" w:asciiTheme="minorEastAsia" w:hAnsiTheme="minorEastAsia"/>
                <w:b/>
                <w:color w:val="auto"/>
                <w:szCs w:val="21"/>
                <w:shd w:val="clear" w:color="auto" w:fill="FFFFFF"/>
              </w:rPr>
              <w:t xml:space="preserve"> “中国社会组织公共服务平台”网站（</w:t>
            </w:r>
            <w:r>
              <w:rPr>
                <w:rFonts w:cs="仿宋_GB2312" w:asciiTheme="minorEastAsia" w:hAnsiTheme="minorEastAsia"/>
                <w:b/>
                <w:color w:val="auto"/>
                <w:szCs w:val="21"/>
                <w:shd w:val="clear" w:color="auto" w:fill="FFFFFF"/>
              </w:rPr>
              <w:t>www.chinanpo.gov.cn</w:t>
            </w:r>
            <w:r>
              <w:rPr>
                <w:rFonts w:hint="eastAsia" w:cs="仿宋_GB2312" w:asciiTheme="minorEastAsia" w:hAnsiTheme="minorEastAsia"/>
                <w:b/>
                <w:color w:val="auto"/>
                <w:szCs w:val="21"/>
                <w:shd w:val="clear" w:color="auto" w:fill="FFFFFF"/>
              </w:rPr>
              <w:t>）严重违法失信社会组织（</w:t>
            </w:r>
            <w:r>
              <w:rPr>
                <w:rFonts w:hint="eastAsia" w:cs="宋体" w:asciiTheme="minorEastAsia" w:hAnsiTheme="minorEastAsia"/>
                <w:color w:val="auto"/>
                <w:kern w:val="0"/>
                <w:szCs w:val="21"/>
              </w:rPr>
              <w:t>联合体形式投标的，联合体成员存在不良信用记录，视同联合体存在不良信用记录）。</w:t>
            </w:r>
          </w:p>
          <w:p>
            <w:pPr>
              <w:spacing w:line="360" w:lineRule="auto"/>
              <w:rPr>
                <w:rFonts w:cs="宋体" w:asciiTheme="minorEastAsia" w:hAnsiTheme="minorEastAsia"/>
                <w:color w:val="auto"/>
                <w:kern w:val="0"/>
                <w:szCs w:val="21"/>
              </w:rPr>
            </w:pPr>
            <w:r>
              <w:rPr>
                <w:rFonts w:hint="eastAsia" w:cs="宋体" w:asciiTheme="minorEastAsia" w:hAnsiTheme="minorEastAsia"/>
                <w:color w:val="auto"/>
                <w:kern w:val="0"/>
                <w:szCs w:val="21"/>
              </w:rPr>
              <w:t>1、查询渠道：</w:t>
            </w:r>
          </w:p>
          <w:p>
            <w:pPr>
              <w:spacing w:line="360" w:lineRule="auto"/>
              <w:rPr>
                <w:rFonts w:cs="宋体" w:asciiTheme="minorEastAsia" w:hAnsiTheme="minorEastAsia"/>
                <w:color w:val="auto"/>
                <w:kern w:val="0"/>
                <w:szCs w:val="21"/>
              </w:rPr>
            </w:pPr>
            <w:r>
              <w:rPr>
                <w:rFonts w:hint="eastAsia" w:cs="宋体" w:asciiTheme="minorEastAsia" w:hAnsiTheme="minorEastAsia"/>
                <w:color w:val="auto"/>
                <w:kern w:val="0"/>
                <w:szCs w:val="21"/>
              </w:rPr>
              <w:t>①“信用中国”网站（</w:t>
            </w:r>
            <w:r>
              <w:rPr>
                <w:color w:val="auto"/>
              </w:rPr>
              <w:fldChar w:fldCharType="begin"/>
            </w:r>
            <w:r>
              <w:rPr>
                <w:color w:val="auto"/>
              </w:rPr>
              <w:instrText xml:space="preserve"> HYPERLINK "http://www.creditchina.gov.cn" </w:instrText>
            </w:r>
            <w:r>
              <w:rPr>
                <w:color w:val="auto"/>
              </w:rPr>
              <w:fldChar w:fldCharType="separate"/>
            </w:r>
            <w:r>
              <w:rPr>
                <w:rFonts w:hint="eastAsia" w:cs="宋体"/>
                <w:color w:val="auto"/>
                <w:kern w:val="0"/>
              </w:rPr>
              <w:t>www.creditchina.gov.cn</w:t>
            </w:r>
            <w:r>
              <w:rPr>
                <w:rFonts w:hint="eastAsia" w:cs="宋体"/>
                <w:color w:val="auto"/>
                <w:kern w:val="0"/>
              </w:rPr>
              <w:fldChar w:fldCharType="end"/>
            </w:r>
            <w:r>
              <w:rPr>
                <w:rFonts w:hint="eastAsia" w:cs="宋体" w:asciiTheme="minorEastAsia" w:hAnsiTheme="minorEastAsia"/>
                <w:color w:val="auto"/>
                <w:kern w:val="0"/>
                <w:szCs w:val="21"/>
              </w:rPr>
              <w:t>）</w:t>
            </w:r>
          </w:p>
          <w:p>
            <w:pPr>
              <w:spacing w:line="360" w:lineRule="auto"/>
              <w:rPr>
                <w:rFonts w:cs="宋体" w:asciiTheme="minorEastAsia" w:hAnsiTheme="minorEastAsia"/>
                <w:color w:val="auto"/>
                <w:kern w:val="0"/>
                <w:szCs w:val="21"/>
              </w:rPr>
            </w:pPr>
            <w:r>
              <w:rPr>
                <w:rFonts w:hint="eastAsia" w:cs="宋体" w:asciiTheme="minorEastAsia" w:hAnsiTheme="minorEastAsia"/>
                <w:color w:val="auto"/>
                <w:kern w:val="0"/>
                <w:szCs w:val="21"/>
              </w:rPr>
              <w:t>②“中国政府采购网”（www.ccgp.gov.cn）</w:t>
            </w:r>
          </w:p>
          <w:p>
            <w:pPr>
              <w:spacing w:line="360" w:lineRule="auto"/>
              <w:rPr>
                <w:rFonts w:cs="宋体" w:asciiTheme="minorEastAsia" w:hAnsiTheme="minorEastAsia"/>
                <w:color w:val="auto"/>
                <w:kern w:val="0"/>
                <w:szCs w:val="21"/>
              </w:rPr>
            </w:pPr>
            <w:r>
              <w:rPr>
                <w:rFonts w:hint="eastAsia" w:cs="宋体" w:asciiTheme="minorEastAsia" w:hAnsiTheme="minorEastAsia"/>
                <w:color w:val="auto"/>
                <w:kern w:val="0"/>
                <w:szCs w:val="21"/>
              </w:rPr>
              <w:t>③“中国社会组织公共服务平台”网站（</w:t>
            </w:r>
            <w:r>
              <w:rPr>
                <w:rFonts w:cs="宋体" w:asciiTheme="minorEastAsia" w:hAnsiTheme="minorEastAsia"/>
                <w:color w:val="auto"/>
                <w:kern w:val="0"/>
                <w:szCs w:val="21"/>
              </w:rPr>
              <w:t>www.chinanpo.gov.cn</w:t>
            </w:r>
            <w:r>
              <w:rPr>
                <w:rFonts w:hint="eastAsia" w:cs="宋体" w:asciiTheme="minorEastAsia" w:hAnsiTheme="minorEastAsia"/>
                <w:color w:val="auto"/>
                <w:kern w:val="0"/>
                <w:szCs w:val="21"/>
              </w:rPr>
              <w:t>）（仅查询社会组织）；</w:t>
            </w:r>
          </w:p>
          <w:p>
            <w:pPr>
              <w:autoSpaceDE w:val="0"/>
              <w:autoSpaceDN w:val="0"/>
              <w:spacing w:line="360" w:lineRule="auto"/>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2、截止时间：同投标截止时间；</w:t>
            </w:r>
          </w:p>
          <w:p>
            <w:pPr>
              <w:autoSpaceDE w:val="0"/>
              <w:autoSpaceDN w:val="0"/>
              <w:spacing w:line="360" w:lineRule="auto"/>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4、信用信息的使用原则：经采购人认定的被列入失信被执行人、重大税收违法案件当事人名单、</w:t>
            </w:r>
            <w:r>
              <w:rPr>
                <w:rFonts w:cs="仿宋_GB2312" w:asciiTheme="minorEastAsia" w:hAnsiTheme="minorEastAsia"/>
                <w:color w:val="auto"/>
                <w:szCs w:val="21"/>
                <w:shd w:val="clear" w:color="auto" w:fill="FFFFFF"/>
              </w:rPr>
              <w:t>政府采购严重违法失信行为记录名单</w:t>
            </w:r>
            <w:r>
              <w:rPr>
                <w:rFonts w:hint="eastAsia" w:cs="仿宋_GB2312" w:asciiTheme="minorEastAsia" w:hAnsiTheme="minorEastAsia"/>
                <w:color w:val="auto"/>
                <w:szCs w:val="21"/>
                <w:shd w:val="clear" w:color="auto" w:fill="FFFFFF"/>
              </w:rPr>
              <w:t>的投标人、</w:t>
            </w:r>
            <w:r>
              <w:rPr>
                <w:rFonts w:hint="eastAsia" w:cs="宋体" w:asciiTheme="minorEastAsia" w:hAnsiTheme="minorEastAsia"/>
                <w:color w:val="auto"/>
                <w:kern w:val="0"/>
                <w:szCs w:val="21"/>
              </w:rPr>
              <w:t>严重违法失信社会组织，将拒绝其参与本次政府采购活动。</w:t>
            </w:r>
          </w:p>
          <w:p>
            <w:pPr>
              <w:autoSpaceDE w:val="0"/>
              <w:autoSpaceDN w:val="0"/>
              <w:spacing w:line="360" w:lineRule="auto"/>
              <w:contextualSpacing/>
              <w:rPr>
                <w:rFonts w:cs="仿宋_GB2312" w:asciiTheme="minorEastAsia" w:hAnsiTheme="minorEastAsia"/>
                <w:color w:val="auto"/>
                <w:szCs w:val="21"/>
              </w:rPr>
            </w:pPr>
            <w:r>
              <w:rPr>
                <w:rFonts w:hint="eastAsia" w:cs="宋体" w:asciiTheme="minorEastAsia" w:hAnsiTheme="minorEastAsia"/>
                <w:color w:val="auto"/>
                <w:kern w:val="0"/>
                <w:szCs w:val="21"/>
              </w:rPr>
              <w:t>5、投标人无须提供</w:t>
            </w:r>
            <w:r>
              <w:rPr>
                <w:rFonts w:hint="eastAsia" w:ascii="宋体" w:hAnsi="宋体" w:cs="微软雅黑"/>
                <w:bCs/>
                <w:color w:val="auto"/>
                <w:szCs w:val="21"/>
              </w:rPr>
              <w:t>信用记录查询结果网页截屏。</w:t>
            </w:r>
            <w:r>
              <w:rPr>
                <w:rFonts w:hint="eastAsia" w:cs="宋体" w:asciiTheme="minorEastAsia" w:hAnsiTheme="minorEastAsia"/>
                <w:color w:val="auto"/>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最高限价</w:t>
            </w:r>
          </w:p>
        </w:tc>
        <w:tc>
          <w:tcPr>
            <w:tcW w:w="6813" w:type="dxa"/>
            <w:vAlign w:val="center"/>
          </w:tcPr>
          <w:p>
            <w:pPr>
              <w:autoSpaceDE w:val="0"/>
              <w:autoSpaceDN w:val="0"/>
              <w:adjustRightInd w:val="0"/>
              <w:spacing w:line="276"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1730000</w:t>
            </w:r>
            <w:r>
              <w:rPr>
                <w:rFonts w:hint="eastAsia" w:cs="宋体" w:asciiTheme="minorEastAsia" w:hAnsiTheme="minorEastAsia"/>
                <w:bCs/>
                <w:szCs w:val="21"/>
                <w:lang w:val="zh-CN"/>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投标有效期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提交投标文件的截止之日起算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cs="仿宋_GB2312" w:asciiTheme="minorEastAsia" w:hAnsiTheme="minorEastAsia"/>
                <w:szCs w:val="21"/>
                <w:lang w:val="zh-CN"/>
              </w:rPr>
              <w:t>中标</w:t>
            </w:r>
            <w:r>
              <w:rPr>
                <w:rFonts w:hint="eastAsia" w:cs="仿宋_GB2312" w:asciiTheme="minorEastAsia" w:hAnsiTheme="minorEastAsia"/>
                <w:szCs w:val="21"/>
                <w:lang w:val="zh-CN"/>
              </w:rPr>
              <w:t>人投标</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cs="宋体" w:asciiTheme="minorEastAsia" w:hAnsiTheme="minorEastAsia"/>
                <w:bCs/>
                <w:szCs w:val="21"/>
                <w:lang w:val="zh-CN"/>
              </w:rPr>
              <w:t>中标人将本项目非主体、非关键性工作分包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投标截止及开标时间</w:t>
            </w:r>
          </w:p>
        </w:tc>
        <w:tc>
          <w:tcPr>
            <w:tcW w:w="6813" w:type="dxa"/>
            <w:vAlign w:val="center"/>
          </w:tcPr>
          <w:p>
            <w:pPr>
              <w:autoSpaceDE w:val="0"/>
              <w:autoSpaceDN w:val="0"/>
              <w:adjustRightInd w:val="0"/>
              <w:spacing w:line="360" w:lineRule="auto"/>
              <w:ind w:firstLine="210" w:firstLineChars="100"/>
              <w:rPr>
                <w:rFonts w:cs="宋体" w:asciiTheme="minorEastAsia" w:hAnsiTheme="minorEastAsia"/>
                <w:bCs/>
                <w:szCs w:val="21"/>
                <w:lang w:val="zh-CN"/>
              </w:rPr>
            </w:pPr>
            <w:r>
              <w:rPr>
                <w:rFonts w:hint="eastAsia" w:cs="宋体" w:asciiTheme="minorEastAsia" w:hAnsiTheme="minorEastAsia"/>
                <w:bCs/>
                <w:szCs w:val="21"/>
                <w:lang w:val="en-US" w:eastAsia="zh-CN"/>
              </w:rPr>
              <w:t>2020</w:t>
            </w:r>
            <w:r>
              <w:rPr>
                <w:rFonts w:hint="eastAsia" w:cs="宋体" w:asciiTheme="minorEastAsia" w:hAnsiTheme="minorEastAsia"/>
                <w:bCs/>
                <w:szCs w:val="21"/>
                <w:lang w:val="zh-CN"/>
              </w:rPr>
              <w:t xml:space="preserve"> 年</w:t>
            </w:r>
            <w:r>
              <w:rPr>
                <w:rFonts w:hint="eastAsia" w:cs="宋体" w:asciiTheme="minorEastAsia" w:hAnsiTheme="minorEastAsia"/>
                <w:bCs/>
                <w:szCs w:val="21"/>
                <w:lang w:val="en-US" w:eastAsia="zh-CN"/>
              </w:rPr>
              <w:t>7</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14</w:t>
            </w:r>
            <w:r>
              <w:rPr>
                <w:rFonts w:hint="eastAsia" w:cs="宋体" w:asciiTheme="minorEastAsia" w:hAnsiTheme="minorEastAsia"/>
                <w:bCs/>
                <w:szCs w:val="21"/>
                <w:lang w:val="zh-CN"/>
              </w:rPr>
              <w:t>日</w:t>
            </w:r>
            <w:r>
              <w:rPr>
                <w:rFonts w:hint="eastAsia" w:cs="宋体" w:asciiTheme="minorEastAsia" w:hAnsiTheme="minorEastAsia"/>
                <w:bCs/>
                <w:szCs w:val="21"/>
                <w:lang w:val="en-US" w:eastAsia="zh-CN"/>
              </w:rPr>
              <w:t>8</w:t>
            </w:r>
            <w:r>
              <w:rPr>
                <w:rFonts w:hint="eastAsia" w:cs="宋体" w:asciiTheme="minorEastAsia" w:hAnsiTheme="minorEastAsia"/>
                <w:bCs/>
                <w:szCs w:val="21"/>
                <w:lang w:val="zh-CN"/>
              </w:rPr>
              <w:t>时</w:t>
            </w:r>
            <w:r>
              <w:rPr>
                <w:rFonts w:hint="eastAsia" w:cs="宋体" w:asciiTheme="minorEastAsia" w:hAnsiTheme="minorEastAsia"/>
                <w:bCs/>
                <w:szCs w:val="21"/>
                <w:lang w:val="en-US" w:eastAsia="zh-CN"/>
              </w:rPr>
              <w:t>30</w:t>
            </w:r>
            <w:r>
              <w:rPr>
                <w:rFonts w:hint="eastAsia" w:cs="宋体" w:asciiTheme="minorEastAsia" w:hAnsiTheme="minorEastAsia"/>
                <w:bCs/>
                <w:szCs w:val="21"/>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开标地点</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color w:val="000000"/>
                <w:szCs w:val="21"/>
              </w:rPr>
              <w:t>开标地点：许昌市公共资源交易中心开标</w:t>
            </w:r>
            <w:r>
              <w:rPr>
                <w:rFonts w:hint="eastAsia" w:cs="仿宋_GB2312" w:asciiTheme="minorEastAsia" w:hAnsiTheme="minorEastAsia"/>
                <w:color w:val="000000"/>
                <w:szCs w:val="21"/>
                <w:lang w:eastAsia="zh-CN"/>
              </w:rPr>
              <w:t>五</w:t>
            </w:r>
            <w:r>
              <w:rPr>
                <w:rFonts w:hint="eastAsia" w:cs="仿宋_GB2312" w:asciiTheme="minorEastAsia" w:hAnsiTheme="minorEastAsia"/>
                <w:color w:val="000000"/>
                <w:szCs w:val="21"/>
              </w:rPr>
              <w:t>室（</w:t>
            </w:r>
            <w:r>
              <w:rPr>
                <w:rFonts w:hint="eastAsia" w:cs="Arial" w:asciiTheme="minorEastAsia" w:hAnsiTheme="minorEastAsia"/>
                <w:b/>
                <w:color w:val="FF0000"/>
                <w:szCs w:val="21"/>
              </w:rPr>
              <w:t>本项目采用远程不见面开标，投标人无须到交易中心现场</w:t>
            </w:r>
            <w:r>
              <w:rPr>
                <w:rFonts w:hint="eastAsia" w:cs="Arial" w:asciiTheme="minorEastAsia" w:hAnsiTheme="minorEastAsia"/>
                <w:color w:val="000000"/>
                <w:szCs w:val="21"/>
              </w:rPr>
              <w:t>）</w:t>
            </w:r>
            <w:r>
              <w:rPr>
                <w:rFonts w:hint="eastAsia" w:cs="仿宋_GB2312" w:asciiTheme="minorEastAsia" w:hAnsiTheme="minorEastAsia"/>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adjustRightInd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color w:val="auto"/>
                <w:szCs w:val="21"/>
              </w:rPr>
              <w:t>招标公告、中标公告、变更（更正）公告、现场勘察答复等相关信息同时在以下网站发布：《中国政府采购网》、《河南省政府采购网》、《许昌市政府采购网》、《全国公共资源交易平台（河南省·许昌市）》、《</w:t>
            </w:r>
            <w:r>
              <w:rPr>
                <w:color w:val="auto"/>
              </w:rPr>
              <w:fldChar w:fldCharType="begin"/>
            </w:r>
            <w:r>
              <w:rPr>
                <w:color w:val="auto"/>
              </w:rPr>
              <w:instrText xml:space="preserve"> HYPERLINK "https://www.baidu.com/link?url=8rmedzOhlAuXDcXgh4Ih79cf3oX63OtO_HyxHSCPnTT6Bb4nFcbI-6b-kaJFEjJrZKGkaq6fZ0YCvibRAKulsXONz3kZBFBKcnun2fra-tu&amp;wd=&amp;eqid=f166cd3a00044721000000025acd62c1" \t "_blank" </w:instrText>
            </w:r>
            <w:r>
              <w:rPr>
                <w:color w:val="auto"/>
              </w:rPr>
              <w:fldChar w:fldCharType="separate"/>
            </w:r>
            <w:r>
              <w:rPr>
                <w:rFonts w:cs="宋体" w:asciiTheme="minorEastAsia" w:hAnsiTheme="minorEastAsia"/>
                <w:color w:val="auto"/>
                <w:szCs w:val="21"/>
              </w:rPr>
              <w:t>中国·许昌</w:t>
            </w:r>
            <w:r>
              <w:rPr>
                <w:rFonts w:hint="eastAsia" w:cs="宋体" w:asciiTheme="minorEastAsia" w:hAnsiTheme="minorEastAsia"/>
                <w:color w:val="auto"/>
                <w:szCs w:val="21"/>
              </w:rPr>
              <w:t xml:space="preserve">  </w:t>
            </w:r>
            <w:r>
              <w:rPr>
                <w:rFonts w:cs="宋体" w:asciiTheme="minorEastAsia" w:hAnsiTheme="minorEastAsia"/>
                <w:color w:val="auto"/>
                <w:szCs w:val="21"/>
              </w:rPr>
              <w:t>许昌市政府网</w:t>
            </w:r>
            <w:r>
              <w:rPr>
                <w:rFonts w:cs="宋体" w:asciiTheme="minorEastAsia" w:hAnsiTheme="minorEastAsia"/>
                <w:color w:val="auto"/>
                <w:szCs w:val="21"/>
              </w:rPr>
              <w:fldChar w:fldCharType="end"/>
            </w:r>
            <w:r>
              <w:rPr>
                <w:rFonts w:hint="eastAsia" w:cs="宋体" w:asciiTheme="minorEastAsia" w:hAnsiTheme="minorEastAsia"/>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招标文件时间</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投标截止时间15日前（</w:t>
            </w:r>
            <w:r>
              <w:rPr>
                <w:rFonts w:hint="eastAsia" w:cs="仿宋_GB2312" w:asciiTheme="minorEastAsia" w:hAnsiTheme="minorEastAsia"/>
                <w:color w:val="auto"/>
                <w:szCs w:val="21"/>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投标人对采购文件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投标文件份数</w:t>
            </w:r>
          </w:p>
        </w:tc>
        <w:tc>
          <w:tcPr>
            <w:tcW w:w="6813" w:type="dxa"/>
            <w:vAlign w:val="center"/>
          </w:tcPr>
          <w:p>
            <w:pPr>
              <w:autoSpaceDE w:val="0"/>
              <w:autoSpaceDN w:val="0"/>
              <w:adjustRightInd w:val="0"/>
              <w:spacing w:line="360" w:lineRule="auto"/>
              <w:rPr>
                <w:rFonts w:cs="宋体" w:asciiTheme="minorEastAsia" w:hAnsiTheme="minorEastAsia"/>
                <w:color w:val="auto"/>
                <w:szCs w:val="21"/>
              </w:rPr>
            </w:pPr>
            <w:r>
              <w:rPr>
                <w:rFonts w:ascii="新宋体" w:hAnsi="新宋体" w:eastAsia="新宋体"/>
                <w:b/>
                <w:color w:val="auto"/>
                <w:szCs w:val="21"/>
              </w:rPr>
              <w:fldChar w:fldCharType="begin"/>
            </w:r>
            <w:r>
              <w:rPr>
                <w:rFonts w:ascii="新宋体" w:hAnsi="新宋体" w:eastAsia="新宋体"/>
                <w:b/>
                <w:color w:val="auto"/>
                <w:szCs w:val="21"/>
              </w:rPr>
              <w:instrText xml:space="preserve"> </w:instrText>
            </w:r>
            <w:r>
              <w:rPr>
                <w:rFonts w:hint="eastAsia" w:ascii="新宋体" w:hAnsi="新宋体" w:eastAsia="新宋体"/>
                <w:b/>
                <w:color w:val="auto"/>
                <w:szCs w:val="21"/>
              </w:rPr>
              <w:instrText xml:space="preserve">eq \o\ac(□,√)</w:instrText>
            </w:r>
            <w:r>
              <w:rPr>
                <w:rFonts w:ascii="新宋体" w:hAnsi="新宋体" w:eastAsia="新宋体"/>
                <w:b/>
                <w:color w:val="auto"/>
                <w:szCs w:val="21"/>
              </w:rPr>
              <w:fldChar w:fldCharType="end"/>
            </w:r>
            <w:r>
              <w:rPr>
                <w:rFonts w:hint="eastAsia" w:ascii="新宋体" w:hAnsi="新宋体" w:eastAsia="新宋体"/>
                <w:color w:val="auto"/>
                <w:szCs w:val="21"/>
              </w:rPr>
              <w:t>电子投标文件：成功上传至《全国公共资源交易平台（河南省·许昌市）》公共资源交易系统加密电子投标文件1份</w:t>
            </w:r>
            <w:r>
              <w:rPr>
                <w:rFonts w:hint="eastAsia" w:hAnsi="宋体" w:cs="宋体"/>
                <w:color w:val="auto"/>
                <w:szCs w:val="21"/>
                <w:lang w:val="zh-CN"/>
              </w:rPr>
              <w:t>（文件格式为： XXX公司XXX项目编号.file）。</w:t>
            </w:r>
          </w:p>
          <w:p>
            <w:pPr>
              <w:autoSpaceDE w:val="0"/>
              <w:autoSpaceDN w:val="0"/>
              <w:adjustRightInd w:val="0"/>
              <w:spacing w:line="360" w:lineRule="auto"/>
              <w:rPr>
                <w:rFonts w:ascii="新宋体" w:hAnsi="新宋体" w:eastAsia="新宋体"/>
                <w:color w:val="auto"/>
                <w:szCs w:val="21"/>
              </w:rPr>
            </w:pPr>
            <w:r>
              <w:rPr>
                <w:rFonts w:hint="eastAsia" w:cs="宋体" w:asciiTheme="minorEastAsia" w:hAnsiTheme="minorEastAsia"/>
                <w:b/>
                <w:bCs/>
                <w:color w:val="auto"/>
                <w:szCs w:val="21"/>
                <w:lang w:val="zh-CN"/>
              </w:rPr>
              <w:t>□</w:t>
            </w:r>
            <w:r>
              <w:rPr>
                <w:rFonts w:hint="eastAsia" w:ascii="新宋体" w:hAnsi="新宋体" w:eastAsia="新宋体"/>
                <w:color w:val="auto"/>
                <w:szCs w:val="21"/>
              </w:rPr>
              <w:t>纸质投标文件：</w:t>
            </w:r>
            <w:r>
              <w:rPr>
                <w:rFonts w:hint="eastAsia" w:cs="仿宋_GB2312" w:asciiTheme="minorEastAsia" w:hAnsiTheme="minorEastAsia"/>
                <w:color w:val="auto"/>
                <w:szCs w:val="21"/>
              </w:rPr>
              <w:t>正本</w:t>
            </w:r>
            <w:r>
              <w:rPr>
                <w:rFonts w:hint="eastAsia" w:cs="仿宋_GB2312" w:asciiTheme="minorEastAsia" w:hAnsiTheme="minorEastAsia"/>
                <w:b/>
                <w:color w:val="auto"/>
                <w:szCs w:val="21"/>
              </w:rPr>
              <w:t>一</w:t>
            </w:r>
            <w:r>
              <w:rPr>
                <w:rFonts w:hint="eastAsia" w:cs="仿宋_GB2312" w:asciiTheme="minorEastAsia" w:hAnsiTheme="minorEastAsia"/>
                <w:color w:val="auto"/>
                <w:szCs w:val="21"/>
              </w:rPr>
              <w:t>份，副本</w:t>
            </w:r>
            <w:r>
              <w:rPr>
                <w:rFonts w:hint="eastAsia" w:cs="仿宋_GB2312" w:asciiTheme="minorEastAsia" w:hAnsiTheme="minorEastAsia"/>
                <w:color w:val="auto"/>
                <w:szCs w:val="21"/>
                <w:u w:val="single"/>
              </w:rPr>
              <w:t xml:space="preserve"> 一 </w:t>
            </w:r>
            <w:r>
              <w:rPr>
                <w:rFonts w:hint="eastAsia" w:cs="仿宋_GB2312" w:asciiTheme="minorEastAsia" w:hAnsiTheme="minorEastAsia"/>
                <w:color w:val="auto"/>
                <w:szCs w:val="21"/>
              </w:rPr>
              <w:t>份。使用</w:t>
            </w:r>
            <w:r>
              <w:rPr>
                <w:rFonts w:hint="eastAsia" w:ascii="新宋体" w:hAnsi="新宋体" w:eastAsia="新宋体"/>
                <w:color w:val="auto"/>
                <w:szCs w:val="21"/>
              </w:rPr>
              <w:t>格式为“投标文件（供打印）.PDF”的文件。</w:t>
            </w:r>
          </w:p>
          <w:p>
            <w:pPr>
              <w:autoSpaceDE w:val="0"/>
              <w:autoSpaceDN w:val="0"/>
              <w:adjustRightInd w:val="0"/>
              <w:spacing w:line="360" w:lineRule="auto"/>
              <w:rPr>
                <w:rFonts w:cs="宋体" w:asciiTheme="minorEastAsia" w:hAnsiTheme="minorEastAsia"/>
                <w:bCs/>
                <w:color w:val="auto"/>
                <w:szCs w:val="21"/>
                <w:highlight w:val="lightGray"/>
                <w:lang w:val="zh-CN"/>
              </w:rPr>
            </w:pPr>
            <w:r>
              <w:rPr>
                <w:rFonts w:hint="eastAsia" w:ascii="新宋体" w:hAnsi="新宋体" w:eastAsia="新宋体"/>
                <w:color w:val="auto"/>
                <w:szCs w:val="21"/>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投标文件的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hint="eastAsia" w:cs="宋体" w:asciiTheme="minorEastAsia" w:hAnsiTheme="minorEastAsia"/>
                <w:b/>
                <w:bCs/>
                <w:color w:val="FF0000"/>
                <w:szCs w:val="21"/>
                <w:lang w:val="zh-CN"/>
              </w:rPr>
              <w:t>□</w:t>
            </w:r>
            <w:r>
              <w:rPr>
                <w:rFonts w:hint="eastAsia" w:ascii="新宋体" w:hAnsi="新宋体" w:eastAsia="新宋体"/>
                <w:szCs w:val="21"/>
              </w:rPr>
              <w:t>纸质投标文件：投标文件封面加盖投标人公章（投标文件是指投标人电子投标文件制作完成后生成的后缀名为</w:t>
            </w:r>
            <w:r>
              <w:rPr>
                <w:rFonts w:hint="eastAsia" w:hAnsi="宋体"/>
                <w:color w:val="000000"/>
                <w:szCs w:val="21"/>
              </w:rPr>
              <w:t>“.PDF”的文件</w:t>
            </w:r>
            <w:r>
              <w:rPr>
                <w:rFonts w:hint="eastAsia" w:ascii="新宋体" w:hAnsi="新宋体" w:eastAsia="新宋体"/>
                <w:szCs w:val="21"/>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评标委员会组建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ascii="新宋体" w:hAnsi="新宋体" w:eastAsia="新宋体"/>
                <w:b/>
                <w:szCs w:val="21"/>
              </w:rPr>
              <w:instrText xml:space="preserve"> </w:instrText>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由采购人代表和评审专家组成，其中评审专家的人数不少于评标委员会成员总数的三分之二。评审专家从政府采购评审专家库中随机抽取。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21</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szCs w:val="21"/>
              </w:rPr>
              <w:t>评标方法</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综合评分法</w:t>
            </w:r>
            <w:r>
              <w:rPr>
                <w:rFonts w:hint="eastAsia" w:cs="宋体" w:asciiTheme="minorEastAsia" w:hAnsiTheme="minorEastAsia"/>
                <w:color w:val="000000"/>
                <w:kern w:val="0"/>
                <w:szCs w:val="21"/>
                <w:lang w:val="zh-CN"/>
              </w:rPr>
              <w:t xml:space="preserve">  </w:t>
            </w:r>
            <w:r>
              <w:rPr>
                <w:rFonts w:hint="eastAsia" w:cs="宋体" w:asciiTheme="minorEastAsia" w:hAnsiTheme="minorEastAsia"/>
                <w:b/>
                <w:bCs/>
                <w:szCs w:val="21"/>
                <w:lang w:val="zh-CN"/>
              </w:rPr>
              <w:t>□</w:t>
            </w:r>
            <w:r>
              <w:rPr>
                <w:rFonts w:hint="eastAsia" w:cs="仿宋_GB2312" w:asciiTheme="minorEastAsia" w:hAnsiTheme="minorEastAsia"/>
                <w:szCs w:val="21"/>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采购单位委派代表参加资格审</w:t>
            </w:r>
            <w:r>
              <w:rPr>
                <w:rFonts w:hint="eastAsia" w:ascii="新宋体" w:hAnsi="新宋体" w:eastAsia="新宋体"/>
                <w:szCs w:val="21"/>
              </w:rPr>
              <w:t>查、</w:t>
            </w:r>
            <w:r>
              <w:rPr>
                <w:rFonts w:hint="eastAsia" w:cs="仿宋_GB2312" w:asciiTheme="minorEastAsia" w:hAnsiTheme="minorEastAsia"/>
                <w:szCs w:val="21"/>
                <w:lang w:val="zh-CN"/>
              </w:rPr>
              <w:t>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w:t>
            </w:r>
            <w:r>
              <w:rPr>
                <w:rFonts w:hint="eastAsia" w:ascii="新宋体" w:hAnsi="新宋体" w:eastAsia="新宋体"/>
                <w:szCs w:val="21"/>
                <w:u w:val="single"/>
              </w:rPr>
              <w:t xml:space="preserve">    </w:t>
            </w:r>
            <w:r>
              <w:rPr>
                <w:rFonts w:hint="eastAsia" w:ascii="新宋体" w:hAnsi="新宋体" w:eastAsia="新宋体"/>
                <w:szCs w:val="21"/>
              </w:rPr>
              <w:t>%</w:t>
            </w:r>
            <w:r>
              <w:rPr>
                <w:rFonts w:hint="eastAsia" w:cs="宋体" w:asciiTheme="minorEastAsia" w:hAnsiTheme="minorEastAsia"/>
                <w:color w:val="333333"/>
                <w:szCs w:val="21"/>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cs="宋体" w:asciiTheme="minorEastAsia" w:hAnsiTheme="minorEastAsia"/>
                <w:b/>
                <w:color w:val="000000"/>
                <w:kern w:val="0"/>
                <w:szCs w:val="21"/>
                <w:lang w:val="zh-CN"/>
              </w:rPr>
              <w:instrText xml:space="preserve"> </w:instrText>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中标人需提交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color w:val="auto"/>
                <w:szCs w:val="21"/>
                <w:lang w:val="zh-CN"/>
              </w:rPr>
            </w:pPr>
            <w:r>
              <w:rPr>
                <w:rFonts w:hint="eastAsia" w:cs="宋体" w:asciiTheme="minorEastAsia" w:hAnsiTheme="minorEastAsia"/>
                <w:bCs/>
                <w:color w:val="auto"/>
                <w:szCs w:val="21"/>
                <w:lang w:val="zh-CN"/>
              </w:rPr>
              <w:t>中标人在接到中标通知时，须</w:t>
            </w:r>
            <w:r>
              <w:rPr>
                <w:rFonts w:hint="eastAsia" w:ascii="新宋体" w:hAnsi="新宋体" w:eastAsia="新宋体"/>
                <w:color w:val="auto"/>
                <w:szCs w:val="21"/>
              </w:rPr>
              <w:t>向许昌市公共资源交易中心交易见证科发</w:t>
            </w:r>
            <w:r>
              <w:rPr>
                <w:rFonts w:hint="eastAsia" w:cs="宋体" w:asciiTheme="minorEastAsia" w:hAnsiTheme="minorEastAsia"/>
                <w:bCs/>
                <w:color w:val="auto"/>
                <w:szCs w:val="21"/>
                <w:lang w:val="zh-CN"/>
              </w:rPr>
              <w:t xml:space="preserve">送投标报价及分项报价一览表（包含主要中标标的的名称、规格型号、数量、单价、服务要求等）电子文档，并同时电话告知交易见证科。联系电话：0374-2968027；邮箱：jzb2968027@163.com。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color w:val="auto"/>
                <w:szCs w:val="21"/>
                <w:lang w:val="zh-CN"/>
              </w:rPr>
            </w:pPr>
            <w:r>
              <w:rPr>
                <w:rFonts w:cs="宋体" w:asciiTheme="minorEastAsia" w:hAnsiTheme="minorEastAsia"/>
                <w:b/>
                <w:color w:val="auto"/>
                <w:kern w:val="0"/>
                <w:szCs w:val="21"/>
                <w:lang w:val="zh-CN"/>
              </w:rPr>
              <w:fldChar w:fldCharType="begin"/>
            </w:r>
            <w:r>
              <w:rPr>
                <w:rFonts w:cs="宋体" w:asciiTheme="minorEastAsia" w:hAnsiTheme="minorEastAsia"/>
                <w:b/>
                <w:color w:val="auto"/>
                <w:kern w:val="0"/>
                <w:szCs w:val="21"/>
                <w:lang w:val="zh-CN"/>
              </w:rPr>
              <w:instrText xml:space="preserve"> </w:instrText>
            </w:r>
            <w:r>
              <w:rPr>
                <w:rFonts w:hint="eastAsia" w:cs="宋体" w:asciiTheme="minorEastAsia" w:hAnsiTheme="minorEastAsia"/>
                <w:b/>
                <w:color w:val="auto"/>
                <w:kern w:val="0"/>
                <w:szCs w:val="21"/>
                <w:lang w:val="zh-CN"/>
              </w:rPr>
              <w:instrText xml:space="preserve">eq \o\ac(□,</w:instrText>
            </w:r>
            <w:r>
              <w:rPr>
                <w:rFonts w:hint="eastAsia" w:cs="宋体" w:asciiTheme="minorEastAsia" w:hAnsiTheme="minorEastAsia"/>
                <w:b/>
                <w:color w:val="auto"/>
                <w:kern w:val="0"/>
                <w:position w:val="2"/>
                <w:szCs w:val="21"/>
                <w:lang w:val="zh-CN"/>
              </w:rPr>
              <w:instrText xml:space="preserve">√</w:instrText>
            </w:r>
            <w:r>
              <w:rPr>
                <w:rFonts w:hint="eastAsia" w:cs="宋体" w:asciiTheme="minorEastAsia" w:hAnsiTheme="minorEastAsia"/>
                <w:b/>
                <w:color w:val="auto"/>
                <w:kern w:val="0"/>
                <w:szCs w:val="21"/>
                <w:lang w:val="zh-CN"/>
              </w:rPr>
              <w:instrText xml:space="preserve">)</w:instrText>
            </w:r>
            <w:r>
              <w:rPr>
                <w:rFonts w:cs="宋体" w:asciiTheme="minorEastAsia" w:hAnsiTheme="minorEastAsia"/>
                <w:b/>
                <w:color w:val="auto"/>
                <w:kern w:val="0"/>
                <w:szCs w:val="21"/>
                <w:lang w:val="zh-CN"/>
              </w:rPr>
              <w:fldChar w:fldCharType="end"/>
            </w:r>
            <w:r>
              <w:rPr>
                <w:rFonts w:hint="eastAsia" w:cs="宋体" w:asciiTheme="minorEastAsia" w:hAnsiTheme="minorEastAsia"/>
                <w:bCs/>
                <w:color w:val="auto"/>
                <w:szCs w:val="21"/>
                <w:lang w:val="zh-CN"/>
              </w:rPr>
              <w:t>是。</w:t>
            </w:r>
            <w:r>
              <w:rPr>
                <w:rFonts w:hint="eastAsia" w:hAnsi="宋体" w:cs="宋体"/>
                <w:color w:val="auto"/>
                <w:szCs w:val="21"/>
                <w:lang w:val="zh-CN"/>
              </w:rPr>
              <w:t>投标人投标时须成功上传、解密电子投标文件。投标人资质、业绩、荣誉及相关人员证明材料等资料原件不再提交（本招标文件第六章另有要求提供原件的除外）。</w:t>
            </w:r>
          </w:p>
          <w:p>
            <w:pPr>
              <w:autoSpaceDE w:val="0"/>
              <w:autoSpaceDN w:val="0"/>
              <w:adjustRightInd w:val="0"/>
              <w:spacing w:line="360" w:lineRule="auto"/>
              <w:contextualSpacing/>
              <w:rPr>
                <w:rFonts w:cs="宋体" w:asciiTheme="minorEastAsia" w:hAnsiTheme="minorEastAsia"/>
                <w:bCs/>
                <w:color w:val="auto"/>
                <w:szCs w:val="21"/>
                <w:lang w:val="zh-CN"/>
              </w:rPr>
            </w:pPr>
            <w:r>
              <w:rPr>
                <w:rFonts w:hint="eastAsia" w:hAnsi="宋体" w:cs="宋体"/>
                <w:color w:val="auto"/>
                <w:szCs w:val="21"/>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ascii="ˎ̥" w:hAnsi="ˎ̥"/>
              </w:rPr>
            </w:pPr>
            <w:r>
              <w:rPr>
                <w:rFonts w:hint="eastAsia" w:ascii="ˎ̥" w:hAnsi="ˎ̥"/>
              </w:rPr>
              <w:t>不同投标人电子投标文件制作硬件特征码（网卡MAC地址、CPU序号、硬盘序列号）均一致时，视为‘</w:t>
            </w:r>
            <w:r>
              <w:rPr>
                <w:rFonts w:ascii="ˎ̥" w:hAnsi="ˎ̥"/>
              </w:rPr>
              <w:t>不同</w:t>
            </w:r>
            <w:r>
              <w:rPr>
                <w:rFonts w:hint="eastAsia" w:ascii="ˎ̥" w:hAnsi="ˎ̥"/>
              </w:rPr>
              <w:t>投标人的投标</w:t>
            </w:r>
            <w:r>
              <w:rPr>
                <w:rFonts w:ascii="ˎ̥" w:hAnsi="ˎ̥"/>
              </w:rPr>
              <w:t>文件由同一单位或者个人编制</w:t>
            </w:r>
            <w:r>
              <w:rPr>
                <w:rFonts w:hint="eastAsia" w:ascii="ˎ̥" w:hAnsi="ˎ̥"/>
              </w:rPr>
              <w:t>’或‘</w:t>
            </w:r>
            <w:r>
              <w:rPr>
                <w:rFonts w:ascii="ˎ̥" w:hAnsi="ˎ̥"/>
              </w:rPr>
              <w:t>不同</w:t>
            </w:r>
            <w:r>
              <w:rPr>
                <w:rFonts w:hint="eastAsia" w:ascii="ˎ̥" w:hAnsi="ˎ̥"/>
              </w:rPr>
              <w:t>投标人</w:t>
            </w:r>
            <w:r>
              <w:rPr>
                <w:rFonts w:ascii="ˎ̥" w:hAnsi="ˎ̥"/>
              </w:rPr>
              <w:t>委托同一单位或者个人办理</w:t>
            </w:r>
            <w:r>
              <w:rPr>
                <w:rFonts w:hint="eastAsia" w:ascii="ˎ̥" w:hAnsi="ˎ̥"/>
              </w:rPr>
              <w:t>响应</w:t>
            </w:r>
            <w:r>
              <w:rPr>
                <w:rFonts w:ascii="ˎ̥" w:hAnsi="ˎ̥"/>
              </w:rPr>
              <w:t>事宜</w:t>
            </w:r>
            <w:r>
              <w:rPr>
                <w:rFonts w:hint="eastAsia" w:ascii="ˎ̥" w:hAnsi="ˎ̥"/>
              </w:rPr>
              <w:t>’，其投标无效。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38"/>
        <w:numPr>
          <w:ilvl w:val="0"/>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本招标文件仅适用于本次“投标邀请”中所述采购项目。</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本招标文件解释权属于“投标邀请”所述的采购人。</w:t>
      </w:r>
    </w:p>
    <w:p>
      <w:pPr>
        <w:pStyle w:val="38"/>
        <w:autoSpaceDE w:val="0"/>
        <w:autoSpaceDN w:val="0"/>
        <w:spacing w:line="360" w:lineRule="auto"/>
        <w:ind w:left="780"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38"/>
        <w:numPr>
          <w:ilvl w:val="0"/>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“采购项目”：“投标人须知前附表”中所述的采购项目。</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“招标人”：“投标人须知前附表”中所述的组织本次招标的代理机构和采购人。</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“采购人”：是指依法进行政府采购的国家机关、事业单位、团体组织。采购人名称、     地址、电话、联系人见“投标人须知前附表”。</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“代理机构”：接受采购人委托，代理采购项目的采购代理机构。代理机构名称、地址、 电话、联系人见“投标人须知前附表”。</w:t>
      </w:r>
    </w:p>
    <w:p>
      <w:pPr>
        <w:autoSpaceDE w:val="0"/>
        <w:autoSpaceDN w:val="0"/>
        <w:spacing w:line="360" w:lineRule="auto"/>
        <w:ind w:left="991" w:leftChars="450" w:hanging="46" w:hangingChars="22"/>
        <w:contextualSpacing/>
        <w:rPr>
          <w:rFonts w:cs="宋体" w:asciiTheme="minorEastAsia" w:hAnsiTheme="minorEastAsia"/>
          <w:kern w:val="0"/>
          <w:szCs w:val="21"/>
        </w:rPr>
      </w:pPr>
      <w:r>
        <w:rPr>
          <w:rFonts w:hint="eastAsia" w:cs="宋体" w:asciiTheme="minorEastAsia" w:hAnsiTheme="minorEastAsia"/>
          <w:kern w:val="0"/>
          <w:szCs w:val="21"/>
        </w:rPr>
        <w:t>采购代理机构及其分支机构不得在所代理的采购项目中投标或者代理投标，不得为所代理的采购项目的投标人参加本项目提供投标咨询。</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“潜在投标人”指符合《中华人民共和国政府采购法》及相关法律法规和本招标文件的各项规定，且按照本项目招标公告及招标文件规定的方式获取招标文件的法人、其他组 织或者自然人。</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1274" w:leftChars="1" w:hanging="1272" w:hangingChars="606"/>
        <w:contextualSpacing/>
        <w:rPr>
          <w:rFonts w:cs="宋体" w:asciiTheme="minorEastAsia" w:hAnsiTheme="minorEastAsia"/>
          <w:kern w:val="0"/>
          <w:szCs w:val="21"/>
        </w:rPr>
      </w:pPr>
      <w:r>
        <w:rPr>
          <w:rFonts w:hint="eastAsia" w:cs="宋体" w:asciiTheme="minorEastAsia" w:hAnsiTheme="minorEastAsia"/>
          <w:kern w:val="0"/>
          <w:szCs w:val="21"/>
        </w:rPr>
        <w:t xml:space="preserve">2.7.1    </w:t>
      </w:r>
      <w:r>
        <w:rPr>
          <w:rFonts w:cs="宋体" w:asciiTheme="minorEastAsia" w:hAnsiTheme="minorEastAsia"/>
          <w:kern w:val="0"/>
          <w:szCs w:val="21"/>
        </w:rPr>
        <w:t>招标文件列明不允许或未列明允许进口产品参加投标的，均视为拒绝进口产品参加投标。</w:t>
      </w:r>
    </w:p>
    <w:p>
      <w:p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2.7.2    </w:t>
      </w:r>
      <w:r>
        <w:rPr>
          <w:rFonts w:cs="宋体" w:asciiTheme="minorEastAsia" w:hAnsiTheme="minorEastAsia"/>
          <w:kern w:val="0"/>
          <w:szCs w:val="21"/>
        </w:rPr>
        <w:t>如</w:t>
      </w:r>
      <w:r>
        <w:rPr>
          <w:rFonts w:hint="eastAsia" w:cs="宋体" w:asciiTheme="minorEastAsia" w:hAnsiTheme="minorEastAsia"/>
          <w:kern w:val="0"/>
          <w:szCs w:val="21"/>
        </w:rPr>
        <w:t>招标</w:t>
      </w:r>
      <w:r>
        <w:rPr>
          <w:rFonts w:cs="宋体" w:asciiTheme="minorEastAsia" w:hAnsiTheme="minorEastAsia"/>
          <w:kern w:val="0"/>
          <w:szCs w:val="21"/>
        </w:rPr>
        <w:t>文件中已说明，经财政部门审核同意，允许部分或全部产品采购进口产品，投标人既可提供本国产品，也可以提供进口产品。</w:t>
      </w:r>
    </w:p>
    <w:p>
      <w:pPr>
        <w:pStyle w:val="38"/>
        <w:numPr>
          <w:ilvl w:val="1"/>
          <w:numId w:val="5"/>
        </w:numPr>
        <w:autoSpaceDE w:val="0"/>
        <w:autoSpaceDN w:val="0"/>
        <w:spacing w:line="360" w:lineRule="auto"/>
        <w:ind w:left="991" w:leftChars="1" w:hanging="989" w:hangingChars="471"/>
        <w:contextualSpacing/>
        <w:rPr>
          <w:rFonts w:cs="宋体" w:asciiTheme="minorEastAsia" w:hAnsiTheme="minorEastAsia"/>
          <w:kern w:val="0"/>
          <w:szCs w:val="21"/>
        </w:rPr>
      </w:pPr>
      <w:r>
        <w:rPr>
          <w:rFonts w:hint="eastAsia" w:cs="宋体" w:asciiTheme="minorEastAsia" w:hAnsiTheme="minorEastAsia"/>
          <w:kern w:val="0"/>
          <w:szCs w:val="21"/>
        </w:rPr>
        <w:t>招标文件中凡标有“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合格的投标人</w:t>
      </w:r>
    </w:p>
    <w:p>
      <w:pPr>
        <w:pStyle w:val="38"/>
        <w:numPr>
          <w:ilvl w:val="0"/>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在中华人民共和国境内注册，具有本项目生产、制造、供应或实施能力，符合、承认并承诺履行本招标文件各项规定的法人、其他组织或者自然人。</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符合本项目“投标邀请”和“投标人须知前附表”中规定的合格投标人所必须具备的条件。</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ascii="宋体" w:hAnsi="宋体"/>
          <w:szCs w:val="21"/>
        </w:rPr>
        <w:t>按照财政部《</w:t>
      </w:r>
      <w:r>
        <w:rPr>
          <w:rFonts w:hint="eastAsia" w:ascii="宋体" w:hAnsi="宋体" w:cs="微软雅黑"/>
          <w:bCs/>
          <w:szCs w:val="21"/>
        </w:rPr>
        <w:t>关于在政府采购活动中查询及使用信用记录有关问题的通知</w:t>
      </w:r>
      <w:r>
        <w:rPr>
          <w:rFonts w:hint="eastAsia" w:ascii="宋体" w:hAnsi="宋体"/>
          <w:szCs w:val="21"/>
        </w:rPr>
        <w:t>》（财库</w:t>
      </w:r>
      <w:r>
        <w:rPr>
          <w:rFonts w:hint="eastAsia" w:ascii="宋体" w:hAnsi="宋体" w:cs="微软雅黑"/>
          <w:bCs/>
          <w:szCs w:val="21"/>
        </w:rPr>
        <w:t>〔2016〕</w:t>
      </w:r>
      <w:r>
        <w:rPr>
          <w:rFonts w:hint="eastAsia" w:ascii="宋体" w:hAnsi="宋体"/>
          <w:szCs w:val="21"/>
        </w:rPr>
        <w:t>125号）要求，</w:t>
      </w:r>
      <w:r>
        <w:rPr>
          <w:rFonts w:hint="eastAsia" w:cs="宋体" w:asciiTheme="minorEastAsia" w:hAnsiTheme="minorEastAsia"/>
          <w:kern w:val="0"/>
          <w:szCs w:val="21"/>
        </w:rPr>
        <w:t>政府采购活动中查询及使用投标人信用记录的具体要求为：投标人未被列入失信被执行人、重大税收违法案件当事人名单、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w:t>
      </w:r>
      <w:r>
        <w:rPr>
          <w:rFonts w:hint="eastAsia" w:cs="宋体" w:asciiTheme="minorEastAsia" w:hAnsiTheme="minorEastAsia"/>
          <w:kern w:val="0"/>
          <w:szCs w:val="21"/>
        </w:rPr>
        <w:t>严重违法失信社会组织名单（联合体形式投标的，联合体成员存在不良信用记录，视同联合体存在不良信用记录）。</w:t>
      </w:r>
    </w:p>
    <w:p>
      <w:pPr>
        <w:pStyle w:val="38"/>
        <w:numPr>
          <w:ilvl w:val="0"/>
          <w:numId w:val="7"/>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）、“中国社会组织公共服务平台”网站（</w:t>
      </w:r>
      <w:r>
        <w:fldChar w:fldCharType="begin"/>
      </w:r>
      <w:r>
        <w:instrText xml:space="preserve"> HYPERLINK "http://www.chinanpo.gov.cn" </w:instrText>
      </w:r>
      <w:r>
        <w:fldChar w:fldCharType="separate"/>
      </w:r>
      <w:r>
        <w:rPr>
          <w:rStyle w:val="26"/>
          <w:rFonts w:cs="宋体" w:asciiTheme="minorEastAsia" w:hAnsiTheme="minorEastAsia"/>
          <w:kern w:val="0"/>
          <w:szCs w:val="21"/>
        </w:rPr>
        <w:t>www.chinanpo.gov.cn</w:t>
      </w:r>
      <w:r>
        <w:rPr>
          <w:rStyle w:val="26"/>
          <w:rFonts w:cs="宋体" w:asciiTheme="minorEastAsia" w:hAnsiTheme="minorEastAsia"/>
          <w:kern w:val="0"/>
          <w:szCs w:val="21"/>
        </w:rPr>
        <w:fldChar w:fldCharType="end"/>
      </w:r>
      <w:r>
        <w:rPr>
          <w:rFonts w:hint="eastAsia" w:cs="宋体" w:asciiTheme="minorEastAsia" w:hAnsiTheme="minorEastAsia"/>
          <w:kern w:val="0"/>
          <w:szCs w:val="21"/>
        </w:rPr>
        <w:t>）；</w:t>
      </w:r>
    </w:p>
    <w:p>
      <w:pPr>
        <w:pStyle w:val="38"/>
        <w:numPr>
          <w:ilvl w:val="0"/>
          <w:numId w:val="7"/>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截止时间：同投标截止时间；</w:t>
      </w:r>
    </w:p>
    <w:p>
      <w:pPr>
        <w:pStyle w:val="38"/>
        <w:numPr>
          <w:ilvl w:val="0"/>
          <w:numId w:val="7"/>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信用信息查询记录和证据留存具体方式：经采购人确认的查询结果网页截图作为查询记录和证据，与其他采购文件一并保存；</w:t>
      </w:r>
    </w:p>
    <w:p>
      <w:pPr>
        <w:pStyle w:val="38"/>
        <w:numPr>
          <w:ilvl w:val="0"/>
          <w:numId w:val="7"/>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信用信息的使用原则：经采购人认定的被列入失信被执行人、重大税收违法案件当事人名单、</w:t>
      </w:r>
      <w:r>
        <w:rPr>
          <w:rFonts w:cs="仿宋_GB2312" w:asciiTheme="minorEastAsia" w:hAnsiTheme="minorEastAsia"/>
          <w:color w:val="000000"/>
          <w:szCs w:val="21"/>
          <w:shd w:val="clear" w:color="auto" w:fill="FFFFFF"/>
        </w:rPr>
        <w:t>政府采购严重违法失信行为记录名单</w:t>
      </w:r>
      <w:r>
        <w:rPr>
          <w:rFonts w:hint="eastAsia" w:cs="仿宋_GB2312" w:asciiTheme="minorEastAsia" w:hAnsiTheme="minorEastAsia"/>
          <w:color w:val="000000"/>
          <w:szCs w:val="21"/>
          <w:shd w:val="clear" w:color="auto" w:fill="FFFFFF"/>
        </w:rPr>
        <w:t>的投标人、</w:t>
      </w:r>
      <w:r>
        <w:rPr>
          <w:rFonts w:hint="eastAsia" w:cs="宋体" w:asciiTheme="minorEastAsia" w:hAnsiTheme="minorEastAsia"/>
          <w:kern w:val="0"/>
          <w:szCs w:val="21"/>
        </w:rPr>
        <w:t>严重违法失信社会组织名单的社会组织，将拒绝其参与本次政府采购活动；</w:t>
      </w:r>
    </w:p>
    <w:p>
      <w:pPr>
        <w:pStyle w:val="38"/>
        <w:numPr>
          <w:ilvl w:val="0"/>
          <w:numId w:val="7"/>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投标人无须提供</w:t>
      </w:r>
      <w:r>
        <w:rPr>
          <w:rFonts w:hint="eastAsia" w:ascii="宋体" w:hAnsi="宋体" w:cs="微软雅黑"/>
          <w:bCs/>
          <w:szCs w:val="21"/>
        </w:rPr>
        <w:t>信用记录查询结果网页截屏。</w:t>
      </w:r>
      <w:r>
        <w:rPr>
          <w:rFonts w:hint="eastAsia" w:cs="宋体" w:asciiTheme="minorEastAsia" w:hAnsiTheme="minorEastAsia"/>
          <w:kern w:val="0"/>
          <w:szCs w:val="21"/>
        </w:rPr>
        <w:t>投标人不良信用记录以采购人查询结果为准，采购人查询之后，网站信息发生的任何变更不再作为评审依据，投标人自行提供的与网站信息不一致的其他证明材料亦不作为评审依据。</w:t>
      </w:r>
    </w:p>
    <w:p>
      <w:pPr>
        <w:pStyle w:val="38"/>
        <w:numPr>
          <w:ilvl w:val="1"/>
          <w:numId w:val="5"/>
        </w:numPr>
        <w:autoSpaceDE w:val="0"/>
        <w:autoSpaceDN w:val="0"/>
        <w:spacing w:line="360" w:lineRule="auto"/>
        <w:ind w:hanging="964" w:firstLineChars="0"/>
        <w:contextualSpacing/>
        <w:rPr>
          <w:rFonts w:ascii="宋体" w:hAnsi="宋体"/>
          <w:szCs w:val="21"/>
        </w:rPr>
      </w:pPr>
      <w:r>
        <w:rPr>
          <w:rFonts w:hint="eastAsia" w:ascii="宋体" w:hAnsi="宋体"/>
          <w:szCs w:val="21"/>
        </w:rPr>
        <w:t>单位负责人为同一人或者存在直接控股、管理关系的不同供应商，不得同时参加本项目投标。违反规定的，相关投标均无效。</w:t>
      </w:r>
    </w:p>
    <w:p>
      <w:pPr>
        <w:pStyle w:val="38"/>
        <w:numPr>
          <w:ilvl w:val="1"/>
          <w:numId w:val="5"/>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38"/>
        <w:numPr>
          <w:ilvl w:val="1"/>
          <w:numId w:val="5"/>
        </w:numPr>
        <w:autoSpaceDE w:val="0"/>
        <w:autoSpaceDN w:val="0"/>
        <w:spacing w:line="360" w:lineRule="auto"/>
        <w:ind w:hanging="964" w:firstLineChars="0"/>
        <w:contextualSpacing/>
        <w:rPr>
          <w:rFonts w:ascii="宋体" w:hAnsi="宋体"/>
          <w:szCs w:val="21"/>
        </w:rPr>
      </w:pPr>
      <w:r>
        <w:rPr>
          <w:rFonts w:hint="eastAsia" w:cs="宋体" w:asciiTheme="minorEastAsia" w:hAnsiTheme="minorEastAsia"/>
          <w:kern w:val="0"/>
          <w:szCs w:val="21"/>
        </w:rPr>
        <w:t>“投标邀请”和“投标人须知前附表”规定接受联合体投标的，除应符合本章第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38"/>
        <w:numPr>
          <w:ilvl w:val="0"/>
          <w:numId w:val="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在投标文件中向采购人提交联合体协议书，明确联合体各方承担的工作和义务；</w:t>
      </w:r>
    </w:p>
    <w:p>
      <w:pPr>
        <w:pStyle w:val="38"/>
        <w:numPr>
          <w:ilvl w:val="0"/>
          <w:numId w:val="8"/>
        </w:numPr>
        <w:autoSpaceDE w:val="0"/>
        <w:autoSpaceDN w:val="0"/>
        <w:spacing w:line="360" w:lineRule="auto"/>
        <w:ind w:left="1418" w:hanging="1418" w:firstLineChars="0"/>
        <w:contextualSpacing/>
        <w:rPr>
          <w:rFonts w:cs="宋体" w:asciiTheme="minorEastAsia" w:hAnsiTheme="minorEastAsia"/>
          <w:kern w:val="0"/>
          <w:szCs w:val="21"/>
        </w:rPr>
      </w:pPr>
      <w:r>
        <w:rPr>
          <w:rFonts w:hint="eastAsia" w:cs="宋体" w:asciiTheme="minorEastAsia" w:hAnsiTheme="minorEastAsia"/>
          <w:kern w:val="0"/>
          <w:szCs w:val="21"/>
        </w:rPr>
        <w:t>联合体中有同类资质的供应商按联合体分工承担相同工作的，应当按照资质等级较低的供应商确定资质等级；</w:t>
      </w:r>
    </w:p>
    <w:p>
      <w:pPr>
        <w:pStyle w:val="38"/>
        <w:numPr>
          <w:ilvl w:val="0"/>
          <w:numId w:val="8"/>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招标人根据采购项目的特殊要求规定投标人特定条件的，联合体各方中至少应当有一方符合采购规定的特定条件。</w:t>
      </w:r>
    </w:p>
    <w:p>
      <w:pPr>
        <w:pStyle w:val="38"/>
        <w:numPr>
          <w:ilvl w:val="0"/>
          <w:numId w:val="8"/>
        </w:numPr>
        <w:autoSpaceDE w:val="0"/>
        <w:autoSpaceDN w:val="0"/>
        <w:spacing w:line="360" w:lineRule="auto"/>
        <w:ind w:left="1418" w:hanging="1416" w:firstLineChars="0"/>
        <w:contextualSpacing/>
        <w:rPr>
          <w:rFonts w:cs="宋体" w:asciiTheme="minorEastAsia" w:hAnsiTheme="minorEastAsia"/>
          <w:kern w:val="0"/>
          <w:szCs w:val="21"/>
        </w:rPr>
      </w:pPr>
      <w:r>
        <w:rPr>
          <w:rFonts w:hint="eastAsia" w:cs="宋体" w:asciiTheme="minorEastAsia" w:hAnsiTheme="minorEastAsia"/>
          <w:kern w:val="0"/>
          <w:szCs w:val="21"/>
        </w:rPr>
        <w:t>联合体各方不得再单独参加或者与其他供应商另外组成联合体参加同一合同项下的政府采购活动。</w:t>
      </w:r>
    </w:p>
    <w:p>
      <w:pPr>
        <w:pStyle w:val="38"/>
        <w:numPr>
          <w:ilvl w:val="0"/>
          <w:numId w:val="8"/>
        </w:numPr>
        <w:autoSpaceDE w:val="0"/>
        <w:autoSpaceDN w:val="0"/>
        <w:spacing w:line="360" w:lineRule="auto"/>
        <w:ind w:left="1418" w:hanging="1416" w:firstLineChars="0"/>
        <w:contextualSpacing/>
        <w:rPr>
          <w:rFonts w:cs="宋体" w:asciiTheme="minorEastAsia" w:hAnsiTheme="minorEastAsia"/>
          <w:kern w:val="0"/>
          <w:szCs w:val="21"/>
        </w:rPr>
      </w:pPr>
      <w:r>
        <w:rPr>
          <w:rFonts w:cs="宋体" w:asciiTheme="minorEastAsia" w:hAnsiTheme="minorEastAsia"/>
          <w:kern w:val="0"/>
          <w:szCs w:val="21"/>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Cs w:val="21"/>
        </w:rPr>
        <w:t>承担连带责任</w:t>
      </w:r>
      <w:r>
        <w:rPr>
          <w:rFonts w:cs="宋体" w:asciiTheme="minorEastAsia" w:hAnsiTheme="minorEastAsia"/>
          <w:kern w:val="0"/>
          <w:szCs w:val="21"/>
        </w:rPr>
        <w:fldChar w:fldCharType="end"/>
      </w:r>
      <w:r>
        <w:rPr>
          <w:rFonts w:cs="宋体" w:asciiTheme="minorEastAsia" w:hAnsiTheme="minorEastAsia"/>
          <w:kern w:val="0"/>
          <w:szCs w:val="21"/>
        </w:rPr>
        <w:t>。</w:t>
      </w:r>
    </w:p>
    <w:p>
      <w:pPr>
        <w:pStyle w:val="38"/>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38"/>
        <w:numPr>
          <w:ilvl w:val="0"/>
          <w:numId w:val="6"/>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投标人所提供的服务应当没有侵犯任何第三方的知识产权、技术秘密等合法权利。</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olor w:val="333333"/>
          <w:szCs w:val="21"/>
          <w:shd w:val="clear" w:color="auto" w:fill="FFFFFF"/>
        </w:rPr>
        <w:t>根据《强制性产品认证管理规定》（质检总局第117号令）要求，</w:t>
      </w:r>
      <w:r>
        <w:rPr>
          <w:rFonts w:hint="eastAsia" w:cs="宋体" w:asciiTheme="minorEastAsia" w:hAnsiTheme="minorEastAsia"/>
          <w:kern w:val="0"/>
          <w:szCs w:val="21"/>
        </w:rPr>
        <w:t>如投标人所投产品被列入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8"/>
        <w:numPr>
          <w:ilvl w:val="1"/>
          <w:numId w:val="5"/>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根据财政部、工业和信息化部、国家质检总局、国家认监委联合发布</w:t>
      </w:r>
      <w:bookmarkStart w:id="2" w:name="baidusnap0"/>
      <w:bookmarkEnd w:id="2"/>
      <w:r>
        <w:rPr>
          <w:rFonts w:hint="eastAsia" w:cs="宋体" w:asciiTheme="minorEastAsia" w:hAnsiTheme="minorEastAsia"/>
          <w:kern w:val="0"/>
          <w:szCs w:val="21"/>
        </w:rPr>
        <w:t>《关于信息安全产品实施政府采购的通知》（财库[2010]48号）要求，投标人所投产品如被列入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投标人</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不论投标的结果如何，投标人均应自行承担所有与投标有关的全部费用，招标人在任何情况下均无义务和责任承担这些费用。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中国·许昌 许昌市政府网》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采购代理机构代理费用收取标准和方式</w:t>
      </w:r>
    </w:p>
    <w:p>
      <w:pPr>
        <w:pStyle w:val="38"/>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本项目不收取代理费用。详见投标人须知前附表。</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二、招标文件说明</w:t>
      </w: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招标文件构成</w:t>
      </w:r>
    </w:p>
    <w:p>
      <w:pPr>
        <w:pStyle w:val="38"/>
        <w:numPr>
          <w:ilvl w:val="0"/>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（1）投标邀请（招标公告）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（2）项目需求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（3）投标人须知前附表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（4）投标人须知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（6）资格审查与评标</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（7）合同条款及格式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（8）投标文件有关格式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（9）本项目招标文件的澄清、答复、修改、补充内容（如有的话）</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现场考察、开标前答疑会</w:t>
      </w:r>
    </w:p>
    <w:p>
      <w:pPr>
        <w:pStyle w:val="38"/>
        <w:numPr>
          <w:ilvl w:val="0"/>
          <w:numId w:val="10"/>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招标人根据采购项目的具体情况，可以在招标文件公告期满后，组织已获取招标文件的潜在投标人现场考察或者召开开标前答疑会。</w:t>
      </w:r>
    </w:p>
    <w:p>
      <w:pPr>
        <w:autoSpaceDE w:val="0"/>
        <w:autoSpaceDN w:val="0"/>
        <w:spacing w:line="360" w:lineRule="auto"/>
        <w:ind w:left="964" w:firstLine="29"/>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开标前答疑会的，所有投标人应按“投标人须知前附表”规定的时间、地点前往参加现场考察或者开标前答疑会。投标人如不参加，其风险由投标人自行承担，招标人不承担任何责任。</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招标人组织现场考察或者召开答疑会的，应当在招标文件中载明，或者在招标文件公告期满后在财政部门指定的政府采购信息发布媒体和《全国公共资源交易平台（河南省·许昌市）》发布更正公告。</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现场考察及参加开标前答疑会所发生的费用及一切责任由投标人自行承担。</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招标文件的澄清或修改</w:t>
      </w:r>
    </w:p>
    <w:p>
      <w:pPr>
        <w:pStyle w:val="38"/>
        <w:numPr>
          <w:ilvl w:val="0"/>
          <w:numId w:val="11"/>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在投标截止期前，无论出于何种原因，招标人可主动地或在解答潜在投标人提出的澄清问题时对招标文件进行修改。</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招标人可以对已发出的招标文件进行必要的澄清或者修改。澄清或者修改的内容可能影响投标文件编制的，招标人将在投标截止时间</w:t>
      </w:r>
      <w:r>
        <w:rPr>
          <w:rFonts w:cs="宋体" w:asciiTheme="minorEastAsia" w:hAnsiTheme="minorEastAsia"/>
          <w:kern w:val="0"/>
          <w:szCs w:val="21"/>
        </w:rPr>
        <w:t>15</w:t>
      </w:r>
      <w:r>
        <w:rPr>
          <w:rFonts w:hint="eastAsia" w:cs="宋体" w:asciiTheme="minorEastAsia" w:hAnsiTheme="minorEastAsia"/>
          <w:kern w:val="0"/>
          <w:szCs w:val="21"/>
        </w:rPr>
        <w:t>日前，在财政部门指定的政府采购信息发布媒体和《全国公共资源交易平台（河南省·许昌市）》发布更正公告。</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澄清或修改公告的内容为招标文件的组成部分，并对投标人具有约束力。当招标文件与澄清或修改公告就同一内容的表述不一致时，以最后发出的文件内容为准。</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三、投标文件的编制</w:t>
      </w: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投标的语言及计量单位</w:t>
      </w:r>
    </w:p>
    <w:p>
      <w:pPr>
        <w:pStyle w:val="38"/>
        <w:numPr>
          <w:ilvl w:val="0"/>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投标人提交的投标文件以及投标人与招标人就有关投标事宜的所有来往书面文件均应使用中文。除签名、盖章、专用名称等特殊情形外，以中文以外的文字表述的投标文件视同未提供。</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投标计量单位，招标文件已有明确规定的，使用招标文件规定的计量单位；招标文件没有规定的，一律采用中华人民共和国法定计量单位。</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投标报价</w:t>
      </w:r>
      <w:r>
        <w:rPr>
          <w:rFonts w:cs="宋体" w:asciiTheme="minorEastAsia" w:hAnsiTheme="minorEastAsia"/>
          <w:b/>
          <w:kern w:val="0"/>
          <w:szCs w:val="21"/>
        </w:rPr>
        <w:t xml:space="preserve"> </w:t>
      </w:r>
    </w:p>
    <w:p>
      <w:pPr>
        <w:pStyle w:val="38"/>
        <w:numPr>
          <w:ilvl w:val="0"/>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本次招标项目的投标均以人民币为计算单位。</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采购人不得向投标人索要或者接受其给予的赠品、回扣或者与采购无关的其他商品、服务。</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投标人应对项目要求的全部内容进行报价，少报漏报将导致其投标为非实质性响应予以拒绝。</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本项目所涉及的运输、施工、安装、集成、调试、验收、备品和工具等费用均包含在投标报价中。</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本次招标不接受可选择或可调整的投标方案和报价，任何有选择的或可调整的投标方案和报价将被视为非实质性响应投标而作无效投标处理。</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最高限价，且不低于成本价。本次招标实行“最高限价（项目控制金额上限）”,投标人的投标报价高于最高限价（项目控制金额上限）的，该投标人的投标文件将被视为非实质性响应予以拒绝。</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最低报价不能作为中标的保证。</w:t>
      </w:r>
    </w:p>
    <w:p>
      <w:pPr>
        <w:autoSpaceDE w:val="0"/>
        <w:autoSpaceDN w:val="0"/>
        <w:spacing w:line="360" w:lineRule="auto"/>
        <w:ind w:left="42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投标有效期</w:t>
      </w:r>
    </w:p>
    <w:p>
      <w:pPr>
        <w:pStyle w:val="38"/>
        <w:numPr>
          <w:ilvl w:val="0"/>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投标有效期内投标人撤销投标文件的，投标人将承担违背投标承诺函的责任追究。</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中标人的投标文件作为项目合同的附件，其有效期至中标人全部合同义务履行完毕为止。</w:t>
      </w:r>
    </w:p>
    <w:p>
      <w:pPr>
        <w:pStyle w:val="38"/>
        <w:autoSpaceDE w:val="0"/>
        <w:autoSpaceDN w:val="0"/>
        <w:spacing w:line="360" w:lineRule="auto"/>
        <w:ind w:left="964" w:firstLine="0" w:firstLineChars="0"/>
        <w:contextualSpacing/>
        <w:rPr>
          <w:rFonts w:cs="宋体" w:asciiTheme="minorEastAsia" w:hAnsiTheme="minorEastAsia"/>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投标文件构成</w:t>
      </w:r>
    </w:p>
    <w:p>
      <w:pPr>
        <w:pStyle w:val="38"/>
        <w:numPr>
          <w:ilvl w:val="0"/>
          <w:numId w:val="12"/>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投标文件的构成应符合法律法规及招标文件的要求。</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投标人应当按照招标文件的要求编制投标文件。投标文件应当对招标文件提出的要求和条件作出明确响应。</w:t>
      </w:r>
    </w:p>
    <w:p>
      <w:pPr>
        <w:pStyle w:val="38"/>
        <w:numPr>
          <w:ilvl w:val="1"/>
          <w:numId w:val="5"/>
        </w:numPr>
        <w:autoSpaceDE w:val="0"/>
        <w:autoSpaceDN w:val="0"/>
        <w:spacing w:line="360" w:lineRule="auto"/>
        <w:ind w:hanging="964" w:firstLineChars="0"/>
        <w:contextualSpacing/>
        <w:rPr>
          <w:rFonts w:cs="宋体" w:asciiTheme="minorEastAsia" w:hAnsiTheme="minorEastAsia"/>
          <w:kern w:val="0"/>
          <w:szCs w:val="21"/>
        </w:rPr>
      </w:pPr>
      <w:r>
        <w:rPr>
          <w:rFonts w:hint="eastAsia" w:cs="宋体" w:asciiTheme="minorEastAsia" w:hAnsiTheme="minorEastAsia"/>
          <w:kern w:val="0"/>
          <w:szCs w:val="21"/>
        </w:rPr>
        <w:t>投标文件由资格证明材料、符合性证明材料、其它材料等组成。</w:t>
      </w:r>
    </w:p>
    <w:p>
      <w:pPr>
        <w:pStyle w:val="38"/>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kern w:val="0"/>
          <w:szCs w:val="21"/>
        </w:rPr>
        <w:t>投标人根据招标文件的规定</w:t>
      </w:r>
      <w:r>
        <w:rPr>
          <w:rFonts w:hint="eastAsia" w:cs="宋体" w:asciiTheme="minorEastAsia" w:hAnsiTheme="minorEastAsia"/>
          <w:color w:val="auto"/>
          <w:kern w:val="0"/>
          <w:szCs w:val="21"/>
        </w:rPr>
        <w:t>和采购项目的实际情况，拟在中标后将中标项目的非主体、非关键性工作分包的，应当在投标文件中载明分包承担主体，分包承担主体应当具备相应资质条件且不得再次分包。</w:t>
      </w:r>
    </w:p>
    <w:p>
      <w:pPr>
        <w:pStyle w:val="38"/>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投标人登录许昌公共资源交易系统下载“许昌投标文件制作系统SEARUN 最新版本”，按招标文件要求根据所投标段制作电子投标文件。 一个标段对应生成一个文件夹（xxxx项目xx标段）,后缀名为“</w:t>
      </w:r>
      <w:r>
        <w:rPr>
          <w:rFonts w:cs="宋体" w:asciiTheme="minorEastAsia" w:hAnsiTheme="minorEastAsia"/>
          <w:color w:val="auto"/>
          <w:kern w:val="0"/>
          <w:szCs w:val="21"/>
        </w:rPr>
        <w:t>.file</w:t>
      </w:r>
      <w:r>
        <w:rPr>
          <w:rFonts w:hint="eastAsia" w:cs="宋体" w:asciiTheme="minorEastAsia" w:hAnsiTheme="minorEastAsia"/>
          <w:color w:val="auto"/>
          <w:kern w:val="0"/>
          <w:szCs w:val="21"/>
        </w:rPr>
        <w:t>”的文件用于电子投标使用。</w:t>
      </w:r>
    </w:p>
    <w:p>
      <w:pPr>
        <w:autoSpaceDE w:val="0"/>
        <w:autoSpaceDN w:val="0"/>
        <w:spacing w:line="360" w:lineRule="auto"/>
        <w:ind w:left="105" w:leftChars="50"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电子投标文件制作技术咨询：</w:t>
      </w:r>
      <w:r>
        <w:rPr>
          <w:rFonts w:hint="eastAsia" w:cs="宋体" w:asciiTheme="minorEastAsia" w:hAnsiTheme="minorEastAsia"/>
          <w:b/>
          <w:color w:val="auto"/>
          <w:kern w:val="0"/>
          <w:szCs w:val="21"/>
        </w:rPr>
        <w:t>0374-2961598</w:t>
      </w:r>
      <w:r>
        <w:rPr>
          <w:rFonts w:hint="eastAsia" w:cs="宋体" w:asciiTheme="minorEastAsia" w:hAnsiTheme="minorEastAsia"/>
          <w:color w:val="auto"/>
          <w:kern w:val="0"/>
          <w:szCs w:val="21"/>
        </w:rPr>
        <w:t>。</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投标文件格式</w:t>
      </w:r>
    </w:p>
    <w:p>
      <w:pPr>
        <w:pStyle w:val="38"/>
        <w:numPr>
          <w:ilvl w:val="0"/>
          <w:numId w:val="12"/>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应参照招标文件第七部分（投标文件有关格式）的内容要求、编排顺序和格式要求，投标人应按照以上要求将投标文件以A4幅面编上唯一的连贯页码，并在投标文件封面上注明：所投项目名称、项目编号、投标人名称、日期等字样。</w:t>
      </w:r>
    </w:p>
    <w:p>
      <w:pPr>
        <w:pStyle w:val="38"/>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投标人应按招标文件提供的格式编写投标文件。招标文件未提供标准格式的投标人可自行拟定。</w:t>
      </w:r>
    </w:p>
    <w:p>
      <w:pPr>
        <w:autoSpaceDE w:val="0"/>
        <w:autoSpaceDN w:val="0"/>
        <w:spacing w:line="360" w:lineRule="auto"/>
        <w:ind w:left="420"/>
        <w:contextualSpacing/>
        <w:rPr>
          <w:rFonts w:cs="宋体" w:asciiTheme="minorEastAsia" w:hAnsiTheme="minorEastAsia"/>
          <w:color w:val="auto"/>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投标保证金</w:t>
      </w:r>
    </w:p>
    <w:p>
      <w:pPr>
        <w:pStyle w:val="38"/>
        <w:numPr>
          <w:ilvl w:val="0"/>
          <w:numId w:val="12"/>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本项目不收取投标保证金。</w:t>
      </w:r>
    </w:p>
    <w:p>
      <w:pPr>
        <w:pStyle w:val="38"/>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投标人应提供投标承诺函。</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投标文件的数量和签署盖章</w:t>
      </w:r>
    </w:p>
    <w:p>
      <w:pPr>
        <w:pStyle w:val="38"/>
        <w:numPr>
          <w:ilvl w:val="0"/>
          <w:numId w:val="12"/>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投标人应提交投标文件份数见“投标人须知前附表”。</w:t>
      </w:r>
    </w:p>
    <w:p>
      <w:pPr>
        <w:pStyle w:val="38"/>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在招标文件中已明示需盖章及签名之处，电子投标文件应按招标文件要求加盖投标人电子印章和法人电子印章或授权代表电子印章。</w:t>
      </w: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四、投标文件的提交</w:t>
      </w:r>
    </w:p>
    <w:p>
      <w:pPr>
        <w:pStyle w:val="38"/>
        <w:numPr>
          <w:ilvl w:val="0"/>
          <w:numId w:val="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投标截止时间</w:t>
      </w:r>
    </w:p>
    <w:p>
      <w:pPr>
        <w:pStyle w:val="38"/>
        <w:numPr>
          <w:ilvl w:val="0"/>
          <w:numId w:val="12"/>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投标人必须在“投标邀请”和“投标人须知前附表”中规定的投标截止时间前，将</w:t>
      </w:r>
      <w:r>
        <w:rPr>
          <w:rFonts w:hint="eastAsia" w:cs="仿宋_GB2312" w:asciiTheme="minorEastAsia" w:hAnsiTheme="minorEastAsia"/>
          <w:color w:val="auto"/>
          <w:szCs w:val="21"/>
        </w:rPr>
        <w:t>加密电子投标文件</w:t>
      </w:r>
      <w:r>
        <w:rPr>
          <w:rFonts w:hint="eastAsia" w:cs="宋体" w:asciiTheme="minorEastAsia" w:hAnsiTheme="minorEastAsia"/>
          <w:color w:val="auto"/>
          <w:szCs w:val="21"/>
        </w:rPr>
        <w:t>（</w:t>
      </w:r>
      <w:r>
        <w:rPr>
          <w:rFonts w:asciiTheme="minorEastAsia" w:hAnsiTheme="minorEastAsia"/>
          <w:color w:val="auto"/>
          <w:szCs w:val="21"/>
        </w:rPr>
        <w:t>.file</w:t>
      </w:r>
      <w:r>
        <w:rPr>
          <w:rFonts w:hint="eastAsia" w:cs="宋体" w:asciiTheme="minorEastAsia" w:hAnsiTheme="minorEastAsia"/>
          <w:color w:val="auto"/>
          <w:szCs w:val="21"/>
        </w:rPr>
        <w:t>格式）</w:t>
      </w:r>
      <w:r>
        <w:rPr>
          <w:rFonts w:hint="eastAsia" w:cs="仿宋_GB2312" w:asciiTheme="minorEastAsia" w:hAnsiTheme="minorEastAsia"/>
          <w:color w:val="auto"/>
          <w:szCs w:val="21"/>
        </w:rPr>
        <w:t>通过《全国公共资源交易平台(河南省</w:t>
      </w:r>
      <w:r>
        <w:rPr>
          <w:rFonts w:hint="eastAsia" w:ascii="MS Mincho" w:hAnsi="MS Mincho" w:eastAsia="MS Mincho" w:cs="MS Mincho"/>
          <w:color w:val="auto"/>
          <w:szCs w:val="21"/>
        </w:rPr>
        <w:t>▪</w:t>
      </w:r>
      <w:r>
        <w:rPr>
          <w:rFonts w:hint="eastAsia" w:ascii="宋体" w:hAnsi="宋体" w:cs="宋体"/>
          <w:color w:val="auto"/>
          <w:szCs w:val="21"/>
        </w:rPr>
        <w:t>许昌市</w:t>
      </w:r>
      <w:r>
        <w:rPr>
          <w:rFonts w:hint="eastAsia" w:cs="仿宋_GB2312" w:asciiTheme="minorEastAsia" w:hAnsiTheme="minorEastAsia"/>
          <w:color w:val="auto"/>
          <w:szCs w:val="21"/>
        </w:rPr>
        <w:t>)》公共资源交易系统成功上传。</w:t>
      </w:r>
    </w:p>
    <w:p>
      <w:pPr>
        <w:pStyle w:val="38"/>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可以按本须知第14条规定，通过修改招标文件自行决定酌情延长投标截止期。在此情况下，招标人和投标人受投标截止期制约的所有权利和义务均应延长至新的截止日期和时间。投标人按招标人修改通知规定的时间提交投标文件。</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迟交的投标文件</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投标截止时间之后上传的投标文件，招标人将拒绝接收。</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投标文件的修改和撤回</w:t>
      </w:r>
    </w:p>
    <w:p>
      <w:pPr>
        <w:pStyle w:val="38"/>
        <w:numPr>
          <w:ilvl w:val="0"/>
          <w:numId w:val="13"/>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投标人在投标截止时间前，对投标文件进行补充、修改或者撤回的，须书面通知招标人。</w:t>
      </w:r>
    </w:p>
    <w:p>
      <w:pPr>
        <w:autoSpaceDE w:val="0"/>
        <w:autoSpaceDN w:val="0"/>
        <w:spacing w:line="360" w:lineRule="auto"/>
        <w:ind w:left="964" w:firstLine="29"/>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投标人应当在投标截止时间前完成电子投标文件的提交，可以补充、修改或撤回。投标截止时间前未完成电子投标文件提交的，视为撤回投标文件。</w:t>
      </w:r>
    </w:p>
    <w:p>
      <w:pPr>
        <w:pStyle w:val="38"/>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投标人补充、修改的内容并作为投标文件的组成部分。补充或修改应当按招标文件要求签署、盖章、提交，并应注明“修改</w:t>
      </w:r>
      <w:r>
        <w:rPr>
          <w:rFonts w:cs="宋体" w:asciiTheme="minorEastAsia" w:hAnsiTheme="minorEastAsia"/>
          <w:color w:val="auto"/>
          <w:kern w:val="0"/>
          <w:szCs w:val="21"/>
        </w:rPr>
        <w:t>”</w:t>
      </w:r>
      <w:r>
        <w:rPr>
          <w:rFonts w:hint="eastAsia" w:cs="宋体" w:asciiTheme="minorEastAsia" w:hAnsiTheme="minorEastAsia"/>
          <w:color w:val="auto"/>
          <w:kern w:val="0"/>
          <w:szCs w:val="21"/>
        </w:rPr>
        <w:t>或“补充</w:t>
      </w:r>
      <w:r>
        <w:rPr>
          <w:rFonts w:cs="宋体" w:asciiTheme="minorEastAsia" w:hAnsiTheme="minorEastAsia"/>
          <w:color w:val="auto"/>
          <w:kern w:val="0"/>
          <w:szCs w:val="21"/>
        </w:rPr>
        <w:t>”</w:t>
      </w:r>
      <w:r>
        <w:rPr>
          <w:rFonts w:hint="eastAsia" w:cs="宋体" w:asciiTheme="minorEastAsia" w:hAnsiTheme="minorEastAsia"/>
          <w:color w:val="auto"/>
          <w:kern w:val="0"/>
          <w:szCs w:val="21"/>
        </w:rPr>
        <w:t>字样。</w:t>
      </w:r>
    </w:p>
    <w:p>
      <w:pPr>
        <w:pStyle w:val="38"/>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投标人在提交投标文件后，可以撤回其投标，但投标人必须在规定的投标截止时间前以书面形式告知招标人。</w:t>
      </w:r>
    </w:p>
    <w:p>
      <w:pPr>
        <w:pStyle w:val="38"/>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投标人不得在投标有效期内撤销投标文件，否则投标人将承担违背投标承诺函的责任追究。</w:t>
      </w:r>
    </w:p>
    <w:p>
      <w:pPr>
        <w:autoSpaceDE w:val="0"/>
        <w:autoSpaceDN w:val="0"/>
        <w:spacing w:line="360" w:lineRule="auto"/>
        <w:ind w:left="420"/>
        <w:contextualSpacing/>
        <w:rPr>
          <w:rFonts w:cs="宋体" w:asciiTheme="minorEastAsia" w:hAnsiTheme="minorEastAsia"/>
          <w:color w:val="auto"/>
          <w:kern w:val="0"/>
          <w:szCs w:val="21"/>
        </w:rPr>
      </w:pPr>
    </w:p>
    <w:p>
      <w:pPr>
        <w:pStyle w:val="38"/>
        <w:numPr>
          <w:ilvl w:val="0"/>
          <w:numId w:val="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除投标人须知前附表另有规定外，投标人所提交的电子投标文件不予退还。</w:t>
      </w:r>
    </w:p>
    <w:p>
      <w:pPr>
        <w:autoSpaceDE w:val="0"/>
        <w:autoSpaceDN w:val="0"/>
        <w:spacing w:line="360" w:lineRule="auto"/>
        <w:contextualSpacing/>
        <w:rPr>
          <w:rFonts w:cs="宋体" w:asciiTheme="minorEastAsia" w:hAnsiTheme="minorEastAsia"/>
          <w:color w:val="auto"/>
          <w:kern w:val="0"/>
          <w:szCs w:val="21"/>
        </w:rPr>
      </w:pPr>
    </w:p>
    <w:p>
      <w:pPr>
        <w:autoSpaceDE w:val="0"/>
        <w:autoSpaceDN w:val="0"/>
        <w:spacing w:line="360" w:lineRule="auto"/>
        <w:contextualSpacing/>
        <w:rPr>
          <w:rFonts w:cs="宋体" w:asciiTheme="minorEastAsia" w:hAnsiTheme="minorEastAsia"/>
          <w:color w:val="auto"/>
          <w:kern w:val="0"/>
          <w:szCs w:val="21"/>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五、开标和评标</w:t>
      </w:r>
    </w:p>
    <w:p>
      <w:pPr>
        <w:pStyle w:val="38"/>
        <w:numPr>
          <w:ilvl w:val="0"/>
          <w:numId w:val="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开标</w:t>
      </w:r>
    </w:p>
    <w:p>
      <w:pPr>
        <w:pStyle w:val="38"/>
        <w:numPr>
          <w:ilvl w:val="0"/>
          <w:numId w:val="14"/>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招标人将按招标文件规定的时间和地点组织远程不见面开标。开标由代理机构主持，投标人无须到现场。评标委员会成员不得参加开标活动。</w:t>
      </w:r>
    </w:p>
    <w:p>
      <w:pPr>
        <w:pStyle w:val="38"/>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招标人应当对开标、评标现场活动进行全程录音录像。录音录像应当清晰可辨，音像资料作为采购文件一并存档。</w:t>
      </w:r>
    </w:p>
    <w:p>
      <w:pPr>
        <w:pStyle w:val="38"/>
        <w:numPr>
          <w:ilvl w:val="1"/>
          <w:numId w:val="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开标时，由代理机构开通远程不见面开标大厅及开启“文字互动”等功能；投标人、代理机构进行电子投标文件的解密。解密后</w:t>
      </w:r>
      <w:r>
        <w:rPr>
          <w:rFonts w:hint="eastAsia" w:asciiTheme="minorEastAsia" w:hAnsiTheme="minorEastAsia"/>
          <w:color w:val="auto"/>
          <w:szCs w:val="21"/>
        </w:rPr>
        <w:t>投标人选择功能栏“开标记录”按钮可查看</w:t>
      </w:r>
      <w:r>
        <w:rPr>
          <w:rFonts w:hint="eastAsia" w:cs="宋体" w:asciiTheme="minorEastAsia" w:hAnsiTheme="minorEastAsia"/>
          <w:color w:val="auto"/>
          <w:kern w:val="0"/>
          <w:szCs w:val="21"/>
        </w:rPr>
        <w:t>投标人名称、投标价格、修改和撤回投标的通知（如有的话）和招标文件规定的需要宣布的其他内容。</w:t>
      </w:r>
    </w:p>
    <w:p>
      <w:pPr>
        <w:pStyle w:val="38"/>
        <w:numPr>
          <w:ilvl w:val="1"/>
          <w:numId w:val="15"/>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电子投标文件的解密。全流程电子化交易项目电子投标文件采用双重加密。解密需分</w:t>
      </w:r>
    </w:p>
    <w:p>
      <w:pPr>
        <w:autoSpaceDE w:val="0"/>
        <w:autoSpaceDN w:val="0"/>
        <w:spacing w:line="360" w:lineRule="auto"/>
        <w:ind w:left="1841" w:leftChars="671" w:hanging="432" w:hangingChars="206"/>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标段进行两次解密。</w:t>
      </w:r>
    </w:p>
    <w:p>
      <w:pPr>
        <w:pStyle w:val="38"/>
        <w:numPr>
          <w:ilvl w:val="1"/>
          <w:numId w:val="16"/>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投标人解密：投标人使用本单位CA数字证书远程进行解密。</w:t>
      </w:r>
    </w:p>
    <w:p>
      <w:pPr>
        <w:autoSpaceDE w:val="0"/>
        <w:autoSpaceDN w:val="0"/>
        <w:spacing w:line="360" w:lineRule="auto"/>
        <w:ind w:left="1842" w:hanging="1841" w:hangingChars="877"/>
        <w:contextualSpacing/>
        <w:jc w:val="left"/>
        <w:rPr>
          <w:rFonts w:cs="宋体" w:asciiTheme="minorEastAsia" w:hAnsiTheme="minorEastAsia"/>
          <w:color w:val="auto"/>
          <w:kern w:val="0"/>
          <w:szCs w:val="21"/>
        </w:rPr>
      </w:pPr>
      <w:r>
        <w:rPr>
          <w:rFonts w:hint="eastAsia" w:cs="宋体" w:asciiTheme="minorEastAsia" w:hAnsiTheme="minorEastAsia"/>
          <w:color w:val="auto"/>
          <w:kern w:val="0"/>
          <w:szCs w:val="21"/>
        </w:rPr>
        <w:t>23.3.1.2         代理机构解密：代理机构</w:t>
      </w:r>
      <w:r>
        <w:rPr>
          <w:rFonts w:cs="宋体" w:asciiTheme="minorEastAsia" w:hAnsiTheme="minorEastAsia"/>
          <w:color w:val="auto"/>
          <w:kern w:val="0"/>
          <w:szCs w:val="21"/>
        </w:rPr>
        <w:t>按</w:t>
      </w:r>
      <w:r>
        <w:rPr>
          <w:rFonts w:hint="eastAsia" w:cs="宋体" w:asciiTheme="minorEastAsia" w:hAnsiTheme="minorEastAsia"/>
          <w:color w:val="auto"/>
          <w:kern w:val="0"/>
          <w:szCs w:val="21"/>
        </w:rPr>
        <w:t>电子</w:t>
      </w:r>
      <w:r>
        <w:rPr>
          <w:rFonts w:cs="宋体" w:asciiTheme="minorEastAsia" w:hAnsiTheme="minorEastAsia"/>
          <w:color w:val="auto"/>
          <w:kern w:val="0"/>
          <w:szCs w:val="21"/>
        </w:rPr>
        <w:t>投标</w:t>
      </w:r>
      <w:r>
        <w:rPr>
          <w:rFonts w:hint="eastAsia" w:cs="宋体" w:asciiTheme="minorEastAsia" w:hAnsiTheme="minorEastAsia"/>
          <w:color w:val="auto"/>
          <w:kern w:val="0"/>
          <w:szCs w:val="21"/>
        </w:rPr>
        <w:t>文件到达交易系统</w:t>
      </w:r>
      <w:r>
        <w:rPr>
          <w:rFonts w:cs="宋体" w:asciiTheme="minorEastAsia" w:hAnsiTheme="minorEastAsia"/>
          <w:color w:val="auto"/>
          <w:kern w:val="0"/>
          <w:szCs w:val="21"/>
        </w:rPr>
        <w:t>的先后顺序</w:t>
      </w:r>
      <w:r>
        <w:rPr>
          <w:rFonts w:hint="eastAsia" w:cs="宋体" w:asciiTheme="minorEastAsia" w:hAnsiTheme="minorEastAsia"/>
          <w:color w:val="auto"/>
          <w:kern w:val="0"/>
          <w:szCs w:val="21"/>
        </w:rPr>
        <w:t>，使用本单位CA数字证书进行再次解密。</w:t>
      </w:r>
    </w:p>
    <w:p>
      <w:pPr>
        <w:pStyle w:val="38"/>
        <w:numPr>
          <w:ilvl w:val="1"/>
          <w:numId w:val="17"/>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因投标人原因电子投标文件解密失败的，其投标将被拒绝。</w:t>
      </w:r>
    </w:p>
    <w:p>
      <w:pPr>
        <w:pStyle w:val="38"/>
        <w:numPr>
          <w:ilvl w:val="1"/>
          <w:numId w:val="15"/>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投标人不足3家的，不得开标。</w:t>
      </w:r>
    </w:p>
    <w:p>
      <w:pPr>
        <w:pStyle w:val="38"/>
        <w:numPr>
          <w:ilvl w:val="1"/>
          <w:numId w:val="18"/>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开标过程由采购代理机构负责记录，</w:t>
      </w:r>
      <w:r>
        <w:rPr>
          <w:rFonts w:hint="eastAsia" w:hAnsi="宋体"/>
          <w:color w:val="auto"/>
          <w:szCs w:val="21"/>
        </w:rPr>
        <w:t>《开标记录表》经投标人进行电子签章、</w:t>
      </w:r>
      <w:r>
        <w:rPr>
          <w:rFonts w:hint="eastAsia" w:cs="宋体" w:asciiTheme="minorEastAsia" w:hAnsiTheme="minorEastAsia"/>
          <w:color w:val="auto"/>
          <w:kern w:val="0"/>
          <w:szCs w:val="21"/>
        </w:rPr>
        <w:t>由参加开标相关工作人员签字确认后随采购文件一并存档。</w:t>
      </w:r>
      <w:r>
        <w:rPr>
          <w:rFonts w:hint="eastAsia" w:hAnsi="宋体"/>
          <w:color w:val="auto"/>
          <w:szCs w:val="21"/>
        </w:rPr>
        <w:t>投标人未电子签章的，视同认可开标结果。</w:t>
      </w:r>
    </w:p>
    <w:p>
      <w:pPr>
        <w:pStyle w:val="38"/>
        <w:numPr>
          <w:ilvl w:val="1"/>
          <w:numId w:val="18"/>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对开标过程和开标记录如有疑义，以及认为采购人、采购代理机构相关工作人员有需要回避的情形的，应在不见面开标大厅“文字互动”对话框或“新增质疑”处在线提出询问或者回避申请。采购人、采购代理机构对投标人代表提出的询问或者回避申请应当及时处理。</w:t>
      </w:r>
    </w:p>
    <w:p>
      <w:pPr>
        <w:pStyle w:val="38"/>
        <w:numPr>
          <w:ilvl w:val="1"/>
          <w:numId w:val="18"/>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项目远程不见面开标活动结束时，投标人应在《开标记录表》上进行电子签章。投标人未签章的，视同认可开标结果。</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1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资格审查</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开标结束后，采购人依法对投标人的资格进行审查。合格投标人不足3家的，不得评标。</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18"/>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评标委员会的组成</w:t>
      </w:r>
    </w:p>
    <w:p>
      <w:pPr>
        <w:pStyle w:val="38"/>
        <w:numPr>
          <w:ilvl w:val="0"/>
          <w:numId w:val="19"/>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pStyle w:val="38"/>
        <w:numPr>
          <w:ilvl w:val="0"/>
          <w:numId w:val="20"/>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招标人将依法组建评标委员会，评标委员会由评审专家组成，成员人数应当为5人以上单数。评审专家依法从政府采购评审专家库中随机抽取。</w:t>
      </w:r>
    </w:p>
    <w:p>
      <w:pPr>
        <w:pStyle w:val="38"/>
        <w:numPr>
          <w:ilvl w:val="0"/>
          <w:numId w:val="20"/>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采购项目符合下列情形之一的，评标委员会成员人数应当为7人以上单数：</w:t>
      </w:r>
    </w:p>
    <w:p>
      <w:pPr>
        <w:pStyle w:val="38"/>
        <w:numPr>
          <w:ilvl w:val="0"/>
          <w:numId w:val="21"/>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采购预算金额在1000万元以上；</w:t>
      </w:r>
    </w:p>
    <w:p>
      <w:pPr>
        <w:pStyle w:val="38"/>
        <w:numPr>
          <w:ilvl w:val="0"/>
          <w:numId w:val="21"/>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技术复杂；</w:t>
      </w:r>
    </w:p>
    <w:p>
      <w:pPr>
        <w:pStyle w:val="38"/>
        <w:numPr>
          <w:ilvl w:val="0"/>
          <w:numId w:val="21"/>
        </w:numPr>
        <w:autoSpaceDE w:val="0"/>
        <w:autoSpaceDN w:val="0"/>
        <w:spacing w:line="360" w:lineRule="auto"/>
        <w:ind w:left="1843" w:hanging="184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 xml:space="preserve">  社会影响较大。</w:t>
      </w:r>
    </w:p>
    <w:p>
      <w:pPr>
        <w:pStyle w:val="38"/>
        <w:numPr>
          <w:ilvl w:val="0"/>
          <w:numId w:val="20"/>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评审专家对本单位的采购项目只能作为采购人代表参与评标。采购代理机构工作人员不得参加由本机构代理的政府采购项目的评标。</w:t>
      </w:r>
    </w:p>
    <w:p>
      <w:pPr>
        <w:pStyle w:val="38"/>
        <w:numPr>
          <w:ilvl w:val="0"/>
          <w:numId w:val="22"/>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评审专家与投标人存在下列利害关系之一的,应当回避:</w:t>
      </w:r>
    </w:p>
    <w:p>
      <w:pPr>
        <w:pStyle w:val="38"/>
        <w:numPr>
          <w:ilvl w:val="0"/>
          <w:numId w:val="23"/>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参加采购活动前三年内,与供应商存在劳动关系,或者担任过供应商的董事、监事,或者是供应商的控股股东或实际控制人；</w:t>
      </w:r>
    </w:p>
    <w:p>
      <w:pPr>
        <w:pStyle w:val="38"/>
        <w:numPr>
          <w:ilvl w:val="0"/>
          <w:numId w:val="23"/>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与供应商的法定代表人或者负责人有夫妻、直系血亲、三代以内旁系血亲或者近姻亲关系；</w:t>
      </w:r>
    </w:p>
    <w:p>
      <w:pPr>
        <w:pStyle w:val="38"/>
        <w:numPr>
          <w:ilvl w:val="0"/>
          <w:numId w:val="23"/>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与供应商有其他可能影响政府采购活动公平、公正进行的关系。</w:t>
      </w:r>
    </w:p>
    <w:p>
      <w:pPr>
        <w:pStyle w:val="38"/>
        <w:numPr>
          <w:ilvl w:val="1"/>
          <w:numId w:val="24"/>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评审专家发现本人与参加采购活动的供应商有利害关系的,应当主动提出回避。采购人或者代理机构发现评审专家与参加采购活动的供应商有利害关系的,应当要求其回避。</w:t>
      </w:r>
    </w:p>
    <w:p>
      <w:pPr>
        <w:pStyle w:val="38"/>
        <w:numPr>
          <w:ilvl w:val="1"/>
          <w:numId w:val="24"/>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采购人不得担任评标小组长。</w:t>
      </w:r>
    </w:p>
    <w:p>
      <w:pPr>
        <w:pStyle w:val="38"/>
        <w:numPr>
          <w:ilvl w:val="1"/>
          <w:numId w:val="24"/>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采购人可以在评标前说明项目背景和采购需求，说明内容不得含有歧视性、倾向性意见，不得超出招标文件所述范围。说明应当提交书面材料，并随采购文件一并存档。</w:t>
      </w:r>
    </w:p>
    <w:p>
      <w:pPr>
        <w:pStyle w:val="38"/>
        <w:numPr>
          <w:ilvl w:val="1"/>
          <w:numId w:val="24"/>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评标委员会成员名单在评标结果公告前应当保密。</w:t>
      </w:r>
    </w:p>
    <w:p>
      <w:pPr>
        <w:autoSpaceDE w:val="0"/>
        <w:autoSpaceDN w:val="0"/>
        <w:spacing w:line="360" w:lineRule="auto"/>
        <w:ind w:left="420"/>
        <w:contextualSpacing/>
        <w:rPr>
          <w:rFonts w:cs="宋体" w:asciiTheme="minorEastAsia" w:hAnsiTheme="minorEastAsia"/>
          <w:color w:val="auto"/>
          <w:kern w:val="0"/>
          <w:szCs w:val="21"/>
        </w:rPr>
      </w:pPr>
    </w:p>
    <w:p>
      <w:pPr>
        <w:pStyle w:val="38"/>
        <w:numPr>
          <w:ilvl w:val="0"/>
          <w:numId w:val="24"/>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符合性审查</w:t>
      </w:r>
    </w:p>
    <w:p>
      <w:pPr>
        <w:pStyle w:val="38"/>
        <w:numPr>
          <w:ilvl w:val="0"/>
          <w:numId w:val="2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评标委员会依据有关法律法规和招标文件的规定，对符合资格的投标人的投标文件进行符合性审查，以确定其是否满足招标文件的实质性要求。</w:t>
      </w:r>
    </w:p>
    <w:p>
      <w:pPr>
        <w:pStyle w:val="38"/>
        <w:numPr>
          <w:ilvl w:val="1"/>
          <w:numId w:val="2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审查、评价投标文件是否符合招标文件的商务、技术等实质性要求。</w:t>
      </w:r>
    </w:p>
    <w:p>
      <w:pPr>
        <w:pStyle w:val="38"/>
        <w:numPr>
          <w:ilvl w:val="1"/>
          <w:numId w:val="2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可要求投标人对投标文件有关事项作出澄清或者说明。</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2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投标文件的澄清</w:t>
      </w:r>
    </w:p>
    <w:p>
      <w:pPr>
        <w:pStyle w:val="38"/>
        <w:numPr>
          <w:ilvl w:val="0"/>
          <w:numId w:val="27"/>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对于投标文件中含义不明确、同类问题表述不一致或者有明显文字和计算错误的内容，评标委员会应当以书面形式要求投标人作出必要的澄清、说明或者补正。</w:t>
      </w:r>
    </w:p>
    <w:p>
      <w:pPr>
        <w:pStyle w:val="38"/>
        <w:numPr>
          <w:ilvl w:val="0"/>
          <w:numId w:val="28"/>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投标人的澄清、说明或者补正应当采用书面形式，并加盖公章，或者由法定代表人或其授权的代表签字。投标人的澄清、说明或者补正不得超出投标文件的范围或者改变投标文件的实质性内容。</w:t>
      </w:r>
    </w:p>
    <w:p>
      <w:pPr>
        <w:pStyle w:val="38"/>
        <w:numPr>
          <w:ilvl w:val="0"/>
          <w:numId w:val="29"/>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投标人的澄清文件是其投标文件的组成部分。</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2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投标文件报价出现前后不一致的修正</w:t>
      </w:r>
    </w:p>
    <w:p>
      <w:pPr>
        <w:pStyle w:val="38"/>
        <w:numPr>
          <w:ilvl w:val="0"/>
          <w:numId w:val="30"/>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投标文件中开标一览表(报价表)内容与投标文件中相应内容不一致的，以开标一览表(报价表)为准；</w:t>
      </w:r>
    </w:p>
    <w:p>
      <w:pPr>
        <w:pStyle w:val="38"/>
        <w:numPr>
          <w:ilvl w:val="0"/>
          <w:numId w:val="30"/>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大写金额和小写金额不一致的，以大写金额为准；</w:t>
      </w:r>
    </w:p>
    <w:p>
      <w:pPr>
        <w:pStyle w:val="38"/>
        <w:numPr>
          <w:ilvl w:val="0"/>
          <w:numId w:val="30"/>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单价金额小数点或者百分比有明显错位的，以开标一览表的总价为准，并修改单价；</w:t>
      </w:r>
    </w:p>
    <w:p>
      <w:pPr>
        <w:pStyle w:val="38"/>
        <w:numPr>
          <w:ilvl w:val="0"/>
          <w:numId w:val="30"/>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2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投标无效情形</w:t>
      </w:r>
    </w:p>
    <w:p>
      <w:pPr>
        <w:pStyle w:val="38"/>
        <w:numPr>
          <w:ilvl w:val="0"/>
          <w:numId w:val="31"/>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投标文件属下列情况之一的，按照无效投标处理：</w:t>
      </w:r>
    </w:p>
    <w:p>
      <w:pPr>
        <w:pStyle w:val="38"/>
        <w:numPr>
          <w:ilvl w:val="0"/>
          <w:numId w:val="32"/>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未按照招标文件的规定提交投标承诺函的；</w:t>
      </w:r>
      <w:r>
        <w:rPr>
          <w:rFonts w:cs="宋体" w:asciiTheme="minorEastAsia" w:hAnsiTheme="minorEastAsia"/>
          <w:color w:val="auto"/>
          <w:kern w:val="0"/>
          <w:szCs w:val="21"/>
        </w:rPr>
        <w:t xml:space="preserve"> </w:t>
      </w:r>
    </w:p>
    <w:p>
      <w:pPr>
        <w:pStyle w:val="38"/>
        <w:numPr>
          <w:ilvl w:val="0"/>
          <w:numId w:val="32"/>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投标文件未按招标文件要求签署、盖章的；</w:t>
      </w:r>
    </w:p>
    <w:p>
      <w:pPr>
        <w:pStyle w:val="38"/>
        <w:numPr>
          <w:ilvl w:val="0"/>
          <w:numId w:val="32"/>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不具备招标文件中规定的资格要求的；</w:t>
      </w:r>
    </w:p>
    <w:p>
      <w:pPr>
        <w:pStyle w:val="38"/>
        <w:numPr>
          <w:ilvl w:val="0"/>
          <w:numId w:val="32"/>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报价超过招标文件中规定的预算金额或者最高限价的；</w:t>
      </w:r>
    </w:p>
    <w:p>
      <w:pPr>
        <w:pStyle w:val="38"/>
        <w:numPr>
          <w:ilvl w:val="0"/>
          <w:numId w:val="32"/>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投标文件含有采购人不能接受的附加条件的</w:t>
      </w:r>
      <w:r>
        <w:rPr>
          <w:rFonts w:hint="eastAsia" w:cs="宋体" w:asciiTheme="minorEastAsia" w:hAnsiTheme="minorEastAsia"/>
          <w:color w:val="auto"/>
          <w:kern w:val="0"/>
          <w:szCs w:val="21"/>
        </w:rPr>
        <w:t>。</w:t>
      </w:r>
    </w:p>
    <w:p>
      <w:pPr>
        <w:pStyle w:val="38"/>
        <w:numPr>
          <w:ilvl w:val="0"/>
          <w:numId w:val="33"/>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有下列情形之一的，视为投标人串通投标，其投标无效：</w:t>
      </w:r>
    </w:p>
    <w:p>
      <w:pPr>
        <w:pStyle w:val="38"/>
        <w:numPr>
          <w:ilvl w:val="0"/>
          <w:numId w:val="3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不同投标人的投标文件由同一单位或者个人编制；</w:t>
      </w:r>
    </w:p>
    <w:p>
      <w:pPr>
        <w:pStyle w:val="38"/>
        <w:numPr>
          <w:ilvl w:val="0"/>
          <w:numId w:val="3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不同投标人委托同一单位或者个人办理投标事宜；</w:t>
      </w:r>
    </w:p>
    <w:p>
      <w:pPr>
        <w:pStyle w:val="38"/>
        <w:numPr>
          <w:ilvl w:val="0"/>
          <w:numId w:val="3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不同投标人的投标文件载明的项目管理成员或者联系人员为同一人；</w:t>
      </w:r>
    </w:p>
    <w:p>
      <w:pPr>
        <w:pStyle w:val="38"/>
        <w:numPr>
          <w:ilvl w:val="0"/>
          <w:numId w:val="3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不同投标人的投标文件异常一致或者投标报价呈规律性差异；</w:t>
      </w:r>
    </w:p>
    <w:p>
      <w:pPr>
        <w:pStyle w:val="38"/>
        <w:numPr>
          <w:ilvl w:val="0"/>
          <w:numId w:val="3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不同投标人的投标文件相互混装。</w:t>
      </w:r>
    </w:p>
    <w:p>
      <w:pPr>
        <w:pStyle w:val="38"/>
        <w:numPr>
          <w:ilvl w:val="0"/>
          <w:numId w:val="3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pStyle w:val="38"/>
        <w:numPr>
          <w:ilvl w:val="0"/>
          <w:numId w:val="3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认为投标人的报价明显低于其他通过符合性审查投标人的报价，有可能影响产品质量或者不能诚信履约的，应当要求其在评标期间合理的时间内提供书面说明，必要时提交相关证明材料；投标人不能证明其报价合理性的，评标委员会应当将其作为无效投标处理。</w:t>
      </w:r>
    </w:p>
    <w:p>
      <w:pPr>
        <w:pStyle w:val="38"/>
        <w:numPr>
          <w:ilvl w:val="0"/>
          <w:numId w:val="37"/>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ascii="ˎ̥" w:hAnsi="ˎ̥"/>
          <w:color w:val="auto"/>
        </w:rPr>
        <w:t>按照《关于推进全流程电子化交易和在线监管工作有关问题的通知》（许公管办[2019]3号）规定，不同投标人电子投标文件制作硬件特征码（网卡MAC地址、CPU序号、硬盘序列号）均一致时，视为‘</w:t>
      </w:r>
      <w:r>
        <w:rPr>
          <w:rFonts w:ascii="ˎ̥" w:hAnsi="ˎ̥"/>
          <w:color w:val="auto"/>
        </w:rPr>
        <w:t>不同</w:t>
      </w:r>
      <w:r>
        <w:rPr>
          <w:rFonts w:hint="eastAsia" w:ascii="ˎ̥" w:hAnsi="ˎ̥"/>
          <w:color w:val="auto"/>
        </w:rPr>
        <w:t>投标人</w:t>
      </w:r>
      <w:r>
        <w:rPr>
          <w:rFonts w:ascii="ˎ̥" w:hAnsi="ˎ̥"/>
          <w:color w:val="auto"/>
        </w:rPr>
        <w:t>的</w:t>
      </w:r>
      <w:r>
        <w:rPr>
          <w:rFonts w:hint="eastAsia" w:ascii="ˎ̥" w:hAnsi="ˎ̥"/>
          <w:color w:val="auto"/>
        </w:rPr>
        <w:t>投标</w:t>
      </w:r>
      <w:r>
        <w:rPr>
          <w:rFonts w:ascii="ˎ̥" w:hAnsi="ˎ̥"/>
          <w:color w:val="auto"/>
        </w:rPr>
        <w:t>文件由同一单位或者个人编制</w:t>
      </w:r>
      <w:r>
        <w:rPr>
          <w:rFonts w:hint="eastAsia" w:ascii="ˎ̥" w:hAnsi="ˎ̥"/>
          <w:color w:val="auto"/>
        </w:rPr>
        <w:t>’或‘</w:t>
      </w:r>
      <w:r>
        <w:rPr>
          <w:rFonts w:ascii="ˎ̥" w:hAnsi="ˎ̥"/>
          <w:color w:val="auto"/>
        </w:rPr>
        <w:t>不同</w:t>
      </w:r>
      <w:r>
        <w:rPr>
          <w:rFonts w:hint="eastAsia" w:ascii="ˎ̥" w:hAnsi="ˎ̥"/>
          <w:color w:val="auto"/>
        </w:rPr>
        <w:t>投标人</w:t>
      </w:r>
      <w:r>
        <w:rPr>
          <w:rFonts w:ascii="ˎ̥" w:hAnsi="ˎ̥"/>
          <w:color w:val="auto"/>
        </w:rPr>
        <w:t>委托同一单位或者个人办理</w:t>
      </w:r>
      <w:r>
        <w:rPr>
          <w:rFonts w:hint="eastAsia" w:ascii="ˎ̥" w:hAnsi="ˎ̥"/>
          <w:color w:val="auto"/>
        </w:rPr>
        <w:t>响应</w:t>
      </w:r>
      <w:r>
        <w:rPr>
          <w:rFonts w:ascii="ˎ̥" w:hAnsi="ˎ̥"/>
          <w:color w:val="auto"/>
        </w:rPr>
        <w:t>事宜</w:t>
      </w:r>
      <w:r>
        <w:rPr>
          <w:rFonts w:hint="eastAsia" w:ascii="ˎ̥" w:hAnsi="ˎ̥"/>
          <w:color w:val="auto"/>
        </w:rPr>
        <w:t>’，其投标无效。</w:t>
      </w:r>
    </w:p>
    <w:p>
      <w:pPr>
        <w:pStyle w:val="38"/>
        <w:numPr>
          <w:ilvl w:val="0"/>
          <w:numId w:val="38"/>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法</w:t>
      </w:r>
      <w:r>
        <w:rPr>
          <w:rFonts w:cs="宋体" w:asciiTheme="minorEastAsia" w:hAnsiTheme="minorEastAsia"/>
          <w:color w:val="auto"/>
          <w:kern w:val="0"/>
          <w:szCs w:val="21"/>
        </w:rPr>
        <w:t>律、法规和招标文件规定的其他无效情形。</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2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相同品牌投标人的认定</w:t>
      </w:r>
      <w:r>
        <w:rPr>
          <w:rFonts w:cs="仿宋_GB2312" w:asciiTheme="minorEastAsia" w:hAnsiTheme="minorEastAsia"/>
          <w:b/>
          <w:bCs/>
          <w:color w:val="auto"/>
          <w:szCs w:val="21"/>
          <w:lang w:val="zh-CN"/>
        </w:rPr>
        <w:t>（服务类项目不适用本条款规定）</w:t>
      </w:r>
    </w:p>
    <w:p>
      <w:pPr>
        <w:pStyle w:val="38"/>
        <w:numPr>
          <w:ilvl w:val="0"/>
          <w:numId w:val="33"/>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38"/>
        <w:numPr>
          <w:ilvl w:val="0"/>
          <w:numId w:val="39"/>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2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投标文件的比较与评价</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评标委员会按照招标文件中规定的评标方法和标准，对符合性审查合格的投标文件进行商务和技术评估，综合比较与评价。</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2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评标方法、评标标准</w:t>
      </w:r>
    </w:p>
    <w:p>
      <w:pPr>
        <w:pStyle w:val="38"/>
        <w:numPr>
          <w:ilvl w:val="0"/>
          <w:numId w:val="40"/>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评标方法分为最低评标价法和综合评分法。</w:t>
      </w:r>
    </w:p>
    <w:p>
      <w:pPr>
        <w:pStyle w:val="38"/>
        <w:numPr>
          <w:ilvl w:val="0"/>
          <w:numId w:val="41"/>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最低评标价法</w:t>
      </w:r>
    </w:p>
    <w:p>
      <w:pPr>
        <w:pStyle w:val="38"/>
        <w:numPr>
          <w:ilvl w:val="0"/>
          <w:numId w:val="42"/>
        </w:numPr>
        <w:autoSpaceDE w:val="0"/>
        <w:autoSpaceDN w:val="0"/>
        <w:spacing w:line="360" w:lineRule="auto"/>
        <w:ind w:left="1841" w:leftChars="1" w:hanging="1839" w:hangingChars="876"/>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最低评标价法，是指投标文件满足招标文件全部实质性要求，且投标报价最低的投标人为中标候选人的评标方法。</w:t>
      </w:r>
    </w:p>
    <w:p>
      <w:pPr>
        <w:pStyle w:val="38"/>
        <w:numPr>
          <w:ilvl w:val="0"/>
          <w:numId w:val="42"/>
        </w:numPr>
        <w:autoSpaceDE w:val="0"/>
        <w:autoSpaceDN w:val="0"/>
        <w:spacing w:line="360" w:lineRule="auto"/>
        <w:ind w:left="1841" w:leftChars="1" w:hanging="1839" w:hangingChars="876"/>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采用最低评标价法评标时，除了算术修正和落实政府采购政策需进行的价格扣除外，不能对投标人的投标价格进行任何调整。</w:t>
      </w:r>
    </w:p>
    <w:p>
      <w:pPr>
        <w:pStyle w:val="38"/>
        <w:numPr>
          <w:ilvl w:val="0"/>
          <w:numId w:val="41"/>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综合评分法，是指投标文件满足招标文件全部实质性要求，且按照评审因素的量化指标评审得分最高的投标人为中标候选人的评标方法。</w:t>
      </w:r>
    </w:p>
    <w:p>
      <w:pPr>
        <w:pStyle w:val="38"/>
        <w:numPr>
          <w:ilvl w:val="0"/>
          <w:numId w:val="43"/>
        </w:numPr>
        <w:autoSpaceDE w:val="0"/>
        <w:autoSpaceDN w:val="0"/>
        <w:spacing w:line="360" w:lineRule="auto"/>
        <w:ind w:left="993" w:hanging="99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价格分</w:t>
      </w:r>
    </w:p>
    <w:p>
      <w:pPr>
        <w:pStyle w:val="38"/>
        <w:numPr>
          <w:ilvl w:val="0"/>
          <w:numId w:val="4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价格分采用低价优先法计算，即满足招标文件要求且投标价格最低的投标报价为评标基准价，其价格分为满分。其他投标人的价格分统一按照下列公式计算：</w:t>
      </w:r>
    </w:p>
    <w:p>
      <w:pPr>
        <w:autoSpaceDE w:val="0"/>
        <w:autoSpaceDN w:val="0"/>
        <w:spacing w:line="360" w:lineRule="auto"/>
        <w:ind w:left="964"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投标报价得分=(评标基准价/投标报价)×100</w:t>
      </w:r>
    </w:p>
    <w:p>
      <w:pPr>
        <w:autoSpaceDE w:val="0"/>
        <w:autoSpaceDN w:val="0"/>
        <w:spacing w:line="360" w:lineRule="auto"/>
        <w:ind w:left="964"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评标总得分=F1×A1+F2×A2+……+Fn×An</w:t>
      </w:r>
    </w:p>
    <w:p>
      <w:pPr>
        <w:autoSpaceDE w:val="0"/>
        <w:autoSpaceDN w:val="0"/>
        <w:spacing w:line="360" w:lineRule="auto"/>
        <w:ind w:left="964"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F1、F2……Fn分别为各项评审因素的得分;</w:t>
      </w:r>
    </w:p>
    <w:p>
      <w:pPr>
        <w:autoSpaceDE w:val="0"/>
        <w:autoSpaceDN w:val="0"/>
        <w:spacing w:line="360" w:lineRule="auto"/>
        <w:ind w:left="964" w:firstLine="840" w:firstLineChars="4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A1、A2、……An 分别为各项评审因素所占的权重(A1+A2+……+An=1)。</w:t>
      </w:r>
    </w:p>
    <w:p>
      <w:pPr>
        <w:pStyle w:val="38"/>
        <w:numPr>
          <w:ilvl w:val="0"/>
          <w:numId w:val="4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评标过程中，不得去掉报价中的最高报价和最低报价。</w:t>
      </w:r>
    </w:p>
    <w:p>
      <w:pPr>
        <w:pStyle w:val="38"/>
        <w:numPr>
          <w:ilvl w:val="0"/>
          <w:numId w:val="44"/>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因落实政府采购政策进行价格调整的，以调整后的价格计算评标基准价和投标报价。</w:t>
      </w:r>
    </w:p>
    <w:p>
      <w:pPr>
        <w:pStyle w:val="38"/>
        <w:numPr>
          <w:ilvl w:val="1"/>
          <w:numId w:val="45"/>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b/>
          <w:color w:val="auto"/>
          <w:kern w:val="0"/>
          <w:szCs w:val="21"/>
        </w:rPr>
        <w:t>本次评标具体评标方法、评标标准见（第六章 资格审查与评标）</w:t>
      </w:r>
      <w:r>
        <w:rPr>
          <w:rFonts w:hint="eastAsia" w:cs="宋体" w:asciiTheme="minorEastAsia" w:hAnsiTheme="minorEastAsia"/>
          <w:color w:val="auto"/>
          <w:kern w:val="0"/>
          <w:szCs w:val="21"/>
        </w:rPr>
        <w:t>。</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45"/>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推荐中标候选人</w:t>
      </w:r>
    </w:p>
    <w:p>
      <w:pPr>
        <w:pStyle w:val="38"/>
        <w:numPr>
          <w:ilvl w:val="0"/>
          <w:numId w:val="40"/>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采用最低评标价法的，评标结果按投标报价由低到高顺序排列。投标报价相同的并列。投标文件满足招标文件全部实质性要求且投标报价最低的投标人为排名第一的中标候选人。</w:t>
      </w:r>
    </w:p>
    <w:p>
      <w:pPr>
        <w:pStyle w:val="38"/>
        <w:numPr>
          <w:ilvl w:val="0"/>
          <w:numId w:val="46"/>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4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评审意见无效情形</w:t>
      </w:r>
    </w:p>
    <w:p>
      <w:pPr>
        <w:pStyle w:val="38"/>
        <w:numPr>
          <w:ilvl w:val="0"/>
          <w:numId w:val="48"/>
        </w:numPr>
        <w:autoSpaceDE w:val="0"/>
        <w:autoSpaceDN w:val="0"/>
        <w:spacing w:line="360" w:lineRule="auto"/>
        <w:ind w:left="993" w:hanging="993"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评标委员会及其成员有下列行为之一的，其评审意见无效：</w:t>
      </w:r>
    </w:p>
    <w:p>
      <w:pPr>
        <w:pStyle w:val="38"/>
        <w:numPr>
          <w:ilvl w:val="0"/>
          <w:numId w:val="49"/>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确定参与评标至评标结束前私自接触投标人；</w:t>
      </w:r>
    </w:p>
    <w:p>
      <w:pPr>
        <w:pStyle w:val="38"/>
        <w:numPr>
          <w:ilvl w:val="0"/>
          <w:numId w:val="49"/>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接受投标人提出的与投标文件不一致的澄清或者说明，《投标人须知》26条规定的情形除外；</w:t>
      </w:r>
    </w:p>
    <w:p>
      <w:pPr>
        <w:pStyle w:val="38"/>
        <w:numPr>
          <w:ilvl w:val="0"/>
          <w:numId w:val="49"/>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违反评标纪律发表倾向性意见或者征询采购人的倾向性意见；</w:t>
      </w:r>
    </w:p>
    <w:p>
      <w:pPr>
        <w:pStyle w:val="38"/>
        <w:numPr>
          <w:ilvl w:val="0"/>
          <w:numId w:val="49"/>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对需要专业判断的主观评审因素协商评分；</w:t>
      </w:r>
    </w:p>
    <w:p>
      <w:pPr>
        <w:pStyle w:val="38"/>
        <w:numPr>
          <w:ilvl w:val="0"/>
          <w:numId w:val="49"/>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在评标过程中擅离职守，影响评标程序正常进行的；</w:t>
      </w:r>
    </w:p>
    <w:p>
      <w:pPr>
        <w:pStyle w:val="38"/>
        <w:numPr>
          <w:ilvl w:val="0"/>
          <w:numId w:val="49"/>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记录、复制或者带走任何评标资料；</w:t>
      </w:r>
    </w:p>
    <w:p>
      <w:pPr>
        <w:pStyle w:val="38"/>
        <w:numPr>
          <w:ilvl w:val="0"/>
          <w:numId w:val="49"/>
        </w:numPr>
        <w:autoSpaceDE w:val="0"/>
        <w:autoSpaceDN w:val="0"/>
        <w:spacing w:line="360" w:lineRule="auto"/>
        <w:ind w:left="1418" w:hanging="1418"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其他不遵守评标纪律的行为。</w:t>
      </w:r>
    </w:p>
    <w:p>
      <w:pPr>
        <w:pStyle w:val="38"/>
        <w:autoSpaceDE w:val="0"/>
        <w:autoSpaceDN w:val="0"/>
        <w:spacing w:line="360" w:lineRule="auto"/>
        <w:ind w:left="1384" w:firstLine="0" w:firstLineChars="0"/>
        <w:contextualSpacing/>
        <w:rPr>
          <w:rFonts w:cs="宋体" w:asciiTheme="minorEastAsia" w:hAnsiTheme="minorEastAsia"/>
          <w:color w:val="auto"/>
          <w:kern w:val="0"/>
          <w:szCs w:val="21"/>
        </w:rPr>
      </w:pP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4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保密</w:t>
      </w:r>
    </w:p>
    <w:p>
      <w:pPr>
        <w:pStyle w:val="38"/>
        <w:numPr>
          <w:ilvl w:val="0"/>
          <w:numId w:val="50"/>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评审专家应当遵守评审工作纪律，不得泄露评审文件、评审情况和评审中获悉的商业秘密。</w:t>
      </w:r>
    </w:p>
    <w:p>
      <w:pPr>
        <w:pStyle w:val="38"/>
        <w:numPr>
          <w:ilvl w:val="0"/>
          <w:numId w:val="51"/>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rPr>
          <w:rFonts w:cs="仿宋_GB2312" w:asciiTheme="minorEastAsia" w:hAnsiTheme="minorEastAsia"/>
          <w:color w:val="auto"/>
          <w:szCs w:val="21"/>
          <w:lang w:val="zh-CN"/>
        </w:rPr>
      </w:pPr>
    </w:p>
    <w:p>
      <w:pPr>
        <w:tabs>
          <w:tab w:val="left" w:pos="1260"/>
        </w:tabs>
        <w:autoSpaceDE w:val="0"/>
        <w:autoSpaceDN w:val="0"/>
        <w:spacing w:line="360" w:lineRule="auto"/>
        <w:contextualSpacing/>
        <w:jc w:val="center"/>
        <w:rPr>
          <w:rFonts w:cs="宋体" w:asciiTheme="minorEastAsia" w:hAnsiTheme="minorEastAsia"/>
          <w:b/>
          <w:color w:val="auto"/>
          <w:kern w:val="0"/>
          <w:szCs w:val="21"/>
        </w:rPr>
      </w:pPr>
      <w:r>
        <w:rPr>
          <w:rFonts w:hint="eastAsia" w:cs="宋体" w:asciiTheme="minorEastAsia" w:hAnsiTheme="minorEastAsia"/>
          <w:b/>
          <w:color w:val="auto"/>
          <w:kern w:val="0"/>
          <w:szCs w:val="21"/>
        </w:rPr>
        <w:t>六、定标和授予合同</w:t>
      </w:r>
    </w:p>
    <w:p>
      <w:pPr>
        <w:pStyle w:val="38"/>
        <w:numPr>
          <w:ilvl w:val="0"/>
          <w:numId w:val="4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确定中标人</w:t>
      </w:r>
    </w:p>
    <w:p>
      <w:pPr>
        <w:pStyle w:val="38"/>
        <w:numPr>
          <w:ilvl w:val="0"/>
          <w:numId w:val="51"/>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采购人应当自收到评标报告之日起5个工作日内，在评标报告确定的中标候选人名单中按顺序确定中标人。中标候选人并列的，由采购人采取随机抽取的方式确定。</w:t>
      </w:r>
    </w:p>
    <w:p>
      <w:pPr>
        <w:pStyle w:val="38"/>
        <w:numPr>
          <w:ilvl w:val="0"/>
          <w:numId w:val="52"/>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采购人在收到评标报告5个工作日内未按评标报告推荐的中标候选人顺序确定中标人，又不能说明合法理由的，视同按评标报告推荐的顺序确定排名第一的中标候选人为中标人。</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4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中标公告、发出中标通知书</w:t>
      </w:r>
    </w:p>
    <w:p>
      <w:pPr>
        <w:pStyle w:val="38"/>
        <w:numPr>
          <w:ilvl w:val="0"/>
          <w:numId w:val="52"/>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采购人确认中标人后，招标人在公告中标结果的同时，向中标人发出中标通知书。</w:t>
      </w:r>
    </w:p>
    <w:p>
      <w:pPr>
        <w:pStyle w:val="38"/>
        <w:numPr>
          <w:ilvl w:val="0"/>
          <w:numId w:val="53"/>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中标通知书发出后，采购人不得违法改变中标结果，中标人无正当理由不得放弃中标。</w:t>
      </w:r>
    </w:p>
    <w:p>
      <w:pPr>
        <w:pStyle w:val="38"/>
        <w:numPr>
          <w:ilvl w:val="0"/>
          <w:numId w:val="54"/>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中标人在接到中标通知时，须向代理机构发送投标报价及分项报价一览表（包含主要中标标的的名称、规格型号、数量、单价、服务要求等）电子文档，并同时通知代理机构联系人。</w:t>
      </w:r>
    </w:p>
    <w:p>
      <w:pPr>
        <w:pStyle w:val="38"/>
        <w:autoSpaceDE w:val="0"/>
        <w:autoSpaceDN w:val="0"/>
        <w:spacing w:line="360" w:lineRule="auto"/>
        <w:ind w:left="964" w:firstLine="0" w:firstLineChars="0"/>
        <w:contextualSpacing/>
        <w:rPr>
          <w:rFonts w:cs="宋体" w:asciiTheme="minorEastAsia" w:hAnsiTheme="minorEastAsia"/>
          <w:color w:val="auto"/>
          <w:kern w:val="0"/>
          <w:szCs w:val="21"/>
        </w:rPr>
      </w:pPr>
    </w:p>
    <w:p>
      <w:pPr>
        <w:pStyle w:val="38"/>
        <w:numPr>
          <w:ilvl w:val="0"/>
          <w:numId w:val="47"/>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质疑提出与答复</w:t>
      </w:r>
    </w:p>
    <w:p>
      <w:pPr>
        <w:pStyle w:val="38"/>
        <w:numPr>
          <w:ilvl w:val="0"/>
          <w:numId w:val="54"/>
        </w:numPr>
        <w:autoSpaceDE w:val="0"/>
        <w:autoSpaceDN w:val="0"/>
        <w:spacing w:line="360" w:lineRule="auto"/>
        <w:ind w:hanging="964"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供应商认为采购文件、采购过程和中标结果使自己的权益受到损害的，可以按照《政府采购质疑和投诉办法》（财政部令第94号）提出质疑。</w:t>
      </w:r>
      <w:r>
        <w:rPr>
          <w:rFonts w:cs="宋体" w:asciiTheme="minorEastAsia" w:hAnsiTheme="minorEastAsia"/>
          <w:color w:val="auto"/>
          <w:kern w:val="0"/>
          <w:szCs w:val="21"/>
        </w:rPr>
        <w:t>提出质疑的供应商应当是参与</w:t>
      </w:r>
      <w:r>
        <w:rPr>
          <w:rFonts w:hint="eastAsia" w:cs="宋体" w:asciiTheme="minorEastAsia" w:hAnsiTheme="minorEastAsia"/>
          <w:color w:val="auto"/>
          <w:kern w:val="0"/>
          <w:szCs w:val="21"/>
        </w:rPr>
        <w:t>本</w:t>
      </w:r>
      <w:r>
        <w:rPr>
          <w:rFonts w:cs="宋体" w:asciiTheme="minorEastAsia" w:hAnsiTheme="minorEastAsia"/>
          <w:color w:val="auto"/>
          <w:kern w:val="0"/>
          <w:szCs w:val="21"/>
        </w:rPr>
        <w:t>项目采购活动的供应商。</w:t>
      </w:r>
    </w:p>
    <w:p>
      <w:pPr>
        <w:pStyle w:val="38"/>
        <w:numPr>
          <w:ilvl w:val="0"/>
          <w:numId w:val="55"/>
        </w:numPr>
        <w:autoSpaceDE w:val="0"/>
        <w:autoSpaceDN w:val="0"/>
        <w:spacing w:line="360" w:lineRule="auto"/>
        <w:ind w:hanging="1407"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对采购文件提出质疑的，</w:t>
      </w:r>
      <w:r>
        <w:rPr>
          <w:rFonts w:cs="宋体" w:asciiTheme="minorEastAsia" w:hAnsiTheme="minorEastAsia"/>
          <w:color w:val="auto"/>
          <w:kern w:val="0"/>
          <w:szCs w:val="21"/>
        </w:rPr>
        <w:t>潜在</w:t>
      </w:r>
      <w:r>
        <w:rPr>
          <w:rFonts w:hint="eastAsia" w:cs="宋体" w:asciiTheme="minorEastAsia" w:hAnsiTheme="minorEastAsia"/>
          <w:color w:val="auto"/>
          <w:kern w:val="0"/>
          <w:szCs w:val="21"/>
        </w:rPr>
        <w:t>投标人应</w:t>
      </w:r>
      <w:r>
        <w:rPr>
          <w:rFonts w:cs="宋体" w:asciiTheme="minorEastAsia" w:hAnsiTheme="minorEastAsia"/>
          <w:color w:val="auto"/>
          <w:kern w:val="0"/>
          <w:szCs w:val="21"/>
        </w:rPr>
        <w:t>已依法获取采购文件</w:t>
      </w:r>
      <w:r>
        <w:rPr>
          <w:rFonts w:hint="eastAsia" w:cs="宋体" w:asciiTheme="minorEastAsia" w:hAnsiTheme="minorEastAsia"/>
          <w:color w:val="auto"/>
          <w:kern w:val="0"/>
          <w:szCs w:val="21"/>
        </w:rPr>
        <w:t>，且应当在</w:t>
      </w:r>
      <w:r>
        <w:rPr>
          <w:rFonts w:cs="宋体" w:asciiTheme="minorEastAsia" w:hAnsiTheme="minorEastAsia"/>
          <w:color w:val="auto"/>
          <w:kern w:val="0"/>
          <w:szCs w:val="21"/>
        </w:rPr>
        <w:t>获取采购文件或者采购文件公告期限届满之日起7个工作日内</w:t>
      </w:r>
      <w:r>
        <w:rPr>
          <w:rFonts w:hint="eastAsia" w:cs="宋体" w:asciiTheme="minorEastAsia" w:hAnsiTheme="minorEastAsia"/>
          <w:color w:val="auto"/>
          <w:kern w:val="0"/>
          <w:szCs w:val="21"/>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pPr>
        <w:pStyle w:val="38"/>
        <w:numPr>
          <w:ilvl w:val="0"/>
          <w:numId w:val="55"/>
        </w:numPr>
        <w:autoSpaceDE w:val="0"/>
        <w:autoSpaceDN w:val="0"/>
        <w:spacing w:line="360" w:lineRule="auto"/>
        <w:ind w:hanging="1407"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对采购过程提出质疑的，为各采购程序环节结束之日起七个工作日  内，以书面形式向采购人和采购代理机构一次性提出；</w:t>
      </w:r>
    </w:p>
    <w:p>
      <w:pPr>
        <w:pStyle w:val="38"/>
        <w:numPr>
          <w:ilvl w:val="0"/>
          <w:numId w:val="55"/>
        </w:numPr>
        <w:autoSpaceDE w:val="0"/>
        <w:autoSpaceDN w:val="0"/>
        <w:spacing w:line="360" w:lineRule="auto"/>
        <w:ind w:hanging="1407" w:firstLineChars="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对中标结果提出质疑的，为中标结果公告期限届满之日起七个工作日内，以书面形式向采购人和采购代理机构一次性提出。</w:t>
      </w:r>
    </w:p>
    <w:p>
      <w:pPr>
        <w:pStyle w:val="38"/>
        <w:numPr>
          <w:ilvl w:val="1"/>
          <w:numId w:val="56"/>
        </w:numPr>
        <w:autoSpaceDE w:val="0"/>
        <w:autoSpaceDN w:val="0"/>
        <w:spacing w:line="360" w:lineRule="auto"/>
        <w:ind w:hanging="964"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采购人、采购代理机构认为供应商质疑不成立，或者成立但未对中标结果构成影响的，继续开展采购活动；认为供应商质疑成立且影响或者可能影响中标结果的，按照下列情况处理：</w:t>
      </w:r>
    </w:p>
    <w:p>
      <w:pPr>
        <w:pStyle w:val="38"/>
        <w:numPr>
          <w:ilvl w:val="0"/>
          <w:numId w:val="57"/>
        </w:numPr>
        <w:autoSpaceDE w:val="0"/>
        <w:autoSpaceDN w:val="0"/>
        <w:spacing w:line="360" w:lineRule="auto"/>
        <w:ind w:hanging="1384"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对采购文件提出的质疑，依法通过澄清或者修改可以继续开展采购活动的，澄清或者修改采购文件后继续开展采购活动；否则应当修改采购文件后重新开展采购活动。</w:t>
      </w:r>
    </w:p>
    <w:p>
      <w:pPr>
        <w:pStyle w:val="38"/>
        <w:numPr>
          <w:ilvl w:val="0"/>
          <w:numId w:val="57"/>
        </w:numPr>
        <w:autoSpaceDE w:val="0"/>
        <w:autoSpaceDN w:val="0"/>
        <w:spacing w:line="360" w:lineRule="auto"/>
        <w:ind w:hanging="1384" w:firstLineChars="0"/>
        <w:contextualSpacing/>
        <w:rPr>
          <w:rFonts w:cs="宋体" w:asciiTheme="minorEastAsia" w:hAnsiTheme="minorEastAsia"/>
          <w:color w:val="auto"/>
          <w:kern w:val="0"/>
          <w:szCs w:val="21"/>
        </w:rPr>
      </w:pPr>
      <w:r>
        <w:rPr>
          <w:rFonts w:cs="宋体" w:asciiTheme="minorEastAsia" w:hAnsiTheme="minorEastAsia"/>
          <w:color w:val="auto"/>
          <w:kern w:val="0"/>
          <w:szCs w:val="21"/>
        </w:rPr>
        <w:t>对采购过程、中标结果提出的质疑，合格供应商符合法定数量时，可以从合格的中标</w:t>
      </w:r>
      <w:r>
        <w:rPr>
          <w:rFonts w:hint="eastAsia" w:cs="宋体" w:asciiTheme="minorEastAsia" w:hAnsiTheme="minorEastAsia"/>
          <w:color w:val="auto"/>
          <w:kern w:val="0"/>
          <w:szCs w:val="21"/>
        </w:rPr>
        <w:t>候选人</w:t>
      </w:r>
      <w:r>
        <w:rPr>
          <w:rFonts w:cs="宋体" w:asciiTheme="minorEastAsia" w:hAnsiTheme="minorEastAsia"/>
          <w:color w:val="auto"/>
          <w:kern w:val="0"/>
          <w:szCs w:val="21"/>
        </w:rPr>
        <w:t>中另行确定中标供应商的，应当依法另行确定中标供应商；否则应当重新开展采购活动</w:t>
      </w:r>
      <w:r>
        <w:rPr>
          <w:rFonts w:hint="eastAsia" w:cs="宋体" w:asciiTheme="minorEastAsia" w:hAnsiTheme="minorEastAsia"/>
          <w:color w:val="auto"/>
          <w:kern w:val="0"/>
          <w:szCs w:val="21"/>
        </w:rPr>
        <w:t>。</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5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签订合同</w:t>
      </w:r>
    </w:p>
    <w:p>
      <w:pPr>
        <w:autoSpaceDE w:val="0"/>
        <w:autoSpaceDN w:val="0"/>
        <w:spacing w:line="360" w:lineRule="auto"/>
        <w:ind w:left="964"/>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360" w:lineRule="auto"/>
        <w:ind w:left="964"/>
        <w:contextualSpacing/>
        <w:rPr>
          <w:rFonts w:cs="宋体" w:asciiTheme="minorEastAsia" w:hAnsiTheme="minorEastAsia"/>
          <w:color w:val="auto"/>
          <w:kern w:val="0"/>
          <w:szCs w:val="21"/>
        </w:rPr>
      </w:pPr>
    </w:p>
    <w:p>
      <w:pPr>
        <w:pStyle w:val="38"/>
        <w:numPr>
          <w:ilvl w:val="0"/>
          <w:numId w:val="56"/>
        </w:numPr>
        <w:autoSpaceDE w:val="0"/>
        <w:autoSpaceDN w:val="0"/>
        <w:spacing w:line="360" w:lineRule="auto"/>
        <w:ind w:firstLineChars="0"/>
        <w:contextualSpacing/>
        <w:rPr>
          <w:rFonts w:cs="宋体" w:asciiTheme="minorEastAsia" w:hAnsiTheme="minorEastAsia"/>
          <w:b/>
          <w:color w:val="auto"/>
          <w:kern w:val="0"/>
          <w:szCs w:val="21"/>
        </w:rPr>
      </w:pPr>
      <w:r>
        <w:rPr>
          <w:rFonts w:hint="eastAsia" w:cs="宋体" w:asciiTheme="minorEastAsia" w:hAnsiTheme="minorEastAsia"/>
          <w:b/>
          <w:color w:val="auto"/>
          <w:kern w:val="0"/>
          <w:szCs w:val="21"/>
        </w:rPr>
        <w:t>履约保证金</w:t>
      </w:r>
    </w:p>
    <w:p>
      <w:pPr>
        <w:autoSpaceDE w:val="0"/>
        <w:autoSpaceDN w:val="0"/>
        <w:spacing w:line="360" w:lineRule="auto"/>
        <w:ind w:left="964"/>
        <w:contextualSpacing/>
        <w:jc w:val="left"/>
        <w:rPr>
          <w:rFonts w:cs="宋体" w:asciiTheme="majorEastAsia" w:hAnsiTheme="majorEastAsia" w:eastAsiaTheme="majorEastAsia"/>
          <w:b/>
          <w:color w:val="auto"/>
          <w:kern w:val="0"/>
          <w:sz w:val="32"/>
          <w:szCs w:val="32"/>
        </w:rPr>
      </w:pPr>
      <w:r>
        <w:rPr>
          <w:rFonts w:hint="eastAsia" w:cs="宋体" w:asciiTheme="minorEastAsia" w:hAnsiTheme="minorEastAsia"/>
          <w:color w:val="auto"/>
          <w:kern w:val="0"/>
          <w:szCs w:val="21"/>
        </w:rPr>
        <w:t>“投标人须知前附表”中规定中标人提交履约保证金的，中标人应当以支票、汇票、本票或者金融机构、担保机构出具的保函等非现金形式向采购人提交。履约保证金的数额不得超过政府采购合同金额的10%。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auto"/>
          <w:sz w:val="24"/>
          <w:szCs w:val="24"/>
        </w:rPr>
        <w:br w:type="textWrapping"/>
      </w:r>
      <w:r>
        <w:rPr>
          <w:rFonts w:hint="eastAsia" w:cs="宋体" w:asciiTheme="majorEastAsia" w:hAnsiTheme="majorEastAsia" w:eastAsiaTheme="majorEastAsia"/>
          <w:b/>
          <w:color w:val="auto"/>
          <w:kern w:val="0"/>
          <w:sz w:val="32"/>
          <w:szCs w:val="32"/>
        </w:rPr>
        <w:t xml:space="preserve">          </w:t>
      </w:r>
    </w:p>
    <w:p>
      <w:pPr>
        <w:autoSpaceDE w:val="0"/>
        <w:autoSpaceDN w:val="0"/>
        <w:spacing w:line="360" w:lineRule="auto"/>
        <w:ind w:left="964"/>
        <w:contextualSpacing/>
        <w:jc w:val="left"/>
        <w:rPr>
          <w:rFonts w:cs="宋体" w:asciiTheme="majorEastAsia" w:hAnsiTheme="majorEastAsia" w:eastAsiaTheme="majorEastAsia"/>
          <w:b/>
          <w:color w:val="auto"/>
          <w:kern w:val="0"/>
          <w:sz w:val="32"/>
          <w:szCs w:val="32"/>
        </w:rPr>
      </w:pPr>
    </w:p>
    <w:p>
      <w:pPr>
        <w:autoSpaceDE w:val="0"/>
        <w:autoSpaceDN w:val="0"/>
        <w:spacing w:line="360" w:lineRule="auto"/>
        <w:ind w:left="964"/>
        <w:contextualSpacing/>
        <w:jc w:val="left"/>
        <w:rPr>
          <w:rFonts w:cs="宋体" w:asciiTheme="majorEastAsia" w:hAnsiTheme="majorEastAsia" w:eastAsiaTheme="majorEastAsia"/>
          <w:b/>
          <w:color w:val="auto"/>
          <w:kern w:val="0"/>
          <w:sz w:val="32"/>
          <w:szCs w:val="32"/>
        </w:rPr>
      </w:pPr>
    </w:p>
    <w:p>
      <w:pPr>
        <w:autoSpaceDE w:val="0"/>
        <w:autoSpaceDN w:val="0"/>
        <w:spacing w:line="360" w:lineRule="auto"/>
        <w:ind w:left="964"/>
        <w:contextualSpacing/>
        <w:jc w:val="left"/>
        <w:rPr>
          <w:rFonts w:cs="宋体" w:asciiTheme="majorEastAsia" w:hAnsiTheme="majorEastAsia" w:eastAsiaTheme="majorEastAsia"/>
          <w:b/>
          <w:color w:val="auto"/>
          <w:kern w:val="0"/>
          <w:sz w:val="32"/>
          <w:szCs w:val="32"/>
        </w:rPr>
      </w:pPr>
    </w:p>
    <w:p>
      <w:pPr>
        <w:autoSpaceDE w:val="0"/>
        <w:autoSpaceDN w:val="0"/>
        <w:spacing w:line="360" w:lineRule="auto"/>
        <w:ind w:left="964"/>
        <w:contextualSpacing/>
        <w:jc w:val="left"/>
        <w:rPr>
          <w:rFonts w:cs="宋体" w:asciiTheme="majorEastAsia" w:hAnsiTheme="majorEastAsia" w:eastAsiaTheme="majorEastAsia"/>
          <w:b/>
          <w:color w:val="auto"/>
          <w:kern w:val="0"/>
          <w:sz w:val="32"/>
          <w:szCs w:val="32"/>
        </w:rPr>
      </w:pPr>
    </w:p>
    <w:p>
      <w:pPr>
        <w:autoSpaceDE w:val="0"/>
        <w:autoSpaceDN w:val="0"/>
        <w:spacing w:line="360" w:lineRule="auto"/>
        <w:ind w:left="964"/>
        <w:contextualSpacing/>
        <w:jc w:val="left"/>
        <w:rPr>
          <w:rFonts w:cs="宋体" w:asciiTheme="majorEastAsia" w:hAnsiTheme="majorEastAsia" w:eastAsiaTheme="majorEastAsia"/>
          <w:b/>
          <w:color w:val="auto"/>
          <w:kern w:val="0"/>
          <w:sz w:val="32"/>
          <w:szCs w:val="32"/>
        </w:rPr>
      </w:pPr>
    </w:p>
    <w:p>
      <w:pPr>
        <w:autoSpaceDE w:val="0"/>
        <w:autoSpaceDN w:val="0"/>
        <w:spacing w:line="360" w:lineRule="auto"/>
        <w:ind w:left="964"/>
        <w:contextualSpacing/>
        <w:jc w:val="left"/>
        <w:rPr>
          <w:rFonts w:cs="宋体" w:asciiTheme="majorEastAsia" w:hAnsiTheme="majorEastAsia" w:eastAsiaTheme="majorEastAsia"/>
          <w:b/>
          <w:color w:val="auto"/>
          <w:kern w:val="0"/>
          <w:sz w:val="32"/>
          <w:szCs w:val="32"/>
        </w:rPr>
      </w:pPr>
    </w:p>
    <w:p>
      <w:pPr>
        <w:autoSpaceDE w:val="0"/>
        <w:autoSpaceDN w:val="0"/>
        <w:spacing w:line="360" w:lineRule="auto"/>
        <w:ind w:left="964"/>
        <w:contextualSpacing/>
        <w:jc w:val="left"/>
        <w:rPr>
          <w:rFonts w:cs="宋体" w:asciiTheme="majorEastAsia" w:hAnsiTheme="majorEastAsia" w:eastAsiaTheme="majorEastAsia"/>
          <w:b/>
          <w:color w:val="auto"/>
          <w:kern w:val="0"/>
          <w:sz w:val="32"/>
          <w:szCs w:val="32"/>
        </w:rPr>
      </w:pPr>
    </w:p>
    <w:p>
      <w:pPr>
        <w:autoSpaceDE w:val="0"/>
        <w:autoSpaceDN w:val="0"/>
        <w:spacing w:line="360" w:lineRule="auto"/>
        <w:ind w:left="964"/>
        <w:contextualSpacing/>
        <w:jc w:val="left"/>
        <w:rPr>
          <w:rFonts w:cs="宋体" w:asciiTheme="majorEastAsia" w:hAnsiTheme="majorEastAsia" w:eastAsiaTheme="majorEastAsia"/>
          <w:b/>
          <w:color w:val="auto"/>
          <w:kern w:val="0"/>
          <w:sz w:val="32"/>
          <w:szCs w:val="32"/>
        </w:rPr>
      </w:pPr>
    </w:p>
    <w:p>
      <w:pPr>
        <w:autoSpaceDE w:val="0"/>
        <w:autoSpaceDN w:val="0"/>
        <w:spacing w:line="360" w:lineRule="auto"/>
        <w:ind w:left="964"/>
        <w:contextualSpacing/>
        <w:jc w:val="left"/>
        <w:rPr>
          <w:rFonts w:cs="宋体" w:asciiTheme="majorEastAsia" w:hAnsiTheme="majorEastAsia" w:eastAsiaTheme="majorEastAsia"/>
          <w:b/>
          <w:color w:val="auto"/>
          <w:kern w:val="0"/>
          <w:sz w:val="32"/>
          <w:szCs w:val="32"/>
        </w:rPr>
      </w:pPr>
    </w:p>
    <w:p>
      <w:pPr>
        <w:autoSpaceDE w:val="0"/>
        <w:autoSpaceDN w:val="0"/>
        <w:spacing w:line="360" w:lineRule="auto"/>
        <w:ind w:left="964"/>
        <w:contextualSpacing/>
        <w:jc w:val="left"/>
        <w:rPr>
          <w:rFonts w:cs="宋体" w:asciiTheme="majorEastAsia" w:hAnsiTheme="majorEastAsia" w:eastAsiaTheme="majorEastAsia"/>
          <w:b/>
          <w:color w:val="auto"/>
          <w:kern w:val="0"/>
          <w:sz w:val="32"/>
          <w:szCs w:val="32"/>
        </w:rPr>
      </w:pPr>
    </w:p>
    <w:p>
      <w:pPr>
        <w:autoSpaceDE w:val="0"/>
        <w:autoSpaceDN w:val="0"/>
        <w:spacing w:line="360" w:lineRule="auto"/>
        <w:ind w:left="964"/>
        <w:contextualSpacing/>
        <w:jc w:val="left"/>
        <w:rPr>
          <w:rFonts w:cs="宋体" w:asciiTheme="majorEastAsia" w:hAnsiTheme="majorEastAsia" w:eastAsiaTheme="majorEastAsia"/>
          <w:b/>
          <w:color w:val="auto"/>
          <w:kern w:val="0"/>
          <w:sz w:val="32"/>
          <w:szCs w:val="32"/>
        </w:rPr>
      </w:pPr>
    </w:p>
    <w:p>
      <w:pPr>
        <w:autoSpaceDE w:val="0"/>
        <w:autoSpaceDN w:val="0"/>
        <w:spacing w:line="360" w:lineRule="auto"/>
        <w:ind w:left="964"/>
        <w:contextualSpacing/>
        <w:jc w:val="left"/>
        <w:rPr>
          <w:rFonts w:cs="宋体" w:asciiTheme="majorEastAsia" w:hAnsiTheme="majorEastAsia" w:eastAsiaTheme="majorEastAsia"/>
          <w:b/>
          <w:color w:val="auto"/>
          <w:kern w:val="0"/>
          <w:sz w:val="32"/>
          <w:szCs w:val="32"/>
        </w:rPr>
      </w:pPr>
    </w:p>
    <w:p>
      <w:pPr>
        <w:autoSpaceDE w:val="0"/>
        <w:autoSpaceDN w:val="0"/>
        <w:spacing w:line="360" w:lineRule="auto"/>
        <w:ind w:left="964"/>
        <w:contextualSpacing/>
        <w:jc w:val="left"/>
        <w:rPr>
          <w:rFonts w:cs="宋体" w:asciiTheme="majorEastAsia" w:hAnsiTheme="majorEastAsia" w:eastAsiaTheme="majorEastAsia"/>
          <w:b/>
          <w:color w:val="auto"/>
          <w:kern w:val="0"/>
          <w:sz w:val="32"/>
          <w:szCs w:val="32"/>
        </w:rPr>
      </w:pPr>
    </w:p>
    <w:p>
      <w:pPr>
        <w:autoSpaceDE w:val="0"/>
        <w:autoSpaceDN w:val="0"/>
        <w:spacing w:line="360" w:lineRule="auto"/>
        <w:ind w:left="964" w:firstLine="1446" w:firstLineChars="450"/>
        <w:contextualSpacing/>
        <w:jc w:val="left"/>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第五章 政府采购政策功能</w:t>
      </w:r>
    </w:p>
    <w:p>
      <w:pPr>
        <w:jc w:val="center"/>
        <w:rPr>
          <w:rFonts w:cs="宋体" w:asciiTheme="majorEastAsia" w:hAnsiTheme="majorEastAsia" w:eastAsiaTheme="majorEastAsia"/>
          <w:b/>
          <w:color w:val="auto"/>
          <w:kern w:val="0"/>
          <w:sz w:val="36"/>
          <w:szCs w:val="36"/>
        </w:rPr>
      </w:pP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支持脱贫攻坚等政府采购政策。</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一、节能能源、保护环境</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按照《财政部、发展改革委、生态环境部、市场监管总局关于调整优化节能产品、环境标志产品政府采购执行机制的通知》（财库〔2019〕9号）和</w:t>
      </w:r>
      <w:r>
        <w:rPr>
          <w:rFonts w:hint="eastAsia" w:cs="仿宋_GB2312" w:asciiTheme="minorEastAsia" w:hAnsiTheme="minorEastAsia" w:eastAsiaTheme="minorEastAsia"/>
          <w:color w:val="auto"/>
          <w:sz w:val="21"/>
          <w:szCs w:val="21"/>
        </w:rPr>
        <w:t>财政部、生态环境部</w:t>
      </w:r>
      <w:r>
        <w:rPr>
          <w:rFonts w:hint="eastAsia" w:cs="仿宋_GB2312" w:asciiTheme="minorEastAsia" w:hAnsiTheme="minorEastAsia" w:eastAsiaTheme="minorEastAsia"/>
          <w:color w:val="auto"/>
          <w:sz w:val="21"/>
          <w:szCs w:val="21"/>
          <w:lang w:val="zh-CN"/>
        </w:rPr>
        <w:t>《关于印发环境标志产品政府采购品目清单的通知》</w:t>
      </w:r>
      <w:r>
        <w:rPr>
          <w:rFonts w:hint="eastAsia" w:cs="仿宋_GB2312" w:asciiTheme="minorEastAsia" w:hAnsiTheme="minorEastAsia" w:eastAsiaTheme="minorEastAsia"/>
          <w:color w:val="auto"/>
          <w:sz w:val="21"/>
          <w:szCs w:val="21"/>
        </w:rPr>
        <w:t>（财库[2019]18号）以及</w:t>
      </w:r>
      <w:r>
        <w:rPr>
          <w:rFonts w:hint="eastAsia" w:cs="仿宋_GB2312" w:asciiTheme="minorEastAsia" w:hAnsiTheme="minorEastAsia" w:eastAsiaTheme="minorEastAsia"/>
          <w:color w:val="auto"/>
          <w:sz w:val="21"/>
          <w:szCs w:val="21"/>
          <w:lang w:val="zh-CN"/>
        </w:rPr>
        <w:t>财政部、发展改革委</w:t>
      </w:r>
      <w:r>
        <w:rPr>
          <w:rFonts w:hint="eastAsia" w:cs="仿宋_GB2312" w:asciiTheme="minorEastAsia" w:hAnsiTheme="minorEastAsia" w:eastAsiaTheme="minorEastAsia"/>
          <w:color w:val="auto"/>
          <w:sz w:val="21"/>
          <w:szCs w:val="21"/>
        </w:rPr>
        <w:t>《关于印发节能产品政府采购品目清单的通知》（财库[2019]19号）</w:t>
      </w:r>
      <w:r>
        <w:rPr>
          <w:rFonts w:hint="eastAsia" w:cs="仿宋_GB2312" w:asciiTheme="minorEastAsia" w:hAnsiTheme="minorEastAsia" w:eastAsiaTheme="minorEastAsia"/>
          <w:color w:val="auto"/>
          <w:sz w:val="21"/>
          <w:szCs w:val="21"/>
          <w:lang w:val="zh-CN"/>
        </w:rPr>
        <w:t>，</w:t>
      </w:r>
      <w:r>
        <w:rPr>
          <w:rFonts w:hint="eastAsia" w:cs="仿宋_GB2312" w:asciiTheme="minorEastAsia" w:hAnsiTheme="minorEastAsia" w:eastAsiaTheme="minorEastAsia"/>
          <w:color w:val="auto"/>
          <w:sz w:val="21"/>
          <w:szCs w:val="21"/>
        </w:rPr>
        <w:t>采购属于政府强</w:t>
      </w:r>
      <w:r>
        <w:rPr>
          <w:rFonts w:hint="eastAsia" w:cs="仿宋_GB2312" w:asciiTheme="minorEastAsia" w:hAnsiTheme="minorEastAsia" w:eastAsiaTheme="minorEastAsia"/>
          <w:color w:val="auto"/>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22" w:firstLineChars="200"/>
        <w:contextualSpacing/>
        <w:rPr>
          <w:rFonts w:cs="仿宋_GB2312" w:asciiTheme="minorEastAsia" w:hAnsiTheme="minorEastAsia"/>
          <w:b/>
          <w:color w:val="auto"/>
          <w:sz w:val="21"/>
          <w:szCs w:val="21"/>
          <w:lang w:val="zh-CN"/>
        </w:rPr>
      </w:pPr>
      <w:r>
        <w:rPr>
          <w:rFonts w:hint="eastAsia" w:cs="仿宋_GB2312" w:asciiTheme="minorEastAsia" w:hAnsiTheme="minorEastAsia" w:eastAsiaTheme="minorEastAsia"/>
          <w:b/>
          <w:color w:val="auto"/>
          <w:sz w:val="21"/>
          <w:szCs w:val="21"/>
          <w:lang w:val="zh-CN"/>
        </w:rPr>
        <w:t>二、</w:t>
      </w:r>
      <w:r>
        <w:rPr>
          <w:rFonts w:hint="eastAsia" w:cs="仿宋_GB2312" w:asciiTheme="minorEastAsia" w:hAnsiTheme="minorEastAsia"/>
          <w:b/>
          <w:color w:val="auto"/>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三、支持监狱企业发展</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按照财政部、司法部发布的《关于政府采购支持监狱企业发展有关问题的通知》（</w:t>
      </w:r>
      <w:bookmarkStart w:id="3" w:name="OLE_LINK6"/>
      <w:r>
        <w:rPr>
          <w:rFonts w:hint="eastAsia" w:cs="仿宋_GB2312" w:asciiTheme="minorEastAsia" w:hAnsiTheme="minorEastAsia"/>
          <w:color w:val="auto"/>
          <w:szCs w:val="21"/>
          <w:lang w:val="zh-CN"/>
        </w:rPr>
        <w:t>财库[2014]68号</w:t>
      </w:r>
      <w:bookmarkEnd w:id="3"/>
      <w:r>
        <w:rPr>
          <w:rFonts w:hint="eastAsia" w:cs="仿宋_GB2312" w:asciiTheme="minorEastAsia" w:hAnsiTheme="minorEastAsia"/>
          <w:color w:val="auto"/>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四、促进残疾人就业</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auto"/>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color w:val="auto"/>
          <w:szCs w:val="24"/>
          <w:lang w:val="zh-CN"/>
        </w:rPr>
      </w:pPr>
      <w:r>
        <w:rPr>
          <w:rFonts w:hint="eastAsia" w:cs="仿宋_GB2312" w:asciiTheme="minorEastAsia" w:hAnsiTheme="minorEastAsia" w:eastAsiaTheme="minorEastAsia"/>
          <w:color w:val="auto"/>
          <w:sz w:val="21"/>
          <w:szCs w:val="21"/>
          <w:lang w:val="zh-CN"/>
        </w:rPr>
        <w:t>3、中标人为残疾人福利性单位的，招标人应当随中标结果同时公告其《残疾人福利性单位声明函》，接受社会监督。</w:t>
      </w:r>
    </w:p>
    <w:p>
      <w:pPr>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五、支持脱贫攻坚（物业服务采购）</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pPr>
        <w:topLinePunct/>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pPr>
        <w:topLinePunct/>
        <w:spacing w:line="360" w:lineRule="auto"/>
        <w:ind w:firstLine="420" w:firstLineChars="200"/>
        <w:contextualSpacing/>
        <w:rPr>
          <w:rFonts w:cs="仿宋_GB2312" w:asciiTheme="minorEastAsia" w:hAnsiTheme="minorEastAsia"/>
          <w:color w:val="auto"/>
          <w:szCs w:val="21"/>
          <w:lang w:val="zh-CN"/>
        </w:rPr>
      </w:pPr>
    </w:p>
    <w:p>
      <w:pPr>
        <w:pStyle w:val="13"/>
        <w:spacing w:line="360" w:lineRule="auto"/>
        <w:ind w:left="282" w:hanging="282" w:hangingChars="78"/>
        <w:contextualSpacing/>
        <w:jc w:val="center"/>
        <w:rPr>
          <w:rFonts w:cs="宋体" w:asciiTheme="majorEastAsia" w:hAnsiTheme="majorEastAsia" w:eastAsiaTheme="majorEastAsia"/>
          <w:b/>
          <w:color w:val="auto"/>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auto"/>
          <w:kern w:val="0"/>
          <w:sz w:val="32"/>
          <w:szCs w:val="32"/>
        </w:rPr>
      </w:pPr>
      <w:r>
        <w:rPr>
          <w:rFonts w:hint="eastAsia" w:cs="宋体" w:asciiTheme="majorEastAsia" w:hAnsiTheme="majorEastAsia" w:eastAsiaTheme="majorEastAsia"/>
          <w:b/>
          <w:color w:val="auto"/>
          <w:kern w:val="0"/>
          <w:sz w:val="32"/>
          <w:szCs w:val="32"/>
        </w:rPr>
        <w:t>第六章 资格审查与评标</w:t>
      </w:r>
    </w:p>
    <w:p>
      <w:pPr>
        <w:pStyle w:val="13"/>
        <w:spacing w:line="360" w:lineRule="auto"/>
        <w:contextualSpacing/>
        <w:rPr>
          <w:rFonts w:cs="仿宋_GB2312" w:asciiTheme="minorEastAsia" w:hAnsiTheme="minorEastAsia"/>
          <w:color w:val="auto"/>
          <w:lang w:val="zh-CN"/>
        </w:rPr>
      </w:pPr>
    </w:p>
    <w:p>
      <w:pPr>
        <w:pStyle w:val="13"/>
        <w:spacing w:line="360" w:lineRule="auto"/>
        <w:contextualSpacing/>
        <w:rPr>
          <w:rFonts w:asciiTheme="minorEastAsia" w:hAnsiTheme="minorEastAsia" w:eastAsiaTheme="minorEastAsia"/>
          <w:bCs/>
          <w:color w:val="auto"/>
          <w:sz w:val="21"/>
          <w:szCs w:val="21"/>
        </w:rPr>
      </w:pPr>
      <w:r>
        <w:rPr>
          <w:rFonts w:cs="仿宋_GB2312" w:asciiTheme="minorEastAsia" w:hAnsiTheme="minorEastAsia" w:eastAsiaTheme="minorEastAsia"/>
          <w:b/>
          <w:color w:val="auto"/>
          <w:sz w:val="21"/>
          <w:szCs w:val="21"/>
          <w:lang w:val="zh-CN"/>
        </w:rPr>
        <w:t>一、资格审查</w:t>
      </w:r>
    </w:p>
    <w:p>
      <w:pPr>
        <w:spacing w:line="360" w:lineRule="auto"/>
        <w:ind w:right="420" w:rightChars="200" w:firstLine="420" w:firstLineChars="200"/>
        <w:contextualSpacing/>
        <w:rPr>
          <w:rFonts w:asciiTheme="minorEastAsia" w:hAnsiTheme="minorEastAsia"/>
          <w:bCs/>
          <w:color w:val="auto"/>
          <w:szCs w:val="21"/>
        </w:rPr>
      </w:pPr>
      <w:r>
        <w:rPr>
          <w:rFonts w:hint="eastAsia" w:asciiTheme="minorEastAsia" w:hAnsiTheme="minorEastAsia"/>
          <w:bCs/>
          <w:color w:val="auto"/>
          <w:szCs w:val="21"/>
        </w:rPr>
        <w:t>（一）</w:t>
      </w:r>
      <w:r>
        <w:rPr>
          <w:rFonts w:asciiTheme="minorEastAsia" w:hAnsiTheme="minorEastAsia"/>
          <w:bCs/>
          <w:color w:val="auto"/>
          <w:szCs w:val="21"/>
        </w:rPr>
        <w:t>开标结束后，</w:t>
      </w:r>
      <w:r>
        <w:rPr>
          <w:rFonts w:hint="eastAsia" w:asciiTheme="minorEastAsia" w:hAnsiTheme="minorEastAsia"/>
          <w:bCs/>
          <w:color w:val="auto"/>
          <w:szCs w:val="21"/>
        </w:rPr>
        <w:t>采购人依法对投标人资格进行审查</w:t>
      </w:r>
      <w:r>
        <w:rPr>
          <w:rFonts w:asciiTheme="minorEastAsia" w:hAnsiTheme="minorEastAsia"/>
          <w:bCs/>
          <w:color w:val="auto"/>
          <w:szCs w:val="21"/>
        </w:rPr>
        <w:t>。</w:t>
      </w:r>
      <w:r>
        <w:rPr>
          <w:rFonts w:hint="eastAsia" w:asciiTheme="minorEastAsia" w:hAnsiTheme="minorEastAsia"/>
          <w:bCs/>
          <w:color w:val="auto"/>
          <w:szCs w:val="21"/>
        </w:rPr>
        <w:t>确定符合资格的投标人不少于3家的，将组织评标委员会进行评标。</w:t>
      </w:r>
    </w:p>
    <w:p>
      <w:pPr>
        <w:spacing w:line="360" w:lineRule="auto"/>
        <w:ind w:right="420" w:rightChars="200"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color w:val="auto"/>
                <w:szCs w:val="21"/>
              </w:rPr>
            </w:pPr>
            <w:r>
              <w:rPr>
                <w:rFonts w:hint="eastAsia" w:asciiTheme="minorEastAsia" w:hAnsiTheme="minorEastAsia"/>
                <w:b/>
                <w:color w:val="auto"/>
                <w:szCs w:val="21"/>
              </w:rPr>
              <w:t>序号</w:t>
            </w:r>
          </w:p>
        </w:tc>
        <w:tc>
          <w:tcPr>
            <w:tcW w:w="2410" w:type="dxa"/>
            <w:vAlign w:val="center"/>
          </w:tcPr>
          <w:p>
            <w:pPr>
              <w:spacing w:line="360" w:lineRule="auto"/>
              <w:jc w:val="center"/>
              <w:rPr>
                <w:rFonts w:asciiTheme="minorEastAsia" w:hAnsiTheme="minorEastAsia"/>
                <w:b/>
                <w:color w:val="auto"/>
                <w:szCs w:val="21"/>
              </w:rPr>
            </w:pPr>
            <w:r>
              <w:rPr>
                <w:rFonts w:hint="eastAsia" w:asciiTheme="minorEastAsia" w:hAnsiTheme="minorEastAsia"/>
                <w:b/>
                <w:color w:val="auto"/>
                <w:szCs w:val="21"/>
              </w:rPr>
              <w:t>资格审查</w:t>
            </w:r>
            <w:r>
              <w:rPr>
                <w:rFonts w:asciiTheme="minorEastAsia" w:hAnsiTheme="minorEastAsia"/>
                <w:b/>
                <w:color w:val="auto"/>
                <w:szCs w:val="21"/>
              </w:rPr>
              <w:t>因素</w:t>
            </w:r>
          </w:p>
        </w:tc>
        <w:tc>
          <w:tcPr>
            <w:tcW w:w="5954" w:type="dxa"/>
            <w:vAlign w:val="center"/>
          </w:tcPr>
          <w:p>
            <w:pPr>
              <w:spacing w:line="360" w:lineRule="auto"/>
              <w:jc w:val="center"/>
              <w:rPr>
                <w:rFonts w:asciiTheme="minorEastAsia" w:hAnsiTheme="minorEastAsia"/>
                <w:b/>
                <w:color w:val="auto"/>
                <w:szCs w:val="21"/>
              </w:rPr>
            </w:pPr>
            <w:r>
              <w:rPr>
                <w:rFonts w:hint="eastAsia" w:asciiTheme="minorEastAsia" w:hAnsiTheme="minorEastAsia"/>
                <w:b/>
                <w:color w:val="auto"/>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color w:val="auto"/>
                <w:szCs w:val="21"/>
              </w:rPr>
            </w:pPr>
            <w:r>
              <w:rPr>
                <w:rFonts w:hint="eastAsia" w:asciiTheme="minorEastAsia" w:hAnsiTheme="minorEastAsia"/>
                <w:b/>
                <w:color w:val="auto"/>
                <w:szCs w:val="21"/>
              </w:rPr>
              <w:t>1</w:t>
            </w:r>
          </w:p>
        </w:tc>
        <w:tc>
          <w:tcPr>
            <w:tcW w:w="2410" w:type="dxa"/>
            <w:vAlign w:val="center"/>
          </w:tcPr>
          <w:p>
            <w:pPr>
              <w:spacing w:line="360" w:lineRule="auto"/>
              <w:jc w:val="center"/>
              <w:rPr>
                <w:rFonts w:asciiTheme="minorEastAsia" w:hAnsiTheme="minorEastAsia"/>
                <w:b/>
                <w:color w:val="auto"/>
                <w:szCs w:val="21"/>
              </w:rPr>
            </w:pPr>
            <w:r>
              <w:rPr>
                <w:rFonts w:hint="eastAsia" w:asciiTheme="minorEastAsia" w:hAnsiTheme="minorEastAsia"/>
                <w:b/>
                <w:color w:val="auto"/>
                <w:szCs w:val="21"/>
              </w:rPr>
              <w:t>投标函</w:t>
            </w:r>
          </w:p>
        </w:tc>
        <w:tc>
          <w:tcPr>
            <w:tcW w:w="5954" w:type="dxa"/>
            <w:vAlign w:val="center"/>
          </w:tcPr>
          <w:p>
            <w:pPr>
              <w:spacing w:line="360" w:lineRule="auto"/>
              <w:rPr>
                <w:rFonts w:asciiTheme="minorEastAsia" w:hAnsiTheme="minorEastAsia"/>
                <w:b/>
                <w:color w:val="auto"/>
                <w:szCs w:val="21"/>
              </w:rPr>
            </w:pPr>
            <w:r>
              <w:rPr>
                <w:rFonts w:hint="eastAsia" w:ascii="宋体" w:hAnsi="宋体" w:cs="微软雅黑"/>
                <w:bCs/>
                <w:color w:val="auto"/>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2</w:t>
            </w:r>
          </w:p>
        </w:tc>
        <w:tc>
          <w:tcPr>
            <w:tcW w:w="2410" w:type="dxa"/>
            <w:vAlign w:val="center"/>
          </w:tcPr>
          <w:p>
            <w:pPr>
              <w:spacing w:line="360" w:lineRule="auto"/>
              <w:rPr>
                <w:rFonts w:asciiTheme="minorEastAsia" w:hAnsiTheme="minorEastAsia"/>
                <w:b/>
                <w:color w:val="auto"/>
                <w:szCs w:val="21"/>
              </w:rPr>
            </w:pPr>
            <w:r>
              <w:rPr>
                <w:rFonts w:hint="eastAsia" w:asciiTheme="minorEastAsia" w:hAnsiTheme="minorEastAsia"/>
                <w:b/>
                <w:bCs/>
                <w:color w:val="auto"/>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（1）企业法人营业执照或营业执照。（企业投标提供）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（2）事业单位法人证书。（事业单位投标提供）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（3）执业许可证。（非企业专业服务机构投标提供）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（4）个体工商户营业执照。（个体工商户投标提供）</w:t>
            </w:r>
          </w:p>
          <w:p>
            <w:pPr>
              <w:spacing w:line="360" w:lineRule="auto"/>
              <w:jc w:val="left"/>
              <w:rPr>
                <w:rFonts w:asciiTheme="minorEastAsia" w:hAnsiTheme="minorEastAsia"/>
                <w:bCs/>
                <w:color w:val="auto"/>
                <w:szCs w:val="21"/>
              </w:rPr>
            </w:pPr>
            <w:r>
              <w:rPr>
                <w:rFonts w:hint="eastAsia" w:asciiTheme="minorEastAsia" w:hAnsiTheme="minorEastAsia"/>
                <w:bCs/>
                <w:color w:val="auto"/>
                <w:szCs w:val="21"/>
              </w:rPr>
              <w:t>（5）自然人身份证明。（自然人投标提供）</w:t>
            </w:r>
          </w:p>
          <w:p>
            <w:pPr>
              <w:spacing w:line="360" w:lineRule="auto"/>
              <w:jc w:val="left"/>
              <w:rPr>
                <w:rFonts w:asciiTheme="minorEastAsia" w:hAnsiTheme="minorEastAsia"/>
                <w:b/>
                <w:bCs/>
                <w:color w:val="auto"/>
                <w:szCs w:val="21"/>
              </w:rPr>
            </w:pPr>
            <w:r>
              <w:rPr>
                <w:rFonts w:hint="eastAsia" w:asciiTheme="minorEastAsia" w:hAnsiTheme="minorEastAsia"/>
                <w:bCs/>
                <w:color w:val="auto"/>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3</w:t>
            </w:r>
          </w:p>
        </w:tc>
        <w:tc>
          <w:tcPr>
            <w:tcW w:w="2410" w:type="dxa"/>
            <w:vAlign w:val="center"/>
          </w:tcPr>
          <w:p>
            <w:pPr>
              <w:spacing w:line="360" w:lineRule="auto"/>
              <w:rPr>
                <w:rFonts w:asciiTheme="minorEastAsia" w:hAnsiTheme="minorEastAsia"/>
                <w:b/>
                <w:color w:val="auto"/>
                <w:szCs w:val="21"/>
              </w:rPr>
            </w:pPr>
            <w:r>
              <w:rPr>
                <w:rFonts w:hint="eastAsia" w:asciiTheme="minorEastAsia" w:hAnsiTheme="minorEastAsia"/>
                <w:b/>
                <w:bCs/>
                <w:color w:val="auto"/>
                <w:szCs w:val="21"/>
              </w:rPr>
              <w:t>财务状况报告相关材料</w:t>
            </w:r>
          </w:p>
        </w:tc>
        <w:tc>
          <w:tcPr>
            <w:tcW w:w="5954" w:type="dxa"/>
          </w:tcPr>
          <w:p>
            <w:pPr>
              <w:spacing w:line="360" w:lineRule="auto"/>
              <w:rPr>
                <w:rFonts w:asciiTheme="minorEastAsia" w:hAnsiTheme="minorEastAsia"/>
                <w:bCs/>
                <w:color w:val="auto"/>
                <w:szCs w:val="21"/>
              </w:rPr>
            </w:pPr>
            <w:r>
              <w:rPr>
                <w:rFonts w:hint="eastAsia" w:asciiTheme="minorEastAsia" w:hAnsiTheme="minorEastAsia"/>
                <w:bCs/>
                <w:color w:val="auto"/>
                <w:szCs w:val="21"/>
              </w:rPr>
              <w:t>（1）投标人是法人（法人包括企业法人、机关法人、事业单位法人和社会团体法人），提供本单位：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①2018年度或2019年度经审计的财务报告，包括资产负债表、利润表、现金流量表、所有者权益变动表及其附注；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②基本开户银行出具的资信证明；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p>
            <w:pPr>
              <w:spacing w:line="360" w:lineRule="auto"/>
              <w:rPr>
                <w:rFonts w:asciiTheme="minorEastAsia" w:hAnsiTheme="minorEastAsia"/>
                <w:bCs/>
                <w:color w:val="auto"/>
                <w:szCs w:val="21"/>
              </w:rPr>
            </w:pPr>
            <w:r>
              <w:rPr>
                <w:rFonts w:hint="eastAsia" w:asciiTheme="minorEastAsia" w:hAnsiTheme="minorEastAsia"/>
                <w:bCs/>
                <w:color w:val="auto"/>
                <w:szCs w:val="21"/>
              </w:rPr>
              <w:t>（2）投标人（其他组织和自然人）提供本单位：</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①2018年度或2019年度经审计的财务报告，包括资产负债表、利润表、现金流量表、所有者权益变动表及其附注；</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②银行出具的资信证明；</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③财政部门认可的政府采购专业担保机构的证明文件和担保机构出具的投标担保函。</w:t>
            </w:r>
          </w:p>
          <w:p>
            <w:pPr>
              <w:spacing w:line="360" w:lineRule="auto"/>
              <w:rPr>
                <w:rFonts w:asciiTheme="minorEastAsia" w:hAnsiTheme="minorEastAsia"/>
                <w:b/>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4</w:t>
            </w:r>
          </w:p>
        </w:tc>
        <w:tc>
          <w:tcPr>
            <w:tcW w:w="2410" w:type="dxa"/>
            <w:vAlign w:val="center"/>
          </w:tcPr>
          <w:p>
            <w:pPr>
              <w:spacing w:line="360" w:lineRule="auto"/>
              <w:rPr>
                <w:rFonts w:asciiTheme="minorEastAsia" w:hAnsiTheme="minorEastAsia"/>
                <w:b/>
                <w:color w:val="auto"/>
                <w:szCs w:val="21"/>
              </w:rPr>
            </w:pPr>
            <w:r>
              <w:rPr>
                <w:rFonts w:hint="eastAsia" w:asciiTheme="minorEastAsia" w:hAnsiTheme="minorEastAsia"/>
                <w:b/>
                <w:bCs/>
                <w:color w:val="auto"/>
                <w:szCs w:val="21"/>
              </w:rPr>
              <w:t>依法缴纳税收相关材料</w:t>
            </w:r>
          </w:p>
        </w:tc>
        <w:tc>
          <w:tcPr>
            <w:tcW w:w="5954" w:type="dxa"/>
          </w:tcPr>
          <w:p>
            <w:pPr>
              <w:spacing w:line="360" w:lineRule="auto"/>
              <w:rPr>
                <w:rFonts w:asciiTheme="minorEastAsia" w:hAnsiTheme="minorEastAsia"/>
                <w:b/>
                <w:bCs/>
                <w:color w:val="auto"/>
                <w:szCs w:val="21"/>
              </w:rPr>
            </w:pPr>
            <w:r>
              <w:rPr>
                <w:rFonts w:hint="eastAsia" w:ascii="宋体" w:hAnsi="宋体" w:cs="微软雅黑"/>
                <w:bCs/>
                <w:color w:val="auto"/>
                <w:szCs w:val="21"/>
              </w:rPr>
              <w:t>投标人提供参加本次政府采购项目</w:t>
            </w:r>
            <w:r>
              <w:rPr>
                <w:rFonts w:hint="eastAsia" w:asciiTheme="minorEastAsia" w:hAnsiTheme="minorEastAsia"/>
                <w:bCs/>
                <w:color w:val="auto"/>
                <w:szCs w:val="21"/>
              </w:rPr>
              <w:t>投标截止时间前六个月内任意一个月缴纳税收凭据。（依法免税的投标人，应提供相应文件证明依法免税）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5</w:t>
            </w:r>
          </w:p>
        </w:tc>
        <w:tc>
          <w:tcPr>
            <w:tcW w:w="2410" w:type="dxa"/>
            <w:vAlign w:val="center"/>
          </w:tcPr>
          <w:p>
            <w:pPr>
              <w:spacing w:line="360" w:lineRule="auto"/>
              <w:rPr>
                <w:rFonts w:asciiTheme="minorEastAsia" w:hAnsiTheme="minorEastAsia"/>
                <w:bCs/>
                <w:color w:val="auto"/>
                <w:szCs w:val="21"/>
              </w:rPr>
            </w:pPr>
            <w:r>
              <w:rPr>
                <w:rFonts w:hint="eastAsia" w:asciiTheme="minorEastAsia" w:hAnsiTheme="minorEastAsia"/>
                <w:b/>
                <w:bCs/>
                <w:color w:val="auto"/>
                <w:szCs w:val="21"/>
              </w:rPr>
              <w:t>依法缴纳社会保障资金的证明材料</w:t>
            </w:r>
          </w:p>
        </w:tc>
        <w:tc>
          <w:tcPr>
            <w:tcW w:w="5954" w:type="dxa"/>
          </w:tcPr>
          <w:p>
            <w:pPr>
              <w:spacing w:line="360" w:lineRule="auto"/>
              <w:rPr>
                <w:rFonts w:asciiTheme="minorEastAsia" w:hAnsiTheme="minorEastAsia"/>
                <w:b/>
                <w:bCs/>
                <w:color w:val="auto"/>
                <w:szCs w:val="21"/>
              </w:rPr>
            </w:pPr>
            <w:r>
              <w:rPr>
                <w:rFonts w:hint="eastAsia" w:ascii="宋体" w:hAnsi="宋体" w:cs="微软雅黑"/>
                <w:bCs/>
                <w:color w:val="auto"/>
                <w:szCs w:val="21"/>
              </w:rPr>
              <w:t>投标人提供参加本次政府采购项目</w:t>
            </w:r>
            <w:r>
              <w:rPr>
                <w:rFonts w:hint="eastAsia" w:asciiTheme="minorEastAsia" w:hAnsiTheme="minorEastAsia"/>
                <w:bCs/>
                <w:color w:val="auto"/>
                <w:szCs w:val="21"/>
              </w:rPr>
              <w:t>投标截止时间前六个月内任意一个月缴纳社会保险凭据。（依法不需要缴纳社会保障资金的投标人，应提供相应文件证明依法不需要缴纳社会保障资金）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6</w:t>
            </w:r>
          </w:p>
        </w:tc>
        <w:tc>
          <w:tcPr>
            <w:tcW w:w="2410" w:type="dxa"/>
            <w:vAlign w:val="center"/>
          </w:tcPr>
          <w:p>
            <w:pPr>
              <w:spacing w:line="360" w:lineRule="auto"/>
              <w:rPr>
                <w:rFonts w:asciiTheme="minorEastAsia" w:hAnsiTheme="minorEastAsia"/>
                <w:b/>
                <w:color w:val="auto"/>
                <w:szCs w:val="21"/>
              </w:rPr>
            </w:pPr>
            <w:r>
              <w:rPr>
                <w:rFonts w:hint="eastAsia" w:asciiTheme="minorEastAsia" w:hAnsiTheme="minorEastAsia"/>
                <w:b/>
                <w:bCs/>
                <w:color w:val="auto"/>
                <w:szCs w:val="21"/>
              </w:rPr>
              <w:t>履行合同所必须的设备和专业技术能力的证明材料</w:t>
            </w:r>
          </w:p>
        </w:tc>
        <w:tc>
          <w:tcPr>
            <w:tcW w:w="5954" w:type="dxa"/>
          </w:tcPr>
          <w:p>
            <w:pPr>
              <w:spacing w:line="360" w:lineRule="auto"/>
              <w:rPr>
                <w:rFonts w:asciiTheme="minorEastAsia" w:hAnsiTheme="minorEastAsia"/>
                <w:bCs/>
                <w:color w:val="auto"/>
                <w:szCs w:val="21"/>
              </w:rPr>
            </w:pPr>
            <w:r>
              <w:rPr>
                <w:rFonts w:hint="eastAsia" w:asciiTheme="minorEastAsia" w:hAnsiTheme="minorEastAsia"/>
                <w:bCs/>
                <w:color w:val="auto"/>
                <w:szCs w:val="21"/>
              </w:rPr>
              <w:t>①与本项目投标相关设备的购置发票、专业技术人员职称证书、用工合同等；</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②投标人具备履行合同所必须的设备和专业技术能力承诺函或声明（承诺函或声明格式自拟）。</w:t>
            </w:r>
          </w:p>
          <w:p>
            <w:pPr>
              <w:spacing w:line="360" w:lineRule="auto"/>
              <w:rPr>
                <w:rFonts w:asciiTheme="minorEastAsia" w:hAnsiTheme="minorEastAsia"/>
                <w:b/>
                <w:bCs/>
                <w:color w:val="auto"/>
                <w:szCs w:val="21"/>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7</w:t>
            </w:r>
          </w:p>
        </w:tc>
        <w:tc>
          <w:tcPr>
            <w:tcW w:w="2410" w:type="dxa"/>
            <w:vAlign w:val="center"/>
          </w:tcPr>
          <w:p>
            <w:pPr>
              <w:spacing w:line="360" w:lineRule="auto"/>
              <w:rPr>
                <w:rFonts w:asciiTheme="minorEastAsia" w:hAnsiTheme="minorEastAsia"/>
                <w:bCs/>
                <w:color w:val="auto"/>
                <w:szCs w:val="21"/>
              </w:rPr>
            </w:pPr>
            <w:r>
              <w:rPr>
                <w:rFonts w:hint="eastAsia" w:asciiTheme="minorEastAsia" w:hAnsiTheme="minorEastAsia"/>
                <w:b/>
                <w:bCs/>
                <w:color w:val="auto"/>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color w:val="auto"/>
                <w:szCs w:val="21"/>
              </w:rPr>
            </w:pPr>
            <w:r>
              <w:rPr>
                <w:rFonts w:hint="eastAsia" w:ascii="宋体" w:hAnsi="宋体" w:cs="微软雅黑"/>
                <w:bCs/>
                <w:color w:val="auto"/>
                <w:szCs w:val="21"/>
              </w:rPr>
              <w:t>按照招标文件提供格式填写。</w:t>
            </w:r>
            <w:r>
              <w:rPr>
                <w:rFonts w:hint="eastAsia" w:asciiTheme="minorEastAsia" w:hAnsiTheme="minorEastAsia"/>
                <w:bCs/>
                <w:color w:val="auto"/>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8</w:t>
            </w:r>
          </w:p>
        </w:tc>
        <w:tc>
          <w:tcPr>
            <w:tcW w:w="2410" w:type="dxa"/>
            <w:vAlign w:val="center"/>
          </w:tcPr>
          <w:p>
            <w:pPr>
              <w:spacing w:line="360" w:lineRule="auto"/>
              <w:rPr>
                <w:rFonts w:asciiTheme="minorEastAsia" w:hAnsiTheme="minorEastAsia"/>
                <w:bCs/>
                <w:color w:val="auto"/>
                <w:szCs w:val="21"/>
              </w:rPr>
            </w:pPr>
            <w:r>
              <w:rPr>
                <w:rFonts w:hint="eastAsia" w:asciiTheme="minorEastAsia" w:hAnsiTheme="minorEastAsia"/>
                <w:b/>
                <w:bCs/>
                <w:color w:val="auto"/>
                <w:szCs w:val="21"/>
              </w:rPr>
              <w:t>信用记录查询及使用</w:t>
            </w:r>
          </w:p>
        </w:tc>
        <w:tc>
          <w:tcPr>
            <w:tcW w:w="5954" w:type="dxa"/>
          </w:tcPr>
          <w:p>
            <w:pPr>
              <w:spacing w:line="360" w:lineRule="auto"/>
              <w:rPr>
                <w:rFonts w:asciiTheme="minorEastAsia" w:hAnsiTheme="minorEastAsia"/>
                <w:bCs/>
                <w:color w:val="auto"/>
                <w:szCs w:val="21"/>
              </w:rPr>
            </w:pPr>
            <w:r>
              <w:rPr>
                <w:rFonts w:hint="eastAsia" w:asciiTheme="minorEastAsia" w:hAnsiTheme="minorEastAsia"/>
                <w:bCs/>
                <w:color w:val="auto"/>
                <w:szCs w:val="21"/>
              </w:rPr>
              <w:t>政府采购活动中查询及使用投标人信用记录的具体要求为：投标人未被列入</w:t>
            </w:r>
            <w:r>
              <w:rPr>
                <w:rFonts w:asciiTheme="minorEastAsia" w:hAnsiTheme="minorEastAsia"/>
                <w:bCs/>
                <w:color w:val="auto"/>
                <w:szCs w:val="21"/>
              </w:rPr>
              <w:t>“信用中国”网站</w:t>
            </w:r>
            <w:r>
              <w:rPr>
                <w:rFonts w:hint="eastAsia" w:asciiTheme="minorEastAsia" w:hAnsiTheme="minorEastAsia"/>
                <w:bCs/>
                <w:color w:val="auto"/>
                <w:szCs w:val="21"/>
              </w:rPr>
              <w:t>失信被执行人、重大税收违法案件当事人名单的投标人、“</w:t>
            </w:r>
            <w:r>
              <w:rPr>
                <w:rFonts w:asciiTheme="minorEastAsia" w:hAnsiTheme="minorEastAsia"/>
                <w:bCs/>
                <w:color w:val="auto"/>
                <w:szCs w:val="21"/>
              </w:rPr>
              <w:t>中国政府采购网</w:t>
            </w:r>
            <w:r>
              <w:rPr>
                <w:rFonts w:hint="eastAsia" w:asciiTheme="minorEastAsia" w:hAnsiTheme="minorEastAsia"/>
                <w:bCs/>
                <w:color w:val="auto"/>
                <w:szCs w:val="21"/>
              </w:rPr>
              <w:t>”政府采购严重违法失信行为记录名单的投标人、</w:t>
            </w:r>
            <w:r>
              <w:rPr>
                <w:rFonts w:hint="eastAsia" w:cs="仿宋_GB2312" w:asciiTheme="minorEastAsia" w:hAnsiTheme="minorEastAsia"/>
                <w:color w:val="auto"/>
                <w:szCs w:val="21"/>
              </w:rPr>
              <w:t>“中国社会组织公共服务平台”网站（</w:t>
            </w:r>
            <w:r>
              <w:rPr>
                <w:rFonts w:cs="仿宋_GB2312" w:asciiTheme="minorEastAsia" w:hAnsiTheme="minorEastAsia"/>
                <w:color w:val="auto"/>
                <w:szCs w:val="21"/>
              </w:rPr>
              <w:t>www.chinanpo.gov.cn</w:t>
            </w:r>
            <w:r>
              <w:rPr>
                <w:rFonts w:hint="eastAsia" w:cs="仿宋_GB2312" w:asciiTheme="minorEastAsia" w:hAnsiTheme="minorEastAsia"/>
                <w:color w:val="auto"/>
                <w:szCs w:val="21"/>
              </w:rPr>
              <w:t>）严重违法失信社会组织</w:t>
            </w:r>
            <w:r>
              <w:rPr>
                <w:rFonts w:hint="eastAsia" w:cs="仿宋_GB2312" w:asciiTheme="minorEastAsia" w:hAnsiTheme="minorEastAsia"/>
                <w:b/>
                <w:color w:val="auto"/>
                <w:szCs w:val="21"/>
              </w:rPr>
              <w:t>；</w:t>
            </w:r>
            <w:r>
              <w:rPr>
                <w:rFonts w:hint="eastAsia" w:asciiTheme="minorEastAsia" w:hAnsiTheme="minorEastAsia"/>
                <w:bCs/>
                <w:color w:val="auto"/>
                <w:szCs w:val="21"/>
              </w:rPr>
              <w:t>（联合体形式投标的，联合体成员存在不良信用记录，视同联合体存在不良信用记录）。</w:t>
            </w:r>
          </w:p>
          <w:p>
            <w:pPr>
              <w:spacing w:line="360" w:lineRule="auto"/>
              <w:rPr>
                <w:rFonts w:asciiTheme="minorEastAsia" w:hAnsiTheme="minorEastAsia"/>
                <w:bCs/>
                <w:color w:val="auto"/>
                <w:szCs w:val="21"/>
              </w:rPr>
            </w:pPr>
            <w:r>
              <w:rPr>
                <w:rFonts w:hint="eastAsia" w:asciiTheme="minorEastAsia" w:hAnsiTheme="minorEastAsia"/>
                <w:bCs/>
                <w:color w:val="auto"/>
                <w:szCs w:val="21"/>
              </w:rPr>
              <w:t>（1）查询渠道：</w:t>
            </w:r>
          </w:p>
          <w:p>
            <w:pPr>
              <w:spacing w:line="360" w:lineRule="auto"/>
              <w:rPr>
                <w:rFonts w:asciiTheme="minorEastAsia" w:hAnsiTheme="minorEastAsia"/>
                <w:bCs/>
                <w:color w:val="auto"/>
                <w:szCs w:val="21"/>
              </w:rPr>
            </w:pPr>
            <w:r>
              <w:rPr>
                <w:rFonts w:hint="eastAsia" w:asciiTheme="minorEastAsia" w:hAnsiTheme="minorEastAsia"/>
                <w:bCs/>
                <w:color w:val="auto"/>
                <w:szCs w:val="21"/>
              </w:rPr>
              <w:t>①“信用中国”网站（</w:t>
            </w:r>
            <w:r>
              <w:rPr>
                <w:color w:val="auto"/>
              </w:rPr>
              <w:fldChar w:fldCharType="begin"/>
            </w:r>
            <w:r>
              <w:rPr>
                <w:color w:val="auto"/>
              </w:rPr>
              <w:instrText xml:space="preserve"> HYPERLINK "http://www.creditchina.gov.cn" </w:instrText>
            </w:r>
            <w:r>
              <w:rPr>
                <w:color w:val="auto"/>
              </w:rPr>
              <w:fldChar w:fldCharType="separate"/>
            </w:r>
            <w:r>
              <w:rPr>
                <w:rStyle w:val="26"/>
                <w:rFonts w:hint="eastAsia" w:asciiTheme="minorEastAsia" w:hAnsiTheme="minorEastAsia"/>
                <w:bCs/>
                <w:color w:val="auto"/>
                <w:szCs w:val="21"/>
              </w:rPr>
              <w:t>www.creditchina.gov.cn</w:t>
            </w:r>
            <w:r>
              <w:rPr>
                <w:rStyle w:val="26"/>
                <w:rFonts w:hint="eastAsia" w:asciiTheme="minorEastAsia" w:hAnsiTheme="minorEastAsia"/>
                <w:bCs/>
                <w:color w:val="auto"/>
                <w:szCs w:val="21"/>
              </w:rPr>
              <w:fldChar w:fldCharType="end"/>
            </w:r>
            <w:r>
              <w:rPr>
                <w:rFonts w:hint="eastAsia" w:asciiTheme="minorEastAsia" w:hAnsiTheme="minorEastAsia"/>
                <w:bCs/>
                <w:color w:val="auto"/>
                <w:szCs w:val="21"/>
              </w:rPr>
              <w:t>）</w:t>
            </w:r>
          </w:p>
          <w:p>
            <w:pPr>
              <w:spacing w:line="360" w:lineRule="auto"/>
              <w:rPr>
                <w:rFonts w:asciiTheme="minorEastAsia" w:hAnsiTheme="minorEastAsia"/>
                <w:bCs/>
                <w:color w:val="auto"/>
                <w:szCs w:val="21"/>
              </w:rPr>
            </w:pPr>
            <w:r>
              <w:rPr>
                <w:rFonts w:hint="eastAsia" w:asciiTheme="minorEastAsia" w:hAnsiTheme="minorEastAsia"/>
                <w:bCs/>
                <w:color w:val="auto"/>
                <w:szCs w:val="21"/>
              </w:rPr>
              <w:t>②“中国政府采购网”（www.ccgp.gov.cn）</w:t>
            </w:r>
          </w:p>
          <w:p>
            <w:pPr>
              <w:spacing w:line="360" w:lineRule="auto"/>
              <w:rPr>
                <w:rFonts w:asciiTheme="minorEastAsia" w:hAnsiTheme="minorEastAsia"/>
                <w:bCs/>
                <w:color w:val="auto"/>
                <w:szCs w:val="21"/>
              </w:rPr>
            </w:pPr>
            <w:r>
              <w:rPr>
                <w:rFonts w:hint="eastAsia" w:asciiTheme="minorEastAsia" w:hAnsiTheme="minorEastAsia"/>
                <w:bCs/>
                <w:color w:val="auto"/>
                <w:szCs w:val="21"/>
              </w:rPr>
              <w:t>③</w:t>
            </w:r>
            <w:r>
              <w:rPr>
                <w:rFonts w:hint="eastAsia" w:cs="仿宋_GB2312" w:asciiTheme="minorEastAsia" w:hAnsiTheme="minorEastAsia"/>
                <w:color w:val="auto"/>
                <w:szCs w:val="21"/>
              </w:rPr>
              <w:t>“中国社会组织公共服务平台”网站（</w:t>
            </w:r>
            <w:r>
              <w:rPr>
                <w:rFonts w:cs="仿宋_GB2312" w:asciiTheme="minorEastAsia" w:hAnsiTheme="minorEastAsia"/>
                <w:color w:val="auto"/>
                <w:szCs w:val="21"/>
              </w:rPr>
              <w:t>www.chinanpo.gov.cn</w:t>
            </w:r>
            <w:r>
              <w:rPr>
                <w:rFonts w:hint="eastAsia" w:cs="仿宋_GB2312" w:asciiTheme="minorEastAsia" w:hAnsiTheme="minorEastAsia"/>
                <w:color w:val="auto"/>
                <w:szCs w:val="21"/>
              </w:rPr>
              <w:t>）（仅查询社会组织）</w:t>
            </w:r>
            <w:r>
              <w:rPr>
                <w:rFonts w:hint="eastAsia" w:asciiTheme="minorEastAsia" w:hAnsiTheme="minorEastAsia"/>
                <w:bCs/>
                <w:color w:val="auto"/>
                <w:szCs w:val="21"/>
              </w:rPr>
              <w:t>；</w:t>
            </w:r>
          </w:p>
          <w:p>
            <w:pPr>
              <w:spacing w:line="360" w:lineRule="auto"/>
              <w:rPr>
                <w:rFonts w:asciiTheme="minorEastAsia" w:hAnsiTheme="minorEastAsia"/>
                <w:bCs/>
                <w:color w:val="auto"/>
                <w:szCs w:val="21"/>
              </w:rPr>
            </w:pPr>
            <w:r>
              <w:rPr>
                <w:rFonts w:hint="eastAsia" w:asciiTheme="minorEastAsia" w:hAnsiTheme="minorEastAsia"/>
                <w:bCs/>
                <w:color w:val="auto"/>
                <w:szCs w:val="21"/>
              </w:rPr>
              <w:t>（2）截止时间：同投标截止时间；</w:t>
            </w:r>
          </w:p>
          <w:p>
            <w:pPr>
              <w:spacing w:line="360" w:lineRule="auto"/>
              <w:rPr>
                <w:rFonts w:asciiTheme="minorEastAsia" w:hAnsiTheme="minorEastAsia"/>
                <w:bCs/>
                <w:color w:val="auto"/>
                <w:szCs w:val="21"/>
              </w:rPr>
            </w:pPr>
            <w:r>
              <w:rPr>
                <w:rFonts w:hint="eastAsia" w:asciiTheme="minorEastAsia" w:hAnsiTheme="minorEastAsia"/>
                <w:bCs/>
                <w:color w:val="auto"/>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color w:val="auto"/>
                <w:szCs w:val="21"/>
              </w:rPr>
            </w:pPr>
            <w:r>
              <w:rPr>
                <w:rFonts w:hint="eastAsia" w:asciiTheme="minorEastAsia" w:hAnsiTheme="minorEastAsia"/>
                <w:bCs/>
                <w:color w:val="auto"/>
                <w:szCs w:val="21"/>
              </w:rPr>
              <w:t>（4）信用信息的使用原则：经采购人认定的被列入</w:t>
            </w:r>
            <w:r>
              <w:rPr>
                <w:rFonts w:hint="eastAsia" w:cs="宋体" w:asciiTheme="minorEastAsia" w:hAnsiTheme="minorEastAsia"/>
                <w:color w:val="auto"/>
                <w:kern w:val="0"/>
                <w:szCs w:val="21"/>
              </w:rPr>
              <w:t>失信被执行人、重大税收违法案件当事人名单、</w:t>
            </w:r>
            <w:r>
              <w:rPr>
                <w:rFonts w:cs="仿宋_GB2312" w:asciiTheme="minorEastAsia" w:hAnsiTheme="minorEastAsia"/>
                <w:color w:val="auto"/>
                <w:szCs w:val="21"/>
                <w:shd w:val="clear" w:color="auto" w:fill="FFFFFF"/>
              </w:rPr>
              <w:t>政府采购严重违法失信行为记录名单</w:t>
            </w:r>
            <w:r>
              <w:rPr>
                <w:rFonts w:hint="eastAsia" w:asciiTheme="minorEastAsia" w:hAnsiTheme="minorEastAsia"/>
                <w:bCs/>
                <w:color w:val="auto"/>
                <w:szCs w:val="21"/>
              </w:rPr>
              <w:t>的投标人</w:t>
            </w:r>
            <w:r>
              <w:rPr>
                <w:rFonts w:hint="eastAsia" w:cs="仿宋_GB2312" w:asciiTheme="minorEastAsia" w:hAnsiTheme="minorEastAsia"/>
                <w:color w:val="auto"/>
                <w:szCs w:val="21"/>
                <w:shd w:val="clear" w:color="auto" w:fill="FFFFFF"/>
              </w:rPr>
              <w:t>、</w:t>
            </w:r>
            <w:r>
              <w:rPr>
                <w:rFonts w:hint="eastAsia" w:cs="宋体" w:asciiTheme="minorEastAsia" w:hAnsiTheme="minorEastAsia"/>
                <w:color w:val="auto"/>
                <w:kern w:val="0"/>
                <w:szCs w:val="21"/>
              </w:rPr>
              <w:t>严重违法失信社会组织</w:t>
            </w:r>
            <w:r>
              <w:rPr>
                <w:rFonts w:hint="eastAsia" w:asciiTheme="minorEastAsia" w:hAnsiTheme="minorEastAsia"/>
                <w:bCs/>
                <w:color w:val="auto"/>
                <w:szCs w:val="21"/>
              </w:rPr>
              <w:t>，将拒绝其参与本次政府采购活动。</w:t>
            </w:r>
          </w:p>
          <w:p>
            <w:pPr>
              <w:spacing w:line="360" w:lineRule="auto"/>
              <w:rPr>
                <w:rFonts w:asciiTheme="minorEastAsia" w:hAnsiTheme="minorEastAsia"/>
                <w:b/>
                <w:bCs/>
                <w:color w:val="auto"/>
                <w:szCs w:val="21"/>
              </w:rPr>
            </w:pPr>
            <w:r>
              <w:rPr>
                <w:rFonts w:hint="eastAsia" w:cs="宋体" w:asciiTheme="minorEastAsia" w:hAnsiTheme="minorEastAsia"/>
                <w:color w:val="auto"/>
                <w:kern w:val="0"/>
                <w:szCs w:val="21"/>
              </w:rPr>
              <w:t>（5）投标人无须提供</w:t>
            </w:r>
            <w:r>
              <w:rPr>
                <w:rFonts w:hint="eastAsia" w:ascii="宋体" w:hAnsi="宋体" w:cs="微软雅黑"/>
                <w:bCs/>
                <w:color w:val="auto"/>
                <w:szCs w:val="21"/>
              </w:rPr>
              <w:t>信用记录查询结果网页截屏。</w:t>
            </w:r>
            <w:r>
              <w:rPr>
                <w:rFonts w:hint="eastAsia" w:cs="宋体" w:asciiTheme="minorEastAsia" w:hAnsiTheme="minorEastAsia"/>
                <w:color w:val="auto"/>
                <w:kern w:val="0"/>
                <w:szCs w:val="21"/>
              </w:rPr>
              <w:t>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9</w:t>
            </w:r>
          </w:p>
        </w:tc>
        <w:tc>
          <w:tcPr>
            <w:tcW w:w="2410" w:type="dxa"/>
            <w:vAlign w:val="center"/>
          </w:tcPr>
          <w:p>
            <w:pPr>
              <w:spacing w:line="360" w:lineRule="auto"/>
              <w:rPr>
                <w:rFonts w:asciiTheme="minorEastAsia" w:hAnsiTheme="minorEastAsia"/>
                <w:b/>
                <w:color w:val="auto"/>
                <w:szCs w:val="21"/>
              </w:rPr>
            </w:pPr>
            <w:r>
              <w:rPr>
                <w:rFonts w:hint="eastAsia" w:asciiTheme="minorEastAsia" w:hAnsiTheme="minorEastAsia"/>
                <w:b/>
                <w:color w:val="auto"/>
                <w:szCs w:val="21"/>
              </w:rPr>
              <w:t>投标人须具备的特殊</w:t>
            </w:r>
          </w:p>
          <w:p>
            <w:pPr>
              <w:spacing w:line="360" w:lineRule="auto"/>
              <w:rPr>
                <w:rFonts w:asciiTheme="minorEastAsia" w:hAnsiTheme="minorEastAsia"/>
                <w:b/>
                <w:bCs/>
                <w:color w:val="auto"/>
                <w:szCs w:val="21"/>
              </w:rPr>
            </w:pPr>
            <w:r>
              <w:rPr>
                <w:rFonts w:hint="eastAsia" w:asciiTheme="minorEastAsia" w:hAnsiTheme="minorEastAsia"/>
                <w:b/>
                <w:color w:val="auto"/>
                <w:szCs w:val="21"/>
              </w:rPr>
              <w:t>资质证书</w:t>
            </w:r>
          </w:p>
        </w:tc>
        <w:tc>
          <w:tcPr>
            <w:tcW w:w="5954" w:type="dxa"/>
            <w:vAlign w:val="center"/>
          </w:tcPr>
          <w:p>
            <w:pPr>
              <w:spacing w:line="360" w:lineRule="auto"/>
              <w:rPr>
                <w:rFonts w:asciiTheme="minorEastAsia" w:hAnsiTheme="minorEastAsia"/>
                <w:b/>
                <w:bCs/>
                <w:color w:val="auto"/>
                <w:szCs w:val="21"/>
              </w:rPr>
            </w:pPr>
            <w:r>
              <w:rPr>
                <w:rFonts w:hint="eastAsia" w:asciiTheme="minorEastAsia" w:hAnsiTheme="minorEastAsia"/>
                <w:b/>
                <w:bCs/>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10</w:t>
            </w:r>
          </w:p>
        </w:tc>
        <w:tc>
          <w:tcPr>
            <w:tcW w:w="2410" w:type="dxa"/>
            <w:vAlign w:val="center"/>
          </w:tcPr>
          <w:p>
            <w:pPr>
              <w:spacing w:line="360" w:lineRule="auto"/>
              <w:rPr>
                <w:rFonts w:asciiTheme="minorEastAsia" w:hAnsiTheme="minorEastAsia"/>
                <w:b/>
                <w:bCs/>
                <w:color w:val="auto"/>
                <w:szCs w:val="21"/>
              </w:rPr>
            </w:pPr>
            <w:r>
              <w:rPr>
                <w:rFonts w:hint="eastAsia" w:asciiTheme="minorEastAsia" w:hAnsiTheme="minorEastAsia"/>
                <w:b/>
                <w:bCs/>
                <w:color w:val="auto"/>
                <w:szCs w:val="21"/>
              </w:rPr>
              <w:t>投标</w:t>
            </w:r>
            <w:r>
              <w:rPr>
                <w:rFonts w:hint="eastAsia" w:cs="仿宋_GB2312" w:asciiTheme="minorEastAsia" w:hAnsiTheme="minorEastAsia"/>
                <w:b/>
                <w:color w:val="auto"/>
                <w:szCs w:val="21"/>
                <w:lang w:val="zh-CN"/>
              </w:rPr>
              <w:t>报价</w:t>
            </w:r>
          </w:p>
        </w:tc>
        <w:tc>
          <w:tcPr>
            <w:tcW w:w="5954" w:type="dxa"/>
          </w:tcPr>
          <w:p>
            <w:pPr>
              <w:spacing w:line="360" w:lineRule="auto"/>
              <w:rPr>
                <w:rFonts w:asciiTheme="minorEastAsia" w:hAnsiTheme="minorEastAsia"/>
                <w:b/>
                <w:bCs/>
                <w:color w:val="auto"/>
                <w:szCs w:val="21"/>
              </w:rPr>
            </w:pPr>
            <w:r>
              <w:rPr>
                <w:rFonts w:hint="eastAsia" w:cs="仿宋_GB2312" w:asciiTheme="minorEastAsia" w:hAnsiTheme="minorEastAsia"/>
                <w:color w:val="auto"/>
                <w:szCs w:val="21"/>
                <w:lang w:val="zh-CN"/>
              </w:rPr>
              <w:t>投标报价是否超出招标文件中规定的预算金额，超出预算金额的投标无效。如投标人须知前附表规定最高限价，则</w:t>
            </w:r>
            <w:r>
              <w:rPr>
                <w:rFonts w:hint="eastAsia" w:cs="宋体" w:asciiTheme="minorEastAsia" w:hAnsiTheme="minorEastAsia"/>
                <w:bCs/>
                <w:color w:val="auto"/>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color w:val="auto"/>
                <w:szCs w:val="21"/>
              </w:rPr>
            </w:pPr>
            <w:r>
              <w:rPr>
                <w:rFonts w:hint="eastAsia" w:asciiTheme="minorEastAsia" w:hAnsiTheme="minorEastAsia"/>
                <w:b/>
                <w:bCs/>
                <w:color w:val="auto"/>
                <w:szCs w:val="21"/>
              </w:rPr>
              <w:t>11</w:t>
            </w:r>
          </w:p>
        </w:tc>
        <w:tc>
          <w:tcPr>
            <w:tcW w:w="2410" w:type="dxa"/>
            <w:vAlign w:val="center"/>
          </w:tcPr>
          <w:p>
            <w:pPr>
              <w:spacing w:line="360" w:lineRule="auto"/>
              <w:rPr>
                <w:rFonts w:asciiTheme="minorEastAsia" w:hAnsiTheme="minorEastAsia"/>
                <w:color w:val="auto"/>
                <w:szCs w:val="21"/>
              </w:rPr>
            </w:pPr>
            <w:r>
              <w:rPr>
                <w:rFonts w:hint="eastAsia" w:asciiTheme="minorEastAsia" w:hAnsiTheme="minorEastAsia"/>
                <w:b/>
                <w:color w:val="auto"/>
                <w:szCs w:val="21"/>
              </w:rPr>
              <w:t>投标承诺函</w:t>
            </w:r>
          </w:p>
        </w:tc>
        <w:tc>
          <w:tcPr>
            <w:tcW w:w="5954" w:type="dxa"/>
            <w:vAlign w:val="center"/>
          </w:tcPr>
          <w:p>
            <w:pPr>
              <w:spacing w:line="360" w:lineRule="auto"/>
              <w:rPr>
                <w:rFonts w:asciiTheme="minorEastAsia" w:hAnsiTheme="minorEastAsia"/>
                <w:b/>
                <w:color w:val="auto"/>
                <w:szCs w:val="21"/>
              </w:rPr>
            </w:pPr>
            <w:r>
              <w:rPr>
                <w:rFonts w:hint="eastAsia" w:asciiTheme="minorEastAsia" w:hAnsiTheme="minorEastAsia"/>
                <w:color w:val="auto"/>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color w:val="auto"/>
                <w:szCs w:val="21"/>
              </w:rPr>
            </w:pPr>
            <w:r>
              <w:rPr>
                <w:rFonts w:hint="eastAsia" w:asciiTheme="minorEastAsia" w:hAnsiTheme="minorEastAsia"/>
                <w:b/>
                <w:color w:val="auto"/>
                <w:szCs w:val="21"/>
              </w:rPr>
              <w:t>12</w:t>
            </w:r>
          </w:p>
        </w:tc>
        <w:tc>
          <w:tcPr>
            <w:tcW w:w="2410" w:type="dxa"/>
            <w:vAlign w:val="center"/>
          </w:tcPr>
          <w:p>
            <w:pPr>
              <w:spacing w:line="360" w:lineRule="auto"/>
              <w:rPr>
                <w:rFonts w:asciiTheme="minorEastAsia" w:hAnsiTheme="minorEastAsia"/>
                <w:b/>
                <w:bCs/>
                <w:color w:val="auto"/>
                <w:szCs w:val="21"/>
              </w:rPr>
            </w:pPr>
            <w:r>
              <w:rPr>
                <w:rFonts w:hint="eastAsia" w:asciiTheme="minorEastAsia" w:hAnsiTheme="minorEastAsia"/>
                <w:b/>
                <w:bCs/>
                <w:color w:val="auto"/>
                <w:szCs w:val="21"/>
              </w:rPr>
              <w:t>联合体协议</w:t>
            </w:r>
          </w:p>
        </w:tc>
        <w:tc>
          <w:tcPr>
            <w:tcW w:w="5954" w:type="dxa"/>
          </w:tcPr>
          <w:p>
            <w:pPr>
              <w:spacing w:line="360" w:lineRule="auto"/>
              <w:rPr>
                <w:rFonts w:asciiTheme="minorEastAsia" w:hAnsiTheme="minorEastAsia"/>
                <w:b/>
                <w:bCs/>
                <w:color w:val="auto"/>
                <w:szCs w:val="21"/>
              </w:rPr>
            </w:pPr>
            <w:r>
              <w:rPr>
                <w:rFonts w:hint="eastAsia" w:asciiTheme="minorEastAsia" w:hAnsiTheme="minorEastAsia"/>
                <w:bCs/>
                <w:color w:val="auto"/>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color w:val="auto"/>
                <w:szCs w:val="21"/>
              </w:rPr>
            </w:pPr>
            <w:r>
              <w:rPr>
                <w:rFonts w:hint="eastAsia" w:asciiTheme="minorEastAsia" w:hAnsiTheme="minorEastAsia"/>
                <w:b/>
                <w:color w:val="auto"/>
                <w:szCs w:val="21"/>
              </w:rPr>
              <w:t>13</w:t>
            </w:r>
          </w:p>
        </w:tc>
        <w:tc>
          <w:tcPr>
            <w:tcW w:w="2410" w:type="dxa"/>
            <w:vAlign w:val="center"/>
          </w:tcPr>
          <w:p>
            <w:pPr>
              <w:spacing w:line="360" w:lineRule="auto"/>
              <w:contextualSpacing/>
              <w:rPr>
                <w:rFonts w:asciiTheme="minorEastAsia" w:hAnsiTheme="minorEastAsia"/>
                <w:b/>
                <w:color w:val="auto"/>
                <w:szCs w:val="21"/>
              </w:rPr>
            </w:pPr>
            <w:r>
              <w:rPr>
                <w:rFonts w:hint="eastAsia" w:asciiTheme="minorEastAsia" w:hAnsiTheme="minorEastAsia"/>
                <w:b/>
                <w:color w:val="auto"/>
                <w:szCs w:val="21"/>
              </w:rPr>
              <w:t>投标人身份证明及授权</w:t>
            </w:r>
          </w:p>
        </w:tc>
        <w:tc>
          <w:tcPr>
            <w:tcW w:w="5954" w:type="dxa"/>
          </w:tcPr>
          <w:p>
            <w:pPr>
              <w:spacing w:line="360" w:lineRule="auto"/>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（1）法定代表人身份证明或提供法定代表人授权委托书及被授权人身份证明。（法人投标提供）</w:t>
            </w:r>
          </w:p>
          <w:p>
            <w:pPr>
              <w:spacing w:line="360" w:lineRule="auto"/>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（2）单位负责人身份证明或提供单位负责人授权委托书及被授权人身份证明。（非法人投标提供）</w:t>
            </w:r>
          </w:p>
          <w:p>
            <w:pPr>
              <w:spacing w:line="360" w:lineRule="auto"/>
              <w:rPr>
                <w:rFonts w:ascii="楷体" w:hAnsi="楷体" w:eastAsia="楷体" w:cs="仿宋_GB2312"/>
                <w:b/>
                <w:color w:val="auto"/>
                <w:sz w:val="24"/>
                <w:szCs w:val="24"/>
                <w:lang w:val="zh-CN"/>
              </w:rPr>
            </w:pPr>
            <w:r>
              <w:rPr>
                <w:rFonts w:hint="eastAsia" w:ascii="楷体" w:hAnsi="楷体" w:eastAsia="楷体" w:cs="仿宋_GB2312"/>
                <w:b/>
                <w:color w:val="auto"/>
                <w:sz w:val="24"/>
                <w:szCs w:val="24"/>
                <w:lang w:val="zh-CN"/>
              </w:rPr>
              <w:t>注：</w:t>
            </w:r>
          </w:p>
          <w:p>
            <w:pPr>
              <w:spacing w:line="360" w:lineRule="auto"/>
              <w:rPr>
                <w:rFonts w:asciiTheme="minorEastAsia" w:hAnsiTheme="minorEastAsia"/>
                <w:b/>
                <w:color w:val="auto"/>
                <w:sz w:val="24"/>
                <w:szCs w:val="24"/>
              </w:rPr>
            </w:pPr>
            <w:r>
              <w:rPr>
                <w:rFonts w:hint="eastAsia" w:ascii="楷体" w:hAnsi="楷体" w:eastAsia="楷体"/>
                <w:color w:val="auto"/>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auto"/>
                <w:sz w:val="24"/>
                <w:szCs w:val="24"/>
              </w:rPr>
            </w:pPr>
            <w:r>
              <w:rPr>
                <w:rFonts w:hint="eastAsia" w:ascii="楷体" w:hAnsi="楷体" w:eastAsia="楷体"/>
                <w:color w:val="auto"/>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color w:val="auto"/>
                <w:szCs w:val="21"/>
              </w:rPr>
            </w:pPr>
            <w:r>
              <w:rPr>
                <w:rFonts w:hint="eastAsia" w:ascii="楷体" w:hAnsi="楷体" w:eastAsia="楷体"/>
                <w:color w:val="auto"/>
                <w:sz w:val="24"/>
                <w:szCs w:val="24"/>
              </w:rPr>
              <w:t>③</w:t>
            </w:r>
            <w:r>
              <w:rPr>
                <w:rFonts w:hint="eastAsia" w:ascii="楷体" w:hAnsi="楷体" w:eastAsia="楷体"/>
                <w:color w:val="auto"/>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color w:val="auto"/>
                <w:szCs w:val="21"/>
              </w:rPr>
            </w:pPr>
            <w:r>
              <w:rPr>
                <w:rFonts w:hint="eastAsia" w:asciiTheme="minorEastAsia" w:hAnsiTheme="minorEastAsia"/>
                <w:b/>
                <w:color w:val="auto"/>
                <w:szCs w:val="21"/>
              </w:rPr>
              <w:t>14</w:t>
            </w:r>
          </w:p>
        </w:tc>
        <w:tc>
          <w:tcPr>
            <w:tcW w:w="2410" w:type="dxa"/>
            <w:vAlign w:val="center"/>
          </w:tcPr>
          <w:p>
            <w:pPr>
              <w:spacing w:line="360" w:lineRule="auto"/>
              <w:rPr>
                <w:rFonts w:asciiTheme="minorEastAsia" w:hAnsiTheme="minorEastAsia"/>
                <w:b/>
                <w:bCs/>
                <w:color w:val="auto"/>
                <w:szCs w:val="21"/>
              </w:rPr>
            </w:pPr>
            <w:r>
              <w:rPr>
                <w:rFonts w:hint="eastAsia" w:asciiTheme="minorEastAsia" w:hAnsiTheme="minorEastAsia"/>
                <w:b/>
                <w:bCs/>
                <w:color w:val="auto"/>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color w:val="auto"/>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color w:val="auto"/>
                <w:szCs w:val="21"/>
              </w:rPr>
            </w:pPr>
            <w:r>
              <w:rPr>
                <w:rFonts w:hint="eastAsia" w:asciiTheme="minorEastAsia" w:hAnsiTheme="minorEastAsia"/>
                <w:b/>
                <w:color w:val="auto"/>
                <w:szCs w:val="21"/>
              </w:rPr>
              <w:t>15</w:t>
            </w:r>
          </w:p>
        </w:tc>
        <w:tc>
          <w:tcPr>
            <w:tcW w:w="2410" w:type="dxa"/>
            <w:vAlign w:val="center"/>
          </w:tcPr>
          <w:p>
            <w:pPr>
              <w:spacing w:line="360" w:lineRule="auto"/>
              <w:rPr>
                <w:rFonts w:asciiTheme="minorEastAsia" w:hAnsiTheme="minorEastAsia"/>
                <w:b/>
                <w:bCs/>
                <w:color w:val="auto"/>
                <w:szCs w:val="21"/>
              </w:rPr>
            </w:pPr>
            <w:r>
              <w:rPr>
                <w:rFonts w:hint="eastAsia" w:asciiTheme="minorEastAsia" w:hAnsiTheme="minorEastAsia"/>
                <w:b/>
                <w:bCs/>
                <w:color w:val="auto"/>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投标人</w:t>
            </w:r>
            <w:bookmarkStart w:id="4" w:name="baidusnap2"/>
            <w:bookmarkEnd w:id="4"/>
            <w:r>
              <w:rPr>
                <w:rFonts w:hint="eastAsia" w:cs="仿宋_GB2312" w:asciiTheme="minorEastAsia" w:hAnsiTheme="minorEastAsia"/>
                <w:color w:val="auto"/>
                <w:szCs w:val="21"/>
                <w:lang w:val="zh-CN"/>
              </w:rPr>
              <w:t>提供未为本项目提供整体设计、</w:t>
            </w:r>
            <w:bookmarkStart w:id="5" w:name="baidusnap9"/>
            <w:bookmarkEnd w:id="5"/>
            <w:r>
              <w:rPr>
                <w:rFonts w:hint="eastAsia" w:cs="仿宋_GB2312" w:asciiTheme="minorEastAsia" w:hAnsiTheme="minorEastAsia"/>
                <w:color w:val="auto"/>
                <w:szCs w:val="21"/>
                <w:lang w:val="zh-CN"/>
              </w:rPr>
              <w:t>规范编制或者项目管理、监理、检测等服务承诺函（承诺函格式自拟）。</w:t>
            </w:r>
          </w:p>
          <w:p>
            <w:pPr>
              <w:spacing w:line="360" w:lineRule="auto"/>
              <w:rPr>
                <w:rFonts w:asciiTheme="minorEastAsia" w:hAnsiTheme="minorEastAsia"/>
                <w:bCs/>
                <w:color w:val="auto"/>
                <w:szCs w:val="21"/>
              </w:rPr>
            </w:pPr>
          </w:p>
        </w:tc>
      </w:tr>
    </w:tbl>
    <w:p>
      <w:pPr>
        <w:pStyle w:val="13"/>
        <w:spacing w:line="360" w:lineRule="auto"/>
        <w:ind w:firstLine="482" w:firstLineChars="200"/>
        <w:contextualSpacing/>
        <w:rPr>
          <w:rFonts w:cs="仿宋_GB2312" w:asciiTheme="minorEastAsia" w:hAnsiTheme="minorEastAsia" w:eastAsiaTheme="minorEastAsia"/>
          <w:b/>
          <w:color w:val="auto"/>
          <w:szCs w:val="24"/>
          <w:lang w:val="zh-CN"/>
        </w:rPr>
      </w:pPr>
    </w:p>
    <w:p>
      <w:pPr>
        <w:pStyle w:val="13"/>
        <w:spacing w:line="360" w:lineRule="auto"/>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二、评标</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（一）评标方法</w:t>
      </w:r>
    </w:p>
    <w:p>
      <w:pPr>
        <w:pStyle w:val="13"/>
        <w:spacing w:line="360" w:lineRule="auto"/>
        <w:ind w:firstLine="420"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color w:val="auto"/>
          <w:sz w:val="21"/>
          <w:szCs w:val="21"/>
          <w:lang w:val="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（二）</w:t>
      </w:r>
      <w:r>
        <w:rPr>
          <w:rFonts w:cs="仿宋_GB2312" w:asciiTheme="minorEastAsia" w:hAnsiTheme="minorEastAsia" w:eastAsiaTheme="minorEastAsia"/>
          <w:b/>
          <w:color w:val="auto"/>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1、</w:t>
      </w:r>
      <w:r>
        <w:rPr>
          <w:rFonts w:cs="仿宋_GB2312" w:asciiTheme="minorEastAsia" w:hAnsiTheme="minorEastAsia" w:eastAsiaTheme="minorEastAsia"/>
          <w:b/>
          <w:color w:val="auto"/>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color w:val="auto"/>
          <w:sz w:val="21"/>
          <w:szCs w:val="21"/>
          <w:lang w:val="zh-CN"/>
        </w:rPr>
      </w:pPr>
      <w:r>
        <w:rPr>
          <w:rFonts w:hint="eastAsia" w:cs="仿宋_GB2312" w:asciiTheme="minorEastAsia" w:hAnsiTheme="minorEastAsia"/>
          <w:color w:val="auto"/>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2、</w:t>
      </w:r>
      <w:r>
        <w:rPr>
          <w:rFonts w:cs="仿宋_GB2312" w:asciiTheme="minorEastAsia" w:hAnsiTheme="minorEastAsia" w:eastAsiaTheme="minorEastAsia"/>
          <w:b/>
          <w:color w:val="auto"/>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3、</w:t>
      </w:r>
      <w:r>
        <w:rPr>
          <w:rFonts w:cs="仿宋_GB2312" w:asciiTheme="minorEastAsia" w:hAnsiTheme="minorEastAsia" w:eastAsiaTheme="minorEastAsia"/>
          <w:b/>
          <w:color w:val="auto"/>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color w:val="auto"/>
          <w:sz w:val="21"/>
          <w:szCs w:val="21"/>
          <w:lang w:val="zh-CN"/>
        </w:rPr>
      </w:pPr>
      <w:r>
        <w:rPr>
          <w:rFonts w:hint="eastAsia" w:cs="仿宋_GB2312" w:asciiTheme="minorEastAsia" w:hAnsiTheme="minorEastAsia" w:eastAsiaTheme="minorEastAsia"/>
          <w:color w:val="auto"/>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color w:val="auto"/>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color w:val="auto"/>
          <w:sz w:val="21"/>
          <w:szCs w:val="21"/>
          <w:lang w:val="zh-CN"/>
        </w:rPr>
      </w:pPr>
      <w:r>
        <w:rPr>
          <w:rFonts w:hint="eastAsia" w:cs="仿宋_GB2312" w:asciiTheme="minorEastAsia" w:hAnsiTheme="minorEastAsia"/>
          <w:color w:val="auto"/>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如果本项目非专门面向中小企业采购，对小型和微型企业产品的价格给予10%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auto"/>
          <w:sz w:val="21"/>
          <w:szCs w:val="21"/>
        </w:rPr>
      </w:pPr>
      <w:r>
        <w:rPr>
          <w:rFonts w:hint="eastAsia" w:cs="仿宋_GB2312" w:asciiTheme="minorEastAsia" w:hAnsiTheme="minorEastAsia" w:eastAsiaTheme="minorEastAsia"/>
          <w:color w:val="auto"/>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auto"/>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asciiTheme="minorEastAsia" w:hAnsiTheme="minorEastAsia" w:eastAsiaTheme="minorEastAsia"/>
          <w:b/>
          <w:color w:val="auto"/>
          <w:sz w:val="21"/>
          <w:szCs w:val="21"/>
        </w:rPr>
        <w:t>（2）</w:t>
      </w:r>
      <w:r>
        <w:rPr>
          <w:rFonts w:cs="仿宋_GB2312" w:asciiTheme="minorEastAsia" w:hAnsiTheme="minorEastAsia" w:eastAsiaTheme="minorEastAsia"/>
          <w:b/>
          <w:color w:val="auto"/>
          <w:sz w:val="21"/>
          <w:szCs w:val="21"/>
          <w:lang w:val="zh-CN"/>
        </w:rPr>
        <w:t>关于相同品牌产品</w:t>
      </w:r>
      <w:r>
        <w:rPr>
          <w:rFonts w:cs="仿宋_GB2312" w:asciiTheme="minorEastAsia" w:hAnsiTheme="minorEastAsia" w:eastAsiaTheme="minorEastAsia"/>
          <w:b/>
          <w:bCs/>
          <w:color w:val="auto"/>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color w:val="auto"/>
          <w:sz w:val="21"/>
          <w:szCs w:val="21"/>
          <w:lang w:val="zh-CN"/>
        </w:rPr>
        <w:t>采取随机抽取</w:t>
      </w:r>
      <w:r>
        <w:rPr>
          <w:rFonts w:cs="仿宋_GB2312" w:asciiTheme="minorEastAsia" w:hAnsiTheme="minorEastAsia" w:eastAsiaTheme="minorEastAsia"/>
          <w:color w:val="auto"/>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color w:val="auto"/>
          <w:sz w:val="21"/>
          <w:szCs w:val="21"/>
          <w:lang w:val="zh-CN"/>
        </w:rPr>
      </w:pPr>
      <w:r>
        <w:rPr>
          <w:rFonts w:cs="仿宋_GB2312" w:asciiTheme="minorEastAsia" w:hAnsiTheme="minorEastAsia" w:eastAsiaTheme="minorEastAsia"/>
          <w:color w:val="auto"/>
          <w:sz w:val="21"/>
          <w:szCs w:val="21"/>
          <w:lang w:val="zh-CN"/>
        </w:rPr>
        <w:t>采用综合评分法的，提供相同品牌产品</w:t>
      </w:r>
      <w:r>
        <w:rPr>
          <w:rFonts w:hint="eastAsia" w:cs="仿宋_GB2312" w:asciiTheme="minorEastAsia" w:hAnsiTheme="minorEastAsia" w:eastAsiaTheme="minorEastAsia"/>
          <w:color w:val="auto"/>
          <w:sz w:val="21"/>
          <w:szCs w:val="21"/>
          <w:lang w:val="zh-CN"/>
        </w:rPr>
        <w:t>（</w:t>
      </w:r>
      <w:r>
        <w:rPr>
          <w:rFonts w:cs="仿宋_GB2312" w:asciiTheme="minorEastAsia" w:hAnsiTheme="minorEastAsia" w:eastAsiaTheme="minorEastAsia"/>
          <w:color w:val="auto"/>
          <w:sz w:val="21"/>
          <w:szCs w:val="21"/>
          <w:lang w:val="zh-CN"/>
        </w:rPr>
        <w:t>非单一产品采购项目，多家投标人提供的核心产品品牌相同</w:t>
      </w:r>
      <w:r>
        <w:rPr>
          <w:rFonts w:hint="eastAsia" w:cs="仿宋_GB2312" w:asciiTheme="minorEastAsia" w:hAnsiTheme="minorEastAsia" w:eastAsiaTheme="minorEastAsia"/>
          <w:color w:val="auto"/>
          <w:sz w:val="21"/>
          <w:szCs w:val="21"/>
          <w:lang w:val="zh-CN"/>
        </w:rPr>
        <w:t>）</w:t>
      </w:r>
      <w:r>
        <w:rPr>
          <w:rFonts w:cs="仿宋_GB2312" w:asciiTheme="minorEastAsia" w:hAnsiTheme="minorEastAsia" w:eastAsiaTheme="minorEastAsia"/>
          <w:color w:val="auto"/>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color w:val="auto"/>
          <w:sz w:val="21"/>
          <w:szCs w:val="21"/>
          <w:lang w:val="zh-CN"/>
        </w:rPr>
        <w:t>由采购人或者采购人委托评标委员会</w:t>
      </w:r>
      <w:r>
        <w:rPr>
          <w:rFonts w:cs="仿宋_GB2312" w:asciiTheme="minorEastAsia" w:hAnsiTheme="minorEastAsia" w:eastAsiaTheme="minorEastAsia"/>
          <w:color w:val="auto"/>
          <w:sz w:val="21"/>
          <w:szCs w:val="21"/>
          <w:lang w:val="zh-CN"/>
        </w:rPr>
        <w:t>采取随机抽取方式确定</w:t>
      </w:r>
      <w:r>
        <w:rPr>
          <w:rFonts w:hint="eastAsia" w:cs="仿宋_GB2312" w:asciiTheme="minorEastAsia" w:hAnsiTheme="minorEastAsia" w:eastAsiaTheme="minorEastAsia"/>
          <w:color w:val="auto"/>
          <w:sz w:val="21"/>
          <w:szCs w:val="21"/>
          <w:lang w:val="zh-CN"/>
        </w:rPr>
        <w:t>一个投标人获得中标人推荐资格</w:t>
      </w:r>
      <w:r>
        <w:rPr>
          <w:rFonts w:cs="仿宋_GB2312" w:asciiTheme="minorEastAsia" w:hAnsiTheme="minorEastAsia" w:eastAsiaTheme="minorEastAsia"/>
          <w:color w:val="auto"/>
          <w:sz w:val="21"/>
          <w:szCs w:val="21"/>
          <w:lang w:val="zh-CN"/>
        </w:rPr>
        <w:t>，其他同品牌投标人不作为中标候选人。</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asciiTheme="minorEastAsia" w:hAnsiTheme="minorEastAsia" w:eastAsiaTheme="minorEastAsia"/>
          <w:b/>
          <w:color w:val="auto"/>
          <w:sz w:val="21"/>
          <w:szCs w:val="21"/>
        </w:rPr>
        <w:t>（3）强制采购节能产品和优先采购节能产品、优先采购环保产品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1）对《节能产品政府采购品目清单》所列的政府强制采购节能产品</w:t>
      </w:r>
      <w:r>
        <w:rPr>
          <w:rFonts w:hint="eastAsia" w:cs="仿宋_GB2312" w:asciiTheme="minorEastAsia" w:hAnsiTheme="minorEastAsia" w:eastAsiaTheme="minorEastAsia"/>
          <w:color w:val="auto"/>
          <w:sz w:val="21"/>
          <w:szCs w:val="21"/>
        </w:rPr>
        <w:t>，</w:t>
      </w:r>
      <w:r>
        <w:rPr>
          <w:rFonts w:hint="eastAsia" w:cs="仿宋_GB2312" w:asciiTheme="minorEastAsia" w:hAnsiTheme="minorEastAsia" w:eastAsiaTheme="minorEastAsia"/>
          <w:color w:val="auto"/>
          <w:sz w:val="21"/>
          <w:szCs w:val="21"/>
          <w:lang w:val="zh-CN"/>
        </w:rPr>
        <w:t>投标人投标文件中应提供具有国家确定的认证机构出具的、处于有效期之内的节能产品或环境标志产品认证证书，否则将承担其投标被视为非实质性响应投标的风险。</w:t>
      </w:r>
    </w:p>
    <w:p>
      <w:pPr>
        <w:pStyle w:val="13"/>
        <w:spacing w:line="360" w:lineRule="auto"/>
        <w:ind w:firstLine="465"/>
        <w:contextualSpacing/>
        <w:jc w:val="left"/>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投标人所投其他产品若属于《节能产品政府采购品目清单》优先采购产品，</w:t>
      </w:r>
      <w:r>
        <w:rPr>
          <w:rFonts w:hint="eastAsia" w:cs="仿宋_GB2312" w:asciiTheme="minorEastAsia" w:hAnsiTheme="minorEastAsia"/>
          <w:color w:val="auto"/>
          <w:sz w:val="21"/>
          <w:szCs w:val="21"/>
          <w:lang w:val="zh-CN"/>
        </w:rPr>
        <w:t>投标文件中应提供</w:t>
      </w:r>
      <w:r>
        <w:rPr>
          <w:rFonts w:hint="eastAsia" w:cs="仿宋_GB2312" w:asciiTheme="minorEastAsia" w:hAnsiTheme="minorEastAsia" w:eastAsiaTheme="minorEastAsia"/>
          <w:color w:val="auto"/>
          <w:sz w:val="21"/>
          <w:szCs w:val="21"/>
          <w:lang w:val="zh-CN"/>
        </w:rPr>
        <w:t>具有国家确定的认证机构出具的、处于有效期之内的节能产品认证证书</w:t>
      </w:r>
      <w:r>
        <w:rPr>
          <w:rFonts w:hint="eastAsia" w:cs="仿宋_GB2312" w:asciiTheme="minorEastAsia" w:hAnsiTheme="minorEastAsia"/>
          <w:color w:val="auto"/>
          <w:sz w:val="21"/>
          <w:szCs w:val="21"/>
          <w:lang w:val="zh-CN"/>
        </w:rPr>
        <w:t>，评标委员会根据本项目评标标准予以判定并赋分。</w:t>
      </w:r>
    </w:p>
    <w:p>
      <w:pPr>
        <w:pStyle w:val="13"/>
        <w:spacing w:line="360" w:lineRule="auto"/>
        <w:ind w:firstLine="420" w:firstLineChars="200"/>
        <w:contextualSpacing/>
        <w:rPr>
          <w:rFonts w:cs="仿宋_GB2312" w:asciiTheme="minorEastAsia" w:hAnsiTheme="minorEastAsia" w:eastAsiaTheme="minorEastAsia"/>
          <w:color w:val="auto"/>
          <w:sz w:val="21"/>
          <w:szCs w:val="21"/>
          <w:lang w:val="zh-CN"/>
        </w:rPr>
      </w:pPr>
      <w:r>
        <w:rPr>
          <w:rFonts w:hint="eastAsia" w:cs="仿宋_GB2312" w:asciiTheme="minorEastAsia" w:hAnsiTheme="minorEastAsia" w:eastAsiaTheme="minorEastAsia"/>
          <w:color w:val="auto"/>
          <w:sz w:val="21"/>
          <w:szCs w:val="21"/>
          <w:lang w:val="zh-CN"/>
        </w:rPr>
        <w:t>2）</w:t>
      </w:r>
      <w:r>
        <w:rPr>
          <w:rFonts w:hint="eastAsia" w:cs="仿宋_GB2312" w:asciiTheme="minorEastAsia" w:hAnsiTheme="minorEastAsia"/>
          <w:color w:val="auto"/>
          <w:sz w:val="21"/>
          <w:szCs w:val="21"/>
          <w:lang w:val="zh-CN"/>
        </w:rPr>
        <w:t>投标人所投产品若属于《环境标志产品政府采购品目清单》内产品，投标文件中应提供</w:t>
      </w:r>
      <w:r>
        <w:rPr>
          <w:rFonts w:hint="eastAsia" w:cs="仿宋_GB2312" w:asciiTheme="minorEastAsia" w:hAnsiTheme="minorEastAsia" w:eastAsiaTheme="minorEastAsia"/>
          <w:color w:val="auto"/>
          <w:sz w:val="21"/>
          <w:szCs w:val="21"/>
          <w:lang w:val="zh-CN"/>
        </w:rPr>
        <w:t>具有国家确定的认证机构出具的、处于有效期之内的环境标志产品认证证书</w:t>
      </w:r>
      <w:r>
        <w:rPr>
          <w:rFonts w:hint="eastAsia" w:cs="仿宋_GB2312" w:asciiTheme="minorEastAsia" w:hAnsiTheme="minorEastAsia"/>
          <w:color w:val="auto"/>
          <w:sz w:val="21"/>
          <w:szCs w:val="21"/>
          <w:lang w:val="zh-CN"/>
        </w:rPr>
        <w:t>，</w:t>
      </w:r>
      <w:r>
        <w:rPr>
          <w:rFonts w:hint="eastAsia" w:cs="仿宋_GB2312" w:asciiTheme="minorEastAsia" w:hAnsiTheme="minorEastAsia" w:eastAsiaTheme="minorEastAsia"/>
          <w:color w:val="auto"/>
          <w:sz w:val="21"/>
          <w:szCs w:val="21"/>
          <w:lang w:val="zh-CN"/>
        </w:rPr>
        <w:t>评标委员会根据本项目评标标准予以判定并赋分。</w:t>
      </w:r>
    </w:p>
    <w:p>
      <w:pPr>
        <w:pStyle w:val="13"/>
        <w:spacing w:line="360" w:lineRule="auto"/>
        <w:ind w:firstLine="465"/>
        <w:contextualSpacing/>
        <w:jc w:val="left"/>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（4）关于强制性产品认证</w:t>
      </w:r>
    </w:p>
    <w:p>
      <w:pPr>
        <w:spacing w:line="360" w:lineRule="auto"/>
        <w:ind w:firstLine="420" w:firstLineChars="200"/>
        <w:contextualSpacing/>
        <w:rPr>
          <w:rFonts w:cs="宋体" w:asciiTheme="minorEastAsia" w:hAnsiTheme="minorEastAsia"/>
          <w:color w:val="auto"/>
          <w:kern w:val="0"/>
          <w:szCs w:val="21"/>
        </w:rPr>
      </w:pPr>
      <w:r>
        <w:rPr>
          <w:rFonts w:hint="eastAsia" w:cs="仿宋_GB2312" w:asciiTheme="minorEastAsia" w:hAnsiTheme="minorEastAsia"/>
          <w:color w:val="auto"/>
          <w:szCs w:val="21"/>
          <w:lang w:val="zh-CN"/>
        </w:rPr>
        <w:t>1）如投标人所投产品属于“中国强制性产品认证”（3C认证）范围内,则必须承诺采用</w:t>
      </w:r>
      <w:r>
        <w:rPr>
          <w:rFonts w:cs="仿宋_GB2312" w:asciiTheme="minorEastAsia" w:hAnsiTheme="minorEastAsia"/>
          <w:color w:val="auto"/>
          <w:szCs w:val="21"/>
          <w:lang w:val="zh-CN"/>
        </w:rPr>
        <w:t>《中华人民共和国实施强制性产品认证的产品目录》</w:t>
      </w:r>
      <w:r>
        <w:rPr>
          <w:rFonts w:hint="eastAsia" w:cs="仿宋_GB2312" w:asciiTheme="minorEastAsia" w:hAnsiTheme="minorEastAsia"/>
          <w:color w:val="auto"/>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宋体" w:asciiTheme="minorEastAsia" w:hAnsiTheme="minorEastAsia"/>
          <w:color w:val="auto"/>
          <w:kern w:val="0"/>
          <w:szCs w:val="21"/>
        </w:rPr>
        <w:t>2)投标人所投产品如被列入</w:t>
      </w:r>
      <w:r>
        <w:rPr>
          <w:rFonts w:cs="宋体" w:asciiTheme="minorEastAsia" w:hAnsiTheme="minorEastAsia"/>
          <w:color w:val="auto"/>
          <w:kern w:val="0"/>
          <w:szCs w:val="21"/>
        </w:rPr>
        <w:t>《信息安全产品强制性认证目录》，</w:t>
      </w:r>
      <w:r>
        <w:rPr>
          <w:rFonts w:hint="eastAsia" w:cs="仿宋_GB2312" w:asciiTheme="minorEastAsia" w:hAnsiTheme="minorEastAsia"/>
          <w:color w:val="auto"/>
          <w:szCs w:val="21"/>
          <w:lang w:val="zh-CN"/>
        </w:rPr>
        <w:t>则投标文件中应根据本项目招标文件“第二章 项目需求”</w:t>
      </w:r>
      <w:r>
        <w:rPr>
          <w:rFonts w:cs="仿宋_GB2312" w:asciiTheme="minorEastAsia" w:hAnsiTheme="minorEastAsia"/>
          <w:color w:val="auto"/>
          <w:szCs w:val="21"/>
          <w:lang w:val="zh-CN"/>
        </w:rPr>
        <w:t>提供</w:t>
      </w:r>
      <w:r>
        <w:rPr>
          <w:rFonts w:hint="eastAsia" w:cs="仿宋_GB2312" w:asciiTheme="minorEastAsia" w:hAnsiTheme="minorEastAsia"/>
          <w:color w:val="auto"/>
          <w:szCs w:val="21"/>
          <w:lang w:val="zh-CN"/>
        </w:rPr>
        <w:t>：</w:t>
      </w:r>
    </w:p>
    <w:p>
      <w:pPr>
        <w:wordWrap w:val="0"/>
        <w:autoSpaceDE w:val="0"/>
        <w:autoSpaceDN w:val="0"/>
        <w:spacing w:line="360" w:lineRule="auto"/>
        <w:ind w:firstLine="420" w:firstLineChars="200"/>
        <w:contextualSpacing/>
        <w:rPr>
          <w:rFonts w:cs="宋体" w:asciiTheme="minorEastAsia" w:hAnsiTheme="minorEastAsia"/>
          <w:color w:val="auto"/>
          <w:kern w:val="0"/>
          <w:szCs w:val="21"/>
        </w:rPr>
      </w:pPr>
      <w:r>
        <w:rPr>
          <w:rFonts w:hint="eastAsia" w:cs="宋体" w:asciiTheme="minorEastAsia" w:hAnsiTheme="minorEastAsia"/>
          <w:color w:val="auto"/>
          <w:kern w:val="0"/>
          <w:szCs w:val="21"/>
        </w:rPr>
        <w:t>①中国信息安全认证中心官网（</w:t>
      </w:r>
      <w:r>
        <w:rPr>
          <w:rFonts w:cs="宋体" w:asciiTheme="minorEastAsia" w:hAnsiTheme="minorEastAsia"/>
          <w:color w:val="auto"/>
          <w:kern w:val="0"/>
          <w:szCs w:val="21"/>
        </w:rPr>
        <w:t>http://www.isccc.gov.cn/index.shtml</w:t>
      </w:r>
      <w:r>
        <w:rPr>
          <w:rFonts w:hint="eastAsia" w:cs="宋体" w:asciiTheme="minorEastAsia" w:hAnsiTheme="minorEastAsia"/>
          <w:color w:val="auto"/>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宋体" w:asciiTheme="minorEastAsia" w:hAnsiTheme="minorEastAsia"/>
          <w:color w:val="auto"/>
          <w:kern w:val="0"/>
          <w:szCs w:val="21"/>
        </w:rPr>
        <w:t>②中国信息安全认证中心</w:t>
      </w:r>
      <w:r>
        <w:rPr>
          <w:rFonts w:hint="eastAsia" w:cs="仿宋_GB2312" w:asciiTheme="minorEastAsia" w:hAnsiTheme="minorEastAsia"/>
          <w:color w:val="auto"/>
          <w:szCs w:val="21"/>
          <w:lang w:val="zh-CN"/>
        </w:rPr>
        <w:t>颁发的《中国国家信息安全产品认证证书》加盖投标人公章的原件扫描件（或图片）。</w:t>
      </w:r>
    </w:p>
    <w:p>
      <w:pPr>
        <w:wordWrap w:val="0"/>
        <w:spacing w:line="360" w:lineRule="auto"/>
        <w:ind w:firstLine="480" w:firstLineChars="200"/>
        <w:contextualSpacing/>
        <w:rPr>
          <w:rFonts w:ascii="楷体" w:hAnsi="楷体" w:eastAsia="楷体"/>
          <w:color w:val="auto"/>
          <w:sz w:val="24"/>
          <w:szCs w:val="24"/>
        </w:rPr>
      </w:pPr>
      <w:r>
        <w:rPr>
          <w:rFonts w:hint="eastAsia" w:ascii="楷体" w:hAnsi="楷体" w:eastAsia="楷体" w:cs="仿宋_GB2312"/>
          <w:color w:val="auto"/>
          <w:sz w:val="24"/>
          <w:szCs w:val="24"/>
          <w:lang w:val="zh-CN"/>
        </w:rPr>
        <w:t>注：仅需提供序号</w:t>
      </w:r>
      <w:r>
        <w:rPr>
          <w:rFonts w:hint="eastAsia" w:ascii="楷体" w:hAnsi="楷体" w:eastAsia="楷体"/>
          <w:color w:val="auto"/>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（5）支持脱贫攻坚（物业服务项目）</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pPr>
        <w:tabs>
          <w:tab w:val="left" w:pos="1260"/>
        </w:tabs>
        <w:autoSpaceDE w:val="0"/>
        <w:autoSpaceDN w:val="0"/>
        <w:spacing w:line="360" w:lineRule="auto"/>
        <w:ind w:firstLine="422" w:firstLineChars="200"/>
        <w:contextualSpacing/>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（6）投标无效情形</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e.不同投标人的投标文件相互混装；</w:t>
      </w:r>
    </w:p>
    <w:p>
      <w:pPr>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color w:val="auto"/>
          <w:szCs w:val="21"/>
          <w:lang w:val="zh-CN"/>
        </w:rPr>
      </w:pPr>
      <w:r>
        <w:rPr>
          <w:rFonts w:hint="eastAsia" w:cs="仿宋_GB2312" w:asciiTheme="minorEastAsia" w:hAnsiTheme="minorEastAsia"/>
          <w:color w:val="auto"/>
          <w:szCs w:val="21"/>
          <w:lang w:val="zh-CN"/>
        </w:rPr>
        <w:t>5）</w:t>
      </w:r>
      <w:r>
        <w:rPr>
          <w:rFonts w:cs="仿宋_GB2312" w:asciiTheme="minorEastAsia" w:hAnsiTheme="minorEastAsia"/>
          <w:color w:val="auto"/>
          <w:szCs w:val="21"/>
          <w:lang w:val="zh-CN"/>
        </w:rPr>
        <w:t>法律、法规和招标文件规定的其他无效情形。</w:t>
      </w:r>
    </w:p>
    <w:p>
      <w:pPr>
        <w:pStyle w:val="13"/>
        <w:spacing w:line="360" w:lineRule="auto"/>
        <w:ind w:firstLine="422" w:firstLineChars="200"/>
        <w:contextualSpacing/>
        <w:rPr>
          <w:rFonts w:cs="仿宋_GB2312" w:asciiTheme="minorEastAsia" w:hAnsiTheme="minorEastAsia" w:eastAsiaTheme="minorEastAsia"/>
          <w:b/>
          <w:color w:val="auto"/>
          <w:sz w:val="21"/>
          <w:szCs w:val="21"/>
          <w:lang w:val="zh-CN"/>
        </w:rPr>
      </w:pPr>
      <w:r>
        <w:rPr>
          <w:rFonts w:hint="eastAsia" w:cs="仿宋_GB2312" w:asciiTheme="minorEastAsia" w:hAnsiTheme="minorEastAsia" w:eastAsiaTheme="minorEastAsia"/>
          <w:b/>
          <w:color w:val="auto"/>
          <w:sz w:val="21"/>
          <w:szCs w:val="21"/>
          <w:lang w:val="zh-CN"/>
        </w:rPr>
        <w:t>（7）评标标准</w:t>
      </w:r>
    </w:p>
    <w:tbl>
      <w:tblPr>
        <w:tblStyle w:val="22"/>
        <w:tblW w:w="9039" w:type="dxa"/>
        <w:tblInd w:w="0" w:type="dxa"/>
        <w:tblLayout w:type="fixed"/>
        <w:tblCellMar>
          <w:top w:w="0" w:type="dxa"/>
          <w:left w:w="108" w:type="dxa"/>
          <w:bottom w:w="0" w:type="dxa"/>
          <w:right w:w="108" w:type="dxa"/>
        </w:tblCellMar>
      </w:tblPr>
      <w:tblGrid>
        <w:gridCol w:w="1384"/>
        <w:gridCol w:w="1560"/>
        <w:gridCol w:w="6095"/>
      </w:tblGrid>
      <w:tr>
        <w:tblPrEx>
          <w:tblCellMar>
            <w:top w:w="0" w:type="dxa"/>
            <w:left w:w="108" w:type="dxa"/>
            <w:bottom w:w="0" w:type="dxa"/>
            <w:right w:w="108" w:type="dxa"/>
          </w:tblCellMar>
        </w:tblPrEx>
        <w:trPr>
          <w:trHeight w:val="699" w:hRule="atLeast"/>
        </w:trPr>
        <w:tc>
          <w:tcPr>
            <w:tcW w:w="294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Times New Roman"/>
                <w:color w:val="auto"/>
                <w:szCs w:val="21"/>
              </w:rPr>
              <w:t>分值构成</w:t>
            </w:r>
          </w:p>
          <w:p>
            <w:pPr>
              <w:widowControl/>
              <w:spacing w:line="360" w:lineRule="auto"/>
              <w:jc w:val="center"/>
              <w:rPr>
                <w:rFonts w:ascii="宋体" w:hAnsi="宋体" w:eastAsia="宋体" w:cs="宋体"/>
                <w:color w:val="auto"/>
                <w:kern w:val="0"/>
                <w:sz w:val="24"/>
                <w:szCs w:val="24"/>
              </w:rPr>
            </w:pPr>
            <w:r>
              <w:rPr>
                <w:rFonts w:hint="eastAsia" w:ascii="宋体" w:hAnsi="宋体" w:eastAsia="宋体" w:cs="Times New Roman"/>
                <w:color w:val="auto"/>
                <w:szCs w:val="21"/>
              </w:rPr>
              <w:t>(总分100分)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ind w:firstLine="420" w:firstLineChars="200"/>
              <w:jc w:val="left"/>
              <w:rPr>
                <w:rFonts w:ascii="宋体" w:hAnsi="宋体" w:eastAsia="宋体" w:cs="宋体"/>
                <w:color w:val="auto"/>
                <w:kern w:val="0"/>
                <w:sz w:val="24"/>
                <w:szCs w:val="24"/>
              </w:rPr>
            </w:pPr>
            <w:r>
              <w:rPr>
                <w:rFonts w:hint="eastAsia" w:ascii="宋体" w:hAnsi="宋体" w:eastAsia="宋体" w:cs="Times New Roman"/>
                <w:color w:val="auto"/>
                <w:szCs w:val="21"/>
              </w:rPr>
              <w:t>价格分值：</w:t>
            </w:r>
            <w:r>
              <w:rPr>
                <w:rFonts w:hint="eastAsia" w:ascii="宋体" w:hAnsi="宋体" w:eastAsia="宋体" w:cs="宋体"/>
                <w:color w:val="auto"/>
                <w:kern w:val="0"/>
                <w:szCs w:val="21"/>
                <w:lang w:val="en-US" w:eastAsia="zh-CN"/>
              </w:rPr>
              <w:t>30</w:t>
            </w:r>
            <w:r>
              <w:rPr>
                <w:rFonts w:hint="eastAsia" w:ascii="宋体" w:hAnsi="宋体" w:eastAsia="宋体" w:cs="Times New Roman"/>
                <w:color w:val="auto"/>
                <w:szCs w:val="21"/>
              </w:rPr>
              <w:t>分</w:t>
            </w:r>
          </w:p>
          <w:p>
            <w:pPr>
              <w:widowControl/>
              <w:spacing w:line="360" w:lineRule="auto"/>
              <w:ind w:firstLine="420" w:firstLineChars="200"/>
              <w:jc w:val="left"/>
              <w:rPr>
                <w:rFonts w:ascii="宋体" w:hAnsi="宋体" w:eastAsia="宋体" w:cs="宋体"/>
                <w:color w:val="auto"/>
                <w:kern w:val="0"/>
                <w:sz w:val="24"/>
                <w:szCs w:val="24"/>
              </w:rPr>
            </w:pPr>
            <w:r>
              <w:rPr>
                <w:rFonts w:hint="eastAsia" w:ascii="宋体" w:hAnsi="宋体" w:eastAsia="宋体" w:cs="Times New Roman"/>
                <w:color w:val="auto"/>
                <w:szCs w:val="21"/>
              </w:rPr>
              <w:t>商务部分：</w:t>
            </w:r>
            <w:r>
              <w:rPr>
                <w:rFonts w:hint="eastAsia" w:ascii="宋体" w:hAnsi="宋体" w:eastAsia="宋体" w:cs="宋体"/>
                <w:color w:val="auto"/>
                <w:kern w:val="0"/>
                <w:szCs w:val="21"/>
                <w:lang w:val="en-US" w:eastAsia="zh-CN"/>
              </w:rPr>
              <w:t>8</w:t>
            </w:r>
            <w:r>
              <w:rPr>
                <w:rFonts w:hint="eastAsia" w:ascii="宋体" w:hAnsi="宋体" w:eastAsia="宋体" w:cs="Times New Roman"/>
                <w:color w:val="auto"/>
                <w:szCs w:val="21"/>
              </w:rPr>
              <w:t>分</w:t>
            </w:r>
          </w:p>
          <w:p>
            <w:pPr>
              <w:widowControl/>
              <w:spacing w:line="360" w:lineRule="auto"/>
              <w:ind w:firstLine="420" w:firstLineChars="200"/>
              <w:jc w:val="left"/>
              <w:rPr>
                <w:rFonts w:ascii="宋体" w:hAnsi="宋体" w:eastAsia="宋体" w:cs="宋体"/>
                <w:color w:val="auto"/>
                <w:kern w:val="0"/>
                <w:sz w:val="24"/>
                <w:szCs w:val="24"/>
              </w:rPr>
            </w:pPr>
            <w:r>
              <w:rPr>
                <w:rFonts w:hint="eastAsia" w:ascii="宋体" w:hAnsi="宋体" w:eastAsia="宋体" w:cs="Times New Roman"/>
                <w:color w:val="auto"/>
                <w:szCs w:val="21"/>
              </w:rPr>
              <w:t>技术部分：</w:t>
            </w:r>
            <w:r>
              <w:rPr>
                <w:rFonts w:hint="eastAsia" w:ascii="宋体" w:hAnsi="宋体" w:eastAsia="宋体" w:cs="宋体"/>
                <w:color w:val="auto"/>
                <w:kern w:val="0"/>
                <w:szCs w:val="21"/>
                <w:lang w:val="en-US" w:eastAsia="zh-CN"/>
              </w:rPr>
              <w:t>39</w:t>
            </w:r>
            <w:r>
              <w:rPr>
                <w:rFonts w:hint="eastAsia" w:ascii="宋体" w:hAnsi="宋体" w:eastAsia="宋体" w:cs="Times New Roman"/>
                <w:color w:val="auto"/>
                <w:szCs w:val="21"/>
              </w:rPr>
              <w:t>分</w:t>
            </w:r>
          </w:p>
          <w:p>
            <w:pPr>
              <w:widowControl/>
              <w:spacing w:line="360" w:lineRule="auto"/>
              <w:ind w:firstLine="420" w:firstLineChars="200"/>
              <w:jc w:val="left"/>
              <w:rPr>
                <w:rFonts w:ascii="宋体" w:hAnsi="宋体" w:eastAsia="宋体" w:cs="宋体"/>
                <w:color w:val="auto"/>
                <w:kern w:val="0"/>
                <w:sz w:val="24"/>
                <w:szCs w:val="24"/>
              </w:rPr>
            </w:pPr>
            <w:r>
              <w:rPr>
                <w:rFonts w:hint="eastAsia" w:ascii="宋体" w:hAnsi="宋体" w:eastAsia="宋体" w:cs="Times New Roman"/>
                <w:color w:val="auto"/>
                <w:szCs w:val="21"/>
              </w:rPr>
              <w:t>服务部分：</w:t>
            </w:r>
            <w:r>
              <w:rPr>
                <w:rFonts w:hint="eastAsia" w:ascii="宋体" w:hAnsi="宋体" w:eastAsia="宋体" w:cs="宋体"/>
                <w:color w:val="auto"/>
                <w:kern w:val="0"/>
                <w:szCs w:val="21"/>
                <w:lang w:val="en-US" w:eastAsia="zh-CN"/>
              </w:rPr>
              <w:t>23</w:t>
            </w:r>
            <w:r>
              <w:rPr>
                <w:rFonts w:hint="eastAsia" w:ascii="宋体" w:hAnsi="宋体" w:eastAsia="宋体" w:cs="Times New Roman"/>
                <w:color w:val="auto"/>
                <w:szCs w:val="21"/>
              </w:rPr>
              <w:t>分</w:t>
            </w:r>
          </w:p>
        </w:tc>
      </w:tr>
      <w:tr>
        <w:tblPrEx>
          <w:tblCellMar>
            <w:top w:w="0" w:type="dxa"/>
            <w:left w:w="108" w:type="dxa"/>
            <w:bottom w:w="0" w:type="dxa"/>
            <w:right w:w="108" w:type="dxa"/>
          </w:tblCellMar>
        </w:tblPrEx>
        <w:trPr>
          <w:trHeight w:val="565"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b/>
                <w:bCs/>
                <w:color w:val="auto"/>
                <w:kern w:val="0"/>
                <w:szCs w:val="21"/>
              </w:rPr>
              <w:t>评审项</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b/>
                <w:bCs/>
                <w:color w:val="auto"/>
                <w:kern w:val="0"/>
                <w:szCs w:val="21"/>
              </w:rPr>
              <w:t>评分因素</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b/>
                <w:bCs/>
                <w:color w:val="auto"/>
                <w:kern w:val="0"/>
                <w:szCs w:val="21"/>
              </w:rPr>
              <w:t>评标标准</w:t>
            </w:r>
          </w:p>
        </w:tc>
      </w:tr>
      <w:tr>
        <w:tblPrEx>
          <w:tblCellMar>
            <w:top w:w="0" w:type="dxa"/>
            <w:left w:w="108" w:type="dxa"/>
            <w:bottom w:w="0" w:type="dxa"/>
            <w:right w:w="108" w:type="dxa"/>
          </w:tblCellMar>
        </w:tblPrEx>
        <w:trPr>
          <w:trHeight w:val="1704" w:hRule="atLeast"/>
        </w:trPr>
        <w:tc>
          <w:tcPr>
            <w:tcW w:w="1384"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leftChars="-2" w:hanging="4" w:hangingChars="2"/>
              <w:jc w:val="center"/>
              <w:rPr>
                <w:rFonts w:ascii="宋体" w:hAnsi="宋体" w:eastAsia="宋体" w:cs="宋体"/>
                <w:color w:val="auto"/>
                <w:kern w:val="0"/>
                <w:sz w:val="24"/>
                <w:szCs w:val="24"/>
              </w:rPr>
            </w:pPr>
            <w:r>
              <w:rPr>
                <w:rFonts w:hint="eastAsia" w:ascii="宋体" w:hAnsi="宋体" w:eastAsia="宋体" w:cs="宋体"/>
                <w:color w:val="auto"/>
                <w:szCs w:val="21"/>
              </w:rPr>
              <w:t>报价部分</w:t>
            </w:r>
          </w:p>
          <w:p>
            <w:pPr>
              <w:widowControl/>
              <w:spacing w:line="360" w:lineRule="auto"/>
              <w:ind w:leftChars="-2" w:hanging="4" w:hangingChars="2"/>
              <w:jc w:val="center"/>
              <w:rPr>
                <w:rFonts w:ascii="宋体" w:hAnsi="宋体" w:eastAsia="宋体" w:cs="宋体"/>
                <w:color w:val="auto"/>
                <w:kern w:val="0"/>
                <w:sz w:val="24"/>
                <w:szCs w:val="24"/>
              </w:rP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30</w:t>
            </w:r>
            <w:r>
              <w:rPr>
                <w:rFonts w:hint="eastAsia" w:ascii="宋体" w:hAnsi="宋体" w:eastAsia="宋体" w:cs="宋体"/>
                <w:color w:val="auto"/>
                <w:szCs w:val="21"/>
              </w:rPr>
              <w:t>分）</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报价</w:t>
            </w:r>
          </w:p>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30</w:t>
            </w:r>
            <w:r>
              <w:rPr>
                <w:rFonts w:hint="eastAsia" w:ascii="宋体" w:hAnsi="宋体" w:eastAsia="宋体" w:cs="宋体"/>
                <w:color w:val="auto"/>
                <w:szCs w:val="21"/>
              </w:rPr>
              <w:t>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Times New Roman"/>
                <w:color w:val="auto"/>
                <w:szCs w:val="21"/>
              </w:rPr>
              <w:t>评标基准价：满足招标文件要求的有效投标报价中，最低的投标报价为评标基准价。</w:t>
            </w:r>
          </w:p>
          <w:p>
            <w:pPr>
              <w:widowControl/>
              <w:spacing w:line="360" w:lineRule="auto"/>
              <w:jc w:val="left"/>
              <w:rPr>
                <w:rFonts w:ascii="宋体" w:hAnsi="宋体" w:eastAsia="宋体" w:cs="宋体"/>
                <w:color w:val="auto"/>
                <w:kern w:val="0"/>
                <w:sz w:val="24"/>
                <w:szCs w:val="24"/>
              </w:rPr>
            </w:pPr>
            <w:r>
              <w:rPr>
                <w:rFonts w:hint="eastAsia" w:ascii="宋体" w:hAnsi="宋体" w:eastAsia="宋体" w:cs="Times New Roman"/>
                <w:color w:val="auto"/>
                <w:szCs w:val="21"/>
              </w:rPr>
              <w:t>投标报价得分=（评标基准价/投标报价）×</w:t>
            </w:r>
            <w:r>
              <w:rPr>
                <w:rFonts w:hint="eastAsia" w:ascii="宋体" w:hAnsi="宋体" w:eastAsia="宋体" w:cs="Times New Roman"/>
                <w:color w:val="auto"/>
                <w:szCs w:val="21"/>
                <w:lang w:val="en-US" w:eastAsia="zh-CN"/>
              </w:rPr>
              <w:t>30</w:t>
            </w:r>
            <w:r>
              <w:rPr>
                <w:rFonts w:hint="eastAsia" w:ascii="宋体" w:hAnsi="宋体" w:eastAsia="宋体" w:cs="宋体"/>
                <w:color w:val="auto"/>
                <w:kern w:val="0"/>
                <w:szCs w:val="21"/>
              </w:rPr>
              <w:t>   </w:t>
            </w:r>
          </w:p>
        </w:tc>
      </w:tr>
      <w:tr>
        <w:tblPrEx>
          <w:tblCellMar>
            <w:top w:w="0" w:type="dxa"/>
            <w:left w:w="108" w:type="dxa"/>
            <w:bottom w:w="0" w:type="dxa"/>
            <w:right w:w="108" w:type="dxa"/>
          </w:tblCellMar>
        </w:tblPrEx>
        <w:trPr>
          <w:trHeight w:val="907" w:hRule="atLeast"/>
        </w:trPr>
        <w:tc>
          <w:tcPr>
            <w:tcW w:w="1384" w:type="dxa"/>
            <w:vMerge w:val="restart"/>
            <w:tcBorders>
              <w:top w:val="nil"/>
              <w:left w:val="single" w:color="auto" w:sz="4" w:space="0"/>
              <w:bottom w:val="single" w:color="auto" w:sz="4" w:space="0"/>
              <w:right w:val="single" w:color="auto" w:sz="4" w:space="0"/>
            </w:tcBorders>
            <w:vAlign w:val="center"/>
          </w:tcPr>
          <w:p>
            <w:pPr>
              <w:widowControl/>
              <w:spacing w:line="360" w:lineRule="auto"/>
              <w:ind w:leftChars="-2" w:hanging="4" w:hangingChars="2"/>
              <w:jc w:val="center"/>
              <w:rPr>
                <w:rFonts w:ascii="宋体" w:hAnsi="宋体" w:eastAsia="宋体" w:cs="宋体"/>
                <w:color w:val="auto"/>
                <w:kern w:val="0"/>
                <w:sz w:val="24"/>
                <w:szCs w:val="24"/>
              </w:rPr>
            </w:pPr>
            <w:r>
              <w:rPr>
                <w:rFonts w:hint="eastAsia" w:ascii="宋体" w:hAnsi="宋体" w:eastAsia="宋体" w:cs="宋体"/>
                <w:color w:val="auto"/>
                <w:szCs w:val="21"/>
              </w:rPr>
              <w:t>商务部分</w:t>
            </w:r>
          </w:p>
          <w:p>
            <w:pPr>
              <w:widowControl/>
              <w:spacing w:line="360" w:lineRule="auto"/>
              <w:ind w:leftChars="-2" w:hanging="4" w:hangingChars="2"/>
              <w:jc w:val="center"/>
              <w:rPr>
                <w:rFonts w:ascii="宋体" w:hAnsi="宋体" w:eastAsia="宋体" w:cs="宋体"/>
                <w:color w:val="auto"/>
                <w:kern w:val="0"/>
                <w:sz w:val="24"/>
                <w:szCs w:val="24"/>
              </w:rP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8</w:t>
            </w:r>
            <w:r>
              <w:rPr>
                <w:rFonts w:hint="eastAsia" w:ascii="宋体" w:hAnsi="宋体" w:eastAsia="宋体" w:cs="宋体"/>
                <w:color w:val="auto"/>
                <w:szCs w:val="21"/>
              </w:rPr>
              <w:t>分）</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pPr>
            <w:r>
              <w:rPr>
                <w:rFonts w:hint="eastAsia" w:ascii="宋体" w:hAnsi="宋体" w:eastAsia="宋体" w:cs="宋体"/>
                <w:kern w:val="0"/>
                <w:szCs w:val="21"/>
              </w:rPr>
              <w:t>业绩</w:t>
            </w:r>
          </w:p>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kern w:val="0"/>
                <w:szCs w:val="21"/>
              </w:rPr>
              <w:t>（3分）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仿宋_GB2312" w:hAnsi="宋体" w:eastAsia="仿宋_GB2312" w:cs="宋体"/>
                <w:color w:val="auto"/>
                <w:kern w:val="0"/>
                <w:sz w:val="24"/>
                <w:szCs w:val="24"/>
              </w:rPr>
            </w:pPr>
            <w:r>
              <w:rPr>
                <w:rFonts w:hint="eastAsia" w:ascii="宋体" w:hAnsi="宋体" w:eastAsia="宋体" w:cs="宋体"/>
                <w:kern w:val="0"/>
                <w:szCs w:val="21"/>
              </w:rPr>
              <w:t>投标人提供</w:t>
            </w:r>
            <w:r>
              <w:rPr>
                <w:rFonts w:ascii="宋体" w:hAnsi="宋体" w:eastAsia="宋体" w:cs="宋体"/>
                <w:kern w:val="0"/>
                <w:szCs w:val="21"/>
              </w:rPr>
              <w:t>2018</w:t>
            </w:r>
            <w:r>
              <w:rPr>
                <w:rFonts w:hint="eastAsia" w:ascii="宋体" w:hAnsi="宋体" w:eastAsia="宋体" w:cs="宋体"/>
                <w:kern w:val="0"/>
                <w:szCs w:val="21"/>
              </w:rPr>
              <w:t>年1月1日以来类似项目业绩，每提供1份得1分，最高得3分。（提供合同和中标通知书）</w:t>
            </w:r>
          </w:p>
        </w:tc>
      </w:tr>
      <w:tr>
        <w:tblPrEx>
          <w:tblCellMar>
            <w:top w:w="0" w:type="dxa"/>
            <w:left w:w="108" w:type="dxa"/>
            <w:bottom w:w="0" w:type="dxa"/>
            <w:right w:w="108" w:type="dxa"/>
          </w:tblCellMar>
        </w:tblPrEx>
        <w:trPr>
          <w:trHeight w:val="907"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pPr>
            <w:r>
              <w:rPr>
                <w:rFonts w:hint="eastAsia" w:ascii="宋体" w:hAnsi="宋体" w:eastAsia="宋体" w:cs="宋体"/>
                <w:kern w:val="0"/>
                <w:szCs w:val="21"/>
              </w:rPr>
              <w:t>管理体系</w:t>
            </w:r>
          </w:p>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kern w:val="0"/>
                <w:szCs w:val="21"/>
              </w:rPr>
              <w:t>（</w:t>
            </w:r>
            <w:r>
              <w:rPr>
                <w:rFonts w:ascii="宋体" w:hAnsi="宋体" w:eastAsia="宋体" w:cs="宋体"/>
                <w:kern w:val="0"/>
                <w:szCs w:val="21"/>
              </w:rPr>
              <w:t>3</w:t>
            </w:r>
            <w:r>
              <w:rPr>
                <w:rFonts w:hint="eastAsia" w:ascii="宋体" w:hAnsi="宋体" w:eastAsia="宋体" w:cs="宋体"/>
                <w:kern w:val="0"/>
                <w:szCs w:val="21"/>
              </w:rPr>
              <w:t>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1、投标人具有有效期内ISO9001质量体系认证证书得1分（如认证证书注明应进行年度监审，须附监审标识或年审报告等有关证明材料）。</w:t>
            </w:r>
          </w:p>
          <w:p>
            <w:pPr>
              <w:widowControl/>
              <w:spacing w:line="360" w:lineRule="auto"/>
              <w:jc w:val="left"/>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2、投标人具有ISO14001环境管理体系认证证书得1分（如认证证书注明应进行年度监审，须附监审标识或年审报告等有关证明材料）。</w:t>
            </w:r>
          </w:p>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000000"/>
                <w:kern w:val="0"/>
                <w:szCs w:val="21"/>
                <w:lang w:bidi="ar"/>
              </w:rPr>
              <w:t>3、投标人具有有效期内</w:t>
            </w:r>
            <w:r>
              <w:rPr>
                <w:rFonts w:ascii="宋体" w:hAnsi="宋体" w:eastAsia="宋体" w:cs="宋体"/>
                <w:color w:val="000000"/>
                <w:kern w:val="0"/>
                <w:szCs w:val="21"/>
                <w:lang w:bidi="ar"/>
              </w:rPr>
              <w:t>职业健康安全管理体系认证</w:t>
            </w:r>
            <w:r>
              <w:rPr>
                <w:rFonts w:hint="eastAsia" w:ascii="宋体" w:hAnsi="宋体" w:eastAsia="宋体" w:cs="宋体"/>
                <w:color w:val="000000"/>
                <w:kern w:val="0"/>
                <w:szCs w:val="21"/>
                <w:lang w:bidi="ar"/>
              </w:rPr>
              <w:t>证书得1分（如认证证书注明应进行年度监审，须附监审标识或年审报告等有关证明材料）。</w:t>
            </w:r>
          </w:p>
        </w:tc>
      </w:tr>
      <w:tr>
        <w:tblPrEx>
          <w:tblCellMar>
            <w:top w:w="0" w:type="dxa"/>
            <w:left w:w="108" w:type="dxa"/>
            <w:bottom w:w="0" w:type="dxa"/>
            <w:right w:w="108" w:type="dxa"/>
          </w:tblCellMar>
        </w:tblPrEx>
        <w:trPr>
          <w:trHeight w:val="558" w:hRule="atLeast"/>
        </w:trPr>
        <w:tc>
          <w:tcPr>
            <w:tcW w:w="138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auto"/>
                <w:kern w:val="0"/>
                <w:sz w:val="24"/>
                <w:szCs w:val="24"/>
              </w:rPr>
            </w:pP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Times New Roman"/>
                <w:color w:val="auto"/>
                <w:szCs w:val="21"/>
              </w:rPr>
              <w:t>节约能源、保护环境政策加分</w:t>
            </w:r>
          </w:p>
          <w:p>
            <w:pPr>
              <w:widowControl/>
              <w:spacing w:line="360" w:lineRule="auto"/>
              <w:jc w:val="center"/>
              <w:rPr>
                <w:rFonts w:ascii="宋体" w:hAnsi="宋体" w:eastAsia="宋体" w:cs="宋体"/>
                <w:color w:val="auto"/>
                <w:kern w:val="0"/>
                <w:sz w:val="24"/>
                <w:szCs w:val="24"/>
              </w:rPr>
            </w:pPr>
            <w:r>
              <w:rPr>
                <w:rFonts w:hint="eastAsia" w:ascii="宋体" w:hAnsi="宋体" w:eastAsia="宋体" w:cs="Times New Roman"/>
                <w:color w:val="auto"/>
                <w:szCs w:val="21"/>
              </w:rPr>
              <w:t>（2 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eastAsia="宋体" w:cs="宋体"/>
                <w:color w:val="auto"/>
                <w:kern w:val="0"/>
                <w:sz w:val="24"/>
                <w:szCs w:val="24"/>
              </w:rPr>
            </w:pPr>
            <w:r>
              <w:rPr>
                <w:rFonts w:hint="eastAsia" w:ascii="宋体" w:hAnsi="宋体" w:eastAsia="宋体" w:cs="宋体"/>
                <w:color w:val="auto"/>
                <w:kern w:val="0"/>
                <w:szCs w:val="21"/>
              </w:rPr>
              <w:t>1、除政府强制采购的节能产品外，投标人所投产品属于“节能产品政府采购品目清单”优先采购产品，</w:t>
            </w:r>
            <w:r>
              <w:rPr>
                <w:rFonts w:hint="eastAsia" w:ascii="宋体" w:hAnsi="宋体" w:eastAsia="宋体" w:cs="仿宋_GB2312"/>
                <w:color w:val="auto"/>
                <w:szCs w:val="21"/>
              </w:rPr>
              <w:t>投标</w:t>
            </w:r>
            <w:r>
              <w:rPr>
                <w:rFonts w:hint="eastAsia" w:ascii="宋体" w:hAnsi="宋体" w:eastAsia="宋体" w:cs="Times New Roman"/>
                <w:color w:val="auto"/>
                <w:szCs w:val="21"/>
              </w:rPr>
              <w:t>文件中提供具有国家确定的认证机构出具的、处于有效期之内的节能产品认证证书。每项0.5分，满分1分。</w:t>
            </w:r>
          </w:p>
          <w:p>
            <w:pPr>
              <w:widowControl/>
              <w:spacing w:line="360" w:lineRule="auto"/>
              <w:contextualSpacing/>
              <w:jc w:val="left"/>
              <w:rPr>
                <w:rFonts w:ascii="宋体" w:hAnsi="宋体" w:eastAsia="宋体" w:cs="宋体"/>
                <w:color w:val="auto"/>
                <w:kern w:val="0"/>
                <w:sz w:val="24"/>
                <w:szCs w:val="24"/>
              </w:rPr>
            </w:pPr>
            <w:r>
              <w:rPr>
                <w:rFonts w:hint="eastAsia" w:ascii="宋体" w:hAnsi="宋体" w:eastAsia="宋体" w:cs="宋体"/>
                <w:color w:val="auto"/>
                <w:kern w:val="0"/>
                <w:szCs w:val="21"/>
              </w:rPr>
              <w:t>2、投标人所投产品属于“环境标志产品政府采购品目清单”内产品，</w:t>
            </w:r>
            <w:r>
              <w:rPr>
                <w:rFonts w:hint="eastAsia" w:ascii="宋体" w:hAnsi="宋体" w:eastAsia="宋体" w:cs="仿宋_GB2312"/>
                <w:color w:val="auto"/>
                <w:szCs w:val="21"/>
              </w:rPr>
              <w:t>投标文件中提供</w:t>
            </w:r>
            <w:r>
              <w:rPr>
                <w:rFonts w:hint="eastAsia" w:ascii="宋体" w:hAnsi="宋体" w:eastAsia="宋体" w:cs="Times New Roman"/>
                <w:color w:val="auto"/>
                <w:szCs w:val="21"/>
              </w:rPr>
              <w:t>具有国家确定的认证机构出具的、处于有效期之内的</w:t>
            </w:r>
            <w:r>
              <w:rPr>
                <w:rFonts w:hint="eastAsia" w:ascii="宋体" w:hAnsi="宋体" w:eastAsia="宋体" w:cs="宋体"/>
                <w:color w:val="auto"/>
                <w:kern w:val="0"/>
                <w:szCs w:val="21"/>
              </w:rPr>
              <w:t>环境标志</w:t>
            </w:r>
            <w:r>
              <w:rPr>
                <w:rFonts w:hint="eastAsia" w:ascii="宋体" w:hAnsi="宋体" w:eastAsia="宋体" w:cs="Times New Roman"/>
                <w:color w:val="auto"/>
                <w:szCs w:val="21"/>
              </w:rPr>
              <w:t>产品认证证书</w:t>
            </w:r>
            <w:r>
              <w:rPr>
                <w:rFonts w:hint="eastAsia" w:ascii="宋体" w:hAnsi="宋体" w:eastAsia="宋体" w:cs="仿宋_GB2312"/>
                <w:color w:val="auto"/>
                <w:szCs w:val="21"/>
              </w:rPr>
              <w:t>。</w:t>
            </w:r>
            <w:r>
              <w:rPr>
                <w:rFonts w:hint="eastAsia" w:ascii="宋体" w:hAnsi="宋体" w:eastAsia="宋体" w:cs="宋体"/>
                <w:color w:val="auto"/>
                <w:kern w:val="0"/>
                <w:szCs w:val="21"/>
              </w:rPr>
              <w:t>每项0.5分，满分1分。</w:t>
            </w:r>
          </w:p>
        </w:tc>
      </w:tr>
      <w:tr>
        <w:tblPrEx>
          <w:tblCellMar>
            <w:top w:w="0" w:type="dxa"/>
            <w:left w:w="108" w:type="dxa"/>
            <w:bottom w:w="0" w:type="dxa"/>
            <w:right w:w="108" w:type="dxa"/>
          </w:tblCellMar>
        </w:tblPrEx>
        <w:trPr>
          <w:trHeight w:val="1814" w:hRule="atLeast"/>
        </w:trPr>
        <w:tc>
          <w:tcPr>
            <w:tcW w:w="13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技术部分</w:t>
            </w:r>
          </w:p>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39</w:t>
            </w:r>
            <w:r>
              <w:rPr>
                <w:rFonts w:hint="eastAsia" w:ascii="宋体" w:hAnsi="宋体" w:eastAsia="宋体" w:cs="宋体"/>
                <w:color w:val="auto"/>
                <w:szCs w:val="21"/>
              </w:rPr>
              <w:t>分）</w:t>
            </w:r>
          </w:p>
        </w:tc>
        <w:tc>
          <w:tcPr>
            <w:tcW w:w="1560" w:type="dxa"/>
            <w:tcBorders>
              <w:top w:val="nil"/>
              <w:left w:val="nil"/>
              <w:bottom w:val="single" w:color="auto" w:sz="4" w:space="0"/>
              <w:right w:val="single" w:color="auto" w:sz="4" w:space="0"/>
            </w:tcBorders>
            <w:vAlign w:val="center"/>
          </w:tcPr>
          <w:p>
            <w:pPr>
              <w:widowControl/>
              <w:spacing w:line="360" w:lineRule="auto"/>
              <w:jc w:val="center"/>
            </w:pPr>
            <w:r>
              <w:rPr>
                <w:rFonts w:hint="eastAsia" w:ascii="宋体" w:hAnsi="宋体" w:eastAsia="宋体" w:cs="宋体"/>
                <w:kern w:val="0"/>
                <w:szCs w:val="21"/>
              </w:rPr>
              <w:t>货物技术规格、参数与要求响应</w:t>
            </w:r>
          </w:p>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kern w:val="0"/>
                <w:szCs w:val="21"/>
              </w:rPr>
              <w:t>（</w:t>
            </w:r>
            <w:r>
              <w:rPr>
                <w:rFonts w:hint="eastAsia" w:ascii="宋体" w:hAnsi="宋体" w:eastAsia="宋体" w:cs="宋体"/>
                <w:kern w:val="0"/>
                <w:szCs w:val="21"/>
                <w:lang w:val="en-US" w:eastAsia="zh-CN"/>
              </w:rPr>
              <w:t>39</w:t>
            </w:r>
            <w:r>
              <w:rPr>
                <w:rFonts w:hint="eastAsia" w:ascii="宋体" w:hAnsi="宋体" w:eastAsia="宋体" w:cs="宋体"/>
                <w:kern w:val="0"/>
                <w:szCs w:val="21"/>
              </w:rPr>
              <w:t>分）</w:t>
            </w:r>
          </w:p>
        </w:tc>
        <w:tc>
          <w:tcPr>
            <w:tcW w:w="6095" w:type="dxa"/>
            <w:tcBorders>
              <w:top w:val="single" w:color="auto" w:sz="4" w:space="0"/>
              <w:left w:val="nil"/>
              <w:bottom w:val="single" w:color="auto" w:sz="4" w:space="0"/>
              <w:right w:val="single" w:color="auto" w:sz="4" w:space="0"/>
            </w:tcBorders>
            <w:vAlign w:val="center"/>
          </w:tcPr>
          <w:p>
            <w:pPr>
              <w:pStyle w:val="38"/>
              <w:numPr>
                <w:ilvl w:val="0"/>
                <w:numId w:val="0"/>
              </w:numPr>
              <w:ind w:leftChars="0"/>
              <w:rPr>
                <w:rFonts w:ascii="宋体" w:hAnsi="宋体"/>
                <w:szCs w:val="21"/>
              </w:rPr>
            </w:pPr>
            <w:r>
              <w:rPr>
                <w:rFonts w:hint="eastAsia" w:ascii="宋体" w:hAnsi="宋体"/>
                <w:szCs w:val="21"/>
                <w:lang w:val="en-US" w:eastAsia="zh-CN"/>
              </w:rPr>
              <w:t>1、</w:t>
            </w:r>
            <w:r>
              <w:rPr>
                <w:rFonts w:hint="eastAsia" w:ascii="宋体" w:hAnsi="宋体"/>
                <w:szCs w:val="21"/>
              </w:rPr>
              <w:t>投标人所投产品的规格和技术参数完全符合招标文件要求的基础上，</w:t>
            </w:r>
            <w:r>
              <w:rPr>
                <w:rFonts w:ascii="宋体" w:hAnsi="宋体"/>
                <w:szCs w:val="21"/>
              </w:rPr>
              <w:t>性能优于</w:t>
            </w:r>
            <w:r>
              <w:rPr>
                <w:rFonts w:hint="eastAsia" w:ascii="宋体" w:hAnsi="宋体"/>
                <w:szCs w:val="21"/>
              </w:rPr>
              <w:t>采购</w:t>
            </w:r>
            <w:r>
              <w:rPr>
                <w:rFonts w:ascii="宋体" w:hAnsi="宋体"/>
                <w:szCs w:val="21"/>
              </w:rPr>
              <w:t>清单中带▲技术参数</w:t>
            </w:r>
            <w:r>
              <w:rPr>
                <w:rFonts w:hint="eastAsia" w:ascii="宋体" w:hAnsi="宋体"/>
                <w:szCs w:val="21"/>
              </w:rPr>
              <w:t>的，每优于一项</w:t>
            </w:r>
            <w:r>
              <w:rPr>
                <w:rFonts w:ascii="宋体" w:hAnsi="宋体"/>
                <w:szCs w:val="21"/>
              </w:rPr>
              <w:t>加1分,满分3分。</w:t>
            </w:r>
          </w:p>
          <w:p>
            <w:pPr>
              <w:widowControl/>
              <w:rPr>
                <w:rFonts w:ascii="宋体" w:hAnsi="宋体"/>
                <w:szCs w:val="21"/>
              </w:rPr>
            </w:pPr>
            <w:r>
              <w:rPr>
                <w:rFonts w:hint="eastAsia" w:ascii="宋体" w:hAnsi="宋体" w:eastAsia="宋体" w:cs="宋体"/>
                <w:color w:val="000000"/>
                <w:kern w:val="0"/>
                <w:szCs w:val="21"/>
                <w:lang w:val="en-US" w:eastAsia="zh-CN" w:bidi="ar"/>
              </w:rPr>
              <w:t>2、</w:t>
            </w:r>
            <w:r>
              <w:rPr>
                <w:rFonts w:hint="eastAsia" w:ascii="宋体" w:hAnsi="宋体" w:eastAsia="宋体" w:cs="宋体"/>
                <w:color w:val="000000"/>
                <w:kern w:val="0"/>
                <w:szCs w:val="21"/>
                <w:lang w:bidi="ar"/>
              </w:rPr>
              <w:t>投标人</w:t>
            </w:r>
            <w:r>
              <w:rPr>
                <w:rFonts w:ascii="宋体" w:hAnsi="宋体" w:eastAsia="宋体" w:cs="宋体"/>
                <w:color w:val="000000"/>
                <w:kern w:val="0"/>
                <w:szCs w:val="21"/>
                <w:lang w:bidi="ar"/>
              </w:rPr>
              <w:t>具有智能授课系统APP</w:t>
            </w:r>
            <w:r>
              <w:rPr>
                <w:rFonts w:hint="eastAsia" w:ascii="宋体" w:hAnsi="宋体" w:eastAsia="宋体" w:cs="宋体"/>
                <w:color w:val="000000"/>
                <w:kern w:val="0"/>
                <w:szCs w:val="21"/>
                <w:lang w:bidi="ar"/>
              </w:rPr>
              <w:t>并</w:t>
            </w:r>
            <w:r>
              <w:rPr>
                <w:rFonts w:ascii="宋体" w:hAnsi="宋体" w:eastAsia="宋体" w:cs="宋体"/>
                <w:color w:val="000000"/>
                <w:kern w:val="0"/>
                <w:szCs w:val="21"/>
                <w:lang w:bidi="ar"/>
              </w:rPr>
              <w:t>提供</w:t>
            </w:r>
            <w:r>
              <w:rPr>
                <w:rFonts w:hint="eastAsia" w:ascii="宋体" w:hAnsi="宋体" w:cs="新宋体"/>
                <w:kern w:val="0"/>
                <w:szCs w:val="21"/>
              </w:rPr>
              <w:t>软件著作权证书</w:t>
            </w:r>
            <w:r>
              <w:rPr>
                <w:rFonts w:hint="eastAsia" w:ascii="宋体" w:hAnsi="宋体" w:cs="新宋体"/>
                <w:kern w:val="0"/>
                <w:szCs w:val="21"/>
                <w:lang w:eastAsia="zh-CN"/>
              </w:rPr>
              <w:t>，</w:t>
            </w:r>
            <w:r>
              <w:rPr>
                <w:rFonts w:hint="eastAsia" w:ascii="宋体" w:hAnsi="宋体" w:eastAsia="宋体" w:cs="宋体"/>
                <w:color w:val="000000"/>
                <w:kern w:val="0"/>
                <w:szCs w:val="21"/>
                <w:lang w:bidi="ar"/>
              </w:rPr>
              <w:t>得</w:t>
            </w:r>
            <w:r>
              <w:rPr>
                <w:rFonts w:ascii="宋体" w:hAnsi="宋体" w:eastAsia="宋体" w:cs="宋体"/>
                <w:color w:val="000000"/>
                <w:kern w:val="0"/>
                <w:szCs w:val="21"/>
                <w:lang w:bidi="ar"/>
              </w:rPr>
              <w:t>6</w:t>
            </w:r>
            <w:r>
              <w:rPr>
                <w:rFonts w:hint="eastAsia" w:ascii="宋体" w:hAnsi="宋体" w:eastAsia="宋体" w:cs="宋体"/>
                <w:color w:val="000000"/>
                <w:kern w:val="0"/>
                <w:szCs w:val="21"/>
                <w:lang w:bidi="ar"/>
              </w:rPr>
              <w:t>分。</w:t>
            </w:r>
          </w:p>
          <w:p>
            <w:pPr>
              <w:rPr>
                <w:rFonts w:ascii="宋体" w:hAnsi="宋体" w:cs="新宋体"/>
                <w:kern w:val="0"/>
                <w:szCs w:val="21"/>
              </w:rPr>
            </w:pPr>
            <w:r>
              <w:rPr>
                <w:rFonts w:ascii="宋体" w:hAnsi="宋体" w:cs="新宋体"/>
                <w:szCs w:val="21"/>
              </w:rPr>
              <w:t>3</w:t>
            </w:r>
            <w:r>
              <w:rPr>
                <w:rFonts w:hint="eastAsia" w:ascii="宋体" w:hAnsi="宋体" w:cs="新宋体"/>
                <w:szCs w:val="21"/>
              </w:rPr>
              <w:t>、</w:t>
            </w:r>
            <w:r>
              <w:rPr>
                <w:rFonts w:hint="eastAsia" w:ascii="宋体" w:hAnsi="宋体" w:cs="新宋体"/>
                <w:kern w:val="0"/>
                <w:szCs w:val="21"/>
              </w:rPr>
              <w:t>整车故障设置平台和故障检测盒提</w:t>
            </w:r>
            <w:r>
              <w:rPr>
                <w:rFonts w:ascii="宋体" w:hAnsi="宋体" w:cs="新宋体"/>
                <w:kern w:val="0"/>
                <w:szCs w:val="21"/>
              </w:rPr>
              <w:t>供以下资</w:t>
            </w:r>
            <w:r>
              <w:rPr>
                <w:rFonts w:hint="eastAsia" w:ascii="宋体" w:hAnsi="宋体" w:cs="新宋体"/>
                <w:kern w:val="0"/>
                <w:szCs w:val="21"/>
              </w:rPr>
              <w:t>料，每提供一项</w:t>
            </w:r>
            <w:r>
              <w:rPr>
                <w:rFonts w:ascii="宋体" w:hAnsi="宋体" w:cs="新宋体"/>
                <w:kern w:val="0"/>
                <w:szCs w:val="21"/>
              </w:rPr>
              <w:t>得</w:t>
            </w:r>
            <w:r>
              <w:rPr>
                <w:rFonts w:hint="eastAsia" w:ascii="宋体" w:hAnsi="宋体" w:cs="新宋体"/>
                <w:kern w:val="0"/>
                <w:szCs w:val="21"/>
                <w:lang w:val="en-US" w:eastAsia="zh-CN"/>
              </w:rPr>
              <w:t>2</w:t>
            </w:r>
            <w:r>
              <w:rPr>
                <w:rFonts w:hint="eastAsia" w:ascii="宋体" w:hAnsi="宋体" w:cs="新宋体"/>
                <w:kern w:val="0"/>
                <w:szCs w:val="21"/>
              </w:rPr>
              <w:t>分</w:t>
            </w:r>
            <w:r>
              <w:rPr>
                <w:rFonts w:ascii="宋体" w:hAnsi="宋体" w:cs="新宋体"/>
                <w:kern w:val="0"/>
                <w:szCs w:val="21"/>
              </w:rPr>
              <w:t>。</w:t>
            </w:r>
          </w:p>
          <w:p>
            <w:pPr>
              <w:widowControl/>
              <w:rPr>
                <w:rFonts w:ascii="宋体" w:hAnsi="宋体" w:cs="新宋体"/>
                <w:kern w:val="0"/>
                <w:szCs w:val="21"/>
              </w:rPr>
            </w:pPr>
            <w:r>
              <w:rPr>
                <w:rFonts w:hint="eastAsia" w:ascii="宋体" w:hAnsi="宋体" w:cs="新宋体"/>
                <w:kern w:val="0"/>
                <w:szCs w:val="21"/>
              </w:rPr>
              <w:t>（1）出具“新能源汽车教学数据采集及故障排查系统”软件著作权证书。</w:t>
            </w:r>
          </w:p>
          <w:p>
            <w:pPr>
              <w:widowControl/>
              <w:rPr>
                <w:rFonts w:ascii="宋体" w:hAnsi="宋体" w:cs="新宋体"/>
                <w:kern w:val="0"/>
                <w:szCs w:val="21"/>
              </w:rPr>
            </w:pPr>
            <w:r>
              <w:rPr>
                <w:rFonts w:hint="eastAsia" w:ascii="宋体" w:hAnsi="宋体" w:cs="新宋体"/>
                <w:kern w:val="0"/>
                <w:szCs w:val="21"/>
              </w:rPr>
              <w:t>（2）出具“新能源汽车运用与维修职业技能认证考试平台软件” 软件著作权证书。</w:t>
            </w:r>
          </w:p>
          <w:p>
            <w:pPr>
              <w:widowControl/>
              <w:rPr>
                <w:rFonts w:ascii="宋体" w:hAnsi="宋体" w:cs="新宋体"/>
                <w:kern w:val="0"/>
                <w:szCs w:val="21"/>
              </w:rPr>
            </w:pPr>
            <w:r>
              <w:rPr>
                <w:rFonts w:ascii="宋体" w:hAnsi="宋体" w:cs="新宋体"/>
                <w:kern w:val="0"/>
                <w:szCs w:val="21"/>
              </w:rPr>
              <w:t>(3)</w:t>
            </w:r>
            <w:r>
              <w:rPr>
                <w:rFonts w:hint="eastAsia" w:ascii="宋体" w:hAnsi="宋体" w:cs="新宋体"/>
                <w:kern w:val="0"/>
                <w:szCs w:val="21"/>
              </w:rPr>
              <w:t>出具“新能源汽车技术与服务职业技能认证考试平台”软件著作权证书。</w:t>
            </w:r>
          </w:p>
          <w:p>
            <w:pPr>
              <w:widowControl/>
              <w:rPr>
                <w:rFonts w:ascii="宋体" w:hAnsi="宋体" w:cs="新宋体"/>
                <w:kern w:val="0"/>
                <w:szCs w:val="21"/>
              </w:rPr>
            </w:pPr>
            <w:r>
              <w:rPr>
                <w:rFonts w:ascii="宋体" w:hAnsi="宋体" w:cs="新宋体"/>
                <w:kern w:val="0"/>
                <w:szCs w:val="21"/>
              </w:rPr>
              <w:t>(4)</w:t>
            </w:r>
            <w:r>
              <w:rPr>
                <w:rFonts w:hint="eastAsia" w:ascii="宋体" w:hAnsi="宋体" w:cs="新宋体"/>
                <w:kern w:val="0"/>
                <w:szCs w:val="21"/>
              </w:rPr>
              <w:t>出具“新能源汽车运用与维修竞赛考核平台” 软件著作权证书。</w:t>
            </w:r>
          </w:p>
          <w:p>
            <w:pPr>
              <w:widowControl/>
              <w:rPr>
                <w:rFonts w:ascii="宋体" w:hAnsi="宋体" w:cs="新宋体"/>
                <w:kern w:val="0"/>
                <w:szCs w:val="21"/>
              </w:rPr>
            </w:pPr>
            <w:r>
              <w:rPr>
                <w:rFonts w:ascii="宋体" w:hAnsi="宋体" w:cs="新宋体"/>
                <w:kern w:val="0"/>
                <w:szCs w:val="21"/>
              </w:rPr>
              <w:t>(5)</w:t>
            </w:r>
            <w:r>
              <w:rPr>
                <w:rFonts w:hint="eastAsia" w:ascii="宋体" w:hAnsi="宋体" w:cs="新宋体"/>
                <w:kern w:val="0"/>
                <w:szCs w:val="21"/>
              </w:rPr>
              <w:t>出具“整车故障设置平台和故障检测盒（包含软硬件）智能交互系统”软件著作权证书。</w:t>
            </w:r>
          </w:p>
          <w:p>
            <w:pPr>
              <w:widowControl/>
              <w:rPr>
                <w:rFonts w:ascii="宋体" w:hAnsi="宋体" w:cs="新宋体"/>
                <w:kern w:val="0"/>
                <w:szCs w:val="21"/>
              </w:rPr>
            </w:pPr>
            <w:r>
              <w:rPr>
                <w:rFonts w:ascii="宋体" w:hAnsi="宋体" w:cs="新宋体"/>
                <w:kern w:val="0"/>
                <w:szCs w:val="21"/>
              </w:rPr>
              <w:t>(6)</w:t>
            </w:r>
            <w:r>
              <w:rPr>
                <w:rFonts w:hint="eastAsia" w:ascii="宋体" w:hAnsi="宋体" w:cs="新宋体"/>
                <w:kern w:val="0"/>
                <w:szCs w:val="21"/>
              </w:rPr>
              <w:t>出具“整车故障设置平台和故障检测盒（包含软硬件）操控终端系统”软件著作权证书。</w:t>
            </w:r>
          </w:p>
          <w:p>
            <w:pPr>
              <w:spacing w:line="340" w:lineRule="exact"/>
              <w:rPr>
                <w:rFonts w:ascii="宋体" w:hAnsi="宋体" w:cs="新宋体"/>
                <w:kern w:val="0"/>
                <w:szCs w:val="21"/>
              </w:rPr>
            </w:pPr>
            <w:r>
              <w:rPr>
                <w:rFonts w:hint="eastAsia" w:ascii="宋体" w:hAnsi="宋体" w:cs="新宋体"/>
                <w:kern w:val="0"/>
                <w:szCs w:val="21"/>
              </w:rPr>
              <w:t>（</w:t>
            </w:r>
            <w:r>
              <w:rPr>
                <w:rFonts w:ascii="宋体" w:hAnsi="宋体" w:cs="新宋体"/>
                <w:kern w:val="0"/>
                <w:szCs w:val="21"/>
              </w:rPr>
              <w:t>7</w:t>
            </w:r>
            <w:r>
              <w:rPr>
                <w:rFonts w:hint="eastAsia" w:ascii="宋体" w:hAnsi="宋体" w:cs="新宋体"/>
                <w:kern w:val="0"/>
                <w:szCs w:val="21"/>
              </w:rPr>
              <w:t>）提</w:t>
            </w:r>
            <w:r>
              <w:rPr>
                <w:rFonts w:ascii="宋体" w:hAnsi="宋体" w:cs="新宋体"/>
                <w:kern w:val="0"/>
                <w:szCs w:val="21"/>
              </w:rPr>
              <w:t>供厂家的</w:t>
            </w:r>
            <w:r>
              <w:rPr>
                <w:rFonts w:hint="eastAsia" w:ascii="宋体" w:hAnsi="宋体" w:cs="新宋体"/>
                <w:kern w:val="0"/>
                <w:szCs w:val="21"/>
              </w:rPr>
              <w:t>售后服务承诺函。</w:t>
            </w:r>
          </w:p>
          <w:p>
            <w:pPr>
              <w:rPr>
                <w:rFonts w:ascii="宋体" w:hAnsi="宋体" w:cs="新宋体"/>
                <w:kern w:val="0"/>
                <w:szCs w:val="21"/>
              </w:rPr>
            </w:pPr>
            <w:r>
              <w:rPr>
                <w:rFonts w:ascii="宋体" w:hAnsi="宋体" w:cs="新宋体"/>
                <w:kern w:val="0"/>
                <w:szCs w:val="21"/>
              </w:rPr>
              <w:t>4</w:t>
            </w:r>
            <w:r>
              <w:rPr>
                <w:rFonts w:hint="eastAsia" w:ascii="宋体" w:hAnsi="宋体" w:cs="新宋体"/>
                <w:kern w:val="0"/>
                <w:szCs w:val="21"/>
              </w:rPr>
              <w:t>、汽车营销基本技能考核系统提</w:t>
            </w:r>
            <w:r>
              <w:rPr>
                <w:rFonts w:ascii="宋体" w:hAnsi="宋体" w:cs="新宋体"/>
                <w:kern w:val="0"/>
                <w:szCs w:val="21"/>
              </w:rPr>
              <w:t>供以下资</w:t>
            </w:r>
            <w:r>
              <w:rPr>
                <w:rFonts w:hint="eastAsia" w:ascii="宋体" w:hAnsi="宋体" w:cs="新宋体"/>
                <w:kern w:val="0"/>
                <w:szCs w:val="21"/>
              </w:rPr>
              <w:t>料，以</w:t>
            </w:r>
            <w:r>
              <w:rPr>
                <w:rFonts w:ascii="宋体" w:hAnsi="宋体" w:cs="新宋体"/>
                <w:kern w:val="0"/>
                <w:szCs w:val="21"/>
              </w:rPr>
              <w:t>下</w:t>
            </w:r>
            <w:r>
              <w:rPr>
                <w:rFonts w:hint="eastAsia" w:ascii="宋体" w:hAnsi="宋体" w:cs="新宋体"/>
                <w:kern w:val="0"/>
                <w:szCs w:val="21"/>
              </w:rPr>
              <w:t>资每提供一条</w:t>
            </w:r>
            <w:r>
              <w:rPr>
                <w:rFonts w:ascii="宋体" w:hAnsi="宋体" w:cs="新宋体"/>
                <w:kern w:val="0"/>
                <w:szCs w:val="21"/>
              </w:rPr>
              <w:t>得</w:t>
            </w:r>
            <w:r>
              <w:rPr>
                <w:rFonts w:hint="eastAsia" w:ascii="宋体" w:hAnsi="宋体" w:cs="新宋体"/>
                <w:kern w:val="0"/>
                <w:szCs w:val="21"/>
                <w:lang w:val="en-US" w:eastAsia="zh-CN"/>
              </w:rPr>
              <w:t>4</w:t>
            </w:r>
            <w:r>
              <w:rPr>
                <w:rFonts w:hint="eastAsia" w:ascii="宋体" w:hAnsi="宋体" w:cs="新宋体"/>
                <w:kern w:val="0"/>
                <w:szCs w:val="21"/>
              </w:rPr>
              <w:t>分</w:t>
            </w:r>
            <w:r>
              <w:rPr>
                <w:rFonts w:ascii="宋体" w:hAnsi="宋体" w:cs="新宋体"/>
                <w:kern w:val="0"/>
                <w:szCs w:val="21"/>
              </w:rPr>
              <w:t>。</w:t>
            </w:r>
          </w:p>
          <w:p>
            <w:pPr>
              <w:widowControl/>
              <w:jc w:val="left"/>
              <w:textAlignment w:val="center"/>
              <w:rPr>
                <w:rFonts w:hint="eastAsia" w:ascii="宋体" w:hAnsi="宋体" w:cs="Arial" w:eastAsiaTheme="minorEastAsia"/>
                <w:szCs w:val="21"/>
                <w:lang w:val="en-US" w:eastAsia="zh-CN"/>
              </w:rPr>
            </w:pPr>
            <w:r>
              <w:rPr>
                <w:rFonts w:hint="eastAsia" w:ascii="宋体" w:hAnsi="宋体" w:cs="Arial"/>
                <w:szCs w:val="21"/>
              </w:rPr>
              <w:t>（1）提供软件著作权登记证书</w:t>
            </w:r>
            <w:r>
              <w:rPr>
                <w:rFonts w:hint="eastAsia" w:ascii="宋体" w:hAnsi="宋体" w:cs="Arial"/>
                <w:szCs w:val="21"/>
                <w:lang w:eastAsia="zh-CN"/>
              </w:rPr>
              <w:t>。</w:t>
            </w:r>
          </w:p>
          <w:p>
            <w:pPr>
              <w:widowControl/>
              <w:jc w:val="left"/>
              <w:textAlignment w:val="center"/>
              <w:rPr>
                <w:rFonts w:ascii="宋体" w:hAnsi="宋体" w:cs="宋体"/>
                <w:color w:val="000000" w:themeColor="text1"/>
                <w:kern w:val="0"/>
                <w:szCs w:val="21"/>
              </w:rPr>
            </w:pPr>
            <w:r>
              <w:rPr>
                <w:rFonts w:hint="eastAsia" w:ascii="宋体" w:hAnsi="宋体" w:cs="Arial"/>
                <w:szCs w:val="21"/>
                <w:lang w:eastAsia="zh-CN"/>
              </w:rPr>
              <w:t>（</w:t>
            </w:r>
            <w:r>
              <w:rPr>
                <w:rFonts w:hint="eastAsia" w:ascii="宋体" w:hAnsi="宋体" w:cs="Arial"/>
                <w:szCs w:val="21"/>
                <w:lang w:val="en-US" w:eastAsia="zh-CN"/>
              </w:rPr>
              <w:t>2</w:t>
            </w:r>
            <w:r>
              <w:rPr>
                <w:rFonts w:hint="eastAsia" w:ascii="宋体" w:hAnsi="宋体" w:cs="Arial"/>
                <w:szCs w:val="21"/>
                <w:lang w:eastAsia="zh-CN"/>
              </w:rPr>
              <w:t>）</w:t>
            </w:r>
            <w:r>
              <w:rPr>
                <w:rFonts w:hint="eastAsia" w:ascii="宋体" w:hAnsi="宋体" w:cs="Arial"/>
                <w:szCs w:val="21"/>
              </w:rPr>
              <w:t>提供国</w:t>
            </w:r>
            <w:r>
              <w:rPr>
                <w:rFonts w:ascii="宋体" w:hAnsi="宋体" w:cs="Arial"/>
                <w:szCs w:val="21"/>
              </w:rPr>
              <w:t>家</w:t>
            </w:r>
            <w:r>
              <w:rPr>
                <w:rFonts w:hint="eastAsia" w:ascii="宋体" w:hAnsi="宋体" w:cs="Arial"/>
                <w:szCs w:val="21"/>
              </w:rPr>
              <w:t>信</w:t>
            </w:r>
            <w:r>
              <w:rPr>
                <w:rFonts w:ascii="宋体" w:hAnsi="宋体" w:cs="Arial"/>
                <w:szCs w:val="21"/>
              </w:rPr>
              <w:t>息</w:t>
            </w:r>
            <w:r>
              <w:rPr>
                <w:rFonts w:hint="eastAsia" w:ascii="宋体" w:hAnsi="宋体" w:cs="Arial"/>
                <w:szCs w:val="21"/>
              </w:rPr>
              <w:t>中</w:t>
            </w:r>
            <w:r>
              <w:rPr>
                <w:rFonts w:ascii="宋体" w:hAnsi="宋体" w:cs="Arial"/>
                <w:szCs w:val="21"/>
              </w:rPr>
              <w:t>心出具的</w:t>
            </w:r>
            <w:r>
              <w:rPr>
                <w:rFonts w:hint="eastAsia" w:ascii="宋体" w:hAnsi="宋体" w:cs="Arial"/>
                <w:szCs w:val="21"/>
              </w:rPr>
              <w:t>软件检测报告。</w:t>
            </w:r>
            <w:r>
              <w:rPr>
                <w:rFonts w:hint="eastAsia" w:ascii="宋体" w:hAnsi="宋体" w:cs="宋体"/>
                <w:kern w:val="0"/>
                <w:szCs w:val="21"/>
              </w:rPr>
              <w:t xml:space="preserve"> </w:t>
            </w:r>
          </w:p>
          <w:p>
            <w:pPr>
              <w:widowControl/>
              <w:jc w:val="left"/>
              <w:textAlignment w:val="center"/>
              <w:rPr>
                <w:rFonts w:ascii="宋体" w:hAnsi="宋体" w:cs="新宋体"/>
                <w:szCs w:val="21"/>
              </w:rPr>
            </w:pPr>
            <w:r>
              <w:rPr>
                <w:rFonts w:hint="eastAsia" w:ascii="宋体" w:hAnsi="宋体" w:cs="宋体"/>
                <w:kern w:val="0"/>
                <w:szCs w:val="21"/>
              </w:rPr>
              <w:t>（</w:t>
            </w:r>
            <w:r>
              <w:rPr>
                <w:rFonts w:hint="eastAsia" w:ascii="宋体" w:hAnsi="宋体" w:cs="宋体"/>
                <w:kern w:val="0"/>
                <w:szCs w:val="21"/>
                <w:lang w:val="en-US" w:eastAsia="zh-CN"/>
              </w:rPr>
              <w:t>3</w:t>
            </w:r>
            <w:r>
              <w:rPr>
                <w:rFonts w:ascii="宋体" w:hAnsi="宋体" w:cs="宋体"/>
                <w:kern w:val="0"/>
                <w:szCs w:val="21"/>
              </w:rPr>
              <w:t>）</w:t>
            </w:r>
            <w:r>
              <w:rPr>
                <w:rFonts w:hint="eastAsia" w:ascii="宋体" w:hAnsi="宋体" w:cs="宋体"/>
                <w:kern w:val="0"/>
                <w:szCs w:val="21"/>
              </w:rPr>
              <w:t>出具厂家产品</w:t>
            </w:r>
            <w:r>
              <w:rPr>
                <w:rFonts w:hint="eastAsia" w:ascii="宋体" w:hAnsi="宋体" w:cs="宋体"/>
                <w:kern w:val="0"/>
                <w:szCs w:val="21"/>
                <w:lang w:eastAsia="zh-CN"/>
              </w:rPr>
              <w:t>彩页或图片证明材料，</w:t>
            </w:r>
            <w:r>
              <w:rPr>
                <w:rFonts w:hint="eastAsia" w:ascii="宋体" w:hAnsi="宋体" w:cs="宋体"/>
                <w:kern w:val="0"/>
                <w:szCs w:val="21"/>
              </w:rPr>
              <w:t>应满足招标文件参数。</w:t>
            </w:r>
            <w:bookmarkStart w:id="14" w:name="_GoBack"/>
            <w:bookmarkEnd w:id="14"/>
          </w:p>
          <w:p>
            <w:pPr>
              <w:spacing w:line="340" w:lineRule="exact"/>
              <w:rPr>
                <w:rFonts w:ascii="仿宋_GB2312" w:hAnsi="宋体" w:eastAsia="仿宋_GB2312" w:cs="仿宋_GB2312"/>
                <w:color w:val="auto"/>
                <w:szCs w:val="21"/>
              </w:rPr>
            </w:pPr>
            <w:r>
              <w:rPr>
                <w:rFonts w:hint="eastAsia" w:ascii="宋体" w:hAnsi="宋体" w:cs="宋体"/>
                <w:kern w:val="0"/>
                <w:szCs w:val="21"/>
              </w:rPr>
              <w:t>（</w:t>
            </w:r>
            <w:r>
              <w:rPr>
                <w:rFonts w:hint="eastAsia" w:ascii="宋体" w:hAnsi="宋体" w:cs="宋体"/>
                <w:kern w:val="0"/>
                <w:szCs w:val="21"/>
                <w:lang w:val="en-US" w:eastAsia="zh-CN"/>
              </w:rPr>
              <w:t>4</w:t>
            </w:r>
            <w:r>
              <w:rPr>
                <w:rFonts w:hint="eastAsia" w:ascii="宋体" w:hAnsi="宋体" w:cs="宋体"/>
                <w:kern w:val="0"/>
                <w:szCs w:val="21"/>
              </w:rPr>
              <w:t>）提供设备生产厂家的售后服务承诺书。</w:t>
            </w:r>
            <w:r>
              <w:rPr>
                <w:rFonts w:hint="eastAsia" w:ascii="仿宋_GB2312" w:hAnsi="宋体" w:eastAsia="仿宋_GB2312" w:cs="仿宋_GB2312"/>
                <w:color w:val="auto"/>
                <w:szCs w:val="21"/>
              </w:rPr>
              <w:t> </w:t>
            </w:r>
          </w:p>
        </w:tc>
      </w:tr>
      <w:tr>
        <w:tblPrEx>
          <w:tblCellMar>
            <w:top w:w="0" w:type="dxa"/>
            <w:left w:w="108" w:type="dxa"/>
            <w:bottom w:w="0" w:type="dxa"/>
            <w:right w:w="108" w:type="dxa"/>
          </w:tblCellMar>
        </w:tblPrEx>
        <w:trPr>
          <w:trHeight w:val="907" w:hRule="atLeast"/>
        </w:trPr>
        <w:tc>
          <w:tcPr>
            <w:tcW w:w="1384"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服务部分</w:t>
            </w:r>
          </w:p>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color w:val="auto"/>
                <w:szCs w:val="21"/>
              </w:rPr>
              <w:t>（</w:t>
            </w:r>
            <w:r>
              <w:rPr>
                <w:rFonts w:hint="eastAsia" w:ascii="宋体" w:hAnsi="宋体" w:eastAsia="宋体" w:cs="宋体"/>
                <w:color w:val="auto"/>
                <w:kern w:val="0"/>
                <w:szCs w:val="21"/>
                <w:lang w:val="en-US" w:eastAsia="zh-CN"/>
              </w:rPr>
              <w:t>23</w:t>
            </w:r>
            <w:r>
              <w:rPr>
                <w:rFonts w:hint="eastAsia" w:ascii="宋体" w:hAnsi="宋体" w:eastAsia="宋体" w:cs="宋体"/>
                <w:color w:val="auto"/>
                <w:szCs w:val="21"/>
              </w:rPr>
              <w:t>分）</w:t>
            </w:r>
          </w:p>
        </w:tc>
        <w:tc>
          <w:tcPr>
            <w:tcW w:w="1560" w:type="dxa"/>
            <w:tcBorders>
              <w:top w:val="single" w:color="auto" w:sz="4" w:space="0"/>
              <w:left w:val="nil"/>
              <w:bottom w:val="single" w:color="auto" w:sz="4" w:space="0"/>
              <w:right w:val="single" w:color="auto" w:sz="4" w:space="0"/>
            </w:tcBorders>
            <w:vAlign w:val="center"/>
          </w:tcPr>
          <w:p>
            <w:pPr>
              <w:widowControl/>
              <w:spacing w:line="360" w:lineRule="auto"/>
              <w:jc w:val="center"/>
            </w:pPr>
            <w:r>
              <w:rPr>
                <w:rFonts w:hint="eastAsia" w:ascii="宋体" w:hAnsi="宋体" w:eastAsia="宋体" w:cs="宋体"/>
                <w:kern w:val="0"/>
                <w:szCs w:val="21"/>
              </w:rPr>
              <w:t>售后服务</w:t>
            </w:r>
          </w:p>
          <w:p>
            <w:pPr>
              <w:widowControl/>
              <w:spacing w:line="360" w:lineRule="auto"/>
              <w:jc w:val="center"/>
              <w:rPr>
                <w:rFonts w:ascii="宋体" w:hAnsi="宋体" w:eastAsia="宋体" w:cs="宋体"/>
                <w:color w:val="auto"/>
                <w:kern w:val="0"/>
                <w:sz w:val="24"/>
                <w:szCs w:val="24"/>
              </w:rPr>
            </w:pPr>
            <w:r>
              <w:rPr>
                <w:rFonts w:hint="eastAsia" w:ascii="宋体" w:hAnsi="宋体" w:eastAsia="宋体" w:cs="宋体"/>
                <w:kern w:val="0"/>
                <w:szCs w:val="21"/>
              </w:rPr>
              <w:t>（</w:t>
            </w:r>
            <w:r>
              <w:rPr>
                <w:rFonts w:ascii="宋体" w:hAnsi="宋体" w:eastAsia="宋体" w:cs="宋体"/>
                <w:kern w:val="0"/>
                <w:szCs w:val="21"/>
              </w:rPr>
              <w:t>2</w:t>
            </w:r>
            <w:r>
              <w:rPr>
                <w:rFonts w:hint="eastAsia" w:ascii="宋体" w:hAnsi="宋体" w:eastAsia="宋体" w:cs="宋体"/>
                <w:kern w:val="0"/>
                <w:szCs w:val="21"/>
                <w:lang w:val="en-US" w:eastAsia="zh-CN"/>
              </w:rPr>
              <w:t>3</w:t>
            </w:r>
            <w:r>
              <w:rPr>
                <w:rFonts w:hint="eastAsia" w:ascii="宋体" w:hAnsi="宋体" w:eastAsia="宋体" w:cs="宋体"/>
                <w:kern w:val="0"/>
                <w:szCs w:val="21"/>
              </w:rPr>
              <w:t>分）</w:t>
            </w:r>
          </w:p>
        </w:tc>
        <w:tc>
          <w:tcPr>
            <w:tcW w:w="6095" w:type="dxa"/>
            <w:tcBorders>
              <w:top w:val="single" w:color="auto" w:sz="4" w:space="0"/>
              <w:left w:val="nil"/>
              <w:bottom w:val="single" w:color="auto" w:sz="4" w:space="0"/>
              <w:right w:val="single" w:color="auto" w:sz="4" w:space="0"/>
            </w:tcBorders>
            <w:vAlign w:val="center"/>
          </w:tcPr>
          <w:p>
            <w:pPr>
              <w:widowControl/>
              <w:spacing w:line="360" w:lineRule="auto"/>
              <w:jc w:val="left"/>
              <w:rPr>
                <w:rFonts w:ascii="宋体" w:hAnsi="宋体"/>
                <w:szCs w:val="21"/>
              </w:rPr>
            </w:pPr>
            <w:r>
              <w:rPr>
                <w:rFonts w:hint="eastAsia" w:ascii="宋体" w:hAnsi="宋体"/>
                <w:szCs w:val="21"/>
              </w:rPr>
              <w:t>1、</w:t>
            </w:r>
            <w:r>
              <w:rPr>
                <w:rFonts w:ascii="宋体" w:hAnsi="宋体"/>
                <w:szCs w:val="21"/>
              </w:rPr>
              <w:t>投标人须列表说明本单位售后服务网点的名称、地址、联系人、联系方式等。并保证2小时内响应，4小时到达现场，24小时解决问题</w:t>
            </w:r>
            <w:r>
              <w:rPr>
                <w:rFonts w:hint="eastAsia" w:ascii="宋体" w:hAnsi="宋体"/>
                <w:szCs w:val="21"/>
              </w:rPr>
              <w:t>，</w:t>
            </w:r>
            <w:r>
              <w:rPr>
                <w:rFonts w:ascii="宋体" w:hAnsi="宋体"/>
                <w:szCs w:val="21"/>
              </w:rPr>
              <w:t>无法在规定时间解决问题</w:t>
            </w:r>
            <w:r>
              <w:rPr>
                <w:rFonts w:hint="eastAsia" w:ascii="宋体" w:hAnsi="宋体"/>
                <w:szCs w:val="21"/>
              </w:rPr>
              <w:t>时</w:t>
            </w:r>
            <w:r>
              <w:rPr>
                <w:rFonts w:ascii="宋体" w:hAnsi="宋体"/>
                <w:szCs w:val="21"/>
              </w:rPr>
              <w:t>，</w:t>
            </w:r>
            <w:r>
              <w:rPr>
                <w:rFonts w:hint="eastAsia" w:ascii="宋体" w:hAnsi="宋体"/>
                <w:szCs w:val="21"/>
              </w:rPr>
              <w:t>可</w:t>
            </w:r>
            <w:r>
              <w:rPr>
                <w:rFonts w:ascii="宋体" w:hAnsi="宋体"/>
                <w:szCs w:val="21"/>
              </w:rPr>
              <w:t>提供必要的后备设备或解决方案</w:t>
            </w:r>
            <w:r>
              <w:rPr>
                <w:rFonts w:hint="eastAsia" w:ascii="宋体" w:hAnsi="宋体"/>
                <w:szCs w:val="21"/>
              </w:rPr>
              <w:t>，得</w:t>
            </w:r>
            <w:r>
              <w:rPr>
                <w:rFonts w:ascii="宋体" w:hAnsi="宋体"/>
                <w:szCs w:val="21"/>
              </w:rPr>
              <w:t>3</w:t>
            </w:r>
            <w:r>
              <w:rPr>
                <w:rFonts w:hint="eastAsia" w:ascii="宋体" w:hAnsi="宋体"/>
                <w:szCs w:val="21"/>
              </w:rPr>
              <w:t>分。</w:t>
            </w:r>
          </w:p>
          <w:p>
            <w:pPr>
              <w:widowControl/>
              <w:spacing w:line="360" w:lineRule="auto"/>
              <w:jc w:val="left"/>
              <w:rPr>
                <w:rFonts w:ascii="宋体" w:hAnsi="宋体"/>
                <w:color w:val="000000" w:themeColor="text1"/>
                <w:szCs w:val="21"/>
              </w:rPr>
            </w:pPr>
            <w:r>
              <w:rPr>
                <w:rFonts w:hint="eastAsia" w:ascii="宋体" w:hAnsi="宋体"/>
                <w:color w:val="000000" w:themeColor="text1"/>
                <w:szCs w:val="21"/>
              </w:rPr>
              <w:t>2、</w:t>
            </w:r>
            <w:r>
              <w:rPr>
                <w:rFonts w:hint="eastAsia" w:ascii="宋体" w:hAnsi="宋体" w:cs="宋体"/>
                <w:color w:val="000000" w:themeColor="text1"/>
                <w:szCs w:val="21"/>
              </w:rPr>
              <w:t>供应商针对本项目提供详细、合理的售后服务计划。包括备品备件、人员培训计划</w:t>
            </w:r>
            <w:r>
              <w:rPr>
                <w:rFonts w:hint="eastAsia" w:ascii="宋体" w:hAnsi="宋体"/>
                <w:color w:val="000000" w:themeColor="text1"/>
                <w:szCs w:val="21"/>
              </w:rPr>
              <w:t>，得</w:t>
            </w:r>
            <w:r>
              <w:rPr>
                <w:rFonts w:hint="eastAsia" w:ascii="宋体" w:hAnsi="宋体"/>
                <w:color w:val="000000" w:themeColor="text1"/>
                <w:szCs w:val="21"/>
                <w:lang w:val="en-US" w:eastAsia="zh-CN"/>
              </w:rPr>
              <w:t>9</w:t>
            </w:r>
            <w:r>
              <w:rPr>
                <w:rFonts w:hint="eastAsia" w:ascii="宋体" w:hAnsi="宋体"/>
                <w:color w:val="000000" w:themeColor="text1"/>
                <w:szCs w:val="21"/>
              </w:rPr>
              <w:t>分.</w:t>
            </w:r>
          </w:p>
          <w:p>
            <w:pPr>
              <w:widowControl/>
              <w:spacing w:line="360" w:lineRule="auto"/>
              <w:jc w:val="left"/>
              <w:rPr>
                <w:rFonts w:ascii="宋体" w:hAnsi="宋体"/>
                <w:color w:val="000000" w:themeColor="text1"/>
                <w:szCs w:val="21"/>
              </w:rPr>
            </w:pPr>
            <w:r>
              <w:rPr>
                <w:rFonts w:hint="eastAsia" w:ascii="宋体" w:hAnsi="宋体" w:eastAsia="宋体" w:cs="宋体"/>
                <w:kern w:val="0"/>
                <w:szCs w:val="21"/>
              </w:rPr>
              <w:t>3、投标文件中提供详细的质量保证措施方案、安装调试方案、后期维修方案，每提供一项得1分，满分3分。</w:t>
            </w:r>
          </w:p>
          <w:p>
            <w:pPr>
              <w:widowControl/>
              <w:spacing w:line="360" w:lineRule="auto"/>
              <w:jc w:val="left"/>
              <w:rPr>
                <w:rFonts w:ascii="宋体" w:hAnsi="宋体" w:eastAsia="宋体" w:cs="宋体"/>
                <w:color w:val="auto"/>
                <w:kern w:val="0"/>
                <w:sz w:val="24"/>
                <w:szCs w:val="24"/>
              </w:rPr>
            </w:pPr>
            <w:r>
              <w:rPr>
                <w:color w:val="000000" w:themeColor="text1"/>
              </w:rPr>
              <w:t>4</w:t>
            </w:r>
            <w:r>
              <w:rPr>
                <w:rFonts w:hint="eastAsia"/>
                <w:color w:val="000000" w:themeColor="text1"/>
              </w:rPr>
              <w:t>、</w:t>
            </w:r>
            <w:r>
              <w:rPr>
                <w:rFonts w:hint="eastAsia" w:ascii="宋体" w:hAnsi="宋体" w:eastAsia="宋体" w:cs="宋体"/>
                <w:szCs w:val="21"/>
              </w:rPr>
              <w:t>编制的投标文件格式符合要求，无错别字，无排版错误，得8分，否则不得分。</w:t>
            </w:r>
          </w:p>
        </w:tc>
      </w:tr>
    </w:tbl>
    <w:p>
      <w:pPr>
        <w:spacing w:line="360" w:lineRule="auto"/>
        <w:ind w:firstLine="422" w:firstLineChars="200"/>
        <w:rPr>
          <w:rFonts w:cs="仿宋_GB2312" w:asciiTheme="minorEastAsia" w:hAnsiTheme="minorEastAsia"/>
          <w:b/>
          <w:color w:val="auto"/>
          <w:szCs w:val="21"/>
          <w:lang w:val="zh-CN"/>
        </w:rPr>
      </w:pPr>
    </w:p>
    <w:p>
      <w:pPr>
        <w:spacing w:line="360" w:lineRule="auto"/>
        <w:ind w:firstLine="422" w:firstLineChars="200"/>
        <w:rPr>
          <w:rFonts w:cs="仿宋_GB2312" w:asciiTheme="minorEastAsia" w:hAnsiTheme="minorEastAsia"/>
          <w:b/>
          <w:color w:val="auto"/>
          <w:szCs w:val="21"/>
          <w:lang w:val="zh-CN"/>
        </w:rPr>
      </w:pPr>
      <w:r>
        <w:rPr>
          <w:rFonts w:hint="eastAsia" w:cs="仿宋_GB2312" w:asciiTheme="minorEastAsia" w:hAnsiTheme="minorEastAsia"/>
          <w:b/>
          <w:color w:val="auto"/>
          <w:szCs w:val="21"/>
          <w:lang w:val="zh-CN"/>
        </w:rPr>
        <w:t>其中：价格分计算（落实政府采购政策价格调整部分）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序号</w:t>
            </w:r>
          </w:p>
        </w:tc>
        <w:tc>
          <w:tcPr>
            <w:tcW w:w="2823" w:type="dxa"/>
            <w:vAlign w:val="center"/>
          </w:tcPr>
          <w:p>
            <w:pPr>
              <w:jc w:val="center"/>
              <w:rPr>
                <w:rFonts w:ascii="宋体" w:hAnsi="宋体"/>
                <w:b/>
                <w:color w:val="auto"/>
                <w:szCs w:val="21"/>
                <w:lang w:val="en-GB"/>
              </w:rPr>
            </w:pPr>
            <w:r>
              <w:rPr>
                <w:rFonts w:hint="eastAsia" w:ascii="宋体" w:hAnsi="宋体"/>
                <w:b/>
                <w:color w:val="auto"/>
                <w:szCs w:val="21"/>
                <w:lang w:val="en-GB"/>
              </w:rPr>
              <w:t>情形</w:t>
            </w:r>
          </w:p>
        </w:tc>
        <w:tc>
          <w:tcPr>
            <w:tcW w:w="2552" w:type="dxa"/>
            <w:vAlign w:val="center"/>
          </w:tcPr>
          <w:p>
            <w:pPr>
              <w:jc w:val="center"/>
              <w:rPr>
                <w:rFonts w:ascii="宋体" w:hAnsi="宋体"/>
                <w:b/>
                <w:color w:val="auto"/>
                <w:szCs w:val="21"/>
                <w:lang w:val="en-GB"/>
              </w:rPr>
            </w:pPr>
            <w:r>
              <w:rPr>
                <w:rFonts w:hint="eastAsia" w:ascii="宋体" w:hAnsi="宋体"/>
                <w:b/>
                <w:color w:val="auto"/>
                <w:szCs w:val="21"/>
              </w:rPr>
              <w:t>价格扣除</w:t>
            </w:r>
            <w:r>
              <w:rPr>
                <w:rFonts w:hint="eastAsia" w:ascii="宋体" w:hAnsi="宋体"/>
                <w:b/>
                <w:color w:val="auto"/>
                <w:szCs w:val="21"/>
                <w:lang w:val="en-GB"/>
              </w:rPr>
              <w:t>比例</w:t>
            </w:r>
          </w:p>
        </w:tc>
        <w:tc>
          <w:tcPr>
            <w:tcW w:w="2835" w:type="dxa"/>
            <w:vAlign w:val="center"/>
          </w:tcPr>
          <w:p>
            <w:pPr>
              <w:jc w:val="center"/>
              <w:rPr>
                <w:rFonts w:ascii="宋体" w:hAnsi="宋体"/>
                <w:b/>
                <w:color w:val="auto"/>
                <w:szCs w:val="21"/>
                <w:lang w:val="en-GB"/>
              </w:rPr>
            </w:pPr>
            <w:r>
              <w:rPr>
                <w:rFonts w:hint="eastAsia" w:ascii="宋体" w:hAnsi="宋体"/>
                <w:b/>
                <w:color w:val="auto"/>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1</w:t>
            </w:r>
          </w:p>
        </w:tc>
        <w:tc>
          <w:tcPr>
            <w:tcW w:w="2823" w:type="dxa"/>
            <w:vAlign w:val="center"/>
          </w:tcPr>
          <w:p>
            <w:pPr>
              <w:jc w:val="center"/>
              <w:rPr>
                <w:rFonts w:ascii="宋体" w:hAnsi="宋体"/>
                <w:b/>
                <w:color w:val="auto"/>
                <w:szCs w:val="21"/>
                <w:lang w:val="en-GB"/>
              </w:rPr>
            </w:pPr>
            <w:r>
              <w:rPr>
                <w:rFonts w:hint="eastAsia" w:ascii="宋体" w:hAnsi="宋体"/>
                <w:color w:val="auto"/>
                <w:szCs w:val="21"/>
                <w:lang w:val="en-GB"/>
              </w:rPr>
              <w:t>非联合体投标人</w:t>
            </w:r>
          </w:p>
        </w:tc>
        <w:tc>
          <w:tcPr>
            <w:tcW w:w="2552" w:type="dxa"/>
            <w:vAlign w:val="center"/>
          </w:tcPr>
          <w:p>
            <w:pPr>
              <w:jc w:val="center"/>
              <w:rPr>
                <w:rFonts w:ascii="宋体" w:hAnsi="宋体"/>
                <w:b/>
                <w:color w:val="auto"/>
                <w:szCs w:val="21"/>
                <w:lang w:val="en-GB"/>
              </w:rPr>
            </w:pPr>
            <w:r>
              <w:rPr>
                <w:rFonts w:hint="eastAsia" w:ascii="宋体" w:hAnsi="宋体"/>
                <w:color w:val="auto"/>
                <w:szCs w:val="21"/>
              </w:rPr>
              <w:t>对小型和微型企业产品的价格扣除</w:t>
            </w:r>
            <w:r>
              <w:rPr>
                <w:rFonts w:hint="eastAsia" w:ascii="宋体" w:hAnsi="宋体"/>
                <w:color w:val="auto"/>
                <w:szCs w:val="21"/>
                <w:u w:val="single"/>
              </w:rPr>
              <w:t>10</w:t>
            </w:r>
            <w:r>
              <w:rPr>
                <w:rFonts w:hint="eastAsia" w:ascii="宋体" w:hAnsi="宋体"/>
                <w:color w:val="auto"/>
                <w:szCs w:val="21"/>
              </w:rPr>
              <w:t>%</w:t>
            </w:r>
          </w:p>
        </w:tc>
        <w:tc>
          <w:tcPr>
            <w:tcW w:w="2835" w:type="dxa"/>
            <w:vMerge w:val="restart"/>
            <w:shd w:val="clear" w:color="auto" w:fill="auto"/>
            <w:vAlign w:val="center"/>
          </w:tcPr>
          <w:p>
            <w:pPr>
              <w:jc w:val="center"/>
              <w:rPr>
                <w:color w:val="auto"/>
                <w:szCs w:val="21"/>
                <w:lang w:val="en-GB"/>
              </w:rPr>
            </w:pPr>
            <w:r>
              <w:rPr>
                <w:rFonts w:hint="eastAsia"/>
                <w:color w:val="auto"/>
                <w:szCs w:val="21"/>
                <w:lang w:val="en-GB"/>
              </w:rPr>
              <w:t>评标价格＝投标报价—</w:t>
            </w:r>
            <w:r>
              <w:rPr>
                <w:rFonts w:hint="eastAsia"/>
                <w:color w:val="auto"/>
                <w:szCs w:val="21"/>
              </w:rPr>
              <w:t>小型和微型企业产品的价格</w:t>
            </w:r>
            <w:r>
              <w:rPr>
                <w:rFonts w:hint="eastAsia" w:ascii="宋体" w:hAnsi="宋体"/>
                <w:color w:val="auto"/>
                <w:szCs w:val="21"/>
                <w:lang w:val="en-GB"/>
              </w:rPr>
              <w:t>×</w:t>
            </w:r>
            <w:r>
              <w:rPr>
                <w:rFonts w:hint="eastAsia"/>
                <w:color w:val="auto"/>
                <w:szCs w:val="21"/>
                <w:lang w:val="en-GB"/>
              </w:rPr>
              <w:t>10%</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2</w:t>
            </w:r>
          </w:p>
        </w:tc>
        <w:tc>
          <w:tcPr>
            <w:tcW w:w="2823" w:type="dxa"/>
            <w:vAlign w:val="center"/>
          </w:tcPr>
          <w:p>
            <w:pPr>
              <w:jc w:val="center"/>
              <w:rPr>
                <w:rFonts w:ascii="宋体" w:hAnsi="宋体"/>
                <w:b/>
                <w:color w:val="auto"/>
                <w:szCs w:val="21"/>
              </w:rPr>
            </w:pPr>
            <w:r>
              <w:rPr>
                <w:rFonts w:hint="eastAsia" w:ascii="宋体" w:hAnsi="宋体"/>
                <w:color w:val="auto"/>
                <w:szCs w:val="21"/>
                <w:lang w:val="en-GB"/>
              </w:rPr>
              <w:t>联合体各方均为小型、微型企业</w:t>
            </w:r>
          </w:p>
        </w:tc>
        <w:tc>
          <w:tcPr>
            <w:tcW w:w="2552" w:type="dxa"/>
            <w:vAlign w:val="center"/>
          </w:tcPr>
          <w:p>
            <w:pPr>
              <w:jc w:val="center"/>
              <w:rPr>
                <w:rFonts w:ascii="宋体" w:hAnsi="宋体"/>
                <w:color w:val="auto"/>
                <w:szCs w:val="21"/>
              </w:rPr>
            </w:pPr>
            <w:r>
              <w:rPr>
                <w:rFonts w:hint="eastAsia" w:ascii="宋体" w:hAnsi="宋体"/>
                <w:color w:val="auto"/>
                <w:szCs w:val="21"/>
              </w:rPr>
              <w:t>对小型和微型企业产品的价格扣除</w:t>
            </w:r>
            <w:r>
              <w:rPr>
                <w:rFonts w:hint="eastAsia" w:ascii="宋体" w:hAnsi="宋体"/>
                <w:color w:val="auto"/>
                <w:szCs w:val="21"/>
                <w:u w:val="single"/>
              </w:rPr>
              <w:t>10</w:t>
            </w:r>
            <w:r>
              <w:rPr>
                <w:rFonts w:hint="eastAsia" w:ascii="宋体" w:hAnsi="宋体"/>
                <w:color w:val="auto"/>
                <w:szCs w:val="21"/>
              </w:rPr>
              <w:t>%</w:t>
            </w:r>
          </w:p>
          <w:p>
            <w:pPr>
              <w:jc w:val="center"/>
              <w:rPr>
                <w:rFonts w:ascii="宋体" w:hAnsi="宋体"/>
                <w:b/>
                <w:color w:val="auto"/>
                <w:szCs w:val="21"/>
                <w:lang w:val="en-GB"/>
              </w:rPr>
            </w:pPr>
            <w:r>
              <w:rPr>
                <w:rFonts w:hint="eastAsia" w:ascii="宋体" w:hAnsi="宋体"/>
                <w:color w:val="auto"/>
                <w:szCs w:val="21"/>
              </w:rPr>
              <w:t>（不再享受序号3的价格折扣）</w:t>
            </w:r>
          </w:p>
        </w:tc>
        <w:tc>
          <w:tcPr>
            <w:tcW w:w="2835" w:type="dxa"/>
            <w:vMerge w:val="continue"/>
            <w:shd w:val="clear" w:color="auto" w:fill="auto"/>
          </w:tcPr>
          <w:p>
            <w:pPr>
              <w:rPr>
                <w:rFonts w:ascii="宋体" w:hAnsi="宋体"/>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3</w:t>
            </w:r>
          </w:p>
        </w:tc>
        <w:tc>
          <w:tcPr>
            <w:tcW w:w="2823" w:type="dxa"/>
            <w:vAlign w:val="center"/>
          </w:tcPr>
          <w:p>
            <w:pPr>
              <w:jc w:val="center"/>
              <w:rPr>
                <w:rFonts w:ascii="宋体" w:hAnsi="宋体"/>
                <w:b/>
                <w:color w:val="auto"/>
                <w:szCs w:val="21"/>
                <w:lang w:val="en-GB"/>
              </w:rPr>
            </w:pPr>
            <w:r>
              <w:rPr>
                <w:rFonts w:hint="eastAsia" w:ascii="宋体" w:hAnsi="宋体"/>
                <w:color w:val="auto"/>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对联合体总金额扣除</w:t>
            </w:r>
          </w:p>
          <w:p>
            <w:pPr>
              <w:jc w:val="center"/>
              <w:rPr>
                <w:rFonts w:ascii="宋体" w:hAnsi="宋体"/>
                <w:b/>
                <w:color w:val="auto"/>
                <w:szCs w:val="21"/>
                <w:lang w:val="en-GB"/>
              </w:rPr>
            </w:pPr>
            <w:r>
              <w:rPr>
                <w:rFonts w:hint="eastAsia" w:ascii="宋体" w:hAnsi="宋体"/>
                <w:color w:val="auto"/>
                <w:szCs w:val="21"/>
                <w:u w:val="single"/>
              </w:rPr>
              <w:t xml:space="preserve"> </w:t>
            </w:r>
            <w:r>
              <w:rPr>
                <w:rFonts w:ascii="宋体" w:hAnsi="宋体"/>
                <w:color w:val="auto"/>
                <w:szCs w:val="21"/>
                <w:u w:val="single"/>
              </w:rPr>
              <w:t>2</w:t>
            </w:r>
            <w:r>
              <w:rPr>
                <w:rFonts w:hint="eastAsia" w:ascii="宋体" w:hAnsi="宋体"/>
                <w:color w:val="auto"/>
                <w:szCs w:val="21"/>
                <w:u w:val="single"/>
              </w:rPr>
              <w:t xml:space="preserve"> </w:t>
            </w:r>
            <w:r>
              <w:rPr>
                <w:rFonts w:hint="eastAsia" w:ascii="宋体" w:hAnsi="宋体"/>
                <w:color w:val="auto"/>
                <w:szCs w:val="21"/>
              </w:rPr>
              <w:t>%</w:t>
            </w:r>
          </w:p>
        </w:tc>
        <w:tc>
          <w:tcPr>
            <w:tcW w:w="2835" w:type="dxa"/>
            <w:shd w:val="clear" w:color="auto" w:fill="auto"/>
            <w:vAlign w:val="center"/>
          </w:tcPr>
          <w:p>
            <w:pPr>
              <w:jc w:val="center"/>
              <w:rPr>
                <w:rFonts w:ascii="宋体" w:hAnsi="宋体"/>
                <w:color w:val="auto"/>
                <w:szCs w:val="21"/>
                <w:u w:val="single"/>
              </w:rPr>
            </w:pPr>
            <w:r>
              <w:rPr>
                <w:rFonts w:hint="eastAsia" w:ascii="宋体" w:hAnsi="宋体"/>
                <w:color w:val="auto"/>
                <w:szCs w:val="21"/>
                <w:lang w:val="en-GB"/>
              </w:rPr>
              <w:t>评标价格＝投标报价×</w:t>
            </w:r>
            <w:r>
              <w:rPr>
                <w:rFonts w:hint="eastAsia" w:ascii="宋体" w:hAnsi="宋体"/>
                <w:color w:val="auto"/>
                <w:szCs w:val="21"/>
              </w:rPr>
              <w:t>(1-</w:t>
            </w:r>
            <w:r>
              <w:rPr>
                <w:rFonts w:ascii="宋体" w:hAnsi="宋体"/>
                <w:color w:val="auto"/>
                <w:szCs w:val="21"/>
                <w:u w:val="single"/>
              </w:rPr>
              <w:t>2</w:t>
            </w:r>
            <w:r>
              <w:rPr>
                <w:rFonts w:hint="eastAsia" w:ascii="宋体" w:hAnsi="宋体"/>
                <w:color w:val="auto"/>
                <w:szCs w:val="21"/>
                <w:u w:val="single"/>
              </w:rPr>
              <w:t>%)</w:t>
            </w:r>
          </w:p>
          <w:p>
            <w:pPr>
              <w:jc w:val="center"/>
              <w:rPr>
                <w:rFonts w:ascii="宋体" w:hAnsi="宋体"/>
                <w:b/>
                <w:color w:val="auto"/>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auto"/>
                <w:szCs w:val="21"/>
                <w:lang w:val="en-GB"/>
              </w:rPr>
            </w:pPr>
            <w:r>
              <w:rPr>
                <w:rFonts w:hint="eastAsia" w:ascii="宋体" w:hAnsi="宋体"/>
                <w:b/>
                <w:color w:val="auto"/>
                <w:szCs w:val="21"/>
                <w:lang w:val="en-GB"/>
              </w:rPr>
              <w:t>4</w:t>
            </w:r>
          </w:p>
        </w:tc>
        <w:tc>
          <w:tcPr>
            <w:tcW w:w="2823" w:type="dxa"/>
            <w:vAlign w:val="center"/>
          </w:tcPr>
          <w:p>
            <w:pPr>
              <w:jc w:val="center"/>
              <w:rPr>
                <w:rFonts w:ascii="宋体" w:hAnsi="宋体"/>
                <w:color w:val="auto"/>
                <w:szCs w:val="21"/>
                <w:lang w:val="en-GB"/>
              </w:rPr>
            </w:pPr>
            <w:r>
              <w:rPr>
                <w:rFonts w:hint="eastAsia" w:ascii="宋体" w:hAnsi="宋体"/>
                <w:color w:val="auto"/>
                <w:szCs w:val="21"/>
                <w:lang w:val="en-GB"/>
              </w:rPr>
              <w:t>监狱企业</w:t>
            </w:r>
          </w:p>
        </w:tc>
        <w:tc>
          <w:tcPr>
            <w:tcW w:w="2552" w:type="dxa"/>
            <w:vAlign w:val="center"/>
          </w:tcPr>
          <w:p>
            <w:pPr>
              <w:jc w:val="center"/>
              <w:rPr>
                <w:rFonts w:ascii="宋体" w:hAnsi="宋体"/>
                <w:color w:val="auto"/>
                <w:szCs w:val="21"/>
                <w:lang w:val="en-GB"/>
              </w:rPr>
            </w:pPr>
            <w:r>
              <w:rPr>
                <w:rFonts w:hint="eastAsia" w:ascii="宋体" w:hAnsi="宋体"/>
                <w:color w:val="auto"/>
                <w:szCs w:val="21"/>
                <w:lang w:val="en-GB"/>
              </w:rPr>
              <w:t>对监狱企业产品价格扣除</w:t>
            </w:r>
            <w:r>
              <w:rPr>
                <w:rFonts w:ascii="宋体" w:hAnsi="宋体"/>
                <w:color w:val="auto"/>
                <w:szCs w:val="21"/>
                <w:u w:val="single"/>
              </w:rPr>
              <w:t>6</w:t>
            </w:r>
            <w:r>
              <w:rPr>
                <w:rFonts w:hint="eastAsia" w:ascii="宋体" w:hAnsi="宋体"/>
                <w:color w:val="auto"/>
                <w:szCs w:val="21"/>
              </w:rPr>
              <w:t>%</w:t>
            </w:r>
          </w:p>
        </w:tc>
        <w:tc>
          <w:tcPr>
            <w:tcW w:w="2835" w:type="dxa"/>
            <w:shd w:val="clear" w:color="auto" w:fill="auto"/>
            <w:vAlign w:val="center"/>
          </w:tcPr>
          <w:p>
            <w:pPr>
              <w:jc w:val="center"/>
              <w:rPr>
                <w:rFonts w:ascii="宋体" w:hAnsi="宋体"/>
                <w:color w:val="auto"/>
                <w:szCs w:val="21"/>
                <w:lang w:val="en-GB"/>
              </w:rPr>
            </w:pPr>
            <w:r>
              <w:rPr>
                <w:rFonts w:hint="eastAsia"/>
                <w:color w:val="auto"/>
                <w:szCs w:val="21"/>
                <w:lang w:val="en-GB"/>
              </w:rPr>
              <w:t>评标价格＝投标报价—</w:t>
            </w:r>
            <w:r>
              <w:rPr>
                <w:rFonts w:hint="eastAsia"/>
                <w:color w:val="auto"/>
                <w:szCs w:val="21"/>
              </w:rPr>
              <w:t>监狱企业产品的价格</w:t>
            </w:r>
            <w:r>
              <w:rPr>
                <w:rFonts w:hint="eastAsia" w:ascii="宋体" w:hAnsi="宋体"/>
                <w:color w:val="auto"/>
                <w:szCs w:val="21"/>
                <w:lang w:val="en-GB"/>
              </w:rPr>
              <w:t>×</w:t>
            </w:r>
            <w:r>
              <w:rPr>
                <w:rFonts w:hint="eastAsia"/>
                <w:color w:val="auto"/>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评标价格＝投标报价—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经评标委员会</w:t>
            </w:r>
            <w:r>
              <w:rPr>
                <w:rFonts w:hint="eastAsia" w:cs="仿宋_GB2312" w:asciiTheme="minorEastAsia" w:hAnsiTheme="minorEastAsia"/>
                <w:szCs w:val="21"/>
                <w:lang w:val="zh-CN"/>
              </w:rPr>
              <w:t>审查、评价</w:t>
            </w:r>
            <w:r>
              <w:rPr>
                <w:rFonts w:cs="仿宋_GB2312" w:asciiTheme="minorEastAsia" w:hAnsiTheme="minorEastAsia"/>
                <w:szCs w:val="21"/>
                <w:lang w:val="zh-CN"/>
              </w:rPr>
              <w:t>，</w:t>
            </w:r>
            <w:r>
              <w:rPr>
                <w:rFonts w:hint="eastAsia" w:cs="仿宋_GB2312" w:asciiTheme="minorEastAsia" w:hAnsiTheme="minorEastAsia"/>
                <w:szCs w:val="21"/>
                <w:lang w:val="zh-CN"/>
              </w:rPr>
              <w:t>投标文件符合</w:t>
            </w:r>
            <w:r>
              <w:rPr>
                <w:rFonts w:cs="仿宋_GB2312" w:asciiTheme="minorEastAsia" w:hAnsiTheme="minorEastAsia"/>
                <w:szCs w:val="21"/>
                <w:lang w:val="zh-CN"/>
              </w:rPr>
              <w:t>招标文件</w:t>
            </w:r>
            <w:r>
              <w:rPr>
                <w:rFonts w:hint="eastAsia" w:cs="仿宋_GB2312" w:asciiTheme="minorEastAsia" w:hAnsiTheme="minorEastAsia"/>
                <w:szCs w:val="21"/>
                <w:lang w:val="zh-CN"/>
              </w:rPr>
              <w:t>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评标价格的</w:t>
            </w:r>
            <w:r>
              <w:rPr>
                <w:rFonts w:cs="仿宋_GB2312" w:asciiTheme="minorEastAsia" w:hAnsiTheme="minorEastAsia"/>
                <w:szCs w:val="21"/>
                <w:lang w:val="zh-CN"/>
              </w:rPr>
              <w:t>最低价者定为评标基准价，其价格分为满分。其他投标人的价格分统一按下列公式</w:t>
            </w:r>
            <w:r>
              <w:rPr>
                <w:rFonts w:hint="eastAsia" w:cs="仿宋_GB2312" w:asciiTheme="minorEastAsia" w:hAnsiTheme="minorEastAsia"/>
                <w:szCs w:val="21"/>
                <w:lang w:val="zh-CN"/>
              </w:rPr>
              <w:t>计算</w:t>
            </w:r>
            <w:r>
              <w:rPr>
                <w:rFonts w:cs="仿宋_GB2312" w:asciiTheme="minorEastAsia" w:hAnsiTheme="minorEastAsia"/>
                <w:szCs w:val="21"/>
                <w:lang w:val="zh-CN"/>
              </w:rPr>
              <w:t>。即：</w:t>
            </w:r>
          </w:p>
          <w:p>
            <w:pPr>
              <w:widowControl/>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=评标价格的最低价</w:t>
            </w:r>
          </w:p>
          <w:p>
            <w:pPr>
              <w:adjustRightInd w:val="0"/>
              <w:spacing w:line="360" w:lineRule="auto"/>
              <w:ind w:left="-88" w:leftChars="-42" w:firstLine="449" w:firstLineChars="214"/>
              <w:jc w:val="left"/>
              <w:rPr>
                <w:rFonts w:cs="仿宋_GB2312" w:asciiTheme="minorEastAsia" w:hAnsiTheme="minorEastAsia"/>
                <w:szCs w:val="21"/>
                <w:lang w:val="zh-CN"/>
              </w:rPr>
            </w:pPr>
            <w:r>
              <w:rPr>
                <w:rFonts w:cs="仿宋_GB2312" w:asciiTheme="minorEastAsia" w:hAnsiTheme="minorEastAsia"/>
                <w:szCs w:val="21"/>
                <w:lang w:val="zh-CN"/>
              </w:rPr>
              <w:t>其他投标报价得分</w:t>
            </w:r>
            <w:r>
              <w:rPr>
                <w:rFonts w:hint="eastAsia" w:cs="仿宋_GB2312" w:asciiTheme="minorEastAsia" w:hAnsiTheme="minorEastAsia"/>
                <w:szCs w:val="21"/>
                <w:lang w:val="zh-CN"/>
              </w:rPr>
              <w:t>=（</w:t>
            </w:r>
            <w:r>
              <w:rPr>
                <w:rFonts w:cs="仿宋_GB2312" w:asciiTheme="minorEastAsia" w:hAnsiTheme="minorEastAsia"/>
                <w:szCs w:val="21"/>
                <w:lang w:val="zh-CN"/>
              </w:rPr>
              <w:t>评标基准价</w:t>
            </w:r>
            <w:r>
              <w:rPr>
                <w:rFonts w:hint="eastAsia" w:cs="仿宋_GB2312" w:asciiTheme="minorEastAsia" w:hAnsiTheme="minorEastAsia"/>
                <w:szCs w:val="21"/>
                <w:lang w:val="zh-CN"/>
              </w:rPr>
              <w:t>/评标价格）</w:t>
            </w:r>
            <w:r>
              <w:rPr>
                <w:rFonts w:cs="仿宋_GB2312" w:asciiTheme="minorEastAsia" w:hAnsiTheme="minorEastAsia"/>
                <w:szCs w:val="21"/>
                <w:lang w:val="zh-CN"/>
              </w:rPr>
              <w:t>×</w:t>
            </w:r>
            <w:r>
              <w:rPr>
                <w:rFonts w:hint="eastAsia" w:cs="仿宋_GB2312" w:asciiTheme="minorEastAsia" w:hAnsiTheme="minorEastAsia"/>
                <w:szCs w:val="21"/>
                <w:lang w:val="zh-CN"/>
              </w:rPr>
              <w:t>评标标准中价格分值</w:t>
            </w:r>
          </w:p>
        </w:tc>
      </w:tr>
    </w:tbl>
    <w:p>
      <w:pPr>
        <w:spacing w:line="360" w:lineRule="auto"/>
        <w:rPr>
          <w:rFonts w:ascii="宋体" w:hAnsi="宋体"/>
          <w:bCs/>
          <w:szCs w:val="21"/>
          <w:lang w:val="en-GB"/>
        </w:rPr>
      </w:pPr>
      <w:r>
        <w:rPr>
          <w:rFonts w:hint="eastAsia" w:ascii="宋体" w:hAnsi="宋体"/>
          <w:bCs/>
          <w:szCs w:val="21"/>
          <w:lang w:val="en-GB"/>
        </w:rPr>
        <w:t>备注：</w:t>
      </w:r>
    </w:p>
    <w:p>
      <w:pPr>
        <w:spacing w:line="360" w:lineRule="auto"/>
        <w:ind w:firstLine="420" w:firstLineChars="200"/>
        <w:rPr>
          <w:rFonts w:ascii="宋体" w:hAnsi="宋体"/>
          <w:bCs/>
          <w:szCs w:val="21"/>
          <w:lang w:val="en-GB"/>
        </w:rPr>
      </w:pPr>
      <w:r>
        <w:rPr>
          <w:rFonts w:hint="eastAsia" w:ascii="宋体" w:hAnsi="宋体"/>
          <w:bCs/>
          <w:szCs w:val="21"/>
          <w:lang w:val="en-GB"/>
        </w:rPr>
        <w:t>a、不接受联合体投标的项目，本表中第2项、第3项情形不适用。</w:t>
      </w:r>
    </w:p>
    <w:p>
      <w:pPr>
        <w:spacing w:line="360" w:lineRule="auto"/>
        <w:ind w:firstLine="420" w:firstLineChars="200"/>
        <w:rPr>
          <w:rFonts w:ascii="宋体" w:hAnsi="宋体"/>
          <w:bCs/>
          <w:szCs w:val="21"/>
          <w:lang w:val="en-GB"/>
        </w:rPr>
      </w:pPr>
      <w:r>
        <w:rPr>
          <w:rFonts w:hint="eastAsia" w:ascii="宋体" w:hAnsi="宋体"/>
          <w:bCs/>
          <w:szCs w:val="21"/>
          <w:lang w:val="en-GB"/>
        </w:rPr>
        <w:t>b、小型和微型企业产品包括货物及其提供的服务与工程。</w:t>
      </w:r>
    </w:p>
    <w:p>
      <w:pPr>
        <w:spacing w:line="360" w:lineRule="auto"/>
        <w:ind w:firstLine="420" w:firstLineChars="200"/>
        <w:rPr>
          <w:rFonts w:ascii="宋体" w:hAnsi="宋体"/>
          <w:bCs/>
          <w:szCs w:val="21"/>
          <w:lang w:val="en-GB"/>
        </w:rPr>
      </w:pPr>
      <w:r>
        <w:rPr>
          <w:rFonts w:hint="eastAsia" w:ascii="宋体" w:hAnsi="宋体"/>
          <w:bCs/>
          <w:szCs w:val="21"/>
          <w:lang w:val="en-GB"/>
        </w:rPr>
        <w:t>c、中小企业、残疾人福利性单位提供其他企业制造的货物的，则该货物的制造商也必须为上述企业，否则不能享受价格优惠。</w:t>
      </w:r>
    </w:p>
    <w:p>
      <w:pPr>
        <w:spacing w:line="360" w:lineRule="auto"/>
        <w:ind w:firstLine="420" w:firstLineChars="200"/>
        <w:rPr>
          <w:rFonts w:ascii="宋体" w:hAnsi="宋体"/>
          <w:bCs/>
          <w:szCs w:val="21"/>
          <w:lang w:val="en-GB"/>
        </w:rPr>
      </w:pPr>
      <w:r>
        <w:rPr>
          <w:rFonts w:hint="eastAsia" w:ascii="宋体" w:hAnsi="宋体"/>
          <w:bCs/>
          <w:szCs w:val="21"/>
          <w:lang w:val="en-GB"/>
        </w:rPr>
        <w:t>d、残疾人福利性单位属于小型、微型企业的，不重复享受政策。</w:t>
      </w:r>
    </w:p>
    <w:p>
      <w:pPr>
        <w:spacing w:line="360" w:lineRule="auto"/>
        <w:ind w:firstLine="420" w:firstLineChars="200"/>
        <w:rPr>
          <w:rFonts w:ascii="宋体" w:hAnsi="宋体"/>
          <w:bCs/>
          <w:szCs w:val="21"/>
          <w:lang w:val="en-GB"/>
        </w:rPr>
      </w:pPr>
      <w:r>
        <w:rPr>
          <w:rFonts w:ascii="宋体" w:hAnsi="宋体"/>
          <w:bCs/>
          <w:szCs w:val="21"/>
          <w:lang w:val="en-GB"/>
        </w:rPr>
        <w:t>E</w:t>
      </w:r>
      <w:r>
        <w:rPr>
          <w:rFonts w:hint="eastAsia" w:ascii="宋体" w:hAnsi="宋体"/>
          <w:bCs/>
          <w:szCs w:val="21"/>
          <w:lang w:val="en-GB"/>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b/>
          <w:sz w:val="21"/>
          <w:szCs w:val="21"/>
          <w:lang w:val="zh-CN"/>
        </w:rPr>
        <w:t>（8）</w:t>
      </w:r>
      <w:r>
        <w:rPr>
          <w:rFonts w:cs="仿宋_GB2312" w:asciiTheme="minorEastAsia" w:hAnsiTheme="minorEastAsia" w:eastAsiaTheme="minorEastAsia"/>
          <w:b/>
          <w:sz w:val="21"/>
          <w:szCs w:val="21"/>
          <w:lang w:val="zh-CN"/>
        </w:rPr>
        <w:t>评标结果汇总完成后，除下列情形外，任何人不得修改评标结果：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1） </w:t>
      </w:r>
      <w:r>
        <w:rPr>
          <w:rFonts w:cs="仿宋_GB2312" w:asciiTheme="minorEastAsia" w:hAnsiTheme="minorEastAsia"/>
          <w:szCs w:val="21"/>
          <w:lang w:val="zh-CN"/>
        </w:rPr>
        <w:t>分值汇总计算错误的；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2） </w:t>
      </w:r>
      <w:r>
        <w:rPr>
          <w:rFonts w:cs="仿宋_GB2312" w:asciiTheme="minorEastAsia" w:hAnsiTheme="minorEastAsia"/>
          <w:szCs w:val="21"/>
          <w:lang w:val="zh-CN"/>
        </w:rPr>
        <w:t>分项评分超出评分标准范围的；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3） </w:t>
      </w:r>
      <w:r>
        <w:rPr>
          <w:rFonts w:cs="仿宋_GB2312" w:asciiTheme="minorEastAsia" w:hAnsiTheme="minorEastAsia"/>
          <w:szCs w:val="21"/>
          <w:lang w:val="zh-CN"/>
        </w:rPr>
        <w:t>评标委员会成员对客观评审因素评分不一致的；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 xml:space="preserve">4） </w:t>
      </w:r>
      <w:r>
        <w:rPr>
          <w:rFonts w:cs="仿宋_GB2312" w:asciiTheme="minorEastAsia" w:hAnsiTheme="minorEastAsia"/>
          <w:szCs w:val="21"/>
          <w:lang w:val="zh-CN"/>
        </w:rPr>
        <w:t>经评标委员会认定评分畸高、畸低的。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投标人对本条第一款情形提出质疑的，采购人或者采购代理机构可以组织原评标委员会进行重新评审，重新评审改变评标结果的，应当书面报告本级财政部门。</w:t>
      </w:r>
    </w:p>
    <w:p>
      <w:pPr>
        <w:wordWrap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9）按照《关于推进全流程电子化交易和在线监管工作有关问题的通知》（许公管办[2019]3号）规定：评标专家应严格按照要求查看“硬件特征码”相关信息并进行评审，在评审报告中显示“不同投标人电子投标文件制作硬件特征码”是否雷同的分析及判定结果。</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（10）</w:t>
      </w:r>
      <w:r>
        <w:rPr>
          <w:rFonts w:cs="仿宋_GB2312" w:asciiTheme="minorEastAsia" w:hAnsiTheme="minorEastAsia"/>
          <w:b/>
          <w:szCs w:val="21"/>
          <w:lang w:val="zh-CN"/>
        </w:rPr>
        <w:t>评标委员会</w:t>
      </w:r>
      <w:r>
        <w:rPr>
          <w:rFonts w:hint="eastAsia" w:cs="仿宋_GB2312" w:asciiTheme="minorEastAsia" w:hAnsiTheme="minorEastAsia"/>
          <w:b/>
          <w:szCs w:val="21"/>
          <w:lang w:val="zh-CN"/>
        </w:rPr>
        <w:t>争议处理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cs="仿宋_GB2312" w:asciiTheme="minorEastAsia" w:hAnsiTheme="minorEastAsia"/>
          <w:szCs w:val="21"/>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w:t>
      </w:r>
      <w:r>
        <w:rPr>
          <w:rFonts w:cs="仿宋_GB2312" w:asciiTheme="minorEastAsia" w:hAnsiTheme="minorEastAsia"/>
          <w:b/>
          <w:szCs w:val="21"/>
          <w:lang w:val="zh-CN"/>
        </w:rPr>
        <w:t>确定中标候选人名单，以及根据采购人委托直接确定中标人</w:t>
      </w:r>
      <w:r>
        <w:rPr>
          <w:rFonts w:hint="eastAsia" w:cs="仿宋_GB2312" w:asciiTheme="minorEastAsia" w:hAnsiTheme="minorEastAsia"/>
          <w:b/>
          <w:szCs w:val="21"/>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widowControl/>
        <w:jc w:val="left"/>
        <w:rPr>
          <w:rFonts w:cs="宋体" w:asciiTheme="majorEastAsia" w:hAnsiTheme="majorEastAsia" w:eastAsiaTheme="majorEastAsia"/>
          <w:b/>
          <w:kern w:val="0"/>
          <w:sz w:val="32"/>
          <w:szCs w:val="32"/>
        </w:rPr>
      </w:pPr>
      <w:r>
        <w:rPr>
          <w:rFonts w:cs="宋体" w:asciiTheme="majorEastAsia" w:hAnsiTheme="majorEastAsia" w:eastAsiaTheme="majorEastAsia"/>
          <w:b/>
          <w:kern w:val="0"/>
          <w:sz w:val="32"/>
          <w:szCs w:val="32"/>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（此合同仅供参考。以最终采购人与中标人签定的合同条款为准进行公示，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最终签定合同的主要条款不能与招标文件有冲突）</w:t>
      </w:r>
    </w:p>
    <w:p>
      <w:pPr>
        <w:pStyle w:val="20"/>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（中标人全称）</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项目（以下简称：“本项目”）的招标结果，乙方为中标人。现经甲乙双方友好协商，就以下事项达成一致并签订本合同：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1.2招标文件、乙方的投标文件；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5、合同标的应符合招标文件、乙方投标文件的规定或约定，具体如下：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6.1验收应按照招标文件、乙方投标文件的规定或约定进行，具体如下：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6.2本项目是否邀请其他投标人参与验收：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7、合同款项的支付应按照招标文件的规定进行，具体如下：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（按照招标文件规定填写）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（按照实际情况编制填写。招标文件已有规定的，双方均不得变更或调整；招标文件未作规定的，双方可通过友好协商进行约定）</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0"/>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49"/>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6" w:name="_Toc184023138"/>
      <w:bookmarkStart w:id="7" w:name="_Toc174185203"/>
      <w:bookmarkStart w:id="8" w:name="_Toc186274126"/>
      <w:r>
        <w:rPr>
          <w:rFonts w:hint="eastAsia" w:cs="黑体" w:asciiTheme="minorEastAsia" w:hAnsiTheme="minorEastAsia" w:eastAsiaTheme="minorEastAsia"/>
          <w:color w:val="auto"/>
          <w:kern w:val="2"/>
          <w:sz w:val="28"/>
          <w:szCs w:val="28"/>
          <w:lang w:val="zh-CN"/>
        </w:rPr>
        <w:t>一、投标人应答索引表</w:t>
      </w:r>
      <w:bookmarkEnd w:id="6"/>
      <w:bookmarkEnd w:id="7"/>
      <w:bookmarkEnd w:id="8"/>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426"/>
        <w:gridCol w:w="283"/>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58"/>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政府强制采购节能产品品目清单情况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优先采购节能产品政府采购品目清单情况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优先采购环境标志产品政府采购品目清单情况</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14"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28</w:t>
            </w:r>
          </w:p>
        </w:tc>
        <w:tc>
          <w:tcPr>
            <w:tcW w:w="1200"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29</w:t>
            </w:r>
          </w:p>
        </w:tc>
        <w:tc>
          <w:tcPr>
            <w:tcW w:w="1200"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200"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551"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30</w:t>
            </w:r>
          </w:p>
        </w:tc>
        <w:tc>
          <w:tcPr>
            <w:tcW w:w="3751" w:type="dxa"/>
            <w:gridSpan w:val="4"/>
            <w:tcBorders>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国家级贫困县域注册地证明材料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bottom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31</w:t>
            </w:r>
          </w:p>
        </w:tc>
        <w:tc>
          <w:tcPr>
            <w:tcW w:w="3751" w:type="dxa"/>
            <w:gridSpan w:val="4"/>
            <w:tcBorders>
              <w:top w:val="single" w:color="auto" w:sz="4" w:space="0"/>
              <w:bottom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扶贫部门出具的聘用建档立卡贫困人员身份证明</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sing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32</w:t>
            </w:r>
          </w:p>
        </w:tc>
        <w:tc>
          <w:tcPr>
            <w:tcW w:w="3751" w:type="dxa"/>
            <w:gridSpan w:val="4"/>
            <w:tcBorders>
              <w:top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宋体" w:hAnsi="宋体"/>
                <w:color w:val="000000"/>
                <w:sz w:val="21"/>
                <w:szCs w:val="21"/>
                <w:lang w:val="en-GB"/>
              </w:rPr>
              <w:t>建档立卡贫困人员社保材料</w:t>
            </w:r>
          </w:p>
        </w:tc>
        <w:tc>
          <w:tcPr>
            <w:tcW w:w="1559" w:type="dxa"/>
            <w:vAlign w:val="center"/>
          </w:tcPr>
          <w:p>
            <w:pPr>
              <w:pStyle w:val="13"/>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③本表序号29请根据所投产品提供证书或截图情况填写其中一项即可。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ascii="楷体" w:hAnsi="楷体" w:eastAsia="楷体"/>
          <w:color w:val="000000"/>
          <w:sz w:val="24"/>
          <w:szCs w:val="24"/>
        </w:rPr>
        <w:fldChar w:fldCharType="begin"/>
      </w:r>
      <w:r>
        <w:rPr>
          <w:rFonts w:ascii="楷体" w:hAnsi="楷体" w:eastAsia="楷体"/>
          <w:color w:val="000000"/>
          <w:sz w:val="24"/>
          <w:szCs w:val="24"/>
        </w:rPr>
        <w:instrText xml:space="preserve"> </w:instrText>
      </w:r>
      <w:r>
        <w:rPr>
          <w:rFonts w:hint="eastAsia" w:ascii="楷体" w:hAnsi="楷体" w:eastAsia="楷体"/>
          <w:color w:val="000000"/>
          <w:sz w:val="24"/>
          <w:szCs w:val="24"/>
        </w:rPr>
        <w:instrText xml:space="preserve">= 4 \* GB3</w:instrText>
      </w:r>
      <w:r>
        <w:rPr>
          <w:rFonts w:ascii="楷体" w:hAnsi="楷体" w:eastAsia="楷体"/>
          <w:color w:val="000000"/>
          <w:sz w:val="24"/>
          <w:szCs w:val="24"/>
        </w:rPr>
        <w:instrText xml:space="preserve"> </w:instrText>
      </w:r>
      <w:r>
        <w:rPr>
          <w:rFonts w:ascii="楷体" w:hAnsi="楷体" w:eastAsia="楷体"/>
          <w:color w:val="000000"/>
          <w:sz w:val="24"/>
          <w:szCs w:val="24"/>
        </w:rPr>
        <w:fldChar w:fldCharType="separate"/>
      </w:r>
      <w:r>
        <w:rPr>
          <w:rFonts w:hint="eastAsia" w:ascii="楷体" w:hAnsi="楷体" w:eastAsia="楷体"/>
          <w:color w:val="000000"/>
          <w:sz w:val="24"/>
          <w:szCs w:val="24"/>
        </w:rPr>
        <w:t>④</w:t>
      </w:r>
      <w:r>
        <w:rPr>
          <w:rFonts w:ascii="楷体" w:hAnsi="楷体" w:eastAsia="楷体"/>
          <w:color w:val="000000"/>
          <w:sz w:val="24"/>
          <w:szCs w:val="24"/>
        </w:rPr>
        <w:fldChar w:fldCharType="end"/>
      </w:r>
      <w:r>
        <w:rPr>
          <w:rFonts w:hint="eastAsia" w:ascii="楷体" w:hAnsi="楷体" w:eastAsia="楷体"/>
          <w:color w:val="000000"/>
          <w:sz w:val="24"/>
          <w:szCs w:val="24"/>
        </w:rPr>
        <w:t>本表序号30～32仅适用于物业项目。</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w:t>
      </w:r>
      <w:r>
        <w:rPr>
          <w:rFonts w:cs="宋体" w:asciiTheme="minorEastAsia" w:hAnsiTheme="minorEastAsia"/>
          <w:szCs w:val="21"/>
          <w:lang w:val="zh-CN"/>
        </w:rPr>
        <w:t xml:space="preserve">    </w:t>
      </w:r>
      <w:r>
        <w:rPr>
          <w:rFonts w:hint="eastAsia" w:cs="宋体" w:asciiTheme="minorEastAsia" w:hAnsiTheme="minorEastAsia"/>
          <w:szCs w:val="21"/>
          <w:lang w:val="zh-CN"/>
        </w:rPr>
        <w:t>年</w:t>
      </w:r>
      <w:r>
        <w:rPr>
          <w:rFonts w:cs="宋体" w:asciiTheme="minorEastAsia" w:hAnsiTheme="minorEastAsia"/>
          <w:szCs w:val="21"/>
          <w:lang w:val="zh-CN"/>
        </w:rPr>
        <w:t xml:space="preserve">    </w:t>
      </w:r>
      <w:r>
        <w:rPr>
          <w:rFonts w:hint="eastAsia" w:cs="宋体" w:asciiTheme="minorEastAsia" w:hAnsiTheme="minorEastAsia"/>
          <w:szCs w:val="21"/>
          <w:lang w:val="zh-CN"/>
        </w:rPr>
        <w:t>月</w:t>
      </w:r>
      <w:r>
        <w:rPr>
          <w:rFonts w:cs="宋体" w:asciiTheme="minorEastAsia" w:hAnsiTheme="minorEastAsia"/>
          <w:szCs w:val="21"/>
          <w:lang w:val="zh-CN"/>
        </w:rPr>
        <w:t xml:space="preserve">    </w:t>
      </w:r>
      <w:r>
        <w:rPr>
          <w:rFonts w:hint="eastAsia" w:cs="宋体" w:asciiTheme="minorEastAsia" w:hAnsiTheme="minorEastAsia"/>
          <w:szCs w:val="21"/>
          <w:lang w:val="zh-CN"/>
        </w:rPr>
        <w:t>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 w:val="36"/>
          <w:szCs w:val="36"/>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color w:val="auto"/>
          <w:kern w:val="0"/>
          <w:szCs w:val="21"/>
        </w:rPr>
      </w:pPr>
      <w:r>
        <w:rPr>
          <w:rFonts w:hint="eastAsia" w:asciiTheme="minorEastAsia" w:hAnsiTheme="minorEastAsia"/>
          <w:snapToGrid w:val="0"/>
          <w:kern w:val="0"/>
          <w:szCs w:val="21"/>
        </w:rPr>
        <w:t>致：许昌市政府采购服务中心</w:t>
      </w:r>
    </w:p>
    <w:p>
      <w:pPr>
        <w:adjustRightInd w:val="0"/>
        <w:spacing w:line="360" w:lineRule="auto"/>
        <w:ind w:firstLine="420" w:firstLineChars="200"/>
        <w:contextualSpacing/>
        <w:outlineLvl w:val="0"/>
        <w:rPr>
          <w:rFonts w:asciiTheme="minorEastAsia" w:hAnsiTheme="minorEastAsia"/>
          <w:snapToGrid w:val="0"/>
          <w:color w:val="auto"/>
          <w:kern w:val="0"/>
          <w:szCs w:val="21"/>
        </w:rPr>
      </w:pPr>
      <w:r>
        <w:rPr>
          <w:rFonts w:hint="eastAsia" w:asciiTheme="minorEastAsia" w:hAnsiTheme="minorEastAsia"/>
          <w:snapToGrid w:val="0"/>
          <w:color w:val="auto"/>
          <w:kern w:val="0"/>
          <w:szCs w:val="21"/>
        </w:rPr>
        <w:t>根据贵方_</w:t>
      </w:r>
      <w:r>
        <w:rPr>
          <w:rFonts w:hint="eastAsia" w:asciiTheme="minorEastAsia" w:hAnsiTheme="minorEastAsia"/>
          <w:snapToGrid w:val="0"/>
          <w:color w:val="auto"/>
          <w:kern w:val="0"/>
          <w:szCs w:val="21"/>
          <w:u w:val="single"/>
        </w:rPr>
        <w:t xml:space="preserve">_    </w:t>
      </w:r>
      <w:r>
        <w:rPr>
          <w:rFonts w:hint="eastAsia" w:asciiTheme="minorEastAsia" w:hAnsiTheme="minorEastAsia"/>
          <w:snapToGrid w:val="0"/>
          <w:color w:val="auto"/>
          <w:kern w:val="0"/>
          <w:szCs w:val="21"/>
        </w:rPr>
        <w:t>_（项目名称、招标编号）采购的招标公告及投标邀请，_______（姓名和职务）被正式授权并代表投标人</w:t>
      </w:r>
      <w:r>
        <w:rPr>
          <w:rFonts w:hint="eastAsia" w:asciiTheme="minorEastAsia" w:hAnsiTheme="minorEastAsia"/>
          <w:snapToGrid w:val="0"/>
          <w:color w:val="auto"/>
          <w:kern w:val="0"/>
          <w:szCs w:val="21"/>
          <w:u w:val="single"/>
        </w:rPr>
        <w:t xml:space="preserve">         </w:t>
      </w:r>
      <w:r>
        <w:rPr>
          <w:rFonts w:hint="eastAsia" w:asciiTheme="minorEastAsia" w:hAnsiTheme="minorEastAsia"/>
          <w:snapToGrid w:val="0"/>
          <w:color w:val="auto"/>
          <w:kern w:val="0"/>
          <w:szCs w:val="21"/>
        </w:rPr>
        <w:t>（投标人名称、地址）提交。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color w:val="auto"/>
          <w:kern w:val="0"/>
          <w:sz w:val="21"/>
          <w:szCs w:val="21"/>
        </w:rPr>
      </w:pPr>
      <w:r>
        <w:rPr>
          <w:rFonts w:hint="eastAsia" w:asciiTheme="minorEastAsia" w:hAnsiTheme="minorEastAsia" w:eastAsiaTheme="minorEastAsia"/>
          <w:snapToGrid w:val="0"/>
          <w:color w:val="auto"/>
          <w:kern w:val="0"/>
          <w:sz w:val="21"/>
          <w:szCs w:val="21"/>
        </w:rPr>
        <w:t>我方确认收到贵方提供的</w:t>
      </w:r>
      <w:r>
        <w:rPr>
          <w:rFonts w:asciiTheme="minorEastAsia" w:hAnsiTheme="minorEastAsia" w:eastAsiaTheme="minorEastAsia"/>
          <w:snapToGrid w:val="0"/>
          <w:color w:val="auto"/>
          <w:kern w:val="0"/>
          <w:sz w:val="21"/>
          <w:szCs w:val="21"/>
          <w:u w:val="single"/>
        </w:rPr>
        <w:t xml:space="preserve">  </w:t>
      </w:r>
      <w:r>
        <w:rPr>
          <w:rFonts w:hint="eastAsia" w:asciiTheme="minorEastAsia" w:hAnsiTheme="minorEastAsia" w:eastAsiaTheme="minorEastAsia"/>
          <w:snapToGrid w:val="0"/>
          <w:color w:val="auto"/>
          <w:kern w:val="0"/>
          <w:sz w:val="21"/>
          <w:szCs w:val="21"/>
          <w:u w:val="single"/>
        </w:rPr>
        <w:t xml:space="preserve">           </w:t>
      </w:r>
      <w:r>
        <w:rPr>
          <w:rFonts w:asciiTheme="minorEastAsia" w:hAnsiTheme="minorEastAsia" w:eastAsiaTheme="minorEastAsia"/>
          <w:snapToGrid w:val="0"/>
          <w:color w:val="auto"/>
          <w:kern w:val="0"/>
          <w:sz w:val="21"/>
          <w:szCs w:val="21"/>
          <w:u w:val="single"/>
        </w:rPr>
        <w:t xml:space="preserve">  </w:t>
      </w:r>
      <w:r>
        <w:rPr>
          <w:rFonts w:hint="eastAsia" w:asciiTheme="minorEastAsia" w:hAnsiTheme="minorEastAsia" w:eastAsiaTheme="minorEastAsia"/>
          <w:snapToGrid w:val="0"/>
          <w:color w:val="auto"/>
          <w:kern w:val="0"/>
          <w:sz w:val="21"/>
          <w:szCs w:val="21"/>
        </w:rPr>
        <w:t>（项目名称、招标编号）招标文件的全部内容。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color w:val="auto"/>
          <w:kern w:val="0"/>
          <w:sz w:val="21"/>
          <w:szCs w:val="21"/>
        </w:rPr>
      </w:pPr>
      <w:r>
        <w:rPr>
          <w:rFonts w:hint="eastAsia" w:asciiTheme="minorEastAsia" w:hAnsiTheme="minorEastAsia" w:eastAsiaTheme="minorEastAsia"/>
          <w:snapToGrid w:val="0"/>
          <w:color w:val="auto"/>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auto"/>
          <w:sz w:val="21"/>
          <w:szCs w:val="21"/>
        </w:rPr>
        <w:t>已完全理解并接受招标文件的各项规定和要求及资金支付规定，对招标文件的合理性、合法性不再有异议，</w:t>
      </w:r>
      <w:r>
        <w:rPr>
          <w:rFonts w:hint="eastAsia" w:ascii="宋体" w:hAnsi="宋体"/>
          <w:color w:val="auto"/>
          <w:sz w:val="21"/>
          <w:szCs w:val="21"/>
        </w:rPr>
        <w:t>并承诺在发生争议时不会以对《招标文件》存在误解、不明白的条款为由，对贵中心行使任何法律上的抗辩权。</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color w:val="auto"/>
          <w:szCs w:val="21"/>
        </w:rPr>
      </w:pPr>
      <w:r>
        <w:rPr>
          <w:rFonts w:hint="eastAsia" w:cs="Courier New" w:asciiTheme="minorEastAsia" w:hAnsiTheme="minorEastAsia"/>
          <w:color w:val="auto"/>
          <w:szCs w:val="21"/>
        </w:rPr>
        <w:t>二、</w:t>
      </w:r>
      <w:r>
        <w:rPr>
          <w:rFonts w:hint="eastAsia" w:ascii="宋体" w:hAnsi="宋体"/>
          <w:color w:val="auto"/>
          <w:szCs w:val="21"/>
        </w:rPr>
        <w:t>我方同意在本项目招标文件中规定的开标日起90天内遵守本投标文件中的承诺且在此期限期满之前均具有约束力。我方同意并遵守本招标文件“投标人须知”中第十四条第三款关于延长投标有效期的规定。</w:t>
      </w:r>
      <w:r>
        <w:rPr>
          <w:rFonts w:hint="eastAsia" w:cs="Courier New" w:asciiTheme="minorEastAsia" w:hAnsiTheme="minorEastAsia"/>
          <w:color w:val="auto"/>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三、我方明白并同意，在规定的开标日之后，投标有效期之内撤销投标的，则我方承担违背投标承诺的责任追究。</w:t>
      </w:r>
    </w:p>
    <w:p>
      <w:pPr>
        <w:pStyle w:val="20"/>
        <w:adjustRightInd w:val="0"/>
        <w:spacing w:line="360" w:lineRule="auto"/>
        <w:ind w:firstLine="420" w:firstLineChars="200"/>
        <w:contextualSpacing/>
        <w:rPr>
          <w:rFonts w:cs="Courier New"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四、我方同意按照贵方可能提出的要求而提供与投标有关的任何其它数据、信息或资料。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五、我方理解贵方不一定接受最低投标价或任何贵方可能收到的投标。</w:t>
      </w:r>
    </w:p>
    <w:p>
      <w:pPr>
        <w:pStyle w:val="20"/>
        <w:adjustRightInd w:val="0"/>
        <w:spacing w:line="360" w:lineRule="auto"/>
        <w:ind w:firstLine="420" w:firstLineChars="200"/>
        <w:contextualSpacing/>
        <w:rPr>
          <w:rFonts w:cs="Courier New"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color w:val="auto"/>
          <w:sz w:val="21"/>
          <w:szCs w:val="21"/>
        </w:rPr>
      </w:pPr>
      <w:r>
        <w:rPr>
          <w:rFonts w:hint="eastAsia" w:cs="Courier New" w:asciiTheme="minorEastAsia" w:hAnsiTheme="minorEastAsia" w:eastAsiaTheme="minorEastAsia"/>
          <w:color w:val="auto"/>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5. 符合法律、行政法规规定的其他条件。</w:t>
      </w:r>
    </w:p>
    <w:p>
      <w:pPr>
        <w:adjustRightInd w:val="0"/>
        <w:spacing w:line="360" w:lineRule="auto"/>
        <w:ind w:firstLine="441" w:firstLineChars="210"/>
        <w:contextualSpacing/>
        <w:rPr>
          <w:rFonts w:cs="Arial" w:asciiTheme="minorEastAsia" w:hAnsiTheme="minorEastAsia"/>
          <w:color w:val="auto"/>
          <w:szCs w:val="21"/>
        </w:rPr>
      </w:pPr>
      <w:r>
        <w:rPr>
          <w:rFonts w:hint="eastAsia" w:cs="宋体" w:asciiTheme="minorEastAsia" w:hAnsiTheme="minorEastAsia"/>
          <w:color w:val="auto"/>
          <w:szCs w:val="21"/>
        </w:rPr>
        <w:t>以上内容如有虚假或与事实不符的，评审委员会可将</w:t>
      </w:r>
      <w:r>
        <w:rPr>
          <w:rFonts w:hint="eastAsia" w:cs="Arial" w:asciiTheme="minorEastAsia" w:hAnsiTheme="minorEastAsia"/>
          <w:color w:val="auto"/>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color w:val="auto"/>
          <w:sz w:val="21"/>
          <w:szCs w:val="21"/>
        </w:rPr>
      </w:pPr>
      <w:r>
        <w:rPr>
          <w:rFonts w:hint="eastAsia" w:asciiTheme="minorEastAsia" w:hAnsiTheme="minorEastAsia" w:eastAsiaTheme="minorEastAsia"/>
          <w:snapToGrid w:val="0"/>
          <w:color w:val="auto"/>
          <w:kern w:val="0"/>
          <w:sz w:val="21"/>
          <w:szCs w:val="21"/>
        </w:rPr>
        <w:t>十一、</w:t>
      </w:r>
      <w:r>
        <w:rPr>
          <w:rFonts w:hint="eastAsia" w:asciiTheme="minorEastAsia" w:hAnsiTheme="minorEastAsia" w:eastAsiaTheme="minorEastAsia"/>
          <w:color w:val="auto"/>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color w:val="auto"/>
          <w:sz w:val="21"/>
          <w:szCs w:val="21"/>
        </w:rPr>
      </w:pPr>
    </w:p>
    <w:p>
      <w:pPr>
        <w:pStyle w:val="13"/>
        <w:adjustRightInd w:val="0"/>
        <w:snapToGrid w:val="0"/>
        <w:spacing w:line="360" w:lineRule="auto"/>
        <w:rPr>
          <w:rFonts w:asciiTheme="minorEastAsia" w:hAnsiTheme="minorEastAsia" w:eastAsiaTheme="minorEastAsia"/>
          <w:color w:val="auto"/>
          <w:sz w:val="21"/>
          <w:szCs w:val="21"/>
        </w:rPr>
      </w:pPr>
    </w:p>
    <w:p>
      <w:pPr>
        <w:pStyle w:val="13"/>
        <w:adjustRightInd w:val="0"/>
        <w:snapToGrid w:val="0"/>
        <w:spacing w:line="360" w:lineRule="auto"/>
        <w:rPr>
          <w:rFonts w:asciiTheme="minorEastAsia" w:hAnsiTheme="minorEastAsia" w:eastAsiaTheme="minorEastAsia"/>
          <w:color w:val="auto"/>
          <w:sz w:val="21"/>
          <w:szCs w:val="21"/>
        </w:rPr>
      </w:pPr>
      <w:r>
        <w:rPr>
          <w:rFonts w:hint="eastAsia" w:asciiTheme="minorEastAsia" w:hAnsiTheme="minorEastAsia" w:eastAsiaTheme="minorEastAsia"/>
          <w:color w:val="auto"/>
          <w:sz w:val="21"/>
          <w:szCs w:val="21"/>
        </w:rPr>
        <w:t>所有与本招标有关的一切正式往来请寄：</w:t>
      </w:r>
    </w:p>
    <w:p>
      <w:pPr>
        <w:adjustRightInd w:val="0"/>
        <w:snapToGrid w:val="0"/>
        <w:spacing w:line="360" w:lineRule="auto"/>
        <w:rPr>
          <w:rFonts w:cs="宋体" w:asciiTheme="minorEastAsia" w:hAnsiTheme="minorEastAsia"/>
          <w:color w:val="auto"/>
          <w:szCs w:val="21"/>
        </w:rPr>
      </w:pPr>
      <w:r>
        <w:rPr>
          <w:rFonts w:hint="eastAsia" w:cs="宋体" w:asciiTheme="minorEastAsia" w:hAnsiTheme="minorEastAsia"/>
          <w:color w:val="auto"/>
          <w:szCs w:val="21"/>
        </w:rPr>
        <w:t>地    址：</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  邮政编码：</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w:t>
      </w:r>
    </w:p>
    <w:p>
      <w:pPr>
        <w:adjustRightInd w:val="0"/>
        <w:snapToGrid w:val="0"/>
        <w:spacing w:line="360" w:lineRule="auto"/>
        <w:rPr>
          <w:rFonts w:cs="宋体" w:asciiTheme="minorEastAsia" w:hAnsiTheme="minorEastAsia"/>
          <w:color w:val="auto"/>
          <w:szCs w:val="21"/>
        </w:rPr>
      </w:pPr>
      <w:r>
        <w:rPr>
          <w:rFonts w:hint="eastAsia" w:cs="宋体" w:asciiTheme="minorEastAsia" w:hAnsiTheme="minorEastAsia"/>
          <w:color w:val="auto"/>
          <w:szCs w:val="21"/>
        </w:rPr>
        <w:t>电    话：</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  传    真：</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w:t>
      </w:r>
    </w:p>
    <w:p>
      <w:pPr>
        <w:adjustRightInd w:val="0"/>
        <w:snapToGrid w:val="0"/>
        <w:spacing w:line="360" w:lineRule="auto"/>
        <w:rPr>
          <w:rFonts w:cs="宋体" w:asciiTheme="minorEastAsia" w:hAnsiTheme="minorEastAsia"/>
          <w:color w:val="auto"/>
          <w:szCs w:val="21"/>
          <w:u w:val="single"/>
        </w:rPr>
      </w:pPr>
      <w:r>
        <w:rPr>
          <w:rFonts w:hint="eastAsia" w:cs="宋体" w:asciiTheme="minorEastAsia" w:hAnsiTheme="minorEastAsia"/>
          <w:color w:val="auto"/>
          <w:szCs w:val="21"/>
        </w:rPr>
        <w:t>投标人代表姓名：</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  职    务：</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w:t>
      </w:r>
    </w:p>
    <w:p>
      <w:pPr>
        <w:adjustRightInd w:val="0"/>
        <w:snapToGrid w:val="0"/>
        <w:spacing w:line="360" w:lineRule="auto"/>
        <w:rPr>
          <w:rFonts w:cs="宋体" w:asciiTheme="minorEastAsia" w:hAnsiTheme="minorEastAsia"/>
          <w:color w:val="auto"/>
          <w:szCs w:val="21"/>
          <w:u w:val="single"/>
        </w:rPr>
      </w:pPr>
    </w:p>
    <w:p>
      <w:pPr>
        <w:adjustRightInd w:val="0"/>
        <w:snapToGrid w:val="0"/>
        <w:spacing w:line="360" w:lineRule="auto"/>
        <w:ind w:firstLine="4305" w:firstLineChars="2050"/>
        <w:rPr>
          <w:rFonts w:cs="宋体" w:asciiTheme="minorEastAsia" w:hAnsiTheme="minorEastAsia"/>
          <w:color w:val="auto"/>
          <w:szCs w:val="21"/>
        </w:rPr>
      </w:pPr>
    </w:p>
    <w:p>
      <w:pPr>
        <w:adjustRightInd w:val="0"/>
        <w:snapToGrid w:val="0"/>
        <w:spacing w:line="360" w:lineRule="auto"/>
        <w:ind w:firstLine="4305" w:firstLineChars="2050"/>
        <w:rPr>
          <w:rFonts w:cs="宋体" w:asciiTheme="minorEastAsia" w:hAnsiTheme="minorEastAsia"/>
          <w:color w:val="auto"/>
          <w:szCs w:val="21"/>
        </w:rPr>
      </w:pPr>
    </w:p>
    <w:p>
      <w:pPr>
        <w:adjustRightInd w:val="0"/>
        <w:snapToGrid w:val="0"/>
        <w:spacing w:line="360" w:lineRule="auto"/>
        <w:ind w:firstLine="3150" w:firstLineChars="1500"/>
        <w:rPr>
          <w:rFonts w:cs="宋体" w:asciiTheme="minorEastAsia" w:hAnsiTheme="minorEastAsia"/>
          <w:color w:val="auto"/>
          <w:szCs w:val="21"/>
        </w:rPr>
      </w:pPr>
      <w:r>
        <w:rPr>
          <w:rFonts w:hint="eastAsia" w:cs="宋体" w:asciiTheme="minorEastAsia" w:hAnsiTheme="minorEastAsia"/>
          <w:color w:val="auto"/>
          <w:szCs w:val="21"/>
        </w:rPr>
        <w:t>投标人名称（并加盖公章）：</w:t>
      </w:r>
      <w:r>
        <w:rPr>
          <w:rFonts w:hint="eastAsia" w:cs="宋体" w:asciiTheme="minorEastAsia" w:hAnsiTheme="minorEastAsia"/>
          <w:color w:val="auto"/>
          <w:szCs w:val="21"/>
          <w:u w:val="single"/>
        </w:rPr>
        <w:t xml:space="preserve">               </w:t>
      </w:r>
    </w:p>
    <w:p>
      <w:pPr>
        <w:adjustRightInd w:val="0"/>
        <w:snapToGrid w:val="0"/>
        <w:spacing w:line="360" w:lineRule="auto"/>
        <w:ind w:firstLine="4305" w:firstLineChars="2050"/>
        <w:rPr>
          <w:rFonts w:cs="宋体" w:asciiTheme="minorEastAsia" w:hAnsiTheme="minorEastAsia"/>
          <w:color w:val="auto"/>
          <w:szCs w:val="21"/>
        </w:rPr>
      </w:pPr>
    </w:p>
    <w:p>
      <w:pPr>
        <w:adjustRightInd w:val="0"/>
        <w:snapToGrid w:val="0"/>
        <w:spacing w:line="360" w:lineRule="auto"/>
        <w:ind w:firstLine="3885" w:firstLineChars="1850"/>
        <w:rPr>
          <w:rFonts w:cs="宋体" w:asciiTheme="minorEastAsia" w:hAnsiTheme="minorEastAsia"/>
          <w:color w:val="auto"/>
          <w:szCs w:val="21"/>
        </w:rPr>
      </w:pPr>
      <w:r>
        <w:rPr>
          <w:rFonts w:hint="eastAsia" w:cs="宋体" w:asciiTheme="minorEastAsia" w:hAnsiTheme="minorEastAsia"/>
          <w:color w:val="auto"/>
          <w:szCs w:val="21"/>
        </w:rPr>
        <w:t>日期：</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年</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 xml:space="preserve">月 </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日</w:t>
      </w:r>
    </w:p>
    <w:p>
      <w:pPr>
        <w:widowControl/>
        <w:jc w:val="left"/>
        <w:rPr>
          <w:rFonts w:asciiTheme="majorEastAsia" w:hAnsiTheme="majorEastAsia" w:eastAsiaTheme="majorEastAsia"/>
          <w:b/>
          <w:bCs/>
          <w:color w:val="auto"/>
          <w:sz w:val="24"/>
          <w:szCs w:val="24"/>
        </w:rPr>
      </w:pPr>
      <w:r>
        <w:rPr>
          <w:rFonts w:asciiTheme="majorEastAsia" w:hAnsiTheme="majorEastAsia" w:eastAsiaTheme="majorEastAsia"/>
          <w:b/>
          <w:bCs/>
          <w:color w:val="auto"/>
          <w:sz w:val="24"/>
          <w:szCs w:val="24"/>
        </w:rPr>
        <w:br w:type="page"/>
      </w:r>
    </w:p>
    <w:p>
      <w:pPr>
        <w:spacing w:line="480" w:lineRule="exact"/>
        <w:jc w:val="center"/>
        <w:rPr>
          <w:rFonts w:asciiTheme="majorEastAsia" w:hAnsiTheme="majorEastAsia" w:eastAsiaTheme="majorEastAsia"/>
          <w:b/>
          <w:bCs/>
          <w:color w:val="auto"/>
          <w:sz w:val="24"/>
          <w:szCs w:val="24"/>
        </w:rPr>
      </w:pPr>
      <w:r>
        <w:rPr>
          <w:rFonts w:hint="eastAsia" w:asciiTheme="majorEastAsia" w:hAnsiTheme="majorEastAsia" w:eastAsiaTheme="majorEastAsia"/>
          <w:b/>
          <w:bCs/>
          <w:color w:val="auto"/>
          <w:sz w:val="24"/>
          <w:szCs w:val="24"/>
        </w:rPr>
        <w:t>3.2 法定代表人（单位负责人）</w:t>
      </w:r>
      <w:r>
        <w:rPr>
          <w:rFonts w:asciiTheme="majorEastAsia" w:hAnsiTheme="majorEastAsia" w:eastAsiaTheme="majorEastAsia"/>
          <w:b/>
          <w:bCs/>
          <w:color w:val="auto"/>
          <w:sz w:val="24"/>
          <w:szCs w:val="24"/>
        </w:rPr>
        <w:t>资</w:t>
      </w:r>
      <w:r>
        <w:rPr>
          <w:rFonts w:hint="eastAsia" w:asciiTheme="majorEastAsia" w:hAnsiTheme="majorEastAsia" w:eastAsiaTheme="majorEastAsia"/>
          <w:b/>
          <w:bCs/>
          <w:color w:val="auto"/>
          <w:sz w:val="24"/>
          <w:szCs w:val="24"/>
        </w:rPr>
        <w:t>格</w:t>
      </w:r>
      <w:r>
        <w:rPr>
          <w:rFonts w:asciiTheme="majorEastAsia" w:hAnsiTheme="majorEastAsia" w:eastAsiaTheme="majorEastAsia"/>
          <w:b/>
          <w:bCs/>
          <w:color w:val="auto"/>
          <w:sz w:val="24"/>
          <w:szCs w:val="24"/>
        </w:rPr>
        <w:t>证</w:t>
      </w:r>
      <w:r>
        <w:rPr>
          <w:rFonts w:hint="eastAsia" w:asciiTheme="majorEastAsia" w:hAnsiTheme="majorEastAsia" w:eastAsiaTheme="majorEastAsia"/>
          <w:b/>
          <w:bCs/>
          <w:color w:val="auto"/>
          <w:sz w:val="24"/>
          <w:szCs w:val="24"/>
        </w:rPr>
        <w:t>明</w:t>
      </w:r>
      <w:r>
        <w:rPr>
          <w:rFonts w:asciiTheme="majorEastAsia" w:hAnsiTheme="majorEastAsia" w:eastAsiaTheme="majorEastAsia"/>
          <w:b/>
          <w:bCs/>
          <w:color w:val="auto"/>
          <w:sz w:val="24"/>
          <w:szCs w:val="24"/>
        </w:rPr>
        <w:t>书</w:t>
      </w:r>
    </w:p>
    <w:p>
      <w:pPr>
        <w:autoSpaceDE w:val="0"/>
        <w:autoSpaceDN w:val="0"/>
        <w:adjustRightInd w:val="0"/>
        <w:spacing w:line="480" w:lineRule="auto"/>
        <w:ind w:firstLine="616" w:firstLineChars="257"/>
        <w:rPr>
          <w:rFonts w:ascii="宋体" w:hAnsi="宋体"/>
          <w:color w:val="auto"/>
          <w:sz w:val="24"/>
          <w:szCs w:val="24"/>
        </w:rPr>
      </w:pPr>
    </w:p>
    <w:p>
      <w:pPr>
        <w:pStyle w:val="40"/>
        <w:spacing w:line="480" w:lineRule="auto"/>
        <w:ind w:firstLine="472" w:firstLineChars="225"/>
        <w:jc w:val="left"/>
        <w:rPr>
          <w:rFonts w:asciiTheme="minorEastAsia" w:hAnsiTheme="minorEastAsia"/>
          <w:color w:val="auto"/>
          <w:sz w:val="21"/>
          <w:szCs w:val="21"/>
        </w:rPr>
      </w:pPr>
      <w:r>
        <w:rPr>
          <w:rFonts w:asciiTheme="minorEastAsia" w:hAnsiTheme="minorEastAsia"/>
          <w:color w:val="auto"/>
          <w:sz w:val="21"/>
          <w:szCs w:val="21"/>
        </w:rPr>
        <w:t>单</w:t>
      </w:r>
      <w:r>
        <w:rPr>
          <w:rFonts w:hint="eastAsia" w:asciiTheme="minorEastAsia" w:hAnsiTheme="minorEastAsia"/>
          <w:color w:val="auto"/>
          <w:sz w:val="21"/>
          <w:szCs w:val="21"/>
        </w:rPr>
        <w:t>位名</w:t>
      </w:r>
      <w:r>
        <w:rPr>
          <w:rFonts w:asciiTheme="minorEastAsia" w:hAnsiTheme="minorEastAsia"/>
          <w:color w:val="auto"/>
          <w:sz w:val="21"/>
          <w:szCs w:val="21"/>
        </w:rPr>
        <w:t>称</w:t>
      </w:r>
      <w:r>
        <w:rPr>
          <w:rFonts w:hint="eastAsia" w:asciiTheme="minorEastAsia" w:hAnsiTheme="minorEastAsia"/>
          <w:color w:val="auto"/>
          <w:sz w:val="21"/>
          <w:szCs w:val="21"/>
        </w:rPr>
        <w:t>：</w:t>
      </w:r>
    </w:p>
    <w:p>
      <w:pPr>
        <w:pStyle w:val="40"/>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地址：</w:t>
      </w:r>
    </w:p>
    <w:p>
      <w:pPr>
        <w:pStyle w:val="40"/>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姓名：       性</w:t>
      </w:r>
      <w:r>
        <w:rPr>
          <w:rFonts w:asciiTheme="minorEastAsia" w:hAnsiTheme="minorEastAsia"/>
          <w:color w:val="auto"/>
          <w:sz w:val="21"/>
          <w:szCs w:val="21"/>
        </w:rPr>
        <w:t>别</w:t>
      </w:r>
      <w:r>
        <w:rPr>
          <w:rFonts w:hint="eastAsia" w:asciiTheme="minorEastAsia" w:hAnsiTheme="minorEastAsia"/>
          <w:color w:val="auto"/>
          <w:sz w:val="21"/>
          <w:szCs w:val="21"/>
        </w:rPr>
        <w:t>：     年</w:t>
      </w:r>
      <w:r>
        <w:rPr>
          <w:rFonts w:asciiTheme="minorEastAsia" w:hAnsiTheme="minorEastAsia"/>
          <w:color w:val="auto"/>
          <w:sz w:val="21"/>
          <w:szCs w:val="21"/>
        </w:rPr>
        <w:t>龄</w:t>
      </w:r>
      <w:r>
        <w:rPr>
          <w:rFonts w:hint="eastAsia" w:asciiTheme="minorEastAsia" w:hAnsiTheme="minorEastAsia"/>
          <w:color w:val="auto"/>
          <w:sz w:val="21"/>
          <w:szCs w:val="21"/>
        </w:rPr>
        <w:t>：</w:t>
      </w:r>
      <w:r>
        <w:rPr>
          <w:rFonts w:asciiTheme="minorEastAsia" w:hAnsiTheme="minorEastAsia"/>
          <w:color w:val="auto"/>
          <w:sz w:val="21"/>
          <w:szCs w:val="21"/>
        </w:rPr>
        <w:t xml:space="preserve">     职务</w:t>
      </w:r>
      <w:r>
        <w:rPr>
          <w:rFonts w:hint="eastAsia" w:asciiTheme="minorEastAsia" w:hAnsiTheme="minorEastAsia"/>
          <w:color w:val="auto"/>
          <w:sz w:val="21"/>
          <w:szCs w:val="21"/>
        </w:rPr>
        <w:t xml:space="preserve">：        </w:t>
      </w:r>
    </w:p>
    <w:p>
      <w:pPr>
        <w:pStyle w:val="40"/>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本人</w:t>
      </w:r>
      <w:r>
        <w:rPr>
          <w:rFonts w:hint="eastAsia" w:asciiTheme="minorEastAsia" w:hAnsiTheme="minorEastAsia"/>
          <w:color w:val="auto"/>
          <w:sz w:val="21"/>
          <w:szCs w:val="21"/>
          <w:u w:val="single"/>
        </w:rPr>
        <w:t xml:space="preserve">       </w:t>
      </w:r>
      <w:r>
        <w:rPr>
          <w:rFonts w:hint="eastAsia" w:asciiTheme="minorEastAsia" w:hAnsiTheme="minorEastAsia"/>
          <w:color w:val="auto"/>
          <w:sz w:val="21"/>
          <w:szCs w:val="21"/>
        </w:rPr>
        <w:t>系</w:t>
      </w:r>
      <w:r>
        <w:rPr>
          <w:rFonts w:hint="eastAsia" w:asciiTheme="minorEastAsia" w:hAnsiTheme="minorEastAsia"/>
          <w:color w:val="auto"/>
          <w:sz w:val="21"/>
          <w:szCs w:val="21"/>
          <w:u w:val="single"/>
        </w:rPr>
        <w:t xml:space="preserve">  </w:t>
      </w:r>
      <w:r>
        <w:rPr>
          <w:rFonts w:hint="eastAsia" w:asciiTheme="minorEastAsia" w:hAnsiTheme="minorEastAsia"/>
          <w:i/>
          <w:snapToGrid w:val="0"/>
          <w:color w:val="auto"/>
          <w:sz w:val="21"/>
          <w:szCs w:val="21"/>
          <w:u w:val="single"/>
        </w:rPr>
        <w:t>投</w:t>
      </w:r>
      <w:r>
        <w:rPr>
          <w:rFonts w:asciiTheme="minorEastAsia" w:hAnsiTheme="minorEastAsia"/>
          <w:i/>
          <w:snapToGrid w:val="0"/>
          <w:color w:val="auto"/>
          <w:sz w:val="21"/>
          <w:szCs w:val="21"/>
          <w:u w:val="single"/>
        </w:rPr>
        <w:t>标</w:t>
      </w:r>
      <w:r>
        <w:rPr>
          <w:rFonts w:hint="eastAsia" w:asciiTheme="minorEastAsia" w:hAnsiTheme="minorEastAsia"/>
          <w:i/>
          <w:snapToGrid w:val="0"/>
          <w:color w:val="auto"/>
          <w:sz w:val="21"/>
          <w:szCs w:val="21"/>
          <w:u w:val="single"/>
        </w:rPr>
        <w:t>人名</w:t>
      </w:r>
      <w:r>
        <w:rPr>
          <w:rFonts w:asciiTheme="minorEastAsia" w:hAnsiTheme="minorEastAsia"/>
          <w:i/>
          <w:snapToGrid w:val="0"/>
          <w:color w:val="auto"/>
          <w:sz w:val="21"/>
          <w:szCs w:val="21"/>
          <w:u w:val="single"/>
        </w:rPr>
        <w:t>称</w:t>
      </w:r>
      <w:r>
        <w:rPr>
          <w:rFonts w:hint="eastAsia" w:asciiTheme="minorEastAsia" w:hAnsiTheme="minorEastAsia"/>
          <w:i/>
          <w:snapToGrid w:val="0"/>
          <w:color w:val="auto"/>
          <w:sz w:val="21"/>
          <w:szCs w:val="21"/>
          <w:u w:val="single"/>
        </w:rPr>
        <w:t xml:space="preserve">  </w:t>
      </w:r>
      <w:r>
        <w:rPr>
          <w:rFonts w:hint="eastAsia" w:asciiTheme="minorEastAsia" w:hAnsiTheme="minorEastAsia"/>
          <w:color w:val="auto"/>
          <w:sz w:val="21"/>
          <w:szCs w:val="21"/>
        </w:rPr>
        <w:t>的法定代表人（单位负责人）。就</w:t>
      </w:r>
      <w:r>
        <w:rPr>
          <w:rFonts w:asciiTheme="minorEastAsia" w:hAnsiTheme="minorEastAsia"/>
          <w:color w:val="auto"/>
          <w:sz w:val="21"/>
          <w:szCs w:val="21"/>
        </w:rPr>
        <w:t>参</w:t>
      </w:r>
      <w:r>
        <w:rPr>
          <w:rFonts w:hint="eastAsia" w:asciiTheme="minorEastAsia" w:hAnsiTheme="minorEastAsia"/>
          <w:color w:val="auto"/>
          <w:sz w:val="21"/>
          <w:szCs w:val="21"/>
        </w:rPr>
        <w:t>加贵方招</w:t>
      </w:r>
      <w:r>
        <w:rPr>
          <w:rFonts w:asciiTheme="minorEastAsia" w:hAnsiTheme="minorEastAsia"/>
          <w:color w:val="auto"/>
          <w:sz w:val="21"/>
          <w:szCs w:val="21"/>
        </w:rPr>
        <w:t>标编号为</w:t>
      </w:r>
      <w:r>
        <w:rPr>
          <w:rFonts w:hint="eastAsia" w:asciiTheme="minorEastAsia" w:hAnsiTheme="minorEastAsia"/>
          <w:color w:val="auto"/>
          <w:sz w:val="21"/>
          <w:szCs w:val="21"/>
          <w:u w:val="single"/>
        </w:rPr>
        <w:t xml:space="preserve">  </w:t>
      </w:r>
      <w:r>
        <w:rPr>
          <w:rFonts w:asciiTheme="minorEastAsia" w:hAnsiTheme="minorEastAsia"/>
          <w:i/>
          <w:color w:val="auto"/>
          <w:sz w:val="21"/>
          <w:szCs w:val="21"/>
          <w:u w:val="single"/>
        </w:rPr>
        <w:t>项目编号</w:t>
      </w:r>
      <w:r>
        <w:rPr>
          <w:rFonts w:hint="eastAsia" w:asciiTheme="minorEastAsia" w:hAnsiTheme="minorEastAsia"/>
          <w:i/>
          <w:color w:val="auto"/>
          <w:sz w:val="21"/>
          <w:szCs w:val="21"/>
          <w:u w:val="single"/>
        </w:rPr>
        <w:t xml:space="preserve"> </w:t>
      </w:r>
      <w:r>
        <w:rPr>
          <w:rFonts w:hint="eastAsia" w:asciiTheme="minorEastAsia" w:hAnsiTheme="minorEastAsia"/>
          <w:color w:val="auto"/>
          <w:sz w:val="21"/>
          <w:szCs w:val="21"/>
          <w:u w:val="single"/>
        </w:rPr>
        <w:t xml:space="preserve">  </w:t>
      </w:r>
      <w:r>
        <w:rPr>
          <w:rFonts w:hint="eastAsia" w:asciiTheme="minorEastAsia" w:hAnsiTheme="minorEastAsia"/>
          <w:color w:val="auto"/>
          <w:sz w:val="21"/>
          <w:szCs w:val="21"/>
        </w:rPr>
        <w:t>的</w:t>
      </w:r>
      <w:r>
        <w:rPr>
          <w:rFonts w:hint="eastAsia" w:asciiTheme="minorEastAsia" w:hAnsiTheme="minorEastAsia"/>
          <w:color w:val="auto"/>
          <w:sz w:val="21"/>
          <w:szCs w:val="21"/>
          <w:u w:val="single"/>
        </w:rPr>
        <w:t xml:space="preserve">  </w:t>
      </w:r>
      <w:r>
        <w:rPr>
          <w:rFonts w:asciiTheme="minorEastAsia" w:hAnsiTheme="minorEastAsia"/>
          <w:i/>
          <w:color w:val="auto"/>
          <w:sz w:val="21"/>
          <w:szCs w:val="21"/>
          <w:u w:val="single"/>
        </w:rPr>
        <w:t>项目</w:t>
      </w:r>
      <w:r>
        <w:rPr>
          <w:rFonts w:hint="eastAsia" w:asciiTheme="minorEastAsia" w:hAnsiTheme="minorEastAsia"/>
          <w:i/>
          <w:color w:val="auto"/>
          <w:sz w:val="21"/>
          <w:szCs w:val="21"/>
          <w:u w:val="single"/>
        </w:rPr>
        <w:t>名</w:t>
      </w:r>
      <w:r>
        <w:rPr>
          <w:rFonts w:asciiTheme="minorEastAsia" w:hAnsiTheme="minorEastAsia"/>
          <w:i/>
          <w:color w:val="auto"/>
          <w:sz w:val="21"/>
          <w:szCs w:val="21"/>
          <w:u w:val="single"/>
        </w:rPr>
        <w:t>称</w:t>
      </w:r>
      <w:r>
        <w:rPr>
          <w:rFonts w:hint="eastAsia" w:asciiTheme="minorEastAsia" w:hAnsiTheme="minorEastAsia"/>
          <w:i/>
          <w:color w:val="auto"/>
          <w:sz w:val="21"/>
          <w:szCs w:val="21"/>
          <w:u w:val="single"/>
        </w:rPr>
        <w:t xml:space="preserve"> </w:t>
      </w:r>
      <w:r>
        <w:rPr>
          <w:rFonts w:hint="eastAsia" w:asciiTheme="minorEastAsia" w:hAnsiTheme="minorEastAsia"/>
          <w:color w:val="auto"/>
          <w:sz w:val="21"/>
          <w:szCs w:val="21"/>
          <w:u w:val="single"/>
        </w:rPr>
        <w:t xml:space="preserve">   </w:t>
      </w:r>
      <w:r>
        <w:rPr>
          <w:rFonts w:hint="eastAsia" w:asciiTheme="minorEastAsia" w:hAnsiTheme="minorEastAsia"/>
          <w:color w:val="auto"/>
          <w:sz w:val="21"/>
          <w:szCs w:val="21"/>
        </w:rPr>
        <w:t>公</w:t>
      </w:r>
      <w:r>
        <w:rPr>
          <w:rFonts w:asciiTheme="minorEastAsia" w:hAnsiTheme="minorEastAsia"/>
          <w:color w:val="auto"/>
          <w:sz w:val="21"/>
          <w:szCs w:val="21"/>
        </w:rPr>
        <w:t>开</w:t>
      </w:r>
      <w:r>
        <w:rPr>
          <w:rFonts w:hint="eastAsia" w:asciiTheme="minorEastAsia" w:hAnsiTheme="minorEastAsia"/>
          <w:color w:val="auto"/>
          <w:sz w:val="21"/>
          <w:szCs w:val="21"/>
        </w:rPr>
        <w:t>招</w:t>
      </w:r>
      <w:r>
        <w:rPr>
          <w:rFonts w:asciiTheme="minorEastAsia" w:hAnsiTheme="minorEastAsia"/>
          <w:color w:val="auto"/>
          <w:sz w:val="21"/>
          <w:szCs w:val="21"/>
        </w:rPr>
        <w:t>标项目</w:t>
      </w:r>
      <w:r>
        <w:rPr>
          <w:rFonts w:hint="eastAsia" w:asciiTheme="minorEastAsia" w:hAnsiTheme="minorEastAsia"/>
          <w:color w:val="auto"/>
          <w:sz w:val="21"/>
          <w:szCs w:val="21"/>
        </w:rPr>
        <w:t>的投</w:t>
      </w:r>
      <w:r>
        <w:rPr>
          <w:rFonts w:asciiTheme="minorEastAsia" w:hAnsiTheme="minorEastAsia"/>
          <w:color w:val="auto"/>
          <w:sz w:val="21"/>
          <w:szCs w:val="21"/>
        </w:rPr>
        <w:t>标报价</w:t>
      </w:r>
      <w:r>
        <w:rPr>
          <w:rFonts w:hint="eastAsia" w:asciiTheme="minorEastAsia" w:hAnsiTheme="minorEastAsia"/>
          <w:color w:val="auto"/>
          <w:sz w:val="21"/>
          <w:szCs w:val="21"/>
        </w:rPr>
        <w:t>，</w:t>
      </w:r>
      <w:r>
        <w:rPr>
          <w:rFonts w:asciiTheme="minorEastAsia" w:hAnsiTheme="minorEastAsia"/>
          <w:color w:val="auto"/>
          <w:sz w:val="21"/>
          <w:szCs w:val="21"/>
        </w:rPr>
        <w:t>签</w:t>
      </w:r>
      <w:r>
        <w:rPr>
          <w:rFonts w:hint="eastAsia" w:asciiTheme="minorEastAsia" w:hAnsiTheme="minorEastAsia"/>
          <w:color w:val="auto"/>
          <w:sz w:val="21"/>
          <w:szCs w:val="21"/>
        </w:rPr>
        <w:t>署上</w:t>
      </w:r>
      <w:r>
        <w:rPr>
          <w:rFonts w:asciiTheme="minorEastAsia" w:hAnsiTheme="minorEastAsia"/>
          <w:color w:val="auto"/>
          <w:sz w:val="21"/>
          <w:szCs w:val="21"/>
        </w:rPr>
        <w:t>述项目</w:t>
      </w:r>
      <w:r>
        <w:rPr>
          <w:rFonts w:hint="eastAsia" w:asciiTheme="minorEastAsia" w:hAnsiTheme="minorEastAsia"/>
          <w:color w:val="auto"/>
          <w:sz w:val="21"/>
          <w:szCs w:val="21"/>
        </w:rPr>
        <w:t>的投</w:t>
      </w:r>
      <w:r>
        <w:rPr>
          <w:rFonts w:asciiTheme="minorEastAsia" w:hAnsiTheme="minorEastAsia"/>
          <w:color w:val="auto"/>
          <w:sz w:val="21"/>
          <w:szCs w:val="21"/>
        </w:rPr>
        <w:t>标</w:t>
      </w:r>
      <w:r>
        <w:rPr>
          <w:rFonts w:hint="eastAsia" w:asciiTheme="minorEastAsia" w:hAnsiTheme="minorEastAsia"/>
          <w:color w:val="auto"/>
          <w:sz w:val="21"/>
          <w:szCs w:val="21"/>
        </w:rPr>
        <w:t>文件及合同的</w:t>
      </w:r>
      <w:r>
        <w:rPr>
          <w:rFonts w:asciiTheme="minorEastAsia" w:hAnsiTheme="minorEastAsia"/>
          <w:color w:val="auto"/>
          <w:sz w:val="21"/>
          <w:szCs w:val="21"/>
        </w:rPr>
        <w:t>执</w:t>
      </w:r>
      <w:r>
        <w:rPr>
          <w:rFonts w:hint="eastAsia" w:asciiTheme="minorEastAsia" w:hAnsiTheme="minorEastAsia"/>
          <w:color w:val="auto"/>
          <w:sz w:val="21"/>
          <w:szCs w:val="21"/>
        </w:rPr>
        <w:t>行、完成、服</w:t>
      </w:r>
      <w:r>
        <w:rPr>
          <w:rFonts w:asciiTheme="minorEastAsia" w:hAnsiTheme="minorEastAsia"/>
          <w:color w:val="auto"/>
          <w:sz w:val="21"/>
          <w:szCs w:val="21"/>
        </w:rPr>
        <w:t>务</w:t>
      </w:r>
      <w:r>
        <w:rPr>
          <w:rFonts w:hint="eastAsia" w:asciiTheme="minorEastAsia" w:hAnsiTheme="minorEastAsia"/>
          <w:color w:val="auto"/>
          <w:sz w:val="21"/>
          <w:szCs w:val="21"/>
        </w:rPr>
        <w:t>和保修，</w:t>
      </w:r>
      <w:r>
        <w:rPr>
          <w:rFonts w:asciiTheme="minorEastAsia" w:hAnsiTheme="minorEastAsia"/>
          <w:color w:val="auto"/>
          <w:sz w:val="21"/>
          <w:szCs w:val="21"/>
        </w:rPr>
        <w:t>签</w:t>
      </w:r>
      <w:r>
        <w:rPr>
          <w:rFonts w:hint="eastAsia" w:asciiTheme="minorEastAsia" w:hAnsiTheme="minorEastAsia"/>
          <w:color w:val="auto"/>
          <w:sz w:val="21"/>
          <w:szCs w:val="21"/>
        </w:rPr>
        <w:t>署合同和</w:t>
      </w:r>
      <w:r>
        <w:rPr>
          <w:rFonts w:asciiTheme="minorEastAsia" w:hAnsiTheme="minorEastAsia"/>
          <w:color w:val="auto"/>
          <w:sz w:val="21"/>
          <w:szCs w:val="21"/>
        </w:rPr>
        <w:t>处</w:t>
      </w:r>
      <w:r>
        <w:rPr>
          <w:rFonts w:hint="eastAsia" w:asciiTheme="minorEastAsia" w:hAnsiTheme="minorEastAsia"/>
          <w:color w:val="auto"/>
          <w:sz w:val="21"/>
          <w:szCs w:val="21"/>
        </w:rPr>
        <w:t>理与之有</w:t>
      </w:r>
      <w:r>
        <w:rPr>
          <w:rFonts w:asciiTheme="minorEastAsia" w:hAnsiTheme="minorEastAsia"/>
          <w:color w:val="auto"/>
          <w:sz w:val="21"/>
          <w:szCs w:val="21"/>
        </w:rPr>
        <w:t>关的</w:t>
      </w:r>
      <w:r>
        <w:rPr>
          <w:rFonts w:hint="eastAsia" w:asciiTheme="minorEastAsia" w:hAnsiTheme="minorEastAsia"/>
          <w:color w:val="auto"/>
          <w:sz w:val="21"/>
          <w:szCs w:val="21"/>
        </w:rPr>
        <w:t>一切事</w:t>
      </w:r>
      <w:r>
        <w:rPr>
          <w:rFonts w:asciiTheme="minorEastAsia" w:hAnsiTheme="minorEastAsia"/>
          <w:color w:val="auto"/>
          <w:sz w:val="21"/>
          <w:szCs w:val="21"/>
        </w:rPr>
        <w:t>务</w:t>
      </w:r>
      <w:r>
        <w:rPr>
          <w:rFonts w:hint="eastAsia" w:asciiTheme="minorEastAsia" w:hAnsiTheme="minorEastAsia"/>
          <w:color w:val="auto"/>
          <w:sz w:val="21"/>
          <w:szCs w:val="21"/>
        </w:rPr>
        <w:t>。</w:t>
      </w:r>
    </w:p>
    <w:p>
      <w:pPr>
        <w:pStyle w:val="40"/>
        <w:spacing w:line="480" w:lineRule="auto"/>
        <w:ind w:firstLine="472" w:firstLineChars="225"/>
        <w:jc w:val="left"/>
        <w:rPr>
          <w:rFonts w:asciiTheme="minorEastAsia" w:hAnsiTheme="minorEastAsia"/>
          <w:color w:val="auto"/>
          <w:sz w:val="21"/>
          <w:szCs w:val="21"/>
        </w:rPr>
      </w:pPr>
      <w:r>
        <w:rPr>
          <w:rFonts w:hint="eastAsia" w:asciiTheme="minorEastAsia" w:hAnsiTheme="minorEastAsia"/>
          <w:color w:val="auto"/>
          <w:sz w:val="21"/>
          <w:szCs w:val="21"/>
        </w:rPr>
        <w:t>特此</w:t>
      </w:r>
      <w:r>
        <w:rPr>
          <w:rFonts w:asciiTheme="minorEastAsia" w:hAnsiTheme="minorEastAsia"/>
          <w:color w:val="auto"/>
          <w:sz w:val="21"/>
          <w:szCs w:val="21"/>
        </w:rPr>
        <w:t>证</w:t>
      </w:r>
      <w:r>
        <w:rPr>
          <w:rFonts w:hint="eastAsia" w:asciiTheme="minorEastAsia" w:hAnsiTheme="minorEastAsia"/>
          <w:color w:val="auto"/>
          <w:sz w:val="21"/>
          <w:szCs w:val="21"/>
        </w:rPr>
        <w:t>明。</w:t>
      </w:r>
    </w:p>
    <w:p>
      <w:pPr>
        <w:pStyle w:val="40"/>
        <w:spacing w:line="480" w:lineRule="auto"/>
        <w:ind w:firstLine="540" w:firstLineChars="225"/>
        <w:jc w:val="left"/>
        <w:rPr>
          <w:rFonts w:asciiTheme="minorEastAsia" w:hAnsiTheme="minorEastAsia"/>
          <w:color w:val="auto"/>
          <w:sz w:val="21"/>
          <w:szCs w:val="21"/>
        </w:rPr>
      </w:pPr>
      <w:r>
        <w:rPr>
          <w:rFonts w:hint="eastAsia" w:asciiTheme="minorEastAsia" w:hAnsiTheme="minorEastAsia"/>
          <w:color w:val="auto"/>
          <w:szCs w:val="21"/>
        </w:rPr>
        <w:t>法定代表人（单位负责人）联系电话（手机）：</w:t>
      </w:r>
    </w:p>
    <w:p>
      <w:pPr>
        <w:pStyle w:val="40"/>
        <w:spacing w:line="480" w:lineRule="auto"/>
        <w:ind w:firstLine="472" w:firstLineChars="225"/>
        <w:jc w:val="left"/>
        <w:rPr>
          <w:rFonts w:asciiTheme="minorEastAsia" w:hAnsiTheme="minorEastAsia"/>
          <w:color w:val="auto"/>
          <w:sz w:val="21"/>
          <w:szCs w:val="21"/>
        </w:rPr>
      </w:pPr>
    </w:p>
    <w:p>
      <w:pPr>
        <w:pStyle w:val="40"/>
        <w:spacing w:line="480" w:lineRule="auto"/>
        <w:ind w:left="-538" w:leftChars="-256" w:firstLine="539" w:firstLineChars="257"/>
        <w:jc w:val="center"/>
        <w:rPr>
          <w:rFonts w:asciiTheme="minorEastAsia" w:hAnsiTheme="minorEastAsia"/>
          <w:bCs/>
          <w:color w:val="auto"/>
          <w:sz w:val="21"/>
          <w:szCs w:val="21"/>
        </w:rPr>
      </w:pPr>
      <w:r>
        <w:rPr>
          <w:rFonts w:hint="eastAsia" w:asciiTheme="minorEastAsia" w:hAnsiTheme="minorEastAsia"/>
          <w:bCs/>
          <w:color w:val="auto"/>
          <w:sz w:val="21"/>
          <w:szCs w:val="21"/>
        </w:rPr>
        <w:t>【此</w:t>
      </w:r>
      <w:r>
        <w:rPr>
          <w:rFonts w:asciiTheme="minorEastAsia" w:hAnsiTheme="minorEastAsia"/>
          <w:bCs/>
          <w:color w:val="auto"/>
          <w:sz w:val="21"/>
          <w:szCs w:val="21"/>
        </w:rPr>
        <w:t>处请</w:t>
      </w:r>
      <w:r>
        <w:rPr>
          <w:rFonts w:hint="eastAsia" w:asciiTheme="minorEastAsia" w:hAnsiTheme="minorEastAsia"/>
          <w:bCs/>
          <w:color w:val="auto"/>
          <w:sz w:val="21"/>
          <w:szCs w:val="21"/>
        </w:rPr>
        <w:t>粘</w:t>
      </w:r>
      <w:r>
        <w:rPr>
          <w:rFonts w:asciiTheme="minorEastAsia" w:hAnsiTheme="minorEastAsia"/>
          <w:bCs/>
          <w:color w:val="auto"/>
          <w:sz w:val="21"/>
          <w:szCs w:val="21"/>
        </w:rPr>
        <w:t>贴</w:t>
      </w:r>
      <w:r>
        <w:rPr>
          <w:rFonts w:hint="eastAsia" w:asciiTheme="minorEastAsia" w:hAnsiTheme="minorEastAsia"/>
          <w:bCs/>
          <w:color w:val="auto"/>
          <w:sz w:val="21"/>
          <w:szCs w:val="21"/>
        </w:rPr>
        <w:t>法定代表人（单位负责人）身份</w:t>
      </w:r>
      <w:r>
        <w:rPr>
          <w:rFonts w:asciiTheme="minorEastAsia" w:hAnsiTheme="minorEastAsia"/>
          <w:bCs/>
          <w:color w:val="auto"/>
          <w:sz w:val="21"/>
          <w:szCs w:val="21"/>
        </w:rPr>
        <w:t>证复</w:t>
      </w:r>
      <w:r>
        <w:rPr>
          <w:rFonts w:hint="eastAsia" w:asciiTheme="minorEastAsia" w:hAnsiTheme="minorEastAsia"/>
          <w:bCs/>
          <w:color w:val="auto"/>
          <w:sz w:val="21"/>
          <w:szCs w:val="21"/>
        </w:rPr>
        <w:t>印件，需清晰反映身份证有效期限】</w:t>
      </w:r>
    </w:p>
    <w:p>
      <w:pPr>
        <w:pStyle w:val="40"/>
        <w:spacing w:line="480" w:lineRule="auto"/>
        <w:ind w:left="-538" w:leftChars="-256" w:firstLine="539" w:firstLineChars="257"/>
        <w:jc w:val="center"/>
        <w:rPr>
          <w:rFonts w:asciiTheme="minorEastAsia" w:hAnsiTheme="minorEastAsia"/>
          <w:bCs/>
          <w:color w:val="auto"/>
          <w:sz w:val="21"/>
          <w:szCs w:val="21"/>
        </w:rPr>
      </w:pPr>
    </w:p>
    <w:p>
      <w:pPr>
        <w:autoSpaceDE w:val="0"/>
        <w:autoSpaceDN w:val="0"/>
        <w:adjustRightInd w:val="0"/>
        <w:spacing w:line="360" w:lineRule="auto"/>
        <w:ind w:right="-11"/>
        <w:rPr>
          <w:rFonts w:cs="宋体" w:asciiTheme="minorEastAsia" w:hAnsiTheme="minorEastAsia"/>
          <w:color w:val="auto"/>
          <w:szCs w:val="21"/>
          <w:lang w:val="zh-CN"/>
        </w:rPr>
      </w:pPr>
    </w:p>
    <w:p>
      <w:pPr>
        <w:autoSpaceDE w:val="0"/>
        <w:autoSpaceDN w:val="0"/>
        <w:adjustRightInd w:val="0"/>
        <w:spacing w:line="360" w:lineRule="auto"/>
        <w:ind w:right="-11"/>
        <w:rPr>
          <w:rFonts w:cs="宋体" w:asciiTheme="minorEastAsia" w:hAnsiTheme="minorEastAsia"/>
          <w:color w:val="auto"/>
          <w:szCs w:val="21"/>
          <w:lang w:val="zh-CN"/>
        </w:rPr>
      </w:pPr>
    </w:p>
    <w:p>
      <w:pPr>
        <w:autoSpaceDE w:val="0"/>
        <w:autoSpaceDN w:val="0"/>
        <w:adjustRightInd w:val="0"/>
        <w:spacing w:line="360" w:lineRule="auto"/>
        <w:ind w:right="-11"/>
        <w:rPr>
          <w:rFonts w:cs="宋体" w:asciiTheme="minorEastAsia" w:hAnsiTheme="minorEastAsia"/>
          <w:color w:val="auto"/>
          <w:szCs w:val="21"/>
          <w:lang w:val="zh-CN"/>
        </w:rPr>
      </w:pPr>
    </w:p>
    <w:p>
      <w:pPr>
        <w:spacing w:line="480" w:lineRule="auto"/>
        <w:ind w:firstLine="3937" w:firstLineChars="1875"/>
        <w:rPr>
          <w:rFonts w:cs="Arial" w:asciiTheme="minorEastAsia" w:hAnsiTheme="minorEastAsia"/>
          <w:color w:val="auto"/>
          <w:szCs w:val="21"/>
          <w:u w:val="single"/>
        </w:rPr>
      </w:pPr>
      <w:r>
        <w:rPr>
          <w:rFonts w:hint="eastAsia" w:cs="Arial" w:asciiTheme="minorEastAsia" w:hAnsiTheme="minorEastAsia"/>
          <w:color w:val="auto"/>
          <w:szCs w:val="21"/>
        </w:rPr>
        <w:t>投标人名称（并加盖公章）：</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 xml:space="preserve"> </w:t>
      </w:r>
    </w:p>
    <w:p>
      <w:pPr>
        <w:pStyle w:val="43"/>
        <w:spacing w:before="60" w:line="480" w:lineRule="auto"/>
        <w:ind w:firstLine="3937" w:firstLineChars="1875"/>
        <w:rPr>
          <w:rFonts w:cs="Arial" w:asciiTheme="minorEastAsia" w:hAnsiTheme="minorEastAsia" w:eastAsiaTheme="minorEastAsia"/>
          <w:color w:val="auto"/>
          <w:sz w:val="21"/>
          <w:szCs w:val="21"/>
        </w:rPr>
      </w:pPr>
      <w:r>
        <w:rPr>
          <w:rFonts w:hint="eastAsia" w:cs="Arial" w:asciiTheme="minorEastAsia" w:hAnsiTheme="minorEastAsia" w:eastAsiaTheme="minorEastAsia"/>
          <w:color w:val="auto"/>
          <w:sz w:val="21"/>
          <w:szCs w:val="21"/>
        </w:rPr>
        <w:t>签署日期：</w:t>
      </w:r>
      <w:r>
        <w:rPr>
          <w:rFonts w:hint="eastAsia" w:cs="Arial" w:asciiTheme="minorEastAsia" w:hAnsiTheme="minorEastAsia" w:eastAsiaTheme="minorEastAsia"/>
          <w:color w:val="auto"/>
          <w:sz w:val="21"/>
          <w:szCs w:val="21"/>
          <w:u w:val="single"/>
        </w:rPr>
        <w:t xml:space="preserve">      </w:t>
      </w:r>
      <w:r>
        <w:rPr>
          <w:rFonts w:hint="eastAsia" w:cs="Arial" w:asciiTheme="minorEastAsia" w:hAnsiTheme="minorEastAsia" w:eastAsiaTheme="minorEastAsia"/>
          <w:color w:val="auto"/>
          <w:sz w:val="21"/>
          <w:szCs w:val="21"/>
        </w:rPr>
        <w:t xml:space="preserve">年 </w:t>
      </w:r>
      <w:r>
        <w:rPr>
          <w:rFonts w:hint="eastAsia" w:cs="Arial" w:asciiTheme="minorEastAsia" w:hAnsiTheme="minorEastAsia" w:eastAsiaTheme="minorEastAsia"/>
          <w:color w:val="auto"/>
          <w:sz w:val="21"/>
          <w:szCs w:val="21"/>
          <w:u w:val="single"/>
        </w:rPr>
        <w:t xml:space="preserve">     </w:t>
      </w:r>
      <w:r>
        <w:rPr>
          <w:rFonts w:hint="eastAsia" w:cs="Arial" w:asciiTheme="minorEastAsia" w:hAnsiTheme="minorEastAsia" w:eastAsiaTheme="minorEastAsia"/>
          <w:color w:val="auto"/>
          <w:sz w:val="21"/>
          <w:szCs w:val="21"/>
        </w:rPr>
        <w:t>月</w:t>
      </w:r>
      <w:r>
        <w:rPr>
          <w:rFonts w:hint="eastAsia" w:cs="Arial" w:asciiTheme="minorEastAsia" w:hAnsiTheme="minorEastAsia" w:eastAsiaTheme="minorEastAsia"/>
          <w:color w:val="auto"/>
          <w:sz w:val="21"/>
          <w:szCs w:val="21"/>
          <w:u w:val="single"/>
        </w:rPr>
        <w:t xml:space="preserve">    </w:t>
      </w:r>
      <w:r>
        <w:rPr>
          <w:rFonts w:hint="eastAsia" w:cs="Arial" w:asciiTheme="minorEastAsia" w:hAnsiTheme="minorEastAsia" w:eastAsiaTheme="minorEastAsia"/>
          <w:color w:val="auto"/>
          <w:sz w:val="21"/>
          <w:szCs w:val="21"/>
        </w:rPr>
        <w:t xml:space="preserve"> 日</w:t>
      </w:r>
    </w:p>
    <w:p>
      <w:pPr>
        <w:pStyle w:val="42"/>
        <w:spacing w:line="480" w:lineRule="auto"/>
        <w:rPr>
          <w:rFonts w:cs="Arial" w:asciiTheme="minorEastAsia" w:hAnsiTheme="minorEastAsia"/>
          <w:color w:val="auto"/>
          <w:sz w:val="21"/>
          <w:szCs w:val="21"/>
        </w:rPr>
      </w:pPr>
    </w:p>
    <w:p>
      <w:pPr>
        <w:rPr>
          <w:color w:val="auto"/>
          <w:szCs w:val="21"/>
        </w:rPr>
      </w:pPr>
    </w:p>
    <w:p>
      <w:pPr>
        <w:spacing w:line="320" w:lineRule="exact"/>
        <w:ind w:firstLine="420" w:firstLineChars="200"/>
        <w:rPr>
          <w:rFonts w:asciiTheme="minorEastAsia" w:hAnsiTheme="minorEastAsia"/>
          <w:bCs/>
          <w:color w:val="auto"/>
          <w:kern w:val="12"/>
          <w:szCs w:val="21"/>
        </w:rPr>
      </w:pPr>
      <w:r>
        <w:rPr>
          <w:rFonts w:hint="eastAsia" w:asciiTheme="minorEastAsia" w:hAnsiTheme="minorEastAsia"/>
          <w:bCs/>
          <w:color w:val="auto"/>
          <w:kern w:val="12"/>
          <w:szCs w:val="21"/>
        </w:rPr>
        <w:t>说明：法定代表人（单位负责人）</w:t>
      </w:r>
      <w:r>
        <w:rPr>
          <w:rFonts w:asciiTheme="minorEastAsia" w:hAnsiTheme="minorEastAsia"/>
          <w:bCs/>
          <w:color w:val="auto"/>
          <w:kern w:val="12"/>
          <w:szCs w:val="21"/>
        </w:rPr>
        <w:t>参</w:t>
      </w:r>
      <w:r>
        <w:rPr>
          <w:rFonts w:hint="eastAsia" w:asciiTheme="minorEastAsia" w:hAnsiTheme="minorEastAsia"/>
          <w:bCs/>
          <w:color w:val="auto"/>
          <w:kern w:val="12"/>
          <w:szCs w:val="21"/>
        </w:rPr>
        <w:t>加本招</w:t>
      </w:r>
      <w:r>
        <w:rPr>
          <w:rFonts w:asciiTheme="minorEastAsia" w:hAnsiTheme="minorEastAsia"/>
          <w:bCs/>
          <w:color w:val="auto"/>
          <w:kern w:val="12"/>
          <w:szCs w:val="21"/>
        </w:rPr>
        <w:t>标项目</w:t>
      </w:r>
      <w:r>
        <w:rPr>
          <w:rFonts w:hint="eastAsia" w:asciiTheme="minorEastAsia" w:hAnsiTheme="minorEastAsia"/>
          <w:bCs/>
          <w:color w:val="auto"/>
          <w:kern w:val="12"/>
          <w:szCs w:val="21"/>
        </w:rPr>
        <w:t>投</w:t>
      </w:r>
      <w:r>
        <w:rPr>
          <w:rFonts w:asciiTheme="minorEastAsia" w:hAnsiTheme="minorEastAsia"/>
          <w:bCs/>
          <w:color w:val="auto"/>
          <w:kern w:val="12"/>
          <w:szCs w:val="21"/>
        </w:rPr>
        <w:t>标</w:t>
      </w:r>
      <w:r>
        <w:rPr>
          <w:rFonts w:hint="eastAsia" w:asciiTheme="minorEastAsia" w:hAnsiTheme="minorEastAsia"/>
          <w:bCs/>
          <w:color w:val="auto"/>
          <w:kern w:val="12"/>
          <w:szCs w:val="21"/>
        </w:rPr>
        <w:t>的，</w:t>
      </w:r>
      <w:r>
        <w:rPr>
          <w:rFonts w:asciiTheme="minorEastAsia" w:hAnsiTheme="minorEastAsia"/>
          <w:bCs/>
          <w:color w:val="auto"/>
          <w:kern w:val="12"/>
          <w:szCs w:val="21"/>
        </w:rPr>
        <w:t>仅须</w:t>
      </w:r>
      <w:r>
        <w:rPr>
          <w:rFonts w:hint="eastAsia" w:asciiTheme="minorEastAsia" w:hAnsiTheme="minorEastAsia"/>
          <w:bCs/>
          <w:color w:val="auto"/>
          <w:kern w:val="12"/>
          <w:szCs w:val="21"/>
        </w:rPr>
        <w:t>出具此</w:t>
      </w:r>
      <w:r>
        <w:rPr>
          <w:rFonts w:asciiTheme="minorEastAsia" w:hAnsiTheme="minorEastAsia"/>
          <w:bCs/>
          <w:color w:val="auto"/>
          <w:kern w:val="12"/>
          <w:szCs w:val="21"/>
        </w:rPr>
        <w:t>证</w:t>
      </w:r>
      <w:r>
        <w:rPr>
          <w:rFonts w:hint="eastAsia" w:asciiTheme="minorEastAsia" w:hAnsiTheme="minorEastAsia"/>
          <w:bCs/>
          <w:color w:val="auto"/>
          <w:kern w:val="12"/>
          <w:szCs w:val="21"/>
        </w:rPr>
        <w:t>明</w:t>
      </w:r>
      <w:r>
        <w:rPr>
          <w:rFonts w:asciiTheme="minorEastAsia" w:hAnsiTheme="minorEastAsia"/>
          <w:bCs/>
          <w:color w:val="auto"/>
          <w:kern w:val="12"/>
          <w:szCs w:val="21"/>
        </w:rPr>
        <w:t>书</w:t>
      </w:r>
      <w:r>
        <w:rPr>
          <w:rFonts w:hint="eastAsia" w:asciiTheme="minorEastAsia" w:hAnsiTheme="minorEastAsia"/>
          <w:bCs/>
          <w:color w:val="auto"/>
          <w:kern w:val="12"/>
          <w:szCs w:val="21"/>
        </w:rPr>
        <w:t>。</w:t>
      </w:r>
    </w:p>
    <w:p>
      <w:pPr>
        <w:spacing w:line="480" w:lineRule="exact"/>
        <w:jc w:val="center"/>
        <w:rPr>
          <w:rFonts w:ascii="宋体" w:hAnsi="宋体"/>
          <w:b/>
          <w:bCs/>
          <w:color w:val="auto"/>
          <w:sz w:val="36"/>
          <w:szCs w:val="36"/>
        </w:rPr>
      </w:pPr>
    </w:p>
    <w:p>
      <w:pPr>
        <w:spacing w:line="480" w:lineRule="exact"/>
        <w:jc w:val="center"/>
        <w:rPr>
          <w:rFonts w:ascii="宋体" w:hAnsi="宋体"/>
          <w:b/>
          <w:bCs/>
          <w:color w:val="auto"/>
          <w:sz w:val="24"/>
          <w:szCs w:val="24"/>
        </w:rPr>
      </w:pPr>
      <w:r>
        <w:rPr>
          <w:rFonts w:hint="eastAsia" w:ascii="宋体" w:hAnsi="宋体"/>
          <w:b/>
          <w:bCs/>
          <w:color w:val="auto"/>
          <w:sz w:val="24"/>
          <w:szCs w:val="24"/>
        </w:rPr>
        <w:t>3.3 法定代表人（单位负责人）授权书</w:t>
      </w:r>
    </w:p>
    <w:p>
      <w:pPr>
        <w:spacing w:line="480" w:lineRule="exact"/>
        <w:jc w:val="center"/>
        <w:rPr>
          <w:rFonts w:ascii="宋体" w:hAnsi="宋体"/>
          <w:b/>
          <w:bCs/>
          <w:color w:val="auto"/>
          <w:sz w:val="36"/>
          <w:szCs w:val="36"/>
        </w:rPr>
      </w:pPr>
    </w:p>
    <w:p>
      <w:pPr>
        <w:adjustRightInd w:val="0"/>
        <w:spacing w:line="360" w:lineRule="auto"/>
        <w:ind w:firstLine="441" w:firstLineChars="210"/>
        <w:contextualSpacing/>
        <w:rPr>
          <w:rFonts w:cs="Arial" w:asciiTheme="minorEastAsia" w:hAnsiTheme="minorEastAsia"/>
          <w:color w:val="auto"/>
          <w:szCs w:val="21"/>
        </w:rPr>
      </w:pPr>
      <w:r>
        <w:rPr>
          <w:rFonts w:hint="eastAsia" w:asciiTheme="minorEastAsia" w:hAnsiTheme="minorEastAsia"/>
          <w:color w:val="auto"/>
          <w:szCs w:val="21"/>
        </w:rPr>
        <w:t xml:space="preserve"> </w:t>
      </w:r>
      <w:r>
        <w:rPr>
          <w:rFonts w:hint="eastAsia" w:cs="Arial" w:asciiTheme="minorEastAsia" w:hAnsiTheme="minorEastAsia"/>
          <w:color w:val="auto"/>
          <w:szCs w:val="21"/>
        </w:rPr>
        <w:t>本人</w:t>
      </w:r>
      <w:r>
        <w:rPr>
          <w:rFonts w:hint="eastAsia" w:cs="Arial" w:asciiTheme="minorEastAsia" w:hAnsiTheme="minorEastAsia"/>
          <w:color w:val="auto"/>
          <w:szCs w:val="21"/>
          <w:u w:val="single"/>
        </w:rPr>
        <w:t xml:space="preserve">　 </w:t>
      </w:r>
      <w:r>
        <w:rPr>
          <w:rFonts w:hint="eastAsia" w:asciiTheme="minorEastAsia" w:hAnsiTheme="minorEastAsia"/>
          <w:i/>
          <w:snapToGrid w:val="0"/>
          <w:color w:val="auto"/>
          <w:szCs w:val="21"/>
          <w:u w:val="single"/>
        </w:rPr>
        <w:t>法人姓名</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系</w:t>
      </w:r>
      <w:r>
        <w:rPr>
          <w:rFonts w:hint="eastAsia" w:cs="Arial" w:asciiTheme="minorEastAsia" w:hAnsiTheme="minorEastAsia"/>
          <w:color w:val="auto"/>
          <w:szCs w:val="21"/>
          <w:u w:val="single"/>
        </w:rPr>
        <w:t>　</w:t>
      </w:r>
      <w:r>
        <w:rPr>
          <w:rFonts w:hint="eastAsia" w:asciiTheme="minorEastAsia" w:hAnsiTheme="minorEastAsia"/>
          <w:i/>
          <w:snapToGrid w:val="0"/>
          <w:color w:val="auto"/>
          <w:szCs w:val="21"/>
          <w:u w:val="single"/>
        </w:rPr>
        <w:t xml:space="preserve">投标人名称  </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的法定代表人（单位负责人），现委托</w:t>
      </w:r>
      <w:r>
        <w:rPr>
          <w:rFonts w:hint="eastAsia" w:cs="Arial" w:asciiTheme="minorEastAsia" w:hAnsiTheme="minorEastAsia"/>
          <w:color w:val="auto"/>
          <w:szCs w:val="21"/>
          <w:u w:val="single"/>
        </w:rPr>
        <w:t xml:space="preserve">　 </w:t>
      </w:r>
      <w:r>
        <w:rPr>
          <w:rFonts w:hint="eastAsia" w:asciiTheme="minorEastAsia" w:hAnsiTheme="minorEastAsia"/>
          <w:i/>
          <w:snapToGrid w:val="0"/>
          <w:color w:val="auto"/>
          <w:szCs w:val="21"/>
          <w:u w:val="single"/>
        </w:rPr>
        <w:t>姓名，职务</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以我方的名义参加贵方</w:t>
      </w:r>
      <w:r>
        <w:rPr>
          <w:rFonts w:hint="eastAsia" w:asciiTheme="minorEastAsia" w:hAnsiTheme="minorEastAsia"/>
          <w:color w:val="auto"/>
          <w:szCs w:val="21"/>
          <w:u w:val="single"/>
        </w:rPr>
        <w:t xml:space="preserve">  </w:t>
      </w:r>
      <w:r>
        <w:rPr>
          <w:rFonts w:asciiTheme="minorEastAsia" w:hAnsiTheme="minorEastAsia"/>
          <w:i/>
          <w:color w:val="auto"/>
          <w:szCs w:val="21"/>
          <w:u w:val="single"/>
        </w:rPr>
        <w:t>项目编号</w:t>
      </w:r>
      <w:r>
        <w:rPr>
          <w:rFonts w:hint="eastAsia" w:asciiTheme="minorEastAsia" w:hAnsiTheme="minorEastAsia"/>
          <w:i/>
          <w:color w:val="auto"/>
          <w:szCs w:val="21"/>
          <w:u w:val="single"/>
        </w:rPr>
        <w:t xml:space="preserve"> </w:t>
      </w:r>
      <w:r>
        <w:rPr>
          <w:rFonts w:hint="eastAsia" w:asciiTheme="minorEastAsia" w:hAnsiTheme="minorEastAsia"/>
          <w:color w:val="auto"/>
          <w:szCs w:val="21"/>
          <w:u w:val="single"/>
        </w:rPr>
        <w:t xml:space="preserve">  </w:t>
      </w:r>
      <w:r>
        <w:rPr>
          <w:rFonts w:hint="eastAsia" w:asciiTheme="minorEastAsia" w:hAnsiTheme="minorEastAsia"/>
          <w:color w:val="auto"/>
          <w:szCs w:val="21"/>
        </w:rPr>
        <w:t>的</w:t>
      </w:r>
      <w:r>
        <w:rPr>
          <w:rFonts w:hint="eastAsia" w:asciiTheme="minorEastAsia" w:hAnsiTheme="minorEastAsia"/>
          <w:color w:val="auto"/>
          <w:szCs w:val="21"/>
          <w:u w:val="single"/>
        </w:rPr>
        <w:t xml:space="preserve">  </w:t>
      </w:r>
      <w:r>
        <w:rPr>
          <w:rFonts w:asciiTheme="minorEastAsia" w:hAnsiTheme="minorEastAsia"/>
          <w:i/>
          <w:color w:val="auto"/>
          <w:szCs w:val="21"/>
          <w:u w:val="single"/>
        </w:rPr>
        <w:t>项目</w:t>
      </w:r>
      <w:r>
        <w:rPr>
          <w:rFonts w:hint="eastAsia" w:asciiTheme="minorEastAsia" w:hAnsiTheme="minorEastAsia"/>
          <w:i/>
          <w:color w:val="auto"/>
          <w:szCs w:val="21"/>
          <w:u w:val="single"/>
        </w:rPr>
        <w:t>名</w:t>
      </w:r>
      <w:r>
        <w:rPr>
          <w:rFonts w:asciiTheme="minorEastAsia" w:hAnsiTheme="minorEastAsia"/>
          <w:i/>
          <w:color w:val="auto"/>
          <w:szCs w:val="21"/>
          <w:u w:val="single"/>
        </w:rPr>
        <w:t>称</w:t>
      </w:r>
      <w:r>
        <w:rPr>
          <w:rFonts w:hint="eastAsia" w:asciiTheme="minorEastAsia" w:hAnsiTheme="minorEastAsia"/>
          <w:i/>
          <w:color w:val="auto"/>
          <w:szCs w:val="21"/>
          <w:u w:val="single"/>
        </w:rPr>
        <w:t xml:space="preserve"> </w:t>
      </w:r>
      <w:r>
        <w:rPr>
          <w:rFonts w:hint="eastAsia" w:asciiTheme="minorEastAsia" w:hAnsiTheme="minorEastAsia"/>
          <w:color w:val="auto"/>
          <w:szCs w:val="21"/>
          <w:u w:val="single"/>
        </w:rPr>
        <w:t xml:space="preserve">   </w:t>
      </w:r>
      <w:r>
        <w:rPr>
          <w:rFonts w:hint="eastAsia" w:cs="Arial" w:asciiTheme="minorEastAsia" w:hAnsiTheme="minorEastAsia"/>
          <w:color w:val="auto"/>
          <w:szCs w:val="21"/>
        </w:rPr>
        <w:t>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我方对被授权人的签名事项负全部责任。</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color w:val="auto"/>
          <w:szCs w:val="21"/>
        </w:rPr>
      </w:pPr>
      <w:r>
        <w:rPr>
          <w:rFonts w:hint="eastAsia" w:cs="Arial" w:asciiTheme="minorEastAsia" w:hAnsiTheme="minorEastAsia"/>
          <w:color w:val="auto"/>
          <w:szCs w:val="21"/>
        </w:rPr>
        <w:t>被授权人无转委托权，特此委托。</w:t>
      </w:r>
    </w:p>
    <w:p>
      <w:pPr>
        <w:spacing w:line="480" w:lineRule="auto"/>
        <w:ind w:firstLine="420" w:firstLineChars="200"/>
        <w:rPr>
          <w:rFonts w:asciiTheme="minorEastAsia" w:hAnsiTheme="minorEastAsia"/>
          <w:color w:val="auto"/>
          <w:szCs w:val="21"/>
        </w:rPr>
      </w:pPr>
      <w:r>
        <w:rPr>
          <w:rFonts w:hint="eastAsia" w:asciiTheme="minorEastAsia" w:hAnsiTheme="minorEastAsia"/>
          <w:color w:val="auto"/>
          <w:szCs w:val="21"/>
        </w:rPr>
        <w:t xml:space="preserve">投标人名称： </w:t>
      </w:r>
      <w:r>
        <w:rPr>
          <w:rFonts w:hint="eastAsia" w:asciiTheme="minorEastAsia" w:hAnsiTheme="minorEastAsia"/>
          <w:color w:val="auto"/>
          <w:szCs w:val="21"/>
          <w:u w:val="single"/>
        </w:rPr>
        <w:t xml:space="preserve">       （全称）       </w:t>
      </w:r>
      <w:r>
        <w:rPr>
          <w:rFonts w:hint="eastAsia" w:asciiTheme="minorEastAsia" w:hAnsiTheme="minorEastAsia"/>
          <w:color w:val="auto"/>
          <w:szCs w:val="21"/>
        </w:rPr>
        <w:t xml:space="preserve"> （加盖单位公章）</w:t>
      </w:r>
    </w:p>
    <w:p>
      <w:pPr>
        <w:spacing w:line="480" w:lineRule="auto"/>
        <w:ind w:firstLine="420" w:firstLineChars="200"/>
        <w:rPr>
          <w:rFonts w:cs="Arial" w:asciiTheme="minorEastAsia" w:hAnsiTheme="minorEastAsia"/>
          <w:color w:val="auto"/>
          <w:szCs w:val="21"/>
        </w:rPr>
      </w:pPr>
      <w:r>
        <w:rPr>
          <w:rFonts w:hint="eastAsia" w:cs="Arial" w:asciiTheme="minorEastAsia" w:hAnsiTheme="minorEastAsia"/>
          <w:color w:val="auto"/>
          <w:szCs w:val="21"/>
        </w:rPr>
        <w:t xml:space="preserve">法定代表人（单位负责人）： </w:t>
      </w:r>
      <w:r>
        <w:rPr>
          <w:rFonts w:hint="eastAsia" w:cs="Arial" w:asciiTheme="minorEastAsia" w:hAnsiTheme="minorEastAsia"/>
          <w:color w:val="auto"/>
          <w:szCs w:val="21"/>
          <w:u w:val="single"/>
        </w:rPr>
        <w:t xml:space="preserve">             </w:t>
      </w:r>
      <w:r>
        <w:rPr>
          <w:rFonts w:hint="eastAsia" w:cs="Arial" w:asciiTheme="minorEastAsia" w:hAnsiTheme="minorEastAsia"/>
          <w:color w:val="auto"/>
          <w:szCs w:val="21"/>
        </w:rPr>
        <w:t>（签名或加盖名章）</w:t>
      </w:r>
    </w:p>
    <w:p>
      <w:pPr>
        <w:spacing w:line="480" w:lineRule="auto"/>
        <w:ind w:firstLine="420" w:firstLineChars="200"/>
        <w:rPr>
          <w:rFonts w:asciiTheme="minorEastAsia" w:hAnsiTheme="minorEastAsia"/>
          <w:color w:val="auto"/>
          <w:szCs w:val="21"/>
        </w:rPr>
      </w:pPr>
      <w:r>
        <w:rPr>
          <w:rFonts w:hint="eastAsia" w:cs="Arial" w:asciiTheme="minorEastAsia" w:hAnsiTheme="minorEastAsia"/>
          <w:color w:val="auto"/>
          <w:szCs w:val="21"/>
        </w:rPr>
        <w:t>法定代表人（单位负责人）</w:t>
      </w:r>
      <w:r>
        <w:rPr>
          <w:rFonts w:hint="eastAsia" w:asciiTheme="minorEastAsia" w:hAnsiTheme="minorEastAsia"/>
          <w:color w:val="auto"/>
          <w:szCs w:val="21"/>
        </w:rPr>
        <w:t xml:space="preserve">授权代表： </w:t>
      </w:r>
      <w:r>
        <w:rPr>
          <w:rFonts w:hint="eastAsia" w:asciiTheme="minorEastAsia" w:hAnsiTheme="minorEastAsia"/>
          <w:color w:val="auto"/>
          <w:szCs w:val="21"/>
          <w:u w:val="single"/>
        </w:rPr>
        <w:t xml:space="preserve">         </w:t>
      </w:r>
      <w:r>
        <w:rPr>
          <w:rFonts w:hint="eastAsia" w:asciiTheme="minorEastAsia" w:hAnsiTheme="minorEastAsia"/>
          <w:color w:val="auto"/>
          <w:szCs w:val="21"/>
        </w:rPr>
        <w:t xml:space="preserve"> （</w:t>
      </w:r>
      <w:r>
        <w:rPr>
          <w:rFonts w:hint="eastAsia" w:cs="Arial" w:asciiTheme="minorEastAsia" w:hAnsiTheme="minorEastAsia"/>
          <w:color w:val="auto"/>
          <w:szCs w:val="21"/>
        </w:rPr>
        <w:t>签名或加盖名章</w:t>
      </w:r>
      <w:r>
        <w:rPr>
          <w:rFonts w:hint="eastAsia" w:asciiTheme="minorEastAsia" w:hAnsiTheme="minorEastAsia"/>
          <w:color w:val="auto"/>
          <w:szCs w:val="21"/>
        </w:rPr>
        <w:t>）</w:t>
      </w:r>
    </w:p>
    <w:p>
      <w:pPr>
        <w:spacing w:line="480" w:lineRule="auto"/>
        <w:ind w:firstLine="420" w:firstLineChars="200"/>
        <w:rPr>
          <w:rFonts w:asciiTheme="minorEastAsia" w:hAnsiTheme="minorEastAsia"/>
          <w:color w:val="auto"/>
          <w:szCs w:val="21"/>
        </w:rPr>
      </w:pPr>
      <w:r>
        <w:rPr>
          <w:rFonts w:hint="eastAsia" w:asciiTheme="minorEastAsia" w:hAnsiTheme="minorEastAsia"/>
          <w:color w:val="auto"/>
          <w:szCs w:val="21"/>
        </w:rPr>
        <w:t>法定代表人（单位负责人）授权代表联系电话（手机）：</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color w:val="auto"/>
                <w:szCs w:val="21"/>
              </w:rPr>
            </w:pPr>
            <w:r>
              <w:rPr>
                <w:rFonts w:hint="eastAsia" w:asciiTheme="minorEastAsia" w:hAnsiTheme="minorEastAsia"/>
                <w:color w:val="auto"/>
                <w:szCs w:val="21"/>
              </w:rPr>
              <w:t>法定代表人（单位负责人）身份证（正面）</w:t>
            </w:r>
          </w:p>
        </w:tc>
        <w:tc>
          <w:tcPr>
            <w:tcW w:w="4485" w:type="dxa"/>
            <w:gridSpan w:val="2"/>
            <w:vAlign w:val="center"/>
          </w:tcPr>
          <w:p>
            <w:pPr>
              <w:jc w:val="center"/>
              <w:rPr>
                <w:rFonts w:asciiTheme="minorEastAsia" w:hAnsiTheme="minorEastAsia"/>
                <w:color w:val="auto"/>
                <w:szCs w:val="21"/>
              </w:rPr>
            </w:pPr>
            <w:r>
              <w:rPr>
                <w:rFonts w:hint="eastAsia" w:asciiTheme="minorEastAsia" w:hAnsiTheme="minorEastAsia"/>
                <w:color w:val="auto"/>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color w:val="auto"/>
                <w:szCs w:val="21"/>
              </w:rPr>
            </w:pPr>
            <w:bookmarkStart w:id="9" w:name="_资格证明文件"/>
            <w:bookmarkEnd w:id="9"/>
            <w:bookmarkStart w:id="10" w:name="_Toc364329026"/>
            <w:r>
              <w:rPr>
                <w:rFonts w:hint="eastAsia" w:asciiTheme="minorEastAsia" w:hAnsiTheme="minorEastAsia"/>
                <w:color w:val="auto"/>
                <w:szCs w:val="21"/>
              </w:rPr>
              <w:t>法定代表人（单位负责人）授权代表身份证</w:t>
            </w:r>
          </w:p>
          <w:p>
            <w:pPr>
              <w:jc w:val="center"/>
              <w:rPr>
                <w:rFonts w:asciiTheme="minorEastAsia" w:hAnsiTheme="minorEastAsia"/>
                <w:color w:val="auto"/>
                <w:szCs w:val="21"/>
              </w:rPr>
            </w:pPr>
            <w:r>
              <w:rPr>
                <w:rFonts w:hint="eastAsia" w:asciiTheme="minorEastAsia" w:hAnsiTheme="minorEastAsia"/>
                <w:color w:val="auto"/>
                <w:szCs w:val="21"/>
              </w:rPr>
              <w:t>（正面）</w:t>
            </w:r>
            <w:bookmarkEnd w:id="10"/>
          </w:p>
        </w:tc>
        <w:tc>
          <w:tcPr>
            <w:tcW w:w="4492" w:type="dxa"/>
            <w:gridSpan w:val="2"/>
            <w:vAlign w:val="center"/>
          </w:tcPr>
          <w:p>
            <w:pPr>
              <w:jc w:val="center"/>
              <w:rPr>
                <w:rFonts w:asciiTheme="minorEastAsia" w:hAnsiTheme="minorEastAsia"/>
                <w:color w:val="auto"/>
                <w:szCs w:val="21"/>
              </w:rPr>
            </w:pPr>
            <w:bookmarkStart w:id="11" w:name="_Toc364329027"/>
            <w:r>
              <w:rPr>
                <w:rFonts w:hint="eastAsia" w:asciiTheme="minorEastAsia" w:hAnsiTheme="minorEastAsia"/>
                <w:color w:val="auto"/>
                <w:szCs w:val="21"/>
              </w:rPr>
              <w:t>法定代表人（单位负责人）授权代表身份证</w:t>
            </w:r>
          </w:p>
          <w:p>
            <w:pPr>
              <w:jc w:val="center"/>
              <w:rPr>
                <w:rFonts w:asciiTheme="minorEastAsia" w:hAnsiTheme="minorEastAsia"/>
                <w:color w:val="auto"/>
                <w:szCs w:val="21"/>
              </w:rPr>
            </w:pPr>
            <w:r>
              <w:rPr>
                <w:rFonts w:hint="eastAsia" w:asciiTheme="minorEastAsia" w:hAnsiTheme="minorEastAsia"/>
                <w:color w:val="auto"/>
                <w:szCs w:val="21"/>
              </w:rPr>
              <w:t>（反面）</w:t>
            </w:r>
            <w:bookmarkEnd w:id="11"/>
          </w:p>
        </w:tc>
      </w:tr>
    </w:tbl>
    <w:p>
      <w:pPr>
        <w:spacing w:line="320" w:lineRule="exact"/>
        <w:ind w:left="2" w:firstLine="357" w:firstLineChars="149"/>
        <w:rPr>
          <w:rFonts w:cs="Courier New" w:asciiTheme="minorEastAsia" w:hAnsiTheme="minorEastAsia"/>
          <w:color w:val="auto"/>
          <w:sz w:val="24"/>
          <w:szCs w:val="24"/>
        </w:rPr>
      </w:pPr>
    </w:p>
    <w:p>
      <w:pPr>
        <w:widowControl/>
        <w:spacing w:before="100" w:beforeAutospacing="1" w:after="100" w:afterAutospacing="1" w:line="360" w:lineRule="auto"/>
        <w:jc w:val="center"/>
        <w:rPr>
          <w:rFonts w:ascii="宋体" w:hAnsi="宋体"/>
          <w:b/>
          <w:bCs/>
          <w:color w:val="auto"/>
          <w:sz w:val="24"/>
          <w:szCs w:val="24"/>
        </w:rPr>
      </w:pPr>
      <w:r>
        <w:rPr>
          <w:rFonts w:hint="eastAsia" w:ascii="宋体" w:hAnsi="宋体"/>
          <w:b/>
          <w:bCs/>
          <w:color w:val="auto"/>
          <w:sz w:val="24"/>
          <w:szCs w:val="24"/>
        </w:rPr>
        <w:t>3.4 没有重大违法记录的声明</w:t>
      </w:r>
    </w:p>
    <w:p>
      <w:pPr>
        <w:spacing w:beforeLines="50" w:afterLines="50"/>
        <w:jc w:val="center"/>
        <w:rPr>
          <w:rFonts w:ascii="宋体" w:hAnsi="宋体" w:cs="Arial"/>
          <w:color w:val="auto"/>
          <w:kern w:val="0"/>
          <w:sz w:val="28"/>
          <w:szCs w:val="28"/>
        </w:rPr>
      </w:pPr>
      <w:r>
        <w:rPr>
          <w:rFonts w:hint="eastAsia" w:ascii="宋体" w:hAnsi="宋体" w:cs="Arial"/>
          <w:color w:val="auto"/>
          <w:kern w:val="0"/>
          <w:sz w:val="28"/>
          <w:szCs w:val="28"/>
        </w:rPr>
        <w:t>声　   明</w:t>
      </w:r>
    </w:p>
    <w:p>
      <w:pPr>
        <w:spacing w:beforeLines="50" w:afterLines="50" w:line="360" w:lineRule="auto"/>
        <w:ind w:firstLine="420" w:firstLineChars="200"/>
        <w:rPr>
          <w:rFonts w:cs="宋体" w:asciiTheme="minorEastAsia" w:hAnsiTheme="minorEastAsia"/>
          <w:color w:val="auto"/>
          <w:szCs w:val="21"/>
          <w:lang w:val="zh-CN"/>
        </w:rPr>
      </w:pPr>
      <w:r>
        <w:rPr>
          <w:rFonts w:hint="eastAsia" w:cs="宋体" w:asciiTheme="minorEastAsia" w:hAnsiTheme="minorEastAsia"/>
          <w:color w:val="auto"/>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color w:val="auto"/>
          <w:szCs w:val="21"/>
          <w:lang w:val="zh-CN"/>
        </w:rPr>
      </w:pPr>
      <w:r>
        <w:rPr>
          <w:rFonts w:hint="eastAsia" w:cs="宋体" w:asciiTheme="minorEastAsia" w:hAnsiTheme="minorEastAsia"/>
          <w:color w:val="auto"/>
          <w:szCs w:val="21"/>
          <w:lang w:val="zh-CN"/>
        </w:rPr>
        <w:t>特此声明。</w:t>
      </w:r>
    </w:p>
    <w:p>
      <w:pPr>
        <w:spacing w:beforeLines="50" w:afterLines="50" w:line="360" w:lineRule="auto"/>
        <w:ind w:firstLine="420" w:firstLineChars="200"/>
        <w:rPr>
          <w:rFonts w:cs="宋体" w:asciiTheme="minorEastAsia" w:hAnsiTheme="minorEastAsia"/>
          <w:color w:val="auto"/>
          <w:szCs w:val="21"/>
          <w:lang w:val="zh-CN"/>
        </w:rPr>
      </w:pPr>
      <w:r>
        <w:rPr>
          <w:rFonts w:hint="eastAsia" w:cs="宋体" w:asciiTheme="minorEastAsia" w:hAnsiTheme="minorEastAsia"/>
          <w:color w:val="auto"/>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color w:val="auto"/>
          <w:szCs w:val="21"/>
          <w:lang w:val="zh-CN"/>
        </w:rPr>
      </w:pPr>
    </w:p>
    <w:p>
      <w:pPr>
        <w:adjustRightInd w:val="0"/>
        <w:snapToGrid w:val="0"/>
        <w:spacing w:line="360" w:lineRule="auto"/>
        <w:ind w:firstLine="3150" w:firstLineChars="1500"/>
        <w:rPr>
          <w:rFonts w:cs="宋体" w:asciiTheme="minorEastAsia" w:hAnsiTheme="minorEastAsia"/>
          <w:color w:val="auto"/>
          <w:szCs w:val="21"/>
        </w:rPr>
      </w:pPr>
      <w:r>
        <w:rPr>
          <w:rFonts w:hint="eastAsia" w:cs="宋体" w:asciiTheme="minorEastAsia" w:hAnsiTheme="minorEastAsia"/>
          <w:color w:val="auto"/>
          <w:szCs w:val="21"/>
        </w:rPr>
        <w:t>投标人名称（并加盖公章）：</w:t>
      </w:r>
      <w:r>
        <w:rPr>
          <w:rFonts w:hint="eastAsia" w:cs="宋体" w:asciiTheme="minorEastAsia" w:hAnsiTheme="minorEastAsia"/>
          <w:color w:val="auto"/>
          <w:szCs w:val="21"/>
          <w:u w:val="single"/>
        </w:rPr>
        <w:t xml:space="preserve">               </w:t>
      </w:r>
    </w:p>
    <w:p>
      <w:pPr>
        <w:adjustRightInd w:val="0"/>
        <w:snapToGrid w:val="0"/>
        <w:spacing w:line="360" w:lineRule="auto"/>
        <w:ind w:firstLine="4305" w:firstLineChars="2050"/>
        <w:rPr>
          <w:rFonts w:cs="宋体" w:asciiTheme="minorEastAsia" w:hAnsiTheme="minorEastAsia"/>
          <w:color w:val="auto"/>
          <w:szCs w:val="21"/>
        </w:rPr>
      </w:pPr>
    </w:p>
    <w:p>
      <w:pPr>
        <w:adjustRightInd w:val="0"/>
        <w:snapToGrid w:val="0"/>
        <w:spacing w:line="360" w:lineRule="auto"/>
        <w:ind w:firstLine="3885" w:firstLineChars="1850"/>
        <w:rPr>
          <w:rFonts w:cs="宋体" w:asciiTheme="minorEastAsia" w:hAnsiTheme="minorEastAsia"/>
          <w:color w:val="auto"/>
          <w:szCs w:val="21"/>
        </w:rPr>
      </w:pPr>
      <w:r>
        <w:rPr>
          <w:rFonts w:hint="eastAsia" w:cs="宋体" w:asciiTheme="minorEastAsia" w:hAnsiTheme="minorEastAsia"/>
          <w:color w:val="auto"/>
          <w:szCs w:val="21"/>
        </w:rPr>
        <w:t>日期：</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年</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 xml:space="preserve">月 </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日</w:t>
      </w: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spacing w:beforeLines="50" w:afterLines="50" w:line="360" w:lineRule="auto"/>
        <w:ind w:right="420" w:firstLine="5486" w:firstLineChars="2286"/>
        <w:rPr>
          <w:rFonts w:cs="宋体" w:asciiTheme="minorEastAsia" w:hAnsiTheme="minorEastAsia"/>
          <w:color w:val="auto"/>
          <w:sz w:val="24"/>
          <w:szCs w:val="24"/>
          <w:lang w:val="zh-CN"/>
        </w:rPr>
      </w:pPr>
    </w:p>
    <w:p>
      <w:pPr>
        <w:autoSpaceDE w:val="0"/>
        <w:autoSpaceDN w:val="0"/>
        <w:adjustRightInd w:val="0"/>
        <w:spacing w:line="360" w:lineRule="auto"/>
        <w:jc w:val="center"/>
        <w:outlineLvl w:val="0"/>
        <w:rPr>
          <w:rFonts w:ascii="宋体" w:hAnsi="宋体"/>
          <w:b/>
          <w:bCs/>
          <w:color w:val="auto"/>
          <w:sz w:val="24"/>
          <w:szCs w:val="24"/>
        </w:rPr>
      </w:pPr>
      <w:r>
        <w:rPr>
          <w:rFonts w:hint="eastAsia" w:ascii="宋体" w:hAnsi="宋体"/>
          <w:b/>
          <w:bCs/>
          <w:color w:val="auto"/>
          <w:sz w:val="24"/>
          <w:szCs w:val="24"/>
        </w:rPr>
        <w:t>3.5 投标承诺函</w:t>
      </w:r>
    </w:p>
    <w:p>
      <w:pPr>
        <w:autoSpaceDE w:val="0"/>
        <w:autoSpaceDN w:val="0"/>
        <w:snapToGrid w:val="0"/>
        <w:spacing w:line="360" w:lineRule="auto"/>
        <w:jc w:val="center"/>
        <w:rPr>
          <w:rFonts w:ascii="宋体" w:hAnsi="宋体"/>
          <w:b/>
          <w:bCs/>
          <w:color w:val="auto"/>
          <w:sz w:val="24"/>
          <w:szCs w:val="24"/>
        </w:rPr>
      </w:pPr>
    </w:p>
    <w:p>
      <w:pPr>
        <w:spacing w:beforeLines="50" w:afterLines="50" w:line="360" w:lineRule="auto"/>
        <w:contextualSpacing/>
        <w:rPr>
          <w:rFonts w:ascii="宋体" w:hAnsi="宋体" w:eastAsia="宋体" w:cs="宋体"/>
          <w:color w:val="auto"/>
          <w:szCs w:val="21"/>
          <w:lang w:val="zh-CN"/>
        </w:rPr>
      </w:pPr>
      <w:r>
        <w:rPr>
          <w:rFonts w:hint="eastAsia" w:ascii="宋体" w:hAnsi="宋体" w:eastAsia="宋体" w:cs="宋体"/>
          <w:color w:val="auto"/>
          <w:szCs w:val="21"/>
          <w:lang w:val="zh-CN"/>
        </w:rPr>
        <w:t>许昌市政府采购服务中心</w:t>
      </w:r>
      <w:r>
        <w:rPr>
          <w:rFonts w:ascii="宋体" w:hAnsi="宋体" w:eastAsia="宋体" w:cs="宋体"/>
          <w:color w:val="auto"/>
          <w:szCs w:val="21"/>
          <w:lang w:val="zh-CN"/>
        </w:rPr>
        <w:t>：</w:t>
      </w:r>
    </w:p>
    <w:p>
      <w:pPr>
        <w:spacing w:beforeLines="50" w:afterLines="50" w:line="360" w:lineRule="auto"/>
        <w:ind w:firstLine="420" w:firstLineChars="200"/>
        <w:contextualSpacing/>
        <w:rPr>
          <w:rFonts w:cs="宋体" w:asciiTheme="minorEastAsia" w:hAnsiTheme="minorEastAsia"/>
          <w:color w:val="auto"/>
          <w:szCs w:val="21"/>
          <w:lang w:val="zh-CN"/>
        </w:rPr>
      </w:pPr>
      <w:r>
        <w:rPr>
          <w:rFonts w:ascii="宋体" w:hAnsi="宋体" w:eastAsia="宋体" w:cs="宋体"/>
          <w:color w:val="auto"/>
          <w:szCs w:val="21"/>
          <w:lang w:val="zh-CN"/>
        </w:rPr>
        <w:t>经研究，我</w:t>
      </w:r>
      <w:r>
        <w:rPr>
          <w:rFonts w:hint="eastAsia" w:cs="宋体" w:asciiTheme="minorEastAsia" w:hAnsiTheme="minorEastAsia"/>
          <w:color w:val="auto"/>
          <w:szCs w:val="21"/>
          <w:lang w:val="zh-CN"/>
        </w:rPr>
        <w:t>方自愿参与贵方</w:t>
      </w:r>
      <w:r>
        <w:rPr>
          <w:rFonts w:hint="eastAsia" w:ascii="宋体" w:hAnsi="宋体" w:eastAsia="宋体" w:cs="宋体"/>
          <w:color w:val="auto"/>
          <w:szCs w:val="21"/>
          <w:u w:val="single"/>
          <w:lang w:val="zh-CN"/>
        </w:rPr>
        <w:t xml:space="preserve"> </w:t>
      </w:r>
      <w:r>
        <w:rPr>
          <w:rFonts w:hint="eastAsia" w:cs="宋体" w:asciiTheme="minorEastAsia" w:hAnsiTheme="minorEastAsia"/>
          <w:color w:val="auto"/>
          <w:szCs w:val="21"/>
          <w:u w:val="single"/>
          <w:lang w:val="zh-CN"/>
        </w:rPr>
        <w:t xml:space="preserve">  </w:t>
      </w:r>
      <w:r>
        <w:rPr>
          <w:rFonts w:hint="eastAsia" w:ascii="宋体" w:hAnsi="宋体" w:eastAsia="宋体" w:cs="宋体"/>
          <w:color w:val="auto"/>
          <w:szCs w:val="21"/>
          <w:u w:val="single"/>
          <w:lang w:val="zh-CN"/>
        </w:rPr>
        <w:t xml:space="preserve"> </w:t>
      </w:r>
      <w:r>
        <w:rPr>
          <w:rFonts w:hint="eastAsia" w:cs="宋体" w:asciiTheme="minorEastAsia" w:hAnsiTheme="minorEastAsia"/>
          <w:color w:val="auto"/>
          <w:szCs w:val="21"/>
          <w:u w:val="single"/>
          <w:lang w:val="zh-CN"/>
        </w:rPr>
        <w:t xml:space="preserve">  </w:t>
      </w:r>
      <w:r>
        <w:rPr>
          <w:rFonts w:hint="eastAsia" w:ascii="宋体" w:hAnsi="宋体" w:eastAsia="宋体" w:cs="宋体"/>
          <w:color w:val="auto"/>
          <w:szCs w:val="21"/>
          <w:u w:val="single"/>
          <w:lang w:val="zh-CN"/>
        </w:rPr>
        <w:t xml:space="preserve"> </w:t>
      </w:r>
      <w:r>
        <w:rPr>
          <w:rFonts w:ascii="宋体" w:hAnsi="宋体" w:eastAsia="宋体" w:cs="宋体"/>
          <w:color w:val="auto"/>
          <w:szCs w:val="21"/>
          <w:lang w:val="zh-CN"/>
        </w:rPr>
        <w:t>年____月</w:t>
      </w:r>
      <w:r>
        <w:rPr>
          <w:rFonts w:hint="eastAsia" w:cs="宋体" w:asciiTheme="minorEastAsia" w:hAnsiTheme="minorEastAsia"/>
          <w:color w:val="auto"/>
          <w:szCs w:val="21"/>
          <w:u w:val="single"/>
          <w:lang w:val="zh-CN"/>
        </w:rPr>
        <w:t xml:space="preserve">    </w:t>
      </w:r>
      <w:r>
        <w:rPr>
          <w:rFonts w:hint="eastAsia" w:cs="宋体" w:asciiTheme="minorEastAsia" w:hAnsiTheme="minorEastAsia"/>
          <w:color w:val="auto"/>
          <w:szCs w:val="21"/>
          <w:lang w:val="zh-CN"/>
        </w:rPr>
        <w:t xml:space="preserve"> </w:t>
      </w:r>
      <w:r>
        <w:rPr>
          <w:rFonts w:ascii="宋体" w:hAnsi="宋体" w:eastAsia="宋体" w:cs="宋体"/>
          <w:color w:val="auto"/>
          <w:szCs w:val="21"/>
          <w:lang w:val="zh-CN"/>
        </w:rPr>
        <w:t>日</w:t>
      </w:r>
      <w:r>
        <w:rPr>
          <w:rFonts w:hint="eastAsia" w:cs="宋体" w:asciiTheme="minorEastAsia" w:hAnsiTheme="minorEastAsia"/>
          <w:color w:val="auto"/>
          <w:szCs w:val="21"/>
          <w:lang w:val="zh-CN"/>
        </w:rPr>
        <w:t xml:space="preserve"> </w:t>
      </w:r>
      <w:r>
        <w:rPr>
          <w:rFonts w:hint="eastAsia" w:cs="宋体" w:asciiTheme="minorEastAsia" w:hAnsiTheme="minorEastAsia"/>
          <w:color w:val="auto"/>
          <w:szCs w:val="21"/>
          <w:u w:val="single"/>
          <w:lang w:val="zh-CN"/>
        </w:rPr>
        <w:t xml:space="preserve">                     </w:t>
      </w:r>
      <w:r>
        <w:rPr>
          <w:rFonts w:ascii="宋体" w:hAnsi="宋体" w:eastAsia="宋体" w:cs="宋体"/>
          <w:color w:val="auto"/>
          <w:szCs w:val="21"/>
          <w:u w:val="single"/>
          <w:lang w:val="zh-CN"/>
        </w:rPr>
        <w:t>_</w:t>
      </w:r>
      <w:r>
        <w:rPr>
          <w:rFonts w:hint="eastAsia" w:cs="宋体" w:asciiTheme="minorEastAsia" w:hAnsiTheme="minorEastAsia"/>
          <w:color w:val="auto"/>
          <w:szCs w:val="21"/>
          <w:lang w:val="zh-CN"/>
        </w:rPr>
        <w:t>（招标编号、项目名称）的</w:t>
      </w:r>
      <w:r>
        <w:rPr>
          <w:rFonts w:ascii="宋体" w:hAnsi="宋体" w:eastAsia="宋体" w:cs="宋体"/>
          <w:color w:val="auto"/>
          <w:szCs w:val="21"/>
          <w:lang w:val="zh-CN"/>
        </w:rPr>
        <w:t>投标，</w:t>
      </w:r>
      <w:r>
        <w:rPr>
          <w:rFonts w:hint="eastAsia" w:cs="宋体" w:asciiTheme="minorEastAsia" w:hAnsiTheme="minorEastAsia"/>
          <w:color w:val="auto"/>
          <w:szCs w:val="21"/>
          <w:lang w:val="zh-CN"/>
        </w:rPr>
        <w:t>将</w:t>
      </w:r>
      <w:r>
        <w:rPr>
          <w:rFonts w:ascii="宋体" w:hAnsi="宋体" w:eastAsia="宋体" w:cs="宋体"/>
          <w:color w:val="auto"/>
          <w:szCs w:val="21"/>
          <w:lang w:val="zh-CN"/>
        </w:rPr>
        <w:t>严格</w:t>
      </w:r>
      <w:r>
        <w:rPr>
          <w:rFonts w:hint="eastAsia" w:cs="宋体" w:asciiTheme="minorEastAsia" w:hAnsiTheme="minorEastAsia"/>
          <w:color w:val="auto"/>
          <w:szCs w:val="21"/>
          <w:lang w:val="zh-CN"/>
        </w:rPr>
        <w:t>遵守</w:t>
      </w:r>
      <w:r>
        <w:rPr>
          <w:rFonts w:ascii="宋体" w:hAnsi="宋体" w:eastAsia="宋体" w:cs="宋体"/>
          <w:color w:val="auto"/>
          <w:szCs w:val="21"/>
          <w:lang w:val="zh-CN"/>
        </w:rPr>
        <w:t>《</w:t>
      </w:r>
      <w:r>
        <w:rPr>
          <w:rFonts w:hint="eastAsia" w:cs="宋体" w:asciiTheme="minorEastAsia" w:hAnsiTheme="minorEastAsia"/>
          <w:color w:val="auto"/>
          <w:szCs w:val="21"/>
          <w:lang w:val="zh-CN"/>
        </w:rPr>
        <w:t>中华人民共和国政府采购</w:t>
      </w:r>
      <w:r>
        <w:rPr>
          <w:rFonts w:ascii="宋体" w:hAnsi="宋体" w:eastAsia="宋体" w:cs="宋体"/>
          <w:color w:val="auto"/>
          <w:szCs w:val="21"/>
          <w:lang w:val="zh-CN"/>
        </w:rPr>
        <w:t>法》等</w:t>
      </w:r>
      <w:r>
        <w:rPr>
          <w:rFonts w:hint="eastAsia" w:cs="宋体" w:asciiTheme="minorEastAsia" w:hAnsiTheme="minorEastAsia"/>
          <w:color w:val="auto"/>
          <w:szCs w:val="21"/>
          <w:lang w:val="zh-CN"/>
        </w:rPr>
        <w:t>相关</w:t>
      </w:r>
      <w:r>
        <w:rPr>
          <w:rFonts w:ascii="宋体" w:hAnsi="宋体" w:eastAsia="宋体" w:cs="宋体"/>
          <w:color w:val="auto"/>
          <w:szCs w:val="21"/>
          <w:lang w:val="zh-CN"/>
        </w:rPr>
        <w:t>法律法规</w:t>
      </w:r>
      <w:r>
        <w:rPr>
          <w:rFonts w:hint="eastAsia" w:cs="宋体" w:asciiTheme="minorEastAsia" w:hAnsiTheme="minorEastAsia"/>
          <w:color w:val="auto"/>
          <w:szCs w:val="21"/>
          <w:lang w:val="zh-CN"/>
        </w:rPr>
        <w:t>规定</w:t>
      </w:r>
      <w:r>
        <w:rPr>
          <w:rFonts w:cs="宋体" w:asciiTheme="minorEastAsia" w:hAnsiTheme="minorEastAsia"/>
          <w:color w:val="auto"/>
          <w:szCs w:val="21"/>
          <w:lang w:val="zh-CN"/>
        </w:rPr>
        <w:t>，并无条件地遵守本次采购活动各项规定。我们郑重承诺：</w:t>
      </w:r>
      <w:r>
        <w:rPr>
          <w:rFonts w:hint="eastAsia" w:cs="宋体" w:asciiTheme="minorEastAsia" w:hAnsiTheme="minorEastAsia"/>
          <w:color w:val="auto"/>
          <w:szCs w:val="21"/>
          <w:lang w:val="zh-CN"/>
        </w:rPr>
        <w:t>我方</w:t>
      </w:r>
      <w:r>
        <w:rPr>
          <w:rFonts w:cs="宋体" w:asciiTheme="minorEastAsia" w:hAnsiTheme="minorEastAsia"/>
          <w:color w:val="auto"/>
          <w:szCs w:val="21"/>
          <w:lang w:val="zh-CN"/>
        </w:rPr>
        <w:t>如果在本次</w:t>
      </w:r>
      <w:r>
        <w:rPr>
          <w:rFonts w:hint="eastAsia" w:cs="宋体" w:asciiTheme="minorEastAsia" w:hAnsiTheme="minorEastAsia"/>
          <w:color w:val="auto"/>
          <w:szCs w:val="21"/>
          <w:lang w:val="zh-CN"/>
        </w:rPr>
        <w:t>投标</w:t>
      </w:r>
      <w:r>
        <w:rPr>
          <w:rFonts w:cs="宋体" w:asciiTheme="minorEastAsia" w:hAnsiTheme="minorEastAsia"/>
          <w:color w:val="auto"/>
          <w:szCs w:val="21"/>
          <w:lang w:val="zh-CN"/>
        </w:rPr>
        <w:t>活动中有</w:t>
      </w:r>
      <w:r>
        <w:rPr>
          <w:rFonts w:hint="eastAsia" w:cs="宋体" w:asciiTheme="minorEastAsia" w:hAnsiTheme="minorEastAsia"/>
          <w:color w:val="auto"/>
          <w:szCs w:val="21"/>
          <w:lang w:val="zh-CN"/>
        </w:rPr>
        <w:t>下列</w:t>
      </w:r>
      <w:r>
        <w:rPr>
          <w:rFonts w:cs="宋体" w:asciiTheme="minorEastAsia" w:hAnsiTheme="minorEastAsia"/>
          <w:color w:val="auto"/>
          <w:szCs w:val="21"/>
          <w:lang w:val="zh-CN"/>
        </w:rPr>
        <w:t>情形</w:t>
      </w:r>
      <w:r>
        <w:rPr>
          <w:rFonts w:hint="eastAsia" w:cs="宋体" w:asciiTheme="minorEastAsia" w:hAnsiTheme="minorEastAsia"/>
          <w:color w:val="auto"/>
          <w:szCs w:val="21"/>
          <w:lang w:val="zh-CN"/>
        </w:rPr>
        <w:t>之一</w:t>
      </w:r>
      <w:r>
        <w:rPr>
          <w:rFonts w:cs="宋体" w:asciiTheme="minorEastAsia" w:hAnsiTheme="minorEastAsia"/>
          <w:color w:val="auto"/>
          <w:szCs w:val="21"/>
          <w:lang w:val="zh-CN"/>
        </w:rPr>
        <w:t>的，愿接受政府采购</w:t>
      </w:r>
      <w:r>
        <w:rPr>
          <w:rFonts w:hint="eastAsia" w:cs="宋体" w:asciiTheme="minorEastAsia" w:hAnsiTheme="minorEastAsia"/>
          <w:color w:val="auto"/>
          <w:szCs w:val="21"/>
          <w:lang w:val="zh-CN"/>
        </w:rPr>
        <w:t>监督管理</w:t>
      </w:r>
      <w:r>
        <w:rPr>
          <w:rFonts w:cs="宋体" w:asciiTheme="minorEastAsia" w:hAnsiTheme="minorEastAsia"/>
          <w:color w:val="auto"/>
          <w:szCs w:val="21"/>
          <w:lang w:val="zh-CN"/>
        </w:rPr>
        <w:t>部门给予相关处罚并</w:t>
      </w:r>
      <w:r>
        <w:rPr>
          <w:rFonts w:hint="eastAsia" w:cs="宋体" w:asciiTheme="minorEastAsia" w:hAnsiTheme="minorEastAsia"/>
          <w:color w:val="auto"/>
          <w:szCs w:val="21"/>
          <w:lang w:val="zh-CN"/>
        </w:rPr>
        <w:t>承诺依法</w:t>
      </w:r>
      <w:r>
        <w:rPr>
          <w:rFonts w:cs="宋体" w:asciiTheme="minorEastAsia" w:hAnsiTheme="minorEastAsia"/>
          <w:color w:val="auto"/>
          <w:szCs w:val="21"/>
          <w:lang w:val="zh-CN"/>
        </w:rPr>
        <w:t>承担</w:t>
      </w:r>
      <w:r>
        <w:rPr>
          <w:rFonts w:hint="eastAsia" w:cs="宋体" w:asciiTheme="minorEastAsia" w:hAnsiTheme="minorEastAsia"/>
          <w:color w:val="auto"/>
          <w:szCs w:val="21"/>
          <w:lang w:val="zh-CN"/>
        </w:rPr>
        <w:t>相关的经济赔偿责任和</w:t>
      </w:r>
      <w:r>
        <w:rPr>
          <w:rFonts w:cs="宋体" w:asciiTheme="minorEastAsia" w:hAnsiTheme="minorEastAsia"/>
          <w:color w:val="auto"/>
          <w:szCs w:val="21"/>
          <w:lang w:val="zh-CN"/>
        </w:rPr>
        <w:t>法律责任。</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color w:val="auto"/>
          <w:szCs w:val="21"/>
          <w:lang w:val="zh-CN"/>
        </w:rPr>
      </w:pPr>
      <w:r>
        <w:rPr>
          <w:rFonts w:hint="eastAsia" w:cs="宋体" w:asciiTheme="minorEastAsia" w:hAnsiTheme="minorEastAsia"/>
          <w:color w:val="auto"/>
          <w:szCs w:val="21"/>
          <w:lang w:val="zh-CN"/>
        </w:rPr>
        <w:t>五、法律法规及本招标文件规定的其他严重违法行为。</w:t>
      </w:r>
    </w:p>
    <w:p>
      <w:pPr>
        <w:rPr>
          <w:color w:val="auto"/>
          <w:sz w:val="28"/>
          <w:szCs w:val="28"/>
          <w:u w:val="single"/>
        </w:rPr>
      </w:pPr>
    </w:p>
    <w:p>
      <w:pPr>
        <w:rPr>
          <w:color w:val="auto"/>
          <w:sz w:val="28"/>
          <w:szCs w:val="28"/>
          <w:u w:val="single"/>
        </w:rPr>
      </w:pPr>
    </w:p>
    <w:p>
      <w:pPr>
        <w:adjustRightInd w:val="0"/>
        <w:snapToGrid w:val="0"/>
        <w:spacing w:line="360" w:lineRule="auto"/>
        <w:ind w:firstLine="3150" w:firstLineChars="1500"/>
        <w:rPr>
          <w:rFonts w:cs="宋体" w:asciiTheme="minorEastAsia" w:hAnsiTheme="minorEastAsia"/>
          <w:color w:val="auto"/>
          <w:szCs w:val="21"/>
        </w:rPr>
      </w:pPr>
      <w:r>
        <w:rPr>
          <w:rFonts w:hint="eastAsia" w:cs="宋体" w:asciiTheme="minorEastAsia" w:hAnsiTheme="minorEastAsia"/>
          <w:color w:val="auto"/>
          <w:szCs w:val="21"/>
        </w:rPr>
        <w:t>投标人名称（并加盖公章）：</w:t>
      </w:r>
      <w:r>
        <w:rPr>
          <w:rFonts w:hint="eastAsia" w:cs="宋体" w:asciiTheme="minorEastAsia" w:hAnsiTheme="minorEastAsia"/>
          <w:color w:val="auto"/>
          <w:szCs w:val="21"/>
          <w:u w:val="single"/>
        </w:rPr>
        <w:t xml:space="preserve">               </w:t>
      </w:r>
    </w:p>
    <w:p>
      <w:pPr>
        <w:adjustRightInd w:val="0"/>
        <w:snapToGrid w:val="0"/>
        <w:spacing w:line="360" w:lineRule="auto"/>
        <w:ind w:firstLine="4305" w:firstLineChars="2050"/>
        <w:rPr>
          <w:rFonts w:cs="宋体" w:asciiTheme="minorEastAsia" w:hAnsiTheme="minorEastAsia"/>
          <w:color w:val="auto"/>
          <w:szCs w:val="21"/>
        </w:rPr>
      </w:pPr>
    </w:p>
    <w:p>
      <w:pPr>
        <w:adjustRightInd w:val="0"/>
        <w:snapToGrid w:val="0"/>
        <w:spacing w:line="360" w:lineRule="auto"/>
        <w:ind w:firstLine="3885" w:firstLineChars="1850"/>
        <w:rPr>
          <w:rFonts w:cs="宋体" w:asciiTheme="minorEastAsia" w:hAnsiTheme="minorEastAsia"/>
          <w:color w:val="auto"/>
          <w:szCs w:val="21"/>
        </w:rPr>
      </w:pPr>
      <w:r>
        <w:rPr>
          <w:rFonts w:hint="eastAsia" w:cs="宋体" w:asciiTheme="minorEastAsia" w:hAnsiTheme="minorEastAsia"/>
          <w:color w:val="auto"/>
          <w:szCs w:val="21"/>
        </w:rPr>
        <w:t>日期：</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年</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 xml:space="preserve">月 </w:t>
      </w:r>
      <w:r>
        <w:rPr>
          <w:rFonts w:hint="eastAsia" w:cs="宋体" w:asciiTheme="minorEastAsia" w:hAnsiTheme="minorEastAsia"/>
          <w:color w:val="auto"/>
          <w:szCs w:val="21"/>
          <w:u w:val="single"/>
        </w:rPr>
        <w:t xml:space="preserve">      </w:t>
      </w:r>
      <w:r>
        <w:rPr>
          <w:rFonts w:hint="eastAsia" w:cs="宋体" w:asciiTheme="minorEastAsia" w:hAnsiTheme="minorEastAsia"/>
          <w:color w:val="auto"/>
          <w:szCs w:val="21"/>
        </w:rPr>
        <w:t>日</w:t>
      </w:r>
    </w:p>
    <w:p>
      <w:pPr>
        <w:autoSpaceDE w:val="0"/>
        <w:autoSpaceDN w:val="0"/>
        <w:adjustRightInd w:val="0"/>
        <w:spacing w:line="360" w:lineRule="auto"/>
        <w:jc w:val="center"/>
        <w:outlineLvl w:val="0"/>
        <w:rPr>
          <w:rFonts w:hAnsi="宋体" w:eastAsia="宋体"/>
          <w:b/>
          <w:snapToGrid w:val="0"/>
          <w:color w:val="auto"/>
          <w:kern w:val="0"/>
          <w:sz w:val="36"/>
          <w:szCs w:val="36"/>
        </w:rPr>
      </w:pPr>
    </w:p>
    <w:p>
      <w:pPr>
        <w:autoSpaceDE w:val="0"/>
        <w:autoSpaceDN w:val="0"/>
        <w:adjustRightInd w:val="0"/>
        <w:spacing w:line="360" w:lineRule="auto"/>
        <w:jc w:val="center"/>
        <w:rPr>
          <w:rFonts w:ascii="宋体" w:cs="宋体"/>
          <w:color w:val="auto"/>
          <w:szCs w:val="21"/>
          <w:lang w:val="zh-CN"/>
        </w:rPr>
      </w:pPr>
    </w:p>
    <w:p>
      <w:pPr>
        <w:autoSpaceDE w:val="0"/>
        <w:autoSpaceDN w:val="0"/>
        <w:adjustRightInd w:val="0"/>
        <w:spacing w:line="360" w:lineRule="auto"/>
        <w:jc w:val="center"/>
        <w:rPr>
          <w:rFonts w:ascii="宋体" w:cs="宋体"/>
          <w:color w:val="auto"/>
          <w:szCs w:val="21"/>
          <w:lang w:val="zh-CN"/>
        </w:rPr>
      </w:pPr>
    </w:p>
    <w:p>
      <w:pPr>
        <w:autoSpaceDE w:val="0"/>
        <w:autoSpaceDN w:val="0"/>
        <w:adjustRightInd w:val="0"/>
        <w:spacing w:line="360" w:lineRule="auto"/>
        <w:jc w:val="center"/>
        <w:rPr>
          <w:rFonts w:ascii="宋体" w:cs="宋体"/>
          <w:color w:val="auto"/>
          <w:szCs w:val="21"/>
          <w:lang w:val="zh-CN"/>
        </w:rPr>
      </w:pPr>
    </w:p>
    <w:p>
      <w:pPr>
        <w:autoSpaceDE w:val="0"/>
        <w:autoSpaceDN w:val="0"/>
        <w:adjustRightInd w:val="0"/>
        <w:spacing w:line="360" w:lineRule="auto"/>
        <w:jc w:val="center"/>
        <w:rPr>
          <w:rFonts w:ascii="宋体" w:cs="宋体"/>
          <w:color w:val="auto"/>
          <w:szCs w:val="21"/>
          <w:lang w:val="zh-CN"/>
        </w:rPr>
      </w:pPr>
    </w:p>
    <w:p>
      <w:pPr>
        <w:autoSpaceDE w:val="0"/>
        <w:autoSpaceDN w:val="0"/>
        <w:adjustRightInd w:val="0"/>
        <w:spacing w:line="360" w:lineRule="auto"/>
        <w:jc w:val="center"/>
        <w:rPr>
          <w:rFonts w:ascii="宋体" w:cs="宋体"/>
          <w:color w:val="auto"/>
          <w:szCs w:val="21"/>
          <w:lang w:val="zh-CN"/>
        </w:rPr>
      </w:pPr>
    </w:p>
    <w:p>
      <w:pPr>
        <w:autoSpaceDE w:val="0"/>
        <w:autoSpaceDN w:val="0"/>
        <w:adjustRightInd w:val="0"/>
        <w:spacing w:line="360" w:lineRule="auto"/>
        <w:ind w:right="-11"/>
        <w:rPr>
          <w:rFonts w:ascii="宋体" w:cs="宋体"/>
          <w:color w:val="auto"/>
          <w:szCs w:val="21"/>
          <w:lang w:val="zh-CN"/>
        </w:rPr>
      </w:pPr>
    </w:p>
    <w:p>
      <w:pPr>
        <w:autoSpaceDE w:val="0"/>
        <w:autoSpaceDN w:val="0"/>
        <w:adjustRightInd w:val="0"/>
        <w:spacing w:line="360" w:lineRule="auto"/>
        <w:jc w:val="center"/>
        <w:rPr>
          <w:rFonts w:cs="宋体" w:asciiTheme="minorEastAsia" w:hAnsiTheme="minorEastAsia"/>
          <w:color w:val="auto"/>
          <w:sz w:val="24"/>
          <w:szCs w:val="24"/>
          <w:lang w:val="zh-CN"/>
        </w:rPr>
      </w:pPr>
    </w:p>
    <w:p>
      <w:pPr>
        <w:spacing w:line="360" w:lineRule="auto"/>
        <w:jc w:val="center"/>
        <w:rPr>
          <w:rFonts w:ascii="宋体" w:hAnsi="宋体"/>
          <w:b/>
          <w:bCs/>
          <w:color w:val="auto"/>
          <w:sz w:val="24"/>
          <w:szCs w:val="24"/>
        </w:rPr>
      </w:pPr>
      <w:r>
        <w:rPr>
          <w:rFonts w:hint="eastAsia" w:ascii="宋体" w:hAnsi="宋体"/>
          <w:b/>
          <w:bCs/>
          <w:color w:val="auto"/>
          <w:sz w:val="24"/>
          <w:szCs w:val="24"/>
        </w:rPr>
        <w:t>3.6 投标人提供与参加本项目投标的其他供应商之间，单位负责人不为同一人并且不存在直接控股、管理关系承诺函</w:t>
      </w:r>
    </w:p>
    <w:p>
      <w:pPr>
        <w:spacing w:line="360" w:lineRule="auto"/>
        <w:jc w:val="center"/>
        <w:rPr>
          <w:rFonts w:ascii="宋体" w:hAnsi="宋体"/>
          <w:bCs/>
          <w:color w:val="auto"/>
          <w:sz w:val="24"/>
          <w:szCs w:val="24"/>
        </w:rPr>
      </w:pPr>
      <w:r>
        <w:rPr>
          <w:rFonts w:hint="eastAsia" w:ascii="宋体" w:hAnsi="宋体"/>
          <w:bCs/>
          <w:color w:val="auto"/>
          <w:sz w:val="24"/>
          <w:szCs w:val="24"/>
        </w:rPr>
        <w:t>（承诺函格式自拟）</w:t>
      </w:r>
    </w:p>
    <w:p>
      <w:pPr>
        <w:autoSpaceDE w:val="0"/>
        <w:autoSpaceDN w:val="0"/>
        <w:adjustRightInd w:val="0"/>
        <w:spacing w:line="360" w:lineRule="auto"/>
        <w:jc w:val="center"/>
        <w:outlineLvl w:val="0"/>
        <w:rPr>
          <w:rFonts w:ascii="宋体" w:hAnsi="宋体"/>
          <w:b/>
          <w:bCs/>
          <w:color w:val="auto"/>
          <w:sz w:val="24"/>
          <w:szCs w:val="24"/>
        </w:rPr>
      </w:pPr>
    </w:p>
    <w:p>
      <w:pPr>
        <w:widowControl/>
        <w:jc w:val="left"/>
        <w:rPr>
          <w:rFonts w:ascii="宋体" w:hAnsi="宋体"/>
          <w:b/>
          <w:bCs/>
          <w:color w:val="auto"/>
          <w:sz w:val="24"/>
          <w:szCs w:val="24"/>
        </w:rPr>
      </w:pPr>
      <w:r>
        <w:rPr>
          <w:rFonts w:ascii="宋体" w:hAnsi="宋体"/>
          <w:b/>
          <w:bCs/>
          <w:color w:val="auto"/>
          <w:sz w:val="24"/>
          <w:szCs w:val="24"/>
        </w:rPr>
        <w:br w:type="page"/>
      </w:r>
    </w:p>
    <w:p>
      <w:pPr>
        <w:spacing w:line="360" w:lineRule="auto"/>
        <w:jc w:val="center"/>
        <w:rPr>
          <w:rFonts w:ascii="宋体" w:hAnsi="宋体"/>
          <w:b/>
          <w:bCs/>
          <w:color w:val="auto"/>
          <w:sz w:val="24"/>
          <w:szCs w:val="24"/>
        </w:rPr>
      </w:pPr>
      <w:r>
        <w:rPr>
          <w:rFonts w:hint="eastAsia" w:ascii="宋体" w:hAnsi="宋体"/>
          <w:b/>
          <w:bCs/>
          <w:color w:val="auto"/>
          <w:sz w:val="24"/>
          <w:szCs w:val="24"/>
        </w:rPr>
        <w:t>3.7.投标人提供未为本项目提供整体设计、规范编制或者项目管理、监理、检测等服务承诺函</w:t>
      </w:r>
    </w:p>
    <w:p>
      <w:pPr>
        <w:spacing w:line="360" w:lineRule="auto"/>
        <w:jc w:val="center"/>
        <w:rPr>
          <w:rFonts w:ascii="宋体" w:hAnsi="宋体"/>
          <w:bCs/>
          <w:color w:val="auto"/>
          <w:sz w:val="24"/>
          <w:szCs w:val="24"/>
        </w:rPr>
      </w:pPr>
      <w:r>
        <w:rPr>
          <w:rFonts w:hint="eastAsia" w:ascii="宋体" w:hAnsi="宋体"/>
          <w:bCs/>
          <w:color w:val="auto"/>
          <w:sz w:val="24"/>
          <w:szCs w:val="24"/>
        </w:rPr>
        <w:t>（承诺函格式自拟）</w:t>
      </w: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autoSpaceDE w:val="0"/>
        <w:autoSpaceDN w:val="0"/>
        <w:adjustRightInd w:val="0"/>
        <w:spacing w:line="360" w:lineRule="auto"/>
        <w:jc w:val="center"/>
        <w:outlineLvl w:val="0"/>
        <w:rPr>
          <w:rFonts w:ascii="宋体" w:hAnsi="宋体"/>
          <w:b/>
          <w:bCs/>
          <w:color w:val="auto"/>
          <w:sz w:val="24"/>
          <w:szCs w:val="24"/>
        </w:rPr>
      </w:pPr>
    </w:p>
    <w:p>
      <w:pPr>
        <w:widowControl/>
        <w:jc w:val="left"/>
        <w:rPr>
          <w:rFonts w:ascii="宋体" w:hAnsi="宋体"/>
          <w:b/>
          <w:bCs/>
          <w:color w:val="auto"/>
          <w:sz w:val="24"/>
          <w:szCs w:val="24"/>
        </w:rPr>
      </w:pPr>
      <w:r>
        <w:rPr>
          <w:rFonts w:ascii="宋体" w:hAnsi="宋体"/>
          <w:b/>
          <w:bCs/>
          <w:color w:val="auto"/>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3.8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 投标分项报价表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w:t>
            </w:r>
            <w:r>
              <w:rPr>
                <w:rFonts w:cs="宋体" w:asciiTheme="minorEastAsia" w:hAnsiTheme="minorEastAsia"/>
                <w:b/>
                <w:szCs w:val="21"/>
                <w:lang w:val="zh-CN"/>
              </w:rPr>
              <w:t xml:space="preserve"> </w:t>
            </w:r>
            <w:r>
              <w:rPr>
                <w:rFonts w:hint="eastAsia" w:cs="宋体" w:asciiTheme="minorEastAsia" w:hAnsiTheme="minorEastAsia"/>
                <w:b/>
                <w:szCs w:val="21"/>
                <w:lang w:val="zh-CN"/>
              </w:rPr>
              <w:t>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w:t>
            </w:r>
            <w:r>
              <w:rPr>
                <w:rFonts w:cs="宋体" w:asciiTheme="minorEastAsia" w:hAnsiTheme="minorEastAsia"/>
                <w:b/>
                <w:szCs w:val="21"/>
                <w:lang w:val="zh-CN"/>
              </w:rPr>
              <w:t xml:space="preserve"> </w:t>
            </w:r>
            <w:r>
              <w:rPr>
                <w:rFonts w:hint="eastAsia" w:cs="宋体" w:asciiTheme="minorEastAsia" w:hAnsiTheme="minorEastAsia"/>
                <w:b/>
                <w:szCs w:val="21"/>
                <w:lang w:val="zh-CN"/>
              </w:rPr>
              <w:t>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w:t>
            </w:r>
            <w:r>
              <w:rPr>
                <w:rFonts w:cs="宋体" w:asciiTheme="minorEastAsia" w:hAnsiTheme="minorEastAsia"/>
                <w:b/>
                <w:szCs w:val="21"/>
                <w:lang w:val="zh-CN"/>
              </w:rPr>
              <w:t xml:space="preserve"> </w:t>
            </w:r>
            <w:r>
              <w:rPr>
                <w:rFonts w:hint="eastAsia" w:cs="宋体" w:asciiTheme="minorEastAsia" w:hAnsiTheme="minorEastAsia"/>
                <w:b/>
                <w:szCs w:val="21"/>
                <w:lang w:val="zh-CN"/>
              </w:rPr>
              <w:t>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2</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w:t>
            </w:r>
            <w:r>
              <w:rPr>
                <w:rFonts w:asciiTheme="minorEastAsia" w:hAnsiTheme="minorEastAsia"/>
                <w:szCs w:val="21"/>
              </w:rPr>
              <w:t xml:space="preserve">  </w:t>
            </w:r>
            <w:r>
              <w:rPr>
                <w:rFonts w:hint="eastAsia" w:cs="宋体" w:asciiTheme="minorEastAsia" w:hAnsiTheme="minorEastAsia"/>
                <w:szCs w:val="21"/>
                <w:lang w:val="zh-CN"/>
              </w:rPr>
              <w:t>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w:t>
            </w:r>
            <w:r>
              <w:rPr>
                <w:rFonts w:asciiTheme="minorEastAsia" w:hAnsiTheme="minorEastAsia"/>
                <w:szCs w:val="21"/>
              </w:rPr>
              <w:t xml:space="preserve">              </w:t>
            </w:r>
            <w:r>
              <w:rPr>
                <w:rFonts w:hint="eastAsia" w:cs="宋体" w:asciiTheme="minorEastAsia" w:hAnsiTheme="minorEastAsia"/>
                <w:szCs w:val="21"/>
                <w:lang w:val="zh-CN"/>
              </w:rPr>
              <w:t>小写：</w:t>
            </w: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asciiTheme="minorEastAsia" w:hAnsiTheme="minorEastAsia"/>
          <w:color w:val="000000"/>
          <w:szCs w:val="21"/>
        </w:rPr>
      </w:pPr>
      <w:r>
        <w:rPr>
          <w:rFonts w:hint="eastAsia" w:asciiTheme="minorEastAsia" w:hAnsiTheme="minorEastAsia"/>
          <w:color w:val="000000"/>
          <w:szCs w:val="21"/>
        </w:rPr>
        <w:t xml:space="preserve">项目名称：   </w:t>
      </w:r>
    </w:p>
    <w:p>
      <w:pPr>
        <w:autoSpaceDE w:val="0"/>
        <w:autoSpaceDN w:val="0"/>
        <w:adjustRightInd w:val="0"/>
        <w:spacing w:line="360" w:lineRule="auto"/>
        <w:outlineLvl w:val="0"/>
        <w:rPr>
          <w:rFonts w:hAnsi="宋体" w:eastAsia="宋体"/>
          <w:b/>
          <w:snapToGrid w:val="0"/>
          <w:kern w:val="0"/>
          <w:szCs w:val="21"/>
        </w:rPr>
      </w:pP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2</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asciiTheme="minorEastAsia" w:hAnsiTheme="minorEastAsia"/>
          <w:color w:val="000000"/>
          <w:szCs w:val="21"/>
        </w:rPr>
      </w:pPr>
      <w:r>
        <w:rPr>
          <w:rFonts w:hint="eastAsia" w:asciiTheme="minorEastAsia" w:hAnsiTheme="minorEastAsia"/>
          <w:color w:val="000000"/>
          <w:szCs w:val="21"/>
        </w:rPr>
        <w:t xml:space="preserve">项目名称：   </w:t>
      </w:r>
    </w:p>
    <w:p>
      <w:pPr>
        <w:snapToGrid w:val="0"/>
        <w:spacing w:line="360" w:lineRule="auto"/>
        <w:rPr>
          <w:rFonts w:hAnsi="宋体" w:eastAsia="宋体"/>
          <w:b/>
          <w:snapToGrid w:val="0"/>
          <w:kern w:val="0"/>
          <w:szCs w:val="21"/>
        </w:rPr>
      </w:pP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（投标人根据招标文件要求自行编制）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4.6“节能产品政府采购品目清单”强制节能产品情况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2"/>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“节能产品政府采购品目清单”优先采购节能产品情况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宋体" w:hAnsi="宋体"/>
          <w:szCs w:val="21"/>
        </w:rPr>
      </w:pPr>
    </w:p>
    <w:tbl>
      <w:tblPr>
        <w:tblStyle w:val="22"/>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utoSpaceDE w:val="0"/>
        <w:autoSpaceDN w:val="0"/>
        <w:adjustRightInd w:val="0"/>
        <w:spacing w:line="480" w:lineRule="auto"/>
        <w:rPr>
          <w:rFonts w:cs="宋体" w:asciiTheme="minorEastAsia" w:hAnsiTheme="minorEastAsia"/>
          <w:szCs w:val="21"/>
          <w:lang w:val="zh-CN"/>
        </w:rPr>
      </w:pPr>
    </w:p>
    <w:p>
      <w:pPr>
        <w:snapToGrid w:val="0"/>
        <w:spacing w:line="500" w:lineRule="exact"/>
        <w:rPr>
          <w:rFonts w:cs="宋体" w:asciiTheme="minorEastAsia" w:hAnsiTheme="minorEastAsia"/>
          <w:szCs w:val="21"/>
          <w:lang w:val="zh-CN"/>
        </w:rPr>
      </w:pPr>
    </w:p>
    <w:p>
      <w:pPr>
        <w:rPr>
          <w:rFonts w:cs="宋体" w:asciiTheme="minorEastAsia" w:hAnsiTheme="minorEastAsia"/>
          <w:szCs w:val="21"/>
          <w:lang w:val="zh-CN"/>
        </w:rPr>
      </w:pPr>
      <w:r>
        <w:rPr>
          <w:rFonts w:hint="eastAsia" w:cs="宋体" w:asciiTheme="minorEastAsia" w:hAnsiTheme="minorEastAsia"/>
          <w:szCs w:val="21"/>
          <w:lang w:val="zh-CN"/>
        </w:rPr>
        <w:t>说明：所投产品节能认证证书须附后。</w:t>
      </w:r>
    </w:p>
    <w:p>
      <w:pPr>
        <w:autoSpaceDE w:val="0"/>
        <w:autoSpaceDN w:val="0"/>
        <w:adjustRightInd w:val="0"/>
        <w:spacing w:line="360" w:lineRule="auto"/>
        <w:jc w:val="center"/>
        <w:outlineLvl w:val="0"/>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spacing w:line="360" w:lineRule="auto"/>
        <w:jc w:val="center"/>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4.8 “环境标志产品政府采购品目清单”优先采购产品情况</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tabs>
          <w:tab w:val="left" w:pos="1800"/>
          <w:tab w:val="left" w:pos="5580"/>
        </w:tabs>
        <w:spacing w:line="360" w:lineRule="auto"/>
        <w:rPr>
          <w:rFonts w:asciiTheme="minorEastAsia" w:hAnsiTheme="minorEastAsia"/>
          <w:color w:val="000000"/>
          <w:szCs w:val="21"/>
        </w:rPr>
      </w:pPr>
      <w:r>
        <w:rPr>
          <w:rFonts w:hint="eastAsia" w:asciiTheme="minorEastAsia" w:hAnsiTheme="minorEastAsia"/>
          <w:color w:val="000000"/>
          <w:szCs w:val="21"/>
        </w:rPr>
        <w:t>项目名称：</w:t>
      </w:r>
    </w:p>
    <w:p>
      <w:pPr>
        <w:tabs>
          <w:tab w:val="left" w:pos="1800"/>
          <w:tab w:val="left" w:pos="5580"/>
        </w:tabs>
        <w:spacing w:line="360" w:lineRule="auto"/>
        <w:rPr>
          <w:rFonts w:asciiTheme="minorEastAsia" w:hAnsiTheme="minorEastAsia"/>
          <w:color w:val="000000"/>
          <w:szCs w:val="21"/>
        </w:rPr>
      </w:pPr>
    </w:p>
    <w:tbl>
      <w:tblPr>
        <w:tblStyle w:val="22"/>
        <w:tblW w:w="514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1374"/>
        <w:gridCol w:w="1518"/>
        <w:gridCol w:w="1240"/>
        <w:gridCol w:w="1648"/>
        <w:gridCol w:w="160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blHeader/>
        </w:trPr>
        <w:tc>
          <w:tcPr>
            <w:tcW w:w="282"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737"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产品名称</w:t>
            </w:r>
          </w:p>
        </w:tc>
        <w:tc>
          <w:tcPr>
            <w:tcW w:w="81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品牌</w:t>
            </w:r>
          </w:p>
        </w:tc>
        <w:tc>
          <w:tcPr>
            <w:tcW w:w="665"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产品型号</w:t>
            </w:r>
          </w:p>
        </w:tc>
        <w:tc>
          <w:tcPr>
            <w:tcW w:w="884"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认证证书编号</w:t>
            </w:r>
          </w:p>
        </w:tc>
        <w:tc>
          <w:tcPr>
            <w:tcW w:w="858"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证书有效期</w:t>
            </w:r>
          </w:p>
        </w:tc>
        <w:tc>
          <w:tcPr>
            <w:tcW w:w="760" w:type="pct"/>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1</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Times New Roman"/>
                <w:sz w:val="21"/>
                <w:szCs w:val="21"/>
              </w:rPr>
              <w:t>2</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82" w:type="pct"/>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737" w:type="pct"/>
            <w:vAlign w:val="center"/>
          </w:tcPr>
          <w:p>
            <w:pPr>
              <w:pStyle w:val="7"/>
              <w:spacing w:line="360" w:lineRule="auto"/>
              <w:rPr>
                <w:rFonts w:ascii="宋体" w:hAnsi="宋体" w:eastAsia="宋体" w:cs="Times New Roman"/>
                <w:sz w:val="21"/>
                <w:szCs w:val="21"/>
              </w:rPr>
            </w:pPr>
          </w:p>
        </w:tc>
        <w:tc>
          <w:tcPr>
            <w:tcW w:w="814" w:type="pct"/>
            <w:vAlign w:val="center"/>
          </w:tcPr>
          <w:p>
            <w:pPr>
              <w:pStyle w:val="7"/>
              <w:spacing w:line="360" w:lineRule="auto"/>
              <w:rPr>
                <w:rFonts w:ascii="宋体" w:hAnsi="宋体" w:eastAsia="宋体" w:cs="Times New Roman"/>
                <w:sz w:val="21"/>
                <w:szCs w:val="21"/>
              </w:rPr>
            </w:pPr>
          </w:p>
        </w:tc>
        <w:tc>
          <w:tcPr>
            <w:tcW w:w="665" w:type="pct"/>
          </w:tcPr>
          <w:p>
            <w:pPr>
              <w:pStyle w:val="7"/>
              <w:spacing w:line="360" w:lineRule="auto"/>
              <w:rPr>
                <w:rFonts w:ascii="宋体" w:hAnsi="宋体" w:eastAsia="宋体" w:cs="Times New Roman"/>
                <w:sz w:val="21"/>
                <w:szCs w:val="21"/>
              </w:rPr>
            </w:pPr>
          </w:p>
        </w:tc>
        <w:tc>
          <w:tcPr>
            <w:tcW w:w="884" w:type="pct"/>
          </w:tcPr>
          <w:p>
            <w:pPr>
              <w:pStyle w:val="7"/>
              <w:spacing w:line="360" w:lineRule="auto"/>
              <w:rPr>
                <w:rFonts w:ascii="宋体" w:hAnsi="宋体" w:eastAsia="宋体" w:cs="Times New Roman"/>
                <w:sz w:val="21"/>
                <w:szCs w:val="21"/>
              </w:rPr>
            </w:pPr>
          </w:p>
        </w:tc>
        <w:tc>
          <w:tcPr>
            <w:tcW w:w="858" w:type="pct"/>
          </w:tcPr>
          <w:p>
            <w:pPr>
              <w:pStyle w:val="7"/>
              <w:spacing w:line="360" w:lineRule="auto"/>
              <w:rPr>
                <w:rFonts w:ascii="宋体" w:hAnsi="宋体" w:eastAsia="宋体" w:cs="Times New Roman"/>
                <w:sz w:val="21"/>
                <w:szCs w:val="21"/>
              </w:rPr>
            </w:pPr>
          </w:p>
        </w:tc>
        <w:tc>
          <w:tcPr>
            <w:tcW w:w="760" w:type="pct"/>
          </w:tcPr>
          <w:p>
            <w:pPr>
              <w:pStyle w:val="7"/>
              <w:spacing w:line="360" w:lineRule="auto"/>
              <w:rPr>
                <w:rFonts w:ascii="宋体" w:hAnsi="宋体" w:eastAsia="宋体" w:cs="Times New Roman"/>
                <w:sz w:val="21"/>
                <w:szCs w:val="21"/>
              </w:rPr>
            </w:pPr>
          </w:p>
        </w:tc>
      </w:tr>
    </w:tbl>
    <w:p>
      <w:pPr>
        <w:autoSpaceDE w:val="0"/>
        <w:autoSpaceDN w:val="0"/>
        <w:adjustRightInd w:val="0"/>
        <w:spacing w:line="480" w:lineRule="auto"/>
        <w:rPr>
          <w:rFonts w:cs="宋体" w:asciiTheme="minorEastAsia" w:hAnsiTheme="minorEastAsia"/>
          <w:szCs w:val="21"/>
        </w:rPr>
      </w:pP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r>
        <w:rPr>
          <w:rFonts w:cs="宋体" w:asciiTheme="minorEastAsia" w:hAnsiTheme="minorEastAsia"/>
          <w:szCs w:val="21"/>
          <w:lang w:val="zh-CN"/>
        </w:rPr>
        <w:t xml:space="preserve"> </w:t>
      </w:r>
    </w:p>
    <w:p>
      <w:pPr>
        <w:snapToGrid w:val="0"/>
        <w:spacing w:line="500" w:lineRule="exact"/>
        <w:rPr>
          <w:rFonts w:cs="宋体" w:asciiTheme="minorEastAsia" w:hAnsiTheme="minorEastAsia"/>
          <w:szCs w:val="21"/>
          <w:lang w:val="zh-CN"/>
        </w:rPr>
      </w:pPr>
    </w:p>
    <w:p>
      <w:pPr>
        <w:spacing w:line="360" w:lineRule="auto"/>
        <w:rPr>
          <w:rFonts w:ascii="宋体" w:hAnsi="宋体"/>
          <w:b/>
          <w:bCs/>
          <w:color w:val="000000"/>
          <w:sz w:val="36"/>
          <w:szCs w:val="36"/>
        </w:rPr>
      </w:pPr>
      <w:r>
        <w:rPr>
          <w:rFonts w:hint="eastAsia" w:cs="宋体" w:asciiTheme="minorEastAsia" w:hAnsiTheme="minorEastAsia"/>
          <w:szCs w:val="21"/>
          <w:lang w:val="zh-CN"/>
        </w:rPr>
        <w:t>说明：所投产品环境标志产品认证证书须附后。</w:t>
      </w:r>
    </w:p>
    <w:p>
      <w:pPr>
        <w:autoSpaceDE w:val="0"/>
        <w:autoSpaceDN w:val="0"/>
        <w:adjustRightInd w:val="0"/>
        <w:spacing w:line="360" w:lineRule="auto"/>
        <w:jc w:val="center"/>
        <w:outlineLvl w:val="0"/>
        <w:rPr>
          <w:rFonts w:ascii="宋体" w:hAnsi="宋体"/>
          <w:b/>
          <w:bCs/>
          <w:color w:val="000000"/>
          <w:sz w:val="24"/>
          <w:szCs w:val="24"/>
        </w:rPr>
      </w:pPr>
    </w:p>
    <w:p>
      <w:pPr>
        <w:widowControl/>
        <w:jc w:val="left"/>
        <w:rPr>
          <w:rFonts w:ascii="宋体" w:hAnsi="宋体"/>
          <w:b/>
          <w:bCs/>
          <w:color w:val="000000"/>
          <w:sz w:val="24"/>
          <w:szCs w:val="24"/>
        </w:rPr>
      </w:pPr>
      <w:r>
        <w:rPr>
          <w:rFonts w:ascii="宋体" w:hAnsi="宋体"/>
          <w:b/>
          <w:bCs/>
          <w:color w:val="000000"/>
          <w:sz w:val="24"/>
          <w:szCs w:val="24"/>
        </w:rPr>
        <w:br w:type="page"/>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4.9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企业名称：</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spacing w:line="480" w:lineRule="auto"/>
        <w:ind w:left="4358" w:leftChars="2075"/>
        <w:rPr>
          <w:rFonts w:cs="Arial" w:asciiTheme="minorEastAsia" w:hAnsiTheme="minorEastAsia"/>
          <w:color w:val="000000"/>
          <w:szCs w:val="21"/>
        </w:rPr>
      </w:pP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2、如投标人为联合投标的，联合投标人需分别填写上述《中小企业声明函》。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widowControl/>
        <w:spacing w:before="100" w:beforeAutospacing="1" w:after="100" w:afterAutospacing="1" w:line="360" w:lineRule="auto"/>
        <w:contextualSpacing/>
        <w:jc w:val="left"/>
        <w:rPr>
          <w:rFonts w:ascii="宋体" w:hAnsi="宋体" w:cs="Arial"/>
          <w:color w:val="000000"/>
          <w:kern w:val="0"/>
          <w:szCs w:val="21"/>
        </w:rPr>
      </w:pPr>
    </w:p>
    <w:p>
      <w:pPr>
        <w:widowControl/>
        <w:spacing w:before="100" w:beforeAutospacing="1" w:after="100" w:afterAutospacing="1" w:line="360" w:lineRule="auto"/>
        <w:contextualSpacing/>
        <w:jc w:val="left"/>
        <w:rPr>
          <w:rFonts w:ascii="宋体" w:hAnsi="宋体" w:cs="Arial"/>
          <w:color w:val="000000"/>
          <w:kern w:val="0"/>
          <w:szCs w:val="21"/>
        </w:rPr>
      </w:pPr>
    </w:p>
    <w:p>
      <w:pPr>
        <w:autoSpaceDE w:val="0"/>
        <w:autoSpaceDN w:val="0"/>
        <w:adjustRightInd w:val="0"/>
        <w:spacing w:line="360" w:lineRule="auto"/>
        <w:jc w:val="center"/>
        <w:outlineLvl w:val="0"/>
        <w:rPr>
          <w:rFonts w:ascii="宋体" w:hAnsi="宋体"/>
          <w:b/>
          <w:bCs/>
          <w:color w:val="000000"/>
          <w:sz w:val="24"/>
          <w:szCs w:val="24"/>
        </w:rPr>
      </w:pPr>
      <w:bookmarkStart w:id="12" w:name="OLE_LINK14"/>
      <w:bookmarkStart w:id="13" w:name="OLE_LINK13"/>
      <w:r>
        <w:rPr>
          <w:rFonts w:hint="eastAsia" w:ascii="宋体" w:hAnsi="宋体"/>
          <w:b/>
          <w:bCs/>
          <w:color w:val="000000"/>
          <w:sz w:val="24"/>
          <w:szCs w:val="24"/>
        </w:rPr>
        <w:t>4.10 残疾人福利性单位声明函</w:t>
      </w:r>
    </w:p>
    <w:bookmarkEnd w:id="12"/>
    <w:bookmarkEnd w:id="13"/>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p>
    <w:p>
      <w:pPr>
        <w:adjustRightInd w:val="0"/>
        <w:snapToGrid w:val="0"/>
        <w:spacing w:line="360" w:lineRule="auto"/>
        <w:ind w:firstLine="3150" w:firstLineChars="1500"/>
        <w:rPr>
          <w:rFonts w:cs="宋体" w:asciiTheme="minorEastAsia" w:hAnsiTheme="minorEastAsia"/>
          <w:szCs w:val="21"/>
        </w:rPr>
      </w:pPr>
      <w:r>
        <w:rPr>
          <w:rFonts w:hint="eastAsia" w:ascii="宋体" w:hAnsi="宋体"/>
          <w:szCs w:val="21"/>
        </w:rPr>
        <w:t>单位名称（盖章）</w:t>
      </w:r>
      <w:r>
        <w:rPr>
          <w:rFonts w:hint="eastAsia" w:cs="宋体" w:asciiTheme="minorEastAsia" w:hAnsiTheme="minorEastAsia"/>
          <w:szCs w:val="21"/>
        </w:rPr>
        <w:t>：</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spacing w:line="480" w:lineRule="auto"/>
        <w:ind w:left="4358" w:leftChars="2075"/>
        <w:rPr>
          <w:rFonts w:cs="Arial" w:asciiTheme="minorEastAsia" w:hAnsiTheme="minorEastAsia"/>
          <w:color w:val="000000"/>
          <w:szCs w:val="21"/>
        </w:rPr>
      </w:pPr>
    </w:p>
    <w:p/>
    <w:p/>
    <w:p/>
    <w:p/>
    <w:p/>
    <w:p/>
    <w:p/>
    <w:p/>
    <w:p/>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4.11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投标人所投产品涉及国家有属强制性规定的，须承诺其所投产品符合国家强制性要求（如CCC认证，格式自拟）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djustRightInd w:val="0"/>
        <w:snapToGrid w:val="0"/>
        <w:spacing w:line="360" w:lineRule="auto"/>
        <w:ind w:firstLine="3150" w:firstLineChars="1500"/>
        <w:rPr>
          <w:rFonts w:cs="宋体" w:asciiTheme="minorEastAsia" w:hAnsiTheme="minorEastAsia"/>
          <w:szCs w:val="21"/>
        </w:rPr>
      </w:pPr>
      <w:r>
        <w:rPr>
          <w:rFonts w:hint="eastAsia" w:cs="宋体" w:asciiTheme="minorEastAsia" w:hAnsiTheme="minorEastAsia"/>
          <w:szCs w:val="21"/>
        </w:rPr>
        <w:t>投标人名称（并加盖公章）：</w:t>
      </w:r>
      <w:r>
        <w:rPr>
          <w:rFonts w:hint="eastAsia" w:cs="宋体" w:asciiTheme="minorEastAsia" w:hAnsiTheme="minorEastAsia"/>
          <w:szCs w:val="21"/>
          <w:u w:val="single"/>
        </w:rPr>
        <w:t xml:space="preserve">               </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3885" w:firstLineChars="1850"/>
        <w:rPr>
          <w:rFonts w:cs="宋体" w:asciiTheme="minorEastAsia" w:hAnsiTheme="minorEastAsia"/>
          <w:szCs w:val="21"/>
        </w:rPr>
      </w:pPr>
      <w:r>
        <w:rPr>
          <w:rFonts w:hint="eastAsia" w:cs="宋体" w:asciiTheme="minorEastAsia" w:hAnsiTheme="minorEastAsia"/>
          <w:szCs w:val="21"/>
        </w:rPr>
        <w:t>日期：</w:t>
      </w:r>
      <w:r>
        <w:rPr>
          <w:rFonts w:hint="eastAsia" w:cs="宋体" w:asciiTheme="minorEastAsia" w:hAnsiTheme="minorEastAsia"/>
          <w:szCs w:val="21"/>
          <w:u w:val="single"/>
        </w:rPr>
        <w:t xml:space="preserve">       </w:t>
      </w:r>
      <w:r>
        <w:rPr>
          <w:rFonts w:hint="eastAsia" w:cs="宋体" w:asciiTheme="minorEastAsia" w:hAnsiTheme="minorEastAsia"/>
          <w:szCs w:val="21"/>
        </w:rPr>
        <w:t>年</w:t>
      </w:r>
      <w:r>
        <w:rPr>
          <w:rFonts w:hint="eastAsia" w:cs="宋体" w:asciiTheme="minorEastAsia" w:hAnsiTheme="minorEastAsia"/>
          <w:szCs w:val="21"/>
          <w:u w:val="single"/>
        </w:rPr>
        <w:t xml:space="preserve">       </w:t>
      </w:r>
      <w:r>
        <w:rPr>
          <w:rFonts w:hint="eastAsia" w:cs="宋体" w:asciiTheme="minorEastAsia" w:hAnsiTheme="minorEastAsia"/>
          <w:szCs w:val="21"/>
        </w:rPr>
        <w:t xml:space="preserve">月 </w:t>
      </w:r>
      <w:r>
        <w:rPr>
          <w:rFonts w:hint="eastAsia" w:cs="宋体" w:asciiTheme="minorEastAsia" w:hAnsiTheme="minorEastAsia"/>
          <w:szCs w:val="21"/>
          <w:u w:val="single"/>
        </w:rPr>
        <w:t xml:space="preserve">      </w:t>
      </w:r>
      <w:r>
        <w:rPr>
          <w:rFonts w:hint="eastAsia" w:cs="宋体" w:asciiTheme="minorEastAsia" w:hAnsiTheme="minorEastAsia"/>
          <w:szCs w:val="21"/>
        </w:rPr>
        <w:t>日</w:t>
      </w: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15"/>
          <w:szCs w:val="15"/>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
    <w:p/>
    <w:p>
      <w:pPr>
        <w:pStyle w:val="13"/>
        <w:spacing w:line="360" w:lineRule="auto"/>
        <w:contextualSpacing/>
        <w:jc w:val="center"/>
        <w:rPr>
          <w:rFonts w:cs="宋体" w:asciiTheme="majorEastAsia" w:hAnsiTheme="majorEastAsia" w:eastAsiaTheme="majorEastAsia"/>
          <w:b/>
          <w:kern w:val="0"/>
          <w:sz w:val="36"/>
          <w:szCs w:val="36"/>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80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4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2B45501"/>
    <w:multiLevelType w:val="multilevel"/>
    <w:tmpl w:val="02B45501"/>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863000A"/>
    <w:multiLevelType w:val="multilevel"/>
    <w:tmpl w:val="0863000A"/>
    <w:lvl w:ilvl="0" w:tentative="0">
      <w:start w:val="1"/>
      <w:numFmt w:val="decimal"/>
      <w:lvlText w:val="34. %1 "/>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4">
    <w:nsid w:val="09AC3193"/>
    <w:multiLevelType w:val="multilevel"/>
    <w:tmpl w:val="09AC3193"/>
    <w:lvl w:ilvl="0" w:tentative="0">
      <w:start w:val="1"/>
      <w:numFmt w:val="decimal"/>
      <w:lvlText w:val="25.2.%1"/>
      <w:lvlJc w:val="left"/>
      <w:pPr>
        <w:ind w:left="1413" w:hanging="420"/>
      </w:pPr>
      <w:rPr>
        <w:rFonts w:hint="eastAsia"/>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5">
    <w:nsid w:val="0B974D79"/>
    <w:multiLevelType w:val="multilevel"/>
    <w:tmpl w:val="0B974D79"/>
    <w:lvl w:ilvl="0" w:tentative="0">
      <w:start w:val="29"/>
      <w:numFmt w:val="decimal"/>
      <w:lvlText w:val="%1.4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BB54322"/>
    <w:multiLevelType w:val="multilevel"/>
    <w:tmpl w:val="0BB54322"/>
    <w:lvl w:ilvl="0" w:tentative="0">
      <w:start w:val="3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DFE7980"/>
    <w:multiLevelType w:val="multilevel"/>
    <w:tmpl w:val="0DFE7980"/>
    <w:lvl w:ilvl="0" w:tentative="0">
      <w:start w:val="23"/>
      <w:numFmt w:val="decimal"/>
      <w:lvlText w:val="%1."/>
      <w:lvlJc w:val="left"/>
      <w:pPr>
        <w:ind w:left="420" w:hanging="420"/>
      </w:pPr>
      <w:rPr>
        <w:rFonts w:hint="eastAsia"/>
      </w:rPr>
    </w:lvl>
    <w:lvl w:ilvl="1" w:tentative="0">
      <w:start w:val="1"/>
      <w:numFmt w:val="decimal"/>
      <w:lvlText w:val="23.3.%2"/>
      <w:lvlJc w:val="left"/>
      <w:pPr>
        <w:ind w:left="964" w:hanging="544"/>
      </w:pPr>
      <w:rPr>
        <w:rFonts w:hint="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8">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10095A2B"/>
    <w:multiLevelType w:val="multilevel"/>
    <w:tmpl w:val="10095A2B"/>
    <w:lvl w:ilvl="0" w:tentative="0">
      <w:start w:val="23"/>
      <w:numFmt w:val="decimal"/>
      <w:lvlText w:val="%1."/>
      <w:lvlJc w:val="left"/>
      <w:pPr>
        <w:ind w:left="420" w:hanging="420"/>
      </w:pPr>
      <w:rPr>
        <w:rFonts w:hint="eastAsia"/>
      </w:rPr>
    </w:lvl>
    <w:lvl w:ilvl="1" w:tentative="0">
      <w:start w:val="1"/>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11477569"/>
    <w:multiLevelType w:val="multilevel"/>
    <w:tmpl w:val="11477569"/>
    <w:lvl w:ilvl="0" w:tentative="0">
      <w:start w:val="2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2CA029F"/>
    <w:multiLevelType w:val="multilevel"/>
    <w:tmpl w:val="12CA029F"/>
    <w:lvl w:ilvl="0" w:tentative="0">
      <w:start w:val="2"/>
      <w:numFmt w:val="decimal"/>
      <w:lvlText w:val="32. %1 "/>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39E5237"/>
    <w:multiLevelType w:val="multilevel"/>
    <w:tmpl w:val="139E5237"/>
    <w:lvl w:ilvl="0" w:tentative="0">
      <w:start w:val="3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166961FB"/>
    <w:multiLevelType w:val="multilevel"/>
    <w:tmpl w:val="166961FB"/>
    <w:lvl w:ilvl="0" w:tentative="0">
      <w:start w:val="3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19DF2F37"/>
    <w:multiLevelType w:val="multilevel"/>
    <w:tmpl w:val="19DF2F37"/>
    <w:lvl w:ilvl="0" w:tentative="0">
      <w:start w:val="29"/>
      <w:numFmt w:val="decimal"/>
      <w:lvlText w:val="%1.5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1C536185"/>
    <w:multiLevelType w:val="multilevel"/>
    <w:tmpl w:val="1C536185"/>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1C74355F"/>
    <w:multiLevelType w:val="multilevel"/>
    <w:tmpl w:val="1C74355F"/>
    <w:lvl w:ilvl="0" w:tentative="0">
      <w:start w:val="1"/>
      <w:numFmt w:val="decimal"/>
      <w:lvlText w:val="32.1.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1E711E7A"/>
    <w:multiLevelType w:val="multilevel"/>
    <w:tmpl w:val="1E711E7A"/>
    <w:lvl w:ilvl="0" w:tentative="0">
      <w:start w:val="1"/>
      <w:numFmt w:val="decimal"/>
      <w:lvlText w:val="26.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1EB36E0D"/>
    <w:multiLevelType w:val="multilevel"/>
    <w:tmpl w:val="1EB36E0D"/>
    <w:lvl w:ilvl="0" w:tentative="0">
      <w:start w:val="25"/>
      <w:numFmt w:val="decimal"/>
      <w:lvlText w:val="%1."/>
      <w:lvlJc w:val="left"/>
      <w:pPr>
        <w:ind w:left="420" w:hanging="420"/>
      </w:pPr>
      <w:rPr>
        <w:rFonts w:hint="eastAsia"/>
      </w:rPr>
    </w:lvl>
    <w:lvl w:ilvl="1" w:tentative="0">
      <w:start w:val="3"/>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0">
    <w:nsid w:val="1FAE040E"/>
    <w:multiLevelType w:val="multilevel"/>
    <w:tmpl w:val="1FAE040E"/>
    <w:lvl w:ilvl="0" w:tentative="0">
      <w:start w:val="1"/>
      <w:numFmt w:val="decimal"/>
      <w:lvlText w:val="29.2.%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1">
    <w:nsid w:val="20F45686"/>
    <w:multiLevelType w:val="multilevel"/>
    <w:tmpl w:val="20F45686"/>
    <w:lvl w:ilvl="0" w:tentative="0">
      <w:start w:val="1"/>
      <w:numFmt w:val="decimal"/>
      <w:lvlText w:val="29.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22">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3">
    <w:nsid w:val="2428530D"/>
    <w:multiLevelType w:val="multilevel"/>
    <w:tmpl w:val="2428530D"/>
    <w:lvl w:ilvl="0" w:tentative="0">
      <w:start w:val="29"/>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284F17D0"/>
    <w:multiLevelType w:val="multilevel"/>
    <w:tmpl w:val="284F17D0"/>
    <w:lvl w:ilvl="0" w:tentative="0">
      <w:start w:val="23"/>
      <w:numFmt w:val="decimal"/>
      <w:lvlText w:val="%1."/>
      <w:lvlJc w:val="left"/>
      <w:pPr>
        <w:ind w:left="420" w:hanging="420"/>
      </w:pPr>
      <w:rPr>
        <w:rFonts w:hint="eastAsia"/>
      </w:rPr>
    </w:lvl>
    <w:lvl w:ilvl="1" w:tentative="0">
      <w:start w:val="3"/>
      <w:numFmt w:val="decimal"/>
      <w:lvlText w:val="23.3.%2"/>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25">
    <w:nsid w:val="294D1DA8"/>
    <w:multiLevelType w:val="multilevel"/>
    <w:tmpl w:val="294D1DA8"/>
    <w:lvl w:ilvl="0" w:tentative="0">
      <w:start w:val="25"/>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2BC85BF7"/>
    <w:multiLevelType w:val="multilevel"/>
    <w:tmpl w:val="2BC85BF7"/>
    <w:lvl w:ilvl="0" w:tentative="0">
      <w:start w:val="1"/>
      <w:numFmt w:val="decimal"/>
      <w:lvlText w:val="3.3.%1"/>
      <w:lvlJc w:val="left"/>
      <w:pPr>
        <w:ind w:left="422" w:hanging="420"/>
      </w:pPr>
      <w:rPr>
        <w:rFonts w:hint="eastAsia"/>
      </w:rPr>
    </w:lvl>
    <w:lvl w:ilvl="1" w:tentative="0">
      <w:start w:val="1"/>
      <w:numFmt w:val="lowerLetter"/>
      <w:lvlText w:val="%2)"/>
      <w:lvlJc w:val="left"/>
      <w:pPr>
        <w:ind w:left="842" w:hanging="420"/>
      </w:pPr>
    </w:lvl>
    <w:lvl w:ilvl="2" w:tentative="0">
      <w:start w:val="1"/>
      <w:numFmt w:val="lowerRoman"/>
      <w:lvlText w:val="%3."/>
      <w:lvlJc w:val="right"/>
      <w:pPr>
        <w:ind w:left="1262" w:hanging="420"/>
      </w:pPr>
    </w:lvl>
    <w:lvl w:ilvl="3" w:tentative="0">
      <w:start w:val="1"/>
      <w:numFmt w:val="decimal"/>
      <w:lvlText w:val="%4."/>
      <w:lvlJc w:val="left"/>
      <w:pPr>
        <w:ind w:left="1682" w:hanging="420"/>
      </w:pPr>
    </w:lvl>
    <w:lvl w:ilvl="4" w:tentative="0">
      <w:start w:val="1"/>
      <w:numFmt w:val="lowerLetter"/>
      <w:lvlText w:val="%5)"/>
      <w:lvlJc w:val="left"/>
      <w:pPr>
        <w:ind w:left="2102" w:hanging="420"/>
      </w:pPr>
    </w:lvl>
    <w:lvl w:ilvl="5" w:tentative="0">
      <w:start w:val="1"/>
      <w:numFmt w:val="lowerRoman"/>
      <w:lvlText w:val="%6."/>
      <w:lvlJc w:val="right"/>
      <w:pPr>
        <w:ind w:left="2522" w:hanging="420"/>
      </w:pPr>
    </w:lvl>
    <w:lvl w:ilvl="6" w:tentative="0">
      <w:start w:val="1"/>
      <w:numFmt w:val="decimal"/>
      <w:lvlText w:val="%7."/>
      <w:lvlJc w:val="left"/>
      <w:pPr>
        <w:ind w:left="2942" w:hanging="420"/>
      </w:pPr>
    </w:lvl>
    <w:lvl w:ilvl="7" w:tentative="0">
      <w:start w:val="1"/>
      <w:numFmt w:val="lowerLetter"/>
      <w:lvlText w:val="%8)"/>
      <w:lvlJc w:val="left"/>
      <w:pPr>
        <w:ind w:left="3362" w:hanging="420"/>
      </w:pPr>
    </w:lvl>
    <w:lvl w:ilvl="8" w:tentative="0">
      <w:start w:val="1"/>
      <w:numFmt w:val="lowerRoman"/>
      <w:lvlText w:val="%9."/>
      <w:lvlJc w:val="right"/>
      <w:pPr>
        <w:ind w:left="3782" w:hanging="420"/>
      </w:pPr>
    </w:lvl>
  </w:abstractNum>
  <w:abstractNum w:abstractNumId="27">
    <w:nsid w:val="2D8B66E1"/>
    <w:multiLevelType w:val="multilevel"/>
    <w:tmpl w:val="2D8B66E1"/>
    <w:lvl w:ilvl="0" w:tentative="0">
      <w:start w:val="1"/>
      <w:numFmt w:val="decimal"/>
      <w:lvlText w:val="38.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31E5674F"/>
    <w:multiLevelType w:val="multilevel"/>
    <w:tmpl w:val="31E5674F"/>
    <w:lvl w:ilvl="0" w:tentative="0">
      <w:start w:val="1"/>
      <w:numFmt w:val="decimal"/>
      <w:lvlText w:val="3.6.%1"/>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375A32AE"/>
    <w:multiLevelType w:val="multilevel"/>
    <w:tmpl w:val="375A32AE"/>
    <w:lvl w:ilvl="0" w:tentative="0">
      <w:start w:val="1"/>
      <w:numFmt w:val="decimal"/>
      <w:lvlText w:val="25.1.2.%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37A329CD"/>
    <w:multiLevelType w:val="multilevel"/>
    <w:tmpl w:val="37A329CD"/>
    <w:lvl w:ilvl="0" w:tentative="0">
      <w:start w:val="38"/>
      <w:numFmt w:val="decimal"/>
      <w:lvlText w:val="%1."/>
      <w:lvlJc w:val="left"/>
      <w:pPr>
        <w:ind w:left="420" w:hanging="420"/>
      </w:pPr>
      <w:rPr>
        <w:rFonts w:hint="eastAsia"/>
      </w:rPr>
    </w:lvl>
    <w:lvl w:ilvl="1" w:tentative="0">
      <w:start w:val="2"/>
      <w:numFmt w:val="decimal"/>
      <w:lvlText w:val="38.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1">
    <w:nsid w:val="3E97695A"/>
    <w:multiLevelType w:val="multilevel"/>
    <w:tmpl w:val="3E97695A"/>
    <w:lvl w:ilvl="0" w:tentative="0">
      <w:start w:val="30"/>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467D786A"/>
    <w:multiLevelType w:val="multilevel"/>
    <w:tmpl w:val="467D786A"/>
    <w:lvl w:ilvl="0" w:tentative="0">
      <w:start w:val="1"/>
      <w:numFmt w:val="decimal"/>
      <w:lvlText w:val="32.2.%1"/>
      <w:lvlJc w:val="left"/>
      <w:pPr>
        <w:ind w:left="1384"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4FF6F31"/>
    <w:multiLevelType w:val="multilevel"/>
    <w:tmpl w:val="54FF6F31"/>
    <w:lvl w:ilvl="0" w:tentative="0">
      <w:start w:val="1"/>
      <w:numFmt w:val="decimal"/>
      <w:lvlText w:val="28. %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4">
    <w:nsid w:val="59F817C2"/>
    <w:multiLevelType w:val="singleLevel"/>
    <w:tmpl w:val="59F817C2"/>
    <w:lvl w:ilvl="0" w:tentative="0">
      <w:start w:val="2"/>
      <w:numFmt w:val="chineseCounting"/>
      <w:suff w:val="space"/>
      <w:lvlText w:val="第%1章"/>
      <w:lvlJc w:val="left"/>
    </w:lvl>
  </w:abstractNum>
  <w:abstractNum w:abstractNumId="35">
    <w:nsid w:val="59F817E8"/>
    <w:multiLevelType w:val="singleLevel"/>
    <w:tmpl w:val="59F817E8"/>
    <w:lvl w:ilvl="0" w:tentative="0">
      <w:start w:val="1"/>
      <w:numFmt w:val="chineseCounting"/>
      <w:pStyle w:val="49"/>
      <w:suff w:val="nothing"/>
      <w:lvlText w:val="%1、"/>
      <w:lvlJc w:val="left"/>
    </w:lvl>
  </w:abstractNum>
  <w:abstractNum w:abstractNumId="36">
    <w:nsid w:val="5A1A6631"/>
    <w:multiLevelType w:val="multilevel"/>
    <w:tmpl w:val="5A1A6631"/>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7">
    <w:nsid w:val="5A734122"/>
    <w:multiLevelType w:val="multilevel"/>
    <w:tmpl w:val="5A734122"/>
    <w:lvl w:ilvl="0" w:tentative="0">
      <w:start w:val="3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5B7615A2"/>
    <w:multiLevelType w:val="multilevel"/>
    <w:tmpl w:val="5B7615A2"/>
    <w:lvl w:ilvl="0" w:tentative="0">
      <w:start w:val="23"/>
      <w:numFmt w:val="decimal"/>
      <w:lvlText w:val="%1."/>
      <w:lvlJc w:val="left"/>
      <w:pPr>
        <w:ind w:left="420" w:hanging="420"/>
      </w:pPr>
      <w:rPr>
        <w:rFonts w:hint="eastAsia"/>
      </w:rPr>
    </w:lvl>
    <w:lvl w:ilvl="1" w:tentative="0">
      <w:start w:val="3"/>
      <w:numFmt w:val="decimal"/>
      <w:lvlText w:val="23.3.1.%2"/>
      <w:lvlJc w:val="left"/>
      <w:pPr>
        <w:ind w:left="964" w:hanging="544"/>
      </w:pPr>
      <w:rPr>
        <w:rFonts w:hint="eastAsia"/>
      </w:rPr>
    </w:lvl>
    <w:lvl w:ilvl="2" w:tentative="0">
      <w:start w:val="21"/>
      <w:numFmt w:val="decimal"/>
      <w:lvlText w:val="%3.1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39">
    <w:nsid w:val="5C3055E2"/>
    <w:multiLevelType w:val="multilevel"/>
    <w:tmpl w:val="5C3055E2"/>
    <w:lvl w:ilvl="0" w:tentative="0">
      <w:start w:val="34"/>
      <w:numFmt w:val="decimal"/>
      <w:lvlText w:val="%1."/>
      <w:lvlJc w:val="left"/>
      <w:pPr>
        <w:ind w:left="420" w:hanging="420"/>
      </w:pPr>
      <w:rPr>
        <w:rFonts w:hint="eastAsia"/>
      </w:rPr>
    </w:lvl>
    <w:lvl w:ilvl="1" w:tentative="0">
      <w:start w:val="1"/>
      <w:numFmt w:val="decimal"/>
      <w:lvlText w:val="34.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40">
    <w:nsid w:val="5C561646"/>
    <w:multiLevelType w:val="multilevel"/>
    <w:tmpl w:val="5C561646"/>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5F9C3ECF"/>
    <w:multiLevelType w:val="multilevel"/>
    <w:tmpl w:val="5F9C3ECF"/>
    <w:lvl w:ilvl="0" w:tentative="0">
      <w:start w:val="29"/>
      <w:numFmt w:val="decimal"/>
      <w:lvlText w:val="%1.6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2">
    <w:nsid w:val="5FAD39AB"/>
    <w:multiLevelType w:val="multilevel"/>
    <w:tmpl w:val="5FAD39AB"/>
    <w:lvl w:ilvl="0" w:tentative="0">
      <w:start w:val="27"/>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618035B4"/>
    <w:multiLevelType w:val="multilevel"/>
    <w:tmpl w:val="618035B4"/>
    <w:lvl w:ilvl="0" w:tentative="0">
      <w:start w:val="7"/>
      <w:numFmt w:val="decimal"/>
      <w:lvlText w:val="3. %1 "/>
      <w:lvlJc w:val="left"/>
      <w:pPr>
        <w:ind w:left="42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67A97E62"/>
    <w:multiLevelType w:val="multilevel"/>
    <w:tmpl w:val="67A97E62"/>
    <w:lvl w:ilvl="0" w:tentative="0">
      <w:start w:val="1"/>
      <w:numFmt w:val="decimal"/>
      <w:lvlText w:val="38.1.%1"/>
      <w:lvlJc w:val="left"/>
      <w:pPr>
        <w:ind w:left="1407" w:hanging="420"/>
      </w:pPr>
      <w:rPr>
        <w:rFonts w:hint="eastAsia"/>
      </w:rPr>
    </w:lvl>
    <w:lvl w:ilvl="1" w:tentative="0">
      <w:start w:val="1"/>
      <w:numFmt w:val="lowerLetter"/>
      <w:lvlText w:val="%2)"/>
      <w:lvlJc w:val="left"/>
      <w:pPr>
        <w:ind w:left="1827" w:hanging="420"/>
      </w:pPr>
    </w:lvl>
    <w:lvl w:ilvl="2" w:tentative="0">
      <w:start w:val="1"/>
      <w:numFmt w:val="lowerRoman"/>
      <w:lvlText w:val="%3."/>
      <w:lvlJc w:val="right"/>
      <w:pPr>
        <w:ind w:left="2247" w:hanging="420"/>
      </w:pPr>
    </w:lvl>
    <w:lvl w:ilvl="3" w:tentative="0">
      <w:start w:val="1"/>
      <w:numFmt w:val="decimal"/>
      <w:lvlText w:val="%4."/>
      <w:lvlJc w:val="left"/>
      <w:pPr>
        <w:ind w:left="2667" w:hanging="420"/>
      </w:pPr>
    </w:lvl>
    <w:lvl w:ilvl="4" w:tentative="0">
      <w:start w:val="1"/>
      <w:numFmt w:val="lowerLetter"/>
      <w:lvlText w:val="%5)"/>
      <w:lvlJc w:val="left"/>
      <w:pPr>
        <w:ind w:left="3087" w:hanging="420"/>
      </w:pPr>
    </w:lvl>
    <w:lvl w:ilvl="5" w:tentative="0">
      <w:start w:val="1"/>
      <w:numFmt w:val="lowerRoman"/>
      <w:lvlText w:val="%6."/>
      <w:lvlJc w:val="right"/>
      <w:pPr>
        <w:ind w:left="3507" w:hanging="420"/>
      </w:pPr>
    </w:lvl>
    <w:lvl w:ilvl="6" w:tentative="0">
      <w:start w:val="1"/>
      <w:numFmt w:val="decimal"/>
      <w:lvlText w:val="%7."/>
      <w:lvlJc w:val="left"/>
      <w:pPr>
        <w:ind w:left="3927" w:hanging="420"/>
      </w:pPr>
    </w:lvl>
    <w:lvl w:ilvl="7" w:tentative="0">
      <w:start w:val="1"/>
      <w:numFmt w:val="lowerLetter"/>
      <w:lvlText w:val="%8)"/>
      <w:lvlJc w:val="left"/>
      <w:pPr>
        <w:ind w:left="4347" w:hanging="420"/>
      </w:pPr>
    </w:lvl>
    <w:lvl w:ilvl="8" w:tentative="0">
      <w:start w:val="1"/>
      <w:numFmt w:val="lowerRoman"/>
      <w:lvlText w:val="%9."/>
      <w:lvlJc w:val="right"/>
      <w:pPr>
        <w:ind w:left="4767" w:hanging="420"/>
      </w:pPr>
    </w:lvl>
  </w:abstractNum>
  <w:abstractNum w:abstractNumId="45">
    <w:nsid w:val="6A4E0B21"/>
    <w:multiLevelType w:val="multilevel"/>
    <w:tmpl w:val="6A4E0B21"/>
    <w:lvl w:ilvl="0" w:tentative="0">
      <w:start w:val="1"/>
      <w:numFmt w:val="decimal"/>
      <w:lvlText w:val="25.1.%1"/>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6">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7">
    <w:nsid w:val="6CEB39E3"/>
    <w:multiLevelType w:val="multilevel"/>
    <w:tmpl w:val="6CEB39E3"/>
    <w:lvl w:ilvl="0" w:tentative="0">
      <w:start w:val="27"/>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8">
    <w:nsid w:val="6FFF468F"/>
    <w:multiLevelType w:val="multilevel"/>
    <w:tmpl w:val="6FFF468F"/>
    <w:lvl w:ilvl="0" w:tentative="0">
      <w:start w:val="33"/>
      <w:numFmt w:val="decimal"/>
      <w:lvlText w:val="%1.2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9">
    <w:nsid w:val="7107724E"/>
    <w:multiLevelType w:val="multilevel"/>
    <w:tmpl w:val="7107724E"/>
    <w:lvl w:ilvl="0" w:tentative="0">
      <w:start w:val="27"/>
      <w:numFmt w:val="decimal"/>
      <w:lvlText w:val="%1.3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0">
    <w:nsid w:val="738573E8"/>
    <w:multiLevelType w:val="multilevel"/>
    <w:tmpl w:val="738573E8"/>
    <w:lvl w:ilvl="0" w:tentative="0">
      <w:start w:val="32"/>
      <w:numFmt w:val="decimal"/>
      <w:lvlText w:val="%1."/>
      <w:lvlJc w:val="left"/>
      <w:pPr>
        <w:ind w:left="420" w:hanging="420"/>
      </w:pPr>
      <w:rPr>
        <w:rFonts w:hint="eastAsia"/>
      </w:rPr>
    </w:lvl>
    <w:lvl w:ilvl="1" w:tentative="0">
      <w:start w:val="3"/>
      <w:numFmt w:val="decimal"/>
      <w:lvlText w:val="32.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1">
    <w:nsid w:val="73973D22"/>
    <w:multiLevelType w:val="multilevel"/>
    <w:tmpl w:val="73973D22"/>
    <w:lvl w:ilvl="0" w:tentative="0">
      <w:start w:val="1"/>
      <w:numFmt w:val="decimal"/>
      <w:lvlText w:val="34.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abstractNum w:abstractNumId="52">
    <w:nsid w:val="740F3425"/>
    <w:multiLevelType w:val="multilevel"/>
    <w:tmpl w:val="740F3425"/>
    <w:lvl w:ilvl="0" w:tentative="0">
      <w:start w:val="2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3">
    <w:nsid w:val="75517D03"/>
    <w:multiLevelType w:val="multilevel"/>
    <w:tmpl w:val="75517D03"/>
    <w:lvl w:ilvl="0" w:tentative="0">
      <w:start w:val="26"/>
      <w:numFmt w:val="decimal"/>
      <w:lvlText w:val="%1."/>
      <w:lvlJc w:val="left"/>
      <w:pPr>
        <w:ind w:left="420" w:hanging="420"/>
      </w:pPr>
      <w:rPr>
        <w:rFonts w:hint="eastAsia"/>
      </w:rPr>
    </w:lvl>
    <w:lvl w:ilvl="1" w:tentative="0">
      <w:start w:val="1"/>
      <w:numFmt w:val="decimal"/>
      <w:lvlText w:val="25. %2 "/>
      <w:lvlJc w:val="left"/>
      <w:pPr>
        <w:ind w:left="964" w:hanging="544"/>
      </w:pPr>
      <w:rPr>
        <w:rFonts w:hint="eastAsia"/>
      </w:rPr>
    </w:lvl>
    <w:lvl w:ilvl="2" w:tentative="0">
      <w:start w:val="23"/>
      <w:numFmt w:val="decimal"/>
      <w:lvlText w:val="%3.4 "/>
      <w:lvlJc w:val="left"/>
      <w:pPr>
        <w:ind w:left="1560" w:hanging="720"/>
      </w:pPr>
      <w:rPr>
        <w:rFonts w:hint="eastAsia"/>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54">
    <w:nsid w:val="770A1C09"/>
    <w:multiLevelType w:val="multilevel"/>
    <w:tmpl w:val="770A1C09"/>
    <w:lvl w:ilvl="0" w:tentative="0">
      <w:start w:val="2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7A2D5B57"/>
    <w:multiLevelType w:val="multilevel"/>
    <w:tmpl w:val="7A2D5B57"/>
    <w:lvl w:ilvl="0" w:tentative="0">
      <w:start w:val="3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6">
    <w:nsid w:val="7B3910BC"/>
    <w:multiLevelType w:val="multilevel"/>
    <w:tmpl w:val="7B3910BC"/>
    <w:lvl w:ilvl="0" w:tentative="0">
      <w:start w:val="12"/>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7">
    <w:nsid w:val="7E7C3341"/>
    <w:multiLevelType w:val="multilevel"/>
    <w:tmpl w:val="7E7C3341"/>
    <w:lvl w:ilvl="0" w:tentative="0">
      <w:start w:val="1"/>
      <w:numFmt w:val="decimal"/>
      <w:lvlText w:val="32.1.%1"/>
      <w:lvlJc w:val="left"/>
      <w:pPr>
        <w:ind w:left="1384" w:hanging="420"/>
      </w:pPr>
      <w:rPr>
        <w:rFonts w:hint="eastAsia"/>
      </w:rPr>
    </w:lvl>
    <w:lvl w:ilvl="1" w:tentative="0">
      <w:start w:val="1"/>
      <w:numFmt w:val="lowerLetter"/>
      <w:lvlText w:val="%2)"/>
      <w:lvlJc w:val="left"/>
      <w:pPr>
        <w:ind w:left="1804" w:hanging="420"/>
      </w:pPr>
    </w:lvl>
    <w:lvl w:ilvl="2" w:tentative="0">
      <w:start w:val="1"/>
      <w:numFmt w:val="lowerRoman"/>
      <w:lvlText w:val="%3."/>
      <w:lvlJc w:val="right"/>
      <w:pPr>
        <w:ind w:left="2224" w:hanging="420"/>
      </w:pPr>
    </w:lvl>
    <w:lvl w:ilvl="3" w:tentative="0">
      <w:start w:val="1"/>
      <w:numFmt w:val="decimal"/>
      <w:lvlText w:val="%4."/>
      <w:lvlJc w:val="left"/>
      <w:pPr>
        <w:ind w:left="2644" w:hanging="420"/>
      </w:pPr>
    </w:lvl>
    <w:lvl w:ilvl="4" w:tentative="0">
      <w:start w:val="1"/>
      <w:numFmt w:val="lowerLetter"/>
      <w:lvlText w:val="%5)"/>
      <w:lvlJc w:val="left"/>
      <w:pPr>
        <w:ind w:left="3064" w:hanging="420"/>
      </w:pPr>
    </w:lvl>
    <w:lvl w:ilvl="5" w:tentative="0">
      <w:start w:val="1"/>
      <w:numFmt w:val="lowerRoman"/>
      <w:lvlText w:val="%6."/>
      <w:lvlJc w:val="right"/>
      <w:pPr>
        <w:ind w:left="3484" w:hanging="420"/>
      </w:pPr>
    </w:lvl>
    <w:lvl w:ilvl="6" w:tentative="0">
      <w:start w:val="1"/>
      <w:numFmt w:val="decimal"/>
      <w:lvlText w:val="%7."/>
      <w:lvlJc w:val="left"/>
      <w:pPr>
        <w:ind w:left="3904" w:hanging="420"/>
      </w:pPr>
    </w:lvl>
    <w:lvl w:ilvl="7" w:tentative="0">
      <w:start w:val="1"/>
      <w:numFmt w:val="lowerLetter"/>
      <w:lvlText w:val="%8)"/>
      <w:lvlJc w:val="left"/>
      <w:pPr>
        <w:ind w:left="4324" w:hanging="420"/>
      </w:pPr>
    </w:lvl>
    <w:lvl w:ilvl="8" w:tentative="0">
      <w:start w:val="1"/>
      <w:numFmt w:val="lowerRoman"/>
      <w:lvlText w:val="%9."/>
      <w:lvlJc w:val="right"/>
      <w:pPr>
        <w:ind w:left="4744" w:hanging="420"/>
      </w:pPr>
    </w:lvl>
  </w:abstractNum>
  <w:num w:numId="1">
    <w:abstractNumId w:val="0"/>
  </w:num>
  <w:num w:numId="2">
    <w:abstractNumId w:val="1"/>
  </w:num>
  <w:num w:numId="3">
    <w:abstractNumId w:val="35"/>
  </w:num>
  <w:num w:numId="4">
    <w:abstractNumId w:val="34"/>
  </w:num>
  <w:num w:numId="5">
    <w:abstractNumId w:val="22"/>
  </w:num>
  <w:num w:numId="6">
    <w:abstractNumId w:val="46"/>
  </w:num>
  <w:num w:numId="7">
    <w:abstractNumId w:val="26"/>
  </w:num>
  <w:num w:numId="8">
    <w:abstractNumId w:val="28"/>
  </w:num>
  <w:num w:numId="9">
    <w:abstractNumId w:val="43"/>
  </w:num>
  <w:num w:numId="10">
    <w:abstractNumId w:val="14"/>
  </w:num>
  <w:num w:numId="11">
    <w:abstractNumId w:val="16"/>
  </w:num>
  <w:num w:numId="12">
    <w:abstractNumId w:val="56"/>
  </w:num>
  <w:num w:numId="13">
    <w:abstractNumId w:val="40"/>
  </w:num>
  <w:num w:numId="14">
    <w:abstractNumId w:val="54"/>
  </w:num>
  <w:num w:numId="15">
    <w:abstractNumId w:val="7"/>
  </w:num>
  <w:num w:numId="16">
    <w:abstractNumId w:val="9"/>
  </w:num>
  <w:num w:numId="17">
    <w:abstractNumId w:val="38"/>
  </w:num>
  <w:num w:numId="18">
    <w:abstractNumId w:val="24"/>
  </w:num>
  <w:num w:numId="19">
    <w:abstractNumId w:val="36"/>
  </w:num>
  <w:num w:numId="20">
    <w:abstractNumId w:val="45"/>
  </w:num>
  <w:num w:numId="21">
    <w:abstractNumId w:val="29"/>
  </w:num>
  <w:num w:numId="22">
    <w:abstractNumId w:val="25"/>
  </w:num>
  <w:num w:numId="23">
    <w:abstractNumId w:val="4"/>
  </w:num>
  <w:num w:numId="24">
    <w:abstractNumId w:val="19"/>
  </w:num>
  <w:num w:numId="25">
    <w:abstractNumId w:val="18"/>
  </w:num>
  <w:num w:numId="26">
    <w:abstractNumId w:val="53"/>
  </w:num>
  <w:num w:numId="27">
    <w:abstractNumId w:val="47"/>
  </w:num>
  <w:num w:numId="28">
    <w:abstractNumId w:val="42"/>
  </w:num>
  <w:num w:numId="29">
    <w:abstractNumId w:val="49"/>
  </w:num>
  <w:num w:numId="30">
    <w:abstractNumId w:val="33"/>
  </w:num>
  <w:num w:numId="31">
    <w:abstractNumId w:val="10"/>
  </w:num>
  <w:num w:numId="32">
    <w:abstractNumId w:val="21"/>
  </w:num>
  <w:num w:numId="33">
    <w:abstractNumId w:val="52"/>
  </w:num>
  <w:num w:numId="34">
    <w:abstractNumId w:val="20"/>
  </w:num>
  <w:num w:numId="35">
    <w:abstractNumId w:val="23"/>
  </w:num>
  <w:num w:numId="36">
    <w:abstractNumId w:val="5"/>
  </w:num>
  <w:num w:numId="37">
    <w:abstractNumId w:val="15"/>
  </w:num>
  <w:num w:numId="38">
    <w:abstractNumId w:val="41"/>
  </w:num>
  <w:num w:numId="39">
    <w:abstractNumId w:val="31"/>
  </w:num>
  <w:num w:numId="40">
    <w:abstractNumId w:val="55"/>
  </w:num>
  <w:num w:numId="41">
    <w:abstractNumId w:val="57"/>
  </w:num>
  <w:num w:numId="42">
    <w:abstractNumId w:val="17"/>
  </w:num>
  <w:num w:numId="43">
    <w:abstractNumId w:val="11"/>
  </w:num>
  <w:num w:numId="44">
    <w:abstractNumId w:val="32"/>
  </w:num>
  <w:num w:numId="45">
    <w:abstractNumId w:val="50"/>
  </w:num>
  <w:num w:numId="46">
    <w:abstractNumId w:val="48"/>
  </w:num>
  <w:num w:numId="47">
    <w:abstractNumId w:val="39"/>
  </w:num>
  <w:num w:numId="48">
    <w:abstractNumId w:val="3"/>
  </w:num>
  <w:num w:numId="49">
    <w:abstractNumId w:val="51"/>
  </w:num>
  <w:num w:numId="50">
    <w:abstractNumId w:val="13"/>
  </w:num>
  <w:num w:numId="51">
    <w:abstractNumId w:val="2"/>
  </w:num>
  <w:num w:numId="52">
    <w:abstractNumId w:val="37"/>
  </w:num>
  <w:num w:numId="53">
    <w:abstractNumId w:val="12"/>
  </w:num>
  <w:num w:numId="54">
    <w:abstractNumId w:val="6"/>
  </w:num>
  <w:num w:numId="55">
    <w:abstractNumId w:val="44"/>
  </w:num>
  <w:num w:numId="56">
    <w:abstractNumId w:val="30"/>
  </w:num>
  <w:num w:numId="57">
    <w:abstractNumId w:val="27"/>
  </w:num>
  <w:num w:numId="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E4427E"/>
    <w:rsid w:val="0001093E"/>
    <w:rsid w:val="000117E8"/>
    <w:rsid w:val="0001201D"/>
    <w:rsid w:val="00026D3A"/>
    <w:rsid w:val="00033285"/>
    <w:rsid w:val="000362D3"/>
    <w:rsid w:val="00036AB0"/>
    <w:rsid w:val="00037395"/>
    <w:rsid w:val="000456D3"/>
    <w:rsid w:val="00052A3A"/>
    <w:rsid w:val="00054148"/>
    <w:rsid w:val="000617AD"/>
    <w:rsid w:val="00062D93"/>
    <w:rsid w:val="0008047C"/>
    <w:rsid w:val="000813AD"/>
    <w:rsid w:val="00084158"/>
    <w:rsid w:val="0008501E"/>
    <w:rsid w:val="00093699"/>
    <w:rsid w:val="00093B6E"/>
    <w:rsid w:val="000A0ACB"/>
    <w:rsid w:val="000A1C15"/>
    <w:rsid w:val="000A200D"/>
    <w:rsid w:val="000A40AB"/>
    <w:rsid w:val="000A7111"/>
    <w:rsid w:val="000B59E2"/>
    <w:rsid w:val="000D0F74"/>
    <w:rsid w:val="000D1301"/>
    <w:rsid w:val="000D347D"/>
    <w:rsid w:val="000D7F32"/>
    <w:rsid w:val="000E3653"/>
    <w:rsid w:val="000E550F"/>
    <w:rsid w:val="000E6758"/>
    <w:rsid w:val="000F4624"/>
    <w:rsid w:val="000F6293"/>
    <w:rsid w:val="00101B1E"/>
    <w:rsid w:val="001031CD"/>
    <w:rsid w:val="00106C30"/>
    <w:rsid w:val="00106ED5"/>
    <w:rsid w:val="00112086"/>
    <w:rsid w:val="00113E3C"/>
    <w:rsid w:val="00122589"/>
    <w:rsid w:val="00126E3B"/>
    <w:rsid w:val="00142D8D"/>
    <w:rsid w:val="001462B5"/>
    <w:rsid w:val="00183C0B"/>
    <w:rsid w:val="001A2287"/>
    <w:rsid w:val="001A331E"/>
    <w:rsid w:val="001A39CF"/>
    <w:rsid w:val="001B7160"/>
    <w:rsid w:val="001C1E79"/>
    <w:rsid w:val="001C201E"/>
    <w:rsid w:val="001D35E1"/>
    <w:rsid w:val="001D566E"/>
    <w:rsid w:val="001D59AE"/>
    <w:rsid w:val="001E1A28"/>
    <w:rsid w:val="002020EC"/>
    <w:rsid w:val="002035C3"/>
    <w:rsid w:val="00206BF6"/>
    <w:rsid w:val="00211D48"/>
    <w:rsid w:val="00217EB9"/>
    <w:rsid w:val="0022386D"/>
    <w:rsid w:val="002302A9"/>
    <w:rsid w:val="00240975"/>
    <w:rsid w:val="0024156C"/>
    <w:rsid w:val="00241DCF"/>
    <w:rsid w:val="002474B6"/>
    <w:rsid w:val="00251097"/>
    <w:rsid w:val="002646EF"/>
    <w:rsid w:val="002649BD"/>
    <w:rsid w:val="00270351"/>
    <w:rsid w:val="0027624F"/>
    <w:rsid w:val="00277389"/>
    <w:rsid w:val="00281430"/>
    <w:rsid w:val="00282F58"/>
    <w:rsid w:val="002938A6"/>
    <w:rsid w:val="002947DE"/>
    <w:rsid w:val="002A0AA9"/>
    <w:rsid w:val="002A2A03"/>
    <w:rsid w:val="002A59DD"/>
    <w:rsid w:val="002A7854"/>
    <w:rsid w:val="002B5112"/>
    <w:rsid w:val="002B5CC6"/>
    <w:rsid w:val="002B6419"/>
    <w:rsid w:val="002D0ACD"/>
    <w:rsid w:val="002D16C8"/>
    <w:rsid w:val="002E0E5A"/>
    <w:rsid w:val="002E146A"/>
    <w:rsid w:val="002E1953"/>
    <w:rsid w:val="002E19A2"/>
    <w:rsid w:val="002E5834"/>
    <w:rsid w:val="002F0ADE"/>
    <w:rsid w:val="003026E2"/>
    <w:rsid w:val="00315B95"/>
    <w:rsid w:val="003209FF"/>
    <w:rsid w:val="00322CFC"/>
    <w:rsid w:val="00326E53"/>
    <w:rsid w:val="00333D5C"/>
    <w:rsid w:val="00334310"/>
    <w:rsid w:val="00340CF2"/>
    <w:rsid w:val="0034249D"/>
    <w:rsid w:val="003439EC"/>
    <w:rsid w:val="00343C83"/>
    <w:rsid w:val="00343DC6"/>
    <w:rsid w:val="00352120"/>
    <w:rsid w:val="0036163D"/>
    <w:rsid w:val="00361671"/>
    <w:rsid w:val="0036236B"/>
    <w:rsid w:val="00372CE4"/>
    <w:rsid w:val="003754B0"/>
    <w:rsid w:val="00376670"/>
    <w:rsid w:val="00384C0E"/>
    <w:rsid w:val="00391E9F"/>
    <w:rsid w:val="00392712"/>
    <w:rsid w:val="00392BF5"/>
    <w:rsid w:val="0039364A"/>
    <w:rsid w:val="003A0289"/>
    <w:rsid w:val="003A2E76"/>
    <w:rsid w:val="003A37D2"/>
    <w:rsid w:val="003A4187"/>
    <w:rsid w:val="003A7351"/>
    <w:rsid w:val="003B6632"/>
    <w:rsid w:val="003C432B"/>
    <w:rsid w:val="003C446C"/>
    <w:rsid w:val="003E306C"/>
    <w:rsid w:val="003F632A"/>
    <w:rsid w:val="0040687E"/>
    <w:rsid w:val="00420AE3"/>
    <w:rsid w:val="00425C40"/>
    <w:rsid w:val="00427B9A"/>
    <w:rsid w:val="004320F0"/>
    <w:rsid w:val="00432F6C"/>
    <w:rsid w:val="00433675"/>
    <w:rsid w:val="00436F30"/>
    <w:rsid w:val="00444950"/>
    <w:rsid w:val="004476DC"/>
    <w:rsid w:val="0046431C"/>
    <w:rsid w:val="00464B8D"/>
    <w:rsid w:val="004670F0"/>
    <w:rsid w:val="00473635"/>
    <w:rsid w:val="00480323"/>
    <w:rsid w:val="00481D4E"/>
    <w:rsid w:val="0048402A"/>
    <w:rsid w:val="0049371C"/>
    <w:rsid w:val="004A02A9"/>
    <w:rsid w:val="004A1869"/>
    <w:rsid w:val="004A6C18"/>
    <w:rsid w:val="004B0847"/>
    <w:rsid w:val="004B63AC"/>
    <w:rsid w:val="004C4834"/>
    <w:rsid w:val="004C50BA"/>
    <w:rsid w:val="004D6447"/>
    <w:rsid w:val="004E0C5A"/>
    <w:rsid w:val="004E0CA3"/>
    <w:rsid w:val="004E592E"/>
    <w:rsid w:val="004E70FD"/>
    <w:rsid w:val="004E792C"/>
    <w:rsid w:val="004F24CE"/>
    <w:rsid w:val="004F6C11"/>
    <w:rsid w:val="005018F1"/>
    <w:rsid w:val="00502570"/>
    <w:rsid w:val="00504B08"/>
    <w:rsid w:val="005254B5"/>
    <w:rsid w:val="0053242C"/>
    <w:rsid w:val="005336BC"/>
    <w:rsid w:val="0054080C"/>
    <w:rsid w:val="00541A67"/>
    <w:rsid w:val="00547E10"/>
    <w:rsid w:val="00552323"/>
    <w:rsid w:val="00556964"/>
    <w:rsid w:val="00556BB5"/>
    <w:rsid w:val="005616AE"/>
    <w:rsid w:val="00563C67"/>
    <w:rsid w:val="00583E58"/>
    <w:rsid w:val="005900E9"/>
    <w:rsid w:val="005965CF"/>
    <w:rsid w:val="005B3264"/>
    <w:rsid w:val="005B3C17"/>
    <w:rsid w:val="005B61CB"/>
    <w:rsid w:val="005C20FE"/>
    <w:rsid w:val="005C4F0F"/>
    <w:rsid w:val="005C6472"/>
    <w:rsid w:val="005D3FE2"/>
    <w:rsid w:val="005E1EEC"/>
    <w:rsid w:val="005E3FAA"/>
    <w:rsid w:val="005E60FE"/>
    <w:rsid w:val="005E781B"/>
    <w:rsid w:val="005F4263"/>
    <w:rsid w:val="005F6BFD"/>
    <w:rsid w:val="0061174C"/>
    <w:rsid w:val="0061264C"/>
    <w:rsid w:val="00620A5F"/>
    <w:rsid w:val="006279FD"/>
    <w:rsid w:val="00627C18"/>
    <w:rsid w:val="00635345"/>
    <w:rsid w:val="00636AAD"/>
    <w:rsid w:val="00637A40"/>
    <w:rsid w:val="006415E8"/>
    <w:rsid w:val="006439CE"/>
    <w:rsid w:val="00645E6B"/>
    <w:rsid w:val="00653850"/>
    <w:rsid w:val="00664179"/>
    <w:rsid w:val="00664BC6"/>
    <w:rsid w:val="006653C8"/>
    <w:rsid w:val="0066558C"/>
    <w:rsid w:val="00670C91"/>
    <w:rsid w:val="00674A35"/>
    <w:rsid w:val="0068518E"/>
    <w:rsid w:val="00685863"/>
    <w:rsid w:val="00687264"/>
    <w:rsid w:val="00690B8E"/>
    <w:rsid w:val="00691436"/>
    <w:rsid w:val="006A3C57"/>
    <w:rsid w:val="006A5E16"/>
    <w:rsid w:val="006B4FF5"/>
    <w:rsid w:val="006E1E91"/>
    <w:rsid w:val="006E67C2"/>
    <w:rsid w:val="00701C4A"/>
    <w:rsid w:val="00702AED"/>
    <w:rsid w:val="00704489"/>
    <w:rsid w:val="00710043"/>
    <w:rsid w:val="00713846"/>
    <w:rsid w:val="00713F05"/>
    <w:rsid w:val="00722B16"/>
    <w:rsid w:val="00727E24"/>
    <w:rsid w:val="00730378"/>
    <w:rsid w:val="007353FD"/>
    <w:rsid w:val="0074134F"/>
    <w:rsid w:val="00743A93"/>
    <w:rsid w:val="00743FD6"/>
    <w:rsid w:val="0074469F"/>
    <w:rsid w:val="00753A0C"/>
    <w:rsid w:val="00760005"/>
    <w:rsid w:val="00760CBE"/>
    <w:rsid w:val="00761CCF"/>
    <w:rsid w:val="0077030F"/>
    <w:rsid w:val="00774E59"/>
    <w:rsid w:val="00776300"/>
    <w:rsid w:val="007767CC"/>
    <w:rsid w:val="00780670"/>
    <w:rsid w:val="0079234D"/>
    <w:rsid w:val="00793D5F"/>
    <w:rsid w:val="0079599A"/>
    <w:rsid w:val="00797241"/>
    <w:rsid w:val="007A1725"/>
    <w:rsid w:val="007B1714"/>
    <w:rsid w:val="007B50C9"/>
    <w:rsid w:val="007B6C10"/>
    <w:rsid w:val="007C0A19"/>
    <w:rsid w:val="007C0E40"/>
    <w:rsid w:val="007C0EAB"/>
    <w:rsid w:val="007C1243"/>
    <w:rsid w:val="007C3019"/>
    <w:rsid w:val="007C5F39"/>
    <w:rsid w:val="007C6247"/>
    <w:rsid w:val="007C6C16"/>
    <w:rsid w:val="007D330A"/>
    <w:rsid w:val="007D3ED3"/>
    <w:rsid w:val="007E0773"/>
    <w:rsid w:val="007E55EC"/>
    <w:rsid w:val="007E5F3F"/>
    <w:rsid w:val="007E6384"/>
    <w:rsid w:val="00800F49"/>
    <w:rsid w:val="00805439"/>
    <w:rsid w:val="00805FF3"/>
    <w:rsid w:val="008175D0"/>
    <w:rsid w:val="00821065"/>
    <w:rsid w:val="0083105C"/>
    <w:rsid w:val="00831E22"/>
    <w:rsid w:val="00843FAE"/>
    <w:rsid w:val="0084465F"/>
    <w:rsid w:val="0084581D"/>
    <w:rsid w:val="00846CF0"/>
    <w:rsid w:val="00846FA4"/>
    <w:rsid w:val="00853677"/>
    <w:rsid w:val="00863EEA"/>
    <w:rsid w:val="0087110B"/>
    <w:rsid w:val="00873C7A"/>
    <w:rsid w:val="0087459B"/>
    <w:rsid w:val="00874A1D"/>
    <w:rsid w:val="00875E42"/>
    <w:rsid w:val="00884FDF"/>
    <w:rsid w:val="008925C6"/>
    <w:rsid w:val="00897F2A"/>
    <w:rsid w:val="008A2A01"/>
    <w:rsid w:val="008A39DF"/>
    <w:rsid w:val="008A54AB"/>
    <w:rsid w:val="008B5BCD"/>
    <w:rsid w:val="008C137D"/>
    <w:rsid w:val="008C16B9"/>
    <w:rsid w:val="008D2731"/>
    <w:rsid w:val="008E0D17"/>
    <w:rsid w:val="008E2018"/>
    <w:rsid w:val="008F3472"/>
    <w:rsid w:val="009019F6"/>
    <w:rsid w:val="00902F27"/>
    <w:rsid w:val="00904A3E"/>
    <w:rsid w:val="00915F4D"/>
    <w:rsid w:val="00931569"/>
    <w:rsid w:val="00932A8B"/>
    <w:rsid w:val="00937421"/>
    <w:rsid w:val="00951B20"/>
    <w:rsid w:val="00957CFA"/>
    <w:rsid w:val="00957E4A"/>
    <w:rsid w:val="009606B7"/>
    <w:rsid w:val="009617D0"/>
    <w:rsid w:val="009638D6"/>
    <w:rsid w:val="00966249"/>
    <w:rsid w:val="00967604"/>
    <w:rsid w:val="00973103"/>
    <w:rsid w:val="00977A5F"/>
    <w:rsid w:val="009830EE"/>
    <w:rsid w:val="009A4D1F"/>
    <w:rsid w:val="009B288B"/>
    <w:rsid w:val="009B41A7"/>
    <w:rsid w:val="009B522B"/>
    <w:rsid w:val="009B544F"/>
    <w:rsid w:val="009C12AB"/>
    <w:rsid w:val="009C5D63"/>
    <w:rsid w:val="009D15E3"/>
    <w:rsid w:val="009D1AF8"/>
    <w:rsid w:val="009D31DE"/>
    <w:rsid w:val="009D4E1C"/>
    <w:rsid w:val="009D6564"/>
    <w:rsid w:val="009E40F5"/>
    <w:rsid w:val="009E7463"/>
    <w:rsid w:val="009F22F0"/>
    <w:rsid w:val="009F739E"/>
    <w:rsid w:val="00A024FB"/>
    <w:rsid w:val="00A43B57"/>
    <w:rsid w:val="00A557C2"/>
    <w:rsid w:val="00A55F0F"/>
    <w:rsid w:val="00A60223"/>
    <w:rsid w:val="00A63B7A"/>
    <w:rsid w:val="00A6401D"/>
    <w:rsid w:val="00A74796"/>
    <w:rsid w:val="00A75B4A"/>
    <w:rsid w:val="00A809F7"/>
    <w:rsid w:val="00A81917"/>
    <w:rsid w:val="00A87C83"/>
    <w:rsid w:val="00A905E6"/>
    <w:rsid w:val="00AB420B"/>
    <w:rsid w:val="00AB6C39"/>
    <w:rsid w:val="00AC70CB"/>
    <w:rsid w:val="00AD0AAF"/>
    <w:rsid w:val="00AD257D"/>
    <w:rsid w:val="00AD2A95"/>
    <w:rsid w:val="00AF64D1"/>
    <w:rsid w:val="00B03982"/>
    <w:rsid w:val="00B102AE"/>
    <w:rsid w:val="00B10A01"/>
    <w:rsid w:val="00B14F3F"/>
    <w:rsid w:val="00B164EA"/>
    <w:rsid w:val="00B22497"/>
    <w:rsid w:val="00B36205"/>
    <w:rsid w:val="00B63605"/>
    <w:rsid w:val="00B927EB"/>
    <w:rsid w:val="00B956BD"/>
    <w:rsid w:val="00B96403"/>
    <w:rsid w:val="00BA3FEA"/>
    <w:rsid w:val="00BA4E24"/>
    <w:rsid w:val="00BA5CDF"/>
    <w:rsid w:val="00BB059A"/>
    <w:rsid w:val="00BB0F5C"/>
    <w:rsid w:val="00BB5DE6"/>
    <w:rsid w:val="00BB6B3D"/>
    <w:rsid w:val="00BC10EF"/>
    <w:rsid w:val="00BC5022"/>
    <w:rsid w:val="00BC77AE"/>
    <w:rsid w:val="00BD17F8"/>
    <w:rsid w:val="00BD2B31"/>
    <w:rsid w:val="00BE279D"/>
    <w:rsid w:val="00C00010"/>
    <w:rsid w:val="00C01D89"/>
    <w:rsid w:val="00C03601"/>
    <w:rsid w:val="00C21892"/>
    <w:rsid w:val="00C221F8"/>
    <w:rsid w:val="00C312B8"/>
    <w:rsid w:val="00C47E9F"/>
    <w:rsid w:val="00C51B18"/>
    <w:rsid w:val="00C55715"/>
    <w:rsid w:val="00C71315"/>
    <w:rsid w:val="00C747C6"/>
    <w:rsid w:val="00C7743B"/>
    <w:rsid w:val="00C77C9B"/>
    <w:rsid w:val="00C82F62"/>
    <w:rsid w:val="00C851B9"/>
    <w:rsid w:val="00C85718"/>
    <w:rsid w:val="00C87F2E"/>
    <w:rsid w:val="00C935E3"/>
    <w:rsid w:val="00CA1A50"/>
    <w:rsid w:val="00CA2FE1"/>
    <w:rsid w:val="00CA43C0"/>
    <w:rsid w:val="00CB493E"/>
    <w:rsid w:val="00CB5B5B"/>
    <w:rsid w:val="00CC1567"/>
    <w:rsid w:val="00CC25D7"/>
    <w:rsid w:val="00CD0235"/>
    <w:rsid w:val="00CD4C7E"/>
    <w:rsid w:val="00CE11AF"/>
    <w:rsid w:val="00CF3C09"/>
    <w:rsid w:val="00D002DB"/>
    <w:rsid w:val="00D0183C"/>
    <w:rsid w:val="00D1257C"/>
    <w:rsid w:val="00D15F10"/>
    <w:rsid w:val="00D20175"/>
    <w:rsid w:val="00D20270"/>
    <w:rsid w:val="00D21DDE"/>
    <w:rsid w:val="00D23B78"/>
    <w:rsid w:val="00D25686"/>
    <w:rsid w:val="00D34E5A"/>
    <w:rsid w:val="00D51A06"/>
    <w:rsid w:val="00D5536F"/>
    <w:rsid w:val="00D55F50"/>
    <w:rsid w:val="00D62F9D"/>
    <w:rsid w:val="00D653B3"/>
    <w:rsid w:val="00D70436"/>
    <w:rsid w:val="00D81DDE"/>
    <w:rsid w:val="00DA56DB"/>
    <w:rsid w:val="00DA6D80"/>
    <w:rsid w:val="00DA7ACF"/>
    <w:rsid w:val="00DB1985"/>
    <w:rsid w:val="00DC6483"/>
    <w:rsid w:val="00DD5D5B"/>
    <w:rsid w:val="00DD5D73"/>
    <w:rsid w:val="00DE3623"/>
    <w:rsid w:val="00DE7350"/>
    <w:rsid w:val="00DF1D7C"/>
    <w:rsid w:val="00DF2D93"/>
    <w:rsid w:val="00DF70CB"/>
    <w:rsid w:val="00E13E62"/>
    <w:rsid w:val="00E16B31"/>
    <w:rsid w:val="00E26481"/>
    <w:rsid w:val="00E3128A"/>
    <w:rsid w:val="00E36D68"/>
    <w:rsid w:val="00E4427E"/>
    <w:rsid w:val="00E547EF"/>
    <w:rsid w:val="00E64FE4"/>
    <w:rsid w:val="00E66A9F"/>
    <w:rsid w:val="00E73667"/>
    <w:rsid w:val="00E75A41"/>
    <w:rsid w:val="00E80F44"/>
    <w:rsid w:val="00E8359E"/>
    <w:rsid w:val="00E90F35"/>
    <w:rsid w:val="00EA0DBE"/>
    <w:rsid w:val="00EA2054"/>
    <w:rsid w:val="00EA280E"/>
    <w:rsid w:val="00EB636D"/>
    <w:rsid w:val="00EC67B7"/>
    <w:rsid w:val="00EC6BD7"/>
    <w:rsid w:val="00EE7096"/>
    <w:rsid w:val="00EF6AB8"/>
    <w:rsid w:val="00EF7B73"/>
    <w:rsid w:val="00F00A91"/>
    <w:rsid w:val="00F0302A"/>
    <w:rsid w:val="00F15BD5"/>
    <w:rsid w:val="00F1770B"/>
    <w:rsid w:val="00F239FF"/>
    <w:rsid w:val="00F2459F"/>
    <w:rsid w:val="00F255D7"/>
    <w:rsid w:val="00F37BF6"/>
    <w:rsid w:val="00F4043C"/>
    <w:rsid w:val="00F4178A"/>
    <w:rsid w:val="00F54EFE"/>
    <w:rsid w:val="00F55D64"/>
    <w:rsid w:val="00F63E36"/>
    <w:rsid w:val="00F900A6"/>
    <w:rsid w:val="00F92C9D"/>
    <w:rsid w:val="00F934D9"/>
    <w:rsid w:val="00F94FEB"/>
    <w:rsid w:val="00F95E5B"/>
    <w:rsid w:val="00F963A6"/>
    <w:rsid w:val="00FA0A74"/>
    <w:rsid w:val="00FA69C2"/>
    <w:rsid w:val="00FB1462"/>
    <w:rsid w:val="00FB1E65"/>
    <w:rsid w:val="00FB4F83"/>
    <w:rsid w:val="00FB5517"/>
    <w:rsid w:val="00FB77B6"/>
    <w:rsid w:val="00FC2484"/>
    <w:rsid w:val="00FD2039"/>
    <w:rsid w:val="00FD631A"/>
    <w:rsid w:val="00FE4DDF"/>
    <w:rsid w:val="00FE553E"/>
    <w:rsid w:val="00FF407A"/>
    <w:rsid w:val="00FF4117"/>
    <w:rsid w:val="16DA4251"/>
    <w:rsid w:val="1DFA39CD"/>
    <w:rsid w:val="1E9508CC"/>
    <w:rsid w:val="6868793B"/>
    <w:rsid w:val="74B423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7"/>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8"/>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29"/>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0"/>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6"/>
    <w:qFormat/>
    <w:uiPriority w:val="0"/>
    <w:rPr>
      <w:rFonts w:ascii="Times New Roman" w:hAnsi="Times New Roman" w:eastAsia="宋体" w:cs="Times New Roman"/>
      <w:color w:val="FF0000"/>
      <w:sz w:val="24"/>
      <w:szCs w:val="24"/>
    </w:rPr>
  </w:style>
  <w:style w:type="paragraph" w:styleId="9">
    <w:name w:val="Body Text"/>
    <w:basedOn w:val="1"/>
    <w:link w:val="50"/>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sz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1"/>
    <w:qFormat/>
    <w:uiPriority w:val="0"/>
    <w:rPr>
      <w:rFonts w:eastAsia="宋体"/>
      <w:sz w:val="24"/>
    </w:rPr>
  </w:style>
  <w:style w:type="paragraph" w:styleId="14">
    <w:name w:val="Date"/>
    <w:basedOn w:val="1"/>
    <w:next w:val="1"/>
    <w:link w:val="32"/>
    <w:unhideWhenUsed/>
    <w:qFormat/>
    <w:uiPriority w:val="99"/>
    <w:pPr>
      <w:ind w:left="100" w:leftChars="2500"/>
    </w:pPr>
  </w:style>
  <w:style w:type="paragraph" w:styleId="15">
    <w:name w:val="Balloon Text"/>
    <w:basedOn w:val="1"/>
    <w:link w:val="57"/>
    <w:semiHidden/>
    <w:unhideWhenUsed/>
    <w:qFormat/>
    <w:uiPriority w:val="99"/>
    <w:rPr>
      <w:sz w:val="18"/>
      <w:szCs w:val="18"/>
    </w:rPr>
  </w:style>
  <w:style w:type="paragraph" w:styleId="16">
    <w:name w:val="footer"/>
    <w:basedOn w:val="1"/>
    <w:link w:val="33"/>
    <w:unhideWhenUsed/>
    <w:qFormat/>
    <w:uiPriority w:val="99"/>
    <w:pPr>
      <w:tabs>
        <w:tab w:val="center" w:pos="4153"/>
        <w:tab w:val="right" w:pos="8306"/>
      </w:tabs>
      <w:snapToGrid w:val="0"/>
      <w:jc w:val="left"/>
    </w:pPr>
    <w:rPr>
      <w:sz w:val="18"/>
      <w:szCs w:val="18"/>
    </w:rPr>
  </w:style>
  <w:style w:type="paragraph" w:styleId="17">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53"/>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51"/>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Hyperlink"/>
    <w:basedOn w:val="23"/>
    <w:unhideWhenUsed/>
    <w:qFormat/>
    <w:uiPriority w:val="99"/>
    <w:rPr>
      <w:color w:val="0000FF"/>
      <w:u w:val="single"/>
    </w:rPr>
  </w:style>
  <w:style w:type="character" w:customStyle="1" w:styleId="27">
    <w:name w:val="标题 1 Char"/>
    <w:basedOn w:val="23"/>
    <w:link w:val="2"/>
    <w:qFormat/>
    <w:uiPriority w:val="0"/>
    <w:rPr>
      <w:rFonts w:ascii="Calibri" w:hAnsi="Calibri" w:eastAsia="宋体" w:cs="Times New Roman"/>
      <w:b/>
      <w:bCs/>
      <w:kern w:val="44"/>
      <w:sz w:val="44"/>
      <w:szCs w:val="44"/>
    </w:rPr>
  </w:style>
  <w:style w:type="character" w:customStyle="1" w:styleId="28">
    <w:name w:val="标题 2 Char"/>
    <w:basedOn w:val="23"/>
    <w:link w:val="3"/>
    <w:qFormat/>
    <w:uiPriority w:val="0"/>
    <w:rPr>
      <w:rFonts w:ascii="Arial" w:hAnsi="Arial" w:eastAsia="黑体" w:cs="Times New Roman"/>
      <w:b/>
      <w:bCs/>
      <w:kern w:val="0"/>
      <w:sz w:val="32"/>
      <w:szCs w:val="32"/>
    </w:rPr>
  </w:style>
  <w:style w:type="character" w:customStyle="1" w:styleId="29">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0">
    <w:name w:val="标题 4 Char"/>
    <w:basedOn w:val="23"/>
    <w:link w:val="5"/>
    <w:qFormat/>
    <w:uiPriority w:val="0"/>
    <w:rPr>
      <w:rFonts w:ascii="Arial" w:hAnsi="Arial" w:eastAsia="黑体" w:cs="Times New Roman"/>
      <w:b/>
      <w:bCs/>
      <w:kern w:val="0"/>
      <w:sz w:val="28"/>
      <w:szCs w:val="28"/>
    </w:rPr>
  </w:style>
  <w:style w:type="character" w:customStyle="1" w:styleId="31">
    <w:name w:val="纯文本 Char"/>
    <w:basedOn w:val="23"/>
    <w:link w:val="13"/>
    <w:qFormat/>
    <w:uiPriority w:val="0"/>
    <w:rPr>
      <w:rFonts w:eastAsia="宋体"/>
      <w:sz w:val="24"/>
    </w:rPr>
  </w:style>
  <w:style w:type="character" w:customStyle="1" w:styleId="32">
    <w:name w:val="日期 Char"/>
    <w:basedOn w:val="23"/>
    <w:link w:val="14"/>
    <w:qFormat/>
    <w:uiPriority w:val="99"/>
  </w:style>
  <w:style w:type="character" w:customStyle="1" w:styleId="33">
    <w:name w:val="页脚 Char"/>
    <w:basedOn w:val="23"/>
    <w:link w:val="16"/>
    <w:qFormat/>
    <w:uiPriority w:val="99"/>
    <w:rPr>
      <w:sz w:val="18"/>
      <w:szCs w:val="18"/>
    </w:rPr>
  </w:style>
  <w:style w:type="character" w:customStyle="1" w:styleId="34">
    <w:name w:val="页眉 Char"/>
    <w:basedOn w:val="23"/>
    <w:link w:val="17"/>
    <w:qFormat/>
    <w:uiPriority w:val="99"/>
    <w:rPr>
      <w:sz w:val="18"/>
      <w:szCs w:val="18"/>
    </w:rPr>
  </w:style>
  <w:style w:type="character" w:customStyle="1" w:styleId="35">
    <w:name w:val="纯文本 Char1"/>
    <w:qFormat/>
    <w:uiPriority w:val="0"/>
    <w:rPr>
      <w:rFonts w:eastAsia="宋体"/>
      <w:sz w:val="24"/>
    </w:rPr>
  </w:style>
  <w:style w:type="paragraph" w:customStyle="1" w:styleId="36">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7">
    <w:name w:val="列出段落1"/>
    <w:basedOn w:val="1"/>
    <w:qFormat/>
    <w:uiPriority w:val="34"/>
    <w:pPr>
      <w:ind w:firstLine="420" w:firstLineChars="200"/>
    </w:pPr>
  </w:style>
  <w:style w:type="paragraph" w:styleId="38">
    <w:name w:val="List Paragraph"/>
    <w:basedOn w:val="1"/>
    <w:unhideWhenUsed/>
    <w:qFormat/>
    <w:uiPriority w:val="99"/>
    <w:pPr>
      <w:ind w:firstLine="420" w:firstLineChars="200"/>
    </w:pPr>
  </w:style>
  <w:style w:type="character" w:customStyle="1" w:styleId="39">
    <w:name w:val="正文文本缩进 Char Char"/>
    <w:link w:val="40"/>
    <w:qFormat/>
    <w:uiPriority w:val="0"/>
    <w:rPr>
      <w:rFonts w:ascii="宋体"/>
      <w:sz w:val="24"/>
    </w:rPr>
  </w:style>
  <w:style w:type="paragraph" w:customStyle="1" w:styleId="40">
    <w:name w:val="正文文本缩进1"/>
    <w:basedOn w:val="1"/>
    <w:link w:val="39"/>
    <w:qFormat/>
    <w:uiPriority w:val="0"/>
    <w:pPr>
      <w:spacing w:line="360" w:lineRule="auto"/>
      <w:ind w:firstLine="480" w:firstLineChars="200"/>
    </w:pPr>
    <w:rPr>
      <w:rFonts w:ascii="宋体"/>
      <w:sz w:val="24"/>
    </w:rPr>
  </w:style>
  <w:style w:type="character" w:customStyle="1" w:styleId="41">
    <w:name w:val="日期 Char Char"/>
    <w:link w:val="42"/>
    <w:qFormat/>
    <w:uiPriority w:val="0"/>
    <w:rPr>
      <w:sz w:val="24"/>
    </w:rPr>
  </w:style>
  <w:style w:type="paragraph" w:customStyle="1" w:styleId="42">
    <w:name w:val="日期1"/>
    <w:basedOn w:val="1"/>
    <w:next w:val="1"/>
    <w:link w:val="41"/>
    <w:qFormat/>
    <w:uiPriority w:val="0"/>
    <w:rPr>
      <w:sz w:val="24"/>
    </w:rPr>
  </w:style>
  <w:style w:type="paragraph" w:customStyle="1" w:styleId="43">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4">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5">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6">
    <w:name w:val="正文文本 3 Char"/>
    <w:basedOn w:val="23"/>
    <w:link w:val="8"/>
    <w:qFormat/>
    <w:uiPriority w:val="0"/>
    <w:rPr>
      <w:rFonts w:ascii="Times New Roman" w:hAnsi="Times New Roman" w:eastAsia="宋体" w:cs="Times New Roman"/>
      <w:color w:val="FF0000"/>
      <w:sz w:val="24"/>
      <w:szCs w:val="24"/>
    </w:rPr>
  </w:style>
  <w:style w:type="character" w:customStyle="1" w:styleId="47">
    <w:name w:val="edittexttarea"/>
    <w:basedOn w:val="23"/>
    <w:qFormat/>
    <w:uiPriority w:val="0"/>
  </w:style>
  <w:style w:type="paragraph" w:customStyle="1" w:styleId="48">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49">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0">
    <w:name w:val="正文文本 Char"/>
    <w:basedOn w:val="23"/>
    <w:link w:val="9"/>
    <w:semiHidden/>
    <w:qFormat/>
    <w:uiPriority w:val="99"/>
  </w:style>
  <w:style w:type="character" w:customStyle="1" w:styleId="51">
    <w:name w:val="正文首行缩进 Char"/>
    <w:basedOn w:val="50"/>
    <w:link w:val="21"/>
    <w:qFormat/>
    <w:uiPriority w:val="0"/>
    <w:rPr>
      <w:rFonts w:ascii="宋体" w:hAnsi="Times New Roman" w:eastAsia="宋体" w:cs="Times New Roman"/>
      <w:kern w:val="0"/>
      <w:sz w:val="34"/>
      <w:szCs w:val="20"/>
    </w:rPr>
  </w:style>
  <w:style w:type="character" w:customStyle="1" w:styleId="52">
    <w:name w:val="HTML 预设格式 Char"/>
    <w:basedOn w:val="23"/>
    <w:link w:val="19"/>
    <w:semiHidden/>
    <w:qFormat/>
    <w:uiPriority w:val="99"/>
    <w:rPr>
      <w:rFonts w:ascii="宋体" w:hAnsi="宋体" w:eastAsia="宋体" w:cs="宋体"/>
      <w:kern w:val="0"/>
      <w:sz w:val="24"/>
      <w:szCs w:val="24"/>
    </w:rPr>
  </w:style>
  <w:style w:type="character" w:customStyle="1" w:styleId="53">
    <w:name w:val="HTML 预设格式 Char1"/>
    <w:basedOn w:val="23"/>
    <w:link w:val="19"/>
    <w:semiHidden/>
    <w:qFormat/>
    <w:uiPriority w:val="99"/>
    <w:rPr>
      <w:rFonts w:ascii="Courier New" w:hAnsi="Courier New" w:cs="Courier New"/>
      <w:sz w:val="2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style>
  <w:style w:type="character" w:customStyle="1" w:styleId="56">
    <w:name w:val="批注框文本 Char"/>
    <w:basedOn w:val="23"/>
    <w:link w:val="15"/>
    <w:semiHidden/>
    <w:qFormat/>
    <w:uiPriority w:val="99"/>
    <w:rPr>
      <w:sz w:val="18"/>
      <w:szCs w:val="18"/>
    </w:rPr>
  </w:style>
  <w:style w:type="character" w:customStyle="1" w:styleId="57">
    <w:name w:val="批注框文本 Char1"/>
    <w:basedOn w:val="23"/>
    <w:link w:val="15"/>
    <w:semiHidden/>
    <w:qFormat/>
    <w:uiPriority w:val="99"/>
    <w:rPr>
      <w:sz w:val="18"/>
      <w:szCs w:val="18"/>
    </w:rPr>
  </w:style>
  <w:style w:type="paragraph" w:customStyle="1" w:styleId="58">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80</Pages>
  <Words>5796</Words>
  <Characters>33043</Characters>
  <Lines>275</Lines>
  <Paragraphs>77</Paragraphs>
  <TotalTime>3</TotalTime>
  <ScaleCrop>false</ScaleCrop>
  <LinksUpToDate>false</LinksUpToDate>
  <CharactersWithSpaces>38762</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2019-08-05T00:24:00Z</dcterms:created>
  <dc:creator>许昌市公共资源交易中心:孟莉</dc:creator>
  <cp:lastModifiedBy>羊</cp:lastModifiedBy>
  <cp:lastPrinted>2020-03-05T02:20:00Z</cp:lastPrinted>
  <dcterms:modified xsi:type="dcterms:W3CDTF">2020-06-22T09:30:11Z</dcterms:modified>
  <cp:revision>467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