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contextualSpacing/>
        <w:jc w:val="center"/>
        <w:rPr>
          <w:rFonts w:hint="eastAsia" w:ascii="仿宋" w:hAnsi="仿宋" w:eastAsia="仿宋" w:cs="仿宋"/>
          <w:b/>
          <w:color w:val="auto"/>
          <w:sz w:val="32"/>
          <w:szCs w:val="28"/>
          <w:lang w:val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28"/>
          <w:lang w:val="zh-CN"/>
        </w:rPr>
        <w:t>GZCG-G2020</w:t>
      </w:r>
      <w:r>
        <w:rPr>
          <w:rFonts w:hint="eastAsia" w:ascii="仿宋" w:hAnsi="仿宋" w:eastAsia="仿宋" w:cs="仿宋"/>
          <w:b/>
          <w:color w:val="auto"/>
          <w:sz w:val="32"/>
          <w:szCs w:val="28"/>
          <w:lang w:val="en-US" w:eastAsia="zh-CN"/>
        </w:rPr>
        <w:t>010</w:t>
      </w:r>
      <w:r>
        <w:rPr>
          <w:rFonts w:hint="eastAsia" w:ascii="仿宋" w:hAnsi="仿宋" w:eastAsia="仿宋" w:cs="仿宋"/>
          <w:b/>
          <w:color w:val="auto"/>
          <w:sz w:val="32"/>
          <w:szCs w:val="28"/>
          <w:lang w:val="zh-CN"/>
        </w:rPr>
        <w:t xml:space="preserve">号许昌市市投智慧城市开发建设有限公司“许昌市涉气排污企业用电监管设施建设及运维项目” </w:t>
      </w:r>
    </w:p>
    <w:p>
      <w:pPr>
        <w:widowControl/>
        <w:shd w:val="clear" w:color="auto" w:fill="FFFFFF"/>
        <w:spacing w:line="360" w:lineRule="auto"/>
        <w:contextualSpacing/>
        <w:jc w:val="center"/>
        <w:rPr>
          <w:rFonts w:hint="eastAsia" w:ascii="仿宋" w:hAnsi="仿宋" w:eastAsia="仿宋" w:cs="仿宋"/>
          <w:b/>
          <w:color w:val="auto"/>
          <w:sz w:val="32"/>
          <w:szCs w:val="28"/>
          <w:lang w:val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28"/>
          <w:lang w:val="zh-CN"/>
        </w:rPr>
        <w:t>采购需求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contextualSpacing/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shd w:val="clear" w:color="auto" w:fill="FFFFFF"/>
        </w:rPr>
        <w:t>一、项目概况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1.项目名称：许昌市涉气排污企业用电监管设施建设及运维项目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2.项目编号：GZCG-G2020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val="en-US" w:eastAsia="zh-CN"/>
        </w:rPr>
        <w:t>010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 xml:space="preserve">   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3.采购方式：公开招标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4.标段划分：本项目共分为A、B两个包。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5.项目主要内容、数量及要求：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A包负责对长葛市、鄢陵县2个县（市）区1052家企业（6546套）进行用电监管设施建设及运维，包括但不限于以下内容：①现场端设备建设及运维：现场端用电监管设备采购、安装、联网、数据报送及运行维护（三年，不含试运行期）等；②用电监管平台运行及数据综合分析服务：用电监管平台运维（三年，不含试运行期）、数据综合分析服务（三年，不含试运行期）等。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B包负责对禹州市、襄城县、建安区、魏都区、东城区、开发区、示范区7个县（市）区的656家企业（4044套）进行用电监管设施建设及运维，包括但不限于以下内容：①现场端设备建设及运维：现场端用电监管设备采购、安装、联网、数据报送及运行维护（三年，不含试运行期）等；②用电监管平台运行及数据综合分析服务：用电监管平台运维（三年，不含试运行期）、数据综合分析服务（三年，不含试运行期）等。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6.预算金额/最高限价：A包：1700元/套；B包：1700元/套。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7.交付日期：现场端用电监管设备建设完成期限：自合同签订之日起40日历天；运维服务期限：自通过验收之日起3年。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8.交付地点：许昌市。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9.进口产品：不允许。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10.分包：不允许。。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contextualSpacing/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shd w:val="clear" w:color="auto" w:fill="FFFFFF"/>
        </w:rPr>
        <w:t>二、需要落实的政府采购政策</w:t>
      </w:r>
    </w:p>
    <w:p>
      <w:pPr>
        <w:pStyle w:val="8"/>
        <w:spacing w:after="0" w:line="360" w:lineRule="auto"/>
        <w:ind w:left="0" w:leftChars="0" w:firstLine="638" w:firstLineChars="228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</w:rPr>
        <w:t>本项目落实节能环保☑、中小微型企业扶持☑、支持监狱企业发展☑、残疾人福利性单位扶持☑等相关政府采购政策。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contextualSpacing/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shd w:val="clear" w:color="auto" w:fill="FFFFFF"/>
        </w:rPr>
        <w:t>三、供应商资格要求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1.符合《中华人民共和国政府采购法》第二十二条规定：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 xml:space="preserve">（1）具有独立承担民事责任的能力； 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 xml:space="preserve">（2）具有良好的商业信誉和健全的财务会计制度； 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 xml:space="preserve">（3）具有履行合同所必需的设备和专业技术能力； 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 xml:space="preserve">（4）有依法缴纳税收和社会保障资金的良好记录； 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 xml:space="preserve">（5）参加政府采购活动前三年内，在经营活动中没有重大违法记录； 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 xml:space="preserve">（6）法律、行政法规规定的其他条件。 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5" w:firstLineChars="202"/>
        <w:contextualSpacing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2.投标人须具有相应的经营范围。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overflowPunct/>
        <w:autoSpaceDE/>
        <w:autoSpaceDN/>
        <w:bidi w:val="0"/>
        <w:adjustRightInd/>
        <w:snapToGrid/>
        <w:spacing w:before="0" w:beforeAutospacing="0" w:after="313" w:afterLines="100" w:afterAutospacing="0" w:line="480" w:lineRule="auto"/>
        <w:ind w:firstLine="565" w:firstLineChars="202"/>
        <w:contextualSpacing/>
        <w:textAlignment w:val="auto"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3.未被列入“信用中国”网站(www.creditchina.gov.cn)失信被执行人、重大税收违法案件当事人名单的投标人、政府采购严重违法失信名单的投标人；“中国政府采购网” (www.ccgp.gov.cn)政府采购严重违法失信行为记录名单的投标人；“中国社会组织公共服务平台”网站（www.chinanpo.gov.cn）严重违法失信名单的社会组织。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overflowPunct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565" w:firstLineChars="202"/>
        <w:contextualSpacing/>
        <w:textAlignment w:val="auto"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4.本次招标接受联合体投标，联合体成员不超过2家（明确联合体牵头人）。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overflowPunct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contextualSpacing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shd w:val="clear" w:color="auto" w:fill="FFFFFF"/>
        </w:rPr>
        <w:t>四、采购需求</w:t>
      </w:r>
    </w:p>
    <w:p>
      <w:pPr>
        <w:keepNext w:val="0"/>
        <w:keepLines w:val="0"/>
        <w:pageBreakBefore w:val="0"/>
        <w:kinsoku/>
        <w:wordWrap w:val="0"/>
        <w:overflowPunct/>
        <w:topLinePunct/>
        <w:autoSpaceDE/>
        <w:autoSpaceDN/>
        <w:bidi w:val="0"/>
        <w:adjustRightInd/>
        <w:snapToGrid/>
        <w:spacing w:before="313" w:beforeLines="100" w:after="313" w:afterLines="100" w:line="48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1、当前我市大气污染防治任务艰巨，为强化对涉气工业源的精准监管，按照省生态环境厅相关工作要求，我市对符合条件的1708家企业安装用电监管设施。</w:t>
      </w:r>
    </w:p>
    <w:p>
      <w:pPr>
        <w:wordWrap w:val="0"/>
        <w:topLinePunct/>
        <w:spacing w:line="360" w:lineRule="auto"/>
        <w:jc w:val="center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A包采购需求</w:t>
      </w:r>
    </w:p>
    <w:tbl>
      <w:tblPr>
        <w:tblStyle w:val="13"/>
        <w:tblW w:w="93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17"/>
        <w:gridCol w:w="1989"/>
        <w:gridCol w:w="852"/>
        <w:gridCol w:w="712"/>
        <w:gridCol w:w="4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采购内容</w:t>
            </w:r>
          </w:p>
        </w:tc>
        <w:tc>
          <w:tcPr>
            <w:tcW w:w="81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序号</w:t>
            </w:r>
          </w:p>
        </w:tc>
        <w:tc>
          <w:tcPr>
            <w:tcW w:w="198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名称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数量</w:t>
            </w:r>
          </w:p>
        </w:tc>
        <w:tc>
          <w:tcPr>
            <w:tcW w:w="71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单位</w:t>
            </w:r>
          </w:p>
        </w:tc>
        <w:tc>
          <w:tcPr>
            <w:tcW w:w="416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zh-CN"/>
              </w:rPr>
              <w:t>用电监管设施建设及运维</w:t>
            </w:r>
          </w:p>
        </w:tc>
        <w:tc>
          <w:tcPr>
            <w:tcW w:w="81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1</w:t>
            </w:r>
          </w:p>
        </w:tc>
        <w:tc>
          <w:tcPr>
            <w:tcW w:w="198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zh-CN"/>
              </w:rPr>
              <w:t>现场端用电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zh-CN"/>
              </w:rPr>
              <w:t>监管设备建设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  <w:lang w:val="en-US" w:eastAsia="zh-CN"/>
              </w:rPr>
              <w:t>6546</w:t>
            </w:r>
          </w:p>
        </w:tc>
        <w:tc>
          <w:tcPr>
            <w:tcW w:w="71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套</w:t>
            </w:r>
          </w:p>
        </w:tc>
        <w:tc>
          <w:tcPr>
            <w:tcW w:w="4166" w:type="dxa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含设备选型、采购、安装点位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  <w:lang w:eastAsia="zh-CN"/>
              </w:rPr>
              <w:t>确认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、安装施工、联网服务和数据直报；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2.设备数量为预估，应以实际安装验收数量为准。投标人应对所投标的进行摸底、现场勘察，掌握现场端用电监管设备安装的实际数量，若实际安装数量超过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  <w:lang w:val="en-US" w:eastAsia="zh-CN"/>
              </w:rPr>
              <w:t>6546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套，超出部分由中标人综合考虑在报价内自行承担。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81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2</w:t>
            </w:r>
          </w:p>
        </w:tc>
        <w:tc>
          <w:tcPr>
            <w:tcW w:w="198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zh-CN"/>
              </w:rPr>
              <w:t>现场端用电监管设备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运维服务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3</w:t>
            </w:r>
          </w:p>
        </w:tc>
        <w:tc>
          <w:tcPr>
            <w:tcW w:w="71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年</w:t>
            </w:r>
          </w:p>
        </w:tc>
        <w:tc>
          <w:tcPr>
            <w:tcW w:w="4166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1.服务期3年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（不含试运行期）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，包含备品备件替换、物联网卡和流量费用、设备维修更换、数据实时传输、人员现场服务等事项；</w:t>
            </w:r>
          </w:p>
          <w:p>
            <w:pPr>
              <w:pStyle w:val="2"/>
              <w:spacing w:after="0" w:line="360" w:lineRule="auto"/>
              <w:ind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2.保障设备24小时不间断运行，故障处置2小时内完成；</w:t>
            </w:r>
          </w:p>
          <w:p>
            <w:pPr>
              <w:pStyle w:val="2"/>
              <w:spacing w:after="0" w:line="360" w:lineRule="auto"/>
              <w:ind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3.设备采集数据应保持实时传输，数</w:t>
            </w:r>
          </w:p>
          <w:p>
            <w:pPr>
              <w:pStyle w:val="2"/>
              <w:spacing w:after="0" w:line="360" w:lineRule="auto"/>
              <w:ind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2"/>
              <w:spacing w:after="0" w:line="360" w:lineRule="auto"/>
              <w:ind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据格式及传输方式应达到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环保部门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管理要求、统计分析要求，能够实现5分钟值、小时值、日均值、月均值、年均值等数据的提供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2"/>
              <w:spacing w:after="0" w:line="36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用电监管设备及运维服务应具备技术升级的条件，并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免费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提供相应升级服务；</w:t>
            </w:r>
          </w:p>
          <w:p>
            <w:pPr>
              <w:pStyle w:val="2"/>
              <w:spacing w:after="0" w:line="360" w:lineRule="auto"/>
              <w:ind w:firstLine="0" w:firstLineChars="0"/>
              <w:rPr>
                <w:rFonts w:hint="eastAsia" w:ascii="仿宋" w:hAnsi="仿宋" w:eastAsia="仿宋" w:cs="仿宋"/>
                <w:color w:val="auto"/>
                <w:kern w:val="0"/>
                <w:sz w:val="3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.投标人根据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技术发展要求，及时升级软硬件服务能力，在项目建设区域内布局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5G模组示范试点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81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3</w:t>
            </w:r>
          </w:p>
        </w:tc>
        <w:tc>
          <w:tcPr>
            <w:tcW w:w="198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  <w:lang w:eastAsia="zh-CN"/>
              </w:rPr>
              <w:t>用电监管平台运行及数据综合分析服务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3</w:t>
            </w:r>
          </w:p>
        </w:tc>
        <w:tc>
          <w:tcPr>
            <w:tcW w:w="71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年</w:t>
            </w:r>
          </w:p>
        </w:tc>
        <w:tc>
          <w:tcPr>
            <w:tcW w:w="4166" w:type="dxa"/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设立固定的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用电监管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平台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运行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监控室（以指定范围为准），配备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不少于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名数据服务人员，24小时不间断值守，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每班不少于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en-US" w:eastAsia="zh-CN"/>
              </w:rPr>
              <w:t>2人，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保持数据实时传输，故障两小时内确保排除（由此发生的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zh-CN"/>
              </w:rPr>
              <w:t>人员工资、场地租赁及配备必要办公设施等费用由中标人承担）；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en-US" w:eastAsia="zh-CN"/>
              </w:rPr>
              <w:t>2.利用用电监管平台，进行数据综合分析服务，主要包括：将现场端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设备采集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数据与企业污染物排放数据、当地环境质量数据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等多种不同数据进行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比对、汇总和分析服务等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以上述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数据综合分析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服务为目标，同时提供相应的电脑端与手机端软件建设、运维、升级服务；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服务期3年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（不含试运行期）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353" w:type="dxa"/>
            <w:gridSpan w:val="6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注：采购标的技术要求以附件《河南省涉气排污单位污染治理设施用电监管技术指南（试行）》为最低要求，不允许负偏离，否则将承担其投标被视为非实质性响应投标的风险。</w:t>
            </w:r>
          </w:p>
        </w:tc>
      </w:tr>
    </w:tbl>
    <w:p>
      <w:pPr>
        <w:pStyle w:val="24"/>
        <w:numPr>
          <w:ilvl w:val="0"/>
          <w:numId w:val="0"/>
        </w:numPr>
        <w:spacing w:line="360" w:lineRule="auto"/>
        <w:ind w:left="420" w:leftChars="200"/>
        <w:jc w:val="center"/>
        <w:rPr>
          <w:rFonts w:hint="eastAsia" w:ascii="仿宋" w:hAnsi="仿宋" w:eastAsia="仿宋" w:cs="仿宋"/>
          <w:b/>
          <w:color w:val="auto"/>
          <w:kern w:val="2"/>
          <w:sz w:val="24"/>
          <w:szCs w:val="24"/>
          <w:highlight w:val="none"/>
          <w:lang w:val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</w:rPr>
        <w:br w:type="page"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</w:rPr>
        <w:t>B包采购需求</w:t>
      </w:r>
    </w:p>
    <w:tbl>
      <w:tblPr>
        <w:tblStyle w:val="13"/>
        <w:tblW w:w="93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17"/>
        <w:gridCol w:w="1989"/>
        <w:gridCol w:w="852"/>
        <w:gridCol w:w="712"/>
        <w:gridCol w:w="4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采购内容</w:t>
            </w:r>
          </w:p>
        </w:tc>
        <w:tc>
          <w:tcPr>
            <w:tcW w:w="81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序号</w:t>
            </w:r>
          </w:p>
        </w:tc>
        <w:tc>
          <w:tcPr>
            <w:tcW w:w="198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名称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数量</w:t>
            </w:r>
          </w:p>
        </w:tc>
        <w:tc>
          <w:tcPr>
            <w:tcW w:w="71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单位</w:t>
            </w:r>
          </w:p>
        </w:tc>
        <w:tc>
          <w:tcPr>
            <w:tcW w:w="416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17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zh-CN"/>
              </w:rPr>
              <w:t>用电监管设施建设及运维</w:t>
            </w:r>
          </w:p>
        </w:tc>
        <w:tc>
          <w:tcPr>
            <w:tcW w:w="81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1</w:t>
            </w:r>
          </w:p>
        </w:tc>
        <w:tc>
          <w:tcPr>
            <w:tcW w:w="198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zh-CN"/>
              </w:rPr>
              <w:t>现场端用电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zh-CN"/>
              </w:rPr>
              <w:t>监管设备建设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  <w:lang w:val="en-US" w:eastAsia="zh-CN"/>
              </w:rPr>
              <w:t>4044</w:t>
            </w:r>
          </w:p>
        </w:tc>
        <w:tc>
          <w:tcPr>
            <w:tcW w:w="71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套</w:t>
            </w:r>
          </w:p>
        </w:tc>
        <w:tc>
          <w:tcPr>
            <w:tcW w:w="4166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含设备选型、采购、安装点位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  <w:lang w:eastAsia="zh-CN"/>
              </w:rPr>
              <w:t>确认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、安装施工、联网服务和数据直报；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2.设备数量为预估，应以实际安装验收数量为准。投标人应对所投标的进行摸底、现场勘察，掌握现场端用电监管设备安装的实际数量，若实际安装数量超过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  <w:lang w:val="en-US" w:eastAsia="zh-CN"/>
              </w:rPr>
              <w:t>4044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套，超出部分由中标人综合考虑在报价内自行承担。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17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81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2</w:t>
            </w:r>
          </w:p>
        </w:tc>
        <w:tc>
          <w:tcPr>
            <w:tcW w:w="198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zh-CN"/>
              </w:rPr>
              <w:t>现场端用电监管设备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运维服务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3</w:t>
            </w:r>
          </w:p>
        </w:tc>
        <w:tc>
          <w:tcPr>
            <w:tcW w:w="71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年</w:t>
            </w:r>
          </w:p>
        </w:tc>
        <w:tc>
          <w:tcPr>
            <w:tcW w:w="4166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1.服务期3年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（不含试运行期）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，包含备品备件替换、物联网卡和流量费用、设备维修更换、数据实时传输、人员现场服务等事项；</w:t>
            </w:r>
          </w:p>
          <w:p>
            <w:pPr>
              <w:pStyle w:val="2"/>
              <w:spacing w:after="0" w:line="360" w:lineRule="auto"/>
              <w:ind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2.保障设备24小时不间断运行，故障处置2小时内完成；</w:t>
            </w:r>
          </w:p>
          <w:p>
            <w:pPr>
              <w:pStyle w:val="2"/>
              <w:spacing w:after="0" w:line="360" w:lineRule="auto"/>
              <w:ind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3.设备采集数据应保持实时传输，数据格式及传输方式应达到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环保部门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管理要求、统计分析要求，能够实现5分钟值、小时值、日均值、月均值、年均值等数据的提供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2"/>
              <w:spacing w:after="0" w:line="36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用电监管设备及运维服务应具备技术升级的条件，并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免费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提供相应升级服务；</w:t>
            </w:r>
          </w:p>
          <w:p>
            <w:pPr>
              <w:pStyle w:val="2"/>
              <w:spacing w:after="0" w:line="360" w:lineRule="auto"/>
              <w:ind w:firstLine="0" w:firstLineChars="0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.投标人根据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技术发展要求，及时升级软硬件服务能力，在项目建设区域内布局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5G模组示范试点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17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81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3</w:t>
            </w:r>
          </w:p>
        </w:tc>
        <w:tc>
          <w:tcPr>
            <w:tcW w:w="198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  <w:lang w:eastAsia="zh-CN"/>
              </w:rPr>
              <w:t>用电监管平台运行及数据综合分析服务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3</w:t>
            </w:r>
          </w:p>
        </w:tc>
        <w:tc>
          <w:tcPr>
            <w:tcW w:w="71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</w:rPr>
              <w:t>年</w:t>
            </w:r>
          </w:p>
        </w:tc>
        <w:tc>
          <w:tcPr>
            <w:tcW w:w="416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设立固定的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用电监管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平台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运行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监控室（以指定范围为准），配备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不少于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名数据服务人员，24小时不间断值守，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每班不少于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en-US" w:eastAsia="zh-CN"/>
              </w:rPr>
              <w:t>2人，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保持数据实时传输，故障两小时内确保排除（由此发生的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zh-CN"/>
              </w:rPr>
              <w:t>人员工资、场地租赁及配备必要办公设施等费用由中标人承担）；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en-US" w:eastAsia="zh-CN"/>
              </w:rPr>
              <w:t>2.利用用电监管平台，进行数据综合分析服务，主要包括：将现场端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设备采集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数据与企业污染物排放数据、当地环境质量数据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等多种不同数据进行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比对、汇总和分析服务等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以上述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数据综合分析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服务为目标，同时提供相应的电脑端与手机端软件建设、运维、升级服务；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服务期3年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eastAsia="zh-CN"/>
              </w:rPr>
              <w:t>（不含试运行期）</w:t>
            </w: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353" w:type="dxa"/>
            <w:gridSpan w:val="6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4"/>
                <w:highlight w:val="none"/>
              </w:rPr>
              <w:t>注：采购标的技术要求以附件《河南省涉气排污单位污染治理设施用电监管技术指南（试行）》为最低要求，不允许负偏离，否则将承担其投标被视为非实质性响应投标的风险。</w:t>
            </w:r>
          </w:p>
        </w:tc>
      </w:tr>
    </w:tbl>
    <w:p>
      <w:pPr>
        <w:pStyle w:val="24"/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auto"/>
          <w:kern w:val="2"/>
          <w:sz w:val="24"/>
          <w:szCs w:val="24"/>
          <w:highlight w:val="none"/>
          <w:lang w:val="zh-CN"/>
        </w:rPr>
      </w:pPr>
    </w:p>
    <w:p>
      <w:pPr>
        <w:pStyle w:val="24"/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用电监管平台运行及数据综合分析服务必须的辅助设施</w:t>
      </w:r>
    </w:p>
    <w:p>
      <w:pPr>
        <w:pStyle w:val="24"/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A包、B包均需配备用电监管平台运行的辅助设施，每套设施应满足以下要求：</w:t>
      </w:r>
    </w:p>
    <w:tbl>
      <w:tblPr>
        <w:tblStyle w:val="13"/>
        <w:tblW w:w="90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79"/>
        <w:gridCol w:w="2399"/>
        <w:gridCol w:w="4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采购内容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2399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名称(类别)</w:t>
            </w:r>
          </w:p>
        </w:tc>
        <w:tc>
          <w:tcPr>
            <w:tcW w:w="4901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技术要求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用电监管平台运行辅助设施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</w:t>
            </w:r>
          </w:p>
        </w:tc>
        <w:tc>
          <w:tcPr>
            <w:tcW w:w="2399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  <w:t>系统接入要求</w:t>
            </w:r>
          </w:p>
        </w:tc>
        <w:tc>
          <w:tcPr>
            <w:tcW w:w="4901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数据接入许昌市政务云平台，且满足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  <w:t>采购人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2399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数据库1套</w:t>
            </w:r>
          </w:p>
        </w:tc>
        <w:tc>
          <w:tcPr>
            <w:tcW w:w="4901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国产品牌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2399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操作系统1套</w:t>
            </w:r>
          </w:p>
        </w:tc>
        <w:tc>
          <w:tcPr>
            <w:tcW w:w="4901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国产品牌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2399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平台操作工作站3套</w:t>
            </w:r>
          </w:p>
        </w:tc>
        <w:tc>
          <w:tcPr>
            <w:tcW w:w="4901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工作站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</w:rPr>
              <w:t>CPU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</w:rPr>
              <w:t>i7 处理器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屏幕尺寸15.6英寸以上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物理分辨率1920x1080以上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硬盘容量2TB 固态硬盘128G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内存容量8GB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显存容量2GB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2399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防火墙（1台）</w:t>
            </w:r>
          </w:p>
        </w:tc>
        <w:tc>
          <w:tcPr>
            <w:tcW w:w="4901" w:type="dxa"/>
            <w:noWrap w:val="0"/>
            <w:vAlign w:val="top"/>
          </w:tcPr>
          <w:p>
            <w:pPr>
              <w:pStyle w:val="23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所投产品硬件接口：千兆电口≥6个，千兆光口≥2个，扩展插槽≥1个；</w:t>
            </w:r>
          </w:p>
          <w:p>
            <w:pPr>
              <w:pStyle w:val="23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设备性能：吞吐量≥6Gbp，并发连接数≥300万，每秒新建连接数≥8万；</w:t>
            </w:r>
          </w:p>
          <w:p>
            <w:pPr>
              <w:pStyle w:val="23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网络特性：支持链路聚合功能；支持接口状态同步；支持三层接口、Acess接口及Trunk接口；支持静态路由，等价路由；支持RIP、RIPng；OSPFv2/v3动态路由协议；支持多链路出站负载，支持基于ISP的智能路由选路；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安全可视化：支持对被保护对象的流量进行分析，发现被保护对象的不同业务流量情况，支持生成和导出相关报告；支持对被保护对象的流量进行分析，通过对流量日志的统计整理，智能生成包过滤策略，支持自定义统计指定IP/用户组/用户/应用在指定时间段内的攻击事件及审计日志等内容，并形成报表；支持每天/每周/每月自动生成报表，并将报表自动发送到指定邮箱，可以自定义报表内容；支持报表以HTML、Excel、PDF等格式导出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7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2399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  <w:t>激光多功能打印一体机（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1台）</w:t>
            </w:r>
          </w:p>
        </w:tc>
        <w:tc>
          <w:tcPr>
            <w:tcW w:w="4901" w:type="dxa"/>
            <w:noWrap w:val="0"/>
            <w:vAlign w:val="top"/>
          </w:tcPr>
          <w:p>
            <w:pPr>
              <w:pStyle w:val="23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黑白激光多功能一体机，内存：1G，要求具有缩放复印，分套复印，2合1复印，4合1复印，ID卡复印，护照复印，消除黑框等：A4打印分辨率：不低于600×600dpi，打印速度不低于27页/分钟，U盘直接打印，自动双面打印，彩色扫描，月打印负荷不低于30000页，处理器不低于600MHz。 </w:t>
            </w:r>
          </w:p>
        </w:tc>
      </w:tr>
    </w:tbl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3.设备采购、安装及运维服务</w:t>
      </w:r>
    </w:p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3.1 设备基本要求</w:t>
      </w:r>
    </w:p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1.中标人提供的所有设备及零配件必须符合国家质量检测标准，且为全新的原厂产品。</w:t>
      </w:r>
    </w:p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2.保证在安装及运维期内所有设备正常运转，并能更换到原厂的零部件；若发现有任何质量问题（包括外观损伤），</w:t>
      </w: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zh-CN" w:eastAsia="zh-CN" w:bidi="ar-SA"/>
        </w:rPr>
        <w:t>均由投标人即时无偿解决（包括更换产品或零部件）。</w:t>
      </w:r>
    </w:p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3.2 设备采购及安装周期</w:t>
      </w:r>
    </w:p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在合同签订之日起40日历天内完成现场端用电监管设备采购、安装、联网、数据报送工作。</w:t>
      </w:r>
    </w:p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3.3 试运行期限</w:t>
      </w:r>
    </w:p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设备全部安装联网调试完成后，由中标人向采购人提起书面申请，以书面协定时间作为试运行起始日，期限3个月。</w:t>
      </w:r>
    </w:p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3.4 运维服务期限</w:t>
      </w:r>
    </w:p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试运行期满后，由中标人向采购人提起验收申请，验收合格后，以验收时间作为运维服务起始日，期限3年。</w:t>
      </w:r>
    </w:p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3.5 运维服务</w:t>
      </w:r>
    </w:p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现场端设备运维服务：自试运行起始日至运维服务期满，各包中标人要分别派驻至少6名专业技术人员常驻许昌，负责现场端设备巡查检修；</w:t>
      </w:r>
    </w:p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用电监管平台运行及数据分析服务：自试运行起始日至运维服务期满，各包中标人要分别派驻6名专业数据分析服务人员在用电监控运行室内驻场服务，实行全天候24小时不间断服务。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</w:rPr>
        <w:t>、验收方式及标准</w:t>
      </w:r>
    </w:p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1、验收方式：由采购人成立验收小组,验收小组成员由采购人、市生态环境局等相关部门组成。</w:t>
      </w:r>
    </w:p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2、验收标准：验收时按照《河南省涉气排污单位污染治理设施用电监管技术指南（试行）》、采购合同、招标文件要求、投标文件响应和承诺等对每一项技术、服务、安全标准的履约情况进行验收。验收结束后,出具验收书,列明各项标准的验收情况及项目总体评价,由验收双方共同签署。</w:t>
      </w:r>
    </w:p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3.日常考核：在运行维护期内，对中标人进行日常考核，考核结果与资金支付挂钩。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</w:rPr>
        <w:t>六、采购资金支付</w:t>
      </w:r>
    </w:p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1、支付方式：银行转账</w:t>
      </w:r>
    </w:p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2、支付时间及条件：所有设备安装调试完毕后，开展为期3个月的试运行，验收合格后，一个月内支付结算总金额的40%；自验收合格日起，综合运行维护满一年后，根据考核结果，支付结算总金额的20%，综合运行维护满两年后，根据考核结果，支付结算总金额的20%；综合运行维护满三年后，根据考核结果，支付结算总金额的20%（特殊情况以合同为准）。</w:t>
      </w:r>
    </w:p>
    <w:p>
      <w:pPr>
        <w:pStyle w:val="2"/>
        <w:spacing w:after="0"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4"/>
          <w:shd w:val="clear" w:color="auto" w:fill="FFFFFF"/>
          <w:lang w:val="en-US" w:eastAsia="zh-CN" w:bidi="ar-SA"/>
        </w:rPr>
        <w:t>3、中途停止设备安装、或停止运维的、或退出的，视为单方面违约，采购人不再支付后续资金，所有已建成设施归采购人所有。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</w:rPr>
        <w:t>七、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特别说明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2"/>
        <w:jc w:val="left"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1、本采购需求中所列的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eastAsia="zh-CN"/>
        </w:rPr>
        <w:t>现场端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用电监管设备数量为预估数，应以实际安装验收数量为准。投标人应对所投标的进行摸底、现场踏勘，掌握现场端用电监管设备安装的实际数量，若实际安装数量超过预估数量，超出部分由中标人综合考虑在报价内自行承担。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2"/>
        <w:jc w:val="left"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2、本项目最高限价1700元/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eastAsia="zh-CN"/>
        </w:rPr>
        <w:t>套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包括（但不限于）以下内容的全部费用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投标人投标报价时需综合考虑。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2"/>
        <w:jc w:val="left"/>
        <w:rPr>
          <w:rFonts w:hint="eastAsia" w:ascii="仿宋" w:hAnsi="仿宋" w:eastAsia="仿宋" w:cs="仿宋"/>
          <w:color w:val="auto"/>
          <w:sz w:val="28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①每台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val="zh-CN"/>
        </w:rPr>
        <w:t>设备、配件等相关安装材料的采购、安装、调试、联网、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数据报送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val="zh-CN"/>
        </w:rPr>
        <w:t>验收等所产生的费用；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2"/>
        <w:jc w:val="left"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②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eastAsia="zh-CN"/>
        </w:rPr>
        <w:t>现场端用电监管设备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3年运维服务费用（含设备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eastAsia="zh-CN"/>
        </w:rPr>
        <w:t>升级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更新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eastAsia="zh-CN"/>
        </w:rPr>
        <w:t>费用、设备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维修及更换费用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物联网卡和流量费用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eastAsia="zh-CN"/>
        </w:rPr>
        <w:t>、人员现场服务费用、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val="en-US" w:eastAsia="zh-CN"/>
        </w:rPr>
        <w:t>5G模组试点建设费用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）；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2"/>
        <w:jc w:val="left"/>
        <w:rPr>
          <w:rFonts w:hint="eastAsia" w:ascii="仿宋" w:hAnsi="仿宋" w:eastAsia="仿宋" w:cs="仿宋"/>
          <w:color w:val="auto"/>
          <w:sz w:val="28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③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eastAsia="zh-CN"/>
        </w:rPr>
        <w:t>用电监管平台运行与数据分析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3年运维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eastAsia="zh-CN"/>
        </w:rPr>
        <w:t>服务费用（含电脑端和手机端软件建设费用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、数据综合分析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eastAsia="zh-CN"/>
        </w:rPr>
        <w:t>费用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、平台运行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eastAsia="zh-CN"/>
        </w:rPr>
        <w:t>过程中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发生的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val="zh-CN"/>
        </w:rPr>
        <w:t>人员工资、场地租赁及配备必要办公设施等费用）；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2"/>
        <w:jc w:val="left"/>
        <w:rPr>
          <w:rFonts w:hint="eastAsia" w:ascii="仿宋" w:hAnsi="仿宋" w:eastAsia="仿宋" w:cs="仿宋"/>
          <w:color w:val="auto"/>
          <w:sz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④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eastAsia="zh-CN"/>
        </w:rPr>
        <w:t>用电监管平台运行辅助设施的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采购、安装、建设、运维费用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eastAsia="zh-CN"/>
        </w:rPr>
        <w:t>等；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2"/>
        <w:jc w:val="left"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⑤其他在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eastAsia="zh-CN"/>
        </w:rPr>
        <w:t>建设或运维期间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所发生的费用等。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</w:rPr>
        <w:t>、联系方式及地址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2"/>
        <w:jc w:val="left"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 xml:space="preserve">采购人：许昌市市投智慧城市开发建设有限公司 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2"/>
        <w:jc w:val="left"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地址：许昌市建安大道中段财政综合大楼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2"/>
        <w:jc w:val="left"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联系人：谢女士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2"/>
        <w:jc w:val="left"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联系电话： 0374-2676527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2"/>
        <w:jc w:val="right"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562"/>
        <w:jc w:val="right"/>
        <w:rPr>
          <w:rFonts w:hint="eastAsia" w:ascii="仿宋" w:hAnsi="仿宋" w:eastAsia="仿宋" w:cs="仿宋"/>
          <w:color w:val="auto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val="en-US" w:eastAsia="zh-CN"/>
        </w:rPr>
        <w:t xml:space="preserve">许昌市市投智慧城市开发建设有限公司  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 xml:space="preserve">      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right="560" w:firstLine="5040" w:firstLineChars="1800"/>
        <w:rPr>
          <w:rFonts w:hint="eastAsia" w:ascii="仿宋" w:hAnsi="仿宋" w:eastAsia="仿宋" w:cs="仿宋"/>
          <w:color w:val="auto"/>
          <w:sz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hd w:val="clear" w:color="auto" w:fill="FFFFFF"/>
        </w:rPr>
        <w:t>日</w:t>
      </w:r>
      <w:r>
        <w:rPr>
          <w:rFonts w:hint="eastAsia" w:ascii="仿宋" w:hAnsi="仿宋" w:eastAsia="仿宋" w:cs="仿宋"/>
          <w:color w:val="auto"/>
          <w:sz w:val="28"/>
          <w:shd w:val="clear" w:color="auto" w:fill="FFFFFF"/>
          <w:lang w:val="en-US" w:eastAsia="zh-CN"/>
        </w:rPr>
        <w:t xml:space="preserve">   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color w:val="auto"/>
          <w:sz w:val="4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3C3786"/>
    <w:multiLevelType w:val="singleLevel"/>
    <w:tmpl w:val="A93C37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8C9060A"/>
    <w:multiLevelType w:val="singleLevel"/>
    <w:tmpl w:val="E8C9060A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6CEA2025"/>
    <w:multiLevelType w:val="multilevel"/>
    <w:tmpl w:val="6CEA2025"/>
    <w:lvl w:ilvl="0" w:tentative="0">
      <w:start w:val="1"/>
      <w:numFmt w:val="none"/>
      <w:pStyle w:val="24"/>
      <w:suff w:val="nothing"/>
      <w:lvlText w:val="%1"/>
      <w:lvlJc w:val="left"/>
      <w:pPr>
        <w:ind w:left="0" w:firstLine="0"/>
      </w:pPr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suff w:val="space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space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space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space"/>
      <w:lvlText w:val="%1%2.%3.%4.%5　"/>
      <w:lvlJc w:val="left"/>
      <w:pPr>
        <w:ind w:left="851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space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space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DB9"/>
    <w:rsid w:val="000041C8"/>
    <w:rsid w:val="00020E03"/>
    <w:rsid w:val="00023886"/>
    <w:rsid w:val="000419ED"/>
    <w:rsid w:val="000768E2"/>
    <w:rsid w:val="000962E5"/>
    <w:rsid w:val="000A40A8"/>
    <w:rsid w:val="000B3253"/>
    <w:rsid w:val="000D0DB9"/>
    <w:rsid w:val="000E5F96"/>
    <w:rsid w:val="000E6841"/>
    <w:rsid w:val="0012105C"/>
    <w:rsid w:val="00137277"/>
    <w:rsid w:val="00150B16"/>
    <w:rsid w:val="001A39A3"/>
    <w:rsid w:val="001B7F6A"/>
    <w:rsid w:val="001C079B"/>
    <w:rsid w:val="001E14FA"/>
    <w:rsid w:val="001F49D7"/>
    <w:rsid w:val="00214F53"/>
    <w:rsid w:val="00215E84"/>
    <w:rsid w:val="002209C6"/>
    <w:rsid w:val="00221836"/>
    <w:rsid w:val="002247C8"/>
    <w:rsid w:val="00271ED2"/>
    <w:rsid w:val="00280A96"/>
    <w:rsid w:val="002927F5"/>
    <w:rsid w:val="002D039D"/>
    <w:rsid w:val="002D3D24"/>
    <w:rsid w:val="002F71ED"/>
    <w:rsid w:val="0032034A"/>
    <w:rsid w:val="003305A4"/>
    <w:rsid w:val="00334BFE"/>
    <w:rsid w:val="00353109"/>
    <w:rsid w:val="00362D69"/>
    <w:rsid w:val="00366766"/>
    <w:rsid w:val="003854A2"/>
    <w:rsid w:val="003A4F72"/>
    <w:rsid w:val="003A7319"/>
    <w:rsid w:val="003A73BD"/>
    <w:rsid w:val="003B4FAB"/>
    <w:rsid w:val="003B6CD7"/>
    <w:rsid w:val="003C1538"/>
    <w:rsid w:val="003D2EBF"/>
    <w:rsid w:val="003F6344"/>
    <w:rsid w:val="00433C1C"/>
    <w:rsid w:val="00434ED9"/>
    <w:rsid w:val="00437A1F"/>
    <w:rsid w:val="00445E0A"/>
    <w:rsid w:val="004825D7"/>
    <w:rsid w:val="004833A1"/>
    <w:rsid w:val="004F6412"/>
    <w:rsid w:val="00517728"/>
    <w:rsid w:val="00535848"/>
    <w:rsid w:val="00550919"/>
    <w:rsid w:val="00552A3C"/>
    <w:rsid w:val="005846F0"/>
    <w:rsid w:val="005D046A"/>
    <w:rsid w:val="005D5806"/>
    <w:rsid w:val="005F6E5B"/>
    <w:rsid w:val="00675A6E"/>
    <w:rsid w:val="006910CF"/>
    <w:rsid w:val="006B737B"/>
    <w:rsid w:val="00716187"/>
    <w:rsid w:val="00751E2F"/>
    <w:rsid w:val="0079331F"/>
    <w:rsid w:val="007D34F2"/>
    <w:rsid w:val="007E624A"/>
    <w:rsid w:val="007F1524"/>
    <w:rsid w:val="007F3DA4"/>
    <w:rsid w:val="00810799"/>
    <w:rsid w:val="008301DF"/>
    <w:rsid w:val="008C5EAA"/>
    <w:rsid w:val="008C71F0"/>
    <w:rsid w:val="00905003"/>
    <w:rsid w:val="00906298"/>
    <w:rsid w:val="00913E8B"/>
    <w:rsid w:val="00925BB7"/>
    <w:rsid w:val="0094309E"/>
    <w:rsid w:val="009504F1"/>
    <w:rsid w:val="00960828"/>
    <w:rsid w:val="00965054"/>
    <w:rsid w:val="00967181"/>
    <w:rsid w:val="009809AD"/>
    <w:rsid w:val="00986767"/>
    <w:rsid w:val="00993E00"/>
    <w:rsid w:val="009A0604"/>
    <w:rsid w:val="009A0D9D"/>
    <w:rsid w:val="009A1B05"/>
    <w:rsid w:val="009A6C10"/>
    <w:rsid w:val="009B018E"/>
    <w:rsid w:val="009E16B9"/>
    <w:rsid w:val="009E32F3"/>
    <w:rsid w:val="00A05788"/>
    <w:rsid w:val="00A151B0"/>
    <w:rsid w:val="00A21DBD"/>
    <w:rsid w:val="00A24CC0"/>
    <w:rsid w:val="00A36FC6"/>
    <w:rsid w:val="00A3707A"/>
    <w:rsid w:val="00A61094"/>
    <w:rsid w:val="00AC3ADF"/>
    <w:rsid w:val="00AD1E8D"/>
    <w:rsid w:val="00AF3E24"/>
    <w:rsid w:val="00B02F08"/>
    <w:rsid w:val="00B2319D"/>
    <w:rsid w:val="00B24F23"/>
    <w:rsid w:val="00B42690"/>
    <w:rsid w:val="00B7524D"/>
    <w:rsid w:val="00B75349"/>
    <w:rsid w:val="00B96CDE"/>
    <w:rsid w:val="00BA0D54"/>
    <w:rsid w:val="00BD05DA"/>
    <w:rsid w:val="00BD4C19"/>
    <w:rsid w:val="00BE4D3F"/>
    <w:rsid w:val="00C00EB9"/>
    <w:rsid w:val="00C05AE1"/>
    <w:rsid w:val="00C20811"/>
    <w:rsid w:val="00C22C44"/>
    <w:rsid w:val="00C4352E"/>
    <w:rsid w:val="00C52258"/>
    <w:rsid w:val="00C674F4"/>
    <w:rsid w:val="00C67C09"/>
    <w:rsid w:val="00C811C1"/>
    <w:rsid w:val="00C85A43"/>
    <w:rsid w:val="00C95693"/>
    <w:rsid w:val="00CB64D7"/>
    <w:rsid w:val="00D04055"/>
    <w:rsid w:val="00D16819"/>
    <w:rsid w:val="00D31119"/>
    <w:rsid w:val="00D412D0"/>
    <w:rsid w:val="00D44D13"/>
    <w:rsid w:val="00D56517"/>
    <w:rsid w:val="00D70BD6"/>
    <w:rsid w:val="00D951D5"/>
    <w:rsid w:val="00DC2436"/>
    <w:rsid w:val="00DC4614"/>
    <w:rsid w:val="00DD1252"/>
    <w:rsid w:val="00DE0C39"/>
    <w:rsid w:val="00DE2A1F"/>
    <w:rsid w:val="00DE4596"/>
    <w:rsid w:val="00DE4DEC"/>
    <w:rsid w:val="00DF1439"/>
    <w:rsid w:val="00E07F37"/>
    <w:rsid w:val="00E12E39"/>
    <w:rsid w:val="00E31A65"/>
    <w:rsid w:val="00E53EF4"/>
    <w:rsid w:val="00E728D5"/>
    <w:rsid w:val="00E904BF"/>
    <w:rsid w:val="00EA08A1"/>
    <w:rsid w:val="00EB284A"/>
    <w:rsid w:val="00EC6D0C"/>
    <w:rsid w:val="00EF2538"/>
    <w:rsid w:val="00F01F9B"/>
    <w:rsid w:val="00F25CCA"/>
    <w:rsid w:val="00F30746"/>
    <w:rsid w:val="00F308BD"/>
    <w:rsid w:val="00F521FF"/>
    <w:rsid w:val="00F82AA2"/>
    <w:rsid w:val="00FD46A4"/>
    <w:rsid w:val="00FE7456"/>
    <w:rsid w:val="01645C0E"/>
    <w:rsid w:val="04A574F9"/>
    <w:rsid w:val="09120AFF"/>
    <w:rsid w:val="09346604"/>
    <w:rsid w:val="09EB56F9"/>
    <w:rsid w:val="0C2C3DAF"/>
    <w:rsid w:val="107A7DA5"/>
    <w:rsid w:val="126E601D"/>
    <w:rsid w:val="18890757"/>
    <w:rsid w:val="18C04D89"/>
    <w:rsid w:val="208532F6"/>
    <w:rsid w:val="286B543A"/>
    <w:rsid w:val="2CEA46AB"/>
    <w:rsid w:val="2DB668D5"/>
    <w:rsid w:val="31D21F3E"/>
    <w:rsid w:val="32270953"/>
    <w:rsid w:val="34B93158"/>
    <w:rsid w:val="388E373E"/>
    <w:rsid w:val="3E525179"/>
    <w:rsid w:val="3FA61E50"/>
    <w:rsid w:val="43901518"/>
    <w:rsid w:val="44D4669F"/>
    <w:rsid w:val="4CAB662A"/>
    <w:rsid w:val="4CC0511A"/>
    <w:rsid w:val="4FCB5859"/>
    <w:rsid w:val="53EC5051"/>
    <w:rsid w:val="5B3621EF"/>
    <w:rsid w:val="5E700AB6"/>
    <w:rsid w:val="60B658AC"/>
    <w:rsid w:val="62B8780E"/>
    <w:rsid w:val="680064EB"/>
    <w:rsid w:val="6DF5420D"/>
    <w:rsid w:val="6F766158"/>
    <w:rsid w:val="70E41773"/>
    <w:rsid w:val="72124BD1"/>
    <w:rsid w:val="722E5A45"/>
    <w:rsid w:val="751B3171"/>
    <w:rsid w:val="7554537D"/>
    <w:rsid w:val="77A977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link w:val="22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link w:val="21"/>
    <w:unhideWhenUsed/>
    <w:qFormat/>
    <w:uiPriority w:val="99"/>
    <w:pPr>
      <w:spacing w:after="120"/>
    </w:pPr>
  </w:style>
  <w:style w:type="paragraph" w:styleId="4">
    <w:name w:val="Body Text First Indent 2"/>
    <w:basedOn w:val="5"/>
    <w:next w:val="6"/>
    <w:qFormat/>
    <w:uiPriority w:val="0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hint="eastAsia" w:ascii="仿宋_GB2312" w:hAnsi="仿宋_GB2312"/>
      <w:szCs w:val="30"/>
      <w:lang w:eastAsia="en-US"/>
    </w:rPr>
  </w:style>
  <w:style w:type="paragraph" w:styleId="5">
    <w:name w:val="Body Text Indent"/>
    <w:basedOn w:val="1"/>
    <w:next w:val="6"/>
    <w:qFormat/>
    <w:uiPriority w:val="0"/>
    <w:pPr>
      <w:adjustRightInd w:val="0"/>
      <w:spacing w:after="120" w:line="360" w:lineRule="atLeast"/>
      <w:ind w:left="420" w:leftChars="200"/>
      <w:jc w:val="left"/>
      <w:textAlignment w:val="baseline"/>
    </w:pPr>
    <w:rPr>
      <w:sz w:val="24"/>
    </w:rPr>
  </w:style>
  <w:style w:type="paragraph" w:styleId="6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7">
    <w:name w:val="Plain Text"/>
    <w:basedOn w:val="1"/>
    <w:link w:val="16"/>
    <w:qFormat/>
    <w:uiPriority w:val="0"/>
    <w:rPr>
      <w:rFonts w:eastAsia="宋体"/>
      <w:sz w:val="24"/>
    </w:rPr>
  </w:style>
  <w:style w:type="paragraph" w:styleId="8">
    <w:name w:val="Body Text Indent 2"/>
    <w:basedOn w:val="1"/>
    <w:link w:val="20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15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副标题 Char"/>
    <w:basedOn w:val="14"/>
    <w:link w:val="11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6">
    <w:name w:val="纯文本 Char"/>
    <w:basedOn w:val="14"/>
    <w:link w:val="7"/>
    <w:qFormat/>
    <w:uiPriority w:val="0"/>
    <w:rPr>
      <w:rFonts w:asciiTheme="minorHAnsi" w:hAnsiTheme="minorHAnsi" w:cstheme="minorBidi"/>
      <w:kern w:val="2"/>
      <w:sz w:val="24"/>
      <w:szCs w:val="22"/>
    </w:rPr>
  </w:style>
  <w:style w:type="character" w:customStyle="1" w:styleId="17">
    <w:name w:val="页眉 Char"/>
    <w:basedOn w:val="14"/>
    <w:link w:val="10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4"/>
    <w:link w:val="9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日期 Char"/>
    <w:basedOn w:val="14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正文文本缩进 2 Char"/>
    <w:basedOn w:val="14"/>
    <w:link w:val="8"/>
    <w:qFormat/>
    <w:uiPriority w:val="0"/>
    <w:rPr>
      <w:kern w:val="2"/>
      <w:sz w:val="21"/>
    </w:rPr>
  </w:style>
  <w:style w:type="character" w:customStyle="1" w:styleId="21">
    <w:name w:val="正文文本 Char"/>
    <w:basedOn w:val="14"/>
    <w:link w:val="3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Char"/>
    <w:basedOn w:val="2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23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段"/>
    <w:qFormat/>
    <w:uiPriority w:val="0"/>
    <w:pPr>
      <w:numPr>
        <w:ilvl w:val="0"/>
        <w:numId w:val="1"/>
      </w:numPr>
      <w:tabs>
        <w:tab w:val="center" w:pos="4201"/>
        <w:tab w:val="right" w:leader="dot" w:pos="9298"/>
      </w:tabs>
      <w:autoSpaceDE w:val="0"/>
      <w:autoSpaceDN w:val="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7A5C70-EC97-49FF-B1DB-39CBF85EBD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1060</Characters>
  <Lines>8</Lines>
  <Paragraphs>2</Paragraphs>
  <TotalTime>7</TotalTime>
  <ScaleCrop>false</ScaleCrop>
  <LinksUpToDate>false</LinksUpToDate>
  <CharactersWithSpaces>1243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2018-02-02T05:16:00Z</dcterms:created>
  <dc:creator>AutoBVT</dc:creator>
  <cp:lastModifiedBy>中建山河建设管理集团有限公司:王启超</cp:lastModifiedBy>
  <cp:lastPrinted>2020-06-03T03:20:00Z</cp:lastPrinted>
  <dcterms:modified xsi:type="dcterms:W3CDTF">2020-06-04T01:03:59Z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