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rPr>
          <w:rFonts w:hint="eastAsia" w:ascii="黑体" w:hAnsi="黑体" w:eastAsia="黑体" w:cs="黑体"/>
          <w:sz w:val="44"/>
          <w:szCs w:val="44"/>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非洲猪瘟分子生物学检测实验室仪器设备及</w:t>
      </w:r>
    </w:p>
    <w:p>
      <w:pPr>
        <w:jc w:val="center"/>
        <w:rPr>
          <w:rFonts w:hint="eastAsia" w:ascii="黑体" w:hAnsi="黑体" w:eastAsia="黑体" w:cs="黑体"/>
          <w:sz w:val="44"/>
          <w:szCs w:val="44"/>
        </w:rPr>
      </w:pPr>
      <w:r>
        <w:rPr>
          <w:rFonts w:hint="eastAsia" w:ascii="黑体" w:hAnsi="黑体" w:eastAsia="黑体" w:cs="黑体"/>
          <w:sz w:val="44"/>
          <w:szCs w:val="44"/>
          <w:lang w:eastAsia="zh-CN"/>
        </w:rPr>
        <w:t>配套耗材</w:t>
      </w:r>
      <w:r>
        <w:rPr>
          <w:rFonts w:hint="eastAsia" w:ascii="黑体" w:hAnsi="黑体" w:eastAsia="黑体" w:cs="黑体"/>
          <w:sz w:val="44"/>
          <w:szCs w:val="44"/>
        </w:rPr>
        <w:t>采购项目</w:t>
      </w:r>
    </w:p>
    <w:p>
      <w:pPr>
        <w:rPr>
          <w:rFonts w:ascii="微软简隶书" w:eastAsia="微软简隶书"/>
        </w:rPr>
      </w:pPr>
    </w:p>
    <w:p>
      <w:pPr>
        <w:jc w:val="both"/>
        <w:rPr>
          <w:rFonts w:hint="eastAsia" w:ascii="华文隶书" w:eastAsia="华文隶书"/>
          <w:bCs/>
          <w:w w:val="90"/>
          <w:sz w:val="96"/>
        </w:rPr>
      </w:pPr>
    </w:p>
    <w:p>
      <w:pPr>
        <w:jc w:val="center"/>
        <w:rPr>
          <w:rFonts w:hint="eastAsia" w:ascii="黑体" w:hAnsi="黑体" w:eastAsia="黑体" w:cs="黑体"/>
          <w:bCs/>
          <w:w w:val="90"/>
          <w:sz w:val="72"/>
          <w:szCs w:val="72"/>
        </w:rPr>
      </w:pPr>
      <w:r>
        <w:rPr>
          <w:rFonts w:hint="eastAsia" w:ascii="黑体" w:hAnsi="黑体" w:eastAsia="黑体" w:cs="黑体"/>
          <w:bCs/>
          <w:w w:val="90"/>
          <w:sz w:val="72"/>
          <w:szCs w:val="72"/>
          <w:lang w:eastAsia="zh-CN"/>
        </w:rPr>
        <w:t>竞争</w:t>
      </w:r>
      <w:r>
        <w:rPr>
          <w:rFonts w:hint="eastAsia" w:ascii="黑体" w:hAnsi="黑体" w:eastAsia="黑体" w:cs="黑体"/>
          <w:bCs/>
          <w:w w:val="90"/>
          <w:sz w:val="72"/>
          <w:szCs w:val="72"/>
          <w:lang w:val="en-US" w:eastAsia="zh-CN"/>
        </w:rPr>
        <w:t>性谈判</w:t>
      </w:r>
      <w:r>
        <w:rPr>
          <w:rFonts w:hint="eastAsia" w:ascii="黑体" w:hAnsi="黑体" w:eastAsia="黑体" w:cs="黑体"/>
          <w:bCs/>
          <w:w w:val="90"/>
          <w:sz w:val="72"/>
          <w:szCs w:val="72"/>
        </w:rPr>
        <w:t>文件</w:t>
      </w:r>
    </w:p>
    <w:p>
      <w:pPr>
        <w:rPr>
          <w:rFonts w:ascii="微软简隶书" w:eastAsia="微软简隶书"/>
        </w:rPr>
      </w:pPr>
    </w:p>
    <w:p>
      <w:pPr>
        <w:rPr>
          <w:rFonts w:ascii="微软简隶书" w:eastAsia="微软简隶书"/>
        </w:rPr>
      </w:pPr>
    </w:p>
    <w:p>
      <w:pPr>
        <w:pStyle w:val="10"/>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bCs/>
          <w:sz w:val="36"/>
          <w:szCs w:val="36"/>
          <w:lang w:eastAsia="zh-CN"/>
        </w:rPr>
        <w:t>采购</w:t>
      </w:r>
      <w:r>
        <w:rPr>
          <w:rFonts w:hint="eastAsia" w:asciiTheme="majorEastAsia" w:hAnsiTheme="majorEastAsia" w:eastAsiaTheme="majorEastAsia" w:cstheme="majorEastAsia"/>
          <w:b/>
          <w:bCs/>
          <w:sz w:val="36"/>
          <w:szCs w:val="36"/>
        </w:rPr>
        <w:t>编号：</w:t>
      </w:r>
      <w:r>
        <w:rPr>
          <w:rFonts w:hint="eastAsia" w:asciiTheme="majorEastAsia" w:hAnsiTheme="majorEastAsia" w:eastAsiaTheme="majorEastAsia" w:cstheme="majorEastAsia"/>
          <w:b/>
          <w:bCs/>
          <w:sz w:val="36"/>
          <w:szCs w:val="36"/>
          <w:lang w:val="en-US" w:eastAsia="zh-CN"/>
        </w:rPr>
        <w:t>YZCG-T2020085</w:t>
      </w:r>
    </w:p>
    <w:p>
      <w:pPr>
        <w:ind w:firstLine="1084" w:firstLineChars="300"/>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eastAsia="zh-CN"/>
        </w:rPr>
        <w:t>禹州市畜牧局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eastAsia="zh-CN"/>
        </w:rPr>
        <w:t>禹州</w:t>
      </w:r>
      <w:r>
        <w:rPr>
          <w:rFonts w:hint="eastAsia" w:asciiTheme="majorEastAsia" w:hAnsiTheme="majorEastAsia" w:eastAsiaTheme="majorEastAsia" w:cstheme="majorEastAsia"/>
          <w:b/>
          <w:bCs/>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w:t>
      </w:r>
      <w:r>
        <w:rPr>
          <w:rFonts w:hint="eastAsia" w:asciiTheme="majorEastAsia" w:hAnsiTheme="majorEastAsia" w:eastAsiaTheme="majorEastAsia" w:cstheme="majorEastAsia"/>
          <w:b/>
          <w:bCs/>
          <w:sz w:val="36"/>
          <w:szCs w:val="36"/>
          <w:lang w:eastAsia="zh-CN"/>
        </w:rPr>
        <w:t>五</w:t>
      </w:r>
      <w:r>
        <w:rPr>
          <w:rFonts w:hint="eastAsia" w:asciiTheme="majorEastAsia" w:hAnsiTheme="majorEastAsia" w:eastAsiaTheme="majorEastAsia" w:cstheme="majorEastAsia"/>
          <w:b/>
          <w:bCs/>
          <w:sz w:val="36"/>
          <w:szCs w:val="36"/>
        </w:rPr>
        <w:t>月</w:t>
      </w:r>
      <w:r>
        <w:rPr>
          <w:rFonts w:hint="eastAsia" w:asciiTheme="majorEastAsia" w:hAnsiTheme="majorEastAsia" w:eastAsiaTheme="majorEastAsia" w:cstheme="majorEastAsia"/>
          <w:b/>
          <w:bCs/>
          <w:sz w:val="36"/>
          <w:szCs w:val="36"/>
          <w:lang w:val="en-US" w:eastAsia="zh-CN"/>
        </w:rPr>
        <w:t xml:space="preserve"> </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对响应文件审查与评审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pStyle w:val="2"/>
        <w:numPr>
          <w:ilvl w:val="0"/>
          <w:numId w:val="0"/>
        </w:numPr>
      </w:pP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禹州市政府采购中心受禹州市</w:t>
      </w:r>
      <w:r>
        <w:rPr>
          <w:rFonts w:hint="eastAsia" w:asciiTheme="majorEastAsia" w:hAnsiTheme="majorEastAsia" w:eastAsiaTheme="majorEastAsia" w:cstheme="majorEastAsia"/>
          <w:sz w:val="21"/>
          <w:szCs w:val="21"/>
          <w:lang w:eastAsia="zh-CN"/>
        </w:rPr>
        <w:t>畜牧局</w:t>
      </w:r>
      <w:r>
        <w:rPr>
          <w:rFonts w:hint="eastAsia" w:asciiTheme="majorEastAsia" w:hAnsiTheme="majorEastAsia" w:eastAsiaTheme="majorEastAsia" w:cstheme="majorEastAsia"/>
          <w:sz w:val="21"/>
          <w:szCs w:val="21"/>
        </w:rPr>
        <w:t>的委托，就“</w:t>
      </w:r>
      <w:r>
        <w:rPr>
          <w:rFonts w:hint="eastAsia" w:asciiTheme="majorEastAsia" w:hAnsiTheme="majorEastAsia" w:eastAsiaTheme="majorEastAsia" w:cstheme="majorEastAsia"/>
          <w:sz w:val="21"/>
          <w:szCs w:val="21"/>
          <w:lang w:eastAsia="zh-CN"/>
        </w:rPr>
        <w:t>非洲猪瘟分子生物学检测实验室仪器设备及配套耗材</w:t>
      </w:r>
      <w:r>
        <w:rPr>
          <w:rFonts w:hint="eastAsia" w:asciiTheme="majorEastAsia" w:hAnsiTheme="majorEastAsia" w:eastAsiaTheme="majorEastAsia" w:cstheme="majorEastAsia"/>
          <w:sz w:val="21"/>
          <w:szCs w:val="21"/>
        </w:rPr>
        <w:t>采购项目（不见面开标）</w:t>
      </w:r>
      <w:r>
        <w:rPr>
          <w:rFonts w:hint="eastAsia" w:asciiTheme="majorEastAsia" w:hAnsiTheme="majorEastAsia" w:eastAsiaTheme="majorEastAsia" w:cstheme="majorEastAsia"/>
          <w:sz w:val="21"/>
          <w:szCs w:val="21"/>
          <w:lang w:eastAsia="zh-CN"/>
        </w:rPr>
        <w:t>”进行竞争性谈判</w:t>
      </w:r>
      <w:r>
        <w:rPr>
          <w:rFonts w:hint="eastAsia" w:asciiTheme="majorEastAsia" w:hAnsiTheme="majorEastAsia" w:eastAsiaTheme="majorEastAsia" w:cstheme="majorEastAsia"/>
          <w:sz w:val="21"/>
          <w:szCs w:val="21"/>
        </w:rPr>
        <w:t>，欢迎合格的投标人前来投标。</w:t>
      </w:r>
    </w:p>
    <w:p>
      <w:pPr>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eastAsia="zh-CN"/>
        </w:rPr>
        <w:t>一、</w:t>
      </w:r>
      <w:r>
        <w:rPr>
          <w:rFonts w:hint="eastAsia" w:asciiTheme="majorEastAsia" w:hAnsiTheme="majorEastAsia" w:eastAsiaTheme="majorEastAsia" w:cstheme="majorEastAsia"/>
          <w:b/>
          <w:bCs/>
          <w:sz w:val="21"/>
          <w:szCs w:val="21"/>
        </w:rPr>
        <w:t>项目基本情况</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采购人：禹州市</w:t>
      </w:r>
      <w:r>
        <w:rPr>
          <w:rFonts w:hint="eastAsia" w:asciiTheme="majorEastAsia" w:hAnsiTheme="majorEastAsia" w:eastAsiaTheme="majorEastAsia" w:cstheme="majorEastAsia"/>
          <w:sz w:val="21"/>
          <w:szCs w:val="21"/>
          <w:lang w:eastAsia="zh-CN"/>
        </w:rPr>
        <w:t>畜牧局</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2、项目名称：</w:t>
      </w:r>
      <w:r>
        <w:rPr>
          <w:rFonts w:hint="eastAsia" w:asciiTheme="majorEastAsia" w:hAnsiTheme="majorEastAsia" w:eastAsiaTheme="majorEastAsia" w:cstheme="majorEastAsia"/>
          <w:sz w:val="21"/>
          <w:szCs w:val="21"/>
          <w:lang w:eastAsia="zh-CN"/>
        </w:rPr>
        <w:t>非洲猪瘟分子生物学检测实验室仪器设备及配套耗材</w:t>
      </w:r>
      <w:r>
        <w:rPr>
          <w:rFonts w:hint="eastAsia" w:asciiTheme="majorEastAsia" w:hAnsiTheme="majorEastAsia" w:eastAsiaTheme="majorEastAsia" w:cstheme="majorEastAsia"/>
          <w:sz w:val="21"/>
          <w:szCs w:val="21"/>
        </w:rPr>
        <w:t>采购项目（不见面开标）</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3、采购编号：YZCG-</w:t>
      </w:r>
      <w:r>
        <w:rPr>
          <w:rFonts w:hint="eastAsia" w:asciiTheme="majorEastAsia" w:hAnsiTheme="majorEastAsia" w:eastAsiaTheme="majorEastAsia" w:cstheme="majorEastAsia"/>
          <w:sz w:val="21"/>
          <w:szCs w:val="21"/>
          <w:lang w:val="en-US" w:eastAsia="zh-CN"/>
        </w:rPr>
        <w:t>T</w:t>
      </w:r>
      <w:r>
        <w:rPr>
          <w:rFonts w:hint="eastAsia" w:asciiTheme="majorEastAsia" w:hAnsiTheme="majorEastAsia" w:eastAsiaTheme="majorEastAsia" w:cstheme="majorEastAsia"/>
          <w:sz w:val="21"/>
          <w:szCs w:val="21"/>
        </w:rPr>
        <w:t>20</w:t>
      </w:r>
      <w:r>
        <w:rPr>
          <w:rFonts w:hint="eastAsia" w:asciiTheme="majorEastAsia" w:hAnsiTheme="majorEastAsia" w:eastAsiaTheme="majorEastAsia" w:cstheme="majorEastAsia"/>
          <w:sz w:val="21"/>
          <w:szCs w:val="21"/>
          <w:lang w:val="en-US" w:eastAsia="zh-CN"/>
        </w:rPr>
        <w:t>20085</w:t>
      </w:r>
      <w:r>
        <w:rPr>
          <w:rFonts w:hint="eastAsia" w:asciiTheme="majorEastAsia" w:hAnsiTheme="majorEastAsia" w:eastAsiaTheme="majorEastAsia" w:cstheme="majorEastAsia"/>
          <w:sz w:val="21"/>
          <w:szCs w:val="21"/>
        </w:rPr>
        <w:tab/>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4、项目需求：</w:t>
      </w:r>
      <w:r>
        <w:rPr>
          <w:rFonts w:hint="eastAsia" w:asciiTheme="majorEastAsia" w:hAnsiTheme="majorEastAsia" w:eastAsiaTheme="majorEastAsia" w:cstheme="majorEastAsia"/>
          <w:sz w:val="21"/>
          <w:szCs w:val="21"/>
          <w:lang w:eastAsia="zh-CN"/>
        </w:rPr>
        <w:t>非洲猪瘟分子生物学检测实验室仪器设备及配套耗材</w:t>
      </w:r>
      <w:r>
        <w:rPr>
          <w:rFonts w:hint="eastAsia" w:asciiTheme="majorEastAsia" w:hAnsiTheme="majorEastAsia" w:eastAsiaTheme="majorEastAsia" w:cstheme="majorEastAsia"/>
          <w:sz w:val="21"/>
          <w:szCs w:val="21"/>
        </w:rPr>
        <w:t>（详见</w:t>
      </w:r>
      <w:r>
        <w:rPr>
          <w:rFonts w:hint="eastAsia" w:asciiTheme="majorEastAsia" w:hAnsiTheme="majorEastAsia" w:eastAsiaTheme="majorEastAsia" w:cstheme="majorEastAsia"/>
          <w:sz w:val="21"/>
          <w:szCs w:val="21"/>
          <w:lang w:eastAsia="zh-CN"/>
        </w:rPr>
        <w:t>谈判</w:t>
      </w:r>
      <w:r>
        <w:rPr>
          <w:rFonts w:hint="eastAsia" w:asciiTheme="majorEastAsia" w:hAnsiTheme="majorEastAsia" w:eastAsiaTheme="majorEastAsia" w:cstheme="majorEastAsia"/>
          <w:sz w:val="21"/>
          <w:szCs w:val="21"/>
        </w:rPr>
        <w:t>文件）</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5、采购预算：</w:t>
      </w:r>
      <w:r>
        <w:rPr>
          <w:rFonts w:hint="eastAsia" w:asciiTheme="majorEastAsia" w:hAnsiTheme="majorEastAsia" w:eastAsiaTheme="majorEastAsia" w:cstheme="majorEastAsia"/>
          <w:sz w:val="21"/>
          <w:szCs w:val="21"/>
          <w:lang w:val="en-US" w:eastAsia="zh-CN"/>
        </w:rPr>
        <w:t>68.55</w:t>
      </w:r>
      <w:r>
        <w:rPr>
          <w:rFonts w:hint="eastAsia" w:asciiTheme="majorEastAsia" w:hAnsiTheme="majorEastAsia" w:eastAsiaTheme="majorEastAsia" w:cstheme="majorEastAsia"/>
          <w:sz w:val="21"/>
          <w:szCs w:val="21"/>
        </w:rPr>
        <w:t>万元</w:t>
      </w:r>
    </w:p>
    <w:p>
      <w:pPr>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二、需要落实的政府采购政策</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本项目落实节约能源、保护环境、扶持不发达地区和少数民族地区、促进中小企业、监狱企业发展等政府采购政策。</w:t>
      </w:r>
    </w:p>
    <w:p>
      <w:pPr>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eastAsia="zh-CN"/>
        </w:rPr>
        <w:t>三、</w:t>
      </w:r>
      <w:r>
        <w:rPr>
          <w:rFonts w:hint="eastAsia" w:asciiTheme="majorEastAsia" w:hAnsiTheme="majorEastAsia" w:eastAsiaTheme="majorEastAsia" w:cstheme="majorEastAsia"/>
          <w:b/>
          <w:bCs/>
          <w:sz w:val="21"/>
          <w:szCs w:val="21"/>
        </w:rPr>
        <w:t>供应商资格要求</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符合《政府采购法》第二十二条之规定，</w:t>
      </w:r>
      <w:r>
        <w:rPr>
          <w:rFonts w:hint="eastAsia" w:asciiTheme="majorEastAsia" w:hAnsiTheme="majorEastAsia" w:eastAsiaTheme="majorEastAsia" w:cstheme="majorEastAsia"/>
          <w:sz w:val="21"/>
          <w:szCs w:val="21"/>
          <w:lang w:eastAsia="zh-CN"/>
        </w:rPr>
        <w:t>具有独立法人资格及</w:t>
      </w:r>
      <w:r>
        <w:rPr>
          <w:rFonts w:hint="eastAsia" w:asciiTheme="majorEastAsia" w:hAnsiTheme="majorEastAsia" w:eastAsiaTheme="majorEastAsia" w:cstheme="majorEastAsia"/>
          <w:sz w:val="21"/>
          <w:szCs w:val="21"/>
        </w:rPr>
        <w:t>相应的经营范围</w:t>
      </w:r>
      <w:r>
        <w:rPr>
          <w:rFonts w:hint="eastAsia" w:asciiTheme="majorEastAsia" w:hAnsiTheme="majorEastAsia" w:eastAsiaTheme="majorEastAsia" w:cstheme="majorEastAsia"/>
          <w:sz w:val="21"/>
          <w:szCs w:val="21"/>
          <w:lang w:eastAsia="zh-CN"/>
        </w:rPr>
        <w:t>（以营业执照为准）</w:t>
      </w:r>
      <w:r>
        <w:rPr>
          <w:rFonts w:hint="eastAsia" w:asciiTheme="majorEastAsia" w:hAnsiTheme="majorEastAsia" w:eastAsiaTheme="majorEastAsia" w:cstheme="majorEastAsia"/>
          <w:sz w:val="21"/>
          <w:szCs w:val="21"/>
        </w:rPr>
        <w:t>；</w:t>
      </w:r>
    </w:p>
    <w:p>
      <w:pPr>
        <w:spacing w:line="440" w:lineRule="exact"/>
        <w:ind w:firstLine="420" w:firstLineChars="200"/>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被委托人须是本单位职工，须提供公司为本人缴纳社会保险证明</w:t>
      </w:r>
      <w:r>
        <w:rPr>
          <w:rFonts w:hint="eastAsia" w:asciiTheme="majorEastAsia" w:hAnsiTheme="majorEastAsia" w:eastAsiaTheme="majorEastAsia" w:cstheme="majorEastAsia"/>
          <w:sz w:val="21"/>
          <w:szCs w:val="21"/>
          <w:lang w:eastAsia="zh-CN"/>
        </w:rPr>
        <w:t>；</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、本项目不接受联合体投标。</w:t>
      </w:r>
    </w:p>
    <w:p>
      <w:pPr>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四、获取</w:t>
      </w:r>
      <w:r>
        <w:rPr>
          <w:rFonts w:hint="eastAsia" w:asciiTheme="majorEastAsia" w:hAnsiTheme="majorEastAsia" w:eastAsiaTheme="majorEastAsia" w:cstheme="majorEastAsia"/>
          <w:b/>
          <w:bCs/>
          <w:sz w:val="21"/>
          <w:szCs w:val="21"/>
          <w:lang w:eastAsia="zh-CN"/>
        </w:rPr>
        <w:t>谈判</w:t>
      </w:r>
      <w:r>
        <w:rPr>
          <w:rFonts w:hint="eastAsia" w:asciiTheme="majorEastAsia" w:hAnsiTheme="majorEastAsia" w:eastAsiaTheme="majorEastAsia" w:cstheme="majorEastAsia"/>
          <w:b/>
          <w:bCs/>
          <w:sz w:val="21"/>
          <w:szCs w:val="21"/>
        </w:rPr>
        <w:t>文件的方式</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持CA数字认证证书，登录《全国公共资源交易平台（河南省·许昌市）》“系统用户注册”入口</w:t>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http://ggzy.xuchang.gov.cn:8088/ggzy/eps/public/RegistAllJcxx.html）</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t>进行免费注册登记（详见“常见问题解答-诚信库网上注册相关资料下载”）；</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在谈判响应截止时间前均可登录《全国公共资源交易平台（河南省·许昌市）》“投标人/供应商登录”入口</w:t>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（http://ggzy.xuchang.gov.cn:8088/ggzy/）</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t>自行免费下载竞争性谈判文件（详见“常见问题解答-交易系统操作手册”）。</w:t>
      </w:r>
    </w:p>
    <w:p>
      <w:pPr>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3、谈判文件每份售价人民币300元，售后不退。</w:t>
      </w:r>
    </w:p>
    <w:p>
      <w:pPr>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五、响应文件提交截止时间及谈判响应截止时间、谈判时间</w:t>
      </w:r>
    </w:p>
    <w:p>
      <w:pPr>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1、响应文件提交截止时间及谈判响应截止时间、谈判时间：2020年 5月 27日9:00 （北京时间），逾期送达或不符合规定的响应文件恕不接受。</w:t>
      </w:r>
    </w:p>
    <w:p>
      <w:pPr>
        <w:spacing w:line="440" w:lineRule="exact"/>
        <w:ind w:firstLine="420" w:firstLineChars="20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2、响应文件开启时间：同响应文件提交截止时间。</w:t>
      </w:r>
    </w:p>
    <w:p>
      <w:pPr>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六、谈判响应文件开启</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（一）谈判响应文件开启地点：</w:t>
      </w:r>
      <w:r>
        <w:rPr>
          <w:rFonts w:hint="eastAsia" w:asciiTheme="majorEastAsia" w:hAnsiTheme="majorEastAsia" w:eastAsiaTheme="majorEastAsia" w:cstheme="majorEastAsia"/>
          <w:sz w:val="21"/>
          <w:szCs w:val="21"/>
          <w:lang w:eastAsia="zh-CN"/>
        </w:rPr>
        <w:t>禹州</w:t>
      </w:r>
      <w:r>
        <w:rPr>
          <w:rFonts w:hint="eastAsia" w:asciiTheme="majorEastAsia" w:hAnsiTheme="majorEastAsia" w:eastAsiaTheme="majorEastAsia" w:cstheme="majorEastAsia"/>
          <w:sz w:val="21"/>
          <w:szCs w:val="21"/>
        </w:rPr>
        <w:t>市公共资源交易中心</w:t>
      </w:r>
      <w:r>
        <w:rPr>
          <w:rFonts w:hint="eastAsia" w:asciiTheme="majorEastAsia" w:hAnsiTheme="majorEastAsia" w:eastAsiaTheme="majorEastAsia" w:cstheme="majorEastAsia"/>
          <w:sz w:val="21"/>
          <w:szCs w:val="21"/>
          <w:lang w:eastAsia="zh-CN"/>
        </w:rPr>
        <w:t>九</w:t>
      </w:r>
      <w:r>
        <w:rPr>
          <w:rFonts w:hint="eastAsia" w:asciiTheme="majorEastAsia" w:hAnsiTheme="majorEastAsia" w:eastAsiaTheme="majorEastAsia" w:cstheme="majorEastAsia"/>
          <w:sz w:val="21"/>
          <w:szCs w:val="21"/>
        </w:rPr>
        <w:t>楼</w:t>
      </w:r>
      <w:r>
        <w:rPr>
          <w:rFonts w:hint="eastAsia" w:asciiTheme="majorEastAsia" w:hAnsiTheme="majorEastAsia" w:eastAsiaTheme="majorEastAsia" w:cstheme="majorEastAsia"/>
          <w:sz w:val="21"/>
          <w:szCs w:val="21"/>
          <w:lang w:eastAsia="zh-CN"/>
        </w:rPr>
        <w:t>第二开标室</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b/>
          <w:bCs/>
          <w:color w:val="FF0000"/>
          <w:sz w:val="21"/>
          <w:szCs w:val="21"/>
        </w:rPr>
        <w:t>本项目采用远程不见面谈判，供应商无须到达现场</w:t>
      </w:r>
      <w:r>
        <w:rPr>
          <w:rFonts w:hint="eastAsia" w:asciiTheme="majorEastAsia" w:hAnsiTheme="majorEastAsia" w:eastAsiaTheme="majorEastAsia" w:cstheme="majorEastAsia"/>
          <w:sz w:val="21"/>
          <w:szCs w:val="21"/>
        </w:rPr>
        <w:t>）。</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 本项目为全流程电子化交易项目，供应商须提交电子响应文件。</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1、加密电子响应文件（.file格式）须在响应文件提交截止时间（谈判响应截止时间）前通过《全国公共资源交易平台(河南省▪许昌市)》公共资源交易系统成功上传。</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3、不见面开标大厅登录：供应商使用CA数字证书登录全国公共资源交易平台（河南省·许昌市）——进入公共资源交易系统</w:t>
      </w:r>
      <w:r>
        <w:rPr>
          <w:rFonts w:hint="eastAsia" w:asciiTheme="majorEastAsia" w:hAnsiTheme="majorEastAsia" w:eastAsiaTheme="majorEastAsia" w:cstheme="majorEastAsia"/>
          <w:sz w:val="21"/>
          <w:szCs w:val="21"/>
        </w:rPr>
        <w:fldChar w:fldCharType="begin"/>
      </w:r>
      <w:r>
        <w:rPr>
          <w:rFonts w:hint="eastAsia" w:asciiTheme="majorEastAsia" w:hAnsiTheme="majorEastAsia" w:eastAsiaTheme="majorEastAsia" w:cstheme="majorEastAsia"/>
          <w:sz w:val="21"/>
          <w:szCs w:val="21"/>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asciiTheme="majorEastAsia" w:hAnsiTheme="majorEastAsia" w:eastAsiaTheme="majorEastAsia" w:cstheme="majorEastAsia"/>
          <w:sz w:val="21"/>
          <w:szCs w:val="21"/>
        </w:rPr>
        <w:fldChar w:fldCharType="separate"/>
      </w:r>
      <w:r>
        <w:rPr>
          <w:rFonts w:hint="eastAsia" w:asciiTheme="majorEastAsia" w:hAnsiTheme="majorEastAsia" w:eastAsiaTheme="majorEastAsia" w:cstheme="majorEastAsia"/>
          <w:sz w:val="21"/>
          <w:szCs w:val="21"/>
        </w:rPr>
        <w:t>（http://ggzy.xuchang.gov.cn:8088/ggzy/）</w:t>
      </w:r>
      <w:r>
        <w:rPr>
          <w:rFonts w:hint="eastAsia" w:asciiTheme="majorEastAsia" w:hAnsiTheme="majorEastAsia" w:eastAsiaTheme="majorEastAsia" w:cstheme="majorEastAsia"/>
          <w:sz w:val="21"/>
          <w:szCs w:val="21"/>
        </w:rPr>
        <w:fldChar w:fldCharType="end"/>
      </w:r>
      <w:r>
        <w:rPr>
          <w:rFonts w:hint="eastAsia" w:asciiTheme="majorEastAsia" w:hAnsiTheme="majorEastAsia" w:eastAsiaTheme="majorEastAsia" w:cstheme="majorEastAsia"/>
          <w:sz w:val="21"/>
          <w:szCs w:val="21"/>
        </w:rPr>
        <w:t>——点击“项目信息——项目名称”——在系统操作导航栏点击“开标——不见面开标大厅”。</w:t>
      </w:r>
    </w:p>
    <w:p>
      <w:pPr>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eastAsia="zh-CN"/>
        </w:rPr>
        <w:t>七</w:t>
      </w:r>
      <w:r>
        <w:rPr>
          <w:rFonts w:hint="eastAsia" w:asciiTheme="majorEastAsia" w:hAnsiTheme="majorEastAsia" w:eastAsiaTheme="majorEastAsia" w:cstheme="majorEastAsia"/>
          <w:b/>
          <w:bCs/>
          <w:sz w:val="21"/>
          <w:szCs w:val="21"/>
        </w:rPr>
        <w:t>、本次</w:t>
      </w:r>
      <w:r>
        <w:rPr>
          <w:rFonts w:hint="eastAsia" w:asciiTheme="majorEastAsia" w:hAnsiTheme="majorEastAsia" w:eastAsiaTheme="majorEastAsia" w:cstheme="majorEastAsia"/>
          <w:b/>
          <w:bCs/>
          <w:sz w:val="21"/>
          <w:szCs w:val="21"/>
          <w:lang w:eastAsia="zh-CN"/>
        </w:rPr>
        <w:t>谈判</w:t>
      </w:r>
      <w:r>
        <w:rPr>
          <w:rFonts w:hint="eastAsia" w:asciiTheme="majorEastAsia" w:hAnsiTheme="majorEastAsia" w:eastAsiaTheme="majorEastAsia" w:cstheme="majorEastAsia"/>
          <w:b/>
          <w:bCs/>
          <w:sz w:val="21"/>
          <w:szCs w:val="21"/>
        </w:rPr>
        <w:t>公告同时在《中国政府采购网》、《河南省政府采购网》、《全国公共资源交易平台（河南省·许昌市）》发布等。</w:t>
      </w:r>
    </w:p>
    <w:p>
      <w:pPr>
        <w:spacing w:line="440" w:lineRule="exact"/>
        <w:ind w:firstLine="422" w:firstLineChars="200"/>
        <w:jc w:val="left"/>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eastAsia="zh-CN"/>
        </w:rPr>
        <w:t>八</w:t>
      </w:r>
      <w:r>
        <w:rPr>
          <w:rFonts w:hint="eastAsia" w:asciiTheme="majorEastAsia" w:hAnsiTheme="majorEastAsia" w:eastAsiaTheme="majorEastAsia" w:cstheme="majorEastAsia"/>
          <w:b/>
          <w:bCs/>
          <w:sz w:val="21"/>
          <w:szCs w:val="21"/>
        </w:rPr>
        <w:t>、代理机构及采购单位地址、联系人、联系电话</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（一）代理机构：禹州市政府采购中心</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地址：禹州市行政服务中心楼917房间</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联系人：</w:t>
      </w:r>
      <w:r>
        <w:rPr>
          <w:rFonts w:hint="eastAsia" w:asciiTheme="majorEastAsia" w:hAnsiTheme="majorEastAsia" w:eastAsiaTheme="majorEastAsia" w:cstheme="majorEastAsia"/>
          <w:sz w:val="21"/>
          <w:szCs w:val="21"/>
          <w:lang w:eastAsia="zh-CN"/>
        </w:rPr>
        <w:t>侯女士</w:t>
      </w:r>
      <w:r>
        <w:rPr>
          <w:rFonts w:hint="eastAsia" w:asciiTheme="majorEastAsia" w:hAnsiTheme="majorEastAsia" w:eastAsiaTheme="majorEastAsia" w:cstheme="majorEastAsia"/>
          <w:sz w:val="21"/>
          <w:szCs w:val="21"/>
        </w:rPr>
        <w:t xml:space="preserve">    联系电话：0374-2077111</w:t>
      </w: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w:t>
      </w:r>
      <w:r>
        <w:rPr>
          <w:rFonts w:hint="eastAsia" w:asciiTheme="majorEastAsia" w:hAnsiTheme="majorEastAsia" w:eastAsiaTheme="majorEastAsia" w:cstheme="majorEastAsia"/>
          <w:sz w:val="21"/>
          <w:szCs w:val="21"/>
        </w:rPr>
        <w:t>采购单位：禹州市</w:t>
      </w:r>
      <w:r>
        <w:rPr>
          <w:rFonts w:hint="eastAsia" w:asciiTheme="majorEastAsia" w:hAnsiTheme="majorEastAsia" w:eastAsiaTheme="majorEastAsia" w:cstheme="majorEastAsia"/>
          <w:sz w:val="21"/>
          <w:szCs w:val="21"/>
          <w:lang w:eastAsia="zh-CN"/>
        </w:rPr>
        <w:t>畜牧局</w:t>
      </w:r>
    </w:p>
    <w:p>
      <w:pPr>
        <w:spacing w:line="440" w:lineRule="exact"/>
        <w:ind w:firstLine="420" w:firstLineChars="200"/>
        <w:jc w:val="left"/>
        <w:rPr>
          <w:rFonts w:hint="default" w:asciiTheme="majorEastAsia" w:hAnsiTheme="majorEastAsia" w:eastAsiaTheme="majorEastAsia" w:cstheme="majorEastAsia"/>
          <w:sz w:val="21"/>
          <w:szCs w:val="21"/>
          <w:lang w:val="en-US"/>
        </w:rPr>
      </w:pPr>
      <w:r>
        <w:rPr>
          <w:rFonts w:hint="eastAsia" w:asciiTheme="majorEastAsia" w:hAnsiTheme="majorEastAsia" w:eastAsiaTheme="majorEastAsia" w:cstheme="majorEastAsia"/>
          <w:sz w:val="21"/>
          <w:szCs w:val="21"/>
        </w:rPr>
        <w:t>地址：</w:t>
      </w:r>
      <w:r>
        <w:rPr>
          <w:rFonts w:hint="eastAsia" w:asciiTheme="majorEastAsia" w:hAnsiTheme="majorEastAsia" w:eastAsiaTheme="majorEastAsia" w:cstheme="majorEastAsia"/>
          <w:sz w:val="21"/>
          <w:szCs w:val="21"/>
          <w:lang w:eastAsia="zh-CN"/>
        </w:rPr>
        <w:t>禹州市禹王大道</w:t>
      </w:r>
      <w:r>
        <w:rPr>
          <w:rFonts w:hint="eastAsia" w:asciiTheme="majorEastAsia" w:hAnsiTheme="majorEastAsia" w:eastAsiaTheme="majorEastAsia" w:cstheme="majorEastAsia"/>
          <w:sz w:val="21"/>
          <w:szCs w:val="21"/>
          <w:lang w:val="en-US" w:eastAsia="zh-CN"/>
        </w:rPr>
        <w:t>99号</w:t>
      </w:r>
    </w:p>
    <w:p>
      <w:pPr>
        <w:spacing w:line="440" w:lineRule="exact"/>
        <w:ind w:firstLine="420" w:firstLineChars="200"/>
        <w:jc w:val="left"/>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联系人：</w:t>
      </w:r>
      <w:r>
        <w:rPr>
          <w:rFonts w:hint="eastAsia" w:asciiTheme="majorEastAsia" w:hAnsiTheme="majorEastAsia" w:eastAsiaTheme="majorEastAsia" w:cstheme="majorEastAsia"/>
          <w:sz w:val="21"/>
          <w:szCs w:val="21"/>
          <w:lang w:eastAsia="zh-CN"/>
        </w:rPr>
        <w:t>贾先生</w:t>
      </w:r>
      <w:r>
        <w:rPr>
          <w:rFonts w:hint="eastAsia" w:asciiTheme="majorEastAsia" w:hAnsiTheme="majorEastAsia" w:eastAsiaTheme="majorEastAsia" w:cstheme="majorEastAsia"/>
          <w:sz w:val="21"/>
          <w:szCs w:val="21"/>
        </w:rPr>
        <w:t xml:space="preserve">  联系电话：</w:t>
      </w:r>
      <w:r>
        <w:rPr>
          <w:rFonts w:hint="eastAsia" w:asciiTheme="majorEastAsia" w:hAnsiTheme="majorEastAsia" w:eastAsiaTheme="majorEastAsia" w:cstheme="majorEastAsia"/>
          <w:sz w:val="21"/>
          <w:szCs w:val="21"/>
          <w:lang w:val="en-US" w:eastAsia="zh-CN"/>
        </w:rPr>
        <w:t>13938779106</w:t>
      </w:r>
    </w:p>
    <w:p>
      <w:pPr>
        <w:widowControl/>
        <w:shd w:val="clear" w:color="auto" w:fill="FFFFFF"/>
        <w:spacing w:line="440" w:lineRule="exact"/>
        <w:ind w:firstLine="850" w:firstLineChars="405"/>
        <w:jc w:val="left"/>
        <w:rPr>
          <w:rFonts w:hint="eastAsia" w:asciiTheme="majorEastAsia" w:hAnsiTheme="majorEastAsia" w:eastAsiaTheme="majorEastAsia" w:cstheme="majorEastAsia"/>
          <w:color w:val="000000"/>
          <w:kern w:val="0"/>
          <w:sz w:val="21"/>
          <w:szCs w:val="21"/>
          <w:lang w:val="en-US" w:eastAsia="zh-CN"/>
        </w:rPr>
      </w:pPr>
    </w:p>
    <w:p>
      <w:pPr>
        <w:spacing w:line="440" w:lineRule="exact"/>
        <w:ind w:firstLine="3570" w:firstLineChars="17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 xml:space="preserve"> </w:t>
      </w:r>
    </w:p>
    <w:p>
      <w:pPr>
        <w:adjustRightInd w:val="0"/>
        <w:snapToGrid w:val="0"/>
        <w:spacing w:line="360" w:lineRule="auto"/>
        <w:ind w:firstLine="840" w:firstLineChars="400"/>
        <w:jc w:val="left"/>
        <w:rPr>
          <w:rFonts w:hint="eastAsia" w:asciiTheme="majorEastAsia" w:hAnsiTheme="majorEastAsia" w:eastAsiaTheme="majorEastAsia" w:cstheme="majorEastAsia"/>
          <w:sz w:val="21"/>
          <w:szCs w:val="21"/>
        </w:rPr>
      </w:pPr>
    </w:p>
    <w:p>
      <w:pPr>
        <w:adjustRightInd w:val="0"/>
        <w:snapToGrid w:val="0"/>
        <w:spacing w:line="360" w:lineRule="auto"/>
        <w:ind w:firstLine="840" w:firstLineChars="400"/>
        <w:jc w:val="left"/>
        <w:rPr>
          <w:rFonts w:ascii="宋体" w:hAnsi="宋体"/>
          <w:szCs w:val="21"/>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供应商应按谈判文件规定编制、提交、解密电子响应文件。</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电子文件下载、制作、提交期间和远程不见面谈判（</w:t>
      </w:r>
      <w:r>
        <w:rPr>
          <w:rFonts w:hint="eastAsia" w:hAnsi="宋体"/>
          <w:szCs w:val="21"/>
        </w:rPr>
        <w:t>电子响应文件的解密</w:t>
      </w:r>
      <w:r>
        <w:rPr>
          <w:rFonts w:hint="eastAsia" w:hAnsi="宋体"/>
          <w:b/>
          <w:color w:val="000000"/>
          <w:szCs w:val="21"/>
        </w:rPr>
        <w:t>）环节，供应商须使用同一个</w:t>
      </w:r>
      <w:r>
        <w:rPr>
          <w:rFonts w:hAnsi="宋体"/>
          <w:b/>
          <w:color w:val="000000"/>
          <w:szCs w:val="21"/>
        </w:rPr>
        <w:t>CA数字证书</w:t>
      </w:r>
      <w:r>
        <w:rPr>
          <w:rFonts w:hint="eastAsia" w:hAnsi="宋体"/>
          <w:b/>
          <w:color w:val="000000"/>
          <w:szCs w:val="21"/>
        </w:rPr>
        <w:t>（证书须在有效期内并可正常使用）</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9"/>
          <w:rFonts w:hAnsi="宋体"/>
          <w:szCs w:val="21"/>
        </w:rPr>
        <w:t>http://221.14.6.70:8088/ggzy/</w:t>
      </w:r>
      <w: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供应商对同一项目多个标段进行响应的，应分别下载所投标段的谈判文件，按标段制作电子响应文件，并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一个标段对应生成一个文件夹（xxxx项目xx标段）,其中后缀名为“</w:t>
      </w:r>
      <w:r>
        <w:rPr>
          <w:rFonts w:hAnsi="宋体"/>
          <w:color w:val="000000"/>
          <w:szCs w:val="21"/>
        </w:rPr>
        <w:t>.file</w:t>
      </w:r>
      <w:r>
        <w:rPr>
          <w:rFonts w:hint="eastAsia" w:hAnsi="宋体"/>
          <w:color w:val="00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电子响应文件应按规定在谈判响应截止时间（谈判时间）之前成功提交至《全国公共资源交易平台(河南省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9"/>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供应商对同一项目多个标段进行响应的，加密电子响应文件应按标段分别提交。</w:t>
      </w:r>
    </w:p>
    <w:p>
      <w:pPr>
        <w:tabs>
          <w:tab w:val="left" w:pos="7095"/>
        </w:tabs>
        <w:spacing w:line="360" w:lineRule="auto"/>
        <w:ind w:firstLine="420" w:firstLineChars="200"/>
        <w:contextualSpacing/>
        <w:rPr>
          <w:rFonts w:hAnsi="宋体"/>
          <w:color w:val="00B0F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9"/>
          <w:rFonts w:hAnsi="宋体"/>
          <w:szCs w:val="21"/>
        </w:rPr>
        <w:t>http://221.14.6.70:8088/ggzy/</w:t>
      </w:r>
      <w:r>
        <w:fldChar w:fldCharType="end"/>
      </w:r>
      <w:r>
        <w:rPr>
          <w:rFonts w:hint="eastAsia" w:hAnsi="宋体"/>
          <w:color w:val="000000"/>
          <w:szCs w:val="21"/>
        </w:rPr>
        <w:t>）</w:t>
      </w:r>
      <w:r>
        <w:rPr>
          <w:rFonts w:hint="eastAsia" w:cs="仿宋_GB2312" w:asciiTheme="minorEastAsia" w:hAnsiTheme="minorEastAsia"/>
          <w:color w:val="000000"/>
          <w:szCs w:val="21"/>
        </w:rPr>
        <w:t>生成“投标文件提交回执单”。</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5.远程不见面谈判（</w:t>
      </w:r>
      <w:r>
        <w:rPr>
          <w:rFonts w:hint="eastAsia" w:hAnsi="宋体"/>
          <w:b/>
          <w:color w:val="000000"/>
          <w:szCs w:val="21"/>
        </w:rPr>
        <w:t>电子响应文件的解密</w:t>
      </w:r>
      <w:r>
        <w:rPr>
          <w:rFonts w:hint="eastAsia" w:asciiTheme="minorEastAsia" w:hAnsiTheme="minorEastAsia"/>
          <w:b/>
          <w:color w:val="00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1</w:t>
      </w:r>
      <w:r>
        <w:rPr>
          <w:rFonts w:hint="eastAsia" w:hAnsi="宋体"/>
          <w:color w:val="000000"/>
          <w:szCs w:val="21"/>
        </w:rPr>
        <w:t>供应商应熟悉《许昌市不见面操作手册》，并提前设置不见面开标浏览器（设置流程详见《许昌市不见面操作手册》）。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谈判响应截止时间前供应商应登录本项目不见面开标大厅，按照谈判文件规定的时间准时参加线上响应文件开启。</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供应商对线上响应文件开启过程和开标记录如有疑义，可在本项目不见面开标大厅“文字互动”对话框或“新增质疑”处在线提出询问。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hint="eastAsia" w:cs="宋体" w:asciiTheme="minorEastAsia" w:hAnsiTheme="minorEastAsia"/>
          <w:kern w:val="0"/>
          <w:szCs w:val="21"/>
        </w:rPr>
        <w:t>因供应商原因解密失败的，其响应文件将被拒绝。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不见面响应文件开启活动结束时，供应商应在《开标记录表》上进行电子签章。供应商未签章的，视同认可线上响应文件开启结果。</w:t>
      </w:r>
    </w:p>
    <w:p>
      <w:pPr>
        <w:tabs>
          <w:tab w:val="left" w:pos="7095"/>
        </w:tabs>
        <w:spacing w:line="360" w:lineRule="auto"/>
        <w:ind w:firstLine="420"/>
        <w:contextualSpacing/>
        <w:rPr>
          <w:rFonts w:asciiTheme="minorEastAsia" w:hAnsiTheme="minorEastAsia"/>
          <w:b/>
          <w:color w:val="000000"/>
          <w:szCs w:val="21"/>
        </w:rPr>
      </w:pPr>
      <w:r>
        <w:rPr>
          <w:rFonts w:hint="eastAsia" w:asciiTheme="minorEastAsia" w:hAnsiTheme="minorEastAsia"/>
          <w:b/>
          <w:color w:val="000000"/>
          <w:szCs w:val="21"/>
        </w:rPr>
        <w:t>6.评审依据</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6.1全流程电子化交易（不见面谈判）项目，谈判小组以成功上传、解密的电子响应文件为依据评审。</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6.2 评审期间，供应商应保持通讯手机畅通，并根据谈判小组要求在规定时间内提供：</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（1）最后报价（加盖公章，或者由法定代表人或其授权的代表签字）；</w:t>
      </w:r>
    </w:p>
    <w:p>
      <w:pPr>
        <w:autoSpaceDE w:val="0"/>
        <w:autoSpaceDN w:val="0"/>
        <w:spacing w:line="360" w:lineRule="auto"/>
        <w:ind w:firstLine="420" w:firstLineChars="200"/>
        <w:contextualSpacing/>
        <w:rPr>
          <w:rFonts w:ascii="ˎ̥" w:hAnsi="ˎ̥"/>
        </w:rPr>
      </w:pPr>
      <w:r>
        <w:rPr>
          <w:rFonts w:hint="eastAsia" w:ascii="ˎ̥" w:hAnsi="ˎ̥"/>
        </w:rPr>
        <w:t>提交方式：供应商须使用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spacing w:line="360" w:lineRule="auto"/>
        <w:ind w:right="-11"/>
        <w:contextualSpacing/>
        <w:rPr>
          <w:rFonts w:ascii="楷体" w:hAnsi="楷体" w:eastAsia="楷体" w:cs="仿宋_GB2312"/>
          <w:sz w:val="24"/>
          <w:szCs w:val="24"/>
          <w:lang w:val="zh-CN"/>
        </w:rPr>
      </w:pPr>
      <w:r>
        <w:rPr>
          <w:rFonts w:hint="eastAsia" w:ascii="楷体" w:hAnsi="楷体" w:eastAsia="楷体" w:cs="仿宋_GB2312"/>
          <w:sz w:val="24"/>
          <w:szCs w:val="24"/>
          <w:lang w:val="zh-CN"/>
        </w:rPr>
        <w:t>注：</w:t>
      </w:r>
      <w:r>
        <w:rPr>
          <w:rFonts w:hint="eastAsia" w:ascii="楷体" w:hAnsi="楷体" w:eastAsia="楷体"/>
          <w:color w:val="000000"/>
          <w:sz w:val="24"/>
          <w:szCs w:val="24"/>
        </w:rPr>
        <w:t>①谈判小组要求供应商提交最后报价时，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autoSpaceDE w:val="0"/>
        <w:autoSpaceDN w:val="0"/>
        <w:spacing w:line="360" w:lineRule="auto"/>
        <w:ind w:right="-11" w:firstLine="480" w:firstLineChars="200"/>
        <w:contextualSpacing/>
        <w:rPr>
          <w:rFonts w:ascii="楷体" w:hAnsi="楷体" w:eastAsia="楷体"/>
          <w:color w:val="000000"/>
          <w:sz w:val="24"/>
          <w:szCs w:val="24"/>
        </w:rPr>
      </w:pPr>
      <w:r>
        <w:rPr>
          <w:rFonts w:hint="eastAsia" w:ascii="楷体" w:hAnsi="楷体" w:eastAsia="楷体"/>
          <w:color w:val="000000"/>
          <w:sz w:val="24"/>
          <w:szCs w:val="24"/>
        </w:rPr>
        <w:t>②谈判文件第二章“采购需求”中“采购清单”以工程量清单提供的，供应商应以工程量清单方式提交最后报价。</w:t>
      </w:r>
    </w:p>
    <w:p>
      <w:pPr>
        <w:tabs>
          <w:tab w:val="left" w:pos="7095"/>
        </w:tabs>
        <w:spacing w:line="360" w:lineRule="auto"/>
        <w:ind w:firstLine="480" w:firstLineChars="200"/>
        <w:contextualSpacing/>
        <w:rPr>
          <w:rFonts w:asciiTheme="minorEastAsia" w:hAnsiTheme="minorEastAsia"/>
          <w:color w:val="000000"/>
          <w:szCs w:val="21"/>
        </w:rPr>
      </w:pPr>
      <w:r>
        <w:rPr>
          <w:rFonts w:hint="eastAsia" w:ascii="楷体" w:hAnsi="楷体" w:eastAsia="楷体"/>
          <w:color w:val="000000"/>
          <w:sz w:val="24"/>
          <w:szCs w:val="24"/>
        </w:rPr>
        <w:t>③请供应商根据项目情况，可提前准备分项报价。</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（2）谈判小组如要求供应商提供“澄清、说明或者更正”；“按照谈判文件的变动情况和谈判小组的要求重新提交响应文件”；“</w:t>
      </w:r>
      <w:r>
        <w:rPr>
          <w:rFonts w:asciiTheme="minorEastAsia" w:hAnsiTheme="minorEastAsia"/>
          <w:color w:val="000000"/>
          <w:szCs w:val="21"/>
        </w:rPr>
        <w:t>最终设计方案或解决方案</w:t>
      </w:r>
      <w:r>
        <w:rPr>
          <w:rFonts w:hint="eastAsia" w:asciiTheme="minorEastAsia" w:hAnsiTheme="minorEastAsia"/>
          <w:color w:val="000000"/>
          <w:szCs w:val="21"/>
        </w:rPr>
        <w:t>”的，供应商提供的书面材料应加盖公章，或者由法定代表人或其授权的代表签字后通过电子邮件形式提供。</w:t>
      </w:r>
    </w:p>
    <w:p>
      <w:pPr>
        <w:tabs>
          <w:tab w:val="left" w:pos="7095"/>
        </w:tabs>
        <w:spacing w:line="360" w:lineRule="auto"/>
        <w:ind w:firstLine="420" w:firstLineChars="200"/>
        <w:contextualSpacing/>
        <w:rPr>
          <w:rFonts w:asciiTheme="minorEastAsia" w:hAnsiTheme="minorEastAsia"/>
          <w:color w:val="000000"/>
          <w:szCs w:val="21"/>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ind w:left="0" w:leftChars="0" w:firstLine="0" w:firstLineChars="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widowControl/>
        <w:numPr>
          <w:ilvl w:val="0"/>
          <w:numId w:val="0"/>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lang w:eastAsia="zh-CN"/>
        </w:rPr>
        <w:t>一、</w:t>
      </w:r>
      <w:r>
        <w:rPr>
          <w:rFonts w:hint="eastAsia" w:cs="黑体" w:asciiTheme="minorEastAsia" w:hAnsiTheme="minorEastAsia"/>
          <w:b/>
          <w:bCs/>
          <w:color w:val="000000"/>
          <w:sz w:val="24"/>
          <w:szCs w:val="24"/>
          <w:shd w:val="clear" w:color="auto" w:fill="FFFFFF"/>
        </w:rPr>
        <w:t>本项目需实现的功能或者目标</w:t>
      </w:r>
      <w:r>
        <w:rPr>
          <w:rFonts w:hint="eastAsia" w:cs="黑体" w:asciiTheme="minorEastAsia" w:hAnsiTheme="minorEastAsia"/>
          <w:b/>
          <w:bCs/>
          <w:color w:val="000000"/>
          <w:sz w:val="24"/>
          <w:szCs w:val="24"/>
          <w:shd w:val="clear" w:color="auto" w:fill="FFFFFF"/>
          <w:lang w:eastAsia="zh-CN"/>
        </w:rPr>
        <w:t>：</w:t>
      </w:r>
    </w:p>
    <w:p>
      <w:pPr>
        <w:widowControl/>
        <w:numPr>
          <w:ilvl w:val="0"/>
          <w:numId w:val="0"/>
        </w:numPr>
        <w:shd w:val="clear" w:color="auto" w:fill="FFFFFF"/>
        <w:spacing w:line="360" w:lineRule="auto"/>
        <w:ind w:firstLine="240" w:firstLineChars="100"/>
        <w:contextualSpacing/>
        <w:jc w:val="left"/>
        <w:rPr>
          <w:rFonts w:hint="eastAsia" w:cs="黑体" w:asciiTheme="minorEastAsia" w:hAnsiTheme="minorEastAsia"/>
          <w:b w:val="0"/>
          <w:bCs w:val="0"/>
          <w:color w:val="000000"/>
          <w:sz w:val="24"/>
          <w:szCs w:val="24"/>
          <w:shd w:val="clear" w:color="auto" w:fill="FFFFFF"/>
          <w:lang w:eastAsia="zh-CN"/>
        </w:rPr>
      </w:pPr>
      <w:r>
        <w:rPr>
          <w:rFonts w:hint="eastAsia" w:cs="黑体" w:asciiTheme="minorEastAsia" w:hAnsiTheme="minorEastAsia"/>
          <w:b w:val="0"/>
          <w:bCs w:val="0"/>
          <w:color w:val="000000"/>
          <w:sz w:val="24"/>
          <w:szCs w:val="24"/>
          <w:shd w:val="clear" w:color="auto" w:fill="FFFFFF"/>
          <w:lang w:eastAsia="zh-CN"/>
        </w:rPr>
        <w:t>满足非洲猪瘟等重大动物疫病监测工作需求。</w:t>
      </w:r>
    </w:p>
    <w:p>
      <w:pPr>
        <w:widowControl/>
        <w:numPr>
          <w:ilvl w:val="0"/>
          <w:numId w:val="5"/>
        </w:numPr>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rPr>
        <w:t>采购清单</w:t>
      </w:r>
      <w:r>
        <w:rPr>
          <w:rFonts w:hint="eastAsia" w:cs="黑体" w:asciiTheme="minorEastAsia" w:hAnsiTheme="minorEastAsia"/>
          <w:b/>
          <w:bCs/>
          <w:color w:val="000000"/>
          <w:sz w:val="24"/>
          <w:szCs w:val="24"/>
          <w:shd w:val="clear" w:color="auto" w:fill="FFFFFF"/>
          <w:lang w:eastAsia="zh-CN"/>
        </w:rPr>
        <w:t>：</w:t>
      </w:r>
    </w:p>
    <w:tbl>
      <w:tblPr>
        <w:tblStyle w:val="25"/>
        <w:tblpPr w:leftFromText="180" w:rightFromText="180" w:vertAnchor="text" w:horzAnchor="page" w:tblpX="1409" w:tblpY="73"/>
        <w:tblOverlap w:val="never"/>
        <w:tblW w:w="9450" w:type="dxa"/>
        <w:tblInd w:w="0" w:type="dxa"/>
        <w:tblLayout w:type="fixed"/>
        <w:tblCellMar>
          <w:top w:w="0" w:type="dxa"/>
          <w:left w:w="0" w:type="dxa"/>
          <w:bottom w:w="0" w:type="dxa"/>
          <w:right w:w="0" w:type="dxa"/>
        </w:tblCellMar>
      </w:tblPr>
      <w:tblGrid>
        <w:gridCol w:w="525"/>
        <w:gridCol w:w="1192"/>
        <w:gridCol w:w="4649"/>
        <w:gridCol w:w="1929"/>
        <w:gridCol w:w="555"/>
        <w:gridCol w:w="600"/>
      </w:tblGrid>
      <w:tr>
        <w:tblPrEx>
          <w:tblCellMar>
            <w:top w:w="0" w:type="dxa"/>
            <w:left w:w="0" w:type="dxa"/>
            <w:bottom w:w="0" w:type="dxa"/>
            <w:right w:w="0" w:type="dxa"/>
          </w:tblCellMar>
        </w:tblPrEx>
        <w:trPr>
          <w:trHeight w:val="794"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序</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号</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产品名称</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cs="宋体"/>
                <w:b/>
                <w:bCs/>
                <w:i w:val="0"/>
                <w:color w:val="000000"/>
                <w:kern w:val="0"/>
                <w:sz w:val="24"/>
                <w:szCs w:val="24"/>
                <w:u w:val="none"/>
                <w:lang w:val="en-US" w:eastAsia="zh-CN" w:bidi="ar"/>
              </w:rPr>
              <w:t>技术参数</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规格型号</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数</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量</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单</w:t>
            </w:r>
          </w:p>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位</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实时荧光</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定量PCR仪</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具备</w:t>
            </w:r>
            <w:r>
              <w:rPr>
                <w:rFonts w:hint="eastAsia" w:ascii="宋体" w:hAnsi="宋体" w:eastAsia="宋体" w:cs="宋体"/>
                <w:i w:val="0"/>
                <w:color w:val="000000"/>
                <w:kern w:val="0"/>
                <w:sz w:val="21"/>
                <w:szCs w:val="21"/>
                <w:u w:val="none"/>
                <w:lang w:val="en-US" w:eastAsia="zh-CN" w:bidi="ar"/>
              </w:rPr>
              <w:t>医疗器械产品注册证；</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通过</w:t>
            </w:r>
            <w:r>
              <w:rPr>
                <w:rFonts w:hint="eastAsia" w:ascii="宋体" w:hAnsi="宋体" w:eastAsia="宋体" w:cs="宋体"/>
                <w:i w:val="0"/>
                <w:color w:val="000000"/>
                <w:kern w:val="0"/>
                <w:sz w:val="21"/>
                <w:szCs w:val="21"/>
                <w:u w:val="none"/>
                <w:lang w:val="en-US" w:eastAsia="zh-CN" w:bidi="ar"/>
              </w:rPr>
              <w:t>CFDA、CE</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TUV ISO13485:2016注册认证</w:t>
            </w:r>
            <w:r>
              <w:rPr>
                <w:rFonts w:hint="eastAsia" w:ascii="宋体" w:hAnsi="宋体" w:cs="宋体"/>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激发光源（</w:t>
            </w:r>
            <w:r>
              <w:rPr>
                <w:rFonts w:hint="eastAsia" w:ascii="宋体" w:hAnsi="宋体" w:eastAsia="宋体" w:cs="宋体"/>
                <w:i w:val="0"/>
                <w:color w:val="000000"/>
                <w:kern w:val="0"/>
                <w:sz w:val="21"/>
                <w:szCs w:val="21"/>
                <w:u w:val="none"/>
                <w:lang w:val="en-US" w:eastAsia="zh-CN" w:bidi="ar"/>
              </w:rPr>
              <w:t>大功率LED光源</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冷光源</w:t>
            </w:r>
            <w:r>
              <w:rPr>
                <w:rFonts w:hint="eastAsia" w:ascii="宋体" w:hAnsi="宋体" w:cs="宋体"/>
                <w:i w:val="0"/>
                <w:color w:val="000000"/>
                <w:kern w:val="0"/>
                <w:sz w:val="21"/>
                <w:szCs w:val="21"/>
                <w:u w:val="none"/>
                <w:lang w:val="en-US" w:eastAsia="zh-CN" w:bidi="ar"/>
              </w:rPr>
              <w:t>）、检测器（</w:t>
            </w:r>
            <w:r>
              <w:rPr>
                <w:rFonts w:hint="eastAsia" w:ascii="宋体" w:hAnsi="宋体" w:eastAsia="宋体" w:cs="宋体"/>
                <w:i w:val="0"/>
                <w:color w:val="000000"/>
                <w:kern w:val="0"/>
                <w:sz w:val="21"/>
                <w:szCs w:val="21"/>
                <w:u w:val="none"/>
                <w:lang w:val="en-US" w:eastAsia="zh-CN" w:bidi="ar"/>
              </w:rPr>
              <w:t>高灵敏度光电传感器</w:t>
            </w:r>
            <w:r>
              <w:rPr>
                <w:rFonts w:hint="eastAsia" w:ascii="宋体" w:hAnsi="宋体" w:cs="宋体"/>
                <w:i w:val="0"/>
                <w:color w:val="000000"/>
                <w:kern w:val="0"/>
                <w:sz w:val="21"/>
                <w:szCs w:val="21"/>
                <w:u w:val="none"/>
                <w:lang w:val="en-US" w:eastAsia="zh-CN" w:bidi="ar"/>
              </w:rPr>
              <w:t>）、温控精度（</w:t>
            </w:r>
            <w:r>
              <w:rPr>
                <w:rFonts w:hint="eastAsia" w:ascii="宋体" w:hAnsi="宋体" w:eastAsia="宋体" w:cs="宋体"/>
                <w:i w:val="0"/>
                <w:color w:val="000000"/>
                <w:kern w:val="0"/>
                <w:sz w:val="21"/>
                <w:szCs w:val="21"/>
                <w:u w:val="none"/>
                <w:lang w:val="en-US" w:eastAsia="zh-CN" w:bidi="ar"/>
              </w:rPr>
              <w:t>±0.1℃</w:t>
            </w:r>
            <w:r>
              <w:rPr>
                <w:rFonts w:hint="eastAsia" w:ascii="宋体" w:hAnsi="宋体" w:cs="宋体"/>
                <w:i w:val="0"/>
                <w:color w:val="000000"/>
                <w:kern w:val="0"/>
                <w:sz w:val="21"/>
                <w:szCs w:val="21"/>
                <w:u w:val="none"/>
                <w:lang w:val="en-US" w:eastAsia="zh-CN" w:bidi="ar"/>
              </w:rPr>
              <w:t>）等</w:t>
            </w:r>
            <w:r>
              <w:rPr>
                <w:rFonts w:hint="eastAsia" w:ascii="宋体" w:hAnsi="宋体" w:eastAsia="宋体" w:cs="宋体"/>
                <w:i w:val="0"/>
                <w:color w:val="000000"/>
                <w:kern w:val="0"/>
                <w:sz w:val="21"/>
                <w:szCs w:val="21"/>
                <w:u w:val="none"/>
                <w:lang w:val="en-US" w:eastAsia="zh-CN" w:bidi="ar"/>
              </w:rPr>
              <w:t>重要技术指标必须出具制造商公开发布的彩页验证。</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四通道96T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核酸提取仪</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8"/>
              <w:keepLines w:val="0"/>
              <w:pageBreakBefore w:val="0"/>
              <w:kinsoku/>
              <w:wordWrap/>
              <w:overflowPunct/>
              <w:topLinePunct w:val="0"/>
              <w:bidi w:val="0"/>
              <w:snapToGrid/>
              <w:spacing w:line="240" w:lineRule="auto"/>
              <w:rPr>
                <w:rFonts w:hint="eastAsia"/>
                <w:sz w:val="21"/>
                <w:szCs w:val="21"/>
              </w:rPr>
            </w:pPr>
            <w:r>
              <w:rPr>
                <w:rFonts w:hint="eastAsia" w:ascii="宋体" w:hAnsi="宋体" w:eastAsia="宋体" w:cs="宋体"/>
                <w:i w:val="0"/>
                <w:color w:val="000000"/>
                <w:kern w:val="0"/>
                <w:sz w:val="21"/>
                <w:szCs w:val="21"/>
                <w:u w:val="none"/>
                <w:lang w:val="en-US" w:eastAsia="zh-CN" w:bidi="ar"/>
              </w:rPr>
              <w:t>通过中国CFDA认证和欧盟CE认证（安规和电磁兼容认证）</w:t>
            </w:r>
            <w:r>
              <w:rPr>
                <w:rFonts w:hint="eastAsia" w:hAnsi="宋体" w:cs="宋体"/>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具有第一类医疗器械生产备案凭证；</w:t>
            </w:r>
          </w:p>
          <w:p>
            <w:pPr>
              <w:pStyle w:val="48"/>
              <w:keepLines w:val="0"/>
              <w:pageBreakBefore w:val="0"/>
              <w:kinsoku/>
              <w:wordWrap/>
              <w:overflowPunct/>
              <w:topLinePunct w:val="0"/>
              <w:bidi w:val="0"/>
              <w:snapToGrid/>
              <w:spacing w:line="240" w:lineRule="auto"/>
              <w:rPr>
                <w:rFonts w:hint="eastAsia" w:eastAsia="宋体"/>
                <w:sz w:val="21"/>
                <w:szCs w:val="21"/>
                <w:lang w:val="en-US" w:eastAsia="zh-CN"/>
              </w:rPr>
            </w:pPr>
            <w:r>
              <w:rPr>
                <w:rFonts w:hint="eastAsia" w:ascii="宋体" w:hAnsi="宋体" w:cs="宋体"/>
                <w:i w:val="0"/>
                <w:color w:val="000000"/>
                <w:kern w:val="0"/>
                <w:sz w:val="21"/>
                <w:szCs w:val="21"/>
                <w:u w:val="none"/>
                <w:lang w:val="en-US" w:eastAsia="zh-CN" w:bidi="ar"/>
              </w:rPr>
              <w:t>配套同一品牌的预封装试剂盒具有第一类体外诊断试剂备案凭证</w:t>
            </w:r>
            <w:r>
              <w:rPr>
                <w:rFonts w:hint="eastAsia" w:hAnsi="宋体" w:cs="宋体"/>
                <w:i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bidi w:val="0"/>
              <w:snapToGrid/>
              <w:spacing w:line="240" w:lineRule="auto"/>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加热温度（具备</w:t>
            </w:r>
            <w:r>
              <w:rPr>
                <w:rFonts w:hint="eastAsia" w:ascii="宋体" w:hAnsi="宋体" w:eastAsia="宋体" w:cs="宋体"/>
                <w:i w:val="0"/>
                <w:color w:val="000000"/>
                <w:kern w:val="0"/>
                <w:sz w:val="21"/>
                <w:szCs w:val="21"/>
                <w:u w:val="none"/>
                <w:lang w:val="en-US" w:eastAsia="zh-CN" w:bidi="ar"/>
              </w:rPr>
              <w:t>8个独立加热模块温度</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传感器精度可达±0.1℃</w:t>
            </w:r>
            <w:r>
              <w:rPr>
                <w:rFonts w:hint="eastAsia" w:ascii="宋体" w:hAnsi="宋体" w:cs="宋体"/>
                <w:i w:val="0"/>
                <w:color w:val="000000"/>
                <w:kern w:val="0"/>
                <w:sz w:val="21"/>
                <w:szCs w:val="21"/>
                <w:u w:val="none"/>
                <w:lang w:val="en-US" w:eastAsia="zh-CN" w:bidi="ar"/>
              </w:rPr>
              <w:t>）、程序管理、安全门设计等</w:t>
            </w:r>
            <w:r>
              <w:rPr>
                <w:rFonts w:hint="eastAsia"/>
                <w:sz w:val="21"/>
                <w:szCs w:val="21"/>
                <w:lang w:val="en-US" w:eastAsia="zh-CN"/>
              </w:rPr>
              <w:t>重要技术指标必须出具制造商公开发布的彩页、官方网站产品技术介绍截图验证。</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组织研磨仪</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lang w:eastAsia="zh-CN"/>
              </w:rPr>
            </w:pPr>
            <w:r>
              <w:rPr>
                <w:rFonts w:hint="eastAsia"/>
                <w:lang w:eastAsia="zh-CN"/>
              </w:rPr>
              <w:t>具有电子锁装置；</w:t>
            </w:r>
          </w:p>
          <w:p>
            <w:pPr>
              <w:keepNext w:val="0"/>
              <w:keepLines w:val="0"/>
              <w:widowControl/>
              <w:suppressLineNumbers w:val="0"/>
              <w:jc w:val="left"/>
              <w:textAlignment w:val="center"/>
              <w:rPr>
                <w:rFonts w:hint="eastAsia"/>
                <w:lang w:eastAsia="zh-CN"/>
              </w:rPr>
            </w:pPr>
            <w:r>
              <w:rPr>
                <w:rFonts w:hint="eastAsia"/>
              </w:rPr>
              <w:t>仪器外壳采用金属板金表面防锈处理</w:t>
            </w:r>
            <w:r>
              <w:rPr>
                <w:rFonts w:hint="eastAsia"/>
                <w:lang w:eastAsia="zh-CN"/>
              </w:rPr>
              <w:t>，</w:t>
            </w:r>
            <w:r>
              <w:rPr>
                <w:rFonts w:hint="eastAsia"/>
              </w:rPr>
              <w:t>样品架震荡腔体采用304不锈钢拉伸成型无缝方槽</w:t>
            </w:r>
            <w:r>
              <w:rPr>
                <w:rFonts w:hint="eastAsia"/>
                <w:lang w:eastAsia="zh-CN"/>
              </w:rPr>
              <w:t>；</w:t>
            </w:r>
          </w:p>
          <w:p>
            <w:pPr>
              <w:keepNext w:val="0"/>
              <w:keepLines w:val="0"/>
              <w:widowControl/>
              <w:suppressLineNumbers w:val="0"/>
              <w:jc w:val="left"/>
              <w:textAlignment w:val="center"/>
              <w:rPr>
                <w:rFonts w:hint="eastAsia"/>
                <w:lang w:eastAsia="zh-CN"/>
              </w:rPr>
            </w:pPr>
            <w:r>
              <w:rPr>
                <w:rFonts w:hint="eastAsia"/>
              </w:rPr>
              <w:t>内部采用I-shaped运动结构</w:t>
            </w:r>
            <w:r>
              <w:rPr>
                <w:rFonts w:hint="eastAsia"/>
                <w:lang w:eastAsia="zh-CN"/>
              </w:rPr>
              <w:t>；</w:t>
            </w:r>
          </w:p>
          <w:p>
            <w:pPr>
              <w:pStyle w:val="24"/>
              <w:ind w:left="0" w:leftChars="0"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样品适合配器盖带自锁结构</w:t>
            </w:r>
            <w:r>
              <w:rPr>
                <w:rFonts w:hint="eastAsia" w:asciiTheme="minorEastAsia" w:hAnsiTheme="minorEastAsia" w:eastAsiaTheme="minorEastAsia" w:cstheme="minorEastAsia"/>
                <w:sz w:val="21"/>
                <w:szCs w:val="21"/>
                <w:lang w:eastAsia="zh-CN"/>
              </w:rPr>
              <w:t>；</w:t>
            </w:r>
          </w:p>
          <w:p>
            <w:pPr>
              <w:pStyle w:val="24"/>
              <w:ind w:left="0" w:leftChars="0" w:firstLine="0" w:firstLineChars="0"/>
              <w:rPr>
                <w:rFonts w:hint="eastAsia"/>
                <w:lang w:val="en-US" w:eastAsia="zh-CN"/>
              </w:rPr>
            </w:pPr>
            <w:r>
              <w:rPr>
                <w:rFonts w:hint="eastAsia" w:ascii="宋体" w:hAnsi="宋体" w:eastAsia="宋体" w:cs="宋体"/>
                <w:sz w:val="21"/>
                <w:szCs w:val="21"/>
              </w:rPr>
              <w:t>重要技术指标必须出具制造商公开发布的彩页</w:t>
            </w:r>
            <w:r>
              <w:rPr>
                <w:rFonts w:hint="eastAsia" w:ascii="宋体" w:hAnsi="宋体" w:eastAsia="宋体" w:cs="宋体"/>
                <w:sz w:val="21"/>
                <w:szCs w:val="21"/>
                <w:lang w:eastAsia="zh-CN"/>
              </w:rPr>
              <w:t>、</w:t>
            </w:r>
            <w:r>
              <w:rPr>
                <w:rFonts w:hint="eastAsia" w:ascii="宋体" w:hAnsi="宋体" w:eastAsia="宋体" w:cs="宋体"/>
                <w:sz w:val="21"/>
                <w:szCs w:val="21"/>
              </w:rPr>
              <w:t>官方网站产品技术介绍截</w:t>
            </w:r>
            <w:r>
              <w:rPr>
                <w:rFonts w:hint="eastAsia" w:ascii="宋体" w:hAnsi="宋体" w:eastAsia="宋体" w:cs="宋体"/>
                <w:sz w:val="21"/>
                <w:szCs w:val="21"/>
                <w:lang w:eastAsia="zh-CN"/>
              </w:rPr>
              <w:t>图</w:t>
            </w:r>
            <w:r>
              <w:rPr>
                <w:rFonts w:hint="eastAsia" w:ascii="宋体" w:hAnsi="宋体" w:eastAsia="宋体" w:cs="宋体"/>
                <w:sz w:val="21"/>
                <w:szCs w:val="21"/>
              </w:rPr>
              <w:t>验证。</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64T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532"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单道移液器</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卓越人体工程学设计，重量轻；</w:t>
            </w:r>
          </w:p>
          <w:p>
            <w:pPr>
              <w:keepNext w:val="0"/>
              <w:keepLines w:val="0"/>
              <w:widowControl/>
              <w:suppressLineNumbers w:val="0"/>
              <w:jc w:val="left"/>
              <w:textAlignment w:val="center"/>
              <w:rPr>
                <w:rFonts w:hint="eastAsia"/>
                <w:lang w:val="en-US" w:eastAsia="zh-CN"/>
              </w:rPr>
            </w:pPr>
            <w:r>
              <w:rPr>
                <w:rFonts w:hint="eastAsia"/>
                <w:lang w:val="en-US" w:eastAsia="zh-CN"/>
              </w:rPr>
              <w:t>伸缩式弹性吸嘴设计，确保吸头装配的气密性和移液均一性 ；</w:t>
            </w:r>
          </w:p>
          <w:p>
            <w:pPr>
              <w:keepNext w:val="0"/>
              <w:keepLines w:val="0"/>
              <w:widowControl/>
              <w:suppressLineNumbers w:val="0"/>
              <w:jc w:val="left"/>
              <w:textAlignment w:val="center"/>
              <w:rPr>
                <w:rFonts w:hint="eastAsia"/>
                <w:lang w:val="en-US" w:eastAsia="zh-CN"/>
              </w:rPr>
            </w:pPr>
            <w:r>
              <w:rPr>
                <w:rFonts w:hint="eastAsia"/>
                <w:lang w:val="en-US" w:eastAsia="zh-CN"/>
              </w:rPr>
              <w:t>独有密度调节窗口，适用于甘油、氯化铯等不同密度的液体；</w:t>
            </w:r>
          </w:p>
          <w:p>
            <w:pPr>
              <w:keepNext w:val="0"/>
              <w:keepLines w:val="0"/>
              <w:widowControl/>
              <w:suppressLineNumbers w:val="0"/>
              <w:jc w:val="left"/>
              <w:textAlignment w:val="center"/>
              <w:rPr>
                <w:rFonts w:hint="eastAsia"/>
                <w:lang w:val="en-US" w:eastAsia="zh-CN"/>
              </w:rPr>
            </w:pPr>
            <w:r>
              <w:rPr>
                <w:rFonts w:hint="eastAsia"/>
                <w:lang w:val="en-US" w:eastAsia="zh-CN"/>
              </w:rPr>
              <w:t>四位数字放大体积显示，位置合理，便于移液时观察；</w:t>
            </w:r>
          </w:p>
          <w:p>
            <w:pPr>
              <w:pStyle w:val="48"/>
              <w:keepNext w:val="0"/>
              <w:keepLines w:val="0"/>
              <w:pageBreakBefore w:val="0"/>
              <w:kinsoku/>
              <w:wordWrap/>
              <w:overflowPunct/>
              <w:topLinePunct w:val="0"/>
              <w:bidi w:val="0"/>
              <w:snapToGrid/>
              <w:spacing w:line="240" w:lineRule="auto"/>
              <w:rPr>
                <w:rFonts w:hint="eastAsia"/>
                <w:lang w:val="en-US" w:eastAsia="zh-CN"/>
              </w:rPr>
            </w:pPr>
            <w:r>
              <w:rPr>
                <w:rFonts w:hint="eastAsia"/>
                <w:sz w:val="21"/>
                <w:szCs w:val="21"/>
                <w:lang w:val="en-US" w:eastAsia="zh-CN"/>
              </w:rPr>
              <w:t>采用高科技材质，坚固耐用，耐高温抗腐蚀。</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color w:val="auto"/>
                <w:sz w:val="21"/>
                <w:lang w:val="en-US" w:eastAsia="zh-CN"/>
              </w:rPr>
            </w:pPr>
            <w:r>
              <w:rPr>
                <w:color w:val="auto"/>
                <w:sz w:val="21"/>
              </w:rPr>
              <w:t>0.5-10</w:t>
            </w:r>
            <w:r>
              <w:rPr>
                <w:rFonts w:hint="eastAsia"/>
                <w:color w:val="auto"/>
                <w:sz w:val="21"/>
                <w:lang w:val="en-US" w:eastAsia="zh-CN"/>
              </w:rPr>
              <w:t>ul、2</w:t>
            </w:r>
            <w:r>
              <w:rPr>
                <w:color w:val="auto"/>
                <w:sz w:val="21"/>
              </w:rPr>
              <w:t>-</w:t>
            </w:r>
            <w:r>
              <w:rPr>
                <w:rFonts w:hint="eastAsia"/>
                <w:color w:val="auto"/>
                <w:sz w:val="21"/>
                <w:lang w:val="en-US" w:eastAsia="zh-CN"/>
              </w:rPr>
              <w:t>20ul、</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color w:val="auto"/>
                <w:sz w:val="21"/>
                <w:lang w:val="en-US" w:eastAsia="zh-CN"/>
              </w:rPr>
              <w:t>10-100ul、</w:t>
            </w:r>
            <w:r>
              <w:rPr>
                <w:color w:val="auto"/>
                <w:sz w:val="21"/>
              </w:rPr>
              <w:t>100-1000ul</w:t>
            </w:r>
            <w:r>
              <w:rPr>
                <w:rFonts w:hint="eastAsia" w:ascii="宋体" w:hAnsi="宋体" w:eastAsia="宋体" w:cs="宋体"/>
                <w:i w:val="0"/>
                <w:color w:val="000000"/>
                <w:kern w:val="0"/>
                <w:sz w:val="21"/>
                <w:szCs w:val="21"/>
                <w:u w:val="none"/>
                <w:lang w:val="en-US" w:eastAsia="zh-CN" w:bidi="ar"/>
              </w:rPr>
              <w:t>进口</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套</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8道移液器</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8"/>
              <w:keepNext w:val="0"/>
              <w:keepLines w:val="0"/>
              <w:pageBreakBefore w:val="0"/>
              <w:kinsoku/>
              <w:wordWrap/>
              <w:overflowPunct/>
              <w:topLinePunct w:val="0"/>
              <w:bidi w:val="0"/>
              <w:snapToGrid/>
              <w:spacing w:line="240" w:lineRule="auto"/>
              <w:jc w:val="left"/>
              <w:rPr>
                <w:rFonts w:hint="eastAsia"/>
                <w:sz w:val="21"/>
                <w:szCs w:val="21"/>
                <w:lang w:val="en-US" w:eastAsia="zh-CN"/>
              </w:rPr>
            </w:pPr>
            <w:r>
              <w:rPr>
                <w:rFonts w:hint="eastAsia"/>
                <w:sz w:val="21"/>
                <w:szCs w:val="21"/>
                <w:lang w:val="en-US" w:eastAsia="zh-CN"/>
              </w:rPr>
              <w:t>卓越人体工程学设计，重量轻；</w:t>
            </w:r>
          </w:p>
          <w:p>
            <w:pPr>
              <w:pStyle w:val="48"/>
              <w:keepNext w:val="0"/>
              <w:keepLines w:val="0"/>
              <w:pageBreakBefore w:val="0"/>
              <w:kinsoku/>
              <w:wordWrap/>
              <w:overflowPunct/>
              <w:topLinePunct w:val="0"/>
              <w:bidi w:val="0"/>
              <w:snapToGrid/>
              <w:spacing w:line="240" w:lineRule="auto"/>
              <w:jc w:val="left"/>
              <w:rPr>
                <w:rFonts w:hint="eastAsia"/>
                <w:sz w:val="21"/>
                <w:szCs w:val="21"/>
                <w:lang w:val="en-US" w:eastAsia="zh-CN"/>
              </w:rPr>
            </w:pPr>
            <w:r>
              <w:rPr>
                <w:rFonts w:hint="eastAsia"/>
                <w:sz w:val="21"/>
                <w:szCs w:val="21"/>
                <w:lang w:val="en-US" w:eastAsia="zh-CN"/>
              </w:rPr>
              <w:t>伸缩式弹性吸嘴设计，确保吸头装配的气密性和移液均一性 ；</w:t>
            </w:r>
          </w:p>
          <w:p>
            <w:pPr>
              <w:keepNext w:val="0"/>
              <w:keepLines w:val="0"/>
              <w:widowControl/>
              <w:suppressLineNumbers w:val="0"/>
              <w:jc w:val="left"/>
              <w:textAlignment w:val="center"/>
              <w:rPr>
                <w:rFonts w:hint="eastAsia"/>
                <w:sz w:val="21"/>
                <w:szCs w:val="21"/>
                <w:lang w:val="en-US" w:eastAsia="zh-CN"/>
              </w:rPr>
            </w:pPr>
            <w:r>
              <w:rPr>
                <w:rFonts w:hint="eastAsia"/>
                <w:sz w:val="21"/>
                <w:szCs w:val="21"/>
                <w:lang w:val="en-US" w:eastAsia="zh-CN"/>
              </w:rPr>
              <w:t>独有密度调节窗口，适用于甘油、氯化铯等不同密度的液体；</w:t>
            </w:r>
          </w:p>
          <w:p>
            <w:pPr>
              <w:pStyle w:val="48"/>
              <w:keepNext w:val="0"/>
              <w:keepLines w:val="0"/>
              <w:pageBreakBefore w:val="0"/>
              <w:kinsoku/>
              <w:wordWrap/>
              <w:overflowPunct/>
              <w:topLinePunct w:val="0"/>
              <w:bidi w:val="0"/>
              <w:snapToGrid/>
              <w:spacing w:line="240" w:lineRule="auto"/>
              <w:rPr>
                <w:rFonts w:hint="eastAsia"/>
                <w:sz w:val="21"/>
                <w:szCs w:val="21"/>
                <w:lang w:val="en-US" w:eastAsia="zh-CN"/>
              </w:rPr>
            </w:pPr>
            <w:r>
              <w:rPr>
                <w:rFonts w:hint="eastAsia"/>
                <w:sz w:val="21"/>
                <w:szCs w:val="21"/>
                <w:lang w:val="en-US" w:eastAsia="zh-CN"/>
              </w:rPr>
              <w:t>四位数字放大体积显示，位置合理，便于移液时观察；</w:t>
            </w:r>
          </w:p>
          <w:p>
            <w:pPr>
              <w:pStyle w:val="48"/>
              <w:keepNext w:val="0"/>
              <w:keepLines w:val="0"/>
              <w:pageBreakBefore w:val="0"/>
              <w:kinsoku/>
              <w:wordWrap/>
              <w:overflowPunct/>
              <w:topLinePunct w:val="0"/>
              <w:bidi w:val="0"/>
              <w:snapToGrid/>
              <w:spacing w:line="240" w:lineRule="auto"/>
              <w:rPr>
                <w:rFonts w:hint="eastAsia" w:ascii="宋体" w:hAnsi="宋体" w:eastAsia="宋体" w:cs="宋体"/>
                <w:i w:val="0"/>
                <w:color w:val="000000"/>
                <w:kern w:val="0"/>
                <w:sz w:val="21"/>
                <w:szCs w:val="21"/>
                <w:u w:val="none"/>
                <w:lang w:val="en-US" w:eastAsia="zh-CN" w:bidi="ar"/>
              </w:rPr>
            </w:pPr>
            <w:r>
              <w:rPr>
                <w:rFonts w:hint="eastAsia"/>
                <w:sz w:val="21"/>
                <w:szCs w:val="21"/>
                <w:lang w:val="en-US" w:eastAsia="zh-CN"/>
              </w:rPr>
              <w:t>采用高科技材质，坚固耐用，耐高温抗腐蚀。</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0.5-10ul、10-100ul进口</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把</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台式高速</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冷冻离心机</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hint="eastAsia"/>
              </w:rPr>
              <w:t>最高转速：15000rpm</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r>
              <w:rPr>
                <w:rFonts w:hint="eastAsia"/>
              </w:rPr>
              <w:t>1.2最大离心力（rcf）：21380×g</w:t>
            </w:r>
            <w:r>
              <w:rPr>
                <w:rFonts w:hint="eastAsia"/>
                <w:lang w:eastAsia="zh-CN"/>
              </w:rPr>
              <w:t>；</w:t>
            </w:r>
          </w:p>
          <w:p>
            <w:pPr>
              <w:keepNext w:val="0"/>
              <w:keepLines w:val="0"/>
              <w:widowControl/>
              <w:suppressLineNumbers w:val="0"/>
              <w:jc w:val="both"/>
              <w:textAlignment w:val="center"/>
              <w:rPr>
                <w:rFonts w:hint="eastAsia"/>
                <w:lang w:eastAsia="zh-CN"/>
              </w:rPr>
            </w:pPr>
            <w:r>
              <w:rPr>
                <w:rFonts w:hint="eastAsia"/>
              </w:rPr>
              <w:t>温度控制范围：-20℃~40℃</w:t>
            </w:r>
            <w:r>
              <w:rPr>
                <w:rFonts w:hint="eastAsia"/>
                <w:lang w:eastAsia="zh-CN"/>
              </w:rPr>
              <w:t>；</w:t>
            </w:r>
          </w:p>
          <w:p>
            <w:pPr>
              <w:keepNext w:val="0"/>
              <w:keepLines w:val="0"/>
              <w:widowControl/>
              <w:suppressLineNumbers w:val="0"/>
              <w:jc w:val="both"/>
              <w:textAlignment w:val="center"/>
              <w:rPr>
                <w:rFonts w:hint="eastAsia"/>
                <w:lang w:eastAsia="zh-CN"/>
              </w:rPr>
            </w:pPr>
            <w:r>
              <w:rPr>
                <w:rFonts w:hint="eastAsia"/>
              </w:rPr>
              <w:t>最大加速时间：25s</w:t>
            </w:r>
            <w:r>
              <w:rPr>
                <w:rFonts w:hint="eastAsia"/>
                <w:lang w:eastAsia="zh-CN"/>
              </w:rPr>
              <w:t>；</w:t>
            </w:r>
          </w:p>
          <w:p>
            <w:pPr>
              <w:keepNext w:val="0"/>
              <w:keepLines w:val="0"/>
              <w:pageBreakBefore w:val="0"/>
              <w:widowControl w:val="0"/>
              <w:kinsoku/>
              <w:wordWrap/>
              <w:overflowPunct/>
              <w:topLinePunct w:val="0"/>
              <w:bidi w:val="0"/>
              <w:snapToGrid/>
              <w:spacing w:line="240" w:lineRule="auto"/>
              <w:jc w:val="left"/>
              <w:textAlignment w:val="auto"/>
              <w:rPr>
                <w:rFonts w:hint="eastAsia" w:ascii="宋体" w:hAnsi="宋体" w:cs="宋体"/>
                <w:szCs w:val="21"/>
                <w:lang w:eastAsia="zh-CN"/>
              </w:rPr>
            </w:pPr>
            <w:r>
              <w:rPr>
                <w:rFonts w:hint="eastAsia" w:ascii="宋体" w:hAnsi="宋体" w:cs="宋体"/>
                <w:sz w:val="21"/>
                <w:szCs w:val="21"/>
                <w:lang w:val="en-US" w:eastAsia="zh-CN"/>
              </w:rPr>
              <w:t>通过</w:t>
            </w:r>
            <w:r>
              <w:rPr>
                <w:rFonts w:hint="eastAsia" w:ascii="宋体" w:hAnsi="宋体" w:eastAsia="宋体" w:cs="宋体"/>
                <w:sz w:val="21"/>
                <w:szCs w:val="21"/>
                <w:lang w:val="en-US" w:eastAsia="zh-CN"/>
              </w:rPr>
              <w:t>CE认证</w:t>
            </w:r>
            <w:r>
              <w:rPr>
                <w:rFonts w:hint="eastAsia" w:ascii="宋体" w:hAnsi="宋体" w:cs="宋体"/>
                <w:sz w:val="21"/>
                <w:szCs w:val="21"/>
                <w:lang w:val="en-US" w:eastAsia="zh-CN"/>
              </w:rPr>
              <w:t>，</w:t>
            </w:r>
            <w:r>
              <w:rPr>
                <w:rFonts w:hint="eastAsia" w:ascii="宋体" w:hAnsi="宋体" w:eastAsia="宋体" w:cs="宋体"/>
                <w:szCs w:val="21"/>
              </w:rPr>
              <w:t>cTUVus和FCC国际安全产品认证</w:t>
            </w:r>
            <w:r>
              <w:rPr>
                <w:rFonts w:hint="eastAsia" w:ascii="宋体" w:hAnsi="宋体" w:cs="宋体"/>
                <w:szCs w:val="21"/>
                <w:lang w:eastAsia="zh-CN"/>
              </w:rPr>
              <w:t>；</w:t>
            </w:r>
          </w:p>
          <w:p>
            <w:pPr>
              <w:keepNext w:val="0"/>
              <w:keepLines w:val="0"/>
              <w:pageBreakBefore w:val="0"/>
              <w:widowControl w:val="0"/>
              <w:kinsoku/>
              <w:wordWrap/>
              <w:overflowPunct/>
              <w:topLinePunct w:val="0"/>
              <w:bidi w:val="0"/>
              <w:snapToGrid/>
              <w:spacing w:line="240" w:lineRule="auto"/>
              <w:jc w:val="left"/>
              <w:textAlignment w:val="auto"/>
              <w:rPr>
                <w:rFonts w:hint="eastAsia"/>
                <w:lang w:val="en-US" w:eastAsia="zh-CN"/>
              </w:rPr>
            </w:pPr>
            <w:r>
              <w:rPr>
                <w:rFonts w:hint="eastAsia" w:ascii="宋体" w:hAnsi="宋体" w:cs="宋体"/>
                <w:szCs w:val="21"/>
                <w:lang w:eastAsia="zh-CN"/>
              </w:rPr>
              <w:t>通过</w:t>
            </w:r>
            <w:r>
              <w:rPr>
                <w:rFonts w:hint="eastAsia" w:ascii="宋体" w:hAnsi="宋体" w:eastAsia="宋体" w:cs="宋体"/>
                <w:sz w:val="21"/>
                <w:szCs w:val="21"/>
              </w:rPr>
              <w:t>TUV德国莱茵公司</w:t>
            </w:r>
            <w:r>
              <w:rPr>
                <w:rFonts w:hint="eastAsia" w:ascii="宋体" w:hAnsi="宋体" w:cs="宋体"/>
                <w:sz w:val="21"/>
                <w:szCs w:val="21"/>
                <w:lang w:val="en-US" w:eastAsia="zh-CN"/>
              </w:rPr>
              <w:t xml:space="preserve"> </w:t>
            </w:r>
            <w:r>
              <w:rPr>
                <w:rFonts w:hint="eastAsia" w:ascii="宋体" w:hAnsi="宋体" w:eastAsia="宋体" w:cs="宋体"/>
                <w:sz w:val="21"/>
                <w:szCs w:val="21"/>
              </w:rPr>
              <w:t>EN61010-2-20离心机特殊安全标准爆炸测试防爆炸测试和微生物安全测试</w:t>
            </w:r>
            <w:r>
              <w:rPr>
                <w:rFonts w:hint="eastAsia" w:ascii="宋体" w:hAnsi="宋体" w:cs="宋体"/>
                <w:sz w:val="21"/>
                <w:szCs w:val="21"/>
                <w:lang w:eastAsia="zh-CN"/>
              </w:rPr>
              <w:t>。</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rPr>
              <w:t>配置：</w:t>
            </w:r>
            <w:r>
              <w:rPr>
                <w:rFonts w:hint="eastAsia" w:ascii="宋体" w:hAnsi="宋体" w:eastAsia="宋体" w:cs="宋体"/>
                <w:highlight w:val="none"/>
              </w:rPr>
              <w:t>台式高速微量冷冻</w:t>
            </w:r>
          </w:p>
          <w:p>
            <w:pPr>
              <w:keepNext w:val="0"/>
              <w:keepLines w:val="0"/>
              <w:widowControl/>
              <w:suppressLineNumbers w:val="0"/>
              <w:jc w:val="left"/>
              <w:textAlignment w:val="center"/>
              <w:rPr>
                <w:rFonts w:hint="eastAsia" w:ascii="宋体" w:hAnsi="宋体" w:eastAsia="宋体" w:cs="宋体"/>
                <w:highlight w:val="none"/>
              </w:rPr>
            </w:pPr>
            <w:r>
              <w:rPr>
                <w:rFonts w:hint="eastAsia" w:ascii="宋体" w:hAnsi="宋体" w:eastAsia="宋体" w:cs="宋体"/>
                <w:highlight w:val="none"/>
              </w:rPr>
              <w:t>离心机主机1台</w:t>
            </w:r>
            <w:r>
              <w:rPr>
                <w:rFonts w:hint="eastAsia" w:ascii="宋体" w:hAnsi="宋体" w:eastAsia="宋体" w:cs="宋体"/>
                <w:highlight w:val="none"/>
                <w:lang w:eastAsia="zh-CN"/>
              </w:rPr>
              <w:t>、</w:t>
            </w:r>
            <w:r>
              <w:rPr>
                <w:rFonts w:hint="eastAsia" w:ascii="宋体" w:hAnsi="宋体" w:eastAsia="宋体" w:cs="宋体"/>
                <w:highlight w:val="none"/>
              </w:rPr>
              <w:t xml:space="preserve">0.2ml/0.5ml/1.5ml/ </w:t>
            </w:r>
          </w:p>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highlight w:val="none"/>
              </w:rPr>
              <w:t>2ml×24</w:t>
            </w:r>
            <w:r>
              <w:rPr>
                <w:rFonts w:hint="eastAsia" w:ascii="宋体" w:hAnsi="宋体" w:eastAsia="宋体" w:cs="宋体"/>
                <w:highlight w:val="none"/>
                <w:lang w:eastAsia="zh-CN"/>
              </w:rPr>
              <w:t>铝合金转子一套</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瞬时离心机</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计时设置范围：1sec-999min；</w:t>
            </w:r>
          </w:p>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转速（rpm)： 可调1000-12000；</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lang w:eastAsia="zh-CN"/>
              </w:rPr>
              <w:t>转子：</w:t>
            </w:r>
            <w:r>
              <w:rPr>
                <w:rFonts w:hint="eastAsia" w:ascii="宋体" w:hAnsi="宋体" w:eastAsia="宋体" w:cs="宋体"/>
                <w:sz w:val="21"/>
                <w:szCs w:val="21"/>
                <w:lang w:val="en-US" w:eastAsia="zh-CN"/>
              </w:rPr>
              <w:t>12*1.5ml/2ml  4*PCR排管（8*0.2ml）</w:t>
            </w:r>
            <w:r>
              <w:rPr>
                <w:rFonts w:hint="eastAsia" w:ascii="宋体" w:hAnsi="宋体" w:cs="宋体"/>
                <w:sz w:val="21"/>
                <w:szCs w:val="21"/>
                <w:lang w:val="en-US" w:eastAsia="zh-CN"/>
              </w:rPr>
              <w:t>。</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瞬时离心</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超低温冰柜</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jc w:val="both"/>
              <w:outlineLvl w:val="9"/>
              <w:rPr>
                <w:rFonts w:hint="eastAsia" w:ascii="宋体" w:hAnsi="宋体" w:eastAsia="宋体" w:cs="宋体"/>
                <w:color w:val="auto"/>
                <w:sz w:val="21"/>
                <w:szCs w:val="21"/>
              </w:rPr>
            </w:pPr>
            <w:r>
              <w:rPr>
                <w:rFonts w:hint="eastAsia" w:ascii="宋体" w:hAnsi="宋体" w:eastAsia="宋体" w:cs="宋体"/>
                <w:color w:val="auto"/>
                <w:sz w:val="21"/>
                <w:szCs w:val="21"/>
              </w:rPr>
              <w:t>生产企业具有医疗器械生产企业许证、医疗器械产品注册证；</w:t>
            </w:r>
          </w:p>
          <w:p>
            <w:pPr>
              <w:keepNext w:val="0"/>
              <w:keepLines w:val="0"/>
              <w:pageBreakBefore w:val="0"/>
              <w:kinsoku/>
              <w:wordWrap/>
              <w:overflowPunct/>
              <w:topLinePunct w:val="0"/>
              <w:autoSpaceDE/>
              <w:autoSpaceDN/>
              <w:bidi w:val="0"/>
              <w:spacing w:line="240" w:lineRule="auto"/>
              <w:jc w:val="left"/>
              <w:outlineLvl w:val="9"/>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通过</w:t>
            </w:r>
            <w:r>
              <w:rPr>
                <w:rFonts w:hint="eastAsia" w:ascii="宋体" w:hAnsi="宋体" w:eastAsia="宋体" w:cs="宋体"/>
                <w:color w:val="auto"/>
                <w:sz w:val="21"/>
                <w:szCs w:val="21"/>
              </w:rPr>
              <w:t>ISO9001质量管理体系认证，ISO14001环境管理体系认证，ISO13485医疗器械质量管理体系认证</w:t>
            </w:r>
            <w:r>
              <w:rPr>
                <w:rFonts w:hint="eastAsia" w:ascii="宋体" w:hAnsi="宋体" w:cs="宋体"/>
                <w:color w:val="auto"/>
                <w:sz w:val="21"/>
                <w:szCs w:val="21"/>
                <w:lang w:eastAsia="zh-CN"/>
              </w:rPr>
              <w:t>，</w:t>
            </w:r>
            <w:r>
              <w:rPr>
                <w:rFonts w:hint="eastAsia" w:ascii="宋体" w:hAnsi="宋体" w:eastAsia="宋体" w:cs="宋体"/>
                <w:color w:val="auto"/>
                <w:sz w:val="21"/>
                <w:szCs w:val="21"/>
              </w:rPr>
              <w:t>OHSAS18001职业健康体系认证</w:t>
            </w:r>
            <w:r>
              <w:rPr>
                <w:rFonts w:hint="eastAsia" w:ascii="宋体" w:hAnsi="宋体" w:cs="宋体"/>
                <w:color w:val="auto"/>
                <w:sz w:val="21"/>
                <w:szCs w:val="21"/>
                <w:lang w:eastAsia="zh-CN"/>
              </w:rPr>
              <w:t>；</w:t>
            </w:r>
          </w:p>
          <w:p>
            <w:pPr>
              <w:keepNext w:val="0"/>
              <w:keepLines w:val="0"/>
              <w:pageBreakBefore w:val="0"/>
              <w:kinsoku/>
              <w:wordWrap/>
              <w:overflowPunct/>
              <w:topLinePunct w:val="0"/>
              <w:autoSpaceDE/>
              <w:autoSpaceDN/>
              <w:bidi w:val="0"/>
              <w:spacing w:line="240" w:lineRule="auto"/>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auto"/>
                <w:sz w:val="21"/>
                <w:szCs w:val="21"/>
              </w:rPr>
              <w:t>储存温度</w:t>
            </w:r>
            <w:r>
              <w:rPr>
                <w:rFonts w:hint="eastAsia" w:ascii="宋体" w:hAnsi="宋体" w:cs="宋体"/>
                <w:color w:val="auto"/>
                <w:sz w:val="21"/>
                <w:szCs w:val="21"/>
                <w:lang w:eastAsia="zh-CN"/>
              </w:rPr>
              <w:t>：</w:t>
            </w:r>
            <w:r>
              <w:rPr>
                <w:rFonts w:hint="eastAsia" w:ascii="宋体" w:hAnsi="宋体" w:eastAsia="宋体" w:cs="宋体"/>
                <w:color w:val="auto"/>
                <w:sz w:val="21"/>
                <w:szCs w:val="21"/>
              </w:rPr>
              <w:t>-10～-40℃可调，显示精度0.1℃</w:t>
            </w:r>
            <w:r>
              <w:rPr>
                <w:rFonts w:hint="eastAsia" w:ascii="宋体" w:hAnsi="宋体" w:cs="宋体"/>
                <w:color w:val="auto"/>
                <w:sz w:val="21"/>
                <w:szCs w:val="21"/>
                <w:lang w:eastAsia="zh-CN"/>
              </w:rPr>
              <w:t>；</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温控系统、运行保护等</w:t>
            </w:r>
            <w:r>
              <w:rPr>
                <w:rFonts w:hint="eastAsia" w:ascii="宋体" w:hAnsi="宋体" w:eastAsia="宋体" w:cs="宋体"/>
                <w:color w:val="auto"/>
                <w:sz w:val="21"/>
                <w:szCs w:val="21"/>
              </w:rPr>
              <w:t>重要技术指标必须出具制造商公开发布的彩页</w:t>
            </w:r>
            <w:r>
              <w:rPr>
                <w:rFonts w:hint="eastAsia" w:ascii="宋体" w:hAnsi="宋体" w:eastAsia="宋体" w:cs="宋体"/>
                <w:color w:val="auto"/>
                <w:sz w:val="21"/>
                <w:szCs w:val="21"/>
                <w:lang w:eastAsia="zh-CN"/>
              </w:rPr>
              <w:t>和</w:t>
            </w:r>
            <w:r>
              <w:rPr>
                <w:rFonts w:hint="eastAsia" w:ascii="宋体" w:hAnsi="宋体" w:eastAsia="宋体" w:cs="宋体"/>
                <w:color w:val="auto"/>
                <w:sz w:val="21"/>
                <w:szCs w:val="21"/>
              </w:rPr>
              <w:t>具备CMA资质机构出具的权威检测报告验证</w:t>
            </w:r>
            <w:r>
              <w:rPr>
                <w:rFonts w:hint="eastAsia" w:ascii="宋体" w:hAnsi="宋体" w:cs="宋体"/>
                <w:color w:val="auto"/>
                <w:sz w:val="21"/>
                <w:szCs w:val="21"/>
                <w:lang w:eastAsia="zh-CN"/>
              </w:rPr>
              <w:t>。</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pacing w:line="240" w:lineRule="auto"/>
              <w:ind w:left="1025" w:hanging="1024" w:hangingChars="488"/>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容积: ≥</w:t>
            </w:r>
            <w:r>
              <w:rPr>
                <w:rFonts w:hint="eastAsia" w:ascii="宋体" w:hAnsi="宋体" w:eastAsia="宋体" w:cs="宋体"/>
                <w:color w:val="auto"/>
                <w:sz w:val="21"/>
                <w:szCs w:val="21"/>
                <w:lang w:val="en-US" w:eastAsia="zh-CN"/>
              </w:rPr>
              <w:t>450</w:t>
            </w:r>
            <w:r>
              <w:rPr>
                <w:rFonts w:hint="eastAsia" w:ascii="宋体" w:hAnsi="宋体" w:eastAsia="宋体" w:cs="宋体"/>
                <w:color w:val="auto"/>
                <w:sz w:val="21"/>
                <w:szCs w:val="21"/>
              </w:rPr>
              <w:t>L</w:t>
            </w:r>
            <w:r>
              <w:rPr>
                <w:rFonts w:hint="eastAsia" w:ascii="宋体" w:hAnsi="宋体" w:cs="宋体"/>
                <w:color w:val="auto"/>
                <w:sz w:val="21"/>
                <w:szCs w:val="21"/>
                <w:lang w:eastAsia="zh-CN"/>
              </w:rPr>
              <w:t>；</w:t>
            </w:r>
          </w:p>
          <w:p>
            <w:pPr>
              <w:keepNext w:val="0"/>
              <w:keepLines w:val="0"/>
              <w:pageBreakBefore w:val="0"/>
              <w:kinsoku/>
              <w:wordWrap/>
              <w:overflowPunct/>
              <w:topLinePunct w:val="0"/>
              <w:autoSpaceDE/>
              <w:autoSpaceDN/>
              <w:bidi w:val="0"/>
              <w:spacing w:line="240" w:lineRule="auto"/>
              <w:ind w:left="1025" w:hanging="1024" w:hangingChars="488"/>
              <w:jc w:val="both"/>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外型尺寸（宽*深*高）mm</w:t>
            </w:r>
            <w:r>
              <w:rPr>
                <w:rFonts w:hint="eastAsia" w:ascii="宋体" w:hAnsi="宋体" w:cs="宋体"/>
                <w:color w:val="auto"/>
                <w:sz w:val="21"/>
                <w:szCs w:val="21"/>
                <w:lang w:val="en-US" w:eastAsia="zh-CN"/>
              </w:rPr>
              <w:t>：</w:t>
            </w:r>
          </w:p>
          <w:p>
            <w:pPr>
              <w:keepNext w:val="0"/>
              <w:keepLines w:val="0"/>
              <w:pageBreakBefore w:val="0"/>
              <w:kinsoku/>
              <w:wordWrap/>
              <w:overflowPunct/>
              <w:topLinePunct w:val="0"/>
              <w:autoSpaceDE/>
              <w:autoSpaceDN/>
              <w:bidi w:val="0"/>
              <w:spacing w:line="240" w:lineRule="auto"/>
              <w:jc w:val="left"/>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780×660×1850</w:t>
            </w:r>
            <w:r>
              <w:rPr>
                <w:rFonts w:hint="eastAsia" w:ascii="宋体" w:hAnsi="宋体" w:cs="宋体"/>
                <w:color w:val="auto"/>
                <w:sz w:val="21"/>
                <w:szCs w:val="21"/>
                <w:lang w:val="en-US" w:eastAsia="zh-CN"/>
              </w:rPr>
              <w:t>；</w:t>
            </w:r>
          </w:p>
          <w:p>
            <w:pPr>
              <w:keepNext w:val="0"/>
              <w:keepLines w:val="0"/>
              <w:pageBreakBefore w:val="0"/>
              <w:kinsoku/>
              <w:wordWrap/>
              <w:overflowPunct/>
              <w:topLinePunct w:val="0"/>
              <w:autoSpaceDE/>
              <w:autoSpaceDN/>
              <w:bidi w:val="0"/>
              <w:spacing w:line="240" w:lineRule="auto"/>
              <w:jc w:val="left"/>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内部尺寸（宽*深*高）mm：上下室均为640×515×675</w:t>
            </w:r>
            <w:r>
              <w:rPr>
                <w:rFonts w:hint="eastAsia" w:ascii="宋体" w:hAnsi="宋体" w:cs="宋体"/>
                <w:color w:val="auto"/>
                <w:sz w:val="21"/>
                <w:szCs w:val="21"/>
                <w:lang w:val="en-US" w:eastAsia="zh-CN"/>
              </w:rPr>
              <w:t>；</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涡旋振荡器</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8"/>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转速范围：0-28000rpm</w:t>
            </w:r>
          </w:p>
          <w:p>
            <w:pPr>
              <w:pStyle w:val="48"/>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功率：60W</w:t>
            </w:r>
          </w:p>
          <w:p>
            <w:pPr>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震荡方式：圆周</w:t>
            </w:r>
          </w:p>
          <w:p>
            <w:pPr>
              <w:pStyle w:val="48"/>
              <w:keepLines w:val="0"/>
              <w:pageBreakBefore w:val="0"/>
              <w:widowControl w:val="0"/>
              <w:kinsoku/>
              <w:wordWrap/>
              <w:overflowPunct/>
              <w:topLinePunct w:val="0"/>
              <w:bidi w:val="0"/>
              <w:snapToGrid/>
              <w:spacing w:line="240" w:lineRule="auto"/>
              <w:textAlignment w:val="auto"/>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周转半径：4mm</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color w:val="auto"/>
                <w:sz w:val="21"/>
                <w:szCs w:val="21"/>
                <w:vertAlign w:val="baseline"/>
                <w:lang w:val="en-US" w:eastAsia="zh-CN"/>
              </w:rPr>
              <w:t>运行方式：电动/连续运转</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涡旋混匀标配</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水浴锅</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内胆材料：不锈钢内胆一体成型，无接口和焊缝；</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加热丝：U性不锈钢电加热导管；</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加热功率：1200W；</w:t>
            </w:r>
          </w:p>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达到</w:t>
            </w:r>
            <w:r>
              <w:rPr>
                <w:rFonts w:hint="eastAsia" w:ascii="宋体" w:hAnsi="宋体" w:eastAsia="宋体" w:cs="宋体"/>
                <w:i w:val="0"/>
                <w:color w:val="000000"/>
                <w:kern w:val="0"/>
                <w:sz w:val="21"/>
                <w:szCs w:val="21"/>
                <w:u w:val="none"/>
                <w:lang w:val="en-US" w:eastAsia="zh-CN" w:bidi="ar"/>
              </w:rPr>
              <w:t>病毒灭活</w:t>
            </w:r>
            <w:r>
              <w:rPr>
                <w:rFonts w:hint="eastAsia" w:ascii="宋体" w:hAnsi="宋体" w:cs="宋体"/>
                <w:i w:val="0"/>
                <w:color w:val="000000"/>
                <w:kern w:val="0"/>
                <w:sz w:val="21"/>
                <w:szCs w:val="21"/>
                <w:u w:val="none"/>
                <w:lang w:val="en-US" w:eastAsia="zh-CN" w:bidi="ar"/>
              </w:rPr>
              <w:t>的效果。</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r>
              <w:rPr>
                <w:rFonts w:hint="eastAsia"/>
                <w:sz w:val="21"/>
                <w:szCs w:val="21"/>
                <w:lang w:val="en-US" w:eastAsia="zh-CN"/>
              </w:rPr>
              <w:t>尺寸：450*300*130mm</w:t>
            </w:r>
          </w:p>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sz w:val="21"/>
                <w:szCs w:val="21"/>
                <w:lang w:val="en-US" w:eastAsia="zh-CN"/>
              </w:rPr>
              <w:t>规格：6孔数显</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生物安全柜</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8"/>
              <w:keepLines w:val="0"/>
              <w:pageBreakBefore w:val="0"/>
              <w:widowControl w:val="0"/>
              <w:kinsoku/>
              <w:wordWrap/>
              <w:overflowPunct/>
              <w:topLinePunct w:val="0"/>
              <w:bidi w:val="0"/>
              <w:snapToGrid/>
              <w:spacing w:line="240" w:lineRule="auto"/>
              <w:textAlignment w:val="auto"/>
              <w:rPr>
                <w:rFonts w:hint="eastAsia" w:eastAsia="宋体"/>
                <w:sz w:val="21"/>
                <w:szCs w:val="21"/>
                <w:lang w:eastAsia="zh-CN"/>
              </w:rPr>
            </w:pPr>
            <w:r>
              <w:rPr>
                <w:rFonts w:hint="eastAsia"/>
                <w:sz w:val="21"/>
                <w:szCs w:val="21"/>
                <w:lang w:eastAsia="zh-CN"/>
              </w:rPr>
              <w:t>通过</w:t>
            </w:r>
            <w:r>
              <w:rPr>
                <w:rFonts w:hint="eastAsia"/>
                <w:sz w:val="21"/>
                <w:szCs w:val="21"/>
              </w:rPr>
              <w:t>TUV机构 ISO9001质量管理认证</w:t>
            </w:r>
            <w:r>
              <w:rPr>
                <w:rFonts w:hint="eastAsia"/>
                <w:sz w:val="21"/>
                <w:szCs w:val="21"/>
                <w:lang w:eastAsia="zh-CN"/>
              </w:rPr>
              <w:t>，</w:t>
            </w:r>
          </w:p>
          <w:p>
            <w:pPr>
              <w:pStyle w:val="48"/>
              <w:keepLines w:val="0"/>
              <w:pageBreakBefore w:val="0"/>
              <w:widowControl w:val="0"/>
              <w:kinsoku/>
              <w:wordWrap/>
              <w:overflowPunct/>
              <w:topLinePunct w:val="0"/>
              <w:bidi w:val="0"/>
              <w:snapToGrid/>
              <w:spacing w:line="240" w:lineRule="auto"/>
              <w:textAlignment w:val="auto"/>
              <w:rPr>
                <w:rFonts w:hint="eastAsia" w:eastAsia="宋体"/>
                <w:sz w:val="21"/>
                <w:szCs w:val="21"/>
                <w:lang w:eastAsia="zh-CN"/>
              </w:rPr>
            </w:pPr>
            <w:r>
              <w:rPr>
                <w:rFonts w:hint="eastAsia"/>
                <w:sz w:val="21"/>
                <w:szCs w:val="21"/>
              </w:rPr>
              <w:t>ISO13485及CE认证</w:t>
            </w:r>
            <w:r>
              <w:rPr>
                <w:rFonts w:hint="eastAsia"/>
                <w:sz w:val="21"/>
                <w:szCs w:val="21"/>
                <w:lang w:eastAsia="zh-CN"/>
              </w:rPr>
              <w:t>；</w:t>
            </w:r>
          </w:p>
          <w:p>
            <w:pPr>
              <w:pStyle w:val="48"/>
              <w:keepLines w:val="0"/>
              <w:pageBreakBefore w:val="0"/>
              <w:widowControl w:val="0"/>
              <w:kinsoku/>
              <w:wordWrap/>
              <w:overflowPunct/>
              <w:topLinePunct w:val="0"/>
              <w:bidi w:val="0"/>
              <w:snapToGrid/>
              <w:spacing w:line="240" w:lineRule="auto"/>
              <w:textAlignment w:val="auto"/>
              <w:rPr>
                <w:rFonts w:hint="eastAsia" w:eastAsia="宋体"/>
                <w:sz w:val="21"/>
                <w:szCs w:val="21"/>
                <w:lang w:val="en-US" w:eastAsia="zh-CN"/>
              </w:rPr>
            </w:pPr>
            <w:r>
              <w:rPr>
                <w:rFonts w:hint="eastAsia"/>
                <w:sz w:val="21"/>
                <w:szCs w:val="21"/>
                <w:lang w:eastAsia="zh-CN"/>
              </w:rPr>
              <w:t>产品具有</w:t>
            </w:r>
            <w:r>
              <w:rPr>
                <w:rFonts w:hint="eastAsia"/>
                <w:sz w:val="21"/>
                <w:szCs w:val="21"/>
              </w:rPr>
              <w:t>国家食品药品监督管理局核发的生物安全柜产品注册证</w:t>
            </w:r>
            <w:r>
              <w:rPr>
                <w:rFonts w:hint="eastAsia"/>
                <w:sz w:val="21"/>
                <w:szCs w:val="21"/>
                <w:lang w:eastAsia="zh-CN"/>
              </w:rPr>
              <w:t>；</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sz w:val="21"/>
                <w:szCs w:val="21"/>
                <w:lang w:val="en-US" w:eastAsia="zh-CN"/>
              </w:rPr>
              <w:t>安全柜重要技术指标必须出具制造商公开发布的彩页、官方网站产品技术介绍截图验证。</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生物安全防护</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12</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高压灭菌器</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制造商通过 </w:t>
            </w:r>
            <w:r>
              <w:rPr>
                <w:rFonts w:hint="eastAsia" w:ascii="宋体" w:hAnsi="宋体" w:eastAsia="宋体" w:cs="宋体"/>
                <w:i w:val="0"/>
                <w:caps w:val="0"/>
                <w:color w:val="333333"/>
                <w:spacing w:val="0"/>
                <w:sz w:val="21"/>
                <w:szCs w:val="21"/>
                <w:shd w:val="clear" w:color="auto" w:fill="FFFFFF"/>
              </w:rPr>
              <w:t>ISO9001:2015</w:t>
            </w:r>
            <w:r>
              <w:rPr>
                <w:rFonts w:hint="eastAsia" w:ascii="宋体" w:hAnsi="宋体" w:eastAsia="宋体" w:cs="宋体"/>
                <w:sz w:val="21"/>
                <w:szCs w:val="21"/>
                <w:lang w:val="en-US" w:eastAsia="zh-CN"/>
              </w:rPr>
              <w:t>质量管理体系认证书，提供相关证明文件加盖制造商公章 ；</w:t>
            </w:r>
          </w:p>
          <w:p>
            <w:pPr>
              <w:pStyle w:val="4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制造商具有</w:t>
            </w:r>
            <w:r>
              <w:rPr>
                <w:rFonts w:hint="eastAsia" w:ascii="宋体" w:hAnsi="宋体" w:eastAsia="宋体" w:cs="宋体"/>
                <w:i w:val="0"/>
                <w:caps w:val="0"/>
                <w:color w:val="333333"/>
                <w:spacing w:val="0"/>
                <w:sz w:val="21"/>
                <w:szCs w:val="21"/>
                <w:shd w:val="clear" w:color="auto" w:fill="FFFFFF"/>
              </w:rPr>
              <w:t>ISO13485:2016医疗器械专业质量管理体系认证证书</w:t>
            </w:r>
            <w:r>
              <w:rPr>
                <w:rFonts w:hint="eastAsia" w:ascii="宋体" w:hAnsi="宋体" w:eastAsia="宋体" w:cs="宋体"/>
                <w:sz w:val="21"/>
                <w:szCs w:val="21"/>
                <w:lang w:val="en-US" w:eastAsia="zh-CN"/>
              </w:rPr>
              <w:t>，提供相关证明文件</w:t>
            </w:r>
            <w:r>
              <w:rPr>
                <w:rFonts w:hint="eastAsia" w:hAnsi="宋体" w:cs="宋体"/>
                <w:sz w:val="21"/>
                <w:szCs w:val="21"/>
                <w:lang w:val="en-US" w:eastAsia="zh-CN"/>
              </w:rPr>
              <w:t>。</w:t>
            </w:r>
          </w:p>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4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容积：75L；</w:t>
            </w:r>
          </w:p>
          <w:p>
            <w:pPr>
              <w:pStyle w:val="4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功率：3.5KW；</w:t>
            </w:r>
          </w:p>
          <w:p>
            <w:pPr>
              <w:pStyle w:val="4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电源：220V±10% </w:t>
            </w:r>
            <w:r>
              <w:rPr>
                <w:rFonts w:hint="eastAsia" w:hAnsi="宋体" w:cs="宋体"/>
                <w:sz w:val="21"/>
                <w:szCs w:val="21"/>
                <w:lang w:val="en-US" w:eastAsia="zh-CN"/>
              </w:rPr>
              <w:t xml:space="preserve"> </w:t>
            </w:r>
            <w:r>
              <w:rPr>
                <w:rFonts w:hint="eastAsia" w:ascii="宋体" w:hAnsi="宋体" w:eastAsia="宋体" w:cs="宋体"/>
                <w:sz w:val="21"/>
                <w:szCs w:val="21"/>
                <w:lang w:val="en-US" w:eastAsia="zh-CN"/>
              </w:rPr>
              <w:t>50Hz±2%；</w:t>
            </w:r>
          </w:p>
          <w:p>
            <w:pPr>
              <w:pStyle w:val="4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最高工作/设计温度：135℃/138℃；</w:t>
            </w:r>
          </w:p>
          <w:p>
            <w:pPr>
              <w:pStyle w:val="4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最高工作/设计压力：0.22MPa/0.25MPa；</w:t>
            </w:r>
          </w:p>
          <w:p>
            <w:pPr>
              <w:pStyle w:val="4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定时范围（分钟）：0-120；</w:t>
            </w:r>
          </w:p>
          <w:p>
            <w:pPr>
              <w:pStyle w:val="48"/>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内腔尺寸(mm)：Ф400×720；</w:t>
            </w:r>
          </w:p>
          <w:p>
            <w:pPr>
              <w:pStyle w:val="48"/>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sz w:val="21"/>
                <w:szCs w:val="21"/>
                <w:lang w:val="en-US" w:eastAsia="zh-CN"/>
              </w:rPr>
              <w:t>提篮尺寸(mm)：Ф360×280×2个</w:t>
            </w:r>
            <w:r>
              <w:rPr>
                <w:rFonts w:hint="eastAsia" w:hAnsi="宋体" w:cs="宋体"/>
                <w:sz w:val="21"/>
                <w:szCs w:val="21"/>
                <w:lang w:val="en-US" w:eastAsia="zh-CN"/>
              </w:rPr>
              <w: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13</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分子生物学配套耗材</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olor w:val="auto"/>
                <w:sz w:val="21"/>
                <w:szCs w:val="21"/>
                <w:vertAlign w:val="baseline"/>
              </w:rPr>
              <w:t>PCR 洁净级</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配套无DNARNA污染</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PCR管、离心管等</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批</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14</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非洲猪瘟荧光定量</w:t>
            </w:r>
          </w:p>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PCR试剂盒</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color w:val="auto"/>
                <w:sz w:val="21"/>
                <w:szCs w:val="21"/>
                <w:vertAlign w:val="baseline"/>
                <w:lang w:val="en-US" w:eastAsia="zh-CN"/>
              </w:rPr>
              <w:t>产品通过中国动物疫病预防控制中心非洲猪瘟快速检测评价，列入推荐名单提供证明文件。</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50T</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r>
      <w:tr>
        <w:tblPrEx>
          <w:tblCellMar>
            <w:top w:w="0" w:type="dxa"/>
            <w:left w:w="0" w:type="dxa"/>
            <w:bottom w:w="0" w:type="dxa"/>
            <w:right w:w="0" w:type="dxa"/>
          </w:tblCellMar>
        </w:tblPrEx>
        <w:trPr>
          <w:trHeight w:val="737"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15</w:t>
            </w:r>
          </w:p>
        </w:tc>
        <w:tc>
          <w:tcPr>
            <w:tcW w:w="11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核酸提取试剂盒</w:t>
            </w:r>
          </w:p>
        </w:tc>
        <w:tc>
          <w:tcPr>
            <w:tcW w:w="4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color w:val="auto"/>
                <w:sz w:val="21"/>
                <w:szCs w:val="21"/>
                <w:vertAlign w:val="baseline"/>
                <w:lang w:val="en-US" w:eastAsia="zh-CN"/>
              </w:rPr>
              <w:t>试剂通过医疗器械注册备案</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DNA、RNA核酸共提</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份</w:t>
            </w:r>
          </w:p>
        </w:tc>
      </w:tr>
    </w:tbl>
    <w:p>
      <w:pPr>
        <w:pStyle w:val="2"/>
        <w:rPr>
          <w:rFonts w:hint="eastAsia"/>
          <w:lang w:val="zh-CN" w:eastAsia="zh-CN"/>
        </w:rPr>
      </w:pPr>
    </w:p>
    <w:p>
      <w:pPr>
        <w:spacing w:line="360" w:lineRule="auto"/>
        <w:contextualSpacing/>
        <w:rPr>
          <w:rFonts w:hint="eastAsia" w:cs="微软雅黑" w:asciiTheme="minorEastAsia" w:hAnsiTheme="minorEastAsia" w:eastAsiaTheme="minorEastAsia"/>
          <w:b/>
          <w:color w:val="FF0000"/>
          <w:sz w:val="24"/>
          <w:szCs w:val="24"/>
          <w:lang w:eastAsia="zh-CN"/>
        </w:rPr>
      </w:pPr>
      <w:r>
        <w:rPr>
          <w:rFonts w:hint="eastAsia" w:cs="微软雅黑" w:asciiTheme="minorEastAsia" w:hAnsiTheme="minorEastAsia"/>
          <w:b/>
          <w:color w:val="FF0000"/>
          <w:sz w:val="24"/>
          <w:szCs w:val="24"/>
        </w:rPr>
        <w:t>本采购清单中所列技术规格或主要参数为最低要求，不允许负偏离，</w:t>
      </w:r>
      <w:r>
        <w:rPr>
          <w:rFonts w:hint="eastAsia" w:cs="微软雅黑" w:asciiTheme="minorEastAsia" w:hAnsiTheme="minorEastAsia"/>
          <w:b/>
          <w:color w:val="FF0000"/>
          <w:sz w:val="24"/>
          <w:szCs w:val="24"/>
          <w:lang w:eastAsia="zh-CN"/>
        </w:rPr>
        <w:t>否则为无效响应。</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并在有效期内的产品，应在响应文件中提供“所投产品符合国家强制性要求承诺函”并加盖供应商公章，否则将承担其响应被视为非实质性响应的风险。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w:t>
      </w:r>
      <w:r>
        <w:rPr>
          <w:rFonts w:hint="eastAsia" w:cs="宋体" w:asciiTheme="minorEastAsia" w:hAnsiTheme="minorEastAsia"/>
          <w:kern w:val="0"/>
          <w:sz w:val="24"/>
          <w:szCs w:val="24"/>
        </w:rPr>
        <w:t>属于</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供应商</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并须在响应文件中提供：</w:t>
      </w:r>
    </w:p>
    <w:p>
      <w:pPr>
        <w:wordWrap w:val="0"/>
        <w:spacing w:line="360" w:lineRule="auto"/>
        <w:ind w:firstLine="480" w:firstLineChars="200"/>
        <w:contextualSpacing/>
        <w:rPr>
          <w:rFonts w:cs="仿宋_GB2312" w:asciiTheme="minorEastAsia" w:hAnsiTheme="minorEastAsia"/>
          <w:sz w:val="24"/>
          <w:szCs w:val="24"/>
        </w:rPr>
      </w:pPr>
      <w:r>
        <w:rPr>
          <w:rFonts w:hint="eastAsia" w:cs="仿宋_GB2312" w:asciiTheme="minorEastAsia" w:hAnsiTheme="minorEastAsia"/>
          <w:sz w:val="24"/>
          <w:szCs w:val="24"/>
        </w:rPr>
        <w:t>①</w:t>
      </w:r>
      <w:r>
        <w:rPr>
          <w:rFonts w:hint="eastAsia" w:cs="仿宋_GB2312" w:asciiTheme="minorEastAsia" w:hAnsiTheme="minorEastAsia"/>
          <w:sz w:val="24"/>
          <w:szCs w:val="24"/>
          <w:lang w:val="zh-CN"/>
        </w:rPr>
        <w:t>中国信息安全认证中心官网</w:t>
      </w:r>
      <w:r>
        <w:rPr>
          <w:rFonts w:hint="eastAsia" w:cs="仿宋_GB2312" w:asciiTheme="minorEastAsia" w:hAnsiTheme="minorEastAsia"/>
          <w:sz w:val="24"/>
          <w:szCs w:val="24"/>
        </w:rPr>
        <w:t>（</w:t>
      </w:r>
      <w:r>
        <w:rPr>
          <w:rFonts w:cs="仿宋_GB2312" w:asciiTheme="minorEastAsia" w:hAnsiTheme="minorEastAsia"/>
          <w:sz w:val="24"/>
          <w:szCs w:val="24"/>
        </w:rPr>
        <w:t>http://www.isccc.gov.cn/index.shtml</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产品查询结果截图并加盖供应商公章</w:t>
      </w:r>
      <w:r>
        <w:rPr>
          <w:rFonts w:hint="eastAsia" w:cs="仿宋_GB2312" w:asciiTheme="minorEastAsia" w:hAnsiTheme="minorEastAsia"/>
          <w:sz w:val="24"/>
          <w:szCs w:val="24"/>
        </w:rPr>
        <w:t>；</w:t>
      </w:r>
    </w:p>
    <w:p>
      <w:pPr>
        <w:wordWrap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②中国信息安全认证中心颁发的</w:t>
      </w:r>
      <w:r>
        <w:rPr>
          <w:rFonts w:cs="仿宋_GB2312" w:asciiTheme="minorEastAsia" w:hAnsiTheme="minorEastAsia"/>
          <w:sz w:val="24"/>
          <w:szCs w:val="24"/>
          <w:lang w:val="zh-CN"/>
        </w:rPr>
        <w:t>《</w:t>
      </w:r>
      <w:r>
        <w:fldChar w:fldCharType="begin"/>
      </w:r>
      <w:r>
        <w:instrText xml:space="preserve"> HYPERLINK "http://www.cnca.gov.cn/cnca/zwxx/ggxx/images/2010/07/19/A6C32D2A507AC2A38326896013A67542.doc" \t "_blank" </w:instrText>
      </w:r>
      <w:r>
        <w:fldChar w:fldCharType="separate"/>
      </w:r>
      <w:r>
        <w:rPr>
          <w:rFonts w:hint="eastAsia" w:cs="仿宋_GB2312" w:asciiTheme="minorEastAsia" w:hAnsiTheme="minorEastAsia"/>
          <w:sz w:val="24"/>
          <w:szCs w:val="24"/>
          <w:lang w:val="zh-CN"/>
        </w:rPr>
        <w:t>中国国家信息安全产品认证证书</w:t>
      </w:r>
      <w:r>
        <w:rPr>
          <w:rFonts w:hint="eastAsia" w:cs="仿宋_GB2312" w:asciiTheme="minorEastAsia" w:hAnsiTheme="minorEastAsia"/>
          <w:sz w:val="24"/>
          <w:szCs w:val="24"/>
          <w:lang w:val="zh-CN"/>
        </w:rPr>
        <w:fldChar w:fldCharType="end"/>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的原件扫描件（或图片）并加盖供应商公章。</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numPr>
          <w:ilvl w:val="0"/>
          <w:numId w:val="0"/>
        </w:numPr>
        <w:spacing w:line="360" w:lineRule="auto"/>
        <w:ind w:leftChars="200"/>
        <w:contextualSpacing/>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四、服务标准、期限、效率等要求：</w:t>
      </w:r>
    </w:p>
    <w:p>
      <w:pPr>
        <w:numPr>
          <w:ilvl w:val="0"/>
          <w:numId w:val="0"/>
        </w:numPr>
        <w:spacing w:line="360" w:lineRule="auto"/>
        <w:ind w:left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zh-CN" w:eastAsia="zh-CN"/>
        </w:rPr>
        <w:t>合同签订后</w:t>
      </w:r>
      <w:r>
        <w:rPr>
          <w:rFonts w:hint="eastAsia" w:cs="仿宋_GB2312" w:asciiTheme="minorEastAsia" w:hAnsiTheme="minorEastAsia"/>
          <w:sz w:val="24"/>
          <w:szCs w:val="24"/>
          <w:lang w:val="en-US" w:eastAsia="zh-CN"/>
        </w:rPr>
        <w:t>10日内送货到采购方指定的送货地点</w:t>
      </w:r>
      <w:r>
        <w:rPr>
          <w:rFonts w:hint="eastAsia" w:cs="仿宋_GB2312" w:asciiTheme="minorEastAsia" w:hAnsiTheme="minorEastAsia"/>
          <w:sz w:val="24"/>
          <w:szCs w:val="24"/>
          <w:lang w:val="zh-CN" w:eastAsia="zh-CN"/>
        </w:rPr>
        <w:t>。</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topLinePunct/>
        <w:spacing w:line="360" w:lineRule="auto"/>
        <w:ind w:firstLine="480" w:firstLineChars="200"/>
        <w:contextualSpacing/>
        <w:rPr>
          <w:rFonts w:ascii="宋体" w:cs="宋体"/>
          <w:sz w:val="24"/>
          <w:lang w:val="zh-CN"/>
        </w:rPr>
      </w:pPr>
      <w:r>
        <w:rPr>
          <w:rFonts w:hint="eastAsia" w:ascii="宋体" w:cs="宋体"/>
          <w:sz w:val="24"/>
          <w:lang w:val="zh-CN"/>
        </w:rPr>
        <w:t>1、供应商须明确响应产品的厂家、品牌、型号、详细参数，</w:t>
      </w:r>
      <w:r>
        <w:rPr>
          <w:rFonts w:hint="eastAsia" w:ascii="宋体" w:cs="宋体"/>
          <w:b/>
          <w:sz w:val="24"/>
          <w:lang w:val="zh-CN"/>
        </w:rPr>
        <w:t>否则为无效响应文件。</w:t>
      </w:r>
    </w:p>
    <w:p>
      <w:pPr>
        <w:topLinePunct/>
        <w:autoSpaceDE w:val="0"/>
        <w:autoSpaceDN w:val="0"/>
        <w:adjustRightInd w:val="0"/>
        <w:spacing w:line="360" w:lineRule="auto"/>
        <w:ind w:firstLine="482"/>
        <w:contextualSpacing/>
        <w:rPr>
          <w:rFonts w:ascii="宋体" w:cs="宋体"/>
          <w:b/>
          <w:sz w:val="24"/>
          <w:lang w:val="zh-CN"/>
        </w:rPr>
      </w:pPr>
      <w:r>
        <w:rPr>
          <w:rFonts w:hint="eastAsia" w:ascii="宋体" w:cs="宋体"/>
          <w:sz w:val="24"/>
          <w:lang w:val="zh-CN"/>
        </w:rPr>
        <w:t>2、供应商应就本项目完整响应，</w:t>
      </w:r>
      <w:r>
        <w:rPr>
          <w:rFonts w:hint="eastAsia" w:ascii="宋体" w:cs="宋体"/>
          <w:b/>
          <w:sz w:val="24"/>
          <w:lang w:val="zh-CN"/>
        </w:rPr>
        <w:t>否则为无效响应。</w:t>
      </w:r>
    </w:p>
    <w:p>
      <w:pPr>
        <w:topLinePunct/>
        <w:spacing w:line="360" w:lineRule="auto"/>
        <w:ind w:firstLine="480" w:firstLineChars="200"/>
        <w:contextualSpacing/>
        <w:rPr>
          <w:rFonts w:ascii="宋体" w:cs="宋体"/>
          <w:sz w:val="24"/>
          <w:lang w:val="zh-CN"/>
        </w:rPr>
      </w:pPr>
      <w:r>
        <w:rPr>
          <w:rFonts w:hint="eastAsia" w:ascii="宋体" w:cs="宋体"/>
          <w:sz w:val="24"/>
          <w:lang w:val="zh-CN"/>
        </w:rPr>
        <w:t>3、所响应产品必须符合国家质量检测标准和本竞争性谈判文件规定标准的全新正品现货。</w:t>
      </w:r>
    </w:p>
    <w:p>
      <w:pPr>
        <w:topLinePunct/>
        <w:spacing w:line="360" w:lineRule="auto"/>
        <w:ind w:firstLine="480" w:firstLineChars="200"/>
        <w:contextualSpacing/>
        <w:rPr>
          <w:rFonts w:hint="eastAsia" w:ascii="宋体" w:cs="宋体"/>
          <w:sz w:val="24"/>
          <w:lang w:val="zh-CN" w:eastAsia="zh-CN"/>
        </w:rPr>
      </w:pPr>
      <w:r>
        <w:rPr>
          <w:rFonts w:hint="eastAsia" w:ascii="宋体" w:cs="宋体"/>
          <w:sz w:val="24"/>
          <w:lang w:val="en-US" w:eastAsia="zh-CN"/>
        </w:rPr>
        <w:t>4</w:t>
      </w:r>
      <w:r>
        <w:rPr>
          <w:rFonts w:hint="eastAsia" w:ascii="宋体" w:cs="宋体"/>
          <w:sz w:val="24"/>
          <w:lang w:val="zh-CN"/>
        </w:rPr>
        <w:t>、</w:t>
      </w:r>
      <w:r>
        <w:rPr>
          <w:rFonts w:hint="eastAsia" w:ascii="宋体" w:cs="宋体"/>
          <w:bCs/>
          <w:color w:val="000000" w:themeColor="text1"/>
          <w:sz w:val="24"/>
          <w:lang w:val="zh-CN"/>
          <w14:textFill>
            <w14:solidFill>
              <w14:schemeClr w14:val="tx1"/>
            </w14:solidFill>
          </w14:textFill>
        </w:rPr>
        <w:t>投标文件中须有详细的实施（技术）方案</w:t>
      </w:r>
      <w:r>
        <w:rPr>
          <w:rFonts w:hint="eastAsia" w:ascii="宋体" w:cs="宋体"/>
          <w:b/>
          <w:bCs/>
          <w:color w:val="000000" w:themeColor="text1"/>
          <w:sz w:val="24"/>
          <w:lang w:val="zh-CN"/>
          <w14:textFill>
            <w14:solidFill>
              <w14:schemeClr w14:val="tx1"/>
            </w14:solidFill>
          </w14:textFill>
        </w:rPr>
        <w:t>，否则为无效投标。</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pStyle w:val="23"/>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pStyle w:val="23"/>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1、按照国家相关标准、行业标准、地方标准或其他标准、规范验收。</w:t>
      </w:r>
    </w:p>
    <w:p>
      <w:pPr>
        <w:pStyle w:val="23"/>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2、按照招标文件要求、投标文件响应和承诺验收。</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w:t>
      </w:r>
      <w:r>
        <w:rPr>
          <w:rFonts w:hint="eastAsia" w:cs="宋体" w:asciiTheme="minorEastAsia" w:hAnsiTheme="minorEastAsia"/>
          <w:color w:val="000000"/>
          <w:kern w:val="0"/>
          <w:sz w:val="24"/>
          <w:szCs w:val="24"/>
          <w:lang w:val="zh-CN" w:eastAsia="zh-CN"/>
        </w:rPr>
        <w:t>转账支付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firstLineChars="200"/>
        <w:jc w:val="left"/>
        <w:textAlignment w:val="auto"/>
        <w:rPr>
          <w:rFonts w:hint="eastAsia" w:cs="宋体" w:asciiTheme="majorEastAsia" w:hAnsiTheme="majorEastAsia" w:eastAsiaTheme="majorEastAsia"/>
          <w:b/>
          <w:kern w:val="0"/>
          <w:sz w:val="32"/>
          <w:szCs w:val="32"/>
        </w:rPr>
      </w:pPr>
      <w:r>
        <w:rPr>
          <w:rFonts w:hint="eastAsia" w:cs="宋体" w:asciiTheme="minorEastAsia" w:hAnsiTheme="minorEastAsia"/>
          <w:color w:val="000000"/>
          <w:kern w:val="0"/>
          <w:sz w:val="24"/>
          <w:szCs w:val="24"/>
          <w:lang w:val="zh-CN"/>
        </w:rPr>
        <w:t>2、支付时间及条件：</w:t>
      </w:r>
      <w:r>
        <w:rPr>
          <w:rFonts w:hint="eastAsia" w:cs="宋体" w:asciiTheme="minorEastAsia" w:hAnsiTheme="minorEastAsia"/>
          <w:color w:val="000000"/>
          <w:kern w:val="0"/>
          <w:sz w:val="24"/>
          <w:szCs w:val="24"/>
          <w:lang w:val="zh-CN" w:eastAsia="zh-CN"/>
        </w:rPr>
        <w:t>货物交付经验收合格，供货方开具正规发票后</w:t>
      </w:r>
      <w:r>
        <w:rPr>
          <w:rFonts w:hint="eastAsia" w:cs="宋体" w:asciiTheme="minorEastAsia" w:hAnsiTheme="minorEastAsia"/>
          <w:color w:val="000000"/>
          <w:kern w:val="0"/>
          <w:sz w:val="24"/>
          <w:szCs w:val="24"/>
          <w:lang w:val="en-US" w:eastAsia="zh-CN"/>
        </w:rPr>
        <w:t>10日内一次性付清货款。</w:t>
      </w:r>
    </w:p>
    <w:p>
      <w:pPr>
        <w:autoSpaceDE w:val="0"/>
        <w:autoSpaceDN w:val="0"/>
        <w:adjustRightInd w:val="0"/>
        <w:ind w:firstLine="2891" w:firstLineChars="9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条款均为实质性要求条款，响应文件须完全响应，未实质响应的，按照无效响应处理。</w:t>
      </w:r>
    </w:p>
    <w:tbl>
      <w:tblPr>
        <w:tblStyle w:val="25"/>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spacing w:line="440" w:lineRule="exact"/>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非洲猪瘟分子生物学检测实验室仪器设备及配套耗材</w:t>
            </w:r>
            <w:r>
              <w:rPr>
                <w:rFonts w:hint="eastAsia" w:cs="仿宋_GB2312" w:asciiTheme="minorEastAsia" w:hAnsiTheme="minorEastAsia"/>
                <w:szCs w:val="21"/>
              </w:rPr>
              <w:t>采购项目（不见面开标）</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lang w:eastAsia="zh-CN"/>
              </w:rPr>
              <w:t>采购</w:t>
            </w:r>
            <w:r>
              <w:rPr>
                <w:rFonts w:hint="eastAsia" w:cs="仿宋_GB2312" w:asciiTheme="minorEastAsia" w:hAnsiTheme="minorEastAsia"/>
                <w:szCs w:val="21"/>
              </w:rPr>
              <w:t>编号：YZCG-T202008</w:t>
            </w:r>
            <w:r>
              <w:rPr>
                <w:rFonts w:hint="eastAsia" w:cs="仿宋_GB2312" w:asciiTheme="minorEastAsia" w:hAnsiTheme="minorEastAsia"/>
                <w:szCs w:val="21"/>
                <w:lang w:val="en-US" w:eastAsia="zh-CN"/>
              </w:rPr>
              <w:t>5</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lang w:eastAsia="zh-CN"/>
              </w:rPr>
              <w:t>交付（服务、完工）时间</w:t>
            </w:r>
            <w:r>
              <w:rPr>
                <w:rFonts w:hint="eastAsia" w:cs="仿宋_GB2312" w:asciiTheme="minorEastAsia" w:hAnsiTheme="minorEastAsia"/>
                <w:szCs w:val="21"/>
              </w:rPr>
              <w:t>：</w:t>
            </w:r>
            <w:r>
              <w:rPr>
                <w:rFonts w:hint="eastAsia" w:cs="仿宋_GB2312" w:asciiTheme="minorEastAsia" w:hAnsiTheme="minorEastAsia"/>
                <w:szCs w:val="21"/>
                <w:lang w:eastAsia="zh-CN"/>
              </w:rPr>
              <w:t>合同签订后</w:t>
            </w:r>
            <w:r>
              <w:rPr>
                <w:rFonts w:hint="eastAsia" w:cs="仿宋_GB2312" w:asciiTheme="minorEastAsia" w:hAnsiTheme="minorEastAsia"/>
                <w:szCs w:val="21"/>
                <w:lang w:val="en-US" w:eastAsia="zh-CN"/>
              </w:rPr>
              <w:t>10日内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名称：禹州</w:t>
            </w:r>
            <w:r>
              <w:rPr>
                <w:rFonts w:hint="eastAsia" w:cs="仿宋_GB2312" w:asciiTheme="minorEastAsia" w:hAnsiTheme="minorEastAsia"/>
                <w:szCs w:val="21"/>
                <w:lang w:eastAsia="zh-CN"/>
              </w:rPr>
              <w:t>市畜牧局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eastAsia="zh-CN"/>
              </w:rPr>
              <w:t>禹州市禹王大道</w:t>
            </w:r>
            <w:r>
              <w:rPr>
                <w:rFonts w:hint="eastAsia" w:cs="仿宋_GB2312" w:asciiTheme="minorEastAsia" w:hAnsiTheme="minorEastAsia"/>
                <w:szCs w:val="21"/>
                <w:lang w:val="en-US" w:eastAsia="zh-CN"/>
              </w:rPr>
              <w:t>99号</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贾先生</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13938779106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lang w:eastAsia="zh-CN"/>
              </w:rPr>
              <w:t>名</w:t>
            </w:r>
            <w:r>
              <w:rPr>
                <w:rFonts w:hint="eastAsia" w:cs="仿宋_GB2312" w:asciiTheme="minorEastAsia" w:hAnsiTheme="minorEastAsia"/>
                <w:szCs w:val="21"/>
              </w:rPr>
              <w:t>称：禹州市政府采购中心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1、企业法人营业执照或营业执照。（企业提供）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rPr>
                <w:lang w:val="zh-CN"/>
              </w:rPr>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spacing w:line="360" w:lineRule="auto"/>
            </w:pPr>
            <w:r>
              <w:rPr>
                <w:rFonts w:hint="eastAsia"/>
              </w:rPr>
              <w:t>（1）供应商是法人（法人包括企业法人、机关法人、事业单位法人和社会团体法人），提供本单位：</w:t>
            </w:r>
          </w:p>
          <w:p>
            <w:pPr>
              <w:spacing w:line="360" w:lineRule="auto"/>
            </w:pPr>
            <w:r>
              <w:rPr>
                <w:rFonts w:hint="eastAsia"/>
              </w:rPr>
              <w:t>①2018年度或者2019年度经审计的财务报告，包括资产负债表、利润表、现金流量表、所有者权益变动表及其附注；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①2018年度或者2019年度经审计的财务报告，包括资产负债表、利润表、现金流量表、所有者权益变动表及其附注；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rPr>
                <w:lang w:val="zh-CN"/>
              </w:rPr>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 xml:space="preserve"> “中国社会组织公共服务平台”网站（</w:t>
            </w:r>
            <w:r>
              <w:t>www.chinanpo.gov.cn</w:t>
            </w:r>
            <w:r>
              <w:rPr>
                <w:rFonts w:hint="eastAsia"/>
              </w:rPr>
              <w:t>）严重违法失信社会组织名单的供应商（联合体形式投标的，联合体成员存在不良信用记录，视同联合体存在不良信用记录）。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3、信用信息查询记录和证据留存具体方式：经谈判小组确认的查询结果网页截图作为查询记录和证据，与其他采购文件一并保存；</w:t>
            </w:r>
          </w:p>
          <w:p>
            <w:pPr>
              <w:autoSpaceDE w:val="0"/>
              <w:autoSpaceDN w:val="0"/>
              <w:spacing w:line="360" w:lineRule="auto"/>
              <w:contextualSpacing/>
            </w:pPr>
            <w:r>
              <w:rPr>
                <w:rFonts w:hint="eastAsia"/>
              </w:rPr>
              <w:t>4、信用信息的使用原则：经谈判小组认定的被列入失信被执行人、重大税收违法案件当事人名单、</w:t>
            </w:r>
            <w:r>
              <w:t>政府采购严重违法失信行为记录名单</w:t>
            </w:r>
            <w:r>
              <w:rPr>
                <w:rFonts w:hint="eastAsia"/>
              </w:rPr>
              <w:t>、严重违法失信社会组织名单的供应商，将拒绝其参与本次政府采购活动。</w:t>
            </w:r>
          </w:p>
          <w:p>
            <w:pPr>
              <w:autoSpaceDE w:val="0"/>
              <w:autoSpaceDN w:val="0"/>
              <w:spacing w:line="360" w:lineRule="auto"/>
              <w:contextualSpacing/>
            </w:pPr>
            <w:r>
              <w:rPr>
                <w:rFonts w:hint="eastAsia"/>
              </w:rPr>
              <w:t>5、供应商无须提供信用记录查询结果网页截屏。供应商不良信用记录以谈判小组查询结果为准，谈判小组查询之后，网站信息发生的任何变更不再作为评审依据，供应商自行提供的与网站信息不一致的其他证明材料亦不作为评审依据。</w:t>
            </w:r>
          </w:p>
          <w:p>
            <w:pPr>
              <w:pStyle w:val="10"/>
              <w:rPr>
                <w:rFonts w:hint="default"/>
                <w:lang w:val="en-US"/>
              </w:rPr>
            </w:pPr>
            <w:r>
              <w:rPr>
                <w:rFonts w:hint="eastAsia" w:cstheme="minorBidi"/>
                <w:kern w:val="2"/>
                <w:sz w:val="21"/>
                <w:szCs w:val="22"/>
                <w:lang w:val="en-US" w:eastAsia="zh-CN" w:bidi="ar-SA"/>
              </w:rPr>
              <w:t>6</w:t>
            </w:r>
            <w:r>
              <w:rPr>
                <w:rFonts w:hint="eastAsia" w:asciiTheme="minorHAnsi" w:hAnsiTheme="minorHAnsi" w:eastAsiaTheme="minorEastAsia" w:cstheme="minorBidi"/>
                <w:kern w:val="2"/>
                <w:sz w:val="21"/>
                <w:szCs w:val="22"/>
                <w:lang w:val="en-US" w:eastAsia="zh-CN" w:bidi="ar-SA"/>
              </w:rPr>
              <w:t>、被委托人须是本单位职工，须提供公司为本人缴纳社会保险证明</w:t>
            </w:r>
            <w:r>
              <w:rPr>
                <w:rFonts w:hint="eastAsia" w:cstheme="minorBidi"/>
                <w:kern w:val="2"/>
                <w:sz w:val="21"/>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
                <w:bCs w:val="0"/>
                <w:color w:val="FF0000"/>
                <w:szCs w:val="21"/>
                <w:lang w:val="en-US" w:eastAsia="zh-CN"/>
              </w:rPr>
              <w:t>68.55</w:t>
            </w:r>
            <w:r>
              <w:rPr>
                <w:rFonts w:hint="eastAsia" w:cs="宋体" w:asciiTheme="minorEastAsia" w:hAnsiTheme="minorEastAsia"/>
                <w:bCs/>
                <w:szCs w:val="21"/>
                <w:lang w:val="en-US" w:eastAsia="zh-CN"/>
              </w:rPr>
              <w:t>万</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rPr>
              <w:t>2020</w:t>
            </w:r>
            <w:r>
              <w:rPr>
                <w:rFonts w:hint="eastAsia" w:cs="宋体" w:asciiTheme="minorEastAsia" w:hAnsiTheme="minorEastAsia"/>
                <w:bCs/>
                <w:szCs w:val="21"/>
                <w:lang w:val="zh-CN"/>
              </w:rPr>
              <w:t xml:space="preserve">年 </w:t>
            </w:r>
            <w:r>
              <w:rPr>
                <w:rFonts w:hint="eastAsia" w:cs="宋体" w:asciiTheme="minorEastAsia" w:hAnsiTheme="minorEastAsia"/>
                <w:bCs/>
                <w:szCs w:val="21"/>
                <w:lang w:val="en-US" w:eastAsia="zh-CN"/>
              </w:rPr>
              <w:t>5</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27</w:t>
            </w:r>
            <w:r>
              <w:rPr>
                <w:rFonts w:hint="eastAsia" w:cs="宋体" w:asciiTheme="minorEastAsia" w:hAnsiTheme="minorEastAsia"/>
                <w:bCs/>
                <w:szCs w:val="21"/>
                <w:lang w:val="zh-CN"/>
              </w:rPr>
              <w:t xml:space="preserve"> 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开启地点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禹州市公共资源交易中心开标二室（地址：禹州市行政服务中心楼九楼）（</w:t>
            </w:r>
            <w:r>
              <w:rPr>
                <w:rFonts w:hint="eastAsia" w:cs="Arial" w:asciiTheme="minorEastAsia" w:hAnsiTheme="minorEastAsia"/>
                <w:b/>
                <w:color w:val="FF0000"/>
                <w:szCs w:val="21"/>
              </w:rPr>
              <w:t>本项目采用远程不见面谈判，供应商无须到达现场</w:t>
            </w:r>
            <w:r>
              <w:rPr>
                <w:rFonts w:hint="eastAsia" w:cs="Arial"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15</w:t>
            </w:r>
          </w:p>
        </w:tc>
        <w:tc>
          <w:tcPr>
            <w:tcW w:w="2268" w:type="dxa"/>
            <w:vAlign w:val="center"/>
          </w:tcPr>
          <w:p>
            <w:pPr>
              <w:autoSpaceDE w:val="0"/>
              <w:autoSpaceDN w:val="0"/>
              <w:adjustRightInd w:val="0"/>
              <w:spacing w:line="276" w:lineRule="auto"/>
              <w:jc w:val="center"/>
              <w:rPr>
                <w:rFonts w:hint="eastAsia" w:cs="仿宋_GB2312" w:asciiTheme="minorEastAsia" w:hAnsiTheme="minorEastAsia"/>
                <w:szCs w:val="21"/>
                <w:lang w:eastAsia="zh-CN"/>
              </w:rPr>
            </w:pPr>
            <w:r>
              <w:rPr>
                <w:rFonts w:hint="eastAsia" w:cs="仿宋_GB2312" w:asciiTheme="minorEastAsia" w:hAnsiTheme="minorEastAsia"/>
                <w:szCs w:val="21"/>
                <w:lang w:eastAsia="zh-CN"/>
              </w:rPr>
              <w:t>谈判文件费用</w:t>
            </w:r>
          </w:p>
          <w:p>
            <w:pPr>
              <w:autoSpaceDE w:val="0"/>
              <w:autoSpaceDN w:val="0"/>
              <w:adjustRightInd w:val="0"/>
              <w:spacing w:line="276" w:lineRule="auto"/>
              <w:jc w:val="center"/>
              <w:rPr>
                <w:rFonts w:hint="eastAsia" w:cs="仿宋_GB2312" w:asciiTheme="minorEastAsia" w:hAnsiTheme="minorEastAsia" w:eastAsiaTheme="minorEastAsia"/>
                <w:szCs w:val="21"/>
                <w:lang w:eastAsia="zh-CN"/>
              </w:rPr>
            </w:pPr>
            <w:r>
              <w:rPr>
                <w:rFonts w:hint="eastAsia" w:cs="仿宋_GB2312" w:asciiTheme="minorEastAsia" w:hAnsiTheme="minorEastAsia"/>
                <w:szCs w:val="21"/>
                <w:lang w:eastAsia="zh-CN"/>
              </w:rPr>
              <w:t>缴纳方式</w:t>
            </w:r>
          </w:p>
        </w:tc>
        <w:tc>
          <w:tcPr>
            <w:tcW w:w="6813" w:type="dxa"/>
            <w:tcBorders>
              <w:top w:val="single" w:color="auto" w:sz="4" w:space="0"/>
            </w:tcBorders>
            <w:vAlign w:val="center"/>
          </w:tcPr>
          <w:p>
            <w:pPr>
              <w:autoSpaceDE w:val="0"/>
              <w:autoSpaceDN w:val="0"/>
              <w:adjustRightInd w:val="0"/>
              <w:spacing w:line="360" w:lineRule="auto"/>
              <w:rPr>
                <w:rFonts w:hint="eastAsia"/>
                <w:lang w:eastAsia="zh-CN"/>
              </w:rPr>
            </w:pPr>
            <w:r>
              <w:rPr>
                <w:rFonts w:hint="eastAsia"/>
                <w:lang w:eastAsia="zh-CN"/>
              </w:rPr>
              <w:t>户名：禹州市非税收入管理办公室</w:t>
            </w:r>
          </w:p>
          <w:p>
            <w:pPr>
              <w:pStyle w:val="10"/>
              <w:rPr>
                <w:rFonts w:hint="eastAsia"/>
                <w:lang w:val="en-US" w:eastAsia="zh-CN"/>
              </w:rPr>
            </w:pPr>
            <w:r>
              <w:rPr>
                <w:rFonts w:hint="eastAsia"/>
                <w:lang w:eastAsia="zh-CN"/>
              </w:rPr>
              <w:t>开户行及帐号：中原银行禹州支行</w:t>
            </w:r>
            <w:r>
              <w:rPr>
                <w:rFonts w:hint="eastAsia"/>
                <w:lang w:val="en-US" w:eastAsia="zh-CN"/>
              </w:rPr>
              <w:t xml:space="preserve"> 0184 0101 8730 0010 0170 001</w:t>
            </w:r>
          </w:p>
          <w:p>
            <w:pPr>
              <w:pStyle w:val="10"/>
              <w:rPr>
                <w:rFonts w:hint="eastAsia"/>
                <w:lang w:val="en-US" w:eastAsia="zh-CN"/>
              </w:rPr>
            </w:pPr>
            <w:r>
              <w:rPr>
                <w:rFonts w:hint="eastAsia"/>
                <w:lang w:val="en-US" w:eastAsia="zh-CN"/>
              </w:rPr>
              <w:t>（投标人须从本公司基本帐户转入且须注明项目名称或采购编号，缴纳回执单复印件附谈判响应文件。）</w:t>
            </w:r>
          </w:p>
          <w:p>
            <w:pPr>
              <w:pStyle w:val="10"/>
              <w:rPr>
                <w:rFonts w:hint="default"/>
                <w:lang w:val="en-US" w:eastAsia="zh-CN"/>
              </w:rPr>
            </w:pPr>
            <w:r>
              <w:rPr>
                <w:rFonts w:hint="eastAsia"/>
                <w:lang w:val="en-US" w:eastAsia="zh-CN"/>
              </w:rPr>
              <w:t xml:space="preserve">温馨提示： 发票开具联系人  孙女士  15893741177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6</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r>
              <w:fldChar w:fldCharType="begin"/>
            </w:r>
            <w:r>
              <w:instrText xml:space="preserve">HYPERLINK "https://www.baidu.com/link?url=8rmedzOhlAuXDcXgh4Ih79cf3oX63OtO_HyxHSCPnTT6Bb4nFcbI-6b-kaJFEjJrZKGkaq6fZ0YCvibRAKulsXONz3kZBFBKcnun2fra-tu&amp;wd=&amp;eqid=f166cd3a00044721000000025acd62c1" \t "_blank"</w:instrText>
            </w:r>
            <w:r>
              <w:fldChar w:fldCharType="separate"/>
            </w:r>
            <w:r>
              <w:rPr>
                <w:rFonts w:cs="宋体" w:asciiTheme="minorEastAsia" w:hAnsiTheme="minorEastAsia"/>
                <w:color w:val="000000"/>
                <w:szCs w:val="21"/>
              </w:rPr>
              <w:t>中国·许昌许昌市政府网</w:t>
            </w:r>
            <w: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szCs w:val="21"/>
                <w:lang w:val="zh-CN"/>
              </w:rPr>
              <w:t>□</w:t>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szCs w:val="21"/>
                <w:lang w:val="zh-CN"/>
              </w:rPr>
              <w:t>□</w:t>
            </w:r>
            <w:r>
              <w:rPr>
                <w:rFonts w:hint="eastAsia" w:ascii="新宋体" w:hAnsi="新宋体" w:eastAsia="新宋体"/>
                <w:szCs w:val="21"/>
              </w:rPr>
              <w:t>纸质响应文件：响应文件封面加盖供应商公章（响应文件是指供应商电子响应文件制作完成后生成的后缀名为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禹州市公共资源交易中心九楼电子监督室，并向集中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color w:val="333333"/>
                <w:szCs w:val="21"/>
                <w:lang w:val="zh-CN"/>
              </w:rPr>
              <w:t>中标人在接到中标通知时，须向代理机构发送投标报价及分项报价一览表（包含主要中标标的的名称、规格型号、数量、单价、服务要求等）电子文档，并同时通知交易见证部，联系电话：0374-</w:t>
            </w:r>
            <w:r>
              <w:rPr>
                <w:rFonts w:hint="eastAsia" w:cs="宋体" w:asciiTheme="minorEastAsia" w:hAnsiTheme="minorEastAsia"/>
                <w:color w:val="333333"/>
                <w:szCs w:val="21"/>
              </w:rPr>
              <w:t>2077772</w:t>
            </w:r>
            <w:r>
              <w:rPr>
                <w:rFonts w:hint="eastAsia" w:cs="宋体" w:asciiTheme="minorEastAsia" w:hAnsiTheme="minorEastAsia"/>
                <w:color w:val="333333"/>
                <w:szCs w:val="21"/>
                <w:lang w:val="zh-CN"/>
              </w:rPr>
              <w:t>，邮箱：</w:t>
            </w:r>
            <w:r>
              <w:rPr>
                <w:rFonts w:hint="eastAsia" w:cs="宋体" w:asciiTheme="minorEastAsia" w:hAnsiTheme="minorEastAsia"/>
                <w:color w:val="333333"/>
                <w:szCs w:val="21"/>
              </w:rPr>
              <w:t>Y</w:t>
            </w:r>
            <w:r>
              <w:rPr>
                <w:rFonts w:hint="eastAsia" w:cs="宋体" w:asciiTheme="minorEastAsia" w:hAnsiTheme="minorEastAsia"/>
                <w:color w:val="333333"/>
                <w:szCs w:val="21"/>
                <w:lang w:val="en-US" w:eastAsia="zh-CN"/>
              </w:rPr>
              <w:t>Z</w:t>
            </w:r>
            <w:r>
              <w:rPr>
                <w:rFonts w:hint="eastAsia" w:cs="宋体" w:asciiTheme="minorEastAsia" w:hAnsiTheme="minorEastAsia"/>
                <w:color w:val="333333"/>
                <w:szCs w:val="21"/>
              </w:rPr>
              <w:t>GGZY2076770</w:t>
            </w:r>
            <w:r>
              <w:rPr>
                <w:rFonts w:hint="eastAsia" w:cs="宋体" w:asciiTheme="minorEastAsia" w:hAnsiTheme="minorEastAsia"/>
                <w:color w:val="333333"/>
                <w:szCs w:val="21"/>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供应商响应时须成功上传、加密电子响应文件。供应商资质、业绩、荣誉及相关人员证明材料等资料原件谈判现场不再提供（本谈判文件第六章另有要求提供原件的除外）。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28</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最后报价</w:t>
            </w:r>
          </w:p>
        </w:tc>
        <w:tc>
          <w:tcPr>
            <w:tcW w:w="6813" w:type="dxa"/>
            <w:vAlign w:val="center"/>
          </w:tcPr>
          <w:p>
            <w:pPr>
              <w:wordWrap w:val="0"/>
              <w:autoSpaceDE w:val="0"/>
              <w:autoSpaceDN w:val="0"/>
              <w:adjustRightInd w:val="0"/>
              <w:spacing w:line="360" w:lineRule="auto"/>
              <w:contextualSpacing/>
              <w:rPr>
                <w:rFonts w:ascii="ˎ̥" w:hAnsi="ˎ̥"/>
              </w:rPr>
            </w:pPr>
            <w:r>
              <w:rPr>
                <w:rFonts w:hint="eastAsia" w:ascii="ˎ̥" w:hAnsi="ˎ̥"/>
              </w:rPr>
              <w:t>根据谈判小组要求，供应商须使用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注：</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olor w:val="000000"/>
                <w:sz w:val="24"/>
                <w:szCs w:val="24"/>
              </w:rPr>
              <w:t>①谈判小组要求供应商提交最后报价时，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olor w:val="000000"/>
                <w:sz w:val="24"/>
                <w:szCs w:val="24"/>
              </w:rPr>
              <w:t>②采购文件第二章“采购需求”中“采购清单”以工程量清单提供的，供应商应以工程量清单方式提交最后报价。</w:t>
            </w:r>
          </w:p>
          <w:p>
            <w:pPr>
              <w:autoSpaceDE w:val="0"/>
              <w:autoSpaceDN w:val="0"/>
              <w:adjustRightInd w:val="0"/>
              <w:spacing w:line="360" w:lineRule="auto"/>
              <w:ind w:right="-11"/>
              <w:rPr>
                <w:rFonts w:ascii="ˎ̥" w:hAnsi="ˎ̥"/>
              </w:rPr>
            </w:pPr>
            <w:r>
              <w:rPr>
                <w:rFonts w:hint="eastAsia" w:ascii="楷体" w:hAnsi="楷体" w:eastAsia="楷体"/>
                <w:color w:val="000000"/>
                <w:sz w:val="24"/>
                <w:szCs w:val="24"/>
              </w:rPr>
              <w:t>③请供应商根据项目情况，可提前准备分项报价。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29</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9"/>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9"/>
        <w:numPr>
          <w:ilvl w:val="0"/>
          <w:numId w:val="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9"/>
        <w:numPr>
          <w:ilvl w:val="0"/>
          <w:numId w:val="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9"/>
        <w:autoSpaceDE w:val="0"/>
        <w:autoSpaceDN w:val="0"/>
        <w:spacing w:line="360" w:lineRule="auto"/>
        <w:ind w:left="780" w:firstLine="0" w:firstLineChars="0"/>
        <w:contextualSpacing/>
        <w:rPr>
          <w:rFonts w:cs="宋体" w:asciiTheme="minorEastAsia" w:hAnsiTheme="minorEastAsia"/>
          <w:kern w:val="0"/>
          <w:szCs w:val="21"/>
        </w:rPr>
      </w:pPr>
    </w:p>
    <w:p>
      <w:pPr>
        <w:pStyle w:val="49"/>
        <w:autoSpaceDE w:val="0"/>
        <w:autoSpaceDN w:val="0"/>
        <w:spacing w:line="360" w:lineRule="auto"/>
        <w:ind w:left="-424" w:leftChars="-202" w:firstLine="424" w:firstLineChars="201"/>
        <w:contextualSpacing/>
        <w:rPr>
          <w:rFonts w:cs="宋体" w:asciiTheme="minorEastAsia" w:hAnsiTheme="minorEastAsia"/>
          <w:b/>
          <w:kern w:val="0"/>
          <w:szCs w:val="21"/>
        </w:rPr>
      </w:pPr>
      <w:r>
        <w:rPr>
          <w:rFonts w:hint="eastAsia" w:cs="宋体" w:asciiTheme="minorEastAsia" w:hAnsiTheme="minorEastAsia"/>
          <w:b/>
          <w:kern w:val="0"/>
          <w:szCs w:val="21"/>
        </w:rPr>
        <w:t>2.定义</w:t>
      </w:r>
    </w:p>
    <w:p>
      <w:pPr>
        <w:pStyle w:val="49"/>
        <w:numPr>
          <w:ilvl w:val="0"/>
          <w:numId w:val="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9"/>
        <w:numPr>
          <w:ilvl w:val="1"/>
          <w:numId w:val="9"/>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autoSpaceDE w:val="0"/>
        <w:autoSpaceDN w:val="0"/>
        <w:spacing w:line="360" w:lineRule="auto"/>
        <w:ind w:firstLine="0" w:firstLineChars="0"/>
        <w:contextualSpacing/>
        <w:rPr>
          <w:rFonts w:cs="宋体" w:asciiTheme="minorEastAsia" w:hAnsiTheme="minorEastAsia"/>
          <w:b/>
          <w:kern w:val="0"/>
          <w:szCs w:val="21"/>
        </w:rPr>
      </w:pPr>
      <w:r>
        <w:rPr>
          <w:rFonts w:hint="eastAsia" w:cs="宋体" w:asciiTheme="minorEastAsia" w:hAnsiTheme="minorEastAsia"/>
          <w:b/>
          <w:kern w:val="0"/>
          <w:szCs w:val="21"/>
        </w:rPr>
        <w:t>3.合格的供应商</w:t>
      </w:r>
    </w:p>
    <w:p>
      <w:pPr>
        <w:pStyle w:val="49"/>
        <w:numPr>
          <w:ilvl w:val="0"/>
          <w:numId w:val="1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在中华人民共和国境内注册，具有本项目生产、制造、供应或实施能力，符合、承认并承诺履行本谈判文件各项规定的法人、其他组织或者自然人。</w:t>
      </w:r>
    </w:p>
    <w:p>
      <w:pPr>
        <w:pStyle w:val="49"/>
        <w:numPr>
          <w:ilvl w:val="1"/>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符合本项目“投标邀请”和“供应商须知前附表”中规定的合格供应商所必须具备的条件。</w:t>
      </w:r>
    </w:p>
    <w:p>
      <w:pPr>
        <w:pStyle w:val="49"/>
        <w:numPr>
          <w:ilvl w:val="1"/>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政府采购活动中查询及使用供应商信用记录的具体要求为：供应商未被列入失信被执行人、重大税收违法案件当事人名单、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9"/>
        <w:numPr>
          <w:ilvl w:val="0"/>
          <w:numId w:val="12"/>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HYPERLINK "http://www.chinanpo.gov.cn"</w:instrText>
      </w:r>
      <w:r>
        <w:fldChar w:fldCharType="separate"/>
      </w:r>
      <w:r>
        <w:rPr>
          <w:rStyle w:val="29"/>
          <w:rFonts w:cs="宋体" w:asciiTheme="minorEastAsia" w:hAnsiTheme="minorEastAsia"/>
          <w:kern w:val="0"/>
          <w:szCs w:val="21"/>
        </w:rPr>
        <w:t>www.chinanpo.gov.cn</w:t>
      </w:r>
      <w:r>
        <w:fldChar w:fldCharType="end"/>
      </w:r>
      <w:r>
        <w:rPr>
          <w:rFonts w:hint="eastAsia" w:cs="宋体" w:asciiTheme="minorEastAsia" w:hAnsiTheme="minorEastAsia"/>
          <w:kern w:val="0"/>
          <w:szCs w:val="21"/>
        </w:rPr>
        <w:t>）；</w:t>
      </w:r>
    </w:p>
    <w:p>
      <w:pPr>
        <w:pStyle w:val="49"/>
        <w:numPr>
          <w:ilvl w:val="0"/>
          <w:numId w:val="12"/>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截止时间：同谈判响应截止时间；</w:t>
      </w:r>
    </w:p>
    <w:p>
      <w:pPr>
        <w:pStyle w:val="49"/>
        <w:numPr>
          <w:ilvl w:val="0"/>
          <w:numId w:val="12"/>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信用信息查询记录和证据留存具体方式：经谈判小组确认的查询结果网页截图作为查询记录和证据，与其他采购文件一并保存；</w:t>
      </w:r>
    </w:p>
    <w:p>
      <w:pPr>
        <w:pStyle w:val="49"/>
        <w:numPr>
          <w:ilvl w:val="0"/>
          <w:numId w:val="12"/>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信用信息的使用原则：经谈判小组认定的被列入失信被执行人、重大税收违法案件当事人名单、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pStyle w:val="49"/>
        <w:numPr>
          <w:ilvl w:val="0"/>
          <w:numId w:val="12"/>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pPr>
        <w:pStyle w:val="49"/>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单位负责人为同一人或者存在直接控股、管理关系的不同供应商，不得同时参加本项目响应。违反规定的，相关响应均无效。</w:t>
      </w:r>
    </w:p>
    <w:p>
      <w:pPr>
        <w:pStyle w:val="49"/>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9"/>
        <w:numPr>
          <w:ilvl w:val="0"/>
          <w:numId w:val="13"/>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“投标邀请”和“供应商须知前附表”规定接受联合体投标的，除应符合本章第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9"/>
        <w:numPr>
          <w:ilvl w:val="0"/>
          <w:numId w:val="14"/>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在响应文件中向采购人提交联合体协议书，明确联合体各方承担的工作和义务；</w:t>
      </w:r>
    </w:p>
    <w:p>
      <w:pPr>
        <w:pStyle w:val="49"/>
        <w:numPr>
          <w:ilvl w:val="0"/>
          <w:numId w:val="14"/>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9"/>
        <w:numPr>
          <w:ilvl w:val="0"/>
          <w:numId w:val="14"/>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招标人根据采购项目的特殊要求规定供应商特定条件的，联合体各方中至少应当有一方符合采购规定的特定条件；</w:t>
      </w:r>
    </w:p>
    <w:p>
      <w:pPr>
        <w:pStyle w:val="49"/>
        <w:numPr>
          <w:ilvl w:val="0"/>
          <w:numId w:val="14"/>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9"/>
        <w:numPr>
          <w:ilvl w:val="0"/>
          <w:numId w:val="14"/>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hint="eastAsia"/>
        </w:rPr>
        <w:t>。</w:t>
      </w:r>
    </w:p>
    <w:p>
      <w:pPr>
        <w:pStyle w:val="49"/>
        <w:numPr>
          <w:ilvl w:val="0"/>
          <w:numId w:val="15"/>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9"/>
        <w:numPr>
          <w:ilvl w:val="0"/>
          <w:numId w:val="1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pPr>
        <w:pStyle w:val="49"/>
        <w:numPr>
          <w:ilvl w:val="0"/>
          <w:numId w:val="1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9"/>
        <w:numPr>
          <w:ilvl w:val="0"/>
          <w:numId w:val="1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9"/>
        <w:numPr>
          <w:ilvl w:val="0"/>
          <w:numId w:val="1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9"/>
        <w:numPr>
          <w:ilvl w:val="0"/>
          <w:numId w:val="1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9"/>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除标书费用外，不收取费用</w:t>
      </w:r>
      <w:r>
        <w:rPr>
          <w:rFonts w:hint="eastAsia" w:cs="宋体" w:asciiTheme="minorEastAsia" w:hAnsiTheme="minorEastAsia"/>
          <w:kern w:val="0"/>
          <w:szCs w:val="21"/>
        </w:rPr>
        <w:t>。</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本“供应商须知”的条款如与“采购邀请”、“采购需求”、“供应商须知前附表”和“对响应文件审查与评审”就同一内容的表述不一致的，以“采购邀请”、“ 采购需求”、“供应商须知前附表”和“对响应文件审查与评审”中规定的内容为准。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9"/>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（6）对响应文件审查与评审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9"/>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9"/>
        <w:numPr>
          <w:ilvl w:val="0"/>
          <w:numId w:val="1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pStyle w:val="49"/>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在谈判响应截止期前，无论出于何种原因，采购人可主动地或在解答供应商提出的澄清问题时对谈判文件进行修改。</w:t>
      </w:r>
    </w:p>
    <w:p>
      <w:pPr>
        <w:pStyle w:val="49"/>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9"/>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9"/>
        <w:numPr>
          <w:ilvl w:val="0"/>
          <w:numId w:val="1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9"/>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9"/>
        <w:numPr>
          <w:ilvl w:val="0"/>
          <w:numId w:val="1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9"/>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9"/>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9"/>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9"/>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pPr>
        <w:pStyle w:val="49"/>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9"/>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9"/>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9"/>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9"/>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采购人可根据实际情况，在原报价有效期截止之前，征询供应商是否同意延长响应文件的有效期，供应商同意延长的须作出书面答复。在延长的报价有效期内，供应商将不会被要求和允许修正其报价。</w:t>
      </w:r>
    </w:p>
    <w:p>
      <w:pPr>
        <w:pStyle w:val="49"/>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9"/>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9"/>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9"/>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9"/>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9"/>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9"/>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以A4幅面编上唯一的连贯页码，并在响应文件封面上注明：所投项目名称、项目编号、供应商名称、日期等字样。</w:t>
      </w:r>
    </w:p>
    <w:p>
      <w:pPr>
        <w:pStyle w:val="49"/>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9"/>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本项目不收取谈判保证金。</w:t>
      </w:r>
    </w:p>
    <w:p>
      <w:pPr>
        <w:pStyle w:val="49"/>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供应商应提供谈判承诺函。</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9"/>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9"/>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四、响应文件的提交</w:t>
      </w: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9"/>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供应商必须在“采购邀请”和“供应商须知前附表”中规定的响应截止时间前，将</w:t>
      </w:r>
      <w:r>
        <w:rPr>
          <w:rFonts w:hint="eastAsia" w:cs="仿宋_GB2312" w:asciiTheme="minorEastAsia" w:hAnsiTheme="minorEastAsia"/>
          <w:color w:val="000000"/>
          <w:szCs w:val="21"/>
        </w:rPr>
        <w:t>加密电子响应文件</w:t>
      </w:r>
      <w:r>
        <w:rPr>
          <w:rFonts w:hint="eastAsia" w:cs="宋体" w:asciiTheme="minorEastAsia" w:hAnsiTheme="minorEastAsia"/>
          <w:color w:val="000000"/>
          <w:szCs w:val="21"/>
        </w:rPr>
        <w:t>（</w:t>
      </w:r>
      <w:r>
        <w:rPr>
          <w:rFonts w:asciiTheme="minorEastAsia" w:hAnsiTheme="minorEastAsia"/>
          <w:color w:val="000000"/>
          <w:szCs w:val="21"/>
        </w:rPr>
        <w:t>.file</w:t>
      </w:r>
      <w:r>
        <w:rPr>
          <w:rFonts w:hint="eastAsia" w:cs="宋体" w:asciiTheme="minorEastAsia" w:hAnsiTheme="minorEastAsia"/>
          <w:color w:val="000000"/>
          <w:szCs w:val="21"/>
        </w:rPr>
        <w:t>格式）</w:t>
      </w:r>
      <w:r>
        <w:rPr>
          <w:rFonts w:hint="eastAsia" w:cs="仿宋_GB2312" w:asciiTheme="minorEastAsia" w:hAnsiTheme="minorEastAsia"/>
          <w:color w:val="000000"/>
          <w:szCs w:val="21"/>
        </w:rPr>
        <w:t>通过《全国公共资源交易平台(河南省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仿宋_GB2312" w:asciiTheme="minorEastAsia" w:hAnsiTheme="minorEastAsia"/>
          <w:color w:val="000000"/>
          <w:szCs w:val="21"/>
        </w:rPr>
        <w:t>)》公共资源交易系统成功上传</w:t>
      </w:r>
      <w:r>
        <w:rPr>
          <w:rFonts w:hint="eastAsia" w:cs="宋体" w:asciiTheme="minorEastAsia" w:hAnsiTheme="minorEastAsia"/>
          <w:kern w:val="0"/>
          <w:szCs w:val="21"/>
        </w:rPr>
        <w:t>。</w:t>
      </w:r>
      <w:r>
        <w:rPr>
          <w:rFonts w:hint="eastAsia" w:cs="微软雅黑"/>
          <w:color w:val="000000"/>
        </w:rPr>
        <w:t>在提交截止时间以后上传的响应文件，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9"/>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谈判响应文件截止时间之后上传的响应文件，采购人、集中采购机构将将拒绝接收。</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9"/>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供应商在谈判响应截止时间前，对所提交的响应文件进行补充、修改或者撤回的，须书面通知采购人和集中采购机构。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供应商应当在谈判响应截止时间前完成电子响应文件的提交，可以补充、修改或撤回。谈判响应截止时间前未完成电子响应文件提交的，视为撤回响应文件。</w:t>
      </w:r>
    </w:p>
    <w:p>
      <w:pPr>
        <w:pStyle w:val="49"/>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9"/>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供应商不得在响应有效期内撤销响应文件，否则供应商将承担违背响应承诺函的责任追究。</w:t>
      </w:r>
    </w:p>
    <w:p>
      <w:pPr>
        <w:autoSpaceDE w:val="0"/>
        <w:autoSpaceDN w:val="0"/>
        <w:spacing w:line="360" w:lineRule="auto"/>
        <w:ind w:left="420"/>
        <w:contextualSpacing/>
        <w:rPr>
          <w:rFonts w:cs="宋体" w:asciiTheme="minorEastAsia" w:hAnsiTheme="minorEastAsia"/>
          <w:kern w:val="0"/>
          <w:szCs w:val="21"/>
        </w:rPr>
      </w:pPr>
    </w:p>
    <w:p>
      <w:pPr>
        <w:pStyle w:val="49"/>
        <w:numPr>
          <w:ilvl w:val="0"/>
          <w:numId w:val="11"/>
        </w:numPr>
        <w:autoSpaceDE w:val="0"/>
        <w:autoSpaceDN w:val="0"/>
        <w:spacing w:line="360" w:lineRule="auto"/>
        <w:ind w:left="993" w:hanging="993"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9"/>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响应文件解密</w:t>
      </w:r>
    </w:p>
    <w:p>
      <w:pPr>
        <w:pStyle w:val="49"/>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采购人将按谈判文件规定的</w:t>
      </w: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和地点解密电子响应文件。由代理机构主持，供应商无须到现场。</w:t>
      </w:r>
    </w:p>
    <w:p>
      <w:pPr>
        <w:pStyle w:val="49"/>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，由代理机构开通远程不见面开标大厅及开启“文字互动”等功能；供应商、代理机构进行电子响应文件的解密。解密后</w:t>
      </w:r>
      <w:r>
        <w:rPr>
          <w:rFonts w:hint="eastAsia" w:asciiTheme="minorEastAsia" w:hAnsiTheme="minorEastAsia"/>
          <w:color w:val="000000"/>
          <w:szCs w:val="21"/>
        </w:rPr>
        <w:t>供应商选择功能栏“开标记录”按钮可查看</w:t>
      </w:r>
      <w:r>
        <w:rPr>
          <w:rFonts w:hint="eastAsia" w:cs="宋体" w:asciiTheme="minorEastAsia" w:hAnsiTheme="minorEastAsia"/>
          <w:kern w:val="0"/>
          <w:szCs w:val="21"/>
        </w:rPr>
        <w:t>供应商名称、修改和撤回投标的通知（如有的话）和谈判文件规定的需要宣布的其他内容。</w:t>
      </w:r>
    </w:p>
    <w:p>
      <w:pPr>
        <w:pStyle w:val="49"/>
        <w:numPr>
          <w:ilvl w:val="0"/>
          <w:numId w:val="29"/>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电子响应文件的解密：全流程电子化交易项目电子响应文件采用双重加密。解密需分标段进行两次解密。</w:t>
      </w:r>
    </w:p>
    <w:p>
      <w:pPr>
        <w:pStyle w:val="49"/>
        <w:numPr>
          <w:ilvl w:val="0"/>
          <w:numId w:val="30"/>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供应商解密：供应商使用本单位CA数字证书进行远程解密。</w:t>
      </w:r>
    </w:p>
    <w:p>
      <w:pPr>
        <w:pStyle w:val="49"/>
        <w:numPr>
          <w:ilvl w:val="0"/>
          <w:numId w:val="30"/>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49"/>
        <w:numPr>
          <w:ilvl w:val="0"/>
          <w:numId w:val="30"/>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asciiTheme="minorEastAsia" w:hAnsiTheme="minorEastAsia"/>
          <w:color w:val="000000"/>
          <w:szCs w:val="21"/>
        </w:rPr>
        <w:t>供应商未在规定时间内解密或</w:t>
      </w:r>
      <w:r>
        <w:rPr>
          <w:rFonts w:hint="eastAsia" w:cs="宋体" w:asciiTheme="minorEastAsia" w:hAnsiTheme="minorEastAsia"/>
          <w:kern w:val="0"/>
          <w:szCs w:val="21"/>
        </w:rPr>
        <w:t>因供应商原因解密失败的，其响应文件将被拒绝。</w:t>
      </w:r>
    </w:p>
    <w:p>
      <w:pPr>
        <w:pStyle w:val="49"/>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pStyle w:val="49"/>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响应文件解密过程由集中采购机构负责记录。</w:t>
      </w:r>
    </w:p>
    <w:p>
      <w:pPr>
        <w:pStyle w:val="49"/>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供应商对解密过程和记录有疑义，以及认为采购人、集中采购机构相关工作人员有需要回避的情形的，应当场提出询问或者回避申请。采购人、采购代理机构对供应商提出的询问或者回避申请应当及时处理。</w:t>
      </w:r>
    </w:p>
    <w:p>
      <w:pPr>
        <w:pStyle w:val="49"/>
        <w:numPr>
          <w:ilvl w:val="1"/>
          <w:numId w:val="28"/>
        </w:numPr>
        <w:autoSpaceDE w:val="0"/>
        <w:autoSpaceDN w:val="0"/>
        <w:spacing w:line="360" w:lineRule="auto"/>
        <w:ind w:hanging="964" w:firstLineChars="0"/>
        <w:contextualSpacing/>
        <w:rPr>
          <w:rFonts w:cs="宋体" w:asciiTheme="minorEastAsia" w:hAnsiTheme="minorEastAsia"/>
          <w:kern w:val="0"/>
          <w:szCs w:val="21"/>
        </w:rPr>
      </w:pPr>
      <w:r>
        <w:rPr>
          <w:rFonts w:hint="eastAsia" w:asciiTheme="minorEastAsia" w:hAnsiTheme="minorEastAsia"/>
          <w:color w:val="000000"/>
          <w:szCs w:val="21"/>
        </w:rPr>
        <w:t>响应文件</w:t>
      </w:r>
      <w:r>
        <w:rPr>
          <w:rFonts w:hint="eastAsia" w:hAnsi="宋体"/>
          <w:color w:val="000000"/>
          <w:szCs w:val="21"/>
        </w:rPr>
        <w:t>解密活动结束时，供应商应在《开标记录表》上进行电子签章。供应商未签章的，视同认可解密结果。</w:t>
      </w:r>
    </w:p>
    <w:p>
      <w:pPr>
        <w:pStyle w:val="49"/>
        <w:autoSpaceDE w:val="0"/>
        <w:autoSpaceDN w:val="0"/>
        <w:spacing w:line="360" w:lineRule="auto"/>
        <w:ind w:left="420" w:firstLine="0" w:firstLineChars="0"/>
        <w:contextualSpacing/>
        <w:rPr>
          <w:rFonts w:cs="宋体" w:asciiTheme="minorEastAsia" w:hAnsiTheme="minorEastAsia"/>
          <w:kern w:val="0"/>
          <w:szCs w:val="21"/>
        </w:rPr>
      </w:pP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9"/>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pStyle w:val="49"/>
        <w:numPr>
          <w:ilvl w:val="0"/>
          <w:numId w:val="33"/>
        </w:numPr>
        <w:autoSpaceDE w:val="0"/>
        <w:autoSpaceDN w:val="0"/>
        <w:spacing w:line="360" w:lineRule="auto"/>
        <w:ind w:hanging="1369"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pStyle w:val="49"/>
        <w:numPr>
          <w:ilvl w:val="0"/>
          <w:numId w:val="33"/>
        </w:numPr>
        <w:autoSpaceDE w:val="0"/>
        <w:autoSpaceDN w:val="0"/>
        <w:spacing w:line="360" w:lineRule="auto"/>
        <w:ind w:hanging="1369" w:firstLineChars="0"/>
        <w:contextualSpacing/>
        <w:rPr>
          <w:rFonts w:cs="宋体" w:asciiTheme="minorEastAsia" w:hAnsiTheme="minorEastAsia"/>
          <w:kern w:val="0"/>
          <w:szCs w:val="21"/>
        </w:rPr>
      </w:pP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9"/>
        <w:numPr>
          <w:ilvl w:val="1"/>
          <w:numId w:val="31"/>
        </w:numPr>
        <w:autoSpaceDE w:val="0"/>
        <w:autoSpaceDN w:val="0"/>
        <w:spacing w:line="360" w:lineRule="auto"/>
        <w:ind w:firstLineChars="0"/>
        <w:contextualSpacing/>
        <w:rPr>
          <w:rFonts w:ascii="ˎ̥" w:hAnsi="ˎ̥"/>
          <w:vanish/>
        </w:rPr>
      </w:pPr>
    </w:p>
    <w:p>
      <w:pPr>
        <w:pStyle w:val="49"/>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9"/>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pStyle w:val="49"/>
        <w:numPr>
          <w:ilvl w:val="0"/>
          <w:numId w:val="34"/>
        </w:numPr>
        <w:autoSpaceDE w:val="0"/>
        <w:autoSpaceDN w:val="0"/>
        <w:spacing w:line="360" w:lineRule="auto"/>
        <w:ind w:hanging="1369" w:firstLineChars="0"/>
        <w:contextualSpacing/>
        <w:rPr>
          <w:rFonts w:ascii="ˎ̥" w:hAnsi="ˎ̥"/>
        </w:rPr>
      </w:pPr>
      <w:r>
        <w:rPr>
          <w:rFonts w:hint="eastAsia" w:ascii="ˎ̥" w:hAnsi="ˎ̥"/>
        </w:rPr>
        <w:t>参加采购活动前三年内,与供应商存在劳动关系,或者担任过供应商的董事、监事,或者是供应商的控股股东或实际控制人；</w:t>
      </w:r>
    </w:p>
    <w:p>
      <w:pPr>
        <w:pStyle w:val="49"/>
        <w:numPr>
          <w:ilvl w:val="0"/>
          <w:numId w:val="34"/>
        </w:numPr>
        <w:autoSpaceDE w:val="0"/>
        <w:autoSpaceDN w:val="0"/>
        <w:spacing w:line="360" w:lineRule="auto"/>
        <w:ind w:hanging="1369" w:firstLineChars="0"/>
        <w:contextualSpacing/>
        <w:rPr>
          <w:rFonts w:ascii="ˎ̥" w:hAnsi="ˎ̥"/>
        </w:rPr>
      </w:pPr>
      <w:r>
        <w:rPr>
          <w:rFonts w:hint="eastAsia" w:ascii="ˎ̥" w:hAnsi="ˎ̥"/>
        </w:rPr>
        <w:t>与供应商的法定代表人或者负责人有夫妻、直系血亲、三代以内旁系血亲或者近姻亲关系；</w:t>
      </w:r>
    </w:p>
    <w:p>
      <w:pPr>
        <w:pStyle w:val="49"/>
        <w:numPr>
          <w:ilvl w:val="0"/>
          <w:numId w:val="34"/>
        </w:numPr>
        <w:autoSpaceDE w:val="0"/>
        <w:autoSpaceDN w:val="0"/>
        <w:spacing w:line="360" w:lineRule="auto"/>
        <w:ind w:hanging="1369" w:firstLineChars="0"/>
        <w:contextualSpacing/>
        <w:rPr>
          <w:rFonts w:ascii="ˎ̥" w:hAnsi="ˎ̥"/>
        </w:rPr>
      </w:pPr>
      <w:r>
        <w:rPr>
          <w:rFonts w:hint="eastAsia" w:ascii="ˎ̥" w:hAnsi="ˎ̥"/>
        </w:rPr>
        <w:t>与供应商有其他可能影响政府采购活动公平、公正进行的关系。</w:t>
      </w:r>
    </w:p>
    <w:p>
      <w:pPr>
        <w:pStyle w:val="49"/>
        <w:numPr>
          <w:ilvl w:val="0"/>
          <w:numId w:val="35"/>
        </w:numPr>
        <w:autoSpaceDE w:val="0"/>
        <w:autoSpaceDN w:val="0"/>
        <w:spacing w:line="360" w:lineRule="auto"/>
        <w:ind w:firstLineChars="0"/>
        <w:contextualSpacing/>
        <w:rPr>
          <w:rFonts w:cs="宋体" w:asciiTheme="minorEastAsia" w:hAnsiTheme="minorEastAsia"/>
          <w:vanish/>
          <w:kern w:val="0"/>
          <w:szCs w:val="21"/>
        </w:rPr>
      </w:pPr>
    </w:p>
    <w:p>
      <w:pPr>
        <w:pStyle w:val="49"/>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9"/>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9"/>
        <w:numPr>
          <w:ilvl w:val="0"/>
          <w:numId w:val="3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9"/>
        <w:numPr>
          <w:ilvl w:val="0"/>
          <w:numId w:val="3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9"/>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9"/>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9"/>
        <w:numPr>
          <w:ilvl w:val="0"/>
          <w:numId w:val="11"/>
        </w:numPr>
        <w:autoSpaceDE w:val="0"/>
        <w:autoSpaceDN w:val="0"/>
        <w:spacing w:line="360" w:lineRule="auto"/>
        <w:ind w:firstLineChars="0"/>
        <w:contextualSpacing/>
        <w:rPr>
          <w:rFonts w:cs="宋体" w:asciiTheme="minorEastAsia" w:hAnsiTheme="minorEastAsia"/>
          <w:vanish/>
          <w:kern w:val="0"/>
          <w:szCs w:val="21"/>
        </w:rPr>
      </w:pPr>
    </w:p>
    <w:p>
      <w:pPr>
        <w:pStyle w:val="49"/>
        <w:numPr>
          <w:ilvl w:val="0"/>
          <w:numId w:val="11"/>
        </w:numPr>
        <w:autoSpaceDE w:val="0"/>
        <w:autoSpaceDN w:val="0"/>
        <w:spacing w:line="360" w:lineRule="auto"/>
        <w:ind w:firstLineChars="0"/>
        <w:contextualSpacing/>
        <w:rPr>
          <w:rFonts w:cs="宋体" w:asciiTheme="minorEastAsia" w:hAnsiTheme="minorEastAsia"/>
          <w:vanish/>
          <w:kern w:val="0"/>
          <w:szCs w:val="21"/>
        </w:rPr>
      </w:pPr>
    </w:p>
    <w:p>
      <w:pPr>
        <w:pStyle w:val="49"/>
        <w:numPr>
          <w:ilvl w:val="1"/>
          <w:numId w:val="11"/>
        </w:numPr>
        <w:autoSpaceDE w:val="0"/>
        <w:autoSpaceDN w:val="0"/>
        <w:spacing w:line="360" w:lineRule="auto"/>
        <w:ind w:firstLineChars="0"/>
        <w:contextualSpacing/>
        <w:rPr>
          <w:rFonts w:cs="宋体" w:asciiTheme="minorEastAsia" w:hAnsiTheme="minorEastAsia"/>
          <w:vanish/>
          <w:kern w:val="0"/>
          <w:szCs w:val="21"/>
        </w:rPr>
      </w:pPr>
    </w:p>
    <w:p>
      <w:pPr>
        <w:pStyle w:val="49"/>
        <w:numPr>
          <w:ilvl w:val="0"/>
          <w:numId w:val="3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符合性审查：依据谈判文件的规定，从响应文件的有效性、完整性和对谈判文件的响应程度进行审查，以确定是否对谈判文件的全部实质性要求作出响应。</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3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9"/>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9"/>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。供应商的澄清、说明或者补正不得超出</w:t>
      </w:r>
      <w:r>
        <w:rPr>
          <w:rFonts w:hint="eastAsia" w:cs="宋体" w:asciiTheme="minorEastAsia" w:hAnsiTheme="minorEastAsia"/>
          <w:kern w:val="0"/>
          <w:szCs w:val="21"/>
        </w:rPr>
        <w:t>投标文件的范围或者改变响应文件的实质性内容。</w:t>
      </w:r>
    </w:p>
    <w:p>
      <w:pPr>
        <w:pStyle w:val="49"/>
        <w:numPr>
          <w:ilvl w:val="0"/>
          <w:numId w:val="37"/>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3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9"/>
        <w:numPr>
          <w:ilvl w:val="1"/>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9"/>
        <w:numPr>
          <w:ilvl w:val="1"/>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9"/>
        <w:numPr>
          <w:ilvl w:val="1"/>
          <w:numId w:val="38"/>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3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9"/>
        <w:numPr>
          <w:ilvl w:val="0"/>
          <w:numId w:val="3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0"/>
        </w:numPr>
        <w:autoSpaceDE w:val="0"/>
        <w:autoSpaceDN w:val="0"/>
        <w:spacing w:line="360" w:lineRule="auto"/>
        <w:ind w:firstLine="0" w:firstLineChars="0"/>
        <w:contextualSpacing/>
        <w:rPr>
          <w:rFonts w:cs="宋体" w:asciiTheme="minorEastAsia" w:hAnsiTheme="minorEastAsia"/>
          <w:vanish/>
          <w:kern w:val="0"/>
          <w:szCs w:val="21"/>
        </w:rPr>
      </w:pPr>
    </w:p>
    <w:p>
      <w:pPr>
        <w:pStyle w:val="49"/>
        <w:numPr>
          <w:ilvl w:val="0"/>
          <w:numId w:val="41"/>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未按照谈判文件的规定提交响应承诺函的；</w:t>
      </w:r>
    </w:p>
    <w:p>
      <w:pPr>
        <w:pStyle w:val="49"/>
        <w:numPr>
          <w:ilvl w:val="0"/>
          <w:numId w:val="41"/>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响应文件未按谈判文件要求签署、盖章的；</w:t>
      </w:r>
    </w:p>
    <w:p>
      <w:pPr>
        <w:pStyle w:val="49"/>
        <w:numPr>
          <w:ilvl w:val="0"/>
          <w:numId w:val="41"/>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不具备谈判文件中规定的资格要求的；</w:t>
      </w:r>
    </w:p>
    <w:p>
      <w:pPr>
        <w:pStyle w:val="49"/>
        <w:numPr>
          <w:ilvl w:val="0"/>
          <w:numId w:val="41"/>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报价超过谈判文件中规定的预算金额的；</w:t>
      </w:r>
    </w:p>
    <w:p>
      <w:pPr>
        <w:pStyle w:val="49"/>
        <w:numPr>
          <w:ilvl w:val="0"/>
          <w:numId w:val="41"/>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投标文件内容模糊清，无法辨认的；</w:t>
      </w:r>
    </w:p>
    <w:p>
      <w:pPr>
        <w:pStyle w:val="49"/>
        <w:numPr>
          <w:ilvl w:val="0"/>
          <w:numId w:val="41"/>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9"/>
        <w:numPr>
          <w:ilvl w:val="0"/>
          <w:numId w:val="3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9"/>
        <w:numPr>
          <w:ilvl w:val="0"/>
          <w:numId w:val="42"/>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不同供应商的响应文件由同一单位或者个人编制；</w:t>
      </w:r>
    </w:p>
    <w:p>
      <w:pPr>
        <w:pStyle w:val="49"/>
        <w:numPr>
          <w:ilvl w:val="0"/>
          <w:numId w:val="42"/>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不同供应商委托同一单位或者个人办理响应事宜；</w:t>
      </w:r>
    </w:p>
    <w:p>
      <w:pPr>
        <w:pStyle w:val="49"/>
        <w:numPr>
          <w:ilvl w:val="0"/>
          <w:numId w:val="42"/>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不同供应商的响应文件载明的项目管理成员或者联系人员为同一人；</w:t>
      </w:r>
    </w:p>
    <w:p>
      <w:pPr>
        <w:pStyle w:val="49"/>
        <w:numPr>
          <w:ilvl w:val="0"/>
          <w:numId w:val="42"/>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不同供应商的响应文件异常一致或者投标报价呈规律性差异；</w:t>
      </w:r>
    </w:p>
    <w:p>
      <w:pPr>
        <w:pStyle w:val="49"/>
        <w:numPr>
          <w:ilvl w:val="0"/>
          <w:numId w:val="42"/>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不同供应商的响应文件相互混装。</w:t>
      </w:r>
    </w:p>
    <w:p>
      <w:pPr>
        <w:pStyle w:val="49"/>
        <w:numPr>
          <w:ilvl w:val="0"/>
          <w:numId w:val="3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按照《关于推进全流程电子化交易和在线监管工作有关问题的通知》（许公管办[2019]3号）规定，不同供应商电子响应文件制作硬件特征码（网卡MAC地址、CPU序号、硬盘序列号）均一致时，视为‘</w:t>
      </w:r>
      <w:r>
        <w:rPr>
          <w:rFonts w:cs="宋体" w:asciiTheme="minorEastAsia" w:hAnsiTheme="minorEastAsia"/>
          <w:kern w:val="0"/>
          <w:szCs w:val="21"/>
        </w:rPr>
        <w:t>不同</w:t>
      </w:r>
      <w:r>
        <w:rPr>
          <w:rFonts w:hint="eastAsia" w:cs="宋体" w:asciiTheme="minorEastAsia" w:hAnsiTheme="minorEastAsia"/>
          <w:kern w:val="0"/>
          <w:szCs w:val="21"/>
        </w:rPr>
        <w:t>供应商</w:t>
      </w:r>
      <w:r>
        <w:rPr>
          <w:rFonts w:cs="宋体" w:asciiTheme="minorEastAsia" w:hAnsiTheme="minorEastAsia"/>
          <w:kern w:val="0"/>
          <w:szCs w:val="21"/>
        </w:rPr>
        <w:t>的</w:t>
      </w:r>
      <w:r>
        <w:rPr>
          <w:rFonts w:hint="eastAsia" w:cs="宋体" w:asciiTheme="minorEastAsia" w:hAnsiTheme="minorEastAsia"/>
          <w:kern w:val="0"/>
          <w:szCs w:val="21"/>
        </w:rPr>
        <w:t>响应</w:t>
      </w:r>
      <w:r>
        <w:rPr>
          <w:rFonts w:cs="宋体" w:asciiTheme="minorEastAsia" w:hAnsiTheme="minorEastAsia"/>
          <w:kern w:val="0"/>
          <w:szCs w:val="21"/>
        </w:rPr>
        <w:t>文件由同一单位或者个人编制</w:t>
      </w:r>
      <w:r>
        <w:rPr>
          <w:rFonts w:hint="eastAsia" w:cs="宋体" w:asciiTheme="minorEastAsia" w:hAnsiTheme="minorEastAsia"/>
          <w:kern w:val="0"/>
          <w:szCs w:val="21"/>
        </w:rPr>
        <w:t>’或‘</w:t>
      </w:r>
      <w:r>
        <w:rPr>
          <w:rFonts w:cs="宋体" w:asciiTheme="minorEastAsia" w:hAnsiTheme="minorEastAsia"/>
          <w:kern w:val="0"/>
          <w:szCs w:val="21"/>
        </w:rPr>
        <w:t>不同</w:t>
      </w:r>
      <w:r>
        <w:rPr>
          <w:rFonts w:hint="eastAsia" w:cs="宋体" w:asciiTheme="minorEastAsia" w:hAnsiTheme="minorEastAsia"/>
          <w:kern w:val="0"/>
          <w:szCs w:val="21"/>
        </w:rPr>
        <w:t>供应商</w:t>
      </w:r>
      <w:r>
        <w:rPr>
          <w:rFonts w:cs="宋体" w:asciiTheme="minorEastAsia" w:hAnsiTheme="minorEastAsia"/>
          <w:kern w:val="0"/>
          <w:szCs w:val="21"/>
        </w:rPr>
        <w:t>委托同一单位或者个人办理</w:t>
      </w:r>
      <w:r>
        <w:rPr>
          <w:rFonts w:hint="eastAsia" w:cs="宋体" w:asciiTheme="minorEastAsia" w:hAnsiTheme="minorEastAsia"/>
          <w:kern w:val="0"/>
          <w:szCs w:val="21"/>
        </w:rPr>
        <w:t>响应</w:t>
      </w:r>
      <w:r>
        <w:rPr>
          <w:rFonts w:cs="宋体" w:asciiTheme="minorEastAsia" w:hAnsiTheme="minorEastAsia"/>
          <w:kern w:val="0"/>
          <w:szCs w:val="21"/>
        </w:rPr>
        <w:t>事宜</w:t>
      </w:r>
      <w:r>
        <w:rPr>
          <w:rFonts w:hint="eastAsia" w:cs="宋体" w:asciiTheme="minorEastAsia" w:hAnsiTheme="minorEastAsia"/>
          <w:kern w:val="0"/>
          <w:szCs w:val="21"/>
        </w:rPr>
        <w:t>’，其谈判响应无效。</w:t>
      </w:r>
    </w:p>
    <w:p>
      <w:pPr>
        <w:pStyle w:val="49"/>
        <w:numPr>
          <w:ilvl w:val="0"/>
          <w:numId w:val="39"/>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r>
        <w:rPr>
          <w:rFonts w:hint="eastAsia" w:cs="宋体" w:asciiTheme="minorEastAsia" w:hAnsiTheme="minorEastAsia"/>
          <w:kern w:val="0"/>
          <w:szCs w:val="21"/>
        </w:rPr>
        <w:t>。</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3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9"/>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9"/>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微软雅黑"/>
          <w:color w:val="000000"/>
        </w:rPr>
        <w:t>在谈判中，谈判的任何一方不得透露与谈判有关的其他供应商的技术资料、价格和其他信息。</w:t>
      </w:r>
    </w:p>
    <w:p>
      <w:pPr>
        <w:pStyle w:val="49"/>
        <w:numPr>
          <w:ilvl w:val="0"/>
          <w:numId w:val="43"/>
        </w:numPr>
        <w:autoSpaceDE w:val="0"/>
        <w:autoSpaceDN w:val="0"/>
        <w:spacing w:line="360" w:lineRule="auto"/>
        <w:ind w:left="993" w:hanging="993" w:firstLineChars="0"/>
        <w:contextualSpacing/>
        <w:rPr>
          <w:rFonts w:cs="微软雅黑"/>
          <w:color w:val="000000"/>
        </w:rPr>
      </w:pPr>
      <w:r>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cs="微软雅黑"/>
          <w:color w:val="000000"/>
        </w:rPr>
        <w:t>。</w:t>
      </w:r>
      <w:r>
        <w:rPr>
          <w:rFonts w:cs="微软雅黑"/>
          <w:color w:val="000000"/>
        </w:rPr>
        <w:t>对谈判文件作出的实质性变动是谈判文件的有效组成部分，谈判小组应当及时以书面形式同时通知所有参加谈判的供应商</w:t>
      </w:r>
      <w:r>
        <w:rPr>
          <w:rFonts w:hint="eastAsia" w:cs="微软雅黑"/>
          <w:color w:val="000000"/>
        </w:rPr>
        <w:t>。</w:t>
      </w:r>
    </w:p>
    <w:p>
      <w:pPr>
        <w:pStyle w:val="49"/>
        <w:numPr>
          <w:ilvl w:val="0"/>
          <w:numId w:val="43"/>
        </w:numPr>
        <w:autoSpaceDE w:val="0"/>
        <w:autoSpaceDN w:val="0"/>
        <w:spacing w:line="360" w:lineRule="auto"/>
        <w:ind w:left="964" w:hanging="993" w:firstLineChars="0"/>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9"/>
        <w:numPr>
          <w:ilvl w:val="0"/>
          <w:numId w:val="43"/>
        </w:numPr>
        <w:autoSpaceDE w:val="0"/>
        <w:autoSpaceDN w:val="0"/>
        <w:spacing w:line="360" w:lineRule="auto"/>
        <w:ind w:left="964" w:hanging="993"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r>
        <w:rPr>
          <w:rFonts w:hint="eastAsia" w:cs="宋体" w:asciiTheme="minorEastAsia" w:hAnsiTheme="minorEastAsia"/>
          <w:kern w:val="0"/>
          <w:szCs w:val="21"/>
        </w:rPr>
        <w:t>（如符合《《政府采购非招标采购方式管理办法》》（财政部令第74号）第二十七条第二款中的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9"/>
        <w:numPr>
          <w:ilvl w:val="0"/>
          <w:numId w:val="43"/>
        </w:numPr>
        <w:autoSpaceDE w:val="0"/>
        <w:autoSpaceDN w:val="0"/>
        <w:spacing w:line="360" w:lineRule="auto"/>
        <w:ind w:left="964" w:hanging="993" w:firstLineChars="0"/>
        <w:contextualSpacing/>
        <w:rPr>
          <w:rFonts w:ascii="ˎ̥" w:hAnsi="ˎ̥"/>
        </w:rPr>
      </w:pPr>
      <w:r>
        <w:rPr>
          <w:rFonts w:ascii="ˎ̥" w:hAnsi="ˎ̥"/>
        </w:rPr>
        <w:t>最后报价是供应商响应文件的有效组成部分。</w:t>
      </w:r>
    </w:p>
    <w:p>
      <w:pPr>
        <w:pStyle w:val="49"/>
        <w:numPr>
          <w:ilvl w:val="0"/>
          <w:numId w:val="43"/>
        </w:numPr>
        <w:autoSpaceDE w:val="0"/>
        <w:autoSpaceDN w:val="0"/>
        <w:spacing w:line="360" w:lineRule="auto"/>
        <w:ind w:left="964" w:hanging="993" w:firstLineChars="0"/>
        <w:contextualSpacing/>
        <w:rPr>
          <w:rFonts w:ascii="ˎ̥" w:hAnsi="ˎ̥"/>
        </w:rPr>
      </w:pPr>
      <w:r>
        <w:rPr>
          <w:rFonts w:ascii="ˎ̥" w:hAnsi="ˎ̥"/>
        </w:rPr>
        <w:t>已提交响应文件的供应商，在提交最后报价之前，可以根据谈判情况退出谈判</w:t>
      </w:r>
      <w:r>
        <w:rPr>
          <w:rFonts w:hint="eastAsia" w:ascii="ˎ̥" w:hAnsi="ˎ̥"/>
        </w:rPr>
        <w:t>。</w:t>
      </w:r>
    </w:p>
    <w:p>
      <w:pPr>
        <w:pStyle w:val="49"/>
        <w:numPr>
          <w:ilvl w:val="0"/>
          <w:numId w:val="43"/>
        </w:numPr>
        <w:autoSpaceDE w:val="0"/>
        <w:autoSpaceDN w:val="0"/>
        <w:spacing w:line="360" w:lineRule="auto"/>
        <w:ind w:left="964" w:hanging="993"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9"/>
        <w:autoSpaceDE w:val="0"/>
        <w:autoSpaceDN w:val="0"/>
        <w:spacing w:line="360" w:lineRule="auto"/>
        <w:ind w:left="964" w:firstLine="0" w:firstLineChars="0"/>
        <w:contextualSpacing/>
        <w:rPr>
          <w:rFonts w:ascii="ˎ̥" w:hAnsi="ˎ̥"/>
        </w:rPr>
      </w:pPr>
    </w:p>
    <w:p>
      <w:pPr>
        <w:pStyle w:val="49"/>
        <w:numPr>
          <w:ilvl w:val="0"/>
          <w:numId w:val="3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9"/>
        <w:autoSpaceDE w:val="0"/>
        <w:autoSpaceDN w:val="0"/>
        <w:spacing w:line="360" w:lineRule="auto"/>
        <w:ind w:left="991" w:leftChars="47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9"/>
        <w:numPr>
          <w:ilvl w:val="0"/>
          <w:numId w:val="3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9"/>
        <w:numPr>
          <w:ilvl w:val="0"/>
          <w:numId w:val="44"/>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9"/>
        <w:numPr>
          <w:ilvl w:val="0"/>
          <w:numId w:val="44"/>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3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终止采购活动的情形</w:t>
      </w:r>
    </w:p>
    <w:p>
      <w:pPr>
        <w:pStyle w:val="49"/>
        <w:autoSpaceDE w:val="0"/>
        <w:autoSpaceDN w:val="0"/>
        <w:spacing w:line="360" w:lineRule="auto"/>
        <w:ind w:left="993" w:firstLine="0"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9"/>
        <w:numPr>
          <w:ilvl w:val="0"/>
          <w:numId w:val="38"/>
        </w:numPr>
        <w:autoSpaceDE w:val="0"/>
        <w:autoSpaceDN w:val="0"/>
        <w:spacing w:line="360" w:lineRule="auto"/>
        <w:ind w:firstLineChars="0"/>
        <w:contextualSpacing/>
        <w:rPr>
          <w:rFonts w:cs="宋体" w:asciiTheme="minorEastAsia" w:hAnsiTheme="minorEastAsia"/>
          <w:vanish/>
          <w:kern w:val="0"/>
          <w:szCs w:val="21"/>
        </w:rPr>
      </w:pPr>
    </w:p>
    <w:p>
      <w:pPr>
        <w:pStyle w:val="49"/>
        <w:numPr>
          <w:ilvl w:val="0"/>
          <w:numId w:val="45"/>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因情况变化，不再符合规定的竞争性谈判采购方式适用情形的；</w:t>
      </w:r>
    </w:p>
    <w:p>
      <w:pPr>
        <w:pStyle w:val="49"/>
        <w:numPr>
          <w:ilvl w:val="0"/>
          <w:numId w:val="45"/>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出现影响采购公正的违法、违规行为的</w:t>
      </w:r>
      <w:r>
        <w:rPr>
          <w:rFonts w:hint="eastAsia" w:asciiTheme="minorEastAsia" w:hAnsiTheme="minorEastAsia"/>
        </w:rPr>
        <w:t>；</w:t>
      </w:r>
    </w:p>
    <w:p>
      <w:pPr>
        <w:pStyle w:val="49"/>
        <w:numPr>
          <w:ilvl w:val="0"/>
          <w:numId w:val="45"/>
        </w:numPr>
        <w:autoSpaceDE w:val="0"/>
        <w:autoSpaceDN w:val="0"/>
        <w:spacing w:line="360" w:lineRule="auto"/>
        <w:ind w:left="993" w:hanging="993" w:firstLineChars="0"/>
        <w:contextualSpacing/>
        <w:rPr>
          <w:rFonts w:asciiTheme="minorEastAsia" w:hAnsiTheme="minorEastAsia"/>
        </w:rPr>
      </w:pPr>
      <w:r>
        <w:rPr>
          <w:rFonts w:hint="eastAsia" w:asciiTheme="minorEastAsia" w:hAnsiTheme="minorEastAsia"/>
        </w:rPr>
        <w:t>在采购过程中符合竞争要求的供应商或者报价未超过采购预算的供应商不足3家的，但《政府采购非招标采购方式管理办法》第二十七条第二款规定的情形除外。</w:t>
      </w:r>
    </w:p>
    <w:p>
      <w:pPr>
        <w:pStyle w:val="49"/>
        <w:autoSpaceDE w:val="0"/>
        <w:autoSpaceDN w:val="0"/>
        <w:spacing w:line="360" w:lineRule="auto"/>
        <w:ind w:left="964" w:firstLine="0" w:firstLineChars="0"/>
        <w:contextualSpacing/>
        <w:rPr>
          <w:rFonts w:ascii="ˎ̥" w:hAnsi="ˎ̥"/>
        </w:rPr>
      </w:pPr>
    </w:p>
    <w:p>
      <w:pPr>
        <w:pStyle w:val="49"/>
        <w:numPr>
          <w:ilvl w:val="0"/>
          <w:numId w:val="4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9"/>
        <w:numPr>
          <w:ilvl w:val="0"/>
          <w:numId w:val="4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9"/>
        <w:numPr>
          <w:ilvl w:val="0"/>
          <w:numId w:val="4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9"/>
        <w:numPr>
          <w:ilvl w:val="0"/>
          <w:numId w:val="4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9"/>
        <w:numPr>
          <w:ilvl w:val="0"/>
          <w:numId w:val="4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9"/>
        <w:numPr>
          <w:ilvl w:val="0"/>
          <w:numId w:val="50"/>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pStyle w:val="49"/>
        <w:numPr>
          <w:ilvl w:val="0"/>
          <w:numId w:val="51"/>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对采购过程提出质疑的，为各采购程序环节结束之日起七个工作日内，以书面形式向采购人和采购代理机构一次性提出；</w:t>
      </w:r>
    </w:p>
    <w:p>
      <w:pPr>
        <w:pStyle w:val="49"/>
        <w:numPr>
          <w:ilvl w:val="0"/>
          <w:numId w:val="51"/>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对成交结果提出质疑的，为成交结果公告期限届满之日起七个工作日内，以书面形式向采购人和采购代理机构一次性提出。</w:t>
      </w:r>
    </w:p>
    <w:p>
      <w:pPr>
        <w:pStyle w:val="49"/>
        <w:numPr>
          <w:ilvl w:val="0"/>
          <w:numId w:val="49"/>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pStyle w:val="49"/>
        <w:numPr>
          <w:ilvl w:val="0"/>
          <w:numId w:val="52"/>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pStyle w:val="49"/>
        <w:numPr>
          <w:ilvl w:val="0"/>
          <w:numId w:val="52"/>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9"/>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9"/>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9"/>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9"/>
        <w:autoSpaceDE w:val="0"/>
        <w:autoSpaceDN w:val="0"/>
        <w:spacing w:line="360" w:lineRule="auto"/>
        <w:ind w:left="964" w:firstLine="0" w:firstLineChars="0"/>
        <w:contextualSpacing/>
        <w:rPr>
          <w:rFonts w:cs="宋体" w:asciiTheme="minorEastAsia" w:hAnsiTheme="minorEastAsia"/>
          <w:kern w:val="0"/>
          <w:szCs w:val="21"/>
        </w:rPr>
      </w:pPr>
    </w:p>
    <w:p>
      <w:pPr>
        <w:pStyle w:val="49"/>
        <w:numPr>
          <w:ilvl w:val="0"/>
          <w:numId w:val="4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6"/>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6"/>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6"/>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对响应文件审查与评审</w:t>
      </w:r>
    </w:p>
    <w:p>
      <w:pPr>
        <w:pStyle w:val="16"/>
        <w:spacing w:line="360" w:lineRule="auto"/>
        <w:contextualSpacing/>
        <w:rPr>
          <w:rFonts w:cs="仿宋_GB2312" w:asciiTheme="minorEastAsia" w:hAnsiTheme="minorEastAsia"/>
          <w:lang w:val="zh-CN"/>
        </w:rPr>
      </w:pPr>
    </w:p>
    <w:p>
      <w:pPr>
        <w:pStyle w:val="16"/>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r>
        <w:rPr>
          <w:rFonts w:hint="eastAsia" w:cs="宋体" w:asciiTheme="minorEastAsia" w:hAnsiTheme="minorEastAsia"/>
          <w:kern w:val="0"/>
          <w:szCs w:val="21"/>
        </w:rPr>
        <w:t>（如符合《《政府采购非招标采购方式管理办法》》（财政部令第74号）第二十七条第二款中的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注：（1）资格证明材料（本栏所列内容为本项目的资格审查条件，如有一项不符合要求，则不能进入下一步评审）。</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（2）资格审查中所涉及到的证书及材料，均须在电子投标文件中提供原件扫描件（或图片）。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参考谈判文件第八章3.1格式填写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①与本项目响应相关设备的购置发票、专业技术人员职称证书、用工合同等；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wordWrap w:val="0"/>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Cs w:val="21"/>
              </w:rPr>
              <w:t>www.creditchina.gov.cn</w:t>
            </w:r>
            <w:r>
              <w:rPr>
                <w:rStyle w:val="29"/>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响应承诺函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供应商以响应承诺函的形式替代响应保证金。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谈判文件接受联合体响应且供应商为联合体的，供应商应提供本协议；否则无须提供。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供应商提供与参加本项目响应的其他供应商之间，单位负责人不为同一人并且不存在直接控股、管理关系承诺函（承诺函格式自拟）。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为本项目提供整体设计、规范编制或者项目管理、监理、检测等服务的供应商不得参加本项目响应</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6"/>
        <w:spacing w:line="360" w:lineRule="auto"/>
        <w:ind w:firstLine="482" w:firstLineChars="200"/>
        <w:contextualSpacing/>
        <w:rPr>
          <w:rFonts w:cs="仿宋_GB2312" w:asciiTheme="minorEastAsia" w:hAnsiTheme="minorEastAsia" w:eastAsiaTheme="minorEastAsia"/>
          <w:b/>
          <w:szCs w:val="24"/>
          <w:lang w:val="zh-CN"/>
        </w:rPr>
      </w:pP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二、对响应文件评审</w:t>
      </w:r>
    </w:p>
    <w:p>
      <w:pPr>
        <w:pStyle w:val="16"/>
        <w:spacing w:line="360" w:lineRule="auto"/>
        <w:ind w:firstLine="422" w:firstLineChars="200"/>
        <w:contextualSpacing/>
        <w:rPr>
          <w:rFonts w:asciiTheme="minorEastAsia" w:hAnsiTheme="minorEastAsia" w:eastAsiaTheme="minorEastAsia"/>
          <w:bCs/>
          <w:sz w:val="21"/>
          <w:szCs w:val="21"/>
        </w:rPr>
      </w:pPr>
      <w:r>
        <w:rPr>
          <w:rFonts w:hint="eastAsia" w:cs="仿宋_GB2312" w:asciiTheme="minorEastAsia" w:hAnsiTheme="minorEastAsia" w:eastAsiaTheme="minorEastAsia"/>
          <w:b/>
          <w:sz w:val="21"/>
          <w:szCs w:val="21"/>
          <w:lang w:val="zh-CN"/>
        </w:rPr>
        <w:t>（一）审查响应文件</w:t>
      </w:r>
    </w:p>
    <w:p>
      <w:pPr>
        <w:pStyle w:val="16"/>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文件是否符合</w:t>
      </w:r>
      <w:r>
        <w:rPr>
          <w:rFonts w:hint="eastAsia" w:cs="仿宋_GB2312" w:asciiTheme="minorEastAsia" w:hAnsiTheme="minorEastAsia" w:eastAsiaTheme="minorEastAsia"/>
          <w:b/>
          <w:sz w:val="21"/>
          <w:szCs w:val="21"/>
          <w:lang w:val="zh-CN"/>
        </w:rPr>
        <w:t>谈判</w:t>
      </w:r>
      <w:r>
        <w:rPr>
          <w:rFonts w:cs="仿宋_GB2312" w:asciiTheme="minorEastAsia" w:hAnsiTheme="minorEastAsia" w:eastAsiaTheme="minorEastAsia"/>
          <w:b/>
          <w:sz w:val="21"/>
          <w:szCs w:val="21"/>
          <w:lang w:val="zh-CN"/>
        </w:rPr>
        <w:t>文件的商务、技术等实质性要求；</w:t>
      </w:r>
    </w:p>
    <w:p>
      <w:pPr>
        <w:pStyle w:val="16"/>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谈判小组对符合资格的投标人的响应文件进行审查，以确定其是否满足谈判文件的商务、技术等实质性要求。</w:t>
      </w:r>
    </w:p>
    <w:p>
      <w:pPr>
        <w:pStyle w:val="16"/>
        <w:spacing w:line="360" w:lineRule="auto"/>
        <w:ind w:firstLine="480" w:firstLineChars="200"/>
        <w:contextualSpacing/>
        <w:jc w:val="left"/>
        <w:rPr>
          <w:rFonts w:cs="仿宋_GB2312" w:asciiTheme="minorEastAsia" w:hAnsiTheme="minorEastAsia"/>
          <w:sz w:val="21"/>
          <w:szCs w:val="21"/>
          <w:lang w:val="zh-CN"/>
        </w:rPr>
      </w:pPr>
      <w:r>
        <w:rPr>
          <w:rFonts w:hint="eastAsia" w:ascii="楷体" w:hAnsi="楷体" w:eastAsia="楷体" w:cs="仿宋_GB2312"/>
          <w:szCs w:val="24"/>
          <w:lang w:val="zh-CN"/>
        </w:rPr>
        <w:t>注：审查中所涉及到的证书及材料，均应在电子响应文件中提供原件扫描件（或图片）。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w:t>
      </w:r>
      <w:r>
        <w:rPr>
          <w:rFonts w:hint="eastAsia" w:cs="仿宋_GB2312" w:asciiTheme="minorEastAsia" w:hAnsiTheme="minorEastAsia" w:eastAsiaTheme="minorEastAsia"/>
          <w:b/>
          <w:sz w:val="21"/>
          <w:szCs w:val="21"/>
          <w:lang w:val="zh-CN"/>
        </w:rPr>
        <w:t>供应商</w:t>
      </w:r>
      <w:r>
        <w:rPr>
          <w:rFonts w:cs="仿宋_GB2312" w:asciiTheme="minorEastAsia" w:hAnsiTheme="minorEastAsia" w:eastAsiaTheme="minorEastAsia"/>
          <w:b/>
          <w:sz w:val="21"/>
          <w:szCs w:val="21"/>
          <w:lang w:val="zh-CN"/>
        </w:rPr>
        <w:t>对</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文件有关事项作出澄清或者说明；</w:t>
      </w:r>
    </w:p>
    <w:p>
      <w:pPr>
        <w:pStyle w:val="16"/>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6"/>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1、强制采购节能产品和优先采购节能产品、优先采购环保产品</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6"/>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（三）</w:t>
      </w:r>
      <w:r>
        <w:rPr>
          <w:rFonts w:cs="仿宋_GB2312" w:asciiTheme="minorEastAsia" w:hAnsiTheme="minorEastAsia" w:eastAsiaTheme="minorEastAsia"/>
          <w:b/>
          <w:sz w:val="21"/>
          <w:szCs w:val="21"/>
          <w:lang w:val="zh-CN"/>
        </w:rPr>
        <w:t>因落实政府采购政策进行价格调整的，以调整后的价格计算报价。</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10%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（2）对监狱企业价格给予6%的扣除，用扣除后的价格参与评审。监狱企业应当提供由省级以上监狱管理局、戒毒管理局(含新疆生产建设兵团)出具的属于监狱企业的证明文件。</w:t>
      </w:r>
    </w:p>
    <w:p>
      <w:pPr>
        <w:pStyle w:val="16"/>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40"/>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540"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693"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977"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693"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hint="eastAsia" w:ascii="宋体" w:hAnsi="宋体"/>
                <w:szCs w:val="21"/>
                <w:u w:val="single"/>
              </w:rPr>
              <w:t>10</w:t>
            </w:r>
            <w:r>
              <w:rPr>
                <w:rFonts w:hint="eastAsia" w:ascii="宋体" w:hAnsi="宋体"/>
                <w:szCs w:val="21"/>
              </w:rPr>
              <w:t>%</w:t>
            </w:r>
          </w:p>
        </w:tc>
        <w:tc>
          <w:tcPr>
            <w:tcW w:w="2977"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10%</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540"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693"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hint="eastAsia" w:ascii="宋体" w:hAnsi="宋体"/>
                <w:szCs w:val="21"/>
                <w:u w:val="single"/>
              </w:rPr>
              <w:t>10</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977"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977"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四、评审方法</w:t>
      </w:r>
    </w:p>
    <w:p>
      <w:pPr>
        <w:pStyle w:val="16"/>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五、谈判小组编写评审报告。</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6"/>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6"/>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3"/>
        <w:spacing w:before="75" w:after="75" w:line="360" w:lineRule="auto"/>
        <w:rPr>
          <w:rFonts w:ascii="宋体" w:hAnsi="宋体" w:eastAsia="微软雅黑"/>
          <w:color w:val="000000"/>
          <w:u w:val="single"/>
        </w:rPr>
      </w:pP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、乙方的投标文件；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的规定进行，具体如下：</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第五章已有规定的，双方均不得变更或调整；</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第五章未作规定的，双方可通过友好协商进行约定）</w:t>
      </w:r>
      <w:r>
        <w:rPr>
          <w:rFonts w:asciiTheme="minorEastAsia" w:hAnsiTheme="minorEastAsia" w:eastAsiaTheme="minorEastAsia"/>
          <w:color w:val="000000"/>
          <w:sz w:val="21"/>
          <w:szCs w:val="21"/>
        </w:rPr>
        <w:t>。</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3"/>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3"/>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3"/>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pStyle w:val="59"/>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响应文件中所在页码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报价函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供应商与参加本项目响应的其他供应商之间，单位负责人不为同一人并且不存在直接控股、管理关系承诺函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058" w:type="dxa"/>
            <w:gridSpan w:val="2"/>
            <w:tcBorders>
              <w:righ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058" w:type="dxa"/>
            <w:gridSpan w:val="2"/>
            <w:vMerge w:val="restart"/>
            <w:tcBorders>
              <w:right w:val="single" w:color="auto" w:sz="4" w:space="0"/>
            </w:tcBorders>
            <w:vAlign w:val="center"/>
          </w:tcPr>
          <w:p>
            <w:pPr>
              <w:pStyle w:val="16"/>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注：注：①本表序号8请按照本谈判文件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6"/>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w:t>
      </w:r>
      <w:bookmarkStart w:id="2" w:name="_GoBack"/>
      <w:bookmarkEnd w:id="2"/>
      <w:r>
        <w:rPr>
          <w:rFonts w:hint="eastAsia" w:cs="宋体" w:asciiTheme="minorEastAsia" w:hAnsiTheme="minorEastAsia"/>
          <w:szCs w:val="21"/>
          <w:lang w:val="zh-CN"/>
        </w:rPr>
        <w:t>。</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三、资格审查相关材料</w:t>
      </w: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 w:val="36"/>
          <w:szCs w:val="36"/>
        </w:rPr>
      </w:pPr>
    </w:p>
    <w:p>
      <w:pPr>
        <w:pStyle w:val="16"/>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报 价 函</w:t>
      </w:r>
    </w:p>
    <w:p>
      <w:pPr>
        <w:pStyle w:val="16"/>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禹州市</w:t>
      </w:r>
      <w:r>
        <w:rPr>
          <w:rFonts w:hint="eastAsia" w:asciiTheme="minorEastAsia" w:hAnsiTheme="minorEastAsia"/>
          <w:snapToGrid w:val="0"/>
          <w:kern w:val="0"/>
          <w:szCs w:val="21"/>
        </w:rPr>
        <w:t>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_（项目名称、项目编号）采购的竞争性谈判公告及谈判邀请，_______（姓名和职务）被正式授权并代表供应商（供应商名称、地址）提交。</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525" w:firstLineChars="25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hint="eastAsia" w:cs="Courier New" w:asciiTheme="minorEastAsia" w:hAnsiTheme="minorEastAsia"/>
          <w:szCs w:val="21"/>
        </w:rPr>
        <w:t>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三、我方明白并同意，在规定的谈判响应时间截止之后，响应有效期之内撤销谈判响应的，则我方承担违背响应承诺的责任追究。</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五、我方理解贵方不一定接受最低响应报价。</w:t>
      </w:r>
    </w:p>
    <w:p>
      <w:pPr>
        <w:pStyle w:val="23"/>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3"/>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我方已依法缴纳了各项税费及社会保险费用，如有需要，可随时向采购人提供近六个月内的相关缴费证明，以便核查。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邮政编码：.</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传    真：.</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职    务：.</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51"/>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5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5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5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5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51"/>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法定代表人（单位负责人）联系电话（手机）：</w:t>
      </w:r>
    </w:p>
    <w:p>
      <w:pPr>
        <w:pStyle w:val="51"/>
        <w:spacing w:line="480" w:lineRule="auto"/>
        <w:ind w:firstLine="472" w:firstLineChars="225"/>
        <w:jc w:val="left"/>
        <w:rPr>
          <w:rFonts w:asciiTheme="minorEastAsia" w:hAnsiTheme="minorEastAsia"/>
          <w:color w:val="000000"/>
          <w:sz w:val="21"/>
          <w:szCs w:val="21"/>
        </w:rPr>
      </w:pPr>
    </w:p>
    <w:p>
      <w:pPr>
        <w:pStyle w:val="51"/>
        <w:spacing w:line="480" w:lineRule="auto"/>
        <w:ind w:firstLine="472" w:firstLineChars="225"/>
        <w:jc w:val="left"/>
        <w:rPr>
          <w:rFonts w:asciiTheme="minorEastAsia" w:hAnsiTheme="minorEastAsia"/>
          <w:color w:val="000000"/>
          <w:sz w:val="21"/>
          <w:szCs w:val="21"/>
        </w:rPr>
      </w:pPr>
    </w:p>
    <w:p>
      <w:pPr>
        <w:pStyle w:val="51"/>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51"/>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pStyle w:val="54"/>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3"/>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320" w:lineRule="exact"/>
        <w:ind w:firstLine="420" w:firstLineChars="200"/>
        <w:rPr>
          <w:rFonts w:asciiTheme="minorEastAsia" w:hAnsiTheme="minorEastAsia"/>
          <w:bCs/>
          <w:color w:val="000000"/>
          <w:kern w:val="12"/>
          <w:szCs w:val="21"/>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供应商名称： </w:t>
      </w:r>
      <w:r>
        <w:rPr>
          <w:rFonts w:hint="eastAsia" w:asciiTheme="minorEastAsia" w:hAnsiTheme="minorEastAsia"/>
          <w:szCs w:val="21"/>
          <w:u w:val="single"/>
        </w:rPr>
        <w:t xml:space="preserve">       （全称）       </w:t>
      </w:r>
      <w:r>
        <w:rPr>
          <w:rFonts w:hint="eastAsia" w:asciiTheme="minorEastAsia" w:hAnsiTheme="minorEastAsia"/>
          <w:szCs w:val="21"/>
        </w:rPr>
        <w:t xml:space="preserve"> （并加盖单位公章）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cs="Arial" w:asciiTheme="minorEastAsia" w:hAnsiTheme="minorEastAsia"/>
          <w:szCs w:val="21"/>
          <w:u w:val="single"/>
        </w:rPr>
        <w:t xml:space="preserve">              </w:t>
      </w:r>
      <w:r>
        <w:rPr>
          <w:rFonts w:hint="eastAsia" w:cs="Arial"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w:t>
      </w:r>
      <w:r>
        <w:rPr>
          <w:rFonts w:hint="eastAsia" w:asciiTheme="minorEastAsia" w:hAnsiTheme="minorEastAsia"/>
          <w:szCs w:val="21"/>
          <w:u w:val="single"/>
        </w:rPr>
        <w:t xml:space="preserve">     </w:t>
      </w:r>
      <w:r>
        <w:rPr>
          <w:rFonts w:hint="eastAsia"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u w:val="single"/>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禹州市政府采购中心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（项目编号、项目名称）的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响应</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一、在响应有效期内撤销响应文件；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二、在响应文件中提供虚假材料；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三、除因不可抗力或谈判文件认可的情形以外，成交后不与采购人签订合同；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四、与采购人、其他供应商或者采购代理机构恶意串通；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r>
        <w:rPr>
          <w:rFonts w:hint="eastAsia" w:cs="Arial" w:asciiTheme="minorEastAsia" w:hAnsiTheme="minorEastAsia"/>
          <w:color w:val="000000"/>
          <w:szCs w:val="21"/>
        </w:rPr>
        <w:t>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pStyle w:val="10"/>
        <w:rPr>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ind w:firstLine="2891" w:firstLineChars="1200"/>
        <w:jc w:val="both"/>
        <w:rPr>
          <w:rFonts w:hint="eastAsia" w:cs="宋体" w:asciiTheme="minorEastAsia" w:hAnsiTheme="minorEastAsia" w:eastAsiaTheme="minorEastAsia"/>
          <w:sz w:val="24"/>
          <w:szCs w:val="24"/>
          <w:lang w:val="en-US" w:eastAsia="zh-CN"/>
        </w:rPr>
      </w:pPr>
      <w:r>
        <w:rPr>
          <w:rFonts w:hint="eastAsia" w:ascii="宋体" w:hAnsi="宋体"/>
          <w:b/>
          <w:bCs/>
          <w:color w:val="000000"/>
          <w:sz w:val="24"/>
          <w:szCs w:val="24"/>
        </w:rPr>
        <w:t xml:space="preserve">3.6 </w:t>
      </w:r>
      <w:r>
        <w:rPr>
          <w:rFonts w:hint="eastAsia" w:ascii="宋体" w:hAnsi="宋体"/>
          <w:b/>
          <w:bCs/>
          <w:color w:val="000000"/>
          <w:sz w:val="24"/>
          <w:szCs w:val="24"/>
          <w:lang w:val="en-US" w:eastAsia="zh-CN"/>
        </w:rPr>
        <w:t xml:space="preserve"> 谈判文件费用缴纳回执单</w:t>
      </w: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四、响应文件审查相关材料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autoSpaceDE w:val="0"/>
        <w:autoSpaceDN w:val="0"/>
        <w:adjustRightInd w:val="0"/>
        <w:spacing w:line="360" w:lineRule="auto"/>
        <w:jc w:val="center"/>
        <w:outlineLvl w:val="0"/>
        <w:rPr>
          <w:rFonts w:ascii="宋体" w:hAnsi="宋体"/>
          <w:b/>
          <w:bCs/>
          <w:color w:val="000000"/>
          <w:sz w:val="24"/>
          <w:szCs w:val="24"/>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生产厂家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谈判文件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响应文件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5"/>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contextualSpacing/>
        <w:jc w:val="left"/>
        <w:rPr>
          <w:rFonts w:cs="宋体" w:asciiTheme="minorEastAsia" w:hAnsiTheme="minorEastAsia"/>
          <w:szCs w:val="21"/>
        </w:rPr>
      </w:pPr>
      <w:r>
        <w:rPr>
          <w:rFonts w:hint="eastAsia" w:ascii="宋体" w:hAnsi="宋体" w:cs="Arial"/>
          <w:color w:val="000000"/>
          <w:kern w:val="0"/>
          <w:szCs w:val="21"/>
        </w:rPr>
        <w:t>企业名称：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4.10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contextualSpacing/>
        <w:rPr>
          <w:rFonts w:ascii="宋体" w:hAnsi="宋体"/>
          <w:szCs w:val="21"/>
        </w:rPr>
      </w:pPr>
      <w:r>
        <w:rPr>
          <w:rFonts w:hint="eastAsia" w:ascii="宋体" w:hAnsi="宋体"/>
          <w:szCs w:val="21"/>
        </w:rPr>
        <w:t xml:space="preserve">                                    </w:t>
      </w:r>
      <w:r>
        <w:rPr>
          <w:rFonts w:hint="eastAsia" w:cs="宋体" w:asciiTheme="minorEastAsia" w:hAnsiTheme="minorEastAsia"/>
          <w:szCs w:val="21"/>
          <w:lang w:val="zh-CN"/>
        </w:rPr>
        <w:t>单位名称（盖章）：：</w:t>
      </w:r>
      <w:r>
        <w:rPr>
          <w:rFonts w:hint="eastAsia" w:cs="宋体" w:asciiTheme="minorEastAsia" w:hAnsiTheme="minorEastAsia"/>
          <w:szCs w:val="21"/>
          <w:u w:val="single"/>
          <w:lang w:val="zh-CN"/>
        </w:rPr>
        <w:t xml:space="preserve">     </w:t>
      </w:r>
    </w:p>
    <w:p>
      <w:pPr>
        <w:spacing w:line="360" w:lineRule="auto"/>
        <w:contextualSpacing/>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9"/>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bh3b0BAABiAwAADgAAAGRycy9lMm9Eb2MueG1srVNLbtswEN0HyB0I&#10;7mPJR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RuHdvQEAAGIDAAAOAAAAAAAAAAEAIAAAAB4BAABkcnMvZTJvRG9jLnhtbFBLBQYAAAAA&#10;BgAGAFkBAABN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FAB397"/>
    <w:multiLevelType w:val="singleLevel"/>
    <w:tmpl w:val="DAFAB397"/>
    <w:lvl w:ilvl="0" w:tentative="0">
      <w:start w:val="2"/>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5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1B830A2"/>
    <w:multiLevelType w:val="multilevel"/>
    <w:tmpl w:val="01B830A2"/>
    <w:lvl w:ilvl="0" w:tentative="0">
      <w:start w:val="23"/>
      <w:numFmt w:val="decimal"/>
      <w:lvlText w:val="%1."/>
      <w:lvlJc w:val="left"/>
      <w:pPr>
        <w:ind w:left="420" w:hanging="420"/>
      </w:pPr>
      <w:rPr>
        <w:rFonts w:hint="eastAsia"/>
      </w:rPr>
    </w:lvl>
    <w:lvl w:ilvl="1" w:tentative="0">
      <w:start w:val="4"/>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
    <w:nsid w:val="029113A2"/>
    <w:multiLevelType w:val="multilevel"/>
    <w:tmpl w:val="029113A2"/>
    <w:lvl w:ilvl="0" w:tentative="0">
      <w:start w:val="1"/>
      <w:numFmt w:val="decimal"/>
      <w:lvlText w:val="15.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
    <w:nsid w:val="095B2918"/>
    <w:multiLevelType w:val="multilevel"/>
    <w:tmpl w:val="095B2918"/>
    <w:lvl w:ilvl="0" w:tentative="0">
      <w:start w:val="1"/>
      <w:numFmt w:val="decimal"/>
      <w:lvlText w:val="1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6">
    <w:nsid w:val="0AF92C7A"/>
    <w:multiLevelType w:val="multilevel"/>
    <w:tmpl w:val="0AF92C7A"/>
    <w:lvl w:ilvl="0" w:tentative="0">
      <w:start w:val="1"/>
      <w:numFmt w:val="decimal"/>
      <w:lvlText w:val="25.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0BFF5830"/>
    <w:multiLevelType w:val="multilevel"/>
    <w:tmpl w:val="0BFF5830"/>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8">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4DF6468"/>
    <w:multiLevelType w:val="multilevel"/>
    <w:tmpl w:val="14DF6468"/>
    <w:lvl w:ilvl="0" w:tentative="0">
      <w:start w:val="1"/>
      <w:numFmt w:val="decimal"/>
      <w:lvlText w:val="24.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152B3F79"/>
    <w:multiLevelType w:val="multilevel"/>
    <w:tmpl w:val="152B3F79"/>
    <w:lvl w:ilvl="0" w:tentative="0">
      <w:start w:val="2"/>
      <w:numFmt w:val="decimal"/>
      <w:lvlText w:val="33.1.%1"/>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5976783"/>
    <w:multiLevelType w:val="multilevel"/>
    <w:tmpl w:val="15976783"/>
    <w:lvl w:ilvl="0" w:tentative="0">
      <w:start w:val="1"/>
      <w:numFmt w:val="decimal"/>
      <w:lvlText w:val="1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2">
    <w:nsid w:val="19C5477B"/>
    <w:multiLevelType w:val="multilevel"/>
    <w:tmpl w:val="19C5477B"/>
    <w:lvl w:ilvl="0" w:tentative="0">
      <w:start w:val="1"/>
      <w:numFmt w:val="decimal"/>
      <w:lvlText w:val="10. %1 "/>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3">
    <w:nsid w:val="1A9F0EE7"/>
    <w:multiLevelType w:val="multilevel"/>
    <w:tmpl w:val="1A9F0EE7"/>
    <w:lvl w:ilvl="0" w:tentative="0">
      <w:start w:val="1"/>
      <w:numFmt w:val="decimal"/>
      <w:lvlText w:val="23.3.%1"/>
      <w:lvlJc w:val="left"/>
      <w:pPr>
        <w:ind w:left="1369" w:hanging="420"/>
      </w:pPr>
      <w:rPr>
        <w:rFonts w:hint="eastAsia" w:asciiTheme="minorEastAsia" w:hAnsiTheme="minorEastAsia" w:eastAsiaTheme="minor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14">
    <w:nsid w:val="1AAB54CA"/>
    <w:multiLevelType w:val="multilevel"/>
    <w:tmpl w:val="1AAB54CA"/>
    <w:lvl w:ilvl="0" w:tentative="0">
      <w:start w:val="1"/>
      <w:numFmt w:val="decimal"/>
      <w:lvlText w:val="2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5">
    <w:nsid w:val="214802C3"/>
    <w:multiLevelType w:val="multilevel"/>
    <w:tmpl w:val="214802C3"/>
    <w:lvl w:ilvl="0" w:tentative="0">
      <w:start w:val="1"/>
      <w:numFmt w:val="decimal"/>
      <w:lvlText w:val="%1."/>
      <w:lvlJc w:val="left"/>
      <w:pPr>
        <w:ind w:left="420" w:hanging="420"/>
      </w:pPr>
      <w:rPr>
        <w:rFonts w:hint="eastAsia"/>
      </w:rPr>
    </w:lvl>
    <w:lvl w:ilvl="1" w:tentative="0">
      <w:start w:val="1"/>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6">
    <w:nsid w:val="22084769"/>
    <w:multiLevelType w:val="multilevel"/>
    <w:tmpl w:val="22084769"/>
    <w:lvl w:ilvl="0" w:tentative="0">
      <w:start w:val="1"/>
      <w:numFmt w:val="decimal"/>
      <w:lvlText w:val="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7">
    <w:nsid w:val="22BE7ADB"/>
    <w:multiLevelType w:val="multilevel"/>
    <w:tmpl w:val="22BE7ADB"/>
    <w:lvl w:ilvl="0" w:tentative="0">
      <w:start w:val="4"/>
      <w:numFmt w:val="decimal"/>
      <w:lvlText w:val="3. %1 "/>
      <w:lvlJc w:val="left"/>
      <w:pPr>
        <w:ind w:left="141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5FF5A5D"/>
    <w:multiLevelType w:val="multilevel"/>
    <w:tmpl w:val="25FF5A5D"/>
    <w:lvl w:ilvl="0" w:tentative="0">
      <w:start w:val="32"/>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27C72BCB"/>
    <w:multiLevelType w:val="multilevel"/>
    <w:tmpl w:val="27C72BCB"/>
    <w:lvl w:ilvl="0" w:tentative="0">
      <w:start w:val="1"/>
      <w:numFmt w:val="decimal"/>
      <w:lvlText w:val="1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1">
    <w:nsid w:val="2BFA58BF"/>
    <w:multiLevelType w:val="multilevel"/>
    <w:tmpl w:val="2BFA58BF"/>
    <w:lvl w:ilvl="0" w:tentative="0">
      <w:start w:val="1"/>
      <w:numFmt w:val="decimal"/>
      <w:lvlText w:val="3.3.%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2">
    <w:nsid w:val="2C7A7622"/>
    <w:multiLevelType w:val="singleLevel"/>
    <w:tmpl w:val="2C7A7622"/>
    <w:lvl w:ilvl="0" w:tentative="0">
      <w:start w:val="1"/>
      <w:numFmt w:val="chineseCounting"/>
      <w:suff w:val="space"/>
      <w:lvlText w:val="第%1章"/>
      <w:lvlJc w:val="left"/>
      <w:rPr>
        <w:rFonts w:hint="eastAsia"/>
      </w:rPr>
    </w:lvl>
  </w:abstractNum>
  <w:abstractNum w:abstractNumId="23">
    <w:nsid w:val="2D060845"/>
    <w:multiLevelType w:val="multilevel"/>
    <w:tmpl w:val="2D060845"/>
    <w:lvl w:ilvl="0" w:tentative="0">
      <w:start w:val="1"/>
      <w:numFmt w:val="decimal"/>
      <w:lvlText w:val="22.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4">
    <w:nsid w:val="313C1637"/>
    <w:multiLevelType w:val="multilevel"/>
    <w:tmpl w:val="313C1637"/>
    <w:lvl w:ilvl="0" w:tentative="0">
      <w:start w:val="1"/>
      <w:numFmt w:val="decimal"/>
      <w:lvlText w:val="3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5">
    <w:nsid w:val="324B30FA"/>
    <w:multiLevelType w:val="multilevel"/>
    <w:tmpl w:val="324B30FA"/>
    <w:lvl w:ilvl="0" w:tentative="0">
      <w:start w:val="1"/>
      <w:numFmt w:val="decimal"/>
      <w:lvlText w:val="18.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6">
    <w:nsid w:val="37347244"/>
    <w:multiLevelType w:val="multilevel"/>
    <w:tmpl w:val="37347244"/>
    <w:lvl w:ilvl="0" w:tentative="0">
      <w:start w:val="1"/>
      <w:numFmt w:val="decimal"/>
      <w:lvlText w:val="28. %1 "/>
      <w:lvlJc w:val="left"/>
      <w:pPr>
        <w:ind w:left="1384" w:hanging="420"/>
      </w:pPr>
      <w:rPr>
        <w:rFonts w:hint="eastAsia" w:asciiTheme="minorEastAsia" w:hAnsiTheme="minorEastAsia" w:eastAsiaTheme="minor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7">
    <w:nsid w:val="37B308D7"/>
    <w:multiLevelType w:val="multilevel"/>
    <w:tmpl w:val="37B308D7"/>
    <w:lvl w:ilvl="0" w:tentative="0">
      <w:start w:val="26"/>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8">
    <w:nsid w:val="39314D43"/>
    <w:multiLevelType w:val="multilevel"/>
    <w:tmpl w:val="39314D43"/>
    <w:lvl w:ilvl="0" w:tentative="0">
      <w:start w:val="1"/>
      <w:numFmt w:val="decimal"/>
      <w:lvlText w:val="27.1.%1"/>
      <w:lvlJc w:val="left"/>
      <w:pPr>
        <w:ind w:left="450" w:hanging="420"/>
      </w:pPr>
      <w:rPr>
        <w:rFonts w:hint="eastAsia"/>
      </w:rPr>
    </w:lvl>
    <w:lvl w:ilvl="1" w:tentative="0">
      <w:start w:val="1"/>
      <w:numFmt w:val="lowerLetter"/>
      <w:lvlText w:val="%2)"/>
      <w:lvlJc w:val="left"/>
      <w:pPr>
        <w:ind w:left="870" w:hanging="420"/>
      </w:pPr>
    </w:lvl>
    <w:lvl w:ilvl="2" w:tentative="0">
      <w:start w:val="1"/>
      <w:numFmt w:val="lowerRoman"/>
      <w:lvlText w:val="%3."/>
      <w:lvlJc w:val="right"/>
      <w:pPr>
        <w:ind w:left="1290" w:hanging="420"/>
      </w:pPr>
    </w:lvl>
    <w:lvl w:ilvl="3" w:tentative="0">
      <w:start w:val="1"/>
      <w:numFmt w:val="decimal"/>
      <w:lvlText w:val="%4."/>
      <w:lvlJc w:val="left"/>
      <w:pPr>
        <w:ind w:left="1710" w:hanging="420"/>
      </w:pPr>
    </w:lvl>
    <w:lvl w:ilvl="4" w:tentative="0">
      <w:start w:val="1"/>
      <w:numFmt w:val="lowerLetter"/>
      <w:lvlText w:val="%5)"/>
      <w:lvlJc w:val="left"/>
      <w:pPr>
        <w:ind w:left="2130" w:hanging="420"/>
      </w:pPr>
    </w:lvl>
    <w:lvl w:ilvl="5" w:tentative="0">
      <w:start w:val="1"/>
      <w:numFmt w:val="lowerRoman"/>
      <w:lvlText w:val="%6."/>
      <w:lvlJc w:val="right"/>
      <w:pPr>
        <w:ind w:left="2550" w:hanging="420"/>
      </w:pPr>
    </w:lvl>
    <w:lvl w:ilvl="6" w:tentative="0">
      <w:start w:val="1"/>
      <w:numFmt w:val="decimal"/>
      <w:lvlText w:val="%7."/>
      <w:lvlJc w:val="left"/>
      <w:pPr>
        <w:ind w:left="2970" w:hanging="420"/>
      </w:pPr>
    </w:lvl>
    <w:lvl w:ilvl="7" w:tentative="0">
      <w:start w:val="1"/>
      <w:numFmt w:val="lowerLetter"/>
      <w:lvlText w:val="%8)"/>
      <w:lvlJc w:val="left"/>
      <w:pPr>
        <w:ind w:left="3390" w:hanging="420"/>
      </w:pPr>
    </w:lvl>
    <w:lvl w:ilvl="8" w:tentative="0">
      <w:start w:val="1"/>
      <w:numFmt w:val="lowerRoman"/>
      <w:lvlText w:val="%9."/>
      <w:lvlJc w:val="right"/>
      <w:pPr>
        <w:ind w:left="3810" w:hanging="420"/>
      </w:pPr>
    </w:lvl>
  </w:abstractNum>
  <w:abstractNum w:abstractNumId="29">
    <w:nsid w:val="3B4D4108"/>
    <w:multiLevelType w:val="multilevel"/>
    <w:tmpl w:val="3B4D4108"/>
    <w:lvl w:ilvl="0" w:tentative="0">
      <w:start w:val="1"/>
      <w:numFmt w:val="decimal"/>
      <w:lvlText w:val="2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0">
    <w:nsid w:val="3F1972E5"/>
    <w:multiLevelType w:val="multilevel"/>
    <w:tmpl w:val="3F1972E5"/>
    <w:lvl w:ilvl="0" w:tentative="0">
      <w:start w:val="1"/>
      <w:numFmt w:val="decimal"/>
      <w:lvlText w:val="2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1">
    <w:nsid w:val="43F26D24"/>
    <w:multiLevelType w:val="multilevel"/>
    <w:tmpl w:val="43F26D24"/>
    <w:lvl w:ilvl="0" w:tentative="0">
      <w:start w:val="33"/>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2">
    <w:nsid w:val="4BBA53D1"/>
    <w:multiLevelType w:val="multilevel"/>
    <w:tmpl w:val="4BBA53D1"/>
    <w:lvl w:ilvl="0" w:tentative="0">
      <w:start w:val="1"/>
      <w:numFmt w:val="decimal"/>
      <w:lvlText w:val="33.2.%1"/>
      <w:lvlJc w:val="left"/>
      <w:pPr>
        <w:ind w:left="1365" w:hanging="420"/>
      </w:pPr>
      <w:rPr>
        <w:rFonts w:hint="eastAsia"/>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33">
    <w:nsid w:val="50271C0C"/>
    <w:multiLevelType w:val="multilevel"/>
    <w:tmpl w:val="50271C0C"/>
    <w:lvl w:ilvl="0" w:tentative="0">
      <w:start w:val="1"/>
      <w:numFmt w:val="decimal"/>
      <w:lvlText w:val="9.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4">
    <w:nsid w:val="51D76F8A"/>
    <w:multiLevelType w:val="multilevel"/>
    <w:tmpl w:val="51D76F8A"/>
    <w:lvl w:ilvl="0" w:tentative="0">
      <w:start w:val="1"/>
      <w:numFmt w:val="decimal"/>
      <w:lvlText w:val="1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5">
    <w:nsid w:val="53AE05F9"/>
    <w:multiLevelType w:val="multilevel"/>
    <w:tmpl w:val="53AE05F9"/>
    <w:lvl w:ilvl="0" w:tentative="0">
      <w:start w:val="1"/>
      <w:numFmt w:val="decimal"/>
      <w:lvlText w:val="31. %1 "/>
      <w:lvlJc w:val="left"/>
      <w:pPr>
        <w:ind w:left="1833" w:hanging="420"/>
      </w:pPr>
      <w:rPr>
        <w:rFonts w:hint="eastAsia"/>
      </w:rPr>
    </w:lvl>
    <w:lvl w:ilvl="1" w:tentative="0">
      <w:start w:val="1"/>
      <w:numFmt w:val="lowerLetter"/>
      <w:lvlText w:val="%2)"/>
      <w:lvlJc w:val="left"/>
      <w:pPr>
        <w:ind w:left="2253" w:hanging="420"/>
      </w:pPr>
    </w:lvl>
    <w:lvl w:ilvl="2" w:tentative="0">
      <w:start w:val="1"/>
      <w:numFmt w:val="lowerRoman"/>
      <w:lvlText w:val="%3."/>
      <w:lvlJc w:val="right"/>
      <w:pPr>
        <w:ind w:left="2673" w:hanging="420"/>
      </w:pPr>
    </w:lvl>
    <w:lvl w:ilvl="3" w:tentative="0">
      <w:start w:val="1"/>
      <w:numFmt w:val="decimal"/>
      <w:lvlText w:val="%4."/>
      <w:lvlJc w:val="left"/>
      <w:pPr>
        <w:ind w:left="3093" w:hanging="420"/>
      </w:pPr>
    </w:lvl>
    <w:lvl w:ilvl="4" w:tentative="0">
      <w:start w:val="1"/>
      <w:numFmt w:val="lowerLetter"/>
      <w:lvlText w:val="%5)"/>
      <w:lvlJc w:val="left"/>
      <w:pPr>
        <w:ind w:left="3513" w:hanging="420"/>
      </w:pPr>
    </w:lvl>
    <w:lvl w:ilvl="5" w:tentative="0">
      <w:start w:val="1"/>
      <w:numFmt w:val="lowerRoman"/>
      <w:lvlText w:val="%6."/>
      <w:lvlJc w:val="right"/>
      <w:pPr>
        <w:ind w:left="3933" w:hanging="420"/>
      </w:pPr>
    </w:lvl>
    <w:lvl w:ilvl="6" w:tentative="0">
      <w:start w:val="1"/>
      <w:numFmt w:val="decimal"/>
      <w:lvlText w:val="%7."/>
      <w:lvlJc w:val="left"/>
      <w:pPr>
        <w:ind w:left="4353" w:hanging="420"/>
      </w:pPr>
    </w:lvl>
    <w:lvl w:ilvl="7" w:tentative="0">
      <w:start w:val="1"/>
      <w:numFmt w:val="lowerLetter"/>
      <w:lvlText w:val="%8)"/>
      <w:lvlJc w:val="left"/>
      <w:pPr>
        <w:ind w:left="4773" w:hanging="420"/>
      </w:pPr>
    </w:lvl>
    <w:lvl w:ilvl="8" w:tentative="0">
      <w:start w:val="1"/>
      <w:numFmt w:val="lowerRoman"/>
      <w:lvlText w:val="%9."/>
      <w:lvlJc w:val="right"/>
      <w:pPr>
        <w:ind w:left="5193" w:hanging="420"/>
      </w:pPr>
    </w:lvl>
  </w:abstractNum>
  <w:abstractNum w:abstractNumId="36">
    <w:nsid w:val="54662664"/>
    <w:multiLevelType w:val="multilevel"/>
    <w:tmpl w:val="54662664"/>
    <w:lvl w:ilvl="0" w:tentative="0">
      <w:start w:val="1"/>
      <w:numFmt w:val="decimal"/>
      <w:lvlText w:val="1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7">
    <w:nsid w:val="59F817E8"/>
    <w:multiLevelType w:val="singleLevel"/>
    <w:tmpl w:val="59F817E8"/>
    <w:lvl w:ilvl="0" w:tentative="0">
      <w:start w:val="1"/>
      <w:numFmt w:val="chineseCounting"/>
      <w:pStyle w:val="59"/>
      <w:suff w:val="nothing"/>
      <w:lvlText w:val="%1、"/>
      <w:lvlJc w:val="left"/>
    </w:lvl>
  </w:abstractNum>
  <w:abstractNum w:abstractNumId="38">
    <w:nsid w:val="5A7F763E"/>
    <w:multiLevelType w:val="multilevel"/>
    <w:tmpl w:val="5A7F763E"/>
    <w:lvl w:ilvl="0" w:tentative="0">
      <w:start w:val="1"/>
      <w:numFmt w:val="decimal"/>
      <w:lvlText w:val="22.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9">
    <w:nsid w:val="62E37230"/>
    <w:multiLevelType w:val="multilevel"/>
    <w:tmpl w:val="62E37230"/>
    <w:lvl w:ilvl="0" w:tentative="0">
      <w:start w:val="7"/>
      <w:numFmt w:val="decimal"/>
      <w:lvlText w:val="3.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82F12A7"/>
    <w:multiLevelType w:val="multilevel"/>
    <w:tmpl w:val="682F12A7"/>
    <w:lvl w:ilvl="0" w:tentative="0">
      <w:start w:val="1"/>
      <w:numFmt w:val="decimal"/>
      <w:lvlText w:val="3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1">
    <w:nsid w:val="6A103D04"/>
    <w:multiLevelType w:val="multilevel"/>
    <w:tmpl w:val="6A103D04"/>
    <w:lvl w:ilvl="0" w:tentative="0">
      <w:start w:val="3"/>
      <w:numFmt w:val="decimal"/>
      <w:lvlText w:val="%1."/>
      <w:lvlJc w:val="left"/>
      <w:pPr>
        <w:ind w:left="420" w:hanging="420"/>
      </w:pPr>
      <w:rPr>
        <w:rFonts w:hint="eastAsia"/>
      </w:rPr>
    </w:lvl>
    <w:lvl w:ilvl="1" w:tentative="0">
      <w:start w:val="2"/>
      <w:numFmt w:val="decimal"/>
      <w:lvlText w:val="3.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2">
    <w:nsid w:val="6A7B4455"/>
    <w:multiLevelType w:val="multilevel"/>
    <w:tmpl w:val="6A7B4455"/>
    <w:lvl w:ilvl="0" w:tentative="0">
      <w:start w:val="1"/>
      <w:numFmt w:val="decimal"/>
      <w:lvlText w:val="2. %1 "/>
      <w:lvlJc w:val="left"/>
      <w:pPr>
        <w:ind w:left="964" w:hanging="544"/>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3">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AC30090"/>
    <w:multiLevelType w:val="multilevel"/>
    <w:tmpl w:val="6AC30090"/>
    <w:lvl w:ilvl="0" w:tentative="0">
      <w:start w:val="1"/>
      <w:numFmt w:val="decimal"/>
      <w:lvlText w:val="3.6.%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5">
    <w:nsid w:val="739739AC"/>
    <w:multiLevelType w:val="multilevel"/>
    <w:tmpl w:val="739739AC"/>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6">
    <w:nsid w:val="74C15544"/>
    <w:multiLevelType w:val="multilevel"/>
    <w:tmpl w:val="74C15544"/>
    <w:lvl w:ilvl="0" w:tentative="0">
      <w:start w:val="1"/>
      <w:numFmt w:val="decimal"/>
      <w:lvlText w:val="16.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7">
    <w:nsid w:val="769B59E4"/>
    <w:multiLevelType w:val="multilevel"/>
    <w:tmpl w:val="769B59E4"/>
    <w:lvl w:ilvl="0" w:tentative="0">
      <w:start w:val="1"/>
      <w:numFmt w:val="decimal"/>
      <w:lvlText w:val="3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8">
    <w:nsid w:val="76C52B98"/>
    <w:multiLevelType w:val="multilevel"/>
    <w:tmpl w:val="76C52B98"/>
    <w:lvl w:ilvl="0" w:tentative="0">
      <w:start w:val="1"/>
      <w:numFmt w:val="decimal"/>
      <w:lvlText w:val="23.1.%1"/>
      <w:lvlJc w:val="left"/>
      <w:pPr>
        <w:ind w:left="1369" w:hanging="420"/>
      </w:pPr>
      <w:rPr>
        <w:rFonts w:hint="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49">
    <w:nsid w:val="77900F89"/>
    <w:multiLevelType w:val="multilevel"/>
    <w:tmpl w:val="77900F89"/>
    <w:lvl w:ilvl="0" w:tentative="0">
      <w:start w:val="1"/>
      <w:numFmt w:val="decimal"/>
      <w:lvlText w:val="4.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84952E2"/>
    <w:multiLevelType w:val="multilevel"/>
    <w:tmpl w:val="784952E2"/>
    <w:lvl w:ilvl="0" w:tentative="0">
      <w:start w:val="1"/>
      <w:numFmt w:val="decimal"/>
      <w:lvlText w:val="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1">
    <w:nsid w:val="7A130572"/>
    <w:multiLevelType w:val="multilevel"/>
    <w:tmpl w:val="7A130572"/>
    <w:lvl w:ilvl="0" w:tentative="0">
      <w:start w:val="1"/>
      <w:numFmt w:val="decimal"/>
      <w:lvlText w:val="%1."/>
      <w:lvlJc w:val="left"/>
      <w:pPr>
        <w:ind w:left="420" w:hanging="420"/>
      </w:pPr>
      <w:rPr>
        <w:rFonts w:hint="eastAsia"/>
      </w:rPr>
    </w:lvl>
    <w:lvl w:ilvl="1" w:tentative="0">
      <w:start w:val="2"/>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2">
    <w:nsid w:val="7AF02339"/>
    <w:multiLevelType w:val="multilevel"/>
    <w:tmpl w:val="7AF02339"/>
    <w:lvl w:ilvl="0" w:tentative="0">
      <w:start w:val="1"/>
      <w:numFmt w:val="decimal"/>
      <w:lvlText w:val="27.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3">
    <w:nsid w:val="7D767924"/>
    <w:multiLevelType w:val="multilevel"/>
    <w:tmpl w:val="7D767924"/>
    <w:lvl w:ilvl="0" w:tentative="0">
      <w:start w:val="33"/>
      <w:numFmt w:val="decimal"/>
      <w:lvlText w:val="%1.1.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2"/>
  </w:num>
  <w:num w:numId="3">
    <w:abstractNumId w:val="37"/>
  </w:num>
  <w:num w:numId="4">
    <w:abstractNumId w:val="22"/>
  </w:num>
  <w:num w:numId="5">
    <w:abstractNumId w:val="0"/>
  </w:num>
  <w:num w:numId="6">
    <w:abstractNumId w:val="15"/>
  </w:num>
  <w:num w:numId="7">
    <w:abstractNumId w:val="16"/>
  </w:num>
  <w:num w:numId="8">
    <w:abstractNumId w:val="42"/>
  </w:num>
  <w:num w:numId="9">
    <w:abstractNumId w:val="51"/>
  </w:num>
  <w:num w:numId="10">
    <w:abstractNumId w:val="50"/>
  </w:num>
  <w:num w:numId="11">
    <w:abstractNumId w:val="41"/>
  </w:num>
  <w:num w:numId="12">
    <w:abstractNumId w:val="21"/>
  </w:num>
  <w:num w:numId="13">
    <w:abstractNumId w:val="17"/>
  </w:num>
  <w:num w:numId="14">
    <w:abstractNumId w:val="44"/>
  </w:num>
  <w:num w:numId="15">
    <w:abstractNumId w:val="39"/>
  </w:num>
  <w:num w:numId="16">
    <w:abstractNumId w:val="49"/>
  </w:num>
  <w:num w:numId="17">
    <w:abstractNumId w:val="33"/>
  </w:num>
  <w:num w:numId="18">
    <w:abstractNumId w:val="12"/>
  </w:num>
  <w:num w:numId="19">
    <w:abstractNumId w:val="36"/>
  </w:num>
  <w:num w:numId="20">
    <w:abstractNumId w:val="5"/>
  </w:num>
  <w:num w:numId="21">
    <w:abstractNumId w:val="20"/>
  </w:num>
  <w:num w:numId="22">
    <w:abstractNumId w:val="34"/>
  </w:num>
  <w:num w:numId="23">
    <w:abstractNumId w:val="4"/>
  </w:num>
  <w:num w:numId="24">
    <w:abstractNumId w:val="46"/>
  </w:num>
  <w:num w:numId="25">
    <w:abstractNumId w:val="11"/>
  </w:num>
  <w:num w:numId="26">
    <w:abstractNumId w:val="25"/>
  </w:num>
  <w:num w:numId="27">
    <w:abstractNumId w:val="29"/>
  </w:num>
  <w:num w:numId="28">
    <w:abstractNumId w:val="18"/>
  </w:num>
  <w:num w:numId="29">
    <w:abstractNumId w:val="38"/>
  </w:num>
  <w:num w:numId="30">
    <w:abstractNumId w:val="23"/>
  </w:num>
  <w:num w:numId="31">
    <w:abstractNumId w:val="45"/>
  </w:num>
  <w:num w:numId="32">
    <w:abstractNumId w:val="30"/>
  </w:num>
  <w:num w:numId="33">
    <w:abstractNumId w:val="48"/>
  </w:num>
  <w:num w:numId="34">
    <w:abstractNumId w:val="13"/>
  </w:num>
  <w:num w:numId="35">
    <w:abstractNumId w:val="3"/>
  </w:num>
  <w:num w:numId="36">
    <w:abstractNumId w:val="9"/>
  </w:num>
  <w:num w:numId="37">
    <w:abstractNumId w:val="6"/>
  </w:num>
  <w:num w:numId="38">
    <w:abstractNumId w:val="27"/>
  </w:num>
  <w:num w:numId="39">
    <w:abstractNumId w:val="14"/>
  </w:num>
  <w:num w:numId="40">
    <w:abstractNumId w:val="43"/>
  </w:num>
  <w:num w:numId="41">
    <w:abstractNumId w:val="28"/>
  </w:num>
  <w:num w:numId="42">
    <w:abstractNumId w:val="52"/>
  </w:num>
  <w:num w:numId="43">
    <w:abstractNumId w:val="26"/>
  </w:num>
  <w:num w:numId="44">
    <w:abstractNumId w:val="47"/>
  </w:num>
  <w:num w:numId="45">
    <w:abstractNumId w:val="35"/>
  </w:num>
  <w:num w:numId="46">
    <w:abstractNumId w:val="19"/>
  </w:num>
  <w:num w:numId="47">
    <w:abstractNumId w:val="24"/>
  </w:num>
  <w:num w:numId="48">
    <w:abstractNumId w:val="31"/>
  </w:num>
  <w:num w:numId="49">
    <w:abstractNumId w:val="40"/>
  </w:num>
  <w:num w:numId="50">
    <w:abstractNumId w:val="53"/>
  </w:num>
  <w:num w:numId="51">
    <w:abstractNumId w:val="10"/>
  </w:num>
  <w:num w:numId="52">
    <w:abstractNumId w:val="32"/>
  </w:num>
  <w:num w:numId="53">
    <w:abstractNumId w:val="7"/>
  </w:num>
  <w:num w:numId="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69"/>
    <w:rsid w:val="000069EC"/>
    <w:rsid w:val="00007470"/>
    <w:rsid w:val="000112AC"/>
    <w:rsid w:val="0001195E"/>
    <w:rsid w:val="0001598A"/>
    <w:rsid w:val="000173D4"/>
    <w:rsid w:val="000227BF"/>
    <w:rsid w:val="00030B34"/>
    <w:rsid w:val="00031CF4"/>
    <w:rsid w:val="000418F9"/>
    <w:rsid w:val="00046E42"/>
    <w:rsid w:val="0007027E"/>
    <w:rsid w:val="00072339"/>
    <w:rsid w:val="000800D2"/>
    <w:rsid w:val="00080389"/>
    <w:rsid w:val="00083387"/>
    <w:rsid w:val="0008414A"/>
    <w:rsid w:val="00091C9C"/>
    <w:rsid w:val="00095387"/>
    <w:rsid w:val="00096224"/>
    <w:rsid w:val="0009640F"/>
    <w:rsid w:val="000A02BB"/>
    <w:rsid w:val="000A73BC"/>
    <w:rsid w:val="000B3383"/>
    <w:rsid w:val="000B4057"/>
    <w:rsid w:val="000B4BAC"/>
    <w:rsid w:val="000B7263"/>
    <w:rsid w:val="000C0D70"/>
    <w:rsid w:val="000C2A7B"/>
    <w:rsid w:val="000D1CF1"/>
    <w:rsid w:val="000D30B8"/>
    <w:rsid w:val="000D6633"/>
    <w:rsid w:val="000D798A"/>
    <w:rsid w:val="000E2FFC"/>
    <w:rsid w:val="000E57E7"/>
    <w:rsid w:val="000F1E89"/>
    <w:rsid w:val="0010014D"/>
    <w:rsid w:val="001145D4"/>
    <w:rsid w:val="001223EF"/>
    <w:rsid w:val="001236A3"/>
    <w:rsid w:val="001415B4"/>
    <w:rsid w:val="00152541"/>
    <w:rsid w:val="00154EA8"/>
    <w:rsid w:val="0016405F"/>
    <w:rsid w:val="00165E49"/>
    <w:rsid w:val="00165F8E"/>
    <w:rsid w:val="0016779A"/>
    <w:rsid w:val="00167F93"/>
    <w:rsid w:val="00170DCF"/>
    <w:rsid w:val="0017154C"/>
    <w:rsid w:val="001749D2"/>
    <w:rsid w:val="00174C63"/>
    <w:rsid w:val="0017584B"/>
    <w:rsid w:val="00177319"/>
    <w:rsid w:val="00177379"/>
    <w:rsid w:val="00183B7D"/>
    <w:rsid w:val="00191A00"/>
    <w:rsid w:val="00193679"/>
    <w:rsid w:val="001957E3"/>
    <w:rsid w:val="0019757C"/>
    <w:rsid w:val="001A2E65"/>
    <w:rsid w:val="001B0DF5"/>
    <w:rsid w:val="001C0A13"/>
    <w:rsid w:val="001C26CD"/>
    <w:rsid w:val="001C2B6A"/>
    <w:rsid w:val="001C761E"/>
    <w:rsid w:val="001D06FF"/>
    <w:rsid w:val="001D1CBB"/>
    <w:rsid w:val="001D33AD"/>
    <w:rsid w:val="001D33DA"/>
    <w:rsid w:val="001D4C00"/>
    <w:rsid w:val="001E25D9"/>
    <w:rsid w:val="001E592F"/>
    <w:rsid w:val="001F7199"/>
    <w:rsid w:val="002078AE"/>
    <w:rsid w:val="00210B90"/>
    <w:rsid w:val="00213F11"/>
    <w:rsid w:val="00214892"/>
    <w:rsid w:val="00224D01"/>
    <w:rsid w:val="00231307"/>
    <w:rsid w:val="00234627"/>
    <w:rsid w:val="002426C4"/>
    <w:rsid w:val="002436B4"/>
    <w:rsid w:val="00246A17"/>
    <w:rsid w:val="00252623"/>
    <w:rsid w:val="00255732"/>
    <w:rsid w:val="002615C0"/>
    <w:rsid w:val="002659C7"/>
    <w:rsid w:val="00266F45"/>
    <w:rsid w:val="00267EE6"/>
    <w:rsid w:val="002709BD"/>
    <w:rsid w:val="002732E0"/>
    <w:rsid w:val="002847E1"/>
    <w:rsid w:val="002871DE"/>
    <w:rsid w:val="002872FE"/>
    <w:rsid w:val="0029125D"/>
    <w:rsid w:val="0029513F"/>
    <w:rsid w:val="002A2748"/>
    <w:rsid w:val="002A625E"/>
    <w:rsid w:val="002A62EC"/>
    <w:rsid w:val="002A66C8"/>
    <w:rsid w:val="002B1CC1"/>
    <w:rsid w:val="002B63D8"/>
    <w:rsid w:val="002C0F73"/>
    <w:rsid w:val="002C3B0D"/>
    <w:rsid w:val="002C6520"/>
    <w:rsid w:val="002D082A"/>
    <w:rsid w:val="002D1053"/>
    <w:rsid w:val="002D38B2"/>
    <w:rsid w:val="002E0D3B"/>
    <w:rsid w:val="002E18BD"/>
    <w:rsid w:val="002E3D0E"/>
    <w:rsid w:val="002E6378"/>
    <w:rsid w:val="002F11CE"/>
    <w:rsid w:val="002F23BC"/>
    <w:rsid w:val="002F2D13"/>
    <w:rsid w:val="002F3BDA"/>
    <w:rsid w:val="002F4580"/>
    <w:rsid w:val="003011BE"/>
    <w:rsid w:val="00303F10"/>
    <w:rsid w:val="0030443F"/>
    <w:rsid w:val="00307D84"/>
    <w:rsid w:val="0031002E"/>
    <w:rsid w:val="003158D3"/>
    <w:rsid w:val="003169BF"/>
    <w:rsid w:val="0032784A"/>
    <w:rsid w:val="00330D3D"/>
    <w:rsid w:val="0033421C"/>
    <w:rsid w:val="003347F9"/>
    <w:rsid w:val="00336F5A"/>
    <w:rsid w:val="003518EF"/>
    <w:rsid w:val="0037221E"/>
    <w:rsid w:val="003812AE"/>
    <w:rsid w:val="00382E5B"/>
    <w:rsid w:val="00386F17"/>
    <w:rsid w:val="003929E8"/>
    <w:rsid w:val="003A05BE"/>
    <w:rsid w:val="003A1280"/>
    <w:rsid w:val="003B103B"/>
    <w:rsid w:val="003B1D5B"/>
    <w:rsid w:val="003B34F7"/>
    <w:rsid w:val="003C0C24"/>
    <w:rsid w:val="003C481F"/>
    <w:rsid w:val="003C6D19"/>
    <w:rsid w:val="003D2645"/>
    <w:rsid w:val="003D2DF6"/>
    <w:rsid w:val="003D4E8A"/>
    <w:rsid w:val="003E5ADF"/>
    <w:rsid w:val="003E7C66"/>
    <w:rsid w:val="00410B19"/>
    <w:rsid w:val="00416591"/>
    <w:rsid w:val="00435E0B"/>
    <w:rsid w:val="00440D16"/>
    <w:rsid w:val="0044232F"/>
    <w:rsid w:val="00444482"/>
    <w:rsid w:val="004464C2"/>
    <w:rsid w:val="0044739E"/>
    <w:rsid w:val="00460A24"/>
    <w:rsid w:val="00463754"/>
    <w:rsid w:val="00464D64"/>
    <w:rsid w:val="0047231A"/>
    <w:rsid w:val="0047378F"/>
    <w:rsid w:val="00480C9E"/>
    <w:rsid w:val="00482B1A"/>
    <w:rsid w:val="00485967"/>
    <w:rsid w:val="00496BD4"/>
    <w:rsid w:val="0049794D"/>
    <w:rsid w:val="004A698D"/>
    <w:rsid w:val="004A713D"/>
    <w:rsid w:val="004B620B"/>
    <w:rsid w:val="004B6F24"/>
    <w:rsid w:val="004C1117"/>
    <w:rsid w:val="004C2A4D"/>
    <w:rsid w:val="004D0712"/>
    <w:rsid w:val="004D3082"/>
    <w:rsid w:val="004D7BED"/>
    <w:rsid w:val="004E0DFB"/>
    <w:rsid w:val="004E450C"/>
    <w:rsid w:val="004E547A"/>
    <w:rsid w:val="004E5E79"/>
    <w:rsid w:val="004F1683"/>
    <w:rsid w:val="00501F13"/>
    <w:rsid w:val="00506193"/>
    <w:rsid w:val="00520164"/>
    <w:rsid w:val="005222C3"/>
    <w:rsid w:val="005254AD"/>
    <w:rsid w:val="00527604"/>
    <w:rsid w:val="00532D1B"/>
    <w:rsid w:val="00535B8D"/>
    <w:rsid w:val="00536DD2"/>
    <w:rsid w:val="005411DE"/>
    <w:rsid w:val="00546251"/>
    <w:rsid w:val="0055332A"/>
    <w:rsid w:val="00555EDE"/>
    <w:rsid w:val="005711DE"/>
    <w:rsid w:val="00573241"/>
    <w:rsid w:val="00575C9D"/>
    <w:rsid w:val="005779B2"/>
    <w:rsid w:val="00581F58"/>
    <w:rsid w:val="00586CD2"/>
    <w:rsid w:val="005940FF"/>
    <w:rsid w:val="00596914"/>
    <w:rsid w:val="005A33DA"/>
    <w:rsid w:val="005A49BE"/>
    <w:rsid w:val="005A7E7E"/>
    <w:rsid w:val="005B1144"/>
    <w:rsid w:val="005B14F6"/>
    <w:rsid w:val="005B180E"/>
    <w:rsid w:val="005B4048"/>
    <w:rsid w:val="005C09F8"/>
    <w:rsid w:val="005D1597"/>
    <w:rsid w:val="005D4EBE"/>
    <w:rsid w:val="005D51C3"/>
    <w:rsid w:val="005D6674"/>
    <w:rsid w:val="00600324"/>
    <w:rsid w:val="00605FD5"/>
    <w:rsid w:val="00622142"/>
    <w:rsid w:val="00630932"/>
    <w:rsid w:val="00631795"/>
    <w:rsid w:val="00636AAD"/>
    <w:rsid w:val="00637A19"/>
    <w:rsid w:val="0064175E"/>
    <w:rsid w:val="00651710"/>
    <w:rsid w:val="00652F79"/>
    <w:rsid w:val="006533B0"/>
    <w:rsid w:val="00654154"/>
    <w:rsid w:val="006560E7"/>
    <w:rsid w:val="0065614C"/>
    <w:rsid w:val="006616D3"/>
    <w:rsid w:val="0066238D"/>
    <w:rsid w:val="0066706E"/>
    <w:rsid w:val="00667D06"/>
    <w:rsid w:val="0067327E"/>
    <w:rsid w:val="00675A3C"/>
    <w:rsid w:val="006778F4"/>
    <w:rsid w:val="0069574E"/>
    <w:rsid w:val="00695B12"/>
    <w:rsid w:val="006A1483"/>
    <w:rsid w:val="006A4956"/>
    <w:rsid w:val="006A6187"/>
    <w:rsid w:val="006A6E3E"/>
    <w:rsid w:val="006B25F5"/>
    <w:rsid w:val="006B34C4"/>
    <w:rsid w:val="006D0369"/>
    <w:rsid w:val="006D2D95"/>
    <w:rsid w:val="006D71B0"/>
    <w:rsid w:val="006D71DF"/>
    <w:rsid w:val="006E21C6"/>
    <w:rsid w:val="006F1019"/>
    <w:rsid w:val="006F15D2"/>
    <w:rsid w:val="006F7C4F"/>
    <w:rsid w:val="00714D78"/>
    <w:rsid w:val="00724498"/>
    <w:rsid w:val="007303E5"/>
    <w:rsid w:val="00752DA3"/>
    <w:rsid w:val="00763CD2"/>
    <w:rsid w:val="0076522A"/>
    <w:rsid w:val="007707E3"/>
    <w:rsid w:val="00772353"/>
    <w:rsid w:val="0077399E"/>
    <w:rsid w:val="0078097A"/>
    <w:rsid w:val="00783715"/>
    <w:rsid w:val="007873DE"/>
    <w:rsid w:val="0078798E"/>
    <w:rsid w:val="00791B7A"/>
    <w:rsid w:val="007A1051"/>
    <w:rsid w:val="007C0625"/>
    <w:rsid w:val="007C74CE"/>
    <w:rsid w:val="007E5B97"/>
    <w:rsid w:val="007E6BFA"/>
    <w:rsid w:val="007E6FAA"/>
    <w:rsid w:val="007F042C"/>
    <w:rsid w:val="007F216A"/>
    <w:rsid w:val="007F4688"/>
    <w:rsid w:val="00813D6C"/>
    <w:rsid w:val="00814BC6"/>
    <w:rsid w:val="00815958"/>
    <w:rsid w:val="0081674C"/>
    <w:rsid w:val="008167A4"/>
    <w:rsid w:val="008169E7"/>
    <w:rsid w:val="0081722A"/>
    <w:rsid w:val="008235E7"/>
    <w:rsid w:val="00824331"/>
    <w:rsid w:val="008305FE"/>
    <w:rsid w:val="00833A9C"/>
    <w:rsid w:val="008358AC"/>
    <w:rsid w:val="00841FEE"/>
    <w:rsid w:val="00845294"/>
    <w:rsid w:val="00845E76"/>
    <w:rsid w:val="00846366"/>
    <w:rsid w:val="00847EB4"/>
    <w:rsid w:val="0085561E"/>
    <w:rsid w:val="0085589E"/>
    <w:rsid w:val="00867743"/>
    <w:rsid w:val="0087084F"/>
    <w:rsid w:val="0087132C"/>
    <w:rsid w:val="008814AB"/>
    <w:rsid w:val="00883016"/>
    <w:rsid w:val="00887377"/>
    <w:rsid w:val="00890942"/>
    <w:rsid w:val="008953C5"/>
    <w:rsid w:val="008A6416"/>
    <w:rsid w:val="008B110D"/>
    <w:rsid w:val="008B618F"/>
    <w:rsid w:val="008C64CC"/>
    <w:rsid w:val="008D05C1"/>
    <w:rsid w:val="008D2E1A"/>
    <w:rsid w:val="008E16F1"/>
    <w:rsid w:val="008E7FBF"/>
    <w:rsid w:val="008F2C11"/>
    <w:rsid w:val="008F4729"/>
    <w:rsid w:val="008F52FA"/>
    <w:rsid w:val="008F67AC"/>
    <w:rsid w:val="008F7EDB"/>
    <w:rsid w:val="00900F1C"/>
    <w:rsid w:val="00910752"/>
    <w:rsid w:val="00914A10"/>
    <w:rsid w:val="00923781"/>
    <w:rsid w:val="0093043A"/>
    <w:rsid w:val="009316AE"/>
    <w:rsid w:val="0093555D"/>
    <w:rsid w:val="009378B5"/>
    <w:rsid w:val="009420C2"/>
    <w:rsid w:val="00946F0D"/>
    <w:rsid w:val="00951D5E"/>
    <w:rsid w:val="009564F5"/>
    <w:rsid w:val="0096341B"/>
    <w:rsid w:val="00965EE4"/>
    <w:rsid w:val="009703B2"/>
    <w:rsid w:val="00971959"/>
    <w:rsid w:val="00971CF1"/>
    <w:rsid w:val="00971DF8"/>
    <w:rsid w:val="009748D7"/>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77DF"/>
    <w:rsid w:val="009C12AB"/>
    <w:rsid w:val="009C20C0"/>
    <w:rsid w:val="009C29B9"/>
    <w:rsid w:val="009D0218"/>
    <w:rsid w:val="009D173B"/>
    <w:rsid w:val="009D63BC"/>
    <w:rsid w:val="009E2A41"/>
    <w:rsid w:val="009F3688"/>
    <w:rsid w:val="00A02881"/>
    <w:rsid w:val="00A04DD5"/>
    <w:rsid w:val="00A10F0B"/>
    <w:rsid w:val="00A1438F"/>
    <w:rsid w:val="00A153DA"/>
    <w:rsid w:val="00A2333F"/>
    <w:rsid w:val="00A256F1"/>
    <w:rsid w:val="00A306ED"/>
    <w:rsid w:val="00A31F71"/>
    <w:rsid w:val="00A37751"/>
    <w:rsid w:val="00A46EDA"/>
    <w:rsid w:val="00A52E66"/>
    <w:rsid w:val="00A541CC"/>
    <w:rsid w:val="00A54462"/>
    <w:rsid w:val="00A60670"/>
    <w:rsid w:val="00A62928"/>
    <w:rsid w:val="00A641CD"/>
    <w:rsid w:val="00A706A0"/>
    <w:rsid w:val="00A74B92"/>
    <w:rsid w:val="00A74F81"/>
    <w:rsid w:val="00A94D7E"/>
    <w:rsid w:val="00A95C8D"/>
    <w:rsid w:val="00A95EA0"/>
    <w:rsid w:val="00A96F5A"/>
    <w:rsid w:val="00AA0B3A"/>
    <w:rsid w:val="00AA23BA"/>
    <w:rsid w:val="00AA6F4A"/>
    <w:rsid w:val="00AB37ED"/>
    <w:rsid w:val="00AC081D"/>
    <w:rsid w:val="00AC5A33"/>
    <w:rsid w:val="00AC766D"/>
    <w:rsid w:val="00AC7F46"/>
    <w:rsid w:val="00AD442D"/>
    <w:rsid w:val="00AD77A9"/>
    <w:rsid w:val="00AE3026"/>
    <w:rsid w:val="00AE3F48"/>
    <w:rsid w:val="00AF6E1F"/>
    <w:rsid w:val="00B007A9"/>
    <w:rsid w:val="00B010D9"/>
    <w:rsid w:val="00B03A96"/>
    <w:rsid w:val="00B03AE3"/>
    <w:rsid w:val="00B05B6E"/>
    <w:rsid w:val="00B060ED"/>
    <w:rsid w:val="00B12972"/>
    <w:rsid w:val="00B17A0C"/>
    <w:rsid w:val="00B22360"/>
    <w:rsid w:val="00B22DAC"/>
    <w:rsid w:val="00B26927"/>
    <w:rsid w:val="00B3585D"/>
    <w:rsid w:val="00B35F15"/>
    <w:rsid w:val="00B3774D"/>
    <w:rsid w:val="00B44C64"/>
    <w:rsid w:val="00B51CBD"/>
    <w:rsid w:val="00B52793"/>
    <w:rsid w:val="00B5412E"/>
    <w:rsid w:val="00B6230B"/>
    <w:rsid w:val="00B62649"/>
    <w:rsid w:val="00B62715"/>
    <w:rsid w:val="00B72ABF"/>
    <w:rsid w:val="00B7472A"/>
    <w:rsid w:val="00B80BDE"/>
    <w:rsid w:val="00B81DDB"/>
    <w:rsid w:val="00B87403"/>
    <w:rsid w:val="00B94DFB"/>
    <w:rsid w:val="00BA6F2D"/>
    <w:rsid w:val="00BA703E"/>
    <w:rsid w:val="00BB0837"/>
    <w:rsid w:val="00BB0BAC"/>
    <w:rsid w:val="00BB1626"/>
    <w:rsid w:val="00BB60EF"/>
    <w:rsid w:val="00BB6478"/>
    <w:rsid w:val="00BB6D0A"/>
    <w:rsid w:val="00BC6C68"/>
    <w:rsid w:val="00BD35E0"/>
    <w:rsid w:val="00BE0803"/>
    <w:rsid w:val="00BF6206"/>
    <w:rsid w:val="00BF6B3B"/>
    <w:rsid w:val="00C02173"/>
    <w:rsid w:val="00C13A29"/>
    <w:rsid w:val="00C14BFB"/>
    <w:rsid w:val="00C21F92"/>
    <w:rsid w:val="00C24F01"/>
    <w:rsid w:val="00C25F2B"/>
    <w:rsid w:val="00C27457"/>
    <w:rsid w:val="00C32265"/>
    <w:rsid w:val="00C32DA0"/>
    <w:rsid w:val="00C3589C"/>
    <w:rsid w:val="00C43592"/>
    <w:rsid w:val="00C44F98"/>
    <w:rsid w:val="00C46F35"/>
    <w:rsid w:val="00C513E0"/>
    <w:rsid w:val="00C51450"/>
    <w:rsid w:val="00C53C71"/>
    <w:rsid w:val="00C54034"/>
    <w:rsid w:val="00C54556"/>
    <w:rsid w:val="00C56D2B"/>
    <w:rsid w:val="00C57617"/>
    <w:rsid w:val="00C60B8E"/>
    <w:rsid w:val="00C67918"/>
    <w:rsid w:val="00C73C00"/>
    <w:rsid w:val="00C73DB4"/>
    <w:rsid w:val="00C75839"/>
    <w:rsid w:val="00C80C5C"/>
    <w:rsid w:val="00C83353"/>
    <w:rsid w:val="00C8359A"/>
    <w:rsid w:val="00C84321"/>
    <w:rsid w:val="00C87D15"/>
    <w:rsid w:val="00C968BF"/>
    <w:rsid w:val="00CA3DC9"/>
    <w:rsid w:val="00CC1F2F"/>
    <w:rsid w:val="00CD4B44"/>
    <w:rsid w:val="00CE67CF"/>
    <w:rsid w:val="00CF1B6F"/>
    <w:rsid w:val="00CF35E8"/>
    <w:rsid w:val="00D02114"/>
    <w:rsid w:val="00D03A94"/>
    <w:rsid w:val="00D16DEC"/>
    <w:rsid w:val="00D17F85"/>
    <w:rsid w:val="00D23C5E"/>
    <w:rsid w:val="00D26DE5"/>
    <w:rsid w:val="00D30AC2"/>
    <w:rsid w:val="00D30CA6"/>
    <w:rsid w:val="00D31AF4"/>
    <w:rsid w:val="00D47B48"/>
    <w:rsid w:val="00D51569"/>
    <w:rsid w:val="00D51C46"/>
    <w:rsid w:val="00D62770"/>
    <w:rsid w:val="00D70A72"/>
    <w:rsid w:val="00D75B1F"/>
    <w:rsid w:val="00D75FD1"/>
    <w:rsid w:val="00D82300"/>
    <w:rsid w:val="00D82E65"/>
    <w:rsid w:val="00D955CB"/>
    <w:rsid w:val="00DA2DBB"/>
    <w:rsid w:val="00DB0E94"/>
    <w:rsid w:val="00DB3D3C"/>
    <w:rsid w:val="00DB6873"/>
    <w:rsid w:val="00DC1A17"/>
    <w:rsid w:val="00DC2D6F"/>
    <w:rsid w:val="00DD3761"/>
    <w:rsid w:val="00DD3EB1"/>
    <w:rsid w:val="00DD5E68"/>
    <w:rsid w:val="00DE518C"/>
    <w:rsid w:val="00DE5717"/>
    <w:rsid w:val="00DE7EB2"/>
    <w:rsid w:val="00E07755"/>
    <w:rsid w:val="00E13097"/>
    <w:rsid w:val="00E218F5"/>
    <w:rsid w:val="00E225D8"/>
    <w:rsid w:val="00E33652"/>
    <w:rsid w:val="00E410FF"/>
    <w:rsid w:val="00E52555"/>
    <w:rsid w:val="00E52CC2"/>
    <w:rsid w:val="00E5529D"/>
    <w:rsid w:val="00E635CF"/>
    <w:rsid w:val="00E7064E"/>
    <w:rsid w:val="00E73C1D"/>
    <w:rsid w:val="00E77ABE"/>
    <w:rsid w:val="00E909DB"/>
    <w:rsid w:val="00E923D8"/>
    <w:rsid w:val="00E971A0"/>
    <w:rsid w:val="00EA0AC6"/>
    <w:rsid w:val="00EA2482"/>
    <w:rsid w:val="00EA2C50"/>
    <w:rsid w:val="00EB129D"/>
    <w:rsid w:val="00EB28B0"/>
    <w:rsid w:val="00EC484B"/>
    <w:rsid w:val="00EC4B87"/>
    <w:rsid w:val="00EC5194"/>
    <w:rsid w:val="00EC600B"/>
    <w:rsid w:val="00ED5C44"/>
    <w:rsid w:val="00ED72AF"/>
    <w:rsid w:val="00EE03C4"/>
    <w:rsid w:val="00EE07D8"/>
    <w:rsid w:val="00F02D15"/>
    <w:rsid w:val="00F03E1C"/>
    <w:rsid w:val="00F16292"/>
    <w:rsid w:val="00F25F89"/>
    <w:rsid w:val="00F2770F"/>
    <w:rsid w:val="00F363B0"/>
    <w:rsid w:val="00F37ED1"/>
    <w:rsid w:val="00F42763"/>
    <w:rsid w:val="00F44C16"/>
    <w:rsid w:val="00F45E08"/>
    <w:rsid w:val="00F509A1"/>
    <w:rsid w:val="00F55770"/>
    <w:rsid w:val="00F64A3F"/>
    <w:rsid w:val="00F67C47"/>
    <w:rsid w:val="00F77BE2"/>
    <w:rsid w:val="00F80181"/>
    <w:rsid w:val="00F80C67"/>
    <w:rsid w:val="00F82BA2"/>
    <w:rsid w:val="00FA44E8"/>
    <w:rsid w:val="00FA6EDD"/>
    <w:rsid w:val="00FB2E22"/>
    <w:rsid w:val="00FB5348"/>
    <w:rsid w:val="00FB5796"/>
    <w:rsid w:val="00FB6F1A"/>
    <w:rsid w:val="00FC04EC"/>
    <w:rsid w:val="00FC302B"/>
    <w:rsid w:val="00FC5DCD"/>
    <w:rsid w:val="00FE5AD6"/>
    <w:rsid w:val="00FF04A6"/>
    <w:rsid w:val="01CD2E9D"/>
    <w:rsid w:val="07733ED3"/>
    <w:rsid w:val="079A26F9"/>
    <w:rsid w:val="0EE97B8E"/>
    <w:rsid w:val="0F0F0F63"/>
    <w:rsid w:val="13706DBD"/>
    <w:rsid w:val="17B30CC5"/>
    <w:rsid w:val="1BFD3750"/>
    <w:rsid w:val="1D3D2567"/>
    <w:rsid w:val="1DE978C4"/>
    <w:rsid w:val="1ED878F4"/>
    <w:rsid w:val="24E915BF"/>
    <w:rsid w:val="27821D05"/>
    <w:rsid w:val="284941DC"/>
    <w:rsid w:val="2A9B65A1"/>
    <w:rsid w:val="2AA71F8F"/>
    <w:rsid w:val="301A7EDF"/>
    <w:rsid w:val="32493792"/>
    <w:rsid w:val="34AE374B"/>
    <w:rsid w:val="35AD3EF5"/>
    <w:rsid w:val="35B07A97"/>
    <w:rsid w:val="35B53B02"/>
    <w:rsid w:val="371619FA"/>
    <w:rsid w:val="3AB0548E"/>
    <w:rsid w:val="417325FA"/>
    <w:rsid w:val="41E424CB"/>
    <w:rsid w:val="42745016"/>
    <w:rsid w:val="454D157F"/>
    <w:rsid w:val="4D6F2CBC"/>
    <w:rsid w:val="4EC04089"/>
    <w:rsid w:val="55765394"/>
    <w:rsid w:val="559346D9"/>
    <w:rsid w:val="55CD5ACF"/>
    <w:rsid w:val="5927426C"/>
    <w:rsid w:val="5DB53F06"/>
    <w:rsid w:val="5DFB2CE6"/>
    <w:rsid w:val="5FCA2E7D"/>
    <w:rsid w:val="60755A9B"/>
    <w:rsid w:val="66A36C22"/>
    <w:rsid w:val="70A46938"/>
    <w:rsid w:val="725310CC"/>
    <w:rsid w:val="72827E86"/>
    <w:rsid w:val="7C433F8A"/>
    <w:rsid w:val="7E76666C"/>
    <w:rsid w:val="7F07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4"/>
    <w:qFormat/>
    <w:uiPriority w:val="0"/>
    <w:rPr>
      <w:rFonts w:ascii="Times New Roman" w:hAnsi="Times New Roman" w:eastAsia="宋体" w:cs="Times New Roman"/>
      <w:color w:val="FF0000"/>
      <w:sz w:val="24"/>
      <w:szCs w:val="24"/>
    </w:rPr>
  </w:style>
  <w:style w:type="paragraph" w:styleId="10">
    <w:name w:val="Body Text"/>
    <w:basedOn w:val="1"/>
    <w:next w:val="11"/>
    <w:link w:val="35"/>
    <w:semiHidden/>
    <w:unhideWhenUsed/>
    <w:qFormat/>
    <w:uiPriority w:val="99"/>
    <w:pPr>
      <w:spacing w:after="120"/>
    </w:pPr>
  </w:style>
  <w:style w:type="paragraph" w:customStyle="1" w:styleId="11">
    <w:name w:val="style4"/>
    <w:basedOn w:val="1"/>
    <w:next w:val="12"/>
    <w:qFormat/>
    <w:uiPriority w:val="0"/>
    <w:pPr>
      <w:widowControl/>
      <w:autoSpaceDE/>
      <w:autoSpaceDN/>
      <w:spacing w:before="280" w:after="280" w:line="240" w:lineRule="auto"/>
      <w:ind w:left="0" w:firstLine="0"/>
      <w:jc w:val="both"/>
    </w:pPr>
    <w:rPr>
      <w:rFonts w:ascii="宋体" w:hAnsi="Times New Roman" w:eastAsia="宋体" w:cs="Times New Roman"/>
      <w:sz w:val="18"/>
    </w:rPr>
  </w:style>
  <w:style w:type="paragraph" w:customStyle="1" w:styleId="12">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13">
    <w:name w:val="Body Text Indent"/>
    <w:basedOn w:val="1"/>
    <w:link w:val="37"/>
    <w:qFormat/>
    <w:uiPriority w:val="0"/>
    <w:pPr>
      <w:adjustRightInd w:val="0"/>
      <w:spacing w:after="120" w:line="360" w:lineRule="atLeast"/>
      <w:ind w:left="420" w:leftChars="200"/>
      <w:jc w:val="left"/>
      <w:textAlignment w:val="baseline"/>
    </w:pPr>
    <w:rPr>
      <w:kern w:val="0"/>
      <w:sz w:val="24"/>
      <w:szCs w:val="20"/>
    </w:rPr>
  </w:style>
  <w:style w:type="paragraph" w:styleId="14">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5">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6">
    <w:name w:val="Plain Text"/>
    <w:basedOn w:val="1"/>
    <w:link w:val="38"/>
    <w:qFormat/>
    <w:uiPriority w:val="0"/>
    <w:rPr>
      <w:rFonts w:eastAsia="宋体"/>
      <w:sz w:val="24"/>
    </w:rPr>
  </w:style>
  <w:style w:type="paragraph" w:styleId="17">
    <w:name w:val="Date"/>
    <w:basedOn w:val="1"/>
    <w:next w:val="1"/>
    <w:link w:val="39"/>
    <w:unhideWhenUsed/>
    <w:qFormat/>
    <w:uiPriority w:val="99"/>
    <w:pPr>
      <w:ind w:left="100" w:leftChars="2500"/>
    </w:pPr>
  </w:style>
  <w:style w:type="paragraph" w:styleId="18">
    <w:name w:val="Balloon Text"/>
    <w:basedOn w:val="1"/>
    <w:link w:val="41"/>
    <w:semiHidden/>
    <w:unhideWhenUsed/>
    <w:qFormat/>
    <w:uiPriority w:val="99"/>
    <w:rPr>
      <w:sz w:val="18"/>
      <w:szCs w:val="18"/>
    </w:rPr>
  </w:style>
  <w:style w:type="paragraph" w:styleId="19">
    <w:name w:val="footer"/>
    <w:basedOn w:val="1"/>
    <w:link w:val="42"/>
    <w:unhideWhenUsed/>
    <w:qFormat/>
    <w:uiPriority w:val="99"/>
    <w:pPr>
      <w:tabs>
        <w:tab w:val="center" w:pos="4153"/>
        <w:tab w:val="right" w:pos="8306"/>
      </w:tabs>
      <w:snapToGrid w:val="0"/>
      <w:jc w:val="left"/>
    </w:pPr>
    <w:rPr>
      <w:sz w:val="18"/>
      <w:szCs w:val="18"/>
    </w:rPr>
  </w:style>
  <w:style w:type="paragraph" w:styleId="20">
    <w:name w:val="header"/>
    <w:basedOn w:val="1"/>
    <w:link w:val="43"/>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2">
    <w:name w:val="HTML Preformatted"/>
    <w:basedOn w:val="1"/>
    <w:link w:val="4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paragraph" w:styleId="24">
    <w:name w:val="Body Text First Indent"/>
    <w:basedOn w:val="10"/>
    <w:next w:val="1"/>
    <w:link w:val="46"/>
    <w:qFormat/>
    <w:uiPriority w:val="0"/>
    <w:pPr>
      <w:ind w:firstLine="420" w:firstLineChars="100"/>
    </w:pPr>
    <w:rPr>
      <w:rFonts w:ascii="宋体" w:hAnsi="Times New Roman" w:eastAsia="宋体" w:cs="Times New Roman"/>
      <w:kern w:val="0"/>
      <w:sz w:val="34"/>
      <w:szCs w:val="20"/>
    </w:rPr>
  </w:style>
  <w:style w:type="character" w:styleId="27">
    <w:name w:val="Strong"/>
    <w:basedOn w:val="26"/>
    <w:qFormat/>
    <w:uiPriority w:val="22"/>
    <w:rPr>
      <w:b/>
      <w:bCs/>
    </w:rPr>
  </w:style>
  <w:style w:type="character" w:styleId="28">
    <w:name w:val="Emphasis"/>
    <w:basedOn w:val="26"/>
    <w:qFormat/>
    <w:uiPriority w:val="20"/>
    <w:rPr>
      <w:i/>
      <w:iCs/>
    </w:rPr>
  </w:style>
  <w:style w:type="character" w:styleId="29">
    <w:name w:val="Hyperlink"/>
    <w:basedOn w:val="26"/>
    <w:unhideWhenUsed/>
    <w:qFormat/>
    <w:uiPriority w:val="99"/>
    <w:rPr>
      <w:color w:val="0000FF"/>
      <w:u w:val="single"/>
    </w:rPr>
  </w:style>
  <w:style w:type="character" w:customStyle="1" w:styleId="30">
    <w:name w:val="标题 1 Char"/>
    <w:basedOn w:val="26"/>
    <w:link w:val="3"/>
    <w:qFormat/>
    <w:uiPriority w:val="0"/>
    <w:rPr>
      <w:rFonts w:ascii="Calibri" w:hAnsi="Calibri" w:eastAsia="宋体" w:cs="Times New Roman"/>
      <w:b/>
      <w:bCs/>
      <w:kern w:val="44"/>
      <w:sz w:val="44"/>
      <w:szCs w:val="44"/>
    </w:rPr>
  </w:style>
  <w:style w:type="character" w:customStyle="1" w:styleId="31">
    <w:name w:val="标题 2 Char"/>
    <w:basedOn w:val="26"/>
    <w:link w:val="4"/>
    <w:qFormat/>
    <w:uiPriority w:val="0"/>
    <w:rPr>
      <w:rFonts w:ascii="Arial" w:hAnsi="Arial" w:eastAsia="黑体" w:cs="Times New Roman"/>
      <w:b/>
      <w:bCs/>
      <w:kern w:val="0"/>
      <w:sz w:val="32"/>
      <w:szCs w:val="32"/>
    </w:rPr>
  </w:style>
  <w:style w:type="character" w:customStyle="1" w:styleId="32">
    <w:name w:val="标题 3 Char"/>
    <w:basedOn w:val="26"/>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6"/>
    <w:link w:val="6"/>
    <w:qFormat/>
    <w:uiPriority w:val="0"/>
    <w:rPr>
      <w:rFonts w:ascii="Arial" w:hAnsi="Arial" w:eastAsia="黑体" w:cs="Times New Roman"/>
      <w:b/>
      <w:bCs/>
      <w:kern w:val="0"/>
      <w:sz w:val="28"/>
      <w:szCs w:val="28"/>
    </w:rPr>
  </w:style>
  <w:style w:type="character" w:customStyle="1" w:styleId="34">
    <w:name w:val="正文文本 3 Char"/>
    <w:basedOn w:val="26"/>
    <w:link w:val="9"/>
    <w:qFormat/>
    <w:uiPriority w:val="0"/>
    <w:rPr>
      <w:rFonts w:ascii="Times New Roman" w:hAnsi="Times New Roman" w:eastAsia="宋体" w:cs="Times New Roman"/>
      <w:color w:val="FF0000"/>
      <w:sz w:val="24"/>
      <w:szCs w:val="24"/>
    </w:rPr>
  </w:style>
  <w:style w:type="character" w:customStyle="1" w:styleId="35">
    <w:name w:val="正文文本 Char"/>
    <w:basedOn w:val="26"/>
    <w:link w:val="10"/>
    <w:semiHidden/>
    <w:qFormat/>
    <w:uiPriority w:val="99"/>
  </w:style>
  <w:style w:type="character" w:customStyle="1" w:styleId="36">
    <w:name w:val="正文文本缩进 Char"/>
    <w:basedOn w:val="26"/>
    <w:link w:val="13"/>
    <w:qFormat/>
    <w:uiPriority w:val="0"/>
  </w:style>
  <w:style w:type="character" w:customStyle="1" w:styleId="37">
    <w:name w:val="正文文本缩进 Char1"/>
    <w:basedOn w:val="26"/>
    <w:link w:val="13"/>
    <w:qFormat/>
    <w:uiPriority w:val="0"/>
    <w:rPr>
      <w:kern w:val="0"/>
      <w:sz w:val="24"/>
      <w:szCs w:val="20"/>
    </w:rPr>
  </w:style>
  <w:style w:type="character" w:customStyle="1" w:styleId="38">
    <w:name w:val="纯文本 Char"/>
    <w:basedOn w:val="26"/>
    <w:link w:val="16"/>
    <w:qFormat/>
    <w:uiPriority w:val="0"/>
    <w:rPr>
      <w:rFonts w:eastAsia="宋体"/>
      <w:sz w:val="24"/>
    </w:rPr>
  </w:style>
  <w:style w:type="character" w:customStyle="1" w:styleId="39">
    <w:name w:val="日期 Char"/>
    <w:basedOn w:val="26"/>
    <w:link w:val="17"/>
    <w:qFormat/>
    <w:uiPriority w:val="99"/>
  </w:style>
  <w:style w:type="character" w:customStyle="1" w:styleId="40">
    <w:name w:val="批注框文本 Char"/>
    <w:basedOn w:val="26"/>
    <w:link w:val="18"/>
    <w:semiHidden/>
    <w:qFormat/>
    <w:uiPriority w:val="99"/>
    <w:rPr>
      <w:sz w:val="18"/>
      <w:szCs w:val="18"/>
    </w:rPr>
  </w:style>
  <w:style w:type="character" w:customStyle="1" w:styleId="41">
    <w:name w:val="批注框文本 Char1"/>
    <w:basedOn w:val="26"/>
    <w:link w:val="18"/>
    <w:semiHidden/>
    <w:qFormat/>
    <w:uiPriority w:val="99"/>
    <w:rPr>
      <w:sz w:val="18"/>
      <w:szCs w:val="18"/>
    </w:rPr>
  </w:style>
  <w:style w:type="character" w:customStyle="1" w:styleId="42">
    <w:name w:val="页脚 Char"/>
    <w:basedOn w:val="26"/>
    <w:link w:val="19"/>
    <w:qFormat/>
    <w:uiPriority w:val="99"/>
    <w:rPr>
      <w:sz w:val="18"/>
      <w:szCs w:val="18"/>
    </w:rPr>
  </w:style>
  <w:style w:type="character" w:customStyle="1" w:styleId="43">
    <w:name w:val="页眉 Char"/>
    <w:basedOn w:val="26"/>
    <w:link w:val="20"/>
    <w:qFormat/>
    <w:uiPriority w:val="99"/>
    <w:rPr>
      <w:sz w:val="18"/>
      <w:szCs w:val="18"/>
    </w:rPr>
  </w:style>
  <w:style w:type="character" w:customStyle="1" w:styleId="44">
    <w:name w:val="HTML 预设格式 Char"/>
    <w:basedOn w:val="26"/>
    <w:link w:val="22"/>
    <w:semiHidden/>
    <w:qFormat/>
    <w:uiPriority w:val="99"/>
    <w:rPr>
      <w:rFonts w:ascii="宋体" w:hAnsi="宋体" w:eastAsia="宋体" w:cs="宋体"/>
      <w:kern w:val="0"/>
      <w:sz w:val="24"/>
      <w:szCs w:val="24"/>
    </w:rPr>
  </w:style>
  <w:style w:type="character" w:customStyle="1" w:styleId="45">
    <w:name w:val="HTML 预设格式 Char1"/>
    <w:basedOn w:val="26"/>
    <w:link w:val="22"/>
    <w:semiHidden/>
    <w:qFormat/>
    <w:uiPriority w:val="99"/>
    <w:rPr>
      <w:rFonts w:ascii="Courier New" w:hAnsi="Courier New" w:cs="Courier New"/>
      <w:sz w:val="20"/>
      <w:szCs w:val="20"/>
    </w:rPr>
  </w:style>
  <w:style w:type="character" w:customStyle="1" w:styleId="46">
    <w:name w:val="正文首行缩进 Char"/>
    <w:basedOn w:val="35"/>
    <w:link w:val="24"/>
    <w:qFormat/>
    <w:uiPriority w:val="0"/>
    <w:rPr>
      <w:rFonts w:ascii="宋体" w:hAnsi="Times New Roman" w:eastAsia="宋体" w:cs="Times New Roman"/>
      <w:kern w:val="0"/>
      <w:sz w:val="34"/>
      <w:szCs w:val="20"/>
    </w:rPr>
  </w:style>
  <w:style w:type="character" w:customStyle="1" w:styleId="47">
    <w:name w:val="纯文本 Char1"/>
    <w:qFormat/>
    <w:uiPriority w:val="0"/>
    <w:rPr>
      <w:rFonts w:eastAsia="宋体"/>
      <w:sz w:val="24"/>
    </w:rPr>
  </w:style>
  <w:style w:type="paragraph" w:customStyle="1" w:styleId="4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49">
    <w:name w:val="List Paragraph"/>
    <w:basedOn w:val="1"/>
    <w:unhideWhenUsed/>
    <w:qFormat/>
    <w:uiPriority w:val="99"/>
    <w:pPr>
      <w:ind w:firstLine="420" w:firstLineChars="200"/>
    </w:pPr>
  </w:style>
  <w:style w:type="character" w:customStyle="1" w:styleId="50">
    <w:name w:val="正文文本缩进 Char Char"/>
    <w:link w:val="51"/>
    <w:qFormat/>
    <w:uiPriority w:val="0"/>
    <w:rPr>
      <w:rFonts w:ascii="宋体"/>
      <w:sz w:val="24"/>
    </w:rPr>
  </w:style>
  <w:style w:type="paragraph" w:customStyle="1" w:styleId="51">
    <w:name w:val="正文文本缩进1"/>
    <w:basedOn w:val="1"/>
    <w:link w:val="50"/>
    <w:qFormat/>
    <w:uiPriority w:val="0"/>
    <w:pPr>
      <w:spacing w:line="360" w:lineRule="auto"/>
      <w:ind w:firstLine="480" w:firstLineChars="200"/>
    </w:pPr>
    <w:rPr>
      <w:rFonts w:ascii="宋体"/>
      <w:sz w:val="24"/>
    </w:rPr>
  </w:style>
  <w:style w:type="character" w:customStyle="1" w:styleId="52">
    <w:name w:val="日期 Char Char"/>
    <w:link w:val="53"/>
    <w:qFormat/>
    <w:uiPriority w:val="0"/>
    <w:rPr>
      <w:sz w:val="24"/>
    </w:rPr>
  </w:style>
  <w:style w:type="paragraph" w:customStyle="1" w:styleId="53">
    <w:name w:val="日期1"/>
    <w:basedOn w:val="1"/>
    <w:next w:val="1"/>
    <w:link w:val="52"/>
    <w:qFormat/>
    <w:uiPriority w:val="0"/>
    <w:rPr>
      <w:sz w:val="24"/>
    </w:rPr>
  </w:style>
  <w:style w:type="paragraph" w:customStyle="1" w:styleId="5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7">
    <w:name w:val="edittexttarea"/>
    <w:basedOn w:val="26"/>
    <w:qFormat/>
    <w:uiPriority w:val="0"/>
  </w:style>
  <w:style w:type="paragraph" w:customStyle="1" w:styleId="5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82389-487D-4A66-8A5B-8B01B0FC0065}">
  <ds:schemaRefs/>
</ds:datastoreItem>
</file>

<file path=docProps/app.xml><?xml version="1.0" encoding="utf-8"?>
<Properties xmlns="http://schemas.openxmlformats.org/officeDocument/2006/extended-properties" xmlns:vt="http://schemas.openxmlformats.org/officeDocument/2006/docPropsVTypes">
  <Template>Normal.dotm</Template>
  <Pages>71</Pages>
  <Words>5235</Words>
  <Characters>29846</Characters>
  <Lines>248</Lines>
  <Paragraphs>70</Paragraphs>
  <TotalTime>6</TotalTime>
  <ScaleCrop>false</ScaleCrop>
  <LinksUpToDate>false</LinksUpToDate>
  <CharactersWithSpaces>35011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2020-03-11T09:07:00Z</dcterms:created>
  <dc:creator>许昌市公共资源交易中心:孟莉</dc:creator>
  <cp:lastModifiedBy>禹州市公共资源交易中心:艾明辉</cp:lastModifiedBy>
  <dcterms:modified xsi:type="dcterms:W3CDTF">2020-05-18T01:02:39Z</dcterms:modified>
  <cp:revision>586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