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snapToGrid w:val="0"/>
        </w:rPr>
      </w:pPr>
      <w:r>
        <w:rPr>
          <w:rFonts w:hint="eastAsia" w:asciiTheme="minorEastAsia" w:hAnsiTheme="minorEastAsia"/>
          <w:snapToGrid w:val="0"/>
        </w:rPr>
        <w:t>开标一览表</w:t>
      </w:r>
    </w:p>
    <w:p>
      <w:pPr>
        <w:spacing w:before="50" w:after="120" w:afterLines="50" w:line="360" w:lineRule="auto"/>
        <w:contextualSpacing/>
        <w:jc w:val="left"/>
        <w:rPr>
          <w:rFonts w:cs="仿宋" w:asciiTheme="minorEastAsia" w:hAnsiTheme="minorEastAsia"/>
          <w:szCs w:val="21"/>
        </w:rPr>
      </w:pPr>
      <w:r>
        <w:rPr>
          <w:rFonts w:hint="eastAsia" w:cs="仿宋" w:asciiTheme="minorEastAsia" w:hAnsiTheme="minorEastAsia"/>
          <w:color w:val="000000"/>
          <w:szCs w:val="21"/>
        </w:rPr>
        <w:t>项目编号：</w:t>
      </w:r>
      <w:r>
        <w:rPr>
          <w:rFonts w:hint="eastAsia" w:cs="仿宋" w:asciiTheme="minorEastAsia" w:hAnsiTheme="minorEastAsia"/>
          <w:szCs w:val="21"/>
        </w:rPr>
        <w:t>Y2020HZ038</w:t>
      </w:r>
    </w:p>
    <w:p>
      <w:pPr>
        <w:spacing w:line="360" w:lineRule="auto"/>
        <w:contextualSpacing/>
        <w:rPr>
          <w:rFonts w:cs="仿宋" w:asciiTheme="minorEastAsia" w:hAnsiTheme="minorEastAsia"/>
          <w:color w:val="000000"/>
          <w:szCs w:val="21"/>
        </w:rPr>
      </w:pPr>
      <w:r>
        <w:rPr>
          <w:rFonts w:hint="eastAsia" w:cs="仿宋" w:asciiTheme="minorEastAsia" w:hAnsiTheme="minorEastAsia"/>
          <w:color w:val="000000"/>
          <w:szCs w:val="21"/>
        </w:rPr>
        <w:t xml:space="preserve">项目名称： </w:t>
      </w:r>
      <w:r>
        <w:rPr>
          <w:rFonts w:hint="eastAsia" w:cs="仿宋" w:asciiTheme="minorEastAsia" w:hAnsiTheme="minorEastAsia"/>
          <w:szCs w:val="21"/>
        </w:rPr>
        <w:t>鄢陵县标准化考场升级改</w:t>
      </w:r>
      <w:r>
        <w:rPr>
          <w:rFonts w:hint="eastAsia" w:cs="仿宋" w:asciiTheme="minorEastAsia" w:hAnsiTheme="minorEastAsia"/>
          <w:color w:val="000000"/>
          <w:szCs w:val="21"/>
        </w:rPr>
        <w:t xml:space="preserve">造（不见面开标）        </w:t>
      </w:r>
      <w:r>
        <w:rPr>
          <w:rFonts w:hint="eastAsia" w:cs="仿宋" w:asciiTheme="minorEastAsia" w:hAnsiTheme="minorEastAsia"/>
          <w:szCs w:val="21"/>
        </w:rPr>
        <w:t>单位：元（人民币）</w:t>
      </w:r>
    </w:p>
    <w:tbl>
      <w:tblPr>
        <w:tblStyle w:val="5"/>
        <w:tblW w:w="5000" w:type="pct"/>
        <w:tblInd w:w="0" w:type="dxa"/>
        <w:tblLayout w:type="autofit"/>
        <w:tblCellMar>
          <w:top w:w="0" w:type="dxa"/>
          <w:left w:w="108" w:type="dxa"/>
          <w:bottom w:w="0" w:type="dxa"/>
          <w:right w:w="108" w:type="dxa"/>
        </w:tblCellMar>
      </w:tblPr>
      <w:tblGrid>
        <w:gridCol w:w="1117"/>
        <w:gridCol w:w="2145"/>
        <w:gridCol w:w="4944"/>
        <w:gridCol w:w="1641"/>
        <w:gridCol w:w="835"/>
      </w:tblGrid>
      <w:tr>
        <w:tblPrEx>
          <w:tblCellMar>
            <w:top w:w="0" w:type="dxa"/>
            <w:left w:w="108" w:type="dxa"/>
            <w:bottom w:w="0" w:type="dxa"/>
            <w:right w:w="108" w:type="dxa"/>
          </w:tblCellMar>
        </w:tblPrEx>
        <w:trPr>
          <w:trHeight w:val="851" w:hRule="atLeast"/>
        </w:trPr>
        <w:tc>
          <w:tcPr>
            <w:tcW w:w="523" w:type="pct"/>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仿宋" w:asciiTheme="minorEastAsia" w:hAnsiTheme="minorEastAsia"/>
                <w:b/>
                <w:szCs w:val="21"/>
                <w:lang w:val="zh-CN"/>
              </w:rPr>
            </w:pPr>
            <w:r>
              <w:rPr>
                <w:rFonts w:hint="eastAsia" w:cs="仿宋" w:asciiTheme="minorEastAsia" w:hAnsiTheme="minorEastAsia"/>
                <w:b/>
                <w:szCs w:val="21"/>
                <w:lang w:val="zh-CN"/>
              </w:rPr>
              <w:t>标段</w:t>
            </w:r>
          </w:p>
        </w:tc>
        <w:tc>
          <w:tcPr>
            <w:tcW w:w="1004" w:type="pct"/>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仿宋" w:asciiTheme="minorEastAsia" w:hAnsiTheme="minorEastAsia"/>
                <w:b/>
                <w:szCs w:val="21"/>
                <w:lang w:val="zh-CN"/>
              </w:rPr>
            </w:pPr>
            <w:r>
              <w:rPr>
                <w:rFonts w:hint="eastAsia" w:cs="仿宋" w:asciiTheme="minorEastAsia" w:hAnsiTheme="minorEastAsia"/>
                <w:b/>
                <w:szCs w:val="21"/>
                <w:lang w:val="zh-CN"/>
              </w:rPr>
              <w:t>项目名称</w:t>
            </w:r>
          </w:p>
        </w:tc>
        <w:tc>
          <w:tcPr>
            <w:tcW w:w="2314" w:type="pct"/>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仿宋" w:asciiTheme="minorEastAsia" w:hAnsiTheme="minorEastAsia"/>
                <w:b/>
                <w:szCs w:val="21"/>
                <w:lang w:val="zh-CN"/>
              </w:rPr>
            </w:pPr>
            <w:r>
              <w:rPr>
                <w:rFonts w:hint="eastAsia" w:cs="仿宋" w:asciiTheme="minorEastAsia" w:hAnsiTheme="minorEastAsia"/>
                <w:b/>
                <w:szCs w:val="21"/>
                <w:lang w:val="zh-CN"/>
              </w:rPr>
              <w:t>投标报价</w:t>
            </w:r>
          </w:p>
        </w:tc>
        <w:tc>
          <w:tcPr>
            <w:tcW w:w="768" w:type="pct"/>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仿宋" w:asciiTheme="minorEastAsia" w:hAnsiTheme="minorEastAsia"/>
                <w:b/>
                <w:szCs w:val="21"/>
                <w:lang w:val="zh-CN"/>
              </w:rPr>
            </w:pPr>
            <w:r>
              <w:rPr>
                <w:rFonts w:hint="eastAsia" w:cs="仿宋" w:asciiTheme="minorEastAsia" w:hAnsiTheme="minorEastAsia"/>
                <w:b/>
                <w:szCs w:val="21"/>
                <w:lang w:val="zh-CN"/>
              </w:rPr>
              <w:t>交付时间</w:t>
            </w:r>
          </w:p>
        </w:tc>
        <w:tc>
          <w:tcPr>
            <w:tcW w:w="391" w:type="pct"/>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仿宋" w:asciiTheme="minorEastAsia" w:hAnsiTheme="minorEastAsia"/>
                <w:b/>
                <w:szCs w:val="21"/>
                <w:lang w:val="zh-CN"/>
              </w:rPr>
            </w:pPr>
            <w:r>
              <w:rPr>
                <w:rFonts w:hint="eastAsia" w:cs="仿宋"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5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仿宋" w:asciiTheme="minorEastAsia" w:hAnsiTheme="minorEastAsia"/>
                <w:szCs w:val="21"/>
              </w:rPr>
            </w:pPr>
            <w:r>
              <w:rPr>
                <w:rFonts w:hint="eastAsia" w:cs="仿宋" w:asciiTheme="minorEastAsia" w:hAnsiTheme="minorEastAsia"/>
                <w:szCs w:val="21"/>
              </w:rPr>
              <w:t>第一标段</w:t>
            </w:r>
          </w:p>
        </w:tc>
        <w:tc>
          <w:tcPr>
            <w:tcW w:w="100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仿宋" w:asciiTheme="minorEastAsia" w:hAnsiTheme="minorEastAsia"/>
                <w:szCs w:val="21"/>
              </w:rPr>
            </w:pPr>
            <w:r>
              <w:rPr>
                <w:rFonts w:hint="eastAsia" w:cs="仿宋" w:asciiTheme="minorEastAsia" w:hAnsiTheme="minorEastAsia"/>
                <w:szCs w:val="21"/>
              </w:rPr>
              <w:t>鄢陵县标准化考场升级改</w:t>
            </w:r>
            <w:r>
              <w:rPr>
                <w:rFonts w:hint="eastAsia" w:cs="仿宋" w:asciiTheme="minorEastAsia" w:hAnsiTheme="minorEastAsia"/>
                <w:color w:val="000000"/>
                <w:szCs w:val="21"/>
              </w:rPr>
              <w:t>造（不见面开标）</w:t>
            </w:r>
          </w:p>
        </w:tc>
        <w:tc>
          <w:tcPr>
            <w:tcW w:w="23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仿宋" w:asciiTheme="minorEastAsia" w:hAnsiTheme="minorEastAsia"/>
                <w:szCs w:val="21"/>
                <w:lang w:val="zh-CN"/>
              </w:rPr>
            </w:pPr>
            <w:r>
              <w:rPr>
                <w:rFonts w:hint="eastAsia" w:cs="仿宋" w:asciiTheme="minorEastAsia" w:hAnsiTheme="minorEastAsia"/>
                <w:szCs w:val="21"/>
                <w:lang w:val="zh-CN"/>
              </w:rPr>
              <w:t>大写：壹佰柒拾捌万柒仟伍佰叁拾元整</w:t>
            </w:r>
          </w:p>
          <w:p>
            <w:pPr>
              <w:autoSpaceDE w:val="0"/>
              <w:autoSpaceDN w:val="0"/>
              <w:adjustRightInd w:val="0"/>
              <w:spacing w:line="480" w:lineRule="exact"/>
              <w:rPr>
                <w:rFonts w:cs="仿宋" w:asciiTheme="minorEastAsia" w:hAnsiTheme="minorEastAsia"/>
                <w:szCs w:val="21"/>
                <w:lang w:val="zh-CN"/>
              </w:rPr>
            </w:pPr>
            <w:r>
              <w:rPr>
                <w:rFonts w:hint="eastAsia" w:cs="仿宋" w:asciiTheme="minorEastAsia" w:hAnsiTheme="minorEastAsia"/>
                <w:szCs w:val="21"/>
                <w:lang w:val="zh-CN"/>
              </w:rPr>
              <w:t>小写：1787530.00元</w:t>
            </w:r>
          </w:p>
        </w:tc>
        <w:tc>
          <w:tcPr>
            <w:tcW w:w="7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仿宋" w:asciiTheme="minorEastAsia" w:hAnsiTheme="minorEastAsia"/>
                <w:szCs w:val="21"/>
                <w:lang w:val="zh-CN"/>
              </w:rPr>
            </w:pPr>
            <w:r>
              <w:rPr>
                <w:rFonts w:hint="eastAsia" w:cs="仿宋" w:asciiTheme="minorEastAsia" w:hAnsiTheme="minorEastAsia"/>
                <w:szCs w:val="21"/>
                <w:lang w:val="zh-CN"/>
              </w:rPr>
              <w:t>自合同签订、生效之日起20天</w:t>
            </w:r>
          </w:p>
        </w:tc>
        <w:tc>
          <w:tcPr>
            <w:tcW w:w="39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 w:asciiTheme="minorEastAsia" w:hAnsiTheme="minorEastAsia"/>
                <w:szCs w:val="21"/>
                <w:lang w:val="zh-CN"/>
              </w:rPr>
            </w:pPr>
            <w:r>
              <w:rPr>
                <w:rFonts w:hint="eastAsia" w:cs="仿宋" w:asciiTheme="minorEastAsia" w:hAnsiTheme="minorEastAsia"/>
                <w:szCs w:val="21"/>
                <w:lang w:val="zh-CN"/>
              </w:rPr>
              <w:t>无</w:t>
            </w:r>
          </w:p>
        </w:tc>
      </w:tr>
    </w:tbl>
    <w:p>
      <w:pPr>
        <w:autoSpaceDE w:val="0"/>
        <w:autoSpaceDN w:val="0"/>
        <w:adjustRightInd w:val="0"/>
        <w:spacing w:line="480" w:lineRule="auto"/>
        <w:rPr>
          <w:rFonts w:cs="仿宋" w:asciiTheme="minorEastAsia" w:hAnsiTheme="minorEastAsia"/>
          <w:szCs w:val="21"/>
          <w:lang w:val="zh-CN"/>
        </w:rPr>
      </w:pPr>
    </w:p>
    <w:p>
      <w:pPr>
        <w:autoSpaceDE w:val="0"/>
        <w:autoSpaceDN w:val="0"/>
        <w:adjustRightInd w:val="0"/>
        <w:spacing w:line="480" w:lineRule="auto"/>
        <w:rPr>
          <w:rFonts w:cs="仿宋" w:asciiTheme="minorEastAsia" w:hAnsiTheme="minorEastAsia"/>
          <w:szCs w:val="21"/>
          <w:lang w:val="zh-CN"/>
        </w:rPr>
      </w:pPr>
      <w:r>
        <w:rPr>
          <w:rFonts w:hint="eastAsia" w:cs="仿宋" w:asciiTheme="minorEastAsia" w:hAnsiTheme="minorEastAsia"/>
          <w:szCs w:val="21"/>
          <w:lang w:val="zh-CN"/>
        </w:rPr>
        <w:t>投标人名称：</w:t>
      </w:r>
      <w:r>
        <w:rPr>
          <w:rFonts w:hint="eastAsia" w:cs="仿宋" w:asciiTheme="minorEastAsia" w:hAnsiTheme="minorEastAsia"/>
          <w:szCs w:val="21"/>
          <w:u w:val="single"/>
          <w:lang w:val="zh-CN"/>
        </w:rPr>
        <w:t xml:space="preserve"> 中电云科信息技术有限公司（全称）   </w:t>
      </w:r>
      <w:r>
        <w:rPr>
          <w:rFonts w:hint="eastAsia" w:cs="仿宋" w:asciiTheme="minorEastAsia" w:hAnsiTheme="minorEastAsia"/>
          <w:szCs w:val="21"/>
          <w:lang w:val="zh-CN"/>
        </w:rPr>
        <w:t>（公章）：</w:t>
      </w:r>
    </w:p>
    <w:p>
      <w:pPr>
        <w:autoSpaceDE w:val="0"/>
        <w:autoSpaceDN w:val="0"/>
        <w:adjustRightInd w:val="0"/>
        <w:spacing w:line="480" w:lineRule="auto"/>
        <w:rPr>
          <w:rFonts w:cs="仿宋" w:asciiTheme="minorEastAsia" w:hAnsiTheme="minorEastAsia"/>
          <w:szCs w:val="21"/>
          <w:lang w:val="zh-CN"/>
        </w:rPr>
      </w:pPr>
      <w:r>
        <w:rPr>
          <w:rFonts w:hint="eastAsia" w:cs="仿宋" w:asciiTheme="minorEastAsia" w:hAnsiTheme="minorEastAsia"/>
          <w:szCs w:val="21"/>
          <w:lang w:val="zh-CN"/>
        </w:rPr>
        <w:t xml:space="preserve">日期： </w:t>
      </w:r>
      <w:r>
        <w:rPr>
          <w:rFonts w:cs="仿宋" w:asciiTheme="minorEastAsia" w:hAnsiTheme="minorEastAsia"/>
          <w:szCs w:val="21"/>
          <w:lang w:val="zh-CN"/>
        </w:rPr>
        <w:t>2020</w:t>
      </w:r>
      <w:r>
        <w:rPr>
          <w:rFonts w:hint="eastAsia" w:cs="仿宋" w:asciiTheme="minorEastAsia" w:hAnsiTheme="minorEastAsia"/>
          <w:szCs w:val="21"/>
          <w:lang w:val="zh-CN"/>
        </w:rPr>
        <w:t xml:space="preserve"> 年 </w:t>
      </w:r>
      <w:r>
        <w:rPr>
          <w:rFonts w:cs="仿宋" w:asciiTheme="minorEastAsia" w:hAnsiTheme="minorEastAsia"/>
          <w:szCs w:val="21"/>
          <w:lang w:val="zh-CN"/>
        </w:rPr>
        <w:t>05</w:t>
      </w:r>
      <w:r>
        <w:rPr>
          <w:rFonts w:hint="eastAsia" w:cs="仿宋" w:asciiTheme="minorEastAsia" w:hAnsiTheme="minorEastAsia"/>
          <w:szCs w:val="21"/>
          <w:lang w:val="zh-CN"/>
        </w:rPr>
        <w:t xml:space="preserve"> 月 </w:t>
      </w:r>
      <w:r>
        <w:rPr>
          <w:rFonts w:cs="仿宋" w:asciiTheme="minorEastAsia" w:hAnsiTheme="minorEastAsia"/>
          <w:szCs w:val="21"/>
          <w:lang w:val="zh-CN"/>
        </w:rPr>
        <w:t>09</w:t>
      </w:r>
      <w:r>
        <w:rPr>
          <w:rFonts w:hint="eastAsia" w:cs="仿宋" w:asciiTheme="minorEastAsia" w:hAnsiTheme="minorEastAsia"/>
          <w:szCs w:val="21"/>
          <w:lang w:val="zh-CN"/>
        </w:rPr>
        <w:t xml:space="preserve"> 日</w:t>
      </w:r>
    </w:p>
    <w:p>
      <w:pPr>
        <w:autoSpaceDE w:val="0"/>
        <w:autoSpaceDN w:val="0"/>
        <w:adjustRightInd w:val="0"/>
        <w:spacing w:line="480" w:lineRule="auto"/>
        <w:rPr>
          <w:rFonts w:cs="仿宋" w:asciiTheme="minorEastAsia" w:hAnsiTheme="minorEastAsia"/>
          <w:szCs w:val="21"/>
          <w:lang w:val="zh-CN"/>
        </w:rPr>
      </w:pPr>
      <w:r>
        <w:rPr>
          <w:rFonts w:hint="eastAsia" w:cs="仿宋" w:asciiTheme="minorEastAsia" w:hAnsiTheme="minorEastAsia"/>
          <w:szCs w:val="21"/>
          <w:lang w:val="zh-CN"/>
        </w:rPr>
        <w:t>注：1、交付日期指完成该项目的最终时间（日历天）。</w:t>
      </w:r>
    </w:p>
    <w:p>
      <w:pPr>
        <w:numPr>
          <w:ilvl w:val="0"/>
          <w:numId w:val="2"/>
        </w:numPr>
        <w:rPr>
          <w:rFonts w:hint="eastAsia" w:cs="仿宋" w:asciiTheme="minorEastAsia" w:hAnsiTheme="minorEastAsia"/>
          <w:szCs w:val="21"/>
          <w:lang w:val="zh-CN"/>
        </w:rPr>
      </w:pPr>
      <w:r>
        <w:rPr>
          <w:rFonts w:hint="eastAsia" w:cs="仿宋" w:asciiTheme="minorEastAsia" w:hAnsiTheme="minorEastAsia"/>
          <w:szCs w:val="21"/>
          <w:lang w:val="zh-CN"/>
        </w:rPr>
        <w:t>如招标公告明确项目交付日期以年为单位，本表应填写完成该项目的年限。</w:t>
      </w:r>
    </w:p>
    <w:p>
      <w:pPr>
        <w:jc w:val="center"/>
        <w:rPr>
          <w:rFonts w:hint="eastAsia" w:asciiTheme="minorEastAsia" w:hAnsiTheme="minorEastAsia" w:eastAsiaTheme="minorEastAsia"/>
        </w:rPr>
      </w:pPr>
      <w:r>
        <w:rPr>
          <w:rFonts w:hint="eastAsia"/>
        </w:rPr>
        <w:br w:type="page"/>
      </w:r>
      <w:r>
        <w:rPr>
          <w:rFonts w:hint="eastAsia" w:asciiTheme="minorEastAsia" w:hAnsiTheme="minorEastAsia" w:eastAsiaTheme="minorEastAsia" w:cstheme="minorBidi"/>
          <w:b/>
          <w:bCs/>
          <w:snapToGrid w:val="0"/>
          <w:kern w:val="44"/>
          <w:sz w:val="32"/>
          <w:szCs w:val="44"/>
          <w:lang w:val="en-US" w:eastAsia="zh-CN" w:bidi="ar-SA"/>
        </w:rPr>
        <w:t>投标分项报价表（货物类项目）</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
        <w:gridCol w:w="448"/>
        <w:gridCol w:w="1608"/>
        <w:gridCol w:w="3232"/>
        <w:gridCol w:w="371"/>
        <w:gridCol w:w="525"/>
        <w:gridCol w:w="989"/>
        <w:gridCol w:w="1067"/>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名称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规格型号</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技术参数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单价</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总价</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鄢陵县一高考点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考场前端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红外高清半球摄像机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JF-NC302RP-V</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2、最高分辨率可达2M(1920×1080、 </w:t>
            </w:r>
            <w:bookmarkStart w:id="5" w:name="_GoBack"/>
            <w:bookmarkEnd w:id="5"/>
            <w:r>
              <w:rPr>
                <w:rFonts w:hint="eastAsia" w:ascii="宋体" w:hAnsi="宋体" w:eastAsia="宋体" w:cs="宋体"/>
                <w:color w:val="000000" w:themeColor="text1"/>
                <w:kern w:val="0"/>
                <w:szCs w:val="21"/>
                <w14:textFill>
                  <w14:solidFill>
                    <w14:schemeClr w14:val="tx1"/>
                  </w14:solidFill>
                </w14:textFill>
              </w:rPr>
              <w:t>@ 25 fps,并可输出实时图像；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3、采用ROI等视频压缩技术,压缩比高,且处理非常灵活,超低码率；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4、码流平滑设置，适应不同场景下对图像质量、流畅性的不同要求；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5、支持GBK字库，支持更多汉字及生僻字叠加；</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6、支持OSD颜色自选；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7、可支持PoE供电；</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8、高效红外灯,使用寿命长,照射距离30米；</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9、支持smart IR，防止夜间红外过曝；</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10、ICR红外滤片式自动切换,实现真正的日夜监控；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11、支持日夜两套参数独立配置；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12、支持Micro SD/SDHC/SDXC卡(128G、本地存储；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13、支持一对输入输出音频，支持语音对讲；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14、支持三轴调节，安装调试方便；</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15、支持3D数字降噪, 支持120dB超宽动态；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16、支持三码流；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17、支持走廊模式,背光补偿,自动电子快门功能,适应不同监控环境；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18、功能齐全:心跳,镜像,一键恢复等；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19、支持多种智能报警；</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20、支持智能后检索，配合存储平台支持事件的二次检索分析；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21、支持NAS、Email、FTP、NTP服务器测试；</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22、支持HTTPS,SSH等安全认证，支持创建证书；</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23、初始设备开机修改密码，保障密码安全；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24、支持用户登录锁定机制，及密码复杂度提示；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25、符合IP67级防尘防水设计,可靠性高；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26、防暴等级支持IK10。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27、镜头2.7-12mm 可调。</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¥108,000.00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内存卡</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128G</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128G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金士顿科技（上海）有限公司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DC12V-4A</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DC12V-4A</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深圳市小耳朵电源有限公司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配电盒</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国标  </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定制，用于安放集中电源、接线</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郑州荣盛电气有限公司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网络机柜</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HD-3506</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定制，用于每层楼放交换机、接线、插座</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¥3,600.00 </w:t>
            </w:r>
          </w:p>
        </w:tc>
        <w:tc>
          <w:tcPr>
            <w:tcW w:w="569" w:type="pct"/>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金属探测仪</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MD-800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便携式金属探测仪，支持无声振动模式</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¥21,600.00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广东守门神科技集团有限公司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网络摄像机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DH-IPC-HFW1235M-I2</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采用高性能两百万像素1/2.8英寸CMOS图像传感器，低照度效果好，图像清晰度高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内置GPU芯片，支持深度学习算法，提供精准的人车分类侦测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可输出200万（1920×1080）@30fps实时图像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支持滤光片切换功能，摄像机可在白天、夜晚模式下自动切换滤光片进行成像。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支持H.265编码，压缩比高，超低码流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宽动态106dB，且宽动态综合评价得分130。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内置红外补光灯，最大红外监控距离45米</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支持场景自适应功能，可根据监控场景自动调节曝光模式。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支持走廊模式，宽动态，3D降噪，强光抑制，背光补偿，数字水印，适用不同监控环境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支持ROI，SVC，SMART H.264/H.265，帧前滤波，灵活编码，适用不同带宽和存储环境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支持智能侦测：区域入侵，绊线入侵，快速移动（可人车分类及精准检测），物品遗留，物品搬移，徘徊检测，人员聚集，停车检测，热度图；动态检测，视频遮挡，场景变更</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支持多种异常检测：网络断开，IP冲突，非法访问，电压检测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支持DC12V供电，电源电压在DC(7~24)V范围内变化时设备可以正常工作。</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IP67、IK10防尘防水等级。</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¥15,400.00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网络硬盘录像机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DH-NVR4832-4KS2</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最大可接入8块接口为SATA的硬盘，单硬盘容量支持最大支持10TB，并支持SSD固态硬盘。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"可以对主码流、子码流码分别或同时进行录像；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可分别对三码流控制录像，编码配置支持三码流可选，预览支持三码流切换；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支持盘组管理，可创建容量不同的数据 存储空间，对不同通道分配不同的存储空间， 可查看盘组容量。可设置盘组为“只读”、“可读写”模式；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支持配额管理，对同一通道主码流、辅码流、图片分配到不同的盘组中。"</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即时回放：即时回放时间从5min到2h 可调；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支持将IPC接入配置以CSV格式文件导入或导出本机，CSV格式文件允许用户编辑</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硬盘</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ST4000DM004</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希捷4T、监控专用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希捷国际科技（无锡）有限公司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电源适配器</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DC12V-2A</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12V2A</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¥660.00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深圳市小耳朵电源有限公司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摄像机支架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DH-PFB120WS</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¥660.00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接入交换机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S1700-24GR</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24个10/100/1000Base-T端口，交流电源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光纤收发器</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HD-GS20TDB-E</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千兆单模</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¥1,100.00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镀锌管</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25#镀锌</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¥5,250.00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郑州中天电缆桥架有限公司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网线</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H-W650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超六类网线,多种颜色便于标记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箱</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电源线主干 </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HS-R3100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主干电源线，用RVV3*1线，统一供电方便管理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网络机柜</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HD-3506</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定制，用于每层楼放交换机、接线、插座</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视频监考室计算机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启天M52C-A003</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机型：商用分体式台式机，体积≤16L，顶置提手，方便搬运，顶置电源开关键，方便使用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CPU：6核，3.2GHz主频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主板：370系列</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内存：8G DDR4 内存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声卡：集成或独立HD Audio，支持5.1声道（提供前2后3共5个音频接口）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硬盘：1T SATA硬盘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网卡：集成10/100/1000M以太网卡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扩展槽：1个PCI-E*16、2个PCI-E*1、1个PCI</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键鼠：防水键盘、抗菌鼠标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接口：4个USB 3.1前置接口（其中2个USB 3.1 G2），主板集成2个视频接口（其中1个非转接VGA接口）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电源：110/220V 210W 节能电源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操作系统：预装正版 Win 10 操作系统</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显示器：19.5寸低蓝光液晶显示器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¥81,000.00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视频监考考生定位系统软件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JF-M</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视频监考考生定位系统软件：支持1、4、9分屏巡查、监看，支持用户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接入交换机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S1700-24GR</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24个10/100/1000Base-T端口，交流电源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¥2,800.00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巡查指挥监控系统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标考高清SIP转发管理三合一平台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JF-SVW6100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2、嵌入式设备，具备实时操作系统，本身具有抗病毒和抗攻击能力。</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3、支持标准SIP2.0；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4、同时支持管理本公司的平安校园设备接入管理，实现统一管理、统一控制、统一解码上墙；</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5、SIP URI统一命名规则、分级命名、联合定位；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6、SIP URI组、用户、树形列表管理；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7、SIP URI地址解析；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8、系统管理员用户分组，可对平台设置多个管理员，对每个管理员赋予不同的管理权限，如添加删除设备、帐号权限，查看权限、设置权限等；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9、支持多转发分布式部署协同工作，满足大路数高清视频流的转发需求；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10、支持用户与考场进行实时语音对讲；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11、支持根据网络情况和使用需求，动态调整视频分辨率；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12、系统基本参数的设置，如是否跨级管理、上级SIP参数、本级SIP参数、转发参数、端口等设置；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13、能实现核心数据库的备份和恢复；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14、采用基于B/S架构的管理模式；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15、查看系统内设备的在线信息；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16、支持对非考场图像上传筛选功能；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17、支持标考设备的主动与被动管理；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18、支持多码流选取；</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19、远程云台/镜头控制；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20、支持SIP向上级的主动注册与多级注册管理；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21、支持IP、UDP、RTP、RTCP、SIP、TCP/IP、DHCP、PPPOE等网络协议；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22、媒体流分发；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23、支持点播、组播、广播；</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24、支持转发干线传输协议：在巡查系统中转发服务器与转发服务器之间建立一个双向视频传输通道，实现最底层巡查系统（学校级巡查系统）不需要外网IP(或NAT映射)就可实现和上级巡查系统的对接；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25、支持网络拥塞控制等功能；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26、支持视频多路复用；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27、视频路由控制；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28、视频传输优先级控制；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29、音/视频数据压缩及封装；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30、支持NAT穿越控制；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31、客户端远程登录实现实时图像预览、历史数据回放下载设置；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32、生成和打印系统用户、设备清单报表；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33、基本信息维护，如用户的密码、单位、联系方式等。</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网络流媒体存储平台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JF-VER016V-128B</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2、专业的嵌入式软硬件设计，系统运行稳定可靠；</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3、冗余电源、全插拔模块化设计，充分保障系统运行、维护的便捷可靠；</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4、支持硬盘热插拔，支持RAID0、RAID1、RAID5，RAID6，RAID10，支持全局热备盘；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5、支持网络摄像机断网智能补录(ANR、和热备功能，提升数字通道存储的可靠性；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6、支持1200W像素高清网络视频的预览、存储与回放；</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7、支持512Mbps输入带宽，最大可接入128路高清网络视频；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8、支持数字水印，防篡改；</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9、支持多个HDMI、VGA口同时输出，且可分别预览或回放不同通道的图像；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10、支持16个SATA接口，1个eSATA接口，可选配miniSAS高速扩展接口，充分满足高清存储所需硬盘空间；</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11、可选配接口扩展板，支持4个千兆光口，8个RS-485串行接口，32进16出报警接口。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12、支持SMART IPC越界、进入区域、离开区域、区域入侵、徘徊、人员聚集、快速移动、停车侦测、物品遗留、物品拿取、音频输入异常、声强突变、虚焦，以及场景变更等多种智能侦测接入与联动；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13、支持智能搜索、回放及备份功能，有效提高录像检索与回放效率；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14、支持智能回放，按图像的来源、记录时间、报警事件类别等多种方式对存储的图像数据进行检索；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15、支持IPC集中管理，包括IPC参数配置、信息的导入/导出、信息的实时获取、语音对讲和升级等功能；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16、支持USB3.0接口，充分满足高速备份需求。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17、标考高清SIP转发管理三合一平台、网络流媒体存储平台为统一品牌厂家（成都佳发安泰教育科技股份有限公司）。</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¥53,000.00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服务器硬盘</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ST4000DM004</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服务器硬盘4T</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¥950.00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希捷国际科技（无锡）有限公司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机柜</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HD-6642</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专用服务器机柜2米。带4层托盘（隔板）</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¥3,800.00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辅料</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配套功放、音箱、馈线、天线、支架、侦测机柜、安装及配件</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批</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汇聚交换机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S5720-36C-EI-AC</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1、交换容量598Gbps ，包转发率222Mpps ，支持24个千兆电口，4个千兆光口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2、支持4K个VLAN，支持Voice VLAN，基于端口的VLAN，基于MAC的VLAN，基于协议的VLAN</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3、支持MAC地址64k</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4、支持静态路由、RIP、RIPng、OSPF、BGP等，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5、支持堆叠，主机堆叠数9台*支持纵向虚拟化，作为纵向子节点零配置即插即用。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6、支持对端口接收报文速率和发送报文速率进行限制，支持SP、WRR、SP+WRR等队列调度算法</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支持G.8032以太环保护协议，支持SNMPv1/v2/v3、Telnet远程维护、网管系统管理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¥14,000.00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¥14,000.00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接入交换机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S1720-28GWR-4P</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1、交换容量168 Gbps，转发性能42 Mpps；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2、24个千兆电口，4个千兆光口，2个千兆Combo口；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3、MAC地址容量16K，支持能效以太网功能；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4、支持STP(IEEE 802.1d)，RSTP(IEEE 802.1w)和MSTP(IEEE 802.1s)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5、支持SNMP v1/v2c/v3和Web网管，支持命令行和console端口对交换机配置维护；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6、设备功耗≤25W</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¥34,800.00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交换机光模块</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SFP-GE-LX-SM1310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SFP-GE-LX-SM1310 光模块-eSFP-GE-单模模块(1310nm,10km,LC)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¥7,800.00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光纤</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GYXTW-8B1</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单模8芯</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光纤配件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光端盒、耦合器、尾纤、跳线等配件</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批</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线缆及辅助材料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电源线主干 </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4平方软铜，统一供电方便管理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¥13,500.00 </w:t>
            </w:r>
          </w:p>
        </w:tc>
        <w:tc>
          <w:tcPr>
            <w:tcW w:w="569" w:type="pct"/>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河南金水电缆集团有限公司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电源线 支线</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HS-R3100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电源线，摄像机，RVV3*1.0线，统一供电方便管理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配电箱</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包含空开及漏电保护器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¥2,000.00 </w:t>
            </w:r>
          </w:p>
        </w:tc>
        <w:tc>
          <w:tcPr>
            <w:tcW w:w="569" w:type="pct"/>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郑州荣盛电气有限公司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网线</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H-W650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超六类千兆网线,多种颜色便于标记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箱</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¥8,400.00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桥架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100*75</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100*75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650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¥22,750.00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郑州中天电缆桥架有限公司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网络信息插座套装</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H-T356-2P</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标准RJ45 86底盒</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电源插座套装</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五孔电源   86底盒</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¥1,050.00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浙江正泰电器股份有限公司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辅料</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设备含VGA线、RJ45头、电源插排、PVC线槽、线卡</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场</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鄢陵县二高南考点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视频监考室计算机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启天M52C-A003</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机型：商用分体式台式机，体积≤16L，顶置提手，方便搬运，顶置电源开关键，方便使用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CPU：6核，3.2GHz主频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主板：370系列</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内存：8G DDR4 内存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声卡：集成或独立HD Audio，支持5.1声道（提供前2后3共5个音频接口）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硬盘：1T SATA硬盘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网卡：集成10/100/1000M以太网卡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扩展槽：1个PCI-E*16、2个PCI-E*1、1个PCI</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键鼠：防水键盘、抗菌鼠标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接口：4个USB 3.1前置接口（其中至少2个USB 3.1 G2），主板集成2个视频接口（其中至少1个非转接VGA接口）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电源：110/220V 210W 节能电源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操作系统：预装正版 Win 10 操作系统</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显示器：19.5寸低蓝光液晶显示器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¥40,500.00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金属探测仪</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MD-800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便携式金属探测仪，支持无声振动模式</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广东守门神科技集团有限公司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鄢陵县二高北考点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考场前端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红外高清半球摄像机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JF-NC302RP-V</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2、最高分辨率可达2M(1920×1080、 @ 25 fps,并可输出实时图像；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3、采用ROI等视频压缩技术,压缩比高,且处理非常灵活,超低码率；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4、码流平滑设置，适应不同场景下对图像质量、流畅性的不同要求；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5、支持GBK字库，支持更多汉字及生僻字叠加；</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6、支持OSD颜色自选；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7、可支持PoE供电；</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8、高效红外灯,使用寿命长,照射距离可达30米；</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9、支持smart IR，防止夜间红外过曝；</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10、ICR红外滤片式自动切换,实现真正的日夜监控；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11、支持日夜两套参数独立配置；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12、支持Micro SD/SDHC/SDXC卡(128G、本地存储；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13、支持一对输入输出音频，支持语音对讲；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14、支持三轴调节，安装调试方便；</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15、支持3D数字降噪, 支持120dB超宽动态；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16、支持三码流；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17、支持走廊模式,背光补偿,自动电子快门功能,适应不同监控环境；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18、功能齐全:心跳,镜像,一键恢复等；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19、支持多种智能报警；</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20、支持智能后检索，配合存储平台支持事件的二次检索分析；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21、支持NAS、Email、FTP、NTP服务器测试；</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22、支持HTTPS,SSH等安全认证，支持创建证书；</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23、初始设备开机修改密码，保障密码安全；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24、支持用户登录锁定机制，及密码复杂度提示；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25、符合IP67级防尘防水设计,可靠性高；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26、防暴等级支持IK10。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27、镜头2.7-12mm 可调。</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¥72,000.00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内存卡</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128G</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128G    class10</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金士顿科技（上海）有限公司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DC12V-4A</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DC12V，4A</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深圳市小耳朵电源有限公司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配电盒</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定制，用于安放集中电源、接线</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¥4,000.00 </w:t>
            </w:r>
          </w:p>
        </w:tc>
        <w:tc>
          <w:tcPr>
            <w:tcW w:w="569" w:type="pct"/>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郑州荣盛电气有限公司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网络机柜</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HD-3506</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定制，用于每层楼放交换机、接线、插座</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¥2,400.00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金属探测仪</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MD-800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便携式金属探测仪，支持无声振动模式</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广东守门神科技集团有限公司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网络摄像机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DH-IPC-HFW1235M-I2</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采用高性能两百万像素1/2.8英寸CMOS图像传感器，低照度效果好，图像清晰度高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内置GPU芯片，支持深度学习算法，提供精准的人车分类侦测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可输出200万（1920×1080）@30fps实时图像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支持滤光片切换功能，摄像机可在白天、夜晚模式下自动切换滤光片进行成像。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支持H.265编码，压缩比高，超低码流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宽动态106dB，且宽动态综合评价得分不小于130。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内置红外补光灯，最大红外监控距离45米</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支持场景自适应功能，可根据监控场景自动调节曝光模式。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支持走廊模式，宽动态，3D降噪，强光抑制，背光补偿，数字水印，适用不同监控环境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支持ROI，SVC，SMART H.264/H.265，帧前滤波，灵活编码，适用不同带宽和存储环境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支持智能侦测：区域入侵，绊线入侵，快速移动（可人车分类及精准检测），物品遗留，物品搬移，徘徊检测，人员聚集，停车检测，热度图；动态检测，视频遮挡，场景变更</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支持多种异常检测：网络断开，IP冲突，非法访问，电压检测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支持DC12V供电，电源电压在DC(7~24)V范围内变化时设备可以正常工作。</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IP67、IK10防尘防水等级。</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¥7,700.00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网络硬盘录像机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DH-NVR4832-4KS2</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可接入8块接口为SATA的硬盘，单硬盘容量支持最大支持10TB，并支持SSD固态硬盘。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"可以对主码流、子码流码分别或同时进行录像；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可分别对三码流控制录像，编码配置支持三码流可选，预览支持三码流切换；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支持盘组管理，可创建容量不同的数据 存储空间，对不同通道分配不同的存储空间， 可查看盘组容量。可设置盘组为“只读”、“可读写”模式；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支持配额管理，对同一通道主码流、辅码流、图片分配到不同的盘组中。"</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即时回放：即时回放时间从5min到2h 可调；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支持将IPC接入配置以CSV格式文件导入或导出本机，CSV格式文件允许用户编辑</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网络指挥摄像机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DH-IPC-HFW5243M-I2</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l 高性能处理器，支持1080p@30fps,支持IVS绊线入侵、区域入侵、物品遗留/消失、穿越围栏4种智能功能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支持人脸检测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支持3倍光学变倍，16倍数字变倍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采用200万像素1/2.9英寸CMOS传感器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支持最低噪度F1.8彩色：0.05Lux黑白：0.005Lux0Lux（红外灯开启）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支持H.265编码，实现超低码流传输</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内置20米红外灯补光，采用倍率与红外灯功率匹配算法，补光效果更均匀</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水平：0°～355°垂直：15°~90°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支持300个预置位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支持1路音频输入和1路音频输出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l 支持IP66；TVS4000V防雷、防浪涌和防突波保护；符合GB/T17626.54级标准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支持DC12V/1.5A±10%宽电压输入</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硬盘</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ST4000DM004</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4T、监控专用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希捷国际科技（无锡）有限公司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电源适配器</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DC12V-2A</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12V2A</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¥390.00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深圳市小耳朵电源有限公司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摄像机支架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DH-PFB120WS</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¥390.00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接入交换机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S1700-24GR</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24个10/100/1000Base-T端口，交流电源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光纤收发器</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HD-GS20TDB-E</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千兆单模</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¥1,100.00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网线</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H-W650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超六类千兆网线,多种颜色便于标记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箱</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电源线主干 </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HS-R3150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主干电源线，用RVV3*1.5线，统一供电方便管理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网络机柜</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HD-3506</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定制，用于每层楼放交换机、接线、插座</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视频监考室计算机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启天M52C-A003</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机型：商用分体式台式机，体积≤16L，顶置提手，方便搬运，顶置电源开关键，方便使用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CPU：6核，3.2GHz主频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主板：370系列</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内存：8G DDR4 内存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声卡：集成或独立HD Audio，支持5.1声道（提供前2后3共5个音频接口）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硬盘：1T SATA硬盘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网卡：集成10/100/1000M以太网卡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扩展槽：1个PCI-E*16、2个PCI-E*1、1个PCI</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键鼠：防水键盘、抗菌鼠标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接口：4个USB 3.1前置接口（其中2个USB 3.1 G2），主板集成2个视频接口（其中1个非转接VGA接口）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电源：110/220V 210W 节能电源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操作系统：预装正版 Win 10 操作系统</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显示器：19.5寸低蓝光液晶显示器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¥58,500.00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视频监考考生定位系统软件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JF-M</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视频监考考生定位系统软件：支持1、4、9分屏巡查、监看，支持用户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接入交换机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S1700-24GR</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24个10/100/1000Base-T端口，交流电源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¥2,800.00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巡查指挥监控系统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标考高清SIP转发管理三合一平台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JF-SVW6100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2、嵌入式设备，具备实时操作系统，本身具有抗病毒和抗攻击能力。</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3、支持标准SIP2.0；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4、同时支持管理本公司的平安校园设备接入管理，实现统一管理、统一控制、统一解码上墙；</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5、SIP URI统一命名规则、分级命名、联合定位；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6、SIP URI组、用户、树形列表管理；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7、SIP URI地址解析；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8、系统管理员用户分组，可对平台设置多个管理员，对每个管理员赋予不同的管理权限，如添加删除设备、帐号权限，查看权限、设置权限等；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9、支持多转发分布式部署协同工作，满足大路数高清视频流的转发需求；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10、支持用户与考场进行实时语音对讲；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11、支持根据网络情况和使用需求，动态调整视频分辨率；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12、系统基本参数的设置，如是否跨级管理、上级SIP参数、本级SIP参数、转发参数、端口等设置；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13、能实现核心数据库的备份和恢复；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14、采用基于B/S架构的管理模式；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15、查看系统内设备的在线信息；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16、支持对非考场图像上传筛选功能；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17、支持标考设备的主动与被动管理；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18、支持多码流选取；</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19、远程云台/镜头控制；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20、支持SIP向上级的主动注册与多级注册管理；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21、支持IP、UDP、RTP、RTCP、SIP、TCP/IP、DHCP、PPPOE等网络协议；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22、媒体流分发；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23、支持点播、组播、广播；</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24、支持转发干线传输协议：在巡查系统中转发服务器与转发服务器之间建立一个双向视频传输通道，实现最底层巡查系统（学校级巡查系统）不需要外网IP(或NAT映射)就可实现和上级巡查系统的对接；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25、支持网络拥塞控制等功能；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26、支持视频多路复用；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27、视频路由控制；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28、视频传输优先级控制；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29、音/视频数据压缩及封装；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30、支持NAT穿越控制；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31、客户端远程登录实现实时图像预览、历史数据回放下载设置；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32、生成和打印系统用户、设备清单报表；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33、基本信息维护，如用户的密码、单位、联系方式等。</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网络流媒体存储平台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JF-VER016V-128B</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2、专业的嵌入式软硬件设计，系统运行稳定可靠；</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3、冗余电源、全插拔模块化设计，充分保障系统运行、维护的便捷可靠；</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4、支持硬盘热插拔，支持RAID0、RAID1、RAID5，RAID6，RAID10，支持全局热备盘；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5、支持网络摄像机断网智能补录(ANR、和热备功能，提升数字通道存储的可靠性；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6、支持1200W像素高清网络视频的预览、存储与回放；</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7、支持512Mbps输入带宽，最大可接入128路高清网络视频；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8、支持数字水印，防篡改；</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9、支持多个HDMI、VGA口同时输出，且可分别预览或回放不同通道的图像；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10、支持16个SATA接口，1个eSATA接口，可选配miniSAS高速扩展接口，充分满足高清存储所需硬盘空间；</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11、可选配接口扩展板，支持4个千兆光口，8个RS-485串行接口，32进16出报警接口；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12、支持SMART IPC越界、进入区域、离开区域、区域入侵、徘徊、人员聚集、快速移动、停车侦测、物品遗留、物品拿取、音频输入异常、声强突变、虚焦，以及场景变更等多种智能侦测接入与联动；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13、支持智能搜索、回放及备份功能，有效提高录像检索与回放效率；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14、支持智能回放，按图像的来源、记录时间、报警事件类别等多种方式对存储的图像数据进行检索；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15、支持IPC集中管理，包括IPC参数配置、信息的导入/导出、信息的实时获取、语音对讲和升级等功能；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16、支持USB3.0接口，充分满足高速备份需求。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17、标考高清SIP转发管理三合一平台、网络流媒体存储平台为统一品牌厂家。（成都佳发安泰教育科技股份有限公司）</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¥53,000.00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服务器硬盘</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ST4000DM004</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服务器硬盘4T</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¥950.00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希捷国际科技（无锡）有限公司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机柜</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HD-6642</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专用服务器机柜2米。至少带4层托盘（隔板）</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¥3,800.00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辅料</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配套显示器、音箱、馈线、天线、支架、侦测机柜、安装及配件</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批</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汇聚交换机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S5720-36C-EI</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1、交换容量598Gbps ，包转发率222Mpps ，支持24个千兆电口，4个千兆光口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2、支持4K个VLAN，支持Voice VLAN，基于端口的VLAN，基于MAC的VLAN，基于协议的VLAN</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3、支持MAC地址64K</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4、支持静态路由、RIP、RIPng、OSPF、BGP等，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5、支持堆叠，主机堆叠数9台*支持纵向虚拟化，作为纵向子节点零配置即插即用。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6、支持对端口接收报文速率和发送报文速率进行限制，支持SP、WRR、SP+WRR等队列调度算法</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支持G.8032以太环保护协议，支持SNMPv1/v2/v3、Telnet远程维护、网管系统管理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¥14,000.00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¥14,000.00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接入交换机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S1720-28GWR-4P</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1、交换容量128 Gbps，转发性能42 Mpps；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2、24个千兆电口，4个千兆光口，2个千兆Combo口；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3、MAC地址容量16K，支持能效以太网功能；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4、支持STP(IEEE 802.1d)，RSTP(IEEE 802.1w)和MSTP(IEEE 802.1s)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5、支持SNMP v1/v2c/v3和Web网管，支持命令行和console端口对交换机配置维护；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6、设备功耗≤25W</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¥23,200.00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交换机光模块</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SFP-GE-LX-SM1310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SFP-GE-LX-SM1310 光模块-eSFP-GE-单模模块(1310nm,10km,LC)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综合业务光端机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光纤</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GYXTW-8B1</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单模8芯</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¥1,800.00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光纤配件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光端盒、耦合器、尾纤、跳线等配件</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批</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线缆及辅助材料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电源线主干 </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主干电源线，用单股4平方软铜线，统一供电方便管理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¥12,000.00 </w:t>
            </w:r>
          </w:p>
        </w:tc>
        <w:tc>
          <w:tcPr>
            <w:tcW w:w="569" w:type="pct"/>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河南金水电缆集团有限公司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电源线 支线</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HS-R3100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电源线，摄像机、拾音器用RVV3*1线，统一供电方便管理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配电箱</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包含空开及漏电保护器</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¥2,000.00 </w:t>
            </w:r>
          </w:p>
        </w:tc>
        <w:tc>
          <w:tcPr>
            <w:tcW w:w="569" w:type="pct"/>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郑州荣盛电气有限公司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网线</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H-W650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超六类千兆网线,多种颜色便于标记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箱</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桥架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100*75</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100*75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米</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¥17,500.00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郑州中天电缆桥架有限公司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网络信息插座套装</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H-T356-2P</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标准RJ45 86底盒</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电源插座套装</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国标</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五孔电源   86底盒</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¥35.00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¥700.00 </w:t>
            </w:r>
          </w:p>
        </w:tc>
        <w:tc>
          <w:tcPr>
            <w:tcW w:w="569" w:type="pct"/>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浙江正泰电器股份有限公司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辅料</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设备含VGA线、RJ45头、电源插排、PVC线槽、线卡</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场</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¥20,000.00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身份验证系统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身份验证终端</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ID-7305F</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1、重量：重量不高于660g，轻便携带</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2、操作系统：安卓7及以上版本，系统稳定</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3、平台：ARM架构，四核</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4、内存：1GB DDR3</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5、存储：8GB EMMC</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6、屏幕：7'IPS，分辨率1024*600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7、触控：5点触控，G+G材质触摸屏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8、电池：3.7V/5000mAh</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9、摄像头：500万像素自动对焦，USB模式设计，支持-30°~180°翻转</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10、扬声器：内置扬声器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11、指示灯：内置开机指示*1，应用指示*1，分别指示不同的状态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12、接口：内置RJ-45网口，支持100M</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13、设备软件功能：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支持身份验证系统、体检系统、证件打印系统，实现与省市平台无缝对接。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（1）在联网的情况下，支持手动获取和自动实时上报身份验证数据，在不联网的情况下，支持离线导入、导出验证数据。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（2）具备入场验证、考务登记、补充拍照的操作功能，并能够查看验证记录统计，提供系统功能照片。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（3）人脸识别：系统支持现场拍照，并对考生的照片进行自动人脸识别。</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（4）可以实现体检系统的移动端程序与省体检平台的互联互通。</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（5）支持主检医生和体检医生从省体检系统平台获取验证码登录系统。</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（6）支持身份证识别或者扫描识别定位考生，并可通过指纹识别和人脸识别对学生进行身份核查。</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¥240,000.00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县级巡查指挥平台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标考高清媒体转发平台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JF-VPR6100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2、嵌入式设备，具备实时操作系统，本身具有抗病毒和抗攻击能力。</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3、支持IP、UDP、RTP、RTCP、SIP、TCP/IP、DHCP、PPPOE等网络协议；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4、媒体流分发；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5、支持多转发分布式部署协同工作，满足大路数高清视频流的转发需求；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6、支持用户与考场进行实时语音对讲；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7、支持点播、组播、广播；</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8、支持转发干线传输协议：在巡查系统中转发服务器与转发服务器之间建立一个双向视频传输通道，实现最底层巡查系统（学校级巡查系统、不需要外网IP(或NAT映射、就可实现和上级巡查系统的对接。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9、支持网络拥塞控制等功能；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10、支持视频多路复用；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11、视频路由控制；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12、视频传输优先级控制；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13、音/视频数据压缩及封装；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14、支持NAT穿越控制。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15、硬件配置1个Intel Xeon Processor E3-1230V5 4C/8T 3.4GHz 8M/80W，2个 8G/DDR4/2133或2400MHz/ECC-Unbuffer/2Ranks，1块1TB/SATA/7200RPM/3.5寸/企业级，1个DVD/RW/SATA薄，1个300W单电源，导轨套件。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16、必须实现与省、市级考务管理平台互联互通，已提供原生产厂家针对本项目的互联互通承诺书。</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¥76,000.00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¥76,000.00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标考高清SIP管理平台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JF-WRS6100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2、嵌入式设备，具备实时操作系统，本身具有抗病毒和抗攻击能力。</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3、系统管理员用户分组，可对平台设置多类管理员，对每类管理员赋予不同的管理权限，如添加删除设备、帐号权限，查看权限、设置权限等；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4、支持标准SIP 2.0；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5、域、子域管理，可最多支持8级域、子域管理；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6、远程用户、设备、视频点SIP URI映射；</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7、SIP URI组、用户、树形列表管理、SIP URI统一命名规则、分级命名、联合定位；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8、用户的接入认证、支持跨域呼叫；</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9、支持SIP代理功能，信令转发和路由；</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10、支持NAT穿越控制；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11、支持SIP向上级的主动注册与多级注册的管理；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12、支持IP、UDP、RTP、RTCP、SIP、TCP/IP、DHCP、PPPOE等网络协议；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13、媒体流分发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14、支持多转发分布式部署协同工作，满足大路数高清视频流的转发需求；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15、支持用户与考场进行实时语音对讲；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16、支持根据网络情况和使用需求，动态调整视频分辨率；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17、设备/用户认证功能；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18、建立SIP网关间的信任关系；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19、路由控制功能；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20、视频访问呼叫过程控制；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21、视频远程访问权限控制；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22、远程云台/镜头控制；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23、统一管理接入的SIP终端；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24、用户、设备在线信息统计；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25、支持集中管理和分散管理两种模式；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26、支持两种工作模式：考试模式、普通模式；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27、支持根据考试类型进行视频图像上传控制；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28、远程用户对考场图象的访问、控制、历史数据播放精确到每一个教室，添加、删除、修改组、用户、设备；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29、可设置SIP路由器的相关信息；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30、可设置分发服务器的相关信息；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31、可设置媒体服务器的相关信息；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32、能实现系统核心数据库的备份和恢复；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33、生成和打印系统用户、设备清单报表；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34、支持报警信息查询及搜索；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35、支持远程重启和关机。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36、硬件配置1个Intel Xeon Processor E3-1230V5 4C/8T 3.4GHz 8M/80W，2个 8G/DDR4/2133或2400MHz/ECC-Unbuffer/2Ranks，1块1TB/SATA/7200RPM/3.5寸/企业级，1个DVD/RW/SATA薄，1个300W单电源，导轨套件。</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S1720-28GWR-4P</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1、交换容量128 Gbps，转发性能42 Mpps；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2、24个千兆电口，4个千兆光口，2个千兆Combo口；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3、MAC地址容量16K，支持能效以太网功能；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4、支持STP(IEEE 802.1d)，RSTP(IEEE 802.1w)和MSTP(IEEE 802.1s)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5、支持SNMP v1/v2c/v3和Web网管，支持命令行和console端口对交换机配置维护；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6、设备功耗≤25W</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¥40,600.00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标考高清电视墙管理平台</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JF-PVW300K</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1、符合《国家教育考试网上巡查系统视频标准技术规范（2017版)》相关技术规范；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2、标准19”的4U机架设计，电信运营级系统机箱；</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3、插卡式模块设计，可根据市场需求灵活配置；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4、业务卡支持热插拔，可方便进行维护；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5、冗余风扇散热系统设计，吹抽两种模式同时工作，智能调控温度，配合机箱结构，形成固定风道，确保机箱内温度平衡；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6、双通道冗余电源设计，支持直流/交流电源，适应于机房等应用环境；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7、支持模拟，数字视频信号的输入和矩阵输出；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8、支持高清视频信号的矩阵切换和输出；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9、支持模拟/SDI/同轴高清信号无压缩直接输出上墙；</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10、采用H.264或MPEG4视频压缩标准，支持双码流技术，可变码流，支持复合流和视频流编码，且音频和视频同步；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11、80路高清视频编码能力（满配）或320路标清视频编码能力（满配）；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12、支持4K点对点输出显示；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13、支持300W/500W/800W/1200W解码；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14、满配最大支持80路3840*2160@30fps/320路1080p@30fps及以下标清视频解码能力；</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15、支持解码H.265/H264/MPEG4，满配最大支持320路H.265的1080P解码输出；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16、支持解码SVAC和非标码流；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17、支持1/4/9/16画面分割显示；支持自由分割；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18、支持鱼眼矫正；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19、支持60个显示屏的任意拼接；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20、支持液晶屏/DLP屏/小间距LED屏显示；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21、支持开窗和漫游功能，单屏支持16个窗口；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22、单屏和融合窗口都支持1/4/9/16分割，支持自由分割；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23、支持30个预设场景，用户可以自定义每个场景电视墙布局；</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24、支持高清底图显示；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25、支持高清全景拼接；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26、支持80路1080P网络视频接入、存储及转发；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27、支持网络级联；</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28、支持TCP/IP协议，支持RTP/RTSP/RTCP/TCP/UDP/DHCP等网络协议；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29、支持远程控制模拟，数字视频切换上墙；</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30、支持远程获取和配置参数，支持远程导出和导入参数；</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31、支持远程获取系统运行状态、系统日志；</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32、支持远程重启，远程升级和恢复默认设置等操作；</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33、支持用户权限管理，支持黑白名单功能。</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¥43,000.00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解码卡</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JF-PVW300K-D06H</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支持6路HDMI视频接口输出，支持8路3840*2160@30fps，32路1080p@30fps（H.264、H.265），72路720p@30fps，150路D1解码；</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¥36,000.00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¥36,000.00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解码卡</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JF-PVW300K-E04H</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支持4路HDMI视频接口输入，单板4路1080P，支持1080P/720P/UXGA/SXGA+/SXGA/XGA/SVGA/VGA分辨率；</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¥27,000.00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¥27,000.00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电视墙主机软件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JF-MAS</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支持标考高清电视墙管理平台控制巡查图像以及设置巡查图像轮巡显示和编码通道上墙显示；控制电视墙服务器和电视墙管理平台。支持分屏模式包括1分屏、4分屏、9分屏、16分屏。</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¥16,000.00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¥16,000.00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巡查系统计算机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M420-D536</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机型：商用分体式台式机，体积≤16L</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 CPU: i7-9700或以上处理器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主板:300系列或以上商用芯片组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内存:8G DDR4 内存，最大支持32G内存容量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硬盘≥1T SATA +256G固态硬盘 网卡:集成10/100/1000M以太网卡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声卡：  5.1声道，配置前2后3共5个音频接口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键鼠:防水键盘、抗菌鼠标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接口:6个USB前置接口（其中2个USB 3.1 G2），2个PS/2 接口，1个串口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 电源:≤180W 节能电源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操作系统:预装正版 Win 10 操作系统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显示器:21.5寸低蓝光液晶显示器  </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¥13,000.00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计算机桌椅</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木制，定制</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打印机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LaserJet Pro M403d </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激光双面打印、黑白打印速度A4:38PPM,Letter:40ppm、处理器1200MHZ、内存128MB、接口类型：USB2.0</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中国惠普有限公司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视频监考考生定位系统软件</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JF-M</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视频监考考生定位系统软件：支持1、4、9分屏巡查、监看，支持用户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成都佳发安泰教育科技股份有限公司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网线</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H-W550</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超五类</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箱</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¥580.00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¥9,280.00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网络机柜</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HD-3506</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定制，用于每层楼放交换机、接线、插座</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¥3,600.00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浙江揽盛通信科技有限公司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同轴高清摄像机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DH-HAC-HDW1000S</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模拟信号，更换原有老化严重的摄像机</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¥430.00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¥4,300.00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吸顶无线AP</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TL-AP1200GC-PoE/DC</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双频AP同时支持2.4G,5G，支持2*2MUMIMO架构</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¥1,800.00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¥23,400.00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普联技术有限公司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8口POE交换机</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TL-SG1210P</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8口POE供电，支持MAC地址学习，可满足不同场景，不同用户需求</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¥2,200.00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¥4,400.00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普联技术有限公司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企业级流控路由</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TL-ER8820T</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企业级流控路由，6个1000M网口，2个万兆光口待机量7500+终端，适用于大型办公等地布设。</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¥7,500.00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¥7,500.00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普联技术有限公司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身份验证终端</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ID-7305F</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1、重量：重量不高于660g，轻便携带</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2、操作系统：安卓7及以上版本，系统稳定</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3、平台：ARM架构，四核</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4、内存：1GB DDR3</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5、存储：8GB EMMC</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6、屏幕：7'IPS，分辨率1024*600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7、触控：5点触控，G+G材质触摸屏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8、电池：3.7V/5000mAh</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9、摄像头：500万像素自动对焦，USB模式设计，支持-30°~180°翻转</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10、扬声器：内置扬声器</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11、指示灯：内置开机指示*1，应用指示*1，分别指示不同的状态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12、接口：内置RJ-45网口，支持100M</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13、设备软件功能：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支持身份验证系统、体检系统、证件打印系统，实现与省市平台无缝对接。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（1）在联网的情况下，支持手动获取和自动实时上报身份验证数据，在不联网的情况下，支持离线导入、导出验证数据。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（2）具备入场验证、考务登记、补充拍照的操作功能，并能够查看验证记录统计，提供系统功能照片。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（3）人脸识别：系统支持现场拍照，并对考生的照片进行自动人脸识别。</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（4）可以实现体检系统的移动端程序与省体检平台的互联互通。</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（5）支持主检医生和体检医生从省体检系统平台获取验证码登录系统。</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（6）支持身份证识别或者扫描识别定位考生，并可通过指纹识别和人脸识别对学生进行身份核查。</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¥4,600.00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¥9,200.00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w:t>
            </w:r>
          </w:p>
        </w:tc>
        <w:tc>
          <w:tcPr>
            <w:tcW w:w="316"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辅料</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定制</w:t>
            </w:r>
          </w:p>
        </w:tc>
        <w:tc>
          <w:tcPr>
            <w:tcW w:w="1848" w:type="pct"/>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配套显示器、音箱、馈线、天线、支架、侦测机柜、安装及配件、设备含VGA线、RJ45头、电源插排、PVC线槽、线卡</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批</w:t>
            </w:r>
          </w:p>
        </w:tc>
        <w:tc>
          <w:tcPr>
            <w:tcW w:w="263"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74"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27"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¥5,000.00 </w:t>
            </w:r>
          </w:p>
        </w:tc>
        <w:tc>
          <w:tcPr>
            <w:tcW w:w="569" w:type="pct"/>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gridSpan w:val="2"/>
            <w:shd w:val="clear" w:color="auto" w:fill="auto"/>
            <w:noWrap/>
            <w:vAlign w:val="center"/>
          </w:tcPr>
          <w:p>
            <w:pPr>
              <w:widowControl/>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合计</w:t>
            </w:r>
          </w:p>
        </w:tc>
        <w:tc>
          <w:tcPr>
            <w:tcW w:w="4421" w:type="pct"/>
            <w:gridSpan w:val="7"/>
            <w:shd w:val="clear" w:color="auto" w:fill="auto"/>
            <w:noWrap/>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仿宋"/>
                <w:color w:val="000000" w:themeColor="text1"/>
                <w:szCs w:val="21"/>
                <w:lang w:val="zh-CN"/>
                <w14:textFill>
                  <w14:solidFill>
                    <w14:schemeClr w14:val="tx1"/>
                  </w14:solidFill>
                </w14:textFill>
              </w:rPr>
              <w:t>大写：壹佰柒拾捌万柒仟伍佰叁拾元整</w:t>
            </w:r>
            <w:r>
              <w:rPr>
                <w:rFonts w:hint="eastAsia" w:ascii="宋体" w:hAnsi="宋体" w:eastAsia="宋体" w:cs="仿宋"/>
                <w:color w:val="000000" w:themeColor="text1"/>
                <w:szCs w:val="21"/>
                <w14:textFill>
                  <w14:solidFill>
                    <w14:schemeClr w14:val="tx1"/>
                  </w14:solidFill>
                </w14:textFill>
              </w:rPr>
              <w:t xml:space="preserve">          </w:t>
            </w:r>
            <w:r>
              <w:rPr>
                <w:rFonts w:hint="eastAsia" w:ascii="宋体" w:hAnsi="宋体" w:eastAsia="宋体" w:cs="仿宋"/>
                <w:color w:val="000000" w:themeColor="text1"/>
                <w:szCs w:val="21"/>
                <w:lang w:val="zh-CN"/>
                <w14:textFill>
                  <w14:solidFill>
                    <w14:schemeClr w14:val="tx1"/>
                  </w14:solidFill>
                </w14:textFill>
              </w:rPr>
              <w:t>小写：1787530.00元</w:t>
            </w:r>
          </w:p>
        </w:tc>
      </w:tr>
    </w:tbl>
    <w:p>
      <w:pPr>
        <w:rPr>
          <w:rFonts w:hint="eastAsia" w:asciiTheme="minorEastAsia" w:hAnsiTheme="minorEastAsia" w:eastAsiaTheme="minorEastAsia"/>
        </w:rPr>
      </w:pPr>
    </w:p>
    <w:p>
      <w:pPr>
        <w:pStyle w:val="3"/>
      </w:pPr>
      <w:r>
        <w:rPr>
          <w:rFonts w:hint="eastAsia"/>
        </w:rPr>
        <w:t>售后服务方案</w:t>
      </w:r>
    </w:p>
    <w:p>
      <w:pPr>
        <w:spacing w:line="360" w:lineRule="auto"/>
        <w:ind w:firstLine="480" w:firstLineChars="200"/>
        <w:rPr>
          <w:sz w:val="24"/>
        </w:rPr>
      </w:pPr>
      <w:r>
        <w:rPr>
          <w:rFonts w:hint="eastAsia"/>
          <w:sz w:val="24"/>
        </w:rPr>
        <w:t>公司成立以来，为规范公司售后服务的各项工作，保障售后服务质量，提高客户满意度，特成立售后服务中心，致力于打造金质服务品牌。</w:t>
      </w:r>
    </w:p>
    <w:p>
      <w:pPr>
        <w:spacing w:line="360" w:lineRule="auto"/>
        <w:ind w:firstLine="480" w:firstLineChars="200"/>
        <w:rPr>
          <w:sz w:val="24"/>
        </w:rPr>
      </w:pPr>
      <w:r>
        <w:rPr>
          <w:rFonts w:hint="eastAsia"/>
          <w:sz w:val="24"/>
        </w:rPr>
        <w:t>售后服务中心成立以来，始终坚持以热情的态度，专业的技术为服务宗旨，受到来自各行业客户的一致好评和广泛赞誉。售后服务中心结构清晰，分工合理，组织架构图如下：</w:t>
      </w:r>
    </w:p>
    <w:p>
      <w:r>
        <w:object>
          <v:shape id="_x0000_i1025" o:spt="75" type="#_x0000_t75" style="height:199.7pt;width:355.9pt;" o:ole="t" filled="f" o:preferrelative="t" stroked="f" coordsize="21600,21600">
            <v:path/>
            <v:fill on="f" focussize="0,0"/>
            <v:stroke on="f" joinstyle="miter"/>
            <v:imagedata r:id="rId4" o:title=""/>
            <o:lock v:ext="edit" aspectratio="t"/>
            <w10:wrap type="none"/>
            <w10:anchorlock/>
          </v:shape>
          <o:OLEObject Type="Embed" ProgID="Visio.Drawing.11" ShapeID="_x0000_i1025" DrawAspect="Content" ObjectID="_1468075725">
            <o:LockedField>false</o:LockedField>
          </o:OLEObject>
        </w:object>
      </w:r>
    </w:p>
    <w:p>
      <w:pPr>
        <w:spacing w:line="360" w:lineRule="auto"/>
        <w:ind w:firstLine="480" w:firstLineChars="200"/>
        <w:rPr>
          <w:sz w:val="24"/>
        </w:rPr>
      </w:pPr>
      <w:r>
        <w:rPr>
          <w:rFonts w:hint="eastAsia"/>
          <w:sz w:val="24"/>
        </w:rPr>
        <w:t>我公司的售后服务团队是一支务实、创新，拥有成熟技术，并且具有高度的凝聚力和团队协作精神的团队。</w:t>
      </w:r>
    </w:p>
    <w:p>
      <w:pPr>
        <w:spacing w:line="360" w:lineRule="auto"/>
        <w:ind w:firstLine="480" w:firstLineChars="200"/>
        <w:rPr>
          <w:sz w:val="24"/>
        </w:rPr>
      </w:pPr>
      <w:r>
        <w:rPr>
          <w:rFonts w:hint="eastAsia"/>
          <w:sz w:val="24"/>
        </w:rPr>
        <w:t>针对该项目，我公司特成立售后服务小组，如我公司中标，该项目小组将在中标通知书发出之日起，由负责该项目的项目经理调配，统一协作，创建优质服务，打造优质服务品牌。</w:t>
      </w:r>
    </w:p>
    <w:p>
      <w:pPr>
        <w:spacing w:line="360" w:lineRule="auto"/>
        <w:ind w:firstLine="480" w:firstLineChars="200"/>
        <w:rPr>
          <w:sz w:val="24"/>
        </w:rPr>
      </w:pPr>
      <w:r>
        <w:rPr>
          <w:rFonts w:hint="eastAsia"/>
          <w:sz w:val="24"/>
        </w:rPr>
        <w:t>维修单位名称：中电云科信息技术有限公司</w:t>
      </w:r>
    </w:p>
    <w:p>
      <w:pPr>
        <w:spacing w:line="360" w:lineRule="auto"/>
        <w:ind w:firstLine="480" w:firstLineChars="200"/>
        <w:rPr>
          <w:sz w:val="24"/>
        </w:rPr>
      </w:pPr>
      <w:r>
        <w:rPr>
          <w:rFonts w:hint="eastAsia"/>
          <w:sz w:val="24"/>
        </w:rPr>
        <w:t>服务电话：0371-86239835</w:t>
      </w:r>
    </w:p>
    <w:p>
      <w:pPr>
        <w:spacing w:line="360" w:lineRule="auto"/>
        <w:ind w:firstLine="480" w:firstLineChars="200"/>
        <w:rPr>
          <w:sz w:val="24"/>
        </w:rPr>
      </w:pPr>
      <w:r>
        <w:rPr>
          <w:rFonts w:hint="eastAsia"/>
          <w:sz w:val="24"/>
        </w:rPr>
        <w:t>传真：0371-86239835转8002</w:t>
      </w:r>
    </w:p>
    <w:p>
      <w:pPr>
        <w:spacing w:line="360" w:lineRule="auto"/>
        <w:ind w:firstLine="480" w:firstLineChars="200"/>
        <w:rPr>
          <w:sz w:val="24"/>
        </w:rPr>
      </w:pPr>
      <w:r>
        <w:rPr>
          <w:rFonts w:hint="eastAsia"/>
          <w:sz w:val="24"/>
        </w:rPr>
        <w:t>地点：郑州市</w:t>
      </w:r>
      <w:r>
        <w:rPr>
          <w:sz w:val="24"/>
        </w:rPr>
        <w:t>惠济区南阳路</w:t>
      </w:r>
      <w:r>
        <w:rPr>
          <w:rFonts w:hint="eastAsia"/>
          <w:sz w:val="24"/>
        </w:rPr>
        <w:t>170号</w:t>
      </w:r>
      <w:r>
        <w:rPr>
          <w:sz w:val="24"/>
        </w:rPr>
        <w:t>三江大厦</w:t>
      </w:r>
      <w:r>
        <w:rPr>
          <w:rFonts w:hint="eastAsia"/>
          <w:sz w:val="24"/>
        </w:rPr>
        <w:t>905、916室</w:t>
      </w:r>
    </w:p>
    <w:p>
      <w:pPr>
        <w:widowControl/>
        <w:jc w:val="left"/>
      </w:pPr>
      <w:r>
        <w:br w:type="page"/>
      </w:r>
    </w:p>
    <w:p>
      <w:pPr>
        <w:pStyle w:val="4"/>
      </w:pPr>
      <w:bookmarkStart w:id="0" w:name="_Toc464487202"/>
      <w:bookmarkStart w:id="1" w:name="_Toc466983511"/>
      <w:bookmarkStart w:id="2" w:name="_Toc488710129"/>
      <w:bookmarkStart w:id="3" w:name="_Toc511635451"/>
      <w:bookmarkStart w:id="4" w:name="_Toc511835332"/>
      <w:r>
        <w:rPr>
          <w:rFonts w:hint="eastAsia"/>
        </w:rPr>
        <w:t>售后服务承诺</w:t>
      </w:r>
      <w:bookmarkEnd w:id="0"/>
      <w:bookmarkEnd w:id="1"/>
      <w:bookmarkEnd w:id="2"/>
      <w:bookmarkEnd w:id="3"/>
      <w:bookmarkEnd w:id="4"/>
    </w:p>
    <w:p>
      <w:pPr>
        <w:spacing w:line="360" w:lineRule="auto"/>
        <w:ind w:firstLine="482" w:firstLineChars="200"/>
        <w:rPr>
          <w:b/>
          <w:sz w:val="24"/>
        </w:rPr>
      </w:pPr>
      <w:r>
        <w:rPr>
          <w:b/>
          <w:sz w:val="24"/>
        </w:rPr>
        <w:t>1</w:t>
      </w:r>
      <w:r>
        <w:rPr>
          <w:rFonts w:hint="eastAsia"/>
          <w:b/>
          <w:sz w:val="24"/>
        </w:rPr>
        <w:t>、质保期内外我方随时响应维修要求，保证设施的正常运行；</w:t>
      </w:r>
    </w:p>
    <w:p>
      <w:pPr>
        <w:spacing w:line="360" w:lineRule="auto"/>
        <w:ind w:firstLine="482" w:firstLineChars="200"/>
        <w:rPr>
          <w:b/>
          <w:sz w:val="24"/>
        </w:rPr>
      </w:pPr>
      <w:r>
        <w:rPr>
          <w:b/>
          <w:sz w:val="24"/>
        </w:rPr>
        <w:t>2</w:t>
      </w:r>
      <w:r>
        <w:rPr>
          <w:rFonts w:hint="eastAsia"/>
          <w:b/>
          <w:sz w:val="24"/>
        </w:rPr>
        <w:t>、在质保期内，如出现设备质量问题，免费更换新设备；</w:t>
      </w:r>
    </w:p>
    <w:p>
      <w:pPr>
        <w:spacing w:line="360" w:lineRule="auto"/>
        <w:ind w:firstLine="482" w:firstLineChars="200"/>
        <w:rPr>
          <w:b/>
          <w:sz w:val="24"/>
        </w:rPr>
      </w:pPr>
      <w:r>
        <w:rPr>
          <w:b/>
          <w:sz w:val="24"/>
        </w:rPr>
        <w:t>3</w:t>
      </w:r>
      <w:r>
        <w:rPr>
          <w:rFonts w:hint="eastAsia"/>
          <w:b/>
          <w:sz w:val="24"/>
        </w:rPr>
        <w:t>、质保期外</w:t>
      </w:r>
      <w:r>
        <w:rPr>
          <w:b/>
          <w:sz w:val="24"/>
        </w:rPr>
        <w:t>，</w:t>
      </w:r>
      <w:r>
        <w:rPr>
          <w:rFonts w:hint="eastAsia"/>
          <w:b/>
          <w:sz w:val="24"/>
        </w:rPr>
        <w:t>提供终生售后服务，过质保后，只收维修成本费。</w:t>
      </w:r>
    </w:p>
    <w:p>
      <w:pPr>
        <w:spacing w:line="360" w:lineRule="auto"/>
        <w:ind w:firstLine="482" w:firstLineChars="200"/>
        <w:rPr>
          <w:b/>
          <w:sz w:val="24"/>
        </w:rPr>
      </w:pPr>
      <w:r>
        <w:rPr>
          <w:b/>
          <w:sz w:val="24"/>
        </w:rPr>
        <w:t>4</w:t>
      </w:r>
      <w:r>
        <w:rPr>
          <w:rFonts w:hint="eastAsia"/>
          <w:b/>
          <w:sz w:val="24"/>
        </w:rPr>
        <w:t>、能随时提供技术支持，免费现场培训工作人员，并提供全套技术资料；</w:t>
      </w:r>
    </w:p>
    <w:p>
      <w:pPr>
        <w:spacing w:line="360" w:lineRule="auto"/>
        <w:ind w:firstLine="482" w:firstLineChars="200"/>
        <w:rPr>
          <w:b/>
          <w:sz w:val="24"/>
        </w:rPr>
      </w:pPr>
      <w:r>
        <w:rPr>
          <w:b/>
          <w:sz w:val="24"/>
        </w:rPr>
        <w:t>5</w:t>
      </w:r>
      <w:r>
        <w:rPr>
          <w:rFonts w:hint="eastAsia"/>
          <w:b/>
          <w:sz w:val="24"/>
        </w:rPr>
        <w:t>、我公司负责免费送货到指定地点并施工。</w:t>
      </w:r>
    </w:p>
    <w:p>
      <w:pPr>
        <w:spacing w:line="360" w:lineRule="auto"/>
        <w:ind w:firstLine="482" w:firstLineChars="200"/>
        <w:rPr>
          <w:b/>
          <w:sz w:val="24"/>
        </w:rPr>
      </w:pPr>
      <w:r>
        <w:rPr>
          <w:rFonts w:hint="eastAsia"/>
          <w:b/>
          <w:sz w:val="24"/>
        </w:rPr>
        <w:t>6、质保期限：自验收合格之日起，提供整机24个月保修。</w:t>
      </w:r>
    </w:p>
    <w:p>
      <w:pPr>
        <w:numPr>
          <w:ilvl w:val="0"/>
          <w:numId w:val="0"/>
        </w:numPr>
        <w:rPr>
          <w:rFonts w:hint="eastAsia" w:cs="仿宋" w:asciiTheme="minorEastAsia" w:hAnsiTheme="minorEastAsia"/>
          <w:szCs w:val="21"/>
          <w:lang w:val="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000F"/>
    <w:multiLevelType w:val="singleLevel"/>
    <w:tmpl w:val="09B3000F"/>
    <w:lvl w:ilvl="0" w:tentative="0">
      <w:start w:val="2"/>
      <w:numFmt w:val="decimal"/>
      <w:suff w:val="nothing"/>
      <w:lvlText w:val="%1、"/>
      <w:lvlJc w:val="left"/>
    </w:lvl>
  </w:abstractNum>
  <w:abstractNum w:abstractNumId="1">
    <w:nsid w:val="1EC405D0"/>
    <w:multiLevelType w:val="multilevel"/>
    <w:tmpl w:val="1EC405D0"/>
    <w:lvl w:ilvl="0" w:tentative="0">
      <w:start w:val="1"/>
      <w:numFmt w:val="chineseCountingThousand"/>
      <w:pStyle w:val="2"/>
      <w:lvlText w:val="%1、"/>
      <w:lvlJc w:val="left"/>
      <w:pPr>
        <w:ind w:left="425" w:hanging="425"/>
      </w:pPr>
      <w:rPr>
        <w:rFonts w:hint="eastAsia"/>
      </w:rPr>
    </w:lvl>
    <w:lvl w:ilvl="1" w:tentative="0">
      <w:start w:val="1"/>
      <w:numFmt w:val="decimal"/>
      <w:isLgl/>
      <w:lvlText w:val="%1.%2"/>
      <w:lvlJc w:val="left"/>
      <w:pPr>
        <w:ind w:left="992" w:hanging="567"/>
      </w:pPr>
      <w:rPr>
        <w:rFonts w:hint="eastAsia"/>
      </w:rPr>
    </w:lvl>
    <w:lvl w:ilvl="2" w:tentative="0">
      <w:start w:val="1"/>
      <w:numFmt w:val="decimal"/>
      <w:pStyle w:val="3"/>
      <w:isLgl/>
      <w:lvlText w:val="%1.%2.%3"/>
      <w:lvlJc w:val="left"/>
      <w:pPr>
        <w:ind w:left="1418" w:hanging="567"/>
      </w:pPr>
      <w:rPr>
        <w:rFonts w:hint="eastAsia"/>
      </w:rPr>
    </w:lvl>
    <w:lvl w:ilvl="3" w:tentative="0">
      <w:start w:val="1"/>
      <w:numFmt w:val="decimal"/>
      <w:pStyle w:val="4"/>
      <w:isLgl/>
      <w:lvlText w:val="%1.%2.%3.%4"/>
      <w:lvlJc w:val="left"/>
      <w:pPr>
        <w:ind w:left="1984" w:hanging="708"/>
      </w:pPr>
      <w:rPr>
        <w:rFonts w:hint="eastAsia" w:ascii="宋体" w:hAnsi="宋体" w:eastAsia="宋体"/>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EE3335"/>
    <w:rsid w:val="7CD6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line="360" w:lineRule="auto"/>
      <w:jc w:val="center"/>
      <w:outlineLvl w:val="0"/>
    </w:pPr>
    <w:rPr>
      <w:b/>
      <w:bCs/>
      <w:kern w:val="44"/>
      <w:sz w:val="32"/>
      <w:szCs w:val="44"/>
    </w:rPr>
  </w:style>
  <w:style w:type="paragraph" w:styleId="3">
    <w:name w:val="heading 3"/>
    <w:basedOn w:val="1"/>
    <w:next w:val="1"/>
    <w:unhideWhenUsed/>
    <w:qFormat/>
    <w:uiPriority w:val="9"/>
    <w:pPr>
      <w:keepNext/>
      <w:keepLines/>
      <w:numPr>
        <w:ilvl w:val="2"/>
        <w:numId w:val="1"/>
      </w:numPr>
      <w:spacing w:line="360" w:lineRule="auto"/>
      <w:jc w:val="center"/>
      <w:outlineLvl w:val="2"/>
    </w:pPr>
    <w:rPr>
      <w:b/>
      <w:bCs/>
      <w:sz w:val="28"/>
      <w:szCs w:val="32"/>
    </w:rPr>
  </w:style>
  <w:style w:type="paragraph" w:styleId="4">
    <w:name w:val="heading 4"/>
    <w:basedOn w:val="1"/>
    <w:next w:val="1"/>
    <w:unhideWhenUsed/>
    <w:qFormat/>
    <w:uiPriority w:val="9"/>
    <w:pPr>
      <w:keepNext/>
      <w:keepLines/>
      <w:numPr>
        <w:ilvl w:val="3"/>
        <w:numId w:val="1"/>
      </w:numPr>
      <w:spacing w:line="360" w:lineRule="auto"/>
      <w:ind w:left="0" w:firstLine="0"/>
      <w:jc w:val="center"/>
      <w:outlineLvl w:val="3"/>
    </w:pPr>
    <w:rPr>
      <w:rFonts w:asciiTheme="majorHAnsi" w:hAnsiTheme="majorHAnsi" w:eastAsiaTheme="majorEastAsia" w:cstheme="majorBidi"/>
      <w:b/>
      <w:bCs/>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2020-05-11T08:56:35Z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