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color w:val="auto"/>
          <w:sz w:val="48"/>
          <w:szCs w:val="48"/>
        </w:rPr>
      </w:pPr>
    </w:p>
    <w:p>
      <w:pPr>
        <w:jc w:val="center"/>
        <w:rPr>
          <w:rFonts w:hint="eastAsia" w:ascii="宋体" w:hAnsi="宋体" w:eastAsia="宋体" w:cs="宋体"/>
          <w:b/>
          <w:bCs/>
          <w:color w:val="auto"/>
          <w:sz w:val="72"/>
          <w:szCs w:val="72"/>
        </w:rPr>
      </w:pPr>
    </w:p>
    <w:p>
      <w:pPr>
        <w:jc w:val="center"/>
        <w:rPr>
          <w:rFonts w:ascii="宋体" w:hAnsi="宋体" w:eastAsia="宋体" w:cs="宋体"/>
          <w:b/>
          <w:bCs/>
          <w:color w:val="auto"/>
          <w:sz w:val="72"/>
          <w:szCs w:val="72"/>
        </w:rPr>
      </w:pPr>
      <w:r>
        <w:rPr>
          <w:rFonts w:hint="eastAsia" w:ascii="宋体" w:hAnsi="宋体" w:eastAsia="宋体" w:cs="宋体"/>
          <w:b/>
          <w:bCs/>
          <w:color w:val="auto"/>
          <w:sz w:val="72"/>
          <w:szCs w:val="72"/>
        </w:rPr>
        <w:t>开发区垃圾分类工作购买社会化服务</w:t>
      </w:r>
    </w:p>
    <w:p>
      <w:pPr>
        <w:rPr>
          <w:rFonts w:ascii="微软简隶书" w:eastAsia="微软简隶书"/>
          <w:color w:val="auto"/>
        </w:rPr>
      </w:pPr>
    </w:p>
    <w:p>
      <w:pPr>
        <w:pStyle w:val="2"/>
        <w:ind w:firstLine="340"/>
        <w:jc w:val="center"/>
        <w:rPr>
          <w:rFonts w:hint="eastAsia"/>
          <w:color w:val="auto"/>
          <w:sz w:val="56"/>
          <w:szCs w:val="32"/>
          <w:lang w:val="en-US" w:eastAsia="zh-CN"/>
        </w:rPr>
      </w:pPr>
      <w:r>
        <w:rPr>
          <w:rFonts w:hint="eastAsia"/>
          <w:color w:val="auto"/>
          <w:sz w:val="56"/>
          <w:szCs w:val="32"/>
          <w:lang w:val="en-US" w:eastAsia="zh-CN"/>
        </w:rPr>
        <w:t>(</w:t>
      </w:r>
      <w:r>
        <w:rPr>
          <w:rFonts w:hint="eastAsia"/>
          <w:color w:val="auto"/>
          <w:sz w:val="56"/>
          <w:szCs w:val="32"/>
        </w:rPr>
        <w:t>不见面开标</w:t>
      </w:r>
      <w:r>
        <w:rPr>
          <w:rFonts w:hint="eastAsia"/>
          <w:color w:val="auto"/>
          <w:sz w:val="56"/>
          <w:szCs w:val="32"/>
          <w:lang w:val="en-US" w:eastAsia="zh-CN"/>
        </w:rPr>
        <w:t>)</w:t>
      </w:r>
    </w:p>
    <w:p>
      <w:pPr>
        <w:pStyle w:val="2"/>
        <w:ind w:firstLine="340"/>
        <w:rPr>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jc w:val="center"/>
        <w:rPr>
          <w:rFonts w:asciiTheme="majorEastAsia" w:hAnsiTheme="majorEastAsia" w:eastAsiaTheme="majorEastAsia" w:cstheme="majorEastAsia"/>
          <w:b/>
          <w:bCs/>
          <w:color w:val="auto"/>
          <w:sz w:val="90"/>
          <w:szCs w:val="90"/>
        </w:rPr>
      </w:pPr>
      <w:r>
        <w:rPr>
          <w:rFonts w:hint="eastAsia" w:asciiTheme="majorEastAsia" w:hAnsiTheme="majorEastAsia" w:eastAsiaTheme="majorEastAsia" w:cstheme="majorEastAsia"/>
          <w:b/>
          <w:bCs/>
          <w:color w:val="auto"/>
          <w:sz w:val="90"/>
          <w:szCs w:val="90"/>
        </w:rPr>
        <w:t>招 标 文 件</w:t>
      </w:r>
    </w:p>
    <w:p>
      <w:pPr>
        <w:rPr>
          <w:rFonts w:ascii="微软简隶书" w:eastAsia="微软简隶书"/>
          <w:color w:val="auto"/>
        </w:rPr>
      </w:pPr>
    </w:p>
    <w:p>
      <w:pPr>
        <w:rPr>
          <w:rFonts w:ascii="微软简隶书" w:eastAsia="微软简隶书"/>
          <w:color w:val="auto"/>
        </w:rPr>
      </w:pPr>
    </w:p>
    <w:p>
      <w:pPr>
        <w:pStyle w:val="2"/>
        <w:ind w:firstLine="340"/>
        <w:rPr>
          <w:color w:val="auto"/>
        </w:rPr>
      </w:pPr>
    </w:p>
    <w:p>
      <w:pPr>
        <w:rPr>
          <w:rFonts w:ascii="微软简隶书" w:eastAsia="微软简隶书"/>
          <w:color w:val="auto"/>
        </w:rPr>
      </w:pPr>
    </w:p>
    <w:p>
      <w:pPr>
        <w:spacing w:line="276" w:lineRule="auto"/>
        <w:rPr>
          <w:rFonts w:asciiTheme="majorEastAsia" w:hAnsiTheme="majorEastAsia" w:eastAsiaTheme="majorEastAsia" w:cstheme="majorEastAsia"/>
          <w:b/>
          <w:bCs/>
          <w:color w:val="auto"/>
          <w:sz w:val="36"/>
          <w:szCs w:val="36"/>
        </w:rPr>
      </w:pPr>
      <w:r>
        <w:rPr>
          <w:rFonts w:hint="eastAsia" w:asciiTheme="majorEastAsia" w:hAnsiTheme="majorEastAsia" w:eastAsiaTheme="majorEastAsia" w:cstheme="majorEastAsia"/>
          <w:b/>
          <w:bCs/>
          <w:color w:val="auto"/>
          <w:sz w:val="36"/>
          <w:szCs w:val="36"/>
        </w:rPr>
        <w:t xml:space="preserve">    项目编号：JZFCG-G20</w:t>
      </w:r>
      <w:r>
        <w:rPr>
          <w:rFonts w:hint="eastAsia" w:asciiTheme="majorEastAsia" w:hAnsiTheme="majorEastAsia" w:eastAsiaTheme="majorEastAsia" w:cstheme="majorEastAsia"/>
          <w:b/>
          <w:bCs/>
          <w:color w:val="auto"/>
          <w:sz w:val="36"/>
          <w:szCs w:val="36"/>
          <w:lang w:val="en-US" w:eastAsia="zh-CN"/>
        </w:rPr>
        <w:t>20013</w:t>
      </w:r>
      <w:r>
        <w:rPr>
          <w:rFonts w:hint="eastAsia" w:asciiTheme="majorEastAsia" w:hAnsiTheme="majorEastAsia" w:eastAsiaTheme="majorEastAsia" w:cstheme="majorEastAsia"/>
          <w:b/>
          <w:bCs/>
          <w:color w:val="auto"/>
          <w:sz w:val="36"/>
          <w:szCs w:val="36"/>
        </w:rPr>
        <w:t>号</w:t>
      </w:r>
    </w:p>
    <w:p>
      <w:pPr>
        <w:spacing w:line="276" w:lineRule="auto"/>
        <w:ind w:firstLine="723" w:firstLineChars="200"/>
        <w:rPr>
          <w:rFonts w:asciiTheme="majorEastAsia" w:hAnsiTheme="majorEastAsia" w:eastAsiaTheme="majorEastAsia" w:cstheme="majorEastAsia"/>
          <w:b/>
          <w:bCs/>
          <w:color w:val="auto"/>
          <w:sz w:val="36"/>
          <w:szCs w:val="36"/>
        </w:rPr>
      </w:pPr>
      <w:r>
        <w:rPr>
          <w:rFonts w:hint="eastAsia" w:asciiTheme="majorEastAsia" w:hAnsiTheme="majorEastAsia" w:eastAsiaTheme="majorEastAsia" w:cstheme="majorEastAsia"/>
          <w:b/>
          <w:bCs/>
          <w:color w:val="auto"/>
          <w:sz w:val="36"/>
          <w:szCs w:val="36"/>
        </w:rPr>
        <w:t>采购单位：许昌经济技术开发区住房建设城市管理</w:t>
      </w:r>
    </w:p>
    <w:p>
      <w:pPr>
        <w:spacing w:line="276" w:lineRule="auto"/>
        <w:ind w:left="1995" w:leftChars="950" w:firstLine="542" w:firstLineChars="150"/>
        <w:rPr>
          <w:rFonts w:asciiTheme="majorEastAsia" w:hAnsiTheme="majorEastAsia" w:eastAsiaTheme="majorEastAsia" w:cstheme="majorEastAsia"/>
          <w:b/>
          <w:bCs/>
          <w:color w:val="auto"/>
          <w:sz w:val="36"/>
          <w:szCs w:val="36"/>
        </w:rPr>
      </w:pPr>
      <w:r>
        <w:rPr>
          <w:rFonts w:hint="eastAsia" w:asciiTheme="majorEastAsia" w:hAnsiTheme="majorEastAsia" w:eastAsiaTheme="majorEastAsia" w:cstheme="majorEastAsia"/>
          <w:b/>
          <w:bCs/>
          <w:color w:val="auto"/>
          <w:sz w:val="36"/>
          <w:szCs w:val="36"/>
        </w:rPr>
        <w:t>与环境保护局</w:t>
      </w:r>
    </w:p>
    <w:p>
      <w:pPr>
        <w:spacing w:line="276" w:lineRule="auto"/>
        <w:ind w:firstLine="723" w:firstLineChars="200"/>
        <w:rPr>
          <w:rFonts w:asciiTheme="majorEastAsia" w:hAnsiTheme="majorEastAsia" w:eastAsiaTheme="majorEastAsia" w:cstheme="majorEastAsia"/>
          <w:b/>
          <w:bCs/>
          <w:color w:val="auto"/>
          <w:sz w:val="36"/>
          <w:szCs w:val="36"/>
        </w:rPr>
      </w:pPr>
      <w:r>
        <w:rPr>
          <w:rFonts w:hint="eastAsia" w:asciiTheme="majorEastAsia" w:hAnsiTheme="majorEastAsia" w:eastAsiaTheme="majorEastAsia" w:cstheme="majorEastAsia"/>
          <w:b/>
          <w:bCs/>
          <w:color w:val="auto"/>
          <w:sz w:val="36"/>
          <w:szCs w:val="36"/>
        </w:rPr>
        <w:t>代理机构：河南远大建设工程管理有限公司</w:t>
      </w:r>
    </w:p>
    <w:p>
      <w:pPr>
        <w:spacing w:line="276" w:lineRule="auto"/>
        <w:ind w:firstLine="2530" w:firstLineChars="700"/>
        <w:rPr>
          <w:rFonts w:asciiTheme="majorEastAsia" w:hAnsiTheme="majorEastAsia" w:eastAsiaTheme="majorEastAsia" w:cstheme="majorEastAsia"/>
          <w:b/>
          <w:bCs/>
          <w:color w:val="auto"/>
          <w:sz w:val="36"/>
          <w:szCs w:val="36"/>
        </w:rPr>
      </w:pPr>
      <w:r>
        <w:rPr>
          <w:rFonts w:hint="eastAsia" w:asciiTheme="majorEastAsia" w:hAnsiTheme="majorEastAsia" w:eastAsiaTheme="majorEastAsia" w:cstheme="majorEastAsia"/>
          <w:b/>
          <w:bCs/>
          <w:color w:val="auto"/>
          <w:sz w:val="36"/>
          <w:szCs w:val="36"/>
        </w:rPr>
        <w:t>二〇二零年</w:t>
      </w:r>
      <w:r>
        <w:rPr>
          <w:rFonts w:hint="eastAsia" w:asciiTheme="majorEastAsia" w:hAnsiTheme="majorEastAsia" w:eastAsiaTheme="majorEastAsia" w:cstheme="majorEastAsia"/>
          <w:b/>
          <w:bCs/>
          <w:color w:val="auto"/>
          <w:sz w:val="36"/>
          <w:szCs w:val="36"/>
          <w:lang w:eastAsia="zh-CN"/>
        </w:rPr>
        <w:t>四</w:t>
      </w:r>
      <w:r>
        <w:rPr>
          <w:rFonts w:hint="eastAsia" w:asciiTheme="majorEastAsia" w:hAnsiTheme="majorEastAsia" w:eastAsiaTheme="majorEastAsia" w:cstheme="majorEastAsia"/>
          <w:b/>
          <w:bCs/>
          <w:color w:val="auto"/>
          <w:sz w:val="36"/>
          <w:szCs w:val="36"/>
        </w:rPr>
        <w:t>月</w:t>
      </w:r>
    </w:p>
    <w:p>
      <w:pPr>
        <w:autoSpaceDE w:val="0"/>
        <w:autoSpaceDN w:val="0"/>
        <w:adjustRightInd w:val="0"/>
        <w:spacing w:line="700" w:lineRule="exact"/>
        <w:ind w:firstLine="551"/>
        <w:jc w:val="center"/>
        <w:rPr>
          <w:rFonts w:cs="黑体" w:asciiTheme="minorEastAsia" w:hAnsiTheme="minorEastAsia"/>
          <w:b/>
          <w:bCs/>
          <w:color w:val="auto"/>
          <w:sz w:val="44"/>
          <w:szCs w:val="44"/>
          <w:lang w:val="zh-CN"/>
        </w:rPr>
      </w:pPr>
    </w:p>
    <w:p>
      <w:pPr>
        <w:autoSpaceDE w:val="0"/>
        <w:autoSpaceDN w:val="0"/>
        <w:adjustRightInd w:val="0"/>
        <w:spacing w:line="700" w:lineRule="exact"/>
        <w:ind w:firstLine="551"/>
        <w:jc w:val="center"/>
        <w:rPr>
          <w:rFonts w:cs="黑体" w:asciiTheme="minorEastAsia" w:hAnsiTheme="minorEastAsia"/>
          <w:b/>
          <w:bCs/>
          <w:color w:val="auto"/>
          <w:sz w:val="44"/>
          <w:szCs w:val="44"/>
          <w:lang w:val="zh-CN"/>
        </w:rPr>
      </w:pPr>
      <w:r>
        <w:rPr>
          <w:rFonts w:hint="eastAsia" w:cs="黑体" w:asciiTheme="minorEastAsia" w:hAnsiTheme="minorEastAsia"/>
          <w:b/>
          <w:bCs/>
          <w:color w:val="auto"/>
          <w:sz w:val="44"/>
          <w:szCs w:val="44"/>
          <w:lang w:val="zh-CN"/>
        </w:rPr>
        <w:t>招标文件目录</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color w:val="auto"/>
          <w:kern w:val="0"/>
          <w:sz w:val="32"/>
          <w:szCs w:val="32"/>
        </w:rPr>
      </w:pPr>
      <w:r>
        <w:rPr>
          <w:rFonts w:hint="eastAsia" w:asciiTheme="majorEastAsia" w:hAnsiTheme="majorEastAsia" w:eastAsiaTheme="majorEastAsia" w:cstheme="majorEastAsia"/>
          <w:b/>
          <w:bCs/>
          <w:color w:val="auto"/>
          <w:sz w:val="32"/>
          <w:szCs w:val="32"/>
          <w:lang w:val="zh-CN"/>
        </w:rPr>
        <w:t xml:space="preserve">第三章 </w:t>
      </w:r>
      <w:r>
        <w:rPr>
          <w:rFonts w:hint="eastAsia" w:asciiTheme="majorEastAsia" w:hAnsiTheme="majorEastAsia" w:eastAsiaTheme="majorEastAsia" w:cstheme="majorEastAsia"/>
          <w:b/>
          <w:color w:val="auto"/>
          <w:kern w:val="0"/>
          <w:sz w:val="32"/>
          <w:szCs w:val="32"/>
        </w:rPr>
        <w:t>投标人须知前附表</w:t>
      </w:r>
    </w:p>
    <w:p>
      <w:pPr>
        <w:autoSpaceDE w:val="0"/>
        <w:autoSpaceDN w:val="0"/>
        <w:adjustRightInd w:val="0"/>
        <w:spacing w:line="700" w:lineRule="exact"/>
        <w:ind w:firstLine="560"/>
        <w:rPr>
          <w:rFonts w:asciiTheme="majorEastAsia" w:hAnsiTheme="majorEastAsia" w:eastAsiaTheme="majorEastAsia" w:cstheme="majorEastAsia"/>
          <w:b/>
          <w:color w:val="auto"/>
          <w:kern w:val="0"/>
          <w:sz w:val="32"/>
          <w:szCs w:val="32"/>
        </w:rPr>
      </w:pPr>
      <w:r>
        <w:rPr>
          <w:rFonts w:hint="eastAsia" w:asciiTheme="majorEastAsia" w:hAnsiTheme="majorEastAsia" w:eastAsiaTheme="majorEastAsia" w:cstheme="majorEastAsia"/>
          <w:b/>
          <w:bCs/>
          <w:color w:val="auto"/>
          <w:sz w:val="32"/>
          <w:szCs w:val="32"/>
          <w:lang w:val="zh-CN"/>
        </w:rPr>
        <w:t xml:space="preserve">第四章 </w:t>
      </w:r>
      <w:r>
        <w:rPr>
          <w:rFonts w:hint="eastAsia" w:asciiTheme="majorEastAsia" w:hAnsiTheme="majorEastAsia" w:eastAsiaTheme="majorEastAsia" w:cstheme="majorEastAsia"/>
          <w:b/>
          <w:color w:val="auto"/>
          <w:kern w:val="0"/>
          <w:sz w:val="32"/>
          <w:szCs w:val="32"/>
        </w:rPr>
        <w:t>投标人须知</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color w:val="auto"/>
          <w:sz w:val="32"/>
          <w:szCs w:val="32"/>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 xml:space="preserve">第五章 </w:t>
      </w:r>
      <w:r>
        <w:rPr>
          <w:rFonts w:hint="eastAsia" w:asciiTheme="majorEastAsia" w:hAnsiTheme="majorEastAsia" w:eastAsiaTheme="majorEastAsia" w:cstheme="majorEastAsia"/>
          <w:b/>
          <w:color w:val="auto"/>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 xml:space="preserve">第六章 </w:t>
      </w:r>
      <w:r>
        <w:rPr>
          <w:rFonts w:hint="eastAsia" w:asciiTheme="majorEastAsia" w:hAnsiTheme="majorEastAsia" w:eastAsiaTheme="majorEastAsia" w:cstheme="majorEastAsia"/>
          <w:b/>
          <w:color w:val="auto"/>
          <w:kern w:val="0"/>
          <w:sz w:val="32"/>
          <w:szCs w:val="32"/>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 xml:space="preserve">第七章 </w:t>
      </w:r>
      <w:r>
        <w:rPr>
          <w:rFonts w:hint="eastAsia" w:asciiTheme="majorEastAsia" w:hAnsiTheme="majorEastAsia" w:eastAsiaTheme="majorEastAsia" w:cstheme="majorEastAsia"/>
          <w:b/>
          <w:color w:val="auto"/>
          <w:kern w:val="0"/>
          <w:sz w:val="32"/>
          <w:szCs w:val="32"/>
        </w:rPr>
        <w:t>合同条款及格式</w:t>
      </w:r>
    </w:p>
    <w:p>
      <w:pPr>
        <w:autoSpaceDE w:val="0"/>
        <w:autoSpaceDN w:val="0"/>
        <w:adjustRightInd w:val="0"/>
        <w:spacing w:line="700" w:lineRule="exact"/>
        <w:ind w:firstLine="551"/>
        <w:rPr>
          <w:rFonts w:asciiTheme="majorEastAsia" w:hAnsiTheme="majorEastAsia" w:eastAsiaTheme="majorEastAsia" w:cstheme="majorEastAsia"/>
          <w:b/>
          <w:color w:val="auto"/>
          <w:kern w:val="0"/>
          <w:sz w:val="32"/>
          <w:szCs w:val="32"/>
        </w:rPr>
      </w:pPr>
      <w:r>
        <w:rPr>
          <w:rFonts w:hint="eastAsia" w:asciiTheme="majorEastAsia" w:hAnsiTheme="majorEastAsia" w:eastAsiaTheme="majorEastAsia" w:cstheme="majorEastAsia"/>
          <w:b/>
          <w:bCs/>
          <w:color w:val="auto"/>
          <w:sz w:val="32"/>
          <w:szCs w:val="32"/>
          <w:lang w:val="zh-CN"/>
        </w:rPr>
        <w:t xml:space="preserve">第八章 </w:t>
      </w:r>
      <w:r>
        <w:rPr>
          <w:rFonts w:hint="eastAsia" w:asciiTheme="majorEastAsia" w:hAnsiTheme="majorEastAsia" w:eastAsiaTheme="majorEastAsia" w:cstheme="majorEastAsia"/>
          <w:b/>
          <w:color w:val="auto"/>
          <w:kern w:val="0"/>
          <w:sz w:val="32"/>
          <w:szCs w:val="32"/>
        </w:rPr>
        <w:t>投标文件有关格式</w:t>
      </w:r>
    </w:p>
    <w:p>
      <w:pPr>
        <w:autoSpaceDE w:val="0"/>
        <w:autoSpaceDN w:val="0"/>
        <w:adjustRightInd w:val="0"/>
        <w:spacing w:line="700" w:lineRule="exact"/>
        <w:ind w:firstLine="551"/>
        <w:rPr>
          <w:rFonts w:asciiTheme="majorEastAsia" w:hAnsiTheme="majorEastAsia" w:eastAsiaTheme="majorEastAsia" w:cstheme="majorEastAsia"/>
          <w:b/>
          <w:color w:val="auto"/>
          <w:kern w:val="0"/>
          <w:sz w:val="32"/>
          <w:szCs w:val="32"/>
        </w:rPr>
      </w:pPr>
    </w:p>
    <w:p>
      <w:pPr>
        <w:pStyle w:val="2"/>
        <w:ind w:firstLine="0" w:firstLineChars="0"/>
        <w:rPr>
          <w:color w:val="auto"/>
        </w:rPr>
      </w:pPr>
    </w:p>
    <w:p>
      <w:pPr>
        <w:widowControl/>
        <w:ind w:firstLine="2530" w:firstLineChars="700"/>
        <w:jc w:val="left"/>
        <w:rPr>
          <w:rFonts w:ascii="宋体" w:hAnsi="宋体" w:cs="宋体"/>
          <w:b/>
          <w:color w:val="auto"/>
          <w:sz w:val="36"/>
          <w:szCs w:val="36"/>
        </w:rPr>
      </w:pPr>
      <w:r>
        <w:rPr>
          <w:rFonts w:ascii="宋体" w:hAnsi="宋体" w:cs="宋体"/>
          <w:b/>
          <w:color w:val="auto"/>
          <w:sz w:val="36"/>
          <w:szCs w:val="36"/>
        </w:rPr>
        <w:br w:type="page"/>
      </w:r>
      <w:r>
        <w:rPr>
          <w:rFonts w:hint="eastAsia" w:ascii="宋体" w:hAnsi="宋体" w:cs="宋体"/>
          <w:b/>
          <w:color w:val="auto"/>
          <w:sz w:val="36"/>
          <w:szCs w:val="36"/>
        </w:rPr>
        <w:t xml:space="preserve">第一章 </w:t>
      </w:r>
      <w:r>
        <w:rPr>
          <w:rFonts w:hint="eastAsia" w:ascii="宋体" w:hAnsi="宋体" w:cs="宋体"/>
          <w:b/>
          <w:color w:val="auto"/>
          <w:sz w:val="36"/>
          <w:szCs w:val="36"/>
          <w:shd w:val="clear" w:color="auto" w:fill="FFFFFF"/>
        </w:rPr>
        <w:t>投标邀请</w:t>
      </w:r>
    </w:p>
    <w:p>
      <w:pPr>
        <w:pStyle w:val="25"/>
        <w:widowControl/>
        <w:spacing w:before="240" w:line="360" w:lineRule="auto"/>
        <w:ind w:firstLine="472" w:firstLineChars="196"/>
        <w:jc w:val="left"/>
        <w:rPr>
          <w:rFonts w:cs="黑体" w:asciiTheme="minorEastAsia" w:hAnsiTheme="minorEastAsia" w:eastAsiaTheme="minorEastAsia"/>
          <w:b/>
          <w:bCs/>
          <w:color w:val="auto"/>
        </w:rPr>
      </w:pPr>
      <w:r>
        <w:rPr>
          <w:rFonts w:hint="eastAsia" w:cs="黑体" w:asciiTheme="minorEastAsia" w:hAnsiTheme="minorEastAsia" w:eastAsiaTheme="minorEastAsia"/>
          <w:b/>
          <w:bCs/>
          <w:color w:val="auto"/>
        </w:rPr>
        <w:t>一、项目基本情况</w:t>
      </w:r>
    </w:p>
    <w:p>
      <w:pPr>
        <w:pStyle w:val="25"/>
        <w:widowControl/>
        <w:spacing w:line="360" w:lineRule="auto"/>
        <w:ind w:firstLine="420"/>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（一）项目名称：开发区垃圾分类试点工作购买社会化服务</w:t>
      </w:r>
    </w:p>
    <w:p>
      <w:pPr>
        <w:pStyle w:val="25"/>
        <w:widowControl/>
        <w:spacing w:line="360" w:lineRule="auto"/>
        <w:ind w:firstLine="420"/>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（二）项目编号：JZFCG-G20</w:t>
      </w:r>
      <w:r>
        <w:rPr>
          <w:rFonts w:hint="eastAsia" w:cs="仿宋_GB2312" w:asciiTheme="minorEastAsia" w:hAnsiTheme="minorEastAsia" w:eastAsiaTheme="minorEastAsia"/>
          <w:color w:val="auto"/>
          <w:lang w:val="en-US" w:eastAsia="zh-CN"/>
        </w:rPr>
        <w:t>20013</w:t>
      </w:r>
      <w:r>
        <w:rPr>
          <w:rFonts w:hint="eastAsia" w:cs="仿宋_GB2312" w:asciiTheme="minorEastAsia" w:hAnsiTheme="minorEastAsia" w:eastAsiaTheme="minorEastAsia"/>
          <w:color w:val="auto"/>
        </w:rPr>
        <w:t>号</w:t>
      </w:r>
    </w:p>
    <w:p>
      <w:pPr>
        <w:pStyle w:val="25"/>
        <w:widowControl/>
        <w:spacing w:line="360" w:lineRule="auto"/>
        <w:ind w:firstLine="420"/>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（三）采购方式：公开招标</w:t>
      </w:r>
    </w:p>
    <w:p>
      <w:pPr>
        <w:spacing w:line="360" w:lineRule="auto"/>
        <w:ind w:firstLine="480" w:firstLineChars="200"/>
        <w:rPr>
          <w:rFonts w:cs="仿宋_GB2312" w:asciiTheme="minorEastAsia" w:hAnsiTheme="minorEastAsia"/>
          <w:color w:val="auto"/>
          <w:sz w:val="24"/>
          <w:szCs w:val="24"/>
        </w:rPr>
      </w:pPr>
      <w:r>
        <w:rPr>
          <w:rFonts w:hint="eastAsia" w:cs="仿宋_GB2312" w:asciiTheme="minorEastAsia" w:hAnsiTheme="minorEastAsia"/>
          <w:color w:val="auto"/>
          <w:sz w:val="24"/>
          <w:szCs w:val="24"/>
        </w:rPr>
        <w:t>（四）采购需求：为小区6000户居民日常生活垃圾分类减量工作，小区内垃圾分类宣传设施策划、制作、实施，宣传活动开展；智能设备投放，可回收垃圾、和有毒有害垃圾分类收集运输处置；厨余垃圾、其他垃圾的分类收集。</w:t>
      </w:r>
    </w:p>
    <w:p>
      <w:pPr>
        <w:spacing w:line="360" w:lineRule="auto"/>
        <w:ind w:firstLine="480" w:firstLineChars="200"/>
        <w:rPr>
          <w:rFonts w:cs="仿宋_GB2312" w:asciiTheme="minorEastAsia" w:hAnsiTheme="minorEastAsia"/>
          <w:color w:val="auto"/>
          <w:sz w:val="24"/>
          <w:szCs w:val="24"/>
        </w:rPr>
      </w:pPr>
      <w:r>
        <w:rPr>
          <w:rFonts w:hint="eastAsia" w:cs="仿宋_GB2312" w:asciiTheme="minorEastAsia" w:hAnsiTheme="minorEastAsia"/>
          <w:color w:val="auto"/>
          <w:sz w:val="24"/>
          <w:szCs w:val="24"/>
        </w:rPr>
        <w:t xml:space="preserve">（五）预算金额(最高限价)：1789920.00元/年； </w:t>
      </w:r>
    </w:p>
    <w:p>
      <w:pPr>
        <w:pStyle w:val="25"/>
        <w:widowControl/>
        <w:spacing w:line="360" w:lineRule="auto"/>
        <w:ind w:firstLine="420"/>
        <w:jc w:val="left"/>
        <w:rPr>
          <w:rFonts w:cs="仿宋_GB2312" w:asciiTheme="minorEastAsia" w:hAnsiTheme="minorEastAsia" w:eastAsiaTheme="minorEastAsia"/>
          <w:color w:val="auto"/>
        </w:rPr>
      </w:pPr>
      <w:r>
        <w:rPr>
          <w:rFonts w:cs="仿宋_GB2312" w:asciiTheme="minorEastAsia" w:hAnsiTheme="minorEastAsia" w:eastAsiaTheme="minorEastAsia"/>
          <w:color w:val="auto"/>
        </w:rPr>
        <w:t>（六）交付（服务、完工）时间：</w:t>
      </w:r>
      <w:r>
        <w:rPr>
          <w:rFonts w:hint="eastAsia" w:ascii="宋体" w:hAnsi="宋体" w:cs="宋体"/>
          <w:bCs/>
          <w:color w:val="auto"/>
          <w:szCs w:val="21"/>
        </w:rPr>
        <w:t>自</w:t>
      </w:r>
      <w:r>
        <w:rPr>
          <w:rFonts w:hint="eastAsia" w:cs="仿宋_GB2312" w:asciiTheme="minorEastAsia" w:hAnsiTheme="minorEastAsia"/>
          <w:color w:val="auto"/>
        </w:rPr>
        <w:t>合同签订后3年</w:t>
      </w:r>
      <w:r>
        <w:rPr>
          <w:rFonts w:hint="eastAsia" w:cs="仿宋_GB2312" w:asciiTheme="minorEastAsia" w:hAnsiTheme="minorEastAsia" w:eastAsiaTheme="minorEastAsia"/>
          <w:color w:val="auto"/>
        </w:rPr>
        <w:t>。</w:t>
      </w:r>
    </w:p>
    <w:p>
      <w:pPr>
        <w:pStyle w:val="25"/>
        <w:widowControl/>
        <w:spacing w:line="360" w:lineRule="auto"/>
        <w:ind w:firstLine="420"/>
        <w:jc w:val="left"/>
        <w:rPr>
          <w:rFonts w:cs="仿宋_GB2312" w:asciiTheme="minorEastAsia" w:hAnsiTheme="minorEastAsia" w:eastAsiaTheme="minorEastAsia"/>
          <w:bCs/>
          <w:color w:val="auto"/>
        </w:rPr>
      </w:pPr>
      <w:r>
        <w:rPr>
          <w:rFonts w:cs="仿宋_GB2312" w:asciiTheme="minorEastAsia" w:hAnsiTheme="minorEastAsia" w:eastAsiaTheme="minorEastAsia"/>
          <w:color w:val="auto"/>
        </w:rPr>
        <w:t>（</w:t>
      </w:r>
      <w:r>
        <w:rPr>
          <w:rFonts w:hint="eastAsia" w:cs="仿宋_GB2312" w:asciiTheme="minorEastAsia" w:hAnsiTheme="minorEastAsia" w:eastAsiaTheme="minorEastAsia"/>
          <w:color w:val="auto"/>
        </w:rPr>
        <w:t>七</w:t>
      </w:r>
      <w:r>
        <w:rPr>
          <w:rFonts w:cs="仿宋_GB2312" w:asciiTheme="minorEastAsia" w:hAnsiTheme="minorEastAsia" w:eastAsiaTheme="minorEastAsia"/>
          <w:color w:val="auto"/>
        </w:rPr>
        <w:t>）交付（服务、施工）地点：</w:t>
      </w:r>
      <w:r>
        <w:rPr>
          <w:rFonts w:hint="eastAsia" w:cs="仿宋_GB2312" w:asciiTheme="minorEastAsia" w:hAnsiTheme="minorEastAsia" w:eastAsiaTheme="minorEastAsia"/>
          <w:bCs/>
          <w:color w:val="auto"/>
        </w:rPr>
        <w:t>合同约定。</w:t>
      </w:r>
    </w:p>
    <w:p>
      <w:pPr>
        <w:pStyle w:val="25"/>
        <w:widowControl/>
        <w:spacing w:line="360" w:lineRule="auto"/>
        <w:ind w:firstLine="420"/>
        <w:jc w:val="left"/>
        <w:rPr>
          <w:rFonts w:cs="黑体" w:asciiTheme="minorEastAsia" w:hAnsiTheme="minorEastAsia" w:eastAsiaTheme="minorEastAsia"/>
          <w:bCs/>
          <w:color w:val="auto"/>
        </w:rPr>
      </w:pPr>
      <w:r>
        <w:rPr>
          <w:rFonts w:hint="eastAsia" w:cs="黑体" w:asciiTheme="minorEastAsia" w:hAnsiTheme="minorEastAsia" w:eastAsiaTheme="minorEastAsia"/>
          <w:bCs/>
          <w:color w:val="auto"/>
        </w:rPr>
        <w:t>（八）进口产品：不允许。</w:t>
      </w:r>
    </w:p>
    <w:p>
      <w:pPr>
        <w:pStyle w:val="25"/>
        <w:widowControl/>
        <w:spacing w:line="360" w:lineRule="auto"/>
        <w:ind w:firstLine="420"/>
        <w:jc w:val="left"/>
        <w:rPr>
          <w:rFonts w:cs="黑体" w:asciiTheme="minorEastAsia" w:hAnsiTheme="minorEastAsia" w:eastAsiaTheme="minorEastAsia"/>
          <w:bCs/>
          <w:color w:val="auto"/>
        </w:rPr>
      </w:pPr>
      <w:r>
        <w:rPr>
          <w:rFonts w:hint="eastAsia" w:cs="黑体" w:asciiTheme="minorEastAsia" w:hAnsiTheme="minorEastAsia" w:eastAsiaTheme="minorEastAsia"/>
          <w:bCs/>
          <w:color w:val="auto"/>
        </w:rPr>
        <w:t>（九）分包：不允许。</w:t>
      </w:r>
    </w:p>
    <w:p>
      <w:pPr>
        <w:pStyle w:val="25"/>
        <w:widowControl/>
        <w:spacing w:line="360" w:lineRule="auto"/>
        <w:ind w:firstLine="420"/>
        <w:jc w:val="left"/>
        <w:rPr>
          <w:rFonts w:cs="黑体" w:asciiTheme="minorEastAsia" w:hAnsiTheme="minorEastAsia" w:eastAsiaTheme="minorEastAsia"/>
          <w:b/>
          <w:bCs/>
          <w:color w:val="auto"/>
        </w:rPr>
      </w:pPr>
      <w:r>
        <w:rPr>
          <w:rFonts w:hint="eastAsia" w:cs="黑体" w:asciiTheme="minorEastAsia" w:hAnsiTheme="minorEastAsia" w:eastAsiaTheme="minorEastAsia"/>
          <w:b/>
          <w:bCs/>
          <w:color w:val="auto"/>
        </w:rPr>
        <w:t>二、需要落实的政府采购政策</w:t>
      </w:r>
    </w:p>
    <w:p>
      <w:pPr>
        <w:pStyle w:val="25"/>
        <w:widowControl/>
        <w:spacing w:line="360" w:lineRule="auto"/>
        <w:ind w:firstLine="420"/>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本项目落实中小微型企业、</w:t>
      </w:r>
      <w:r>
        <w:rPr>
          <w:rFonts w:hint="eastAsia" w:ascii="宋体" w:hAnsi="宋体" w:cs="仿宋_GB2312"/>
          <w:color w:val="auto"/>
        </w:rPr>
        <w:t>监狱企业、</w:t>
      </w:r>
      <w:r>
        <w:rPr>
          <w:rFonts w:hint="eastAsia" w:cs="仿宋_GB2312" w:asciiTheme="minorEastAsia" w:hAnsiTheme="minorEastAsia" w:eastAsiaTheme="minorEastAsia"/>
          <w:color w:val="auto"/>
        </w:rPr>
        <w:t>残疾人福利性单位扶持等相关政府采购政策。</w:t>
      </w:r>
    </w:p>
    <w:p>
      <w:pPr>
        <w:pStyle w:val="25"/>
        <w:widowControl/>
        <w:spacing w:line="360" w:lineRule="auto"/>
        <w:ind w:firstLine="420"/>
        <w:jc w:val="left"/>
        <w:rPr>
          <w:rFonts w:cs="黑体" w:asciiTheme="minorEastAsia" w:hAnsiTheme="minorEastAsia" w:eastAsiaTheme="minorEastAsia"/>
          <w:b/>
          <w:bCs/>
          <w:color w:val="auto"/>
        </w:rPr>
      </w:pPr>
      <w:r>
        <w:rPr>
          <w:rFonts w:hint="eastAsia" w:cs="黑体" w:asciiTheme="minorEastAsia" w:hAnsiTheme="minorEastAsia" w:eastAsiaTheme="minorEastAsia"/>
          <w:b/>
          <w:bCs/>
          <w:color w:val="auto"/>
        </w:rPr>
        <w:t>三、投标人资格要求</w:t>
      </w:r>
    </w:p>
    <w:p>
      <w:pPr>
        <w:pStyle w:val="25"/>
        <w:widowControl/>
        <w:spacing w:line="360" w:lineRule="auto"/>
        <w:ind w:firstLine="420"/>
        <w:jc w:val="left"/>
        <w:rPr>
          <w:rFonts w:cs="仿宋_GB2312" w:asciiTheme="minorEastAsia" w:hAnsiTheme="minorEastAsia" w:eastAsiaTheme="minorEastAsia"/>
          <w:color w:val="auto"/>
        </w:rPr>
      </w:pPr>
      <w:r>
        <w:rPr>
          <w:rFonts w:cs="仿宋_GB2312" w:asciiTheme="minorEastAsia" w:hAnsiTheme="minorEastAsia" w:eastAsiaTheme="minorEastAsia"/>
          <w:color w:val="auto"/>
        </w:rPr>
        <w:t>（一）</w:t>
      </w:r>
      <w:r>
        <w:rPr>
          <w:rFonts w:hint="eastAsia" w:cs="仿宋_GB2312" w:asciiTheme="minorEastAsia" w:hAnsiTheme="minorEastAsia" w:eastAsiaTheme="minorEastAsia"/>
          <w:color w:val="auto"/>
        </w:rPr>
        <w:t>具备《中华人民共和国政府采购法》第二十二条规定。</w:t>
      </w:r>
    </w:p>
    <w:p>
      <w:pPr>
        <w:pStyle w:val="25"/>
        <w:widowControl/>
        <w:spacing w:line="360" w:lineRule="auto"/>
        <w:ind w:firstLine="420"/>
        <w:jc w:val="left"/>
        <w:rPr>
          <w:rFonts w:cs="仿宋_GB2312" w:asciiTheme="minorEastAsia" w:hAnsiTheme="minorEastAsia" w:eastAsiaTheme="minorEastAsia"/>
          <w:color w:val="auto"/>
        </w:rPr>
      </w:pPr>
      <w:r>
        <w:rPr>
          <w:rFonts w:cs="仿宋_GB2312" w:asciiTheme="minorEastAsia" w:hAnsiTheme="minorEastAsia" w:eastAsiaTheme="minorEastAsia"/>
          <w:color w:val="auto"/>
        </w:rPr>
        <w:t>（二）未被列入“信用中国”网站(www.creditchina.gov.cn)失信被执行人、重大税收违法案件当事人名单、政府采购严重违法失信名单的投标人；</w:t>
      </w:r>
      <w:r>
        <w:rPr>
          <w:rFonts w:hint="eastAsia" w:cs="仿宋_GB2312" w:asciiTheme="minorEastAsia" w:hAnsiTheme="minorEastAsia" w:eastAsiaTheme="minorEastAsia"/>
          <w:color w:val="auto"/>
        </w:rPr>
        <w:t>“</w:t>
      </w:r>
      <w:r>
        <w:rPr>
          <w:rFonts w:cs="仿宋_GB2312" w:asciiTheme="minorEastAsia" w:hAnsiTheme="minorEastAsia" w:eastAsiaTheme="minorEastAsia"/>
          <w:color w:val="auto"/>
        </w:rPr>
        <w:t>中国政府采购网</w:t>
      </w:r>
      <w:r>
        <w:rPr>
          <w:rFonts w:hint="eastAsia" w:cs="仿宋_GB2312" w:asciiTheme="minorEastAsia" w:hAnsiTheme="minorEastAsia" w:eastAsiaTheme="minorEastAsia"/>
          <w:color w:val="auto"/>
        </w:rPr>
        <w:t>”</w:t>
      </w:r>
      <w:r>
        <w:rPr>
          <w:rFonts w:cs="仿宋_GB2312" w:asciiTheme="minorEastAsia" w:hAnsiTheme="minorEastAsia" w:eastAsiaTheme="minorEastAsia"/>
          <w:color w:val="auto"/>
        </w:rPr>
        <w:t xml:space="preserve"> (www.ccgp.gov.cn)政府采购严重违法失信行为记录名单的投标人</w:t>
      </w:r>
      <w:r>
        <w:rPr>
          <w:rFonts w:hint="eastAsia" w:cs="仿宋_GB2312" w:asciiTheme="minorEastAsia" w:hAnsiTheme="minorEastAsia" w:eastAsiaTheme="minorEastAsia"/>
          <w:color w:val="auto"/>
        </w:rPr>
        <w:t>；“国家企业信用公示系统”网站（</w:t>
      </w:r>
      <w:r>
        <w:rPr>
          <w:rFonts w:cs="仿宋_GB2312" w:asciiTheme="minorEastAsia" w:hAnsiTheme="minorEastAsia" w:eastAsiaTheme="minorEastAsia"/>
          <w:color w:val="auto"/>
        </w:rPr>
        <w:t>www.gsxt.gov.cn</w:t>
      </w:r>
      <w:r>
        <w:rPr>
          <w:rFonts w:hint="eastAsia" w:cs="仿宋_GB2312" w:asciiTheme="minorEastAsia" w:hAnsiTheme="minorEastAsia" w:eastAsiaTheme="minorEastAsia"/>
          <w:color w:val="auto"/>
        </w:rPr>
        <w:t>）严重违法失信企业名单（黑名单）的投标人</w:t>
      </w:r>
      <w:r>
        <w:rPr>
          <w:rFonts w:cs="仿宋_GB2312" w:asciiTheme="minorEastAsia" w:hAnsiTheme="minorEastAsia" w:eastAsiaTheme="minorEastAsia"/>
          <w:color w:val="auto"/>
        </w:rPr>
        <w:t>。</w:t>
      </w:r>
    </w:p>
    <w:p>
      <w:pPr>
        <w:pStyle w:val="25"/>
        <w:widowControl/>
        <w:spacing w:line="360" w:lineRule="auto"/>
        <w:ind w:firstLine="420"/>
        <w:jc w:val="left"/>
        <w:rPr>
          <w:rFonts w:cs="仿宋_GB2312" w:asciiTheme="minorEastAsia" w:hAnsiTheme="minorEastAsia" w:eastAsiaTheme="minorEastAsia"/>
          <w:color w:val="auto"/>
        </w:rPr>
      </w:pPr>
      <w:r>
        <w:rPr>
          <w:rFonts w:cs="仿宋_GB2312" w:asciiTheme="minorEastAsia" w:hAnsiTheme="minorEastAsia" w:eastAsiaTheme="minorEastAsia"/>
          <w:color w:val="auto"/>
        </w:rPr>
        <w:t>（三）</w:t>
      </w:r>
      <w:r>
        <w:rPr>
          <w:rFonts w:hint="eastAsia" w:cs="仿宋_GB2312" w:asciiTheme="minorEastAsia" w:hAnsiTheme="minorEastAsia" w:eastAsiaTheme="minorEastAsia"/>
          <w:color w:val="auto"/>
        </w:rPr>
        <w:t>本次招标不接受联合体投标。</w:t>
      </w:r>
    </w:p>
    <w:p>
      <w:pPr>
        <w:pStyle w:val="25"/>
        <w:widowControl/>
        <w:spacing w:line="360" w:lineRule="auto"/>
        <w:ind w:firstLine="420"/>
        <w:jc w:val="left"/>
        <w:rPr>
          <w:rFonts w:cs="黑体" w:asciiTheme="minorEastAsia" w:hAnsiTheme="minorEastAsia" w:eastAsiaTheme="minorEastAsia"/>
          <w:b/>
          <w:bCs/>
          <w:color w:val="auto"/>
        </w:rPr>
      </w:pPr>
      <w:r>
        <w:rPr>
          <w:rFonts w:hint="eastAsia" w:cs="黑体" w:asciiTheme="minorEastAsia" w:hAnsiTheme="minorEastAsia" w:eastAsiaTheme="minorEastAsia"/>
          <w:b/>
          <w:bCs/>
          <w:color w:val="auto"/>
        </w:rPr>
        <w:t>四、招标文件的获取</w:t>
      </w:r>
    </w:p>
    <w:p>
      <w:pPr>
        <w:pStyle w:val="25"/>
        <w:widowControl/>
        <w:spacing w:line="360" w:lineRule="auto"/>
        <w:ind w:firstLine="420"/>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（一）网上下载招标文件</w:t>
      </w:r>
    </w:p>
    <w:p>
      <w:pPr>
        <w:pStyle w:val="25"/>
        <w:widowControl/>
        <w:spacing w:line="360" w:lineRule="auto"/>
        <w:ind w:firstLine="420"/>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1、持CA数字认证证书，登录《全国公共资源交易平台（河南省·许昌市）》“系统用户注册”入口http://221.14.6.70:8088/ggzy/eps/public/RegistAllJcxx.html）进行免费注册登记（详见“常见问题解答-诚信库网上注册相关资料下载”）；</w:t>
      </w:r>
    </w:p>
    <w:p>
      <w:pPr>
        <w:pStyle w:val="25"/>
        <w:spacing w:line="360" w:lineRule="auto"/>
        <w:ind w:firstLine="420"/>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2、在投标截止时间前均可登录《全国公共资源交易平台（河南省·许昌市）》“投标人/供应商登录”入口（http://221.14.6.70:8088/ggzy/）自行下载招标文件（详见“常见问题解答-交易系统操作手册”）。</w:t>
      </w:r>
    </w:p>
    <w:p>
      <w:pPr>
        <w:pStyle w:val="25"/>
        <w:widowControl/>
        <w:spacing w:line="360" w:lineRule="auto"/>
        <w:ind w:firstLine="420"/>
        <w:jc w:val="left"/>
        <w:rPr>
          <w:rFonts w:cs="黑体" w:asciiTheme="minorEastAsia" w:hAnsiTheme="minorEastAsia" w:eastAsiaTheme="minorEastAsia"/>
          <w:b/>
          <w:bCs/>
          <w:color w:val="auto"/>
        </w:rPr>
      </w:pPr>
      <w:r>
        <w:rPr>
          <w:rFonts w:hint="eastAsia" w:cs="黑体" w:asciiTheme="minorEastAsia" w:hAnsiTheme="minorEastAsia" w:eastAsiaTheme="minorEastAsia"/>
          <w:b/>
          <w:bCs/>
          <w:color w:val="auto"/>
        </w:rPr>
        <w:t>五、投标截止时间、开标时间及地点</w:t>
      </w:r>
    </w:p>
    <w:p>
      <w:pPr>
        <w:pStyle w:val="25"/>
        <w:widowControl/>
        <w:spacing w:line="360" w:lineRule="auto"/>
        <w:ind w:firstLine="420"/>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（一）投标截止及开标时间：2020年</w:t>
      </w:r>
      <w:r>
        <w:rPr>
          <w:rFonts w:hint="eastAsia" w:cs="仿宋_GB2312" w:asciiTheme="minorEastAsia" w:hAnsiTheme="minorEastAsia" w:eastAsiaTheme="minorEastAsia"/>
          <w:color w:val="auto"/>
          <w:lang w:val="en-US" w:eastAsia="zh-CN"/>
        </w:rPr>
        <w:t>4</w:t>
      </w:r>
      <w:r>
        <w:rPr>
          <w:rFonts w:hint="eastAsia" w:cs="仿宋_GB2312" w:asciiTheme="minorEastAsia" w:hAnsiTheme="minorEastAsia" w:eastAsiaTheme="minorEastAsia"/>
          <w:color w:val="auto"/>
        </w:rPr>
        <w:t xml:space="preserve"> 月</w:t>
      </w:r>
      <w:r>
        <w:rPr>
          <w:rFonts w:hint="eastAsia" w:cs="仿宋_GB2312" w:asciiTheme="minorEastAsia" w:hAnsiTheme="minorEastAsia" w:eastAsiaTheme="minorEastAsia"/>
          <w:color w:val="auto"/>
          <w:lang w:val="en-US" w:eastAsia="zh-CN"/>
        </w:rPr>
        <w:t>28</w:t>
      </w:r>
      <w:r>
        <w:rPr>
          <w:rFonts w:hint="eastAsia" w:cs="仿宋_GB2312" w:asciiTheme="minorEastAsia" w:hAnsiTheme="minorEastAsia" w:eastAsiaTheme="minorEastAsia"/>
          <w:color w:val="auto"/>
        </w:rPr>
        <w:t>日</w:t>
      </w:r>
      <w:r>
        <w:rPr>
          <w:rFonts w:hint="eastAsia" w:cs="仿宋_GB2312" w:asciiTheme="minorEastAsia" w:hAnsiTheme="minorEastAsia" w:eastAsiaTheme="minorEastAsia"/>
          <w:color w:val="auto"/>
          <w:lang w:val="en-US" w:eastAsia="zh-CN"/>
        </w:rPr>
        <w:t>8</w:t>
      </w:r>
      <w:r>
        <w:rPr>
          <w:rFonts w:hint="eastAsia" w:cs="仿宋_GB2312" w:asciiTheme="minorEastAsia" w:hAnsiTheme="minorEastAsia" w:eastAsiaTheme="minorEastAsia"/>
          <w:color w:val="auto"/>
        </w:rPr>
        <w:t>时30分（北京时间），逾期提交或不符合规定的投标文件不予接受。</w:t>
      </w:r>
    </w:p>
    <w:p>
      <w:pPr>
        <w:pStyle w:val="25"/>
        <w:widowControl/>
        <w:spacing w:line="360" w:lineRule="auto"/>
        <w:ind w:firstLine="420"/>
        <w:jc w:val="left"/>
        <w:rPr>
          <w:rFonts w:hint="eastAsia" w:cs="仿宋_GB2312" w:asciiTheme="minorEastAsia" w:hAnsiTheme="minorEastAsia" w:eastAsiaTheme="minorEastAsia"/>
          <w:color w:val="auto"/>
        </w:rPr>
      </w:pPr>
      <w:r>
        <w:rPr>
          <w:rFonts w:hint="eastAsia" w:cs="仿宋_GB2312" w:asciiTheme="minorEastAsia" w:hAnsiTheme="minorEastAsia" w:eastAsiaTheme="minorEastAsia"/>
          <w:color w:val="auto"/>
        </w:rPr>
        <w:t>（二）开标地点：许昌市公共资源交易中心三楼开标</w:t>
      </w:r>
      <w:r>
        <w:rPr>
          <w:rFonts w:hint="eastAsia" w:cs="仿宋_GB2312" w:asciiTheme="minorEastAsia" w:hAnsiTheme="minorEastAsia" w:eastAsiaTheme="minorEastAsia"/>
          <w:color w:val="auto"/>
          <w:lang w:eastAsia="zh-CN"/>
        </w:rPr>
        <w:t>三</w:t>
      </w:r>
      <w:r>
        <w:rPr>
          <w:rFonts w:hint="eastAsia" w:cs="仿宋_GB2312" w:asciiTheme="minorEastAsia" w:hAnsiTheme="minorEastAsia" w:eastAsiaTheme="minorEastAsia"/>
          <w:color w:val="auto"/>
        </w:rPr>
        <w:t>室。（本项目采用远程不见面开标，投标人无须到现场）。</w:t>
      </w:r>
    </w:p>
    <w:p>
      <w:pPr>
        <w:pStyle w:val="25"/>
        <w:widowControl/>
        <w:spacing w:line="360" w:lineRule="auto"/>
        <w:ind w:firstLine="420"/>
        <w:jc w:val="left"/>
        <w:rPr>
          <w:color w:val="auto"/>
        </w:rPr>
      </w:pPr>
      <w:r>
        <w:rPr>
          <w:rFonts w:hint="eastAsia" w:cs="仿宋_GB2312" w:asciiTheme="minorEastAsia" w:hAnsiTheme="minorEastAsia" w:eastAsiaTheme="minorEastAsia"/>
          <w:color w:val="auto"/>
        </w:rPr>
        <w:t>（三）</w:t>
      </w:r>
      <w:r>
        <w:rPr>
          <w:rFonts w:hint="eastAsia" w:ascii="宋体" w:hAnsi="宋体" w:cs="宋体"/>
          <w:color w:val="auto"/>
          <w:sz w:val="21"/>
          <w:szCs w:val="21"/>
          <w:shd w:val="clear" w:color="auto" w:fill="FFFFFF"/>
        </w:rPr>
        <w:t>本项目为全流程电子化交易项目，投标人须提交电子投标文件。</w:t>
      </w:r>
    </w:p>
    <w:p>
      <w:pPr>
        <w:pStyle w:val="25"/>
        <w:widowControl/>
        <w:spacing w:line="360" w:lineRule="auto"/>
        <w:ind w:firstLine="420"/>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1、加密电子投标文件（.file格式）须在投标截止时间（开标时间）前通过《全国公共资源交易平台(河南省▪许昌市)》公共资源交易系统成功上传。</w:t>
      </w:r>
    </w:p>
    <w:p>
      <w:pPr>
        <w:pStyle w:val="25"/>
        <w:widowControl/>
        <w:spacing w:line="360" w:lineRule="auto"/>
        <w:ind w:firstLine="420"/>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2、开标时间前，投标人使用CA数字证书登录全国公共资源交易平台（河南省.许昌市）——进入公共资源交易系统（http://ggzy.xuchang.gov.cn:8088/ggzy/）——点击“项目信息——项目名称”——在系统操作导航栏点击“开标——不见面开标大厅”，按照开标时间准时参加线上开标，进行远程解密、在线询问、电子签章等。</w:t>
      </w:r>
    </w:p>
    <w:p>
      <w:pPr>
        <w:pStyle w:val="25"/>
        <w:widowControl/>
        <w:spacing w:line="360" w:lineRule="auto"/>
        <w:ind w:firstLine="420"/>
        <w:jc w:val="left"/>
        <w:rPr>
          <w:rFonts w:cs="黑体" w:asciiTheme="minorEastAsia" w:hAnsiTheme="minorEastAsia" w:eastAsiaTheme="minorEastAsia"/>
          <w:b/>
          <w:bCs/>
          <w:color w:val="auto"/>
        </w:rPr>
      </w:pPr>
      <w:r>
        <w:rPr>
          <w:rFonts w:hint="eastAsia" w:cs="黑体" w:asciiTheme="minorEastAsia" w:hAnsiTheme="minorEastAsia" w:eastAsiaTheme="minorEastAsia"/>
          <w:b/>
          <w:bCs/>
          <w:color w:val="auto"/>
        </w:rPr>
        <w:t>六、本次招标公告同时在《中国政府采购网》、《河南省政府采购网》、《许昌市政府采购网》、《全国公共资源交易平台（河南省·许昌市）》发布。</w:t>
      </w:r>
    </w:p>
    <w:p>
      <w:pPr>
        <w:pStyle w:val="25"/>
        <w:widowControl/>
        <w:spacing w:line="360" w:lineRule="auto"/>
        <w:ind w:firstLine="420"/>
        <w:jc w:val="left"/>
        <w:rPr>
          <w:rFonts w:cs="黑体" w:asciiTheme="minorEastAsia" w:hAnsiTheme="minorEastAsia" w:eastAsiaTheme="minorEastAsia"/>
          <w:b/>
          <w:bCs/>
          <w:color w:val="auto"/>
        </w:rPr>
      </w:pPr>
      <w:r>
        <w:rPr>
          <w:rFonts w:hint="eastAsia" w:cs="黑体" w:asciiTheme="minorEastAsia" w:hAnsiTheme="minorEastAsia" w:eastAsiaTheme="minorEastAsia"/>
          <w:b/>
          <w:bCs/>
          <w:color w:val="auto"/>
        </w:rPr>
        <w:t>七、公告期限</w:t>
      </w:r>
    </w:p>
    <w:p>
      <w:pPr>
        <w:pStyle w:val="25"/>
        <w:widowControl/>
        <w:spacing w:line="360" w:lineRule="auto"/>
        <w:ind w:firstLine="420"/>
        <w:jc w:val="left"/>
        <w:rPr>
          <w:rFonts w:cs="黑体" w:asciiTheme="minorEastAsia" w:hAnsiTheme="minorEastAsia" w:eastAsiaTheme="minorEastAsia"/>
          <w:b/>
          <w:bCs/>
          <w:color w:val="auto"/>
        </w:rPr>
      </w:pPr>
      <w:r>
        <w:rPr>
          <w:rFonts w:hint="eastAsia" w:ascii="宋体" w:hAnsi="宋体" w:cs="仿宋_GB2312"/>
          <w:color w:val="auto"/>
        </w:rPr>
        <w:t>本招标公告自发布之日起公告期限为5个工作日。</w:t>
      </w:r>
    </w:p>
    <w:p>
      <w:pPr>
        <w:pStyle w:val="25"/>
        <w:widowControl/>
        <w:spacing w:line="360" w:lineRule="auto"/>
        <w:ind w:firstLine="420"/>
        <w:jc w:val="left"/>
        <w:rPr>
          <w:rFonts w:cs="黑体" w:asciiTheme="minorEastAsia" w:hAnsiTheme="minorEastAsia" w:eastAsiaTheme="minorEastAsia"/>
          <w:b/>
          <w:bCs/>
          <w:color w:val="auto"/>
        </w:rPr>
      </w:pPr>
      <w:r>
        <w:rPr>
          <w:rFonts w:hint="eastAsia" w:cs="黑体" w:asciiTheme="minorEastAsia" w:hAnsiTheme="minorEastAsia" w:eastAsiaTheme="minorEastAsia"/>
          <w:b/>
          <w:bCs/>
          <w:color w:val="auto"/>
        </w:rPr>
        <w:t>八、联系方式</w:t>
      </w:r>
    </w:p>
    <w:p>
      <w:pPr>
        <w:pStyle w:val="25"/>
        <w:widowControl/>
        <w:spacing w:line="360" w:lineRule="auto"/>
        <w:ind w:firstLine="420"/>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采购人：许昌经济技术开发区住房建设城市管理与环境保护局</w:t>
      </w:r>
    </w:p>
    <w:p>
      <w:pPr>
        <w:pStyle w:val="25"/>
        <w:widowControl/>
        <w:spacing w:line="360" w:lineRule="auto"/>
        <w:ind w:firstLine="420"/>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地  址：许昌经济技术开发区管理委员会（瑞祥路中段）</w:t>
      </w:r>
    </w:p>
    <w:p>
      <w:pPr>
        <w:pStyle w:val="25"/>
        <w:widowControl/>
        <w:spacing w:line="360" w:lineRule="auto"/>
        <w:ind w:firstLine="420"/>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联系人：赵先生</w:t>
      </w:r>
    </w:p>
    <w:p>
      <w:pPr>
        <w:pStyle w:val="25"/>
        <w:widowControl/>
        <w:spacing w:line="360" w:lineRule="auto"/>
        <w:ind w:firstLine="420"/>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联系电话：15617231729           0374-8581586</w:t>
      </w:r>
    </w:p>
    <w:p>
      <w:pPr>
        <w:pStyle w:val="25"/>
        <w:widowControl/>
        <w:spacing w:line="360" w:lineRule="auto"/>
        <w:ind w:firstLine="420"/>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代理机构：河南远大建设工程管理有限公司</w:t>
      </w:r>
    </w:p>
    <w:p>
      <w:pPr>
        <w:pStyle w:val="25"/>
        <w:widowControl/>
        <w:spacing w:line="360" w:lineRule="auto"/>
        <w:ind w:firstLine="420"/>
        <w:jc w:val="left"/>
        <w:rPr>
          <w:rFonts w:ascii="宋体" w:hAnsi="宋体" w:cs="仿宋_GB2312"/>
          <w:color w:val="auto"/>
        </w:rPr>
      </w:pPr>
      <w:r>
        <w:rPr>
          <w:rFonts w:hint="eastAsia" w:ascii="宋体" w:hAnsi="宋体" w:cs="仿宋_GB2312"/>
          <w:color w:val="auto"/>
        </w:rPr>
        <w:t>地    址：许昌市智慧大道汇通商务苑D幢5层</w:t>
      </w:r>
    </w:p>
    <w:p>
      <w:pPr>
        <w:pStyle w:val="25"/>
        <w:widowControl/>
        <w:spacing w:line="360" w:lineRule="auto"/>
        <w:ind w:firstLine="420"/>
        <w:jc w:val="left"/>
        <w:rPr>
          <w:rFonts w:ascii="宋体" w:hAnsi="宋体" w:cs="仿宋_GB2312"/>
          <w:color w:val="auto"/>
        </w:rPr>
      </w:pPr>
      <w:r>
        <w:rPr>
          <w:rFonts w:hint="eastAsia" w:ascii="宋体" w:hAnsi="宋体" w:cs="仿宋_GB2312"/>
          <w:color w:val="auto"/>
        </w:rPr>
        <w:t>联 系 人：李先生</w:t>
      </w:r>
    </w:p>
    <w:p>
      <w:pPr>
        <w:pStyle w:val="25"/>
        <w:widowControl/>
        <w:spacing w:line="360" w:lineRule="auto"/>
        <w:ind w:firstLine="420"/>
        <w:jc w:val="left"/>
        <w:rPr>
          <w:rFonts w:ascii="宋体" w:hAnsi="宋体" w:cs="仿宋_GB2312"/>
          <w:color w:val="auto"/>
        </w:rPr>
      </w:pPr>
      <w:r>
        <w:rPr>
          <w:rFonts w:hint="eastAsia" w:ascii="宋体" w:hAnsi="宋体" w:cs="仿宋_GB2312"/>
          <w:color w:val="auto"/>
        </w:rPr>
        <w:t>联系电话：13137430303</w:t>
      </w:r>
    </w:p>
    <w:p>
      <w:pPr>
        <w:pStyle w:val="25"/>
        <w:widowControl/>
        <w:spacing w:line="360" w:lineRule="auto"/>
        <w:ind w:firstLine="420"/>
        <w:jc w:val="left"/>
        <w:rPr>
          <w:rFonts w:cs="仿宋_GB2312" w:asciiTheme="minorEastAsia" w:hAnsiTheme="minorEastAsia" w:eastAsiaTheme="minorEastAsia"/>
          <w:color w:val="auto"/>
        </w:rPr>
      </w:pPr>
    </w:p>
    <w:p>
      <w:pPr>
        <w:autoSpaceDE w:val="0"/>
        <w:autoSpaceDN w:val="0"/>
        <w:adjustRightInd w:val="0"/>
        <w:spacing w:line="360" w:lineRule="auto"/>
        <w:ind w:firstLine="560"/>
        <w:jc w:val="right"/>
        <w:rPr>
          <w:rFonts w:cs="仿宋_GB2312" w:asciiTheme="minorEastAsia" w:hAnsiTheme="minorEastAsia"/>
          <w:color w:val="auto"/>
          <w:sz w:val="24"/>
          <w:szCs w:val="24"/>
        </w:rPr>
      </w:pPr>
      <w:r>
        <w:rPr>
          <w:rFonts w:hint="eastAsia" w:cs="仿宋_GB2312" w:asciiTheme="minorEastAsia" w:hAnsiTheme="minorEastAsia"/>
          <w:color w:val="auto"/>
          <w:sz w:val="24"/>
        </w:rPr>
        <w:t>许昌经济技术开发区住房建设城市管理与环境保护局</w:t>
      </w:r>
    </w:p>
    <w:p>
      <w:pPr>
        <w:wordWrap w:val="0"/>
        <w:autoSpaceDE w:val="0"/>
        <w:autoSpaceDN w:val="0"/>
        <w:adjustRightInd w:val="0"/>
        <w:spacing w:line="360" w:lineRule="auto"/>
        <w:ind w:firstLine="560"/>
        <w:jc w:val="right"/>
        <w:rPr>
          <w:rFonts w:hAnsi="宋体"/>
          <w:b/>
          <w:color w:val="auto"/>
          <w:sz w:val="28"/>
          <w:szCs w:val="28"/>
        </w:rPr>
      </w:pPr>
      <w:r>
        <w:rPr>
          <w:rFonts w:hint="eastAsia" w:cs="仿宋_GB2312" w:asciiTheme="minorEastAsia" w:hAnsiTheme="minorEastAsia"/>
          <w:color w:val="auto"/>
          <w:sz w:val="24"/>
          <w:szCs w:val="24"/>
        </w:rPr>
        <w:t>2020年</w:t>
      </w:r>
      <w:r>
        <w:rPr>
          <w:rFonts w:hint="eastAsia" w:cs="仿宋_GB2312" w:asciiTheme="minorEastAsia" w:hAnsiTheme="minorEastAsia"/>
          <w:color w:val="auto"/>
          <w:sz w:val="24"/>
          <w:szCs w:val="24"/>
          <w:lang w:val="en-US" w:eastAsia="zh-CN"/>
        </w:rPr>
        <w:t>4</w:t>
      </w:r>
      <w:r>
        <w:rPr>
          <w:rFonts w:hint="eastAsia" w:cs="仿宋_GB2312" w:asciiTheme="minorEastAsia" w:hAnsiTheme="minorEastAsia"/>
          <w:color w:val="auto"/>
          <w:sz w:val="24"/>
          <w:szCs w:val="24"/>
        </w:rPr>
        <w:t>月</w:t>
      </w:r>
      <w:r>
        <w:rPr>
          <w:rFonts w:hint="eastAsia" w:cs="仿宋_GB2312" w:asciiTheme="minorEastAsia" w:hAnsiTheme="minorEastAsia"/>
          <w:color w:val="auto"/>
          <w:sz w:val="24"/>
          <w:szCs w:val="24"/>
          <w:lang w:val="en-US" w:eastAsia="zh-CN"/>
        </w:rPr>
        <w:t>1</w:t>
      </w:r>
      <w:r>
        <w:rPr>
          <w:rFonts w:hint="eastAsia" w:cs="仿宋_GB2312" w:asciiTheme="minorEastAsia" w:hAnsiTheme="minorEastAsia"/>
          <w:color w:val="auto"/>
          <w:sz w:val="24"/>
          <w:szCs w:val="24"/>
        </w:rPr>
        <w:t xml:space="preserve">日  </w:t>
      </w:r>
    </w:p>
    <w:p>
      <w:pPr>
        <w:spacing w:line="360" w:lineRule="auto"/>
        <w:rPr>
          <w:rFonts w:hAnsi="宋体"/>
          <w:b/>
          <w:color w:val="auto"/>
          <w:sz w:val="32"/>
          <w:szCs w:val="32"/>
        </w:rPr>
      </w:pPr>
    </w:p>
    <w:p>
      <w:pPr>
        <w:pStyle w:val="2"/>
        <w:ind w:firstLine="340"/>
        <w:rPr>
          <w:color w:val="auto"/>
        </w:rPr>
      </w:pPr>
    </w:p>
    <w:p>
      <w:pPr>
        <w:pStyle w:val="2"/>
        <w:ind w:firstLine="340"/>
        <w:rPr>
          <w:color w:val="auto"/>
        </w:rPr>
      </w:pPr>
    </w:p>
    <w:p>
      <w:pPr>
        <w:spacing w:line="360" w:lineRule="auto"/>
        <w:rPr>
          <w:rFonts w:hAnsi="宋体"/>
          <w:b/>
          <w:color w:val="auto"/>
          <w:sz w:val="28"/>
          <w:szCs w:val="28"/>
        </w:rPr>
      </w:pPr>
      <w:r>
        <w:rPr>
          <w:rFonts w:hint="eastAsia" w:hAnsi="宋体"/>
          <w:b/>
          <w:color w:val="auto"/>
          <w:sz w:val="28"/>
          <w:szCs w:val="28"/>
        </w:rPr>
        <w:t>温馨提示：</w:t>
      </w:r>
    </w:p>
    <w:p>
      <w:pPr>
        <w:spacing w:line="360" w:lineRule="auto"/>
        <w:ind w:firstLine="562" w:firstLineChars="200"/>
        <w:rPr>
          <w:rFonts w:hAnsi="宋体"/>
          <w:b/>
          <w:color w:val="auto"/>
          <w:sz w:val="28"/>
          <w:szCs w:val="28"/>
        </w:rPr>
      </w:pPr>
      <w:r>
        <w:rPr>
          <w:rFonts w:hint="eastAsia" w:hAnsi="宋体"/>
          <w:b/>
          <w:color w:val="auto"/>
          <w:sz w:val="28"/>
          <w:szCs w:val="28"/>
        </w:rPr>
        <w:t>本项目为全流程电子化交易项目，请认真阅读招标文件，并注意以下事项。</w:t>
      </w:r>
    </w:p>
    <w:p>
      <w:pPr>
        <w:tabs>
          <w:tab w:val="left" w:pos="7095"/>
        </w:tabs>
        <w:spacing w:line="360" w:lineRule="auto"/>
        <w:ind w:firstLine="422" w:firstLineChars="200"/>
        <w:contextualSpacing/>
        <w:rPr>
          <w:rFonts w:hAnsi="宋体"/>
          <w:b/>
          <w:color w:val="auto"/>
          <w:szCs w:val="21"/>
        </w:rPr>
      </w:pPr>
      <w:r>
        <w:rPr>
          <w:rFonts w:hint="eastAsia" w:ascii="宋体" w:hAnsi="宋体"/>
          <w:b/>
          <w:color w:val="auto"/>
          <w:szCs w:val="21"/>
        </w:rPr>
        <w:t>1.</w:t>
      </w:r>
      <w:r>
        <w:rPr>
          <w:rFonts w:hint="eastAsia" w:hAnsi="宋体"/>
          <w:b/>
          <w:color w:val="auto"/>
          <w:szCs w:val="21"/>
        </w:rPr>
        <w:t>投标人应按招标文件规定编制、提交、解密电子投标文件。</w:t>
      </w:r>
    </w:p>
    <w:p>
      <w:pPr>
        <w:tabs>
          <w:tab w:val="left" w:pos="7095"/>
        </w:tabs>
        <w:spacing w:line="360" w:lineRule="auto"/>
        <w:ind w:firstLine="422" w:firstLineChars="200"/>
        <w:contextualSpacing/>
        <w:rPr>
          <w:rFonts w:hAnsi="宋体"/>
          <w:b/>
          <w:color w:val="auto"/>
          <w:szCs w:val="21"/>
        </w:rPr>
      </w:pPr>
      <w:r>
        <w:rPr>
          <w:rFonts w:hint="eastAsia" w:ascii="宋体" w:hAnsi="宋体"/>
          <w:b/>
          <w:color w:val="auto"/>
          <w:szCs w:val="21"/>
        </w:rPr>
        <w:t>2</w:t>
      </w:r>
      <w:r>
        <w:rPr>
          <w:rFonts w:ascii="宋体" w:hAnsi="宋体"/>
          <w:b/>
          <w:color w:val="auto"/>
          <w:szCs w:val="21"/>
        </w:rPr>
        <w:t>.</w:t>
      </w:r>
      <w:r>
        <w:rPr>
          <w:rFonts w:hint="eastAsia" w:hAnsi="宋体"/>
          <w:b/>
          <w:color w:val="auto"/>
          <w:szCs w:val="21"/>
        </w:rPr>
        <w:t>电子文件下载、制作、提交期间和远程不见面开标（电子投标文件的解密）环节，投标人须使用同一个</w:t>
      </w:r>
      <w:r>
        <w:rPr>
          <w:rFonts w:hAnsi="宋体"/>
          <w:b/>
          <w:color w:val="auto"/>
          <w:szCs w:val="21"/>
        </w:rPr>
        <w:t>CA数字证书</w:t>
      </w:r>
      <w:r>
        <w:rPr>
          <w:rFonts w:hint="eastAsia" w:hAnsi="宋体"/>
          <w:b/>
          <w:color w:val="auto"/>
          <w:szCs w:val="21"/>
        </w:rPr>
        <w:t>（证书须在有效期内并可正常使用）</w:t>
      </w:r>
      <w:r>
        <w:rPr>
          <w:rFonts w:hAnsi="宋体"/>
          <w:b/>
          <w:color w:val="auto"/>
          <w:szCs w:val="21"/>
        </w:rPr>
        <w:t>。</w:t>
      </w:r>
    </w:p>
    <w:p>
      <w:pPr>
        <w:tabs>
          <w:tab w:val="left" w:pos="7095"/>
        </w:tabs>
        <w:spacing w:line="360" w:lineRule="auto"/>
        <w:ind w:firstLine="422" w:firstLineChars="200"/>
        <w:contextualSpacing/>
        <w:rPr>
          <w:rFonts w:hAnsi="宋体"/>
          <w:b/>
          <w:color w:val="auto"/>
          <w:szCs w:val="21"/>
        </w:rPr>
      </w:pPr>
      <w:r>
        <w:rPr>
          <w:rFonts w:ascii="宋体" w:hAnsi="宋体"/>
          <w:b/>
          <w:color w:val="auto"/>
          <w:szCs w:val="21"/>
        </w:rPr>
        <w:t>3</w:t>
      </w:r>
      <w:r>
        <w:rPr>
          <w:rFonts w:hint="eastAsia" w:ascii="宋体" w:hAnsi="宋体"/>
          <w:b/>
          <w:color w:val="auto"/>
          <w:szCs w:val="21"/>
        </w:rPr>
        <w:t>.</w:t>
      </w:r>
      <w:r>
        <w:rPr>
          <w:rFonts w:hint="eastAsia" w:hAnsi="宋体"/>
          <w:b/>
          <w:color w:val="auto"/>
          <w:szCs w:val="21"/>
        </w:rPr>
        <w:t>电子投标文件的制作</w:t>
      </w:r>
    </w:p>
    <w:p>
      <w:pPr>
        <w:tabs>
          <w:tab w:val="left" w:pos="7095"/>
        </w:tabs>
        <w:spacing w:line="360" w:lineRule="auto"/>
        <w:ind w:firstLine="420" w:firstLineChars="200"/>
        <w:contextualSpacing/>
        <w:rPr>
          <w:rFonts w:hAnsi="宋体"/>
          <w:color w:val="auto"/>
          <w:szCs w:val="21"/>
        </w:rPr>
      </w:pPr>
      <w:r>
        <w:rPr>
          <w:rFonts w:ascii="宋体" w:hAnsi="宋体"/>
          <w:color w:val="auto"/>
          <w:szCs w:val="21"/>
        </w:rPr>
        <w:t>3</w:t>
      </w:r>
      <w:r>
        <w:rPr>
          <w:rFonts w:hint="eastAsia" w:ascii="宋体" w:hAnsi="宋体"/>
          <w:color w:val="auto"/>
          <w:szCs w:val="21"/>
        </w:rPr>
        <w:t>.1</w:t>
      </w:r>
      <w:r>
        <w:rPr>
          <w:rFonts w:hint="eastAsia" w:hAnsi="宋体"/>
          <w:color w:val="auto"/>
          <w:szCs w:val="21"/>
        </w:rPr>
        <w:t xml:space="preserve"> 投标人登录《全国公共资源交易平台</w:t>
      </w:r>
      <w:r>
        <w:rPr>
          <w:rFonts w:hint="eastAsia" w:ascii="宋体" w:hAnsi="宋体"/>
          <w:color w:val="auto"/>
          <w:szCs w:val="21"/>
        </w:rPr>
        <w:t>(</w:t>
      </w:r>
      <w:r>
        <w:rPr>
          <w:rFonts w:hint="eastAsia" w:hAnsi="宋体"/>
          <w:color w:val="auto"/>
          <w:szCs w:val="21"/>
        </w:rPr>
        <w:t>河南省</w:t>
      </w:r>
      <w:r>
        <w:rPr>
          <w:rFonts w:hint="eastAsia" w:ascii="MS Mincho" w:hAnsi="MS Mincho" w:eastAsia="MS Mincho" w:cs="MS Mincho"/>
          <w:color w:val="auto"/>
          <w:szCs w:val="21"/>
        </w:rPr>
        <w:t>▪</w:t>
      </w:r>
      <w:r>
        <w:rPr>
          <w:rFonts w:hint="eastAsia" w:ascii="宋体" w:hAnsi="宋体" w:cs="宋体"/>
          <w:color w:val="auto"/>
          <w:szCs w:val="21"/>
        </w:rPr>
        <w:t>许昌市</w:t>
      </w:r>
      <w:r>
        <w:rPr>
          <w:rFonts w:hint="eastAsia" w:ascii="宋体" w:hAnsi="宋体"/>
          <w:color w:val="auto"/>
          <w:szCs w:val="21"/>
        </w:rPr>
        <w:t>)</w:t>
      </w:r>
      <w:r>
        <w:rPr>
          <w:rFonts w:hint="eastAsia" w:hAnsi="宋体"/>
          <w:color w:val="auto"/>
          <w:szCs w:val="21"/>
        </w:rPr>
        <w:t>》公共资源交易系统（</w:t>
      </w:r>
      <w:r>
        <w:rPr>
          <w:color w:val="auto"/>
        </w:rPr>
        <w:fldChar w:fldCharType="begin"/>
      </w:r>
      <w:r>
        <w:rPr>
          <w:color w:val="auto"/>
        </w:rPr>
        <w:instrText xml:space="preserve"> HYPERLINK "http://221.14.6.70:8088/ggzy/" </w:instrText>
      </w:r>
      <w:r>
        <w:rPr>
          <w:color w:val="auto"/>
        </w:rPr>
        <w:fldChar w:fldCharType="separate"/>
      </w:r>
      <w:r>
        <w:rPr>
          <w:rStyle w:val="33"/>
          <w:rFonts w:hAnsi="宋体"/>
          <w:color w:val="auto"/>
          <w:szCs w:val="21"/>
        </w:rPr>
        <w:t>http://221.14.6.70:8088/ggzy/</w:t>
      </w:r>
      <w:r>
        <w:rPr>
          <w:rStyle w:val="33"/>
          <w:rFonts w:hAnsi="宋体"/>
          <w:color w:val="auto"/>
          <w:szCs w:val="21"/>
        </w:rPr>
        <w:fldChar w:fldCharType="end"/>
      </w:r>
      <w:r>
        <w:rPr>
          <w:rFonts w:hint="eastAsia" w:hAnsi="宋体"/>
          <w:color w:val="auto"/>
          <w:szCs w:val="21"/>
        </w:rPr>
        <w:t>）下载“许昌投标文件制作系统SEARUN 最新版本”，按招标文件要求制作电子投标文件。</w:t>
      </w:r>
    </w:p>
    <w:p>
      <w:pPr>
        <w:tabs>
          <w:tab w:val="left" w:pos="7095"/>
        </w:tabs>
        <w:spacing w:line="360" w:lineRule="auto"/>
        <w:ind w:firstLine="420" w:firstLineChars="200"/>
        <w:contextualSpacing/>
        <w:rPr>
          <w:rFonts w:hAnsi="宋体"/>
          <w:color w:val="auto"/>
          <w:szCs w:val="21"/>
        </w:rPr>
      </w:pPr>
      <w:r>
        <w:rPr>
          <w:rFonts w:hint="eastAsia" w:hAnsi="宋体"/>
          <w:color w:val="auto"/>
          <w:szCs w:val="21"/>
        </w:rPr>
        <w:t>电子投标文件的制作，参考《全国公共资源交易平台</w:t>
      </w:r>
      <w:r>
        <w:rPr>
          <w:rFonts w:hint="eastAsia" w:ascii="宋体" w:hAnsi="宋体"/>
          <w:color w:val="auto"/>
          <w:szCs w:val="21"/>
        </w:rPr>
        <w:t>(</w:t>
      </w:r>
      <w:r>
        <w:rPr>
          <w:rFonts w:hint="eastAsia" w:hAnsi="宋体"/>
          <w:color w:val="auto"/>
          <w:szCs w:val="21"/>
        </w:rPr>
        <w:t>河南省</w:t>
      </w:r>
      <w:r>
        <w:rPr>
          <w:rFonts w:hint="eastAsia" w:ascii="MS Mincho" w:hAnsi="MS Mincho" w:eastAsia="MS Mincho" w:cs="MS Mincho"/>
          <w:color w:val="auto"/>
          <w:szCs w:val="21"/>
        </w:rPr>
        <w:t>▪</w:t>
      </w:r>
      <w:r>
        <w:rPr>
          <w:rFonts w:hint="eastAsia" w:ascii="宋体" w:hAnsi="宋体" w:cs="宋体"/>
          <w:color w:val="auto"/>
          <w:szCs w:val="21"/>
        </w:rPr>
        <w:t>许昌市</w:t>
      </w:r>
      <w:r>
        <w:rPr>
          <w:rFonts w:hint="eastAsia" w:ascii="宋体" w:hAnsi="宋体"/>
          <w:color w:val="auto"/>
          <w:szCs w:val="21"/>
        </w:rPr>
        <w:t>)</w:t>
      </w:r>
      <w:r>
        <w:rPr>
          <w:rFonts w:hint="eastAsia" w:hAnsi="宋体"/>
          <w:color w:val="auto"/>
          <w:szCs w:val="21"/>
        </w:rPr>
        <w:t>》公共资源交易系统——组件下载——交易系统操作手册（投标人、供应商）。</w:t>
      </w:r>
    </w:p>
    <w:p>
      <w:pPr>
        <w:tabs>
          <w:tab w:val="left" w:pos="7095"/>
        </w:tabs>
        <w:spacing w:line="360" w:lineRule="auto"/>
        <w:ind w:firstLine="420" w:firstLineChars="200"/>
        <w:contextualSpacing/>
        <w:rPr>
          <w:rFonts w:hAnsi="宋体"/>
          <w:color w:val="auto"/>
          <w:szCs w:val="21"/>
        </w:rPr>
      </w:pPr>
      <w:r>
        <w:rPr>
          <w:rFonts w:ascii="宋体" w:hAnsi="宋体"/>
          <w:color w:val="auto"/>
          <w:szCs w:val="21"/>
        </w:rPr>
        <w:t>3</w:t>
      </w:r>
      <w:r>
        <w:rPr>
          <w:rFonts w:hint="eastAsia" w:ascii="宋体" w:hAnsi="宋体"/>
          <w:color w:val="auto"/>
          <w:szCs w:val="21"/>
        </w:rPr>
        <w:t>.</w:t>
      </w:r>
      <w:r>
        <w:rPr>
          <w:rFonts w:ascii="宋体" w:hAnsi="宋体"/>
          <w:color w:val="auto"/>
          <w:szCs w:val="21"/>
        </w:rPr>
        <w:t>2</w:t>
      </w:r>
      <w:r>
        <w:rPr>
          <w:rFonts w:hint="eastAsia" w:hAnsi="宋体"/>
          <w:color w:val="auto"/>
          <w:szCs w:val="21"/>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Ansi="宋体"/>
          <w:color w:val="auto"/>
          <w:szCs w:val="21"/>
        </w:rPr>
      </w:pPr>
      <w:r>
        <w:rPr>
          <w:rFonts w:ascii="宋体" w:hAnsi="宋体"/>
          <w:color w:val="auto"/>
          <w:szCs w:val="21"/>
        </w:rPr>
        <w:t>3.3</w:t>
      </w:r>
      <w:r>
        <w:rPr>
          <w:rFonts w:hint="eastAsia" w:hAnsi="宋体"/>
          <w:color w:val="auto"/>
          <w:szCs w:val="21"/>
        </w:rPr>
        <w:t>投标人对同一项目多个标段进行投标的，应分别下载所投标段的招标文件，按标段制作电子投标文件，并</w:t>
      </w:r>
      <w:r>
        <w:rPr>
          <w:rFonts w:hAnsi="宋体"/>
          <w:color w:val="auto"/>
          <w:szCs w:val="21"/>
        </w:rPr>
        <w:t>按招标文件要求在相应位置加盖</w:t>
      </w:r>
      <w:r>
        <w:rPr>
          <w:rFonts w:hint="eastAsia" w:hAnsi="宋体"/>
          <w:color w:val="auto"/>
          <w:szCs w:val="21"/>
        </w:rPr>
        <w:t>投标人</w:t>
      </w:r>
      <w:r>
        <w:rPr>
          <w:rFonts w:hAnsi="宋体"/>
          <w:color w:val="auto"/>
          <w:szCs w:val="21"/>
        </w:rPr>
        <w:t>电子印章</w:t>
      </w:r>
      <w:r>
        <w:rPr>
          <w:rFonts w:hint="eastAsia" w:hAnsi="宋体"/>
          <w:color w:val="auto"/>
          <w:szCs w:val="21"/>
        </w:rPr>
        <w:t>和法人电子印章。</w:t>
      </w:r>
    </w:p>
    <w:p>
      <w:pPr>
        <w:tabs>
          <w:tab w:val="left" w:pos="7095"/>
        </w:tabs>
        <w:spacing w:line="360" w:lineRule="auto"/>
        <w:ind w:left="105" w:leftChars="50" w:firstLine="315" w:firstLineChars="150"/>
        <w:contextualSpacing/>
        <w:rPr>
          <w:rFonts w:hAnsi="宋体"/>
          <w:color w:val="auto"/>
          <w:szCs w:val="21"/>
        </w:rPr>
      </w:pPr>
      <w:r>
        <w:rPr>
          <w:rFonts w:hint="eastAsia" w:hAnsi="宋体"/>
          <w:color w:val="auto"/>
          <w:szCs w:val="21"/>
        </w:rPr>
        <w:t>一个标段对应生成一个文件夹（xxxx项目xx标段）,其中后缀名为“</w:t>
      </w:r>
      <w:r>
        <w:rPr>
          <w:rFonts w:hAnsi="宋体"/>
          <w:color w:val="auto"/>
          <w:szCs w:val="21"/>
        </w:rPr>
        <w:t>.file</w:t>
      </w:r>
      <w:r>
        <w:rPr>
          <w:rFonts w:hint="eastAsia" w:hAnsi="宋体"/>
          <w:color w:val="auto"/>
          <w:szCs w:val="21"/>
        </w:rPr>
        <w:t>”的文件用于电子投标使用。</w:t>
      </w:r>
    </w:p>
    <w:p>
      <w:pPr>
        <w:tabs>
          <w:tab w:val="left" w:pos="7095"/>
        </w:tabs>
        <w:spacing w:line="360" w:lineRule="auto"/>
        <w:ind w:firstLine="422" w:firstLineChars="200"/>
        <w:contextualSpacing/>
        <w:rPr>
          <w:rFonts w:hAnsi="宋体"/>
          <w:b/>
          <w:color w:val="auto"/>
          <w:szCs w:val="21"/>
        </w:rPr>
      </w:pPr>
      <w:r>
        <w:rPr>
          <w:rFonts w:ascii="宋体" w:hAnsi="宋体"/>
          <w:b/>
          <w:color w:val="auto"/>
          <w:szCs w:val="21"/>
        </w:rPr>
        <w:t>4</w:t>
      </w:r>
      <w:r>
        <w:rPr>
          <w:rFonts w:hint="eastAsia" w:ascii="宋体" w:hAnsi="宋体"/>
          <w:b/>
          <w:color w:val="auto"/>
          <w:szCs w:val="21"/>
        </w:rPr>
        <w:t>.加密</w:t>
      </w:r>
      <w:r>
        <w:rPr>
          <w:rFonts w:hint="eastAsia" w:hAnsi="宋体"/>
          <w:b/>
          <w:color w:val="auto"/>
          <w:szCs w:val="21"/>
        </w:rPr>
        <w:t>电子投标文件的提交</w:t>
      </w:r>
    </w:p>
    <w:p>
      <w:pPr>
        <w:tabs>
          <w:tab w:val="left" w:pos="7095"/>
        </w:tabs>
        <w:spacing w:line="360" w:lineRule="auto"/>
        <w:contextualSpacing/>
        <w:rPr>
          <w:rFonts w:hAnsi="宋体"/>
          <w:color w:val="auto"/>
          <w:szCs w:val="21"/>
        </w:rPr>
      </w:pPr>
      <w:r>
        <w:rPr>
          <w:rFonts w:hint="eastAsia" w:hAnsi="宋体"/>
          <w:color w:val="auto"/>
          <w:szCs w:val="21"/>
        </w:rPr>
        <w:t xml:space="preserve">    </w:t>
      </w:r>
      <w:r>
        <w:rPr>
          <w:rFonts w:ascii="宋体" w:hAnsi="宋体"/>
          <w:color w:val="auto"/>
          <w:szCs w:val="21"/>
        </w:rPr>
        <w:t>4</w:t>
      </w:r>
      <w:r>
        <w:rPr>
          <w:rFonts w:hint="eastAsia" w:ascii="宋体" w:hAnsi="宋体"/>
          <w:color w:val="auto"/>
          <w:szCs w:val="21"/>
        </w:rPr>
        <w:t>.1加密</w:t>
      </w:r>
      <w:r>
        <w:rPr>
          <w:rFonts w:hint="eastAsia" w:hAnsi="宋体"/>
          <w:color w:val="auto"/>
          <w:szCs w:val="21"/>
        </w:rPr>
        <w:t>电子投标文件应按规定在投标截止时间（开标时间）之前成功提交至《全国公共资源交易平台(河南省</w:t>
      </w:r>
      <w:r>
        <w:rPr>
          <w:rFonts w:hint="eastAsia" w:ascii="MS Mincho" w:hAnsi="MS Mincho" w:eastAsia="MS Mincho" w:cs="MS Mincho"/>
          <w:color w:val="auto"/>
          <w:szCs w:val="21"/>
        </w:rPr>
        <w:t>▪</w:t>
      </w:r>
      <w:r>
        <w:rPr>
          <w:rFonts w:hint="eastAsia" w:ascii="宋体" w:hAnsi="宋体" w:cs="宋体"/>
          <w:color w:val="auto"/>
          <w:szCs w:val="21"/>
        </w:rPr>
        <w:t>许昌市</w:t>
      </w:r>
      <w:r>
        <w:rPr>
          <w:rFonts w:hint="eastAsia" w:hAnsi="宋体"/>
          <w:color w:val="auto"/>
          <w:szCs w:val="21"/>
        </w:rPr>
        <w:t>)》公共资源交易系统（</w:t>
      </w:r>
      <w:r>
        <w:rPr>
          <w:color w:val="auto"/>
        </w:rPr>
        <w:fldChar w:fldCharType="begin"/>
      </w:r>
      <w:r>
        <w:rPr>
          <w:color w:val="auto"/>
        </w:rPr>
        <w:instrText xml:space="preserve"> HYPERLINK "http://221.14.6.70:8088/ggzy/" </w:instrText>
      </w:r>
      <w:r>
        <w:rPr>
          <w:color w:val="auto"/>
        </w:rPr>
        <w:fldChar w:fldCharType="separate"/>
      </w:r>
      <w:r>
        <w:rPr>
          <w:rStyle w:val="33"/>
          <w:rFonts w:hAnsi="宋体"/>
          <w:color w:val="auto"/>
          <w:szCs w:val="21"/>
        </w:rPr>
        <w:t>http://221.14.6.70:8088/ggzy/</w:t>
      </w:r>
      <w:r>
        <w:rPr>
          <w:rStyle w:val="33"/>
          <w:rFonts w:hAnsi="宋体"/>
          <w:color w:val="auto"/>
          <w:szCs w:val="21"/>
        </w:rPr>
        <w:fldChar w:fldCharType="end"/>
      </w:r>
      <w:r>
        <w:rPr>
          <w:rFonts w:hint="eastAsia" w:hAnsi="宋体"/>
          <w:color w:val="auto"/>
          <w:szCs w:val="21"/>
        </w:rPr>
        <w:t>）。</w:t>
      </w:r>
    </w:p>
    <w:p>
      <w:pPr>
        <w:tabs>
          <w:tab w:val="left" w:pos="7095"/>
        </w:tabs>
        <w:spacing w:line="360" w:lineRule="auto"/>
        <w:ind w:firstLine="420" w:firstLineChars="200"/>
        <w:contextualSpacing/>
        <w:rPr>
          <w:rFonts w:hAnsi="宋体"/>
          <w:color w:val="auto"/>
          <w:szCs w:val="21"/>
        </w:rPr>
      </w:pPr>
      <w:r>
        <w:rPr>
          <w:rFonts w:hint="eastAsia" w:hAnsi="宋体"/>
          <w:color w:val="auto"/>
          <w:szCs w:val="21"/>
        </w:rPr>
        <w:t>投标人应充分考虑并预留技术处理和上传数据所需时间。</w:t>
      </w:r>
    </w:p>
    <w:p>
      <w:pPr>
        <w:tabs>
          <w:tab w:val="left" w:pos="7095"/>
        </w:tabs>
        <w:spacing w:line="360" w:lineRule="auto"/>
        <w:ind w:firstLine="420" w:firstLineChars="200"/>
        <w:contextualSpacing/>
        <w:rPr>
          <w:rFonts w:hAnsi="宋体"/>
          <w:color w:val="auto"/>
          <w:szCs w:val="21"/>
        </w:rPr>
      </w:pPr>
      <w:r>
        <w:rPr>
          <w:rFonts w:ascii="宋体" w:hAnsi="宋体"/>
          <w:color w:val="auto"/>
          <w:szCs w:val="21"/>
        </w:rPr>
        <w:t>4.</w:t>
      </w:r>
      <w:r>
        <w:rPr>
          <w:rFonts w:hint="eastAsia" w:ascii="宋体" w:hAnsi="宋体"/>
          <w:color w:val="auto"/>
          <w:szCs w:val="21"/>
        </w:rPr>
        <w:t xml:space="preserve">2 </w:t>
      </w:r>
      <w:r>
        <w:rPr>
          <w:rFonts w:hint="eastAsia" w:hAnsi="宋体"/>
          <w:color w:val="auto"/>
          <w:szCs w:val="21"/>
        </w:rPr>
        <w:t>投标人对同一项目多个标段进行投标的，加密电子投标文件应按标段分别提交。</w:t>
      </w:r>
    </w:p>
    <w:p>
      <w:pPr>
        <w:tabs>
          <w:tab w:val="left" w:pos="7095"/>
        </w:tabs>
        <w:spacing w:line="360" w:lineRule="auto"/>
        <w:ind w:firstLine="420" w:firstLineChars="200"/>
        <w:contextualSpacing/>
        <w:rPr>
          <w:rFonts w:hAnsi="宋体"/>
          <w:color w:val="auto"/>
          <w:szCs w:val="21"/>
        </w:rPr>
      </w:pPr>
      <w:r>
        <w:rPr>
          <w:rFonts w:ascii="宋体" w:hAnsi="宋体"/>
          <w:color w:val="auto"/>
          <w:szCs w:val="21"/>
        </w:rPr>
        <w:t>4</w:t>
      </w:r>
      <w:r>
        <w:rPr>
          <w:rFonts w:hint="eastAsia" w:ascii="宋体" w:hAnsi="宋体"/>
          <w:color w:val="auto"/>
          <w:szCs w:val="21"/>
        </w:rPr>
        <w:t>.</w:t>
      </w:r>
      <w:r>
        <w:rPr>
          <w:rFonts w:ascii="宋体" w:hAnsi="宋体"/>
          <w:color w:val="auto"/>
          <w:szCs w:val="21"/>
        </w:rPr>
        <w:t>3</w:t>
      </w:r>
      <w:r>
        <w:rPr>
          <w:rFonts w:hint="eastAsia" w:ascii="宋体" w:hAnsi="宋体"/>
          <w:color w:val="auto"/>
          <w:szCs w:val="21"/>
        </w:rPr>
        <w:t xml:space="preserve"> 加密</w:t>
      </w:r>
      <w:r>
        <w:rPr>
          <w:rFonts w:hint="eastAsia" w:hAnsi="宋体"/>
          <w:color w:val="auto"/>
          <w:szCs w:val="21"/>
        </w:rPr>
        <w:t>电子投标文件成功提交后，《全国公共资源交易平台(河南省</w:t>
      </w:r>
      <w:r>
        <w:rPr>
          <w:rFonts w:hint="eastAsia" w:ascii="MS Mincho" w:hAnsi="MS Mincho" w:cs="MS Mincho"/>
          <w:color w:val="auto"/>
          <w:szCs w:val="21"/>
        </w:rPr>
        <w:t>.</w:t>
      </w:r>
      <w:r>
        <w:rPr>
          <w:rFonts w:hint="eastAsia" w:ascii="宋体" w:hAnsi="宋体" w:cs="宋体"/>
          <w:color w:val="auto"/>
          <w:szCs w:val="21"/>
        </w:rPr>
        <w:t>许昌市</w:t>
      </w:r>
      <w:r>
        <w:rPr>
          <w:rFonts w:hint="eastAsia" w:hAnsi="宋体"/>
          <w:color w:val="auto"/>
          <w:szCs w:val="21"/>
        </w:rPr>
        <w:t>)》公共资源交易系统（</w:t>
      </w:r>
      <w:r>
        <w:rPr>
          <w:color w:val="auto"/>
        </w:rPr>
        <w:fldChar w:fldCharType="begin"/>
      </w:r>
      <w:r>
        <w:rPr>
          <w:color w:val="auto"/>
        </w:rPr>
        <w:instrText xml:space="preserve"> HYPERLINK "http://221.14.6.70:8088/ggzy/" </w:instrText>
      </w:r>
      <w:r>
        <w:rPr>
          <w:color w:val="auto"/>
        </w:rPr>
        <w:fldChar w:fldCharType="separate"/>
      </w:r>
      <w:r>
        <w:rPr>
          <w:rStyle w:val="33"/>
          <w:rFonts w:hAnsi="宋体"/>
          <w:color w:val="auto"/>
          <w:szCs w:val="21"/>
        </w:rPr>
        <w:t>http://221.14.6.70:8088/ggzy/</w:t>
      </w:r>
      <w:r>
        <w:rPr>
          <w:rStyle w:val="33"/>
          <w:rFonts w:hAnsi="宋体"/>
          <w:color w:val="auto"/>
          <w:szCs w:val="21"/>
        </w:rPr>
        <w:fldChar w:fldCharType="end"/>
      </w:r>
      <w:r>
        <w:rPr>
          <w:rFonts w:hint="eastAsia" w:hAnsi="宋体"/>
          <w:color w:val="auto"/>
          <w:szCs w:val="21"/>
        </w:rPr>
        <w:t>）</w:t>
      </w:r>
      <w:r>
        <w:rPr>
          <w:rFonts w:hint="eastAsia" w:ascii="宋体" w:hAnsi="宋体" w:cs="仿宋_GB2312"/>
          <w:color w:val="auto"/>
          <w:szCs w:val="21"/>
        </w:rPr>
        <w:t>生成“投标文件提交回执单”。</w:t>
      </w:r>
    </w:p>
    <w:p>
      <w:pPr>
        <w:tabs>
          <w:tab w:val="left" w:pos="7095"/>
        </w:tabs>
        <w:spacing w:line="360" w:lineRule="auto"/>
        <w:ind w:firstLine="422" w:firstLineChars="200"/>
        <w:contextualSpacing/>
        <w:rPr>
          <w:rFonts w:hAnsi="宋体"/>
          <w:b/>
          <w:color w:val="auto"/>
          <w:szCs w:val="21"/>
        </w:rPr>
      </w:pPr>
      <w:r>
        <w:rPr>
          <w:rFonts w:hint="eastAsia" w:ascii="宋体" w:hAnsi="宋体"/>
          <w:b/>
          <w:color w:val="auto"/>
          <w:szCs w:val="21"/>
        </w:rPr>
        <w:t>5.远程不见面开标（</w:t>
      </w:r>
      <w:r>
        <w:rPr>
          <w:rFonts w:hint="eastAsia" w:hAnsi="宋体"/>
          <w:b/>
          <w:color w:val="auto"/>
          <w:szCs w:val="21"/>
        </w:rPr>
        <w:t>电子投标文件的解密</w:t>
      </w:r>
      <w:r>
        <w:rPr>
          <w:rFonts w:hint="eastAsia" w:ascii="宋体" w:hAnsi="宋体"/>
          <w:b/>
          <w:color w:val="auto"/>
          <w:szCs w:val="21"/>
        </w:rPr>
        <w:t>）</w:t>
      </w:r>
    </w:p>
    <w:p>
      <w:pPr>
        <w:tabs>
          <w:tab w:val="left" w:pos="7095"/>
        </w:tabs>
        <w:spacing w:line="360" w:lineRule="auto"/>
        <w:ind w:firstLine="420"/>
        <w:contextualSpacing/>
        <w:rPr>
          <w:rFonts w:hAnsi="宋体"/>
          <w:color w:val="auto"/>
          <w:szCs w:val="21"/>
        </w:rPr>
      </w:pPr>
      <w:r>
        <w:rPr>
          <w:rFonts w:hint="eastAsia" w:ascii="宋体" w:hAnsi="宋体"/>
          <w:color w:val="auto"/>
          <w:szCs w:val="21"/>
        </w:rPr>
        <w:t>5</w:t>
      </w:r>
      <w:r>
        <w:rPr>
          <w:rFonts w:ascii="宋体" w:hAnsi="宋体"/>
          <w:color w:val="auto"/>
          <w:szCs w:val="21"/>
        </w:rPr>
        <w:t>.</w:t>
      </w:r>
      <w:r>
        <w:rPr>
          <w:rFonts w:hint="eastAsia" w:ascii="宋体" w:hAnsi="宋体"/>
          <w:color w:val="auto"/>
          <w:szCs w:val="21"/>
        </w:rPr>
        <w:t xml:space="preserve">1 </w:t>
      </w:r>
      <w:r>
        <w:rPr>
          <w:rFonts w:hint="eastAsia" w:hAnsi="宋体"/>
          <w:color w:val="auto"/>
          <w:szCs w:val="21"/>
        </w:rPr>
        <w:t>投标人应熟悉《许昌市不见面操作手册》，并提前设置不见面开标浏览器（设置流程详见《许昌市不见面操作手册》）。</w:t>
      </w:r>
    </w:p>
    <w:p>
      <w:pPr>
        <w:tabs>
          <w:tab w:val="left" w:pos="7095"/>
        </w:tabs>
        <w:spacing w:line="360" w:lineRule="auto"/>
        <w:ind w:firstLine="420"/>
        <w:contextualSpacing/>
        <w:rPr>
          <w:rFonts w:hAnsi="宋体"/>
          <w:color w:val="auto"/>
          <w:szCs w:val="21"/>
        </w:rPr>
      </w:pPr>
      <w:r>
        <w:rPr>
          <w:rFonts w:hint="eastAsia" w:ascii="宋体" w:hAnsi="宋体"/>
          <w:color w:val="auto"/>
          <w:szCs w:val="21"/>
        </w:rPr>
        <w:t xml:space="preserve">5.2 </w:t>
      </w:r>
      <w:r>
        <w:rPr>
          <w:rFonts w:hint="eastAsia" w:hAnsi="宋体"/>
          <w:color w:val="auto"/>
          <w:szCs w:val="21"/>
        </w:rPr>
        <w:t>《许昌市不见面操作手册》下载路径：全国公共资源交易平台（河南省·许昌市）—“资料下载”栏目。</w:t>
      </w:r>
    </w:p>
    <w:p>
      <w:pPr>
        <w:tabs>
          <w:tab w:val="left" w:pos="7095"/>
        </w:tabs>
        <w:spacing w:line="360" w:lineRule="auto"/>
        <w:ind w:firstLine="420"/>
        <w:contextualSpacing/>
        <w:rPr>
          <w:rFonts w:hAnsi="宋体"/>
          <w:color w:val="auto"/>
          <w:szCs w:val="21"/>
        </w:rPr>
      </w:pPr>
      <w:r>
        <w:rPr>
          <w:rFonts w:hint="eastAsia" w:ascii="宋体" w:hAnsi="宋体"/>
          <w:color w:val="auto"/>
          <w:szCs w:val="21"/>
        </w:rPr>
        <w:t>5.</w:t>
      </w:r>
      <w:r>
        <w:rPr>
          <w:rFonts w:ascii="宋体" w:hAnsi="宋体"/>
          <w:color w:val="auto"/>
          <w:szCs w:val="21"/>
        </w:rPr>
        <w:t>3</w:t>
      </w:r>
      <w:r>
        <w:rPr>
          <w:rFonts w:hint="eastAsia" w:ascii="宋体" w:hAnsi="宋体" w:cs="仿宋_GB2312"/>
          <w:color w:val="auto"/>
          <w:szCs w:val="21"/>
        </w:rPr>
        <w:t>开标时间前投标人应登录本项目不见面开标大厅，按照招标文件确定的开标时间准时参加网上开标。</w:t>
      </w:r>
    </w:p>
    <w:p>
      <w:pPr>
        <w:tabs>
          <w:tab w:val="left" w:pos="7095"/>
        </w:tabs>
        <w:spacing w:line="360" w:lineRule="auto"/>
        <w:ind w:firstLine="420" w:firstLineChars="200"/>
        <w:contextualSpacing/>
        <w:rPr>
          <w:rFonts w:hAnsi="宋体"/>
          <w:color w:val="auto"/>
          <w:szCs w:val="21"/>
        </w:rPr>
      </w:pPr>
      <w:r>
        <w:rPr>
          <w:rFonts w:hint="eastAsia" w:ascii="宋体" w:hAnsi="宋体"/>
          <w:color w:val="auto"/>
          <w:szCs w:val="21"/>
        </w:rPr>
        <w:t>5.4</w:t>
      </w:r>
      <w:r>
        <w:rPr>
          <w:rFonts w:hint="eastAsia" w:hAnsi="宋体"/>
          <w:color w:val="auto"/>
          <w:szCs w:val="21"/>
        </w:rPr>
        <w:t>投标人对开标过程和开标记录如有疑义，可在本项目不见面开标大厅“文字互动”对话框或“新增质疑”处在线提出询问。</w:t>
      </w:r>
    </w:p>
    <w:p>
      <w:pPr>
        <w:tabs>
          <w:tab w:val="left" w:pos="7095"/>
        </w:tabs>
        <w:spacing w:line="360" w:lineRule="auto"/>
        <w:ind w:firstLine="420" w:firstLineChars="200"/>
        <w:contextualSpacing/>
        <w:rPr>
          <w:rFonts w:ascii="宋体" w:hAnsi="宋体"/>
          <w:color w:val="auto"/>
          <w:szCs w:val="21"/>
        </w:rPr>
      </w:pPr>
      <w:r>
        <w:rPr>
          <w:rFonts w:hint="eastAsia" w:ascii="宋体" w:hAnsi="宋体"/>
          <w:color w:val="auto"/>
          <w:szCs w:val="21"/>
        </w:rPr>
        <w:t>5.5根据采购代理机构在“文字互动”对话框的通知，投标人选择功能栏“解密环节”按钮进行电子投标文件解密（投标人解密应自采购代理机构点击“开标”按钮后60分钟内完成）。投标人未解密或</w:t>
      </w:r>
      <w:r>
        <w:rPr>
          <w:rFonts w:hint="eastAsia" w:ascii="宋体" w:hAnsi="宋体" w:cs="宋体"/>
          <w:color w:val="auto"/>
          <w:kern w:val="0"/>
          <w:szCs w:val="21"/>
        </w:rPr>
        <w:t>因投标人原因解密失败的，其投标将被拒绝。</w:t>
      </w:r>
    </w:p>
    <w:p>
      <w:pPr>
        <w:tabs>
          <w:tab w:val="left" w:pos="7095"/>
        </w:tabs>
        <w:spacing w:line="360" w:lineRule="auto"/>
        <w:ind w:firstLine="420" w:firstLineChars="200"/>
        <w:contextualSpacing/>
        <w:rPr>
          <w:rFonts w:hAnsi="宋体"/>
          <w:color w:val="auto"/>
          <w:szCs w:val="21"/>
        </w:rPr>
      </w:pPr>
      <w:r>
        <w:rPr>
          <w:rFonts w:hint="eastAsia" w:ascii="宋体" w:hAnsi="宋体"/>
          <w:color w:val="auto"/>
          <w:szCs w:val="21"/>
        </w:rPr>
        <w:t>5.6项目远程</w:t>
      </w:r>
      <w:r>
        <w:rPr>
          <w:rFonts w:hint="eastAsia" w:hAnsi="宋体"/>
          <w:color w:val="auto"/>
          <w:szCs w:val="21"/>
        </w:rPr>
        <w:t>不见面开标活动结束时，投标人应在《开标记录表》上进行电子签章。投标人未签章的，视同认可开标结果。</w:t>
      </w:r>
    </w:p>
    <w:p>
      <w:pPr>
        <w:tabs>
          <w:tab w:val="left" w:pos="7095"/>
        </w:tabs>
        <w:spacing w:line="360" w:lineRule="auto"/>
        <w:ind w:firstLine="422" w:firstLineChars="200"/>
        <w:contextualSpacing/>
        <w:rPr>
          <w:rFonts w:hAnsi="宋体"/>
          <w:b/>
          <w:color w:val="auto"/>
          <w:szCs w:val="21"/>
        </w:rPr>
      </w:pPr>
      <w:r>
        <w:rPr>
          <w:rFonts w:hint="eastAsia" w:ascii="宋体" w:hAnsi="宋体"/>
          <w:b/>
          <w:color w:val="auto"/>
          <w:szCs w:val="21"/>
        </w:rPr>
        <w:t>6.</w:t>
      </w:r>
      <w:r>
        <w:rPr>
          <w:rFonts w:hint="eastAsia" w:hAnsi="宋体"/>
          <w:b/>
          <w:color w:val="auto"/>
          <w:szCs w:val="21"/>
        </w:rPr>
        <w:t>评标依据</w:t>
      </w:r>
    </w:p>
    <w:p>
      <w:pPr>
        <w:tabs>
          <w:tab w:val="left" w:pos="7095"/>
        </w:tabs>
        <w:spacing w:line="360" w:lineRule="auto"/>
        <w:ind w:firstLine="420" w:firstLineChars="200"/>
        <w:contextualSpacing/>
        <w:rPr>
          <w:rFonts w:hAnsi="宋体"/>
          <w:color w:val="auto"/>
          <w:szCs w:val="21"/>
        </w:rPr>
      </w:pPr>
      <w:r>
        <w:rPr>
          <w:rFonts w:hint="eastAsia" w:ascii="宋体" w:hAnsi="宋体"/>
          <w:color w:val="auto"/>
          <w:szCs w:val="21"/>
        </w:rPr>
        <w:t>6.1</w:t>
      </w:r>
      <w:r>
        <w:rPr>
          <w:rFonts w:hint="eastAsia" w:hAnsi="宋体"/>
          <w:color w:val="auto"/>
          <w:szCs w:val="21"/>
        </w:rPr>
        <w:t>全流程电子化交易（不见面开标）项目，评标委员会以成功上传、解密的电子投标文件为依据评审。</w:t>
      </w:r>
    </w:p>
    <w:p>
      <w:pPr>
        <w:tabs>
          <w:tab w:val="left" w:pos="7095"/>
        </w:tabs>
        <w:spacing w:line="360" w:lineRule="auto"/>
        <w:ind w:firstLine="420" w:firstLineChars="200"/>
        <w:contextualSpacing/>
        <w:rPr>
          <w:rFonts w:ascii="宋体" w:hAnsi="宋体"/>
          <w:color w:val="auto"/>
          <w:szCs w:val="21"/>
        </w:rPr>
      </w:pPr>
      <w:r>
        <w:rPr>
          <w:rFonts w:hint="eastAsia" w:ascii="宋体" w:hAnsi="宋体"/>
          <w:color w:val="auto"/>
          <w:szCs w:val="21"/>
        </w:rPr>
        <w:t>6.2 评标期间，投标人应保持通讯手机畅通。</w:t>
      </w:r>
      <w:r>
        <w:rPr>
          <w:rFonts w:hint="eastAsia" w:ascii="宋体" w:hAnsi="宋体" w:cs="宋体"/>
          <w:color w:val="auto"/>
          <w:kern w:val="0"/>
          <w:szCs w:val="21"/>
        </w:rPr>
        <w:t>评标委员会</w:t>
      </w:r>
      <w:r>
        <w:rPr>
          <w:rFonts w:hint="eastAsia" w:ascii="宋体" w:hAnsi="宋体"/>
          <w:color w:val="auto"/>
          <w:szCs w:val="21"/>
        </w:rPr>
        <w:t>如</w:t>
      </w:r>
      <w:r>
        <w:rPr>
          <w:rFonts w:hint="eastAsia" w:ascii="宋体" w:hAnsi="宋体" w:cs="宋体"/>
          <w:color w:val="auto"/>
          <w:kern w:val="0"/>
          <w:szCs w:val="21"/>
        </w:rPr>
        <w:t>要求投标人作出澄清、说明或者补正等，投标人应在评标委员会要求的评标期间合理的时间内通过电子邮件形式提供。投标人通过电子邮件提供的书面说明或相关证明材料应加盖公章，或者由法定代表人或其授权的代表签字。</w:t>
      </w:r>
    </w:p>
    <w:p>
      <w:pPr>
        <w:tabs>
          <w:tab w:val="left" w:pos="7095"/>
        </w:tabs>
        <w:spacing w:line="360" w:lineRule="auto"/>
        <w:ind w:firstLine="420" w:firstLineChars="200"/>
        <w:contextualSpacing/>
        <w:rPr>
          <w:rFonts w:hAnsi="宋体"/>
          <w:color w:val="auto"/>
          <w:szCs w:val="21"/>
        </w:rPr>
      </w:pPr>
      <w:r>
        <w:rPr>
          <w:rFonts w:hint="eastAsia" w:hAnsi="宋体"/>
          <w:color w:val="auto"/>
          <w:szCs w:val="21"/>
        </w:rPr>
        <w:t>6.3有多轮报价的，各投标人应提前准备</w:t>
      </w:r>
      <w:r>
        <w:rPr>
          <w:rFonts w:hint="eastAsia" w:hAnsi="宋体"/>
          <w:color w:val="auto"/>
          <w:szCs w:val="21"/>
          <w:lang w:eastAsia="zh-CN"/>
        </w:rPr>
        <w:t>好</w:t>
      </w:r>
      <w:r>
        <w:rPr>
          <w:rFonts w:hint="eastAsia" w:hAnsi="宋体"/>
          <w:color w:val="auto"/>
          <w:szCs w:val="21"/>
        </w:rPr>
        <w:t>分项报价，为多轮报价做好准备，在谈判小组发起报价通知后，在规定时间内提交有效报价。</w:t>
      </w:r>
    </w:p>
    <w:p>
      <w:pPr>
        <w:pStyle w:val="2"/>
        <w:ind w:firstLine="340"/>
        <w:rPr>
          <w:color w:val="auto"/>
        </w:rPr>
      </w:pPr>
    </w:p>
    <w:p>
      <w:pPr>
        <w:pageBreakBefore/>
        <w:numPr>
          <w:ilvl w:val="0"/>
          <w:numId w:val="4"/>
        </w:numPr>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 xml:space="preserve"> 项目需求</w:t>
      </w:r>
    </w:p>
    <w:p>
      <w:pPr>
        <w:pStyle w:val="51"/>
        <w:numPr>
          <w:ilvl w:val="0"/>
          <w:numId w:val="0"/>
        </w:numPr>
        <w:spacing w:line="360" w:lineRule="auto"/>
        <w:ind w:leftChars="0"/>
        <w:rPr>
          <w:rFonts w:ascii="宋体" w:hAnsi="宋体" w:cs="黑体"/>
          <w:b/>
          <w:bCs/>
          <w:color w:val="auto"/>
          <w:sz w:val="24"/>
          <w:szCs w:val="24"/>
          <w:shd w:val="clear" w:color="auto" w:fill="FFFFFF"/>
        </w:rPr>
      </w:pPr>
      <w:r>
        <w:rPr>
          <w:rFonts w:hint="eastAsia" w:ascii="宋体" w:hAnsi="宋体" w:cs="黑体"/>
          <w:b/>
          <w:bCs/>
          <w:color w:val="auto"/>
          <w:sz w:val="24"/>
          <w:szCs w:val="24"/>
          <w:shd w:val="clear" w:color="auto" w:fill="FFFFFF"/>
        </w:rPr>
        <w:t>本项目需实现的功能或者目标</w:t>
      </w:r>
    </w:p>
    <w:p>
      <w:pPr>
        <w:spacing w:line="360" w:lineRule="auto"/>
        <w:contextualSpacing/>
        <w:rPr>
          <w:rFonts w:ascii="宋体" w:hAnsi="宋体" w:cs="微软雅黑"/>
          <w:b/>
          <w:color w:val="auto"/>
          <w:sz w:val="24"/>
          <w:szCs w:val="24"/>
        </w:rPr>
      </w:pPr>
      <w:r>
        <w:rPr>
          <w:rFonts w:hint="eastAsia" w:ascii="宋体" w:hAnsi="宋体" w:cs="微软雅黑"/>
          <w:b/>
          <w:color w:val="auto"/>
          <w:sz w:val="24"/>
          <w:szCs w:val="24"/>
        </w:rPr>
        <w:t>一、招标范围：许昌经济技术开发区 12 个小区（龙湖华庭、西尚美、御翠花苑、世纪宏城、许由花园、香港城、西继迅达花园、福兴花园、双龙小区、金盾佳苑、三利小区、瑞兴苑），共计 6000 户社区居民日常生活垃圾分类减量工作， 并对社区内生活垃圾进行“四分类”（可回收垃圾、有害垃圾、厨余垃圾、其它垃圾）和减量运营管理服务，包括生活垃圾分类减量、资源回收日活动及低值可回收物、有害垃圾的分类贮存工作。</w:t>
      </w:r>
    </w:p>
    <w:p>
      <w:pPr>
        <w:spacing w:line="360" w:lineRule="auto"/>
        <w:contextualSpacing/>
        <w:rPr>
          <w:rFonts w:ascii="仿宋" w:hAnsi="仿宋" w:eastAsia="仿宋" w:cs="仿宋"/>
          <w:b/>
          <w:color w:val="auto"/>
          <w:kern w:val="0"/>
          <w:sz w:val="24"/>
          <w:szCs w:val="24"/>
          <w:shd w:val="clear" w:color="auto" w:fill="FFFFFF"/>
        </w:rPr>
      </w:pPr>
      <w:r>
        <w:rPr>
          <w:rFonts w:hint="eastAsia" w:ascii="宋体" w:hAnsi="宋体" w:cs="微软雅黑"/>
          <w:b/>
          <w:color w:val="auto"/>
          <w:sz w:val="24"/>
          <w:szCs w:val="24"/>
        </w:rPr>
        <w:t>★</w:t>
      </w:r>
      <w:r>
        <w:rPr>
          <w:rFonts w:hint="eastAsia" w:ascii="宋体" w:hAnsi="宋体" w:cs="黑体"/>
          <w:b/>
          <w:bCs/>
          <w:color w:val="auto"/>
          <w:sz w:val="24"/>
          <w:szCs w:val="24"/>
          <w:shd w:val="clear" w:color="auto" w:fill="FFFFFF"/>
        </w:rPr>
        <w:t>二、项目需求</w:t>
      </w:r>
    </w:p>
    <w:p>
      <w:pPr>
        <w:spacing w:line="360" w:lineRule="auto"/>
        <w:ind w:firstLine="482" w:firstLineChars="200"/>
        <w:contextualSpacing/>
        <w:rPr>
          <w:rFonts w:ascii="宋体" w:hAnsi="宋体" w:eastAsia="宋体" w:cs="宋体"/>
          <w:b/>
          <w:bCs/>
          <w:color w:val="auto"/>
          <w:sz w:val="24"/>
          <w:szCs w:val="24"/>
          <w:lang w:val="zh-CN"/>
        </w:rPr>
      </w:pPr>
      <w:r>
        <w:rPr>
          <w:rFonts w:hint="eastAsia" w:ascii="宋体" w:hAnsi="宋体" w:eastAsia="宋体" w:cs="宋体"/>
          <w:b/>
          <w:bCs/>
          <w:color w:val="auto"/>
          <w:sz w:val="24"/>
          <w:szCs w:val="24"/>
          <w:lang w:val="zh-CN"/>
        </w:rPr>
        <w:t>2.1设备配置</w:t>
      </w:r>
    </w:p>
    <w:tbl>
      <w:tblPr>
        <w:tblStyle w:val="27"/>
        <w:tblW w:w="8275" w:type="dxa"/>
        <w:tblInd w:w="1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1"/>
        <w:gridCol w:w="1742"/>
        <w:gridCol w:w="3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91" w:type="dxa"/>
            <w:vAlign w:val="center"/>
          </w:tcPr>
          <w:p>
            <w:pPr>
              <w:spacing w:line="360" w:lineRule="auto"/>
              <w:contextualSpacing/>
              <w:jc w:val="center"/>
              <w:rPr>
                <w:rFonts w:ascii="宋体" w:hAnsi="宋体" w:eastAsia="宋体" w:cs="宋体"/>
                <w:bCs/>
                <w:color w:val="auto"/>
                <w:sz w:val="24"/>
                <w:szCs w:val="24"/>
              </w:rPr>
            </w:pPr>
            <w:r>
              <w:rPr>
                <w:rFonts w:hint="eastAsia" w:ascii="宋体" w:hAnsi="宋体" w:eastAsia="宋体" w:cs="宋体"/>
                <w:bCs/>
                <w:color w:val="auto"/>
                <w:sz w:val="24"/>
                <w:szCs w:val="24"/>
              </w:rPr>
              <w:t>人员、设施、设备名称</w:t>
            </w:r>
          </w:p>
        </w:tc>
        <w:tc>
          <w:tcPr>
            <w:tcW w:w="1742" w:type="dxa"/>
            <w:vAlign w:val="center"/>
          </w:tcPr>
          <w:p>
            <w:pPr>
              <w:spacing w:line="360" w:lineRule="auto"/>
              <w:contextualSpacing/>
              <w:jc w:val="center"/>
              <w:rPr>
                <w:rFonts w:ascii="宋体" w:hAnsi="宋体" w:eastAsia="宋体" w:cs="宋体"/>
                <w:bCs/>
                <w:color w:val="auto"/>
                <w:sz w:val="24"/>
                <w:szCs w:val="24"/>
              </w:rPr>
            </w:pPr>
            <w:r>
              <w:rPr>
                <w:rFonts w:hint="eastAsia" w:ascii="宋体" w:hAnsi="宋体" w:eastAsia="宋体" w:cs="宋体"/>
                <w:bCs/>
                <w:color w:val="auto"/>
                <w:sz w:val="24"/>
                <w:szCs w:val="24"/>
              </w:rPr>
              <w:t>数量（单位：个）</w:t>
            </w:r>
          </w:p>
        </w:tc>
        <w:tc>
          <w:tcPr>
            <w:tcW w:w="3742" w:type="dxa"/>
            <w:vAlign w:val="center"/>
          </w:tcPr>
          <w:p>
            <w:pPr>
              <w:spacing w:line="360" w:lineRule="auto"/>
              <w:contextualSpacing/>
              <w:jc w:val="center"/>
              <w:rPr>
                <w:rFonts w:ascii="宋体" w:hAnsi="宋体" w:eastAsia="宋体" w:cs="宋体"/>
                <w:bCs/>
                <w:color w:val="auto"/>
                <w:sz w:val="24"/>
                <w:szCs w:val="24"/>
              </w:rPr>
            </w:pPr>
            <w:r>
              <w:rPr>
                <w:rFonts w:hint="eastAsia" w:ascii="宋体" w:hAnsi="宋体" w:eastAsia="宋体" w:cs="宋体"/>
                <w:bCs/>
                <w:color w:val="auto"/>
                <w:sz w:val="24"/>
                <w:szCs w:val="24"/>
              </w:rPr>
              <w:t>配备依据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91" w:type="dxa"/>
          </w:tcPr>
          <w:p>
            <w:pPr>
              <w:spacing w:line="360" w:lineRule="auto"/>
              <w:ind w:left="420" w:leftChars="200" w:firstLine="480" w:firstLineChars="200"/>
              <w:contextualSpacing/>
              <w:jc w:val="center"/>
              <w:rPr>
                <w:rFonts w:ascii="宋体" w:hAnsi="宋体" w:eastAsia="宋体" w:cs="宋体"/>
                <w:bCs/>
                <w:color w:val="auto"/>
                <w:sz w:val="24"/>
                <w:szCs w:val="24"/>
              </w:rPr>
            </w:pPr>
            <w:r>
              <w:rPr>
                <w:rFonts w:hint="eastAsia" w:ascii="宋体" w:hAnsi="宋体" w:eastAsia="宋体" w:cs="宋体"/>
                <w:bCs/>
                <w:color w:val="auto"/>
                <w:sz w:val="24"/>
                <w:szCs w:val="24"/>
              </w:rPr>
              <w:t>四分类垃圾桶</w:t>
            </w:r>
          </w:p>
        </w:tc>
        <w:tc>
          <w:tcPr>
            <w:tcW w:w="1742" w:type="dxa"/>
          </w:tcPr>
          <w:p>
            <w:pPr>
              <w:spacing w:line="360" w:lineRule="auto"/>
              <w:ind w:left="420" w:leftChars="200" w:firstLine="480" w:firstLineChars="200"/>
              <w:contextualSpacing/>
              <w:rPr>
                <w:rFonts w:ascii="宋体" w:hAnsi="宋体" w:eastAsia="宋体" w:cs="宋体"/>
                <w:bCs/>
                <w:color w:val="auto"/>
                <w:sz w:val="24"/>
                <w:szCs w:val="24"/>
              </w:rPr>
            </w:pPr>
            <w:r>
              <w:rPr>
                <w:rFonts w:hint="eastAsia" w:ascii="宋体" w:hAnsi="宋体" w:eastAsia="宋体" w:cs="宋体"/>
                <w:bCs/>
                <w:color w:val="auto"/>
                <w:sz w:val="24"/>
                <w:szCs w:val="24"/>
              </w:rPr>
              <w:t>102</w:t>
            </w:r>
          </w:p>
        </w:tc>
        <w:tc>
          <w:tcPr>
            <w:tcW w:w="3742" w:type="dxa"/>
          </w:tcPr>
          <w:p>
            <w:pPr>
              <w:spacing w:line="360" w:lineRule="auto"/>
              <w:ind w:left="420" w:leftChars="200" w:firstLine="480" w:firstLineChars="200"/>
              <w:contextualSpacing/>
              <w:rPr>
                <w:rFonts w:ascii="宋体" w:hAnsi="宋体" w:eastAsia="宋体" w:cs="宋体"/>
                <w:bCs/>
                <w:color w:val="auto"/>
                <w:sz w:val="24"/>
                <w:szCs w:val="24"/>
              </w:rPr>
            </w:pPr>
            <w:r>
              <w:rPr>
                <w:rFonts w:hint="eastAsia" w:ascii="宋体" w:hAnsi="宋体" w:eastAsia="宋体" w:cs="宋体"/>
                <w:bCs/>
                <w:color w:val="auto"/>
                <w:sz w:val="24"/>
                <w:szCs w:val="24"/>
              </w:rPr>
              <w:t>公共区域和每栋楼前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91" w:type="dxa"/>
          </w:tcPr>
          <w:p>
            <w:pPr>
              <w:spacing w:line="360" w:lineRule="auto"/>
              <w:ind w:left="420" w:leftChars="200" w:firstLine="480" w:firstLineChars="200"/>
              <w:contextualSpacing/>
              <w:jc w:val="center"/>
              <w:rPr>
                <w:rFonts w:ascii="宋体" w:hAnsi="宋体" w:eastAsia="宋体" w:cs="宋体"/>
                <w:bCs/>
                <w:color w:val="auto"/>
                <w:sz w:val="24"/>
                <w:szCs w:val="24"/>
              </w:rPr>
            </w:pPr>
            <w:r>
              <w:rPr>
                <w:rFonts w:hint="eastAsia" w:ascii="宋体" w:hAnsi="宋体" w:eastAsia="宋体" w:cs="宋体"/>
                <w:bCs/>
                <w:color w:val="auto"/>
                <w:sz w:val="24"/>
                <w:szCs w:val="24"/>
              </w:rPr>
              <w:t>二分类垃圾桶</w:t>
            </w:r>
          </w:p>
        </w:tc>
        <w:tc>
          <w:tcPr>
            <w:tcW w:w="1742" w:type="dxa"/>
          </w:tcPr>
          <w:p>
            <w:pPr>
              <w:spacing w:line="360" w:lineRule="auto"/>
              <w:ind w:left="420" w:leftChars="200" w:firstLine="480" w:firstLineChars="200"/>
              <w:contextualSpacing/>
              <w:rPr>
                <w:rFonts w:ascii="宋体" w:hAnsi="宋体" w:eastAsia="宋体" w:cs="宋体"/>
                <w:bCs/>
                <w:color w:val="auto"/>
                <w:sz w:val="24"/>
                <w:szCs w:val="24"/>
              </w:rPr>
            </w:pPr>
            <w:r>
              <w:rPr>
                <w:rFonts w:hint="eastAsia" w:ascii="宋体" w:hAnsi="宋体" w:eastAsia="宋体" w:cs="宋体"/>
                <w:bCs/>
                <w:color w:val="auto"/>
                <w:sz w:val="24"/>
                <w:szCs w:val="24"/>
              </w:rPr>
              <w:t>120</w:t>
            </w:r>
          </w:p>
        </w:tc>
        <w:tc>
          <w:tcPr>
            <w:tcW w:w="3742" w:type="dxa"/>
          </w:tcPr>
          <w:p>
            <w:pPr>
              <w:spacing w:line="360" w:lineRule="auto"/>
              <w:ind w:left="420" w:leftChars="200" w:firstLine="480" w:firstLineChars="200"/>
              <w:contextualSpacing/>
              <w:rPr>
                <w:rFonts w:ascii="宋体" w:hAnsi="宋体" w:eastAsia="宋体" w:cs="宋体"/>
                <w:bCs/>
                <w:color w:val="auto"/>
                <w:sz w:val="24"/>
                <w:szCs w:val="24"/>
              </w:rPr>
            </w:pPr>
            <w:r>
              <w:rPr>
                <w:rFonts w:hint="eastAsia" w:ascii="宋体" w:hAnsi="宋体" w:eastAsia="宋体" w:cs="宋体"/>
                <w:bCs/>
                <w:color w:val="auto"/>
                <w:sz w:val="24"/>
                <w:szCs w:val="24"/>
              </w:rPr>
              <w:t>单元门口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91" w:type="dxa"/>
          </w:tcPr>
          <w:p>
            <w:pPr>
              <w:spacing w:line="360" w:lineRule="auto"/>
              <w:ind w:left="420" w:leftChars="200" w:firstLine="480" w:firstLineChars="200"/>
              <w:contextualSpacing/>
              <w:jc w:val="center"/>
              <w:rPr>
                <w:rFonts w:ascii="宋体" w:hAnsi="宋体" w:eastAsia="宋体" w:cs="宋体"/>
                <w:bCs/>
                <w:color w:val="auto"/>
                <w:sz w:val="24"/>
                <w:szCs w:val="24"/>
              </w:rPr>
            </w:pPr>
            <w:r>
              <w:rPr>
                <w:rFonts w:hint="eastAsia" w:ascii="宋体" w:hAnsi="宋体" w:eastAsia="宋体" w:cs="宋体"/>
                <w:bCs/>
                <w:color w:val="auto"/>
                <w:sz w:val="24"/>
                <w:szCs w:val="24"/>
              </w:rPr>
              <w:t>固定宣传展板</w:t>
            </w:r>
          </w:p>
        </w:tc>
        <w:tc>
          <w:tcPr>
            <w:tcW w:w="1742" w:type="dxa"/>
          </w:tcPr>
          <w:p>
            <w:pPr>
              <w:spacing w:line="360" w:lineRule="auto"/>
              <w:ind w:left="420" w:leftChars="200" w:firstLine="480" w:firstLineChars="200"/>
              <w:contextualSpacing/>
              <w:rPr>
                <w:rFonts w:ascii="宋体" w:hAnsi="宋体" w:eastAsia="宋体" w:cs="宋体"/>
                <w:bCs/>
                <w:color w:val="auto"/>
                <w:sz w:val="24"/>
                <w:szCs w:val="24"/>
              </w:rPr>
            </w:pPr>
            <w:r>
              <w:rPr>
                <w:rFonts w:hint="eastAsia" w:ascii="宋体" w:hAnsi="宋体" w:eastAsia="宋体" w:cs="宋体"/>
                <w:bCs/>
                <w:color w:val="auto"/>
                <w:sz w:val="24"/>
                <w:szCs w:val="24"/>
              </w:rPr>
              <w:t>50</w:t>
            </w:r>
          </w:p>
        </w:tc>
        <w:tc>
          <w:tcPr>
            <w:tcW w:w="3742" w:type="dxa"/>
          </w:tcPr>
          <w:p>
            <w:pPr>
              <w:spacing w:line="360" w:lineRule="auto"/>
              <w:ind w:left="420" w:leftChars="200" w:firstLine="480" w:firstLineChars="200"/>
              <w:contextualSpacing/>
              <w:rPr>
                <w:rFonts w:ascii="宋体" w:hAnsi="宋体" w:eastAsia="宋体" w:cs="宋体"/>
                <w:bCs/>
                <w:color w:val="auto"/>
                <w:sz w:val="24"/>
                <w:szCs w:val="24"/>
              </w:rPr>
            </w:pPr>
            <w:r>
              <w:rPr>
                <w:rFonts w:hint="eastAsia" w:ascii="宋体" w:hAnsi="宋体" w:eastAsia="宋体" w:cs="宋体"/>
                <w:bCs/>
                <w:color w:val="auto"/>
                <w:sz w:val="24"/>
                <w:szCs w:val="24"/>
              </w:rPr>
              <w:t>出口和广场、车棚等区域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91" w:type="dxa"/>
          </w:tcPr>
          <w:p>
            <w:pPr>
              <w:spacing w:line="360" w:lineRule="auto"/>
              <w:ind w:left="420" w:leftChars="200" w:firstLine="480" w:firstLineChars="200"/>
              <w:contextualSpacing/>
              <w:jc w:val="center"/>
              <w:rPr>
                <w:rFonts w:ascii="宋体" w:hAnsi="宋体" w:eastAsia="宋体" w:cs="宋体"/>
                <w:bCs/>
                <w:color w:val="auto"/>
                <w:sz w:val="24"/>
                <w:szCs w:val="24"/>
              </w:rPr>
            </w:pPr>
            <w:r>
              <w:rPr>
                <w:rFonts w:hint="eastAsia" w:ascii="宋体" w:hAnsi="宋体" w:eastAsia="宋体" w:cs="宋体"/>
                <w:bCs/>
                <w:color w:val="auto"/>
                <w:sz w:val="24"/>
                <w:szCs w:val="24"/>
              </w:rPr>
              <w:t>温馨提示标牌</w:t>
            </w:r>
          </w:p>
        </w:tc>
        <w:tc>
          <w:tcPr>
            <w:tcW w:w="1742" w:type="dxa"/>
          </w:tcPr>
          <w:p>
            <w:pPr>
              <w:spacing w:line="360" w:lineRule="auto"/>
              <w:ind w:left="420" w:leftChars="200" w:firstLine="480" w:firstLineChars="200"/>
              <w:contextualSpacing/>
              <w:rPr>
                <w:rFonts w:ascii="宋体" w:hAnsi="宋体" w:eastAsia="宋体" w:cs="宋体"/>
                <w:bCs/>
                <w:color w:val="auto"/>
                <w:sz w:val="24"/>
                <w:szCs w:val="24"/>
              </w:rPr>
            </w:pPr>
            <w:r>
              <w:rPr>
                <w:rFonts w:hint="eastAsia" w:ascii="宋体" w:hAnsi="宋体" w:eastAsia="宋体" w:cs="宋体"/>
                <w:bCs/>
                <w:color w:val="auto"/>
                <w:sz w:val="24"/>
                <w:szCs w:val="24"/>
              </w:rPr>
              <w:t>200</w:t>
            </w:r>
          </w:p>
        </w:tc>
        <w:tc>
          <w:tcPr>
            <w:tcW w:w="3742" w:type="dxa"/>
          </w:tcPr>
          <w:p>
            <w:pPr>
              <w:spacing w:line="360" w:lineRule="auto"/>
              <w:ind w:left="420" w:leftChars="200" w:firstLine="480" w:firstLineChars="200"/>
              <w:contextualSpacing/>
              <w:rPr>
                <w:rFonts w:ascii="宋体" w:hAnsi="宋体" w:eastAsia="宋体" w:cs="宋体"/>
                <w:bCs/>
                <w:color w:val="auto"/>
                <w:sz w:val="24"/>
                <w:szCs w:val="24"/>
              </w:rPr>
            </w:pPr>
            <w:r>
              <w:rPr>
                <w:rFonts w:hint="eastAsia" w:ascii="宋体" w:hAnsi="宋体" w:eastAsia="宋体" w:cs="宋体"/>
                <w:bCs/>
                <w:color w:val="auto"/>
                <w:sz w:val="24"/>
                <w:szCs w:val="24"/>
              </w:rPr>
              <w:t>电梯、绿地、树木等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91" w:type="dxa"/>
          </w:tcPr>
          <w:p>
            <w:pPr>
              <w:spacing w:line="360" w:lineRule="auto"/>
              <w:ind w:left="420" w:leftChars="200" w:firstLine="480" w:firstLineChars="200"/>
              <w:contextualSpacing/>
              <w:jc w:val="center"/>
              <w:rPr>
                <w:rFonts w:ascii="宋体" w:hAnsi="宋体" w:eastAsia="宋体" w:cs="宋体"/>
                <w:bCs/>
                <w:color w:val="auto"/>
                <w:sz w:val="24"/>
                <w:szCs w:val="24"/>
              </w:rPr>
            </w:pPr>
            <w:r>
              <w:rPr>
                <w:rFonts w:hint="eastAsia" w:ascii="宋体" w:hAnsi="宋体" w:eastAsia="宋体" w:cs="宋体"/>
                <w:bCs/>
                <w:color w:val="auto"/>
                <w:sz w:val="24"/>
                <w:szCs w:val="24"/>
              </w:rPr>
              <w:t>单元宣传标牌</w:t>
            </w:r>
          </w:p>
        </w:tc>
        <w:tc>
          <w:tcPr>
            <w:tcW w:w="1742" w:type="dxa"/>
          </w:tcPr>
          <w:p>
            <w:pPr>
              <w:spacing w:line="360" w:lineRule="auto"/>
              <w:ind w:left="420" w:leftChars="200" w:firstLine="480" w:firstLineChars="200"/>
              <w:contextualSpacing/>
              <w:rPr>
                <w:rFonts w:ascii="宋体" w:hAnsi="宋体" w:eastAsia="宋体" w:cs="宋体"/>
                <w:bCs/>
                <w:color w:val="auto"/>
                <w:sz w:val="24"/>
                <w:szCs w:val="24"/>
              </w:rPr>
            </w:pPr>
            <w:r>
              <w:rPr>
                <w:rFonts w:hint="eastAsia" w:ascii="宋体" w:hAnsi="宋体" w:eastAsia="宋体" w:cs="宋体"/>
                <w:bCs/>
                <w:color w:val="auto"/>
                <w:sz w:val="24"/>
                <w:szCs w:val="24"/>
              </w:rPr>
              <w:t>212</w:t>
            </w:r>
          </w:p>
        </w:tc>
        <w:tc>
          <w:tcPr>
            <w:tcW w:w="3742" w:type="dxa"/>
          </w:tcPr>
          <w:p>
            <w:pPr>
              <w:spacing w:line="360" w:lineRule="auto"/>
              <w:ind w:left="420" w:leftChars="200" w:firstLine="480" w:firstLineChars="200"/>
              <w:contextualSpacing/>
              <w:rPr>
                <w:rFonts w:ascii="宋体" w:hAnsi="宋体" w:eastAsia="宋体" w:cs="宋体"/>
                <w:bCs/>
                <w:color w:val="auto"/>
                <w:sz w:val="24"/>
                <w:szCs w:val="24"/>
              </w:rPr>
            </w:pPr>
            <w:r>
              <w:rPr>
                <w:rFonts w:hint="eastAsia" w:ascii="宋体" w:hAnsi="宋体" w:eastAsia="宋体" w:cs="宋体"/>
                <w:bCs/>
                <w:color w:val="auto"/>
                <w:sz w:val="24"/>
                <w:szCs w:val="24"/>
              </w:rPr>
              <w:t>单元门口内（外）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91" w:type="dxa"/>
          </w:tcPr>
          <w:p>
            <w:pPr>
              <w:spacing w:line="360" w:lineRule="auto"/>
              <w:ind w:left="420" w:leftChars="200" w:firstLine="480" w:firstLineChars="200"/>
              <w:contextualSpacing/>
              <w:jc w:val="center"/>
              <w:rPr>
                <w:rFonts w:ascii="宋体" w:hAnsi="宋体" w:eastAsia="宋体" w:cs="宋体"/>
                <w:bCs/>
                <w:color w:val="auto"/>
                <w:sz w:val="24"/>
                <w:szCs w:val="24"/>
              </w:rPr>
            </w:pPr>
            <w:r>
              <w:rPr>
                <w:rFonts w:hint="eastAsia" w:ascii="宋体" w:hAnsi="宋体" w:eastAsia="宋体" w:cs="宋体"/>
                <w:bCs/>
                <w:color w:val="auto"/>
                <w:sz w:val="24"/>
                <w:szCs w:val="24"/>
              </w:rPr>
              <w:t>宣导员</w:t>
            </w:r>
          </w:p>
        </w:tc>
        <w:tc>
          <w:tcPr>
            <w:tcW w:w="1742" w:type="dxa"/>
          </w:tcPr>
          <w:p>
            <w:pPr>
              <w:spacing w:line="360" w:lineRule="auto"/>
              <w:ind w:left="420" w:leftChars="200" w:firstLine="480" w:firstLineChars="200"/>
              <w:contextualSpacing/>
              <w:rPr>
                <w:rFonts w:ascii="宋体" w:hAnsi="宋体" w:eastAsia="宋体" w:cs="宋体"/>
                <w:bCs/>
                <w:color w:val="auto"/>
                <w:sz w:val="24"/>
                <w:szCs w:val="24"/>
              </w:rPr>
            </w:pPr>
            <w:r>
              <w:rPr>
                <w:rFonts w:hint="eastAsia" w:ascii="宋体" w:hAnsi="宋体" w:eastAsia="宋体" w:cs="宋体"/>
                <w:bCs/>
                <w:color w:val="auto"/>
                <w:sz w:val="24"/>
                <w:szCs w:val="24"/>
              </w:rPr>
              <w:t>22</w:t>
            </w:r>
          </w:p>
        </w:tc>
        <w:tc>
          <w:tcPr>
            <w:tcW w:w="3742" w:type="dxa"/>
          </w:tcPr>
          <w:p>
            <w:pPr>
              <w:spacing w:line="360" w:lineRule="auto"/>
              <w:ind w:left="420" w:leftChars="200" w:firstLine="480" w:firstLineChars="200"/>
              <w:contextualSpacing/>
              <w:rPr>
                <w:rFonts w:ascii="宋体" w:hAnsi="宋体" w:eastAsia="宋体" w:cs="宋体"/>
                <w:bCs/>
                <w:color w:val="auto"/>
                <w:sz w:val="24"/>
                <w:szCs w:val="24"/>
              </w:rPr>
            </w:pPr>
            <w:r>
              <w:rPr>
                <w:rFonts w:hint="eastAsia" w:ascii="宋体" w:hAnsi="宋体" w:eastAsia="宋体" w:cs="宋体"/>
                <w:bCs/>
                <w:color w:val="auto"/>
                <w:sz w:val="24"/>
                <w:szCs w:val="24"/>
              </w:rPr>
              <w:t>300户/人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91" w:type="dxa"/>
          </w:tcPr>
          <w:p>
            <w:pPr>
              <w:spacing w:line="360" w:lineRule="auto"/>
              <w:ind w:left="420" w:leftChars="200" w:firstLine="480" w:firstLineChars="200"/>
              <w:contextualSpacing/>
              <w:jc w:val="center"/>
              <w:rPr>
                <w:rFonts w:ascii="宋体" w:hAnsi="宋体" w:eastAsia="宋体" w:cs="宋体"/>
                <w:bCs/>
                <w:color w:val="auto"/>
                <w:sz w:val="24"/>
                <w:szCs w:val="24"/>
              </w:rPr>
            </w:pPr>
            <w:r>
              <w:rPr>
                <w:rFonts w:hint="eastAsia" w:ascii="宋体" w:hAnsi="宋体" w:eastAsia="宋体" w:cs="宋体"/>
                <w:bCs/>
                <w:color w:val="auto"/>
                <w:sz w:val="24"/>
                <w:szCs w:val="24"/>
              </w:rPr>
              <w:t>智能可回收箱</w:t>
            </w:r>
          </w:p>
        </w:tc>
        <w:tc>
          <w:tcPr>
            <w:tcW w:w="1742" w:type="dxa"/>
          </w:tcPr>
          <w:p>
            <w:pPr>
              <w:spacing w:line="360" w:lineRule="auto"/>
              <w:ind w:left="420" w:leftChars="200" w:firstLine="480" w:firstLineChars="200"/>
              <w:contextualSpacing/>
              <w:rPr>
                <w:rFonts w:ascii="宋体" w:hAnsi="宋体" w:eastAsia="宋体" w:cs="宋体"/>
                <w:bCs/>
                <w:color w:val="auto"/>
                <w:sz w:val="24"/>
                <w:szCs w:val="24"/>
              </w:rPr>
            </w:pPr>
            <w:r>
              <w:rPr>
                <w:rFonts w:hint="eastAsia" w:ascii="宋体" w:hAnsi="宋体" w:eastAsia="宋体" w:cs="宋体"/>
                <w:bCs/>
                <w:color w:val="auto"/>
                <w:sz w:val="24"/>
                <w:szCs w:val="24"/>
              </w:rPr>
              <w:t>7</w:t>
            </w:r>
          </w:p>
        </w:tc>
        <w:tc>
          <w:tcPr>
            <w:tcW w:w="3742" w:type="dxa"/>
          </w:tcPr>
          <w:p>
            <w:pPr>
              <w:spacing w:line="360" w:lineRule="auto"/>
              <w:ind w:left="420" w:leftChars="200" w:firstLine="480" w:firstLineChars="200"/>
              <w:contextualSpacing/>
              <w:rPr>
                <w:rFonts w:ascii="宋体" w:hAnsi="宋体" w:eastAsia="宋体" w:cs="宋体"/>
                <w:bCs/>
                <w:color w:val="auto"/>
                <w:sz w:val="24"/>
                <w:szCs w:val="24"/>
              </w:rPr>
            </w:pPr>
            <w:r>
              <w:rPr>
                <w:rFonts w:hint="eastAsia" w:ascii="宋体" w:hAnsi="宋体" w:eastAsia="宋体" w:cs="宋体"/>
                <w:bCs/>
                <w:color w:val="auto"/>
                <w:sz w:val="24"/>
                <w:szCs w:val="24"/>
              </w:rPr>
              <w:t>1500户/台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91" w:type="dxa"/>
          </w:tcPr>
          <w:p>
            <w:pPr>
              <w:spacing w:line="360" w:lineRule="auto"/>
              <w:ind w:left="420" w:leftChars="200" w:firstLine="480" w:firstLineChars="200"/>
              <w:contextualSpacing/>
              <w:jc w:val="center"/>
              <w:rPr>
                <w:rFonts w:ascii="宋体" w:hAnsi="宋体" w:eastAsia="宋体" w:cs="宋体"/>
                <w:bCs/>
                <w:color w:val="auto"/>
                <w:sz w:val="24"/>
                <w:szCs w:val="24"/>
              </w:rPr>
            </w:pPr>
            <w:r>
              <w:rPr>
                <w:rFonts w:hint="eastAsia" w:ascii="宋体" w:hAnsi="宋体" w:eastAsia="宋体" w:cs="宋体"/>
                <w:bCs/>
                <w:color w:val="auto"/>
                <w:sz w:val="24"/>
                <w:szCs w:val="24"/>
              </w:rPr>
              <w:t>垃圾分类清运车辆</w:t>
            </w:r>
          </w:p>
        </w:tc>
        <w:tc>
          <w:tcPr>
            <w:tcW w:w="1742" w:type="dxa"/>
          </w:tcPr>
          <w:p>
            <w:pPr>
              <w:spacing w:line="360" w:lineRule="auto"/>
              <w:ind w:left="420" w:leftChars="200" w:firstLine="480" w:firstLineChars="200"/>
              <w:contextualSpacing/>
              <w:rPr>
                <w:rFonts w:ascii="宋体" w:hAnsi="宋体" w:eastAsia="宋体" w:cs="宋体"/>
                <w:bCs/>
                <w:color w:val="auto"/>
                <w:sz w:val="24"/>
                <w:szCs w:val="24"/>
              </w:rPr>
            </w:pPr>
            <w:r>
              <w:rPr>
                <w:rFonts w:hint="eastAsia" w:ascii="宋体" w:hAnsi="宋体" w:eastAsia="宋体" w:cs="宋体"/>
                <w:bCs/>
                <w:color w:val="auto"/>
                <w:sz w:val="24"/>
                <w:szCs w:val="24"/>
              </w:rPr>
              <w:t>2</w:t>
            </w:r>
          </w:p>
        </w:tc>
        <w:tc>
          <w:tcPr>
            <w:tcW w:w="3742" w:type="dxa"/>
          </w:tcPr>
          <w:p>
            <w:pPr>
              <w:spacing w:line="360" w:lineRule="auto"/>
              <w:ind w:left="420" w:leftChars="200" w:firstLine="480" w:firstLineChars="200"/>
              <w:contextualSpacing/>
              <w:rPr>
                <w:rFonts w:ascii="宋体" w:hAnsi="宋体" w:eastAsia="宋体" w:cs="宋体"/>
                <w:bCs/>
                <w:color w:val="auto"/>
                <w:sz w:val="24"/>
                <w:szCs w:val="24"/>
              </w:rPr>
            </w:pPr>
            <w:r>
              <w:rPr>
                <w:rFonts w:hint="eastAsia" w:ascii="宋体" w:hAnsi="宋体" w:eastAsia="宋体" w:cs="宋体"/>
                <w:bCs/>
                <w:color w:val="auto"/>
                <w:sz w:val="24"/>
                <w:szCs w:val="24"/>
              </w:rPr>
              <w:t>清运工作实际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91" w:type="dxa"/>
          </w:tcPr>
          <w:p>
            <w:pPr>
              <w:spacing w:line="360" w:lineRule="auto"/>
              <w:ind w:left="420" w:leftChars="200" w:firstLine="480" w:firstLineChars="200"/>
              <w:contextualSpacing/>
              <w:jc w:val="center"/>
              <w:rPr>
                <w:rFonts w:ascii="宋体" w:hAnsi="宋体" w:eastAsia="宋体" w:cs="宋体"/>
                <w:bCs/>
                <w:color w:val="auto"/>
                <w:sz w:val="24"/>
                <w:szCs w:val="24"/>
              </w:rPr>
            </w:pPr>
            <w:r>
              <w:rPr>
                <w:rFonts w:hint="eastAsia" w:ascii="宋体" w:hAnsi="宋体" w:eastAsia="宋体" w:cs="宋体"/>
                <w:bCs/>
                <w:color w:val="auto"/>
                <w:sz w:val="24"/>
                <w:szCs w:val="24"/>
              </w:rPr>
              <w:t>志愿服务站</w:t>
            </w:r>
          </w:p>
        </w:tc>
        <w:tc>
          <w:tcPr>
            <w:tcW w:w="1742" w:type="dxa"/>
          </w:tcPr>
          <w:p>
            <w:pPr>
              <w:spacing w:line="360" w:lineRule="auto"/>
              <w:ind w:left="420" w:leftChars="200" w:firstLine="480" w:firstLineChars="200"/>
              <w:contextualSpacing/>
              <w:rPr>
                <w:rFonts w:ascii="宋体" w:hAnsi="宋体" w:eastAsia="宋体" w:cs="宋体"/>
                <w:bCs/>
                <w:color w:val="auto"/>
                <w:sz w:val="24"/>
                <w:szCs w:val="24"/>
              </w:rPr>
            </w:pPr>
            <w:r>
              <w:rPr>
                <w:rFonts w:hint="eastAsia" w:ascii="宋体" w:hAnsi="宋体" w:eastAsia="宋体" w:cs="宋体"/>
                <w:bCs/>
                <w:color w:val="auto"/>
                <w:sz w:val="24"/>
                <w:szCs w:val="24"/>
              </w:rPr>
              <w:t>7</w:t>
            </w:r>
          </w:p>
        </w:tc>
        <w:tc>
          <w:tcPr>
            <w:tcW w:w="3742" w:type="dxa"/>
          </w:tcPr>
          <w:p>
            <w:pPr>
              <w:spacing w:line="360" w:lineRule="auto"/>
              <w:ind w:left="420" w:leftChars="200" w:firstLine="480" w:firstLineChars="200"/>
              <w:contextualSpacing/>
              <w:rPr>
                <w:rFonts w:ascii="宋体" w:hAnsi="宋体" w:eastAsia="宋体" w:cs="宋体"/>
                <w:bCs/>
                <w:color w:val="auto"/>
                <w:sz w:val="24"/>
                <w:szCs w:val="24"/>
              </w:rPr>
            </w:pPr>
            <w:r>
              <w:rPr>
                <w:rFonts w:hint="eastAsia" w:ascii="宋体" w:hAnsi="宋体" w:eastAsia="宋体" w:cs="宋体"/>
                <w:bCs/>
                <w:color w:val="auto"/>
                <w:sz w:val="24"/>
                <w:szCs w:val="24"/>
              </w:rPr>
              <w:t>小区实际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91" w:type="dxa"/>
          </w:tcPr>
          <w:p>
            <w:pPr>
              <w:spacing w:line="360" w:lineRule="auto"/>
              <w:ind w:left="420" w:leftChars="200" w:firstLine="480" w:firstLineChars="200"/>
              <w:contextualSpacing/>
              <w:jc w:val="center"/>
              <w:rPr>
                <w:rFonts w:ascii="宋体" w:hAnsi="宋体" w:eastAsia="宋体" w:cs="宋体"/>
                <w:bCs/>
                <w:color w:val="auto"/>
                <w:sz w:val="24"/>
                <w:szCs w:val="24"/>
              </w:rPr>
            </w:pPr>
            <w:r>
              <w:rPr>
                <w:rFonts w:hint="eastAsia" w:ascii="宋体" w:hAnsi="宋体" w:eastAsia="宋体" w:cs="宋体"/>
                <w:bCs/>
                <w:color w:val="auto"/>
                <w:sz w:val="24"/>
                <w:szCs w:val="24"/>
              </w:rPr>
              <w:t>大件垃圾暂存处</w:t>
            </w:r>
          </w:p>
        </w:tc>
        <w:tc>
          <w:tcPr>
            <w:tcW w:w="1742" w:type="dxa"/>
          </w:tcPr>
          <w:p>
            <w:pPr>
              <w:spacing w:line="360" w:lineRule="auto"/>
              <w:ind w:left="420" w:leftChars="200" w:firstLine="480" w:firstLineChars="200"/>
              <w:contextualSpacing/>
              <w:rPr>
                <w:rFonts w:ascii="宋体" w:hAnsi="宋体" w:eastAsia="宋体" w:cs="宋体"/>
                <w:bCs/>
                <w:color w:val="auto"/>
                <w:sz w:val="24"/>
                <w:szCs w:val="24"/>
              </w:rPr>
            </w:pPr>
            <w:r>
              <w:rPr>
                <w:rFonts w:hint="eastAsia" w:ascii="宋体" w:hAnsi="宋体" w:eastAsia="宋体" w:cs="宋体"/>
                <w:bCs/>
                <w:color w:val="auto"/>
                <w:sz w:val="24"/>
                <w:szCs w:val="24"/>
              </w:rPr>
              <w:t>7</w:t>
            </w:r>
          </w:p>
        </w:tc>
        <w:tc>
          <w:tcPr>
            <w:tcW w:w="3742" w:type="dxa"/>
          </w:tcPr>
          <w:p>
            <w:pPr>
              <w:spacing w:line="360" w:lineRule="auto"/>
              <w:ind w:left="420" w:leftChars="200" w:firstLine="480" w:firstLineChars="200"/>
              <w:contextualSpacing/>
              <w:rPr>
                <w:rFonts w:ascii="宋体" w:hAnsi="宋体" w:eastAsia="宋体" w:cs="宋体"/>
                <w:bCs/>
                <w:color w:val="auto"/>
                <w:sz w:val="24"/>
                <w:szCs w:val="24"/>
              </w:rPr>
            </w:pPr>
            <w:r>
              <w:rPr>
                <w:rFonts w:hint="eastAsia" w:ascii="宋体" w:hAnsi="宋体" w:eastAsia="宋体" w:cs="宋体"/>
                <w:bCs/>
                <w:color w:val="auto"/>
                <w:sz w:val="24"/>
                <w:szCs w:val="24"/>
              </w:rPr>
              <w:t>小区实际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91" w:type="dxa"/>
          </w:tcPr>
          <w:p>
            <w:pPr>
              <w:spacing w:line="360" w:lineRule="auto"/>
              <w:ind w:left="420" w:leftChars="200" w:firstLine="480" w:firstLineChars="200"/>
              <w:contextualSpacing/>
              <w:jc w:val="center"/>
              <w:rPr>
                <w:rFonts w:ascii="宋体" w:hAnsi="宋体" w:eastAsia="宋体" w:cs="宋体"/>
                <w:bCs/>
                <w:color w:val="auto"/>
                <w:sz w:val="24"/>
                <w:szCs w:val="24"/>
              </w:rPr>
            </w:pPr>
            <w:r>
              <w:rPr>
                <w:rFonts w:hint="eastAsia" w:ascii="宋体" w:hAnsi="宋体" w:eastAsia="宋体" w:cs="宋体"/>
                <w:bCs/>
                <w:color w:val="auto"/>
                <w:sz w:val="24"/>
                <w:szCs w:val="24"/>
              </w:rPr>
              <w:t>有害垃圾暂存点</w:t>
            </w:r>
          </w:p>
        </w:tc>
        <w:tc>
          <w:tcPr>
            <w:tcW w:w="1742" w:type="dxa"/>
          </w:tcPr>
          <w:p>
            <w:pPr>
              <w:spacing w:line="360" w:lineRule="auto"/>
              <w:ind w:left="420" w:leftChars="200" w:firstLine="480" w:firstLineChars="200"/>
              <w:contextualSpacing/>
              <w:rPr>
                <w:rFonts w:ascii="宋体" w:hAnsi="宋体" w:eastAsia="宋体" w:cs="宋体"/>
                <w:bCs/>
                <w:color w:val="auto"/>
                <w:sz w:val="24"/>
                <w:szCs w:val="24"/>
              </w:rPr>
            </w:pPr>
            <w:r>
              <w:rPr>
                <w:rFonts w:hint="eastAsia" w:ascii="宋体" w:hAnsi="宋体" w:eastAsia="宋体" w:cs="宋体"/>
                <w:bCs/>
                <w:color w:val="auto"/>
                <w:sz w:val="24"/>
                <w:szCs w:val="24"/>
              </w:rPr>
              <w:t>12</w:t>
            </w:r>
          </w:p>
        </w:tc>
        <w:tc>
          <w:tcPr>
            <w:tcW w:w="3742" w:type="dxa"/>
          </w:tcPr>
          <w:p>
            <w:pPr>
              <w:spacing w:line="360" w:lineRule="auto"/>
              <w:ind w:left="420" w:leftChars="200" w:firstLine="480" w:firstLineChars="200"/>
              <w:contextualSpacing/>
              <w:rPr>
                <w:rFonts w:ascii="宋体" w:hAnsi="宋体" w:eastAsia="宋体" w:cs="宋体"/>
                <w:bCs/>
                <w:color w:val="auto"/>
                <w:sz w:val="24"/>
                <w:szCs w:val="24"/>
              </w:rPr>
            </w:pPr>
            <w:r>
              <w:rPr>
                <w:rFonts w:hint="eastAsia" w:ascii="宋体" w:hAnsi="宋体" w:eastAsia="宋体" w:cs="宋体"/>
                <w:bCs/>
                <w:color w:val="auto"/>
                <w:sz w:val="24"/>
                <w:szCs w:val="24"/>
              </w:rPr>
              <w:t>每个试点小区一处</w:t>
            </w:r>
          </w:p>
        </w:tc>
      </w:tr>
    </w:tbl>
    <w:p>
      <w:pPr>
        <w:spacing w:line="360" w:lineRule="auto"/>
        <w:ind w:firstLine="482" w:firstLineChars="200"/>
        <w:contextualSpacing/>
        <w:rPr>
          <w:rFonts w:ascii="宋体" w:hAnsi="宋体" w:eastAsia="宋体" w:cs="宋体"/>
          <w:b/>
          <w:bCs/>
          <w:color w:val="auto"/>
          <w:sz w:val="24"/>
          <w:szCs w:val="24"/>
          <w:lang w:val="zh-CN"/>
        </w:rPr>
      </w:pPr>
      <w:r>
        <w:rPr>
          <w:rFonts w:hint="eastAsia" w:ascii="宋体" w:hAnsi="宋体" w:eastAsia="宋体" w:cs="宋体"/>
          <w:b/>
          <w:bCs/>
          <w:color w:val="auto"/>
          <w:sz w:val="24"/>
          <w:szCs w:val="24"/>
          <w:lang w:val="zh-CN"/>
        </w:rPr>
        <w:t>2.2服务范围</w:t>
      </w:r>
    </w:p>
    <w:p>
      <w:pPr>
        <w:spacing w:line="360" w:lineRule="auto"/>
        <w:ind w:firstLine="482" w:firstLineChars="200"/>
        <w:contextualSpacing/>
        <w:rPr>
          <w:rFonts w:ascii="宋体" w:hAnsi="宋体" w:eastAsia="宋体" w:cs="宋体"/>
          <w:b/>
          <w:color w:val="auto"/>
          <w:sz w:val="24"/>
          <w:szCs w:val="24"/>
        </w:rPr>
      </w:pPr>
      <w:r>
        <w:rPr>
          <w:rFonts w:hint="eastAsia" w:ascii="宋体" w:hAnsi="宋体" w:eastAsia="宋体" w:cs="宋体"/>
          <w:b/>
          <w:color w:val="auto"/>
          <w:sz w:val="24"/>
          <w:szCs w:val="24"/>
        </w:rPr>
        <w:t>为小区6000户居民日常生活垃圾分类减量工作，小区内垃圾分类宣传设施策划、制作、实施，宣传活动开展；智能设备投放，可回收垃圾、和有毒有害垃圾分类收集运输处置；厨余垃圾、其他垃圾的分类收集。</w:t>
      </w:r>
    </w:p>
    <w:p>
      <w:pPr>
        <w:spacing w:line="360" w:lineRule="auto"/>
        <w:ind w:firstLine="482" w:firstLineChars="200"/>
        <w:contextualSpacing/>
        <w:rPr>
          <w:rFonts w:ascii="宋体" w:hAnsi="宋体" w:eastAsia="宋体" w:cs="宋体"/>
          <w:b/>
          <w:color w:val="auto"/>
          <w:kern w:val="0"/>
          <w:sz w:val="24"/>
          <w:szCs w:val="24"/>
          <w:lang w:val="zh-CN"/>
        </w:rPr>
      </w:pPr>
      <w:r>
        <w:rPr>
          <w:rFonts w:hint="eastAsia" w:ascii="宋体" w:hAnsi="宋体" w:eastAsia="宋体" w:cs="宋体"/>
          <w:b/>
          <w:color w:val="auto"/>
          <w:sz w:val="24"/>
          <w:szCs w:val="24"/>
        </w:rPr>
        <w:t>★三</w:t>
      </w:r>
      <w:r>
        <w:rPr>
          <w:rFonts w:hint="eastAsia" w:ascii="宋体" w:hAnsi="宋体" w:eastAsia="宋体" w:cs="宋体"/>
          <w:b/>
          <w:color w:val="auto"/>
          <w:kern w:val="0"/>
          <w:sz w:val="24"/>
          <w:szCs w:val="24"/>
          <w:lang w:val="zh-CN"/>
        </w:rPr>
        <w:t>、服务标准、期限、效率等要求</w:t>
      </w:r>
    </w:p>
    <w:p>
      <w:pPr>
        <w:spacing w:line="276" w:lineRule="auto"/>
        <w:jc w:val="center"/>
        <w:rPr>
          <w:rFonts w:ascii="宋体" w:hAnsi="宋体"/>
          <w:b/>
          <w:color w:val="auto"/>
          <w:sz w:val="32"/>
        </w:rPr>
      </w:pPr>
      <w:r>
        <w:rPr>
          <w:rFonts w:hint="eastAsia" w:ascii="宋体" w:hAnsi="宋体"/>
          <w:b/>
          <w:color w:val="auto"/>
          <w:sz w:val="32"/>
        </w:rPr>
        <w:t>服务要求</w:t>
      </w:r>
    </w:p>
    <w:p>
      <w:pPr>
        <w:spacing w:line="276" w:lineRule="auto"/>
        <w:ind w:firstLine="484" w:firstLineChars="202"/>
        <w:jc w:val="left"/>
        <w:rPr>
          <w:rFonts w:ascii="宋体" w:hAnsi="宋体"/>
          <w:color w:val="auto"/>
          <w:sz w:val="24"/>
          <w:szCs w:val="21"/>
        </w:rPr>
      </w:pPr>
      <w:r>
        <w:rPr>
          <w:rFonts w:hint="eastAsia" w:ascii="宋体" w:hAnsi="宋体"/>
          <w:color w:val="auto"/>
          <w:sz w:val="24"/>
          <w:szCs w:val="21"/>
        </w:rPr>
        <w:t>1、达到</w:t>
      </w:r>
      <w:r>
        <w:rPr>
          <w:rFonts w:ascii="宋体" w:hAnsi="宋体"/>
          <w:color w:val="auto"/>
          <w:sz w:val="24"/>
          <w:szCs w:val="21"/>
        </w:rPr>
        <w:t>《</w:t>
      </w:r>
      <w:r>
        <w:rPr>
          <w:rFonts w:hint="eastAsia" w:ascii="宋体" w:hAnsi="宋体"/>
          <w:color w:val="auto"/>
          <w:sz w:val="24"/>
          <w:szCs w:val="21"/>
        </w:rPr>
        <w:t>许昌</w:t>
      </w:r>
      <w:r>
        <w:rPr>
          <w:rFonts w:ascii="宋体" w:hAnsi="宋体"/>
          <w:color w:val="auto"/>
          <w:sz w:val="24"/>
          <w:szCs w:val="21"/>
        </w:rPr>
        <w:t>市</w:t>
      </w:r>
      <w:r>
        <w:rPr>
          <w:rFonts w:hint="eastAsia" w:ascii="宋体" w:hAnsi="宋体"/>
          <w:color w:val="auto"/>
          <w:sz w:val="24"/>
          <w:szCs w:val="21"/>
        </w:rPr>
        <w:t>2</w:t>
      </w:r>
      <w:r>
        <w:rPr>
          <w:rFonts w:ascii="宋体" w:hAnsi="宋体"/>
          <w:color w:val="auto"/>
          <w:sz w:val="24"/>
          <w:szCs w:val="21"/>
        </w:rPr>
        <w:t>020年推进城市生活垃圾分类工作实施意见》</w:t>
      </w:r>
      <w:r>
        <w:rPr>
          <w:rFonts w:hint="eastAsia" w:ascii="宋体" w:hAnsi="宋体"/>
          <w:color w:val="auto"/>
          <w:sz w:val="24"/>
          <w:szCs w:val="21"/>
        </w:rPr>
        <w:t>、</w:t>
      </w:r>
      <w:r>
        <w:rPr>
          <w:rFonts w:ascii="宋体" w:hAnsi="宋体"/>
          <w:color w:val="auto"/>
          <w:sz w:val="24"/>
          <w:szCs w:val="21"/>
        </w:rPr>
        <w:t>《</w:t>
      </w:r>
      <w:r>
        <w:rPr>
          <w:rFonts w:hint="eastAsia" w:ascii="宋体" w:hAnsi="宋体"/>
          <w:color w:val="auto"/>
          <w:sz w:val="24"/>
          <w:szCs w:val="21"/>
        </w:rPr>
        <w:t>许昌</w:t>
      </w:r>
      <w:r>
        <w:rPr>
          <w:rFonts w:ascii="宋体" w:hAnsi="宋体"/>
          <w:color w:val="auto"/>
          <w:sz w:val="24"/>
          <w:szCs w:val="21"/>
        </w:rPr>
        <w:t>经济技术开发区管理委员会关于</w:t>
      </w:r>
      <w:r>
        <w:rPr>
          <w:rFonts w:hint="eastAsia" w:ascii="宋体" w:hAnsi="宋体"/>
          <w:color w:val="auto"/>
          <w:sz w:val="24"/>
          <w:szCs w:val="21"/>
        </w:rPr>
        <w:t>2</w:t>
      </w:r>
      <w:r>
        <w:rPr>
          <w:rFonts w:ascii="宋体" w:hAnsi="宋体"/>
          <w:color w:val="auto"/>
          <w:sz w:val="24"/>
          <w:szCs w:val="21"/>
        </w:rPr>
        <w:t>020年生活垃圾分类工作的实施意见》</w:t>
      </w:r>
      <w:r>
        <w:rPr>
          <w:rFonts w:hint="eastAsia" w:ascii="宋体" w:hAnsi="宋体"/>
          <w:color w:val="auto"/>
          <w:sz w:val="24"/>
          <w:szCs w:val="21"/>
        </w:rPr>
        <w:t xml:space="preserve">标准要求。试点稳定运行，在项目运行初始阶段，居民生活垃圾分类知识知晓率达到 90%，生活垃圾回收利用率达到 30%；在项目运行稳定阶段，生活垃圾无害化处理率达到 </w:t>
      </w:r>
      <w:r>
        <w:rPr>
          <w:rFonts w:ascii="宋体" w:hAnsi="宋体"/>
          <w:color w:val="auto"/>
          <w:sz w:val="24"/>
          <w:szCs w:val="21"/>
        </w:rPr>
        <w:t>9</w:t>
      </w:r>
      <w:r>
        <w:rPr>
          <w:rFonts w:hint="eastAsia" w:ascii="宋体" w:hAnsi="宋体"/>
          <w:color w:val="auto"/>
          <w:sz w:val="24"/>
          <w:szCs w:val="21"/>
        </w:rPr>
        <w:t>0%，居民生活垃圾分类知识知晓率达到 95%，生活垃圾回收利用率达到 35%以上，居民分类投放垃圾的参与率和准确率达到 95% 和 80%以上。</w:t>
      </w:r>
    </w:p>
    <w:p>
      <w:pPr>
        <w:spacing w:line="276" w:lineRule="auto"/>
        <w:ind w:firstLine="484" w:firstLineChars="202"/>
        <w:jc w:val="left"/>
        <w:rPr>
          <w:rFonts w:ascii="宋体" w:hAnsi="宋体"/>
          <w:color w:val="auto"/>
          <w:sz w:val="24"/>
          <w:szCs w:val="21"/>
        </w:rPr>
      </w:pPr>
      <w:r>
        <w:rPr>
          <w:rFonts w:hint="eastAsia" w:ascii="宋体" w:hAnsi="宋体"/>
          <w:color w:val="auto"/>
          <w:sz w:val="24"/>
          <w:szCs w:val="21"/>
        </w:rPr>
        <w:t>2、收集的低值可回收物资资源化、无害化处理率达到 90%以上。</w:t>
      </w:r>
    </w:p>
    <w:p>
      <w:pPr>
        <w:spacing w:line="276" w:lineRule="auto"/>
        <w:ind w:firstLine="484" w:firstLineChars="202"/>
        <w:jc w:val="left"/>
        <w:rPr>
          <w:rFonts w:ascii="宋体" w:hAnsi="宋体"/>
          <w:color w:val="auto"/>
          <w:sz w:val="24"/>
          <w:szCs w:val="21"/>
        </w:rPr>
      </w:pPr>
      <w:r>
        <w:rPr>
          <w:rFonts w:hint="eastAsia" w:ascii="宋体" w:hAnsi="宋体"/>
          <w:color w:val="auto"/>
          <w:sz w:val="24"/>
          <w:szCs w:val="21"/>
        </w:rPr>
        <w:t>3、生活垃圾分类减量全覆盖的管理、垃圾分类减量的宣传督导：在社区开展垃圾分类和减量静态、动态宣传及培训，每个试点社区公共区域安装或张贴宣传画或海报。</w:t>
      </w:r>
    </w:p>
    <w:p>
      <w:pPr>
        <w:spacing w:line="276" w:lineRule="auto"/>
        <w:ind w:firstLine="484" w:firstLineChars="202"/>
        <w:jc w:val="left"/>
        <w:rPr>
          <w:rFonts w:ascii="宋体" w:hAnsi="宋体"/>
          <w:color w:val="auto"/>
          <w:sz w:val="24"/>
          <w:szCs w:val="21"/>
        </w:rPr>
      </w:pPr>
      <w:r>
        <w:rPr>
          <w:rFonts w:hint="eastAsia" w:ascii="宋体" w:hAnsi="宋体"/>
          <w:color w:val="auto"/>
          <w:sz w:val="24"/>
          <w:szCs w:val="21"/>
        </w:rPr>
        <w:t>4、组织开展“资源回收日”活动，每月组织开展的“资源回收日”活动不少于 4 次，每月开展的动态宣传活动不少于 4 场（可结合资源回收日活动，活动时间选择周六或周日）。</w:t>
      </w:r>
    </w:p>
    <w:p>
      <w:pPr>
        <w:spacing w:line="276" w:lineRule="auto"/>
        <w:ind w:firstLine="484" w:firstLineChars="202"/>
        <w:jc w:val="left"/>
        <w:rPr>
          <w:rFonts w:ascii="宋体" w:hAnsi="宋体"/>
          <w:color w:val="auto"/>
          <w:sz w:val="24"/>
          <w:szCs w:val="21"/>
        </w:rPr>
      </w:pPr>
      <w:r>
        <w:rPr>
          <w:rFonts w:hint="eastAsia" w:ascii="宋体" w:hAnsi="宋体"/>
          <w:color w:val="auto"/>
          <w:sz w:val="24"/>
          <w:szCs w:val="21"/>
        </w:rPr>
        <w:t>5、负责试点垃圾减量分类投放点设备、设施、场地的日常监督管理工作，建立完善的内部管理制度，落实安全管理机制，确保投放点正常运作，安全、干净、整洁、卫生。</w:t>
      </w:r>
    </w:p>
    <w:p>
      <w:pPr>
        <w:spacing w:line="276" w:lineRule="auto"/>
        <w:ind w:firstLine="484" w:firstLineChars="202"/>
        <w:jc w:val="left"/>
        <w:rPr>
          <w:rFonts w:ascii="宋体" w:hAnsi="宋体"/>
          <w:color w:val="auto"/>
          <w:sz w:val="24"/>
          <w:szCs w:val="21"/>
        </w:rPr>
      </w:pPr>
      <w:r>
        <w:rPr>
          <w:rFonts w:hint="eastAsia" w:ascii="宋体" w:hAnsi="宋体"/>
          <w:color w:val="auto"/>
          <w:sz w:val="24"/>
          <w:szCs w:val="21"/>
        </w:rPr>
        <w:t>6、专职督导员配置要求：每 300 户配置 1 名督导员，负责社区垃圾分类的入户宣传、指导，做好居民分类投放的监督和有关统计工作。督导员要佩戴胸牌或袖标上岗。</w:t>
      </w:r>
    </w:p>
    <w:p>
      <w:pPr>
        <w:spacing w:line="276" w:lineRule="auto"/>
        <w:ind w:firstLine="484" w:firstLineChars="202"/>
        <w:jc w:val="left"/>
        <w:rPr>
          <w:rFonts w:ascii="宋体" w:hAnsi="宋体"/>
          <w:color w:val="auto"/>
          <w:sz w:val="24"/>
          <w:szCs w:val="21"/>
        </w:rPr>
      </w:pPr>
      <w:r>
        <w:rPr>
          <w:rFonts w:hint="eastAsia" w:ascii="宋体" w:hAnsi="宋体"/>
          <w:color w:val="auto"/>
          <w:sz w:val="24"/>
          <w:szCs w:val="21"/>
        </w:rPr>
        <w:t>7、配备垃圾分类设备实现生活垃圾“四分类”运营，垃圾分类设备包括积分兑换机（具备发放垃圾袋和积分兑换功能），每 1500 户配备 1 台。智能厨余垃圾分类箱每 500 户配备 1 台；智能可回收箱每 1000 户配备 1 台。有毒有害箱体，每 1000 户配备 1 台；另外其他垃圾和非智能厨余垃圾按每 35 户配备各 1 个 240 升的投放桶设置在便于收运的适当位置，投放桶要摆放整齐，外观整洁干净，设置点地面要进行硬化处理。</w:t>
      </w:r>
    </w:p>
    <w:p>
      <w:pPr>
        <w:spacing w:line="276" w:lineRule="auto"/>
        <w:ind w:firstLine="484" w:firstLineChars="202"/>
        <w:jc w:val="left"/>
        <w:rPr>
          <w:rFonts w:ascii="宋体" w:hAnsi="宋体"/>
          <w:color w:val="auto"/>
          <w:sz w:val="24"/>
          <w:szCs w:val="21"/>
        </w:rPr>
      </w:pPr>
      <w:r>
        <w:rPr>
          <w:rFonts w:hint="eastAsia" w:ascii="宋体" w:hAnsi="宋体"/>
          <w:color w:val="auto"/>
          <w:sz w:val="24"/>
          <w:szCs w:val="21"/>
        </w:rPr>
        <w:t>8、制定居民参与垃圾分类减量奖励制度。</w:t>
      </w:r>
    </w:p>
    <w:p>
      <w:pPr>
        <w:spacing w:line="276" w:lineRule="auto"/>
        <w:ind w:firstLine="484" w:firstLineChars="202"/>
        <w:jc w:val="left"/>
        <w:rPr>
          <w:rFonts w:ascii="宋体" w:hAnsi="宋体"/>
          <w:color w:val="auto"/>
          <w:sz w:val="24"/>
          <w:szCs w:val="21"/>
        </w:rPr>
      </w:pPr>
      <w:r>
        <w:rPr>
          <w:rFonts w:hint="eastAsia" w:ascii="宋体" w:hAnsi="宋体"/>
          <w:color w:val="auto"/>
          <w:sz w:val="24"/>
          <w:szCs w:val="21"/>
        </w:rPr>
        <w:t>9、按照政府垃圾分类细则制定出有效的管理制度和作业流程。</w:t>
      </w:r>
    </w:p>
    <w:p>
      <w:pPr>
        <w:spacing w:line="276" w:lineRule="auto"/>
        <w:ind w:firstLine="484" w:firstLineChars="202"/>
        <w:jc w:val="left"/>
        <w:rPr>
          <w:rFonts w:ascii="宋体" w:hAnsi="宋体"/>
          <w:color w:val="auto"/>
          <w:sz w:val="24"/>
          <w:szCs w:val="21"/>
        </w:rPr>
      </w:pPr>
      <w:r>
        <w:rPr>
          <w:rFonts w:hint="eastAsia" w:ascii="宋体" w:hAnsi="宋体"/>
          <w:color w:val="auto"/>
          <w:sz w:val="24"/>
          <w:szCs w:val="21"/>
        </w:rPr>
        <w:t>10、每月 5 号前上报上月项目运营报表，向业主报送项目运营情况。</w:t>
      </w:r>
    </w:p>
    <w:p>
      <w:pPr>
        <w:spacing w:line="276" w:lineRule="auto"/>
        <w:ind w:firstLine="484" w:firstLineChars="202"/>
        <w:jc w:val="left"/>
        <w:rPr>
          <w:rFonts w:ascii="宋体" w:hAnsi="宋体"/>
          <w:color w:val="auto"/>
          <w:sz w:val="24"/>
          <w:szCs w:val="21"/>
        </w:rPr>
      </w:pPr>
      <w:r>
        <w:rPr>
          <w:rFonts w:hint="eastAsia" w:ascii="宋体" w:hAnsi="宋体"/>
          <w:color w:val="auto"/>
          <w:sz w:val="24"/>
          <w:szCs w:val="21"/>
        </w:rPr>
        <w:t>11、负责管理和作业过程中的事故处理和一切费用并独立解决因事故引起的各项纠纷。</w:t>
      </w:r>
    </w:p>
    <w:p>
      <w:pPr>
        <w:spacing w:line="276" w:lineRule="auto"/>
        <w:ind w:firstLine="484" w:firstLineChars="202"/>
        <w:jc w:val="left"/>
        <w:rPr>
          <w:rFonts w:ascii="宋体" w:hAnsi="宋体"/>
          <w:color w:val="auto"/>
          <w:sz w:val="24"/>
          <w:szCs w:val="21"/>
        </w:rPr>
      </w:pPr>
      <w:r>
        <w:rPr>
          <w:rFonts w:hint="eastAsia" w:ascii="宋体" w:hAnsi="宋体"/>
          <w:color w:val="auto"/>
          <w:sz w:val="24"/>
          <w:szCs w:val="21"/>
        </w:rPr>
        <w:t>12、配合甲方迎接上级部门检查，组织接待相关的参观学习考察团队，以及对试点工作进行媒体宣传报道。</w:t>
      </w:r>
    </w:p>
    <w:p>
      <w:pPr>
        <w:spacing w:line="276" w:lineRule="auto"/>
        <w:ind w:firstLine="484" w:firstLineChars="202"/>
        <w:jc w:val="left"/>
        <w:rPr>
          <w:rFonts w:hint="eastAsia" w:ascii="宋体" w:hAnsi="宋体"/>
          <w:color w:val="auto"/>
          <w:sz w:val="24"/>
          <w:szCs w:val="21"/>
        </w:rPr>
      </w:pPr>
      <w:r>
        <w:rPr>
          <w:rFonts w:hint="eastAsia" w:ascii="宋体" w:hAnsi="宋体"/>
          <w:color w:val="auto"/>
          <w:sz w:val="24"/>
          <w:szCs w:val="21"/>
        </w:rPr>
        <w:t>13、具体工作内容中标后按照采购人要求及省、市政府文件执行。</w:t>
      </w:r>
    </w:p>
    <w:p>
      <w:pPr>
        <w:spacing w:line="276" w:lineRule="auto"/>
        <w:ind w:firstLine="484" w:firstLineChars="202"/>
        <w:jc w:val="left"/>
        <w:rPr>
          <w:rFonts w:ascii="宋体" w:hAnsi="宋体"/>
          <w:color w:val="auto"/>
          <w:sz w:val="24"/>
          <w:szCs w:val="21"/>
        </w:rPr>
      </w:pPr>
      <w:r>
        <w:rPr>
          <w:rFonts w:hint="eastAsia" w:ascii="宋体" w:hAnsi="宋体"/>
          <w:color w:val="auto"/>
          <w:sz w:val="24"/>
          <w:szCs w:val="21"/>
        </w:rPr>
        <w:t>其他内容：</w:t>
      </w:r>
    </w:p>
    <w:p>
      <w:pPr>
        <w:spacing w:line="276" w:lineRule="auto"/>
        <w:ind w:firstLine="484" w:firstLineChars="202"/>
        <w:jc w:val="left"/>
        <w:rPr>
          <w:rFonts w:ascii="宋体" w:hAnsi="宋体"/>
          <w:color w:val="auto"/>
          <w:sz w:val="24"/>
          <w:szCs w:val="21"/>
        </w:rPr>
      </w:pPr>
      <w:r>
        <w:rPr>
          <w:rFonts w:hint="eastAsia" w:ascii="宋体" w:hAnsi="宋体"/>
          <w:color w:val="auto"/>
          <w:sz w:val="24"/>
          <w:szCs w:val="21"/>
        </w:rPr>
        <w:t>1、中标人在合同执行过程中，须接受招标方及其上级的检查监督。</w:t>
      </w:r>
    </w:p>
    <w:p>
      <w:pPr>
        <w:spacing w:line="276" w:lineRule="auto"/>
        <w:ind w:firstLine="484" w:firstLineChars="202"/>
        <w:jc w:val="left"/>
        <w:rPr>
          <w:rFonts w:ascii="宋体" w:hAnsi="宋体"/>
          <w:color w:val="auto"/>
          <w:sz w:val="24"/>
          <w:szCs w:val="21"/>
        </w:rPr>
      </w:pPr>
      <w:r>
        <w:rPr>
          <w:rFonts w:hint="eastAsia" w:ascii="宋体" w:hAnsi="宋体"/>
          <w:color w:val="auto"/>
          <w:sz w:val="24"/>
          <w:szCs w:val="21"/>
        </w:rPr>
        <w:t>2、因中标方原因导致服务合同被解除的，中标方承担全部损失和责任。</w:t>
      </w:r>
    </w:p>
    <w:p>
      <w:pPr>
        <w:spacing w:line="276" w:lineRule="auto"/>
        <w:ind w:firstLine="484" w:firstLineChars="202"/>
        <w:jc w:val="left"/>
        <w:rPr>
          <w:rFonts w:hint="eastAsia" w:ascii="宋体" w:hAnsi="宋体"/>
          <w:color w:val="auto"/>
          <w:sz w:val="24"/>
          <w:szCs w:val="21"/>
        </w:rPr>
      </w:pPr>
      <w:r>
        <w:rPr>
          <w:rFonts w:hint="eastAsia" w:ascii="宋体" w:hAnsi="宋体"/>
          <w:color w:val="auto"/>
          <w:sz w:val="24"/>
          <w:szCs w:val="21"/>
        </w:rPr>
        <w:t>3、中标方服务过程中所有损坏的设施设备，应自行承担相应费用，并不能因此免除做好垃圾分类运营服务的责任。</w:t>
      </w:r>
    </w:p>
    <w:p>
      <w:pPr>
        <w:spacing w:line="276" w:lineRule="auto"/>
        <w:ind w:firstLine="484" w:firstLineChars="202"/>
        <w:jc w:val="left"/>
        <w:rPr>
          <w:rFonts w:hint="eastAsia" w:ascii="宋体" w:hAnsi="宋体" w:eastAsia="宋体" w:cs="宋体"/>
          <w:b/>
          <w:bCs/>
          <w:color w:val="auto"/>
          <w:sz w:val="24"/>
          <w:szCs w:val="24"/>
        </w:rPr>
      </w:pPr>
      <w:r>
        <w:rPr>
          <w:rFonts w:hint="eastAsia" w:ascii="宋体" w:hAnsi="宋体" w:eastAsia="宋体" w:cs="宋体"/>
          <w:bCs/>
          <w:color w:val="auto"/>
          <w:sz w:val="24"/>
          <w:szCs w:val="24"/>
          <w:lang w:val="en-US" w:eastAsia="zh-CN"/>
        </w:rPr>
        <w:t>4</w:t>
      </w:r>
      <w:r>
        <w:rPr>
          <w:rFonts w:hint="eastAsia" w:ascii="宋体" w:hAnsi="宋体" w:eastAsia="宋体" w:cs="宋体"/>
          <w:bCs/>
          <w:color w:val="auto"/>
          <w:sz w:val="24"/>
          <w:szCs w:val="24"/>
        </w:rPr>
        <w:t>、服务期限为 3 年，由中标单位与业主签订合同之日起，满 1 年后中标方达到服务要求续签下一年合同，服务期满 3 年终止。中标单位服务期满后可自行选择是否对所配设施进行回收</w:t>
      </w:r>
      <w:r>
        <w:rPr>
          <w:rFonts w:hint="eastAsia" w:ascii="宋体" w:hAnsi="宋体" w:eastAsia="宋体" w:cs="宋体"/>
          <w:b/>
          <w:bCs/>
          <w:color w:val="auto"/>
          <w:sz w:val="24"/>
          <w:szCs w:val="24"/>
        </w:rPr>
        <w:t>。</w:t>
      </w:r>
    </w:p>
    <w:p>
      <w:pPr>
        <w:spacing w:line="276" w:lineRule="auto"/>
        <w:ind w:firstLine="484" w:firstLineChars="202"/>
        <w:jc w:val="left"/>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5</w:t>
      </w:r>
      <w:r>
        <w:rPr>
          <w:rFonts w:hint="eastAsia" w:ascii="宋体" w:hAnsi="宋体" w:eastAsia="宋体" w:cs="宋体"/>
          <w:bCs/>
          <w:color w:val="auto"/>
          <w:sz w:val="24"/>
          <w:szCs w:val="24"/>
        </w:rPr>
        <w:t>、投标人须提供完整可行的服务管理方案</w:t>
      </w:r>
      <w:r>
        <w:rPr>
          <w:rFonts w:hint="eastAsia" w:ascii="宋体" w:hAnsi="宋体" w:eastAsia="宋体" w:cs="宋体"/>
          <w:bCs/>
          <w:color w:val="auto"/>
          <w:sz w:val="24"/>
          <w:szCs w:val="24"/>
          <w:lang w:val="zh-CN"/>
        </w:rPr>
        <w:t>，</w:t>
      </w:r>
      <w:r>
        <w:rPr>
          <w:rFonts w:hint="eastAsia" w:ascii="宋体" w:hAnsi="宋体" w:eastAsia="宋体" w:cs="宋体"/>
          <w:bCs/>
          <w:color w:val="auto"/>
          <w:sz w:val="24"/>
          <w:szCs w:val="24"/>
        </w:rPr>
        <w:t>否则为无效投标。</w:t>
      </w:r>
    </w:p>
    <w:p>
      <w:pPr>
        <w:spacing w:line="276" w:lineRule="auto"/>
        <w:ind w:firstLine="484" w:firstLineChars="202"/>
        <w:jc w:val="left"/>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6</w:t>
      </w:r>
      <w:r>
        <w:rPr>
          <w:rFonts w:hint="eastAsia" w:ascii="宋体" w:hAnsi="宋体" w:eastAsia="宋体" w:cs="宋体"/>
          <w:bCs/>
          <w:color w:val="auto"/>
          <w:sz w:val="24"/>
          <w:szCs w:val="24"/>
        </w:rPr>
        <w:t>、投标人应就本项目完整投标，否则为无效投标。</w:t>
      </w:r>
    </w:p>
    <w:p>
      <w:pPr>
        <w:spacing w:line="276" w:lineRule="auto"/>
        <w:ind w:firstLine="484" w:firstLineChars="202"/>
        <w:jc w:val="left"/>
        <w:rPr>
          <w:rFonts w:hint="eastAsia" w:ascii="宋体" w:hAnsi="宋体" w:eastAsia="宋体" w:cs="宋体"/>
          <w:bCs/>
          <w:color w:val="auto"/>
          <w:sz w:val="24"/>
          <w:szCs w:val="24"/>
          <w:lang w:val="zh-CN"/>
        </w:rPr>
      </w:pPr>
      <w:r>
        <w:rPr>
          <w:rFonts w:hint="eastAsia" w:ascii="宋体" w:hAnsi="宋体" w:eastAsia="宋体" w:cs="宋体"/>
          <w:bCs/>
          <w:color w:val="auto"/>
          <w:sz w:val="24"/>
          <w:szCs w:val="24"/>
          <w:lang w:val="en-US" w:eastAsia="zh-CN"/>
        </w:rPr>
        <w:t>7</w:t>
      </w:r>
      <w:r>
        <w:rPr>
          <w:rFonts w:hint="eastAsia" w:ascii="宋体" w:hAnsi="宋体" w:eastAsia="宋体" w:cs="宋体"/>
          <w:bCs/>
          <w:color w:val="auto"/>
          <w:sz w:val="24"/>
          <w:szCs w:val="24"/>
        </w:rPr>
        <w:t>、</w:t>
      </w:r>
      <w:r>
        <w:rPr>
          <w:rFonts w:hint="eastAsia" w:ascii="宋体" w:hAnsi="宋体" w:eastAsia="宋体" w:cs="宋体"/>
          <w:bCs/>
          <w:color w:val="auto"/>
          <w:sz w:val="24"/>
          <w:szCs w:val="24"/>
          <w:lang w:val="zh-CN"/>
        </w:rPr>
        <w:t>本项目为交钥匙服务项目。</w:t>
      </w:r>
    </w:p>
    <w:p>
      <w:pPr>
        <w:spacing w:line="276" w:lineRule="auto"/>
        <w:ind w:firstLine="484" w:firstLineChars="202"/>
        <w:jc w:val="left"/>
        <w:rPr>
          <w:color w:val="auto"/>
        </w:rPr>
      </w:pPr>
      <w:r>
        <w:rPr>
          <w:rFonts w:hint="eastAsia" w:hAnsi="宋体" w:cs="宋体"/>
          <w:bCs/>
          <w:color w:val="auto"/>
          <w:sz w:val="24"/>
          <w:szCs w:val="24"/>
          <w:lang w:val="en-US" w:eastAsia="zh-CN"/>
        </w:rPr>
        <w:t>8</w:t>
      </w:r>
      <w:r>
        <w:rPr>
          <w:rFonts w:hint="eastAsia" w:hAnsi="宋体" w:cs="宋体"/>
          <w:bCs/>
          <w:color w:val="auto"/>
          <w:sz w:val="24"/>
          <w:szCs w:val="24"/>
        </w:rPr>
        <w:t>、质量标准：达到《许昌市2020年推进城市生活垃圾分类工作实施意见》、《许昌经济技术开发区管理委员会关于2020年生活垃圾分类工作的实施意见》标准要求。如中标单位在实地工作中存在弄虚作假行为达两次</w:t>
      </w:r>
      <w:r>
        <w:rPr>
          <w:rFonts w:hint="eastAsia" w:hAnsi="宋体" w:cs="宋体"/>
          <w:bCs/>
          <w:color w:val="auto"/>
          <w:sz w:val="24"/>
          <w:szCs w:val="24"/>
          <w:lang w:eastAsia="zh-CN"/>
        </w:rPr>
        <w:t>及</w:t>
      </w:r>
      <w:r>
        <w:rPr>
          <w:rFonts w:hint="eastAsia" w:hAnsi="宋体" w:cs="宋体"/>
          <w:bCs/>
          <w:color w:val="auto"/>
          <w:sz w:val="24"/>
          <w:szCs w:val="24"/>
          <w:lang w:val="en-US" w:eastAsia="zh-CN"/>
        </w:rPr>
        <w:t>+</w:t>
      </w:r>
      <w:r>
        <w:rPr>
          <w:rFonts w:hint="eastAsia" w:hAnsi="宋体" w:cs="宋体"/>
          <w:bCs/>
          <w:color w:val="auto"/>
          <w:sz w:val="24"/>
          <w:szCs w:val="24"/>
        </w:rPr>
        <w:t>以上，业主可与中标单位解除合同。</w:t>
      </w:r>
    </w:p>
    <w:p>
      <w:pPr>
        <w:widowControl/>
        <w:shd w:val="clear" w:color="auto" w:fill="FFFFFF"/>
        <w:spacing w:line="360" w:lineRule="auto"/>
        <w:ind w:firstLine="482" w:firstLineChars="200"/>
        <w:contextualSpacing/>
        <w:jc w:val="left"/>
        <w:rPr>
          <w:rFonts w:ascii="楷体" w:hAnsi="楷体" w:eastAsia="楷体" w:cs="宋体"/>
          <w:color w:val="auto"/>
          <w:kern w:val="0"/>
          <w:sz w:val="24"/>
          <w:szCs w:val="24"/>
          <w:lang w:val="zh-CN"/>
        </w:rPr>
      </w:pPr>
      <w:r>
        <w:rPr>
          <w:rFonts w:hint="eastAsia" w:ascii="宋体" w:hAnsi="宋体" w:cs="微软雅黑"/>
          <w:b/>
          <w:color w:val="auto"/>
          <w:sz w:val="24"/>
          <w:szCs w:val="24"/>
        </w:rPr>
        <w:t>★</w:t>
      </w:r>
      <w:r>
        <w:rPr>
          <w:rFonts w:hint="eastAsia" w:ascii="宋体" w:hAnsi="宋体" w:cs="宋体"/>
          <w:b/>
          <w:color w:val="auto"/>
          <w:kern w:val="0"/>
          <w:sz w:val="24"/>
          <w:szCs w:val="24"/>
          <w:lang w:val="zh-CN"/>
        </w:rPr>
        <w:t>四、验收标准</w:t>
      </w:r>
    </w:p>
    <w:p>
      <w:pPr>
        <w:widowControl/>
        <w:shd w:val="clear" w:color="auto" w:fill="FFFFFF"/>
        <w:spacing w:line="360" w:lineRule="auto"/>
        <w:ind w:firstLine="720" w:firstLineChars="300"/>
        <w:contextualSpacing/>
        <w:jc w:val="left"/>
        <w:rPr>
          <w:rFonts w:ascii="宋体" w:cs="宋体"/>
          <w:color w:val="auto"/>
          <w:kern w:val="0"/>
          <w:sz w:val="24"/>
          <w:szCs w:val="24"/>
          <w:lang w:val="zh-CN"/>
        </w:rPr>
      </w:pPr>
      <w:r>
        <w:rPr>
          <w:rFonts w:ascii="宋体" w:hAnsi="宋体" w:cs="宋体"/>
          <w:color w:val="auto"/>
          <w:kern w:val="0"/>
          <w:sz w:val="24"/>
          <w:szCs w:val="24"/>
          <w:lang w:val="zh-CN"/>
        </w:rPr>
        <w:t>1</w:t>
      </w:r>
      <w:r>
        <w:rPr>
          <w:rFonts w:hint="eastAsia" w:ascii="宋体" w:hAnsi="宋体" w:cs="宋体"/>
          <w:color w:val="auto"/>
          <w:kern w:val="0"/>
          <w:sz w:val="24"/>
          <w:szCs w:val="24"/>
          <w:lang w:val="zh-CN"/>
        </w:rPr>
        <w:t>、由采购人成立验收小组</w:t>
      </w:r>
      <w:r>
        <w:rPr>
          <w:rFonts w:ascii="宋体" w:cs="宋体"/>
          <w:color w:val="auto"/>
          <w:kern w:val="0"/>
          <w:sz w:val="24"/>
          <w:szCs w:val="24"/>
          <w:lang w:val="zh-CN"/>
        </w:rPr>
        <w:t>,</w:t>
      </w:r>
      <w:r>
        <w:rPr>
          <w:rFonts w:hint="eastAsia" w:ascii="宋体" w:hAnsi="宋体" w:cs="宋体"/>
          <w:color w:val="auto"/>
          <w:kern w:val="0"/>
          <w:sz w:val="24"/>
          <w:szCs w:val="24"/>
          <w:lang w:val="zh-CN"/>
        </w:rPr>
        <w:t>按照采购合同的约定对中标人履约情况进行验收。验收时</w:t>
      </w:r>
      <w:r>
        <w:rPr>
          <w:rFonts w:ascii="宋体" w:cs="宋体"/>
          <w:color w:val="auto"/>
          <w:kern w:val="0"/>
          <w:sz w:val="24"/>
          <w:szCs w:val="24"/>
          <w:lang w:val="zh-CN"/>
        </w:rPr>
        <w:t>,</w:t>
      </w:r>
      <w:r>
        <w:rPr>
          <w:rFonts w:hint="eastAsia" w:ascii="宋体" w:hAnsi="宋体" w:cs="宋体"/>
          <w:color w:val="auto"/>
          <w:kern w:val="0"/>
          <w:sz w:val="24"/>
          <w:szCs w:val="24"/>
          <w:lang w:val="zh-CN"/>
        </w:rPr>
        <w:t>按照采购合同的约定对每一项技术、服务、安全标准的履约情况进行确认。验收结束后</w:t>
      </w:r>
      <w:r>
        <w:rPr>
          <w:rFonts w:ascii="宋体" w:cs="宋体"/>
          <w:color w:val="auto"/>
          <w:kern w:val="0"/>
          <w:sz w:val="24"/>
          <w:szCs w:val="24"/>
          <w:lang w:val="zh-CN"/>
        </w:rPr>
        <w:t>,</w:t>
      </w:r>
      <w:r>
        <w:rPr>
          <w:rFonts w:hint="eastAsia" w:ascii="宋体" w:hAnsi="宋体" w:cs="宋体"/>
          <w:color w:val="auto"/>
          <w:kern w:val="0"/>
          <w:sz w:val="24"/>
          <w:szCs w:val="24"/>
          <w:lang w:val="zh-CN"/>
        </w:rPr>
        <w:t>出具验收书</w:t>
      </w:r>
      <w:r>
        <w:rPr>
          <w:rFonts w:ascii="宋体" w:cs="宋体"/>
          <w:color w:val="auto"/>
          <w:kern w:val="0"/>
          <w:sz w:val="24"/>
          <w:szCs w:val="24"/>
          <w:lang w:val="zh-CN"/>
        </w:rPr>
        <w:t>,</w:t>
      </w:r>
      <w:r>
        <w:rPr>
          <w:rFonts w:hint="eastAsia" w:ascii="宋体" w:hAnsi="宋体" w:cs="宋体"/>
          <w:color w:val="auto"/>
          <w:kern w:val="0"/>
          <w:sz w:val="24"/>
          <w:szCs w:val="24"/>
          <w:lang w:val="zh-CN"/>
        </w:rPr>
        <w:t>列明各项标准的验收情况及项目总体评价</w:t>
      </w:r>
      <w:r>
        <w:rPr>
          <w:rFonts w:ascii="宋体" w:cs="宋体"/>
          <w:color w:val="auto"/>
          <w:kern w:val="0"/>
          <w:sz w:val="24"/>
          <w:szCs w:val="24"/>
          <w:lang w:val="zh-CN"/>
        </w:rPr>
        <w:t>,</w:t>
      </w:r>
      <w:r>
        <w:rPr>
          <w:rFonts w:hint="eastAsia" w:ascii="宋体" w:hAnsi="宋体" w:cs="宋体"/>
          <w:color w:val="auto"/>
          <w:kern w:val="0"/>
          <w:sz w:val="24"/>
          <w:szCs w:val="24"/>
          <w:lang w:val="zh-CN"/>
        </w:rPr>
        <w:t>由验收双方共同签署。</w:t>
      </w:r>
    </w:p>
    <w:p>
      <w:pPr>
        <w:widowControl/>
        <w:shd w:val="clear" w:color="auto" w:fill="FFFFFF"/>
        <w:spacing w:line="360" w:lineRule="auto"/>
        <w:ind w:firstLine="720" w:firstLineChars="300"/>
        <w:contextualSpacing/>
        <w:jc w:val="left"/>
        <w:rPr>
          <w:rFonts w:ascii="仿宋" w:hAnsi="仿宋" w:eastAsia="仿宋" w:cs="宋体"/>
          <w:color w:val="auto"/>
          <w:kern w:val="0"/>
          <w:sz w:val="24"/>
          <w:szCs w:val="24"/>
          <w:lang w:val="zh-CN"/>
        </w:rPr>
      </w:pPr>
      <w:r>
        <w:rPr>
          <w:rFonts w:ascii="宋体" w:hAnsi="宋体" w:cs="宋体"/>
          <w:color w:val="auto"/>
          <w:kern w:val="0"/>
          <w:sz w:val="24"/>
          <w:szCs w:val="24"/>
          <w:lang w:val="zh-CN"/>
        </w:rPr>
        <w:t>2</w:t>
      </w:r>
      <w:r>
        <w:rPr>
          <w:rFonts w:hint="eastAsia" w:ascii="宋体" w:hAnsi="宋体" w:cs="宋体"/>
          <w:color w:val="auto"/>
          <w:kern w:val="0"/>
          <w:sz w:val="24"/>
          <w:szCs w:val="24"/>
          <w:lang w:val="zh-CN"/>
        </w:rPr>
        <w:t>、按照招标文件要求、投标文件响应和承诺验收</w:t>
      </w:r>
      <w:r>
        <w:rPr>
          <w:rFonts w:hint="eastAsia" w:ascii="仿宋" w:hAnsi="仿宋" w:eastAsia="仿宋" w:cs="宋体"/>
          <w:color w:val="auto"/>
          <w:kern w:val="0"/>
          <w:sz w:val="24"/>
          <w:szCs w:val="24"/>
          <w:lang w:val="zh-CN"/>
        </w:rPr>
        <w:t>；</w:t>
      </w:r>
    </w:p>
    <w:p>
      <w:pPr>
        <w:pStyle w:val="25"/>
        <w:widowControl/>
        <w:shd w:val="clear" w:color="auto" w:fill="FFFFFF"/>
        <w:spacing w:line="360" w:lineRule="auto"/>
        <w:ind w:firstLine="420"/>
        <w:contextualSpacing/>
        <w:jc w:val="left"/>
        <w:rPr>
          <w:rFonts w:ascii="宋体" w:cs="黑体"/>
          <w:b/>
          <w:bCs/>
          <w:color w:val="auto"/>
          <w:shd w:val="clear" w:color="auto" w:fill="FFFFFF"/>
        </w:rPr>
      </w:pPr>
      <w:r>
        <w:rPr>
          <w:rFonts w:hint="eastAsia" w:ascii="宋体" w:hAnsi="宋体" w:cs="微软雅黑"/>
          <w:b/>
          <w:color w:val="auto"/>
        </w:rPr>
        <w:t>★五</w:t>
      </w:r>
      <w:r>
        <w:rPr>
          <w:rFonts w:hint="eastAsia" w:ascii="宋体" w:hAnsi="宋体" w:cs="黑体"/>
          <w:b/>
          <w:bCs/>
          <w:color w:val="auto"/>
          <w:shd w:val="clear" w:color="auto" w:fill="FFFFFF"/>
        </w:rPr>
        <w:t>、本项目预算金额</w:t>
      </w:r>
      <w:r>
        <w:rPr>
          <w:rFonts w:hint="eastAsia" w:ascii="宋体" w:hAnsi="宋体" w:cs="宋体" w:eastAsiaTheme="minorEastAsia"/>
          <w:color w:val="auto"/>
          <w:kern w:val="0"/>
        </w:rPr>
        <w:t>1789920</w:t>
      </w:r>
      <w:r>
        <w:rPr>
          <w:rFonts w:hint="eastAsia" w:ascii="宋体" w:hAnsi="宋体" w:cs="宋体" w:eastAsiaTheme="minorEastAsia"/>
          <w:color w:val="auto"/>
          <w:kern w:val="0"/>
          <w:lang w:val="zh-CN"/>
        </w:rPr>
        <w:t>.</w:t>
      </w:r>
      <w:r>
        <w:rPr>
          <w:rFonts w:hint="eastAsia" w:ascii="宋体" w:hAnsi="宋体" w:cs="黑体"/>
          <w:color w:val="auto"/>
          <w:shd w:val="clear" w:color="auto" w:fill="FFFFFF"/>
        </w:rPr>
        <w:t>00</w:t>
      </w:r>
      <w:r>
        <w:rPr>
          <w:rFonts w:hint="eastAsia" w:ascii="宋体" w:hAnsi="宋体" w:cs="黑体"/>
          <w:b/>
          <w:bCs/>
          <w:color w:val="auto"/>
          <w:shd w:val="clear" w:color="auto" w:fill="FFFFFF"/>
        </w:rPr>
        <w:t>元/年。最高限价</w:t>
      </w:r>
      <w:r>
        <w:rPr>
          <w:rFonts w:hint="eastAsia" w:ascii="宋体" w:hAnsi="宋体" w:cs="宋体" w:eastAsiaTheme="minorEastAsia"/>
          <w:color w:val="auto"/>
          <w:kern w:val="0"/>
        </w:rPr>
        <w:t>1789920.</w:t>
      </w:r>
      <w:r>
        <w:rPr>
          <w:rFonts w:hint="eastAsia" w:ascii="宋体" w:hAnsi="宋体" w:cs="仿宋_GB2312"/>
          <w:color w:val="auto"/>
          <w:shd w:val="clear" w:color="auto" w:fill="FFFFFF"/>
        </w:rPr>
        <w:t>00</w:t>
      </w:r>
      <w:r>
        <w:rPr>
          <w:rFonts w:hint="eastAsia" w:ascii="宋体" w:hAnsi="宋体" w:cs="黑体"/>
          <w:b/>
          <w:bCs/>
          <w:color w:val="auto"/>
          <w:shd w:val="clear" w:color="auto" w:fill="FFFFFF"/>
        </w:rPr>
        <w:t>元/年</w:t>
      </w:r>
      <w:r>
        <w:rPr>
          <w:rFonts w:hint="eastAsia" w:ascii="宋体" w:hAnsi="宋体" w:cs="宋体"/>
          <w:b/>
          <w:color w:val="auto"/>
          <w:kern w:val="0"/>
          <w:lang w:val="zh-CN"/>
        </w:rPr>
        <w:t>。超出最高限价的投标无效。</w:t>
      </w:r>
    </w:p>
    <w:p>
      <w:pPr>
        <w:widowControl/>
        <w:shd w:val="clear" w:color="auto" w:fill="FFFFFF"/>
        <w:spacing w:line="360" w:lineRule="auto"/>
        <w:ind w:firstLine="482" w:firstLineChars="200"/>
        <w:contextualSpacing/>
        <w:jc w:val="left"/>
        <w:rPr>
          <w:rFonts w:ascii="宋体" w:cs="宋体"/>
          <w:b/>
          <w:color w:val="auto"/>
          <w:kern w:val="0"/>
          <w:sz w:val="24"/>
          <w:szCs w:val="24"/>
          <w:lang w:val="zh-CN"/>
        </w:rPr>
      </w:pPr>
      <w:r>
        <w:rPr>
          <w:rFonts w:hint="eastAsia" w:ascii="宋体" w:hAnsi="宋体" w:cs="微软雅黑"/>
          <w:b/>
          <w:color w:val="auto"/>
          <w:sz w:val="24"/>
          <w:szCs w:val="24"/>
        </w:rPr>
        <w:t>★</w:t>
      </w:r>
      <w:r>
        <w:rPr>
          <w:rFonts w:hint="eastAsia" w:ascii="宋体" w:hAnsi="宋体" w:cs="宋体"/>
          <w:b/>
          <w:color w:val="auto"/>
          <w:kern w:val="0"/>
          <w:sz w:val="24"/>
          <w:szCs w:val="24"/>
          <w:lang w:val="zh-CN"/>
        </w:rPr>
        <w:t>六、资金支付</w:t>
      </w:r>
    </w:p>
    <w:p>
      <w:pPr>
        <w:widowControl/>
        <w:shd w:val="clear" w:color="auto" w:fill="FFFFFF"/>
        <w:spacing w:line="360" w:lineRule="auto"/>
        <w:ind w:firstLine="480" w:firstLineChars="200"/>
        <w:contextualSpacing/>
        <w:jc w:val="left"/>
        <w:rPr>
          <w:rFonts w:ascii="宋体" w:hAnsi="宋体" w:cs="宋体"/>
          <w:color w:val="auto"/>
          <w:kern w:val="0"/>
          <w:sz w:val="24"/>
          <w:szCs w:val="24"/>
          <w:lang w:val="zh-CN"/>
        </w:rPr>
      </w:pPr>
      <w:r>
        <w:rPr>
          <w:rFonts w:hint="eastAsia" w:ascii="宋体" w:hAnsi="宋体" w:cs="宋体"/>
          <w:color w:val="auto"/>
          <w:kern w:val="0"/>
          <w:sz w:val="24"/>
          <w:szCs w:val="24"/>
          <w:lang w:val="zh-CN"/>
        </w:rPr>
        <w:t>1、支付方式：银行转账。</w:t>
      </w:r>
    </w:p>
    <w:p>
      <w:pPr>
        <w:widowControl/>
        <w:shd w:val="clear" w:color="auto" w:fill="FFFFFF"/>
        <w:spacing w:line="360" w:lineRule="auto"/>
        <w:ind w:firstLine="480" w:firstLineChars="200"/>
        <w:contextualSpacing/>
        <w:jc w:val="left"/>
        <w:rPr>
          <w:rFonts w:ascii="宋体" w:hAnsi="宋体" w:cs="宋体"/>
          <w:color w:val="auto"/>
          <w:kern w:val="0"/>
          <w:sz w:val="24"/>
          <w:szCs w:val="24"/>
          <w:lang w:val="zh-CN"/>
        </w:rPr>
      </w:pPr>
      <w:r>
        <w:rPr>
          <w:rFonts w:hint="eastAsia" w:ascii="宋体" w:hAnsi="宋体" w:cs="宋体"/>
          <w:color w:val="auto"/>
          <w:kern w:val="0"/>
          <w:sz w:val="24"/>
          <w:szCs w:val="24"/>
          <w:lang w:val="zh-CN"/>
        </w:rPr>
        <w:t>2、支付时间及条件：按照合同约定支付。</w:t>
      </w:r>
    </w:p>
    <w:p>
      <w:pPr>
        <w:widowControl/>
        <w:shd w:val="clear" w:color="auto" w:fill="FFFFFF"/>
        <w:spacing w:line="360" w:lineRule="auto"/>
        <w:ind w:firstLine="480" w:firstLineChars="200"/>
        <w:contextualSpacing/>
        <w:jc w:val="left"/>
        <w:rPr>
          <w:rFonts w:ascii="宋体" w:hAnsi="宋体" w:cs="宋体"/>
          <w:color w:val="auto"/>
          <w:kern w:val="0"/>
          <w:sz w:val="24"/>
          <w:szCs w:val="24"/>
        </w:rPr>
      </w:pPr>
      <w:r>
        <w:rPr>
          <w:rFonts w:hint="eastAsia" w:ascii="宋体" w:hAnsi="宋体" w:cs="宋体"/>
          <w:color w:val="auto"/>
          <w:kern w:val="0"/>
          <w:sz w:val="24"/>
          <w:szCs w:val="24"/>
        </w:rPr>
        <w:t xml:space="preserve"> </w:t>
      </w:r>
    </w:p>
    <w:p>
      <w:pPr>
        <w:spacing w:line="360" w:lineRule="auto"/>
        <w:ind w:firstLine="602" w:firstLineChars="200"/>
        <w:contextualSpacing/>
        <w:rPr>
          <w:rFonts w:ascii="仿宋" w:hAnsi="仿宋" w:eastAsia="仿宋" w:cs="仿宋"/>
          <w:b/>
          <w:color w:val="auto"/>
          <w:kern w:val="0"/>
          <w:sz w:val="30"/>
          <w:szCs w:val="30"/>
          <w:shd w:val="clear" w:color="auto" w:fill="FFFFFF"/>
        </w:rPr>
      </w:pPr>
    </w:p>
    <w:p>
      <w:pPr>
        <w:pageBreakBefore/>
        <w:numPr>
          <w:ilvl w:val="0"/>
          <w:numId w:val="4"/>
        </w:numPr>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投标人须知前附表</w:t>
      </w:r>
    </w:p>
    <w:p>
      <w:pPr>
        <w:pStyle w:val="25"/>
        <w:widowControl/>
        <w:spacing w:line="360" w:lineRule="auto"/>
        <w:ind w:firstLine="420"/>
        <w:jc w:val="left"/>
        <w:rPr>
          <w:rFonts w:ascii="宋体" w:hAnsi="宋体" w:cs="仿宋_GB2312"/>
          <w:color w:val="auto"/>
        </w:rPr>
      </w:pPr>
      <w:r>
        <w:rPr>
          <w:rFonts w:hint="eastAsia" w:cs="微软雅黑"/>
          <w:b/>
          <w:color w:val="auto"/>
        </w:rPr>
        <w:t>招标文件中凡标有</w:t>
      </w:r>
      <w:r>
        <w:rPr>
          <w:rFonts w:hint="eastAsia" w:cs="微软雅黑" w:asciiTheme="minorEastAsia" w:hAnsiTheme="minorEastAsia"/>
          <w:b/>
          <w:color w:val="auto"/>
        </w:rPr>
        <w:t>★</w:t>
      </w:r>
      <w:r>
        <w:rPr>
          <w:rFonts w:hint="eastAsia" w:cs="微软雅黑"/>
          <w:b/>
          <w:color w:val="auto"/>
        </w:rPr>
        <w:t>条款均为实质性要求条款，投标文件须完全响应，未实质响应的，按照无效投标处理。</w:t>
      </w:r>
    </w:p>
    <w:tbl>
      <w:tblPr>
        <w:tblStyle w:val="26"/>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6"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采购项目</w:t>
            </w:r>
          </w:p>
        </w:tc>
        <w:tc>
          <w:tcPr>
            <w:tcW w:w="6813" w:type="dxa"/>
          </w:tcPr>
          <w:p>
            <w:pPr>
              <w:autoSpaceDE w:val="0"/>
              <w:autoSpaceDN w:val="0"/>
              <w:adjustRightInd w:val="0"/>
              <w:spacing w:line="276" w:lineRule="auto"/>
              <w:jc w:val="left"/>
              <w:rPr>
                <w:rFonts w:cs="仿宋_GB2312" w:asciiTheme="minorEastAsia" w:hAnsiTheme="minorEastAsia"/>
                <w:color w:val="auto"/>
                <w:sz w:val="24"/>
                <w:szCs w:val="24"/>
              </w:rPr>
            </w:pPr>
            <w:r>
              <w:rPr>
                <w:rFonts w:hint="eastAsia" w:cs="仿宋_GB2312" w:asciiTheme="minorEastAsia" w:hAnsiTheme="minorEastAsia"/>
                <w:color w:val="auto"/>
                <w:sz w:val="24"/>
                <w:szCs w:val="24"/>
              </w:rPr>
              <w:t>项目名称：开发区垃圾分类试点工作购买社会化服务</w:t>
            </w:r>
          </w:p>
          <w:p>
            <w:pPr>
              <w:autoSpaceDE w:val="0"/>
              <w:autoSpaceDN w:val="0"/>
              <w:adjustRightInd w:val="0"/>
              <w:spacing w:line="276" w:lineRule="auto"/>
              <w:jc w:val="left"/>
              <w:rPr>
                <w:rFonts w:cs="仿宋_GB2312" w:asciiTheme="minorEastAsia" w:hAnsiTheme="minorEastAsia"/>
                <w:color w:val="auto"/>
                <w:sz w:val="24"/>
                <w:szCs w:val="24"/>
              </w:rPr>
            </w:pPr>
            <w:r>
              <w:rPr>
                <w:rFonts w:hint="eastAsia" w:cs="仿宋_GB2312" w:asciiTheme="minorEastAsia" w:hAnsiTheme="minorEastAsia"/>
                <w:color w:val="auto"/>
                <w:sz w:val="24"/>
                <w:szCs w:val="24"/>
              </w:rPr>
              <w:t>项目编号：JZFCG-G2019XXX号</w:t>
            </w:r>
          </w:p>
          <w:p>
            <w:pPr>
              <w:autoSpaceDE w:val="0"/>
              <w:autoSpaceDN w:val="0"/>
              <w:adjustRightInd w:val="0"/>
              <w:spacing w:line="276" w:lineRule="auto"/>
              <w:jc w:val="left"/>
              <w:rPr>
                <w:rFonts w:cs="仿宋_GB2312" w:asciiTheme="minorEastAsia" w:hAnsiTheme="minorEastAsia"/>
                <w:color w:val="auto"/>
                <w:sz w:val="24"/>
                <w:szCs w:val="24"/>
              </w:rPr>
            </w:pPr>
            <w:r>
              <w:rPr>
                <w:rFonts w:hint="eastAsia" w:cs="仿宋_GB2312" w:asciiTheme="minorEastAsia" w:hAnsiTheme="minorEastAsia"/>
                <w:color w:val="auto"/>
                <w:sz w:val="24"/>
                <w:szCs w:val="24"/>
              </w:rPr>
              <w:t>项目内容：为小区6000户居民日常生活垃圾分类减量工作，小区内垃圾分类宣传设施策划、制作、实施，宣传活动开展；智能设备投放，可回收垃圾、和有毒有害垃圾分类收集运输处置；厨余垃圾、其他垃圾的分类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6"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color w:val="auto"/>
                <w:sz w:val="24"/>
                <w:szCs w:val="24"/>
              </w:rPr>
            </w:pPr>
            <w:r>
              <w:rPr>
                <w:rFonts w:hint="eastAsia" w:cs="TimesNewRomanPSMT" w:asciiTheme="minorEastAsia" w:hAnsiTheme="minorEastAsia"/>
                <w:color w:val="auto"/>
                <w:sz w:val="24"/>
                <w:szCs w:val="24"/>
              </w:rPr>
              <w:t>2</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采购人</w:t>
            </w:r>
          </w:p>
        </w:tc>
        <w:tc>
          <w:tcPr>
            <w:tcW w:w="6813" w:type="dxa"/>
            <w:vAlign w:val="center"/>
          </w:tcPr>
          <w:p>
            <w:pPr>
              <w:autoSpaceDE w:val="0"/>
              <w:autoSpaceDN w:val="0"/>
              <w:adjustRightInd w:val="0"/>
              <w:spacing w:line="276" w:lineRule="auto"/>
              <w:jc w:val="left"/>
              <w:rPr>
                <w:rFonts w:cs="仿宋_GB2312" w:asciiTheme="minorEastAsia" w:hAnsiTheme="minorEastAsia"/>
                <w:color w:val="auto"/>
                <w:sz w:val="24"/>
                <w:szCs w:val="24"/>
              </w:rPr>
            </w:pPr>
            <w:r>
              <w:rPr>
                <w:rFonts w:hint="eastAsia" w:cs="仿宋_GB2312" w:asciiTheme="minorEastAsia" w:hAnsiTheme="minorEastAsia"/>
                <w:color w:val="auto"/>
                <w:sz w:val="24"/>
                <w:szCs w:val="24"/>
              </w:rPr>
              <w:t>名称：许昌经济技术开发区住房建设城市管理与环境保护局</w:t>
            </w:r>
          </w:p>
          <w:p>
            <w:pPr>
              <w:autoSpaceDE w:val="0"/>
              <w:autoSpaceDN w:val="0"/>
              <w:adjustRightInd w:val="0"/>
              <w:spacing w:line="276" w:lineRule="auto"/>
              <w:jc w:val="left"/>
              <w:rPr>
                <w:rFonts w:cs="仿宋_GB2312" w:asciiTheme="minorEastAsia" w:hAnsiTheme="minorEastAsia"/>
                <w:color w:val="auto"/>
                <w:sz w:val="24"/>
                <w:szCs w:val="24"/>
              </w:rPr>
            </w:pPr>
            <w:r>
              <w:rPr>
                <w:rFonts w:hint="eastAsia" w:cs="仿宋_GB2312" w:asciiTheme="minorEastAsia" w:hAnsiTheme="minorEastAsia"/>
                <w:color w:val="auto"/>
                <w:sz w:val="24"/>
                <w:szCs w:val="24"/>
              </w:rPr>
              <w:t>地址：许昌经济技术开发区管理委员会（瑞祥路中段）</w:t>
            </w:r>
          </w:p>
          <w:p>
            <w:pPr>
              <w:autoSpaceDE w:val="0"/>
              <w:autoSpaceDN w:val="0"/>
              <w:adjustRightInd w:val="0"/>
              <w:spacing w:line="276" w:lineRule="auto"/>
              <w:jc w:val="left"/>
              <w:rPr>
                <w:rFonts w:cs="仿宋_GB2312" w:asciiTheme="minorEastAsia" w:hAnsiTheme="minorEastAsia"/>
                <w:color w:val="auto"/>
                <w:sz w:val="24"/>
                <w:szCs w:val="24"/>
              </w:rPr>
            </w:pPr>
            <w:r>
              <w:rPr>
                <w:rFonts w:hint="eastAsia" w:cs="仿宋_GB2312" w:asciiTheme="minorEastAsia" w:hAnsiTheme="minorEastAsia"/>
                <w:color w:val="auto"/>
                <w:sz w:val="24"/>
                <w:szCs w:val="24"/>
              </w:rPr>
              <w:t>联系人：赵先生     联系电话：</w:t>
            </w:r>
            <w:r>
              <w:rPr>
                <w:rFonts w:cs="仿宋_GB2312" w:asciiTheme="minorEastAsia" w:hAnsiTheme="minorEastAsia"/>
                <w:color w:val="auto"/>
                <w:sz w:val="24"/>
                <w:szCs w:val="24"/>
              </w:rPr>
              <w:t>15617231729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3</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代理机构</w:t>
            </w:r>
          </w:p>
        </w:tc>
        <w:tc>
          <w:tcPr>
            <w:tcW w:w="6813" w:type="dxa"/>
            <w:vAlign w:val="center"/>
          </w:tcPr>
          <w:p>
            <w:pPr>
              <w:autoSpaceDE w:val="0"/>
              <w:autoSpaceDN w:val="0"/>
              <w:adjustRightInd w:val="0"/>
              <w:spacing w:line="276" w:lineRule="auto"/>
              <w:jc w:val="left"/>
              <w:rPr>
                <w:rFonts w:cs="仿宋_GB2312" w:asciiTheme="minorEastAsia" w:hAnsiTheme="minorEastAsia"/>
                <w:color w:val="auto"/>
                <w:sz w:val="24"/>
                <w:szCs w:val="24"/>
              </w:rPr>
            </w:pPr>
            <w:r>
              <w:rPr>
                <w:rFonts w:hint="eastAsia" w:cs="仿宋_GB2312" w:asciiTheme="minorEastAsia" w:hAnsiTheme="minorEastAsia"/>
                <w:color w:val="auto"/>
                <w:sz w:val="24"/>
                <w:szCs w:val="24"/>
              </w:rPr>
              <w:t>名称：河南远大建设工程管理有限公司</w:t>
            </w:r>
          </w:p>
          <w:p>
            <w:pPr>
              <w:autoSpaceDE w:val="0"/>
              <w:autoSpaceDN w:val="0"/>
              <w:adjustRightInd w:val="0"/>
              <w:spacing w:line="276" w:lineRule="auto"/>
              <w:jc w:val="left"/>
              <w:rPr>
                <w:rFonts w:cs="仿宋_GB2312" w:asciiTheme="minorEastAsia" w:hAnsiTheme="minorEastAsia"/>
                <w:color w:val="auto"/>
                <w:sz w:val="24"/>
                <w:szCs w:val="24"/>
              </w:rPr>
            </w:pPr>
            <w:r>
              <w:rPr>
                <w:rFonts w:hint="eastAsia" w:cs="仿宋_GB2312" w:asciiTheme="minorEastAsia" w:hAnsiTheme="minorEastAsia"/>
                <w:color w:val="auto"/>
                <w:sz w:val="24"/>
                <w:szCs w:val="24"/>
              </w:rPr>
              <w:t>地址：许昌市智慧大道汇通商务苑D幢5层</w:t>
            </w:r>
          </w:p>
          <w:p>
            <w:pPr>
              <w:autoSpaceDE w:val="0"/>
              <w:autoSpaceDN w:val="0"/>
              <w:adjustRightInd w:val="0"/>
              <w:spacing w:line="276" w:lineRule="auto"/>
              <w:jc w:val="left"/>
              <w:rPr>
                <w:rFonts w:cs="仿宋_GB2312" w:asciiTheme="minorEastAsia" w:hAnsiTheme="minorEastAsia"/>
                <w:color w:val="auto"/>
                <w:sz w:val="24"/>
                <w:szCs w:val="24"/>
              </w:rPr>
            </w:pPr>
            <w:r>
              <w:rPr>
                <w:rFonts w:hint="eastAsia" w:cs="仿宋_GB2312" w:asciiTheme="minorEastAsia" w:hAnsiTheme="minorEastAsia"/>
                <w:color w:val="auto"/>
                <w:sz w:val="24"/>
                <w:szCs w:val="24"/>
              </w:rPr>
              <w:t>联系人：李先生      联系电话：13137430303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4</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微软雅黑" w:asciiTheme="minorEastAsia" w:hAnsiTheme="minorEastAsia"/>
                <w:b/>
                <w:color w:val="auto"/>
                <w:sz w:val="24"/>
                <w:szCs w:val="24"/>
              </w:rPr>
              <w:t>★</w:t>
            </w:r>
            <w:r>
              <w:rPr>
                <w:rFonts w:hint="eastAsia" w:cs="仿宋_GB2312" w:asciiTheme="minorEastAsia" w:hAnsiTheme="minorEastAsia"/>
                <w:color w:val="auto"/>
                <w:sz w:val="24"/>
                <w:szCs w:val="24"/>
              </w:rPr>
              <w:t>投标人资格</w:t>
            </w:r>
          </w:p>
        </w:tc>
        <w:tc>
          <w:tcPr>
            <w:tcW w:w="6813" w:type="dxa"/>
            <w:vAlign w:val="center"/>
          </w:tcPr>
          <w:p>
            <w:pPr>
              <w:autoSpaceDE w:val="0"/>
              <w:autoSpaceDN w:val="0"/>
              <w:adjustRightInd w:val="0"/>
              <w:spacing w:line="360" w:lineRule="auto"/>
              <w:ind w:right="-11"/>
              <w:jc w:val="left"/>
              <w:rPr>
                <w:rFonts w:cs="宋体" w:asciiTheme="minorEastAsia" w:hAnsiTheme="minorEastAsia"/>
                <w:b/>
                <w:bCs/>
                <w:color w:val="auto"/>
                <w:sz w:val="24"/>
                <w:szCs w:val="24"/>
                <w:lang w:val="zh-CN"/>
              </w:rPr>
            </w:pPr>
            <w:r>
              <w:rPr>
                <w:rFonts w:hint="eastAsia" w:cs="宋体" w:asciiTheme="minorEastAsia" w:hAnsiTheme="minorEastAsia"/>
                <w:b/>
                <w:bCs/>
                <w:color w:val="auto"/>
                <w:sz w:val="24"/>
                <w:szCs w:val="24"/>
                <w:lang w:val="zh-CN"/>
              </w:rPr>
              <w:t>一、</w:t>
            </w:r>
            <w:r>
              <w:rPr>
                <w:rFonts w:cs="宋体" w:asciiTheme="minorEastAsia" w:hAnsiTheme="minorEastAsia"/>
                <w:b/>
                <w:bCs/>
                <w:color w:val="auto"/>
                <w:sz w:val="24"/>
                <w:szCs w:val="24"/>
                <w:lang w:val="zh-CN"/>
              </w:rPr>
              <w:t>法人或者其他组织的营业执照等证明文件，自然人的身份证明</w:t>
            </w:r>
          </w:p>
          <w:p>
            <w:pPr>
              <w:autoSpaceDE w:val="0"/>
              <w:autoSpaceDN w:val="0"/>
              <w:adjustRightInd w:val="0"/>
              <w:ind w:right="-11"/>
              <w:jc w:val="left"/>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1、企业法人营业执照或营业执照。（企业投标提供）</w:t>
            </w:r>
          </w:p>
          <w:p>
            <w:pPr>
              <w:autoSpaceDE w:val="0"/>
              <w:autoSpaceDN w:val="0"/>
              <w:adjustRightInd w:val="0"/>
              <w:ind w:right="-11"/>
              <w:jc w:val="left"/>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2、事业单位法人证书。（事业单位投标提供）</w:t>
            </w:r>
          </w:p>
          <w:p>
            <w:pPr>
              <w:autoSpaceDE w:val="0"/>
              <w:autoSpaceDN w:val="0"/>
              <w:adjustRightInd w:val="0"/>
              <w:ind w:right="-11"/>
              <w:jc w:val="left"/>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3、执业许可证。（非专业服务机构投标提供）</w:t>
            </w:r>
          </w:p>
          <w:p>
            <w:pPr>
              <w:autoSpaceDE w:val="0"/>
              <w:autoSpaceDN w:val="0"/>
              <w:adjustRightInd w:val="0"/>
              <w:ind w:right="-11"/>
              <w:jc w:val="left"/>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4、个体工商户营业执照。（个体工商户投标提供）</w:t>
            </w:r>
          </w:p>
          <w:p>
            <w:pPr>
              <w:autoSpaceDE w:val="0"/>
              <w:autoSpaceDN w:val="0"/>
              <w:adjustRightInd w:val="0"/>
              <w:jc w:val="left"/>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5、自然人身份证明。（自然人投标提供）</w:t>
            </w:r>
          </w:p>
          <w:p>
            <w:pPr>
              <w:autoSpaceDE w:val="0"/>
              <w:autoSpaceDN w:val="0"/>
              <w:adjustRightInd w:val="0"/>
              <w:spacing w:line="360" w:lineRule="auto"/>
              <w:jc w:val="left"/>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二、财务状况报告相关材料</w:t>
            </w:r>
          </w:p>
          <w:p>
            <w:pPr>
              <w:autoSpaceDE w:val="0"/>
              <w:autoSpaceDN w:val="0"/>
              <w:adjustRightInd w:val="0"/>
              <w:spacing w:line="360" w:lineRule="auto"/>
              <w:ind w:right="-11"/>
              <w:jc w:val="left"/>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rPr>
              <w:t>1、</w:t>
            </w:r>
            <w:r>
              <w:rPr>
                <w:rFonts w:hint="eastAsia" w:ascii="宋体" w:hAnsi="宋体" w:eastAsia="宋体" w:cs="仿宋_GB2312"/>
                <w:color w:val="auto"/>
                <w:sz w:val="24"/>
                <w:szCs w:val="24"/>
              </w:rPr>
              <w:t>2018年度</w:t>
            </w:r>
            <w:r>
              <w:rPr>
                <w:rFonts w:hint="eastAsia" w:cs="宋体" w:asciiTheme="minorEastAsia" w:hAnsiTheme="minorEastAsia"/>
                <w:bCs/>
                <w:color w:val="auto"/>
                <w:sz w:val="24"/>
                <w:szCs w:val="24"/>
                <w:lang w:val="zh-CN"/>
              </w:rPr>
              <w:t>经审计的财务报告，包括资产负债表、利润表、现金流量表；或基本开户银行出具的资信证明；或财政部门认可的政府采购专业担保机构的证明文件和担保机构出具的投标担保函。（法人投标提供。法人包括企业法人、机关法人、事业单位法人和社会团体法人）</w:t>
            </w:r>
          </w:p>
          <w:p>
            <w:pPr>
              <w:autoSpaceDE w:val="0"/>
              <w:autoSpaceDN w:val="0"/>
              <w:adjustRightInd w:val="0"/>
              <w:spacing w:line="360" w:lineRule="auto"/>
              <w:ind w:right="-11"/>
              <w:jc w:val="left"/>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rPr>
              <w:t>2、</w:t>
            </w:r>
            <w:r>
              <w:rPr>
                <w:rFonts w:hint="eastAsia" w:cs="宋体" w:asciiTheme="minorEastAsia" w:hAnsiTheme="minorEastAsia"/>
                <w:bCs/>
                <w:color w:val="auto"/>
                <w:sz w:val="24"/>
                <w:szCs w:val="24"/>
                <w:lang w:val="zh-CN"/>
              </w:rPr>
              <w:t>银行出具的资信证明；或财政部门认可的政府采购专业担保机构的证明文件和担保机构出具的投标担保函。（其他组织和自然人投标提供）</w:t>
            </w:r>
          </w:p>
          <w:p>
            <w:pPr>
              <w:autoSpaceDE w:val="0"/>
              <w:autoSpaceDN w:val="0"/>
              <w:adjustRightInd w:val="0"/>
              <w:spacing w:line="360" w:lineRule="auto"/>
              <w:ind w:right="-11"/>
              <w:jc w:val="left"/>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三、依法缴纳税收相关材料</w:t>
            </w:r>
          </w:p>
          <w:p>
            <w:pPr>
              <w:autoSpaceDE w:val="0"/>
              <w:autoSpaceDN w:val="0"/>
              <w:adjustRightInd w:val="0"/>
              <w:spacing w:line="360" w:lineRule="auto"/>
              <w:ind w:right="-11"/>
              <w:jc w:val="left"/>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税务登记证和投标截止时间前三个月内任意一个月缴纳税收凭据。（依法免税的投标人，应提供相应文件证明依法免税）</w:t>
            </w:r>
          </w:p>
          <w:p>
            <w:pPr>
              <w:autoSpaceDE w:val="0"/>
              <w:autoSpaceDN w:val="0"/>
              <w:adjustRightInd w:val="0"/>
              <w:spacing w:line="360" w:lineRule="auto"/>
              <w:ind w:right="-11"/>
              <w:jc w:val="left"/>
              <w:rPr>
                <w:rFonts w:cs="宋体" w:asciiTheme="minorEastAsia" w:hAnsiTheme="minorEastAsia"/>
                <w:b/>
                <w:bCs/>
                <w:color w:val="auto"/>
                <w:sz w:val="24"/>
                <w:szCs w:val="24"/>
                <w:lang w:val="zh-CN"/>
              </w:rPr>
            </w:pPr>
            <w:r>
              <w:rPr>
                <w:rFonts w:hint="eastAsia" w:cs="宋体" w:asciiTheme="minorEastAsia" w:hAnsiTheme="minorEastAsia"/>
                <w:b/>
                <w:bCs/>
                <w:color w:val="auto"/>
                <w:sz w:val="24"/>
                <w:szCs w:val="24"/>
                <w:lang w:val="zh-CN"/>
              </w:rPr>
              <w:t>四、依法缴纳社会保障资金的证明材料</w:t>
            </w:r>
          </w:p>
          <w:p>
            <w:pPr>
              <w:autoSpaceDE w:val="0"/>
              <w:autoSpaceDN w:val="0"/>
              <w:adjustRightInd w:val="0"/>
              <w:spacing w:line="360" w:lineRule="auto"/>
              <w:ind w:right="-11"/>
              <w:jc w:val="left"/>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投标截止时间前三个月内任意一个月缴纳社会保险凭据。（依法不需要缴纳社会保障资金的投标人，应提供相应文件证明依法不需要缴纳社会保障资金）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jc w:val="left"/>
              <w:rPr>
                <w:rFonts w:cs="宋体" w:asciiTheme="minorEastAsia" w:hAnsiTheme="minorEastAsia"/>
                <w:b/>
                <w:bCs/>
                <w:color w:val="auto"/>
                <w:sz w:val="24"/>
                <w:szCs w:val="24"/>
                <w:lang w:val="zh-CN"/>
              </w:rPr>
            </w:pPr>
            <w:r>
              <w:rPr>
                <w:rFonts w:hint="eastAsia" w:cs="宋体" w:asciiTheme="minorEastAsia" w:hAnsiTheme="minorEastAsia"/>
                <w:b/>
                <w:bCs/>
                <w:color w:val="auto"/>
                <w:sz w:val="24"/>
                <w:szCs w:val="24"/>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color w:val="auto"/>
                <w:kern w:val="0"/>
                <w:sz w:val="24"/>
                <w:szCs w:val="24"/>
              </w:rPr>
            </w:pPr>
            <w:r>
              <w:rPr>
                <w:rFonts w:hint="eastAsia" w:cs="宋体" w:asciiTheme="minorEastAsia" w:hAnsiTheme="minorEastAsia"/>
                <w:bCs/>
                <w:color w:val="auto"/>
                <w:sz w:val="24"/>
                <w:szCs w:val="24"/>
                <w:lang w:val="zh-CN"/>
              </w:rPr>
              <w:t>相关设备的购置发票、专业技术人员职称证书、用工合同等或者</w:t>
            </w:r>
            <w:r>
              <w:rPr>
                <w:rFonts w:hint="eastAsia" w:cs="宋体" w:asciiTheme="minorEastAsia" w:hAnsiTheme="minorEastAsia"/>
                <w:color w:val="auto"/>
                <w:kern w:val="0"/>
                <w:sz w:val="24"/>
                <w:szCs w:val="24"/>
              </w:rPr>
              <w:t>附投标人相关承诺函或声明。</w:t>
            </w:r>
          </w:p>
          <w:p>
            <w:pPr>
              <w:autoSpaceDE w:val="0"/>
              <w:autoSpaceDN w:val="0"/>
              <w:adjustRightInd w:val="0"/>
              <w:spacing w:line="360" w:lineRule="auto"/>
              <w:ind w:right="-11"/>
              <w:jc w:val="left"/>
              <w:rPr>
                <w:rFonts w:cs="宋体" w:asciiTheme="minorEastAsia" w:hAnsiTheme="minorEastAsia"/>
                <w:b/>
                <w:bCs/>
                <w:color w:val="auto"/>
                <w:sz w:val="24"/>
                <w:szCs w:val="24"/>
                <w:lang w:val="zh-CN"/>
              </w:rPr>
            </w:pPr>
            <w:r>
              <w:rPr>
                <w:rFonts w:hint="eastAsia" w:cs="宋体" w:asciiTheme="minorEastAsia" w:hAnsiTheme="minorEastAsia"/>
                <w:b/>
                <w:color w:val="auto"/>
                <w:kern w:val="0"/>
                <w:sz w:val="24"/>
                <w:szCs w:val="24"/>
              </w:rPr>
              <w:t>六、</w:t>
            </w:r>
            <w:r>
              <w:rPr>
                <w:rFonts w:cs="宋体" w:asciiTheme="minorEastAsia" w:hAnsiTheme="minorEastAsia"/>
                <w:b/>
                <w:bCs/>
                <w:color w:val="auto"/>
                <w:sz w:val="24"/>
                <w:szCs w:val="24"/>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投标人“</w:t>
            </w:r>
            <w:r>
              <w:rPr>
                <w:rFonts w:cs="宋体" w:asciiTheme="minorEastAsia" w:hAnsiTheme="minorEastAsia"/>
                <w:bCs/>
                <w:color w:val="auto"/>
                <w:sz w:val="24"/>
                <w:szCs w:val="24"/>
                <w:lang w:val="zh-CN"/>
              </w:rPr>
              <w:t>参加政府采购活动前3年内在经营活动中没有重大违法记录的书面声明</w:t>
            </w:r>
            <w:r>
              <w:rPr>
                <w:rFonts w:hint="eastAsia" w:cs="宋体" w:asciiTheme="minorEastAsia" w:hAnsiTheme="minorEastAsia"/>
                <w:bCs/>
                <w:color w:val="auto"/>
                <w:sz w:val="24"/>
                <w:szCs w:val="24"/>
                <w:lang w:val="zh-CN"/>
              </w:rPr>
              <w:t>”。重大违法记录，是指投标人因违法经营受到刑事处罚或者责令停产停业、吊销许可证或者执照、较大数额罚款等行政处罚。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color w:val="auto"/>
                <w:kern w:val="0"/>
                <w:sz w:val="24"/>
                <w:szCs w:val="24"/>
              </w:rPr>
            </w:pPr>
            <w:r>
              <w:rPr>
                <w:rFonts w:hint="eastAsia" w:cs="宋体" w:asciiTheme="minorEastAsia" w:hAnsiTheme="minorEastAsia"/>
                <w:b/>
                <w:bCs/>
                <w:color w:val="auto"/>
                <w:sz w:val="24"/>
                <w:szCs w:val="24"/>
                <w:lang w:val="zh-CN"/>
              </w:rPr>
              <w:t>七、</w:t>
            </w:r>
            <w:r>
              <w:rPr>
                <w:rFonts w:cs="宋体" w:asciiTheme="minorEastAsia" w:hAnsiTheme="minorEastAsia"/>
                <w:b/>
                <w:bCs/>
                <w:color w:val="auto"/>
                <w:sz w:val="24"/>
                <w:szCs w:val="24"/>
                <w:lang w:val="zh-CN"/>
              </w:rPr>
              <w:t>未被列入“信用中国”网站(www.creditchina.gov.cn)失信被执行人、重大税收违法案件当事人名单、政府采购严重违法失信名单的投标人；</w:t>
            </w:r>
            <w:r>
              <w:rPr>
                <w:rFonts w:hint="eastAsia" w:cs="宋体" w:asciiTheme="minorEastAsia" w:hAnsiTheme="minorEastAsia"/>
                <w:b/>
                <w:bCs/>
                <w:color w:val="auto"/>
                <w:sz w:val="24"/>
                <w:szCs w:val="24"/>
                <w:lang w:val="zh-CN"/>
              </w:rPr>
              <w:t>“</w:t>
            </w:r>
            <w:r>
              <w:rPr>
                <w:rFonts w:cs="宋体" w:asciiTheme="minorEastAsia" w:hAnsiTheme="minorEastAsia"/>
                <w:b/>
                <w:bCs/>
                <w:color w:val="auto"/>
                <w:sz w:val="24"/>
                <w:szCs w:val="24"/>
                <w:lang w:val="zh-CN"/>
              </w:rPr>
              <w:t>中国政府采购网</w:t>
            </w:r>
            <w:r>
              <w:rPr>
                <w:rFonts w:hint="eastAsia" w:cs="宋体" w:asciiTheme="minorEastAsia" w:hAnsiTheme="minorEastAsia"/>
                <w:b/>
                <w:bCs/>
                <w:color w:val="auto"/>
                <w:sz w:val="24"/>
                <w:szCs w:val="24"/>
                <w:lang w:val="zh-CN"/>
              </w:rPr>
              <w:t>”</w:t>
            </w:r>
            <w:r>
              <w:rPr>
                <w:rFonts w:cs="宋体" w:asciiTheme="minorEastAsia" w:hAnsiTheme="minorEastAsia"/>
                <w:b/>
                <w:bCs/>
                <w:color w:val="auto"/>
                <w:sz w:val="24"/>
                <w:szCs w:val="24"/>
                <w:lang w:val="zh-CN"/>
              </w:rPr>
              <w:t xml:space="preserve"> (www.ccgp.gov.cn)政府采购严重违法失信行为记录名单的投标人</w:t>
            </w:r>
            <w:r>
              <w:rPr>
                <w:rFonts w:hint="eastAsia" w:cs="宋体" w:asciiTheme="minorEastAsia" w:hAnsiTheme="minorEastAsia"/>
                <w:b/>
                <w:bCs/>
                <w:color w:val="auto"/>
                <w:sz w:val="24"/>
                <w:szCs w:val="24"/>
                <w:lang w:val="zh-CN"/>
              </w:rPr>
              <w:t>；</w:t>
            </w:r>
            <w:r>
              <w:rPr>
                <w:rFonts w:hint="eastAsia" w:cs="宋体" w:asciiTheme="minorEastAsia" w:hAnsiTheme="minorEastAsia"/>
                <w:b/>
                <w:color w:val="auto"/>
                <w:kern w:val="0"/>
                <w:sz w:val="24"/>
                <w:szCs w:val="24"/>
              </w:rPr>
              <w:t>“</w:t>
            </w:r>
            <w:r>
              <w:rPr>
                <w:rFonts w:hint="eastAsia" w:cs="宋体" w:asciiTheme="minorEastAsia" w:hAnsiTheme="minorEastAsia"/>
                <w:b/>
                <w:color w:val="auto"/>
                <w:kern w:val="0"/>
                <w:sz w:val="24"/>
                <w:szCs w:val="24"/>
                <w:lang w:val="zh-CN"/>
              </w:rPr>
              <w:t>国家企业信用公示系统</w:t>
            </w:r>
            <w:r>
              <w:rPr>
                <w:rFonts w:hint="eastAsia" w:cs="宋体" w:asciiTheme="minorEastAsia" w:hAnsiTheme="minorEastAsia"/>
                <w:b/>
                <w:color w:val="auto"/>
                <w:kern w:val="0"/>
                <w:sz w:val="24"/>
                <w:szCs w:val="24"/>
              </w:rPr>
              <w:t>”</w:t>
            </w:r>
            <w:r>
              <w:rPr>
                <w:rFonts w:hint="eastAsia" w:cs="宋体" w:asciiTheme="minorEastAsia" w:hAnsiTheme="minorEastAsia"/>
                <w:b/>
                <w:color w:val="auto"/>
                <w:kern w:val="0"/>
                <w:sz w:val="24"/>
                <w:szCs w:val="24"/>
                <w:lang w:val="zh-CN"/>
              </w:rPr>
              <w:t>网站</w:t>
            </w:r>
            <w:r>
              <w:rPr>
                <w:rFonts w:hint="eastAsia" w:cs="宋体" w:asciiTheme="minorEastAsia" w:hAnsiTheme="minorEastAsia"/>
                <w:b/>
                <w:color w:val="auto"/>
                <w:kern w:val="0"/>
                <w:sz w:val="24"/>
                <w:szCs w:val="24"/>
              </w:rPr>
              <w:t>（</w:t>
            </w:r>
            <w:r>
              <w:rPr>
                <w:rFonts w:cs="宋体" w:asciiTheme="minorEastAsia" w:hAnsiTheme="minorEastAsia"/>
                <w:b/>
                <w:color w:val="auto"/>
                <w:kern w:val="0"/>
                <w:sz w:val="24"/>
                <w:szCs w:val="24"/>
              </w:rPr>
              <w:t>www.gsxt.gov.cn</w:t>
            </w:r>
            <w:r>
              <w:rPr>
                <w:rFonts w:hint="eastAsia" w:cs="宋体" w:asciiTheme="minorEastAsia" w:hAnsiTheme="minorEastAsia"/>
                <w:b/>
                <w:color w:val="auto"/>
                <w:kern w:val="0"/>
                <w:sz w:val="24"/>
                <w:szCs w:val="24"/>
              </w:rPr>
              <w:t>）</w:t>
            </w:r>
            <w:r>
              <w:rPr>
                <w:rFonts w:hint="eastAsia" w:cs="宋体" w:asciiTheme="minorEastAsia" w:hAnsiTheme="minorEastAsia"/>
                <w:b/>
                <w:color w:val="auto"/>
                <w:kern w:val="0"/>
                <w:sz w:val="24"/>
                <w:szCs w:val="24"/>
                <w:lang w:val="zh-CN"/>
              </w:rPr>
              <w:t>严重违法失信企业名单</w:t>
            </w:r>
            <w:r>
              <w:rPr>
                <w:rFonts w:hint="eastAsia" w:cs="宋体" w:asciiTheme="minorEastAsia" w:hAnsiTheme="minorEastAsia"/>
                <w:b/>
                <w:color w:val="auto"/>
                <w:kern w:val="0"/>
                <w:sz w:val="24"/>
                <w:szCs w:val="24"/>
              </w:rPr>
              <w:t>（</w:t>
            </w:r>
            <w:r>
              <w:rPr>
                <w:rFonts w:hint="eastAsia" w:cs="宋体" w:asciiTheme="minorEastAsia" w:hAnsiTheme="minorEastAsia"/>
                <w:b/>
                <w:color w:val="auto"/>
                <w:kern w:val="0"/>
                <w:sz w:val="24"/>
                <w:szCs w:val="24"/>
                <w:lang w:val="zh-CN"/>
              </w:rPr>
              <w:t>黑名单</w:t>
            </w:r>
            <w:r>
              <w:rPr>
                <w:rFonts w:hint="eastAsia" w:cs="宋体" w:asciiTheme="minorEastAsia" w:hAnsiTheme="minorEastAsia"/>
                <w:b/>
                <w:color w:val="auto"/>
                <w:kern w:val="0"/>
                <w:sz w:val="24"/>
                <w:szCs w:val="24"/>
              </w:rPr>
              <w:t>）</w:t>
            </w:r>
            <w:r>
              <w:rPr>
                <w:rFonts w:hint="eastAsia" w:cs="宋体" w:asciiTheme="minorEastAsia" w:hAnsiTheme="minorEastAsia"/>
                <w:b/>
                <w:color w:val="auto"/>
                <w:kern w:val="0"/>
                <w:sz w:val="24"/>
                <w:szCs w:val="24"/>
                <w:lang w:val="zh-CN"/>
              </w:rPr>
              <w:t>的投标人</w:t>
            </w:r>
            <w:r>
              <w:rPr>
                <w:rFonts w:hint="eastAsia" w:cs="宋体" w:asciiTheme="minorEastAsia" w:hAnsiTheme="minorEastAsia"/>
                <w:color w:val="auto"/>
                <w:kern w:val="0"/>
                <w:sz w:val="24"/>
                <w:szCs w:val="24"/>
              </w:rPr>
              <w:t>（联合体形式投标的，联合体成员存在不良信用记录，视同联合体存在不良信用记录）。</w:t>
            </w:r>
          </w:p>
          <w:p>
            <w:pPr>
              <w:autoSpaceDE w:val="0"/>
              <w:autoSpaceDN w:val="0"/>
              <w:spacing w:line="360" w:lineRule="auto"/>
              <w:contextualSpacing/>
              <w:jc w:val="left"/>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1、查询渠道：“信用中国”网站（</w:t>
            </w:r>
            <w:r>
              <w:rPr>
                <w:rFonts w:cs="宋体" w:asciiTheme="minorEastAsia" w:hAnsiTheme="minorEastAsia"/>
                <w:color w:val="auto"/>
                <w:kern w:val="0"/>
                <w:sz w:val="24"/>
                <w:szCs w:val="24"/>
              </w:rPr>
              <w:t>www.creditchina.gov.cn</w:t>
            </w:r>
            <w:r>
              <w:rPr>
                <w:rFonts w:hint="eastAsia" w:cs="宋体" w:asciiTheme="minorEastAsia" w:hAnsiTheme="minorEastAsia"/>
                <w:color w:val="auto"/>
                <w:kern w:val="0"/>
                <w:sz w:val="24"/>
                <w:szCs w:val="24"/>
              </w:rPr>
              <w:t>）、“中国政府采购网”（</w:t>
            </w:r>
            <w:r>
              <w:rPr>
                <w:rFonts w:cs="宋体" w:asciiTheme="minorEastAsia" w:hAnsiTheme="minorEastAsia"/>
                <w:color w:val="auto"/>
                <w:kern w:val="0"/>
                <w:sz w:val="24"/>
                <w:szCs w:val="24"/>
              </w:rPr>
              <w:t>www.ccgp.gov.cn</w:t>
            </w:r>
            <w:r>
              <w:rPr>
                <w:rFonts w:hint="eastAsia" w:cs="宋体" w:asciiTheme="minorEastAsia" w:hAnsiTheme="minorEastAsia"/>
                <w:color w:val="auto"/>
                <w:kern w:val="0"/>
                <w:sz w:val="24"/>
                <w:szCs w:val="24"/>
              </w:rPr>
              <w:t>）和“国家企业信用公示系统”网站（</w:t>
            </w:r>
            <w:r>
              <w:rPr>
                <w:rFonts w:cs="宋体" w:asciiTheme="minorEastAsia" w:hAnsiTheme="minorEastAsia"/>
                <w:color w:val="auto"/>
                <w:kern w:val="0"/>
                <w:sz w:val="24"/>
                <w:szCs w:val="24"/>
              </w:rPr>
              <w:t>www.gsxt.gov.cn</w:t>
            </w:r>
            <w:r>
              <w:rPr>
                <w:rFonts w:hint="eastAsia" w:cs="宋体" w:asciiTheme="minorEastAsia" w:hAnsiTheme="minorEastAsia"/>
                <w:color w:val="auto"/>
                <w:kern w:val="0"/>
                <w:sz w:val="24"/>
                <w:szCs w:val="24"/>
              </w:rPr>
              <w:t>）；</w:t>
            </w:r>
          </w:p>
          <w:p>
            <w:pPr>
              <w:autoSpaceDE w:val="0"/>
              <w:autoSpaceDN w:val="0"/>
              <w:spacing w:line="360" w:lineRule="auto"/>
              <w:contextualSpacing/>
              <w:jc w:val="left"/>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2、截止时间：同投标截止时间；</w:t>
            </w:r>
          </w:p>
          <w:p>
            <w:pPr>
              <w:autoSpaceDE w:val="0"/>
              <w:autoSpaceDN w:val="0"/>
              <w:spacing w:line="360" w:lineRule="auto"/>
              <w:contextualSpacing/>
              <w:jc w:val="left"/>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jc w:val="left"/>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信用信息的使用原则：经采购人认定的被列入失信被执行人、重大税收违法案件当事人名单、政府采购严重违法失信名单、政府采购严重违法失信行为记录名单、严重违法失信企业名单（黑名单）的投标人，将拒绝其参与政府采购活动。</w:t>
            </w:r>
          </w:p>
          <w:p>
            <w:pPr>
              <w:autoSpaceDE w:val="0"/>
              <w:autoSpaceDN w:val="0"/>
              <w:spacing w:line="360" w:lineRule="auto"/>
              <w:contextualSpacing/>
              <w:jc w:val="left"/>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5</w:t>
            </w:r>
          </w:p>
        </w:tc>
        <w:tc>
          <w:tcPr>
            <w:tcW w:w="2268" w:type="dxa"/>
            <w:vAlign w:val="center"/>
          </w:tcPr>
          <w:p>
            <w:pPr>
              <w:autoSpaceDE w:val="0"/>
              <w:autoSpaceDN w:val="0"/>
              <w:adjustRightInd w:val="0"/>
              <w:spacing w:line="276" w:lineRule="auto"/>
              <w:jc w:val="center"/>
              <w:rPr>
                <w:rFonts w:cs="宋体" w:asciiTheme="minorEastAsia" w:hAnsiTheme="minorEastAsia"/>
                <w:bCs/>
                <w:color w:val="auto"/>
                <w:sz w:val="24"/>
                <w:szCs w:val="24"/>
                <w:lang w:val="zh-CN"/>
              </w:rPr>
            </w:pPr>
            <w:r>
              <w:rPr>
                <w:rFonts w:hint="eastAsia" w:cs="微软雅黑" w:asciiTheme="minorEastAsia" w:hAnsiTheme="minorEastAsia"/>
                <w:b/>
                <w:color w:val="auto"/>
                <w:sz w:val="24"/>
                <w:szCs w:val="24"/>
              </w:rPr>
              <w:t>★</w:t>
            </w:r>
            <w:r>
              <w:rPr>
                <w:rFonts w:hint="eastAsia" w:cs="宋体" w:asciiTheme="minorEastAsia" w:hAnsiTheme="minorEastAsia"/>
                <w:bCs/>
                <w:color w:val="auto"/>
                <w:sz w:val="24"/>
                <w:szCs w:val="24"/>
                <w:lang w:val="zh-CN"/>
              </w:rPr>
              <w:t>联合体投标</w:t>
            </w:r>
          </w:p>
        </w:tc>
        <w:tc>
          <w:tcPr>
            <w:tcW w:w="6813" w:type="dxa"/>
            <w:vAlign w:val="center"/>
          </w:tcPr>
          <w:p>
            <w:pPr>
              <w:autoSpaceDE w:val="0"/>
              <w:autoSpaceDN w:val="0"/>
              <w:adjustRightInd w:val="0"/>
              <w:spacing w:line="276" w:lineRule="auto"/>
              <w:jc w:val="left"/>
              <w:rPr>
                <w:rFonts w:cs="宋体" w:asciiTheme="minorEastAsia" w:hAnsiTheme="minorEastAsia"/>
                <w:bCs/>
                <w:color w:val="auto"/>
                <w:sz w:val="24"/>
                <w:szCs w:val="24"/>
                <w:lang w:val="zh-CN"/>
              </w:rPr>
            </w:pPr>
            <w:r>
              <w:rPr>
                <w:rFonts w:hint="eastAsia" w:cs="宋体" w:asciiTheme="minorEastAsia" w:hAnsiTheme="minorEastAsia"/>
                <w:color w:val="auto"/>
                <w:kern w:val="0"/>
                <w:sz w:val="24"/>
                <w:szCs w:val="24"/>
              </w:rPr>
              <w:t>本项目</w:t>
            </w:r>
            <w:r>
              <w:rPr>
                <w:rFonts w:cs="宋体" w:asciiTheme="minorEastAsia" w:hAnsiTheme="minorEastAsia"/>
                <w:b/>
                <w:color w:val="auto"/>
                <w:kern w:val="0"/>
                <w:sz w:val="24"/>
                <w:szCs w:val="24"/>
                <w:lang w:val="zh-CN"/>
              </w:rPr>
              <w:fldChar w:fldCharType="begin"/>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color w:val="auto"/>
                <w:kern w:val="0"/>
                <w:sz w:val="24"/>
                <w:szCs w:val="24"/>
              </w:rPr>
              <w:t>不接受</w:t>
            </w:r>
            <w:r>
              <w:rPr>
                <w:rFonts w:hint="eastAsia" w:cs="宋体" w:asciiTheme="minorEastAsia" w:hAnsiTheme="minorEastAsia"/>
                <w:bCs/>
                <w:color w:val="auto"/>
                <w:sz w:val="24"/>
                <w:szCs w:val="24"/>
                <w:lang w:val="zh-CN"/>
              </w:rPr>
              <w:t>□接受</w:t>
            </w:r>
            <w:r>
              <w:rPr>
                <w:rFonts w:hint="eastAsia" w:cs="宋体" w:asciiTheme="minorEastAsia" w:hAnsiTheme="minorEastAsia"/>
                <w:color w:val="auto"/>
                <w:kern w:val="0"/>
                <w:sz w:val="24"/>
                <w:szCs w:val="24"/>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6</w:t>
            </w:r>
          </w:p>
        </w:tc>
        <w:tc>
          <w:tcPr>
            <w:tcW w:w="2268" w:type="dxa"/>
            <w:vAlign w:val="center"/>
          </w:tcPr>
          <w:p>
            <w:pPr>
              <w:autoSpaceDE w:val="0"/>
              <w:autoSpaceDN w:val="0"/>
              <w:adjustRightInd w:val="0"/>
              <w:spacing w:line="276" w:lineRule="auto"/>
              <w:ind w:firstLine="361" w:firstLineChars="150"/>
              <w:jc w:val="center"/>
              <w:rPr>
                <w:rFonts w:cs="宋体" w:asciiTheme="minorEastAsia" w:hAnsiTheme="minorEastAsia"/>
                <w:bCs/>
                <w:color w:val="auto"/>
                <w:sz w:val="24"/>
                <w:szCs w:val="24"/>
                <w:lang w:val="zh-CN"/>
              </w:rPr>
            </w:pPr>
            <w:r>
              <w:rPr>
                <w:rFonts w:hint="eastAsia" w:cs="微软雅黑" w:asciiTheme="minorEastAsia" w:hAnsiTheme="minorEastAsia"/>
                <w:b/>
                <w:color w:val="auto"/>
                <w:sz w:val="24"/>
                <w:szCs w:val="24"/>
              </w:rPr>
              <w:t>★</w:t>
            </w:r>
            <w:r>
              <w:rPr>
                <w:rFonts w:hint="eastAsia" w:cs="宋体" w:asciiTheme="minorEastAsia" w:hAnsiTheme="minorEastAsia"/>
                <w:bCs/>
                <w:color w:val="auto"/>
                <w:sz w:val="24"/>
                <w:szCs w:val="24"/>
                <w:lang w:val="zh-CN"/>
              </w:rPr>
              <w:t>最高限价</w:t>
            </w:r>
          </w:p>
        </w:tc>
        <w:tc>
          <w:tcPr>
            <w:tcW w:w="6813" w:type="dxa"/>
            <w:vAlign w:val="center"/>
          </w:tcPr>
          <w:p>
            <w:pPr>
              <w:autoSpaceDE w:val="0"/>
              <w:autoSpaceDN w:val="0"/>
              <w:spacing w:line="360" w:lineRule="auto"/>
              <w:contextualSpacing/>
              <w:jc w:val="left"/>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1789920.00元/年；超出最高限价的投标无效。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7</w:t>
            </w:r>
          </w:p>
        </w:tc>
        <w:tc>
          <w:tcPr>
            <w:tcW w:w="2268" w:type="dxa"/>
            <w:vAlign w:val="center"/>
          </w:tcPr>
          <w:p>
            <w:pPr>
              <w:autoSpaceDE w:val="0"/>
              <w:autoSpaceDN w:val="0"/>
              <w:adjustRightInd w:val="0"/>
              <w:spacing w:line="276" w:lineRule="auto"/>
              <w:jc w:val="center"/>
              <w:rPr>
                <w:rFonts w:cs="宋体" w:asciiTheme="minorEastAsia" w:hAnsiTheme="minorEastAsia"/>
                <w:bCs/>
                <w:color w:val="auto"/>
                <w:sz w:val="24"/>
                <w:szCs w:val="24"/>
                <w:lang w:val="zh-CN"/>
              </w:rPr>
            </w:pPr>
            <w:r>
              <w:rPr>
                <w:rFonts w:cs="宋体" w:asciiTheme="minorEastAsia" w:hAnsiTheme="minorEastAsia"/>
                <w:bCs/>
                <w:color w:val="auto"/>
                <w:sz w:val="24"/>
                <w:szCs w:val="24"/>
                <w:lang w:val="zh-CN"/>
              </w:rPr>
              <w:t>现场考察</w:t>
            </w:r>
          </w:p>
        </w:tc>
        <w:tc>
          <w:tcPr>
            <w:tcW w:w="6813" w:type="dxa"/>
            <w:vAlign w:val="center"/>
          </w:tcPr>
          <w:p>
            <w:pPr>
              <w:autoSpaceDE w:val="0"/>
              <w:autoSpaceDN w:val="0"/>
              <w:adjustRightInd w:val="0"/>
              <w:spacing w:line="276" w:lineRule="auto"/>
              <w:jc w:val="left"/>
              <w:rPr>
                <w:rFonts w:cs="宋体" w:asciiTheme="minorEastAsia" w:hAnsiTheme="minorEastAsia"/>
                <w:color w:val="auto"/>
                <w:kern w:val="0"/>
                <w:sz w:val="24"/>
                <w:szCs w:val="24"/>
                <w:lang w:val="zh-CN"/>
              </w:rPr>
            </w:pPr>
            <w:r>
              <w:rPr>
                <w:rFonts w:cs="宋体" w:asciiTheme="minorEastAsia" w:hAnsiTheme="minorEastAsia"/>
                <w:b/>
                <w:color w:val="auto"/>
                <w:kern w:val="0"/>
                <w:sz w:val="24"/>
                <w:szCs w:val="24"/>
                <w:lang w:val="zh-CN"/>
              </w:rPr>
              <w:fldChar w:fldCharType="begin"/>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不组织</w:t>
            </w:r>
          </w:p>
          <w:p>
            <w:pPr>
              <w:autoSpaceDE w:val="0"/>
              <w:autoSpaceDN w:val="0"/>
              <w:adjustRightInd w:val="0"/>
              <w:spacing w:line="276" w:lineRule="auto"/>
              <w:jc w:val="left"/>
              <w:rPr>
                <w:rFonts w:cs="宋体" w:asciiTheme="minorEastAsia" w:hAnsiTheme="minorEastAsia"/>
                <w:bCs/>
                <w:color w:val="auto"/>
                <w:sz w:val="24"/>
                <w:szCs w:val="24"/>
                <w:lang w:val="zh-CN"/>
              </w:rPr>
            </w:pPr>
            <w:r>
              <w:rPr>
                <w:rFonts w:hint="eastAsia" w:cs="宋体" w:asciiTheme="minorEastAsia" w:hAnsiTheme="minorEastAsia"/>
                <w:b/>
                <w:bCs/>
                <w:color w:val="auto"/>
                <w:sz w:val="24"/>
                <w:szCs w:val="24"/>
                <w:lang w:val="zh-CN"/>
              </w:rPr>
              <w:t>□</w:t>
            </w:r>
            <w:r>
              <w:rPr>
                <w:rFonts w:hint="eastAsia" w:cs="宋体" w:asciiTheme="minorEastAsia" w:hAnsiTheme="minorEastAsia"/>
                <w:bCs/>
                <w:color w:val="auto"/>
                <w:sz w:val="24"/>
                <w:szCs w:val="24"/>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8</w:t>
            </w:r>
          </w:p>
        </w:tc>
        <w:tc>
          <w:tcPr>
            <w:tcW w:w="2268" w:type="dxa"/>
            <w:vAlign w:val="center"/>
          </w:tcPr>
          <w:p>
            <w:pPr>
              <w:autoSpaceDE w:val="0"/>
              <w:autoSpaceDN w:val="0"/>
              <w:adjustRightInd w:val="0"/>
              <w:spacing w:line="276" w:lineRule="auto"/>
              <w:jc w:val="center"/>
              <w:rPr>
                <w:rFonts w:cs="宋体" w:asciiTheme="minorEastAsia" w:hAnsiTheme="minorEastAsia"/>
                <w:bCs/>
                <w:color w:val="auto"/>
                <w:sz w:val="24"/>
                <w:szCs w:val="24"/>
                <w:lang w:val="zh-CN"/>
              </w:rPr>
            </w:pPr>
            <w:r>
              <w:rPr>
                <w:rFonts w:cs="宋体" w:asciiTheme="minorEastAsia" w:hAnsiTheme="minorEastAsia"/>
                <w:bCs/>
                <w:color w:val="auto"/>
                <w:sz w:val="24"/>
                <w:szCs w:val="24"/>
                <w:lang w:val="zh-CN"/>
              </w:rPr>
              <w:t>开标前答疑会</w:t>
            </w:r>
          </w:p>
        </w:tc>
        <w:tc>
          <w:tcPr>
            <w:tcW w:w="6813" w:type="dxa"/>
            <w:vAlign w:val="center"/>
          </w:tcPr>
          <w:p>
            <w:pPr>
              <w:autoSpaceDE w:val="0"/>
              <w:autoSpaceDN w:val="0"/>
              <w:adjustRightInd w:val="0"/>
              <w:spacing w:line="276" w:lineRule="auto"/>
              <w:jc w:val="left"/>
              <w:rPr>
                <w:rFonts w:cs="宋体" w:asciiTheme="minorEastAsia" w:hAnsiTheme="minorEastAsia"/>
                <w:color w:val="auto"/>
                <w:kern w:val="0"/>
                <w:sz w:val="24"/>
                <w:szCs w:val="24"/>
                <w:lang w:val="zh-CN"/>
              </w:rPr>
            </w:pPr>
            <w:r>
              <w:rPr>
                <w:rFonts w:cs="宋体" w:asciiTheme="minorEastAsia" w:hAnsiTheme="minorEastAsia"/>
                <w:b/>
                <w:color w:val="auto"/>
                <w:kern w:val="0"/>
                <w:sz w:val="24"/>
                <w:szCs w:val="24"/>
                <w:lang w:val="zh-CN"/>
              </w:rPr>
              <w:fldChar w:fldCharType="begin"/>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不召开</w:t>
            </w:r>
          </w:p>
          <w:p>
            <w:pPr>
              <w:autoSpaceDE w:val="0"/>
              <w:autoSpaceDN w:val="0"/>
              <w:adjustRightInd w:val="0"/>
              <w:spacing w:line="276" w:lineRule="auto"/>
              <w:jc w:val="left"/>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9</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进口产品参与</w:t>
            </w:r>
          </w:p>
        </w:tc>
        <w:tc>
          <w:tcPr>
            <w:tcW w:w="6813" w:type="dxa"/>
            <w:vAlign w:val="center"/>
          </w:tcPr>
          <w:p>
            <w:pPr>
              <w:autoSpaceDE w:val="0"/>
              <w:autoSpaceDN w:val="0"/>
              <w:adjustRightInd w:val="0"/>
              <w:spacing w:line="276" w:lineRule="auto"/>
              <w:jc w:val="left"/>
              <w:rPr>
                <w:rFonts w:asciiTheme="minorEastAsia" w:hAnsiTheme="minorEastAsia"/>
                <w:color w:val="auto"/>
                <w:sz w:val="24"/>
                <w:szCs w:val="24"/>
              </w:rPr>
            </w:pPr>
            <w:r>
              <w:rPr>
                <w:rFonts w:cs="宋体" w:asciiTheme="minorEastAsia" w:hAnsiTheme="minorEastAsia"/>
                <w:b/>
                <w:color w:val="auto"/>
                <w:kern w:val="0"/>
                <w:sz w:val="24"/>
                <w:szCs w:val="24"/>
                <w:lang w:val="zh-CN"/>
              </w:rPr>
              <w:fldChar w:fldCharType="begin"/>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 xml:space="preserve">不允许    </w:t>
            </w:r>
            <w:r>
              <w:rPr>
                <w:rFonts w:hint="eastAsia" w:cs="宋体" w:asciiTheme="minorEastAsia" w:hAnsiTheme="minorEastAsia"/>
                <w:b/>
                <w:bCs/>
                <w:color w:val="auto"/>
                <w:sz w:val="24"/>
                <w:szCs w:val="24"/>
                <w:lang w:val="zh-CN"/>
              </w:rPr>
              <w:t>□</w:t>
            </w:r>
            <w:r>
              <w:rPr>
                <w:rFonts w:hint="eastAsia" w:asciiTheme="minorEastAsia" w:hAnsiTheme="minorEastAsia"/>
                <w:color w:val="auto"/>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10</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微软雅黑" w:asciiTheme="minorEastAsia" w:hAnsiTheme="minorEastAsia"/>
                <w:b/>
                <w:color w:val="auto"/>
                <w:sz w:val="24"/>
                <w:szCs w:val="24"/>
              </w:rPr>
              <w:t>★</w:t>
            </w:r>
            <w:r>
              <w:rPr>
                <w:rFonts w:hint="eastAsia" w:cs="仿宋_GB2312" w:asciiTheme="minorEastAsia" w:hAnsiTheme="minorEastAsia"/>
                <w:color w:val="auto"/>
                <w:sz w:val="24"/>
                <w:szCs w:val="24"/>
              </w:rPr>
              <w:t>投标有效期</w:t>
            </w:r>
          </w:p>
        </w:tc>
        <w:tc>
          <w:tcPr>
            <w:tcW w:w="6813" w:type="dxa"/>
            <w:vAlign w:val="center"/>
          </w:tcPr>
          <w:p>
            <w:pPr>
              <w:autoSpaceDE w:val="0"/>
              <w:autoSpaceDN w:val="0"/>
              <w:adjustRightInd w:val="0"/>
              <w:spacing w:line="360" w:lineRule="auto"/>
              <w:jc w:val="left"/>
              <w:rPr>
                <w:rFonts w:cs="仿宋_GB2312" w:asciiTheme="minorEastAsia" w:hAnsiTheme="minorEastAsia"/>
                <w:color w:val="auto"/>
                <w:sz w:val="24"/>
                <w:szCs w:val="24"/>
              </w:rPr>
            </w:pPr>
            <w:r>
              <w:rPr>
                <w:rFonts w:hint="eastAsia" w:cs="仿宋_GB2312" w:asciiTheme="minorEastAsia" w:hAnsiTheme="minorEastAsia"/>
                <w:color w:val="auto"/>
                <w:sz w:val="24"/>
                <w:szCs w:val="24"/>
              </w:rPr>
              <w:t>60天（自</w:t>
            </w:r>
            <w:r>
              <w:rPr>
                <w:rFonts w:hint="eastAsia" w:cs="宋体" w:asciiTheme="minorEastAsia" w:hAnsiTheme="minorEastAsia"/>
                <w:color w:val="auto"/>
                <w:kern w:val="0"/>
                <w:sz w:val="24"/>
                <w:szCs w:val="24"/>
              </w:rPr>
              <w:t>提交投标文件的截止之日起算</w:t>
            </w:r>
            <w:r>
              <w:rPr>
                <w:rFonts w:hint="eastAsia" w:cs="仿宋_GB2312" w:asciiTheme="minorEastAsia" w:hAnsiTheme="minorEastAsia"/>
                <w:color w:val="auto"/>
                <w:sz w:val="24"/>
                <w:szCs w:val="24"/>
              </w:rPr>
              <w:t>）</w:t>
            </w:r>
          </w:p>
          <w:p>
            <w:pPr>
              <w:autoSpaceDE w:val="0"/>
              <w:autoSpaceDN w:val="0"/>
              <w:adjustRightInd w:val="0"/>
              <w:spacing w:line="360" w:lineRule="auto"/>
              <w:jc w:val="left"/>
              <w:rPr>
                <w:rFonts w:cs="仿宋_GB2312" w:asciiTheme="minorEastAsia" w:hAnsiTheme="minorEastAsia"/>
                <w:color w:val="auto"/>
                <w:sz w:val="24"/>
                <w:szCs w:val="24"/>
              </w:rPr>
            </w:pPr>
            <w:r>
              <w:rPr>
                <w:rFonts w:cs="仿宋_GB2312" w:asciiTheme="minorEastAsia" w:hAnsiTheme="minorEastAsia"/>
                <w:color w:val="auto"/>
                <w:sz w:val="24"/>
                <w:szCs w:val="24"/>
                <w:lang w:val="zh-CN"/>
              </w:rPr>
              <w:t>中标</w:t>
            </w:r>
            <w:r>
              <w:rPr>
                <w:rFonts w:hint="eastAsia" w:cs="仿宋_GB2312" w:asciiTheme="minorEastAsia" w:hAnsiTheme="minorEastAsia"/>
                <w:color w:val="auto"/>
                <w:sz w:val="24"/>
                <w:szCs w:val="24"/>
                <w:lang w:val="zh-CN"/>
              </w:rPr>
              <w:t>人投标</w:t>
            </w:r>
            <w:r>
              <w:rPr>
                <w:rFonts w:cs="仿宋_GB2312" w:asciiTheme="minorEastAsia" w:hAnsiTheme="minorEastAsia"/>
                <w:color w:val="auto"/>
                <w:sz w:val="24"/>
                <w:szCs w:val="24"/>
                <w:lang w:val="zh-CN"/>
              </w:rPr>
              <w:t>有效期延</w:t>
            </w:r>
            <w:r>
              <w:rPr>
                <w:rFonts w:hint="eastAsia" w:cs="仿宋_GB2312" w:asciiTheme="minorEastAsia" w:hAnsiTheme="minorEastAsia"/>
                <w:color w:val="auto"/>
                <w:sz w:val="24"/>
                <w:szCs w:val="24"/>
                <w:lang w:val="zh-CN"/>
              </w:rPr>
              <w:t>至合同</w:t>
            </w:r>
            <w:r>
              <w:rPr>
                <w:rFonts w:cs="仿宋_GB2312" w:asciiTheme="minorEastAsia" w:hAnsiTheme="minorEastAsia"/>
                <w:color w:val="auto"/>
                <w:sz w:val="24"/>
                <w:szCs w:val="24"/>
                <w:lang w:val="zh-CN"/>
              </w:rPr>
              <w:t>验收之日</w:t>
            </w:r>
            <w:r>
              <w:rPr>
                <w:rFonts w:hint="eastAsia" w:cs="仿宋_GB2312" w:asciiTheme="minorEastAsia" w:hAnsiTheme="minorEastAsia"/>
                <w:color w:val="auto"/>
                <w:sz w:val="24"/>
                <w:szCs w:val="24"/>
                <w:lang w:val="zh-CN"/>
              </w:rPr>
              <w:t>，</w:t>
            </w:r>
            <w:r>
              <w:rPr>
                <w:rFonts w:hint="eastAsia" w:cs="宋体" w:asciiTheme="minorEastAsia" w:hAnsiTheme="minorEastAsia"/>
                <w:color w:val="auto"/>
                <w:kern w:val="0"/>
                <w:sz w:val="24"/>
                <w:szCs w:val="24"/>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11</w:t>
            </w:r>
          </w:p>
        </w:tc>
        <w:tc>
          <w:tcPr>
            <w:tcW w:w="2268" w:type="dxa"/>
            <w:vAlign w:val="center"/>
          </w:tcPr>
          <w:p>
            <w:pPr>
              <w:autoSpaceDE w:val="0"/>
              <w:autoSpaceDN w:val="0"/>
              <w:adjustRightInd w:val="0"/>
              <w:snapToGrid w:val="0"/>
              <w:jc w:val="center"/>
              <w:rPr>
                <w:rFonts w:cs="宋体" w:asciiTheme="minorEastAsia" w:hAnsiTheme="minorEastAsia"/>
                <w:bCs/>
                <w:color w:val="auto"/>
                <w:sz w:val="24"/>
                <w:szCs w:val="24"/>
                <w:lang w:val="zh-CN"/>
              </w:rPr>
            </w:pPr>
            <w:r>
              <w:rPr>
                <w:rFonts w:cs="宋体" w:asciiTheme="minorEastAsia" w:hAnsiTheme="minorEastAsia"/>
                <w:bCs/>
                <w:color w:val="auto"/>
                <w:sz w:val="24"/>
                <w:szCs w:val="24"/>
                <w:lang w:val="zh-CN"/>
              </w:rPr>
              <w:t>中标人将本项目的非主体、非关键性</w:t>
            </w:r>
          </w:p>
          <w:p>
            <w:pPr>
              <w:autoSpaceDE w:val="0"/>
              <w:autoSpaceDN w:val="0"/>
              <w:adjustRightInd w:val="0"/>
              <w:snapToGrid w:val="0"/>
              <w:jc w:val="center"/>
              <w:rPr>
                <w:rFonts w:cs="仿宋_GB2312" w:asciiTheme="minorEastAsia" w:hAnsiTheme="minorEastAsia"/>
                <w:color w:val="auto"/>
                <w:sz w:val="24"/>
                <w:szCs w:val="24"/>
              </w:rPr>
            </w:pPr>
            <w:r>
              <w:rPr>
                <w:rFonts w:cs="宋体" w:asciiTheme="minorEastAsia" w:hAnsiTheme="minorEastAsia"/>
                <w:bCs/>
                <w:color w:val="auto"/>
                <w:sz w:val="24"/>
                <w:szCs w:val="24"/>
                <w:lang w:val="zh-CN"/>
              </w:rPr>
              <w:t>工作分包</w:t>
            </w:r>
          </w:p>
        </w:tc>
        <w:tc>
          <w:tcPr>
            <w:tcW w:w="6813" w:type="dxa"/>
            <w:vAlign w:val="center"/>
          </w:tcPr>
          <w:p>
            <w:pPr>
              <w:autoSpaceDE w:val="0"/>
              <w:autoSpaceDN w:val="0"/>
              <w:adjustRightInd w:val="0"/>
              <w:spacing w:line="276" w:lineRule="auto"/>
              <w:jc w:val="left"/>
              <w:rPr>
                <w:rFonts w:cs="仿宋_GB2312" w:asciiTheme="minorEastAsia" w:hAnsiTheme="minorEastAsia"/>
                <w:color w:val="auto"/>
                <w:sz w:val="24"/>
                <w:szCs w:val="24"/>
              </w:rPr>
            </w:pPr>
            <w:r>
              <w:rPr>
                <w:rFonts w:cs="宋体" w:asciiTheme="minorEastAsia" w:hAnsiTheme="minorEastAsia"/>
                <w:b/>
                <w:color w:val="auto"/>
                <w:kern w:val="0"/>
                <w:sz w:val="24"/>
                <w:szCs w:val="24"/>
                <w:lang w:val="zh-CN"/>
              </w:rPr>
              <w:fldChar w:fldCharType="begin"/>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 xml:space="preserve">不允许   </w:t>
            </w:r>
            <w:r>
              <w:rPr>
                <w:rFonts w:hint="eastAsia" w:cs="宋体" w:asciiTheme="minorEastAsia" w:hAnsiTheme="minorEastAsia"/>
                <w:b/>
                <w:bCs/>
                <w:color w:val="auto"/>
                <w:sz w:val="24"/>
                <w:szCs w:val="24"/>
                <w:lang w:val="zh-CN"/>
              </w:rPr>
              <w:t>□</w:t>
            </w:r>
            <w:r>
              <w:rPr>
                <w:rFonts w:hint="eastAsia" w:cs="仿宋_GB2312" w:asciiTheme="minorEastAsia" w:hAnsiTheme="minorEastAsia"/>
                <w:color w:val="auto"/>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12</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投标截止及</w:t>
            </w:r>
          </w:p>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开标时间</w:t>
            </w:r>
          </w:p>
        </w:tc>
        <w:tc>
          <w:tcPr>
            <w:tcW w:w="6813" w:type="dxa"/>
            <w:vAlign w:val="center"/>
          </w:tcPr>
          <w:p>
            <w:pPr>
              <w:autoSpaceDE w:val="0"/>
              <w:autoSpaceDN w:val="0"/>
              <w:adjustRightInd w:val="0"/>
              <w:spacing w:line="360" w:lineRule="auto"/>
              <w:jc w:val="left"/>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rPr>
              <w:t>2020年</w:t>
            </w:r>
            <w:r>
              <w:rPr>
                <w:rFonts w:hint="eastAsia" w:cs="宋体" w:asciiTheme="minorEastAsia" w:hAnsiTheme="minorEastAsia"/>
                <w:bCs/>
                <w:color w:val="auto"/>
                <w:sz w:val="24"/>
                <w:szCs w:val="24"/>
                <w:lang w:val="en-US" w:eastAsia="zh-CN"/>
              </w:rPr>
              <w:t>4</w:t>
            </w:r>
            <w:r>
              <w:rPr>
                <w:rFonts w:hint="eastAsia" w:cs="宋体" w:asciiTheme="minorEastAsia" w:hAnsiTheme="minorEastAsia"/>
                <w:bCs/>
                <w:color w:val="auto"/>
                <w:sz w:val="24"/>
                <w:szCs w:val="24"/>
              </w:rPr>
              <w:t>月</w:t>
            </w:r>
            <w:r>
              <w:rPr>
                <w:rFonts w:hint="eastAsia" w:cs="宋体" w:asciiTheme="minorEastAsia" w:hAnsiTheme="minorEastAsia"/>
                <w:bCs/>
                <w:color w:val="auto"/>
                <w:sz w:val="24"/>
                <w:szCs w:val="24"/>
                <w:lang w:val="en-US" w:eastAsia="zh-CN"/>
              </w:rPr>
              <w:t>28</w:t>
            </w:r>
            <w:r>
              <w:rPr>
                <w:rFonts w:hint="eastAsia" w:cs="宋体" w:asciiTheme="minorEastAsia" w:hAnsiTheme="minorEastAsia"/>
                <w:bCs/>
                <w:color w:val="auto"/>
                <w:sz w:val="24"/>
                <w:szCs w:val="24"/>
              </w:rPr>
              <w:t>日</w:t>
            </w:r>
            <w:r>
              <w:rPr>
                <w:rFonts w:hint="eastAsia" w:cs="宋体" w:asciiTheme="minorEastAsia" w:hAnsiTheme="minorEastAsia"/>
                <w:bCs/>
                <w:color w:val="auto"/>
                <w:sz w:val="24"/>
                <w:szCs w:val="24"/>
                <w:lang w:val="en-US" w:eastAsia="zh-CN"/>
              </w:rPr>
              <w:t>8</w:t>
            </w:r>
            <w:r>
              <w:rPr>
                <w:rFonts w:hint="eastAsia" w:cs="宋体" w:asciiTheme="minorEastAsia" w:hAnsiTheme="minorEastAsia"/>
                <w:bCs/>
                <w:color w:val="auto"/>
                <w:sz w:val="24"/>
                <w:szCs w:val="24"/>
              </w:rPr>
              <w:t>时30分</w:t>
            </w:r>
            <w:r>
              <w:rPr>
                <w:rFonts w:hint="eastAsia" w:cs="宋体" w:asciiTheme="minorEastAsia" w:hAnsiTheme="minorEastAsia"/>
                <w:bCs/>
                <w:color w:val="auto"/>
                <w:sz w:val="24"/>
                <w:szCs w:val="24"/>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13</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递交投标文件</w:t>
            </w:r>
          </w:p>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及开标地点</w:t>
            </w:r>
          </w:p>
        </w:tc>
        <w:tc>
          <w:tcPr>
            <w:tcW w:w="6813" w:type="dxa"/>
            <w:vAlign w:val="center"/>
          </w:tcPr>
          <w:p>
            <w:pPr>
              <w:autoSpaceDE w:val="0"/>
              <w:autoSpaceDN w:val="0"/>
              <w:adjustRightInd w:val="0"/>
              <w:spacing w:line="360" w:lineRule="auto"/>
              <w:jc w:val="left"/>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开标地点：许昌市公共资源交易中心（本项目采用远程不见面开标，投标人无须到交易中心现场）。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14</w:t>
            </w:r>
          </w:p>
        </w:tc>
        <w:tc>
          <w:tcPr>
            <w:tcW w:w="2268" w:type="dxa"/>
            <w:vAlign w:val="center"/>
          </w:tcPr>
          <w:p>
            <w:pPr>
              <w:autoSpaceDE w:val="0"/>
              <w:autoSpaceDN w:val="0"/>
              <w:adjustRightInd w:val="0"/>
              <w:spacing w:line="276" w:lineRule="auto"/>
              <w:jc w:val="center"/>
              <w:rPr>
                <w:rFonts w:cs="宋体" w:asciiTheme="minorEastAsia" w:hAnsiTheme="minorEastAsia"/>
                <w:bCs/>
                <w:color w:val="auto"/>
                <w:sz w:val="24"/>
                <w:szCs w:val="24"/>
                <w:lang w:val="zh-CN"/>
              </w:rPr>
            </w:pPr>
            <w:r>
              <w:rPr>
                <w:rFonts w:hint="eastAsia" w:cs="宋体" w:asciiTheme="minorEastAsia" w:hAnsiTheme="minorEastAsia"/>
                <w:color w:val="auto"/>
                <w:kern w:val="0"/>
                <w:sz w:val="24"/>
                <w:szCs w:val="24"/>
              </w:rPr>
              <w:t>投标保证金</w:t>
            </w:r>
          </w:p>
        </w:tc>
        <w:tc>
          <w:tcPr>
            <w:tcW w:w="6813" w:type="dxa"/>
            <w:vAlign w:val="center"/>
          </w:tcPr>
          <w:p>
            <w:pPr>
              <w:tabs>
                <w:tab w:val="left" w:pos="1260"/>
              </w:tabs>
              <w:autoSpaceDE w:val="0"/>
              <w:autoSpaceDN w:val="0"/>
              <w:spacing w:line="360" w:lineRule="auto"/>
              <w:contextualSpacing/>
              <w:jc w:val="left"/>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不</w:t>
            </w:r>
            <w:r>
              <w:rPr>
                <w:rFonts w:hint="eastAsia" w:cs="宋体" w:asciiTheme="minorEastAsia" w:hAnsiTheme="minorEastAsia"/>
                <w:bCs/>
                <w:color w:val="auto"/>
                <w:sz w:val="24"/>
                <w:szCs w:val="24"/>
                <w:lang w:val="zh-CN"/>
              </w:rPr>
              <w:t>收取，投标人应提供投标承诺函。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15</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公告发布</w:t>
            </w:r>
          </w:p>
        </w:tc>
        <w:tc>
          <w:tcPr>
            <w:tcW w:w="6813" w:type="dxa"/>
            <w:tcBorders>
              <w:top w:val="single" w:color="auto" w:sz="4" w:space="0"/>
            </w:tcBorders>
            <w:vAlign w:val="center"/>
          </w:tcPr>
          <w:p>
            <w:pPr>
              <w:autoSpaceDE w:val="0"/>
              <w:autoSpaceDN w:val="0"/>
              <w:adjustRightInd w:val="0"/>
              <w:spacing w:line="360" w:lineRule="auto"/>
              <w:jc w:val="left"/>
              <w:rPr>
                <w:rFonts w:cs="宋体" w:asciiTheme="minorEastAsia" w:hAnsiTheme="minorEastAsia"/>
                <w:bCs/>
                <w:color w:val="auto"/>
                <w:sz w:val="24"/>
                <w:szCs w:val="24"/>
                <w:lang w:val="zh-CN"/>
              </w:rPr>
            </w:pPr>
            <w:r>
              <w:rPr>
                <w:rFonts w:hint="eastAsia" w:cs="宋体" w:asciiTheme="minorEastAsia" w:hAnsiTheme="minorEastAsia"/>
                <w:color w:val="auto"/>
                <w:sz w:val="24"/>
                <w:szCs w:val="24"/>
              </w:rPr>
              <w:t>招标公告、中标公告、变更（更正）公告、现场勘察答复等相关信息同时在以下网站发布：《中国政府采购网》、《河南省政府采购网》、《许昌市政府采购网》、《全国公共资源交易平台（河南省·许昌市）》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16</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仿宋_GB2312" w:asciiTheme="minorEastAsia" w:hAnsiTheme="minorEastAsia"/>
                <w:color w:val="auto"/>
                <w:sz w:val="24"/>
                <w:szCs w:val="24"/>
              </w:rPr>
              <w:t>采购人澄清或修改招标文件时间</w:t>
            </w:r>
          </w:p>
        </w:tc>
        <w:tc>
          <w:tcPr>
            <w:tcW w:w="6813" w:type="dxa"/>
            <w:vAlign w:val="center"/>
          </w:tcPr>
          <w:p>
            <w:pPr>
              <w:autoSpaceDE w:val="0"/>
              <w:autoSpaceDN w:val="0"/>
              <w:adjustRightInd w:val="0"/>
              <w:spacing w:line="360" w:lineRule="auto"/>
              <w:jc w:val="left"/>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投标截止时间15日前（</w:t>
            </w:r>
            <w:r>
              <w:rPr>
                <w:rFonts w:hint="eastAsia" w:cs="仿宋_GB2312" w:asciiTheme="minorEastAsia" w:hAnsiTheme="minorEastAsia"/>
                <w:color w:val="auto"/>
                <w:sz w:val="24"/>
                <w:szCs w:val="24"/>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17</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投标人对采购文件质疑截止时间</w:t>
            </w:r>
          </w:p>
        </w:tc>
        <w:tc>
          <w:tcPr>
            <w:tcW w:w="6813" w:type="dxa"/>
            <w:vAlign w:val="center"/>
          </w:tcPr>
          <w:p>
            <w:pPr>
              <w:autoSpaceDE w:val="0"/>
              <w:autoSpaceDN w:val="0"/>
              <w:adjustRightInd w:val="0"/>
              <w:spacing w:line="360" w:lineRule="auto"/>
              <w:jc w:val="left"/>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18</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投标文件份数</w:t>
            </w:r>
          </w:p>
        </w:tc>
        <w:tc>
          <w:tcPr>
            <w:tcW w:w="6813" w:type="dxa"/>
            <w:vAlign w:val="center"/>
          </w:tcPr>
          <w:p>
            <w:pPr>
              <w:autoSpaceDE w:val="0"/>
              <w:autoSpaceDN w:val="0"/>
              <w:adjustRightInd w:val="0"/>
              <w:spacing w:line="360" w:lineRule="auto"/>
              <w:rPr>
                <w:rFonts w:cs="宋体" w:asciiTheme="minorEastAsia" w:hAnsiTheme="minorEastAsia"/>
                <w:color w:val="auto"/>
                <w:szCs w:val="21"/>
              </w:rPr>
            </w:pPr>
            <w:r>
              <w:rPr>
                <w:rFonts w:ascii="新宋体" w:hAnsi="新宋体" w:eastAsia="新宋体"/>
                <w:b/>
                <w:color w:val="auto"/>
                <w:szCs w:val="21"/>
              </w:rPr>
              <w:fldChar w:fldCharType="begin"/>
            </w:r>
            <w:r>
              <w:rPr>
                <w:rFonts w:ascii="新宋体" w:hAnsi="新宋体" w:eastAsia="新宋体"/>
                <w:b/>
                <w:color w:val="auto"/>
                <w:szCs w:val="21"/>
              </w:rPr>
              <w:instrText xml:space="preserve"> </w:instrText>
            </w:r>
            <w:r>
              <w:rPr>
                <w:rFonts w:hint="eastAsia" w:ascii="新宋体" w:hAnsi="新宋体" w:eastAsia="新宋体"/>
                <w:b/>
                <w:color w:val="auto"/>
                <w:szCs w:val="21"/>
              </w:rPr>
              <w:instrText xml:space="preserve">eq \o\ac(□,√)</w:instrText>
            </w:r>
            <w:r>
              <w:rPr>
                <w:rFonts w:ascii="新宋体" w:hAnsi="新宋体" w:eastAsia="新宋体"/>
                <w:b/>
                <w:color w:val="auto"/>
                <w:szCs w:val="21"/>
              </w:rPr>
              <w:fldChar w:fldCharType="end"/>
            </w:r>
            <w:r>
              <w:rPr>
                <w:rFonts w:hint="eastAsia" w:ascii="新宋体" w:hAnsi="新宋体" w:eastAsia="新宋体"/>
                <w:color w:val="auto"/>
                <w:szCs w:val="21"/>
              </w:rPr>
              <w:t>电子投标文件：成功上传至《全国公共资源交易平台（河南省·许昌市）》公共资源交易系统加密电子投标文件1份</w:t>
            </w:r>
            <w:r>
              <w:rPr>
                <w:rFonts w:hint="eastAsia" w:hAnsi="宋体" w:cs="宋体"/>
                <w:color w:val="auto"/>
                <w:szCs w:val="21"/>
                <w:lang w:val="zh-CN"/>
              </w:rPr>
              <w:t>（文件格式为： XXX公司XXX项目编号.file）。</w:t>
            </w:r>
          </w:p>
          <w:p>
            <w:pPr>
              <w:autoSpaceDE w:val="0"/>
              <w:autoSpaceDN w:val="0"/>
              <w:adjustRightInd w:val="0"/>
              <w:spacing w:line="360" w:lineRule="auto"/>
              <w:rPr>
                <w:rFonts w:ascii="新宋体" w:hAnsi="新宋体" w:eastAsia="新宋体"/>
                <w:color w:val="auto"/>
                <w:szCs w:val="21"/>
              </w:rPr>
            </w:pPr>
            <w:r>
              <w:rPr>
                <w:rFonts w:hint="eastAsia" w:cs="宋体" w:asciiTheme="minorEastAsia" w:hAnsiTheme="minorEastAsia"/>
                <w:b/>
                <w:bCs/>
                <w:color w:val="auto"/>
                <w:szCs w:val="21"/>
                <w:lang w:val="zh-CN"/>
              </w:rPr>
              <w:t>□</w:t>
            </w:r>
            <w:r>
              <w:rPr>
                <w:rFonts w:hint="eastAsia" w:ascii="新宋体" w:hAnsi="新宋体" w:eastAsia="新宋体"/>
                <w:color w:val="auto"/>
                <w:szCs w:val="21"/>
              </w:rPr>
              <w:t>纸质投标文件：</w:t>
            </w:r>
            <w:r>
              <w:rPr>
                <w:rFonts w:hint="eastAsia" w:cs="仿宋_GB2312" w:asciiTheme="minorEastAsia" w:hAnsiTheme="minorEastAsia"/>
                <w:color w:val="auto"/>
                <w:szCs w:val="21"/>
              </w:rPr>
              <w:t>正本</w:t>
            </w:r>
            <w:r>
              <w:rPr>
                <w:rFonts w:hint="eastAsia" w:cs="仿宋_GB2312" w:asciiTheme="minorEastAsia" w:hAnsiTheme="minorEastAsia"/>
                <w:b/>
                <w:color w:val="auto"/>
                <w:szCs w:val="21"/>
              </w:rPr>
              <w:t>一</w:t>
            </w:r>
            <w:r>
              <w:rPr>
                <w:rFonts w:hint="eastAsia" w:cs="仿宋_GB2312" w:asciiTheme="minorEastAsia" w:hAnsiTheme="minorEastAsia"/>
                <w:color w:val="auto"/>
                <w:szCs w:val="21"/>
              </w:rPr>
              <w:t>份，副本</w:t>
            </w:r>
            <w:r>
              <w:rPr>
                <w:rFonts w:hint="eastAsia" w:cs="仿宋_GB2312" w:asciiTheme="minorEastAsia" w:hAnsiTheme="minorEastAsia"/>
                <w:color w:val="auto"/>
                <w:szCs w:val="21"/>
                <w:u w:val="single"/>
              </w:rPr>
              <w:t xml:space="preserve"> 一 </w:t>
            </w:r>
            <w:r>
              <w:rPr>
                <w:rFonts w:hint="eastAsia" w:cs="仿宋_GB2312" w:asciiTheme="minorEastAsia" w:hAnsiTheme="minorEastAsia"/>
                <w:color w:val="auto"/>
                <w:szCs w:val="21"/>
              </w:rPr>
              <w:t>份。使用</w:t>
            </w:r>
            <w:r>
              <w:rPr>
                <w:rFonts w:hint="eastAsia" w:ascii="新宋体" w:hAnsi="新宋体" w:eastAsia="新宋体"/>
                <w:color w:val="auto"/>
                <w:szCs w:val="21"/>
              </w:rPr>
              <w:t>格式为“投标文件（供打印）.PDF”的文件。</w:t>
            </w:r>
          </w:p>
          <w:p>
            <w:pPr>
              <w:autoSpaceDE w:val="0"/>
              <w:autoSpaceDN w:val="0"/>
              <w:adjustRightInd w:val="0"/>
              <w:spacing w:line="360" w:lineRule="auto"/>
              <w:rPr>
                <w:rFonts w:cs="宋体" w:asciiTheme="minorEastAsia" w:hAnsiTheme="minorEastAsia"/>
                <w:bCs/>
                <w:color w:val="auto"/>
                <w:sz w:val="24"/>
                <w:szCs w:val="24"/>
                <w:lang w:val="zh-CN"/>
              </w:rPr>
            </w:pPr>
            <w:r>
              <w:rPr>
                <w:rFonts w:hint="eastAsia" w:ascii="新宋体" w:hAnsi="新宋体" w:eastAsia="新宋体"/>
                <w:color w:val="auto"/>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19</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投标文件的</w:t>
            </w:r>
          </w:p>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签署盖章</w:t>
            </w:r>
          </w:p>
        </w:tc>
        <w:tc>
          <w:tcPr>
            <w:tcW w:w="6813" w:type="dxa"/>
            <w:vAlign w:val="center"/>
          </w:tcPr>
          <w:p>
            <w:pPr>
              <w:autoSpaceDE w:val="0"/>
              <w:autoSpaceDN w:val="0"/>
              <w:adjustRightInd w:val="0"/>
              <w:spacing w:line="420" w:lineRule="exact"/>
              <w:rPr>
                <w:rFonts w:ascii="新宋体" w:hAnsi="新宋体" w:eastAsia="新宋体"/>
                <w:color w:val="auto"/>
                <w:szCs w:val="21"/>
              </w:rPr>
            </w:pPr>
            <w:r>
              <w:rPr>
                <w:rFonts w:ascii="新宋体" w:hAnsi="新宋体" w:eastAsia="新宋体"/>
                <w:b/>
                <w:color w:val="auto"/>
                <w:szCs w:val="21"/>
              </w:rPr>
              <w:fldChar w:fldCharType="begin"/>
            </w:r>
            <w:r>
              <w:rPr>
                <w:rFonts w:ascii="新宋体" w:hAnsi="新宋体" w:eastAsia="新宋体"/>
                <w:b/>
                <w:color w:val="auto"/>
                <w:szCs w:val="21"/>
              </w:rPr>
              <w:instrText xml:space="preserve"> </w:instrText>
            </w:r>
            <w:r>
              <w:rPr>
                <w:rFonts w:hint="eastAsia" w:ascii="新宋体" w:hAnsi="新宋体" w:eastAsia="新宋体"/>
                <w:b/>
                <w:color w:val="auto"/>
                <w:szCs w:val="21"/>
              </w:rPr>
              <w:instrText xml:space="preserve">eq \o\ac(□,√)</w:instrText>
            </w:r>
            <w:r>
              <w:rPr>
                <w:rFonts w:ascii="新宋体" w:hAnsi="新宋体" w:eastAsia="新宋体"/>
                <w:b/>
                <w:color w:val="auto"/>
                <w:szCs w:val="21"/>
              </w:rPr>
              <w:fldChar w:fldCharType="end"/>
            </w:r>
            <w:r>
              <w:rPr>
                <w:rFonts w:hint="eastAsia" w:ascii="新宋体" w:hAnsi="新宋体" w:eastAsia="新宋体"/>
                <w:color w:val="auto"/>
                <w:szCs w:val="21"/>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color w:val="auto"/>
                <w:sz w:val="24"/>
                <w:szCs w:val="24"/>
              </w:rPr>
            </w:pPr>
            <w:r>
              <w:rPr>
                <w:rFonts w:hint="eastAsia" w:cs="宋体" w:asciiTheme="minorEastAsia" w:hAnsiTheme="minorEastAsia"/>
                <w:b/>
                <w:bCs/>
                <w:color w:val="auto"/>
                <w:szCs w:val="21"/>
                <w:lang w:val="zh-CN"/>
              </w:rPr>
              <w:t>□</w:t>
            </w:r>
            <w:r>
              <w:rPr>
                <w:rFonts w:hint="eastAsia" w:ascii="新宋体" w:hAnsi="新宋体" w:eastAsia="新宋体"/>
                <w:color w:val="auto"/>
                <w:szCs w:val="21"/>
              </w:rPr>
              <w:t>纸质投标文件：投标文件封面加盖投标人公章（投标文件是指投标人电子投标文件制作完成后生成的后缀名为</w:t>
            </w:r>
            <w:r>
              <w:rPr>
                <w:rFonts w:hint="eastAsia" w:hAnsi="宋体"/>
                <w:color w:val="auto"/>
                <w:szCs w:val="21"/>
              </w:rPr>
              <w:t>“.PDF”的文件</w:t>
            </w:r>
            <w:r>
              <w:rPr>
                <w:rFonts w:hint="eastAsia" w:ascii="新宋体" w:hAnsi="新宋体" w:eastAsia="新宋体"/>
                <w:color w:val="auto"/>
                <w:szCs w:val="21"/>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color w:val="auto"/>
                <w:sz w:val="24"/>
                <w:szCs w:val="24"/>
              </w:rPr>
            </w:pPr>
            <w:r>
              <w:rPr>
                <w:rFonts w:hint="eastAsia" w:cs="TimesNewRomanPSMT" w:asciiTheme="minorEastAsia" w:hAnsiTheme="minorEastAsia"/>
                <w:color w:val="auto"/>
                <w:sz w:val="24"/>
                <w:szCs w:val="24"/>
              </w:rPr>
              <w:t>20</w:t>
            </w:r>
          </w:p>
        </w:tc>
        <w:tc>
          <w:tcPr>
            <w:tcW w:w="2268" w:type="dxa"/>
            <w:vAlign w:val="center"/>
          </w:tcPr>
          <w:p>
            <w:pPr>
              <w:autoSpaceDE w:val="0"/>
              <w:autoSpaceDN w:val="0"/>
              <w:adjustRightInd w:val="0"/>
              <w:spacing w:line="360" w:lineRule="auto"/>
              <w:jc w:val="center"/>
              <w:rPr>
                <w:rFonts w:cs="仿宋_GB2312" w:asciiTheme="minorEastAsia" w:hAnsiTheme="minorEastAsia"/>
                <w:color w:val="auto"/>
                <w:sz w:val="24"/>
                <w:szCs w:val="24"/>
              </w:rPr>
            </w:pPr>
            <w:r>
              <w:rPr>
                <w:rFonts w:hint="eastAsia" w:cs="黑体" w:asciiTheme="minorEastAsia" w:hAnsiTheme="minorEastAsia"/>
                <w:color w:val="auto"/>
                <w:sz w:val="24"/>
                <w:szCs w:val="24"/>
              </w:rPr>
              <w:t>评标委员会组建</w:t>
            </w:r>
          </w:p>
        </w:tc>
        <w:tc>
          <w:tcPr>
            <w:tcW w:w="6813" w:type="dxa"/>
            <w:vAlign w:val="center"/>
          </w:tcPr>
          <w:p>
            <w:pPr>
              <w:autoSpaceDE w:val="0"/>
              <w:autoSpaceDN w:val="0"/>
              <w:adjustRightInd w:val="0"/>
              <w:spacing w:line="360" w:lineRule="auto"/>
              <w:rPr>
                <w:rFonts w:cs="仿宋_GB2312" w:asciiTheme="minorEastAsia" w:hAnsiTheme="minorEastAsia"/>
                <w:color w:val="auto"/>
                <w:szCs w:val="21"/>
                <w:lang w:val="zh-CN"/>
              </w:rPr>
            </w:pPr>
            <w:r>
              <w:rPr>
                <w:rFonts w:ascii="新宋体" w:hAnsi="新宋体" w:eastAsia="新宋体"/>
                <w:b/>
                <w:color w:val="auto"/>
                <w:szCs w:val="21"/>
              </w:rPr>
              <w:fldChar w:fldCharType="begin"/>
            </w:r>
            <w:r>
              <w:rPr>
                <w:rFonts w:ascii="新宋体" w:hAnsi="新宋体" w:eastAsia="新宋体"/>
                <w:b/>
                <w:color w:val="auto"/>
                <w:szCs w:val="21"/>
              </w:rPr>
              <w:instrText xml:space="preserve"> </w:instrText>
            </w:r>
            <w:r>
              <w:rPr>
                <w:rFonts w:hint="eastAsia" w:ascii="新宋体" w:hAnsi="新宋体" w:eastAsia="新宋体"/>
                <w:b/>
                <w:color w:val="auto"/>
                <w:szCs w:val="21"/>
              </w:rPr>
              <w:instrText xml:space="preserve">eq \o\ac(□,√)</w:instrText>
            </w:r>
            <w:r>
              <w:rPr>
                <w:rFonts w:ascii="新宋体" w:hAnsi="新宋体" w:eastAsia="新宋体"/>
                <w:b/>
                <w:color w:val="auto"/>
                <w:szCs w:val="21"/>
              </w:rPr>
              <w:fldChar w:fldCharType="end"/>
            </w:r>
            <w:r>
              <w:rPr>
                <w:rFonts w:hint="eastAsia" w:cs="仿宋_GB2312" w:asciiTheme="minorEastAsia" w:hAnsiTheme="minorEastAsia"/>
                <w:color w:val="auto"/>
                <w:szCs w:val="21"/>
                <w:lang w:val="zh-CN"/>
              </w:rPr>
              <w:t>由采购人代表和评审专家组成，其中评审专家的人数不少于评标委员会成员总数的三分之二。评审专家从政府采购评审专家库中随机抽取。</w:t>
            </w:r>
          </w:p>
          <w:p>
            <w:pPr>
              <w:autoSpaceDE w:val="0"/>
              <w:autoSpaceDN w:val="0"/>
              <w:adjustRightInd w:val="0"/>
              <w:spacing w:line="360" w:lineRule="auto"/>
              <w:rPr>
                <w:rFonts w:cs="宋体" w:asciiTheme="minorEastAsia" w:hAnsiTheme="minorEastAsia"/>
                <w:bCs/>
                <w:color w:val="auto"/>
                <w:sz w:val="24"/>
                <w:szCs w:val="24"/>
                <w:lang w:val="zh-CN"/>
              </w:rPr>
            </w:pPr>
            <w:r>
              <w:rPr>
                <w:rFonts w:hint="eastAsia" w:cs="仿宋_GB2312" w:asciiTheme="minorEastAsia" w:hAnsiTheme="minorEastAsia"/>
                <w:color w:val="auto"/>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21</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rPr>
              <w:t>评标方法</w:t>
            </w:r>
          </w:p>
        </w:tc>
        <w:tc>
          <w:tcPr>
            <w:tcW w:w="6813" w:type="dxa"/>
            <w:vAlign w:val="center"/>
          </w:tcPr>
          <w:p>
            <w:pPr>
              <w:autoSpaceDE w:val="0"/>
              <w:autoSpaceDN w:val="0"/>
              <w:adjustRightInd w:val="0"/>
              <w:spacing w:line="360" w:lineRule="auto"/>
              <w:jc w:val="left"/>
              <w:rPr>
                <w:rFonts w:cs="宋体" w:asciiTheme="minorEastAsia" w:hAnsiTheme="minorEastAsia"/>
                <w:bCs/>
                <w:color w:val="auto"/>
                <w:sz w:val="24"/>
                <w:szCs w:val="24"/>
                <w:lang w:val="zh-CN"/>
              </w:rPr>
            </w:pPr>
            <w:r>
              <w:rPr>
                <w:rFonts w:cs="宋体" w:asciiTheme="minorEastAsia" w:hAnsiTheme="minorEastAsia"/>
                <w:b/>
                <w:color w:val="auto"/>
                <w:kern w:val="0"/>
                <w:sz w:val="24"/>
                <w:szCs w:val="24"/>
                <w:lang w:val="zh-CN"/>
              </w:rPr>
              <w:fldChar w:fldCharType="begin"/>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综合评分法</w:t>
            </w:r>
            <w:r>
              <w:rPr>
                <w:rFonts w:hint="eastAsia" w:cs="宋体" w:asciiTheme="minorEastAsia" w:hAnsiTheme="minorEastAsia"/>
                <w:b/>
                <w:bCs/>
                <w:color w:val="auto"/>
                <w:sz w:val="24"/>
                <w:szCs w:val="24"/>
                <w:lang w:val="zh-CN"/>
              </w:rPr>
              <w:t>□</w:t>
            </w:r>
            <w:r>
              <w:rPr>
                <w:rFonts w:hint="eastAsia" w:cs="仿宋_GB2312" w:asciiTheme="minorEastAsia" w:hAnsiTheme="minorEastAsia"/>
                <w:color w:val="auto"/>
                <w:sz w:val="24"/>
                <w:szCs w:val="24"/>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22</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授权函</w:t>
            </w:r>
          </w:p>
        </w:tc>
        <w:tc>
          <w:tcPr>
            <w:tcW w:w="6813" w:type="dxa"/>
            <w:vAlign w:val="center"/>
          </w:tcPr>
          <w:p>
            <w:pPr>
              <w:autoSpaceDE w:val="0"/>
              <w:autoSpaceDN w:val="0"/>
              <w:adjustRightInd w:val="0"/>
              <w:spacing w:line="360" w:lineRule="auto"/>
              <w:jc w:val="left"/>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lang w:val="zh-CN"/>
              </w:rPr>
              <w:t>采购单位委派代表参加资格审查和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23</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履约保证金</w:t>
            </w:r>
          </w:p>
        </w:tc>
        <w:tc>
          <w:tcPr>
            <w:tcW w:w="6813" w:type="dxa"/>
            <w:vAlign w:val="center"/>
          </w:tcPr>
          <w:p>
            <w:pPr>
              <w:autoSpaceDE w:val="0"/>
              <w:autoSpaceDN w:val="0"/>
              <w:adjustRightInd w:val="0"/>
              <w:spacing w:line="360" w:lineRule="auto"/>
              <w:jc w:val="left"/>
              <w:rPr>
                <w:rFonts w:cs="宋体" w:asciiTheme="minorEastAsia" w:hAnsiTheme="minorEastAsia"/>
                <w:color w:val="auto"/>
                <w:kern w:val="0"/>
                <w:sz w:val="24"/>
                <w:szCs w:val="24"/>
                <w:lang w:val="zh-CN"/>
              </w:rPr>
            </w:pPr>
            <w:r>
              <w:rPr>
                <w:rFonts w:cs="宋体" w:asciiTheme="minorEastAsia" w:hAnsiTheme="minorEastAsia"/>
                <w:b/>
                <w:color w:val="auto"/>
                <w:kern w:val="0"/>
                <w:sz w:val="24"/>
                <w:szCs w:val="24"/>
                <w:lang w:val="zh-CN"/>
              </w:rPr>
              <w:fldChar w:fldCharType="begin"/>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无要求</w:t>
            </w:r>
          </w:p>
          <w:p>
            <w:pPr>
              <w:autoSpaceDE w:val="0"/>
              <w:autoSpaceDN w:val="0"/>
              <w:adjustRightInd w:val="0"/>
              <w:spacing w:line="360" w:lineRule="auto"/>
              <w:jc w:val="left"/>
              <w:rPr>
                <w:rFonts w:cs="宋体" w:asciiTheme="minorEastAsia" w:hAnsiTheme="minorEastAsia"/>
                <w:bCs/>
                <w:color w:val="auto"/>
                <w:sz w:val="24"/>
                <w:szCs w:val="24"/>
                <w:lang w:val="zh-CN"/>
              </w:rPr>
            </w:pPr>
            <w:r>
              <w:rPr>
                <w:rFonts w:hint="eastAsia" w:cs="宋体" w:asciiTheme="minorEastAsia" w:hAnsiTheme="minorEastAsia"/>
                <w:b/>
                <w:bCs/>
                <w:color w:val="auto"/>
                <w:sz w:val="24"/>
                <w:szCs w:val="24"/>
                <w:lang w:val="zh-CN"/>
              </w:rPr>
              <w:t>□</w:t>
            </w:r>
            <w:r>
              <w:rPr>
                <w:rFonts w:hint="eastAsia" w:cs="宋体" w:asciiTheme="minorEastAsia" w:hAnsiTheme="minorEastAsia"/>
                <w:color w:val="auto"/>
                <w:sz w:val="24"/>
                <w:szCs w:val="24"/>
              </w:rPr>
              <w:t>要求提交。履约保证金的数额为合同金额的%。中标人以支票、汇票、本票或者金融机构、担保机构出具的保函等非现金形式向采购人提交。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24</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代理服务费</w:t>
            </w:r>
          </w:p>
        </w:tc>
        <w:tc>
          <w:tcPr>
            <w:tcW w:w="6813" w:type="dxa"/>
            <w:vAlign w:val="center"/>
          </w:tcPr>
          <w:p>
            <w:pPr>
              <w:autoSpaceDE w:val="0"/>
              <w:autoSpaceDN w:val="0"/>
              <w:spacing w:line="360" w:lineRule="auto"/>
              <w:contextualSpacing/>
              <w:jc w:val="left"/>
              <w:rPr>
                <w:rFonts w:cs="宋体" w:asciiTheme="minorEastAsia" w:hAnsiTheme="minorEastAsia"/>
                <w:bCs/>
                <w:color w:val="auto"/>
                <w:sz w:val="24"/>
                <w:szCs w:val="24"/>
                <w:lang w:val="zh-CN"/>
              </w:rPr>
            </w:pPr>
            <w:r>
              <w:rPr>
                <w:rFonts w:cs="宋体" w:asciiTheme="minorEastAsia" w:hAnsiTheme="minorEastAsia"/>
                <w:b/>
                <w:color w:val="auto"/>
                <w:kern w:val="0"/>
                <w:sz w:val="24"/>
                <w:szCs w:val="24"/>
                <w:lang w:val="zh-CN"/>
              </w:rPr>
              <w:fldChar w:fldCharType="begin"/>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收取中标人。</w:t>
            </w:r>
            <w:r>
              <w:rPr>
                <w:rFonts w:hint="eastAsia" w:cs="宋体" w:asciiTheme="minorEastAsia" w:hAnsiTheme="minorEastAsia"/>
                <w:b/>
                <w:bCs/>
                <w:color w:val="auto"/>
                <w:sz w:val="24"/>
                <w:szCs w:val="24"/>
                <w:lang w:val="zh-CN"/>
              </w:rPr>
              <w:t>□</w:t>
            </w:r>
            <w:r>
              <w:rPr>
                <w:rFonts w:hint="eastAsia" w:cs="宋体" w:asciiTheme="minorEastAsia" w:hAnsiTheme="minorEastAsia"/>
                <w:bCs/>
                <w:color w:val="auto"/>
                <w:sz w:val="24"/>
                <w:szCs w:val="24"/>
                <w:lang w:val="zh-CN"/>
              </w:rPr>
              <w:t>收取采购人。</w:t>
            </w:r>
            <w:r>
              <w:rPr>
                <w:rFonts w:hint="eastAsia" w:cs="宋体" w:asciiTheme="minorEastAsia" w:hAnsiTheme="minorEastAsia"/>
                <w:color w:val="auto"/>
                <w:sz w:val="24"/>
                <w:szCs w:val="24"/>
              </w:rPr>
              <w:t>收取标准:中标合同金额的</w:t>
            </w:r>
            <w:r>
              <w:rPr>
                <w:rFonts w:hint="eastAsia" w:cs="宋体" w:asciiTheme="minorEastAsia" w:hAnsiTheme="minorEastAsia"/>
                <w:color w:val="auto"/>
                <w:sz w:val="24"/>
                <w:szCs w:val="24"/>
                <w:u w:val="single"/>
              </w:rPr>
              <w:t>1.5</w:t>
            </w:r>
            <w:r>
              <w:rPr>
                <w:rFonts w:hint="eastAsia" w:cs="宋体" w:asciiTheme="minorEastAsia" w:hAnsiTheme="minorEastAsia"/>
                <w:color w:val="auto"/>
                <w:sz w:val="24"/>
                <w:szCs w:val="24"/>
              </w:rPr>
              <w:t>%。一次性以银行划账、电汇、汇票或支票的形式支付。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25</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中标人需提交</w:t>
            </w:r>
          </w:p>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的资料</w:t>
            </w:r>
          </w:p>
        </w:tc>
        <w:tc>
          <w:tcPr>
            <w:tcW w:w="6813" w:type="dxa"/>
            <w:vAlign w:val="center"/>
          </w:tcPr>
          <w:p>
            <w:pPr>
              <w:autoSpaceDE w:val="0"/>
              <w:autoSpaceDN w:val="0"/>
              <w:adjustRightInd w:val="0"/>
              <w:spacing w:line="360" w:lineRule="auto"/>
              <w:jc w:val="left"/>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中标人在接到中标通知时，须向代理机构发送投标报价及分项报价一览表（包含主要中标标的的名称、规格型号、数量、单价、服务要求等）电子文档，并同时通知代理机构联系人，联系电话：李先生，</w:t>
            </w:r>
            <w:r>
              <w:rPr>
                <w:rFonts w:hint="eastAsia" w:cs="宋体" w:asciiTheme="minorEastAsia" w:hAnsiTheme="minorEastAsia"/>
                <w:b/>
                <w:bCs/>
                <w:color w:val="auto"/>
                <w:sz w:val="24"/>
                <w:szCs w:val="24"/>
                <w:lang w:val="zh-CN"/>
              </w:rPr>
              <w:t>邮箱：</w:t>
            </w:r>
            <w:r>
              <w:rPr>
                <w:color w:val="auto"/>
              </w:rPr>
              <w:fldChar w:fldCharType="begin"/>
            </w:r>
            <w:r>
              <w:rPr>
                <w:color w:val="auto"/>
              </w:rPr>
              <w:instrText xml:space="preserve"> HYPERLINK "mailto:hnhsdlxcgs@126.com" </w:instrText>
            </w:r>
            <w:r>
              <w:rPr>
                <w:color w:val="auto"/>
              </w:rPr>
              <w:fldChar w:fldCharType="separate"/>
            </w:r>
            <w:r>
              <w:rPr>
                <w:rStyle w:val="33"/>
                <w:rFonts w:hint="eastAsia" w:cs="宋体" w:asciiTheme="minorEastAsia" w:hAnsiTheme="minorEastAsia"/>
                <w:b/>
                <w:bCs/>
                <w:color w:val="auto"/>
                <w:sz w:val="24"/>
                <w:szCs w:val="24"/>
                <w:lang w:val="zh-CN"/>
              </w:rPr>
              <w:t xml:space="preserve"> </w:t>
            </w:r>
            <w:r>
              <w:rPr>
                <w:rStyle w:val="33"/>
                <w:rFonts w:hint="eastAsia" w:cs="宋体" w:asciiTheme="minorEastAsia" w:hAnsiTheme="minorEastAsia"/>
                <w:b/>
                <w:bCs/>
                <w:color w:val="auto"/>
                <w:sz w:val="24"/>
                <w:szCs w:val="24"/>
              </w:rPr>
              <w:t>5</w:t>
            </w:r>
            <w:r>
              <w:rPr>
                <w:rStyle w:val="33"/>
                <w:rFonts w:hint="eastAsia" w:cs="宋体" w:asciiTheme="minorEastAsia" w:hAnsiTheme="minorEastAsia"/>
                <w:b/>
                <w:bCs/>
                <w:color w:val="auto"/>
                <w:sz w:val="24"/>
                <w:szCs w:val="24"/>
              </w:rPr>
              <w:fldChar w:fldCharType="end"/>
            </w:r>
            <w:r>
              <w:rPr>
                <w:rStyle w:val="33"/>
                <w:rFonts w:hint="eastAsia" w:cs="宋体" w:asciiTheme="minorEastAsia" w:hAnsiTheme="minorEastAsia"/>
                <w:b/>
                <w:bCs/>
                <w:color w:val="auto"/>
                <w:sz w:val="24"/>
                <w:szCs w:val="24"/>
              </w:rPr>
              <w:t>59106@qq.com</w:t>
            </w:r>
            <w:r>
              <w:rPr>
                <w:rFonts w:hint="eastAsia" w:cs="宋体" w:asciiTheme="minorEastAsia" w:hAnsiTheme="minorEastAsia"/>
                <w:b/>
                <w:bCs/>
                <w:color w:val="auto"/>
                <w:sz w:val="24"/>
                <w:szCs w:val="24"/>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26</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电子化采购模式</w:t>
            </w:r>
          </w:p>
        </w:tc>
        <w:tc>
          <w:tcPr>
            <w:tcW w:w="6813" w:type="dxa"/>
            <w:vAlign w:val="center"/>
          </w:tcPr>
          <w:p>
            <w:pPr>
              <w:autoSpaceDE w:val="0"/>
              <w:autoSpaceDN w:val="0"/>
              <w:adjustRightInd w:val="0"/>
              <w:spacing w:line="360" w:lineRule="auto"/>
              <w:contextualSpacing/>
              <w:jc w:val="left"/>
              <w:rPr>
                <w:rFonts w:hAnsi="宋体" w:cs="宋体"/>
                <w:color w:val="auto"/>
                <w:sz w:val="24"/>
                <w:lang w:val="zh-CN"/>
              </w:rPr>
            </w:pPr>
            <w:r>
              <w:rPr>
                <w:rFonts w:cs="宋体" w:asciiTheme="minorEastAsia" w:hAnsiTheme="minorEastAsia"/>
                <w:b/>
                <w:color w:val="auto"/>
                <w:kern w:val="0"/>
                <w:sz w:val="24"/>
                <w:szCs w:val="24"/>
                <w:lang w:val="zh-CN"/>
              </w:rPr>
              <w:fldChar w:fldCharType="begin"/>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是。</w:t>
            </w:r>
            <w:r>
              <w:rPr>
                <w:rFonts w:hint="eastAsia" w:hAnsi="宋体" w:cs="宋体"/>
                <w:color w:val="auto"/>
                <w:sz w:val="24"/>
                <w:lang w:val="zh-CN"/>
              </w:rPr>
              <w:t>投标人投标时须提供加密电子投标文件、备份文件（使用电子介质存储）、纸质投标文件。评标标准中相关证明资料原件开标现场不再提供（招标文件有要求提供原件的除外）。</w:t>
            </w:r>
          </w:p>
          <w:p>
            <w:pPr>
              <w:autoSpaceDE w:val="0"/>
              <w:autoSpaceDN w:val="0"/>
              <w:adjustRightInd w:val="0"/>
              <w:spacing w:line="360" w:lineRule="auto"/>
              <w:contextualSpacing/>
              <w:jc w:val="left"/>
              <w:rPr>
                <w:rFonts w:cs="宋体" w:asciiTheme="minorEastAsia" w:hAnsiTheme="minorEastAsia"/>
                <w:bCs/>
                <w:color w:val="auto"/>
                <w:sz w:val="24"/>
                <w:szCs w:val="24"/>
                <w:lang w:val="zh-CN"/>
              </w:rPr>
            </w:pPr>
            <w:r>
              <w:rPr>
                <w:rFonts w:hint="eastAsia" w:hAnsi="宋体" w:cs="宋体"/>
                <w:color w:val="auto"/>
                <w:sz w:val="24"/>
                <w:lang w:val="zh-CN"/>
              </w:rPr>
              <w:t>□否。投标人投标时须提供纸质投标文件。投标人资质、业绩、荣誉及相关人员证明材料等资料原件根据招标文件要求提供。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360" w:lineRule="auto"/>
              <w:jc w:val="center"/>
              <w:rPr>
                <w:rFonts w:cs="宋体" w:asciiTheme="minorEastAsia" w:hAnsiTheme="minorEastAsia"/>
                <w:b/>
                <w:bCs/>
                <w:color w:val="auto"/>
                <w:sz w:val="24"/>
                <w:szCs w:val="24"/>
                <w:lang w:val="zh-CN"/>
              </w:rPr>
            </w:pPr>
            <w:r>
              <w:rPr>
                <w:rFonts w:hint="eastAsia" w:cs="宋体" w:asciiTheme="minorEastAsia" w:hAnsiTheme="minorEastAsia"/>
                <w:b/>
                <w:bCs/>
                <w:color w:val="auto"/>
                <w:sz w:val="24"/>
                <w:szCs w:val="24"/>
                <w:lang w:val="zh-CN"/>
              </w:rPr>
              <w:t>27</w:t>
            </w:r>
          </w:p>
        </w:tc>
        <w:tc>
          <w:tcPr>
            <w:tcW w:w="2268" w:type="dxa"/>
            <w:vAlign w:val="center"/>
          </w:tcPr>
          <w:p>
            <w:pPr>
              <w:autoSpaceDE w:val="0"/>
              <w:autoSpaceDN w:val="0"/>
              <w:adjustRightInd w:val="0"/>
              <w:spacing w:line="360" w:lineRule="auto"/>
              <w:jc w:val="center"/>
              <w:rPr>
                <w:rFonts w:cs="宋体" w:asciiTheme="minorEastAsia" w:hAnsiTheme="minorEastAsia"/>
                <w:b/>
                <w:bCs/>
                <w:color w:val="auto"/>
                <w:sz w:val="24"/>
                <w:szCs w:val="24"/>
                <w:lang w:val="zh-CN"/>
              </w:rPr>
            </w:pPr>
            <w:r>
              <w:rPr>
                <w:rFonts w:hint="eastAsia" w:cs="宋体" w:asciiTheme="minorEastAsia" w:hAnsiTheme="minorEastAsia"/>
                <w:b/>
                <w:bCs/>
                <w:color w:val="auto"/>
                <w:sz w:val="24"/>
                <w:szCs w:val="24"/>
                <w:lang w:val="zh-CN"/>
              </w:rPr>
              <w:t>特别提示</w:t>
            </w:r>
          </w:p>
        </w:tc>
        <w:tc>
          <w:tcPr>
            <w:tcW w:w="6813" w:type="dxa"/>
            <w:vAlign w:val="center"/>
          </w:tcPr>
          <w:p>
            <w:pPr>
              <w:autoSpaceDE w:val="0"/>
              <w:autoSpaceDN w:val="0"/>
              <w:adjustRightInd w:val="0"/>
              <w:spacing w:line="360" w:lineRule="auto"/>
              <w:contextualSpacing/>
              <w:jc w:val="left"/>
              <w:rPr>
                <w:rFonts w:cs="宋体" w:asciiTheme="minorEastAsia" w:hAnsiTheme="minorEastAsia"/>
                <w:b/>
                <w:color w:val="auto"/>
                <w:sz w:val="24"/>
                <w:lang w:val="zh-CN"/>
              </w:rPr>
            </w:pPr>
            <w:r>
              <w:rPr>
                <w:rFonts w:hint="eastAsia" w:cs="宋体" w:asciiTheme="minorEastAsia" w:hAnsiTheme="minorEastAsia"/>
                <w:b/>
                <w:color w:val="auto"/>
                <w:sz w:val="24"/>
                <w:lang w:val="zh-CN"/>
              </w:rPr>
              <w:t>按照《关于推进全流程电子化交易和在线监管工作有关问题的通知》（许公管办[2019]3号）规定：</w:t>
            </w:r>
          </w:p>
          <w:p>
            <w:pPr>
              <w:autoSpaceDE w:val="0"/>
              <w:autoSpaceDN w:val="0"/>
              <w:adjustRightInd w:val="0"/>
              <w:spacing w:line="360" w:lineRule="auto"/>
              <w:contextualSpacing/>
              <w:rPr>
                <w:rFonts w:ascii="ˎ̥" w:hAnsi="ˎ̥"/>
                <w:color w:val="auto"/>
              </w:rPr>
            </w:pPr>
            <w:r>
              <w:rPr>
                <w:rFonts w:hint="eastAsia" w:ascii="ˎ̥" w:hAnsi="ˎ̥"/>
                <w:color w:val="auto"/>
              </w:rPr>
              <w:t>不同投标人电子投标文件制作硬件特征码（网卡MAC地址、CPU序号、硬盘序列号）均一致时，视为‘</w:t>
            </w:r>
            <w:r>
              <w:rPr>
                <w:rFonts w:ascii="ˎ̥" w:hAnsi="ˎ̥"/>
                <w:color w:val="auto"/>
              </w:rPr>
              <w:t>不同</w:t>
            </w:r>
            <w:r>
              <w:rPr>
                <w:rFonts w:hint="eastAsia" w:ascii="ˎ̥" w:hAnsi="ˎ̥"/>
                <w:color w:val="auto"/>
              </w:rPr>
              <w:t>投标人的投标</w:t>
            </w:r>
            <w:r>
              <w:rPr>
                <w:rFonts w:ascii="ˎ̥" w:hAnsi="ˎ̥"/>
                <w:color w:val="auto"/>
              </w:rPr>
              <w:t>文件由同一单位或者个人编制</w:t>
            </w:r>
            <w:r>
              <w:rPr>
                <w:rFonts w:hint="eastAsia" w:ascii="ˎ̥" w:hAnsi="ˎ̥"/>
                <w:color w:val="auto"/>
              </w:rPr>
              <w:t>’或‘</w:t>
            </w:r>
            <w:r>
              <w:rPr>
                <w:rFonts w:ascii="ˎ̥" w:hAnsi="ˎ̥"/>
                <w:color w:val="auto"/>
              </w:rPr>
              <w:t>不同</w:t>
            </w:r>
            <w:r>
              <w:rPr>
                <w:rFonts w:hint="eastAsia" w:ascii="ˎ̥" w:hAnsi="ˎ̥"/>
                <w:color w:val="auto"/>
              </w:rPr>
              <w:t>投标人</w:t>
            </w:r>
            <w:r>
              <w:rPr>
                <w:rFonts w:ascii="ˎ̥" w:hAnsi="ˎ̥"/>
                <w:color w:val="auto"/>
              </w:rPr>
              <w:t>委托同一单位或者个人办理</w:t>
            </w:r>
            <w:r>
              <w:rPr>
                <w:rFonts w:hint="eastAsia" w:ascii="ˎ̥" w:hAnsi="ˎ̥"/>
                <w:color w:val="auto"/>
              </w:rPr>
              <w:t>响应</w:t>
            </w:r>
            <w:r>
              <w:rPr>
                <w:rFonts w:ascii="ˎ̥" w:hAnsi="ˎ̥"/>
                <w:color w:val="auto"/>
              </w:rPr>
              <w:t>事宜</w:t>
            </w:r>
            <w:r>
              <w:rPr>
                <w:rFonts w:hint="eastAsia" w:ascii="ˎ̥" w:hAnsi="ˎ̥"/>
                <w:color w:val="auto"/>
              </w:rPr>
              <w:t>’，其投标无效。</w:t>
            </w:r>
          </w:p>
          <w:p>
            <w:pPr>
              <w:autoSpaceDE w:val="0"/>
              <w:autoSpaceDN w:val="0"/>
              <w:adjustRightInd w:val="0"/>
              <w:spacing w:line="360" w:lineRule="auto"/>
              <w:ind w:firstLine="420" w:firstLineChars="200"/>
              <w:contextualSpacing/>
              <w:jc w:val="left"/>
              <w:rPr>
                <w:rFonts w:cs="宋体" w:asciiTheme="minorEastAsia" w:hAnsiTheme="minorEastAsia"/>
                <w:b/>
                <w:color w:val="auto"/>
                <w:kern w:val="0"/>
                <w:szCs w:val="21"/>
                <w:highlight w:val="yellow"/>
                <w:lang w:val="zh-CN"/>
              </w:rPr>
            </w:pPr>
            <w:r>
              <w:rPr>
                <w:rFonts w:hint="eastAsia" w:ascii="ˎ̥" w:hAnsi="ˎ̥"/>
                <w:color w:val="auto"/>
              </w:rPr>
              <w:t>评审专家应严格按照要求查看“硬件特征码” 相关信息并进行评审，在评审报告中显示“不同投标人电子投标文件制作硬件特征码”是否雷同的分析及判定结果。</w:t>
            </w:r>
          </w:p>
        </w:tc>
      </w:tr>
    </w:tbl>
    <w:p>
      <w:pPr>
        <w:pageBreakBefore/>
        <w:numPr>
          <w:ilvl w:val="0"/>
          <w:numId w:val="4"/>
        </w:numPr>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 xml:space="preserve"> 投标人须知</w:t>
      </w:r>
    </w:p>
    <w:p>
      <w:pPr>
        <w:tabs>
          <w:tab w:val="left" w:pos="1260"/>
        </w:tabs>
        <w:autoSpaceDE w:val="0"/>
        <w:autoSpaceDN w:val="0"/>
        <w:adjustRightInd w:val="0"/>
        <w:spacing w:line="360" w:lineRule="auto"/>
        <w:contextualSpacing/>
        <w:jc w:val="center"/>
        <w:rPr>
          <w:rFonts w:ascii="宋体" w:hAnsi="宋体" w:cs="宋体"/>
          <w:b/>
          <w:color w:val="auto"/>
          <w:kern w:val="0"/>
          <w:szCs w:val="21"/>
        </w:rPr>
      </w:pPr>
      <w:r>
        <w:rPr>
          <w:rFonts w:hint="eastAsia" w:ascii="宋体" w:hAnsi="宋体" w:cs="宋体"/>
          <w:b/>
          <w:color w:val="auto"/>
          <w:kern w:val="0"/>
          <w:szCs w:val="21"/>
        </w:rPr>
        <w:t>一、概念释义</w:t>
      </w:r>
    </w:p>
    <w:p>
      <w:pPr>
        <w:pStyle w:val="80"/>
        <w:numPr>
          <w:ilvl w:val="0"/>
          <w:numId w:val="5"/>
        </w:numPr>
        <w:autoSpaceDE w:val="0"/>
        <w:autoSpaceDN w:val="0"/>
        <w:spacing w:line="360" w:lineRule="auto"/>
        <w:ind w:firstLineChars="0"/>
        <w:contextualSpacing/>
        <w:rPr>
          <w:rFonts w:ascii="宋体" w:hAnsi="宋体" w:cs="宋体"/>
          <w:b/>
          <w:color w:val="auto"/>
          <w:kern w:val="0"/>
          <w:szCs w:val="21"/>
        </w:rPr>
      </w:pPr>
      <w:r>
        <w:rPr>
          <w:rFonts w:hint="eastAsia" w:ascii="宋体" w:hAnsi="宋体" w:cs="宋体"/>
          <w:b/>
          <w:color w:val="auto"/>
          <w:kern w:val="0"/>
          <w:szCs w:val="21"/>
        </w:rPr>
        <w:t>适用范围</w:t>
      </w:r>
    </w:p>
    <w:p>
      <w:pPr>
        <w:pStyle w:val="80"/>
        <w:numPr>
          <w:ilvl w:val="0"/>
          <w:numId w:val="6"/>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本招标文件仅适用于本次“投标邀请”中所述采购项目。</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本招标文件解释权属于“投标邀请”所述的采购人。</w:t>
      </w:r>
    </w:p>
    <w:p>
      <w:pPr>
        <w:pStyle w:val="80"/>
        <w:numPr>
          <w:ilvl w:val="0"/>
          <w:numId w:val="5"/>
        </w:numPr>
        <w:autoSpaceDE w:val="0"/>
        <w:autoSpaceDN w:val="0"/>
        <w:spacing w:line="360" w:lineRule="auto"/>
        <w:ind w:firstLineChars="0"/>
        <w:contextualSpacing/>
        <w:rPr>
          <w:rFonts w:ascii="宋体" w:hAnsi="宋体" w:cs="宋体"/>
          <w:b/>
          <w:color w:val="auto"/>
          <w:kern w:val="0"/>
          <w:szCs w:val="21"/>
        </w:rPr>
      </w:pPr>
      <w:r>
        <w:rPr>
          <w:rFonts w:hint="eastAsia" w:ascii="宋体" w:hAnsi="宋体" w:cs="宋体"/>
          <w:b/>
          <w:color w:val="auto"/>
          <w:kern w:val="0"/>
          <w:szCs w:val="21"/>
        </w:rPr>
        <w:t>定义</w:t>
      </w:r>
    </w:p>
    <w:p>
      <w:pPr>
        <w:pStyle w:val="80"/>
        <w:numPr>
          <w:ilvl w:val="0"/>
          <w:numId w:val="6"/>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“采购项目”：“投标人须知前附表”中所述的采购项目。</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“招标人”：“投标人须知前附表”中所述的组织本次招标的代理机构和采购人。</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“采购人”：是指依法进行政府采购的国家机关、事业单位、团体组织。采购人名称、     地址、电话、联系人见“投标人须知前附表”。</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“代理机构”：接受采购人委托，代理采购项目的采购代理机构。代理机构名称、地址、 电话、联系人见“投标人须知前附表”。</w:t>
      </w:r>
    </w:p>
    <w:p>
      <w:pPr>
        <w:autoSpaceDE w:val="0"/>
        <w:autoSpaceDN w:val="0"/>
        <w:spacing w:line="360" w:lineRule="auto"/>
        <w:ind w:left="964"/>
        <w:contextualSpacing/>
        <w:rPr>
          <w:rFonts w:ascii="宋体" w:hAnsi="宋体" w:cs="宋体"/>
          <w:color w:val="auto"/>
          <w:kern w:val="0"/>
          <w:szCs w:val="21"/>
        </w:rPr>
      </w:pPr>
      <w:r>
        <w:rPr>
          <w:rFonts w:hint="eastAsia" w:ascii="宋体" w:hAnsi="宋体" w:cs="宋体"/>
          <w:color w:val="auto"/>
          <w:kern w:val="0"/>
          <w:szCs w:val="21"/>
        </w:rPr>
        <w:t>采购代理机构及其分支机构不得在所代理的采购项目中投标或者代理投标，不得为所代理的采购项目的投标人参加本项目提供投标咨询。</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“潜在投标人”指符合《中华人民共和国政府采购法》及相关法律法规和本招标文件的各项规定，且按照本项目招标公告及招标文件规定的方式获取招标文件的法人、其他组 织或者自然人。</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“进口产品”：是指通过中国海关报关验放进入中国境内且产自关境外的产品，包括已经进入中国境内的进口产品。详见《</w:t>
      </w:r>
      <w:r>
        <w:rPr>
          <w:rFonts w:ascii="宋体" w:hAnsi="宋体" w:cs="宋体"/>
          <w:color w:val="auto"/>
          <w:kern w:val="0"/>
          <w:szCs w:val="21"/>
        </w:rPr>
        <w:t>关于政府采购进口产品管理有关问题的通知</w:t>
      </w:r>
      <w:r>
        <w:rPr>
          <w:rFonts w:hint="eastAsia" w:ascii="宋体" w:hAnsi="宋体" w:cs="宋体"/>
          <w:color w:val="auto"/>
          <w:kern w:val="0"/>
          <w:szCs w:val="21"/>
        </w:rPr>
        <w:t>》(财库[2007]119号)、《关于政府采购进口产品管理有关问题的通知》（财办库［</w:t>
      </w:r>
      <w:r>
        <w:rPr>
          <w:rFonts w:ascii="宋体" w:hAnsi="宋体" w:cs="宋体"/>
          <w:color w:val="auto"/>
          <w:kern w:val="0"/>
          <w:szCs w:val="21"/>
        </w:rPr>
        <w:t>2008</w:t>
      </w:r>
      <w:r>
        <w:rPr>
          <w:rFonts w:hint="eastAsia" w:ascii="宋体" w:hAnsi="宋体" w:cs="宋体"/>
          <w:color w:val="auto"/>
          <w:kern w:val="0"/>
          <w:szCs w:val="21"/>
        </w:rPr>
        <w:t>］</w:t>
      </w:r>
      <w:r>
        <w:rPr>
          <w:rFonts w:ascii="宋体" w:hAnsi="宋体" w:cs="宋体"/>
          <w:color w:val="auto"/>
          <w:kern w:val="0"/>
          <w:szCs w:val="21"/>
        </w:rPr>
        <w:t xml:space="preserve">248 </w:t>
      </w:r>
      <w:r>
        <w:rPr>
          <w:rFonts w:hint="eastAsia" w:ascii="宋体" w:hAnsi="宋体" w:cs="宋体"/>
          <w:color w:val="auto"/>
          <w:kern w:val="0"/>
          <w:szCs w:val="21"/>
        </w:rPr>
        <w:t>号）。</w:t>
      </w:r>
    </w:p>
    <w:p>
      <w:pPr>
        <w:autoSpaceDE w:val="0"/>
        <w:autoSpaceDN w:val="0"/>
        <w:spacing w:line="360" w:lineRule="auto"/>
        <w:ind w:left="991" w:leftChars="472"/>
        <w:contextualSpacing/>
        <w:rPr>
          <w:rFonts w:ascii="宋体" w:hAnsi="宋体" w:cs="宋体"/>
          <w:color w:val="auto"/>
          <w:kern w:val="0"/>
          <w:szCs w:val="21"/>
        </w:rPr>
      </w:pPr>
      <w:r>
        <w:rPr>
          <w:rFonts w:hint="eastAsia" w:ascii="宋体" w:hAnsi="宋体" w:cs="宋体"/>
          <w:color w:val="auto"/>
          <w:kern w:val="0"/>
          <w:szCs w:val="21"/>
        </w:rPr>
        <w:t xml:space="preserve">2.7.1  </w:t>
      </w:r>
      <w:r>
        <w:rPr>
          <w:rFonts w:ascii="宋体" w:hAnsi="宋体" w:cs="宋体"/>
          <w:color w:val="auto"/>
          <w:kern w:val="0"/>
          <w:szCs w:val="21"/>
        </w:rPr>
        <w:t>招标文件列明不允许或未列明允许进口产品参加投标的，均视为拒绝进口产品参加投标。</w:t>
      </w:r>
    </w:p>
    <w:p>
      <w:pPr>
        <w:autoSpaceDE w:val="0"/>
        <w:autoSpaceDN w:val="0"/>
        <w:spacing w:line="360" w:lineRule="auto"/>
        <w:ind w:left="943" w:leftChars="449"/>
        <w:contextualSpacing/>
        <w:rPr>
          <w:rFonts w:ascii="宋体" w:hAnsi="宋体" w:cs="宋体"/>
          <w:color w:val="auto"/>
          <w:kern w:val="0"/>
          <w:szCs w:val="21"/>
        </w:rPr>
      </w:pPr>
      <w:r>
        <w:rPr>
          <w:rFonts w:hint="eastAsia" w:ascii="宋体" w:hAnsi="宋体" w:cs="宋体"/>
          <w:color w:val="auto"/>
          <w:kern w:val="0"/>
          <w:szCs w:val="21"/>
        </w:rPr>
        <w:t xml:space="preserve">2.7.2  </w:t>
      </w:r>
      <w:r>
        <w:rPr>
          <w:rFonts w:ascii="宋体" w:hAnsi="宋体" w:cs="宋体"/>
          <w:color w:val="auto"/>
          <w:kern w:val="0"/>
          <w:szCs w:val="21"/>
        </w:rPr>
        <w:t>如</w:t>
      </w:r>
      <w:r>
        <w:rPr>
          <w:rFonts w:hint="eastAsia" w:ascii="宋体" w:hAnsi="宋体" w:cs="宋体"/>
          <w:color w:val="auto"/>
          <w:kern w:val="0"/>
          <w:szCs w:val="21"/>
        </w:rPr>
        <w:t>招标</w:t>
      </w:r>
      <w:r>
        <w:rPr>
          <w:rFonts w:ascii="宋体" w:hAnsi="宋体" w:cs="宋体"/>
          <w:color w:val="auto"/>
          <w:kern w:val="0"/>
          <w:szCs w:val="21"/>
        </w:rPr>
        <w:t>文件中已说明，经财政部门审核同意，允许部分或全部产品采购进口产品，投标人既可提供本国产品，也可以提供进口产品。</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招标文件中凡标有“★”的条款均系实质性要求条款。</w:t>
      </w:r>
    </w:p>
    <w:p>
      <w:pPr>
        <w:pStyle w:val="80"/>
        <w:numPr>
          <w:ilvl w:val="0"/>
          <w:numId w:val="5"/>
        </w:numPr>
        <w:autoSpaceDE w:val="0"/>
        <w:autoSpaceDN w:val="0"/>
        <w:spacing w:line="360" w:lineRule="auto"/>
        <w:ind w:firstLineChars="0"/>
        <w:contextualSpacing/>
        <w:rPr>
          <w:rFonts w:ascii="宋体" w:hAnsi="宋体" w:cs="宋体"/>
          <w:b/>
          <w:color w:val="auto"/>
          <w:kern w:val="0"/>
          <w:szCs w:val="21"/>
        </w:rPr>
      </w:pPr>
      <w:r>
        <w:rPr>
          <w:rFonts w:hint="eastAsia" w:ascii="宋体" w:hAnsi="宋体" w:cs="宋体"/>
          <w:b/>
          <w:color w:val="auto"/>
          <w:kern w:val="0"/>
          <w:szCs w:val="21"/>
        </w:rPr>
        <w:t>合格的投标人</w:t>
      </w:r>
    </w:p>
    <w:p>
      <w:pPr>
        <w:pStyle w:val="80"/>
        <w:numPr>
          <w:ilvl w:val="0"/>
          <w:numId w:val="6"/>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在中华人民共和国境内注册，具有本项目生产、制造、供应或实施能力，符合、承认并承诺履行本招标文件各项规定的法人、其他组织或者自然人。</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符合本项目“投标邀请”和“投标人须知前附表”中规定的合格投标人所必须具备的条件。</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olor w:val="auto"/>
          <w:szCs w:val="21"/>
        </w:rPr>
        <w:t>按照财政部《</w:t>
      </w:r>
      <w:r>
        <w:rPr>
          <w:rFonts w:hint="eastAsia" w:ascii="宋体" w:hAnsi="宋体" w:cs="微软雅黑"/>
          <w:bCs/>
          <w:color w:val="auto"/>
          <w:szCs w:val="21"/>
        </w:rPr>
        <w:t>关于在政府采购活动中查询及使用信用记录有关问题的通知</w:t>
      </w:r>
      <w:r>
        <w:rPr>
          <w:rFonts w:hint="eastAsia" w:ascii="宋体" w:hAnsi="宋体"/>
          <w:color w:val="auto"/>
          <w:szCs w:val="21"/>
        </w:rPr>
        <w:t>》（财库</w:t>
      </w:r>
      <w:r>
        <w:rPr>
          <w:rFonts w:hint="eastAsia" w:ascii="宋体" w:hAnsi="宋体" w:cs="微软雅黑"/>
          <w:bCs/>
          <w:color w:val="auto"/>
          <w:szCs w:val="21"/>
        </w:rPr>
        <w:t>〔2016〕</w:t>
      </w:r>
      <w:r>
        <w:rPr>
          <w:rFonts w:hint="eastAsia" w:ascii="宋体" w:hAnsi="宋体"/>
          <w:color w:val="auto"/>
          <w:szCs w:val="21"/>
        </w:rPr>
        <w:t>125号）要求，</w:t>
      </w:r>
      <w:r>
        <w:rPr>
          <w:rFonts w:hint="eastAsia" w:ascii="宋体" w:hAnsi="宋体" w:cs="宋体"/>
          <w:color w:val="auto"/>
          <w:kern w:val="0"/>
          <w:szCs w:val="21"/>
        </w:rPr>
        <w:t>政府采购活动中查询及使用投标人信用记录的具体要求为：投标人未被列入失信被执行人、重大税收违法案件当事人名单、</w:t>
      </w:r>
      <w:r>
        <w:rPr>
          <w:rFonts w:ascii="宋体" w:hAnsi="宋体" w:cs="仿宋_GB2312"/>
          <w:color w:val="auto"/>
          <w:szCs w:val="21"/>
          <w:shd w:val="clear" w:color="auto" w:fill="FFFFFF"/>
        </w:rPr>
        <w:t>政府采购严重违法失信名单</w:t>
      </w:r>
      <w:r>
        <w:rPr>
          <w:rFonts w:hint="eastAsia" w:ascii="宋体" w:hAnsi="宋体" w:cs="宋体"/>
          <w:color w:val="auto"/>
          <w:kern w:val="0"/>
          <w:szCs w:val="21"/>
        </w:rPr>
        <w:t>、</w:t>
      </w:r>
      <w:r>
        <w:rPr>
          <w:rFonts w:ascii="宋体" w:hAnsi="宋体" w:cs="仿宋_GB2312"/>
          <w:color w:val="auto"/>
          <w:szCs w:val="21"/>
          <w:shd w:val="clear" w:color="auto" w:fill="FFFFFF"/>
        </w:rPr>
        <w:t>政府采购严重违法失信行为记录名单</w:t>
      </w:r>
      <w:r>
        <w:rPr>
          <w:rFonts w:hint="eastAsia" w:ascii="宋体" w:hAnsi="宋体" w:cs="仿宋_GB2312"/>
          <w:color w:val="auto"/>
          <w:szCs w:val="21"/>
          <w:shd w:val="clear" w:color="auto" w:fill="FFFFFF"/>
        </w:rPr>
        <w:t>、</w:t>
      </w:r>
      <w:r>
        <w:rPr>
          <w:rFonts w:hint="eastAsia" w:ascii="宋体" w:hAnsi="宋体" w:cs="宋体"/>
          <w:color w:val="auto"/>
          <w:kern w:val="0"/>
          <w:szCs w:val="21"/>
        </w:rPr>
        <w:t>严重违法失信社会组织名单（联合体形式投标的，联合体成员存在不良信用记录，视同联合体存在不良信用记录）。</w:t>
      </w:r>
    </w:p>
    <w:p>
      <w:pPr>
        <w:pStyle w:val="80"/>
        <w:autoSpaceDE w:val="0"/>
        <w:autoSpaceDN w:val="0"/>
        <w:spacing w:line="360" w:lineRule="auto"/>
        <w:ind w:left="1700" w:leftChars="473" w:hanging="707" w:hangingChars="337"/>
        <w:contextualSpacing/>
        <w:rPr>
          <w:rFonts w:ascii="宋体" w:hAnsi="宋体" w:cs="宋体"/>
          <w:color w:val="auto"/>
          <w:kern w:val="0"/>
          <w:szCs w:val="21"/>
        </w:rPr>
      </w:pPr>
      <w:r>
        <w:rPr>
          <w:rFonts w:hint="eastAsia" w:ascii="宋体" w:hAnsi="宋体" w:cs="宋体"/>
          <w:color w:val="auto"/>
          <w:kern w:val="0"/>
          <w:szCs w:val="21"/>
        </w:rPr>
        <w:t>3.3.1  查询渠道：“信用中国”网站（</w:t>
      </w:r>
      <w:r>
        <w:rPr>
          <w:rFonts w:ascii="宋体" w:hAnsi="宋体" w:cs="宋体"/>
          <w:color w:val="auto"/>
          <w:kern w:val="0"/>
          <w:szCs w:val="21"/>
        </w:rPr>
        <w:t>www.creditchina.gov.cn</w:t>
      </w:r>
      <w:r>
        <w:rPr>
          <w:rFonts w:hint="eastAsia" w:ascii="宋体" w:hAnsi="宋体" w:cs="宋体"/>
          <w:color w:val="auto"/>
          <w:kern w:val="0"/>
          <w:szCs w:val="21"/>
        </w:rPr>
        <w:t>）、“中国政府采购网”（</w:t>
      </w:r>
      <w:r>
        <w:rPr>
          <w:rFonts w:ascii="宋体" w:hAnsi="宋体" w:cs="宋体"/>
          <w:color w:val="auto"/>
          <w:kern w:val="0"/>
          <w:szCs w:val="21"/>
        </w:rPr>
        <w:t>www.ccgp.gov.cn</w:t>
      </w:r>
      <w:r>
        <w:rPr>
          <w:rFonts w:hint="eastAsia" w:ascii="宋体" w:hAnsi="宋体" w:cs="宋体"/>
          <w:color w:val="auto"/>
          <w:kern w:val="0"/>
          <w:szCs w:val="21"/>
        </w:rPr>
        <w:t>）、“中国社会组织公共服务平台”网站（</w:t>
      </w:r>
      <w:r>
        <w:rPr>
          <w:rFonts w:ascii="宋体" w:hAnsi="宋体" w:cs="宋体"/>
          <w:color w:val="auto"/>
          <w:kern w:val="0"/>
          <w:szCs w:val="21"/>
        </w:rPr>
        <w:t>www.chinanpo.gov.cn</w:t>
      </w:r>
      <w:r>
        <w:rPr>
          <w:rFonts w:hint="eastAsia" w:ascii="宋体" w:hAnsi="宋体" w:cs="宋体"/>
          <w:color w:val="auto"/>
          <w:kern w:val="0"/>
          <w:szCs w:val="21"/>
        </w:rPr>
        <w:t>）；</w:t>
      </w:r>
    </w:p>
    <w:p>
      <w:pPr>
        <w:autoSpaceDE w:val="0"/>
        <w:autoSpaceDN w:val="0"/>
        <w:spacing w:line="360" w:lineRule="auto"/>
        <w:ind w:firstLine="945" w:firstLineChars="450"/>
        <w:contextualSpacing/>
        <w:rPr>
          <w:rFonts w:ascii="宋体" w:hAnsi="宋体" w:cs="宋体"/>
          <w:color w:val="auto"/>
          <w:kern w:val="0"/>
          <w:szCs w:val="21"/>
        </w:rPr>
      </w:pPr>
      <w:r>
        <w:rPr>
          <w:rFonts w:hint="eastAsia" w:ascii="宋体" w:hAnsi="宋体" w:cs="宋体"/>
          <w:color w:val="auto"/>
          <w:kern w:val="0"/>
          <w:szCs w:val="21"/>
        </w:rPr>
        <w:t>3.3.2  截止时间：同投标截止时间；</w:t>
      </w:r>
    </w:p>
    <w:p>
      <w:pPr>
        <w:pStyle w:val="80"/>
        <w:autoSpaceDE w:val="0"/>
        <w:autoSpaceDN w:val="0"/>
        <w:spacing w:line="360" w:lineRule="auto"/>
        <w:ind w:left="1700" w:leftChars="473" w:hanging="707" w:hangingChars="337"/>
        <w:contextualSpacing/>
        <w:rPr>
          <w:rFonts w:ascii="宋体" w:hAnsi="宋体" w:cs="宋体"/>
          <w:color w:val="auto"/>
          <w:kern w:val="0"/>
          <w:szCs w:val="21"/>
        </w:rPr>
      </w:pPr>
      <w:r>
        <w:rPr>
          <w:rFonts w:hint="eastAsia" w:ascii="宋体" w:hAnsi="宋体" w:cs="宋体"/>
          <w:color w:val="auto"/>
          <w:kern w:val="0"/>
          <w:szCs w:val="21"/>
        </w:rPr>
        <w:t>3.3.3  信用信息查询记录和证据留存具体方式：经采购人确认的查询结果网页截图作为查询记录和证据，与其他采购文件一并保存；</w:t>
      </w:r>
    </w:p>
    <w:p>
      <w:pPr>
        <w:pStyle w:val="80"/>
        <w:autoSpaceDE w:val="0"/>
        <w:autoSpaceDN w:val="0"/>
        <w:spacing w:line="360" w:lineRule="auto"/>
        <w:ind w:left="1698" w:leftChars="452" w:hanging="749" w:hangingChars="357"/>
        <w:contextualSpacing/>
        <w:rPr>
          <w:rFonts w:ascii="宋体" w:hAnsi="宋体" w:cs="宋体"/>
          <w:color w:val="auto"/>
          <w:kern w:val="0"/>
          <w:szCs w:val="21"/>
        </w:rPr>
      </w:pPr>
      <w:r>
        <w:rPr>
          <w:rFonts w:hint="eastAsia" w:ascii="宋体" w:hAnsi="宋体" w:cs="宋体"/>
          <w:color w:val="auto"/>
          <w:kern w:val="0"/>
          <w:szCs w:val="21"/>
        </w:rPr>
        <w:t>3.3.4  信用信息的使用原则：经采购人认定的被列入失信被执行人、重大税收违法案件当事人名单、</w:t>
      </w:r>
      <w:r>
        <w:rPr>
          <w:rFonts w:ascii="宋体" w:hAnsi="宋体" w:cs="仿宋_GB2312"/>
          <w:color w:val="auto"/>
          <w:szCs w:val="21"/>
          <w:shd w:val="clear" w:color="auto" w:fill="FFFFFF"/>
        </w:rPr>
        <w:t>政府采购严重违法失信名单</w:t>
      </w:r>
      <w:r>
        <w:rPr>
          <w:rFonts w:hint="eastAsia" w:ascii="宋体" w:hAnsi="宋体" w:cs="宋体"/>
          <w:color w:val="auto"/>
          <w:kern w:val="0"/>
          <w:szCs w:val="21"/>
        </w:rPr>
        <w:t>、</w:t>
      </w:r>
      <w:r>
        <w:rPr>
          <w:rFonts w:ascii="宋体" w:hAnsi="宋体" w:cs="仿宋_GB2312"/>
          <w:color w:val="auto"/>
          <w:szCs w:val="21"/>
          <w:shd w:val="clear" w:color="auto" w:fill="FFFFFF"/>
        </w:rPr>
        <w:t>政府采购严重违法失信行为记录名单</w:t>
      </w:r>
      <w:r>
        <w:rPr>
          <w:rFonts w:hint="eastAsia" w:ascii="宋体" w:hAnsi="宋体" w:cs="仿宋_GB2312"/>
          <w:color w:val="auto"/>
          <w:szCs w:val="21"/>
          <w:shd w:val="clear" w:color="auto" w:fill="FFFFFF"/>
        </w:rPr>
        <w:t>、</w:t>
      </w:r>
      <w:r>
        <w:rPr>
          <w:rFonts w:hint="eastAsia" w:ascii="宋体" w:hAnsi="宋体" w:cs="宋体"/>
          <w:color w:val="auto"/>
          <w:kern w:val="0"/>
          <w:szCs w:val="21"/>
        </w:rPr>
        <w:t>严重违法失信社会组织名单的投标人，将拒绝其参与本次政府采购活动。</w:t>
      </w:r>
    </w:p>
    <w:p>
      <w:pPr>
        <w:pStyle w:val="80"/>
        <w:autoSpaceDE w:val="0"/>
        <w:autoSpaceDN w:val="0"/>
        <w:spacing w:line="360" w:lineRule="auto"/>
        <w:ind w:left="1698" w:leftChars="453" w:hanging="747" w:hangingChars="356"/>
        <w:contextualSpacing/>
        <w:rPr>
          <w:rFonts w:ascii="宋体" w:hAnsi="宋体" w:cs="宋体"/>
          <w:color w:val="auto"/>
          <w:kern w:val="0"/>
          <w:szCs w:val="21"/>
        </w:rPr>
      </w:pPr>
      <w:r>
        <w:rPr>
          <w:rFonts w:hint="eastAsia" w:ascii="宋体" w:hAnsi="宋体" w:cs="宋体"/>
          <w:color w:val="auto"/>
          <w:kern w:val="0"/>
          <w:szCs w:val="21"/>
        </w:rPr>
        <w:t>3.3.5  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ind w:left="990" w:leftChars="203" w:hanging="564" w:hangingChars="269"/>
        <w:contextualSpacing/>
        <w:rPr>
          <w:rFonts w:ascii="宋体" w:hAnsi="宋体" w:cs="宋体"/>
          <w:color w:val="auto"/>
          <w:kern w:val="0"/>
          <w:szCs w:val="21"/>
          <w:highlight w:val="cyan"/>
        </w:rPr>
      </w:pPr>
      <w:r>
        <w:rPr>
          <w:rFonts w:hint="eastAsia" w:ascii="宋体" w:hAnsi="宋体" w:cs="宋体"/>
          <w:color w:val="auto"/>
          <w:kern w:val="0"/>
          <w:szCs w:val="21"/>
        </w:rPr>
        <w:t>3.4  单位负责人为同一人或者存在直接控股、管理关系的不同供应商，不得同时参加本项目投标。违反规定的，相关投标均无效。</w:t>
      </w:r>
    </w:p>
    <w:p>
      <w:pPr>
        <w:autoSpaceDE w:val="0"/>
        <w:autoSpaceDN w:val="0"/>
        <w:spacing w:line="360" w:lineRule="auto"/>
        <w:ind w:left="991" w:leftChars="202" w:hanging="567" w:hangingChars="270"/>
        <w:contextualSpacing/>
        <w:rPr>
          <w:rFonts w:ascii="宋体" w:hAnsi="宋体" w:cs="宋体"/>
          <w:color w:val="auto"/>
          <w:kern w:val="0"/>
          <w:szCs w:val="21"/>
          <w:highlight w:val="cyan"/>
        </w:rPr>
      </w:pPr>
      <w:r>
        <w:rPr>
          <w:rFonts w:hint="eastAsia" w:ascii="宋体" w:hAnsi="宋体" w:cs="宋体"/>
          <w:color w:val="auto"/>
          <w:kern w:val="0"/>
          <w:szCs w:val="21"/>
        </w:rPr>
        <w:t>3.5  为采购项目提供整体设计、规范编制或者项目管理、监理、检测等服务的供应商，不得再参加该采购项目的其他采购活动。</w:t>
      </w:r>
    </w:p>
    <w:p>
      <w:pPr>
        <w:autoSpaceDE w:val="0"/>
        <w:autoSpaceDN w:val="0"/>
        <w:spacing w:line="360" w:lineRule="auto"/>
        <w:ind w:left="991" w:leftChars="202" w:hanging="567" w:hangingChars="270"/>
        <w:contextualSpacing/>
        <w:rPr>
          <w:rFonts w:ascii="宋体" w:hAnsi="宋体" w:cs="宋体"/>
          <w:color w:val="auto"/>
          <w:kern w:val="0"/>
          <w:szCs w:val="21"/>
        </w:rPr>
      </w:pPr>
      <w:r>
        <w:rPr>
          <w:rFonts w:hint="eastAsia" w:ascii="宋体" w:hAnsi="宋体" w:cs="宋体"/>
          <w:color w:val="auto"/>
          <w:kern w:val="0"/>
          <w:szCs w:val="21"/>
        </w:rPr>
        <w:t>3.6  “投标邀请”和“投标人须知前附表”规定接受联合体投标的，除应符合本章第</w:t>
      </w:r>
      <w:r>
        <w:rPr>
          <w:rFonts w:ascii="宋体" w:hAnsi="宋体" w:cs="宋体"/>
          <w:color w:val="auto"/>
          <w:kern w:val="0"/>
          <w:szCs w:val="21"/>
        </w:rPr>
        <w:t>3.1</w:t>
      </w:r>
      <w:r>
        <w:rPr>
          <w:rFonts w:hint="eastAsia" w:ascii="宋体" w:hAnsi="宋体" w:cs="宋体"/>
          <w:color w:val="auto"/>
          <w:kern w:val="0"/>
          <w:szCs w:val="21"/>
        </w:rPr>
        <w:t>项和3.2项要求外，还应遵守以下规定：</w:t>
      </w:r>
    </w:p>
    <w:p>
      <w:pPr>
        <w:autoSpaceDE w:val="0"/>
        <w:autoSpaceDN w:val="0"/>
        <w:spacing w:line="360" w:lineRule="auto"/>
        <w:ind w:left="964"/>
        <w:contextualSpacing/>
        <w:rPr>
          <w:rFonts w:ascii="宋体" w:hAnsi="宋体" w:cs="宋体"/>
          <w:color w:val="auto"/>
          <w:kern w:val="0"/>
          <w:szCs w:val="21"/>
        </w:rPr>
      </w:pPr>
      <w:r>
        <w:rPr>
          <w:rFonts w:hint="eastAsia" w:ascii="宋体" w:hAnsi="宋体" w:cs="宋体"/>
          <w:color w:val="auto"/>
          <w:kern w:val="0"/>
          <w:szCs w:val="21"/>
        </w:rPr>
        <w:t>3.6.1  在投标文件中向采购人提交联合体协议书，明确联合体各方承担的工作和义务；</w:t>
      </w:r>
    </w:p>
    <w:p>
      <w:pPr>
        <w:autoSpaceDE w:val="0"/>
        <w:autoSpaceDN w:val="0"/>
        <w:spacing w:line="360" w:lineRule="auto"/>
        <w:ind w:left="1700" w:leftChars="472" w:hanging="709" w:hangingChars="338"/>
        <w:contextualSpacing/>
        <w:rPr>
          <w:rFonts w:ascii="宋体" w:hAnsi="宋体" w:cs="宋体"/>
          <w:color w:val="auto"/>
          <w:kern w:val="0"/>
          <w:szCs w:val="21"/>
        </w:rPr>
      </w:pPr>
      <w:r>
        <w:rPr>
          <w:rFonts w:hint="eastAsia" w:ascii="宋体" w:hAnsi="宋体" w:cs="宋体"/>
          <w:color w:val="auto"/>
          <w:kern w:val="0"/>
          <w:szCs w:val="21"/>
        </w:rPr>
        <w:t>3.6.2  联合体中有同类资质的供应商按联合体分工承担相同工作的，应当按照资质等级较低的供应商确定资质等级；</w:t>
      </w:r>
    </w:p>
    <w:p>
      <w:pPr>
        <w:autoSpaceDE w:val="0"/>
        <w:autoSpaceDN w:val="0"/>
        <w:spacing w:line="360" w:lineRule="auto"/>
        <w:ind w:left="1700" w:leftChars="472" w:hanging="709" w:hangingChars="338"/>
        <w:contextualSpacing/>
        <w:rPr>
          <w:rFonts w:ascii="宋体" w:hAnsi="宋体" w:cs="宋体"/>
          <w:color w:val="auto"/>
          <w:kern w:val="0"/>
          <w:szCs w:val="21"/>
        </w:rPr>
      </w:pPr>
      <w:r>
        <w:rPr>
          <w:rFonts w:hint="eastAsia" w:ascii="宋体" w:hAnsi="宋体" w:cs="宋体"/>
          <w:color w:val="auto"/>
          <w:kern w:val="0"/>
          <w:szCs w:val="21"/>
        </w:rPr>
        <w:t>3.6.3  招标人根据采购项目的特殊要求规定投标人特定条件的，联合体各方中至少应当有一方符合采购规定的特定条件。</w:t>
      </w:r>
    </w:p>
    <w:p>
      <w:pPr>
        <w:autoSpaceDE w:val="0"/>
        <w:autoSpaceDN w:val="0"/>
        <w:spacing w:line="360" w:lineRule="auto"/>
        <w:ind w:left="1700" w:leftChars="472" w:hanging="709" w:hangingChars="338"/>
        <w:contextualSpacing/>
        <w:rPr>
          <w:rFonts w:ascii="宋体" w:hAnsi="宋体" w:cs="宋体"/>
          <w:color w:val="auto"/>
          <w:kern w:val="0"/>
          <w:szCs w:val="21"/>
        </w:rPr>
      </w:pPr>
      <w:r>
        <w:rPr>
          <w:rFonts w:hint="eastAsia" w:ascii="宋体" w:hAnsi="宋体" w:cs="宋体"/>
          <w:color w:val="auto"/>
          <w:kern w:val="0"/>
          <w:szCs w:val="21"/>
        </w:rPr>
        <w:t>3.6.4  联合体各方不得再单独参加或者与其他供应商另外组成联合体参加同一合同项下的政府采购活动。</w:t>
      </w:r>
    </w:p>
    <w:p>
      <w:pPr>
        <w:autoSpaceDE w:val="0"/>
        <w:autoSpaceDN w:val="0"/>
        <w:spacing w:line="360" w:lineRule="auto"/>
        <w:ind w:left="1700" w:leftChars="472" w:hanging="709" w:hangingChars="338"/>
        <w:contextualSpacing/>
        <w:rPr>
          <w:rFonts w:ascii="宋体" w:hAnsi="宋体" w:cs="宋体"/>
          <w:color w:val="auto"/>
          <w:kern w:val="0"/>
          <w:szCs w:val="21"/>
        </w:rPr>
      </w:pPr>
      <w:r>
        <w:rPr>
          <w:rFonts w:hint="eastAsia" w:ascii="宋体" w:hAnsi="宋体" w:cs="宋体"/>
          <w:color w:val="auto"/>
          <w:kern w:val="0"/>
          <w:szCs w:val="21"/>
        </w:rPr>
        <w:t xml:space="preserve">3.6.5  </w:t>
      </w:r>
      <w:r>
        <w:rPr>
          <w:rFonts w:ascii="宋体" w:hAnsi="宋体" w:cs="宋体"/>
          <w:color w:val="auto"/>
          <w:kern w:val="0"/>
          <w:szCs w:val="21"/>
        </w:rPr>
        <w:t>联合体各方应当共同与采购人签订采购合同，就采购合同约定的事项对采购人</w:t>
      </w:r>
      <w:r>
        <w:rPr>
          <w:color w:val="auto"/>
        </w:rPr>
        <w:fldChar w:fldCharType="begin"/>
      </w:r>
      <w:r>
        <w:rPr>
          <w:color w:val="auto"/>
        </w:rPr>
        <w:instrText xml:space="preserve"> HYPERLINK "https://baike.baidu.com/item/æ¿æè¿å¸¦è´£ä" \t "_blank" </w:instrText>
      </w:r>
      <w:r>
        <w:rPr>
          <w:color w:val="auto"/>
        </w:rPr>
        <w:fldChar w:fldCharType="separate"/>
      </w:r>
      <w:r>
        <w:rPr>
          <w:rFonts w:ascii="宋体" w:hAnsi="宋体" w:cs="宋体"/>
          <w:color w:val="auto"/>
          <w:kern w:val="0"/>
          <w:szCs w:val="21"/>
        </w:rPr>
        <w:t>承担连带责任</w:t>
      </w:r>
      <w:r>
        <w:rPr>
          <w:rFonts w:ascii="宋体" w:hAnsi="宋体" w:cs="宋体"/>
          <w:color w:val="auto"/>
          <w:kern w:val="0"/>
          <w:szCs w:val="21"/>
        </w:rPr>
        <w:fldChar w:fldCharType="end"/>
      </w:r>
      <w:r>
        <w:rPr>
          <w:rFonts w:ascii="宋体" w:hAnsi="宋体" w:cs="宋体"/>
          <w:color w:val="auto"/>
          <w:kern w:val="0"/>
          <w:szCs w:val="21"/>
        </w:rPr>
        <w:t>。</w:t>
      </w:r>
    </w:p>
    <w:p>
      <w:pPr>
        <w:autoSpaceDE w:val="0"/>
        <w:autoSpaceDN w:val="0"/>
        <w:spacing w:line="360" w:lineRule="auto"/>
        <w:ind w:firstLine="424" w:firstLineChars="202"/>
        <w:contextualSpacing/>
        <w:rPr>
          <w:rFonts w:ascii="宋体" w:hAnsi="宋体" w:cs="宋体"/>
          <w:color w:val="auto"/>
          <w:kern w:val="0"/>
          <w:szCs w:val="21"/>
        </w:rPr>
      </w:pPr>
      <w:r>
        <w:rPr>
          <w:rFonts w:hint="eastAsia" w:ascii="宋体" w:hAnsi="宋体" w:cs="宋体"/>
          <w:color w:val="auto"/>
          <w:kern w:val="0"/>
          <w:szCs w:val="21"/>
        </w:rPr>
        <w:t>3.7  法律、行政法规规定的其他条件。</w:t>
      </w:r>
    </w:p>
    <w:p>
      <w:pPr>
        <w:pStyle w:val="80"/>
        <w:numPr>
          <w:ilvl w:val="0"/>
          <w:numId w:val="5"/>
        </w:numPr>
        <w:autoSpaceDE w:val="0"/>
        <w:autoSpaceDN w:val="0"/>
        <w:spacing w:line="360" w:lineRule="auto"/>
        <w:ind w:firstLineChars="0"/>
        <w:contextualSpacing/>
        <w:rPr>
          <w:rFonts w:ascii="宋体" w:hAnsi="宋体" w:cs="宋体"/>
          <w:b/>
          <w:color w:val="auto"/>
          <w:kern w:val="0"/>
          <w:szCs w:val="21"/>
        </w:rPr>
      </w:pPr>
      <w:r>
        <w:rPr>
          <w:rFonts w:hint="eastAsia" w:ascii="宋体" w:hAnsi="宋体" w:cs="宋体"/>
          <w:b/>
          <w:color w:val="auto"/>
          <w:kern w:val="0"/>
          <w:szCs w:val="21"/>
        </w:rPr>
        <w:t>合格的货物和服务</w:t>
      </w:r>
    </w:p>
    <w:p>
      <w:pPr>
        <w:pStyle w:val="80"/>
        <w:numPr>
          <w:ilvl w:val="0"/>
          <w:numId w:val="6"/>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投标人所提供的服务应当没有侵犯任何第三方的知识产权、技术秘密等合法权利。</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color w:val="auto"/>
          <w:szCs w:val="21"/>
          <w:shd w:val="clear" w:color="auto" w:fill="FFFFFF"/>
        </w:rPr>
        <w:t>根据《强制性产品认证管理规定》（质检总局第117号令）要求，</w:t>
      </w:r>
      <w:r>
        <w:rPr>
          <w:rFonts w:hint="eastAsia" w:ascii="宋体" w:hAnsi="宋体" w:cs="宋体"/>
          <w:color w:val="auto"/>
          <w:kern w:val="0"/>
          <w:szCs w:val="21"/>
        </w:rPr>
        <w:t>如投标人所投产品被列入</w:t>
      </w:r>
      <w:r>
        <w:rPr>
          <w:rFonts w:ascii="宋体" w:hAnsi="宋体" w:cs="宋体"/>
          <w:color w:val="auto"/>
          <w:kern w:val="0"/>
          <w:szCs w:val="21"/>
        </w:rPr>
        <w:t>《中华人民共和国实施强制性产品认证的产品目录》，</w:t>
      </w:r>
      <w:r>
        <w:rPr>
          <w:rFonts w:hint="eastAsia" w:ascii="宋体" w:hAnsi="宋体" w:cs="宋体"/>
          <w:color w:val="auto"/>
          <w:kern w:val="0"/>
          <w:szCs w:val="21"/>
        </w:rPr>
        <w:t>则该产品应</w:t>
      </w:r>
      <w:r>
        <w:rPr>
          <w:rFonts w:ascii="宋体" w:hAnsi="宋体" w:cs="宋体"/>
          <w:color w:val="auto"/>
          <w:kern w:val="0"/>
          <w:szCs w:val="21"/>
        </w:rPr>
        <w:t>具备国家认监委</w:t>
      </w:r>
      <w:r>
        <w:rPr>
          <w:rFonts w:hint="eastAsia" w:ascii="宋体" w:hAnsi="宋体" w:cs="宋体"/>
          <w:color w:val="auto"/>
          <w:kern w:val="0"/>
          <w:szCs w:val="21"/>
        </w:rPr>
        <w:t>指定强制性产品认证机构</w:t>
      </w:r>
      <w:r>
        <w:rPr>
          <w:rFonts w:ascii="宋体" w:hAnsi="宋体" w:cs="宋体"/>
          <w:color w:val="auto"/>
          <w:kern w:val="0"/>
          <w:szCs w:val="21"/>
        </w:rPr>
        <w:t>颁</w:t>
      </w:r>
      <w:r>
        <w:rPr>
          <w:rFonts w:hint="eastAsia" w:ascii="宋体" w:hAnsi="宋体" w:cs="宋体"/>
          <w:color w:val="auto"/>
          <w:kern w:val="0"/>
          <w:szCs w:val="21"/>
        </w:rPr>
        <w:t>发的</w:t>
      </w:r>
      <w:r>
        <w:rPr>
          <w:rFonts w:ascii="宋体" w:hAnsi="宋体" w:cs="宋体"/>
          <w:color w:val="auto"/>
          <w:kern w:val="0"/>
          <w:szCs w:val="21"/>
        </w:rPr>
        <w:t>《中国</w:t>
      </w:r>
      <w:r>
        <w:rPr>
          <w:rFonts w:hint="eastAsia" w:ascii="宋体" w:hAnsi="宋体" w:cs="宋体"/>
          <w:color w:val="auto"/>
          <w:kern w:val="0"/>
          <w:szCs w:val="21"/>
        </w:rPr>
        <w:t>国家</w:t>
      </w:r>
      <w:r>
        <w:rPr>
          <w:rFonts w:ascii="宋体" w:hAnsi="宋体" w:cs="宋体"/>
          <w:color w:val="auto"/>
          <w:kern w:val="0"/>
          <w:szCs w:val="21"/>
        </w:rPr>
        <w:t>强制</w:t>
      </w:r>
      <w:r>
        <w:rPr>
          <w:rFonts w:hint="eastAsia" w:ascii="宋体" w:hAnsi="宋体" w:cs="宋体"/>
          <w:color w:val="auto"/>
          <w:kern w:val="0"/>
          <w:szCs w:val="21"/>
        </w:rPr>
        <w:t>性产品</w:t>
      </w:r>
      <w:r>
        <w:rPr>
          <w:rFonts w:ascii="宋体" w:hAnsi="宋体" w:cs="宋体"/>
          <w:color w:val="auto"/>
          <w:kern w:val="0"/>
          <w:szCs w:val="21"/>
        </w:rPr>
        <w:t>认证</w:t>
      </w:r>
      <w:r>
        <w:rPr>
          <w:rFonts w:hint="eastAsia" w:ascii="宋体" w:hAnsi="宋体" w:cs="宋体"/>
          <w:color w:val="auto"/>
          <w:kern w:val="0"/>
          <w:szCs w:val="21"/>
        </w:rPr>
        <w:t>证书</w:t>
      </w:r>
      <w:r>
        <w:rPr>
          <w:rFonts w:ascii="宋体" w:hAnsi="宋体" w:cs="宋体"/>
          <w:color w:val="auto"/>
          <w:kern w:val="0"/>
          <w:szCs w:val="21"/>
        </w:rPr>
        <w:t>》（CCC 认证）。</w:t>
      </w:r>
      <w:r>
        <w:rPr>
          <w:rFonts w:hint="eastAsia" w:ascii="宋体" w:hAnsi="宋体" w:cs="宋体"/>
          <w:color w:val="auto"/>
          <w:kern w:val="0"/>
          <w:szCs w:val="21"/>
        </w:rPr>
        <w:t>投标人</w:t>
      </w:r>
      <w:r>
        <w:rPr>
          <w:rFonts w:ascii="宋体" w:hAnsi="宋体" w:cs="宋体"/>
          <w:color w:val="auto"/>
          <w:kern w:val="0"/>
          <w:szCs w:val="21"/>
        </w:rPr>
        <w:t>不能提供超出此目录范畴外的替代品</w:t>
      </w:r>
      <w:r>
        <w:rPr>
          <w:rFonts w:hint="eastAsia" w:ascii="宋体" w:hAnsi="宋体" w:cs="宋体"/>
          <w:color w:val="auto"/>
          <w:kern w:val="0"/>
          <w:szCs w:val="21"/>
        </w:rPr>
        <w:t>。</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根据财政部、工业和信息化部、国家质检总局、国家认监委联合发布</w:t>
      </w:r>
      <w:bookmarkStart w:id="0" w:name="baidusnap0"/>
      <w:bookmarkEnd w:id="0"/>
      <w:r>
        <w:rPr>
          <w:rFonts w:hint="eastAsia" w:ascii="宋体" w:hAnsi="宋体" w:cs="宋体"/>
          <w:color w:val="auto"/>
          <w:kern w:val="0"/>
          <w:szCs w:val="21"/>
        </w:rPr>
        <w:t>《关于信息安全产品实施政府采购的通知》（财库[2010]48号）要求，投标人所投产品如被列入</w:t>
      </w:r>
      <w:r>
        <w:rPr>
          <w:rFonts w:ascii="宋体" w:hAnsi="宋体" w:cs="宋体"/>
          <w:color w:val="auto"/>
          <w:kern w:val="0"/>
          <w:szCs w:val="21"/>
        </w:rPr>
        <w:t>《信息安全产品强制性认证目录》，</w:t>
      </w:r>
      <w:r>
        <w:rPr>
          <w:rFonts w:hint="eastAsia" w:ascii="宋体" w:hAnsi="宋体" w:cs="宋体"/>
          <w:color w:val="auto"/>
          <w:kern w:val="0"/>
          <w:szCs w:val="21"/>
        </w:rPr>
        <w:t>则该产品应</w:t>
      </w:r>
      <w:r>
        <w:rPr>
          <w:rFonts w:ascii="宋体" w:hAnsi="宋体" w:cs="宋体"/>
          <w:color w:val="auto"/>
          <w:kern w:val="0"/>
          <w:szCs w:val="21"/>
        </w:rPr>
        <w:t>具备</w:t>
      </w:r>
      <w:r>
        <w:rPr>
          <w:rFonts w:hint="eastAsia" w:ascii="宋体" w:hAnsi="宋体" w:cs="宋体"/>
          <w:color w:val="auto"/>
          <w:kern w:val="0"/>
          <w:szCs w:val="21"/>
        </w:rPr>
        <w:t>中国信息安全认证中心</w:t>
      </w:r>
      <w:r>
        <w:rPr>
          <w:rFonts w:ascii="宋体" w:hAnsi="宋体" w:cs="宋体"/>
          <w:color w:val="auto"/>
          <w:kern w:val="0"/>
          <w:szCs w:val="21"/>
        </w:rPr>
        <w:t>颁</w:t>
      </w:r>
      <w:r>
        <w:rPr>
          <w:rFonts w:hint="eastAsia" w:ascii="宋体" w:hAnsi="宋体" w:cs="宋体"/>
          <w:color w:val="auto"/>
          <w:kern w:val="0"/>
          <w:szCs w:val="21"/>
        </w:rPr>
        <w:t>发的</w:t>
      </w:r>
      <w:r>
        <w:rPr>
          <w:rFonts w:ascii="宋体" w:hAnsi="宋体" w:cs="宋体"/>
          <w:color w:val="auto"/>
          <w:kern w:val="0"/>
          <w:szCs w:val="21"/>
        </w:rPr>
        <w:t>《</w:t>
      </w:r>
      <w:r>
        <w:rPr>
          <w:color w:val="auto"/>
        </w:rPr>
        <w:fldChar w:fldCharType="begin"/>
      </w:r>
      <w:r>
        <w:rPr>
          <w:color w:val="auto"/>
        </w:rPr>
        <w:instrText xml:space="preserve"> HYPERLINK "http://www.cnca.gov.cn/cnca/zwxx/ggxx/images/2010/07/19/A6C32D2A507AC2A38326896013A67542.doc" \t "_blank" </w:instrText>
      </w:r>
      <w:r>
        <w:rPr>
          <w:color w:val="auto"/>
        </w:rPr>
        <w:fldChar w:fldCharType="separate"/>
      </w:r>
      <w:r>
        <w:rPr>
          <w:rFonts w:hint="eastAsia" w:ascii="宋体" w:hAnsi="宋体" w:cs="宋体"/>
          <w:color w:val="auto"/>
          <w:kern w:val="0"/>
          <w:szCs w:val="21"/>
        </w:rPr>
        <w:t>中国国家信息安全产品认证证书</w:t>
      </w:r>
      <w:r>
        <w:rPr>
          <w:rFonts w:hint="eastAsia" w:ascii="宋体" w:hAnsi="宋体" w:cs="宋体"/>
          <w:color w:val="auto"/>
          <w:kern w:val="0"/>
          <w:szCs w:val="21"/>
        </w:rPr>
        <w:fldChar w:fldCharType="end"/>
      </w:r>
      <w:r>
        <w:rPr>
          <w:rFonts w:ascii="宋体" w:hAnsi="宋体" w:cs="宋体"/>
          <w:color w:val="auto"/>
          <w:kern w:val="0"/>
          <w:szCs w:val="21"/>
        </w:rPr>
        <w:t>》。</w:t>
      </w:r>
      <w:r>
        <w:rPr>
          <w:rFonts w:hint="eastAsia" w:ascii="宋体" w:hAnsi="宋体" w:cs="宋体"/>
          <w:color w:val="auto"/>
          <w:kern w:val="0"/>
          <w:szCs w:val="21"/>
        </w:rPr>
        <w:t>投标人</w:t>
      </w:r>
      <w:r>
        <w:rPr>
          <w:rFonts w:ascii="宋体" w:hAnsi="宋体" w:cs="宋体"/>
          <w:color w:val="auto"/>
          <w:kern w:val="0"/>
          <w:szCs w:val="21"/>
        </w:rPr>
        <w:t>不能提供超出此目录范畴外的替代品</w:t>
      </w:r>
      <w:r>
        <w:rPr>
          <w:rFonts w:hint="eastAsia" w:ascii="宋体" w:hAnsi="宋体" w:cs="宋体"/>
          <w:color w:val="auto"/>
          <w:kern w:val="0"/>
          <w:szCs w:val="21"/>
        </w:rPr>
        <w:t>。</w:t>
      </w:r>
    </w:p>
    <w:p>
      <w:pPr>
        <w:pStyle w:val="80"/>
        <w:numPr>
          <w:ilvl w:val="0"/>
          <w:numId w:val="5"/>
        </w:numPr>
        <w:autoSpaceDE w:val="0"/>
        <w:autoSpaceDN w:val="0"/>
        <w:spacing w:line="360" w:lineRule="auto"/>
        <w:ind w:firstLineChars="0"/>
        <w:contextualSpacing/>
        <w:rPr>
          <w:rFonts w:ascii="宋体" w:hAnsi="宋体" w:cs="宋体"/>
          <w:b/>
          <w:color w:val="auto"/>
          <w:kern w:val="0"/>
          <w:szCs w:val="21"/>
        </w:rPr>
      </w:pPr>
      <w:r>
        <w:rPr>
          <w:rFonts w:hint="eastAsia" w:ascii="宋体" w:hAnsi="宋体" w:cs="宋体"/>
          <w:b/>
          <w:color w:val="auto"/>
          <w:kern w:val="0"/>
          <w:szCs w:val="21"/>
        </w:rPr>
        <w:t>投标费用</w:t>
      </w:r>
    </w:p>
    <w:p>
      <w:pPr>
        <w:autoSpaceDE w:val="0"/>
        <w:autoSpaceDN w:val="0"/>
        <w:spacing w:line="360" w:lineRule="auto"/>
        <w:ind w:left="964"/>
        <w:contextualSpacing/>
        <w:rPr>
          <w:rFonts w:ascii="宋体" w:hAnsi="宋体" w:cs="宋体"/>
          <w:color w:val="auto"/>
          <w:kern w:val="0"/>
          <w:szCs w:val="21"/>
        </w:rPr>
      </w:pPr>
      <w:r>
        <w:rPr>
          <w:rFonts w:hint="eastAsia" w:ascii="宋体" w:hAnsi="宋体" w:cs="宋体"/>
          <w:color w:val="auto"/>
          <w:kern w:val="0"/>
          <w:szCs w:val="21"/>
        </w:rPr>
        <w:t>不论投标的结果如何，投标人均应自行承担所有与投标有关的全部费用，招标人在任何情况下均无义务和责任承担这些费用。</w:t>
      </w:r>
    </w:p>
    <w:p>
      <w:pPr>
        <w:pStyle w:val="80"/>
        <w:numPr>
          <w:ilvl w:val="0"/>
          <w:numId w:val="5"/>
        </w:numPr>
        <w:autoSpaceDE w:val="0"/>
        <w:autoSpaceDN w:val="0"/>
        <w:spacing w:line="360" w:lineRule="auto"/>
        <w:ind w:firstLineChars="0"/>
        <w:contextualSpacing/>
        <w:rPr>
          <w:rFonts w:ascii="宋体" w:hAnsi="宋体" w:cs="宋体"/>
          <w:b/>
          <w:color w:val="auto"/>
          <w:kern w:val="0"/>
          <w:szCs w:val="21"/>
        </w:rPr>
      </w:pPr>
      <w:r>
        <w:rPr>
          <w:rFonts w:hint="eastAsia" w:ascii="宋体" w:hAnsi="宋体" w:cs="宋体"/>
          <w:b/>
          <w:color w:val="auto"/>
          <w:kern w:val="0"/>
          <w:szCs w:val="21"/>
        </w:rPr>
        <w:t>信息发布</w:t>
      </w:r>
    </w:p>
    <w:p>
      <w:pPr>
        <w:autoSpaceDE w:val="0"/>
        <w:autoSpaceDN w:val="0"/>
        <w:spacing w:line="360" w:lineRule="auto"/>
        <w:ind w:left="964"/>
        <w:contextualSpacing/>
        <w:rPr>
          <w:rFonts w:ascii="宋体" w:hAnsi="宋体" w:cs="宋体"/>
          <w:color w:val="auto"/>
          <w:kern w:val="0"/>
          <w:szCs w:val="21"/>
        </w:rPr>
      </w:pPr>
      <w:r>
        <w:rPr>
          <w:rFonts w:hint="eastAsia" w:ascii="宋体" w:hAnsi="宋体" w:cs="宋体"/>
          <w:color w:val="auto"/>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pStyle w:val="80"/>
        <w:numPr>
          <w:ilvl w:val="0"/>
          <w:numId w:val="5"/>
        </w:numPr>
        <w:autoSpaceDE w:val="0"/>
        <w:autoSpaceDN w:val="0"/>
        <w:spacing w:line="360" w:lineRule="auto"/>
        <w:ind w:firstLineChars="0"/>
        <w:contextualSpacing/>
        <w:rPr>
          <w:rFonts w:ascii="宋体" w:hAnsi="宋体" w:cs="宋体"/>
          <w:b/>
          <w:color w:val="auto"/>
          <w:kern w:val="0"/>
          <w:szCs w:val="21"/>
        </w:rPr>
      </w:pPr>
      <w:r>
        <w:rPr>
          <w:rFonts w:hint="eastAsia" w:ascii="宋体" w:hAnsi="宋体" w:cs="宋体"/>
          <w:b/>
          <w:color w:val="auto"/>
          <w:kern w:val="0"/>
          <w:szCs w:val="21"/>
        </w:rPr>
        <w:t>采购代理机构代理费用收取标准和方式</w:t>
      </w:r>
    </w:p>
    <w:p>
      <w:pPr>
        <w:pStyle w:val="80"/>
        <w:autoSpaceDE w:val="0"/>
        <w:autoSpaceDN w:val="0"/>
        <w:spacing w:line="360" w:lineRule="auto"/>
        <w:ind w:left="964" w:firstLine="0" w:firstLineChars="0"/>
        <w:contextualSpacing/>
        <w:rPr>
          <w:rFonts w:ascii="宋体" w:hAnsi="宋体" w:cs="宋体"/>
          <w:color w:val="auto"/>
          <w:kern w:val="0"/>
          <w:szCs w:val="21"/>
        </w:rPr>
      </w:pPr>
      <w:r>
        <w:rPr>
          <w:rFonts w:hint="eastAsia" w:ascii="宋体" w:hAnsi="宋体" w:cs="宋体"/>
          <w:color w:val="auto"/>
          <w:kern w:val="0"/>
          <w:szCs w:val="21"/>
        </w:rPr>
        <w:t>详见投标人须知前附表。</w:t>
      </w:r>
    </w:p>
    <w:p>
      <w:pPr>
        <w:pStyle w:val="80"/>
        <w:numPr>
          <w:ilvl w:val="0"/>
          <w:numId w:val="5"/>
        </w:numPr>
        <w:autoSpaceDE w:val="0"/>
        <w:autoSpaceDN w:val="0"/>
        <w:spacing w:line="360" w:lineRule="auto"/>
        <w:ind w:firstLineChars="0"/>
        <w:contextualSpacing/>
        <w:rPr>
          <w:rFonts w:ascii="宋体" w:hAnsi="宋体" w:cs="宋体"/>
          <w:b/>
          <w:color w:val="auto"/>
          <w:kern w:val="0"/>
          <w:szCs w:val="21"/>
        </w:rPr>
      </w:pPr>
      <w:r>
        <w:rPr>
          <w:rFonts w:hint="eastAsia" w:ascii="宋体" w:hAnsi="宋体" w:cs="宋体"/>
          <w:b/>
          <w:color w:val="auto"/>
          <w:kern w:val="0"/>
          <w:szCs w:val="21"/>
        </w:rPr>
        <w:t>其他</w:t>
      </w:r>
    </w:p>
    <w:p>
      <w:pPr>
        <w:autoSpaceDE w:val="0"/>
        <w:autoSpaceDN w:val="0"/>
        <w:spacing w:line="360" w:lineRule="auto"/>
        <w:ind w:left="964"/>
        <w:contextualSpacing/>
        <w:rPr>
          <w:rFonts w:ascii="宋体" w:hAnsi="宋体" w:cs="宋体"/>
          <w:color w:val="auto"/>
          <w:kern w:val="0"/>
          <w:szCs w:val="21"/>
        </w:rPr>
      </w:pPr>
      <w:r>
        <w:rPr>
          <w:rFonts w:hint="eastAsia" w:ascii="宋体" w:hAnsi="宋体" w:cs="宋体"/>
          <w:color w:val="auto"/>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tabs>
          <w:tab w:val="left" w:pos="1260"/>
        </w:tabs>
        <w:autoSpaceDE w:val="0"/>
        <w:autoSpaceDN w:val="0"/>
        <w:adjustRightInd w:val="0"/>
        <w:snapToGrid w:val="0"/>
        <w:spacing w:before="240" w:line="360" w:lineRule="auto"/>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二、招标文件说明</w:t>
      </w:r>
    </w:p>
    <w:p>
      <w:pPr>
        <w:pStyle w:val="80"/>
        <w:numPr>
          <w:ilvl w:val="0"/>
          <w:numId w:val="5"/>
        </w:numPr>
        <w:autoSpaceDE w:val="0"/>
        <w:autoSpaceDN w:val="0"/>
        <w:spacing w:line="360" w:lineRule="auto"/>
        <w:ind w:firstLineChars="0"/>
        <w:contextualSpacing/>
        <w:rPr>
          <w:rFonts w:ascii="宋体" w:hAnsi="宋体" w:cs="宋体"/>
          <w:b/>
          <w:color w:val="auto"/>
          <w:kern w:val="0"/>
          <w:szCs w:val="21"/>
        </w:rPr>
      </w:pPr>
      <w:r>
        <w:rPr>
          <w:rFonts w:hint="eastAsia" w:ascii="宋体" w:hAnsi="宋体" w:cs="宋体"/>
          <w:b/>
          <w:color w:val="auto"/>
          <w:kern w:val="0"/>
          <w:szCs w:val="21"/>
        </w:rPr>
        <w:t>招标文件构成</w:t>
      </w:r>
    </w:p>
    <w:p>
      <w:pPr>
        <w:pStyle w:val="80"/>
        <w:numPr>
          <w:ilvl w:val="0"/>
          <w:numId w:val="7"/>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招标文件由以下部分组成：</w:t>
      </w:r>
    </w:p>
    <w:p>
      <w:pPr>
        <w:autoSpaceDE w:val="0"/>
        <w:autoSpaceDN w:val="0"/>
        <w:spacing w:line="360" w:lineRule="auto"/>
        <w:ind w:left="964"/>
        <w:contextualSpacing/>
        <w:rPr>
          <w:rFonts w:ascii="宋体" w:hAnsi="宋体" w:cs="宋体"/>
          <w:color w:val="auto"/>
          <w:kern w:val="0"/>
          <w:szCs w:val="21"/>
        </w:rPr>
      </w:pPr>
      <w:r>
        <w:rPr>
          <w:rFonts w:hint="eastAsia" w:ascii="宋体" w:hAnsi="宋体" w:cs="宋体"/>
          <w:color w:val="auto"/>
          <w:kern w:val="0"/>
          <w:szCs w:val="21"/>
        </w:rPr>
        <w:t>（1）投标邀请（招标公告）</w:t>
      </w:r>
    </w:p>
    <w:p>
      <w:pPr>
        <w:autoSpaceDE w:val="0"/>
        <w:autoSpaceDN w:val="0"/>
        <w:spacing w:line="360" w:lineRule="auto"/>
        <w:ind w:left="964"/>
        <w:contextualSpacing/>
        <w:rPr>
          <w:rFonts w:ascii="宋体" w:hAnsi="宋体" w:cs="宋体"/>
          <w:color w:val="auto"/>
          <w:kern w:val="0"/>
          <w:szCs w:val="21"/>
        </w:rPr>
      </w:pPr>
      <w:r>
        <w:rPr>
          <w:rFonts w:hint="eastAsia" w:ascii="宋体" w:hAnsi="宋体" w:cs="宋体"/>
          <w:color w:val="auto"/>
          <w:kern w:val="0"/>
          <w:szCs w:val="21"/>
        </w:rPr>
        <w:t>（2）项目需求</w:t>
      </w:r>
    </w:p>
    <w:p>
      <w:pPr>
        <w:autoSpaceDE w:val="0"/>
        <w:autoSpaceDN w:val="0"/>
        <w:spacing w:line="360" w:lineRule="auto"/>
        <w:ind w:left="964"/>
        <w:contextualSpacing/>
        <w:rPr>
          <w:rFonts w:ascii="宋体" w:hAnsi="宋体" w:cs="宋体"/>
          <w:color w:val="auto"/>
          <w:kern w:val="0"/>
          <w:szCs w:val="21"/>
        </w:rPr>
      </w:pPr>
      <w:r>
        <w:rPr>
          <w:rFonts w:hint="eastAsia" w:ascii="宋体" w:hAnsi="宋体" w:cs="宋体"/>
          <w:color w:val="auto"/>
          <w:kern w:val="0"/>
          <w:szCs w:val="21"/>
        </w:rPr>
        <w:t>（3）投标人须知前附表</w:t>
      </w:r>
    </w:p>
    <w:p>
      <w:pPr>
        <w:autoSpaceDE w:val="0"/>
        <w:autoSpaceDN w:val="0"/>
        <w:spacing w:line="360" w:lineRule="auto"/>
        <w:ind w:left="964"/>
        <w:contextualSpacing/>
        <w:rPr>
          <w:rFonts w:ascii="宋体" w:hAnsi="宋体" w:cs="宋体"/>
          <w:color w:val="auto"/>
          <w:kern w:val="0"/>
          <w:szCs w:val="21"/>
        </w:rPr>
      </w:pPr>
      <w:r>
        <w:rPr>
          <w:rFonts w:hint="eastAsia" w:ascii="宋体" w:hAnsi="宋体" w:cs="宋体"/>
          <w:color w:val="auto"/>
          <w:kern w:val="0"/>
          <w:szCs w:val="21"/>
        </w:rPr>
        <w:t>（4）投标人须知</w:t>
      </w:r>
    </w:p>
    <w:p>
      <w:pPr>
        <w:autoSpaceDE w:val="0"/>
        <w:autoSpaceDN w:val="0"/>
        <w:spacing w:line="360" w:lineRule="auto"/>
        <w:ind w:left="964"/>
        <w:contextualSpacing/>
        <w:rPr>
          <w:rFonts w:ascii="宋体" w:hAnsi="宋体" w:cs="宋体"/>
          <w:color w:val="auto"/>
          <w:kern w:val="0"/>
          <w:szCs w:val="21"/>
        </w:rPr>
      </w:pPr>
      <w:r>
        <w:rPr>
          <w:rFonts w:hint="eastAsia" w:ascii="宋体" w:hAnsi="宋体" w:cs="宋体"/>
          <w:color w:val="auto"/>
          <w:kern w:val="0"/>
          <w:szCs w:val="21"/>
        </w:rPr>
        <w:t>（5）政府采购政策功能</w:t>
      </w:r>
    </w:p>
    <w:p>
      <w:pPr>
        <w:autoSpaceDE w:val="0"/>
        <w:autoSpaceDN w:val="0"/>
        <w:spacing w:line="360" w:lineRule="auto"/>
        <w:ind w:left="964"/>
        <w:contextualSpacing/>
        <w:rPr>
          <w:rFonts w:ascii="宋体" w:hAnsi="宋体" w:cs="宋体"/>
          <w:color w:val="auto"/>
          <w:kern w:val="0"/>
          <w:szCs w:val="21"/>
        </w:rPr>
      </w:pPr>
      <w:r>
        <w:rPr>
          <w:rFonts w:hint="eastAsia" w:ascii="宋体" w:hAnsi="宋体" w:cs="宋体"/>
          <w:color w:val="auto"/>
          <w:kern w:val="0"/>
          <w:szCs w:val="21"/>
        </w:rPr>
        <w:t>（6）资格审查与评标</w:t>
      </w:r>
    </w:p>
    <w:p>
      <w:pPr>
        <w:autoSpaceDE w:val="0"/>
        <w:autoSpaceDN w:val="0"/>
        <w:spacing w:line="360" w:lineRule="auto"/>
        <w:ind w:left="964"/>
        <w:contextualSpacing/>
        <w:rPr>
          <w:rFonts w:ascii="宋体" w:hAnsi="宋体" w:cs="宋体"/>
          <w:color w:val="auto"/>
          <w:kern w:val="0"/>
          <w:szCs w:val="21"/>
        </w:rPr>
      </w:pPr>
      <w:r>
        <w:rPr>
          <w:rFonts w:hint="eastAsia" w:ascii="宋体" w:hAnsi="宋体" w:cs="宋体"/>
          <w:color w:val="auto"/>
          <w:kern w:val="0"/>
          <w:szCs w:val="21"/>
        </w:rPr>
        <w:t>（7）合同条款及格式</w:t>
      </w:r>
    </w:p>
    <w:p>
      <w:pPr>
        <w:autoSpaceDE w:val="0"/>
        <w:autoSpaceDN w:val="0"/>
        <w:spacing w:line="360" w:lineRule="auto"/>
        <w:ind w:left="964"/>
        <w:contextualSpacing/>
        <w:rPr>
          <w:rFonts w:ascii="宋体" w:hAnsi="宋体" w:cs="宋体"/>
          <w:color w:val="auto"/>
          <w:kern w:val="0"/>
          <w:szCs w:val="21"/>
        </w:rPr>
      </w:pPr>
      <w:r>
        <w:rPr>
          <w:rFonts w:hint="eastAsia" w:ascii="宋体" w:hAnsi="宋体" w:cs="宋体"/>
          <w:color w:val="auto"/>
          <w:kern w:val="0"/>
          <w:szCs w:val="21"/>
        </w:rPr>
        <w:t>（8）投标文件有关格式</w:t>
      </w:r>
    </w:p>
    <w:p>
      <w:pPr>
        <w:autoSpaceDE w:val="0"/>
        <w:autoSpaceDN w:val="0"/>
        <w:spacing w:line="360" w:lineRule="auto"/>
        <w:ind w:left="964"/>
        <w:contextualSpacing/>
        <w:rPr>
          <w:rFonts w:ascii="宋体" w:hAnsi="宋体" w:cs="宋体"/>
          <w:color w:val="auto"/>
          <w:kern w:val="0"/>
          <w:szCs w:val="21"/>
        </w:rPr>
      </w:pPr>
      <w:r>
        <w:rPr>
          <w:rFonts w:hint="eastAsia" w:ascii="宋体" w:hAnsi="宋体" w:cs="宋体"/>
          <w:color w:val="auto"/>
          <w:kern w:val="0"/>
          <w:szCs w:val="21"/>
        </w:rPr>
        <w:t>（9）本项目招标文件的澄清、答复、修改、补充内容（如有的话）</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80"/>
        <w:autoSpaceDE w:val="0"/>
        <w:autoSpaceDN w:val="0"/>
        <w:spacing w:line="360" w:lineRule="auto"/>
        <w:ind w:left="964" w:firstLine="0" w:firstLineChars="0"/>
        <w:contextualSpacing/>
        <w:rPr>
          <w:rFonts w:ascii="宋体" w:hAnsi="宋体" w:cs="宋体"/>
          <w:color w:val="auto"/>
          <w:kern w:val="0"/>
          <w:szCs w:val="21"/>
        </w:rPr>
      </w:pPr>
    </w:p>
    <w:p>
      <w:pPr>
        <w:pStyle w:val="80"/>
        <w:numPr>
          <w:ilvl w:val="0"/>
          <w:numId w:val="5"/>
        </w:numPr>
        <w:autoSpaceDE w:val="0"/>
        <w:autoSpaceDN w:val="0"/>
        <w:spacing w:line="360" w:lineRule="auto"/>
        <w:ind w:firstLineChars="0"/>
        <w:contextualSpacing/>
        <w:rPr>
          <w:rFonts w:ascii="宋体" w:hAnsi="宋体" w:cs="宋体"/>
          <w:b/>
          <w:color w:val="auto"/>
          <w:kern w:val="0"/>
          <w:szCs w:val="21"/>
        </w:rPr>
      </w:pPr>
      <w:r>
        <w:rPr>
          <w:rFonts w:hint="eastAsia" w:ascii="宋体" w:hAnsi="宋体" w:cs="宋体"/>
          <w:b/>
          <w:color w:val="auto"/>
          <w:kern w:val="0"/>
          <w:szCs w:val="21"/>
        </w:rPr>
        <w:t>现场考察、开标前答疑会</w:t>
      </w:r>
    </w:p>
    <w:p>
      <w:pPr>
        <w:pStyle w:val="80"/>
        <w:numPr>
          <w:ilvl w:val="0"/>
          <w:numId w:val="7"/>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招标人根据采购项目的具体情况，可以在招标文件公告期满后，组织已获取招标文件的潜在投标人现场考察或者召开开标前答疑会。</w:t>
      </w:r>
    </w:p>
    <w:p>
      <w:pPr>
        <w:autoSpaceDE w:val="0"/>
        <w:autoSpaceDN w:val="0"/>
        <w:spacing w:line="360" w:lineRule="auto"/>
        <w:ind w:left="964"/>
        <w:contextualSpacing/>
        <w:rPr>
          <w:rFonts w:ascii="宋体" w:hAnsi="宋体" w:cs="宋体"/>
          <w:color w:val="auto"/>
          <w:kern w:val="0"/>
          <w:szCs w:val="21"/>
        </w:rPr>
      </w:pPr>
      <w:r>
        <w:rPr>
          <w:rFonts w:hint="eastAsia" w:ascii="宋体" w:hAnsi="宋体" w:cs="宋体"/>
          <w:color w:val="auto"/>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现场考察及参加开标前答疑会所发生的费用及一切责任由投标人自行承担。</w:t>
      </w:r>
    </w:p>
    <w:p>
      <w:pPr>
        <w:pStyle w:val="80"/>
        <w:numPr>
          <w:ilvl w:val="0"/>
          <w:numId w:val="5"/>
        </w:numPr>
        <w:autoSpaceDE w:val="0"/>
        <w:autoSpaceDN w:val="0"/>
        <w:spacing w:line="360" w:lineRule="auto"/>
        <w:ind w:firstLineChars="0"/>
        <w:contextualSpacing/>
        <w:rPr>
          <w:rFonts w:ascii="宋体" w:hAnsi="宋体" w:cs="宋体"/>
          <w:b/>
          <w:color w:val="auto"/>
          <w:kern w:val="0"/>
          <w:szCs w:val="21"/>
        </w:rPr>
      </w:pPr>
      <w:r>
        <w:rPr>
          <w:rFonts w:hint="eastAsia" w:ascii="宋体" w:hAnsi="宋体" w:cs="宋体"/>
          <w:b/>
          <w:color w:val="auto"/>
          <w:kern w:val="0"/>
          <w:szCs w:val="21"/>
        </w:rPr>
        <w:t>招标文件的澄清或修改</w:t>
      </w:r>
    </w:p>
    <w:p>
      <w:pPr>
        <w:pStyle w:val="80"/>
        <w:numPr>
          <w:ilvl w:val="0"/>
          <w:numId w:val="8"/>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在投标截止期前，无论出于何种原因，招标人可主动地或在解答潜在投标人提出的澄清问题时对招标文件进行修改。</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招标人可以对已发出的招标文件进行必要的澄清或者修改。澄清或者修改的内容可能影响投标文件编制的，招标人将在投标截止时间</w:t>
      </w:r>
      <w:r>
        <w:rPr>
          <w:rFonts w:ascii="宋体" w:hAnsi="宋体" w:cs="宋体"/>
          <w:color w:val="auto"/>
          <w:kern w:val="0"/>
          <w:szCs w:val="21"/>
        </w:rPr>
        <w:t>15</w:t>
      </w:r>
      <w:r>
        <w:rPr>
          <w:rFonts w:hint="eastAsia" w:ascii="宋体" w:hAnsi="宋体" w:cs="宋体"/>
          <w:color w:val="auto"/>
          <w:kern w:val="0"/>
          <w:szCs w:val="21"/>
        </w:rPr>
        <w:t>日前，在财政部门指定的政府采购信息发布媒体和《全国公共资源交易平台（河南省·许昌市）》发布更正公告。</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澄清或修改公告的内容为招标文件的组成部分，并对投标人具有约束力。当招标文件与澄清或修改公告就同一内容的表述不一致时，以最后发出的文件内容为准。</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如果澄清或者修改发出的时间距规定的投标截止时间不足15日，招标人将顺延提交投标文件的截止时间。</w:t>
      </w:r>
    </w:p>
    <w:p>
      <w:pPr>
        <w:tabs>
          <w:tab w:val="left" w:pos="1260"/>
        </w:tabs>
        <w:autoSpaceDE w:val="0"/>
        <w:autoSpaceDN w:val="0"/>
        <w:adjustRightInd w:val="0"/>
        <w:snapToGrid w:val="0"/>
        <w:spacing w:before="240" w:line="360" w:lineRule="auto"/>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三、投标文件的编制</w:t>
      </w:r>
    </w:p>
    <w:p>
      <w:pPr>
        <w:pStyle w:val="80"/>
        <w:numPr>
          <w:ilvl w:val="0"/>
          <w:numId w:val="5"/>
        </w:numPr>
        <w:autoSpaceDE w:val="0"/>
        <w:autoSpaceDN w:val="0"/>
        <w:spacing w:line="360" w:lineRule="auto"/>
        <w:ind w:firstLineChars="0"/>
        <w:contextualSpacing/>
        <w:rPr>
          <w:rFonts w:ascii="宋体" w:hAnsi="宋体" w:cs="宋体"/>
          <w:b/>
          <w:color w:val="auto"/>
          <w:kern w:val="0"/>
          <w:szCs w:val="21"/>
        </w:rPr>
      </w:pPr>
      <w:r>
        <w:rPr>
          <w:rFonts w:hint="eastAsia" w:ascii="宋体" w:hAnsi="宋体" w:cs="宋体"/>
          <w:b/>
          <w:color w:val="auto"/>
          <w:kern w:val="0"/>
          <w:szCs w:val="21"/>
        </w:rPr>
        <w:t>投标的语言及计量单位</w:t>
      </w:r>
    </w:p>
    <w:p>
      <w:pPr>
        <w:pStyle w:val="80"/>
        <w:numPr>
          <w:ilvl w:val="0"/>
          <w:numId w:val="9"/>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投标人提交的投标文件以及投标人与招标人就有关投标事宜的所有来往书面文件均应使用中文。除签名、盖章、专用名称等特殊情形外，以中文以外的文字表述的投标文件视同未提供。</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投标计量单位，招标文件已有明确规定的，使用招标文件规定的计量单位；招标文件没有规定的，一律采用中华人民共和国法定计量单位。</w:t>
      </w:r>
    </w:p>
    <w:p>
      <w:pPr>
        <w:pStyle w:val="80"/>
        <w:autoSpaceDE w:val="0"/>
        <w:autoSpaceDN w:val="0"/>
        <w:spacing w:line="360" w:lineRule="auto"/>
        <w:ind w:left="964" w:firstLine="0" w:firstLineChars="0"/>
        <w:contextualSpacing/>
        <w:rPr>
          <w:rFonts w:ascii="宋体" w:hAnsi="宋体" w:cs="宋体"/>
          <w:color w:val="auto"/>
          <w:kern w:val="0"/>
          <w:szCs w:val="21"/>
        </w:rPr>
      </w:pPr>
    </w:p>
    <w:p>
      <w:pPr>
        <w:pStyle w:val="80"/>
        <w:numPr>
          <w:ilvl w:val="0"/>
          <w:numId w:val="5"/>
        </w:numPr>
        <w:autoSpaceDE w:val="0"/>
        <w:autoSpaceDN w:val="0"/>
        <w:spacing w:line="360" w:lineRule="auto"/>
        <w:ind w:firstLineChars="0"/>
        <w:contextualSpacing/>
        <w:rPr>
          <w:rFonts w:ascii="宋体" w:hAnsi="宋体" w:cs="宋体"/>
          <w:b/>
          <w:color w:val="auto"/>
          <w:kern w:val="0"/>
          <w:szCs w:val="21"/>
        </w:rPr>
      </w:pPr>
      <w:r>
        <w:rPr>
          <w:rFonts w:hint="eastAsia" w:ascii="宋体" w:hAnsi="宋体" w:cs="宋体"/>
          <w:b/>
          <w:color w:val="auto"/>
          <w:kern w:val="0"/>
          <w:szCs w:val="21"/>
        </w:rPr>
        <w:t>投标报价</w:t>
      </w:r>
    </w:p>
    <w:p>
      <w:pPr>
        <w:pStyle w:val="80"/>
        <w:numPr>
          <w:ilvl w:val="0"/>
          <w:numId w:val="9"/>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本次招标项目的投标均以人民币为计算单位。</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采购人不得向投标人索要或者接受其给予的赠品、回扣或者与采购无关的其他商品、服务。</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投标人应对项目要求的全部内容进行报价，少报漏报将导致其投标为非实质性响应予以拒绝。</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本项目所涉及的运输、施工、安装、集成、调试、验收、备品和工具等费用均包含在投标报价中。</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本次招标不接受可选择或可调整的投标方案和报价，任何有选择的或可调整的投标方案和报价将被视为非实质性响应投标而作无效投标处理。</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最低报价不能作为中标的保证。</w:t>
      </w:r>
    </w:p>
    <w:p>
      <w:pPr>
        <w:autoSpaceDE w:val="0"/>
        <w:autoSpaceDN w:val="0"/>
        <w:spacing w:line="360" w:lineRule="auto"/>
        <w:ind w:left="420"/>
        <w:contextualSpacing/>
        <w:rPr>
          <w:rFonts w:ascii="宋体" w:hAnsi="宋体" w:cs="宋体"/>
          <w:color w:val="auto"/>
          <w:kern w:val="0"/>
          <w:szCs w:val="21"/>
        </w:rPr>
      </w:pPr>
    </w:p>
    <w:p>
      <w:pPr>
        <w:pStyle w:val="80"/>
        <w:numPr>
          <w:ilvl w:val="0"/>
          <w:numId w:val="5"/>
        </w:numPr>
        <w:autoSpaceDE w:val="0"/>
        <w:autoSpaceDN w:val="0"/>
        <w:spacing w:line="360" w:lineRule="auto"/>
        <w:ind w:firstLineChars="0"/>
        <w:contextualSpacing/>
        <w:rPr>
          <w:rFonts w:ascii="宋体" w:hAnsi="宋体" w:cs="宋体"/>
          <w:b/>
          <w:color w:val="auto"/>
          <w:kern w:val="0"/>
          <w:szCs w:val="21"/>
        </w:rPr>
      </w:pPr>
      <w:r>
        <w:rPr>
          <w:rFonts w:hint="eastAsia" w:ascii="宋体" w:hAnsi="宋体" w:cs="宋体"/>
          <w:b/>
          <w:color w:val="auto"/>
          <w:kern w:val="0"/>
          <w:szCs w:val="21"/>
        </w:rPr>
        <w:t>投标有效期</w:t>
      </w:r>
    </w:p>
    <w:p>
      <w:pPr>
        <w:pStyle w:val="80"/>
        <w:numPr>
          <w:ilvl w:val="0"/>
          <w:numId w:val="9"/>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投标有效期内投标人撤销投标文件的，投标人将承担违背投标承诺函的责任追究。</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中标人的投标文件作为项目合同的附件，其有效期至中标人全部合同义务履行完毕为止。</w:t>
      </w:r>
    </w:p>
    <w:p>
      <w:pPr>
        <w:pStyle w:val="80"/>
        <w:numPr>
          <w:ilvl w:val="0"/>
          <w:numId w:val="5"/>
        </w:numPr>
        <w:autoSpaceDE w:val="0"/>
        <w:autoSpaceDN w:val="0"/>
        <w:spacing w:line="360" w:lineRule="auto"/>
        <w:ind w:firstLineChars="0"/>
        <w:contextualSpacing/>
        <w:rPr>
          <w:rFonts w:ascii="宋体" w:hAnsi="宋体" w:cs="宋体"/>
          <w:b/>
          <w:color w:val="auto"/>
          <w:kern w:val="0"/>
          <w:szCs w:val="21"/>
        </w:rPr>
      </w:pPr>
      <w:r>
        <w:rPr>
          <w:rFonts w:hint="eastAsia" w:ascii="宋体" w:hAnsi="宋体" w:cs="宋体"/>
          <w:b/>
          <w:color w:val="auto"/>
          <w:kern w:val="0"/>
          <w:szCs w:val="21"/>
        </w:rPr>
        <w:t>投标文件构成</w:t>
      </w:r>
    </w:p>
    <w:p>
      <w:pPr>
        <w:pStyle w:val="80"/>
        <w:numPr>
          <w:ilvl w:val="0"/>
          <w:numId w:val="9"/>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投标文件的构成应符合法律法规及招标文件的要求。</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投标人应当按照招标文件的要求编制投标文件。投标文件应当对招标文件提出的要求和条件作出明确响应。</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投标文件由资格证明材料、符合性证明材料、其它材料等组成。</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Pr>
          <w:rFonts w:ascii="宋体" w:hAnsi="宋体" w:cs="宋体"/>
          <w:color w:val="auto"/>
          <w:kern w:val="0"/>
          <w:szCs w:val="21"/>
        </w:rPr>
        <w:t>.file</w:t>
      </w:r>
      <w:r>
        <w:rPr>
          <w:rFonts w:hint="eastAsia" w:ascii="宋体" w:hAnsi="宋体" w:cs="宋体"/>
          <w:color w:val="auto"/>
          <w:kern w:val="0"/>
          <w:szCs w:val="21"/>
        </w:rPr>
        <w:t>”的文件用于电子投标使用，后缀名为“.PDF”的文件用于上传投标文件。</w:t>
      </w:r>
    </w:p>
    <w:p>
      <w:pPr>
        <w:autoSpaceDE w:val="0"/>
        <w:autoSpaceDN w:val="0"/>
        <w:spacing w:line="360" w:lineRule="auto"/>
        <w:ind w:left="964"/>
        <w:contextualSpacing/>
        <w:rPr>
          <w:rFonts w:ascii="宋体" w:hAnsi="宋体" w:cs="宋体"/>
          <w:color w:val="auto"/>
          <w:kern w:val="0"/>
          <w:szCs w:val="21"/>
        </w:rPr>
      </w:pPr>
      <w:r>
        <w:rPr>
          <w:rFonts w:hint="eastAsia" w:ascii="宋体" w:hAnsi="宋体" w:cs="宋体"/>
          <w:color w:val="auto"/>
          <w:kern w:val="0"/>
          <w:szCs w:val="21"/>
        </w:rPr>
        <w:t>电子投标文件制作技术咨询：</w:t>
      </w:r>
      <w:r>
        <w:rPr>
          <w:rFonts w:hint="eastAsia" w:ascii="宋体" w:hAnsi="宋体" w:cs="宋体"/>
          <w:b/>
          <w:color w:val="auto"/>
          <w:kern w:val="0"/>
          <w:szCs w:val="21"/>
        </w:rPr>
        <w:t>0374-2961598</w:t>
      </w:r>
      <w:r>
        <w:rPr>
          <w:rFonts w:hint="eastAsia" w:ascii="宋体" w:hAnsi="宋体" w:cs="宋体"/>
          <w:color w:val="auto"/>
          <w:kern w:val="0"/>
          <w:szCs w:val="21"/>
        </w:rPr>
        <w:t>。</w:t>
      </w:r>
    </w:p>
    <w:p>
      <w:pPr>
        <w:pStyle w:val="80"/>
        <w:numPr>
          <w:ilvl w:val="0"/>
          <w:numId w:val="5"/>
        </w:numPr>
        <w:autoSpaceDE w:val="0"/>
        <w:autoSpaceDN w:val="0"/>
        <w:spacing w:line="360" w:lineRule="auto"/>
        <w:ind w:firstLineChars="0"/>
        <w:contextualSpacing/>
        <w:rPr>
          <w:rFonts w:ascii="宋体" w:hAnsi="宋体" w:cs="宋体"/>
          <w:b/>
          <w:color w:val="auto"/>
          <w:kern w:val="0"/>
          <w:szCs w:val="21"/>
        </w:rPr>
      </w:pPr>
      <w:r>
        <w:rPr>
          <w:rFonts w:hint="eastAsia" w:ascii="宋体" w:hAnsi="宋体" w:cs="宋体"/>
          <w:b/>
          <w:color w:val="auto"/>
          <w:kern w:val="0"/>
          <w:szCs w:val="21"/>
        </w:rPr>
        <w:t>投标文件格式</w:t>
      </w:r>
    </w:p>
    <w:p>
      <w:pPr>
        <w:autoSpaceDE w:val="0"/>
        <w:autoSpaceDN w:val="0"/>
        <w:spacing w:line="360" w:lineRule="auto"/>
        <w:ind w:left="964"/>
        <w:contextualSpacing/>
        <w:rPr>
          <w:rFonts w:ascii="宋体" w:hAnsi="宋体" w:cs="宋体"/>
          <w:color w:val="auto"/>
          <w:kern w:val="0"/>
          <w:szCs w:val="21"/>
        </w:rPr>
      </w:pPr>
      <w:r>
        <w:rPr>
          <w:rFonts w:hint="eastAsia" w:ascii="宋体" w:hAnsi="宋体" w:cs="宋体"/>
          <w:color w:val="auto"/>
          <w:kern w:val="0"/>
          <w:szCs w:val="21"/>
        </w:rPr>
        <w:t>按招标文件格式编制</w:t>
      </w:r>
    </w:p>
    <w:p>
      <w:pPr>
        <w:pStyle w:val="80"/>
        <w:numPr>
          <w:ilvl w:val="0"/>
          <w:numId w:val="5"/>
        </w:numPr>
        <w:autoSpaceDE w:val="0"/>
        <w:autoSpaceDN w:val="0"/>
        <w:spacing w:line="360" w:lineRule="auto"/>
        <w:ind w:firstLineChars="0"/>
        <w:contextualSpacing/>
        <w:rPr>
          <w:rFonts w:ascii="宋体" w:hAnsi="宋体" w:cs="宋体"/>
          <w:b/>
          <w:color w:val="auto"/>
          <w:kern w:val="0"/>
          <w:szCs w:val="21"/>
        </w:rPr>
      </w:pPr>
      <w:r>
        <w:rPr>
          <w:rFonts w:hint="eastAsia" w:ascii="宋体" w:hAnsi="宋体" w:cs="宋体"/>
          <w:b/>
          <w:color w:val="auto"/>
          <w:kern w:val="0"/>
          <w:szCs w:val="21"/>
        </w:rPr>
        <w:t>投标保证金</w:t>
      </w:r>
    </w:p>
    <w:p>
      <w:pPr>
        <w:pStyle w:val="80"/>
        <w:numPr>
          <w:ilvl w:val="0"/>
          <w:numId w:val="9"/>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本项目不收取投标保证金。</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投标人应提供投标承诺函。</w:t>
      </w:r>
    </w:p>
    <w:p>
      <w:pPr>
        <w:pStyle w:val="80"/>
        <w:numPr>
          <w:ilvl w:val="0"/>
          <w:numId w:val="5"/>
        </w:numPr>
        <w:autoSpaceDE w:val="0"/>
        <w:autoSpaceDN w:val="0"/>
        <w:spacing w:line="360" w:lineRule="auto"/>
        <w:ind w:firstLineChars="0"/>
        <w:contextualSpacing/>
        <w:rPr>
          <w:rFonts w:ascii="宋体" w:hAnsi="宋体" w:cs="宋体"/>
          <w:b/>
          <w:color w:val="auto"/>
          <w:kern w:val="0"/>
          <w:szCs w:val="21"/>
        </w:rPr>
      </w:pPr>
      <w:r>
        <w:rPr>
          <w:rFonts w:hint="eastAsia" w:ascii="宋体" w:hAnsi="宋体" w:cs="宋体"/>
          <w:b/>
          <w:color w:val="auto"/>
          <w:kern w:val="0"/>
          <w:szCs w:val="21"/>
        </w:rPr>
        <w:t>投标文件的数量和签署盖章</w:t>
      </w:r>
    </w:p>
    <w:p>
      <w:pPr>
        <w:pStyle w:val="80"/>
        <w:numPr>
          <w:ilvl w:val="0"/>
          <w:numId w:val="9"/>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投标人应提交投标文件份数见“投标人须知前附表”。</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在招标文件中已明示需盖章及签名之处，电子投标文件应按招标文件要求加盖投标人电子印章和法人电子印章或授权代表电子印章。</w:t>
      </w:r>
    </w:p>
    <w:p>
      <w:pPr>
        <w:tabs>
          <w:tab w:val="left" w:pos="1260"/>
        </w:tabs>
        <w:autoSpaceDE w:val="0"/>
        <w:autoSpaceDN w:val="0"/>
        <w:spacing w:line="360" w:lineRule="auto"/>
        <w:contextualSpacing/>
        <w:jc w:val="center"/>
        <w:rPr>
          <w:rFonts w:ascii="宋体" w:hAnsi="宋体" w:cs="宋体"/>
          <w:b/>
          <w:color w:val="auto"/>
          <w:kern w:val="0"/>
          <w:szCs w:val="21"/>
        </w:rPr>
      </w:pPr>
      <w:r>
        <w:rPr>
          <w:rFonts w:hint="eastAsia" w:ascii="宋体" w:hAnsi="宋体" w:cs="宋体"/>
          <w:b/>
          <w:color w:val="auto"/>
          <w:kern w:val="0"/>
          <w:szCs w:val="21"/>
        </w:rPr>
        <w:t>四、投标文件的递交</w:t>
      </w:r>
    </w:p>
    <w:p>
      <w:pPr>
        <w:autoSpaceDE w:val="0"/>
        <w:autoSpaceDN w:val="0"/>
        <w:spacing w:line="360" w:lineRule="auto"/>
        <w:contextualSpacing/>
        <w:rPr>
          <w:rFonts w:ascii="宋体" w:hAnsi="宋体" w:cs="宋体"/>
          <w:b/>
          <w:bCs/>
          <w:color w:val="auto"/>
          <w:kern w:val="0"/>
          <w:szCs w:val="21"/>
        </w:rPr>
      </w:pPr>
      <w:r>
        <w:rPr>
          <w:rFonts w:hint="eastAsia" w:ascii="宋体" w:hAnsi="宋体" w:cs="宋体"/>
          <w:b/>
          <w:bCs/>
          <w:color w:val="auto"/>
          <w:kern w:val="0"/>
          <w:szCs w:val="21"/>
        </w:rPr>
        <w:t>19.投标文件的密封</w:t>
      </w:r>
    </w:p>
    <w:p>
      <w:pPr>
        <w:autoSpaceDE w:val="0"/>
        <w:autoSpaceDN w:val="0"/>
        <w:spacing w:line="360" w:lineRule="auto"/>
        <w:ind w:left="420"/>
        <w:contextualSpacing/>
        <w:rPr>
          <w:rFonts w:ascii="宋体" w:hAnsi="宋体" w:cs="宋体"/>
          <w:color w:val="auto"/>
          <w:kern w:val="0"/>
          <w:szCs w:val="21"/>
        </w:rPr>
      </w:pPr>
      <w:r>
        <w:rPr>
          <w:rFonts w:hint="eastAsia" w:ascii="宋体" w:hAnsi="宋体" w:cs="宋体"/>
          <w:color w:val="auto"/>
          <w:kern w:val="0"/>
          <w:szCs w:val="21"/>
        </w:rPr>
        <w:t>19.1 投标人必须在“投标邀请”和“投标人须知前附表”中规定的投标截止时间前，将加密电子投标文件（.file格式）通过《全国公共资源交易平台(河南省</w:t>
      </w:r>
      <w:r>
        <w:rPr>
          <w:rFonts w:hint="eastAsia" w:ascii="MS Mincho" w:hAnsi="MS Mincho" w:eastAsia="MS Mincho" w:cs="MS Mincho"/>
          <w:color w:val="auto"/>
          <w:kern w:val="0"/>
          <w:szCs w:val="21"/>
        </w:rPr>
        <w:t>▪</w:t>
      </w:r>
      <w:r>
        <w:rPr>
          <w:rFonts w:hint="eastAsia" w:ascii="宋体" w:hAnsi="宋体" w:cs="宋体"/>
          <w:color w:val="auto"/>
          <w:kern w:val="0"/>
          <w:szCs w:val="21"/>
        </w:rPr>
        <w:t>许昌市)》公共资源交易系统成功上传。</w:t>
      </w:r>
    </w:p>
    <w:p>
      <w:pPr>
        <w:autoSpaceDE w:val="0"/>
        <w:autoSpaceDN w:val="0"/>
        <w:spacing w:line="360" w:lineRule="auto"/>
        <w:ind w:left="420"/>
        <w:contextualSpacing/>
        <w:rPr>
          <w:rFonts w:ascii="宋体" w:hAnsi="宋体" w:cs="宋体"/>
          <w:color w:val="auto"/>
          <w:kern w:val="0"/>
          <w:szCs w:val="21"/>
        </w:rPr>
      </w:pPr>
      <w:r>
        <w:rPr>
          <w:rFonts w:hint="eastAsia" w:ascii="宋体" w:hAnsi="宋体" w:cs="宋体"/>
          <w:color w:val="auto"/>
          <w:kern w:val="0"/>
          <w:szCs w:val="21"/>
        </w:rPr>
        <w:t>19.2 招标人可以按本须知第10条规定，通过修改招标文件自行决定酌情延长投标截止期。在此情况下，招标人和投标人受投标截止期制约的所有权利和义务均应延长至新的截止日期和时间。投标人按招标人修改通知规定的时间提交投标文件。</w:t>
      </w:r>
    </w:p>
    <w:p>
      <w:pPr>
        <w:pStyle w:val="80"/>
        <w:numPr>
          <w:ilvl w:val="0"/>
          <w:numId w:val="5"/>
        </w:numPr>
        <w:autoSpaceDE w:val="0"/>
        <w:autoSpaceDN w:val="0"/>
        <w:spacing w:line="360" w:lineRule="auto"/>
        <w:ind w:firstLineChars="0"/>
        <w:contextualSpacing/>
        <w:rPr>
          <w:rFonts w:ascii="宋体" w:hAnsi="宋体" w:cs="宋体"/>
          <w:b/>
          <w:color w:val="auto"/>
          <w:kern w:val="0"/>
          <w:szCs w:val="21"/>
        </w:rPr>
      </w:pPr>
      <w:r>
        <w:rPr>
          <w:rFonts w:hint="eastAsia" w:ascii="宋体" w:hAnsi="宋体" w:cs="宋体"/>
          <w:b/>
          <w:color w:val="auto"/>
          <w:kern w:val="0"/>
          <w:szCs w:val="21"/>
        </w:rPr>
        <w:t>投标截止时间</w:t>
      </w:r>
    </w:p>
    <w:p>
      <w:pPr>
        <w:pStyle w:val="80"/>
        <w:numPr>
          <w:ilvl w:val="0"/>
          <w:numId w:val="9"/>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投标人必须在“投标邀请”和“投标人须知前附表”中规定的投标截止时间前，将所有投标文件送达招标文件指定的开标地点。</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招标人收到投标文件后，应当如实记载投标文件的送达时间和密封情况，签收保存，并向投标人出具签收回执。任何单位和个人不得在开标前开启投标文件。</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pStyle w:val="80"/>
        <w:autoSpaceDE w:val="0"/>
        <w:autoSpaceDN w:val="0"/>
        <w:spacing w:line="360" w:lineRule="auto"/>
        <w:ind w:left="964" w:firstLine="0" w:firstLineChars="0"/>
        <w:contextualSpacing/>
        <w:rPr>
          <w:rFonts w:ascii="宋体" w:hAnsi="宋体" w:cs="宋体"/>
          <w:color w:val="auto"/>
          <w:kern w:val="0"/>
          <w:szCs w:val="21"/>
        </w:rPr>
      </w:pPr>
    </w:p>
    <w:p>
      <w:pPr>
        <w:pStyle w:val="80"/>
        <w:numPr>
          <w:ilvl w:val="0"/>
          <w:numId w:val="5"/>
        </w:numPr>
        <w:autoSpaceDE w:val="0"/>
        <w:autoSpaceDN w:val="0"/>
        <w:spacing w:line="360" w:lineRule="auto"/>
        <w:ind w:firstLineChars="0"/>
        <w:contextualSpacing/>
        <w:rPr>
          <w:rFonts w:ascii="宋体" w:hAnsi="宋体" w:cs="宋体"/>
          <w:b/>
          <w:color w:val="auto"/>
          <w:kern w:val="0"/>
          <w:szCs w:val="21"/>
        </w:rPr>
      </w:pPr>
      <w:r>
        <w:rPr>
          <w:rFonts w:hint="eastAsia" w:ascii="宋体" w:hAnsi="宋体" w:cs="宋体"/>
          <w:b/>
          <w:color w:val="auto"/>
          <w:kern w:val="0"/>
          <w:szCs w:val="21"/>
        </w:rPr>
        <w:t>迟交的投标文件</w:t>
      </w:r>
    </w:p>
    <w:p>
      <w:pPr>
        <w:autoSpaceDE w:val="0"/>
        <w:autoSpaceDN w:val="0"/>
        <w:spacing w:line="360" w:lineRule="auto"/>
        <w:ind w:left="964"/>
        <w:contextualSpacing/>
        <w:rPr>
          <w:rFonts w:ascii="宋体" w:hAnsi="宋体" w:cs="宋体"/>
          <w:color w:val="auto"/>
          <w:kern w:val="0"/>
          <w:szCs w:val="21"/>
        </w:rPr>
      </w:pPr>
      <w:r>
        <w:rPr>
          <w:rFonts w:hint="eastAsia" w:ascii="宋体" w:hAnsi="宋体" w:cs="宋体"/>
          <w:color w:val="auto"/>
          <w:kern w:val="0"/>
          <w:szCs w:val="21"/>
        </w:rPr>
        <w:t>投标截止时间之后送达/上传的投标文件，招标人将拒绝接收。</w:t>
      </w:r>
    </w:p>
    <w:p>
      <w:pPr>
        <w:autoSpaceDE w:val="0"/>
        <w:autoSpaceDN w:val="0"/>
        <w:spacing w:line="360" w:lineRule="auto"/>
        <w:ind w:left="964"/>
        <w:contextualSpacing/>
        <w:rPr>
          <w:rFonts w:ascii="宋体" w:hAnsi="宋体" w:cs="宋体"/>
          <w:color w:val="auto"/>
          <w:kern w:val="0"/>
          <w:szCs w:val="21"/>
        </w:rPr>
      </w:pPr>
    </w:p>
    <w:p>
      <w:pPr>
        <w:pStyle w:val="80"/>
        <w:numPr>
          <w:ilvl w:val="0"/>
          <w:numId w:val="5"/>
        </w:numPr>
        <w:autoSpaceDE w:val="0"/>
        <w:autoSpaceDN w:val="0"/>
        <w:spacing w:line="360" w:lineRule="auto"/>
        <w:ind w:firstLineChars="0"/>
        <w:contextualSpacing/>
        <w:rPr>
          <w:rFonts w:ascii="宋体" w:hAnsi="宋体" w:cs="宋体"/>
          <w:b/>
          <w:color w:val="auto"/>
          <w:kern w:val="0"/>
          <w:szCs w:val="21"/>
        </w:rPr>
      </w:pPr>
      <w:r>
        <w:rPr>
          <w:rFonts w:hint="eastAsia" w:ascii="宋体" w:hAnsi="宋体" w:cs="宋体"/>
          <w:b/>
          <w:color w:val="auto"/>
          <w:kern w:val="0"/>
          <w:szCs w:val="21"/>
        </w:rPr>
        <w:t>投标文件的修改和撤回</w:t>
      </w:r>
    </w:p>
    <w:p>
      <w:pPr>
        <w:pStyle w:val="80"/>
        <w:numPr>
          <w:ilvl w:val="0"/>
          <w:numId w:val="10"/>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投标人在投标截止时间前，对所递交的投标文件进行补充、修改或者撤回的，须书面通知招标人。</w:t>
      </w:r>
    </w:p>
    <w:p>
      <w:pPr>
        <w:autoSpaceDE w:val="0"/>
        <w:autoSpaceDN w:val="0"/>
        <w:spacing w:line="360" w:lineRule="auto"/>
        <w:ind w:left="964"/>
        <w:contextualSpacing/>
        <w:rPr>
          <w:rFonts w:ascii="宋体" w:hAnsi="宋体" w:cs="宋体"/>
          <w:color w:val="auto"/>
          <w:kern w:val="0"/>
          <w:szCs w:val="21"/>
        </w:rPr>
      </w:pPr>
      <w:r>
        <w:rPr>
          <w:rFonts w:hint="eastAsia" w:ascii="宋体" w:hAnsi="宋体" w:cs="宋体"/>
          <w:color w:val="auto"/>
          <w:kern w:val="0"/>
          <w:szCs w:val="21"/>
        </w:rPr>
        <w:t>投标人应当在投标截止时间前完成电子投标文件的提交，可以补充、修改或撤回。投标截止时间前未完成电子投标文件提交、取得“投标文件提交回执单”的，视为撤回投标文件。</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投标人补充、修改的内容并作为投标文件的组成部分。补充或修改应当按招标文件要求签署、盖章、密封、递交，并应注明“修改</w:t>
      </w:r>
      <w:r>
        <w:rPr>
          <w:rFonts w:ascii="宋体" w:hAnsi="宋体" w:cs="宋体"/>
          <w:color w:val="auto"/>
          <w:kern w:val="0"/>
          <w:szCs w:val="21"/>
        </w:rPr>
        <w:t>”</w:t>
      </w:r>
      <w:r>
        <w:rPr>
          <w:rFonts w:hint="eastAsia" w:ascii="宋体" w:hAnsi="宋体" w:cs="宋体"/>
          <w:color w:val="auto"/>
          <w:kern w:val="0"/>
          <w:szCs w:val="21"/>
        </w:rPr>
        <w:t>或“补充</w:t>
      </w:r>
      <w:r>
        <w:rPr>
          <w:rFonts w:ascii="宋体" w:hAnsi="宋体" w:cs="宋体"/>
          <w:color w:val="auto"/>
          <w:kern w:val="0"/>
          <w:szCs w:val="21"/>
        </w:rPr>
        <w:t>”</w:t>
      </w:r>
      <w:r>
        <w:rPr>
          <w:rFonts w:hint="eastAsia" w:ascii="宋体" w:hAnsi="宋体" w:cs="宋体"/>
          <w:color w:val="auto"/>
          <w:kern w:val="0"/>
          <w:szCs w:val="21"/>
        </w:rPr>
        <w:t>字样。</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投标人在递交投标文件后，可以撤回其投标，但投标人必须在规定的投标截止时间前以书面形式告知招标人。</w:t>
      </w:r>
    </w:p>
    <w:p>
      <w:pPr>
        <w:pStyle w:val="80"/>
        <w:numPr>
          <w:ilvl w:val="1"/>
          <w:numId w:val="5"/>
        </w:numPr>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投标人不得在投标有效期内撤销投标文件，否则投标人将承担违背投标承诺函的责任追究。</w:t>
      </w:r>
    </w:p>
    <w:p>
      <w:pPr>
        <w:pStyle w:val="80"/>
        <w:numPr>
          <w:ilvl w:val="0"/>
          <w:numId w:val="5"/>
        </w:numPr>
        <w:autoSpaceDE w:val="0"/>
        <w:autoSpaceDN w:val="0"/>
        <w:spacing w:line="360" w:lineRule="auto"/>
        <w:ind w:firstLineChars="0"/>
        <w:contextualSpacing/>
        <w:rPr>
          <w:rFonts w:ascii="宋体" w:hAnsi="宋体" w:cs="宋体"/>
          <w:b/>
          <w:color w:val="auto"/>
          <w:kern w:val="0"/>
          <w:szCs w:val="21"/>
        </w:rPr>
      </w:pPr>
      <w:r>
        <w:rPr>
          <w:rFonts w:hint="eastAsia" w:ascii="宋体" w:hAnsi="宋体" w:cs="宋体"/>
          <w:b/>
          <w:color w:val="auto"/>
          <w:kern w:val="0"/>
          <w:szCs w:val="21"/>
        </w:rPr>
        <w:t>除投标人须知前附表另有规定外，投标人所提交的电子投标文件不予退还。</w:t>
      </w:r>
    </w:p>
    <w:p>
      <w:pPr>
        <w:tabs>
          <w:tab w:val="left" w:pos="1260"/>
        </w:tabs>
        <w:autoSpaceDE w:val="0"/>
        <w:autoSpaceDN w:val="0"/>
        <w:adjustRightInd w:val="0"/>
        <w:snapToGrid w:val="0"/>
        <w:spacing w:before="240" w:line="360" w:lineRule="auto"/>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五、开标和评标</w:t>
      </w:r>
    </w:p>
    <w:p>
      <w:pPr>
        <w:pStyle w:val="80"/>
        <w:numPr>
          <w:ilvl w:val="0"/>
          <w:numId w:val="5"/>
        </w:numPr>
        <w:autoSpaceDE w:val="0"/>
        <w:autoSpaceDN w:val="0"/>
        <w:spacing w:line="360" w:lineRule="auto"/>
        <w:ind w:firstLineChars="0"/>
        <w:contextualSpacing/>
        <w:rPr>
          <w:rFonts w:ascii="宋体" w:hAnsi="宋体" w:cs="宋体"/>
          <w:b/>
          <w:color w:val="auto"/>
          <w:kern w:val="0"/>
          <w:szCs w:val="21"/>
        </w:rPr>
      </w:pPr>
      <w:r>
        <w:rPr>
          <w:rFonts w:hint="eastAsia" w:ascii="宋体" w:hAnsi="宋体" w:cs="宋体"/>
          <w:b/>
          <w:color w:val="auto"/>
          <w:kern w:val="0"/>
          <w:szCs w:val="21"/>
        </w:rPr>
        <w:t>开标</w:t>
      </w:r>
    </w:p>
    <w:p>
      <w:pPr>
        <w:pStyle w:val="80"/>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23.1本项目采用“远程不见面”开标方式,投标人应当在开标时间前使用CA数字证书登录交易系统远程开标大厅在线准时参加开标活动并进行投标文件远程解密、在线提异议（质疑）及电子签章等；采购代理机构在开标时间前到达指定地点使用CA数字证书登录交易系统远程开标大厅，做好开标前各项准备。</w:t>
      </w:r>
    </w:p>
    <w:p>
      <w:pPr>
        <w:pStyle w:val="80"/>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23.2 投标截止时间到达时，采购代理机构点击“开标”按钮，开标开始，各投标人可以远程进行解密投标文件，解密时限为60分钟。投标人未进行解密或未按规定进行解密的，视为放弃投标。待全部投标人解密完成后，采购人（代理机构）进行一键解密。</w:t>
      </w:r>
    </w:p>
    <w:p>
      <w:pPr>
        <w:pStyle w:val="80"/>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23.3 解密完成后，投标人可点击“开标记录”查看各投标人投标报价等信息，对开标过程或有关内容有异议（质疑）的，按照《许昌市不见面开标操作手册》在本项目不见面开标大厅“文字互动”对话框或“新增质疑”处在线询问和发起异议（质疑），采购人（代理机构）在线进行回复。</w:t>
      </w:r>
    </w:p>
    <w:p>
      <w:pPr>
        <w:pStyle w:val="80"/>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23.4如无投标人提出异议，采购代理机构通过“文字互动”对话框通知各投标人进行电子签章。投标人应在《开标记录表》上进行电子签章，未进行电子签章的视为对开标结果无异议。</w:t>
      </w:r>
    </w:p>
    <w:p>
      <w:pPr>
        <w:pStyle w:val="80"/>
        <w:autoSpaceDE w:val="0"/>
        <w:autoSpaceDN w:val="0"/>
        <w:spacing w:line="360" w:lineRule="auto"/>
        <w:ind w:firstLineChars="0"/>
        <w:contextualSpacing/>
        <w:rPr>
          <w:rFonts w:ascii="宋体" w:hAnsi="宋体" w:cs="宋体"/>
          <w:color w:val="auto"/>
          <w:kern w:val="0"/>
          <w:szCs w:val="21"/>
        </w:rPr>
      </w:pPr>
      <w:r>
        <w:rPr>
          <w:rFonts w:hint="eastAsia" w:ascii="宋体" w:hAnsi="宋体" w:cs="宋体"/>
          <w:color w:val="auto"/>
          <w:kern w:val="0"/>
          <w:szCs w:val="21"/>
        </w:rPr>
        <w:t>23.5采购人（代理机构）签章并上传《开标记录表》，不见面开标活动结束。</w:t>
      </w:r>
    </w:p>
    <w:p>
      <w:pPr>
        <w:pStyle w:val="80"/>
        <w:numPr>
          <w:ilvl w:val="0"/>
          <w:numId w:val="5"/>
        </w:numPr>
        <w:autoSpaceDE w:val="0"/>
        <w:autoSpaceDN w:val="0"/>
        <w:spacing w:line="360" w:lineRule="auto"/>
        <w:ind w:firstLineChars="0"/>
        <w:contextualSpacing/>
        <w:jc w:val="left"/>
        <w:rPr>
          <w:rFonts w:ascii="宋体" w:hAnsi="宋体" w:cs="宋体"/>
          <w:b/>
          <w:color w:val="auto"/>
          <w:kern w:val="0"/>
          <w:szCs w:val="21"/>
        </w:rPr>
      </w:pPr>
      <w:r>
        <w:rPr>
          <w:rFonts w:hint="eastAsia" w:ascii="宋体" w:hAnsi="宋体" w:cs="宋体"/>
          <w:b/>
          <w:color w:val="auto"/>
          <w:kern w:val="0"/>
          <w:szCs w:val="21"/>
        </w:rPr>
        <w:t>资格审查</w:t>
      </w:r>
    </w:p>
    <w:p>
      <w:pPr>
        <w:autoSpaceDE w:val="0"/>
        <w:autoSpaceDN w:val="0"/>
        <w:spacing w:line="360" w:lineRule="auto"/>
        <w:contextualSpacing/>
        <w:jc w:val="left"/>
        <w:rPr>
          <w:rFonts w:ascii="宋体" w:hAnsi="宋体" w:cs="宋体"/>
          <w:color w:val="auto"/>
          <w:kern w:val="0"/>
          <w:szCs w:val="21"/>
        </w:rPr>
      </w:pPr>
      <w:r>
        <w:rPr>
          <w:rFonts w:hint="eastAsia" w:ascii="宋体" w:hAnsi="宋体" w:cs="宋体"/>
          <w:color w:val="auto"/>
          <w:kern w:val="0"/>
          <w:szCs w:val="21"/>
        </w:rPr>
        <w:t>开标结束后，采购人依法对投标人的资格进行审查。合格投标人不足3家的，不得评标。</w:t>
      </w:r>
    </w:p>
    <w:p>
      <w:pPr>
        <w:autoSpaceDE w:val="0"/>
        <w:autoSpaceDN w:val="0"/>
        <w:adjustRightInd w:val="0"/>
        <w:snapToGrid w:val="0"/>
        <w:spacing w:line="360" w:lineRule="auto"/>
        <w:rPr>
          <w:rFonts w:cs="宋体" w:asciiTheme="minorEastAsia" w:hAnsiTheme="minorEastAsia"/>
          <w:b/>
          <w:color w:val="auto"/>
          <w:kern w:val="0"/>
          <w:szCs w:val="21"/>
        </w:rPr>
      </w:pPr>
      <w:r>
        <w:rPr>
          <w:rFonts w:hint="eastAsia" w:cs="宋体" w:asciiTheme="minorEastAsia" w:hAnsiTheme="minorEastAsia"/>
          <w:b/>
          <w:color w:val="auto"/>
          <w:kern w:val="0"/>
          <w:szCs w:val="21"/>
        </w:rPr>
        <w:t>25.</w:t>
      </w:r>
      <w:r>
        <w:rPr>
          <w:rFonts w:hint="eastAsia" w:cs="宋体" w:asciiTheme="minorEastAsia" w:hAnsiTheme="minorEastAsia"/>
          <w:b/>
          <w:color w:val="auto"/>
          <w:kern w:val="0"/>
          <w:sz w:val="24"/>
          <w:szCs w:val="24"/>
        </w:rPr>
        <w:t>资格</w:t>
      </w:r>
      <w:r>
        <w:rPr>
          <w:rFonts w:hint="eastAsia" w:cs="宋体" w:asciiTheme="minorEastAsia" w:hAnsiTheme="minorEastAsia"/>
          <w:b/>
          <w:color w:val="auto"/>
          <w:kern w:val="0"/>
          <w:szCs w:val="21"/>
        </w:rPr>
        <w:t>审查</w:t>
      </w:r>
    </w:p>
    <w:p>
      <w:pPr>
        <w:autoSpaceDE w:val="0"/>
        <w:autoSpaceDN w:val="0"/>
        <w:adjustRightInd w:val="0"/>
        <w:snapToGrid w:val="0"/>
        <w:spacing w:line="360" w:lineRule="auto"/>
        <w:rPr>
          <w:rFonts w:cs="宋体" w:asciiTheme="minorEastAsia" w:hAnsiTheme="minorEastAsia"/>
          <w:b/>
          <w:color w:val="auto"/>
          <w:kern w:val="0"/>
          <w:szCs w:val="21"/>
        </w:rPr>
      </w:pPr>
      <w:r>
        <w:rPr>
          <w:rFonts w:hint="eastAsia" w:cs="宋体" w:asciiTheme="minorEastAsia" w:hAnsiTheme="minorEastAsia"/>
          <w:color w:val="auto"/>
          <w:kern w:val="0"/>
          <w:szCs w:val="21"/>
        </w:rPr>
        <w:t>开标结束后，采购人(采购代理机构)依法对投标人的资格进行审查。合格投标人不足3家的，不得评标。</w:t>
      </w:r>
    </w:p>
    <w:p>
      <w:pPr>
        <w:autoSpaceDE w:val="0"/>
        <w:autoSpaceDN w:val="0"/>
        <w:adjustRightInd w:val="0"/>
        <w:snapToGrid w:val="0"/>
        <w:spacing w:line="360" w:lineRule="auto"/>
        <w:rPr>
          <w:rFonts w:cs="宋体" w:asciiTheme="minorEastAsia" w:hAnsiTheme="minorEastAsia"/>
          <w:b/>
          <w:color w:val="auto"/>
          <w:kern w:val="0"/>
          <w:szCs w:val="21"/>
        </w:rPr>
      </w:pPr>
      <w:r>
        <w:rPr>
          <w:rFonts w:hint="eastAsia" w:cs="宋体" w:asciiTheme="minorEastAsia" w:hAnsiTheme="minorEastAsia"/>
          <w:b/>
          <w:color w:val="auto"/>
          <w:kern w:val="0"/>
          <w:szCs w:val="21"/>
        </w:rPr>
        <w:t>26.评标委员会的组成</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26.1 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采购项目符合下列情形之一的，评标委员会成员人数应当为7人以上单数：</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（1）采购预算金额在1000万元以上；</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（2）技术复杂；</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（3）社会影响较大。</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26.2 评审专家对本单位的采购项目只能作为采购人代表参与评标。采购代理机构工作人员不得参加由本机构代理的政府采购项目的评标。</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26.3 评审专家与投标人存在下列利害关系之一的,应当回避:</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(1)参加采购活动前三年内,与供应商存在劳动关系,或者担任过供应商的董事、监事,或者是供应商的控股股东或实际控制人；</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(2)与供应商的法定代表人或者负责人有夫妻、直系血亲、三代以内旁系血亲或者近姻亲关系；</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(3)与供应商有其他可能影响政府采购活动公平、公正进行的关系。</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26.4 评审专家发现本人与参加采购活动的供应商有利害关系的,应当主动提出回避。采购人或者代理机构发现评审专家与参加采购活动的供应商有利害关系的,应当要求其回避。</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26.5 采购人不得担任评标小组长。</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26.6 采购人可以在评标前说明项目背景和采购需求，说明内容不得含有歧视性、倾向性意见，不得超出招标文件所述范围。说明应当提交书面材料，并随采购文件一并存档。</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26.7 评标委员会成员名单在评标结果公告前应当保密。</w:t>
      </w:r>
    </w:p>
    <w:p>
      <w:pPr>
        <w:autoSpaceDE w:val="0"/>
        <w:autoSpaceDN w:val="0"/>
        <w:adjustRightInd w:val="0"/>
        <w:snapToGrid w:val="0"/>
        <w:spacing w:line="360" w:lineRule="auto"/>
        <w:rPr>
          <w:rFonts w:cs="宋体" w:asciiTheme="minorEastAsia" w:hAnsiTheme="minorEastAsia"/>
          <w:b/>
          <w:color w:val="auto"/>
          <w:kern w:val="0"/>
          <w:szCs w:val="21"/>
        </w:rPr>
      </w:pPr>
      <w:r>
        <w:rPr>
          <w:rFonts w:hint="eastAsia" w:cs="宋体" w:asciiTheme="minorEastAsia" w:hAnsiTheme="minorEastAsia"/>
          <w:b/>
          <w:color w:val="auto"/>
          <w:kern w:val="0"/>
          <w:szCs w:val="21"/>
        </w:rPr>
        <w:t>27.符合性审查</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27.1 评标委员会依据有关法律法规和招标文件的规定，对符合资格的投标人的投标文件进行符合性审查，以确定其是否满足招标文件的实质性要求。</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27.2 审查、评价投标文件是否符合招标文件的商务、技术等实质性要求。</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27.3 可要求投标人对投标文件有关事项作出澄清或者说明。</w:t>
      </w:r>
    </w:p>
    <w:p>
      <w:pPr>
        <w:autoSpaceDE w:val="0"/>
        <w:autoSpaceDN w:val="0"/>
        <w:adjustRightInd w:val="0"/>
        <w:snapToGrid w:val="0"/>
        <w:spacing w:line="360" w:lineRule="auto"/>
        <w:rPr>
          <w:rFonts w:cs="宋体" w:asciiTheme="minorEastAsia" w:hAnsiTheme="minorEastAsia"/>
          <w:b/>
          <w:color w:val="auto"/>
          <w:kern w:val="0"/>
          <w:szCs w:val="21"/>
        </w:rPr>
      </w:pPr>
      <w:r>
        <w:rPr>
          <w:rFonts w:hint="eastAsia" w:cs="宋体" w:asciiTheme="minorEastAsia" w:hAnsiTheme="minorEastAsia"/>
          <w:b/>
          <w:color w:val="auto"/>
          <w:kern w:val="0"/>
          <w:szCs w:val="21"/>
        </w:rPr>
        <w:t>28.投标文件的澄清</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28.1 对于投标文件中含义不明确、同类问题表述不一致或者有明显文字和计算错误的内容，评标委员会应当以书面形式要求投标人作出必要的澄清、说明或者补正。</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28.2 投标人的澄清、说明或者补正应当采用书面形式，并加盖公章，或者由法定代表人或其授权的代表签字。投标人的澄清、说明或者补正不得超出投标文件的范围或者改变投标文件的实质性内容。</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28.3 投标人的澄清文件是其投标文件的组成部分。</w:t>
      </w:r>
    </w:p>
    <w:p>
      <w:pPr>
        <w:autoSpaceDE w:val="0"/>
        <w:autoSpaceDN w:val="0"/>
        <w:adjustRightInd w:val="0"/>
        <w:snapToGrid w:val="0"/>
        <w:spacing w:line="360" w:lineRule="auto"/>
        <w:rPr>
          <w:rFonts w:cs="宋体" w:asciiTheme="minorEastAsia" w:hAnsiTheme="minorEastAsia"/>
          <w:b/>
          <w:color w:val="auto"/>
          <w:kern w:val="0"/>
          <w:szCs w:val="21"/>
        </w:rPr>
      </w:pPr>
      <w:r>
        <w:rPr>
          <w:rFonts w:hint="eastAsia" w:cs="宋体" w:asciiTheme="minorEastAsia" w:hAnsiTheme="minorEastAsia"/>
          <w:b/>
          <w:color w:val="auto"/>
          <w:kern w:val="0"/>
          <w:szCs w:val="21"/>
        </w:rPr>
        <w:t>29.投标文件报价出现前后不一致的修正</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29.1 投标文件中开标一览表(报价表)内容与投标文件中相应内容不一致的，以开标一览表(报价表)为准；</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29.2 大写金额和小写金额不一致的，以大写金额为准；</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29.3 单价金额小数点或者百分比有明显错位的，以开标一览表的总价为准，并修改单价；</w:t>
      </w:r>
    </w:p>
    <w:p>
      <w:pPr>
        <w:autoSpaceDE w:val="0"/>
        <w:autoSpaceDN w:val="0"/>
        <w:adjustRightInd w:val="0"/>
        <w:snapToGrid w:val="0"/>
        <w:spacing w:line="360" w:lineRule="auto"/>
        <w:rPr>
          <w:rFonts w:cs="宋体" w:asciiTheme="minorEastAsia" w:hAnsiTheme="minorEastAsia"/>
          <w:b/>
          <w:color w:val="auto"/>
          <w:kern w:val="0"/>
          <w:szCs w:val="21"/>
        </w:rPr>
      </w:pPr>
      <w:r>
        <w:rPr>
          <w:rFonts w:hint="eastAsia" w:cs="宋体" w:asciiTheme="minorEastAsia" w:hAnsiTheme="minorEastAsia"/>
          <w:color w:val="auto"/>
          <w:kern w:val="0"/>
          <w:szCs w:val="21"/>
        </w:rPr>
        <w:t>29.4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autoSpaceDE w:val="0"/>
        <w:autoSpaceDN w:val="0"/>
        <w:adjustRightInd w:val="0"/>
        <w:snapToGrid w:val="0"/>
        <w:spacing w:line="360" w:lineRule="auto"/>
        <w:rPr>
          <w:rFonts w:cs="宋体" w:asciiTheme="minorEastAsia" w:hAnsiTheme="minorEastAsia"/>
          <w:b/>
          <w:color w:val="auto"/>
          <w:kern w:val="0"/>
          <w:szCs w:val="21"/>
        </w:rPr>
      </w:pPr>
      <w:r>
        <w:rPr>
          <w:rFonts w:hint="eastAsia" w:cs="宋体" w:asciiTheme="minorEastAsia" w:hAnsiTheme="minorEastAsia"/>
          <w:b/>
          <w:color w:val="auto"/>
          <w:kern w:val="0"/>
          <w:szCs w:val="21"/>
        </w:rPr>
        <w:t>30.投标无效情形</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30.1 投标文件属下列情况之一的，按照无效投标处理：</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(1)投标文件未按招标文件要求签署、盖章的；</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(2)不具备招标文件中规定的资格要求的；</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(3)报价超过招标文件中规定的预算金额或者最高限价的；</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(4)</w:t>
      </w:r>
      <w:r>
        <w:rPr>
          <w:rFonts w:cs="宋体" w:asciiTheme="minorEastAsia" w:hAnsiTheme="minorEastAsia"/>
          <w:color w:val="auto"/>
          <w:kern w:val="0"/>
          <w:szCs w:val="21"/>
        </w:rPr>
        <w:t>投标文件含有采购人不能接受的附加条件的</w:t>
      </w:r>
      <w:r>
        <w:rPr>
          <w:rFonts w:hint="eastAsia" w:cs="宋体" w:asciiTheme="minorEastAsia" w:hAnsiTheme="minorEastAsia"/>
          <w:color w:val="auto"/>
          <w:kern w:val="0"/>
          <w:szCs w:val="21"/>
        </w:rPr>
        <w:t>。</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30.2 有下列情形之一的，视为投标人串通投标，其投标无效：</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(1)不同投标人的投标文件由同一单位或者个人编制；</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(2)不同投标人委托同一单位或者个人办理投标事宜；</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(3)不同投标人的投标文件载明的项目管理成员或者联系人员为同一人；</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(4)不同投标人的投标文件异常一致或者投标报价呈规律性差异；</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(5)不同投标人的投标文件相互混装；</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30.3 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30.4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autoSpaceDE w:val="0"/>
        <w:autoSpaceDN w:val="0"/>
        <w:adjustRightInd w:val="0"/>
        <w:snapToGrid w:val="0"/>
        <w:spacing w:line="360" w:lineRule="auto"/>
        <w:rPr>
          <w:rFonts w:cs="宋体" w:asciiTheme="minorEastAsia" w:hAnsiTheme="minorEastAsia"/>
          <w:b/>
          <w:color w:val="auto"/>
          <w:kern w:val="0"/>
          <w:szCs w:val="21"/>
        </w:rPr>
      </w:pPr>
      <w:r>
        <w:rPr>
          <w:rFonts w:hint="eastAsia" w:cs="宋体" w:asciiTheme="minorEastAsia" w:hAnsiTheme="minorEastAsia"/>
          <w:b/>
          <w:color w:val="auto"/>
          <w:kern w:val="0"/>
          <w:szCs w:val="21"/>
        </w:rPr>
        <w:t>30.5 按照《关于推进全流程电子化交易和在线监管工作有关问题的通知》（许公管办[2019]3号）规定，不同投标人电子投标文件记录的网卡MAC地址、CPU序号、硬盘序列号等硬件特征码均相同时,视为‘不同投标人的投标文件由同一单位或者个人编制’或‘不同投标人委托同一单位或者个人办理响应事宜’，其投标无效。</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 xml:space="preserve">30.6 </w:t>
      </w:r>
      <w:r>
        <w:rPr>
          <w:rFonts w:cs="宋体" w:asciiTheme="minorEastAsia" w:hAnsiTheme="minorEastAsia"/>
          <w:color w:val="auto"/>
          <w:kern w:val="0"/>
          <w:szCs w:val="21"/>
        </w:rPr>
        <w:t>法律、法规和招标文件规定的其他无效情形。</w:t>
      </w:r>
    </w:p>
    <w:p>
      <w:pPr>
        <w:autoSpaceDE w:val="0"/>
        <w:autoSpaceDN w:val="0"/>
        <w:adjustRightInd w:val="0"/>
        <w:snapToGrid w:val="0"/>
        <w:spacing w:line="360" w:lineRule="auto"/>
        <w:rPr>
          <w:rFonts w:cs="宋体" w:asciiTheme="minorEastAsia" w:hAnsiTheme="minorEastAsia"/>
          <w:b/>
          <w:color w:val="auto"/>
          <w:kern w:val="0"/>
          <w:szCs w:val="21"/>
        </w:rPr>
      </w:pPr>
      <w:r>
        <w:rPr>
          <w:rFonts w:hint="eastAsia" w:cs="宋体" w:asciiTheme="minorEastAsia" w:hAnsiTheme="minorEastAsia"/>
          <w:b/>
          <w:color w:val="auto"/>
          <w:kern w:val="0"/>
          <w:szCs w:val="21"/>
        </w:rPr>
        <w:t>31.相同品牌投标人的认定</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31.1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31.2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autoSpaceDE w:val="0"/>
        <w:autoSpaceDN w:val="0"/>
        <w:adjustRightInd w:val="0"/>
        <w:snapToGrid w:val="0"/>
        <w:spacing w:line="360" w:lineRule="auto"/>
        <w:rPr>
          <w:rFonts w:cs="宋体" w:asciiTheme="minorEastAsia" w:hAnsiTheme="minorEastAsia"/>
          <w:b/>
          <w:color w:val="auto"/>
          <w:kern w:val="0"/>
          <w:szCs w:val="21"/>
        </w:rPr>
      </w:pPr>
      <w:r>
        <w:rPr>
          <w:rFonts w:hint="eastAsia" w:cs="宋体" w:asciiTheme="minorEastAsia" w:hAnsiTheme="minorEastAsia"/>
          <w:b/>
          <w:color w:val="auto"/>
          <w:kern w:val="0"/>
          <w:szCs w:val="21"/>
        </w:rPr>
        <w:t>32.投标文件的比较与评价</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评标委员会按照招标文件中规定的评标方法和标准，对符合性审查合格的投标文件进行商务和技术评估，综合比较与评价。</w:t>
      </w:r>
    </w:p>
    <w:p>
      <w:pPr>
        <w:autoSpaceDE w:val="0"/>
        <w:autoSpaceDN w:val="0"/>
        <w:adjustRightInd w:val="0"/>
        <w:snapToGrid w:val="0"/>
        <w:spacing w:line="360" w:lineRule="auto"/>
        <w:rPr>
          <w:rFonts w:cs="宋体" w:asciiTheme="minorEastAsia" w:hAnsiTheme="minorEastAsia"/>
          <w:b/>
          <w:color w:val="auto"/>
          <w:kern w:val="0"/>
          <w:szCs w:val="21"/>
        </w:rPr>
      </w:pPr>
      <w:r>
        <w:rPr>
          <w:rFonts w:hint="eastAsia" w:cs="宋体" w:asciiTheme="minorEastAsia" w:hAnsiTheme="minorEastAsia"/>
          <w:b/>
          <w:color w:val="auto"/>
          <w:kern w:val="0"/>
          <w:szCs w:val="21"/>
        </w:rPr>
        <w:t>33.评标方法、评标标准</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33.1 评标方法分为最低评标价法和综合评分法。</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（1）最低评标价法</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a. 最低评标价法，是指投标文件满足招标文件全部实质性要求，且投标报价最低的投标人为中标候选人的评标方法。</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b. 采用最低评标价法评标时，除了算术修正和落实政府采购政策需进行的价格扣除外，不能对投标人的投标价格进行任何调整。</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（2）综合评分法，是指投标文件满足招标文件全部实质性要求，且按照评审因素的量化指标评审得分最高的投标人为中标候选人的评标方法。</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33.2 价格分</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（1）价格分采用低价优先法计算，即满足招标文件要求且投标价格最低的投标报价为评标基准价，其价格分为满分。其他投标人的价格分统一按照下列公式计算：</w:t>
      </w:r>
    </w:p>
    <w:p>
      <w:pPr>
        <w:autoSpaceDE w:val="0"/>
        <w:autoSpaceDN w:val="0"/>
        <w:adjustRightInd w:val="0"/>
        <w:snapToGrid w:val="0"/>
        <w:spacing w:line="360" w:lineRule="auto"/>
        <w:ind w:left="964"/>
        <w:rPr>
          <w:rFonts w:cs="宋体" w:asciiTheme="minorEastAsia" w:hAnsiTheme="minorEastAsia"/>
          <w:color w:val="auto"/>
          <w:kern w:val="0"/>
          <w:szCs w:val="21"/>
        </w:rPr>
      </w:pPr>
      <w:r>
        <w:rPr>
          <w:rFonts w:hint="eastAsia" w:cs="宋体" w:asciiTheme="minorEastAsia" w:hAnsiTheme="minorEastAsia"/>
          <w:color w:val="auto"/>
          <w:kern w:val="0"/>
          <w:szCs w:val="21"/>
        </w:rPr>
        <w:t>投标报价得分=(评标基准价/投标报价)×100</w:t>
      </w:r>
    </w:p>
    <w:p>
      <w:pPr>
        <w:autoSpaceDE w:val="0"/>
        <w:autoSpaceDN w:val="0"/>
        <w:adjustRightInd w:val="0"/>
        <w:snapToGrid w:val="0"/>
        <w:spacing w:line="360" w:lineRule="auto"/>
        <w:ind w:left="964"/>
        <w:rPr>
          <w:rFonts w:cs="宋体" w:asciiTheme="minorEastAsia" w:hAnsiTheme="minorEastAsia"/>
          <w:color w:val="auto"/>
          <w:kern w:val="0"/>
          <w:szCs w:val="21"/>
        </w:rPr>
      </w:pPr>
      <w:r>
        <w:rPr>
          <w:rFonts w:hint="eastAsia" w:cs="宋体" w:asciiTheme="minorEastAsia" w:hAnsiTheme="minorEastAsia"/>
          <w:color w:val="auto"/>
          <w:kern w:val="0"/>
          <w:szCs w:val="21"/>
        </w:rPr>
        <w:t>评标总得分=F1×A1+F2×A2+……+Fn×An</w:t>
      </w:r>
    </w:p>
    <w:p>
      <w:pPr>
        <w:autoSpaceDE w:val="0"/>
        <w:autoSpaceDN w:val="0"/>
        <w:adjustRightInd w:val="0"/>
        <w:snapToGrid w:val="0"/>
        <w:spacing w:line="360" w:lineRule="auto"/>
        <w:ind w:left="964"/>
        <w:rPr>
          <w:rFonts w:cs="宋体" w:asciiTheme="minorEastAsia" w:hAnsiTheme="minorEastAsia"/>
          <w:color w:val="auto"/>
          <w:kern w:val="0"/>
          <w:szCs w:val="21"/>
        </w:rPr>
      </w:pPr>
      <w:r>
        <w:rPr>
          <w:rFonts w:hint="eastAsia" w:cs="宋体" w:asciiTheme="minorEastAsia" w:hAnsiTheme="minorEastAsia"/>
          <w:color w:val="auto"/>
          <w:kern w:val="0"/>
          <w:szCs w:val="21"/>
        </w:rPr>
        <w:t>F1、F2……Fn分别为各项评审因素的得分;</w:t>
      </w:r>
    </w:p>
    <w:p>
      <w:pPr>
        <w:autoSpaceDE w:val="0"/>
        <w:autoSpaceDN w:val="0"/>
        <w:adjustRightInd w:val="0"/>
        <w:snapToGrid w:val="0"/>
        <w:spacing w:line="360" w:lineRule="auto"/>
        <w:ind w:left="964"/>
        <w:rPr>
          <w:rFonts w:cs="宋体" w:asciiTheme="minorEastAsia" w:hAnsiTheme="minorEastAsia"/>
          <w:color w:val="auto"/>
          <w:kern w:val="0"/>
          <w:szCs w:val="21"/>
        </w:rPr>
      </w:pPr>
      <w:r>
        <w:rPr>
          <w:rFonts w:hint="eastAsia" w:cs="宋体" w:asciiTheme="minorEastAsia" w:hAnsiTheme="minorEastAsia"/>
          <w:color w:val="auto"/>
          <w:kern w:val="0"/>
          <w:szCs w:val="21"/>
        </w:rPr>
        <w:t>A1、A2、……An 分别为各项评审因素所占的权重(A1+A2+……+An=1)。</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（2）评标过程中，不得去掉报价中的最高报价和最低报价。</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（3）因落实政府采购政策进行价格调整的，以调整后的价格计算评标基准价和投标报价。</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33.3 本次评标具体评标方法、评标标准见（第六章 资格审查与评标）。</w:t>
      </w:r>
    </w:p>
    <w:p>
      <w:pPr>
        <w:autoSpaceDE w:val="0"/>
        <w:autoSpaceDN w:val="0"/>
        <w:adjustRightInd w:val="0"/>
        <w:snapToGrid w:val="0"/>
        <w:spacing w:line="360" w:lineRule="auto"/>
        <w:rPr>
          <w:rFonts w:cs="宋体" w:asciiTheme="minorEastAsia" w:hAnsiTheme="minorEastAsia"/>
          <w:b/>
          <w:color w:val="auto"/>
          <w:kern w:val="0"/>
          <w:szCs w:val="21"/>
        </w:rPr>
      </w:pPr>
      <w:r>
        <w:rPr>
          <w:rFonts w:hint="eastAsia" w:cs="宋体" w:asciiTheme="minorEastAsia" w:hAnsiTheme="minorEastAsia"/>
          <w:b/>
          <w:color w:val="auto"/>
          <w:kern w:val="0"/>
          <w:szCs w:val="21"/>
        </w:rPr>
        <w:t>34.推荐中标候选人</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34.1 采用最低评标价法的，评标结果按投标报价由低到高顺序排列。投标报价相同的并列。投标文件满足招标文件全部实质性要求且投标报价最低的投标人为排名第一的中标候选人。</w:t>
      </w:r>
    </w:p>
    <w:p>
      <w:pPr>
        <w:autoSpaceDE w:val="0"/>
        <w:autoSpaceDN w:val="0"/>
        <w:adjustRightInd w:val="0"/>
        <w:snapToGrid w:val="0"/>
        <w:spacing w:line="360" w:lineRule="auto"/>
        <w:rPr>
          <w:rFonts w:cs="宋体" w:asciiTheme="minorEastAsia" w:hAnsiTheme="minorEastAsia"/>
          <w:b/>
          <w:color w:val="auto"/>
          <w:kern w:val="0"/>
          <w:szCs w:val="21"/>
        </w:rPr>
      </w:pPr>
      <w:r>
        <w:rPr>
          <w:rFonts w:hint="eastAsia" w:cs="宋体" w:asciiTheme="minorEastAsia" w:hAnsiTheme="minorEastAsia"/>
          <w:color w:val="auto"/>
          <w:kern w:val="0"/>
          <w:szCs w:val="21"/>
        </w:rPr>
        <w:t>34.2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autoSpaceDE w:val="0"/>
        <w:autoSpaceDN w:val="0"/>
        <w:adjustRightInd w:val="0"/>
        <w:snapToGrid w:val="0"/>
        <w:spacing w:line="360" w:lineRule="auto"/>
        <w:rPr>
          <w:rFonts w:cs="宋体" w:asciiTheme="minorEastAsia" w:hAnsiTheme="minorEastAsia"/>
          <w:b/>
          <w:color w:val="auto"/>
          <w:kern w:val="0"/>
          <w:szCs w:val="21"/>
        </w:rPr>
      </w:pPr>
      <w:r>
        <w:rPr>
          <w:rFonts w:hint="eastAsia" w:cs="宋体" w:asciiTheme="minorEastAsia" w:hAnsiTheme="minorEastAsia"/>
          <w:b/>
          <w:color w:val="auto"/>
          <w:kern w:val="0"/>
          <w:szCs w:val="21"/>
        </w:rPr>
        <w:t>35.评审意见无效情形</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评标委员会及其成员有下列行为之一的，其评审意见无效：</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(1)确定参与评标至评标结束前私自接触投标人；</w:t>
      </w:r>
    </w:p>
    <w:p>
      <w:pPr>
        <w:autoSpaceDE w:val="0"/>
        <w:autoSpaceDN w:val="0"/>
        <w:adjustRightInd w:val="0"/>
        <w:snapToGrid w:val="0"/>
        <w:spacing w:line="360" w:lineRule="auto"/>
        <w:rPr>
          <w:rFonts w:cs="宋体" w:asciiTheme="minorEastAsia" w:hAnsiTheme="minorEastAsia"/>
          <w:color w:val="auto"/>
          <w:spacing w:val="-4"/>
          <w:kern w:val="0"/>
          <w:szCs w:val="21"/>
        </w:rPr>
      </w:pPr>
      <w:r>
        <w:rPr>
          <w:rFonts w:hint="eastAsia" w:cs="宋体" w:asciiTheme="minorEastAsia" w:hAnsiTheme="minorEastAsia"/>
          <w:color w:val="auto"/>
          <w:spacing w:val="-4"/>
          <w:kern w:val="0"/>
          <w:szCs w:val="21"/>
        </w:rPr>
        <w:t>(2)接受投标人提出的与投标文件不一致的澄清或者说明，《投标人须知》26条规定的情形除外；</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(3)违反评标纪律发表倾向性意见或者征询采购人的倾向性意见；</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(4)对需要专业判断的主观评审因素协商评分；</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(5)在评标过程中擅离职守，影响评标程序正常进行的；</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(6)记录、复制或者带走任何评标资料；</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(7)其他不遵守评标纪律的行为。</w:t>
      </w:r>
    </w:p>
    <w:p>
      <w:pPr>
        <w:autoSpaceDE w:val="0"/>
        <w:autoSpaceDN w:val="0"/>
        <w:adjustRightInd w:val="0"/>
        <w:snapToGrid w:val="0"/>
        <w:spacing w:line="360" w:lineRule="auto"/>
        <w:rPr>
          <w:rFonts w:cs="宋体" w:asciiTheme="minorEastAsia" w:hAnsiTheme="minorEastAsia"/>
          <w:b/>
          <w:color w:val="auto"/>
          <w:kern w:val="0"/>
          <w:szCs w:val="21"/>
        </w:rPr>
      </w:pPr>
      <w:r>
        <w:rPr>
          <w:rFonts w:hint="eastAsia" w:cs="宋体" w:asciiTheme="minorEastAsia" w:hAnsiTheme="minorEastAsia"/>
          <w:b/>
          <w:color w:val="auto"/>
          <w:kern w:val="0"/>
          <w:szCs w:val="21"/>
        </w:rPr>
        <w:t>36.保密</w:t>
      </w:r>
    </w:p>
    <w:p>
      <w:pPr>
        <w:autoSpaceDE w:val="0"/>
        <w:autoSpaceDN w:val="0"/>
        <w:adjustRightInd w:val="0"/>
        <w:snapToGrid w:val="0"/>
        <w:spacing w:line="360" w:lineRule="auto"/>
        <w:rPr>
          <w:rFonts w:cs="宋体" w:asciiTheme="minorEastAsia" w:hAnsiTheme="minorEastAsia"/>
          <w:color w:val="auto"/>
          <w:spacing w:val="-2"/>
          <w:kern w:val="0"/>
          <w:szCs w:val="21"/>
        </w:rPr>
      </w:pPr>
      <w:r>
        <w:rPr>
          <w:rFonts w:hint="eastAsia" w:cs="宋体" w:asciiTheme="minorEastAsia" w:hAnsiTheme="minorEastAsia"/>
          <w:color w:val="auto"/>
          <w:spacing w:val="-2"/>
          <w:kern w:val="0"/>
          <w:szCs w:val="21"/>
        </w:rPr>
        <w:t>36.1 评审专家应当遵守评审工作纪律，不得泄露评审文件、评审情况和评审中获悉的商业秘密。</w:t>
      </w:r>
    </w:p>
    <w:p>
      <w:pPr>
        <w:autoSpaceDE w:val="0"/>
        <w:autoSpaceDN w:val="0"/>
        <w:adjustRightInd w:val="0"/>
        <w:snapToGrid w:val="0"/>
        <w:spacing w:line="360" w:lineRule="auto"/>
        <w:rPr>
          <w:rFonts w:cs="宋体" w:asciiTheme="minorEastAsia" w:hAnsiTheme="minorEastAsia"/>
          <w:b/>
          <w:color w:val="auto"/>
          <w:kern w:val="0"/>
          <w:szCs w:val="21"/>
        </w:rPr>
      </w:pPr>
      <w:r>
        <w:rPr>
          <w:rFonts w:hint="eastAsia" w:cs="宋体" w:asciiTheme="minorEastAsia" w:hAnsiTheme="minorEastAsia"/>
          <w:color w:val="auto"/>
          <w:kern w:val="0"/>
          <w:szCs w:val="21"/>
        </w:rPr>
        <w:t>36.2 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adjustRightInd w:val="0"/>
        <w:snapToGrid w:val="0"/>
        <w:spacing w:before="240" w:line="360" w:lineRule="auto"/>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六、定标和授予合同</w:t>
      </w:r>
    </w:p>
    <w:p>
      <w:pPr>
        <w:autoSpaceDE w:val="0"/>
        <w:autoSpaceDN w:val="0"/>
        <w:adjustRightInd w:val="0"/>
        <w:snapToGrid w:val="0"/>
        <w:spacing w:line="360" w:lineRule="auto"/>
        <w:rPr>
          <w:rFonts w:cs="宋体" w:asciiTheme="minorEastAsia" w:hAnsiTheme="minorEastAsia"/>
          <w:b/>
          <w:color w:val="auto"/>
          <w:kern w:val="0"/>
          <w:szCs w:val="21"/>
        </w:rPr>
      </w:pPr>
      <w:r>
        <w:rPr>
          <w:rFonts w:hint="eastAsia" w:cs="宋体" w:asciiTheme="minorEastAsia" w:hAnsiTheme="minorEastAsia"/>
          <w:b/>
          <w:color w:val="auto"/>
          <w:kern w:val="0"/>
          <w:szCs w:val="21"/>
        </w:rPr>
        <w:t>37.确定中标人</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37.1 采购人应当自收到评标报告之日起5个工作日内，在评标报告确定的中标候选人名单中按顺序确定中标人。中标候选人并列的，由采购人采取随机抽取的方式确定。</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37.2 采购人在收到评标报告5个工作日内未按评标报告推荐的中标候选人顺序确定中标人，又不能说明合法理由的，视同按评标报告推荐的顺序确定排名第一的中标候选人为中标人。</w:t>
      </w:r>
    </w:p>
    <w:p>
      <w:pPr>
        <w:autoSpaceDE w:val="0"/>
        <w:autoSpaceDN w:val="0"/>
        <w:adjustRightInd w:val="0"/>
        <w:snapToGrid w:val="0"/>
        <w:spacing w:line="360" w:lineRule="auto"/>
        <w:rPr>
          <w:rFonts w:cs="宋体" w:asciiTheme="minorEastAsia" w:hAnsiTheme="minorEastAsia"/>
          <w:b/>
          <w:color w:val="auto"/>
          <w:kern w:val="0"/>
          <w:szCs w:val="21"/>
        </w:rPr>
      </w:pPr>
      <w:r>
        <w:rPr>
          <w:rFonts w:hint="eastAsia" w:cs="宋体" w:asciiTheme="minorEastAsia" w:hAnsiTheme="minorEastAsia"/>
          <w:b/>
          <w:color w:val="auto"/>
          <w:kern w:val="0"/>
          <w:szCs w:val="21"/>
        </w:rPr>
        <w:t>38.中标公告、发出中标通知书</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38.1 采购人确认中标人后，招标人在公告中标结果的同时，向中标人发出中标通知书。</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38.2 中标通知书发出后，采购人不得违法改变中标结果，中标人无正当理由不得放弃中标。</w:t>
      </w:r>
    </w:p>
    <w:p>
      <w:pPr>
        <w:autoSpaceDE w:val="0"/>
        <w:autoSpaceDN w:val="0"/>
        <w:adjustRightInd w:val="0"/>
        <w:snapToGrid w:val="0"/>
        <w:spacing w:line="360" w:lineRule="auto"/>
        <w:rPr>
          <w:rFonts w:cs="宋体" w:asciiTheme="minorEastAsia" w:hAnsiTheme="minorEastAsia"/>
          <w:b/>
          <w:color w:val="auto"/>
          <w:kern w:val="0"/>
          <w:szCs w:val="21"/>
        </w:rPr>
      </w:pPr>
      <w:r>
        <w:rPr>
          <w:rFonts w:hint="eastAsia" w:cs="宋体" w:asciiTheme="minorEastAsia" w:hAnsiTheme="minorEastAsia"/>
          <w:color w:val="auto"/>
          <w:kern w:val="0"/>
          <w:szCs w:val="21"/>
        </w:rPr>
        <w:t>38.3 中标人在接到中标通知时，须向代理机构发送投标报价及分项报价一览表（包含主要中标标的的名称、规格型号、数量、单价、服务要求等）电子文档，并同时通知代理机构联系人。</w:t>
      </w:r>
    </w:p>
    <w:p>
      <w:pPr>
        <w:autoSpaceDE w:val="0"/>
        <w:autoSpaceDN w:val="0"/>
        <w:adjustRightInd w:val="0"/>
        <w:snapToGrid w:val="0"/>
        <w:spacing w:line="360" w:lineRule="auto"/>
        <w:rPr>
          <w:rFonts w:cs="宋体" w:asciiTheme="minorEastAsia" w:hAnsiTheme="minorEastAsia"/>
          <w:b/>
          <w:color w:val="auto"/>
          <w:kern w:val="0"/>
          <w:szCs w:val="21"/>
        </w:rPr>
      </w:pPr>
      <w:r>
        <w:rPr>
          <w:rFonts w:hint="eastAsia" w:cs="宋体" w:asciiTheme="minorEastAsia" w:hAnsiTheme="minorEastAsia"/>
          <w:b/>
          <w:color w:val="auto"/>
          <w:kern w:val="0"/>
          <w:szCs w:val="21"/>
        </w:rPr>
        <w:t>39.质疑提出与答复</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39.1 供应商认为采购文件、采购过程和中标结果使自己的权益受到损害的，可以依法向采购人、采购代理机构提出质疑。</w:t>
      </w:r>
      <w:r>
        <w:rPr>
          <w:rFonts w:cs="宋体" w:asciiTheme="minorEastAsia" w:hAnsiTheme="minorEastAsia"/>
          <w:color w:val="auto"/>
          <w:kern w:val="0"/>
          <w:szCs w:val="21"/>
        </w:rPr>
        <w:t>提出质疑的供应商应当是参与</w:t>
      </w:r>
      <w:r>
        <w:rPr>
          <w:rFonts w:hint="eastAsia" w:cs="宋体" w:asciiTheme="minorEastAsia" w:hAnsiTheme="minorEastAsia"/>
          <w:color w:val="auto"/>
          <w:kern w:val="0"/>
          <w:szCs w:val="21"/>
        </w:rPr>
        <w:t>本</w:t>
      </w:r>
      <w:r>
        <w:rPr>
          <w:rFonts w:cs="宋体" w:asciiTheme="minorEastAsia" w:hAnsiTheme="minorEastAsia"/>
          <w:color w:val="auto"/>
          <w:kern w:val="0"/>
          <w:szCs w:val="21"/>
        </w:rPr>
        <w:t>项目采购活动的供应商。</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(1)对采购文件提出质疑的，</w:t>
      </w:r>
      <w:r>
        <w:rPr>
          <w:rFonts w:cs="宋体" w:asciiTheme="minorEastAsia" w:hAnsiTheme="minorEastAsia"/>
          <w:color w:val="auto"/>
          <w:kern w:val="0"/>
          <w:szCs w:val="21"/>
        </w:rPr>
        <w:t>潜在</w:t>
      </w:r>
      <w:r>
        <w:rPr>
          <w:rFonts w:hint="eastAsia" w:cs="宋体" w:asciiTheme="minorEastAsia" w:hAnsiTheme="minorEastAsia"/>
          <w:color w:val="auto"/>
          <w:kern w:val="0"/>
          <w:szCs w:val="21"/>
        </w:rPr>
        <w:t>投标人应</w:t>
      </w:r>
      <w:r>
        <w:rPr>
          <w:rFonts w:cs="宋体" w:asciiTheme="minorEastAsia" w:hAnsiTheme="minorEastAsia"/>
          <w:color w:val="auto"/>
          <w:kern w:val="0"/>
          <w:szCs w:val="21"/>
        </w:rPr>
        <w:t>已依法获取采购文件</w:t>
      </w:r>
      <w:r>
        <w:rPr>
          <w:rFonts w:hint="eastAsia" w:cs="宋体" w:asciiTheme="minorEastAsia" w:hAnsiTheme="minorEastAsia"/>
          <w:color w:val="auto"/>
          <w:kern w:val="0"/>
          <w:szCs w:val="21"/>
        </w:rPr>
        <w:t>，且应当在</w:t>
      </w:r>
      <w:r>
        <w:rPr>
          <w:rFonts w:cs="宋体" w:asciiTheme="minorEastAsia" w:hAnsiTheme="minorEastAsia"/>
          <w:color w:val="auto"/>
          <w:kern w:val="0"/>
          <w:szCs w:val="21"/>
        </w:rPr>
        <w:t>获取采购文件或者采购文件公告期限届满之日起7个工作日内</w:t>
      </w:r>
      <w:r>
        <w:rPr>
          <w:rFonts w:hint="eastAsia" w:cs="宋体" w:asciiTheme="minorEastAsia" w:hAnsiTheme="minorEastAsia"/>
          <w:color w:val="auto"/>
          <w:kern w:val="0"/>
          <w:szCs w:val="21"/>
        </w:rPr>
        <w:t>通过《全国公共资源交易平台（河南省·许昌市）》一次性提出，如未提出视为全面接受；</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(2)对采购过程提出质疑的，为各采购程序环节结束之日起七个工作日内，以书面形式向采购人和采购代理机构一次性提出；</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(3)对中标结果提出质疑的，为中标结果公告期限届满之日起七个工作日内，以书面形式向采购人和采购代理机构一次性提出。</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 xml:space="preserve">39.2 </w:t>
      </w:r>
      <w:r>
        <w:rPr>
          <w:rFonts w:cs="宋体" w:asciiTheme="minorEastAsia" w:hAnsiTheme="minorEastAsia"/>
          <w:color w:val="auto"/>
          <w:kern w:val="0"/>
          <w:szCs w:val="21"/>
        </w:rPr>
        <w:t>采购人、采购代理机构认为供应商质疑不成立，或者成立但未对中标结果构成影响的，继续开展采购活动；认为供应商质疑成立且影响或者可能影响中标结果的，按照下列情况处理：</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(1)</w:t>
      </w:r>
      <w:r>
        <w:rPr>
          <w:rFonts w:cs="宋体" w:asciiTheme="minorEastAsia" w:hAnsiTheme="minorEastAsia"/>
          <w:color w:val="auto"/>
          <w:kern w:val="0"/>
          <w:szCs w:val="21"/>
        </w:rPr>
        <w:t>对采购文件提出的质疑，依法通过澄清或者修改可以继续开展采购活动的，澄清或者修改采购文件后继续开展采购活动；否则应当修改采购文件后重新开展采购活动。</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(2)</w:t>
      </w:r>
      <w:r>
        <w:rPr>
          <w:rFonts w:cs="宋体" w:asciiTheme="minorEastAsia" w:hAnsiTheme="minorEastAsia"/>
          <w:color w:val="auto"/>
          <w:kern w:val="0"/>
          <w:szCs w:val="21"/>
        </w:rPr>
        <w:t>对采购过程、中标结果提出的质疑，合格供应商符合法定数量时，可以从合格的中标</w:t>
      </w:r>
      <w:r>
        <w:rPr>
          <w:rFonts w:hint="eastAsia" w:cs="宋体" w:asciiTheme="minorEastAsia" w:hAnsiTheme="minorEastAsia"/>
          <w:color w:val="auto"/>
          <w:kern w:val="0"/>
          <w:szCs w:val="21"/>
        </w:rPr>
        <w:t>候选人</w:t>
      </w:r>
      <w:r>
        <w:rPr>
          <w:rFonts w:cs="宋体" w:asciiTheme="minorEastAsia" w:hAnsiTheme="minorEastAsia"/>
          <w:color w:val="auto"/>
          <w:kern w:val="0"/>
          <w:szCs w:val="21"/>
        </w:rPr>
        <w:t>中另行确定中标供应商的，应当依法另行确定中标供应商；否则应当重新开展采购活动。</w:t>
      </w:r>
    </w:p>
    <w:p>
      <w:pPr>
        <w:autoSpaceDE w:val="0"/>
        <w:autoSpaceDN w:val="0"/>
        <w:adjustRightInd w:val="0"/>
        <w:snapToGrid w:val="0"/>
        <w:spacing w:line="360" w:lineRule="auto"/>
        <w:rPr>
          <w:rFonts w:cs="宋体" w:asciiTheme="minorEastAsia" w:hAnsiTheme="minorEastAsia"/>
          <w:b/>
          <w:color w:val="auto"/>
          <w:kern w:val="0"/>
          <w:szCs w:val="21"/>
        </w:rPr>
      </w:pPr>
      <w:r>
        <w:rPr>
          <w:rFonts w:hint="eastAsia" w:cs="宋体" w:asciiTheme="minorEastAsia" w:hAnsiTheme="minorEastAsia"/>
          <w:b/>
          <w:color w:val="auto"/>
          <w:kern w:val="0"/>
          <w:szCs w:val="21"/>
        </w:rPr>
        <w:t>40.签订合同</w:t>
      </w:r>
    </w:p>
    <w:p>
      <w:pPr>
        <w:autoSpaceDE w:val="0"/>
        <w:autoSpaceDN w:val="0"/>
        <w:adjustRightInd w:val="0"/>
        <w:snapToGrid w:val="0"/>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adjustRightInd w:val="0"/>
        <w:snapToGrid w:val="0"/>
        <w:spacing w:line="360" w:lineRule="auto"/>
        <w:rPr>
          <w:rFonts w:cs="宋体" w:asciiTheme="minorEastAsia" w:hAnsiTheme="minorEastAsia"/>
          <w:b/>
          <w:color w:val="auto"/>
          <w:kern w:val="0"/>
          <w:szCs w:val="21"/>
        </w:rPr>
      </w:pPr>
      <w:r>
        <w:rPr>
          <w:rFonts w:hint="eastAsia" w:cs="宋体" w:asciiTheme="minorEastAsia" w:hAnsiTheme="minorEastAsia"/>
          <w:b/>
          <w:color w:val="auto"/>
          <w:kern w:val="0"/>
          <w:szCs w:val="21"/>
        </w:rPr>
        <w:t>41.履约保证金</w:t>
      </w:r>
    </w:p>
    <w:p>
      <w:pPr>
        <w:autoSpaceDE w:val="0"/>
        <w:autoSpaceDN w:val="0"/>
        <w:adjustRightInd w:val="0"/>
        <w:snapToGrid w:val="0"/>
        <w:spacing w:line="360" w:lineRule="auto"/>
        <w:rPr>
          <w:rFonts w:cs="宋体" w:asciiTheme="majorEastAsia" w:hAnsiTheme="majorEastAsia" w:eastAsiaTheme="majorEastAsia"/>
          <w:b/>
          <w:color w:val="auto"/>
          <w:kern w:val="0"/>
          <w:sz w:val="36"/>
          <w:szCs w:val="36"/>
        </w:rPr>
      </w:pPr>
      <w:r>
        <w:rPr>
          <w:rFonts w:hint="eastAsia" w:cs="宋体" w:asciiTheme="minorEastAsia" w:hAnsiTheme="minorEastAsia"/>
          <w:color w:val="auto"/>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auto"/>
          <w:sz w:val="24"/>
          <w:szCs w:val="24"/>
        </w:rPr>
        <w:br w:type="textWrapping"/>
      </w:r>
    </w:p>
    <w:p>
      <w:pPr>
        <w:pageBreakBefore/>
        <w:numPr>
          <w:ilvl w:val="0"/>
          <w:numId w:val="4"/>
        </w:numPr>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 xml:space="preserve"> 政府采购政策功能</w:t>
      </w:r>
    </w:p>
    <w:p>
      <w:pPr>
        <w:spacing w:before="240" w:line="360" w:lineRule="auto"/>
        <w:ind w:firstLine="420" w:firstLineChars="200"/>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7"/>
        <w:spacing w:line="360" w:lineRule="auto"/>
        <w:ind w:firstLine="422" w:firstLineChars="200"/>
        <w:contextualSpacing/>
        <w:rPr>
          <w:rFonts w:cs="仿宋_GB2312" w:asciiTheme="minorEastAsia" w:hAnsiTheme="minorEastAsia"/>
          <w:b/>
          <w:color w:val="auto"/>
          <w:szCs w:val="21"/>
          <w:lang w:val="zh-CN"/>
        </w:rPr>
      </w:pPr>
      <w:r>
        <w:rPr>
          <w:rFonts w:hint="eastAsia" w:cs="仿宋_GB2312" w:asciiTheme="minorEastAsia" w:hAnsiTheme="minorEastAsia" w:eastAsiaTheme="minorEastAsia"/>
          <w:b/>
          <w:color w:val="auto"/>
          <w:sz w:val="21"/>
          <w:szCs w:val="21"/>
          <w:lang w:val="zh-CN"/>
        </w:rPr>
        <w:t>一、</w:t>
      </w:r>
      <w:r>
        <w:rPr>
          <w:rFonts w:hint="eastAsia" w:cs="仿宋_GB2312" w:asciiTheme="minorEastAsia" w:hAnsiTheme="minorEastAsia"/>
          <w:b/>
          <w:color w:val="auto"/>
          <w:szCs w:val="21"/>
          <w:lang w:val="zh-CN"/>
        </w:rPr>
        <w:t>促进中小企业发展</w:t>
      </w:r>
    </w:p>
    <w:p>
      <w:pPr>
        <w:topLinePunct/>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1、按照财政部、工业和信息化部发布的《政府采购促进中小企业发展暂行办法》（财库[2011]181号）规定，本项目为非专门面向中小企业采购的项目，对小型和微型企业投标人产品的价格给予6%-10%的扣除，用扣除后的价格参与评审。</w:t>
      </w:r>
    </w:p>
    <w:p>
      <w:pPr>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color w:val="auto"/>
          <w:szCs w:val="21"/>
          <w:lang w:val="zh-CN"/>
        </w:rPr>
      </w:pPr>
      <w:r>
        <w:rPr>
          <w:rFonts w:hint="eastAsia" w:cs="仿宋_GB2312" w:asciiTheme="minorEastAsia" w:hAnsiTheme="minorEastAsia"/>
          <w:b/>
          <w:color w:val="auto"/>
          <w:szCs w:val="21"/>
          <w:lang w:val="zh-CN"/>
        </w:rPr>
        <w:t>二、支持监狱企业发展</w:t>
      </w:r>
    </w:p>
    <w:p>
      <w:pPr>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按照财政部、司法部发布的《关于政府采购支持监狱企业发展有关问题的通知》（</w:t>
      </w:r>
      <w:bookmarkStart w:id="1" w:name="OLE_LINK6"/>
      <w:r>
        <w:rPr>
          <w:rFonts w:hint="eastAsia" w:cs="仿宋_GB2312" w:asciiTheme="minorEastAsia" w:hAnsiTheme="minorEastAsia"/>
          <w:color w:val="auto"/>
          <w:szCs w:val="21"/>
          <w:lang w:val="zh-CN"/>
        </w:rPr>
        <w:t>财库[2014]68号</w:t>
      </w:r>
      <w:bookmarkEnd w:id="1"/>
      <w:r>
        <w:rPr>
          <w:rFonts w:hint="eastAsia" w:cs="仿宋_GB2312" w:asciiTheme="minorEastAsia" w:hAnsiTheme="minorEastAsia"/>
          <w:color w:val="auto"/>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color w:val="auto"/>
          <w:szCs w:val="21"/>
          <w:lang w:val="zh-CN"/>
        </w:rPr>
      </w:pPr>
      <w:r>
        <w:rPr>
          <w:rFonts w:hint="eastAsia" w:cs="仿宋_GB2312" w:asciiTheme="minorEastAsia" w:hAnsiTheme="minorEastAsia"/>
          <w:b/>
          <w:color w:val="auto"/>
          <w:szCs w:val="21"/>
          <w:lang w:val="zh-CN"/>
        </w:rPr>
        <w:t>三、促进残疾人就业</w:t>
      </w:r>
    </w:p>
    <w:p>
      <w:pPr>
        <w:pStyle w:val="17"/>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auto"/>
          <w:sz w:val="21"/>
          <w:szCs w:val="21"/>
        </w:rPr>
        <w:t>残疾人福利性单位属于小型、微型企业的，不重复享受政策。</w:t>
      </w:r>
    </w:p>
    <w:p>
      <w:pPr>
        <w:pStyle w:val="17"/>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7"/>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3、中标人为残疾人福利性单位的，招标人应当随中标结果同时公告其《残疾人福利性单位声明函》，接受社会监督。</w:t>
      </w:r>
    </w:p>
    <w:p>
      <w:pPr>
        <w:pStyle w:val="17"/>
        <w:spacing w:line="360" w:lineRule="auto"/>
        <w:ind w:firstLine="420" w:firstLineChars="200"/>
        <w:contextualSpacing/>
        <w:rPr>
          <w:rFonts w:cs="仿宋_GB2312" w:asciiTheme="minorEastAsia" w:hAnsiTheme="minorEastAsia" w:eastAsiaTheme="minorEastAsia"/>
          <w:color w:val="auto"/>
          <w:sz w:val="21"/>
          <w:szCs w:val="21"/>
          <w:lang w:val="zh-CN"/>
        </w:rPr>
      </w:pPr>
    </w:p>
    <w:p>
      <w:pPr>
        <w:pageBreakBefore/>
        <w:numPr>
          <w:ilvl w:val="0"/>
          <w:numId w:val="4"/>
        </w:numPr>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 xml:space="preserve"> 资格审查与评标</w:t>
      </w:r>
    </w:p>
    <w:p>
      <w:pPr>
        <w:pStyle w:val="17"/>
        <w:spacing w:before="240" w:line="360" w:lineRule="auto"/>
        <w:ind w:firstLine="211"/>
        <w:contextualSpacing/>
        <w:rPr>
          <w:rFonts w:cs="仿宋_GB2312" w:asciiTheme="minorEastAsia" w:hAnsiTheme="minorEastAsia" w:eastAsiaTheme="minorEastAsia"/>
          <w:b/>
          <w:color w:val="auto"/>
          <w:sz w:val="32"/>
          <w:szCs w:val="32"/>
          <w:lang w:val="zh-CN"/>
        </w:rPr>
      </w:pPr>
      <w:r>
        <w:rPr>
          <w:rFonts w:cs="仿宋_GB2312" w:asciiTheme="minorEastAsia" w:hAnsiTheme="minorEastAsia" w:eastAsiaTheme="minorEastAsia"/>
          <w:b/>
          <w:color w:val="auto"/>
          <w:sz w:val="32"/>
          <w:szCs w:val="32"/>
          <w:lang w:val="zh-CN"/>
        </w:rPr>
        <w:t>一、资格审查</w:t>
      </w:r>
    </w:p>
    <w:p>
      <w:pPr>
        <w:pStyle w:val="17"/>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（一）</w:t>
      </w:r>
      <w:r>
        <w:rPr>
          <w:rFonts w:cs="仿宋_GB2312" w:asciiTheme="minorEastAsia" w:hAnsiTheme="minorEastAsia" w:eastAsiaTheme="minorEastAsia"/>
          <w:color w:val="auto"/>
          <w:sz w:val="21"/>
          <w:szCs w:val="21"/>
          <w:lang w:val="zh-CN"/>
        </w:rPr>
        <w:t>开标结束后，</w:t>
      </w:r>
      <w:r>
        <w:rPr>
          <w:rFonts w:hint="eastAsia" w:cs="仿宋_GB2312" w:asciiTheme="minorEastAsia" w:hAnsiTheme="minorEastAsia" w:eastAsiaTheme="minorEastAsia"/>
          <w:color w:val="auto"/>
          <w:sz w:val="21"/>
          <w:szCs w:val="21"/>
          <w:lang w:val="zh-CN"/>
        </w:rPr>
        <w:t>采购人(采购代理机构)依法对投标人资格进行审查</w:t>
      </w:r>
      <w:r>
        <w:rPr>
          <w:rFonts w:cs="仿宋_GB2312" w:asciiTheme="minorEastAsia" w:hAnsiTheme="minorEastAsia" w:eastAsiaTheme="minorEastAsia"/>
          <w:color w:val="auto"/>
          <w:sz w:val="21"/>
          <w:szCs w:val="21"/>
          <w:lang w:val="zh-CN"/>
        </w:rPr>
        <w:t>。</w:t>
      </w:r>
    </w:p>
    <w:p>
      <w:pPr>
        <w:spacing w:line="360" w:lineRule="auto"/>
        <w:ind w:right="420" w:rightChars="200"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（三）资格审查中所涉及到的证书及材料，均须在电子投标文件中提供原件扫描件（或图片）。</w:t>
      </w:r>
    </w:p>
    <w:tbl>
      <w:tblPr>
        <w:tblStyle w:val="26"/>
        <w:tblW w:w="9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center"/>
              <w:rPr>
                <w:rFonts w:asciiTheme="minorEastAsia" w:hAnsiTheme="minorEastAsia"/>
                <w:b/>
                <w:color w:val="auto"/>
                <w:szCs w:val="21"/>
              </w:rPr>
            </w:pPr>
            <w:r>
              <w:rPr>
                <w:rFonts w:hint="eastAsia" w:asciiTheme="minorEastAsia" w:hAnsiTheme="minorEastAsia"/>
                <w:b/>
                <w:color w:val="auto"/>
                <w:szCs w:val="21"/>
              </w:rPr>
              <w:t>资格审查</w:t>
            </w:r>
            <w:r>
              <w:rPr>
                <w:rFonts w:asciiTheme="minorEastAsia" w:hAnsiTheme="minorEastAsia"/>
                <w:b/>
                <w:color w:val="auto"/>
                <w:szCs w:val="21"/>
              </w:rPr>
              <w:t>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left"/>
              <w:rPr>
                <w:rFonts w:asciiTheme="minorEastAsia" w:hAnsiTheme="minorEastAsia"/>
                <w:b/>
                <w:color w:val="auto"/>
                <w:szCs w:val="21"/>
              </w:rPr>
            </w:pPr>
            <w:r>
              <w:rPr>
                <w:rFonts w:hint="eastAsia" w:asciiTheme="minorEastAsia" w:hAnsiTheme="minorEastAsia"/>
                <w:b/>
                <w:color w:val="auto"/>
                <w:szCs w:val="21"/>
              </w:rPr>
              <w:t>1、投标函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color w:val="auto"/>
                <w:szCs w:val="21"/>
              </w:rPr>
            </w:pPr>
            <w:r>
              <w:rPr>
                <w:rFonts w:hint="eastAsia" w:asciiTheme="minorEastAsia" w:hAnsiTheme="minorEastAsia"/>
                <w:b/>
                <w:bCs/>
                <w:color w:val="auto"/>
                <w:szCs w:val="21"/>
              </w:rPr>
              <w:t>2、法人或者其他组织的营业执照等证明文件，自然人的身份证明</w:t>
            </w:r>
          </w:p>
          <w:p>
            <w:pPr>
              <w:spacing w:line="360" w:lineRule="auto"/>
              <w:rPr>
                <w:rFonts w:asciiTheme="minorEastAsia" w:hAnsiTheme="minorEastAsia"/>
                <w:bCs/>
                <w:color w:val="auto"/>
                <w:szCs w:val="21"/>
              </w:rPr>
            </w:pPr>
            <w:r>
              <w:rPr>
                <w:rFonts w:hint="eastAsia" w:asciiTheme="minorEastAsia" w:hAnsiTheme="minorEastAsia"/>
                <w:bCs/>
                <w:color w:val="auto"/>
                <w:szCs w:val="21"/>
              </w:rPr>
              <w:t>（1）企业法人营业执照或营业执照。（企业投标提供）</w:t>
            </w:r>
          </w:p>
          <w:p>
            <w:pPr>
              <w:spacing w:line="360" w:lineRule="auto"/>
              <w:rPr>
                <w:rFonts w:asciiTheme="minorEastAsia" w:hAnsiTheme="minorEastAsia"/>
                <w:bCs/>
                <w:color w:val="auto"/>
                <w:szCs w:val="21"/>
              </w:rPr>
            </w:pPr>
            <w:r>
              <w:rPr>
                <w:rFonts w:hint="eastAsia" w:asciiTheme="minorEastAsia" w:hAnsiTheme="minorEastAsia"/>
                <w:bCs/>
                <w:color w:val="auto"/>
                <w:szCs w:val="21"/>
              </w:rPr>
              <w:t>（2）事业单位法人证书。（事业单位投标提供）</w:t>
            </w:r>
          </w:p>
          <w:p>
            <w:pPr>
              <w:spacing w:line="360" w:lineRule="auto"/>
              <w:rPr>
                <w:rFonts w:asciiTheme="minorEastAsia" w:hAnsiTheme="minorEastAsia"/>
                <w:bCs/>
                <w:color w:val="auto"/>
                <w:szCs w:val="21"/>
              </w:rPr>
            </w:pPr>
            <w:r>
              <w:rPr>
                <w:rFonts w:hint="eastAsia" w:asciiTheme="minorEastAsia" w:hAnsiTheme="minorEastAsia"/>
                <w:bCs/>
                <w:color w:val="auto"/>
                <w:szCs w:val="21"/>
              </w:rPr>
              <w:t>（3）执业许可证。（非专业服务机构投标提供）</w:t>
            </w:r>
          </w:p>
          <w:p>
            <w:pPr>
              <w:spacing w:line="360" w:lineRule="auto"/>
              <w:rPr>
                <w:rFonts w:asciiTheme="minorEastAsia" w:hAnsiTheme="minorEastAsia"/>
                <w:bCs/>
                <w:color w:val="auto"/>
                <w:szCs w:val="21"/>
              </w:rPr>
            </w:pPr>
            <w:r>
              <w:rPr>
                <w:rFonts w:hint="eastAsia" w:asciiTheme="minorEastAsia" w:hAnsiTheme="minorEastAsia"/>
                <w:bCs/>
                <w:color w:val="auto"/>
                <w:szCs w:val="21"/>
              </w:rPr>
              <w:t>（4）个体工商户营业执照。（个体工商户投标提供）</w:t>
            </w:r>
          </w:p>
          <w:p>
            <w:pPr>
              <w:spacing w:line="360" w:lineRule="auto"/>
              <w:rPr>
                <w:rFonts w:asciiTheme="minorEastAsia" w:hAnsiTheme="minorEastAsia"/>
                <w:bCs/>
                <w:color w:val="auto"/>
                <w:szCs w:val="21"/>
              </w:rPr>
            </w:pPr>
            <w:r>
              <w:rPr>
                <w:rFonts w:hint="eastAsia" w:asciiTheme="minorEastAsia" w:hAnsiTheme="minorEastAsia"/>
                <w:bCs/>
                <w:color w:val="auto"/>
                <w:szCs w:val="21"/>
              </w:rPr>
              <w:t>（5）自然人身份证明。（自然人投标提供）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color w:val="auto"/>
                <w:szCs w:val="21"/>
              </w:rPr>
            </w:pPr>
            <w:r>
              <w:rPr>
                <w:rFonts w:hint="eastAsia" w:asciiTheme="minorEastAsia" w:hAnsiTheme="minorEastAsia"/>
                <w:b/>
                <w:bCs/>
                <w:color w:val="auto"/>
                <w:szCs w:val="21"/>
              </w:rPr>
              <w:t>3、财务状况报告相关材料</w:t>
            </w:r>
          </w:p>
          <w:p>
            <w:pPr>
              <w:spacing w:line="360" w:lineRule="auto"/>
              <w:rPr>
                <w:rFonts w:asciiTheme="minorEastAsia" w:hAnsiTheme="minorEastAsia"/>
                <w:bCs/>
                <w:color w:val="auto"/>
                <w:szCs w:val="21"/>
              </w:rPr>
            </w:pPr>
            <w:r>
              <w:rPr>
                <w:rFonts w:hint="eastAsia" w:asciiTheme="minorEastAsia" w:hAnsiTheme="minorEastAsia"/>
                <w:bCs/>
                <w:color w:val="auto"/>
                <w:szCs w:val="21"/>
              </w:rPr>
              <w:t>（1）2018年度经审计的财务报告，包括资产负债表、利润表、现金流量表；或基本开户银行出具的资信证明；或财政部门认可的政府采购专业担保机构的证明文件和担保机构出具的投标担保函。（法人投标提供。法人包括企业法人、机关法人、事业单位法人和社会团体法人。）</w:t>
            </w:r>
          </w:p>
          <w:p>
            <w:pPr>
              <w:spacing w:line="360" w:lineRule="auto"/>
              <w:rPr>
                <w:rFonts w:asciiTheme="minorEastAsia" w:hAnsiTheme="minorEastAsia"/>
                <w:b/>
                <w:color w:val="auto"/>
                <w:szCs w:val="21"/>
              </w:rPr>
            </w:pPr>
            <w:r>
              <w:rPr>
                <w:rFonts w:hint="eastAsia" w:asciiTheme="minorEastAsia" w:hAnsiTheme="minorEastAsia"/>
                <w:bCs/>
                <w:color w:val="auto"/>
                <w:szCs w:val="21"/>
              </w:rPr>
              <w:t>（2）银行出具的资信证明；或财政部门认可的政府采购专业担保机构的证明文件和担保机构出具的投标担保函。（其他组织和自然人投标提供）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color w:val="auto"/>
                <w:szCs w:val="21"/>
              </w:rPr>
            </w:pPr>
            <w:r>
              <w:rPr>
                <w:rFonts w:hint="eastAsia" w:asciiTheme="minorEastAsia" w:hAnsiTheme="minorEastAsia"/>
                <w:b/>
                <w:bCs/>
                <w:color w:val="auto"/>
                <w:szCs w:val="21"/>
              </w:rPr>
              <w:t>4、依法缴纳税收相关材料</w:t>
            </w:r>
          </w:p>
          <w:p>
            <w:pPr>
              <w:spacing w:line="360" w:lineRule="auto"/>
              <w:rPr>
                <w:rFonts w:asciiTheme="minorEastAsia" w:hAnsiTheme="minorEastAsia"/>
                <w:b/>
                <w:color w:val="auto"/>
                <w:szCs w:val="21"/>
              </w:rPr>
            </w:pPr>
            <w:r>
              <w:rPr>
                <w:rFonts w:hint="eastAsia" w:asciiTheme="minorEastAsia" w:hAnsiTheme="minorEastAsia"/>
                <w:bCs/>
                <w:color w:val="auto"/>
                <w:szCs w:val="21"/>
              </w:rPr>
              <w:t>税务登记证和投标截止时间前三个月内任意一个月缴纳税收凭据。（依法免税的投标人，应提供相应文件证明依法免税）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color w:val="auto"/>
                <w:szCs w:val="21"/>
              </w:rPr>
            </w:pPr>
            <w:r>
              <w:rPr>
                <w:rFonts w:hint="eastAsia" w:asciiTheme="minorEastAsia" w:hAnsiTheme="minorEastAsia"/>
                <w:b/>
                <w:bCs/>
                <w:color w:val="auto"/>
                <w:szCs w:val="21"/>
              </w:rPr>
              <w:t>5、依法缴纳社会保障资金的证明材料</w:t>
            </w:r>
          </w:p>
          <w:p>
            <w:pPr>
              <w:spacing w:line="360" w:lineRule="auto"/>
              <w:rPr>
                <w:rFonts w:asciiTheme="minorEastAsia" w:hAnsiTheme="minorEastAsia"/>
                <w:bCs/>
                <w:color w:val="auto"/>
                <w:szCs w:val="21"/>
              </w:rPr>
            </w:pPr>
            <w:r>
              <w:rPr>
                <w:rFonts w:hint="eastAsia" w:asciiTheme="minorEastAsia" w:hAnsiTheme="minorEastAsia"/>
                <w:bCs/>
                <w:color w:val="auto"/>
                <w:szCs w:val="21"/>
              </w:rPr>
              <w:t>投标截止时间前三个月内任意一个月缴纳社会保险凭据。（依法不需要缴纳社会保障资金的投标人，应提供相应文件证明依法不需要缴纳社会保障资金）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color w:val="auto"/>
                <w:szCs w:val="21"/>
              </w:rPr>
            </w:pPr>
            <w:r>
              <w:rPr>
                <w:rFonts w:hint="eastAsia" w:asciiTheme="minorEastAsia" w:hAnsiTheme="minorEastAsia"/>
                <w:b/>
                <w:bCs/>
                <w:color w:val="auto"/>
                <w:szCs w:val="21"/>
              </w:rPr>
              <w:t>6、履行合同所必须的设备和专业技术能力的证明材料</w:t>
            </w:r>
          </w:p>
          <w:p>
            <w:pPr>
              <w:spacing w:line="360" w:lineRule="auto"/>
              <w:rPr>
                <w:rFonts w:asciiTheme="minorEastAsia" w:hAnsiTheme="minorEastAsia"/>
                <w:b/>
                <w:color w:val="auto"/>
                <w:szCs w:val="21"/>
              </w:rPr>
            </w:pPr>
            <w:r>
              <w:rPr>
                <w:rFonts w:hint="eastAsia" w:asciiTheme="minorEastAsia" w:hAnsiTheme="minorEastAsia"/>
                <w:bCs/>
                <w:color w:val="auto"/>
                <w:szCs w:val="21"/>
              </w:rPr>
              <w:t>相关设备的购置发票、专业技术人员职称证书、用工合同等或者投标人相关承诺函或声明。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color w:val="auto"/>
                <w:szCs w:val="21"/>
              </w:rPr>
            </w:pPr>
            <w:r>
              <w:rPr>
                <w:rFonts w:hint="eastAsia" w:asciiTheme="minorEastAsia" w:hAnsiTheme="minorEastAsia"/>
                <w:b/>
                <w:bCs/>
                <w:color w:val="auto"/>
                <w:szCs w:val="21"/>
              </w:rPr>
              <w:t>7、参加政府采购活动前3年内在经营活动中没有重大违法记录的声明</w:t>
            </w:r>
          </w:p>
          <w:p>
            <w:pPr>
              <w:spacing w:line="360" w:lineRule="auto"/>
              <w:rPr>
                <w:rFonts w:asciiTheme="minorEastAsia" w:hAnsiTheme="minorEastAsia"/>
                <w:bCs/>
                <w:color w:val="auto"/>
                <w:szCs w:val="21"/>
              </w:rPr>
            </w:pPr>
            <w:r>
              <w:rPr>
                <w:rFonts w:hint="eastAsia" w:asciiTheme="minorEastAsia" w:hAnsiTheme="minorEastAsia"/>
                <w:bCs/>
                <w:color w:val="auto"/>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4" w:hRule="atLeast"/>
        </w:trPr>
        <w:tc>
          <w:tcPr>
            <w:tcW w:w="9079" w:type="dxa"/>
            <w:vAlign w:val="center"/>
          </w:tcPr>
          <w:p>
            <w:pPr>
              <w:spacing w:line="336" w:lineRule="auto"/>
              <w:rPr>
                <w:rFonts w:cs="宋体" w:asciiTheme="minorEastAsia" w:hAnsiTheme="minorEastAsia"/>
                <w:b/>
                <w:bCs/>
                <w:color w:val="auto"/>
                <w:szCs w:val="21"/>
              </w:rPr>
            </w:pPr>
            <w:r>
              <w:rPr>
                <w:rFonts w:hint="eastAsia" w:asciiTheme="minorEastAsia" w:hAnsiTheme="minorEastAsia"/>
                <w:b/>
                <w:bCs/>
                <w:color w:val="auto"/>
                <w:szCs w:val="21"/>
              </w:rPr>
              <w:t>8、</w:t>
            </w:r>
            <w:r>
              <w:rPr>
                <w:rFonts w:cs="宋体" w:asciiTheme="minorEastAsia" w:hAnsiTheme="minorEastAsia"/>
                <w:b/>
                <w:bCs/>
                <w:color w:val="auto"/>
                <w:szCs w:val="21"/>
                <w:lang w:val="zh-CN"/>
              </w:rPr>
              <w:t>未被列入</w:t>
            </w:r>
            <w:r>
              <w:rPr>
                <w:rFonts w:cs="宋体" w:asciiTheme="minorEastAsia" w:hAnsiTheme="minorEastAsia"/>
                <w:b/>
                <w:bCs/>
                <w:color w:val="auto"/>
                <w:szCs w:val="21"/>
              </w:rPr>
              <w:t>“</w:t>
            </w:r>
            <w:r>
              <w:rPr>
                <w:rFonts w:cs="宋体" w:asciiTheme="minorEastAsia" w:hAnsiTheme="minorEastAsia"/>
                <w:b/>
                <w:bCs/>
                <w:color w:val="auto"/>
                <w:szCs w:val="21"/>
                <w:lang w:val="zh-CN"/>
              </w:rPr>
              <w:t>信用中国</w:t>
            </w:r>
            <w:r>
              <w:rPr>
                <w:rFonts w:cs="宋体" w:asciiTheme="minorEastAsia" w:hAnsiTheme="minorEastAsia"/>
                <w:b/>
                <w:bCs/>
                <w:color w:val="auto"/>
                <w:szCs w:val="21"/>
              </w:rPr>
              <w:t>”</w:t>
            </w:r>
            <w:r>
              <w:rPr>
                <w:rFonts w:cs="宋体" w:asciiTheme="minorEastAsia" w:hAnsiTheme="minorEastAsia"/>
                <w:b/>
                <w:bCs/>
                <w:color w:val="auto"/>
                <w:szCs w:val="21"/>
                <w:lang w:val="zh-CN"/>
              </w:rPr>
              <w:t>网站</w:t>
            </w:r>
            <w:r>
              <w:rPr>
                <w:rFonts w:cs="宋体" w:asciiTheme="minorEastAsia" w:hAnsiTheme="minorEastAsia"/>
                <w:b/>
                <w:bCs/>
                <w:color w:val="auto"/>
                <w:szCs w:val="21"/>
              </w:rPr>
              <w:t>(www.creditchina.gov.cn)</w:t>
            </w:r>
            <w:r>
              <w:rPr>
                <w:rFonts w:cs="宋体" w:asciiTheme="minorEastAsia" w:hAnsiTheme="minorEastAsia"/>
                <w:b/>
                <w:bCs/>
                <w:color w:val="auto"/>
                <w:szCs w:val="21"/>
                <w:lang w:val="zh-CN"/>
              </w:rPr>
              <w:t>失信被执行人、重大税收违法案件当事人名单、政府采购严重违法失信名单的投标人</w:t>
            </w:r>
            <w:r>
              <w:rPr>
                <w:rFonts w:cs="宋体" w:asciiTheme="minorEastAsia" w:hAnsiTheme="minorEastAsia"/>
                <w:b/>
                <w:bCs/>
                <w:color w:val="auto"/>
                <w:szCs w:val="21"/>
              </w:rPr>
              <w:t>；</w:t>
            </w:r>
            <w:r>
              <w:rPr>
                <w:rFonts w:hint="eastAsia" w:cs="宋体" w:asciiTheme="minorEastAsia" w:hAnsiTheme="minorEastAsia"/>
                <w:b/>
                <w:bCs/>
                <w:color w:val="auto"/>
                <w:szCs w:val="21"/>
              </w:rPr>
              <w:t>“</w:t>
            </w:r>
            <w:r>
              <w:rPr>
                <w:rFonts w:cs="宋体" w:asciiTheme="minorEastAsia" w:hAnsiTheme="minorEastAsia"/>
                <w:b/>
                <w:bCs/>
                <w:color w:val="auto"/>
                <w:szCs w:val="21"/>
                <w:lang w:val="zh-CN"/>
              </w:rPr>
              <w:t>中国政府采购网</w:t>
            </w:r>
            <w:r>
              <w:rPr>
                <w:rFonts w:hint="eastAsia" w:cs="宋体" w:asciiTheme="minorEastAsia" w:hAnsiTheme="minorEastAsia"/>
                <w:b/>
                <w:bCs/>
                <w:color w:val="auto"/>
                <w:szCs w:val="21"/>
              </w:rPr>
              <w:t>”</w:t>
            </w:r>
            <w:r>
              <w:rPr>
                <w:rFonts w:cs="宋体" w:asciiTheme="minorEastAsia" w:hAnsiTheme="minorEastAsia"/>
                <w:b/>
                <w:bCs/>
                <w:color w:val="auto"/>
                <w:szCs w:val="21"/>
              </w:rPr>
              <w:t xml:space="preserve"> (www.ccgp.gov.cn)</w:t>
            </w:r>
            <w:r>
              <w:rPr>
                <w:rFonts w:cs="宋体" w:asciiTheme="minorEastAsia" w:hAnsiTheme="minorEastAsia"/>
                <w:b/>
                <w:bCs/>
                <w:color w:val="auto"/>
                <w:szCs w:val="21"/>
                <w:lang w:val="zh-CN"/>
              </w:rPr>
              <w:t>政府采购严重违法失信行为记录名单的投标人</w:t>
            </w:r>
            <w:r>
              <w:rPr>
                <w:rFonts w:hint="eastAsia" w:cs="宋体" w:asciiTheme="minorEastAsia" w:hAnsiTheme="minorEastAsia"/>
                <w:b/>
                <w:bCs/>
                <w:color w:val="auto"/>
                <w:szCs w:val="21"/>
              </w:rPr>
              <w:t>；“</w:t>
            </w:r>
            <w:r>
              <w:rPr>
                <w:rFonts w:hint="eastAsia" w:cs="宋体" w:asciiTheme="minorEastAsia" w:hAnsiTheme="minorEastAsia"/>
                <w:b/>
                <w:bCs/>
                <w:color w:val="auto"/>
                <w:szCs w:val="21"/>
                <w:lang w:val="zh-CN"/>
              </w:rPr>
              <w:t>国家企业信用公示系统</w:t>
            </w:r>
            <w:r>
              <w:rPr>
                <w:rFonts w:hint="eastAsia" w:cs="宋体" w:asciiTheme="minorEastAsia" w:hAnsiTheme="minorEastAsia"/>
                <w:b/>
                <w:bCs/>
                <w:color w:val="auto"/>
                <w:szCs w:val="21"/>
              </w:rPr>
              <w:t>”</w:t>
            </w:r>
            <w:r>
              <w:rPr>
                <w:rFonts w:hint="eastAsia" w:cs="宋体" w:asciiTheme="minorEastAsia" w:hAnsiTheme="minorEastAsia"/>
                <w:b/>
                <w:bCs/>
                <w:color w:val="auto"/>
                <w:szCs w:val="21"/>
                <w:lang w:val="zh-CN"/>
              </w:rPr>
              <w:t>网站</w:t>
            </w:r>
            <w:r>
              <w:rPr>
                <w:rFonts w:hint="eastAsia" w:cs="宋体" w:asciiTheme="minorEastAsia" w:hAnsiTheme="minorEastAsia"/>
                <w:b/>
                <w:bCs/>
                <w:color w:val="auto"/>
                <w:szCs w:val="21"/>
              </w:rPr>
              <w:t>（</w:t>
            </w:r>
            <w:r>
              <w:rPr>
                <w:rFonts w:cs="宋体" w:asciiTheme="minorEastAsia" w:hAnsiTheme="minorEastAsia"/>
                <w:b/>
                <w:bCs/>
                <w:color w:val="auto"/>
                <w:szCs w:val="21"/>
              </w:rPr>
              <w:t>www.gsxt.gov.cn</w:t>
            </w:r>
            <w:r>
              <w:rPr>
                <w:rFonts w:hint="eastAsia" w:cs="宋体" w:asciiTheme="minorEastAsia" w:hAnsiTheme="minorEastAsia"/>
                <w:b/>
                <w:bCs/>
                <w:color w:val="auto"/>
                <w:szCs w:val="21"/>
              </w:rPr>
              <w:t>）</w:t>
            </w:r>
            <w:r>
              <w:rPr>
                <w:rFonts w:hint="eastAsia" w:cs="宋体" w:asciiTheme="minorEastAsia" w:hAnsiTheme="minorEastAsia"/>
                <w:b/>
                <w:bCs/>
                <w:color w:val="auto"/>
                <w:szCs w:val="21"/>
                <w:lang w:val="zh-CN"/>
              </w:rPr>
              <w:t>严重违法失信企业名单</w:t>
            </w:r>
            <w:r>
              <w:rPr>
                <w:rFonts w:hint="eastAsia" w:cs="宋体" w:asciiTheme="minorEastAsia" w:hAnsiTheme="minorEastAsia"/>
                <w:b/>
                <w:bCs/>
                <w:color w:val="auto"/>
                <w:szCs w:val="21"/>
              </w:rPr>
              <w:t>（</w:t>
            </w:r>
            <w:r>
              <w:rPr>
                <w:rFonts w:hint="eastAsia" w:cs="宋体" w:asciiTheme="minorEastAsia" w:hAnsiTheme="minorEastAsia"/>
                <w:b/>
                <w:bCs/>
                <w:color w:val="auto"/>
                <w:szCs w:val="21"/>
                <w:lang w:val="zh-CN"/>
              </w:rPr>
              <w:t>黑名单</w:t>
            </w:r>
            <w:r>
              <w:rPr>
                <w:rFonts w:hint="eastAsia" w:cs="宋体" w:asciiTheme="minorEastAsia" w:hAnsiTheme="minorEastAsia"/>
                <w:b/>
                <w:bCs/>
                <w:color w:val="auto"/>
                <w:szCs w:val="21"/>
              </w:rPr>
              <w:t>）</w:t>
            </w:r>
            <w:r>
              <w:rPr>
                <w:rFonts w:hint="eastAsia" w:cs="宋体" w:asciiTheme="minorEastAsia" w:hAnsiTheme="minorEastAsia"/>
                <w:b/>
                <w:bCs/>
                <w:color w:val="auto"/>
                <w:szCs w:val="21"/>
                <w:lang w:val="zh-CN"/>
              </w:rPr>
              <w:t>的投标人。</w:t>
            </w:r>
          </w:p>
          <w:p>
            <w:pPr>
              <w:spacing w:line="336" w:lineRule="auto"/>
              <w:rPr>
                <w:rFonts w:asciiTheme="minorEastAsia" w:hAnsiTheme="minorEastAsia"/>
                <w:bCs/>
                <w:color w:val="auto"/>
                <w:szCs w:val="21"/>
              </w:rPr>
            </w:pPr>
            <w:r>
              <w:rPr>
                <w:rFonts w:hint="eastAsia" w:asciiTheme="minorEastAsia" w:hAnsiTheme="minorEastAsia"/>
                <w:bCs/>
                <w:color w:val="auto"/>
                <w:szCs w:val="21"/>
              </w:rPr>
              <w:t>注：政府采购活动中查询及使用投标人信用记录的具体要求为：投标人未被列入失信被执行人、重大税收违法案件当事人名单、</w:t>
            </w:r>
            <w:r>
              <w:rPr>
                <w:rFonts w:asciiTheme="minorEastAsia" w:hAnsiTheme="minorEastAsia"/>
                <w:bCs/>
                <w:color w:val="auto"/>
                <w:szCs w:val="21"/>
              </w:rPr>
              <w:t>政府采购严重违法失信名单</w:t>
            </w:r>
            <w:r>
              <w:rPr>
                <w:rFonts w:hint="eastAsia" w:asciiTheme="minorEastAsia" w:hAnsiTheme="minorEastAsia"/>
                <w:bCs/>
                <w:color w:val="auto"/>
                <w:szCs w:val="21"/>
              </w:rPr>
              <w:t>、政府采购严重违法失信行为记录名单、严重违法失信企业名单（黑名单）（联合体形式投标的，联合体成员存在不良信用记录，视同联合体存在不良信用记录）。</w:t>
            </w:r>
          </w:p>
          <w:p>
            <w:pPr>
              <w:spacing w:line="336" w:lineRule="auto"/>
              <w:rPr>
                <w:rFonts w:asciiTheme="minorEastAsia" w:hAnsiTheme="minorEastAsia"/>
                <w:bCs/>
                <w:color w:val="auto"/>
                <w:szCs w:val="21"/>
              </w:rPr>
            </w:pPr>
            <w:r>
              <w:rPr>
                <w:rFonts w:hint="eastAsia" w:asciiTheme="minorEastAsia" w:hAnsiTheme="minorEastAsia"/>
                <w:bCs/>
                <w:color w:val="auto"/>
                <w:szCs w:val="21"/>
              </w:rPr>
              <w:t>（1）查询渠道：“信用中国”网站（www.creditchina.gov.cn）、“中国政府采购网”（www.ccgp.gov.cn）和“国家企业信用公示系统”网站（</w:t>
            </w:r>
            <w:r>
              <w:rPr>
                <w:rFonts w:asciiTheme="minorEastAsia" w:hAnsiTheme="minorEastAsia"/>
                <w:bCs/>
                <w:color w:val="auto"/>
                <w:szCs w:val="21"/>
              </w:rPr>
              <w:t>www.gsxt.gov.cn</w:t>
            </w:r>
            <w:r>
              <w:rPr>
                <w:rFonts w:hint="eastAsia" w:asciiTheme="minorEastAsia" w:hAnsiTheme="minorEastAsia"/>
                <w:bCs/>
                <w:color w:val="auto"/>
                <w:szCs w:val="21"/>
              </w:rPr>
              <w:t>）；</w:t>
            </w:r>
          </w:p>
          <w:p>
            <w:pPr>
              <w:spacing w:line="336" w:lineRule="auto"/>
              <w:rPr>
                <w:rFonts w:asciiTheme="minorEastAsia" w:hAnsiTheme="minorEastAsia"/>
                <w:bCs/>
                <w:color w:val="auto"/>
                <w:szCs w:val="21"/>
              </w:rPr>
            </w:pPr>
            <w:r>
              <w:rPr>
                <w:rFonts w:hint="eastAsia" w:asciiTheme="minorEastAsia" w:hAnsiTheme="minorEastAsia"/>
                <w:bCs/>
                <w:color w:val="auto"/>
                <w:szCs w:val="21"/>
              </w:rPr>
              <w:t>（2）截止时间：同投标截止时间；</w:t>
            </w:r>
          </w:p>
          <w:p>
            <w:pPr>
              <w:spacing w:line="336" w:lineRule="auto"/>
              <w:rPr>
                <w:rFonts w:asciiTheme="minorEastAsia" w:hAnsiTheme="minorEastAsia"/>
                <w:bCs/>
                <w:color w:val="auto"/>
                <w:szCs w:val="21"/>
              </w:rPr>
            </w:pPr>
            <w:r>
              <w:rPr>
                <w:rFonts w:hint="eastAsia" w:asciiTheme="minorEastAsia" w:hAnsiTheme="minorEastAsia"/>
                <w:bCs/>
                <w:color w:val="auto"/>
                <w:szCs w:val="21"/>
              </w:rPr>
              <w:t>（3）信用信息查询记录和证据留存具体方式：经采购人确认的查询结果网页截图作为查询记录和证据，与其他采购文件一并保存；</w:t>
            </w:r>
          </w:p>
          <w:p>
            <w:pPr>
              <w:spacing w:line="336" w:lineRule="auto"/>
              <w:rPr>
                <w:rFonts w:asciiTheme="minorEastAsia" w:hAnsiTheme="minorEastAsia"/>
                <w:bCs/>
                <w:color w:val="auto"/>
                <w:szCs w:val="21"/>
              </w:rPr>
            </w:pPr>
            <w:r>
              <w:rPr>
                <w:rFonts w:hint="eastAsia" w:asciiTheme="minorEastAsia" w:hAnsiTheme="minorEastAsia"/>
                <w:bCs/>
                <w:color w:val="auto"/>
                <w:szCs w:val="21"/>
              </w:rPr>
              <w:t>（4）信用信息的使用原则：经采购人认定的被列入失信被执行人、重大税收违法案件当事人名单、政府采购严重违法失信名单、政府采购严重违法失信行为记录名单、严重违法失信企业名单（黑名单）的投标人，将拒绝其参与政府采购活动。</w:t>
            </w:r>
          </w:p>
          <w:p>
            <w:pPr>
              <w:spacing w:line="336" w:lineRule="auto"/>
              <w:rPr>
                <w:color w:val="auto"/>
              </w:rPr>
            </w:pPr>
            <w:r>
              <w:rPr>
                <w:rFonts w:hint="eastAsia" w:asciiTheme="minorEastAsia" w:hAnsiTheme="minorEastAsia"/>
                <w:bCs/>
                <w:color w:val="auto"/>
                <w:szCs w:val="21"/>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cs="仿宋_GB2312" w:asciiTheme="minorEastAsia" w:hAnsiTheme="minorEastAsia"/>
                <w:b/>
                <w:color w:val="auto"/>
                <w:szCs w:val="21"/>
                <w:lang w:val="zh-CN"/>
              </w:rPr>
            </w:pPr>
            <w:r>
              <w:rPr>
                <w:rFonts w:hint="eastAsia" w:asciiTheme="minorEastAsia" w:hAnsiTheme="minorEastAsia"/>
                <w:b/>
                <w:bCs/>
                <w:color w:val="auto"/>
                <w:szCs w:val="21"/>
              </w:rPr>
              <w:t>9、</w:t>
            </w:r>
            <w:r>
              <w:rPr>
                <w:rFonts w:hint="eastAsia" w:cs="仿宋_GB2312" w:asciiTheme="minorEastAsia" w:hAnsiTheme="minorEastAsia"/>
                <w:b/>
                <w:color w:val="auto"/>
                <w:szCs w:val="21"/>
                <w:lang w:val="zh-CN"/>
              </w:rPr>
              <w:t>报价</w:t>
            </w:r>
          </w:p>
          <w:p>
            <w:pPr>
              <w:spacing w:line="360" w:lineRule="auto"/>
              <w:rPr>
                <w:rFonts w:asciiTheme="minorEastAsia" w:hAnsiTheme="minorEastAsia"/>
                <w:b/>
                <w:bCs/>
                <w:color w:val="auto"/>
                <w:szCs w:val="21"/>
              </w:rPr>
            </w:pPr>
            <w:r>
              <w:rPr>
                <w:rFonts w:hint="eastAsia" w:cs="仿宋_GB2312" w:asciiTheme="minorEastAsia" w:hAnsiTheme="minorEastAsia"/>
                <w:color w:val="auto"/>
                <w:szCs w:val="21"/>
                <w:lang w:val="zh-CN"/>
              </w:rPr>
              <w:t>是否超出招标文件中规定的预算金额，超出预算金额的投标无效。如投标人须知前附表规定最高限价，则</w:t>
            </w:r>
            <w:r>
              <w:rPr>
                <w:rFonts w:hint="eastAsia" w:cs="宋体" w:asciiTheme="minorEastAsia" w:hAnsiTheme="minorEastAsia"/>
                <w:bCs/>
                <w:color w:val="auto"/>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Theme="minorEastAsia" w:hAnsiTheme="minorEastAsia"/>
                <w:b/>
                <w:bCs/>
                <w:color w:val="auto"/>
                <w:szCs w:val="21"/>
              </w:rPr>
            </w:pPr>
            <w:r>
              <w:rPr>
                <w:rFonts w:hint="eastAsia" w:asciiTheme="minorEastAsia" w:hAnsiTheme="minorEastAsia"/>
                <w:b/>
                <w:bCs/>
                <w:color w:val="auto"/>
                <w:szCs w:val="21"/>
              </w:rPr>
              <w:t>10、联合体协议</w:t>
            </w:r>
          </w:p>
          <w:p>
            <w:pPr>
              <w:spacing w:line="360" w:lineRule="auto"/>
              <w:rPr>
                <w:rFonts w:asciiTheme="minorEastAsia" w:hAnsiTheme="minorEastAsia"/>
                <w:b/>
                <w:bCs/>
                <w:color w:val="auto"/>
                <w:szCs w:val="21"/>
              </w:rPr>
            </w:pPr>
            <w:r>
              <w:rPr>
                <w:rFonts w:hint="eastAsia" w:asciiTheme="minorEastAsia" w:hAnsiTheme="minorEastAsia"/>
                <w:bCs/>
                <w:color w:val="auto"/>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Theme="minorEastAsia" w:hAnsiTheme="minorEastAsia"/>
                <w:b/>
                <w:color w:val="auto"/>
                <w:szCs w:val="21"/>
              </w:rPr>
            </w:pPr>
            <w:r>
              <w:rPr>
                <w:rFonts w:hint="eastAsia" w:asciiTheme="minorEastAsia" w:hAnsiTheme="minorEastAsia"/>
                <w:b/>
                <w:color w:val="auto"/>
                <w:szCs w:val="21"/>
              </w:rPr>
              <w:t>11、法定代表人身份证明或提供法定代表人授权委托书及被授权人身份证明。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Theme="minorEastAsia" w:hAnsiTheme="minorEastAsia"/>
                <w:b/>
                <w:color w:val="auto"/>
                <w:szCs w:val="21"/>
              </w:rPr>
            </w:pPr>
            <w:r>
              <w:rPr>
                <w:rFonts w:hint="eastAsia" w:asciiTheme="minorEastAsia" w:hAnsiTheme="minorEastAsia"/>
                <w:b/>
                <w:color w:val="auto"/>
                <w:szCs w:val="21"/>
              </w:rPr>
              <w:t>12、投标人以投标承诺函的形式替代投标保证金。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hint="eastAsia" w:asciiTheme="minorEastAsia" w:hAnsiTheme="minorEastAsia" w:eastAsiaTheme="minorEastAsia"/>
                <w:b/>
                <w:color w:val="auto"/>
                <w:szCs w:val="21"/>
                <w:lang w:val="en-US" w:eastAsia="zh-CN"/>
              </w:rPr>
            </w:pPr>
            <w:r>
              <w:rPr>
                <w:rFonts w:hint="eastAsia" w:asciiTheme="minorEastAsia" w:hAnsiTheme="minorEastAsia"/>
                <w:b/>
                <w:color w:val="auto"/>
                <w:szCs w:val="21"/>
                <w:lang w:val="en-US" w:eastAsia="zh-CN"/>
              </w:rPr>
              <w:t>13、</w:t>
            </w:r>
            <w:r>
              <w:rPr>
                <w:rFonts w:hint="eastAsia" w:asciiTheme="minorEastAsia" w:hAnsiTheme="minorEastAsia" w:eastAsiaTheme="minorEastAsia"/>
                <w:b/>
                <w:bCs/>
                <w:color w:val="auto"/>
                <w:szCs w:val="21"/>
                <w:highlight w:val="none"/>
              </w:rPr>
              <w:t>单位负责人为同一人或者存在直接控股、管理关系的不同供应商，不得参加同一合同项下的政府采购活动</w:t>
            </w:r>
            <w:r>
              <w:rPr>
                <w:rFonts w:hint="eastAsia" w:asciiTheme="minorEastAsia" w:hAnsiTheme="minorEastAsia"/>
                <w:b/>
                <w:bCs/>
                <w:color w:val="auto"/>
                <w:szCs w:val="21"/>
                <w:highlight w:val="none"/>
                <w:lang w:eastAsia="zh-CN"/>
              </w:rPr>
              <w:t>；</w:t>
            </w:r>
            <w:r>
              <w:rPr>
                <w:rFonts w:hint="eastAsia" w:cs="仿宋_GB2312" w:asciiTheme="minorEastAsia" w:hAnsiTheme="minorEastAsia" w:eastAsiaTheme="minorEastAsia"/>
                <w:color w:val="auto"/>
                <w:szCs w:val="21"/>
                <w:highlight w:val="none"/>
                <w:lang w:val="zh-CN"/>
              </w:rPr>
              <w:t>供应商提供与参加本项目投标的其他供应商之间，单位负责人不为同一人并且不存在直接控股、管理关系承诺函（承诺函格式自拟）。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hint="default" w:asciiTheme="minorEastAsia" w:hAnsiTheme="minorEastAsia" w:eastAsiaTheme="minorEastAsia"/>
                <w:b/>
                <w:color w:val="auto"/>
                <w:szCs w:val="21"/>
                <w:lang w:val="en-US" w:eastAsia="zh-CN"/>
              </w:rPr>
            </w:pPr>
            <w:r>
              <w:rPr>
                <w:rFonts w:hint="eastAsia" w:asciiTheme="minorEastAsia" w:hAnsiTheme="minorEastAsia"/>
                <w:b/>
                <w:color w:val="auto"/>
                <w:szCs w:val="21"/>
                <w:lang w:val="en-US" w:eastAsia="zh-CN"/>
              </w:rPr>
              <w:t>14、</w:t>
            </w:r>
            <w:r>
              <w:rPr>
                <w:rFonts w:hint="eastAsia" w:asciiTheme="minorEastAsia" w:hAnsiTheme="minorEastAsia" w:eastAsiaTheme="minorEastAsia"/>
                <w:b/>
                <w:bCs/>
                <w:color w:val="auto"/>
                <w:szCs w:val="21"/>
                <w:highlight w:val="none"/>
              </w:rPr>
              <w:t>为本项目提供整体设计、规范编制或者项目管理、监理、检测等服务的供应商不得参加本项目投标</w:t>
            </w:r>
            <w:r>
              <w:rPr>
                <w:rFonts w:hint="eastAsia" w:asciiTheme="minorEastAsia" w:hAnsiTheme="minorEastAsia"/>
                <w:b/>
                <w:bCs/>
                <w:color w:val="auto"/>
                <w:szCs w:val="21"/>
                <w:highlight w:val="none"/>
                <w:lang w:eastAsia="zh-CN"/>
              </w:rPr>
              <w:t>；</w:t>
            </w:r>
            <w:bookmarkStart w:id="2" w:name="baidusnap2"/>
            <w:bookmarkEnd w:id="2"/>
            <w:r>
              <w:rPr>
                <w:rFonts w:hint="eastAsia" w:cs="仿宋_GB2312" w:asciiTheme="minorEastAsia" w:hAnsiTheme="minorEastAsia" w:eastAsiaTheme="minorEastAsia"/>
                <w:color w:val="auto"/>
                <w:szCs w:val="21"/>
                <w:highlight w:val="none"/>
                <w:lang w:val="zh-CN"/>
              </w:rPr>
              <w:t>供应商提供未为本项目提供整体设计、</w:t>
            </w:r>
            <w:bookmarkStart w:id="3" w:name="baidusnap9"/>
            <w:bookmarkEnd w:id="3"/>
            <w:r>
              <w:rPr>
                <w:rFonts w:hint="eastAsia" w:cs="仿宋_GB2312" w:asciiTheme="minorEastAsia" w:hAnsiTheme="minorEastAsia" w:eastAsiaTheme="minorEastAsia"/>
                <w:color w:val="auto"/>
                <w:szCs w:val="21"/>
                <w:highlight w:val="none"/>
                <w:lang w:val="zh-CN"/>
              </w:rPr>
              <w:t>规范编制或者项目管理、监理、检测等服务承诺函（承诺函格式自拟）。</w:t>
            </w:r>
          </w:p>
        </w:tc>
      </w:tr>
    </w:tbl>
    <w:p>
      <w:pPr>
        <w:pStyle w:val="17"/>
        <w:spacing w:before="240" w:line="360" w:lineRule="auto"/>
        <w:contextualSpacing/>
        <w:jc w:val="left"/>
        <w:rPr>
          <w:rFonts w:cs="仿宋_GB2312" w:asciiTheme="minorEastAsia" w:hAnsiTheme="minorEastAsia" w:eastAsiaTheme="minorEastAsia"/>
          <w:b/>
          <w:color w:val="auto"/>
          <w:sz w:val="32"/>
          <w:szCs w:val="32"/>
          <w:lang w:val="zh-CN"/>
        </w:rPr>
      </w:pPr>
      <w:r>
        <w:rPr>
          <w:rFonts w:hint="eastAsia" w:cs="仿宋_GB2312" w:asciiTheme="minorEastAsia" w:hAnsiTheme="minorEastAsia" w:eastAsiaTheme="minorEastAsia"/>
          <w:b/>
          <w:color w:val="auto"/>
          <w:sz w:val="32"/>
          <w:szCs w:val="32"/>
          <w:lang w:val="zh-CN"/>
        </w:rPr>
        <w:t>二、评标</w:t>
      </w:r>
    </w:p>
    <w:p>
      <w:pPr>
        <w:pStyle w:val="17"/>
        <w:spacing w:line="360" w:lineRule="auto"/>
        <w:ind w:firstLine="422" w:firstLineChars="200"/>
        <w:contextualSpacing/>
        <w:rPr>
          <w:rFonts w:cs="仿宋_GB2312" w:asciiTheme="minorEastAsia" w:hAnsiTheme="minorEastAsia" w:eastAsiaTheme="minorEastAsia"/>
          <w:b/>
          <w:color w:val="auto"/>
          <w:sz w:val="21"/>
          <w:szCs w:val="21"/>
          <w:lang w:val="zh-CN"/>
        </w:rPr>
      </w:pPr>
      <w:r>
        <w:rPr>
          <w:rFonts w:hint="eastAsia" w:cs="仿宋_GB2312" w:asciiTheme="minorEastAsia" w:hAnsiTheme="minorEastAsia" w:eastAsiaTheme="minorEastAsia"/>
          <w:b/>
          <w:color w:val="auto"/>
          <w:sz w:val="21"/>
          <w:szCs w:val="21"/>
          <w:lang w:val="zh-CN"/>
        </w:rPr>
        <w:t>（一）评标方法</w:t>
      </w:r>
    </w:p>
    <w:p>
      <w:pPr>
        <w:pStyle w:val="17"/>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本项目采用综合评分法。总分为100分。</w:t>
      </w:r>
    </w:p>
    <w:p>
      <w:pPr>
        <w:pStyle w:val="17"/>
        <w:spacing w:line="360" w:lineRule="auto"/>
        <w:ind w:firstLine="422" w:firstLineChars="200"/>
        <w:contextualSpacing/>
        <w:rPr>
          <w:rFonts w:cs="仿宋_GB2312" w:asciiTheme="minorEastAsia" w:hAnsiTheme="minorEastAsia" w:eastAsiaTheme="minorEastAsia"/>
          <w:b/>
          <w:color w:val="auto"/>
          <w:sz w:val="21"/>
          <w:szCs w:val="21"/>
          <w:lang w:val="zh-CN"/>
        </w:rPr>
      </w:pPr>
      <w:r>
        <w:rPr>
          <w:rFonts w:hint="eastAsia" w:cs="仿宋_GB2312" w:asciiTheme="minorEastAsia" w:hAnsiTheme="minorEastAsia" w:eastAsiaTheme="minorEastAsia"/>
          <w:b/>
          <w:color w:val="auto"/>
          <w:sz w:val="21"/>
          <w:szCs w:val="21"/>
          <w:lang w:val="zh-CN"/>
        </w:rPr>
        <w:t>（二）</w:t>
      </w:r>
      <w:r>
        <w:rPr>
          <w:rFonts w:cs="仿宋_GB2312" w:asciiTheme="minorEastAsia" w:hAnsiTheme="minorEastAsia" w:eastAsiaTheme="minorEastAsia"/>
          <w:b/>
          <w:color w:val="auto"/>
          <w:sz w:val="21"/>
          <w:szCs w:val="21"/>
          <w:lang w:val="zh-CN"/>
        </w:rPr>
        <w:t>评标委员会负责具体评标事务，并独立履行下列职责</w:t>
      </w:r>
    </w:p>
    <w:p>
      <w:pPr>
        <w:pStyle w:val="17"/>
        <w:spacing w:line="360" w:lineRule="auto"/>
        <w:ind w:firstLine="422" w:firstLineChars="200"/>
        <w:contextualSpacing/>
        <w:jc w:val="left"/>
        <w:rPr>
          <w:rFonts w:cs="仿宋_GB2312" w:asciiTheme="minorEastAsia" w:hAnsiTheme="minorEastAsia" w:eastAsiaTheme="minorEastAsia"/>
          <w:b/>
          <w:color w:val="auto"/>
          <w:sz w:val="21"/>
          <w:szCs w:val="21"/>
          <w:lang w:val="zh-CN"/>
        </w:rPr>
      </w:pPr>
      <w:r>
        <w:rPr>
          <w:rFonts w:hint="eastAsia" w:cs="仿宋_GB2312" w:asciiTheme="minorEastAsia" w:hAnsiTheme="minorEastAsia" w:eastAsiaTheme="minorEastAsia"/>
          <w:b/>
          <w:color w:val="auto"/>
          <w:sz w:val="21"/>
          <w:szCs w:val="21"/>
          <w:lang w:val="zh-CN"/>
        </w:rPr>
        <w:t>1、</w:t>
      </w:r>
      <w:r>
        <w:rPr>
          <w:rFonts w:cs="仿宋_GB2312" w:asciiTheme="minorEastAsia" w:hAnsiTheme="minorEastAsia" w:eastAsiaTheme="minorEastAsia"/>
          <w:b/>
          <w:color w:val="auto"/>
          <w:sz w:val="21"/>
          <w:szCs w:val="21"/>
          <w:lang w:val="zh-CN"/>
        </w:rPr>
        <w:t>审查、评价投标文件是否符合招标文件的商务、技术等实质性要求；</w:t>
      </w:r>
    </w:p>
    <w:p>
      <w:pPr>
        <w:pStyle w:val="17"/>
        <w:spacing w:line="360" w:lineRule="auto"/>
        <w:ind w:firstLine="420" w:firstLineChars="200"/>
        <w:contextualSpacing/>
        <w:jc w:val="left"/>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评标委员会对符合资格的投标人的投标文件进行符合性审查，以确定其是否满足招标文件的商务、技术等实质性要求。</w:t>
      </w:r>
    </w:p>
    <w:p>
      <w:pPr>
        <w:pStyle w:val="17"/>
        <w:spacing w:line="360" w:lineRule="auto"/>
        <w:ind w:firstLine="420" w:firstLineChars="200"/>
        <w:contextualSpacing/>
        <w:jc w:val="left"/>
        <w:rPr>
          <w:rFonts w:cs="仿宋_GB2312" w:asciiTheme="minorEastAsia" w:hAnsiTheme="minorEastAsia"/>
          <w:color w:val="auto"/>
          <w:sz w:val="21"/>
          <w:szCs w:val="21"/>
          <w:lang w:val="zh-CN"/>
        </w:rPr>
      </w:pPr>
      <w:r>
        <w:rPr>
          <w:rFonts w:hint="eastAsia" w:cs="仿宋_GB2312" w:asciiTheme="minorEastAsia" w:hAnsiTheme="minorEastAsia"/>
          <w:color w:val="auto"/>
          <w:sz w:val="21"/>
          <w:szCs w:val="21"/>
          <w:lang w:val="zh-CN"/>
        </w:rPr>
        <w:t>注：符合性审查中所涉及到的证书及材料，均应在电子投标文件中提供原件扫描件（或图片）。</w:t>
      </w:r>
    </w:p>
    <w:p>
      <w:pPr>
        <w:pStyle w:val="17"/>
        <w:spacing w:line="360" w:lineRule="auto"/>
        <w:ind w:firstLine="422" w:firstLineChars="200"/>
        <w:contextualSpacing/>
        <w:rPr>
          <w:rFonts w:cs="仿宋_GB2312" w:asciiTheme="minorEastAsia" w:hAnsiTheme="minorEastAsia" w:eastAsiaTheme="minorEastAsia"/>
          <w:b/>
          <w:color w:val="auto"/>
          <w:sz w:val="21"/>
          <w:szCs w:val="21"/>
          <w:lang w:val="zh-CN"/>
        </w:rPr>
      </w:pPr>
      <w:r>
        <w:rPr>
          <w:rFonts w:hint="eastAsia" w:cs="仿宋_GB2312" w:asciiTheme="minorEastAsia" w:hAnsiTheme="minorEastAsia" w:eastAsiaTheme="minorEastAsia"/>
          <w:b/>
          <w:color w:val="auto"/>
          <w:sz w:val="21"/>
          <w:szCs w:val="21"/>
          <w:lang w:val="zh-CN"/>
        </w:rPr>
        <w:t>2、</w:t>
      </w:r>
      <w:r>
        <w:rPr>
          <w:rFonts w:cs="仿宋_GB2312" w:asciiTheme="minorEastAsia" w:hAnsiTheme="minorEastAsia" w:eastAsiaTheme="minorEastAsia"/>
          <w:b/>
          <w:color w:val="auto"/>
          <w:sz w:val="21"/>
          <w:szCs w:val="21"/>
          <w:lang w:val="zh-CN"/>
        </w:rPr>
        <w:t>要求投标人对投标文件有关事项作出澄清或者说明；</w:t>
      </w:r>
    </w:p>
    <w:p>
      <w:pPr>
        <w:pStyle w:val="17"/>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cs="仿宋_GB2312" w:asciiTheme="minorEastAsia" w:hAnsiTheme="minorEastAsia" w:eastAsiaTheme="minorEastAsia"/>
          <w:color w:val="auto"/>
          <w:sz w:val="21"/>
          <w:szCs w:val="21"/>
          <w:lang w:val="zh-CN"/>
        </w:rPr>
        <w:t>对于投标文件中含义不明确、同类问题表述不一致或者有明显文字和计算错误的内容，评标委员会应当以书面形式要求投标人作出必要的澄清、说明或者补正。</w:t>
      </w:r>
    </w:p>
    <w:p>
      <w:pPr>
        <w:pStyle w:val="17"/>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cs="仿宋_GB2312" w:asciiTheme="minorEastAsia" w:hAnsiTheme="minorEastAsia" w:eastAsiaTheme="minorEastAsia"/>
          <w:color w:val="auto"/>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7"/>
        <w:spacing w:line="360" w:lineRule="auto"/>
        <w:ind w:firstLine="465"/>
        <w:contextualSpacing/>
        <w:jc w:val="left"/>
        <w:rPr>
          <w:rFonts w:cs="仿宋_GB2312" w:asciiTheme="minorEastAsia" w:hAnsiTheme="minorEastAsia" w:eastAsiaTheme="minorEastAsia"/>
          <w:b/>
          <w:color w:val="auto"/>
          <w:sz w:val="21"/>
          <w:szCs w:val="21"/>
          <w:lang w:val="zh-CN"/>
        </w:rPr>
      </w:pPr>
      <w:r>
        <w:rPr>
          <w:rFonts w:hint="eastAsia" w:cs="仿宋_GB2312" w:asciiTheme="minorEastAsia" w:hAnsiTheme="minorEastAsia" w:eastAsiaTheme="minorEastAsia"/>
          <w:b/>
          <w:color w:val="auto"/>
          <w:sz w:val="21"/>
          <w:szCs w:val="21"/>
          <w:lang w:val="zh-CN"/>
        </w:rPr>
        <w:t>3、</w:t>
      </w:r>
      <w:r>
        <w:rPr>
          <w:rFonts w:cs="仿宋_GB2312" w:asciiTheme="minorEastAsia" w:hAnsiTheme="minorEastAsia" w:eastAsiaTheme="minorEastAsia"/>
          <w:b/>
          <w:color w:val="auto"/>
          <w:sz w:val="21"/>
          <w:szCs w:val="21"/>
          <w:lang w:val="zh-CN"/>
        </w:rPr>
        <w:t>对投标文件进行比较和评价；</w:t>
      </w:r>
    </w:p>
    <w:p>
      <w:pPr>
        <w:pStyle w:val="17"/>
        <w:spacing w:line="360" w:lineRule="auto"/>
        <w:ind w:firstLine="420" w:firstLineChars="200"/>
        <w:contextualSpacing/>
        <w:rPr>
          <w:rFonts w:cs="仿宋_GB2312" w:asciiTheme="minorEastAsia" w:hAnsiTheme="minorEastAsia"/>
          <w:color w:val="auto"/>
          <w:sz w:val="21"/>
          <w:szCs w:val="21"/>
          <w:lang w:val="zh-CN"/>
        </w:rPr>
      </w:pPr>
      <w:r>
        <w:rPr>
          <w:rFonts w:hint="eastAsia" w:cs="仿宋_GB2312" w:asciiTheme="minorEastAsia" w:hAnsiTheme="minorEastAsia" w:eastAsiaTheme="minorEastAsia"/>
          <w:color w:val="auto"/>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color w:val="auto"/>
          <w:sz w:val="21"/>
          <w:szCs w:val="21"/>
          <w:lang w:val="zh-CN"/>
        </w:rPr>
        <w:t>评标过程中，不得去掉报价中的最高报价和最低报价。</w:t>
      </w:r>
    </w:p>
    <w:p>
      <w:pPr>
        <w:pStyle w:val="17"/>
        <w:spacing w:line="360" w:lineRule="auto"/>
        <w:ind w:firstLine="420" w:firstLineChars="200"/>
        <w:contextualSpacing/>
        <w:rPr>
          <w:rFonts w:cs="仿宋_GB2312" w:asciiTheme="minorEastAsia" w:hAnsiTheme="minorEastAsia"/>
          <w:color w:val="auto"/>
          <w:sz w:val="21"/>
          <w:szCs w:val="21"/>
          <w:lang w:val="zh-CN"/>
        </w:rPr>
      </w:pPr>
      <w:r>
        <w:rPr>
          <w:rFonts w:hint="eastAsia" w:cs="仿宋_GB2312" w:asciiTheme="minorEastAsia" w:hAnsiTheme="minorEastAsia"/>
          <w:color w:val="auto"/>
          <w:sz w:val="21"/>
          <w:szCs w:val="21"/>
          <w:lang w:val="zh-CN"/>
        </w:rPr>
        <w:t>注：评标标准中所涉及到的证书及材料，均应在电子投标文件中提供原件扫描件（或图片）。</w:t>
      </w:r>
    </w:p>
    <w:p>
      <w:pPr>
        <w:pStyle w:val="17"/>
        <w:spacing w:line="360" w:lineRule="auto"/>
        <w:ind w:firstLine="422" w:firstLineChars="200"/>
        <w:contextualSpacing/>
        <w:rPr>
          <w:rFonts w:cs="仿宋_GB2312" w:asciiTheme="minorEastAsia" w:hAnsiTheme="minorEastAsia" w:eastAsiaTheme="minorEastAsia"/>
          <w:b/>
          <w:color w:val="auto"/>
          <w:sz w:val="21"/>
          <w:szCs w:val="21"/>
          <w:lang w:val="zh-CN"/>
        </w:rPr>
      </w:pPr>
      <w:r>
        <w:rPr>
          <w:rFonts w:hint="eastAsia" w:cs="仿宋_GB2312" w:asciiTheme="minorEastAsia" w:hAnsiTheme="minorEastAsia" w:eastAsiaTheme="minorEastAsia"/>
          <w:b/>
          <w:color w:val="auto"/>
          <w:sz w:val="21"/>
          <w:szCs w:val="21"/>
          <w:lang w:val="zh-CN"/>
        </w:rPr>
        <w:t>（1）价格分计算</w:t>
      </w:r>
    </w:p>
    <w:p>
      <w:pPr>
        <w:pStyle w:val="17"/>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cs="仿宋_GB2312" w:asciiTheme="minorEastAsia" w:hAnsiTheme="minorEastAsia" w:eastAsiaTheme="minorEastAsia"/>
          <w:color w:val="auto"/>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7"/>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1）如果本项目非专门面向中小企业采购，对小型和微型企业投标人的投标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7"/>
        <w:spacing w:line="360" w:lineRule="auto"/>
        <w:ind w:firstLine="420" w:firstLineChars="200"/>
        <w:contextualSpacing/>
        <w:rPr>
          <w:rFonts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auto"/>
          <w:sz w:val="21"/>
          <w:szCs w:val="21"/>
        </w:rPr>
        <w:t>残疾人福利性单位属于小型、微型企业的，不重复享受政策。</w:t>
      </w:r>
    </w:p>
    <w:p>
      <w:pPr>
        <w:pStyle w:val="17"/>
        <w:spacing w:line="360" w:lineRule="auto"/>
        <w:ind w:firstLine="422" w:firstLineChars="200"/>
        <w:contextualSpacing/>
        <w:rPr>
          <w:rFonts w:cs="仿宋_GB2312" w:asciiTheme="minorEastAsia" w:hAnsiTheme="minorEastAsia" w:eastAsiaTheme="minorEastAsia"/>
          <w:b/>
          <w:color w:val="auto"/>
          <w:sz w:val="21"/>
          <w:szCs w:val="21"/>
          <w:lang w:val="zh-CN"/>
        </w:rPr>
      </w:pPr>
      <w:r>
        <w:rPr>
          <w:rFonts w:hint="eastAsia" w:asciiTheme="minorEastAsia" w:hAnsiTheme="minorEastAsia" w:eastAsiaTheme="minorEastAsia"/>
          <w:b/>
          <w:color w:val="auto"/>
          <w:sz w:val="21"/>
          <w:szCs w:val="21"/>
        </w:rPr>
        <w:t>（2）</w:t>
      </w:r>
      <w:r>
        <w:rPr>
          <w:rFonts w:cs="仿宋_GB2312" w:asciiTheme="minorEastAsia" w:hAnsiTheme="minorEastAsia" w:eastAsiaTheme="minorEastAsia"/>
          <w:b/>
          <w:color w:val="auto"/>
          <w:sz w:val="21"/>
          <w:szCs w:val="21"/>
          <w:lang w:val="zh-CN"/>
        </w:rPr>
        <w:t>关于相同品牌产品</w:t>
      </w:r>
      <w:r>
        <w:rPr>
          <w:rFonts w:cs="仿宋_GB2312" w:asciiTheme="minorEastAsia" w:hAnsiTheme="minorEastAsia" w:eastAsiaTheme="minorEastAsia"/>
          <w:b/>
          <w:bCs/>
          <w:color w:val="auto"/>
          <w:sz w:val="21"/>
          <w:szCs w:val="21"/>
          <w:lang w:val="zh-CN"/>
        </w:rPr>
        <w:t>（服务类项目不适用本条款规定）</w:t>
      </w:r>
    </w:p>
    <w:p>
      <w:pPr>
        <w:pStyle w:val="17"/>
        <w:spacing w:line="360" w:lineRule="auto"/>
        <w:ind w:firstLine="465"/>
        <w:contextualSpacing/>
        <w:jc w:val="left"/>
        <w:rPr>
          <w:rFonts w:cs="仿宋_GB2312" w:asciiTheme="minorEastAsia" w:hAnsiTheme="minorEastAsia" w:eastAsiaTheme="minorEastAsia"/>
          <w:color w:val="auto"/>
          <w:sz w:val="21"/>
          <w:szCs w:val="21"/>
          <w:lang w:val="zh-CN"/>
        </w:rPr>
      </w:pPr>
      <w:r>
        <w:rPr>
          <w:rFonts w:cs="仿宋_GB2312" w:asciiTheme="minorEastAsia" w:hAnsiTheme="minorEastAsia" w:eastAsiaTheme="minorEastAsia"/>
          <w:color w:val="auto"/>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color w:val="auto"/>
          <w:sz w:val="21"/>
          <w:szCs w:val="21"/>
          <w:lang w:val="zh-CN"/>
        </w:rPr>
        <w:t>采取随机抽取</w:t>
      </w:r>
      <w:r>
        <w:rPr>
          <w:rFonts w:cs="仿宋_GB2312" w:asciiTheme="minorEastAsia" w:hAnsiTheme="minorEastAsia" w:eastAsiaTheme="minorEastAsia"/>
          <w:color w:val="auto"/>
          <w:sz w:val="21"/>
          <w:szCs w:val="21"/>
          <w:lang w:val="zh-CN"/>
        </w:rPr>
        <w:t>方式确定一个参加评标的投标人，其他投标无效。</w:t>
      </w:r>
    </w:p>
    <w:p>
      <w:pPr>
        <w:pStyle w:val="17"/>
        <w:spacing w:line="360" w:lineRule="auto"/>
        <w:ind w:firstLine="465"/>
        <w:contextualSpacing/>
        <w:jc w:val="left"/>
        <w:rPr>
          <w:rFonts w:cs="仿宋_GB2312" w:asciiTheme="minorEastAsia" w:hAnsiTheme="minorEastAsia" w:eastAsiaTheme="minorEastAsia"/>
          <w:color w:val="auto"/>
          <w:sz w:val="21"/>
          <w:szCs w:val="21"/>
          <w:lang w:val="zh-CN"/>
        </w:rPr>
      </w:pPr>
      <w:r>
        <w:rPr>
          <w:rFonts w:cs="仿宋_GB2312" w:asciiTheme="minorEastAsia" w:hAnsiTheme="minorEastAsia" w:eastAsiaTheme="minorEastAsia"/>
          <w:color w:val="auto"/>
          <w:sz w:val="21"/>
          <w:szCs w:val="21"/>
          <w:lang w:val="zh-CN"/>
        </w:rPr>
        <w:t>采用综合评分法的，提供相同品牌产品</w:t>
      </w:r>
      <w:r>
        <w:rPr>
          <w:rFonts w:hint="eastAsia" w:cs="仿宋_GB2312" w:asciiTheme="minorEastAsia" w:hAnsiTheme="minorEastAsia" w:eastAsiaTheme="minorEastAsia"/>
          <w:color w:val="auto"/>
          <w:sz w:val="21"/>
          <w:szCs w:val="21"/>
          <w:lang w:val="zh-CN"/>
        </w:rPr>
        <w:t>（</w:t>
      </w:r>
      <w:r>
        <w:rPr>
          <w:rFonts w:cs="仿宋_GB2312" w:asciiTheme="minorEastAsia" w:hAnsiTheme="minorEastAsia" w:eastAsiaTheme="minorEastAsia"/>
          <w:color w:val="auto"/>
          <w:sz w:val="21"/>
          <w:szCs w:val="21"/>
          <w:lang w:val="zh-CN"/>
        </w:rPr>
        <w:t>非单一产品采购项目，多家投标人提供的核心产品品牌相同</w:t>
      </w:r>
      <w:r>
        <w:rPr>
          <w:rFonts w:hint="eastAsia" w:cs="仿宋_GB2312" w:asciiTheme="minorEastAsia" w:hAnsiTheme="minorEastAsia" w:eastAsiaTheme="minorEastAsia"/>
          <w:color w:val="auto"/>
          <w:sz w:val="21"/>
          <w:szCs w:val="21"/>
          <w:lang w:val="zh-CN"/>
        </w:rPr>
        <w:t>）</w:t>
      </w:r>
      <w:r>
        <w:rPr>
          <w:rFonts w:cs="仿宋_GB2312" w:asciiTheme="minorEastAsia" w:hAnsiTheme="minorEastAsia" w:eastAsiaTheme="minorEastAsia"/>
          <w:color w:val="auto"/>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color w:val="auto"/>
          <w:sz w:val="21"/>
          <w:szCs w:val="21"/>
          <w:lang w:val="zh-CN"/>
        </w:rPr>
        <w:t>由采购人或者采购人委托评标委员会</w:t>
      </w:r>
      <w:r>
        <w:rPr>
          <w:rFonts w:cs="仿宋_GB2312" w:asciiTheme="minorEastAsia" w:hAnsiTheme="minorEastAsia" w:eastAsiaTheme="minorEastAsia"/>
          <w:color w:val="auto"/>
          <w:sz w:val="21"/>
          <w:szCs w:val="21"/>
          <w:lang w:val="zh-CN"/>
        </w:rPr>
        <w:t>采取随机抽取方式确定</w:t>
      </w:r>
      <w:r>
        <w:rPr>
          <w:rFonts w:hint="eastAsia" w:cs="仿宋_GB2312" w:asciiTheme="minorEastAsia" w:hAnsiTheme="minorEastAsia" w:eastAsiaTheme="minorEastAsia"/>
          <w:color w:val="auto"/>
          <w:sz w:val="21"/>
          <w:szCs w:val="21"/>
          <w:lang w:val="zh-CN"/>
        </w:rPr>
        <w:t>一个投标人获得中标人推荐资格</w:t>
      </w:r>
      <w:r>
        <w:rPr>
          <w:rFonts w:cs="仿宋_GB2312" w:asciiTheme="minorEastAsia" w:hAnsiTheme="minorEastAsia" w:eastAsiaTheme="minorEastAsia"/>
          <w:color w:val="auto"/>
          <w:sz w:val="21"/>
          <w:szCs w:val="21"/>
          <w:lang w:val="zh-CN"/>
        </w:rPr>
        <w:t>，其他同品牌投标人不作为中标候选人。</w:t>
      </w:r>
    </w:p>
    <w:p>
      <w:pPr>
        <w:pStyle w:val="17"/>
        <w:spacing w:line="360" w:lineRule="auto"/>
        <w:ind w:firstLine="465"/>
        <w:contextualSpacing/>
        <w:jc w:val="left"/>
        <w:rPr>
          <w:rFonts w:cs="仿宋_GB2312" w:asciiTheme="minorEastAsia" w:hAnsiTheme="minorEastAsia" w:eastAsiaTheme="minorEastAsia"/>
          <w:b/>
          <w:color w:val="auto"/>
          <w:sz w:val="21"/>
          <w:szCs w:val="21"/>
          <w:lang w:val="zh-CN"/>
        </w:rPr>
      </w:pPr>
      <w:r>
        <w:rPr>
          <w:rFonts w:hint="eastAsia" w:cs="仿宋_GB2312" w:asciiTheme="minorEastAsia" w:hAnsiTheme="minorEastAsia" w:eastAsiaTheme="minorEastAsia"/>
          <w:b/>
          <w:color w:val="auto"/>
          <w:sz w:val="21"/>
          <w:szCs w:val="21"/>
          <w:lang w:val="zh-CN"/>
        </w:rPr>
        <w:t>（3）关于强制性产品认证</w:t>
      </w:r>
    </w:p>
    <w:p>
      <w:pPr>
        <w:spacing w:line="360" w:lineRule="auto"/>
        <w:ind w:firstLine="420" w:firstLineChars="200"/>
        <w:contextualSpacing/>
        <w:rPr>
          <w:rFonts w:cs="宋体" w:asciiTheme="minorEastAsia" w:hAnsiTheme="minorEastAsia"/>
          <w:color w:val="auto"/>
          <w:kern w:val="0"/>
          <w:szCs w:val="21"/>
        </w:rPr>
      </w:pPr>
      <w:r>
        <w:rPr>
          <w:rFonts w:hint="eastAsia" w:cs="仿宋_GB2312" w:asciiTheme="minorEastAsia" w:hAnsiTheme="minorEastAsia"/>
          <w:color w:val="auto"/>
          <w:szCs w:val="21"/>
          <w:lang w:val="zh-CN"/>
        </w:rPr>
        <w:t>1）如投标人所投产品属于“中国强制性产品认证”（3C认证）范围内,则必须承诺采用</w:t>
      </w:r>
      <w:r>
        <w:rPr>
          <w:rFonts w:cs="仿宋_GB2312" w:asciiTheme="minorEastAsia" w:hAnsiTheme="minorEastAsia"/>
          <w:color w:val="auto"/>
          <w:szCs w:val="21"/>
          <w:lang w:val="zh-CN"/>
        </w:rPr>
        <w:t>《中华人民共和国实施强制性产品认证的产品目录》</w:t>
      </w:r>
      <w:r>
        <w:rPr>
          <w:rFonts w:hint="eastAsia" w:cs="仿宋_GB2312" w:asciiTheme="minorEastAsia" w:hAnsiTheme="minorEastAsia"/>
          <w:color w:val="auto"/>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宋体" w:asciiTheme="minorEastAsia" w:hAnsiTheme="minorEastAsia"/>
          <w:color w:val="auto"/>
          <w:kern w:val="0"/>
          <w:szCs w:val="21"/>
        </w:rPr>
        <w:t>2)投标人所投产品如被列入</w:t>
      </w:r>
      <w:r>
        <w:rPr>
          <w:rFonts w:cs="宋体" w:asciiTheme="minorEastAsia" w:hAnsiTheme="minorEastAsia"/>
          <w:color w:val="auto"/>
          <w:kern w:val="0"/>
          <w:szCs w:val="21"/>
        </w:rPr>
        <w:t>《信息安全产品强制性认证目录》，</w:t>
      </w:r>
      <w:r>
        <w:rPr>
          <w:rFonts w:hint="eastAsia" w:cs="仿宋_GB2312" w:asciiTheme="minorEastAsia" w:hAnsiTheme="minorEastAsia"/>
          <w:color w:val="auto"/>
          <w:szCs w:val="21"/>
          <w:lang w:val="zh-CN"/>
        </w:rPr>
        <w:t>则投标文件中应根据本项目招标文件“第二章 项目需求”</w:t>
      </w:r>
      <w:r>
        <w:rPr>
          <w:rFonts w:cs="仿宋_GB2312" w:asciiTheme="minorEastAsia" w:hAnsiTheme="minorEastAsia"/>
          <w:color w:val="auto"/>
          <w:szCs w:val="21"/>
          <w:lang w:val="zh-CN"/>
        </w:rPr>
        <w:t>提供</w:t>
      </w:r>
      <w:r>
        <w:rPr>
          <w:rFonts w:hint="eastAsia" w:cs="仿宋_GB2312" w:asciiTheme="minorEastAsia" w:hAnsiTheme="minorEastAsia"/>
          <w:color w:val="auto"/>
          <w:szCs w:val="21"/>
          <w:lang w:val="zh-CN"/>
        </w:rPr>
        <w:t>：</w:t>
      </w:r>
    </w:p>
    <w:p>
      <w:pPr>
        <w:wordWrap w:val="0"/>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宋体" w:asciiTheme="minorEastAsia" w:hAnsiTheme="minorEastAsia"/>
          <w:color w:val="auto"/>
          <w:kern w:val="0"/>
          <w:szCs w:val="21"/>
        </w:rPr>
        <w:t>中国信息安全认证中心官网（</w:t>
      </w:r>
      <w:r>
        <w:rPr>
          <w:rFonts w:cs="宋体" w:asciiTheme="minorEastAsia" w:hAnsiTheme="minorEastAsia"/>
          <w:color w:val="auto"/>
          <w:kern w:val="0"/>
          <w:szCs w:val="21"/>
        </w:rPr>
        <w:t>http://www.isccc.gov.cn/index.shtml</w:t>
      </w:r>
      <w:r>
        <w:rPr>
          <w:rFonts w:hint="eastAsia" w:cs="宋体" w:asciiTheme="minorEastAsia" w:hAnsiTheme="minorEastAsia"/>
          <w:color w:val="auto"/>
          <w:kern w:val="0"/>
          <w:szCs w:val="21"/>
        </w:rPr>
        <w:t>）产品查询结果截图并加盖投标人公章或中国信息安全认证中心</w:t>
      </w:r>
      <w:r>
        <w:rPr>
          <w:rFonts w:hint="eastAsia" w:cs="仿宋_GB2312" w:asciiTheme="minorEastAsia" w:hAnsiTheme="minorEastAsia"/>
          <w:color w:val="auto"/>
          <w:szCs w:val="21"/>
          <w:lang w:val="zh-CN"/>
        </w:rPr>
        <w:t>颁发的《中国国家信息安全产品认证证书》加盖投标人公章的原件扫描件（或图片）。</w:t>
      </w:r>
    </w:p>
    <w:p>
      <w:pPr>
        <w:tabs>
          <w:tab w:val="left" w:pos="1260"/>
        </w:tabs>
        <w:autoSpaceDE w:val="0"/>
        <w:autoSpaceDN w:val="0"/>
        <w:spacing w:line="360" w:lineRule="auto"/>
        <w:ind w:firstLine="422" w:firstLineChars="200"/>
        <w:contextualSpacing/>
        <w:rPr>
          <w:rFonts w:cs="仿宋_GB2312" w:asciiTheme="minorEastAsia" w:hAnsiTheme="minorEastAsia"/>
          <w:b/>
          <w:color w:val="auto"/>
          <w:szCs w:val="21"/>
          <w:lang w:val="zh-CN"/>
        </w:rPr>
      </w:pPr>
      <w:r>
        <w:rPr>
          <w:rFonts w:hint="eastAsia" w:cs="仿宋_GB2312" w:asciiTheme="minorEastAsia" w:hAnsiTheme="minorEastAsia"/>
          <w:b/>
          <w:color w:val="auto"/>
          <w:szCs w:val="21"/>
          <w:lang w:val="zh-CN"/>
        </w:rPr>
        <w:t>（4）投标无效情形</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a.不同投标人的投标文件由同一单位或者个人编制；</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e.不同投标人的投标文件相互混装。</w:t>
      </w:r>
    </w:p>
    <w:p>
      <w:pPr>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autoSpaceDE w:val="0"/>
        <w:autoSpaceDN w:val="0"/>
        <w:adjustRightInd w:val="0"/>
        <w:spacing w:line="360" w:lineRule="auto"/>
        <w:ind w:firstLine="420" w:firstLineChars="200"/>
        <w:contextualSpacing/>
        <w:rPr>
          <w:rFonts w:cs="仿宋_GB2312" w:asciiTheme="minorEastAsia" w:hAnsiTheme="minorEastAsia"/>
          <w:b/>
          <w:color w:val="auto"/>
          <w:szCs w:val="21"/>
          <w:lang w:val="zh-CN"/>
        </w:rPr>
      </w:pPr>
      <w:r>
        <w:rPr>
          <w:rFonts w:hint="eastAsia" w:cs="仿宋_GB2312" w:asciiTheme="minorEastAsia" w:hAnsiTheme="minorEastAsia"/>
          <w:b w:val="0"/>
          <w:bCs/>
          <w:color w:val="auto"/>
          <w:szCs w:val="21"/>
          <w:lang w:val="zh-CN"/>
        </w:rPr>
        <w:t>5）</w:t>
      </w:r>
      <w:r>
        <w:rPr>
          <w:rFonts w:hint="eastAsia" w:ascii="ˎ̥" w:hAnsi="ˎ̥"/>
          <w:color w:val="auto"/>
        </w:rPr>
        <w:t>不同投标人电子投标文件制作硬件特征码（网卡MAC地址、CPU序号、硬盘序列号）均一致时，视为‘</w:t>
      </w:r>
      <w:r>
        <w:rPr>
          <w:rFonts w:ascii="ˎ̥" w:hAnsi="ˎ̥"/>
          <w:color w:val="auto"/>
        </w:rPr>
        <w:t>不同</w:t>
      </w:r>
      <w:r>
        <w:rPr>
          <w:rFonts w:hint="eastAsia" w:ascii="ˎ̥" w:hAnsi="ˎ̥"/>
          <w:color w:val="auto"/>
        </w:rPr>
        <w:t>投标人的投标</w:t>
      </w:r>
      <w:r>
        <w:rPr>
          <w:rFonts w:ascii="ˎ̥" w:hAnsi="ˎ̥"/>
          <w:color w:val="auto"/>
        </w:rPr>
        <w:t>文件由同一单位或者个人编制</w:t>
      </w:r>
      <w:r>
        <w:rPr>
          <w:rFonts w:hint="eastAsia" w:ascii="ˎ̥" w:hAnsi="ˎ̥"/>
          <w:color w:val="auto"/>
        </w:rPr>
        <w:t>’或‘</w:t>
      </w:r>
      <w:r>
        <w:rPr>
          <w:rFonts w:ascii="ˎ̥" w:hAnsi="ˎ̥"/>
          <w:color w:val="auto"/>
        </w:rPr>
        <w:t>不同</w:t>
      </w:r>
      <w:r>
        <w:rPr>
          <w:rFonts w:hint="eastAsia" w:ascii="ˎ̥" w:hAnsi="ˎ̥"/>
          <w:color w:val="auto"/>
        </w:rPr>
        <w:t>投标人</w:t>
      </w:r>
      <w:r>
        <w:rPr>
          <w:rFonts w:ascii="ˎ̥" w:hAnsi="ˎ̥"/>
          <w:color w:val="auto"/>
        </w:rPr>
        <w:t>委托同一单位或者个人办理</w:t>
      </w:r>
      <w:r>
        <w:rPr>
          <w:rFonts w:hint="eastAsia" w:ascii="ˎ̥" w:hAnsi="ˎ̥"/>
          <w:color w:val="auto"/>
        </w:rPr>
        <w:t>响应</w:t>
      </w:r>
      <w:r>
        <w:rPr>
          <w:rFonts w:ascii="ˎ̥" w:hAnsi="ˎ̥"/>
          <w:color w:val="auto"/>
        </w:rPr>
        <w:t>事宜</w:t>
      </w:r>
      <w:r>
        <w:rPr>
          <w:rFonts w:hint="eastAsia" w:ascii="ˎ̥" w:hAnsi="ˎ̥"/>
          <w:color w:val="auto"/>
        </w:rPr>
        <w:t>’，其投标无效。</w:t>
      </w:r>
    </w:p>
    <w:p>
      <w:pPr>
        <w:tabs>
          <w:tab w:val="left" w:pos="1260"/>
        </w:tabs>
        <w:autoSpaceDE w:val="0"/>
        <w:autoSpaceDN w:val="0"/>
        <w:spacing w:line="360" w:lineRule="auto"/>
        <w:ind w:firstLine="420" w:firstLineChars="200"/>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6）</w:t>
      </w:r>
      <w:r>
        <w:rPr>
          <w:rFonts w:cs="仿宋_GB2312" w:asciiTheme="minorEastAsia" w:hAnsiTheme="minorEastAsia"/>
          <w:color w:val="auto"/>
          <w:szCs w:val="21"/>
          <w:lang w:val="zh-CN"/>
        </w:rPr>
        <w:t>法律、法规和招标文件规定的其他无效情形。</w:t>
      </w:r>
    </w:p>
    <w:p>
      <w:pPr>
        <w:tabs>
          <w:tab w:val="left" w:pos="1260"/>
        </w:tabs>
        <w:autoSpaceDE w:val="0"/>
        <w:autoSpaceDN w:val="0"/>
        <w:adjustRightInd w:val="0"/>
        <w:snapToGrid w:val="0"/>
        <w:spacing w:before="240" w:after="240" w:line="360" w:lineRule="auto"/>
        <w:ind w:firstLine="422" w:firstLineChars="200"/>
        <w:rPr>
          <w:rFonts w:cs="仿宋_GB2312" w:asciiTheme="minorEastAsia" w:hAnsiTheme="minorEastAsia"/>
          <w:b/>
          <w:color w:val="auto"/>
          <w:szCs w:val="21"/>
          <w:lang w:val="zh-CN"/>
        </w:rPr>
      </w:pPr>
      <w:r>
        <w:rPr>
          <w:rFonts w:hint="eastAsia" w:cs="仿宋_GB2312" w:asciiTheme="minorEastAsia" w:hAnsiTheme="minorEastAsia"/>
          <w:b/>
          <w:color w:val="auto"/>
          <w:szCs w:val="21"/>
          <w:lang w:val="zh-CN"/>
        </w:rPr>
        <w:t>（5）评标标准</w:t>
      </w:r>
    </w:p>
    <w:tbl>
      <w:tblPr>
        <w:tblStyle w:val="26"/>
        <w:tblW w:w="8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25"/>
        <w:gridCol w:w="6419"/>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90" w:hRule="atLeast"/>
          <w:jc w:val="center"/>
        </w:trPr>
        <w:tc>
          <w:tcPr>
            <w:tcW w:w="1425" w:type="dxa"/>
            <w:shd w:val="clear" w:color="auto" w:fill="auto"/>
            <w:tcMar>
              <w:left w:w="108" w:type="dxa"/>
              <w:right w:w="108" w:type="dxa"/>
            </w:tcMar>
            <w:vAlign w:val="center"/>
          </w:tcPr>
          <w:p>
            <w:pPr>
              <w:widowControl/>
              <w:spacing w:line="330" w:lineRule="atLeast"/>
              <w:rPr>
                <w:rFonts w:cs="仿宋" w:asciiTheme="minorEastAsia" w:hAnsiTheme="minorEastAsia"/>
                <w:color w:val="auto"/>
                <w:sz w:val="24"/>
                <w:szCs w:val="24"/>
              </w:rPr>
            </w:pPr>
            <w:r>
              <w:rPr>
                <w:rFonts w:hint="eastAsia" w:cs="仿宋" w:asciiTheme="minorEastAsia" w:hAnsiTheme="minorEastAsia"/>
                <w:color w:val="auto"/>
                <w:kern w:val="0"/>
                <w:sz w:val="24"/>
                <w:szCs w:val="24"/>
              </w:rPr>
              <w:t>分值构成</w:t>
            </w:r>
          </w:p>
          <w:p>
            <w:pPr>
              <w:widowControl/>
              <w:spacing w:line="330" w:lineRule="atLeast"/>
              <w:rPr>
                <w:rFonts w:cs="仿宋" w:asciiTheme="minorEastAsia" w:hAnsiTheme="minorEastAsia"/>
                <w:color w:val="auto"/>
                <w:sz w:val="24"/>
                <w:szCs w:val="24"/>
              </w:rPr>
            </w:pPr>
            <w:r>
              <w:rPr>
                <w:rFonts w:hint="eastAsia" w:cs="仿宋" w:asciiTheme="minorEastAsia" w:hAnsiTheme="minorEastAsia"/>
                <w:color w:val="auto"/>
                <w:kern w:val="0"/>
                <w:sz w:val="24"/>
                <w:szCs w:val="24"/>
              </w:rPr>
              <w:t>(总分100分)</w:t>
            </w:r>
          </w:p>
        </w:tc>
        <w:tc>
          <w:tcPr>
            <w:tcW w:w="7512" w:type="dxa"/>
            <w:gridSpan w:val="2"/>
            <w:shd w:val="clear" w:color="auto" w:fill="auto"/>
            <w:tcMar>
              <w:left w:w="108" w:type="dxa"/>
              <w:right w:w="108" w:type="dxa"/>
            </w:tcMar>
            <w:vAlign w:val="center"/>
          </w:tcPr>
          <w:p>
            <w:pPr>
              <w:widowControl/>
              <w:spacing w:line="360" w:lineRule="atLeast"/>
              <w:jc w:val="center"/>
              <w:rPr>
                <w:rFonts w:cs="仿宋" w:asciiTheme="minorEastAsia" w:hAnsiTheme="minorEastAsia"/>
                <w:color w:val="auto"/>
                <w:sz w:val="24"/>
                <w:szCs w:val="24"/>
              </w:rPr>
            </w:pPr>
            <w:r>
              <w:rPr>
                <w:rFonts w:hint="eastAsia" w:cs="仿宋" w:asciiTheme="minorEastAsia" w:hAnsiTheme="minorEastAsia"/>
                <w:color w:val="auto"/>
                <w:kern w:val="0"/>
                <w:sz w:val="24"/>
                <w:szCs w:val="24"/>
              </w:rPr>
              <w:t>价格分值：</w:t>
            </w:r>
            <w:r>
              <w:rPr>
                <w:rFonts w:hint="eastAsia" w:cs="仿宋" w:asciiTheme="minorEastAsia" w:hAnsiTheme="minorEastAsia"/>
                <w:color w:val="auto"/>
                <w:kern w:val="0"/>
                <w:sz w:val="24"/>
                <w:szCs w:val="24"/>
                <w:u w:val="single"/>
              </w:rPr>
              <w:t xml:space="preserve"> </w:t>
            </w:r>
            <w:r>
              <w:rPr>
                <w:rFonts w:hint="eastAsia" w:cs="仿宋" w:asciiTheme="minorEastAsia" w:hAnsiTheme="minorEastAsia"/>
                <w:color w:val="auto"/>
                <w:kern w:val="0"/>
                <w:sz w:val="24"/>
                <w:szCs w:val="24"/>
                <w:u w:val="single"/>
                <w:lang w:val="en-US" w:eastAsia="zh-CN"/>
              </w:rPr>
              <w:t>15</w:t>
            </w:r>
            <w:r>
              <w:rPr>
                <w:rFonts w:hint="eastAsia" w:cs="仿宋" w:asciiTheme="minorEastAsia" w:hAnsiTheme="minorEastAsia"/>
                <w:color w:val="auto"/>
                <w:kern w:val="0"/>
                <w:sz w:val="24"/>
                <w:szCs w:val="24"/>
                <w:u w:val="single"/>
              </w:rPr>
              <w:t xml:space="preserve"> </w:t>
            </w:r>
            <w:r>
              <w:rPr>
                <w:rFonts w:hint="eastAsia" w:cs="仿宋" w:asciiTheme="minorEastAsia" w:hAnsiTheme="minorEastAsia"/>
                <w:color w:val="auto"/>
                <w:kern w:val="0"/>
                <w:sz w:val="24"/>
                <w:szCs w:val="24"/>
              </w:rPr>
              <w:t>分</w:t>
            </w:r>
          </w:p>
          <w:p>
            <w:pPr>
              <w:widowControl/>
              <w:spacing w:line="360" w:lineRule="atLeast"/>
              <w:jc w:val="center"/>
              <w:rPr>
                <w:rFonts w:cs="仿宋" w:asciiTheme="minorEastAsia" w:hAnsiTheme="minorEastAsia"/>
                <w:color w:val="auto"/>
                <w:sz w:val="24"/>
                <w:szCs w:val="24"/>
              </w:rPr>
            </w:pPr>
            <w:r>
              <w:rPr>
                <w:rFonts w:hint="eastAsia" w:cs="仿宋" w:asciiTheme="minorEastAsia" w:hAnsiTheme="minorEastAsia"/>
                <w:color w:val="auto"/>
                <w:kern w:val="0"/>
                <w:sz w:val="24"/>
                <w:szCs w:val="24"/>
              </w:rPr>
              <w:t>商务部分：</w:t>
            </w:r>
            <w:r>
              <w:rPr>
                <w:rFonts w:hint="eastAsia" w:cs="仿宋" w:asciiTheme="minorEastAsia" w:hAnsiTheme="minorEastAsia"/>
                <w:color w:val="auto"/>
                <w:kern w:val="0"/>
                <w:sz w:val="24"/>
                <w:szCs w:val="24"/>
                <w:u w:val="single"/>
              </w:rPr>
              <w:t xml:space="preserve"> </w:t>
            </w:r>
            <w:r>
              <w:rPr>
                <w:rFonts w:cs="仿宋" w:asciiTheme="minorEastAsia" w:hAnsiTheme="minorEastAsia"/>
                <w:color w:val="auto"/>
                <w:kern w:val="0"/>
                <w:sz w:val="24"/>
                <w:szCs w:val="24"/>
                <w:u w:val="single"/>
              </w:rPr>
              <w:t xml:space="preserve">35 </w:t>
            </w:r>
            <w:r>
              <w:rPr>
                <w:rFonts w:hint="eastAsia" w:cs="仿宋" w:asciiTheme="minorEastAsia" w:hAnsiTheme="minorEastAsia"/>
                <w:color w:val="auto"/>
                <w:kern w:val="0"/>
                <w:sz w:val="24"/>
                <w:szCs w:val="24"/>
              </w:rPr>
              <w:t>分</w:t>
            </w:r>
          </w:p>
          <w:p>
            <w:pPr>
              <w:widowControl/>
              <w:spacing w:line="360" w:lineRule="atLeast"/>
              <w:jc w:val="center"/>
              <w:rPr>
                <w:rFonts w:cs="仿宋" w:asciiTheme="minorEastAsia" w:hAnsiTheme="minorEastAsia"/>
                <w:color w:val="auto"/>
                <w:sz w:val="24"/>
                <w:szCs w:val="24"/>
              </w:rPr>
            </w:pPr>
            <w:r>
              <w:rPr>
                <w:rFonts w:hint="eastAsia" w:cs="仿宋" w:asciiTheme="minorEastAsia" w:hAnsiTheme="minorEastAsia"/>
                <w:color w:val="auto"/>
                <w:kern w:val="0"/>
                <w:sz w:val="24"/>
                <w:szCs w:val="24"/>
              </w:rPr>
              <w:t>技术部分：</w:t>
            </w:r>
            <w:r>
              <w:rPr>
                <w:rFonts w:hint="eastAsia" w:cs="仿宋" w:asciiTheme="minorEastAsia" w:hAnsiTheme="minorEastAsia"/>
                <w:color w:val="auto"/>
                <w:kern w:val="0"/>
                <w:sz w:val="24"/>
                <w:szCs w:val="24"/>
                <w:u w:val="single"/>
              </w:rPr>
              <w:t xml:space="preserve"> </w:t>
            </w:r>
            <w:r>
              <w:rPr>
                <w:rFonts w:hint="eastAsia" w:cs="仿宋" w:asciiTheme="minorEastAsia" w:hAnsiTheme="minorEastAsia"/>
                <w:color w:val="auto"/>
                <w:kern w:val="0"/>
                <w:sz w:val="24"/>
                <w:szCs w:val="24"/>
                <w:u w:val="single"/>
                <w:lang w:val="en-US" w:eastAsia="zh-CN"/>
              </w:rPr>
              <w:t>50</w:t>
            </w:r>
            <w:r>
              <w:rPr>
                <w:rFonts w:cs="仿宋" w:asciiTheme="minorEastAsia" w:hAnsiTheme="minorEastAsia"/>
                <w:color w:val="auto"/>
                <w:kern w:val="0"/>
                <w:sz w:val="24"/>
                <w:szCs w:val="24"/>
                <w:u w:val="single"/>
              </w:rPr>
              <w:t xml:space="preserve"> </w:t>
            </w:r>
            <w:r>
              <w:rPr>
                <w:rFonts w:hint="eastAsia" w:cs="仿宋" w:asciiTheme="minorEastAsia" w:hAnsiTheme="minorEastAsia"/>
                <w:color w:val="auto"/>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1" w:hRule="atLeast"/>
          <w:jc w:val="center"/>
        </w:trPr>
        <w:tc>
          <w:tcPr>
            <w:tcW w:w="8937" w:type="dxa"/>
            <w:gridSpan w:val="3"/>
            <w:shd w:val="clear" w:color="auto" w:fill="auto"/>
            <w:tcMar>
              <w:left w:w="108" w:type="dxa"/>
              <w:right w:w="108" w:type="dxa"/>
            </w:tcMar>
            <w:vAlign w:val="center"/>
          </w:tcPr>
          <w:p>
            <w:pPr>
              <w:widowControl/>
              <w:spacing w:line="330" w:lineRule="atLeast"/>
              <w:rPr>
                <w:rFonts w:cs="仿宋" w:asciiTheme="minorEastAsia" w:hAnsiTheme="minorEastAsia"/>
                <w:color w:val="auto"/>
                <w:sz w:val="24"/>
                <w:szCs w:val="24"/>
              </w:rPr>
            </w:pPr>
            <w:r>
              <w:rPr>
                <w:rFonts w:hint="eastAsia" w:cs="仿宋" w:asciiTheme="minorEastAsia" w:hAnsiTheme="minorEastAsia"/>
                <w:b/>
                <w:color w:val="auto"/>
                <w:kern w:val="0"/>
                <w:sz w:val="24"/>
                <w:szCs w:val="24"/>
              </w:rPr>
              <w:t>一、价格部分（满分</w:t>
            </w:r>
            <w:r>
              <w:rPr>
                <w:rFonts w:hint="eastAsia" w:cs="仿宋" w:asciiTheme="minorEastAsia" w:hAnsiTheme="minorEastAsia"/>
                <w:b/>
                <w:color w:val="auto"/>
                <w:kern w:val="0"/>
                <w:sz w:val="24"/>
                <w:szCs w:val="24"/>
                <w:u w:val="single"/>
                <w:lang w:val="en-US" w:eastAsia="zh-CN"/>
              </w:rPr>
              <w:t>15</w:t>
            </w:r>
            <w:r>
              <w:rPr>
                <w:rFonts w:hint="eastAsia" w:cs="仿宋" w:asciiTheme="minorEastAsia" w:hAnsiTheme="minorEastAsia"/>
                <w:b/>
                <w:color w:val="auto"/>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1" w:hRule="atLeast"/>
          <w:jc w:val="center"/>
        </w:trPr>
        <w:tc>
          <w:tcPr>
            <w:tcW w:w="1425" w:type="dxa"/>
            <w:shd w:val="clear" w:color="auto" w:fill="auto"/>
            <w:tcMar>
              <w:left w:w="108" w:type="dxa"/>
              <w:right w:w="108" w:type="dxa"/>
            </w:tcMar>
            <w:vAlign w:val="center"/>
          </w:tcPr>
          <w:p>
            <w:pPr>
              <w:widowControl/>
              <w:spacing w:line="330" w:lineRule="atLeast"/>
              <w:jc w:val="center"/>
              <w:rPr>
                <w:rFonts w:cs="仿宋" w:asciiTheme="minorEastAsia" w:hAnsiTheme="minorEastAsia"/>
                <w:color w:val="auto"/>
                <w:sz w:val="24"/>
                <w:szCs w:val="24"/>
              </w:rPr>
            </w:pPr>
            <w:r>
              <w:rPr>
                <w:rFonts w:hint="eastAsia" w:cs="仿宋" w:asciiTheme="minorEastAsia" w:hAnsiTheme="minorEastAsia"/>
                <w:b/>
                <w:color w:val="auto"/>
                <w:kern w:val="0"/>
                <w:sz w:val="24"/>
                <w:szCs w:val="24"/>
              </w:rPr>
              <w:t>评分因素</w:t>
            </w:r>
          </w:p>
        </w:tc>
        <w:tc>
          <w:tcPr>
            <w:tcW w:w="6419" w:type="dxa"/>
            <w:shd w:val="clear" w:color="auto" w:fill="auto"/>
            <w:tcMar>
              <w:left w:w="108" w:type="dxa"/>
              <w:right w:w="108" w:type="dxa"/>
            </w:tcMar>
            <w:vAlign w:val="center"/>
          </w:tcPr>
          <w:p>
            <w:pPr>
              <w:widowControl/>
              <w:spacing w:line="330" w:lineRule="atLeast"/>
              <w:jc w:val="center"/>
              <w:rPr>
                <w:rFonts w:cs="仿宋" w:asciiTheme="minorEastAsia" w:hAnsiTheme="minorEastAsia"/>
                <w:color w:val="auto"/>
                <w:sz w:val="24"/>
                <w:szCs w:val="24"/>
              </w:rPr>
            </w:pPr>
            <w:r>
              <w:rPr>
                <w:rFonts w:hint="eastAsia" w:cs="仿宋" w:asciiTheme="minorEastAsia" w:hAnsiTheme="minorEastAsia"/>
                <w:b/>
                <w:color w:val="auto"/>
                <w:kern w:val="0"/>
                <w:sz w:val="24"/>
                <w:szCs w:val="24"/>
              </w:rPr>
              <w:t>评分标准</w:t>
            </w:r>
          </w:p>
        </w:tc>
        <w:tc>
          <w:tcPr>
            <w:tcW w:w="1093" w:type="dxa"/>
            <w:shd w:val="clear" w:color="auto" w:fill="auto"/>
            <w:tcMar>
              <w:left w:w="108" w:type="dxa"/>
              <w:right w:w="108" w:type="dxa"/>
            </w:tcMar>
            <w:vAlign w:val="center"/>
          </w:tcPr>
          <w:p>
            <w:pPr>
              <w:widowControl/>
              <w:spacing w:line="330" w:lineRule="atLeast"/>
              <w:jc w:val="center"/>
              <w:rPr>
                <w:rFonts w:cs="仿宋" w:asciiTheme="minorEastAsia" w:hAnsiTheme="minorEastAsia"/>
                <w:color w:val="auto"/>
                <w:sz w:val="24"/>
                <w:szCs w:val="24"/>
              </w:rPr>
            </w:pPr>
            <w:r>
              <w:rPr>
                <w:rFonts w:hint="eastAsia" w:cs="仿宋" w:asciiTheme="minorEastAsia" w:hAnsiTheme="minorEastAsia"/>
                <w:b/>
                <w:color w:val="auto"/>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04" w:hRule="atLeast"/>
          <w:jc w:val="center"/>
        </w:trPr>
        <w:tc>
          <w:tcPr>
            <w:tcW w:w="1425" w:type="dxa"/>
            <w:shd w:val="clear" w:color="auto" w:fill="auto"/>
            <w:tcMar>
              <w:left w:w="108" w:type="dxa"/>
              <w:right w:w="108" w:type="dxa"/>
            </w:tcMar>
            <w:vAlign w:val="center"/>
          </w:tcPr>
          <w:p>
            <w:pPr>
              <w:widowControl/>
              <w:spacing w:line="330" w:lineRule="atLeast"/>
              <w:jc w:val="center"/>
              <w:rPr>
                <w:rFonts w:cs="仿宋" w:asciiTheme="minorEastAsia" w:hAnsiTheme="minorEastAsia"/>
                <w:color w:val="auto"/>
                <w:sz w:val="24"/>
                <w:szCs w:val="24"/>
              </w:rPr>
            </w:pPr>
            <w:r>
              <w:rPr>
                <w:rFonts w:hint="eastAsia" w:cs="仿宋" w:asciiTheme="minorEastAsia" w:hAnsiTheme="minorEastAsia"/>
                <w:color w:val="auto"/>
                <w:kern w:val="0"/>
                <w:sz w:val="24"/>
                <w:szCs w:val="24"/>
              </w:rPr>
              <w:t>投标报价</w:t>
            </w:r>
          </w:p>
        </w:tc>
        <w:tc>
          <w:tcPr>
            <w:tcW w:w="6419" w:type="dxa"/>
            <w:shd w:val="clear" w:color="auto" w:fill="auto"/>
            <w:tcMar>
              <w:left w:w="108" w:type="dxa"/>
              <w:right w:w="108" w:type="dxa"/>
            </w:tcMar>
            <w:vAlign w:val="center"/>
          </w:tcPr>
          <w:p>
            <w:pPr>
              <w:spacing w:line="276" w:lineRule="auto"/>
              <w:rPr>
                <w:rFonts w:cs="仿宋" w:asciiTheme="minorEastAsia" w:hAnsiTheme="minorEastAsia"/>
                <w:color w:val="auto"/>
                <w:sz w:val="24"/>
                <w:szCs w:val="24"/>
              </w:rPr>
            </w:pPr>
            <w:r>
              <w:rPr>
                <w:rFonts w:hint="eastAsia" w:cs="仿宋" w:asciiTheme="minorEastAsia" w:hAnsiTheme="minorEastAsia"/>
                <w:color w:val="auto"/>
                <w:sz w:val="24"/>
                <w:szCs w:val="24"/>
              </w:rPr>
              <w:t>评标基准价：满足招标文件要求的有效投标报价中，最低的投标报价为评标基准价。</w:t>
            </w:r>
          </w:p>
          <w:p>
            <w:pPr>
              <w:spacing w:line="276" w:lineRule="auto"/>
              <w:rPr>
                <w:rFonts w:hint="default" w:cs="仿宋" w:asciiTheme="minorEastAsia" w:hAnsiTheme="minorEastAsia" w:eastAsiaTheme="minorEastAsia"/>
                <w:color w:val="auto"/>
                <w:sz w:val="24"/>
                <w:szCs w:val="24"/>
                <w:lang w:val="en-US" w:eastAsia="zh-CN"/>
              </w:rPr>
            </w:pPr>
            <w:r>
              <w:rPr>
                <w:rFonts w:hint="eastAsia" w:cs="仿宋" w:asciiTheme="minorEastAsia" w:hAnsiTheme="minorEastAsia"/>
                <w:color w:val="auto"/>
                <w:sz w:val="24"/>
                <w:szCs w:val="24"/>
              </w:rPr>
              <w:t>投标报价得分=（评标基准价/投标报价）×</w:t>
            </w:r>
            <w:r>
              <w:rPr>
                <w:rFonts w:hint="eastAsia" w:cs="仿宋" w:asciiTheme="minorEastAsia" w:hAnsiTheme="minorEastAsia"/>
                <w:color w:val="auto"/>
                <w:sz w:val="24"/>
                <w:szCs w:val="24"/>
                <w:lang w:val="en-US" w:eastAsia="zh-CN"/>
              </w:rPr>
              <w:t>15</w:t>
            </w:r>
          </w:p>
        </w:tc>
        <w:tc>
          <w:tcPr>
            <w:tcW w:w="1093" w:type="dxa"/>
            <w:shd w:val="clear" w:color="auto" w:fill="auto"/>
            <w:tcMar>
              <w:left w:w="108" w:type="dxa"/>
              <w:right w:w="108" w:type="dxa"/>
            </w:tcMar>
            <w:vAlign w:val="center"/>
          </w:tcPr>
          <w:p>
            <w:pPr>
              <w:widowControl/>
              <w:spacing w:line="330" w:lineRule="atLeast"/>
              <w:jc w:val="center"/>
              <w:rPr>
                <w:rFonts w:cs="仿宋" w:asciiTheme="minorEastAsia" w:hAnsiTheme="minorEastAsia"/>
                <w:color w:val="auto"/>
                <w:sz w:val="24"/>
                <w:szCs w:val="24"/>
              </w:rPr>
            </w:pPr>
            <w:r>
              <w:rPr>
                <w:rFonts w:hint="eastAsia" w:cs="仿宋" w:asciiTheme="minorEastAsia" w:hAnsiTheme="minorEastAsia"/>
                <w:color w:val="auto"/>
                <w:kern w:val="0"/>
                <w:sz w:val="24"/>
                <w:szCs w:val="24"/>
                <w:u w:val="single"/>
                <w:lang w:val="en-US" w:eastAsia="zh-CN"/>
              </w:rPr>
              <w:t>15</w:t>
            </w:r>
            <w:r>
              <w:rPr>
                <w:rFonts w:hint="eastAsia" w:cs="仿宋" w:asciiTheme="minorEastAsia" w:hAnsiTheme="minorEastAsia"/>
                <w:color w:val="auto"/>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1" w:hRule="atLeast"/>
          <w:jc w:val="center"/>
        </w:trPr>
        <w:tc>
          <w:tcPr>
            <w:tcW w:w="8937" w:type="dxa"/>
            <w:gridSpan w:val="3"/>
            <w:shd w:val="clear" w:color="auto" w:fill="auto"/>
            <w:tcMar>
              <w:left w:w="108" w:type="dxa"/>
              <w:right w:w="108" w:type="dxa"/>
            </w:tcMar>
            <w:vAlign w:val="center"/>
          </w:tcPr>
          <w:p>
            <w:pPr>
              <w:widowControl/>
              <w:spacing w:line="330" w:lineRule="atLeast"/>
              <w:rPr>
                <w:rFonts w:cs="仿宋" w:asciiTheme="minorEastAsia" w:hAnsiTheme="minorEastAsia"/>
                <w:color w:val="auto"/>
                <w:sz w:val="24"/>
                <w:szCs w:val="24"/>
              </w:rPr>
            </w:pPr>
            <w:r>
              <w:rPr>
                <w:rFonts w:hint="eastAsia" w:cs="仿宋" w:asciiTheme="minorEastAsia" w:hAnsiTheme="minorEastAsia"/>
                <w:b/>
                <w:color w:val="auto"/>
                <w:kern w:val="0"/>
                <w:sz w:val="24"/>
                <w:szCs w:val="24"/>
              </w:rPr>
              <w:t>二、商务部分（满分</w:t>
            </w:r>
            <w:r>
              <w:rPr>
                <w:rFonts w:cs="仿宋" w:asciiTheme="minorEastAsia" w:hAnsiTheme="minorEastAsia"/>
                <w:b/>
                <w:color w:val="auto"/>
                <w:kern w:val="0"/>
                <w:sz w:val="24"/>
                <w:szCs w:val="24"/>
                <w:u w:val="single"/>
              </w:rPr>
              <w:t>35</w:t>
            </w:r>
            <w:r>
              <w:rPr>
                <w:rFonts w:hint="eastAsia" w:cs="仿宋" w:asciiTheme="minorEastAsia" w:hAnsiTheme="minorEastAsia"/>
                <w:b/>
                <w:color w:val="auto"/>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1" w:hRule="atLeast"/>
          <w:jc w:val="center"/>
        </w:trPr>
        <w:tc>
          <w:tcPr>
            <w:tcW w:w="1425" w:type="dxa"/>
            <w:shd w:val="clear" w:color="auto" w:fill="auto"/>
            <w:tcMar>
              <w:left w:w="108" w:type="dxa"/>
              <w:right w:w="108" w:type="dxa"/>
            </w:tcMar>
            <w:vAlign w:val="center"/>
          </w:tcPr>
          <w:p>
            <w:pPr>
              <w:widowControl/>
              <w:spacing w:line="330" w:lineRule="atLeast"/>
              <w:jc w:val="center"/>
              <w:rPr>
                <w:rFonts w:cs="仿宋" w:asciiTheme="minorEastAsia" w:hAnsiTheme="minorEastAsia"/>
                <w:color w:val="auto"/>
                <w:sz w:val="24"/>
                <w:szCs w:val="24"/>
              </w:rPr>
            </w:pPr>
            <w:r>
              <w:rPr>
                <w:rFonts w:hint="eastAsia" w:cs="仿宋" w:asciiTheme="minorEastAsia" w:hAnsiTheme="minorEastAsia"/>
                <w:b/>
                <w:color w:val="auto"/>
                <w:kern w:val="0"/>
                <w:sz w:val="24"/>
                <w:szCs w:val="24"/>
              </w:rPr>
              <w:t>评分因素</w:t>
            </w:r>
          </w:p>
        </w:tc>
        <w:tc>
          <w:tcPr>
            <w:tcW w:w="6419" w:type="dxa"/>
            <w:shd w:val="clear" w:color="auto" w:fill="auto"/>
            <w:tcMar>
              <w:left w:w="108" w:type="dxa"/>
              <w:right w:w="108" w:type="dxa"/>
            </w:tcMar>
            <w:vAlign w:val="center"/>
          </w:tcPr>
          <w:p>
            <w:pPr>
              <w:widowControl/>
              <w:spacing w:line="330" w:lineRule="atLeast"/>
              <w:jc w:val="center"/>
              <w:rPr>
                <w:rFonts w:cs="仿宋" w:asciiTheme="minorEastAsia" w:hAnsiTheme="minorEastAsia"/>
                <w:color w:val="auto"/>
                <w:sz w:val="24"/>
                <w:szCs w:val="24"/>
              </w:rPr>
            </w:pPr>
            <w:r>
              <w:rPr>
                <w:rFonts w:hint="eastAsia" w:cs="仿宋" w:asciiTheme="minorEastAsia" w:hAnsiTheme="minorEastAsia"/>
                <w:b/>
                <w:color w:val="auto"/>
                <w:kern w:val="0"/>
                <w:sz w:val="24"/>
                <w:szCs w:val="24"/>
              </w:rPr>
              <w:t>评分标准</w:t>
            </w:r>
          </w:p>
        </w:tc>
        <w:tc>
          <w:tcPr>
            <w:tcW w:w="1093" w:type="dxa"/>
            <w:shd w:val="clear" w:color="auto" w:fill="auto"/>
            <w:tcMar>
              <w:left w:w="108" w:type="dxa"/>
              <w:right w:w="108" w:type="dxa"/>
            </w:tcMar>
            <w:vAlign w:val="center"/>
          </w:tcPr>
          <w:p>
            <w:pPr>
              <w:widowControl/>
              <w:spacing w:line="330" w:lineRule="atLeast"/>
              <w:jc w:val="center"/>
              <w:rPr>
                <w:rFonts w:cs="仿宋" w:asciiTheme="minorEastAsia" w:hAnsiTheme="minorEastAsia"/>
                <w:color w:val="auto"/>
                <w:sz w:val="24"/>
                <w:szCs w:val="24"/>
              </w:rPr>
            </w:pPr>
            <w:r>
              <w:rPr>
                <w:rFonts w:hint="eastAsia" w:cs="仿宋" w:asciiTheme="minorEastAsia" w:hAnsiTheme="minorEastAsia"/>
                <w:b/>
                <w:color w:val="auto"/>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81" w:hRule="atLeast"/>
          <w:jc w:val="center"/>
        </w:trPr>
        <w:tc>
          <w:tcPr>
            <w:tcW w:w="1425" w:type="dxa"/>
            <w:shd w:val="clear" w:color="auto" w:fill="auto"/>
            <w:tcMar>
              <w:left w:w="108" w:type="dxa"/>
              <w:right w:w="108" w:type="dxa"/>
            </w:tcMar>
            <w:vAlign w:val="center"/>
          </w:tcPr>
          <w:p>
            <w:pPr>
              <w:jc w:val="center"/>
              <w:rPr>
                <w:color w:val="auto"/>
              </w:rPr>
            </w:pPr>
            <w:r>
              <w:rPr>
                <w:rFonts w:hint="eastAsia"/>
                <w:color w:val="auto"/>
              </w:rPr>
              <w:t>业绩</w:t>
            </w:r>
          </w:p>
        </w:tc>
        <w:tc>
          <w:tcPr>
            <w:tcW w:w="6419" w:type="dxa"/>
            <w:shd w:val="clear" w:color="auto" w:fill="auto"/>
            <w:tcMar>
              <w:left w:w="108" w:type="dxa"/>
              <w:right w:w="108" w:type="dxa"/>
            </w:tcMar>
            <w:vAlign w:val="center"/>
          </w:tcPr>
          <w:p>
            <w:pPr>
              <w:ind w:firstLine="420" w:firstLineChars="200"/>
              <w:jc w:val="left"/>
              <w:rPr>
                <w:color w:val="auto"/>
                <w:highlight w:val="none"/>
              </w:rPr>
            </w:pPr>
            <w:r>
              <w:rPr>
                <w:rFonts w:hint="eastAsia"/>
                <w:color w:val="auto"/>
                <w:highlight w:val="none"/>
              </w:rPr>
              <w:t>投标人2018年1月1日以来具有类似业绩的，每份业绩得</w:t>
            </w:r>
            <w:r>
              <w:rPr>
                <w:color w:val="auto"/>
                <w:highlight w:val="none"/>
              </w:rPr>
              <w:t>2</w:t>
            </w:r>
            <w:r>
              <w:rPr>
                <w:rFonts w:hint="eastAsia"/>
                <w:color w:val="auto"/>
                <w:highlight w:val="none"/>
              </w:rPr>
              <w:t>分，满分</w:t>
            </w:r>
            <w:r>
              <w:rPr>
                <w:color w:val="auto"/>
                <w:highlight w:val="none"/>
              </w:rPr>
              <w:t>6</w:t>
            </w:r>
            <w:r>
              <w:rPr>
                <w:rFonts w:hint="eastAsia"/>
                <w:color w:val="auto"/>
                <w:highlight w:val="none"/>
              </w:rPr>
              <w:t>分。（需提供中标通知书、合同、中标公告的网上截图。）</w:t>
            </w:r>
          </w:p>
          <w:p>
            <w:pPr>
              <w:pStyle w:val="2"/>
              <w:ind w:firstLine="211"/>
              <w:jc w:val="left"/>
              <w:rPr>
                <w:b/>
                <w:color w:val="auto"/>
              </w:rPr>
            </w:pPr>
            <w:r>
              <w:rPr>
                <w:rFonts w:hint="eastAsia" w:asciiTheme="minorHAnsi" w:hAnsiTheme="minorHAnsi" w:eastAsiaTheme="minorEastAsia" w:cstheme="minorBidi"/>
                <w:b/>
                <w:color w:val="auto"/>
                <w:kern w:val="2"/>
                <w:sz w:val="21"/>
                <w:szCs w:val="22"/>
                <w:highlight w:val="none"/>
              </w:rPr>
              <w:t>类似业绩是指生活垃圾分类运营服务。</w:t>
            </w:r>
          </w:p>
        </w:tc>
        <w:tc>
          <w:tcPr>
            <w:tcW w:w="1093" w:type="dxa"/>
            <w:shd w:val="clear" w:color="auto" w:fill="auto"/>
            <w:tcMar>
              <w:left w:w="108" w:type="dxa"/>
              <w:right w:w="108" w:type="dxa"/>
            </w:tcMar>
            <w:vAlign w:val="center"/>
          </w:tcPr>
          <w:p>
            <w:pPr>
              <w:jc w:val="center"/>
              <w:rPr>
                <w:color w:val="auto"/>
              </w:rPr>
            </w:pPr>
            <w:r>
              <w:rPr>
                <w:color w:val="auto"/>
              </w:rPr>
              <w:t>6</w:t>
            </w:r>
            <w:r>
              <w:rPr>
                <w:rFonts w:hint="eastAsia"/>
                <w:color w:val="auto"/>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20" w:hRule="atLeast"/>
          <w:jc w:val="center"/>
        </w:trPr>
        <w:tc>
          <w:tcPr>
            <w:tcW w:w="1425" w:type="dxa"/>
            <w:shd w:val="clear" w:color="auto" w:fill="auto"/>
            <w:tcMar>
              <w:left w:w="108" w:type="dxa"/>
              <w:right w:w="108" w:type="dxa"/>
            </w:tcMar>
            <w:vAlign w:val="center"/>
          </w:tcPr>
          <w:p>
            <w:pPr>
              <w:jc w:val="center"/>
              <w:rPr>
                <w:color w:val="auto"/>
              </w:rPr>
            </w:pPr>
            <w:r>
              <w:rPr>
                <w:rFonts w:hint="eastAsia"/>
                <w:color w:val="auto"/>
              </w:rPr>
              <w:t>企业实力</w:t>
            </w:r>
          </w:p>
        </w:tc>
        <w:tc>
          <w:tcPr>
            <w:tcW w:w="6419" w:type="dxa"/>
            <w:shd w:val="clear" w:color="auto" w:fill="auto"/>
            <w:tcMar>
              <w:left w:w="108" w:type="dxa"/>
              <w:right w:w="108" w:type="dxa"/>
            </w:tcMar>
            <w:vAlign w:val="center"/>
          </w:tcPr>
          <w:p>
            <w:pPr>
              <w:spacing w:line="240" w:lineRule="auto"/>
              <w:rPr>
                <w:color w:val="auto"/>
              </w:rPr>
            </w:pPr>
            <w:r>
              <w:rPr>
                <w:rFonts w:hint="eastAsia"/>
                <w:color w:val="auto"/>
              </w:rPr>
              <w:t>1、投标人获得市级及以上人民政府颁发“资源节约、环境友好两型示范单位”证书得</w:t>
            </w:r>
            <w:r>
              <w:rPr>
                <w:color w:val="auto"/>
              </w:rPr>
              <w:t>5</w:t>
            </w:r>
            <w:r>
              <w:rPr>
                <w:rFonts w:hint="eastAsia"/>
                <w:color w:val="auto"/>
              </w:rPr>
              <w:t>分，没有不得分；</w:t>
            </w:r>
            <w:r>
              <w:rPr>
                <w:rFonts w:hint="eastAsia"/>
                <w:color w:val="auto"/>
                <w:lang w:eastAsia="zh-CN"/>
              </w:rPr>
              <w:t>（以证书原件扫描件或图片为准）</w:t>
            </w:r>
          </w:p>
          <w:p>
            <w:pPr>
              <w:spacing w:line="240" w:lineRule="auto"/>
              <w:rPr>
                <w:color w:val="auto"/>
              </w:rPr>
            </w:pPr>
            <w:r>
              <w:rPr>
                <w:rFonts w:hint="eastAsia"/>
                <w:color w:val="auto"/>
              </w:rPr>
              <w:t>2、投标人获得市级及以上工会部门颁发</w:t>
            </w:r>
            <w:r>
              <w:rPr>
                <w:rFonts w:hint="eastAsia"/>
                <w:color w:val="auto"/>
                <w:lang w:eastAsia="zh-CN"/>
              </w:rPr>
              <w:t>的</w:t>
            </w:r>
            <w:r>
              <w:rPr>
                <w:rFonts w:hint="eastAsia"/>
                <w:color w:val="auto"/>
              </w:rPr>
              <w:t>荣誉证书得</w:t>
            </w:r>
            <w:r>
              <w:rPr>
                <w:color w:val="auto"/>
              </w:rPr>
              <w:t>5</w:t>
            </w:r>
            <w:r>
              <w:rPr>
                <w:rFonts w:hint="eastAsia"/>
                <w:color w:val="auto"/>
              </w:rPr>
              <w:t>分，没有不得分；</w:t>
            </w:r>
            <w:r>
              <w:rPr>
                <w:rFonts w:hint="eastAsia"/>
                <w:color w:val="auto"/>
                <w:lang w:eastAsia="zh-CN"/>
              </w:rPr>
              <w:t>（以证书原件扫描件或图片为准）</w:t>
            </w:r>
          </w:p>
          <w:p>
            <w:pPr>
              <w:spacing w:line="240" w:lineRule="auto"/>
              <w:rPr>
                <w:color w:val="auto"/>
              </w:rPr>
            </w:pPr>
            <w:r>
              <w:rPr>
                <w:rFonts w:hint="eastAsia"/>
                <w:color w:val="auto"/>
              </w:rPr>
              <w:t>3、投标人获得市级及以上环保部门颁发“环保诚信企业”证书得</w:t>
            </w:r>
            <w:r>
              <w:rPr>
                <w:color w:val="auto"/>
              </w:rPr>
              <w:t>5</w:t>
            </w:r>
            <w:r>
              <w:rPr>
                <w:rFonts w:hint="eastAsia"/>
                <w:color w:val="auto"/>
              </w:rPr>
              <w:t>分，没有不得分。</w:t>
            </w:r>
            <w:r>
              <w:rPr>
                <w:rFonts w:hint="eastAsia"/>
                <w:color w:val="auto"/>
                <w:lang w:eastAsia="zh-CN"/>
              </w:rPr>
              <w:t>（以证书原件扫描件或图片为准）</w:t>
            </w:r>
          </w:p>
        </w:tc>
        <w:tc>
          <w:tcPr>
            <w:tcW w:w="1093" w:type="dxa"/>
            <w:shd w:val="clear" w:color="auto" w:fill="auto"/>
            <w:tcMar>
              <w:left w:w="108" w:type="dxa"/>
              <w:right w:w="108" w:type="dxa"/>
            </w:tcMar>
            <w:vAlign w:val="center"/>
          </w:tcPr>
          <w:p>
            <w:pPr>
              <w:jc w:val="center"/>
              <w:rPr>
                <w:color w:val="auto"/>
              </w:rPr>
            </w:pPr>
            <w:r>
              <w:rPr>
                <w:color w:val="auto"/>
              </w:rPr>
              <w:t>15</w:t>
            </w:r>
            <w:r>
              <w:rPr>
                <w:rFonts w:hint="eastAsia"/>
                <w:color w:val="auto"/>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52" w:hRule="atLeast"/>
          <w:jc w:val="center"/>
        </w:trPr>
        <w:tc>
          <w:tcPr>
            <w:tcW w:w="1425" w:type="dxa"/>
            <w:shd w:val="clear" w:color="auto" w:fill="auto"/>
            <w:tcMar>
              <w:left w:w="108" w:type="dxa"/>
              <w:right w:w="108" w:type="dxa"/>
            </w:tcMar>
            <w:vAlign w:val="center"/>
          </w:tcPr>
          <w:p>
            <w:pPr>
              <w:jc w:val="center"/>
              <w:rPr>
                <w:color w:val="auto"/>
              </w:rPr>
            </w:pPr>
            <w:r>
              <w:rPr>
                <w:rFonts w:hint="eastAsia"/>
                <w:color w:val="auto"/>
              </w:rPr>
              <w:t>企业管理体系</w:t>
            </w:r>
          </w:p>
        </w:tc>
        <w:tc>
          <w:tcPr>
            <w:tcW w:w="6419" w:type="dxa"/>
            <w:shd w:val="clear" w:color="auto" w:fill="auto"/>
            <w:tcMar>
              <w:left w:w="108" w:type="dxa"/>
              <w:right w:w="108" w:type="dxa"/>
            </w:tcMar>
            <w:vAlign w:val="center"/>
          </w:tcPr>
          <w:p>
            <w:pPr>
              <w:rPr>
                <w:color w:val="auto"/>
              </w:rPr>
            </w:pPr>
            <w:r>
              <w:rPr>
                <w:rFonts w:hint="eastAsia"/>
                <w:color w:val="auto"/>
              </w:rPr>
              <w:t>1、投标人通过ISO9001、ISO14001、ISO</w:t>
            </w:r>
            <w:r>
              <w:rPr>
                <w:rFonts w:hint="eastAsia"/>
                <w:color w:val="auto"/>
                <w:lang w:val="en-US" w:eastAsia="zh-CN"/>
              </w:rPr>
              <w:t>18</w:t>
            </w:r>
            <w:r>
              <w:rPr>
                <w:rFonts w:hint="eastAsia"/>
                <w:color w:val="auto"/>
              </w:rPr>
              <w:t>001管理体系认证，每有一份合格有效的证书得1分，最高得3分。</w:t>
            </w:r>
            <w:r>
              <w:rPr>
                <w:rFonts w:hint="eastAsia"/>
                <w:color w:val="auto"/>
                <w:lang w:eastAsia="zh-CN"/>
              </w:rPr>
              <w:t>（以证书原件扫描件或图片为准）</w:t>
            </w:r>
          </w:p>
          <w:p>
            <w:pPr>
              <w:rPr>
                <w:color w:val="auto"/>
              </w:rPr>
            </w:pPr>
            <w:r>
              <w:rPr>
                <w:rFonts w:hint="eastAsia"/>
                <w:color w:val="auto"/>
              </w:rPr>
              <w:t>2、投标人提供GB/T 27922-2011售后服务评价体系证书得1分，没有不得分。</w:t>
            </w:r>
            <w:r>
              <w:rPr>
                <w:rFonts w:hint="eastAsia"/>
                <w:color w:val="auto"/>
                <w:lang w:eastAsia="zh-CN"/>
              </w:rPr>
              <w:t>（以证书原件扫描件或图片为准）</w:t>
            </w:r>
          </w:p>
        </w:tc>
        <w:tc>
          <w:tcPr>
            <w:tcW w:w="1093" w:type="dxa"/>
            <w:shd w:val="clear" w:color="auto" w:fill="auto"/>
            <w:tcMar>
              <w:left w:w="108" w:type="dxa"/>
              <w:right w:w="108" w:type="dxa"/>
            </w:tcMar>
            <w:vAlign w:val="center"/>
          </w:tcPr>
          <w:p>
            <w:pPr>
              <w:jc w:val="center"/>
              <w:rPr>
                <w:color w:val="auto"/>
              </w:rPr>
            </w:pPr>
            <w:r>
              <w:rPr>
                <w:rFonts w:hint="eastAsia"/>
                <w:color w:val="auto"/>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58" w:hRule="atLeast"/>
          <w:jc w:val="center"/>
        </w:trPr>
        <w:tc>
          <w:tcPr>
            <w:tcW w:w="1425" w:type="dxa"/>
            <w:shd w:val="clear" w:color="auto" w:fill="auto"/>
            <w:tcMar>
              <w:left w:w="108" w:type="dxa"/>
              <w:right w:w="108" w:type="dxa"/>
            </w:tcMar>
            <w:vAlign w:val="center"/>
          </w:tcPr>
          <w:p>
            <w:pPr>
              <w:widowControl/>
              <w:spacing w:line="276" w:lineRule="auto"/>
              <w:jc w:val="center"/>
              <w:rPr>
                <w:color w:val="auto"/>
              </w:rPr>
            </w:pPr>
            <w:r>
              <w:rPr>
                <w:rFonts w:hint="eastAsia" w:ascii="宋体" w:hAnsi="宋体" w:cs="宋体"/>
                <w:color w:val="auto"/>
                <w:kern w:val="0"/>
                <w:sz w:val="24"/>
                <w:szCs w:val="24"/>
              </w:rPr>
              <w:t>服务承诺</w:t>
            </w:r>
          </w:p>
        </w:tc>
        <w:tc>
          <w:tcPr>
            <w:tcW w:w="6419" w:type="dxa"/>
            <w:shd w:val="clear" w:color="auto" w:fill="auto"/>
            <w:tcMar>
              <w:left w:w="108" w:type="dxa"/>
              <w:right w:w="108" w:type="dxa"/>
            </w:tcMar>
            <w:vAlign w:val="center"/>
          </w:tcPr>
          <w:p>
            <w:pPr>
              <w:rPr>
                <w:rFonts w:hint="eastAsia"/>
                <w:color w:val="auto"/>
              </w:rPr>
            </w:pPr>
            <w:r>
              <w:rPr>
                <w:rFonts w:hint="eastAsia"/>
                <w:color w:val="auto"/>
              </w:rPr>
              <w:t>1、承诺遵守国家、省、市、区垃圾分类工作标准等各种文件要求的</w:t>
            </w:r>
            <w:r>
              <w:rPr>
                <w:rFonts w:hint="eastAsia"/>
                <w:color w:val="auto"/>
                <w:lang w:eastAsia="zh-CN"/>
              </w:rPr>
              <w:t>，</w:t>
            </w:r>
            <w:r>
              <w:rPr>
                <w:rFonts w:hint="eastAsia"/>
                <w:color w:val="auto"/>
              </w:rPr>
              <w:t>如果国家、省、市、区垃圾分类的标准等各种文件进行了变动调整，供应商应及时响应变动调整，按照最新标准或文件执行的</w:t>
            </w:r>
            <w:r>
              <w:rPr>
                <w:rFonts w:hint="eastAsia"/>
                <w:color w:val="auto"/>
                <w:lang w:eastAsia="zh-CN"/>
              </w:rPr>
              <w:t>得</w:t>
            </w:r>
            <w:r>
              <w:rPr>
                <w:rFonts w:hint="eastAsia"/>
                <w:color w:val="auto"/>
              </w:rPr>
              <w:t>2 分</w:t>
            </w:r>
            <w:r>
              <w:rPr>
                <w:rFonts w:hint="eastAsia"/>
                <w:color w:val="auto"/>
                <w:lang w:eastAsia="zh-CN"/>
              </w:rPr>
              <w:t>，无此内容或不全的不得分。</w:t>
            </w:r>
          </w:p>
          <w:p>
            <w:pPr>
              <w:rPr>
                <w:rFonts w:hint="eastAsia"/>
                <w:color w:val="auto"/>
                <w:lang w:eastAsia="zh-CN"/>
              </w:rPr>
            </w:pPr>
            <w:r>
              <w:rPr>
                <w:rFonts w:hint="eastAsia"/>
                <w:color w:val="auto"/>
              </w:rPr>
              <w:t>2、承诺随时配合采购人进行实施，并在服务期内安全文明作业的</w:t>
            </w:r>
            <w:r>
              <w:rPr>
                <w:rFonts w:hint="eastAsia"/>
                <w:color w:val="auto"/>
                <w:lang w:eastAsia="zh-CN"/>
              </w:rPr>
              <w:t>得</w:t>
            </w:r>
            <w:r>
              <w:rPr>
                <w:rFonts w:hint="eastAsia"/>
                <w:color w:val="auto"/>
              </w:rPr>
              <w:t>2 分</w:t>
            </w:r>
            <w:r>
              <w:rPr>
                <w:rFonts w:hint="eastAsia"/>
                <w:color w:val="auto"/>
                <w:lang w:eastAsia="zh-CN"/>
              </w:rPr>
              <w:t>，无此内容或不全的不得分。</w:t>
            </w:r>
          </w:p>
          <w:p>
            <w:pPr>
              <w:rPr>
                <w:rFonts w:hint="eastAsia"/>
                <w:color w:val="auto"/>
              </w:rPr>
            </w:pPr>
            <w:r>
              <w:rPr>
                <w:rFonts w:hint="eastAsia"/>
                <w:color w:val="auto"/>
              </w:rPr>
              <w:t>3、承诺按照许昌市用工要求来招聘员工，在服务期限内员工所产生的一切安全事故、纠纷等由供应商自身负责解决，与招标方无关的</w:t>
            </w:r>
            <w:r>
              <w:rPr>
                <w:rFonts w:hint="eastAsia"/>
                <w:color w:val="auto"/>
                <w:lang w:eastAsia="zh-CN"/>
              </w:rPr>
              <w:t>得</w:t>
            </w:r>
            <w:r>
              <w:rPr>
                <w:rFonts w:hint="eastAsia"/>
                <w:color w:val="auto"/>
              </w:rPr>
              <w:t>2分</w:t>
            </w:r>
            <w:r>
              <w:rPr>
                <w:rFonts w:hint="eastAsia"/>
                <w:color w:val="auto"/>
                <w:lang w:eastAsia="zh-CN"/>
              </w:rPr>
              <w:t>，无此内容或不全的不得分。</w:t>
            </w:r>
            <w:r>
              <w:rPr>
                <w:rFonts w:hint="eastAsia"/>
                <w:color w:val="auto"/>
              </w:rPr>
              <w:t xml:space="preserve">                                        </w:t>
            </w:r>
          </w:p>
          <w:p>
            <w:pPr>
              <w:rPr>
                <w:rFonts w:hint="eastAsia"/>
                <w:color w:val="auto"/>
              </w:rPr>
            </w:pPr>
            <w:r>
              <w:rPr>
                <w:rFonts w:hint="eastAsia"/>
                <w:color w:val="auto"/>
              </w:rPr>
              <w:t>4、其他承诺，评标委员会根据其他承诺的合理性及可行性，横向比较0-2分。</w:t>
            </w:r>
          </w:p>
          <w:p>
            <w:pPr>
              <w:rPr>
                <w:rFonts w:hint="eastAsia"/>
                <w:color w:val="auto"/>
              </w:rPr>
            </w:pPr>
            <w:r>
              <w:rPr>
                <w:rFonts w:hint="eastAsia"/>
                <w:color w:val="auto"/>
              </w:rPr>
              <w:t>5、供应商提供的</w:t>
            </w:r>
            <w:r>
              <w:rPr>
                <w:rFonts w:hint="eastAsia"/>
                <w:color w:val="auto"/>
                <w:lang w:eastAsia="zh-CN"/>
              </w:rPr>
              <w:t>整体</w:t>
            </w:r>
            <w:r>
              <w:rPr>
                <w:rFonts w:hint="eastAsia"/>
                <w:color w:val="auto"/>
              </w:rPr>
              <w:t>服务承诺方案，评标委员会根据方案的合理性及可行性在 0-2 分范围内量化。</w:t>
            </w:r>
          </w:p>
        </w:tc>
        <w:tc>
          <w:tcPr>
            <w:tcW w:w="1093" w:type="dxa"/>
            <w:shd w:val="clear" w:color="auto" w:fill="auto"/>
            <w:tcMar>
              <w:left w:w="108" w:type="dxa"/>
              <w:right w:w="108" w:type="dxa"/>
            </w:tcMar>
            <w:vAlign w:val="center"/>
          </w:tcPr>
          <w:p>
            <w:pPr>
              <w:widowControl/>
              <w:spacing w:line="276" w:lineRule="auto"/>
              <w:jc w:val="center"/>
              <w:rPr>
                <w:color w:val="auto"/>
              </w:rPr>
            </w:pPr>
            <w:r>
              <w:rPr>
                <w:rFonts w:ascii="宋体" w:hAnsi="宋体" w:cs="宋体"/>
                <w:color w:val="auto"/>
                <w:kern w:val="0"/>
                <w:sz w:val="24"/>
                <w:szCs w:val="24"/>
              </w:rPr>
              <w:t>10</w:t>
            </w:r>
            <w:r>
              <w:rPr>
                <w:rFonts w:hint="eastAsia" w:ascii="宋体" w:hAnsi="宋体" w:cs="宋体"/>
                <w:color w:val="auto"/>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3" w:hRule="atLeast"/>
          <w:jc w:val="center"/>
        </w:trPr>
        <w:tc>
          <w:tcPr>
            <w:tcW w:w="8937" w:type="dxa"/>
            <w:gridSpan w:val="3"/>
            <w:shd w:val="clear" w:color="auto" w:fill="auto"/>
            <w:tcMar>
              <w:left w:w="108" w:type="dxa"/>
              <w:right w:w="108" w:type="dxa"/>
            </w:tcMar>
            <w:vAlign w:val="center"/>
          </w:tcPr>
          <w:p>
            <w:pPr>
              <w:widowControl/>
              <w:spacing w:line="330" w:lineRule="atLeast"/>
              <w:rPr>
                <w:rFonts w:cs="仿宋" w:asciiTheme="minorEastAsia" w:hAnsiTheme="minorEastAsia"/>
                <w:color w:val="auto"/>
                <w:sz w:val="24"/>
                <w:szCs w:val="24"/>
              </w:rPr>
            </w:pPr>
            <w:r>
              <w:rPr>
                <w:rFonts w:hint="eastAsia" w:cs="仿宋" w:asciiTheme="minorEastAsia" w:hAnsiTheme="minorEastAsia"/>
                <w:b/>
                <w:color w:val="auto"/>
                <w:kern w:val="0"/>
                <w:sz w:val="24"/>
                <w:szCs w:val="24"/>
              </w:rPr>
              <w:t>三、技术部分（满分</w:t>
            </w:r>
            <w:r>
              <w:rPr>
                <w:rFonts w:hint="eastAsia" w:cs="仿宋" w:asciiTheme="minorEastAsia" w:hAnsiTheme="minorEastAsia"/>
                <w:b/>
                <w:color w:val="auto"/>
                <w:kern w:val="0"/>
                <w:sz w:val="24"/>
                <w:szCs w:val="24"/>
                <w:u w:val="single"/>
                <w:lang w:val="en-US" w:eastAsia="zh-CN"/>
              </w:rPr>
              <w:t>50</w:t>
            </w:r>
            <w:r>
              <w:rPr>
                <w:rFonts w:hint="eastAsia" w:cs="仿宋" w:asciiTheme="minorEastAsia" w:hAnsiTheme="minorEastAsia"/>
                <w:b/>
                <w:color w:val="auto"/>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1" w:hRule="atLeast"/>
          <w:jc w:val="center"/>
        </w:trPr>
        <w:tc>
          <w:tcPr>
            <w:tcW w:w="1425" w:type="dxa"/>
            <w:shd w:val="clear" w:color="auto" w:fill="auto"/>
            <w:tcMar>
              <w:left w:w="108" w:type="dxa"/>
              <w:right w:w="108" w:type="dxa"/>
            </w:tcMar>
            <w:vAlign w:val="center"/>
          </w:tcPr>
          <w:p>
            <w:pPr>
              <w:widowControl/>
              <w:spacing w:line="330" w:lineRule="atLeast"/>
              <w:jc w:val="center"/>
              <w:rPr>
                <w:rFonts w:cs="仿宋" w:asciiTheme="minorEastAsia" w:hAnsiTheme="minorEastAsia"/>
                <w:color w:val="auto"/>
                <w:sz w:val="24"/>
                <w:szCs w:val="24"/>
              </w:rPr>
            </w:pPr>
            <w:r>
              <w:rPr>
                <w:rFonts w:hint="eastAsia" w:cs="仿宋" w:asciiTheme="minorEastAsia" w:hAnsiTheme="minorEastAsia"/>
                <w:b/>
                <w:color w:val="auto"/>
                <w:kern w:val="0"/>
                <w:sz w:val="24"/>
                <w:szCs w:val="24"/>
              </w:rPr>
              <w:t>评分因素</w:t>
            </w:r>
          </w:p>
        </w:tc>
        <w:tc>
          <w:tcPr>
            <w:tcW w:w="6419" w:type="dxa"/>
            <w:shd w:val="clear" w:color="auto" w:fill="auto"/>
            <w:tcMar>
              <w:left w:w="108" w:type="dxa"/>
              <w:right w:w="108" w:type="dxa"/>
            </w:tcMar>
            <w:vAlign w:val="center"/>
          </w:tcPr>
          <w:p>
            <w:pPr>
              <w:widowControl/>
              <w:spacing w:line="330" w:lineRule="atLeast"/>
              <w:jc w:val="center"/>
              <w:rPr>
                <w:rFonts w:cs="仿宋" w:asciiTheme="minorEastAsia" w:hAnsiTheme="minorEastAsia"/>
                <w:color w:val="auto"/>
                <w:sz w:val="24"/>
                <w:szCs w:val="24"/>
              </w:rPr>
            </w:pPr>
            <w:r>
              <w:rPr>
                <w:rFonts w:hint="eastAsia" w:cs="仿宋" w:asciiTheme="minorEastAsia" w:hAnsiTheme="minorEastAsia"/>
                <w:b/>
                <w:color w:val="auto"/>
                <w:kern w:val="0"/>
                <w:sz w:val="24"/>
                <w:szCs w:val="24"/>
              </w:rPr>
              <w:t>评分标准</w:t>
            </w:r>
          </w:p>
        </w:tc>
        <w:tc>
          <w:tcPr>
            <w:tcW w:w="1093" w:type="dxa"/>
            <w:shd w:val="clear" w:color="auto" w:fill="auto"/>
            <w:tcMar>
              <w:left w:w="108" w:type="dxa"/>
              <w:right w:w="108" w:type="dxa"/>
            </w:tcMar>
            <w:vAlign w:val="center"/>
          </w:tcPr>
          <w:p>
            <w:pPr>
              <w:widowControl/>
              <w:spacing w:line="330" w:lineRule="atLeast"/>
              <w:jc w:val="center"/>
              <w:rPr>
                <w:rFonts w:cs="仿宋" w:asciiTheme="minorEastAsia" w:hAnsiTheme="minorEastAsia"/>
                <w:color w:val="auto"/>
                <w:sz w:val="24"/>
                <w:szCs w:val="24"/>
              </w:rPr>
            </w:pPr>
            <w:r>
              <w:rPr>
                <w:rFonts w:hint="eastAsia" w:cs="仿宋" w:asciiTheme="minorEastAsia" w:hAnsiTheme="minorEastAsia"/>
                <w:b/>
                <w:color w:val="auto"/>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74" w:hRule="atLeast"/>
          <w:jc w:val="center"/>
        </w:trPr>
        <w:tc>
          <w:tcPr>
            <w:tcW w:w="1425" w:type="dxa"/>
            <w:shd w:val="clear" w:color="auto" w:fill="auto"/>
            <w:tcMar>
              <w:left w:w="108" w:type="dxa"/>
              <w:right w:w="108" w:type="dxa"/>
            </w:tcMar>
            <w:vAlign w:val="center"/>
          </w:tcPr>
          <w:p>
            <w:pPr>
              <w:jc w:val="center"/>
              <w:rPr>
                <w:color w:val="auto"/>
              </w:rPr>
            </w:pPr>
            <w:r>
              <w:rPr>
                <w:rFonts w:hint="eastAsia" w:ascii="宋体" w:hAnsi="宋体" w:cs="宋体"/>
                <w:bCs/>
                <w:color w:val="auto"/>
                <w:kern w:val="0"/>
                <w:sz w:val="24"/>
                <w:szCs w:val="24"/>
              </w:rPr>
              <w:t>技术人员配备</w:t>
            </w:r>
          </w:p>
        </w:tc>
        <w:tc>
          <w:tcPr>
            <w:tcW w:w="6419" w:type="dxa"/>
            <w:shd w:val="clear" w:color="auto" w:fill="auto"/>
            <w:tcMar>
              <w:left w:w="108" w:type="dxa"/>
              <w:right w:w="108" w:type="dxa"/>
            </w:tcMar>
            <w:vAlign w:val="center"/>
          </w:tcPr>
          <w:p>
            <w:pPr>
              <w:rPr>
                <w:color w:val="auto"/>
              </w:rPr>
            </w:pPr>
            <w:r>
              <w:rPr>
                <w:rFonts w:hint="eastAsia"/>
                <w:color w:val="auto"/>
              </w:rPr>
              <w:t>1、便于项目开展</w:t>
            </w:r>
            <w:r>
              <w:rPr>
                <w:rFonts w:hint="eastAsia"/>
                <w:color w:val="auto"/>
                <w:lang w:eastAsia="zh-CN"/>
              </w:rPr>
              <w:t>，</w:t>
            </w:r>
            <w:r>
              <w:rPr>
                <w:rFonts w:hint="eastAsia"/>
                <w:color w:val="auto"/>
              </w:rPr>
              <w:t>投标人需详细列出人员配备明细表，不限于项目负责人，督导员，设备运维工程师，垃圾分类专员、司机等项目组人员详细资料及配备数量，评标委员会根据投标人提供的人员机构明细详尽程度、数量、岗位种类</w:t>
            </w:r>
            <w:r>
              <w:rPr>
                <w:rFonts w:hint="eastAsia"/>
                <w:color w:val="auto"/>
                <w:lang w:eastAsia="zh-CN"/>
              </w:rPr>
              <w:t>及资料</w:t>
            </w:r>
            <w:r>
              <w:rPr>
                <w:rFonts w:hint="eastAsia"/>
                <w:color w:val="auto"/>
              </w:rPr>
              <w:t>等因素横向比较，较好的</w:t>
            </w:r>
            <w:r>
              <w:rPr>
                <w:color w:val="auto"/>
              </w:rPr>
              <w:t>5</w:t>
            </w:r>
            <w:r>
              <w:rPr>
                <w:rFonts w:hint="eastAsia"/>
                <w:color w:val="auto"/>
              </w:rPr>
              <w:t>分，一般的2分，较差的1分。没有此项叙述的不得分</w:t>
            </w:r>
            <w:r>
              <w:rPr>
                <w:rFonts w:hint="eastAsia"/>
                <w:color w:val="auto"/>
                <w:lang w:eastAsia="zh-CN"/>
              </w:rPr>
              <w:t>（以证书原件扫描件或图片为准）</w:t>
            </w:r>
            <w:r>
              <w:rPr>
                <w:rFonts w:hint="eastAsia"/>
                <w:color w:val="auto"/>
              </w:rPr>
              <w:t>。</w:t>
            </w:r>
          </w:p>
          <w:p>
            <w:pPr>
              <w:rPr>
                <w:color w:val="auto"/>
              </w:rPr>
            </w:pPr>
            <w:r>
              <w:rPr>
                <w:rFonts w:hint="eastAsia"/>
                <w:color w:val="auto"/>
              </w:rPr>
              <w:t>2、项目主要人员岗位职责：投标人根据项目人员岗位分别写出各岗位职责及详尽的工作范围及工作内容，横向比较，较好的</w:t>
            </w:r>
            <w:r>
              <w:rPr>
                <w:color w:val="auto"/>
              </w:rPr>
              <w:t>3分</w:t>
            </w:r>
            <w:r>
              <w:rPr>
                <w:rFonts w:hint="eastAsia"/>
                <w:color w:val="auto"/>
              </w:rPr>
              <w:t>，一般的</w:t>
            </w:r>
            <w:r>
              <w:rPr>
                <w:color w:val="auto"/>
              </w:rPr>
              <w:t>1</w:t>
            </w:r>
            <w:r>
              <w:rPr>
                <w:rFonts w:hint="eastAsia"/>
                <w:color w:val="auto"/>
                <w:lang w:val="en-US" w:eastAsia="zh-CN"/>
              </w:rPr>
              <w:t xml:space="preserve"> </w:t>
            </w:r>
            <w:r>
              <w:rPr>
                <w:color w:val="auto"/>
              </w:rPr>
              <w:t>分</w:t>
            </w:r>
            <w:r>
              <w:rPr>
                <w:rFonts w:hint="eastAsia"/>
                <w:color w:val="auto"/>
              </w:rPr>
              <w:t>。没有此项叙述的不得分</w:t>
            </w:r>
            <w:r>
              <w:rPr>
                <w:rFonts w:hint="eastAsia"/>
                <w:color w:val="auto"/>
                <w:lang w:val="en-US" w:eastAsia="zh-CN"/>
              </w:rPr>
              <w:t xml:space="preserve"> </w:t>
            </w:r>
            <w:r>
              <w:rPr>
                <w:rFonts w:hint="eastAsia"/>
                <w:color w:val="auto"/>
              </w:rPr>
              <w:t>。</w:t>
            </w:r>
          </w:p>
        </w:tc>
        <w:tc>
          <w:tcPr>
            <w:tcW w:w="1093" w:type="dxa"/>
            <w:shd w:val="clear" w:color="auto" w:fill="auto"/>
            <w:tcMar>
              <w:left w:w="108" w:type="dxa"/>
              <w:right w:w="108" w:type="dxa"/>
            </w:tcMar>
            <w:vAlign w:val="center"/>
          </w:tcPr>
          <w:p>
            <w:pPr>
              <w:jc w:val="center"/>
              <w:rPr>
                <w:color w:val="auto"/>
              </w:rPr>
            </w:pPr>
            <w:r>
              <w:rPr>
                <w:color w:val="auto"/>
              </w:rPr>
              <w:t>8</w:t>
            </w:r>
            <w:r>
              <w:rPr>
                <w:rFonts w:hint="eastAsia"/>
                <w:color w:val="auto"/>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52" w:hRule="atLeast"/>
          <w:jc w:val="center"/>
        </w:trPr>
        <w:tc>
          <w:tcPr>
            <w:tcW w:w="1425" w:type="dxa"/>
            <w:shd w:val="clear" w:color="auto" w:fill="auto"/>
            <w:tcMar>
              <w:left w:w="108" w:type="dxa"/>
              <w:right w:w="108" w:type="dxa"/>
            </w:tcMar>
            <w:vAlign w:val="center"/>
          </w:tcPr>
          <w:p>
            <w:pPr>
              <w:jc w:val="center"/>
              <w:rPr>
                <w:color w:val="auto"/>
              </w:rPr>
            </w:pPr>
            <w:r>
              <w:rPr>
                <w:rFonts w:hint="eastAsia" w:ascii="宋体" w:hAnsi="宋体" w:cs="宋体"/>
                <w:bCs/>
                <w:color w:val="auto"/>
                <w:kern w:val="0"/>
                <w:sz w:val="24"/>
                <w:szCs w:val="24"/>
              </w:rPr>
              <w:t>总体服务</w:t>
            </w:r>
          </w:p>
        </w:tc>
        <w:tc>
          <w:tcPr>
            <w:tcW w:w="6419" w:type="dxa"/>
            <w:shd w:val="clear" w:color="auto" w:fill="auto"/>
            <w:tcMar>
              <w:left w:w="108" w:type="dxa"/>
              <w:right w:w="108" w:type="dxa"/>
            </w:tcMar>
            <w:vAlign w:val="center"/>
          </w:tcPr>
          <w:p>
            <w:pPr>
              <w:rPr>
                <w:color w:val="auto"/>
              </w:rPr>
            </w:pPr>
            <w:r>
              <w:rPr>
                <w:rFonts w:hint="eastAsia"/>
                <w:color w:val="auto"/>
              </w:rPr>
              <w:t>供应商制定垃圾分类减量总体服务方案(包含分类指导、分类投放、分类收集、分类运输、宣传发动、应急管理，数据智能化管理、系统维护）方案、资源回收日运营等方案)。</w:t>
            </w:r>
          </w:p>
          <w:p>
            <w:pPr>
              <w:rPr>
                <w:rFonts w:hint="eastAsia" w:eastAsiaTheme="minorEastAsia"/>
                <w:color w:val="auto"/>
                <w:lang w:eastAsia="zh-CN"/>
              </w:rPr>
            </w:pPr>
            <w:r>
              <w:rPr>
                <w:rFonts w:hint="eastAsia"/>
                <w:color w:val="auto"/>
              </w:rPr>
              <w:t>评标委员会根据各供应商总体服务方案的合理性、可行性和科学性，横向比较，较好的</w:t>
            </w:r>
            <w:r>
              <w:rPr>
                <w:rFonts w:hint="eastAsia"/>
                <w:color w:val="auto"/>
                <w:lang w:val="en-US" w:eastAsia="zh-CN"/>
              </w:rPr>
              <w:t>10</w:t>
            </w:r>
            <w:r>
              <w:rPr>
                <w:rFonts w:hint="eastAsia"/>
                <w:color w:val="auto"/>
              </w:rPr>
              <w:t>分，一般的</w:t>
            </w:r>
            <w:r>
              <w:rPr>
                <w:rFonts w:hint="eastAsia"/>
                <w:color w:val="auto"/>
                <w:lang w:val="en-US" w:eastAsia="zh-CN"/>
              </w:rPr>
              <w:t>6</w:t>
            </w:r>
            <w:r>
              <w:rPr>
                <w:rFonts w:hint="eastAsia"/>
                <w:color w:val="auto"/>
              </w:rPr>
              <w:t>分，较差的</w:t>
            </w:r>
            <w:r>
              <w:rPr>
                <w:rFonts w:hint="eastAsia"/>
                <w:color w:val="auto"/>
                <w:lang w:val="en-US" w:eastAsia="zh-CN"/>
              </w:rPr>
              <w:t>3</w:t>
            </w:r>
            <w:r>
              <w:rPr>
                <w:rFonts w:hint="eastAsia"/>
                <w:color w:val="auto"/>
              </w:rPr>
              <w:t>分。</w:t>
            </w:r>
            <w:r>
              <w:rPr>
                <w:rFonts w:hint="eastAsia"/>
                <w:color w:val="auto"/>
                <w:lang w:eastAsia="zh-CN"/>
              </w:rPr>
              <w:t>没有此项叙述的不得分。</w:t>
            </w:r>
          </w:p>
        </w:tc>
        <w:tc>
          <w:tcPr>
            <w:tcW w:w="1093" w:type="dxa"/>
            <w:shd w:val="clear" w:color="auto" w:fill="auto"/>
            <w:tcMar>
              <w:left w:w="108" w:type="dxa"/>
              <w:right w:w="108" w:type="dxa"/>
            </w:tcMar>
            <w:vAlign w:val="center"/>
          </w:tcPr>
          <w:p>
            <w:pPr>
              <w:jc w:val="center"/>
              <w:rPr>
                <w:color w:val="auto"/>
              </w:rPr>
            </w:pPr>
            <w:r>
              <w:rPr>
                <w:rFonts w:hint="eastAsia"/>
                <w:color w:val="auto"/>
                <w:lang w:val="en-US" w:eastAsia="zh-CN"/>
              </w:rPr>
              <w:t>10</w:t>
            </w:r>
            <w:r>
              <w:rPr>
                <w:rFonts w:hint="eastAsia"/>
                <w:color w:val="auto"/>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52" w:hRule="atLeast"/>
          <w:jc w:val="center"/>
        </w:trPr>
        <w:tc>
          <w:tcPr>
            <w:tcW w:w="1425" w:type="dxa"/>
            <w:shd w:val="clear" w:color="auto" w:fill="auto"/>
            <w:tcMar>
              <w:left w:w="108" w:type="dxa"/>
              <w:right w:w="108" w:type="dxa"/>
            </w:tcMar>
            <w:vAlign w:val="center"/>
          </w:tcPr>
          <w:p>
            <w:pPr>
              <w:spacing w:line="276" w:lineRule="auto"/>
              <w:jc w:val="center"/>
              <w:rPr>
                <w:color w:val="auto"/>
              </w:rPr>
            </w:pPr>
            <w:r>
              <w:rPr>
                <w:rFonts w:hint="eastAsia" w:ascii="宋体" w:hAnsi="宋体" w:cs="宋体"/>
                <w:bCs/>
                <w:color w:val="auto"/>
                <w:kern w:val="0"/>
                <w:sz w:val="24"/>
                <w:szCs w:val="24"/>
              </w:rPr>
              <w:t>迎检方案</w:t>
            </w:r>
          </w:p>
        </w:tc>
        <w:tc>
          <w:tcPr>
            <w:tcW w:w="6419" w:type="dxa"/>
            <w:shd w:val="clear" w:color="auto" w:fill="auto"/>
            <w:tcMar>
              <w:left w:w="108" w:type="dxa"/>
              <w:right w:w="108" w:type="dxa"/>
            </w:tcMar>
            <w:vAlign w:val="center"/>
          </w:tcPr>
          <w:p>
            <w:pPr>
              <w:rPr>
                <w:rFonts w:hint="eastAsia" w:ascii="宋体" w:hAnsi="宋体" w:cs="宋体"/>
                <w:color w:val="auto"/>
                <w:kern w:val="0"/>
                <w:sz w:val="24"/>
                <w:szCs w:val="24"/>
              </w:rPr>
            </w:pPr>
            <w:r>
              <w:rPr>
                <w:rFonts w:hint="eastAsia" w:ascii="宋体" w:hAnsi="宋体" w:cs="宋体"/>
                <w:color w:val="auto"/>
                <w:kern w:val="0"/>
                <w:sz w:val="24"/>
                <w:szCs w:val="24"/>
              </w:rPr>
              <w:t>根据供应商提供垃圾分类巡检方案的有效性，垃圾分类巡检工作及时性、准确性，评标委员会根据方案的合理性、可行性和科学性，较好的</w:t>
            </w:r>
            <w:r>
              <w:rPr>
                <w:rFonts w:hint="eastAsia" w:ascii="宋体" w:hAnsi="宋体" w:cs="宋体"/>
                <w:color w:val="auto"/>
                <w:kern w:val="0"/>
                <w:sz w:val="24"/>
                <w:szCs w:val="24"/>
                <w:lang w:val="en-US" w:eastAsia="zh-CN"/>
              </w:rPr>
              <w:t>3</w:t>
            </w:r>
            <w:r>
              <w:rPr>
                <w:rFonts w:hint="eastAsia" w:ascii="宋体" w:hAnsi="宋体" w:cs="宋体"/>
                <w:color w:val="auto"/>
                <w:kern w:val="0"/>
                <w:sz w:val="24"/>
                <w:szCs w:val="24"/>
              </w:rPr>
              <w:t>分，一般的</w:t>
            </w:r>
            <w:r>
              <w:rPr>
                <w:rFonts w:hint="eastAsia" w:ascii="宋体" w:hAnsi="宋体" w:cs="宋体"/>
                <w:color w:val="auto"/>
                <w:kern w:val="0"/>
                <w:sz w:val="24"/>
                <w:szCs w:val="24"/>
                <w:lang w:val="en-US" w:eastAsia="zh-CN"/>
              </w:rPr>
              <w:t>1</w:t>
            </w:r>
            <w:r>
              <w:rPr>
                <w:rFonts w:hint="eastAsia" w:ascii="宋体" w:hAnsi="宋体" w:cs="宋体"/>
                <w:color w:val="auto"/>
                <w:kern w:val="0"/>
                <w:sz w:val="24"/>
                <w:szCs w:val="24"/>
              </w:rPr>
              <w:t>分，较差的</w:t>
            </w:r>
            <w:r>
              <w:rPr>
                <w:rFonts w:hint="eastAsia" w:ascii="宋体" w:hAnsi="宋体" w:cs="宋体"/>
                <w:color w:val="auto"/>
                <w:kern w:val="0"/>
                <w:sz w:val="24"/>
                <w:szCs w:val="24"/>
                <w:lang w:val="en-US" w:eastAsia="zh-CN"/>
              </w:rPr>
              <w:t>0.5</w:t>
            </w:r>
            <w:r>
              <w:rPr>
                <w:rFonts w:hint="eastAsia" w:ascii="宋体" w:hAnsi="宋体" w:cs="宋体"/>
                <w:color w:val="auto"/>
                <w:kern w:val="0"/>
                <w:sz w:val="24"/>
                <w:szCs w:val="24"/>
              </w:rPr>
              <w:t>分。</w:t>
            </w:r>
            <w:r>
              <w:rPr>
                <w:rFonts w:hint="eastAsia" w:ascii="宋体" w:hAnsi="宋体" w:cs="宋体"/>
                <w:color w:val="auto"/>
                <w:kern w:val="0"/>
                <w:sz w:val="24"/>
                <w:szCs w:val="24"/>
                <w:lang w:eastAsia="zh-CN"/>
              </w:rPr>
              <w:t>没有此项叙述的不得分。</w:t>
            </w:r>
          </w:p>
        </w:tc>
        <w:tc>
          <w:tcPr>
            <w:tcW w:w="1093" w:type="dxa"/>
            <w:shd w:val="clear" w:color="auto" w:fill="auto"/>
            <w:tcMar>
              <w:left w:w="108" w:type="dxa"/>
              <w:right w:w="108" w:type="dxa"/>
            </w:tcMar>
            <w:vAlign w:val="center"/>
          </w:tcPr>
          <w:p>
            <w:pPr>
              <w:spacing w:line="276" w:lineRule="auto"/>
              <w:jc w:val="center"/>
              <w:rPr>
                <w:color w:val="auto"/>
              </w:rPr>
            </w:pPr>
            <w:r>
              <w:rPr>
                <w:rFonts w:hint="eastAsia" w:ascii="宋体" w:hAnsi="宋体" w:cs="宋体"/>
                <w:color w:val="auto"/>
                <w:kern w:val="0"/>
                <w:sz w:val="24"/>
                <w:szCs w:val="24"/>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52" w:hRule="atLeast"/>
          <w:jc w:val="center"/>
        </w:trPr>
        <w:tc>
          <w:tcPr>
            <w:tcW w:w="1425" w:type="dxa"/>
            <w:shd w:val="clear" w:color="auto" w:fill="auto"/>
            <w:tcMar>
              <w:left w:w="108" w:type="dxa"/>
              <w:right w:w="108" w:type="dxa"/>
            </w:tcMar>
            <w:vAlign w:val="center"/>
          </w:tcPr>
          <w:p>
            <w:pPr>
              <w:spacing w:line="276" w:lineRule="auto"/>
              <w:jc w:val="center"/>
              <w:rPr>
                <w:color w:val="auto"/>
              </w:rPr>
            </w:pPr>
            <w:r>
              <w:rPr>
                <w:rFonts w:hint="eastAsia" w:ascii="宋体" w:hAnsi="宋体" w:cs="宋体"/>
                <w:bCs/>
                <w:color w:val="auto"/>
                <w:kern w:val="0"/>
                <w:sz w:val="24"/>
                <w:szCs w:val="24"/>
              </w:rPr>
              <w:t>故障响应</w:t>
            </w:r>
          </w:p>
        </w:tc>
        <w:tc>
          <w:tcPr>
            <w:tcW w:w="6419" w:type="dxa"/>
            <w:shd w:val="clear" w:color="auto" w:fill="auto"/>
            <w:tcMar>
              <w:left w:w="108" w:type="dxa"/>
              <w:right w:w="108" w:type="dxa"/>
            </w:tcMar>
            <w:vAlign w:val="center"/>
          </w:tcPr>
          <w:p>
            <w:pPr>
              <w:rPr>
                <w:rFonts w:hint="eastAsia" w:ascii="宋体" w:hAnsi="宋体" w:cs="宋体"/>
                <w:color w:val="auto"/>
                <w:kern w:val="0"/>
                <w:sz w:val="24"/>
                <w:szCs w:val="24"/>
                <w:lang w:eastAsia="zh-CN"/>
              </w:rPr>
            </w:pPr>
            <w:r>
              <w:rPr>
                <w:rFonts w:hint="eastAsia" w:ascii="宋体" w:hAnsi="宋体" w:cs="宋体"/>
                <w:color w:val="auto"/>
                <w:kern w:val="0"/>
                <w:sz w:val="24"/>
                <w:szCs w:val="24"/>
                <w:lang w:eastAsia="zh-CN"/>
              </w:rPr>
              <w:t>根据供应商提供故障应急响应机制的科学性、完善性，包括故障的报警、处理、抢修、恢复全过程及备品备件的储备情况、备用状态等，评标委员会根据方案的合理性、可行性和科学性，较好的3分，一般的1分</w:t>
            </w:r>
            <w:r>
              <w:rPr>
                <w:rFonts w:hint="eastAsia" w:ascii="宋体" w:hAnsi="宋体" w:cs="宋体"/>
                <w:color w:val="auto"/>
                <w:kern w:val="0"/>
                <w:sz w:val="24"/>
                <w:szCs w:val="24"/>
                <w:lang w:val="en-US" w:eastAsia="zh-CN"/>
              </w:rPr>
              <w:t>,</w:t>
            </w:r>
            <w:r>
              <w:rPr>
                <w:rFonts w:hint="eastAsia" w:ascii="宋体" w:hAnsi="宋体" w:cs="宋体"/>
                <w:color w:val="auto"/>
                <w:kern w:val="0"/>
                <w:sz w:val="24"/>
                <w:szCs w:val="24"/>
              </w:rPr>
              <w:t>较差的</w:t>
            </w:r>
            <w:r>
              <w:rPr>
                <w:rFonts w:hint="eastAsia" w:ascii="宋体" w:hAnsi="宋体" w:cs="宋体"/>
                <w:color w:val="auto"/>
                <w:kern w:val="0"/>
                <w:sz w:val="24"/>
                <w:szCs w:val="24"/>
                <w:lang w:val="en-US" w:eastAsia="zh-CN"/>
              </w:rPr>
              <w:t>0.5</w:t>
            </w:r>
            <w:r>
              <w:rPr>
                <w:rFonts w:hint="eastAsia" w:ascii="宋体" w:hAnsi="宋体" w:cs="宋体"/>
                <w:color w:val="auto"/>
                <w:kern w:val="0"/>
                <w:sz w:val="24"/>
                <w:szCs w:val="24"/>
              </w:rPr>
              <w:t>分</w:t>
            </w:r>
            <w:r>
              <w:rPr>
                <w:rFonts w:hint="eastAsia" w:ascii="宋体" w:hAnsi="宋体" w:cs="宋体"/>
                <w:color w:val="auto"/>
                <w:kern w:val="0"/>
                <w:sz w:val="24"/>
                <w:szCs w:val="24"/>
                <w:lang w:eastAsia="zh-CN"/>
              </w:rPr>
              <w:t>。没有此项叙述的不得分。</w:t>
            </w:r>
          </w:p>
        </w:tc>
        <w:tc>
          <w:tcPr>
            <w:tcW w:w="1093" w:type="dxa"/>
            <w:shd w:val="clear" w:color="auto" w:fill="auto"/>
            <w:tcMar>
              <w:left w:w="108" w:type="dxa"/>
              <w:right w:w="108" w:type="dxa"/>
            </w:tcMar>
            <w:vAlign w:val="center"/>
          </w:tcPr>
          <w:p>
            <w:pPr>
              <w:spacing w:line="276" w:lineRule="auto"/>
              <w:jc w:val="center"/>
              <w:rPr>
                <w:rFonts w:ascii="宋体" w:hAnsi="宋体" w:cs="宋体"/>
                <w:color w:val="auto"/>
                <w:kern w:val="0"/>
                <w:sz w:val="24"/>
                <w:szCs w:val="24"/>
              </w:rPr>
            </w:pPr>
            <w:r>
              <w:rPr>
                <w:rFonts w:hint="eastAsia" w:ascii="宋体" w:hAnsi="宋体" w:cs="宋体"/>
                <w:color w:val="auto"/>
                <w:kern w:val="0"/>
                <w:sz w:val="24"/>
                <w:szCs w:val="24"/>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52" w:hRule="atLeast"/>
          <w:jc w:val="center"/>
        </w:trPr>
        <w:tc>
          <w:tcPr>
            <w:tcW w:w="1425" w:type="dxa"/>
            <w:shd w:val="clear" w:color="auto" w:fill="auto"/>
            <w:tcMar>
              <w:left w:w="108" w:type="dxa"/>
              <w:right w:w="108" w:type="dxa"/>
            </w:tcMar>
            <w:vAlign w:val="center"/>
          </w:tcPr>
          <w:p>
            <w:pPr>
              <w:spacing w:line="276" w:lineRule="auto"/>
              <w:jc w:val="center"/>
              <w:rPr>
                <w:color w:val="auto"/>
              </w:rPr>
            </w:pPr>
            <w:r>
              <w:rPr>
                <w:rFonts w:hint="eastAsia" w:ascii="宋体" w:hAnsi="宋体" w:cs="宋体"/>
                <w:bCs/>
                <w:color w:val="auto"/>
                <w:kern w:val="0"/>
                <w:sz w:val="24"/>
                <w:szCs w:val="24"/>
              </w:rPr>
              <w:t>宣传方案</w:t>
            </w:r>
          </w:p>
        </w:tc>
        <w:tc>
          <w:tcPr>
            <w:tcW w:w="6419" w:type="dxa"/>
            <w:shd w:val="clear" w:color="auto" w:fill="auto"/>
            <w:tcMar>
              <w:left w:w="108" w:type="dxa"/>
              <w:right w:w="108" w:type="dxa"/>
            </w:tcMar>
            <w:vAlign w:val="center"/>
          </w:tcPr>
          <w:p>
            <w:pPr>
              <w:rPr>
                <w:rFonts w:hint="eastAsia" w:ascii="宋体" w:hAnsi="宋体" w:cs="宋体"/>
                <w:color w:val="auto"/>
                <w:kern w:val="0"/>
                <w:sz w:val="24"/>
                <w:szCs w:val="24"/>
                <w:lang w:eastAsia="zh-CN"/>
              </w:rPr>
            </w:pPr>
            <w:r>
              <w:rPr>
                <w:rFonts w:hint="eastAsia" w:ascii="宋体" w:hAnsi="宋体" w:cs="宋体"/>
                <w:color w:val="auto"/>
                <w:kern w:val="0"/>
                <w:sz w:val="24"/>
                <w:szCs w:val="24"/>
              </w:rPr>
              <w:t>根据本项目的具体情况制定相应的宣传引导方案及宣传工作，评标委员会根据方案的合理性、可行性和科学性，较好的</w:t>
            </w:r>
            <w:r>
              <w:rPr>
                <w:rFonts w:hint="eastAsia" w:ascii="宋体" w:hAnsi="宋体" w:cs="宋体"/>
                <w:color w:val="auto"/>
                <w:kern w:val="0"/>
                <w:sz w:val="24"/>
                <w:szCs w:val="24"/>
                <w:lang w:val="en-US" w:eastAsia="zh-CN"/>
              </w:rPr>
              <w:t>4</w:t>
            </w:r>
            <w:r>
              <w:rPr>
                <w:rFonts w:hint="eastAsia" w:ascii="宋体" w:hAnsi="宋体" w:cs="宋体"/>
                <w:color w:val="auto"/>
                <w:kern w:val="0"/>
                <w:sz w:val="24"/>
                <w:szCs w:val="24"/>
              </w:rPr>
              <w:t>分，一般的</w:t>
            </w:r>
            <w:r>
              <w:rPr>
                <w:rFonts w:hint="eastAsia" w:ascii="宋体" w:hAnsi="宋体" w:cs="宋体"/>
                <w:color w:val="auto"/>
                <w:kern w:val="0"/>
                <w:sz w:val="24"/>
                <w:szCs w:val="24"/>
                <w:lang w:val="en-US" w:eastAsia="zh-CN"/>
              </w:rPr>
              <w:t>2</w:t>
            </w:r>
            <w:r>
              <w:rPr>
                <w:rFonts w:hint="eastAsia" w:ascii="宋体" w:hAnsi="宋体" w:cs="宋体"/>
                <w:color w:val="auto"/>
                <w:kern w:val="0"/>
                <w:sz w:val="24"/>
                <w:szCs w:val="24"/>
              </w:rPr>
              <w:t>分</w:t>
            </w:r>
            <w:r>
              <w:rPr>
                <w:rFonts w:hint="eastAsia" w:ascii="宋体" w:hAnsi="宋体" w:cs="宋体"/>
                <w:color w:val="auto"/>
                <w:kern w:val="0"/>
                <w:sz w:val="24"/>
                <w:szCs w:val="24"/>
                <w:lang w:eastAsia="zh-CN"/>
              </w:rPr>
              <w:t>，较差得</w:t>
            </w:r>
            <w:r>
              <w:rPr>
                <w:rFonts w:hint="eastAsia" w:ascii="宋体" w:hAnsi="宋体" w:cs="宋体"/>
                <w:color w:val="auto"/>
                <w:kern w:val="0"/>
                <w:sz w:val="24"/>
                <w:szCs w:val="24"/>
                <w:lang w:val="en-US" w:eastAsia="zh-CN"/>
              </w:rPr>
              <w:t>1分</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没有此项叙述的不得分。</w:t>
            </w:r>
          </w:p>
        </w:tc>
        <w:tc>
          <w:tcPr>
            <w:tcW w:w="1093" w:type="dxa"/>
            <w:shd w:val="clear" w:color="auto" w:fill="auto"/>
            <w:tcMar>
              <w:left w:w="108" w:type="dxa"/>
              <w:right w:w="108" w:type="dxa"/>
            </w:tcMar>
            <w:vAlign w:val="center"/>
          </w:tcPr>
          <w:p>
            <w:pPr>
              <w:spacing w:line="276" w:lineRule="auto"/>
              <w:jc w:val="center"/>
              <w:rPr>
                <w:rFonts w:ascii="宋体" w:hAnsi="宋体" w:cs="宋体"/>
                <w:color w:val="auto"/>
                <w:kern w:val="0"/>
                <w:sz w:val="24"/>
                <w:szCs w:val="24"/>
              </w:rPr>
            </w:pPr>
            <w:r>
              <w:rPr>
                <w:rFonts w:hint="eastAsia" w:ascii="宋体" w:hAnsi="宋体" w:cs="宋体"/>
                <w:color w:val="auto"/>
                <w:kern w:val="0"/>
                <w:sz w:val="24"/>
                <w:szCs w:val="24"/>
                <w:lang w:val="en-US" w:eastAsia="zh-CN"/>
              </w:rPr>
              <w:t>4</w:t>
            </w:r>
            <w:r>
              <w:rPr>
                <w:rFonts w:hint="eastAsia" w:ascii="宋体" w:hAnsi="宋体" w:cs="宋体"/>
                <w:color w:val="auto"/>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52" w:hRule="atLeast"/>
          <w:jc w:val="center"/>
        </w:trPr>
        <w:tc>
          <w:tcPr>
            <w:tcW w:w="1425" w:type="dxa"/>
            <w:shd w:val="clear" w:color="auto" w:fill="auto"/>
            <w:tcMar>
              <w:left w:w="108" w:type="dxa"/>
              <w:right w:w="108" w:type="dxa"/>
            </w:tcMar>
            <w:vAlign w:val="center"/>
          </w:tcPr>
          <w:p>
            <w:pPr>
              <w:spacing w:line="276" w:lineRule="auto"/>
              <w:jc w:val="center"/>
              <w:rPr>
                <w:color w:val="auto"/>
              </w:rPr>
            </w:pPr>
            <w:r>
              <w:rPr>
                <w:rFonts w:hint="eastAsia" w:ascii="宋体" w:hAnsi="宋体" w:cs="宋体"/>
                <w:bCs/>
                <w:color w:val="auto"/>
                <w:kern w:val="0"/>
                <w:sz w:val="24"/>
                <w:szCs w:val="24"/>
              </w:rPr>
              <w:t>突发事件处理措施</w:t>
            </w:r>
          </w:p>
        </w:tc>
        <w:tc>
          <w:tcPr>
            <w:tcW w:w="6419" w:type="dxa"/>
            <w:shd w:val="clear" w:color="auto" w:fill="auto"/>
            <w:tcMar>
              <w:left w:w="108" w:type="dxa"/>
              <w:right w:w="108" w:type="dxa"/>
            </w:tcMar>
            <w:vAlign w:val="center"/>
          </w:tcPr>
          <w:p>
            <w:pPr>
              <w:rPr>
                <w:rFonts w:hint="eastAsia" w:ascii="宋体" w:hAnsi="宋体" w:cs="宋体"/>
                <w:color w:val="auto"/>
                <w:kern w:val="0"/>
                <w:sz w:val="24"/>
                <w:szCs w:val="24"/>
                <w:lang w:eastAsia="zh-CN"/>
              </w:rPr>
            </w:pPr>
            <w:r>
              <w:rPr>
                <w:rFonts w:hint="eastAsia" w:ascii="宋体" w:hAnsi="宋体" w:cs="宋体"/>
                <w:color w:val="auto"/>
                <w:kern w:val="0"/>
                <w:sz w:val="24"/>
                <w:szCs w:val="24"/>
              </w:rPr>
              <w:t>根据供应商提供的应急保障机制，针对突发事件制定合理、有效的应急预案和措施，较好的</w:t>
            </w:r>
            <w:r>
              <w:rPr>
                <w:rFonts w:hint="eastAsia" w:ascii="宋体" w:hAnsi="宋体" w:cs="宋体"/>
                <w:color w:val="auto"/>
                <w:kern w:val="0"/>
                <w:sz w:val="24"/>
                <w:szCs w:val="24"/>
                <w:lang w:val="en-US" w:eastAsia="zh-CN"/>
              </w:rPr>
              <w:t>5</w:t>
            </w:r>
            <w:r>
              <w:rPr>
                <w:rFonts w:hint="eastAsia" w:ascii="宋体" w:hAnsi="宋体" w:cs="宋体"/>
                <w:color w:val="auto"/>
                <w:kern w:val="0"/>
                <w:sz w:val="24"/>
                <w:szCs w:val="24"/>
              </w:rPr>
              <w:t>分，一般的</w:t>
            </w:r>
            <w:r>
              <w:rPr>
                <w:rFonts w:hint="eastAsia" w:ascii="宋体" w:hAnsi="宋体" w:cs="宋体"/>
                <w:color w:val="auto"/>
                <w:kern w:val="0"/>
                <w:sz w:val="24"/>
                <w:szCs w:val="24"/>
                <w:lang w:val="en-US" w:eastAsia="zh-CN"/>
              </w:rPr>
              <w:t>3</w:t>
            </w:r>
            <w:r>
              <w:rPr>
                <w:rFonts w:hint="eastAsia" w:ascii="宋体" w:hAnsi="宋体" w:cs="宋体"/>
                <w:color w:val="auto"/>
                <w:kern w:val="0"/>
                <w:sz w:val="24"/>
                <w:szCs w:val="24"/>
              </w:rPr>
              <w:t>分</w:t>
            </w:r>
            <w:r>
              <w:rPr>
                <w:rFonts w:hint="eastAsia" w:ascii="宋体" w:hAnsi="宋体" w:cs="宋体"/>
                <w:color w:val="auto"/>
                <w:kern w:val="0"/>
                <w:sz w:val="24"/>
                <w:szCs w:val="24"/>
                <w:lang w:eastAsia="zh-CN"/>
              </w:rPr>
              <w:t>，较差得</w:t>
            </w:r>
            <w:r>
              <w:rPr>
                <w:rFonts w:hint="eastAsia" w:ascii="宋体" w:hAnsi="宋体" w:cs="宋体"/>
                <w:color w:val="auto"/>
                <w:kern w:val="0"/>
                <w:sz w:val="24"/>
                <w:szCs w:val="24"/>
                <w:lang w:val="en-US" w:eastAsia="zh-CN"/>
              </w:rPr>
              <w:t>1分</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没有此项叙述的不得分。</w:t>
            </w:r>
          </w:p>
        </w:tc>
        <w:tc>
          <w:tcPr>
            <w:tcW w:w="1093" w:type="dxa"/>
            <w:shd w:val="clear" w:color="auto" w:fill="auto"/>
            <w:tcMar>
              <w:left w:w="108" w:type="dxa"/>
              <w:right w:w="108" w:type="dxa"/>
            </w:tcMar>
            <w:vAlign w:val="center"/>
          </w:tcPr>
          <w:p>
            <w:pPr>
              <w:spacing w:line="276" w:lineRule="auto"/>
              <w:jc w:val="center"/>
              <w:rPr>
                <w:rFonts w:ascii="宋体" w:hAnsi="宋体" w:cs="宋体"/>
                <w:color w:val="auto"/>
                <w:kern w:val="0"/>
                <w:sz w:val="24"/>
                <w:szCs w:val="24"/>
              </w:rPr>
            </w:pPr>
            <w:r>
              <w:rPr>
                <w:rFonts w:hint="eastAsia" w:ascii="宋体" w:hAnsi="宋体" w:cs="宋体"/>
                <w:color w:val="auto"/>
                <w:kern w:val="0"/>
                <w:sz w:val="24"/>
                <w:szCs w:val="24"/>
                <w:lang w:val="en-US" w:eastAsia="zh-CN"/>
              </w:rPr>
              <w:t>5</w:t>
            </w:r>
            <w:r>
              <w:rPr>
                <w:rFonts w:hint="eastAsia" w:ascii="宋体" w:hAnsi="宋体" w:cs="宋体"/>
                <w:color w:val="auto"/>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52" w:hRule="atLeast"/>
          <w:jc w:val="center"/>
        </w:trPr>
        <w:tc>
          <w:tcPr>
            <w:tcW w:w="1425" w:type="dxa"/>
            <w:shd w:val="clear" w:color="auto" w:fill="auto"/>
            <w:tcMar>
              <w:left w:w="108" w:type="dxa"/>
              <w:right w:w="108" w:type="dxa"/>
            </w:tcMar>
            <w:vAlign w:val="center"/>
          </w:tcPr>
          <w:p>
            <w:pPr>
              <w:spacing w:line="276" w:lineRule="auto"/>
              <w:jc w:val="center"/>
              <w:rPr>
                <w:color w:val="auto"/>
              </w:rPr>
            </w:pPr>
            <w:r>
              <w:rPr>
                <w:rFonts w:hint="eastAsia" w:ascii="宋体" w:hAnsi="宋体" w:cs="宋体"/>
                <w:bCs/>
                <w:color w:val="auto"/>
                <w:kern w:val="0"/>
                <w:sz w:val="24"/>
                <w:szCs w:val="24"/>
              </w:rPr>
              <w:t>培训计划</w:t>
            </w:r>
          </w:p>
        </w:tc>
        <w:tc>
          <w:tcPr>
            <w:tcW w:w="6419" w:type="dxa"/>
            <w:shd w:val="clear" w:color="auto" w:fill="auto"/>
            <w:tcMar>
              <w:left w:w="108" w:type="dxa"/>
              <w:right w:w="108" w:type="dxa"/>
            </w:tcMar>
            <w:vAlign w:val="center"/>
          </w:tcPr>
          <w:p>
            <w:pPr>
              <w:rPr>
                <w:rFonts w:hint="eastAsia" w:ascii="宋体" w:hAnsi="宋体" w:cs="宋体" w:eastAsiaTheme="minorEastAsia"/>
                <w:color w:val="auto"/>
                <w:kern w:val="0"/>
                <w:sz w:val="24"/>
                <w:szCs w:val="24"/>
                <w:lang w:eastAsia="zh-CN"/>
              </w:rPr>
            </w:pPr>
            <w:r>
              <w:rPr>
                <w:rFonts w:hint="eastAsia" w:ascii="宋体" w:hAnsi="宋体" w:cs="宋体"/>
                <w:color w:val="auto"/>
                <w:kern w:val="0"/>
                <w:sz w:val="24"/>
                <w:szCs w:val="24"/>
              </w:rPr>
              <w:t>评标委员会根据供应商制定的项目管理人员、一线工作人员培训计划措施,较好的</w:t>
            </w:r>
            <w:r>
              <w:rPr>
                <w:rFonts w:hint="eastAsia" w:ascii="宋体" w:hAnsi="宋体" w:cs="宋体"/>
                <w:color w:val="auto"/>
                <w:kern w:val="0"/>
                <w:sz w:val="24"/>
                <w:szCs w:val="24"/>
                <w:lang w:val="en-US" w:eastAsia="zh-CN"/>
              </w:rPr>
              <w:t xml:space="preserve"> </w:t>
            </w:r>
            <w:r>
              <w:rPr>
                <w:rFonts w:hint="eastAsia" w:ascii="宋体" w:hAnsi="宋体" w:cs="宋体"/>
                <w:color w:val="auto"/>
                <w:kern w:val="0"/>
                <w:sz w:val="24"/>
                <w:szCs w:val="24"/>
              </w:rPr>
              <w:t>4分，一般的</w:t>
            </w:r>
            <w:r>
              <w:rPr>
                <w:rFonts w:hint="eastAsia" w:ascii="宋体" w:hAnsi="宋体" w:cs="宋体"/>
                <w:color w:val="auto"/>
                <w:kern w:val="0"/>
                <w:sz w:val="24"/>
                <w:szCs w:val="24"/>
                <w:lang w:val="en-US" w:eastAsia="zh-CN"/>
              </w:rPr>
              <w:t xml:space="preserve"> </w:t>
            </w:r>
            <w:r>
              <w:rPr>
                <w:rFonts w:hint="eastAsia" w:ascii="宋体" w:hAnsi="宋体" w:cs="宋体"/>
                <w:color w:val="auto"/>
                <w:kern w:val="0"/>
                <w:sz w:val="24"/>
                <w:szCs w:val="24"/>
              </w:rPr>
              <w:t>2分，较差的</w:t>
            </w:r>
            <w:r>
              <w:rPr>
                <w:rFonts w:hint="eastAsia" w:ascii="宋体" w:hAnsi="宋体" w:cs="宋体"/>
                <w:color w:val="auto"/>
                <w:kern w:val="0"/>
                <w:sz w:val="24"/>
                <w:szCs w:val="24"/>
                <w:lang w:val="en-US" w:eastAsia="zh-CN"/>
              </w:rPr>
              <w:t xml:space="preserve"> </w:t>
            </w:r>
            <w:r>
              <w:rPr>
                <w:rFonts w:hint="eastAsia" w:ascii="宋体" w:hAnsi="宋体" w:cs="宋体"/>
                <w:color w:val="auto"/>
                <w:kern w:val="0"/>
                <w:sz w:val="24"/>
                <w:szCs w:val="24"/>
              </w:rPr>
              <w:t>1分。</w:t>
            </w:r>
            <w:r>
              <w:rPr>
                <w:rFonts w:hint="eastAsia" w:ascii="宋体" w:hAnsi="宋体" w:cs="宋体"/>
                <w:color w:val="auto"/>
                <w:kern w:val="0"/>
                <w:sz w:val="24"/>
                <w:szCs w:val="24"/>
                <w:lang w:eastAsia="zh-CN"/>
              </w:rPr>
              <w:t>没有此项叙述的不得分。</w:t>
            </w:r>
          </w:p>
        </w:tc>
        <w:tc>
          <w:tcPr>
            <w:tcW w:w="1093" w:type="dxa"/>
            <w:shd w:val="clear" w:color="auto" w:fill="auto"/>
            <w:tcMar>
              <w:left w:w="108" w:type="dxa"/>
              <w:right w:w="108" w:type="dxa"/>
            </w:tcMar>
            <w:vAlign w:val="center"/>
          </w:tcPr>
          <w:p>
            <w:pPr>
              <w:spacing w:line="276" w:lineRule="auto"/>
              <w:jc w:val="center"/>
              <w:rPr>
                <w:rFonts w:ascii="宋体" w:hAnsi="宋体" w:cs="宋体"/>
                <w:color w:val="auto"/>
                <w:kern w:val="0"/>
                <w:sz w:val="24"/>
                <w:szCs w:val="24"/>
              </w:rPr>
            </w:pPr>
            <w:r>
              <w:rPr>
                <w:rFonts w:hint="eastAsia" w:ascii="宋体" w:hAnsi="宋体" w:cs="宋体"/>
                <w:color w:val="auto"/>
                <w:kern w:val="0"/>
                <w:sz w:val="24"/>
                <w:szCs w:val="24"/>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52" w:hRule="atLeast"/>
          <w:jc w:val="center"/>
        </w:trPr>
        <w:tc>
          <w:tcPr>
            <w:tcW w:w="1425" w:type="dxa"/>
            <w:shd w:val="clear" w:color="auto" w:fill="auto"/>
            <w:tcMar>
              <w:left w:w="108" w:type="dxa"/>
              <w:right w:w="108" w:type="dxa"/>
            </w:tcMar>
            <w:vAlign w:val="center"/>
          </w:tcPr>
          <w:p>
            <w:pPr>
              <w:spacing w:line="276" w:lineRule="auto"/>
              <w:jc w:val="center"/>
              <w:rPr>
                <w:color w:val="auto"/>
              </w:rPr>
            </w:pPr>
            <w:r>
              <w:rPr>
                <w:rFonts w:hint="eastAsia" w:ascii="宋体" w:hAnsi="宋体" w:cs="宋体"/>
                <w:bCs/>
                <w:color w:val="auto"/>
                <w:kern w:val="0"/>
                <w:sz w:val="24"/>
                <w:szCs w:val="24"/>
              </w:rPr>
              <w:t>厨余垃圾分拣方案</w:t>
            </w:r>
          </w:p>
        </w:tc>
        <w:tc>
          <w:tcPr>
            <w:tcW w:w="6419" w:type="dxa"/>
            <w:shd w:val="clear" w:color="auto" w:fill="auto"/>
            <w:tcMar>
              <w:left w:w="108" w:type="dxa"/>
              <w:right w:w="108" w:type="dxa"/>
            </w:tcMar>
            <w:vAlign w:val="center"/>
          </w:tcPr>
          <w:p>
            <w:pPr>
              <w:rPr>
                <w:rFonts w:hint="eastAsia" w:ascii="宋体" w:hAnsi="宋体" w:cs="宋体" w:eastAsiaTheme="minorEastAsia"/>
                <w:color w:val="auto"/>
                <w:kern w:val="0"/>
                <w:sz w:val="24"/>
                <w:szCs w:val="24"/>
                <w:lang w:eastAsia="zh-CN"/>
              </w:rPr>
            </w:pPr>
            <w:r>
              <w:rPr>
                <w:rFonts w:hint="eastAsia" w:ascii="宋体" w:hAnsi="宋体" w:cs="宋体"/>
                <w:color w:val="auto"/>
                <w:kern w:val="0"/>
                <w:sz w:val="24"/>
                <w:szCs w:val="24"/>
              </w:rPr>
              <w:t>评标委员会根据垃圾分类中厨余垃圾破袋分拣方案的合理性、可行性和科学性，较好的</w:t>
            </w:r>
            <w:r>
              <w:rPr>
                <w:rFonts w:hint="eastAsia" w:ascii="宋体" w:hAnsi="宋体" w:cs="宋体"/>
                <w:color w:val="auto"/>
                <w:kern w:val="0"/>
                <w:sz w:val="24"/>
                <w:szCs w:val="24"/>
                <w:lang w:val="en-US" w:eastAsia="zh-CN"/>
              </w:rPr>
              <w:t xml:space="preserve"> </w:t>
            </w:r>
            <w:r>
              <w:rPr>
                <w:rFonts w:hint="eastAsia" w:ascii="宋体" w:hAnsi="宋体" w:cs="宋体"/>
                <w:color w:val="auto"/>
                <w:kern w:val="0"/>
                <w:sz w:val="24"/>
                <w:szCs w:val="24"/>
              </w:rPr>
              <w:t>4分，一般的</w:t>
            </w:r>
            <w:r>
              <w:rPr>
                <w:rFonts w:hint="eastAsia" w:ascii="宋体" w:hAnsi="宋体" w:cs="宋体"/>
                <w:color w:val="auto"/>
                <w:kern w:val="0"/>
                <w:sz w:val="24"/>
                <w:szCs w:val="24"/>
                <w:lang w:val="en-US" w:eastAsia="zh-CN"/>
              </w:rPr>
              <w:t xml:space="preserve"> </w:t>
            </w:r>
            <w:r>
              <w:rPr>
                <w:rFonts w:hint="eastAsia" w:ascii="宋体" w:hAnsi="宋体" w:cs="宋体"/>
                <w:color w:val="auto"/>
                <w:kern w:val="0"/>
                <w:sz w:val="24"/>
                <w:szCs w:val="24"/>
              </w:rPr>
              <w:t>2分，较差的</w:t>
            </w:r>
            <w:r>
              <w:rPr>
                <w:rFonts w:hint="eastAsia" w:ascii="宋体" w:hAnsi="宋体" w:cs="宋体"/>
                <w:color w:val="auto"/>
                <w:kern w:val="0"/>
                <w:sz w:val="24"/>
                <w:szCs w:val="24"/>
                <w:lang w:val="en-US" w:eastAsia="zh-CN"/>
              </w:rPr>
              <w:t xml:space="preserve"> </w:t>
            </w:r>
            <w:r>
              <w:rPr>
                <w:rFonts w:hint="eastAsia" w:ascii="宋体" w:hAnsi="宋体" w:cs="宋体"/>
                <w:color w:val="auto"/>
                <w:kern w:val="0"/>
                <w:sz w:val="24"/>
                <w:szCs w:val="24"/>
              </w:rPr>
              <w:t>1分。</w:t>
            </w:r>
            <w:r>
              <w:rPr>
                <w:rFonts w:hint="eastAsia" w:ascii="宋体" w:hAnsi="宋体" w:cs="宋体"/>
                <w:color w:val="auto"/>
                <w:kern w:val="0"/>
                <w:sz w:val="24"/>
                <w:szCs w:val="24"/>
                <w:lang w:eastAsia="zh-CN"/>
              </w:rPr>
              <w:t>没有此项叙述的不得分。</w:t>
            </w:r>
          </w:p>
        </w:tc>
        <w:tc>
          <w:tcPr>
            <w:tcW w:w="1093" w:type="dxa"/>
            <w:shd w:val="clear" w:color="auto" w:fill="auto"/>
            <w:tcMar>
              <w:left w:w="108" w:type="dxa"/>
              <w:right w:w="108" w:type="dxa"/>
            </w:tcMar>
            <w:vAlign w:val="center"/>
          </w:tcPr>
          <w:p>
            <w:pPr>
              <w:spacing w:line="276" w:lineRule="auto"/>
              <w:jc w:val="center"/>
              <w:rPr>
                <w:rFonts w:ascii="宋体" w:hAnsi="宋体" w:cs="宋体"/>
                <w:color w:val="auto"/>
                <w:kern w:val="0"/>
                <w:sz w:val="24"/>
                <w:szCs w:val="24"/>
              </w:rPr>
            </w:pPr>
            <w:r>
              <w:rPr>
                <w:rFonts w:hint="eastAsia" w:ascii="宋体" w:hAnsi="宋体" w:cs="宋体"/>
                <w:color w:val="auto"/>
                <w:kern w:val="0"/>
                <w:sz w:val="24"/>
                <w:szCs w:val="24"/>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52" w:hRule="atLeast"/>
          <w:jc w:val="center"/>
        </w:trPr>
        <w:tc>
          <w:tcPr>
            <w:tcW w:w="1425" w:type="dxa"/>
            <w:shd w:val="clear" w:color="auto" w:fill="auto"/>
            <w:tcMar>
              <w:left w:w="108" w:type="dxa"/>
              <w:right w:w="108" w:type="dxa"/>
            </w:tcMar>
            <w:vAlign w:val="center"/>
          </w:tcPr>
          <w:p>
            <w:pPr>
              <w:spacing w:line="276" w:lineRule="auto"/>
              <w:jc w:val="center"/>
              <w:rPr>
                <w:rFonts w:ascii="宋体" w:hAnsi="宋体" w:cs="宋体"/>
                <w:bCs/>
                <w:color w:val="auto"/>
                <w:kern w:val="0"/>
                <w:sz w:val="24"/>
                <w:szCs w:val="24"/>
              </w:rPr>
            </w:pPr>
            <w:r>
              <w:rPr>
                <w:rFonts w:hint="eastAsia" w:ascii="宋体" w:hAnsi="宋体" w:cs="宋体"/>
                <w:bCs/>
                <w:color w:val="auto"/>
                <w:kern w:val="0"/>
                <w:sz w:val="24"/>
                <w:szCs w:val="24"/>
              </w:rPr>
              <w:t>管理制度</w:t>
            </w:r>
          </w:p>
        </w:tc>
        <w:tc>
          <w:tcPr>
            <w:tcW w:w="6419" w:type="dxa"/>
            <w:shd w:val="clear" w:color="auto" w:fill="auto"/>
            <w:tcMar>
              <w:left w:w="108" w:type="dxa"/>
              <w:right w:w="108" w:type="dxa"/>
            </w:tcMar>
            <w:vAlign w:val="center"/>
          </w:tcPr>
          <w:p>
            <w:pPr>
              <w:rPr>
                <w:rFonts w:ascii="宋体" w:hAnsi="宋体" w:cs="宋体"/>
                <w:color w:val="auto"/>
                <w:kern w:val="0"/>
                <w:sz w:val="24"/>
                <w:szCs w:val="24"/>
              </w:rPr>
            </w:pPr>
            <w:r>
              <w:rPr>
                <w:rFonts w:hint="eastAsia" w:ascii="宋体" w:hAnsi="宋体" w:cs="宋体"/>
                <w:color w:val="auto"/>
                <w:kern w:val="0"/>
                <w:sz w:val="24"/>
                <w:szCs w:val="24"/>
              </w:rPr>
              <w:t>供应商针对本招标项目管理人员、一线人员工作的各项制度和管理措施，能够实现完整的过程监管（完整性、先进性、可操作性）,较好的</w:t>
            </w:r>
            <w:r>
              <w:rPr>
                <w:rFonts w:hint="eastAsia" w:ascii="宋体" w:hAnsi="宋体" w:cs="宋体"/>
                <w:color w:val="auto"/>
                <w:kern w:val="0"/>
                <w:sz w:val="24"/>
                <w:szCs w:val="24"/>
                <w:lang w:val="en-US" w:eastAsia="zh-CN"/>
              </w:rPr>
              <w:t xml:space="preserve"> </w:t>
            </w:r>
            <w:r>
              <w:rPr>
                <w:rFonts w:hint="eastAsia" w:ascii="宋体" w:hAnsi="宋体" w:cs="宋体"/>
                <w:color w:val="auto"/>
                <w:kern w:val="0"/>
                <w:sz w:val="24"/>
                <w:szCs w:val="24"/>
              </w:rPr>
              <w:t>4分，一般的</w:t>
            </w:r>
            <w:r>
              <w:rPr>
                <w:rFonts w:hint="eastAsia" w:ascii="宋体" w:hAnsi="宋体" w:cs="宋体"/>
                <w:color w:val="auto"/>
                <w:kern w:val="0"/>
                <w:sz w:val="24"/>
                <w:szCs w:val="24"/>
                <w:lang w:val="en-US" w:eastAsia="zh-CN"/>
              </w:rPr>
              <w:t xml:space="preserve"> </w:t>
            </w:r>
            <w:r>
              <w:rPr>
                <w:rFonts w:hint="eastAsia" w:ascii="宋体" w:hAnsi="宋体" w:cs="宋体"/>
                <w:color w:val="auto"/>
                <w:kern w:val="0"/>
                <w:sz w:val="24"/>
                <w:szCs w:val="24"/>
              </w:rPr>
              <w:t>2分，较差的</w:t>
            </w:r>
            <w:r>
              <w:rPr>
                <w:rFonts w:hint="eastAsia" w:ascii="宋体" w:hAnsi="宋体" w:cs="宋体"/>
                <w:color w:val="auto"/>
                <w:kern w:val="0"/>
                <w:sz w:val="24"/>
                <w:szCs w:val="24"/>
                <w:lang w:val="en-US" w:eastAsia="zh-CN"/>
              </w:rPr>
              <w:t xml:space="preserve"> </w:t>
            </w:r>
            <w:r>
              <w:rPr>
                <w:rFonts w:hint="eastAsia" w:ascii="宋体" w:hAnsi="宋体" w:cs="宋体"/>
                <w:color w:val="auto"/>
                <w:kern w:val="0"/>
                <w:sz w:val="24"/>
                <w:szCs w:val="24"/>
              </w:rPr>
              <w:t>1分。</w:t>
            </w:r>
            <w:r>
              <w:rPr>
                <w:rFonts w:hint="eastAsia" w:ascii="宋体" w:hAnsi="宋体" w:cs="宋体"/>
                <w:color w:val="auto"/>
                <w:kern w:val="0"/>
                <w:sz w:val="24"/>
                <w:szCs w:val="24"/>
                <w:lang w:eastAsia="zh-CN"/>
              </w:rPr>
              <w:t>没有此项叙述的不得分。</w:t>
            </w:r>
          </w:p>
        </w:tc>
        <w:tc>
          <w:tcPr>
            <w:tcW w:w="1093" w:type="dxa"/>
            <w:shd w:val="clear" w:color="auto" w:fill="auto"/>
            <w:tcMar>
              <w:left w:w="108" w:type="dxa"/>
              <w:right w:w="108" w:type="dxa"/>
            </w:tcMar>
            <w:vAlign w:val="center"/>
          </w:tcPr>
          <w:p>
            <w:pPr>
              <w:spacing w:line="276" w:lineRule="auto"/>
              <w:jc w:val="center"/>
              <w:rPr>
                <w:rFonts w:ascii="宋体" w:hAnsi="宋体" w:cs="宋体"/>
                <w:color w:val="auto"/>
                <w:kern w:val="0"/>
                <w:sz w:val="24"/>
                <w:szCs w:val="24"/>
              </w:rPr>
            </w:pPr>
            <w:r>
              <w:rPr>
                <w:rFonts w:hint="eastAsia" w:ascii="宋体" w:hAnsi="宋体" w:cs="宋体"/>
                <w:color w:val="auto"/>
                <w:kern w:val="0"/>
                <w:sz w:val="24"/>
                <w:szCs w:val="24"/>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52" w:hRule="atLeast"/>
          <w:jc w:val="center"/>
        </w:trPr>
        <w:tc>
          <w:tcPr>
            <w:tcW w:w="1425" w:type="dxa"/>
            <w:shd w:val="clear" w:color="auto" w:fill="auto"/>
            <w:tcMar>
              <w:left w:w="108" w:type="dxa"/>
              <w:right w:w="108" w:type="dxa"/>
            </w:tcMar>
            <w:vAlign w:val="center"/>
          </w:tcPr>
          <w:p>
            <w:pPr>
              <w:spacing w:line="276" w:lineRule="auto"/>
              <w:jc w:val="center"/>
              <w:rPr>
                <w:rFonts w:ascii="宋体" w:hAnsi="宋体" w:cs="宋体"/>
                <w:bCs/>
                <w:color w:val="auto"/>
                <w:kern w:val="0"/>
                <w:sz w:val="24"/>
                <w:szCs w:val="24"/>
              </w:rPr>
            </w:pPr>
            <w:r>
              <w:rPr>
                <w:rFonts w:hint="eastAsia" w:ascii="宋体" w:hAnsi="宋体" w:cs="宋体"/>
                <w:bCs/>
                <w:color w:val="auto"/>
                <w:kern w:val="0"/>
                <w:sz w:val="24"/>
                <w:szCs w:val="24"/>
              </w:rPr>
              <w:t>拟投入本项目的设备配备</w:t>
            </w:r>
          </w:p>
        </w:tc>
        <w:tc>
          <w:tcPr>
            <w:tcW w:w="6419" w:type="dxa"/>
            <w:shd w:val="clear" w:color="auto" w:fill="auto"/>
            <w:tcMar>
              <w:left w:w="108" w:type="dxa"/>
              <w:right w:w="108" w:type="dxa"/>
            </w:tcMar>
            <w:vAlign w:val="center"/>
          </w:tcPr>
          <w:p>
            <w:pPr>
              <w:rPr>
                <w:rFonts w:ascii="宋体" w:hAnsi="宋体" w:cs="宋体"/>
                <w:color w:val="auto"/>
                <w:kern w:val="0"/>
                <w:sz w:val="24"/>
                <w:szCs w:val="24"/>
              </w:rPr>
            </w:pPr>
            <w:r>
              <w:rPr>
                <w:rFonts w:hint="eastAsia" w:ascii="宋体" w:hAnsi="宋体" w:cs="宋体"/>
                <w:color w:val="auto"/>
                <w:kern w:val="0"/>
                <w:sz w:val="24"/>
                <w:szCs w:val="24"/>
              </w:rPr>
              <w:t>供应商需根据采购需求及项目情况制定合理的设备、工具投放方案，方案内容需要包括设备情况、设备投放情况、设备维护，评标委员会根据  投放设备、工具安排的合理、科学及可行性，较好的</w:t>
            </w:r>
            <w:r>
              <w:rPr>
                <w:rFonts w:hint="eastAsia" w:ascii="宋体" w:hAnsi="宋体" w:cs="宋体"/>
                <w:color w:val="auto"/>
                <w:kern w:val="0"/>
                <w:sz w:val="24"/>
                <w:szCs w:val="24"/>
                <w:lang w:val="en-US" w:eastAsia="zh-CN"/>
              </w:rPr>
              <w:t xml:space="preserve"> </w:t>
            </w:r>
            <w:r>
              <w:rPr>
                <w:rFonts w:hint="eastAsia" w:ascii="宋体" w:hAnsi="宋体" w:cs="宋体"/>
                <w:color w:val="auto"/>
                <w:kern w:val="0"/>
                <w:sz w:val="24"/>
                <w:szCs w:val="24"/>
              </w:rPr>
              <w:t>3分，一般的</w:t>
            </w:r>
            <w:r>
              <w:rPr>
                <w:rFonts w:hint="eastAsia" w:ascii="宋体" w:hAnsi="宋体" w:cs="宋体"/>
                <w:color w:val="auto"/>
                <w:kern w:val="0"/>
                <w:sz w:val="24"/>
                <w:szCs w:val="24"/>
                <w:lang w:val="en-US" w:eastAsia="zh-CN"/>
              </w:rPr>
              <w:t xml:space="preserve"> </w:t>
            </w:r>
            <w:r>
              <w:rPr>
                <w:rFonts w:hint="eastAsia" w:ascii="宋体" w:hAnsi="宋体" w:cs="宋体"/>
                <w:color w:val="auto"/>
                <w:kern w:val="0"/>
                <w:sz w:val="24"/>
                <w:szCs w:val="24"/>
              </w:rPr>
              <w:t>1分。</w:t>
            </w:r>
            <w:r>
              <w:rPr>
                <w:rFonts w:hint="eastAsia" w:ascii="宋体" w:hAnsi="宋体" w:cs="宋体"/>
                <w:color w:val="auto"/>
                <w:kern w:val="0"/>
                <w:sz w:val="24"/>
                <w:szCs w:val="24"/>
                <w:lang w:eastAsia="zh-CN"/>
              </w:rPr>
              <w:t>没有此项叙述的不得分。</w:t>
            </w:r>
          </w:p>
        </w:tc>
        <w:tc>
          <w:tcPr>
            <w:tcW w:w="1093" w:type="dxa"/>
            <w:shd w:val="clear" w:color="auto" w:fill="auto"/>
            <w:tcMar>
              <w:left w:w="108" w:type="dxa"/>
              <w:right w:w="108" w:type="dxa"/>
            </w:tcMar>
            <w:vAlign w:val="center"/>
          </w:tcPr>
          <w:p>
            <w:pPr>
              <w:spacing w:line="276" w:lineRule="auto"/>
              <w:jc w:val="center"/>
              <w:rPr>
                <w:rFonts w:ascii="宋体" w:hAnsi="宋体" w:cs="宋体"/>
                <w:color w:val="auto"/>
                <w:kern w:val="0"/>
                <w:sz w:val="24"/>
                <w:szCs w:val="24"/>
              </w:rPr>
            </w:pPr>
            <w:r>
              <w:rPr>
                <w:rFonts w:hint="eastAsia" w:ascii="宋体" w:hAnsi="宋体" w:cs="宋体"/>
                <w:color w:val="auto"/>
                <w:kern w:val="0"/>
                <w:sz w:val="24"/>
                <w:szCs w:val="24"/>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52" w:hRule="atLeast"/>
          <w:jc w:val="center"/>
        </w:trPr>
        <w:tc>
          <w:tcPr>
            <w:tcW w:w="1425" w:type="dxa"/>
            <w:shd w:val="clear" w:color="auto" w:fill="auto"/>
            <w:tcMar>
              <w:left w:w="108" w:type="dxa"/>
              <w:right w:w="108" w:type="dxa"/>
            </w:tcMar>
            <w:vAlign w:val="center"/>
          </w:tcPr>
          <w:p>
            <w:pPr>
              <w:widowControl/>
              <w:spacing w:line="276" w:lineRule="auto"/>
              <w:jc w:val="center"/>
              <w:rPr>
                <w:rFonts w:ascii="宋体" w:hAnsi="宋体" w:cs="宋体"/>
                <w:color w:val="auto"/>
                <w:kern w:val="0"/>
                <w:sz w:val="24"/>
                <w:szCs w:val="24"/>
              </w:rPr>
            </w:pPr>
            <w:r>
              <w:rPr>
                <w:rFonts w:ascii="宋体" w:hAnsi="宋体" w:cs="宋体"/>
                <w:color w:val="auto"/>
                <w:kern w:val="0"/>
                <w:sz w:val="24"/>
                <w:szCs w:val="24"/>
              </w:rPr>
              <w:t>文件</w:t>
            </w:r>
          </w:p>
          <w:p>
            <w:pPr>
              <w:widowControl/>
              <w:spacing w:line="276" w:lineRule="auto"/>
              <w:jc w:val="center"/>
              <w:rPr>
                <w:rFonts w:ascii="宋体" w:hAnsi="宋体" w:cs="宋体"/>
                <w:bCs/>
                <w:color w:val="auto"/>
                <w:kern w:val="0"/>
                <w:sz w:val="24"/>
                <w:szCs w:val="24"/>
              </w:rPr>
            </w:pPr>
            <w:r>
              <w:rPr>
                <w:rFonts w:ascii="宋体" w:hAnsi="宋体" w:cs="宋体"/>
                <w:color w:val="auto"/>
                <w:kern w:val="0"/>
                <w:sz w:val="24"/>
                <w:szCs w:val="24"/>
              </w:rPr>
              <w:t>编制水平</w:t>
            </w:r>
          </w:p>
        </w:tc>
        <w:tc>
          <w:tcPr>
            <w:tcW w:w="6419" w:type="dxa"/>
            <w:shd w:val="clear" w:color="auto" w:fill="auto"/>
            <w:tcMar>
              <w:left w:w="108" w:type="dxa"/>
              <w:right w:w="108" w:type="dxa"/>
            </w:tcMar>
            <w:vAlign w:val="center"/>
          </w:tcPr>
          <w:p>
            <w:pPr>
              <w:widowControl/>
              <w:spacing w:line="276" w:lineRule="auto"/>
              <w:jc w:val="left"/>
              <w:rPr>
                <w:rFonts w:ascii="宋体" w:hAnsi="宋体" w:cs="宋体"/>
                <w:color w:val="auto"/>
                <w:kern w:val="0"/>
                <w:sz w:val="24"/>
                <w:szCs w:val="24"/>
              </w:rPr>
            </w:pPr>
            <w:r>
              <w:rPr>
                <w:rFonts w:hint="eastAsia" w:ascii="宋体" w:hAnsi="宋体" w:cs="宋体"/>
                <w:color w:val="auto"/>
                <w:kern w:val="0"/>
                <w:sz w:val="24"/>
                <w:szCs w:val="24"/>
              </w:rPr>
              <w:t>投标文件编制完整，格式规范、装订整齐、符合招标文件要求的得</w:t>
            </w:r>
            <w:r>
              <w:rPr>
                <w:rFonts w:hint="eastAsia" w:ascii="宋体" w:hAnsi="宋体" w:cs="宋体"/>
                <w:color w:val="auto"/>
                <w:kern w:val="0"/>
                <w:sz w:val="24"/>
                <w:szCs w:val="24"/>
                <w:lang w:val="en-US" w:eastAsia="zh-CN"/>
              </w:rPr>
              <w:t>0-</w:t>
            </w:r>
            <w:r>
              <w:rPr>
                <w:rFonts w:hint="eastAsia" w:ascii="宋体" w:hAnsi="宋体" w:cs="宋体"/>
                <w:color w:val="auto"/>
                <w:kern w:val="0"/>
                <w:sz w:val="24"/>
                <w:szCs w:val="24"/>
              </w:rPr>
              <w:t>2分。</w:t>
            </w:r>
          </w:p>
        </w:tc>
        <w:tc>
          <w:tcPr>
            <w:tcW w:w="1093" w:type="dxa"/>
            <w:shd w:val="clear" w:color="auto" w:fill="auto"/>
            <w:tcMar>
              <w:left w:w="108" w:type="dxa"/>
              <w:right w:w="108" w:type="dxa"/>
            </w:tcMar>
            <w:vAlign w:val="center"/>
          </w:tcPr>
          <w:p>
            <w:pPr>
              <w:widowControl/>
              <w:spacing w:line="276" w:lineRule="auto"/>
              <w:jc w:val="center"/>
              <w:rPr>
                <w:rFonts w:ascii="宋体" w:hAnsi="宋体" w:cs="宋体"/>
                <w:color w:val="auto"/>
                <w:kern w:val="0"/>
                <w:sz w:val="24"/>
                <w:szCs w:val="24"/>
              </w:rPr>
            </w:pPr>
            <w:r>
              <w:rPr>
                <w:rFonts w:hint="eastAsia" w:ascii="宋体" w:hAnsi="宋体" w:cs="宋体"/>
                <w:color w:val="auto"/>
                <w:kern w:val="0"/>
                <w:sz w:val="24"/>
                <w:szCs w:val="24"/>
              </w:rPr>
              <w:t>2分</w:t>
            </w:r>
          </w:p>
        </w:tc>
      </w:tr>
    </w:tbl>
    <w:p>
      <w:pPr>
        <w:widowControl/>
        <w:spacing w:line="330" w:lineRule="atLeast"/>
        <w:rPr>
          <w:rFonts w:cs="仿宋" w:asciiTheme="minorEastAsia" w:hAnsiTheme="minorEastAsia"/>
          <w:b/>
          <w:color w:val="auto"/>
          <w:kern w:val="0"/>
          <w:sz w:val="24"/>
          <w:szCs w:val="24"/>
        </w:rPr>
      </w:pPr>
    </w:p>
    <w:p>
      <w:pPr>
        <w:widowControl/>
        <w:spacing w:line="330" w:lineRule="atLeast"/>
        <w:rPr>
          <w:rFonts w:cs="仿宋" w:asciiTheme="minorEastAsia" w:hAnsiTheme="minorEastAsia"/>
          <w:b/>
          <w:color w:val="auto"/>
          <w:kern w:val="0"/>
          <w:sz w:val="24"/>
          <w:szCs w:val="24"/>
        </w:rPr>
      </w:pPr>
      <w:r>
        <w:rPr>
          <w:rFonts w:hint="eastAsia" w:cs="仿宋" w:asciiTheme="minorEastAsia" w:hAnsiTheme="minorEastAsia"/>
          <w:b/>
          <w:color w:val="auto"/>
          <w:kern w:val="0"/>
          <w:sz w:val="24"/>
          <w:szCs w:val="24"/>
        </w:rPr>
        <w:t>注：1.凡评标办法里涉及到的证书、证件及业绩材料等，均应在电子版投标文件中附其原件扫描件（或图片），否则该项得分应作0分处理。</w:t>
      </w:r>
    </w:p>
    <w:p>
      <w:pPr>
        <w:widowControl/>
        <w:spacing w:line="330" w:lineRule="atLeast"/>
        <w:rPr>
          <w:rFonts w:cs="仿宋" w:asciiTheme="minorEastAsia" w:hAnsiTheme="minorEastAsia"/>
          <w:b/>
          <w:color w:val="auto"/>
          <w:kern w:val="0"/>
          <w:sz w:val="24"/>
          <w:szCs w:val="24"/>
        </w:rPr>
      </w:pPr>
      <w:r>
        <w:rPr>
          <w:rFonts w:hint="eastAsia" w:cs="仿宋" w:asciiTheme="minorEastAsia" w:hAnsiTheme="minorEastAsia"/>
          <w:b/>
          <w:color w:val="auto"/>
          <w:kern w:val="0"/>
          <w:sz w:val="24"/>
          <w:szCs w:val="24"/>
        </w:rPr>
        <w:t>2.业绩合同以合同签订日期为准。</w:t>
      </w:r>
    </w:p>
    <w:p>
      <w:pPr>
        <w:widowControl/>
        <w:spacing w:line="330" w:lineRule="atLeast"/>
        <w:ind w:firstLine="241" w:firstLineChars="100"/>
        <w:rPr>
          <w:rFonts w:cs="仿宋" w:asciiTheme="minorEastAsia" w:hAnsiTheme="minorEastAsia"/>
          <w:b/>
          <w:color w:val="auto"/>
          <w:kern w:val="0"/>
          <w:sz w:val="24"/>
          <w:szCs w:val="24"/>
        </w:rPr>
      </w:pPr>
      <w:r>
        <w:rPr>
          <w:rFonts w:hint="eastAsia" w:cs="仿宋" w:asciiTheme="minorEastAsia" w:hAnsiTheme="minorEastAsia"/>
          <w:b/>
          <w:color w:val="auto"/>
          <w:kern w:val="0"/>
          <w:sz w:val="24"/>
          <w:szCs w:val="24"/>
        </w:rPr>
        <w:t>其中：价格分计算（落实政府采购政策价格调整部分）</w:t>
      </w:r>
    </w:p>
    <w:tbl>
      <w:tblPr>
        <w:tblStyle w:val="26"/>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eastAsia="宋体"/>
                <w:b/>
                <w:color w:val="auto"/>
                <w:sz w:val="24"/>
                <w:szCs w:val="24"/>
                <w:lang w:val="en-GB"/>
              </w:rPr>
            </w:pPr>
            <w:r>
              <w:rPr>
                <w:rFonts w:hint="eastAsia" w:ascii="宋体" w:hAnsi="宋体" w:eastAsia="宋体"/>
                <w:b/>
                <w:color w:val="auto"/>
                <w:sz w:val="24"/>
                <w:szCs w:val="24"/>
                <w:lang w:val="en-GB"/>
              </w:rPr>
              <w:t>序号</w:t>
            </w:r>
          </w:p>
        </w:tc>
        <w:tc>
          <w:tcPr>
            <w:tcW w:w="2823" w:type="dxa"/>
            <w:vAlign w:val="center"/>
          </w:tcPr>
          <w:p>
            <w:pPr>
              <w:jc w:val="center"/>
              <w:rPr>
                <w:rFonts w:ascii="宋体" w:hAnsi="宋体" w:eastAsia="宋体"/>
                <w:b/>
                <w:color w:val="auto"/>
                <w:sz w:val="24"/>
                <w:szCs w:val="24"/>
                <w:lang w:val="en-GB"/>
              </w:rPr>
            </w:pPr>
            <w:r>
              <w:rPr>
                <w:rFonts w:hint="eastAsia" w:ascii="宋体" w:hAnsi="宋体" w:eastAsia="宋体"/>
                <w:b/>
                <w:color w:val="auto"/>
                <w:sz w:val="24"/>
                <w:szCs w:val="24"/>
                <w:lang w:val="en-GB"/>
              </w:rPr>
              <w:t>情形</w:t>
            </w:r>
          </w:p>
        </w:tc>
        <w:tc>
          <w:tcPr>
            <w:tcW w:w="2552" w:type="dxa"/>
            <w:vAlign w:val="center"/>
          </w:tcPr>
          <w:p>
            <w:pPr>
              <w:jc w:val="center"/>
              <w:rPr>
                <w:rFonts w:ascii="宋体" w:hAnsi="宋体" w:eastAsia="宋体"/>
                <w:b/>
                <w:color w:val="auto"/>
                <w:sz w:val="24"/>
                <w:szCs w:val="24"/>
                <w:lang w:val="en-GB"/>
              </w:rPr>
            </w:pPr>
            <w:r>
              <w:rPr>
                <w:rFonts w:hint="eastAsia" w:ascii="宋体" w:hAnsi="宋体" w:eastAsia="宋体"/>
                <w:b/>
                <w:color w:val="auto"/>
                <w:sz w:val="24"/>
                <w:szCs w:val="24"/>
              </w:rPr>
              <w:t>价格扣除</w:t>
            </w:r>
            <w:r>
              <w:rPr>
                <w:rFonts w:hint="eastAsia" w:ascii="宋体" w:hAnsi="宋体" w:eastAsia="宋体"/>
                <w:b/>
                <w:color w:val="auto"/>
                <w:sz w:val="24"/>
                <w:szCs w:val="24"/>
                <w:lang w:val="en-GB"/>
              </w:rPr>
              <w:t>比例</w:t>
            </w:r>
          </w:p>
        </w:tc>
        <w:tc>
          <w:tcPr>
            <w:tcW w:w="2835" w:type="dxa"/>
            <w:vAlign w:val="center"/>
          </w:tcPr>
          <w:p>
            <w:pPr>
              <w:jc w:val="center"/>
              <w:rPr>
                <w:rFonts w:ascii="宋体" w:hAnsi="宋体" w:eastAsia="宋体"/>
                <w:b/>
                <w:color w:val="auto"/>
                <w:sz w:val="24"/>
                <w:szCs w:val="24"/>
                <w:lang w:val="en-GB"/>
              </w:rPr>
            </w:pPr>
            <w:r>
              <w:rPr>
                <w:rFonts w:hint="eastAsia" w:ascii="宋体" w:hAnsi="宋体" w:eastAsia="宋体"/>
                <w:b/>
                <w:color w:val="auto"/>
                <w:sz w:val="24"/>
                <w:szCs w:val="24"/>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eastAsia="宋体"/>
                <w:color w:val="auto"/>
                <w:sz w:val="24"/>
                <w:szCs w:val="24"/>
                <w:lang w:val="en-GB"/>
              </w:rPr>
            </w:pPr>
            <w:r>
              <w:rPr>
                <w:rFonts w:hint="eastAsia" w:ascii="宋体" w:hAnsi="宋体" w:eastAsia="宋体"/>
                <w:color w:val="auto"/>
                <w:sz w:val="24"/>
                <w:szCs w:val="24"/>
                <w:lang w:val="en-GB"/>
              </w:rPr>
              <w:t>1</w:t>
            </w:r>
          </w:p>
        </w:tc>
        <w:tc>
          <w:tcPr>
            <w:tcW w:w="2823" w:type="dxa"/>
            <w:vAlign w:val="center"/>
          </w:tcPr>
          <w:p>
            <w:pPr>
              <w:jc w:val="center"/>
              <w:rPr>
                <w:rFonts w:ascii="宋体" w:hAnsi="宋体" w:eastAsia="宋体"/>
                <w:color w:val="auto"/>
                <w:sz w:val="24"/>
                <w:szCs w:val="24"/>
                <w:lang w:val="en-GB"/>
              </w:rPr>
            </w:pPr>
            <w:r>
              <w:rPr>
                <w:rFonts w:hint="eastAsia" w:ascii="宋体" w:hAnsi="宋体" w:eastAsia="宋体"/>
                <w:color w:val="auto"/>
                <w:sz w:val="24"/>
                <w:szCs w:val="24"/>
                <w:lang w:val="en-GB"/>
              </w:rPr>
              <w:t>非联合体投标人</w:t>
            </w:r>
          </w:p>
          <w:p>
            <w:pPr>
              <w:rPr>
                <w:rFonts w:ascii="宋体" w:hAnsi="宋体" w:eastAsia="宋体"/>
                <w:b/>
                <w:color w:val="auto"/>
                <w:sz w:val="24"/>
                <w:szCs w:val="24"/>
                <w:lang w:val="en-GB"/>
              </w:rPr>
            </w:pPr>
            <w:r>
              <w:rPr>
                <w:rFonts w:hint="eastAsia" w:ascii="宋体" w:hAnsi="宋体" w:eastAsia="宋体"/>
                <w:color w:val="auto"/>
                <w:sz w:val="24"/>
                <w:szCs w:val="24"/>
                <w:lang w:val="en-GB"/>
              </w:rPr>
              <w:t>（投标人须为中小企业）</w:t>
            </w:r>
          </w:p>
        </w:tc>
        <w:tc>
          <w:tcPr>
            <w:tcW w:w="2552" w:type="dxa"/>
            <w:vAlign w:val="center"/>
          </w:tcPr>
          <w:p>
            <w:pPr>
              <w:rPr>
                <w:rFonts w:ascii="宋体" w:hAnsi="宋体" w:eastAsia="宋体"/>
                <w:b/>
                <w:color w:val="auto"/>
                <w:sz w:val="24"/>
                <w:szCs w:val="24"/>
                <w:lang w:val="en-GB"/>
              </w:rPr>
            </w:pPr>
            <w:r>
              <w:rPr>
                <w:rFonts w:hint="eastAsia" w:ascii="宋体" w:hAnsi="宋体" w:eastAsia="宋体"/>
                <w:color w:val="auto"/>
                <w:sz w:val="24"/>
                <w:szCs w:val="24"/>
              </w:rPr>
              <w:t>对小型和微型企业产品的价格扣除</w:t>
            </w:r>
            <w:r>
              <w:rPr>
                <w:rFonts w:ascii="宋体" w:hAnsi="宋体" w:eastAsia="宋体"/>
                <w:color w:val="auto"/>
                <w:sz w:val="24"/>
                <w:szCs w:val="24"/>
                <w:u w:val="single"/>
              </w:rPr>
              <w:t>6</w:t>
            </w:r>
            <w:r>
              <w:rPr>
                <w:rFonts w:hint="eastAsia" w:ascii="宋体" w:hAnsi="宋体" w:eastAsia="宋体"/>
                <w:color w:val="auto"/>
                <w:sz w:val="24"/>
                <w:szCs w:val="24"/>
              </w:rPr>
              <w:t>%</w:t>
            </w:r>
          </w:p>
        </w:tc>
        <w:tc>
          <w:tcPr>
            <w:tcW w:w="2835" w:type="dxa"/>
            <w:vMerge w:val="restart"/>
            <w:shd w:val="clear" w:color="auto" w:fill="auto"/>
            <w:vAlign w:val="center"/>
          </w:tcPr>
          <w:p>
            <w:pPr>
              <w:jc w:val="center"/>
              <w:rPr>
                <w:rFonts w:ascii="宋体" w:hAnsi="宋体" w:eastAsia="宋体"/>
                <w:color w:val="auto"/>
                <w:sz w:val="24"/>
                <w:szCs w:val="24"/>
                <w:lang w:val="en-GB"/>
              </w:rPr>
            </w:pPr>
            <w:r>
              <w:rPr>
                <w:rFonts w:hint="eastAsia" w:ascii="宋体" w:hAnsi="宋体" w:eastAsia="宋体"/>
                <w:color w:val="auto"/>
                <w:sz w:val="24"/>
                <w:szCs w:val="24"/>
                <w:lang w:val="en-GB"/>
              </w:rPr>
              <w:t>评标价格＝投标报价—</w:t>
            </w:r>
            <w:r>
              <w:rPr>
                <w:rFonts w:hint="eastAsia" w:ascii="宋体" w:hAnsi="宋体" w:eastAsia="宋体"/>
                <w:color w:val="auto"/>
                <w:sz w:val="24"/>
                <w:szCs w:val="24"/>
              </w:rPr>
              <w:t>小型和微型企业产品的价格</w:t>
            </w:r>
            <w:r>
              <w:rPr>
                <w:rFonts w:hint="eastAsia" w:ascii="宋体" w:hAnsi="宋体" w:eastAsia="宋体"/>
                <w:color w:val="auto"/>
                <w:sz w:val="24"/>
                <w:szCs w:val="24"/>
                <w:lang w:val="en-GB"/>
              </w:rPr>
              <w:t>×6%</w:t>
            </w:r>
          </w:p>
          <w:p>
            <w:pPr>
              <w:rPr>
                <w:rFonts w:ascii="宋体" w:hAnsi="宋体" w:eastAsia="宋体"/>
                <w:b/>
                <w:color w:val="auto"/>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eastAsia="宋体"/>
                <w:color w:val="auto"/>
                <w:sz w:val="24"/>
                <w:szCs w:val="24"/>
                <w:lang w:val="en-GB"/>
              </w:rPr>
            </w:pPr>
            <w:r>
              <w:rPr>
                <w:rFonts w:hint="eastAsia" w:ascii="宋体" w:hAnsi="宋体" w:eastAsia="宋体"/>
                <w:color w:val="auto"/>
                <w:sz w:val="24"/>
                <w:szCs w:val="24"/>
                <w:lang w:val="en-GB"/>
              </w:rPr>
              <w:t>2</w:t>
            </w:r>
          </w:p>
        </w:tc>
        <w:tc>
          <w:tcPr>
            <w:tcW w:w="2823" w:type="dxa"/>
            <w:vAlign w:val="center"/>
          </w:tcPr>
          <w:p>
            <w:pPr>
              <w:jc w:val="center"/>
              <w:rPr>
                <w:rFonts w:ascii="宋体" w:hAnsi="宋体" w:eastAsia="宋体"/>
                <w:b/>
                <w:color w:val="auto"/>
                <w:sz w:val="24"/>
                <w:szCs w:val="24"/>
              </w:rPr>
            </w:pPr>
            <w:r>
              <w:rPr>
                <w:rFonts w:hint="eastAsia" w:ascii="宋体" w:hAnsi="宋体" w:eastAsia="宋体"/>
                <w:color w:val="auto"/>
                <w:sz w:val="24"/>
                <w:szCs w:val="24"/>
                <w:lang w:val="en-GB"/>
              </w:rPr>
              <w:t>联合体各方均为小型、微型企业</w:t>
            </w:r>
          </w:p>
        </w:tc>
        <w:tc>
          <w:tcPr>
            <w:tcW w:w="2552" w:type="dxa"/>
            <w:vAlign w:val="center"/>
          </w:tcPr>
          <w:p>
            <w:pPr>
              <w:jc w:val="center"/>
              <w:rPr>
                <w:rFonts w:ascii="宋体" w:hAnsi="宋体" w:eastAsia="宋体"/>
                <w:color w:val="auto"/>
                <w:sz w:val="24"/>
                <w:szCs w:val="24"/>
              </w:rPr>
            </w:pPr>
            <w:r>
              <w:rPr>
                <w:rFonts w:hint="eastAsia" w:ascii="宋体" w:hAnsi="宋体" w:eastAsia="宋体"/>
                <w:color w:val="auto"/>
                <w:sz w:val="24"/>
                <w:szCs w:val="24"/>
              </w:rPr>
              <w:t>对小型和微型企业产品的价格扣除</w:t>
            </w:r>
            <w:r>
              <w:rPr>
                <w:rFonts w:ascii="宋体" w:hAnsi="宋体" w:eastAsia="宋体"/>
                <w:color w:val="auto"/>
                <w:sz w:val="24"/>
                <w:szCs w:val="24"/>
                <w:u w:val="single"/>
              </w:rPr>
              <w:t>6</w:t>
            </w:r>
            <w:r>
              <w:rPr>
                <w:rFonts w:hint="eastAsia" w:ascii="宋体" w:hAnsi="宋体" w:eastAsia="宋体"/>
                <w:color w:val="auto"/>
                <w:sz w:val="24"/>
                <w:szCs w:val="24"/>
              </w:rPr>
              <w:t>%</w:t>
            </w:r>
          </w:p>
          <w:p>
            <w:pPr>
              <w:jc w:val="center"/>
              <w:rPr>
                <w:rFonts w:ascii="宋体" w:hAnsi="宋体" w:eastAsia="宋体"/>
                <w:b/>
                <w:color w:val="auto"/>
                <w:sz w:val="24"/>
                <w:szCs w:val="24"/>
                <w:lang w:val="en-GB"/>
              </w:rPr>
            </w:pPr>
            <w:r>
              <w:rPr>
                <w:rFonts w:hint="eastAsia" w:ascii="宋体" w:hAnsi="宋体" w:eastAsia="宋体"/>
                <w:color w:val="auto"/>
                <w:sz w:val="24"/>
                <w:szCs w:val="24"/>
              </w:rPr>
              <w:t>（不再享受序号3的价格折扣）</w:t>
            </w:r>
          </w:p>
        </w:tc>
        <w:tc>
          <w:tcPr>
            <w:tcW w:w="2835" w:type="dxa"/>
            <w:vMerge w:val="continue"/>
            <w:shd w:val="clear" w:color="auto" w:fill="auto"/>
          </w:tcPr>
          <w:p>
            <w:pPr>
              <w:rPr>
                <w:rFonts w:ascii="宋体" w:hAnsi="宋体" w:eastAsia="宋体"/>
                <w:color w:val="auto"/>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eastAsia="宋体"/>
                <w:color w:val="auto"/>
                <w:sz w:val="24"/>
                <w:szCs w:val="24"/>
                <w:lang w:val="en-GB"/>
              </w:rPr>
            </w:pPr>
            <w:r>
              <w:rPr>
                <w:rFonts w:hint="eastAsia" w:ascii="宋体" w:hAnsi="宋体" w:eastAsia="宋体"/>
                <w:color w:val="auto"/>
                <w:sz w:val="24"/>
                <w:szCs w:val="24"/>
                <w:lang w:val="en-GB"/>
              </w:rPr>
              <w:t>3</w:t>
            </w:r>
          </w:p>
        </w:tc>
        <w:tc>
          <w:tcPr>
            <w:tcW w:w="2823" w:type="dxa"/>
            <w:vAlign w:val="center"/>
          </w:tcPr>
          <w:p>
            <w:pPr>
              <w:rPr>
                <w:rFonts w:ascii="宋体" w:hAnsi="宋体" w:eastAsia="宋体"/>
                <w:b/>
                <w:color w:val="auto"/>
                <w:sz w:val="24"/>
                <w:szCs w:val="24"/>
                <w:lang w:val="en-GB"/>
              </w:rPr>
            </w:pPr>
            <w:r>
              <w:rPr>
                <w:rFonts w:hint="eastAsia" w:ascii="宋体" w:hAnsi="宋体" w:eastAsia="宋体"/>
                <w:color w:val="auto"/>
                <w:sz w:val="24"/>
                <w:szCs w:val="24"/>
                <w:lang w:val="en-GB"/>
              </w:rPr>
              <w:t>联合体一方为小型、微型企业且小型、微型企业协议合同金额占联合体协议合同总金额30%以上的</w:t>
            </w:r>
          </w:p>
        </w:tc>
        <w:tc>
          <w:tcPr>
            <w:tcW w:w="2552" w:type="dxa"/>
            <w:vAlign w:val="center"/>
          </w:tcPr>
          <w:p>
            <w:pPr>
              <w:rPr>
                <w:rFonts w:ascii="宋体" w:hAnsi="宋体" w:eastAsia="宋体"/>
                <w:color w:val="auto"/>
                <w:sz w:val="24"/>
                <w:szCs w:val="24"/>
                <w:lang w:val="en-GB"/>
              </w:rPr>
            </w:pPr>
            <w:r>
              <w:rPr>
                <w:rFonts w:hint="eastAsia" w:ascii="宋体" w:hAnsi="宋体" w:eastAsia="宋体"/>
                <w:color w:val="auto"/>
                <w:sz w:val="24"/>
                <w:szCs w:val="24"/>
                <w:lang w:val="en-GB"/>
              </w:rPr>
              <w:t>对联合体总金额扣除</w:t>
            </w:r>
          </w:p>
          <w:p>
            <w:pPr>
              <w:jc w:val="center"/>
              <w:rPr>
                <w:rFonts w:ascii="宋体" w:hAnsi="宋体" w:eastAsia="宋体"/>
                <w:b/>
                <w:color w:val="auto"/>
                <w:sz w:val="24"/>
                <w:szCs w:val="24"/>
                <w:lang w:val="en-GB"/>
              </w:rPr>
            </w:pPr>
            <w:r>
              <w:rPr>
                <w:rFonts w:ascii="宋体" w:hAnsi="宋体" w:eastAsia="宋体"/>
                <w:color w:val="auto"/>
                <w:sz w:val="24"/>
                <w:szCs w:val="24"/>
                <w:u w:val="single"/>
              </w:rPr>
              <w:t>2</w:t>
            </w:r>
            <w:r>
              <w:rPr>
                <w:rFonts w:hint="eastAsia" w:ascii="宋体" w:hAnsi="宋体" w:eastAsia="宋体"/>
                <w:color w:val="auto"/>
                <w:sz w:val="24"/>
                <w:szCs w:val="24"/>
              </w:rPr>
              <w:t>%</w:t>
            </w:r>
          </w:p>
        </w:tc>
        <w:tc>
          <w:tcPr>
            <w:tcW w:w="2835" w:type="dxa"/>
            <w:shd w:val="clear" w:color="auto" w:fill="auto"/>
            <w:vAlign w:val="center"/>
          </w:tcPr>
          <w:p>
            <w:pPr>
              <w:jc w:val="center"/>
              <w:rPr>
                <w:rFonts w:ascii="宋体" w:hAnsi="宋体" w:eastAsia="宋体"/>
                <w:color w:val="auto"/>
                <w:sz w:val="24"/>
                <w:szCs w:val="24"/>
                <w:u w:val="single"/>
              </w:rPr>
            </w:pPr>
            <w:r>
              <w:rPr>
                <w:rFonts w:hint="eastAsia" w:ascii="宋体" w:hAnsi="宋体" w:eastAsia="宋体"/>
                <w:color w:val="auto"/>
                <w:sz w:val="24"/>
                <w:szCs w:val="24"/>
                <w:lang w:val="en-GB"/>
              </w:rPr>
              <w:t>评标价格＝投标报价×</w:t>
            </w:r>
            <w:r>
              <w:rPr>
                <w:rFonts w:hint="eastAsia" w:ascii="宋体" w:hAnsi="宋体" w:eastAsia="宋体"/>
                <w:color w:val="auto"/>
                <w:sz w:val="24"/>
                <w:szCs w:val="24"/>
              </w:rPr>
              <w:t>(1-</w:t>
            </w:r>
            <w:r>
              <w:rPr>
                <w:rFonts w:ascii="宋体" w:hAnsi="宋体" w:eastAsia="宋体"/>
                <w:color w:val="auto"/>
                <w:sz w:val="24"/>
                <w:szCs w:val="24"/>
                <w:u w:val="single"/>
              </w:rPr>
              <w:t>2</w:t>
            </w:r>
            <w:r>
              <w:rPr>
                <w:rFonts w:hint="eastAsia" w:ascii="宋体" w:hAnsi="宋体" w:eastAsia="宋体"/>
                <w:color w:val="auto"/>
                <w:sz w:val="24"/>
                <w:szCs w:val="24"/>
                <w:u w:val="single"/>
              </w:rPr>
              <w:t>%)</w:t>
            </w:r>
          </w:p>
          <w:p>
            <w:pPr>
              <w:rPr>
                <w:rFonts w:ascii="宋体" w:hAnsi="宋体" w:eastAsia="宋体"/>
                <w:b/>
                <w:color w:val="auto"/>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eastAsia="宋体"/>
                <w:color w:val="auto"/>
                <w:sz w:val="24"/>
                <w:szCs w:val="24"/>
                <w:lang w:val="en-GB"/>
              </w:rPr>
            </w:pPr>
            <w:r>
              <w:rPr>
                <w:rFonts w:hint="eastAsia" w:ascii="宋体" w:hAnsi="宋体" w:eastAsia="宋体"/>
                <w:color w:val="auto"/>
                <w:sz w:val="24"/>
                <w:szCs w:val="24"/>
                <w:lang w:val="en-GB"/>
              </w:rPr>
              <w:t>4</w:t>
            </w:r>
          </w:p>
        </w:tc>
        <w:tc>
          <w:tcPr>
            <w:tcW w:w="2823" w:type="dxa"/>
            <w:vAlign w:val="center"/>
          </w:tcPr>
          <w:p>
            <w:pPr>
              <w:jc w:val="center"/>
              <w:rPr>
                <w:rFonts w:ascii="宋体" w:hAnsi="宋体" w:eastAsia="宋体"/>
                <w:color w:val="auto"/>
                <w:sz w:val="24"/>
                <w:szCs w:val="24"/>
                <w:lang w:val="en-GB"/>
              </w:rPr>
            </w:pPr>
            <w:r>
              <w:rPr>
                <w:rFonts w:hint="eastAsia" w:ascii="宋体" w:hAnsi="宋体" w:eastAsia="宋体"/>
                <w:color w:val="auto"/>
                <w:sz w:val="24"/>
                <w:szCs w:val="24"/>
                <w:lang w:val="en-GB"/>
              </w:rPr>
              <w:t>监狱企业</w:t>
            </w:r>
          </w:p>
        </w:tc>
        <w:tc>
          <w:tcPr>
            <w:tcW w:w="2552" w:type="dxa"/>
            <w:vAlign w:val="center"/>
          </w:tcPr>
          <w:p>
            <w:pPr>
              <w:rPr>
                <w:rFonts w:ascii="宋体" w:hAnsi="宋体" w:eastAsia="宋体"/>
                <w:color w:val="auto"/>
                <w:sz w:val="24"/>
                <w:szCs w:val="24"/>
                <w:lang w:val="en-GB"/>
              </w:rPr>
            </w:pPr>
            <w:r>
              <w:rPr>
                <w:rFonts w:hint="eastAsia" w:ascii="宋体" w:hAnsi="宋体" w:eastAsia="宋体"/>
                <w:color w:val="auto"/>
                <w:sz w:val="24"/>
                <w:szCs w:val="24"/>
                <w:lang w:val="en-GB"/>
              </w:rPr>
              <w:t>视同小型、微型企业</w:t>
            </w:r>
          </w:p>
          <w:p>
            <w:pPr>
              <w:jc w:val="center"/>
              <w:rPr>
                <w:rFonts w:ascii="宋体" w:hAnsi="宋体" w:eastAsia="宋体"/>
                <w:color w:val="auto"/>
                <w:sz w:val="24"/>
                <w:szCs w:val="24"/>
                <w:lang w:val="en-GB"/>
              </w:rPr>
            </w:pPr>
            <w:r>
              <w:rPr>
                <w:rFonts w:hint="eastAsia" w:ascii="宋体" w:hAnsi="宋体" w:eastAsia="宋体"/>
                <w:color w:val="auto"/>
                <w:sz w:val="24"/>
                <w:szCs w:val="24"/>
                <w:lang w:val="en-GB"/>
              </w:rPr>
              <w:t>对监狱企业产品价格扣除</w:t>
            </w:r>
            <w:r>
              <w:rPr>
                <w:rFonts w:ascii="宋体" w:hAnsi="宋体" w:eastAsia="宋体"/>
                <w:color w:val="auto"/>
                <w:sz w:val="24"/>
                <w:szCs w:val="24"/>
                <w:u w:val="single"/>
              </w:rPr>
              <w:t>6</w:t>
            </w:r>
            <w:r>
              <w:rPr>
                <w:rFonts w:hint="eastAsia" w:ascii="宋体" w:hAnsi="宋体" w:eastAsia="宋体"/>
                <w:color w:val="auto"/>
                <w:sz w:val="24"/>
                <w:szCs w:val="24"/>
              </w:rPr>
              <w:t>%</w:t>
            </w:r>
          </w:p>
        </w:tc>
        <w:tc>
          <w:tcPr>
            <w:tcW w:w="2835" w:type="dxa"/>
            <w:shd w:val="clear" w:color="auto" w:fill="auto"/>
            <w:vAlign w:val="center"/>
          </w:tcPr>
          <w:p>
            <w:pPr>
              <w:jc w:val="center"/>
              <w:rPr>
                <w:rFonts w:ascii="宋体" w:hAnsi="宋体" w:eastAsia="宋体"/>
                <w:color w:val="auto"/>
                <w:sz w:val="24"/>
                <w:szCs w:val="24"/>
                <w:lang w:val="en-GB"/>
              </w:rPr>
            </w:pPr>
            <w:r>
              <w:rPr>
                <w:rFonts w:hint="eastAsia" w:ascii="宋体" w:hAnsi="宋体" w:eastAsia="宋体"/>
                <w:color w:val="auto"/>
                <w:sz w:val="24"/>
                <w:szCs w:val="24"/>
                <w:lang w:val="en-GB"/>
              </w:rPr>
              <w:t>评标价格＝投标报价—</w:t>
            </w:r>
            <w:r>
              <w:rPr>
                <w:rFonts w:hint="eastAsia" w:ascii="宋体" w:hAnsi="宋体" w:eastAsia="宋体"/>
                <w:color w:val="auto"/>
                <w:sz w:val="24"/>
                <w:szCs w:val="24"/>
              </w:rPr>
              <w:t>监狱企业产品的价格</w:t>
            </w:r>
            <w:r>
              <w:rPr>
                <w:rFonts w:hint="eastAsia" w:ascii="宋体" w:hAnsi="宋体" w:eastAsia="宋体"/>
                <w:color w:val="auto"/>
                <w:sz w:val="24"/>
                <w:szCs w:val="24"/>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eastAsia="宋体"/>
                <w:color w:val="auto"/>
                <w:sz w:val="24"/>
                <w:szCs w:val="24"/>
                <w:lang w:val="en-GB"/>
              </w:rPr>
            </w:pPr>
            <w:r>
              <w:rPr>
                <w:rFonts w:hint="eastAsia" w:ascii="宋体" w:hAnsi="宋体" w:eastAsia="宋体"/>
                <w:color w:val="auto"/>
                <w:sz w:val="24"/>
                <w:szCs w:val="24"/>
                <w:lang w:val="en-GB"/>
              </w:rPr>
              <w:t>5</w:t>
            </w:r>
          </w:p>
        </w:tc>
        <w:tc>
          <w:tcPr>
            <w:tcW w:w="2823" w:type="dxa"/>
            <w:vAlign w:val="center"/>
          </w:tcPr>
          <w:p>
            <w:pPr>
              <w:jc w:val="center"/>
              <w:rPr>
                <w:rFonts w:ascii="宋体" w:hAnsi="宋体" w:eastAsia="宋体"/>
                <w:color w:val="auto"/>
                <w:sz w:val="24"/>
                <w:szCs w:val="24"/>
                <w:lang w:val="en-GB"/>
              </w:rPr>
            </w:pPr>
            <w:r>
              <w:rPr>
                <w:rFonts w:hint="eastAsia" w:ascii="宋体" w:hAnsi="宋体" w:eastAsia="宋体"/>
                <w:color w:val="auto"/>
                <w:sz w:val="24"/>
                <w:szCs w:val="24"/>
                <w:lang w:val="en-GB"/>
              </w:rPr>
              <w:t>残疾人福利性单位</w:t>
            </w:r>
          </w:p>
        </w:tc>
        <w:tc>
          <w:tcPr>
            <w:tcW w:w="2552" w:type="dxa"/>
            <w:vAlign w:val="center"/>
          </w:tcPr>
          <w:p>
            <w:pPr>
              <w:rPr>
                <w:rFonts w:ascii="宋体" w:hAnsi="宋体" w:eastAsia="宋体"/>
                <w:color w:val="auto"/>
                <w:sz w:val="24"/>
                <w:szCs w:val="24"/>
                <w:lang w:val="en-GB"/>
              </w:rPr>
            </w:pPr>
            <w:r>
              <w:rPr>
                <w:rFonts w:hint="eastAsia" w:ascii="宋体" w:hAnsi="宋体" w:eastAsia="宋体"/>
                <w:color w:val="auto"/>
                <w:sz w:val="24"/>
                <w:szCs w:val="24"/>
                <w:lang w:val="en-GB"/>
              </w:rPr>
              <w:t>视同小型、微型企业</w:t>
            </w:r>
          </w:p>
          <w:p>
            <w:pPr>
              <w:jc w:val="center"/>
              <w:rPr>
                <w:rFonts w:ascii="宋体" w:hAnsi="宋体" w:eastAsia="宋体"/>
                <w:color w:val="auto"/>
                <w:sz w:val="24"/>
                <w:szCs w:val="24"/>
                <w:lang w:val="en-GB"/>
              </w:rPr>
            </w:pPr>
            <w:r>
              <w:rPr>
                <w:rFonts w:hint="eastAsia" w:ascii="宋体" w:hAnsi="宋体" w:eastAsia="宋体"/>
                <w:color w:val="auto"/>
                <w:sz w:val="24"/>
                <w:szCs w:val="24"/>
                <w:lang w:val="en-GB"/>
              </w:rPr>
              <w:t>对残疾人福利性单位产品价格扣除</w:t>
            </w:r>
            <w:r>
              <w:rPr>
                <w:rFonts w:ascii="宋体" w:hAnsi="宋体" w:eastAsia="宋体"/>
                <w:color w:val="auto"/>
                <w:sz w:val="24"/>
                <w:szCs w:val="24"/>
                <w:u w:val="single"/>
              </w:rPr>
              <w:t>6</w:t>
            </w:r>
            <w:r>
              <w:rPr>
                <w:rFonts w:hint="eastAsia" w:ascii="宋体" w:hAnsi="宋体" w:eastAsia="宋体"/>
                <w:color w:val="auto"/>
                <w:sz w:val="24"/>
                <w:szCs w:val="24"/>
              </w:rPr>
              <w:t>%</w:t>
            </w:r>
          </w:p>
        </w:tc>
        <w:tc>
          <w:tcPr>
            <w:tcW w:w="2835" w:type="dxa"/>
            <w:shd w:val="clear" w:color="auto" w:fill="auto"/>
            <w:vAlign w:val="center"/>
          </w:tcPr>
          <w:p>
            <w:pPr>
              <w:jc w:val="center"/>
              <w:rPr>
                <w:rFonts w:ascii="宋体" w:hAnsi="宋体" w:eastAsia="宋体"/>
                <w:color w:val="auto"/>
                <w:sz w:val="24"/>
                <w:szCs w:val="24"/>
                <w:lang w:val="en-GB"/>
              </w:rPr>
            </w:pPr>
            <w:r>
              <w:rPr>
                <w:rFonts w:hint="eastAsia" w:ascii="宋体" w:hAnsi="宋体" w:eastAsia="宋体"/>
                <w:color w:val="auto"/>
                <w:sz w:val="24"/>
                <w:szCs w:val="24"/>
                <w:lang w:val="en-GB"/>
              </w:rPr>
              <w:t>评标价格＝投标报价—</w:t>
            </w:r>
            <w:r>
              <w:rPr>
                <w:rFonts w:hint="eastAsia" w:ascii="宋体" w:hAnsi="宋体" w:eastAsia="宋体"/>
                <w:color w:val="auto"/>
                <w:sz w:val="24"/>
                <w:szCs w:val="24"/>
              </w:rPr>
              <w:t>残疾人福利性单位产品的价格</w:t>
            </w:r>
            <w:r>
              <w:rPr>
                <w:rFonts w:hint="eastAsia" w:ascii="宋体" w:hAnsi="宋体" w:eastAsia="宋体"/>
                <w:color w:val="auto"/>
                <w:sz w:val="24"/>
                <w:szCs w:val="24"/>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trPr>
        <w:tc>
          <w:tcPr>
            <w:tcW w:w="8931" w:type="dxa"/>
            <w:gridSpan w:val="4"/>
            <w:vAlign w:val="center"/>
          </w:tcPr>
          <w:p>
            <w:pPr>
              <w:widowControl/>
              <w:adjustRightInd w:val="0"/>
              <w:spacing w:line="360" w:lineRule="auto"/>
              <w:ind w:left="-2" w:leftChars="-1" w:firstLine="480" w:firstLineChars="200"/>
              <w:jc w:val="left"/>
              <w:rPr>
                <w:rFonts w:ascii="宋体" w:hAnsi="宋体" w:eastAsia="宋体" w:cs="仿宋_GB2312"/>
                <w:color w:val="auto"/>
                <w:sz w:val="24"/>
                <w:szCs w:val="24"/>
                <w:lang w:val="zh-CN"/>
              </w:rPr>
            </w:pPr>
            <w:r>
              <w:rPr>
                <w:rFonts w:hint="eastAsia" w:ascii="宋体" w:hAnsi="宋体" w:eastAsia="宋体" w:cs="仿宋_GB2312"/>
                <w:color w:val="auto"/>
                <w:sz w:val="24"/>
                <w:szCs w:val="24"/>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80" w:firstLineChars="200"/>
              <w:jc w:val="left"/>
              <w:rPr>
                <w:rFonts w:ascii="宋体" w:hAnsi="宋体" w:eastAsia="宋体" w:cs="仿宋_GB2312"/>
                <w:color w:val="auto"/>
                <w:sz w:val="24"/>
                <w:szCs w:val="24"/>
                <w:lang w:val="zh-CN"/>
              </w:rPr>
            </w:pPr>
            <w:r>
              <w:rPr>
                <w:rFonts w:hint="eastAsia" w:ascii="宋体" w:hAnsi="宋体" w:eastAsia="宋体" w:cs="仿宋_GB2312"/>
                <w:color w:val="auto"/>
                <w:sz w:val="24"/>
                <w:szCs w:val="24"/>
                <w:lang w:val="zh-CN"/>
              </w:rPr>
              <w:t>2、</w:t>
            </w:r>
            <w:r>
              <w:rPr>
                <w:rFonts w:ascii="宋体" w:hAnsi="宋体" w:eastAsia="宋体" w:cs="仿宋_GB2312"/>
                <w:color w:val="auto"/>
                <w:sz w:val="24"/>
                <w:szCs w:val="24"/>
                <w:lang w:val="zh-CN"/>
              </w:rPr>
              <w:t>经评标委员会</w:t>
            </w:r>
            <w:r>
              <w:rPr>
                <w:rFonts w:hint="eastAsia" w:ascii="宋体" w:hAnsi="宋体" w:eastAsia="宋体" w:cs="仿宋_GB2312"/>
                <w:color w:val="auto"/>
                <w:sz w:val="24"/>
                <w:szCs w:val="24"/>
                <w:lang w:val="zh-CN"/>
              </w:rPr>
              <w:t>审查、评价</w:t>
            </w:r>
            <w:r>
              <w:rPr>
                <w:rFonts w:ascii="宋体" w:hAnsi="宋体" w:eastAsia="宋体" w:cs="仿宋_GB2312"/>
                <w:color w:val="auto"/>
                <w:sz w:val="24"/>
                <w:szCs w:val="24"/>
                <w:lang w:val="zh-CN"/>
              </w:rPr>
              <w:t>，</w:t>
            </w:r>
            <w:r>
              <w:rPr>
                <w:rFonts w:hint="eastAsia" w:ascii="宋体" w:hAnsi="宋体" w:eastAsia="宋体" w:cs="仿宋_GB2312"/>
                <w:color w:val="auto"/>
                <w:sz w:val="24"/>
                <w:szCs w:val="24"/>
                <w:lang w:val="zh-CN"/>
              </w:rPr>
              <w:t>投标文件符合</w:t>
            </w:r>
            <w:r>
              <w:rPr>
                <w:rFonts w:ascii="宋体" w:hAnsi="宋体" w:eastAsia="宋体" w:cs="仿宋_GB2312"/>
                <w:color w:val="auto"/>
                <w:sz w:val="24"/>
                <w:szCs w:val="24"/>
                <w:lang w:val="zh-CN"/>
              </w:rPr>
              <w:t>招标文件</w:t>
            </w:r>
            <w:r>
              <w:rPr>
                <w:rFonts w:hint="eastAsia" w:ascii="宋体" w:hAnsi="宋体" w:eastAsia="宋体" w:cs="仿宋_GB2312"/>
                <w:color w:val="auto"/>
                <w:sz w:val="24"/>
                <w:szCs w:val="24"/>
                <w:lang w:val="zh-CN"/>
              </w:rPr>
              <w:t>实质性</w:t>
            </w:r>
            <w:r>
              <w:rPr>
                <w:rFonts w:ascii="宋体" w:hAnsi="宋体" w:eastAsia="宋体" w:cs="仿宋_GB2312"/>
                <w:color w:val="auto"/>
                <w:sz w:val="24"/>
                <w:szCs w:val="24"/>
                <w:lang w:val="zh-CN"/>
              </w:rPr>
              <w:t>要求且</w:t>
            </w:r>
            <w:r>
              <w:rPr>
                <w:rFonts w:hint="eastAsia" w:ascii="宋体" w:hAnsi="宋体" w:eastAsia="宋体" w:cs="仿宋_GB2312"/>
                <w:color w:val="auto"/>
                <w:sz w:val="24"/>
                <w:szCs w:val="24"/>
                <w:lang w:val="zh-CN"/>
              </w:rPr>
              <w:t>进行了政策性价格扣除后，</w:t>
            </w:r>
            <w:r>
              <w:rPr>
                <w:rFonts w:ascii="宋体" w:hAnsi="宋体" w:eastAsia="宋体" w:cs="仿宋_GB2312"/>
                <w:color w:val="auto"/>
                <w:sz w:val="24"/>
                <w:szCs w:val="24"/>
                <w:lang w:val="zh-CN"/>
              </w:rPr>
              <w:t>以</w:t>
            </w:r>
            <w:r>
              <w:rPr>
                <w:rFonts w:hint="eastAsia" w:ascii="宋体" w:hAnsi="宋体" w:eastAsia="宋体" w:cs="仿宋_GB2312"/>
                <w:color w:val="auto"/>
                <w:sz w:val="24"/>
                <w:szCs w:val="24"/>
                <w:lang w:val="zh-CN"/>
              </w:rPr>
              <w:t>评标价格的</w:t>
            </w:r>
            <w:r>
              <w:rPr>
                <w:rFonts w:ascii="宋体" w:hAnsi="宋体" w:eastAsia="宋体" w:cs="仿宋_GB2312"/>
                <w:color w:val="auto"/>
                <w:sz w:val="24"/>
                <w:szCs w:val="24"/>
                <w:lang w:val="zh-CN"/>
              </w:rPr>
              <w:t>最低价者定为评标基准价，其价格分为满分。其他投标人的价格分统一按下列公式</w:t>
            </w:r>
            <w:r>
              <w:rPr>
                <w:rFonts w:hint="eastAsia" w:ascii="宋体" w:hAnsi="宋体" w:eastAsia="宋体" w:cs="仿宋_GB2312"/>
                <w:color w:val="auto"/>
                <w:sz w:val="24"/>
                <w:szCs w:val="24"/>
                <w:lang w:val="zh-CN"/>
              </w:rPr>
              <w:t>计算</w:t>
            </w:r>
            <w:r>
              <w:rPr>
                <w:rFonts w:ascii="宋体" w:hAnsi="宋体" w:eastAsia="宋体" w:cs="仿宋_GB2312"/>
                <w:color w:val="auto"/>
                <w:sz w:val="24"/>
                <w:szCs w:val="24"/>
                <w:lang w:val="zh-CN"/>
              </w:rPr>
              <w:t>。即：</w:t>
            </w:r>
          </w:p>
          <w:p>
            <w:pPr>
              <w:widowControl/>
              <w:adjustRightInd w:val="0"/>
              <w:spacing w:line="360" w:lineRule="auto"/>
              <w:ind w:left="-88" w:leftChars="-42" w:firstLine="513" w:firstLineChars="214"/>
              <w:jc w:val="left"/>
              <w:rPr>
                <w:rFonts w:ascii="宋体" w:hAnsi="宋体" w:eastAsia="宋体" w:cs="仿宋_GB2312"/>
                <w:color w:val="auto"/>
                <w:sz w:val="24"/>
                <w:szCs w:val="24"/>
                <w:lang w:val="zh-CN"/>
              </w:rPr>
            </w:pPr>
            <w:r>
              <w:rPr>
                <w:rFonts w:ascii="宋体" w:hAnsi="宋体" w:eastAsia="宋体" w:cs="仿宋_GB2312"/>
                <w:color w:val="auto"/>
                <w:sz w:val="24"/>
                <w:szCs w:val="24"/>
                <w:lang w:val="zh-CN"/>
              </w:rPr>
              <w:t>评标基准价</w:t>
            </w:r>
            <w:r>
              <w:rPr>
                <w:rFonts w:hint="eastAsia" w:ascii="宋体" w:hAnsi="宋体" w:eastAsia="宋体" w:cs="仿宋_GB2312"/>
                <w:color w:val="auto"/>
                <w:sz w:val="24"/>
                <w:szCs w:val="24"/>
                <w:lang w:val="zh-CN"/>
              </w:rPr>
              <w:t>=评标价格的最低价</w:t>
            </w:r>
          </w:p>
          <w:p>
            <w:pPr>
              <w:adjustRightInd w:val="0"/>
              <w:spacing w:line="360" w:lineRule="auto"/>
              <w:ind w:left="-88" w:leftChars="-42" w:firstLine="513" w:firstLineChars="214"/>
              <w:jc w:val="left"/>
              <w:rPr>
                <w:rFonts w:ascii="宋体" w:hAnsi="宋体" w:eastAsia="宋体" w:cs="仿宋_GB2312"/>
                <w:color w:val="auto"/>
                <w:sz w:val="24"/>
                <w:szCs w:val="24"/>
                <w:lang w:val="zh-CN"/>
              </w:rPr>
            </w:pPr>
            <w:r>
              <w:rPr>
                <w:rFonts w:ascii="宋体" w:hAnsi="宋体" w:eastAsia="宋体" w:cs="仿宋_GB2312"/>
                <w:color w:val="auto"/>
                <w:sz w:val="24"/>
                <w:szCs w:val="24"/>
                <w:lang w:val="zh-CN"/>
              </w:rPr>
              <w:t>其他投标报价得分</w:t>
            </w:r>
            <w:r>
              <w:rPr>
                <w:rFonts w:hint="eastAsia" w:ascii="宋体" w:hAnsi="宋体" w:eastAsia="宋体" w:cs="仿宋_GB2312"/>
                <w:color w:val="auto"/>
                <w:sz w:val="24"/>
                <w:szCs w:val="24"/>
                <w:lang w:val="zh-CN"/>
              </w:rPr>
              <w:t>=（</w:t>
            </w:r>
            <w:r>
              <w:rPr>
                <w:rFonts w:ascii="宋体" w:hAnsi="宋体" w:eastAsia="宋体" w:cs="仿宋_GB2312"/>
                <w:color w:val="auto"/>
                <w:sz w:val="24"/>
                <w:szCs w:val="24"/>
                <w:lang w:val="zh-CN"/>
              </w:rPr>
              <w:t>评标基准价</w:t>
            </w:r>
            <w:r>
              <w:rPr>
                <w:rFonts w:hint="eastAsia" w:ascii="宋体" w:hAnsi="宋体" w:eastAsia="宋体" w:cs="仿宋_GB2312"/>
                <w:color w:val="auto"/>
                <w:sz w:val="24"/>
                <w:szCs w:val="24"/>
                <w:lang w:val="zh-CN"/>
              </w:rPr>
              <w:t>/评标价格）</w:t>
            </w:r>
            <w:r>
              <w:rPr>
                <w:rFonts w:ascii="宋体" w:hAnsi="宋体" w:eastAsia="宋体" w:cs="仿宋_GB2312"/>
                <w:color w:val="auto"/>
                <w:sz w:val="24"/>
                <w:szCs w:val="24"/>
                <w:lang w:val="zh-CN"/>
              </w:rPr>
              <w:t>×</w:t>
            </w:r>
            <w:r>
              <w:rPr>
                <w:rFonts w:hint="eastAsia" w:ascii="宋体" w:hAnsi="宋体" w:eastAsia="宋体" w:cs="仿宋_GB2312"/>
                <w:color w:val="auto"/>
                <w:sz w:val="24"/>
                <w:szCs w:val="24"/>
                <w:lang w:val="zh-CN"/>
              </w:rPr>
              <w:t>评标标准中价格分值</w:t>
            </w:r>
          </w:p>
        </w:tc>
      </w:tr>
    </w:tbl>
    <w:p>
      <w:pPr>
        <w:spacing w:line="360" w:lineRule="auto"/>
        <w:rPr>
          <w:rFonts w:ascii="宋体" w:hAnsi="宋体"/>
          <w:bCs/>
          <w:color w:val="auto"/>
          <w:szCs w:val="21"/>
          <w:lang w:val="en-GB"/>
        </w:rPr>
      </w:pPr>
      <w:r>
        <w:rPr>
          <w:rFonts w:hint="eastAsia" w:ascii="宋体" w:hAnsi="宋体"/>
          <w:bCs/>
          <w:color w:val="auto"/>
          <w:szCs w:val="21"/>
          <w:lang w:val="en-GB"/>
        </w:rPr>
        <w:t>备注：</w:t>
      </w:r>
    </w:p>
    <w:p>
      <w:pPr>
        <w:spacing w:line="360" w:lineRule="auto"/>
        <w:ind w:firstLine="420" w:firstLineChars="200"/>
        <w:rPr>
          <w:rFonts w:ascii="宋体" w:hAnsi="宋体"/>
          <w:bCs/>
          <w:color w:val="auto"/>
          <w:szCs w:val="21"/>
          <w:lang w:val="en-GB"/>
        </w:rPr>
      </w:pPr>
      <w:r>
        <w:rPr>
          <w:rFonts w:hint="eastAsia" w:ascii="宋体" w:hAnsi="宋体"/>
          <w:bCs/>
          <w:color w:val="auto"/>
          <w:szCs w:val="21"/>
          <w:lang w:val="en-GB"/>
        </w:rPr>
        <w:t>a、不接受联合体投标的项目，本表中第2项、第3项情形不适用。</w:t>
      </w:r>
    </w:p>
    <w:p>
      <w:pPr>
        <w:spacing w:line="360" w:lineRule="auto"/>
        <w:ind w:firstLine="420" w:firstLineChars="200"/>
        <w:rPr>
          <w:rFonts w:ascii="宋体" w:hAnsi="宋体"/>
          <w:bCs/>
          <w:color w:val="auto"/>
          <w:szCs w:val="21"/>
          <w:lang w:val="en-GB"/>
        </w:rPr>
      </w:pPr>
      <w:r>
        <w:rPr>
          <w:rFonts w:hint="eastAsia" w:ascii="宋体" w:hAnsi="宋体"/>
          <w:bCs/>
          <w:color w:val="auto"/>
          <w:szCs w:val="21"/>
          <w:lang w:val="en-GB"/>
        </w:rPr>
        <w:t>b、小型和微型企业产品包括货物及其提供的服务与工程。</w:t>
      </w:r>
    </w:p>
    <w:p>
      <w:pPr>
        <w:spacing w:line="360" w:lineRule="auto"/>
        <w:ind w:firstLine="420" w:firstLineChars="200"/>
        <w:rPr>
          <w:rFonts w:ascii="宋体" w:hAnsi="宋体"/>
          <w:bCs/>
          <w:color w:val="auto"/>
          <w:szCs w:val="21"/>
          <w:lang w:val="en-GB"/>
        </w:rPr>
      </w:pPr>
      <w:r>
        <w:rPr>
          <w:rFonts w:hint="eastAsia" w:ascii="宋体" w:hAnsi="宋体"/>
          <w:bCs/>
          <w:color w:val="auto"/>
          <w:szCs w:val="21"/>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color w:val="auto"/>
          <w:szCs w:val="21"/>
          <w:lang w:val="en-GB"/>
        </w:rPr>
      </w:pPr>
      <w:r>
        <w:rPr>
          <w:rFonts w:hint="eastAsia" w:ascii="宋体" w:hAnsi="宋体"/>
          <w:bCs/>
          <w:color w:val="auto"/>
          <w:szCs w:val="21"/>
          <w:lang w:val="en-GB"/>
        </w:rPr>
        <w:t>d、残疾人福利性单位属于小型、微型企业的，不重复享受政策。</w:t>
      </w:r>
    </w:p>
    <w:p>
      <w:pPr>
        <w:tabs>
          <w:tab w:val="left" w:pos="1260"/>
        </w:tabs>
        <w:autoSpaceDE w:val="0"/>
        <w:autoSpaceDN w:val="0"/>
        <w:spacing w:line="360" w:lineRule="auto"/>
        <w:ind w:firstLine="422" w:firstLineChars="200"/>
        <w:contextualSpacing/>
        <w:rPr>
          <w:rFonts w:cs="仿宋_GB2312" w:asciiTheme="minorEastAsia" w:hAnsiTheme="minorEastAsia"/>
          <w:b/>
          <w:color w:val="auto"/>
          <w:szCs w:val="21"/>
          <w:lang w:val="zh-CN"/>
        </w:rPr>
      </w:pPr>
      <w:r>
        <w:rPr>
          <w:rFonts w:hint="eastAsia" w:cs="仿宋_GB2312" w:asciiTheme="minorEastAsia" w:hAnsiTheme="minorEastAsia"/>
          <w:b/>
          <w:color w:val="auto"/>
          <w:szCs w:val="21"/>
          <w:lang w:val="zh-CN"/>
        </w:rPr>
        <w:t>（6）</w:t>
      </w:r>
      <w:r>
        <w:rPr>
          <w:rFonts w:cs="仿宋_GB2312" w:asciiTheme="minorEastAsia" w:hAnsiTheme="minorEastAsia"/>
          <w:b/>
          <w:color w:val="auto"/>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 xml:space="preserve">1） </w:t>
      </w:r>
      <w:r>
        <w:rPr>
          <w:rFonts w:cs="仿宋_GB2312" w:asciiTheme="minorEastAsia" w:hAnsiTheme="minorEastAsia"/>
          <w:color w:val="auto"/>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 xml:space="preserve">2） </w:t>
      </w:r>
      <w:r>
        <w:rPr>
          <w:rFonts w:cs="仿宋_GB2312" w:asciiTheme="minorEastAsia" w:hAnsiTheme="minorEastAsia"/>
          <w:color w:val="auto"/>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 xml:space="preserve">3） </w:t>
      </w:r>
      <w:r>
        <w:rPr>
          <w:rFonts w:cs="仿宋_GB2312" w:asciiTheme="minorEastAsia" w:hAnsiTheme="minorEastAsia"/>
          <w:color w:val="auto"/>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 xml:space="preserve">4） </w:t>
      </w:r>
      <w:r>
        <w:rPr>
          <w:rFonts w:cs="仿宋_GB2312" w:asciiTheme="minorEastAsia" w:hAnsiTheme="minorEastAsia"/>
          <w:color w:val="auto"/>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cs="仿宋_GB2312" w:asciiTheme="minorEastAsia" w:hAnsiTheme="minorEastAsia"/>
          <w:color w:val="auto"/>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cs="仿宋_GB2312" w:asciiTheme="minorEastAsia" w:hAnsiTheme="minorEastAsia"/>
          <w:color w:val="auto"/>
          <w:szCs w:val="21"/>
          <w:lang w:val="zh-CN"/>
        </w:rPr>
        <w:t>投标人对本条第一款情形提出质疑的，采购人或者采购代理机构可以组织原评标委员会进行重新评审，重新评审改变评标结果的，应当书面报告本级财政部门。</w:t>
      </w:r>
    </w:p>
    <w:p>
      <w:pPr>
        <w:tabs>
          <w:tab w:val="left" w:pos="1260"/>
        </w:tabs>
        <w:autoSpaceDE w:val="0"/>
        <w:autoSpaceDN w:val="0"/>
        <w:spacing w:line="360" w:lineRule="auto"/>
        <w:ind w:firstLine="422" w:firstLineChars="200"/>
        <w:contextualSpacing/>
        <w:rPr>
          <w:rFonts w:cs="仿宋_GB2312" w:asciiTheme="minorEastAsia" w:hAnsiTheme="minorEastAsia"/>
          <w:b/>
          <w:color w:val="auto"/>
          <w:szCs w:val="21"/>
          <w:lang w:val="zh-CN"/>
        </w:rPr>
      </w:pPr>
      <w:r>
        <w:rPr>
          <w:rFonts w:hint="eastAsia" w:cs="仿宋_GB2312" w:asciiTheme="minorEastAsia" w:hAnsiTheme="minorEastAsia"/>
          <w:b/>
          <w:color w:val="auto"/>
          <w:szCs w:val="21"/>
          <w:lang w:val="zh-CN"/>
        </w:rPr>
        <w:t>（7）</w:t>
      </w:r>
      <w:r>
        <w:rPr>
          <w:rFonts w:cs="仿宋_GB2312" w:asciiTheme="minorEastAsia" w:hAnsiTheme="minorEastAsia"/>
          <w:b/>
          <w:color w:val="auto"/>
          <w:szCs w:val="21"/>
          <w:lang w:val="zh-CN"/>
        </w:rPr>
        <w:t>评标委员会</w:t>
      </w:r>
      <w:r>
        <w:rPr>
          <w:rFonts w:hint="eastAsia" w:cs="仿宋_GB2312" w:asciiTheme="minorEastAsia" w:hAnsiTheme="minorEastAsia"/>
          <w:b/>
          <w:color w:val="auto"/>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cs="仿宋_GB2312" w:asciiTheme="minorEastAsia" w:hAnsiTheme="minorEastAsia"/>
          <w:color w:val="auto"/>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22" w:firstLineChars="200"/>
        <w:contextualSpacing/>
        <w:rPr>
          <w:rFonts w:cs="仿宋_GB2312" w:asciiTheme="minorEastAsia" w:hAnsiTheme="minorEastAsia"/>
          <w:b/>
          <w:color w:val="auto"/>
          <w:szCs w:val="21"/>
          <w:lang w:val="zh-CN"/>
        </w:rPr>
      </w:pPr>
      <w:r>
        <w:rPr>
          <w:rFonts w:hint="eastAsia" w:cs="仿宋_GB2312" w:asciiTheme="minorEastAsia" w:hAnsiTheme="minorEastAsia"/>
          <w:b/>
          <w:color w:val="auto"/>
          <w:szCs w:val="21"/>
          <w:lang w:val="zh-CN"/>
        </w:rPr>
        <w:t>4、</w:t>
      </w:r>
      <w:r>
        <w:rPr>
          <w:rFonts w:cs="仿宋_GB2312" w:asciiTheme="minorEastAsia" w:hAnsiTheme="minorEastAsia"/>
          <w:b/>
          <w:color w:val="auto"/>
          <w:szCs w:val="21"/>
          <w:lang w:val="zh-CN"/>
        </w:rPr>
        <w:t>确定中标候选人名单，以及根据采购人委托直接确定中标人</w:t>
      </w:r>
      <w:r>
        <w:rPr>
          <w:rFonts w:hint="eastAsia" w:cs="仿宋_GB2312" w:asciiTheme="minorEastAsia" w:hAnsiTheme="minorEastAsia"/>
          <w:b/>
          <w:color w:val="auto"/>
          <w:szCs w:val="21"/>
          <w:lang w:val="zh-CN"/>
        </w:rPr>
        <w:t>。</w:t>
      </w:r>
    </w:p>
    <w:p>
      <w:pPr>
        <w:pStyle w:val="2"/>
        <w:ind w:firstLine="340"/>
        <w:rPr>
          <w:color w:val="auto"/>
          <w:lang w:val="zh-CN"/>
        </w:rPr>
      </w:pPr>
    </w:p>
    <w:p>
      <w:pPr>
        <w:pageBreakBefore/>
        <w:numPr>
          <w:ilvl w:val="0"/>
          <w:numId w:val="4"/>
        </w:numPr>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 xml:space="preserve"> 合同条款及格式</w:t>
      </w:r>
    </w:p>
    <w:p>
      <w:pPr>
        <w:spacing w:line="360" w:lineRule="auto"/>
        <w:jc w:val="center"/>
        <w:rPr>
          <w:rFonts w:ascii="宋体" w:hAnsi="宋体" w:cs="微软雅黑"/>
          <w:b/>
          <w:bCs/>
          <w:color w:val="auto"/>
          <w:sz w:val="24"/>
          <w:szCs w:val="24"/>
        </w:rPr>
      </w:pPr>
    </w:p>
    <w:p>
      <w:pPr>
        <w:spacing w:line="360" w:lineRule="auto"/>
        <w:jc w:val="center"/>
        <w:rPr>
          <w:rFonts w:ascii="宋体" w:hAnsi="宋体" w:cs="微软雅黑"/>
          <w:b/>
          <w:bCs/>
          <w:color w:val="auto"/>
          <w:sz w:val="24"/>
          <w:szCs w:val="24"/>
        </w:rPr>
      </w:pPr>
      <w:r>
        <w:rPr>
          <w:rFonts w:hint="eastAsia" w:ascii="宋体" w:hAnsi="宋体" w:cs="微软雅黑"/>
          <w:b/>
          <w:bCs/>
          <w:color w:val="auto"/>
          <w:sz w:val="24"/>
          <w:szCs w:val="24"/>
        </w:rPr>
        <w:t>（此合同仅供参考。以最终采购人与中标人签定的合同条款为准进行公示，</w:t>
      </w:r>
    </w:p>
    <w:p>
      <w:pPr>
        <w:spacing w:line="360" w:lineRule="auto"/>
        <w:ind w:firstLine="482" w:firstLineChars="200"/>
        <w:jc w:val="center"/>
        <w:rPr>
          <w:rFonts w:ascii="宋体" w:hAnsi="宋体" w:cs="微软雅黑"/>
          <w:b/>
          <w:bCs/>
          <w:color w:val="auto"/>
          <w:sz w:val="24"/>
          <w:szCs w:val="24"/>
        </w:rPr>
      </w:pPr>
      <w:r>
        <w:rPr>
          <w:rFonts w:hint="eastAsia" w:ascii="宋体" w:hAnsi="宋体" w:cs="微软雅黑"/>
          <w:b/>
          <w:bCs/>
          <w:color w:val="auto"/>
          <w:sz w:val="24"/>
          <w:szCs w:val="24"/>
        </w:rPr>
        <w:t>最终签定合同的主要条款不能与招标文件有冲突）</w:t>
      </w:r>
    </w:p>
    <w:p>
      <w:pPr>
        <w:spacing w:line="360" w:lineRule="auto"/>
        <w:ind w:firstLine="480" w:firstLineChars="200"/>
        <w:rPr>
          <w:rFonts w:ascii="宋体" w:hAnsi="宋体"/>
          <w:color w:val="auto"/>
          <w:sz w:val="24"/>
        </w:rPr>
      </w:pPr>
      <w:r>
        <w:rPr>
          <w:rFonts w:hint="eastAsia" w:ascii="宋体" w:hAnsi="宋体"/>
          <w:color w:val="auto"/>
          <w:sz w:val="24"/>
        </w:rPr>
        <w:t>1. 定义</w:t>
      </w:r>
    </w:p>
    <w:p>
      <w:pPr>
        <w:spacing w:line="360" w:lineRule="auto"/>
        <w:ind w:firstLine="480" w:firstLineChars="200"/>
        <w:rPr>
          <w:rFonts w:ascii="宋体" w:hAnsi="宋体"/>
          <w:color w:val="auto"/>
          <w:sz w:val="24"/>
        </w:rPr>
      </w:pPr>
      <w:r>
        <w:rPr>
          <w:rFonts w:hint="eastAsia" w:ascii="宋体" w:hAnsi="宋体"/>
          <w:color w:val="auto"/>
          <w:sz w:val="24"/>
        </w:rPr>
        <w:t>1.1“合同”系指甲方和乙方 （简称合同双方）已达成的协议，即由双方签订的合同格式中的文件，包括所有的附件和组成合同部分的所有其他文件。</w:t>
      </w:r>
    </w:p>
    <w:p>
      <w:pPr>
        <w:spacing w:line="360" w:lineRule="auto"/>
        <w:ind w:firstLine="480" w:firstLineChars="200"/>
        <w:rPr>
          <w:rFonts w:ascii="宋体" w:hAnsi="宋体"/>
          <w:color w:val="auto"/>
          <w:sz w:val="24"/>
        </w:rPr>
      </w:pPr>
      <w:r>
        <w:rPr>
          <w:rFonts w:hint="eastAsia" w:ascii="宋体" w:hAnsi="宋体"/>
          <w:color w:val="auto"/>
          <w:sz w:val="24"/>
        </w:rPr>
        <w:t xml:space="preserve">1.2“合同价格”系指根据合同规定，在乙方全面正确地履行合同义务时应支付给乙方的款项。 </w:t>
      </w:r>
    </w:p>
    <w:p>
      <w:pPr>
        <w:spacing w:line="360" w:lineRule="auto"/>
        <w:ind w:firstLine="480" w:firstLineChars="200"/>
        <w:rPr>
          <w:rFonts w:ascii="宋体" w:hAnsi="宋体"/>
          <w:color w:val="auto"/>
          <w:sz w:val="24"/>
        </w:rPr>
      </w:pPr>
      <w:r>
        <w:rPr>
          <w:rFonts w:hint="eastAsia" w:ascii="宋体" w:hAnsi="宋体"/>
          <w:color w:val="auto"/>
          <w:sz w:val="24"/>
        </w:rPr>
        <w:t>1.3“甲方”系指通过招标方式，接受合同服务的采购人</w:t>
      </w:r>
    </w:p>
    <w:p>
      <w:pPr>
        <w:spacing w:line="360" w:lineRule="auto"/>
        <w:ind w:firstLine="480" w:firstLineChars="200"/>
        <w:rPr>
          <w:rFonts w:ascii="宋体" w:hAnsi="宋体"/>
          <w:color w:val="auto"/>
          <w:sz w:val="24"/>
        </w:rPr>
      </w:pPr>
      <w:r>
        <w:rPr>
          <w:rFonts w:hint="eastAsia" w:ascii="宋体" w:hAnsi="宋体"/>
          <w:color w:val="auto"/>
          <w:sz w:val="24"/>
        </w:rPr>
        <w:t>1.4“乙方”系指中标后提供合同服务的</w:t>
      </w:r>
      <w:r>
        <w:rPr>
          <w:rFonts w:hint="eastAsia" w:ascii="宋体" w:hAnsi="宋体"/>
          <w:bCs/>
          <w:color w:val="auto"/>
          <w:sz w:val="24"/>
        </w:rPr>
        <w:t>中标方</w:t>
      </w:r>
      <w:r>
        <w:rPr>
          <w:rFonts w:hint="eastAsia" w:ascii="宋体" w:hAnsi="宋体"/>
          <w:color w:val="auto"/>
          <w:sz w:val="24"/>
        </w:rPr>
        <w:t>或供应商。</w:t>
      </w:r>
    </w:p>
    <w:p>
      <w:pPr>
        <w:spacing w:line="360" w:lineRule="auto"/>
        <w:ind w:firstLine="480" w:firstLineChars="200"/>
        <w:rPr>
          <w:rFonts w:ascii="宋体" w:hAnsi="宋体"/>
          <w:color w:val="auto"/>
          <w:sz w:val="24"/>
        </w:rPr>
      </w:pPr>
      <w:r>
        <w:rPr>
          <w:rFonts w:hint="eastAsia" w:ascii="宋体" w:hAnsi="宋体"/>
          <w:color w:val="auto"/>
          <w:sz w:val="24"/>
        </w:rPr>
        <w:t>2.适用范围</w:t>
      </w:r>
    </w:p>
    <w:p>
      <w:pPr>
        <w:spacing w:line="360" w:lineRule="auto"/>
        <w:ind w:firstLine="480" w:firstLineChars="200"/>
        <w:rPr>
          <w:rFonts w:ascii="宋体" w:hAnsi="宋体"/>
          <w:color w:val="auto"/>
          <w:sz w:val="24"/>
        </w:rPr>
      </w:pPr>
      <w:r>
        <w:rPr>
          <w:rFonts w:hint="eastAsia" w:ascii="宋体" w:hAnsi="宋体"/>
          <w:color w:val="auto"/>
          <w:sz w:val="24"/>
        </w:rPr>
        <w:t>本合同条款仅适用于本次招标活动。</w:t>
      </w:r>
    </w:p>
    <w:p>
      <w:pPr>
        <w:spacing w:line="360" w:lineRule="auto"/>
        <w:ind w:firstLine="480" w:firstLineChars="200"/>
        <w:rPr>
          <w:rFonts w:ascii="宋体" w:hAnsi="宋体"/>
          <w:color w:val="auto"/>
          <w:sz w:val="24"/>
        </w:rPr>
      </w:pPr>
      <w:r>
        <w:rPr>
          <w:rFonts w:hint="eastAsia" w:ascii="宋体" w:hAnsi="宋体"/>
          <w:color w:val="auto"/>
          <w:sz w:val="24"/>
        </w:rPr>
        <w:t>3.技术规格和标准</w:t>
      </w:r>
    </w:p>
    <w:p>
      <w:pPr>
        <w:pStyle w:val="19"/>
        <w:spacing w:line="360" w:lineRule="auto"/>
        <w:ind w:firstLine="480"/>
        <w:rPr>
          <w:rFonts w:ascii="宋体" w:hAnsi="宋体" w:eastAsia="宋体"/>
          <w:color w:val="auto"/>
          <w:sz w:val="24"/>
        </w:rPr>
      </w:pPr>
      <w:r>
        <w:rPr>
          <w:rFonts w:hint="eastAsia" w:ascii="宋体" w:hAnsi="宋体" w:eastAsia="宋体"/>
          <w:color w:val="auto"/>
          <w:sz w:val="24"/>
        </w:rPr>
        <w:t>本合同项下所提供服务的技术规格标准应与本招标文件技术规格规定的标准相一致。</w:t>
      </w:r>
    </w:p>
    <w:p>
      <w:pPr>
        <w:spacing w:line="360" w:lineRule="auto"/>
        <w:ind w:firstLine="480" w:firstLineChars="200"/>
        <w:rPr>
          <w:rFonts w:ascii="宋体" w:hAnsi="宋体"/>
          <w:color w:val="auto"/>
          <w:sz w:val="24"/>
        </w:rPr>
      </w:pPr>
      <w:r>
        <w:rPr>
          <w:rFonts w:hint="eastAsia" w:ascii="宋体" w:hAnsi="宋体"/>
          <w:color w:val="auto"/>
          <w:sz w:val="24"/>
        </w:rPr>
        <w:t>4.合同期限</w:t>
      </w:r>
    </w:p>
    <w:p>
      <w:pPr>
        <w:spacing w:line="360" w:lineRule="auto"/>
        <w:ind w:firstLine="480" w:firstLineChars="200"/>
        <w:rPr>
          <w:rFonts w:ascii="宋体" w:hAnsi="宋体"/>
          <w:color w:val="auto"/>
          <w:sz w:val="24"/>
        </w:rPr>
      </w:pPr>
      <w:r>
        <w:rPr>
          <w:rFonts w:hint="eastAsia" w:ascii="宋体" w:hAnsi="宋体"/>
          <w:color w:val="auto"/>
          <w:sz w:val="24"/>
        </w:rPr>
        <w:t>即自</w:t>
      </w:r>
      <w:r>
        <w:rPr>
          <w:rFonts w:hint="eastAsia" w:ascii="宋体" w:hAnsi="宋体"/>
          <w:color w:val="auto"/>
          <w:sz w:val="24"/>
        </w:rPr>
        <w:tab/>
      </w:r>
      <w:r>
        <w:rPr>
          <w:rFonts w:hint="eastAsia" w:ascii="宋体" w:hAnsi="宋体"/>
          <w:color w:val="auto"/>
          <w:sz w:val="24"/>
        </w:rPr>
        <w:t>年</w:t>
      </w:r>
      <w:r>
        <w:rPr>
          <w:rFonts w:hint="eastAsia" w:ascii="宋体" w:hAnsi="宋体"/>
          <w:color w:val="auto"/>
          <w:sz w:val="24"/>
        </w:rPr>
        <w:tab/>
      </w:r>
      <w:r>
        <w:rPr>
          <w:rFonts w:hint="eastAsia" w:ascii="宋体" w:hAnsi="宋体"/>
          <w:color w:val="auto"/>
          <w:sz w:val="24"/>
        </w:rPr>
        <w:t>月</w:t>
      </w:r>
      <w:r>
        <w:rPr>
          <w:rFonts w:hint="eastAsia" w:ascii="宋体" w:hAnsi="宋体"/>
          <w:color w:val="auto"/>
          <w:sz w:val="24"/>
        </w:rPr>
        <w:tab/>
      </w:r>
      <w:r>
        <w:rPr>
          <w:rFonts w:hint="eastAsia" w:ascii="宋体" w:hAnsi="宋体"/>
          <w:color w:val="auto"/>
          <w:sz w:val="24"/>
        </w:rPr>
        <w:t>日起至</w:t>
      </w:r>
      <w:r>
        <w:rPr>
          <w:rFonts w:hint="eastAsia" w:ascii="宋体" w:hAnsi="宋体"/>
          <w:color w:val="auto"/>
          <w:sz w:val="24"/>
        </w:rPr>
        <w:tab/>
      </w:r>
      <w:r>
        <w:rPr>
          <w:rFonts w:hint="eastAsia" w:ascii="宋体" w:hAnsi="宋体"/>
          <w:color w:val="auto"/>
          <w:sz w:val="24"/>
        </w:rPr>
        <w:t>年</w:t>
      </w:r>
      <w:r>
        <w:rPr>
          <w:rFonts w:hint="eastAsia" w:ascii="宋体" w:hAnsi="宋体"/>
          <w:color w:val="auto"/>
          <w:sz w:val="24"/>
        </w:rPr>
        <w:tab/>
      </w:r>
      <w:r>
        <w:rPr>
          <w:rFonts w:hint="eastAsia" w:ascii="宋体" w:hAnsi="宋体"/>
          <w:color w:val="auto"/>
          <w:sz w:val="24"/>
        </w:rPr>
        <w:t>月</w:t>
      </w:r>
      <w:r>
        <w:rPr>
          <w:rFonts w:hint="eastAsia" w:ascii="宋体" w:hAnsi="宋体"/>
          <w:color w:val="auto"/>
          <w:sz w:val="24"/>
        </w:rPr>
        <w:tab/>
      </w:r>
      <w:r>
        <w:rPr>
          <w:rFonts w:hint="eastAsia" w:ascii="宋体" w:hAnsi="宋体"/>
          <w:color w:val="auto"/>
          <w:sz w:val="24"/>
        </w:rPr>
        <w:t>日止。</w:t>
      </w:r>
    </w:p>
    <w:p>
      <w:pPr>
        <w:spacing w:line="360" w:lineRule="auto"/>
        <w:ind w:firstLine="480" w:firstLineChars="200"/>
        <w:rPr>
          <w:rFonts w:ascii="宋体" w:hAnsi="宋体"/>
          <w:color w:val="auto"/>
          <w:sz w:val="24"/>
        </w:rPr>
      </w:pPr>
      <w:r>
        <w:rPr>
          <w:rFonts w:hint="eastAsia" w:ascii="宋体" w:hAnsi="宋体"/>
          <w:color w:val="auto"/>
          <w:sz w:val="24"/>
        </w:rPr>
        <w:t>5.价格</w:t>
      </w:r>
    </w:p>
    <w:p>
      <w:pPr>
        <w:spacing w:line="360" w:lineRule="auto"/>
        <w:ind w:firstLine="480" w:firstLineChars="200"/>
        <w:rPr>
          <w:rFonts w:ascii="宋体" w:hAnsi="宋体"/>
          <w:color w:val="auto"/>
          <w:sz w:val="24"/>
        </w:rPr>
      </w:pPr>
      <w:r>
        <w:rPr>
          <w:rFonts w:hint="eastAsia" w:ascii="宋体" w:hAnsi="宋体"/>
          <w:color w:val="auto"/>
          <w:sz w:val="24"/>
        </w:rPr>
        <w:t>除非合同中另有规定，乙方为其所提供货物设备和服务而要求甲方支付的金额应与其投标报价一致。</w:t>
      </w:r>
    </w:p>
    <w:p>
      <w:pPr>
        <w:spacing w:line="360" w:lineRule="auto"/>
        <w:ind w:firstLine="480" w:firstLineChars="200"/>
        <w:rPr>
          <w:rFonts w:ascii="宋体" w:hAnsi="宋体"/>
          <w:color w:val="auto"/>
          <w:sz w:val="24"/>
        </w:rPr>
      </w:pPr>
      <w:r>
        <w:rPr>
          <w:rFonts w:hint="eastAsia" w:ascii="宋体" w:hAnsi="宋体"/>
          <w:color w:val="auto"/>
          <w:sz w:val="24"/>
        </w:rPr>
        <w:t>6.索赔</w:t>
      </w:r>
    </w:p>
    <w:p>
      <w:pPr>
        <w:spacing w:line="360" w:lineRule="auto"/>
        <w:ind w:firstLine="480" w:firstLineChars="200"/>
        <w:rPr>
          <w:rFonts w:ascii="宋体" w:hAnsi="宋体"/>
          <w:color w:val="auto"/>
          <w:sz w:val="24"/>
        </w:rPr>
      </w:pPr>
      <w:r>
        <w:rPr>
          <w:rFonts w:hint="eastAsia" w:ascii="宋体" w:hAnsi="宋体"/>
          <w:color w:val="auto"/>
          <w:sz w:val="24"/>
        </w:rPr>
        <w:t>6.1乙方对所提供服务与合同要求不符负有责任，并且甲方已于合同规定的期限内提出索赔，乙方应按甲方同意的下述一种或多种方法解决索赔事宜。</w:t>
      </w:r>
    </w:p>
    <w:p>
      <w:pPr>
        <w:spacing w:line="360" w:lineRule="auto"/>
        <w:ind w:firstLine="480" w:firstLineChars="200"/>
        <w:rPr>
          <w:rFonts w:ascii="宋体" w:hAnsi="宋体"/>
          <w:color w:val="auto"/>
          <w:sz w:val="24"/>
        </w:rPr>
      </w:pPr>
      <w:r>
        <w:rPr>
          <w:rFonts w:hint="eastAsia" w:ascii="宋体" w:hAnsi="宋体"/>
          <w:color w:val="auto"/>
          <w:sz w:val="24"/>
        </w:rPr>
        <w:t>6.1.1乙方同意甲方取消其不符合要求的服务项目，退还已经收取的款项。</w:t>
      </w:r>
    </w:p>
    <w:p>
      <w:pPr>
        <w:spacing w:line="360" w:lineRule="auto"/>
        <w:ind w:firstLine="480" w:firstLineChars="200"/>
        <w:rPr>
          <w:rFonts w:ascii="宋体" w:hAnsi="宋体"/>
          <w:color w:val="auto"/>
          <w:sz w:val="24"/>
        </w:rPr>
      </w:pPr>
      <w:r>
        <w:rPr>
          <w:rFonts w:hint="eastAsia" w:ascii="宋体" w:hAnsi="宋体"/>
          <w:color w:val="auto"/>
          <w:sz w:val="24"/>
        </w:rPr>
        <w:t>6.1.2对于情节严重、造成甲方损失金额巨大的，同意甲方终止全部项目合同，并赔偿甲方因此造成的损失。</w:t>
      </w:r>
    </w:p>
    <w:p>
      <w:pPr>
        <w:spacing w:line="360" w:lineRule="auto"/>
        <w:ind w:firstLine="480" w:firstLineChars="200"/>
        <w:rPr>
          <w:rFonts w:ascii="宋体" w:hAnsi="宋体"/>
          <w:color w:val="auto"/>
          <w:sz w:val="24"/>
        </w:rPr>
      </w:pPr>
      <w:r>
        <w:rPr>
          <w:rFonts w:hint="eastAsia" w:ascii="宋体" w:hAnsi="宋体"/>
          <w:color w:val="auto"/>
          <w:sz w:val="24"/>
        </w:rPr>
        <w:t>6.2如果甲方提出索赔通知后 30天内乙方未能予以签复，该索赔应视为已被乙方接受。若乙方未能在甲方提出索赔通知的 30天内或甲方同意的更长一些的时间内，按甲方同意的上述任何一种方式处理索赔事宜，甲方将乙方提供的履约保证金中扣回索赔金额，同时保留进一步要求赔偿的权利。</w:t>
      </w:r>
    </w:p>
    <w:p>
      <w:pPr>
        <w:spacing w:line="360" w:lineRule="auto"/>
        <w:ind w:firstLine="480" w:firstLineChars="200"/>
        <w:rPr>
          <w:rFonts w:ascii="宋体" w:hAnsi="宋体"/>
          <w:color w:val="auto"/>
          <w:sz w:val="24"/>
        </w:rPr>
      </w:pPr>
      <w:r>
        <w:rPr>
          <w:rFonts w:hint="eastAsia" w:ascii="宋体" w:hAnsi="宋体"/>
          <w:color w:val="auto"/>
          <w:sz w:val="24"/>
        </w:rPr>
        <w:t>7.不可抗力</w:t>
      </w:r>
    </w:p>
    <w:p>
      <w:pPr>
        <w:spacing w:line="360" w:lineRule="auto"/>
        <w:ind w:firstLine="480" w:firstLineChars="200"/>
        <w:rPr>
          <w:rFonts w:ascii="宋体" w:hAnsi="宋体"/>
          <w:color w:val="auto"/>
          <w:sz w:val="24"/>
        </w:rPr>
      </w:pPr>
      <w:r>
        <w:rPr>
          <w:rFonts w:hint="eastAsia" w:ascii="宋体" w:hAnsi="宋体"/>
          <w:color w:val="auto"/>
          <w:sz w:val="24"/>
        </w:rPr>
        <w:t>7.1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spacing w:line="360" w:lineRule="auto"/>
        <w:ind w:firstLine="480" w:firstLineChars="200"/>
        <w:rPr>
          <w:rFonts w:ascii="宋体" w:hAnsi="宋体"/>
          <w:color w:val="auto"/>
          <w:sz w:val="24"/>
        </w:rPr>
      </w:pPr>
      <w:r>
        <w:rPr>
          <w:rFonts w:hint="eastAsia" w:ascii="宋体" w:hAnsi="宋体"/>
          <w:color w:val="auto"/>
          <w:sz w:val="24"/>
        </w:rPr>
        <w:t>7.2受损一方应在不可抗力事故发生后尽快用电报、传真或电传通知对方，并于事故发生后 14天内将有关部门出具的证明文件用特快专递或挂号信寄给对方审阅确认。</w:t>
      </w:r>
      <w:r>
        <w:rPr>
          <w:rFonts w:hint="eastAsia" w:ascii="宋体" w:hAnsi="宋体"/>
          <w:color w:val="auto"/>
          <w:sz w:val="24"/>
          <w:u w:val="single"/>
        </w:rPr>
        <w:t>一旦不可抗力事故的影响持续 60天以上</w:t>
      </w:r>
      <w:r>
        <w:rPr>
          <w:rFonts w:hint="eastAsia" w:ascii="宋体" w:hAnsi="宋体"/>
          <w:color w:val="auto"/>
          <w:sz w:val="24"/>
        </w:rPr>
        <w:t>，双方应通过友好协商，在合理的时间内达成进一步履行合同的协议。</w:t>
      </w:r>
    </w:p>
    <w:p>
      <w:pPr>
        <w:spacing w:line="360" w:lineRule="auto"/>
        <w:ind w:firstLine="480" w:firstLineChars="200"/>
        <w:rPr>
          <w:rFonts w:ascii="宋体" w:hAnsi="宋体"/>
          <w:color w:val="auto"/>
          <w:sz w:val="24"/>
        </w:rPr>
      </w:pPr>
      <w:r>
        <w:rPr>
          <w:rFonts w:hint="eastAsia" w:ascii="宋体" w:hAnsi="宋体"/>
          <w:color w:val="auto"/>
          <w:sz w:val="24"/>
        </w:rPr>
        <w:t>8.履约保证金</w:t>
      </w:r>
    </w:p>
    <w:p>
      <w:pPr>
        <w:spacing w:line="360" w:lineRule="auto"/>
        <w:ind w:firstLine="480" w:firstLineChars="200"/>
        <w:rPr>
          <w:rFonts w:ascii="宋体" w:hAnsi="宋体"/>
          <w:color w:val="auto"/>
          <w:sz w:val="24"/>
        </w:rPr>
      </w:pPr>
      <w:r>
        <w:rPr>
          <w:rFonts w:hint="eastAsia" w:ascii="宋体" w:hAnsi="宋体"/>
          <w:color w:val="auto"/>
          <w:sz w:val="24"/>
        </w:rPr>
        <w:t>8.1履约保证金的有效期至供货完毕且验收合格。</w:t>
      </w:r>
    </w:p>
    <w:p>
      <w:pPr>
        <w:spacing w:line="360" w:lineRule="auto"/>
        <w:ind w:firstLine="480" w:firstLineChars="200"/>
        <w:rPr>
          <w:rFonts w:ascii="宋体" w:hAnsi="宋体"/>
          <w:color w:val="auto"/>
          <w:sz w:val="24"/>
        </w:rPr>
      </w:pPr>
      <w:r>
        <w:rPr>
          <w:rFonts w:hint="eastAsia" w:ascii="宋体" w:hAnsi="宋体"/>
          <w:color w:val="auto"/>
          <w:sz w:val="24"/>
        </w:rPr>
        <w:t>8.2乙方提供的履约保证金按规定格式以现金、转帐支票、电汇的形式提供，与此有关的费用由乙方负担。</w:t>
      </w:r>
    </w:p>
    <w:p>
      <w:pPr>
        <w:spacing w:line="360" w:lineRule="auto"/>
        <w:ind w:firstLine="480" w:firstLineChars="200"/>
        <w:rPr>
          <w:rFonts w:ascii="宋体" w:hAnsi="宋体"/>
          <w:color w:val="auto"/>
          <w:sz w:val="24"/>
        </w:rPr>
      </w:pPr>
      <w:r>
        <w:rPr>
          <w:rFonts w:hint="eastAsia" w:ascii="宋体" w:hAnsi="宋体"/>
          <w:color w:val="auto"/>
          <w:sz w:val="24"/>
        </w:rPr>
        <w:t>8.3如果乙方未能按合同规定履行其义务，甲方有权从履约保证金取得补偿。</w:t>
      </w:r>
    </w:p>
    <w:p>
      <w:pPr>
        <w:spacing w:line="360" w:lineRule="auto"/>
        <w:ind w:firstLine="480" w:firstLineChars="200"/>
        <w:rPr>
          <w:rFonts w:ascii="宋体" w:hAnsi="宋体"/>
          <w:color w:val="auto"/>
          <w:sz w:val="24"/>
        </w:rPr>
      </w:pPr>
      <w:r>
        <w:rPr>
          <w:rFonts w:hint="eastAsia" w:ascii="宋体" w:hAnsi="宋体"/>
          <w:color w:val="auto"/>
          <w:sz w:val="24"/>
        </w:rPr>
        <w:t>9.争议的解决</w:t>
      </w:r>
    </w:p>
    <w:p>
      <w:pPr>
        <w:spacing w:line="360" w:lineRule="auto"/>
        <w:ind w:firstLine="480" w:firstLineChars="200"/>
        <w:rPr>
          <w:rFonts w:ascii="宋体" w:hAnsi="宋体"/>
          <w:color w:val="auto"/>
          <w:sz w:val="24"/>
        </w:rPr>
      </w:pPr>
      <w:r>
        <w:rPr>
          <w:rFonts w:hint="eastAsia" w:ascii="宋体" w:hAnsi="宋体"/>
          <w:color w:val="auto"/>
          <w:sz w:val="24"/>
        </w:rPr>
        <w:t>9.1在执行合同中发生的与本合同有关的争端，双方应通过友好协商解决，经协商在 60天内不能达成协议时，应提交仲裁。</w:t>
      </w:r>
    </w:p>
    <w:p>
      <w:pPr>
        <w:spacing w:line="360" w:lineRule="auto"/>
        <w:ind w:firstLine="480" w:firstLineChars="200"/>
        <w:rPr>
          <w:rFonts w:ascii="宋体" w:hAnsi="宋体"/>
          <w:color w:val="auto"/>
          <w:sz w:val="24"/>
        </w:rPr>
      </w:pPr>
      <w:r>
        <w:rPr>
          <w:rFonts w:hint="eastAsia" w:ascii="宋体" w:hAnsi="宋体"/>
          <w:color w:val="auto"/>
          <w:sz w:val="24"/>
        </w:rPr>
        <w:t>9.</w:t>
      </w:r>
      <w:r>
        <w:rPr>
          <w:rFonts w:ascii="宋体" w:hAnsi="宋体"/>
          <w:color w:val="auto"/>
          <w:sz w:val="24"/>
        </w:rPr>
        <w:t>2</w:t>
      </w:r>
      <w:r>
        <w:rPr>
          <w:rFonts w:hint="eastAsia" w:ascii="宋体" w:hAnsi="宋体"/>
          <w:color w:val="auto"/>
          <w:sz w:val="24"/>
        </w:rPr>
        <w:t>合同双方均为国内法人的，其争端的仲裁应由合同发生地许昌市仲裁委员会根据其仲裁程序进行。</w:t>
      </w:r>
    </w:p>
    <w:p>
      <w:pPr>
        <w:spacing w:line="360" w:lineRule="auto"/>
        <w:ind w:firstLine="480" w:firstLineChars="200"/>
        <w:rPr>
          <w:rFonts w:ascii="宋体" w:hAnsi="宋体"/>
          <w:color w:val="auto"/>
          <w:sz w:val="24"/>
        </w:rPr>
      </w:pPr>
      <w:r>
        <w:rPr>
          <w:rFonts w:hint="eastAsia" w:ascii="宋体" w:hAnsi="宋体"/>
          <w:color w:val="auto"/>
          <w:sz w:val="24"/>
        </w:rPr>
        <w:t>9.3 仲裁裁决应为最终决定，并对双方具有约束力。</w:t>
      </w:r>
    </w:p>
    <w:p>
      <w:pPr>
        <w:spacing w:line="360" w:lineRule="auto"/>
        <w:ind w:firstLine="480" w:firstLineChars="200"/>
        <w:rPr>
          <w:rFonts w:ascii="宋体" w:hAnsi="宋体"/>
          <w:color w:val="auto"/>
          <w:sz w:val="24"/>
        </w:rPr>
      </w:pPr>
      <w:r>
        <w:rPr>
          <w:rFonts w:hint="eastAsia" w:ascii="宋体" w:hAnsi="宋体"/>
          <w:color w:val="auto"/>
          <w:sz w:val="24"/>
        </w:rPr>
        <w:t>9.4 除另有裁决外，仲裁费应由败诉方负担。</w:t>
      </w:r>
    </w:p>
    <w:p>
      <w:pPr>
        <w:spacing w:line="360" w:lineRule="auto"/>
        <w:ind w:firstLine="480" w:firstLineChars="200"/>
        <w:rPr>
          <w:rFonts w:ascii="宋体" w:hAnsi="宋体"/>
          <w:color w:val="auto"/>
          <w:sz w:val="24"/>
        </w:rPr>
      </w:pPr>
      <w:r>
        <w:rPr>
          <w:rFonts w:hint="eastAsia" w:ascii="宋体" w:hAnsi="宋体"/>
          <w:color w:val="auto"/>
          <w:sz w:val="24"/>
        </w:rPr>
        <w:t>9.5 在仲裁期间，除正在进行的仲裁部分外，合同其他部分继续执行。</w:t>
      </w:r>
    </w:p>
    <w:p>
      <w:pPr>
        <w:spacing w:line="360" w:lineRule="auto"/>
        <w:ind w:firstLine="480" w:firstLineChars="200"/>
        <w:rPr>
          <w:rFonts w:ascii="宋体" w:hAnsi="宋体"/>
          <w:color w:val="auto"/>
          <w:sz w:val="24"/>
        </w:rPr>
      </w:pPr>
      <w:r>
        <w:rPr>
          <w:rFonts w:hint="eastAsia" w:ascii="宋体" w:hAnsi="宋体"/>
          <w:color w:val="auto"/>
          <w:sz w:val="24"/>
        </w:rPr>
        <w:t>10.合同终止</w:t>
      </w:r>
    </w:p>
    <w:p>
      <w:pPr>
        <w:spacing w:line="360" w:lineRule="auto"/>
        <w:ind w:firstLine="480" w:firstLineChars="200"/>
        <w:rPr>
          <w:rFonts w:ascii="宋体" w:hAnsi="宋体"/>
          <w:color w:val="auto"/>
          <w:sz w:val="24"/>
        </w:rPr>
      </w:pPr>
      <w:r>
        <w:rPr>
          <w:rFonts w:hint="eastAsia" w:ascii="宋体" w:hAnsi="宋体"/>
          <w:color w:val="auto"/>
          <w:sz w:val="24"/>
        </w:rPr>
        <w:t>10.1本合同期限为</w:t>
      </w:r>
      <w:r>
        <w:rPr>
          <w:rFonts w:hint="eastAsia" w:ascii="宋体" w:hAnsi="宋体"/>
          <w:color w:val="auto"/>
          <w:sz w:val="24"/>
          <w:u w:val="single"/>
        </w:rPr>
        <w:t xml:space="preserve">    </w:t>
      </w:r>
      <w:r>
        <w:rPr>
          <w:rFonts w:hint="eastAsia" w:ascii="宋体" w:hAnsi="宋体"/>
          <w:color w:val="auto"/>
          <w:sz w:val="24"/>
        </w:rPr>
        <w:t>年。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spacing w:line="360" w:lineRule="auto"/>
        <w:ind w:firstLine="480" w:firstLineChars="200"/>
        <w:rPr>
          <w:rFonts w:ascii="宋体" w:hAnsi="宋体"/>
          <w:color w:val="auto"/>
          <w:sz w:val="24"/>
        </w:rPr>
      </w:pPr>
      <w:r>
        <w:rPr>
          <w:rFonts w:hint="eastAsia" w:ascii="宋体" w:hAnsi="宋体"/>
          <w:color w:val="auto"/>
          <w:sz w:val="24"/>
        </w:rPr>
        <w:t>10.2 出现下列情况时合同自动终止：</w:t>
      </w:r>
    </w:p>
    <w:p>
      <w:pPr>
        <w:spacing w:line="360" w:lineRule="auto"/>
        <w:ind w:firstLine="480" w:firstLineChars="200"/>
        <w:rPr>
          <w:rFonts w:ascii="宋体" w:hAnsi="宋体"/>
          <w:color w:val="auto"/>
          <w:sz w:val="24"/>
        </w:rPr>
      </w:pPr>
      <w:r>
        <w:rPr>
          <w:rFonts w:hint="eastAsia" w:ascii="宋体" w:hAnsi="宋体"/>
          <w:color w:val="auto"/>
          <w:sz w:val="24"/>
        </w:rPr>
        <w:t>10.2.1发生不可抗力时。</w:t>
      </w:r>
    </w:p>
    <w:p>
      <w:pPr>
        <w:spacing w:line="360" w:lineRule="auto"/>
        <w:ind w:firstLine="480" w:firstLineChars="200"/>
        <w:rPr>
          <w:rFonts w:ascii="宋体" w:hAnsi="宋体"/>
          <w:color w:val="auto"/>
          <w:sz w:val="24"/>
        </w:rPr>
      </w:pPr>
      <w:r>
        <w:rPr>
          <w:rFonts w:hint="eastAsia" w:ascii="宋体" w:hAnsi="宋体"/>
          <w:color w:val="auto"/>
          <w:sz w:val="24"/>
        </w:rPr>
        <w:t>10.2.2一方不履行合同条款，造成另一方无法执行合同协议，协商又不能求得解决，合同终止，责任方赔偿损失。</w:t>
      </w:r>
    </w:p>
    <w:p>
      <w:pPr>
        <w:spacing w:line="360" w:lineRule="auto"/>
        <w:ind w:firstLine="480" w:firstLineChars="200"/>
        <w:rPr>
          <w:rFonts w:ascii="宋体" w:hAnsi="宋体"/>
          <w:color w:val="auto"/>
          <w:sz w:val="24"/>
        </w:rPr>
      </w:pPr>
      <w:r>
        <w:rPr>
          <w:rFonts w:hint="eastAsia" w:ascii="宋体" w:hAnsi="宋体"/>
          <w:color w:val="auto"/>
          <w:sz w:val="24"/>
        </w:rPr>
        <w:t>11.合同修改</w:t>
      </w:r>
    </w:p>
    <w:p>
      <w:pPr>
        <w:spacing w:line="360" w:lineRule="auto"/>
        <w:ind w:firstLine="480" w:firstLineChars="200"/>
        <w:rPr>
          <w:rFonts w:ascii="宋体" w:hAnsi="宋体"/>
          <w:color w:val="auto"/>
          <w:sz w:val="24"/>
        </w:rPr>
      </w:pPr>
      <w:r>
        <w:rPr>
          <w:rFonts w:hint="eastAsia" w:ascii="宋体" w:hAnsi="宋体"/>
          <w:color w:val="auto"/>
          <w:sz w:val="24"/>
        </w:rPr>
        <w:t>对于合同的未尽事宜，需进行修改、补充和完善的，甲乙双方必须就所修改的内容签订书面的合同修改书，作为合同的补充协议。</w:t>
      </w:r>
    </w:p>
    <w:p>
      <w:pPr>
        <w:spacing w:line="360" w:lineRule="auto"/>
        <w:ind w:firstLine="480" w:firstLineChars="200"/>
        <w:rPr>
          <w:rFonts w:ascii="宋体" w:hAnsi="宋体"/>
          <w:color w:val="auto"/>
          <w:sz w:val="24"/>
        </w:rPr>
      </w:pPr>
      <w:r>
        <w:rPr>
          <w:rFonts w:hint="eastAsia" w:ascii="宋体" w:hAnsi="宋体"/>
          <w:color w:val="auto"/>
          <w:sz w:val="24"/>
        </w:rPr>
        <w:t>12.适用法律</w:t>
      </w:r>
    </w:p>
    <w:p>
      <w:pPr>
        <w:spacing w:line="360" w:lineRule="auto"/>
        <w:ind w:firstLine="480" w:firstLineChars="200"/>
        <w:rPr>
          <w:rFonts w:ascii="宋体" w:hAnsi="宋体"/>
          <w:color w:val="auto"/>
          <w:sz w:val="24"/>
        </w:rPr>
      </w:pPr>
      <w:r>
        <w:rPr>
          <w:rFonts w:hint="eastAsia" w:ascii="宋体" w:hAnsi="宋体"/>
          <w:color w:val="auto"/>
          <w:sz w:val="24"/>
        </w:rPr>
        <w:t>本合同应按中华人民共和国的法律解释。</w:t>
      </w:r>
    </w:p>
    <w:p>
      <w:pPr>
        <w:spacing w:line="360" w:lineRule="auto"/>
        <w:ind w:firstLine="480" w:firstLineChars="200"/>
        <w:rPr>
          <w:rFonts w:ascii="宋体" w:hAnsi="宋体"/>
          <w:color w:val="auto"/>
          <w:sz w:val="24"/>
        </w:rPr>
      </w:pPr>
      <w:r>
        <w:rPr>
          <w:rFonts w:hint="eastAsia" w:ascii="宋体" w:hAnsi="宋体"/>
          <w:color w:val="auto"/>
          <w:sz w:val="24"/>
        </w:rPr>
        <w:t>13.主导语言与计量单位</w:t>
      </w:r>
    </w:p>
    <w:p>
      <w:pPr>
        <w:spacing w:line="360" w:lineRule="auto"/>
        <w:ind w:firstLine="480" w:firstLineChars="200"/>
        <w:rPr>
          <w:rFonts w:ascii="宋体" w:hAnsi="宋体"/>
          <w:color w:val="auto"/>
          <w:sz w:val="24"/>
        </w:rPr>
      </w:pPr>
      <w:r>
        <w:rPr>
          <w:rFonts w:hint="eastAsia" w:ascii="宋体" w:hAnsi="宋体"/>
          <w:color w:val="auto"/>
          <w:sz w:val="24"/>
        </w:rPr>
        <w:t>13.1 合同书写应用中文书写。合同五份，甲乙双方及采购代理机构和许昌市政府采购管理办公室及相关业务科室（备案）各执一份，具有同等法律效力。</w:t>
      </w:r>
    </w:p>
    <w:p>
      <w:pPr>
        <w:spacing w:line="360" w:lineRule="auto"/>
        <w:ind w:firstLine="480" w:firstLineChars="200"/>
        <w:rPr>
          <w:rFonts w:ascii="宋体" w:hAnsi="宋体"/>
          <w:color w:val="auto"/>
          <w:sz w:val="24"/>
        </w:rPr>
      </w:pPr>
      <w:r>
        <w:rPr>
          <w:rFonts w:hint="eastAsia" w:ascii="宋体" w:hAnsi="宋体"/>
          <w:color w:val="auto"/>
          <w:sz w:val="24"/>
        </w:rPr>
        <w:t>13.2 除技术规格另有规定外，计量单位均使用中华人民共和国法定计量单位。</w:t>
      </w:r>
    </w:p>
    <w:p>
      <w:pPr>
        <w:spacing w:line="360" w:lineRule="auto"/>
        <w:ind w:firstLine="480" w:firstLineChars="200"/>
        <w:rPr>
          <w:rFonts w:ascii="宋体" w:hAnsi="宋体"/>
          <w:color w:val="auto"/>
          <w:sz w:val="24"/>
        </w:rPr>
      </w:pPr>
      <w:r>
        <w:rPr>
          <w:rFonts w:hint="eastAsia" w:ascii="宋体" w:hAnsi="宋体"/>
          <w:color w:val="auto"/>
          <w:sz w:val="24"/>
        </w:rPr>
        <w:t>14.合同生效</w:t>
      </w:r>
    </w:p>
    <w:p>
      <w:pPr>
        <w:spacing w:line="360" w:lineRule="auto"/>
        <w:rPr>
          <w:rFonts w:ascii="宋体" w:hAnsi="宋体" w:cs="微软雅黑"/>
          <w:b/>
          <w:bCs/>
          <w:color w:val="auto"/>
          <w:sz w:val="24"/>
          <w:szCs w:val="24"/>
        </w:rPr>
      </w:pPr>
      <w:r>
        <w:rPr>
          <w:rFonts w:hint="eastAsia" w:ascii="宋体" w:hAnsi="宋体"/>
          <w:color w:val="auto"/>
          <w:sz w:val="24"/>
        </w:rPr>
        <w:t>除非合同中另有说明，本合同经双方签字盖章，并在招标人收到乙方的履约保证金后，即开始生效。</w:t>
      </w:r>
    </w:p>
    <w:p>
      <w:pPr>
        <w:pStyle w:val="17"/>
        <w:spacing w:line="360" w:lineRule="auto"/>
        <w:contextualSpacing/>
        <w:jc w:val="center"/>
        <w:rPr>
          <w:rFonts w:cs="宋体" w:asciiTheme="majorEastAsia" w:hAnsiTheme="majorEastAsia" w:eastAsiaTheme="majorEastAsia"/>
          <w:b/>
          <w:color w:val="auto"/>
          <w:kern w:val="0"/>
          <w:sz w:val="36"/>
          <w:szCs w:val="36"/>
        </w:rPr>
      </w:pPr>
    </w:p>
    <w:p>
      <w:pPr>
        <w:pStyle w:val="17"/>
        <w:spacing w:line="360" w:lineRule="auto"/>
        <w:contextualSpacing/>
        <w:jc w:val="center"/>
        <w:rPr>
          <w:rFonts w:cs="宋体" w:asciiTheme="majorEastAsia" w:hAnsiTheme="majorEastAsia" w:eastAsiaTheme="majorEastAsia"/>
          <w:b/>
          <w:color w:val="auto"/>
          <w:kern w:val="0"/>
          <w:sz w:val="36"/>
          <w:szCs w:val="36"/>
        </w:rPr>
      </w:pPr>
    </w:p>
    <w:p>
      <w:pPr>
        <w:pageBreakBefore/>
        <w:numPr>
          <w:ilvl w:val="0"/>
          <w:numId w:val="4"/>
        </w:numPr>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 xml:space="preserve"> 投标文件有关格式</w:t>
      </w:r>
    </w:p>
    <w:p>
      <w:pPr>
        <w:jc w:val="left"/>
        <w:rPr>
          <w:rStyle w:val="62"/>
          <w:rFonts w:ascii="宋体" w:hAnsi="宋体" w:eastAsia="宋体"/>
          <w:color w:val="auto"/>
        </w:rPr>
      </w:pPr>
    </w:p>
    <w:p>
      <w:pPr>
        <w:pStyle w:val="61"/>
        <w:numPr>
          <w:ilvl w:val="0"/>
          <w:numId w:val="0"/>
        </w:numPr>
        <w:tabs>
          <w:tab w:val="left" w:pos="660"/>
        </w:tabs>
        <w:snapToGrid w:val="0"/>
        <w:spacing w:before="0" w:after="240" w:line="400" w:lineRule="exact"/>
        <w:rPr>
          <w:rFonts w:cs="黑体" w:asciiTheme="minorEastAsia" w:hAnsiTheme="minorEastAsia" w:eastAsiaTheme="minorEastAsia"/>
          <w:color w:val="auto"/>
          <w:kern w:val="2"/>
          <w:sz w:val="36"/>
          <w:szCs w:val="36"/>
          <w:lang w:val="zh-CN"/>
        </w:rPr>
      </w:pPr>
      <w:bookmarkStart w:id="4" w:name="_Toc184023138"/>
      <w:bookmarkStart w:id="5" w:name="_Toc174185203"/>
      <w:bookmarkStart w:id="6" w:name="_Toc186274126"/>
      <w:r>
        <w:rPr>
          <w:rFonts w:hint="eastAsia" w:cs="黑体" w:asciiTheme="minorEastAsia" w:hAnsiTheme="minorEastAsia" w:eastAsiaTheme="minorEastAsia"/>
          <w:color w:val="auto"/>
          <w:kern w:val="2"/>
          <w:sz w:val="36"/>
          <w:szCs w:val="36"/>
          <w:lang w:val="zh-CN"/>
        </w:rPr>
        <w:t>一、投标人应答索引表</w:t>
      </w:r>
      <w:bookmarkEnd w:id="4"/>
      <w:bookmarkEnd w:id="5"/>
      <w:bookmarkEnd w:id="6"/>
    </w:p>
    <w:tbl>
      <w:tblPr>
        <w:tblStyle w:val="26"/>
        <w:tblW w:w="90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774"/>
        <w:gridCol w:w="284"/>
        <w:gridCol w:w="560"/>
        <w:gridCol w:w="2133"/>
        <w:gridCol w:w="1559"/>
        <w:gridCol w:w="1560"/>
        <w:gridCol w:w="1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8"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序号</w:t>
            </w:r>
          </w:p>
        </w:tc>
        <w:tc>
          <w:tcPr>
            <w:tcW w:w="3751" w:type="dxa"/>
            <w:gridSpan w:val="4"/>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项目</w:t>
            </w:r>
          </w:p>
        </w:tc>
        <w:tc>
          <w:tcPr>
            <w:tcW w:w="1559"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投标人应答</w:t>
            </w:r>
          </w:p>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（有/没有）</w:t>
            </w:r>
          </w:p>
        </w:tc>
        <w:tc>
          <w:tcPr>
            <w:tcW w:w="1560"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投标文件中所在页码</w:t>
            </w:r>
          </w:p>
        </w:tc>
        <w:tc>
          <w:tcPr>
            <w:tcW w:w="1707"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468" w:type="dxa"/>
            <w:vAlign w:val="center"/>
          </w:tcPr>
          <w:p>
            <w:pPr>
              <w:adjustRightInd w:val="0"/>
              <w:snapToGrid w:val="0"/>
              <w:spacing w:line="400" w:lineRule="exact"/>
              <w:textAlignment w:val="baseline"/>
              <w:rPr>
                <w:rFonts w:ascii="宋体" w:hAnsi="宋体" w:cs="微软雅黑"/>
                <w:color w:val="auto"/>
                <w:szCs w:val="21"/>
              </w:rPr>
            </w:pPr>
            <w:r>
              <w:rPr>
                <w:rFonts w:hint="eastAsia" w:ascii="宋体" w:hAnsi="宋体" w:cs="微软雅黑"/>
                <w:color w:val="auto"/>
                <w:szCs w:val="21"/>
              </w:rPr>
              <w:t>1</w:t>
            </w:r>
          </w:p>
        </w:tc>
        <w:tc>
          <w:tcPr>
            <w:tcW w:w="3751" w:type="dxa"/>
            <w:gridSpan w:val="4"/>
            <w:vAlign w:val="center"/>
          </w:tcPr>
          <w:p>
            <w:pPr>
              <w:pStyle w:val="17"/>
              <w:kinsoku w:val="0"/>
              <w:overflowPunct w:val="0"/>
              <w:autoSpaceDE w:val="0"/>
              <w:autoSpaceDN w:val="0"/>
              <w:spacing w:line="320" w:lineRule="exact"/>
              <w:rPr>
                <w:rFonts w:hAnsi="宋体" w:cs="微软雅黑"/>
                <w:bCs/>
                <w:color w:val="auto"/>
                <w:kern w:val="0"/>
              </w:rPr>
            </w:pPr>
            <w:r>
              <w:rPr>
                <w:rFonts w:hint="eastAsia" w:hAnsi="宋体"/>
                <w:color w:val="auto"/>
                <w:kern w:val="0"/>
              </w:rPr>
              <w:t>投标人应答索引表</w:t>
            </w:r>
          </w:p>
        </w:tc>
        <w:tc>
          <w:tcPr>
            <w:tcW w:w="1559" w:type="dxa"/>
            <w:vAlign w:val="center"/>
          </w:tcPr>
          <w:p>
            <w:pPr>
              <w:snapToGrid w:val="0"/>
              <w:spacing w:line="400" w:lineRule="exact"/>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468" w:type="dxa"/>
            <w:vAlign w:val="center"/>
          </w:tcPr>
          <w:p>
            <w:pPr>
              <w:adjustRightInd w:val="0"/>
              <w:snapToGrid w:val="0"/>
              <w:spacing w:line="400" w:lineRule="exact"/>
              <w:textAlignment w:val="baseline"/>
              <w:rPr>
                <w:rFonts w:ascii="宋体" w:hAnsi="宋体" w:cs="微软雅黑"/>
                <w:color w:val="auto"/>
                <w:szCs w:val="21"/>
              </w:rPr>
            </w:pPr>
            <w:r>
              <w:rPr>
                <w:rFonts w:hint="eastAsia" w:ascii="宋体" w:hAnsi="宋体" w:cs="微软雅黑"/>
                <w:color w:val="auto"/>
                <w:szCs w:val="21"/>
              </w:rPr>
              <w:t>2</w:t>
            </w:r>
          </w:p>
        </w:tc>
        <w:tc>
          <w:tcPr>
            <w:tcW w:w="3751" w:type="dxa"/>
            <w:gridSpan w:val="4"/>
            <w:vAlign w:val="center"/>
          </w:tcPr>
          <w:p>
            <w:pPr>
              <w:pStyle w:val="17"/>
              <w:kinsoku w:val="0"/>
              <w:overflowPunct w:val="0"/>
              <w:autoSpaceDE w:val="0"/>
              <w:autoSpaceDN w:val="0"/>
              <w:spacing w:line="320" w:lineRule="exact"/>
              <w:rPr>
                <w:rFonts w:hAnsi="宋体"/>
                <w:color w:val="auto"/>
                <w:kern w:val="0"/>
              </w:rPr>
            </w:pPr>
            <w:r>
              <w:rPr>
                <w:rFonts w:hint="eastAsia" w:hAnsi="宋体"/>
                <w:color w:val="auto"/>
                <w:kern w:val="0"/>
              </w:rPr>
              <w:t>开标一览表</w:t>
            </w:r>
          </w:p>
        </w:tc>
        <w:tc>
          <w:tcPr>
            <w:tcW w:w="1559" w:type="dxa"/>
            <w:vAlign w:val="center"/>
          </w:tcPr>
          <w:p>
            <w:pPr>
              <w:snapToGrid w:val="0"/>
              <w:spacing w:line="400" w:lineRule="exact"/>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468" w:type="dxa"/>
            <w:vAlign w:val="center"/>
          </w:tcPr>
          <w:p>
            <w:pPr>
              <w:adjustRightInd w:val="0"/>
              <w:snapToGrid w:val="0"/>
              <w:spacing w:line="400" w:lineRule="exact"/>
              <w:textAlignment w:val="baseline"/>
              <w:rPr>
                <w:rFonts w:ascii="宋体" w:hAnsi="宋体" w:cs="微软雅黑"/>
                <w:color w:val="auto"/>
                <w:szCs w:val="21"/>
              </w:rPr>
            </w:pPr>
            <w:r>
              <w:rPr>
                <w:rFonts w:hint="eastAsia" w:ascii="宋体" w:hAnsi="宋体" w:cs="微软雅黑"/>
                <w:color w:val="auto"/>
                <w:szCs w:val="21"/>
              </w:rPr>
              <w:t>3</w:t>
            </w:r>
          </w:p>
        </w:tc>
        <w:tc>
          <w:tcPr>
            <w:tcW w:w="3751" w:type="dxa"/>
            <w:gridSpan w:val="4"/>
            <w:vAlign w:val="center"/>
          </w:tcPr>
          <w:p>
            <w:pPr>
              <w:pStyle w:val="17"/>
              <w:kinsoku w:val="0"/>
              <w:overflowPunct w:val="0"/>
              <w:autoSpaceDE w:val="0"/>
              <w:autoSpaceDN w:val="0"/>
              <w:spacing w:line="320" w:lineRule="exact"/>
              <w:rPr>
                <w:rFonts w:hAnsi="宋体" w:cs="微软雅黑"/>
                <w:bCs/>
                <w:color w:val="auto"/>
                <w:kern w:val="0"/>
              </w:rPr>
            </w:pPr>
            <w:r>
              <w:rPr>
                <w:rFonts w:hint="eastAsia" w:hAnsi="宋体"/>
                <w:color w:val="auto"/>
                <w:kern w:val="0"/>
              </w:rPr>
              <w:t>投标函</w:t>
            </w:r>
          </w:p>
        </w:tc>
        <w:tc>
          <w:tcPr>
            <w:tcW w:w="1559" w:type="dxa"/>
            <w:vAlign w:val="center"/>
          </w:tcPr>
          <w:p>
            <w:pPr>
              <w:snapToGrid w:val="0"/>
              <w:spacing w:line="400" w:lineRule="exact"/>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468" w:type="dxa"/>
            <w:vAlign w:val="center"/>
          </w:tcPr>
          <w:p>
            <w:pPr>
              <w:adjustRightInd w:val="0"/>
              <w:snapToGrid w:val="0"/>
              <w:spacing w:line="400" w:lineRule="exact"/>
              <w:textAlignment w:val="baseline"/>
              <w:rPr>
                <w:rFonts w:ascii="宋体" w:hAnsi="宋体" w:cs="微软雅黑"/>
                <w:color w:val="auto"/>
                <w:szCs w:val="21"/>
              </w:rPr>
            </w:pPr>
            <w:r>
              <w:rPr>
                <w:rFonts w:hint="eastAsia" w:ascii="宋体" w:hAnsi="宋体" w:cs="微软雅黑"/>
                <w:color w:val="auto"/>
                <w:szCs w:val="21"/>
              </w:rPr>
              <w:t>4</w:t>
            </w:r>
          </w:p>
        </w:tc>
        <w:tc>
          <w:tcPr>
            <w:tcW w:w="3751" w:type="dxa"/>
            <w:gridSpan w:val="4"/>
            <w:vAlign w:val="center"/>
          </w:tcPr>
          <w:p>
            <w:pPr>
              <w:pStyle w:val="17"/>
              <w:kinsoku w:val="0"/>
              <w:overflowPunct w:val="0"/>
              <w:autoSpaceDE w:val="0"/>
              <w:autoSpaceDN w:val="0"/>
              <w:spacing w:line="320" w:lineRule="exact"/>
              <w:rPr>
                <w:rFonts w:hAnsi="宋体"/>
                <w:color w:val="auto"/>
                <w:kern w:val="0"/>
              </w:rPr>
            </w:pPr>
            <w:r>
              <w:rPr>
                <w:rFonts w:hint="eastAsia" w:asciiTheme="majorEastAsia" w:hAnsiTheme="majorEastAsia" w:eastAsiaTheme="majorEastAsia" w:cstheme="majorEastAsia"/>
                <w:bCs/>
                <w:color w:val="auto"/>
                <w:szCs w:val="24"/>
                <w:lang w:val="zh-CN"/>
              </w:rPr>
              <w:t>法定代表人</w:t>
            </w:r>
            <w:r>
              <w:rPr>
                <w:rFonts w:asciiTheme="majorEastAsia" w:hAnsiTheme="majorEastAsia" w:eastAsiaTheme="majorEastAsia" w:cstheme="majorEastAsia"/>
                <w:bCs/>
                <w:color w:val="auto"/>
                <w:szCs w:val="24"/>
                <w:lang w:val="zh-CN"/>
              </w:rPr>
              <w:t>资</w:t>
            </w:r>
            <w:r>
              <w:rPr>
                <w:rFonts w:hint="eastAsia" w:asciiTheme="majorEastAsia" w:hAnsiTheme="majorEastAsia" w:eastAsiaTheme="majorEastAsia" w:cstheme="majorEastAsia"/>
                <w:bCs/>
                <w:color w:val="auto"/>
                <w:szCs w:val="24"/>
                <w:lang w:val="zh-CN"/>
              </w:rPr>
              <w:t>格</w:t>
            </w:r>
            <w:r>
              <w:rPr>
                <w:rFonts w:asciiTheme="majorEastAsia" w:hAnsiTheme="majorEastAsia" w:eastAsiaTheme="majorEastAsia" w:cstheme="majorEastAsia"/>
                <w:bCs/>
                <w:color w:val="auto"/>
                <w:szCs w:val="24"/>
                <w:lang w:val="zh-CN"/>
              </w:rPr>
              <w:t>证</w:t>
            </w:r>
            <w:r>
              <w:rPr>
                <w:rFonts w:hint="eastAsia" w:asciiTheme="majorEastAsia" w:hAnsiTheme="majorEastAsia" w:eastAsiaTheme="majorEastAsia" w:cstheme="majorEastAsia"/>
                <w:bCs/>
                <w:color w:val="auto"/>
                <w:szCs w:val="24"/>
                <w:lang w:val="zh-CN"/>
              </w:rPr>
              <w:t>明</w:t>
            </w:r>
            <w:r>
              <w:rPr>
                <w:rFonts w:asciiTheme="majorEastAsia" w:hAnsiTheme="majorEastAsia" w:eastAsiaTheme="majorEastAsia" w:cstheme="majorEastAsia"/>
                <w:bCs/>
                <w:color w:val="auto"/>
                <w:szCs w:val="24"/>
                <w:lang w:val="zh-CN"/>
              </w:rPr>
              <w:t>书</w:t>
            </w:r>
          </w:p>
        </w:tc>
        <w:tc>
          <w:tcPr>
            <w:tcW w:w="1559" w:type="dxa"/>
            <w:vAlign w:val="center"/>
          </w:tcPr>
          <w:p>
            <w:pPr>
              <w:snapToGrid w:val="0"/>
              <w:spacing w:line="400" w:lineRule="exact"/>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468" w:type="dxa"/>
            <w:vAlign w:val="center"/>
          </w:tcPr>
          <w:p>
            <w:pPr>
              <w:adjustRightInd w:val="0"/>
              <w:snapToGrid w:val="0"/>
              <w:spacing w:line="400" w:lineRule="exact"/>
              <w:textAlignment w:val="baseline"/>
              <w:rPr>
                <w:rFonts w:ascii="宋体" w:hAnsi="宋体" w:cs="微软雅黑"/>
                <w:color w:val="auto"/>
                <w:szCs w:val="21"/>
              </w:rPr>
            </w:pPr>
            <w:r>
              <w:rPr>
                <w:rFonts w:hint="eastAsia" w:ascii="宋体" w:hAnsi="宋体" w:cs="微软雅黑"/>
                <w:color w:val="auto"/>
                <w:szCs w:val="21"/>
              </w:rPr>
              <w:t>5</w:t>
            </w:r>
          </w:p>
        </w:tc>
        <w:tc>
          <w:tcPr>
            <w:tcW w:w="3751" w:type="dxa"/>
            <w:gridSpan w:val="4"/>
            <w:vAlign w:val="center"/>
          </w:tcPr>
          <w:p>
            <w:pPr>
              <w:pStyle w:val="17"/>
              <w:kinsoku w:val="0"/>
              <w:overflowPunct w:val="0"/>
              <w:autoSpaceDE w:val="0"/>
              <w:autoSpaceDN w:val="0"/>
              <w:spacing w:line="320" w:lineRule="exact"/>
              <w:rPr>
                <w:rFonts w:hAnsi="宋体"/>
                <w:color w:val="auto"/>
                <w:kern w:val="0"/>
              </w:rPr>
            </w:pPr>
            <w:r>
              <w:rPr>
                <w:rFonts w:hint="eastAsia" w:hAnsi="宋体"/>
                <w:color w:val="auto"/>
                <w:kern w:val="0"/>
              </w:rPr>
              <w:t>法定代表人授权书</w:t>
            </w:r>
          </w:p>
        </w:tc>
        <w:tc>
          <w:tcPr>
            <w:tcW w:w="1559" w:type="dxa"/>
            <w:vAlign w:val="center"/>
          </w:tcPr>
          <w:p>
            <w:pPr>
              <w:snapToGrid w:val="0"/>
              <w:spacing w:line="400" w:lineRule="exact"/>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468" w:type="dxa"/>
            <w:vAlign w:val="center"/>
          </w:tcPr>
          <w:p>
            <w:pPr>
              <w:adjustRightInd w:val="0"/>
              <w:snapToGrid w:val="0"/>
              <w:spacing w:line="400" w:lineRule="exact"/>
              <w:textAlignment w:val="baseline"/>
              <w:rPr>
                <w:rFonts w:ascii="宋体" w:hAnsi="宋体" w:cs="微软雅黑"/>
                <w:color w:val="auto"/>
                <w:szCs w:val="21"/>
              </w:rPr>
            </w:pPr>
            <w:r>
              <w:rPr>
                <w:rFonts w:hint="eastAsia" w:ascii="宋体" w:hAnsi="宋体" w:cs="微软雅黑"/>
                <w:color w:val="auto"/>
                <w:szCs w:val="21"/>
              </w:rPr>
              <w:t>6</w:t>
            </w:r>
          </w:p>
        </w:tc>
        <w:tc>
          <w:tcPr>
            <w:tcW w:w="3751" w:type="dxa"/>
            <w:gridSpan w:val="4"/>
            <w:vAlign w:val="center"/>
          </w:tcPr>
          <w:p>
            <w:pPr>
              <w:pStyle w:val="17"/>
              <w:kinsoku w:val="0"/>
              <w:overflowPunct w:val="0"/>
              <w:autoSpaceDE w:val="0"/>
              <w:autoSpaceDN w:val="0"/>
              <w:spacing w:line="320" w:lineRule="exact"/>
              <w:rPr>
                <w:rFonts w:hAnsi="宋体"/>
                <w:color w:val="auto"/>
                <w:kern w:val="0"/>
              </w:rPr>
            </w:pPr>
            <w:r>
              <w:rPr>
                <w:rFonts w:hint="eastAsia" w:hAnsi="宋体"/>
                <w:color w:val="auto"/>
                <w:kern w:val="0"/>
              </w:rPr>
              <w:t>营业执照等证明</w:t>
            </w:r>
          </w:p>
        </w:tc>
        <w:tc>
          <w:tcPr>
            <w:tcW w:w="1559" w:type="dxa"/>
            <w:vAlign w:val="center"/>
          </w:tcPr>
          <w:p>
            <w:pPr>
              <w:snapToGrid w:val="0"/>
              <w:spacing w:line="400" w:lineRule="exact"/>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468" w:type="dxa"/>
            <w:vMerge w:val="restart"/>
            <w:vAlign w:val="center"/>
          </w:tcPr>
          <w:p>
            <w:pPr>
              <w:adjustRightInd w:val="0"/>
              <w:snapToGrid w:val="0"/>
              <w:spacing w:line="400" w:lineRule="exact"/>
              <w:textAlignment w:val="baseline"/>
              <w:rPr>
                <w:rFonts w:ascii="宋体" w:hAnsi="宋体" w:cs="微软雅黑"/>
                <w:color w:val="auto"/>
                <w:szCs w:val="21"/>
              </w:rPr>
            </w:pPr>
            <w:r>
              <w:rPr>
                <w:rFonts w:hint="eastAsia" w:ascii="宋体" w:hAnsi="宋体" w:cs="微软雅黑"/>
                <w:color w:val="auto"/>
                <w:szCs w:val="21"/>
              </w:rPr>
              <w:t>7</w:t>
            </w:r>
          </w:p>
        </w:tc>
        <w:tc>
          <w:tcPr>
            <w:tcW w:w="774" w:type="dxa"/>
            <w:vMerge w:val="restart"/>
            <w:vAlign w:val="center"/>
          </w:tcPr>
          <w:p>
            <w:pPr>
              <w:pStyle w:val="17"/>
              <w:kinsoku w:val="0"/>
              <w:overflowPunct w:val="0"/>
              <w:autoSpaceDE w:val="0"/>
              <w:autoSpaceDN w:val="0"/>
              <w:spacing w:line="320" w:lineRule="exact"/>
              <w:rPr>
                <w:rFonts w:hAnsi="宋体" w:cs="微软雅黑"/>
                <w:bCs/>
                <w:color w:val="auto"/>
                <w:kern w:val="0"/>
              </w:rPr>
            </w:pPr>
            <w:r>
              <w:rPr>
                <w:rFonts w:hint="eastAsia" w:hAnsi="宋体"/>
                <w:color w:val="auto"/>
                <w:kern w:val="0"/>
                <w:szCs w:val="24"/>
              </w:rPr>
              <w:t>纳税证明</w:t>
            </w:r>
          </w:p>
        </w:tc>
        <w:tc>
          <w:tcPr>
            <w:tcW w:w="2977" w:type="dxa"/>
            <w:gridSpan w:val="3"/>
            <w:vAlign w:val="center"/>
          </w:tcPr>
          <w:p>
            <w:pPr>
              <w:pStyle w:val="17"/>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税务登记证</w:t>
            </w:r>
          </w:p>
        </w:tc>
        <w:tc>
          <w:tcPr>
            <w:tcW w:w="1559" w:type="dxa"/>
            <w:vAlign w:val="center"/>
          </w:tcPr>
          <w:p>
            <w:pPr>
              <w:snapToGrid w:val="0"/>
              <w:spacing w:line="400" w:lineRule="exact"/>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468" w:type="dxa"/>
            <w:vMerge w:val="continue"/>
            <w:vAlign w:val="center"/>
          </w:tcPr>
          <w:p>
            <w:pPr>
              <w:adjustRightInd w:val="0"/>
              <w:snapToGrid w:val="0"/>
              <w:spacing w:line="400" w:lineRule="exact"/>
              <w:textAlignment w:val="baseline"/>
              <w:rPr>
                <w:rFonts w:ascii="宋体" w:hAnsi="宋体" w:cs="微软雅黑"/>
                <w:color w:val="auto"/>
                <w:szCs w:val="21"/>
              </w:rPr>
            </w:pPr>
          </w:p>
        </w:tc>
        <w:tc>
          <w:tcPr>
            <w:tcW w:w="774" w:type="dxa"/>
            <w:vMerge w:val="continue"/>
            <w:vAlign w:val="center"/>
          </w:tcPr>
          <w:p>
            <w:pPr>
              <w:pStyle w:val="17"/>
              <w:kinsoku w:val="0"/>
              <w:overflowPunct w:val="0"/>
              <w:autoSpaceDE w:val="0"/>
              <w:autoSpaceDN w:val="0"/>
              <w:spacing w:line="320" w:lineRule="exact"/>
              <w:rPr>
                <w:rFonts w:hAnsi="宋体"/>
                <w:color w:val="auto"/>
                <w:kern w:val="0"/>
                <w:szCs w:val="24"/>
              </w:rPr>
            </w:pPr>
          </w:p>
        </w:tc>
        <w:tc>
          <w:tcPr>
            <w:tcW w:w="2977" w:type="dxa"/>
            <w:gridSpan w:val="3"/>
            <w:vAlign w:val="center"/>
          </w:tcPr>
          <w:p>
            <w:pPr>
              <w:pStyle w:val="17"/>
              <w:kinsoku w:val="0"/>
              <w:overflowPunct w:val="0"/>
              <w:autoSpaceDE w:val="0"/>
              <w:autoSpaceDN w:val="0"/>
              <w:spacing w:line="320" w:lineRule="exact"/>
              <w:rPr>
                <w:rFonts w:hAnsi="宋体"/>
                <w:color w:val="auto"/>
                <w:kern w:val="0"/>
                <w:szCs w:val="24"/>
              </w:rPr>
            </w:pPr>
            <w:r>
              <w:rPr>
                <w:rFonts w:hint="eastAsia" w:asciiTheme="minorEastAsia" w:hAnsiTheme="minorEastAsia"/>
                <w:bCs/>
                <w:color w:val="auto"/>
                <w:szCs w:val="24"/>
              </w:rPr>
              <w:t>纳税凭据</w:t>
            </w:r>
          </w:p>
        </w:tc>
        <w:tc>
          <w:tcPr>
            <w:tcW w:w="1559" w:type="dxa"/>
            <w:vAlign w:val="center"/>
          </w:tcPr>
          <w:p>
            <w:pPr>
              <w:pStyle w:val="17"/>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468" w:type="dxa"/>
            <w:vMerge w:val="restart"/>
            <w:vAlign w:val="center"/>
          </w:tcPr>
          <w:p>
            <w:pPr>
              <w:adjustRightInd w:val="0"/>
              <w:snapToGrid w:val="0"/>
              <w:spacing w:line="400" w:lineRule="exact"/>
              <w:textAlignment w:val="baseline"/>
              <w:rPr>
                <w:rFonts w:ascii="宋体" w:hAnsi="宋体" w:cs="微软雅黑"/>
                <w:color w:val="auto"/>
                <w:szCs w:val="21"/>
              </w:rPr>
            </w:pPr>
            <w:r>
              <w:rPr>
                <w:rFonts w:hint="eastAsia" w:ascii="宋体" w:hAnsi="宋体" w:cs="微软雅黑"/>
                <w:color w:val="auto"/>
                <w:szCs w:val="21"/>
              </w:rPr>
              <w:t>8</w:t>
            </w:r>
          </w:p>
        </w:tc>
        <w:tc>
          <w:tcPr>
            <w:tcW w:w="774" w:type="dxa"/>
            <w:vMerge w:val="restart"/>
            <w:vAlign w:val="center"/>
          </w:tcPr>
          <w:p>
            <w:pPr>
              <w:snapToGrid w:val="0"/>
              <w:spacing w:line="400" w:lineRule="exact"/>
              <w:jc w:val="center"/>
              <w:rPr>
                <w:rFonts w:ascii="宋体" w:hAnsi="宋体" w:cs="微软雅黑"/>
                <w:color w:val="auto"/>
                <w:sz w:val="24"/>
                <w:szCs w:val="24"/>
              </w:rPr>
            </w:pPr>
            <w:r>
              <w:rPr>
                <w:rFonts w:hint="eastAsia" w:ascii="宋体" w:hAnsi="宋体" w:cs="微软雅黑"/>
                <w:color w:val="auto"/>
                <w:sz w:val="24"/>
                <w:szCs w:val="24"/>
              </w:rPr>
              <w:t>财务状况报告</w:t>
            </w:r>
          </w:p>
        </w:tc>
        <w:tc>
          <w:tcPr>
            <w:tcW w:w="844" w:type="dxa"/>
            <w:gridSpan w:val="2"/>
            <w:vMerge w:val="restart"/>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经审计财务报告</w:t>
            </w:r>
          </w:p>
        </w:tc>
        <w:tc>
          <w:tcPr>
            <w:tcW w:w="2133" w:type="dxa"/>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资产负债表</w:t>
            </w:r>
          </w:p>
        </w:tc>
        <w:tc>
          <w:tcPr>
            <w:tcW w:w="1559" w:type="dxa"/>
            <w:vAlign w:val="center"/>
          </w:tcPr>
          <w:p>
            <w:pPr>
              <w:snapToGrid w:val="0"/>
              <w:spacing w:line="400" w:lineRule="exact"/>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468" w:type="dxa"/>
            <w:vMerge w:val="continue"/>
            <w:vAlign w:val="center"/>
          </w:tcPr>
          <w:p>
            <w:pPr>
              <w:numPr>
                <w:ilvl w:val="0"/>
                <w:numId w:val="11"/>
              </w:numPr>
              <w:adjustRightInd w:val="0"/>
              <w:snapToGrid w:val="0"/>
              <w:spacing w:line="400" w:lineRule="exact"/>
              <w:textAlignment w:val="baseline"/>
              <w:rPr>
                <w:rFonts w:ascii="宋体" w:hAnsi="宋体" w:cs="微软雅黑"/>
                <w:color w:val="auto"/>
                <w:szCs w:val="21"/>
              </w:rPr>
            </w:pPr>
          </w:p>
        </w:tc>
        <w:tc>
          <w:tcPr>
            <w:tcW w:w="774" w:type="dxa"/>
            <w:vMerge w:val="continue"/>
            <w:vAlign w:val="center"/>
          </w:tcPr>
          <w:p>
            <w:pPr>
              <w:snapToGrid w:val="0"/>
              <w:spacing w:line="400" w:lineRule="exact"/>
              <w:rPr>
                <w:rFonts w:ascii="宋体" w:hAnsi="宋体" w:cs="微软雅黑"/>
                <w:color w:val="auto"/>
                <w:sz w:val="24"/>
                <w:szCs w:val="24"/>
              </w:rPr>
            </w:pPr>
          </w:p>
        </w:tc>
        <w:tc>
          <w:tcPr>
            <w:tcW w:w="844" w:type="dxa"/>
            <w:gridSpan w:val="2"/>
            <w:vMerge w:val="continue"/>
            <w:vAlign w:val="center"/>
          </w:tcPr>
          <w:p>
            <w:pPr>
              <w:snapToGrid w:val="0"/>
              <w:spacing w:line="400" w:lineRule="exact"/>
              <w:rPr>
                <w:rFonts w:ascii="宋体" w:hAnsi="宋体" w:cs="微软雅黑"/>
                <w:color w:val="auto"/>
                <w:sz w:val="24"/>
                <w:szCs w:val="24"/>
              </w:rPr>
            </w:pPr>
          </w:p>
        </w:tc>
        <w:tc>
          <w:tcPr>
            <w:tcW w:w="2133" w:type="dxa"/>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利润表</w:t>
            </w:r>
          </w:p>
        </w:tc>
        <w:tc>
          <w:tcPr>
            <w:tcW w:w="1559" w:type="dxa"/>
            <w:vAlign w:val="center"/>
          </w:tcPr>
          <w:p>
            <w:pPr>
              <w:snapToGrid w:val="0"/>
              <w:spacing w:line="400" w:lineRule="exact"/>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exact"/>
          <w:jc w:val="center"/>
        </w:trPr>
        <w:tc>
          <w:tcPr>
            <w:tcW w:w="468" w:type="dxa"/>
            <w:vMerge w:val="continue"/>
            <w:vAlign w:val="center"/>
          </w:tcPr>
          <w:p>
            <w:pPr>
              <w:numPr>
                <w:ilvl w:val="0"/>
                <w:numId w:val="11"/>
              </w:numPr>
              <w:adjustRightInd w:val="0"/>
              <w:snapToGrid w:val="0"/>
              <w:spacing w:line="400" w:lineRule="exact"/>
              <w:textAlignment w:val="baseline"/>
              <w:rPr>
                <w:rFonts w:ascii="宋体" w:hAnsi="宋体" w:cs="微软雅黑"/>
                <w:color w:val="auto"/>
                <w:szCs w:val="21"/>
              </w:rPr>
            </w:pPr>
          </w:p>
        </w:tc>
        <w:tc>
          <w:tcPr>
            <w:tcW w:w="774" w:type="dxa"/>
            <w:vMerge w:val="continue"/>
            <w:vAlign w:val="center"/>
          </w:tcPr>
          <w:p>
            <w:pPr>
              <w:snapToGrid w:val="0"/>
              <w:spacing w:line="400" w:lineRule="exact"/>
              <w:rPr>
                <w:rFonts w:ascii="宋体" w:hAnsi="宋体" w:cs="微软雅黑"/>
                <w:color w:val="auto"/>
                <w:sz w:val="24"/>
                <w:szCs w:val="24"/>
              </w:rPr>
            </w:pPr>
          </w:p>
        </w:tc>
        <w:tc>
          <w:tcPr>
            <w:tcW w:w="844" w:type="dxa"/>
            <w:gridSpan w:val="2"/>
            <w:vMerge w:val="continue"/>
            <w:vAlign w:val="center"/>
          </w:tcPr>
          <w:p>
            <w:pPr>
              <w:snapToGrid w:val="0"/>
              <w:spacing w:line="400" w:lineRule="exact"/>
              <w:rPr>
                <w:rFonts w:ascii="宋体" w:hAnsi="宋体" w:cs="微软雅黑"/>
                <w:color w:val="auto"/>
                <w:sz w:val="24"/>
                <w:szCs w:val="24"/>
              </w:rPr>
            </w:pPr>
          </w:p>
        </w:tc>
        <w:tc>
          <w:tcPr>
            <w:tcW w:w="2133" w:type="dxa"/>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现金流量表</w:t>
            </w:r>
          </w:p>
        </w:tc>
        <w:tc>
          <w:tcPr>
            <w:tcW w:w="1559" w:type="dxa"/>
            <w:vAlign w:val="center"/>
          </w:tcPr>
          <w:p>
            <w:pPr>
              <w:snapToGrid w:val="0"/>
              <w:spacing w:line="400" w:lineRule="exact"/>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468" w:type="dxa"/>
            <w:vMerge w:val="continue"/>
            <w:vAlign w:val="center"/>
          </w:tcPr>
          <w:p>
            <w:pPr>
              <w:numPr>
                <w:ilvl w:val="0"/>
                <w:numId w:val="11"/>
              </w:numPr>
              <w:adjustRightInd w:val="0"/>
              <w:snapToGrid w:val="0"/>
              <w:spacing w:line="400" w:lineRule="exact"/>
              <w:textAlignment w:val="baseline"/>
              <w:rPr>
                <w:rFonts w:ascii="宋体" w:hAnsi="宋体" w:cs="微软雅黑"/>
                <w:color w:val="auto"/>
                <w:szCs w:val="21"/>
              </w:rPr>
            </w:pPr>
          </w:p>
        </w:tc>
        <w:tc>
          <w:tcPr>
            <w:tcW w:w="774" w:type="dxa"/>
            <w:vMerge w:val="continue"/>
            <w:vAlign w:val="center"/>
          </w:tcPr>
          <w:p>
            <w:pPr>
              <w:snapToGrid w:val="0"/>
              <w:spacing w:line="400" w:lineRule="exact"/>
              <w:rPr>
                <w:rFonts w:ascii="宋体" w:hAnsi="宋体" w:cs="微软雅黑"/>
                <w:color w:val="auto"/>
                <w:sz w:val="24"/>
                <w:szCs w:val="24"/>
              </w:rPr>
            </w:pPr>
          </w:p>
        </w:tc>
        <w:tc>
          <w:tcPr>
            <w:tcW w:w="2977" w:type="dxa"/>
            <w:gridSpan w:val="3"/>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基本开户银行资信证明</w:t>
            </w:r>
          </w:p>
        </w:tc>
        <w:tc>
          <w:tcPr>
            <w:tcW w:w="1559" w:type="dxa"/>
            <w:vAlign w:val="center"/>
          </w:tcPr>
          <w:p>
            <w:pPr>
              <w:snapToGrid w:val="0"/>
              <w:spacing w:line="400" w:lineRule="exact"/>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468" w:type="dxa"/>
            <w:vMerge w:val="continue"/>
            <w:vAlign w:val="center"/>
          </w:tcPr>
          <w:p>
            <w:pPr>
              <w:numPr>
                <w:ilvl w:val="0"/>
                <w:numId w:val="11"/>
              </w:numPr>
              <w:adjustRightInd w:val="0"/>
              <w:snapToGrid w:val="0"/>
              <w:spacing w:line="400" w:lineRule="exact"/>
              <w:textAlignment w:val="baseline"/>
              <w:rPr>
                <w:rFonts w:ascii="宋体" w:hAnsi="宋体" w:cs="微软雅黑"/>
                <w:color w:val="auto"/>
                <w:szCs w:val="21"/>
              </w:rPr>
            </w:pPr>
          </w:p>
        </w:tc>
        <w:tc>
          <w:tcPr>
            <w:tcW w:w="774" w:type="dxa"/>
            <w:vMerge w:val="continue"/>
            <w:vAlign w:val="center"/>
          </w:tcPr>
          <w:p>
            <w:pPr>
              <w:snapToGrid w:val="0"/>
              <w:spacing w:line="400" w:lineRule="exact"/>
              <w:rPr>
                <w:rFonts w:ascii="宋体" w:hAnsi="宋体" w:cs="微软雅黑"/>
                <w:color w:val="auto"/>
                <w:sz w:val="24"/>
                <w:szCs w:val="24"/>
              </w:rPr>
            </w:pPr>
          </w:p>
        </w:tc>
        <w:tc>
          <w:tcPr>
            <w:tcW w:w="2977" w:type="dxa"/>
            <w:gridSpan w:val="3"/>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银行资信证明</w:t>
            </w:r>
          </w:p>
        </w:tc>
        <w:tc>
          <w:tcPr>
            <w:tcW w:w="1559" w:type="dxa"/>
            <w:vAlign w:val="center"/>
          </w:tcPr>
          <w:p>
            <w:pPr>
              <w:snapToGrid w:val="0"/>
              <w:spacing w:line="400" w:lineRule="exact"/>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468" w:type="dxa"/>
            <w:vMerge w:val="continue"/>
            <w:vAlign w:val="center"/>
          </w:tcPr>
          <w:p>
            <w:pPr>
              <w:numPr>
                <w:ilvl w:val="0"/>
                <w:numId w:val="11"/>
              </w:numPr>
              <w:adjustRightInd w:val="0"/>
              <w:snapToGrid w:val="0"/>
              <w:spacing w:line="400" w:lineRule="exact"/>
              <w:textAlignment w:val="baseline"/>
              <w:rPr>
                <w:rFonts w:ascii="宋体" w:hAnsi="宋体" w:cs="微软雅黑"/>
                <w:color w:val="auto"/>
                <w:szCs w:val="21"/>
              </w:rPr>
            </w:pPr>
          </w:p>
        </w:tc>
        <w:tc>
          <w:tcPr>
            <w:tcW w:w="774" w:type="dxa"/>
            <w:vMerge w:val="continue"/>
            <w:vAlign w:val="center"/>
          </w:tcPr>
          <w:p>
            <w:pPr>
              <w:snapToGrid w:val="0"/>
              <w:spacing w:line="400" w:lineRule="exact"/>
              <w:rPr>
                <w:rFonts w:ascii="宋体" w:hAnsi="宋体" w:cs="微软雅黑"/>
                <w:color w:val="auto"/>
                <w:sz w:val="24"/>
                <w:szCs w:val="24"/>
              </w:rPr>
            </w:pPr>
          </w:p>
        </w:tc>
        <w:tc>
          <w:tcPr>
            <w:tcW w:w="2977" w:type="dxa"/>
            <w:gridSpan w:val="3"/>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政府采购投标担保函</w:t>
            </w:r>
          </w:p>
        </w:tc>
        <w:tc>
          <w:tcPr>
            <w:tcW w:w="1559" w:type="dxa"/>
            <w:vAlign w:val="center"/>
          </w:tcPr>
          <w:p>
            <w:pPr>
              <w:snapToGrid w:val="0"/>
              <w:spacing w:line="400" w:lineRule="exact"/>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468" w:type="dxa"/>
            <w:vAlign w:val="center"/>
          </w:tcPr>
          <w:p>
            <w:pPr>
              <w:adjustRightInd w:val="0"/>
              <w:snapToGrid w:val="0"/>
              <w:spacing w:line="400" w:lineRule="exact"/>
              <w:textAlignment w:val="baseline"/>
              <w:rPr>
                <w:rFonts w:ascii="宋体" w:hAnsi="宋体" w:cs="微软雅黑"/>
                <w:color w:val="auto"/>
                <w:szCs w:val="21"/>
              </w:rPr>
            </w:pPr>
            <w:r>
              <w:rPr>
                <w:rFonts w:hint="eastAsia" w:ascii="宋体" w:hAnsi="宋体" w:cs="微软雅黑"/>
                <w:color w:val="auto"/>
                <w:szCs w:val="21"/>
              </w:rPr>
              <w:t>9</w:t>
            </w:r>
          </w:p>
        </w:tc>
        <w:tc>
          <w:tcPr>
            <w:tcW w:w="3751" w:type="dxa"/>
            <w:gridSpan w:val="4"/>
            <w:vAlign w:val="center"/>
          </w:tcPr>
          <w:p>
            <w:pPr>
              <w:snapToGrid w:val="0"/>
              <w:spacing w:line="400" w:lineRule="exact"/>
              <w:rPr>
                <w:rFonts w:ascii="宋体" w:hAnsi="宋体" w:cs="微软雅黑"/>
                <w:color w:val="auto"/>
                <w:sz w:val="24"/>
                <w:szCs w:val="24"/>
              </w:rPr>
            </w:pPr>
            <w:r>
              <w:rPr>
                <w:rFonts w:hint="eastAsia" w:asciiTheme="minorEastAsia" w:hAnsiTheme="minorEastAsia"/>
                <w:bCs/>
                <w:color w:val="auto"/>
                <w:sz w:val="24"/>
                <w:szCs w:val="24"/>
              </w:rPr>
              <w:t>依法缴纳社会保险凭据</w:t>
            </w:r>
          </w:p>
        </w:tc>
        <w:tc>
          <w:tcPr>
            <w:tcW w:w="1559" w:type="dxa"/>
            <w:vAlign w:val="center"/>
          </w:tcPr>
          <w:p>
            <w:pPr>
              <w:snapToGrid w:val="0"/>
              <w:spacing w:line="400" w:lineRule="exact"/>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8" w:type="dxa"/>
            <w:vMerge w:val="restart"/>
            <w:vAlign w:val="center"/>
          </w:tcPr>
          <w:p>
            <w:pPr>
              <w:adjustRightInd w:val="0"/>
              <w:snapToGrid w:val="0"/>
              <w:spacing w:line="400" w:lineRule="exact"/>
              <w:textAlignment w:val="baseline"/>
              <w:rPr>
                <w:rFonts w:ascii="宋体" w:hAnsi="宋体" w:cs="微软雅黑"/>
                <w:color w:val="auto"/>
                <w:szCs w:val="21"/>
              </w:rPr>
            </w:pPr>
            <w:r>
              <w:rPr>
                <w:rFonts w:hint="eastAsia" w:ascii="宋体" w:hAnsi="宋体" w:cs="微软雅黑"/>
                <w:color w:val="auto"/>
                <w:szCs w:val="21"/>
              </w:rPr>
              <w:t>10</w:t>
            </w:r>
          </w:p>
        </w:tc>
        <w:tc>
          <w:tcPr>
            <w:tcW w:w="774" w:type="dxa"/>
            <w:vMerge w:val="restart"/>
            <w:vAlign w:val="center"/>
          </w:tcPr>
          <w:p>
            <w:pPr>
              <w:snapToGrid w:val="0"/>
              <w:spacing w:line="400" w:lineRule="exact"/>
              <w:jc w:val="center"/>
              <w:rPr>
                <w:rFonts w:ascii="宋体" w:hAnsi="宋体" w:cs="微软雅黑"/>
                <w:color w:val="auto"/>
                <w:sz w:val="24"/>
                <w:szCs w:val="24"/>
              </w:rPr>
            </w:pPr>
            <w:r>
              <w:rPr>
                <w:rFonts w:hint="eastAsia" w:ascii="宋体" w:hAnsi="宋体" w:cs="微软雅黑"/>
                <w:color w:val="auto"/>
                <w:sz w:val="24"/>
                <w:szCs w:val="24"/>
              </w:rPr>
              <w:t>履行合同能力</w:t>
            </w:r>
          </w:p>
        </w:tc>
        <w:tc>
          <w:tcPr>
            <w:tcW w:w="844" w:type="dxa"/>
            <w:gridSpan w:val="2"/>
            <w:vMerge w:val="restart"/>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证明材料</w:t>
            </w:r>
          </w:p>
        </w:tc>
        <w:tc>
          <w:tcPr>
            <w:tcW w:w="2133" w:type="dxa"/>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设备购置发票</w:t>
            </w:r>
          </w:p>
        </w:tc>
        <w:tc>
          <w:tcPr>
            <w:tcW w:w="1559" w:type="dxa"/>
            <w:vAlign w:val="center"/>
          </w:tcPr>
          <w:p>
            <w:pPr>
              <w:rPr>
                <w:color w:val="auto"/>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8" w:type="dxa"/>
            <w:vMerge w:val="continue"/>
            <w:vAlign w:val="center"/>
          </w:tcPr>
          <w:p>
            <w:pPr>
              <w:numPr>
                <w:ilvl w:val="0"/>
                <w:numId w:val="11"/>
              </w:numPr>
              <w:adjustRightInd w:val="0"/>
              <w:snapToGrid w:val="0"/>
              <w:spacing w:line="400" w:lineRule="exact"/>
              <w:textAlignment w:val="baseline"/>
              <w:rPr>
                <w:rFonts w:ascii="宋体" w:hAnsi="宋体" w:cs="微软雅黑"/>
                <w:color w:val="auto"/>
                <w:szCs w:val="21"/>
              </w:rPr>
            </w:pPr>
          </w:p>
        </w:tc>
        <w:tc>
          <w:tcPr>
            <w:tcW w:w="774" w:type="dxa"/>
            <w:vMerge w:val="continue"/>
            <w:vAlign w:val="center"/>
          </w:tcPr>
          <w:p>
            <w:pPr>
              <w:pStyle w:val="17"/>
              <w:kinsoku w:val="0"/>
              <w:overflowPunct w:val="0"/>
              <w:autoSpaceDE w:val="0"/>
              <w:autoSpaceDN w:val="0"/>
              <w:spacing w:line="320" w:lineRule="exact"/>
              <w:rPr>
                <w:rFonts w:hAnsi="宋体" w:cs="微软雅黑"/>
                <w:bCs/>
                <w:color w:val="auto"/>
                <w:kern w:val="0"/>
                <w:szCs w:val="24"/>
              </w:rPr>
            </w:pPr>
          </w:p>
        </w:tc>
        <w:tc>
          <w:tcPr>
            <w:tcW w:w="844" w:type="dxa"/>
            <w:gridSpan w:val="2"/>
            <w:vMerge w:val="continue"/>
            <w:vAlign w:val="center"/>
          </w:tcPr>
          <w:p>
            <w:pPr>
              <w:pStyle w:val="17"/>
              <w:kinsoku w:val="0"/>
              <w:overflowPunct w:val="0"/>
              <w:autoSpaceDE w:val="0"/>
              <w:autoSpaceDN w:val="0"/>
              <w:spacing w:line="320" w:lineRule="exact"/>
              <w:rPr>
                <w:rFonts w:hAnsi="宋体" w:cs="微软雅黑"/>
                <w:bCs/>
                <w:color w:val="auto"/>
                <w:kern w:val="0"/>
                <w:szCs w:val="24"/>
              </w:rPr>
            </w:pPr>
          </w:p>
        </w:tc>
        <w:tc>
          <w:tcPr>
            <w:tcW w:w="2133" w:type="dxa"/>
            <w:vAlign w:val="center"/>
          </w:tcPr>
          <w:p>
            <w:pPr>
              <w:pStyle w:val="17"/>
              <w:kinsoku w:val="0"/>
              <w:overflowPunct w:val="0"/>
              <w:autoSpaceDE w:val="0"/>
              <w:autoSpaceDN w:val="0"/>
              <w:spacing w:line="320" w:lineRule="exact"/>
              <w:rPr>
                <w:rFonts w:hAnsi="宋体" w:cs="微软雅黑"/>
                <w:bCs/>
                <w:color w:val="auto"/>
                <w:kern w:val="0"/>
                <w:szCs w:val="24"/>
              </w:rPr>
            </w:pPr>
            <w:r>
              <w:rPr>
                <w:rFonts w:hint="eastAsia" w:hAnsi="宋体" w:cs="微软雅黑"/>
                <w:bCs/>
                <w:color w:val="auto"/>
                <w:kern w:val="0"/>
                <w:szCs w:val="24"/>
              </w:rPr>
              <w:t>技术人员职称证书</w:t>
            </w:r>
          </w:p>
        </w:tc>
        <w:tc>
          <w:tcPr>
            <w:tcW w:w="1559" w:type="dxa"/>
            <w:vAlign w:val="center"/>
          </w:tcPr>
          <w:p>
            <w:pPr>
              <w:pStyle w:val="17"/>
              <w:rPr>
                <w:color w:val="auto"/>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pStyle w:val="17"/>
              <w:kinsoku w:val="0"/>
              <w:overflowPunct w:val="0"/>
              <w:autoSpaceDE w:val="0"/>
              <w:autoSpaceDN w:val="0"/>
              <w:spacing w:line="320" w:lineRule="exact"/>
              <w:rPr>
                <w:rFonts w:hAnsi="宋体" w:cs="微软雅黑"/>
                <w:bCs/>
                <w:color w:val="auto"/>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8" w:type="dxa"/>
            <w:vMerge w:val="continue"/>
            <w:vAlign w:val="center"/>
          </w:tcPr>
          <w:p>
            <w:pPr>
              <w:numPr>
                <w:ilvl w:val="0"/>
                <w:numId w:val="11"/>
              </w:numPr>
              <w:adjustRightInd w:val="0"/>
              <w:snapToGrid w:val="0"/>
              <w:spacing w:line="400" w:lineRule="exact"/>
              <w:textAlignment w:val="baseline"/>
              <w:rPr>
                <w:rFonts w:ascii="宋体" w:hAnsi="宋体" w:cs="微软雅黑"/>
                <w:color w:val="auto"/>
                <w:szCs w:val="21"/>
              </w:rPr>
            </w:pPr>
          </w:p>
        </w:tc>
        <w:tc>
          <w:tcPr>
            <w:tcW w:w="774" w:type="dxa"/>
            <w:vMerge w:val="continue"/>
            <w:vAlign w:val="center"/>
          </w:tcPr>
          <w:p>
            <w:pPr>
              <w:pStyle w:val="17"/>
              <w:kinsoku w:val="0"/>
              <w:overflowPunct w:val="0"/>
              <w:autoSpaceDE w:val="0"/>
              <w:autoSpaceDN w:val="0"/>
              <w:spacing w:line="320" w:lineRule="exact"/>
              <w:rPr>
                <w:rFonts w:hAnsi="宋体" w:cs="微软雅黑"/>
                <w:bCs/>
                <w:color w:val="auto"/>
                <w:kern w:val="0"/>
                <w:szCs w:val="24"/>
              </w:rPr>
            </w:pPr>
          </w:p>
        </w:tc>
        <w:tc>
          <w:tcPr>
            <w:tcW w:w="844" w:type="dxa"/>
            <w:gridSpan w:val="2"/>
            <w:vMerge w:val="continue"/>
            <w:vAlign w:val="center"/>
          </w:tcPr>
          <w:p>
            <w:pPr>
              <w:pStyle w:val="17"/>
              <w:kinsoku w:val="0"/>
              <w:overflowPunct w:val="0"/>
              <w:autoSpaceDE w:val="0"/>
              <w:autoSpaceDN w:val="0"/>
              <w:spacing w:line="320" w:lineRule="exact"/>
              <w:rPr>
                <w:rFonts w:hAnsi="宋体" w:cs="微软雅黑"/>
                <w:bCs/>
                <w:color w:val="auto"/>
                <w:kern w:val="0"/>
                <w:szCs w:val="24"/>
              </w:rPr>
            </w:pPr>
          </w:p>
        </w:tc>
        <w:tc>
          <w:tcPr>
            <w:tcW w:w="2133" w:type="dxa"/>
            <w:vAlign w:val="center"/>
          </w:tcPr>
          <w:p>
            <w:pPr>
              <w:pStyle w:val="17"/>
              <w:kinsoku w:val="0"/>
              <w:overflowPunct w:val="0"/>
              <w:autoSpaceDE w:val="0"/>
              <w:autoSpaceDN w:val="0"/>
              <w:spacing w:line="320" w:lineRule="exact"/>
              <w:rPr>
                <w:rFonts w:hAnsi="宋体" w:cs="微软雅黑"/>
                <w:bCs/>
                <w:color w:val="auto"/>
                <w:kern w:val="0"/>
                <w:szCs w:val="24"/>
              </w:rPr>
            </w:pPr>
            <w:r>
              <w:rPr>
                <w:rFonts w:hint="eastAsia" w:hAnsi="宋体" w:cs="微软雅黑"/>
                <w:bCs/>
                <w:color w:val="auto"/>
                <w:kern w:val="0"/>
                <w:szCs w:val="24"/>
              </w:rPr>
              <w:t>用工合同</w:t>
            </w:r>
          </w:p>
        </w:tc>
        <w:tc>
          <w:tcPr>
            <w:tcW w:w="1559" w:type="dxa"/>
            <w:vAlign w:val="center"/>
          </w:tcPr>
          <w:p>
            <w:pPr>
              <w:pStyle w:val="17"/>
              <w:rPr>
                <w:color w:val="auto"/>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pStyle w:val="17"/>
              <w:kinsoku w:val="0"/>
              <w:overflowPunct w:val="0"/>
              <w:autoSpaceDE w:val="0"/>
              <w:autoSpaceDN w:val="0"/>
              <w:spacing w:line="320" w:lineRule="exact"/>
              <w:rPr>
                <w:rFonts w:hAnsi="宋体" w:cs="微软雅黑"/>
                <w:bCs/>
                <w:color w:val="auto"/>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8" w:type="dxa"/>
            <w:vMerge w:val="continue"/>
            <w:vAlign w:val="center"/>
          </w:tcPr>
          <w:p>
            <w:pPr>
              <w:numPr>
                <w:ilvl w:val="0"/>
                <w:numId w:val="11"/>
              </w:numPr>
              <w:adjustRightInd w:val="0"/>
              <w:snapToGrid w:val="0"/>
              <w:spacing w:line="400" w:lineRule="exact"/>
              <w:textAlignment w:val="baseline"/>
              <w:rPr>
                <w:rFonts w:ascii="宋体" w:hAnsi="宋体" w:cs="微软雅黑"/>
                <w:color w:val="auto"/>
                <w:szCs w:val="21"/>
              </w:rPr>
            </w:pPr>
          </w:p>
        </w:tc>
        <w:tc>
          <w:tcPr>
            <w:tcW w:w="774" w:type="dxa"/>
            <w:vMerge w:val="continue"/>
            <w:vAlign w:val="center"/>
          </w:tcPr>
          <w:p>
            <w:pPr>
              <w:pStyle w:val="17"/>
              <w:kinsoku w:val="0"/>
              <w:overflowPunct w:val="0"/>
              <w:autoSpaceDE w:val="0"/>
              <w:autoSpaceDN w:val="0"/>
              <w:spacing w:line="320" w:lineRule="exact"/>
              <w:rPr>
                <w:rFonts w:hAnsi="宋体" w:cs="微软雅黑"/>
                <w:bCs/>
                <w:color w:val="auto"/>
                <w:kern w:val="0"/>
                <w:szCs w:val="24"/>
              </w:rPr>
            </w:pPr>
          </w:p>
        </w:tc>
        <w:tc>
          <w:tcPr>
            <w:tcW w:w="2977" w:type="dxa"/>
            <w:gridSpan w:val="3"/>
            <w:vAlign w:val="center"/>
          </w:tcPr>
          <w:p>
            <w:pPr>
              <w:pStyle w:val="17"/>
              <w:kinsoku w:val="0"/>
              <w:overflowPunct w:val="0"/>
              <w:autoSpaceDE w:val="0"/>
              <w:autoSpaceDN w:val="0"/>
              <w:spacing w:line="320" w:lineRule="exact"/>
              <w:rPr>
                <w:rFonts w:hAnsi="宋体" w:cs="微软雅黑"/>
                <w:bCs/>
                <w:color w:val="auto"/>
                <w:kern w:val="0"/>
                <w:szCs w:val="24"/>
              </w:rPr>
            </w:pPr>
            <w:r>
              <w:rPr>
                <w:rFonts w:hint="eastAsia" w:asciiTheme="minorEastAsia" w:hAnsiTheme="minorEastAsia"/>
                <w:bCs/>
                <w:color w:val="auto"/>
                <w:szCs w:val="24"/>
              </w:rPr>
              <w:t>投标人相关承诺函或声明</w:t>
            </w:r>
          </w:p>
        </w:tc>
        <w:tc>
          <w:tcPr>
            <w:tcW w:w="1559" w:type="dxa"/>
            <w:vAlign w:val="center"/>
          </w:tcPr>
          <w:p>
            <w:pPr>
              <w:pStyle w:val="17"/>
              <w:rPr>
                <w:color w:val="auto"/>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68" w:type="dxa"/>
            <w:vAlign w:val="center"/>
          </w:tcPr>
          <w:p>
            <w:pPr>
              <w:adjustRightInd w:val="0"/>
              <w:snapToGrid w:val="0"/>
              <w:spacing w:line="400" w:lineRule="exact"/>
              <w:textAlignment w:val="baseline"/>
              <w:rPr>
                <w:rFonts w:ascii="宋体" w:hAnsi="宋体" w:cs="微软雅黑"/>
                <w:color w:val="auto"/>
                <w:szCs w:val="21"/>
              </w:rPr>
            </w:pPr>
            <w:r>
              <w:rPr>
                <w:rFonts w:hint="eastAsia" w:ascii="宋体" w:hAnsi="宋体" w:cs="微软雅黑"/>
                <w:color w:val="auto"/>
                <w:szCs w:val="21"/>
              </w:rPr>
              <w:t>11</w:t>
            </w:r>
          </w:p>
        </w:tc>
        <w:tc>
          <w:tcPr>
            <w:tcW w:w="3751" w:type="dxa"/>
            <w:gridSpan w:val="4"/>
            <w:vAlign w:val="center"/>
          </w:tcPr>
          <w:p>
            <w:pPr>
              <w:pStyle w:val="17"/>
              <w:kinsoku w:val="0"/>
              <w:overflowPunct w:val="0"/>
              <w:autoSpaceDE w:val="0"/>
              <w:autoSpaceDN w:val="0"/>
              <w:spacing w:line="320" w:lineRule="exact"/>
              <w:rPr>
                <w:rFonts w:hAnsi="宋体" w:cs="微软雅黑"/>
                <w:bCs/>
                <w:color w:val="auto"/>
                <w:kern w:val="0"/>
              </w:rPr>
            </w:pPr>
            <w:r>
              <w:rPr>
                <w:rFonts w:hint="eastAsia" w:hAnsi="宋体"/>
                <w:color w:val="auto"/>
                <w:kern w:val="0"/>
              </w:rPr>
              <w:t>没有重大违法记录的声明</w:t>
            </w:r>
          </w:p>
        </w:tc>
        <w:tc>
          <w:tcPr>
            <w:tcW w:w="1559" w:type="dxa"/>
            <w:vAlign w:val="center"/>
          </w:tcPr>
          <w:p>
            <w:pPr>
              <w:rPr>
                <w:color w:val="auto"/>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68" w:type="dxa"/>
            <w:vAlign w:val="center"/>
          </w:tcPr>
          <w:p>
            <w:pPr>
              <w:adjustRightInd w:val="0"/>
              <w:snapToGrid w:val="0"/>
              <w:spacing w:line="400" w:lineRule="exact"/>
              <w:textAlignment w:val="baseline"/>
              <w:rPr>
                <w:rFonts w:ascii="宋体" w:hAnsi="宋体" w:cs="微软雅黑"/>
                <w:color w:val="auto"/>
                <w:szCs w:val="21"/>
              </w:rPr>
            </w:pPr>
            <w:r>
              <w:rPr>
                <w:rFonts w:hint="eastAsia" w:ascii="宋体" w:hAnsi="宋体" w:cs="微软雅黑"/>
                <w:color w:val="auto"/>
                <w:szCs w:val="21"/>
              </w:rPr>
              <w:t>12</w:t>
            </w:r>
          </w:p>
        </w:tc>
        <w:tc>
          <w:tcPr>
            <w:tcW w:w="3751" w:type="dxa"/>
            <w:gridSpan w:val="4"/>
            <w:vAlign w:val="center"/>
          </w:tcPr>
          <w:p>
            <w:pPr>
              <w:pStyle w:val="17"/>
              <w:kinsoku w:val="0"/>
              <w:overflowPunct w:val="0"/>
              <w:autoSpaceDE w:val="0"/>
              <w:autoSpaceDN w:val="0"/>
              <w:spacing w:line="320" w:lineRule="exact"/>
              <w:rPr>
                <w:rFonts w:hAnsi="宋体"/>
                <w:color w:val="auto"/>
                <w:kern w:val="0"/>
              </w:rPr>
            </w:pPr>
            <w:r>
              <w:rPr>
                <w:rFonts w:hint="eastAsia" w:hAnsi="宋体" w:cs="微软雅黑"/>
                <w:bCs/>
                <w:color w:val="auto"/>
                <w:kern w:val="0"/>
              </w:rPr>
              <w:t>投标人须具备的资质证书</w:t>
            </w:r>
          </w:p>
        </w:tc>
        <w:tc>
          <w:tcPr>
            <w:tcW w:w="1559" w:type="dxa"/>
            <w:vAlign w:val="center"/>
          </w:tcPr>
          <w:p>
            <w:pPr>
              <w:rPr>
                <w:color w:val="auto"/>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68" w:type="dxa"/>
            <w:vAlign w:val="center"/>
          </w:tcPr>
          <w:p>
            <w:pPr>
              <w:adjustRightInd w:val="0"/>
              <w:snapToGrid w:val="0"/>
              <w:spacing w:line="400" w:lineRule="exact"/>
              <w:textAlignment w:val="baseline"/>
              <w:rPr>
                <w:rFonts w:asciiTheme="majorEastAsia" w:hAnsiTheme="majorEastAsia" w:eastAsiaTheme="majorEastAsia" w:cstheme="majorEastAsia"/>
                <w:bCs/>
                <w:color w:val="auto"/>
                <w:sz w:val="24"/>
                <w:szCs w:val="24"/>
                <w:lang w:val="zh-CN"/>
              </w:rPr>
            </w:pPr>
            <w:r>
              <w:rPr>
                <w:rFonts w:hint="eastAsia" w:asciiTheme="majorEastAsia" w:hAnsiTheme="majorEastAsia" w:eastAsiaTheme="majorEastAsia" w:cstheme="majorEastAsia"/>
                <w:bCs/>
                <w:color w:val="auto"/>
                <w:sz w:val="24"/>
                <w:szCs w:val="24"/>
                <w:lang w:val="zh-CN"/>
              </w:rPr>
              <w:t>13</w:t>
            </w:r>
          </w:p>
        </w:tc>
        <w:tc>
          <w:tcPr>
            <w:tcW w:w="3751" w:type="dxa"/>
            <w:gridSpan w:val="4"/>
            <w:vAlign w:val="center"/>
          </w:tcPr>
          <w:p>
            <w:pPr>
              <w:pStyle w:val="17"/>
              <w:kinsoku w:val="0"/>
              <w:overflowPunct w:val="0"/>
              <w:autoSpaceDE w:val="0"/>
              <w:autoSpaceDN w:val="0"/>
              <w:spacing w:line="320" w:lineRule="exact"/>
              <w:rPr>
                <w:rFonts w:asciiTheme="majorEastAsia" w:hAnsiTheme="majorEastAsia" w:eastAsiaTheme="majorEastAsia" w:cstheme="majorEastAsia"/>
                <w:bCs/>
                <w:color w:val="auto"/>
                <w:szCs w:val="24"/>
                <w:lang w:val="zh-CN"/>
              </w:rPr>
            </w:pPr>
            <w:r>
              <w:rPr>
                <w:rFonts w:hint="eastAsia" w:asciiTheme="majorEastAsia" w:hAnsiTheme="majorEastAsia" w:eastAsiaTheme="majorEastAsia" w:cstheme="majorEastAsia"/>
                <w:bCs/>
                <w:color w:val="auto"/>
                <w:szCs w:val="24"/>
                <w:lang w:val="zh-CN"/>
              </w:rPr>
              <w:t>联合体协议</w:t>
            </w:r>
          </w:p>
        </w:tc>
        <w:tc>
          <w:tcPr>
            <w:tcW w:w="1559" w:type="dxa"/>
            <w:vAlign w:val="center"/>
          </w:tcPr>
          <w:p>
            <w:pPr>
              <w:rPr>
                <w:color w:val="auto"/>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68" w:type="dxa"/>
            <w:vAlign w:val="center"/>
          </w:tcPr>
          <w:p>
            <w:pPr>
              <w:adjustRightInd w:val="0"/>
              <w:snapToGrid w:val="0"/>
              <w:spacing w:line="400" w:lineRule="exact"/>
              <w:textAlignment w:val="baseline"/>
              <w:rPr>
                <w:rFonts w:ascii="宋体" w:hAnsi="宋体" w:cs="微软雅黑"/>
                <w:color w:val="auto"/>
                <w:szCs w:val="21"/>
              </w:rPr>
            </w:pPr>
            <w:r>
              <w:rPr>
                <w:rFonts w:hint="eastAsia" w:ascii="宋体" w:hAnsi="宋体" w:cs="微软雅黑"/>
                <w:color w:val="auto"/>
                <w:szCs w:val="21"/>
              </w:rPr>
              <w:t>14</w:t>
            </w:r>
          </w:p>
        </w:tc>
        <w:tc>
          <w:tcPr>
            <w:tcW w:w="3751" w:type="dxa"/>
            <w:gridSpan w:val="4"/>
            <w:vAlign w:val="center"/>
          </w:tcPr>
          <w:p>
            <w:pPr>
              <w:pStyle w:val="17"/>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投标分项报价表</w:t>
            </w:r>
          </w:p>
        </w:tc>
        <w:tc>
          <w:tcPr>
            <w:tcW w:w="1559" w:type="dxa"/>
            <w:vAlign w:val="center"/>
          </w:tcPr>
          <w:p>
            <w:pPr>
              <w:rPr>
                <w:color w:val="auto"/>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68" w:type="dxa"/>
            <w:vAlign w:val="center"/>
          </w:tcPr>
          <w:p>
            <w:pPr>
              <w:adjustRightInd w:val="0"/>
              <w:snapToGrid w:val="0"/>
              <w:spacing w:line="400" w:lineRule="exact"/>
              <w:textAlignment w:val="baseline"/>
              <w:rPr>
                <w:rFonts w:ascii="宋体" w:hAnsi="宋体" w:cs="微软雅黑"/>
                <w:color w:val="auto"/>
                <w:szCs w:val="21"/>
              </w:rPr>
            </w:pPr>
            <w:r>
              <w:rPr>
                <w:rFonts w:hint="eastAsia" w:ascii="宋体" w:hAnsi="宋体" w:cs="微软雅黑"/>
                <w:color w:val="auto"/>
                <w:szCs w:val="21"/>
              </w:rPr>
              <w:t>15</w:t>
            </w:r>
          </w:p>
        </w:tc>
        <w:tc>
          <w:tcPr>
            <w:tcW w:w="3751" w:type="dxa"/>
            <w:gridSpan w:val="4"/>
            <w:vAlign w:val="center"/>
          </w:tcPr>
          <w:p>
            <w:pPr>
              <w:pStyle w:val="17"/>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技术规格偏离表</w:t>
            </w:r>
          </w:p>
        </w:tc>
        <w:tc>
          <w:tcPr>
            <w:tcW w:w="1559" w:type="dxa"/>
            <w:vAlign w:val="center"/>
          </w:tcPr>
          <w:p>
            <w:pPr>
              <w:rPr>
                <w:color w:val="auto"/>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68" w:type="dxa"/>
            <w:vAlign w:val="center"/>
          </w:tcPr>
          <w:p>
            <w:pPr>
              <w:adjustRightInd w:val="0"/>
              <w:snapToGrid w:val="0"/>
              <w:spacing w:line="400" w:lineRule="exact"/>
              <w:textAlignment w:val="baseline"/>
              <w:rPr>
                <w:rFonts w:ascii="宋体" w:hAnsi="宋体" w:cs="微软雅黑"/>
                <w:color w:val="auto"/>
                <w:szCs w:val="21"/>
              </w:rPr>
            </w:pPr>
            <w:r>
              <w:rPr>
                <w:rFonts w:hint="eastAsia" w:ascii="宋体" w:hAnsi="宋体" w:cs="微软雅黑"/>
                <w:color w:val="auto"/>
                <w:szCs w:val="21"/>
              </w:rPr>
              <w:t>16</w:t>
            </w:r>
          </w:p>
        </w:tc>
        <w:tc>
          <w:tcPr>
            <w:tcW w:w="3751" w:type="dxa"/>
            <w:gridSpan w:val="4"/>
            <w:vAlign w:val="center"/>
          </w:tcPr>
          <w:p>
            <w:pPr>
              <w:pStyle w:val="17"/>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实施方案（服务方案）</w:t>
            </w:r>
          </w:p>
        </w:tc>
        <w:tc>
          <w:tcPr>
            <w:tcW w:w="1559" w:type="dxa"/>
            <w:vAlign w:val="center"/>
          </w:tcPr>
          <w:p>
            <w:pPr>
              <w:rPr>
                <w:color w:val="auto"/>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68" w:type="dxa"/>
            <w:vAlign w:val="center"/>
          </w:tcPr>
          <w:p>
            <w:pPr>
              <w:adjustRightInd w:val="0"/>
              <w:snapToGrid w:val="0"/>
              <w:spacing w:line="400" w:lineRule="exact"/>
              <w:textAlignment w:val="baseline"/>
              <w:rPr>
                <w:rFonts w:ascii="宋体" w:hAnsi="宋体" w:cs="微软雅黑"/>
                <w:color w:val="auto"/>
                <w:szCs w:val="21"/>
              </w:rPr>
            </w:pPr>
            <w:r>
              <w:rPr>
                <w:rFonts w:hint="eastAsia" w:ascii="宋体" w:hAnsi="宋体" w:cs="微软雅黑"/>
                <w:color w:val="auto"/>
                <w:szCs w:val="21"/>
              </w:rPr>
              <w:t>17</w:t>
            </w:r>
          </w:p>
        </w:tc>
        <w:tc>
          <w:tcPr>
            <w:tcW w:w="3751" w:type="dxa"/>
            <w:gridSpan w:val="4"/>
            <w:vAlign w:val="center"/>
          </w:tcPr>
          <w:p>
            <w:pPr>
              <w:pStyle w:val="17"/>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业绩情况表</w:t>
            </w:r>
          </w:p>
        </w:tc>
        <w:tc>
          <w:tcPr>
            <w:tcW w:w="1559" w:type="dxa"/>
            <w:vAlign w:val="center"/>
          </w:tcPr>
          <w:p>
            <w:pPr>
              <w:rPr>
                <w:color w:val="auto"/>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68" w:type="dxa"/>
            <w:vAlign w:val="center"/>
          </w:tcPr>
          <w:p>
            <w:pPr>
              <w:adjustRightInd w:val="0"/>
              <w:snapToGrid w:val="0"/>
              <w:spacing w:line="400" w:lineRule="exact"/>
              <w:textAlignment w:val="baseline"/>
              <w:rPr>
                <w:rFonts w:ascii="宋体" w:hAnsi="宋体" w:cs="微软雅黑"/>
                <w:color w:val="auto"/>
                <w:szCs w:val="21"/>
              </w:rPr>
            </w:pPr>
            <w:r>
              <w:rPr>
                <w:rFonts w:hint="eastAsia" w:ascii="宋体" w:hAnsi="宋体" w:cs="微软雅黑"/>
                <w:color w:val="auto"/>
                <w:szCs w:val="21"/>
              </w:rPr>
              <w:t>18</w:t>
            </w:r>
          </w:p>
        </w:tc>
        <w:tc>
          <w:tcPr>
            <w:tcW w:w="3751" w:type="dxa"/>
            <w:gridSpan w:val="4"/>
            <w:vAlign w:val="center"/>
          </w:tcPr>
          <w:p>
            <w:pPr>
              <w:pStyle w:val="17"/>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服务承诺</w:t>
            </w:r>
          </w:p>
        </w:tc>
        <w:tc>
          <w:tcPr>
            <w:tcW w:w="1559" w:type="dxa"/>
            <w:vAlign w:val="center"/>
          </w:tcPr>
          <w:p>
            <w:pPr>
              <w:rPr>
                <w:color w:val="auto"/>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68" w:type="dxa"/>
            <w:vAlign w:val="center"/>
          </w:tcPr>
          <w:p>
            <w:pPr>
              <w:adjustRightInd w:val="0"/>
              <w:snapToGrid w:val="0"/>
              <w:spacing w:line="400" w:lineRule="exact"/>
              <w:textAlignment w:val="baseline"/>
              <w:rPr>
                <w:rFonts w:ascii="宋体" w:hAnsi="宋体" w:cs="微软雅黑"/>
                <w:color w:val="auto"/>
                <w:szCs w:val="21"/>
              </w:rPr>
            </w:pPr>
            <w:r>
              <w:rPr>
                <w:rFonts w:hint="eastAsia" w:ascii="宋体" w:hAnsi="宋体" w:cs="微软雅黑"/>
                <w:color w:val="auto"/>
                <w:szCs w:val="21"/>
              </w:rPr>
              <w:t>19</w:t>
            </w:r>
          </w:p>
        </w:tc>
        <w:tc>
          <w:tcPr>
            <w:tcW w:w="3751" w:type="dxa"/>
            <w:gridSpan w:val="4"/>
            <w:vAlign w:val="center"/>
          </w:tcPr>
          <w:p>
            <w:pPr>
              <w:pStyle w:val="17"/>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中小企业声明函</w:t>
            </w:r>
          </w:p>
        </w:tc>
        <w:tc>
          <w:tcPr>
            <w:tcW w:w="1559" w:type="dxa"/>
            <w:vAlign w:val="center"/>
          </w:tcPr>
          <w:p>
            <w:pPr>
              <w:rPr>
                <w:color w:val="auto"/>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68" w:type="dxa"/>
            <w:vAlign w:val="center"/>
          </w:tcPr>
          <w:p>
            <w:pPr>
              <w:adjustRightInd w:val="0"/>
              <w:snapToGrid w:val="0"/>
              <w:spacing w:line="400" w:lineRule="exact"/>
              <w:textAlignment w:val="baseline"/>
              <w:rPr>
                <w:rFonts w:ascii="宋体" w:hAnsi="宋体" w:cs="微软雅黑"/>
                <w:color w:val="auto"/>
                <w:szCs w:val="21"/>
              </w:rPr>
            </w:pPr>
            <w:r>
              <w:rPr>
                <w:rFonts w:hint="eastAsia" w:ascii="宋体" w:hAnsi="宋体" w:cs="微软雅黑"/>
                <w:color w:val="auto"/>
                <w:szCs w:val="21"/>
              </w:rPr>
              <w:t>20</w:t>
            </w:r>
          </w:p>
        </w:tc>
        <w:tc>
          <w:tcPr>
            <w:tcW w:w="3751" w:type="dxa"/>
            <w:gridSpan w:val="4"/>
            <w:vAlign w:val="center"/>
          </w:tcPr>
          <w:p>
            <w:pPr>
              <w:pStyle w:val="17"/>
              <w:kinsoku w:val="0"/>
              <w:overflowPunct w:val="0"/>
              <w:autoSpaceDE w:val="0"/>
              <w:autoSpaceDN w:val="0"/>
              <w:spacing w:line="320" w:lineRule="exact"/>
              <w:rPr>
                <w:rFonts w:hAnsi="宋体" w:cs="微软雅黑"/>
                <w:bCs/>
                <w:color w:val="auto"/>
                <w:kern w:val="0"/>
              </w:rPr>
            </w:pPr>
            <w:r>
              <w:rPr>
                <w:rFonts w:hint="eastAsia" w:cs="仿宋_GB2312" w:asciiTheme="minorEastAsia" w:hAnsiTheme="minorEastAsia" w:eastAsiaTheme="minorEastAsia"/>
                <w:color w:val="auto"/>
                <w:szCs w:val="24"/>
                <w:lang w:val="zh-CN"/>
              </w:rPr>
              <w:t>残疾人福利性单位声明函</w:t>
            </w:r>
          </w:p>
        </w:tc>
        <w:tc>
          <w:tcPr>
            <w:tcW w:w="1559" w:type="dxa"/>
            <w:vAlign w:val="center"/>
          </w:tcPr>
          <w:p>
            <w:pPr>
              <w:rPr>
                <w:color w:val="auto"/>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68" w:type="dxa"/>
            <w:vAlign w:val="center"/>
          </w:tcPr>
          <w:p>
            <w:pPr>
              <w:adjustRightInd w:val="0"/>
              <w:snapToGrid w:val="0"/>
              <w:spacing w:line="400" w:lineRule="exact"/>
              <w:textAlignment w:val="baseline"/>
              <w:rPr>
                <w:rFonts w:ascii="宋体" w:hAnsi="宋体" w:cs="微软雅黑"/>
                <w:color w:val="auto"/>
                <w:szCs w:val="21"/>
              </w:rPr>
            </w:pPr>
            <w:r>
              <w:rPr>
                <w:rFonts w:hint="eastAsia" w:ascii="宋体" w:hAnsi="宋体" w:cs="微软雅黑"/>
                <w:color w:val="auto"/>
                <w:szCs w:val="21"/>
              </w:rPr>
              <w:t>21</w:t>
            </w:r>
          </w:p>
        </w:tc>
        <w:tc>
          <w:tcPr>
            <w:tcW w:w="3751" w:type="dxa"/>
            <w:gridSpan w:val="4"/>
            <w:vAlign w:val="center"/>
          </w:tcPr>
          <w:p>
            <w:pPr>
              <w:pStyle w:val="17"/>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监狱企业证明文件</w:t>
            </w:r>
          </w:p>
        </w:tc>
        <w:tc>
          <w:tcPr>
            <w:tcW w:w="1559" w:type="dxa"/>
            <w:vAlign w:val="center"/>
          </w:tcPr>
          <w:p>
            <w:pPr>
              <w:rPr>
                <w:color w:val="auto"/>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9" w:hRule="atLeast"/>
          <w:jc w:val="center"/>
        </w:trPr>
        <w:tc>
          <w:tcPr>
            <w:tcW w:w="468" w:type="dxa"/>
            <w:vAlign w:val="center"/>
          </w:tcPr>
          <w:p>
            <w:pPr>
              <w:adjustRightInd w:val="0"/>
              <w:snapToGrid w:val="0"/>
              <w:spacing w:line="400" w:lineRule="exact"/>
              <w:textAlignment w:val="baseline"/>
              <w:rPr>
                <w:rFonts w:ascii="宋体" w:hAnsi="宋体" w:cs="微软雅黑"/>
                <w:color w:val="auto"/>
                <w:szCs w:val="21"/>
              </w:rPr>
            </w:pPr>
            <w:r>
              <w:rPr>
                <w:rFonts w:hint="eastAsia" w:ascii="宋体" w:hAnsi="宋体" w:cs="微软雅黑"/>
                <w:color w:val="auto"/>
                <w:szCs w:val="21"/>
              </w:rPr>
              <w:t>22</w:t>
            </w:r>
          </w:p>
        </w:tc>
        <w:tc>
          <w:tcPr>
            <w:tcW w:w="1058" w:type="dxa"/>
            <w:gridSpan w:val="2"/>
            <w:vAlign w:val="center"/>
          </w:tcPr>
          <w:p>
            <w:pPr>
              <w:pStyle w:val="17"/>
              <w:kinsoku w:val="0"/>
              <w:overflowPunct w:val="0"/>
              <w:autoSpaceDE w:val="0"/>
              <w:autoSpaceDN w:val="0"/>
              <w:spacing w:line="320" w:lineRule="exact"/>
              <w:jc w:val="center"/>
              <w:rPr>
                <w:rFonts w:hAnsi="宋体" w:cs="微软雅黑"/>
                <w:bCs/>
                <w:color w:val="auto"/>
                <w:kern w:val="0"/>
              </w:rPr>
            </w:pPr>
            <w:r>
              <w:rPr>
                <w:rFonts w:hint="eastAsia" w:hAnsi="宋体" w:cs="微软雅黑"/>
                <w:bCs/>
                <w:color w:val="auto"/>
                <w:kern w:val="0"/>
              </w:rPr>
              <w:t>CCC强制性产品认证</w:t>
            </w:r>
          </w:p>
        </w:tc>
        <w:tc>
          <w:tcPr>
            <w:tcW w:w="2693" w:type="dxa"/>
            <w:gridSpan w:val="2"/>
            <w:vAlign w:val="center"/>
          </w:tcPr>
          <w:p>
            <w:pPr>
              <w:pStyle w:val="17"/>
              <w:kinsoku w:val="0"/>
              <w:overflowPunct w:val="0"/>
              <w:autoSpaceDE w:val="0"/>
              <w:autoSpaceDN w:val="0"/>
              <w:spacing w:line="320" w:lineRule="exact"/>
              <w:jc w:val="left"/>
              <w:rPr>
                <w:rFonts w:hAnsi="宋体" w:cs="微软雅黑"/>
                <w:bCs/>
                <w:color w:val="auto"/>
                <w:kern w:val="0"/>
              </w:rPr>
            </w:pPr>
            <w:r>
              <w:rPr>
                <w:rFonts w:hint="eastAsia" w:asciiTheme="majorEastAsia" w:hAnsiTheme="majorEastAsia" w:eastAsiaTheme="majorEastAsia" w:cstheme="majorEastAsia"/>
                <w:bCs/>
                <w:color w:val="auto"/>
                <w:szCs w:val="24"/>
                <w:lang w:val="zh-CN"/>
              </w:rPr>
              <w:t>所投产品符合国家强制性要求承诺函</w:t>
            </w:r>
          </w:p>
        </w:tc>
        <w:tc>
          <w:tcPr>
            <w:tcW w:w="1559" w:type="dxa"/>
            <w:vAlign w:val="center"/>
          </w:tcPr>
          <w:p>
            <w:pPr>
              <w:pStyle w:val="17"/>
              <w:rPr>
                <w:color w:val="auto"/>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68" w:type="dxa"/>
            <w:vMerge w:val="restart"/>
            <w:vAlign w:val="center"/>
          </w:tcPr>
          <w:p>
            <w:pPr>
              <w:adjustRightInd w:val="0"/>
              <w:snapToGrid w:val="0"/>
              <w:spacing w:line="400" w:lineRule="exact"/>
              <w:textAlignment w:val="baseline"/>
              <w:rPr>
                <w:rFonts w:ascii="宋体" w:hAnsi="宋体" w:cs="微软雅黑"/>
                <w:color w:val="auto"/>
                <w:szCs w:val="21"/>
              </w:rPr>
            </w:pPr>
            <w:r>
              <w:rPr>
                <w:rFonts w:hint="eastAsia" w:ascii="宋体" w:hAnsi="宋体" w:cs="微软雅黑"/>
                <w:color w:val="auto"/>
                <w:szCs w:val="21"/>
              </w:rPr>
              <w:t>23</w:t>
            </w:r>
          </w:p>
        </w:tc>
        <w:tc>
          <w:tcPr>
            <w:tcW w:w="1058" w:type="dxa"/>
            <w:gridSpan w:val="2"/>
            <w:vMerge w:val="restart"/>
            <w:vAlign w:val="center"/>
          </w:tcPr>
          <w:p>
            <w:pPr>
              <w:pStyle w:val="17"/>
              <w:kinsoku w:val="0"/>
              <w:overflowPunct w:val="0"/>
              <w:autoSpaceDE w:val="0"/>
              <w:autoSpaceDN w:val="0"/>
              <w:spacing w:line="320" w:lineRule="exact"/>
              <w:jc w:val="center"/>
              <w:rPr>
                <w:rFonts w:cs="宋体" w:asciiTheme="minorEastAsia" w:hAnsiTheme="minorEastAsia"/>
                <w:color w:val="auto"/>
                <w:kern w:val="0"/>
                <w:szCs w:val="24"/>
              </w:rPr>
            </w:pPr>
            <w:r>
              <w:rPr>
                <w:rFonts w:cs="宋体" w:asciiTheme="minorEastAsia" w:hAnsiTheme="minorEastAsia"/>
                <w:color w:val="auto"/>
                <w:kern w:val="0"/>
                <w:szCs w:val="24"/>
              </w:rPr>
              <w:t>信息安全产品强制性认证</w:t>
            </w:r>
          </w:p>
        </w:tc>
        <w:tc>
          <w:tcPr>
            <w:tcW w:w="2693" w:type="dxa"/>
            <w:gridSpan w:val="2"/>
            <w:vAlign w:val="center"/>
          </w:tcPr>
          <w:p>
            <w:pPr>
              <w:pStyle w:val="17"/>
              <w:kinsoku w:val="0"/>
              <w:overflowPunct w:val="0"/>
              <w:autoSpaceDE w:val="0"/>
              <w:autoSpaceDN w:val="0"/>
              <w:spacing w:line="320" w:lineRule="exact"/>
              <w:jc w:val="left"/>
              <w:rPr>
                <w:rFonts w:asciiTheme="majorEastAsia" w:hAnsiTheme="majorEastAsia" w:eastAsiaTheme="majorEastAsia" w:cstheme="majorEastAsia"/>
                <w:bCs/>
                <w:color w:val="auto"/>
                <w:szCs w:val="24"/>
                <w:lang w:val="zh-CN"/>
              </w:rPr>
            </w:pPr>
            <w:r>
              <w:rPr>
                <w:rFonts w:hint="eastAsia" w:cs="宋体" w:asciiTheme="minorEastAsia" w:hAnsiTheme="minorEastAsia"/>
                <w:color w:val="auto"/>
                <w:kern w:val="0"/>
                <w:szCs w:val="24"/>
              </w:rPr>
              <w:t>认证机构颁发的认证证书</w:t>
            </w:r>
          </w:p>
        </w:tc>
        <w:tc>
          <w:tcPr>
            <w:tcW w:w="1559" w:type="dxa"/>
            <w:vAlign w:val="center"/>
          </w:tcPr>
          <w:p>
            <w:pPr>
              <w:pStyle w:val="17"/>
              <w:rPr>
                <w:color w:val="auto"/>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68" w:type="dxa"/>
            <w:vMerge w:val="continue"/>
            <w:vAlign w:val="center"/>
          </w:tcPr>
          <w:p>
            <w:pPr>
              <w:adjustRightInd w:val="0"/>
              <w:snapToGrid w:val="0"/>
              <w:spacing w:line="400" w:lineRule="exact"/>
              <w:textAlignment w:val="baseline"/>
              <w:rPr>
                <w:rFonts w:ascii="宋体" w:hAnsi="宋体" w:cs="微软雅黑"/>
                <w:color w:val="auto"/>
                <w:szCs w:val="21"/>
              </w:rPr>
            </w:pPr>
          </w:p>
        </w:tc>
        <w:tc>
          <w:tcPr>
            <w:tcW w:w="1058" w:type="dxa"/>
            <w:gridSpan w:val="2"/>
            <w:vMerge w:val="continue"/>
            <w:vAlign w:val="center"/>
          </w:tcPr>
          <w:p>
            <w:pPr>
              <w:pStyle w:val="17"/>
              <w:kinsoku w:val="0"/>
              <w:overflowPunct w:val="0"/>
              <w:autoSpaceDE w:val="0"/>
              <w:autoSpaceDN w:val="0"/>
              <w:spacing w:line="320" w:lineRule="exact"/>
              <w:jc w:val="center"/>
              <w:rPr>
                <w:rFonts w:asciiTheme="majorEastAsia" w:hAnsiTheme="majorEastAsia" w:eastAsiaTheme="majorEastAsia" w:cstheme="majorEastAsia"/>
                <w:bCs/>
                <w:color w:val="auto"/>
                <w:szCs w:val="24"/>
                <w:lang w:val="zh-CN"/>
              </w:rPr>
            </w:pPr>
          </w:p>
        </w:tc>
        <w:tc>
          <w:tcPr>
            <w:tcW w:w="2693" w:type="dxa"/>
            <w:gridSpan w:val="2"/>
            <w:vAlign w:val="center"/>
          </w:tcPr>
          <w:p>
            <w:pPr>
              <w:pStyle w:val="17"/>
              <w:kinsoku w:val="0"/>
              <w:overflowPunct w:val="0"/>
              <w:autoSpaceDE w:val="0"/>
              <w:autoSpaceDN w:val="0"/>
              <w:spacing w:line="320" w:lineRule="exact"/>
              <w:jc w:val="left"/>
              <w:rPr>
                <w:rFonts w:asciiTheme="majorEastAsia" w:hAnsiTheme="majorEastAsia" w:eastAsiaTheme="majorEastAsia" w:cstheme="majorEastAsia"/>
                <w:bCs/>
                <w:color w:val="auto"/>
                <w:szCs w:val="24"/>
                <w:lang w:val="zh-CN"/>
              </w:rPr>
            </w:pPr>
            <w:r>
              <w:rPr>
                <w:rFonts w:hint="eastAsia" w:cs="宋体" w:asciiTheme="minorEastAsia" w:hAnsiTheme="minorEastAsia"/>
                <w:color w:val="auto"/>
                <w:kern w:val="0"/>
                <w:szCs w:val="24"/>
              </w:rPr>
              <w:t>中国信息安全认证中心官网产品查询结果截图</w:t>
            </w:r>
          </w:p>
        </w:tc>
        <w:tc>
          <w:tcPr>
            <w:tcW w:w="1559" w:type="dxa"/>
            <w:vAlign w:val="center"/>
          </w:tcPr>
          <w:p>
            <w:pPr>
              <w:pStyle w:val="17"/>
              <w:rPr>
                <w:color w:val="auto"/>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68" w:type="dxa"/>
            <w:vAlign w:val="center"/>
          </w:tcPr>
          <w:p>
            <w:pPr>
              <w:adjustRightInd w:val="0"/>
              <w:snapToGrid w:val="0"/>
              <w:spacing w:line="400" w:lineRule="exact"/>
              <w:textAlignment w:val="baseline"/>
              <w:rPr>
                <w:rFonts w:ascii="宋体" w:hAnsi="宋体" w:cs="微软雅黑"/>
                <w:color w:val="auto"/>
                <w:szCs w:val="21"/>
              </w:rPr>
            </w:pPr>
            <w:r>
              <w:rPr>
                <w:rFonts w:hint="eastAsia" w:ascii="宋体" w:hAnsi="宋体" w:cs="微软雅黑"/>
                <w:color w:val="auto"/>
                <w:szCs w:val="21"/>
              </w:rPr>
              <w:t>24</w:t>
            </w:r>
          </w:p>
        </w:tc>
        <w:tc>
          <w:tcPr>
            <w:tcW w:w="3751" w:type="dxa"/>
            <w:gridSpan w:val="4"/>
            <w:vAlign w:val="center"/>
          </w:tcPr>
          <w:p>
            <w:pPr>
              <w:pStyle w:val="17"/>
              <w:kinsoku w:val="0"/>
              <w:overflowPunct w:val="0"/>
              <w:autoSpaceDE w:val="0"/>
              <w:autoSpaceDN w:val="0"/>
              <w:spacing w:line="320" w:lineRule="exact"/>
              <w:rPr>
                <w:rFonts w:hAnsi="宋体" w:cs="微软雅黑"/>
                <w:bCs/>
                <w:color w:val="auto"/>
                <w:kern w:val="0"/>
              </w:rPr>
            </w:pPr>
            <w:r>
              <w:rPr>
                <w:rFonts w:hint="eastAsia" w:asciiTheme="minorEastAsia" w:hAnsiTheme="minorEastAsia"/>
                <w:color w:val="auto"/>
                <w:szCs w:val="21"/>
              </w:rPr>
              <w:t>投标承诺函</w:t>
            </w:r>
          </w:p>
        </w:tc>
        <w:tc>
          <w:tcPr>
            <w:tcW w:w="1559" w:type="dxa"/>
            <w:vAlign w:val="center"/>
          </w:tcPr>
          <w:p>
            <w:pPr>
              <w:rPr>
                <w:color w:val="auto"/>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68" w:type="dxa"/>
            <w:vAlign w:val="center"/>
          </w:tcPr>
          <w:p>
            <w:pPr>
              <w:adjustRightInd w:val="0"/>
              <w:snapToGrid w:val="0"/>
              <w:spacing w:line="400" w:lineRule="exact"/>
              <w:textAlignment w:val="baseline"/>
              <w:rPr>
                <w:rFonts w:ascii="宋体" w:hAnsi="宋体" w:cs="微软雅黑"/>
                <w:color w:val="auto"/>
                <w:szCs w:val="21"/>
              </w:rPr>
            </w:pPr>
            <w:r>
              <w:rPr>
                <w:rFonts w:hint="eastAsia" w:ascii="宋体" w:hAnsi="宋体" w:cs="微软雅黑"/>
                <w:color w:val="auto"/>
                <w:szCs w:val="21"/>
              </w:rPr>
              <w:t>25</w:t>
            </w:r>
          </w:p>
        </w:tc>
        <w:tc>
          <w:tcPr>
            <w:tcW w:w="3751" w:type="dxa"/>
            <w:gridSpan w:val="4"/>
            <w:vAlign w:val="center"/>
          </w:tcPr>
          <w:p>
            <w:pPr>
              <w:pStyle w:val="17"/>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其它资料</w:t>
            </w:r>
          </w:p>
        </w:tc>
        <w:tc>
          <w:tcPr>
            <w:tcW w:w="1559" w:type="dxa"/>
            <w:vAlign w:val="center"/>
          </w:tcPr>
          <w:p>
            <w:pPr>
              <w:rPr>
                <w:color w:val="auto"/>
              </w:rPr>
            </w:pPr>
          </w:p>
        </w:tc>
        <w:tc>
          <w:tcPr>
            <w:tcW w:w="1560" w:type="dxa"/>
            <w:vAlign w:val="center"/>
          </w:tcPr>
          <w:p>
            <w:pPr>
              <w:snapToGrid w:val="0"/>
              <w:spacing w:line="400" w:lineRule="exact"/>
              <w:rPr>
                <w:rFonts w:ascii="宋体" w:hAnsi="宋体" w:cs="微软雅黑"/>
                <w:color w:val="auto"/>
                <w:szCs w:val="21"/>
              </w:rPr>
            </w:pPr>
          </w:p>
        </w:tc>
        <w:tc>
          <w:tcPr>
            <w:tcW w:w="1707" w:type="dxa"/>
            <w:vAlign w:val="center"/>
          </w:tcPr>
          <w:p>
            <w:pPr>
              <w:snapToGrid w:val="0"/>
              <w:spacing w:line="400" w:lineRule="exact"/>
              <w:rPr>
                <w:rFonts w:ascii="宋体" w:hAnsi="宋体" w:cs="微软雅黑"/>
                <w:color w:val="auto"/>
                <w:szCs w:val="21"/>
              </w:rPr>
            </w:pPr>
          </w:p>
        </w:tc>
      </w:tr>
    </w:tbl>
    <w:p>
      <w:pPr>
        <w:autoSpaceDE w:val="0"/>
        <w:autoSpaceDN w:val="0"/>
        <w:adjustRightInd w:val="0"/>
        <w:spacing w:line="700" w:lineRule="exact"/>
        <w:ind w:firstLine="551"/>
        <w:jc w:val="center"/>
        <w:rPr>
          <w:rFonts w:cs="黑体" w:asciiTheme="minorEastAsia" w:hAnsiTheme="minorEastAsia"/>
          <w:b/>
          <w:bCs/>
          <w:color w:val="auto"/>
          <w:sz w:val="44"/>
          <w:szCs w:val="44"/>
          <w:lang w:val="zh-CN"/>
        </w:rPr>
      </w:pPr>
    </w:p>
    <w:p>
      <w:pPr>
        <w:pStyle w:val="2"/>
        <w:ind w:firstLine="340"/>
        <w:rPr>
          <w:color w:val="auto"/>
          <w:lang w:val="zh-CN"/>
        </w:rPr>
      </w:pPr>
    </w:p>
    <w:p>
      <w:pPr>
        <w:pStyle w:val="2"/>
        <w:ind w:firstLine="340"/>
        <w:rPr>
          <w:color w:val="auto"/>
          <w:lang w:val="zh-CN"/>
        </w:rPr>
      </w:pPr>
    </w:p>
    <w:p>
      <w:pPr>
        <w:pStyle w:val="2"/>
        <w:ind w:firstLine="340"/>
        <w:rPr>
          <w:color w:val="auto"/>
          <w:lang w:val="zh-CN"/>
        </w:rPr>
      </w:pPr>
    </w:p>
    <w:p>
      <w:pPr>
        <w:pStyle w:val="2"/>
        <w:ind w:firstLine="340"/>
        <w:rPr>
          <w:color w:val="auto"/>
          <w:lang w:val="zh-CN"/>
        </w:rPr>
      </w:pPr>
    </w:p>
    <w:p>
      <w:pPr>
        <w:pStyle w:val="2"/>
        <w:ind w:firstLine="340"/>
        <w:rPr>
          <w:color w:val="auto"/>
          <w:lang w:val="zh-CN"/>
        </w:rPr>
      </w:pPr>
    </w:p>
    <w:p>
      <w:pPr>
        <w:pStyle w:val="17"/>
        <w:spacing w:after="240" w:line="360" w:lineRule="auto"/>
        <w:jc w:val="center"/>
        <w:rPr>
          <w:rFonts w:asciiTheme="majorEastAsia" w:hAnsiTheme="majorEastAsia" w:eastAsiaTheme="majorEastAsia"/>
          <w:b/>
          <w:snapToGrid w:val="0"/>
          <w:color w:val="auto"/>
          <w:kern w:val="0"/>
          <w:sz w:val="36"/>
          <w:szCs w:val="36"/>
        </w:rPr>
      </w:pPr>
      <w:r>
        <w:rPr>
          <w:rFonts w:hint="eastAsia" w:asciiTheme="majorEastAsia" w:hAnsiTheme="majorEastAsia" w:eastAsiaTheme="majorEastAsia"/>
          <w:b/>
          <w:snapToGrid w:val="0"/>
          <w:color w:val="auto"/>
          <w:kern w:val="0"/>
          <w:sz w:val="36"/>
          <w:szCs w:val="36"/>
        </w:rPr>
        <w:t>二、开标一览表</w:t>
      </w:r>
    </w:p>
    <w:p>
      <w:pPr>
        <w:spacing w:before="50" w:after="156"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spacing w:line="360" w:lineRule="auto"/>
        <w:contextualSpacing/>
        <w:rPr>
          <w:rFonts w:asciiTheme="minorEastAsia" w:hAnsiTheme="minorEastAsia"/>
          <w:color w:val="auto"/>
          <w:sz w:val="24"/>
          <w:szCs w:val="24"/>
        </w:rPr>
      </w:pPr>
      <w:r>
        <w:rPr>
          <w:rFonts w:hint="eastAsia" w:asciiTheme="minorEastAsia" w:hAnsiTheme="minorEastAsia"/>
          <w:color w:val="auto"/>
          <w:sz w:val="24"/>
          <w:szCs w:val="24"/>
        </w:rPr>
        <w:t xml:space="preserve">项目名称：                                             </w:t>
      </w:r>
      <w:r>
        <w:rPr>
          <w:rFonts w:hint="eastAsia" w:cs="Arial" w:asciiTheme="minorEastAsia" w:hAnsiTheme="minorEastAsia"/>
          <w:color w:val="auto"/>
          <w:sz w:val="24"/>
          <w:szCs w:val="24"/>
        </w:rPr>
        <w:t>单位：元（人民币）</w:t>
      </w:r>
    </w:p>
    <w:tbl>
      <w:tblPr>
        <w:tblStyle w:val="26"/>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投标报价（/年）</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Cs w:val="21"/>
                <w:lang w:val="zh-CN"/>
              </w:rPr>
              <w:t>服务期限</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color w:val="auto"/>
                <w:sz w:val="24"/>
                <w:szCs w:val="24"/>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color w:val="auto"/>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color w:val="auto"/>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color w:val="auto"/>
                <w:sz w:val="24"/>
                <w:szCs w:val="24"/>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color w:val="auto"/>
                <w:sz w:val="24"/>
                <w:szCs w:val="24"/>
              </w:rPr>
            </w:pPr>
            <w:r>
              <w:rPr>
                <w:rFonts w:cs="Arial" w:asciiTheme="minorEastAsia" w:hAnsiTheme="minorEastAsia"/>
                <w:color w:val="auto"/>
                <w:sz w:val="24"/>
                <w:szCs w:val="24"/>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color w:val="auto"/>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color w:val="auto"/>
                <w:sz w:val="24"/>
                <w:szCs w:val="24"/>
                <w:lang w:val="zh-CN"/>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color w:val="auto"/>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color w:val="auto"/>
                <w:sz w:val="24"/>
                <w:szCs w:val="24"/>
                <w:lang w:val="zh-CN"/>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投标人名称（公章）：</w:t>
      </w:r>
      <w:r>
        <w:rPr>
          <w:rFonts w:hint="eastAsia" w:cs="宋体" w:asciiTheme="minorEastAsia" w:hAnsiTheme="minorEastAsia"/>
          <w:color w:val="auto"/>
          <w:sz w:val="24"/>
          <w:szCs w:val="24"/>
          <w:u w:val="single"/>
          <w:lang w:val="zh-CN"/>
        </w:rPr>
        <w:t xml:space="preserve">     （全称）  </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日期：    年   月   日</w:t>
      </w:r>
    </w:p>
    <w:p>
      <w:pPr>
        <w:autoSpaceDE w:val="0"/>
        <w:autoSpaceDN w:val="0"/>
        <w:adjustRightInd w:val="0"/>
        <w:spacing w:line="360" w:lineRule="auto"/>
        <w:rPr>
          <w:rFonts w:ascii="宋体" w:cs="宋体"/>
          <w:color w:val="auto"/>
          <w:sz w:val="24"/>
          <w:lang w:val="zh-CN"/>
        </w:rPr>
      </w:pPr>
    </w:p>
    <w:p>
      <w:pPr>
        <w:autoSpaceDE w:val="0"/>
        <w:autoSpaceDN w:val="0"/>
        <w:adjustRightInd w:val="0"/>
        <w:spacing w:line="480" w:lineRule="auto"/>
        <w:rPr>
          <w:rFonts w:cs="宋体" w:asciiTheme="minorEastAsia" w:hAnsiTheme="minorEastAsia"/>
          <w:color w:val="auto"/>
          <w:szCs w:val="21"/>
          <w:lang w:val="zh-CN"/>
        </w:rPr>
      </w:pPr>
    </w:p>
    <w:p>
      <w:pPr>
        <w:autoSpaceDE w:val="0"/>
        <w:autoSpaceDN w:val="0"/>
        <w:adjustRightInd w:val="0"/>
        <w:spacing w:line="360" w:lineRule="auto"/>
        <w:rPr>
          <w:rFonts w:ascii="宋体" w:cs="宋体"/>
          <w:color w:val="auto"/>
          <w:sz w:val="24"/>
          <w:lang w:val="zh-CN"/>
        </w:rPr>
      </w:pPr>
    </w:p>
    <w:p>
      <w:pPr>
        <w:autoSpaceDE w:val="0"/>
        <w:autoSpaceDN w:val="0"/>
        <w:adjustRightInd w:val="0"/>
        <w:spacing w:line="360" w:lineRule="auto"/>
        <w:rPr>
          <w:rFonts w:ascii="宋体" w:cs="宋体"/>
          <w:color w:val="auto"/>
          <w:sz w:val="24"/>
          <w:lang w:val="zh-CN"/>
        </w:rPr>
      </w:pPr>
    </w:p>
    <w:p>
      <w:pPr>
        <w:pStyle w:val="2"/>
        <w:ind w:firstLine="340"/>
        <w:rPr>
          <w:color w:val="auto"/>
          <w:lang w:val="zh-CN"/>
        </w:rPr>
      </w:pPr>
    </w:p>
    <w:p>
      <w:pPr>
        <w:pStyle w:val="2"/>
        <w:ind w:firstLine="340"/>
        <w:rPr>
          <w:color w:val="auto"/>
          <w:lang w:val="zh-CN"/>
        </w:rPr>
      </w:pPr>
    </w:p>
    <w:p>
      <w:pPr>
        <w:autoSpaceDE w:val="0"/>
        <w:autoSpaceDN w:val="0"/>
        <w:adjustRightInd w:val="0"/>
        <w:spacing w:line="360" w:lineRule="auto"/>
        <w:rPr>
          <w:rFonts w:ascii="宋体" w:cs="宋体"/>
          <w:color w:val="auto"/>
          <w:sz w:val="24"/>
          <w:lang w:val="zh-CN"/>
        </w:rPr>
      </w:pPr>
    </w:p>
    <w:p>
      <w:pPr>
        <w:autoSpaceDE w:val="0"/>
        <w:autoSpaceDN w:val="0"/>
        <w:adjustRightInd w:val="0"/>
        <w:spacing w:line="360" w:lineRule="auto"/>
        <w:rPr>
          <w:rFonts w:ascii="宋体" w:cs="宋体"/>
          <w:color w:val="auto"/>
          <w:sz w:val="24"/>
          <w:lang w:val="zh-CN"/>
        </w:rPr>
      </w:pPr>
    </w:p>
    <w:p>
      <w:pPr>
        <w:rPr>
          <w:rFonts w:ascii="宋体" w:cs="宋体"/>
          <w:color w:val="auto"/>
          <w:sz w:val="24"/>
          <w:lang w:val="zh-CN"/>
        </w:rPr>
      </w:pPr>
      <w:r>
        <w:rPr>
          <w:rFonts w:ascii="宋体" w:cs="宋体"/>
          <w:color w:val="auto"/>
          <w:sz w:val="24"/>
          <w:lang w:val="zh-CN"/>
        </w:rPr>
        <w:br w:type="page"/>
      </w:r>
    </w:p>
    <w:p>
      <w:pPr>
        <w:pStyle w:val="2"/>
        <w:rPr>
          <w:color w:val="auto"/>
          <w:lang w:val="zh-CN"/>
        </w:rPr>
      </w:pPr>
    </w:p>
    <w:p>
      <w:pPr>
        <w:pStyle w:val="17"/>
        <w:spacing w:after="240" w:line="360" w:lineRule="auto"/>
        <w:jc w:val="center"/>
        <w:rPr>
          <w:rFonts w:asciiTheme="majorEastAsia" w:hAnsiTheme="majorEastAsia" w:eastAsiaTheme="majorEastAsia"/>
          <w:b/>
          <w:snapToGrid w:val="0"/>
          <w:color w:val="auto"/>
          <w:kern w:val="0"/>
          <w:sz w:val="36"/>
          <w:szCs w:val="36"/>
        </w:rPr>
      </w:pPr>
      <w:r>
        <w:rPr>
          <w:rFonts w:hint="eastAsia" w:asciiTheme="majorEastAsia" w:hAnsiTheme="majorEastAsia" w:eastAsiaTheme="majorEastAsia"/>
          <w:b/>
          <w:snapToGrid w:val="0"/>
          <w:color w:val="auto"/>
          <w:kern w:val="0"/>
          <w:sz w:val="36"/>
          <w:szCs w:val="36"/>
        </w:rPr>
        <w:t>三、资格审查证明材料</w:t>
      </w:r>
    </w:p>
    <w:p>
      <w:pPr>
        <w:pStyle w:val="17"/>
        <w:spacing w:line="360" w:lineRule="auto"/>
        <w:jc w:val="center"/>
        <w:rPr>
          <w:rFonts w:asciiTheme="majorEastAsia" w:hAnsiTheme="majorEastAsia" w:eastAsiaTheme="majorEastAsia"/>
          <w:b/>
          <w:snapToGrid w:val="0"/>
          <w:color w:val="auto"/>
          <w:kern w:val="0"/>
          <w:sz w:val="36"/>
          <w:szCs w:val="36"/>
        </w:rPr>
      </w:pPr>
      <w:r>
        <w:rPr>
          <w:rFonts w:hint="eastAsia" w:asciiTheme="majorEastAsia" w:hAnsiTheme="majorEastAsia" w:eastAsiaTheme="majorEastAsia"/>
          <w:b/>
          <w:snapToGrid w:val="0"/>
          <w:color w:val="auto"/>
          <w:kern w:val="0"/>
          <w:sz w:val="36"/>
          <w:szCs w:val="36"/>
        </w:rPr>
        <w:t>3.1 投 标 函</w:t>
      </w:r>
    </w:p>
    <w:p>
      <w:pPr>
        <w:adjustRightInd w:val="0"/>
        <w:spacing w:line="336" w:lineRule="auto"/>
        <w:contextualSpacing/>
        <w:rPr>
          <w:rFonts w:asciiTheme="minorEastAsia" w:hAnsiTheme="minorEastAsia"/>
          <w:b/>
          <w:snapToGrid w:val="0"/>
          <w:color w:val="auto"/>
          <w:kern w:val="0"/>
          <w:sz w:val="24"/>
          <w:szCs w:val="24"/>
        </w:rPr>
      </w:pPr>
      <w:r>
        <w:rPr>
          <w:rFonts w:hint="eastAsia" w:asciiTheme="minorEastAsia" w:hAnsiTheme="minorEastAsia"/>
          <w:snapToGrid w:val="0"/>
          <w:color w:val="auto"/>
          <w:kern w:val="0"/>
          <w:sz w:val="24"/>
          <w:szCs w:val="24"/>
        </w:rPr>
        <w:t>致：__________</w:t>
      </w:r>
      <w:r>
        <w:rPr>
          <w:rFonts w:hint="eastAsia" w:asciiTheme="minorEastAsia" w:hAnsiTheme="minorEastAsia"/>
          <w:b/>
          <w:snapToGrid w:val="0"/>
          <w:color w:val="auto"/>
          <w:kern w:val="0"/>
          <w:sz w:val="24"/>
          <w:szCs w:val="24"/>
        </w:rPr>
        <w:t>（采购人）</w:t>
      </w:r>
    </w:p>
    <w:p>
      <w:pPr>
        <w:adjustRightInd w:val="0"/>
        <w:spacing w:line="336" w:lineRule="auto"/>
        <w:ind w:firstLine="480" w:firstLineChars="200"/>
        <w:contextualSpacing/>
        <w:outlineLvl w:val="0"/>
        <w:rPr>
          <w:rFonts w:asciiTheme="minorEastAsia" w:hAnsiTheme="minorEastAsia"/>
          <w:snapToGrid w:val="0"/>
          <w:color w:val="auto"/>
          <w:kern w:val="0"/>
          <w:sz w:val="24"/>
          <w:szCs w:val="24"/>
        </w:rPr>
      </w:pPr>
      <w:r>
        <w:rPr>
          <w:rFonts w:hint="eastAsia" w:asciiTheme="minorEastAsia" w:hAnsiTheme="minorEastAsia"/>
          <w:snapToGrid w:val="0"/>
          <w:color w:val="auto"/>
          <w:kern w:val="0"/>
          <w:sz w:val="24"/>
          <w:szCs w:val="24"/>
        </w:rPr>
        <w:t>根据贵方</w:t>
      </w:r>
      <w:r>
        <w:rPr>
          <w:rFonts w:hint="eastAsia" w:asciiTheme="minorEastAsia" w:hAnsiTheme="minorEastAsia"/>
          <w:snapToGrid w:val="0"/>
          <w:color w:val="auto"/>
          <w:kern w:val="0"/>
          <w:sz w:val="24"/>
          <w:szCs w:val="24"/>
          <w:u w:val="single"/>
        </w:rPr>
        <w:t xml:space="preserve">                     </w:t>
      </w:r>
      <w:r>
        <w:rPr>
          <w:rFonts w:hint="eastAsia" w:asciiTheme="minorEastAsia" w:hAnsiTheme="minorEastAsia"/>
          <w:snapToGrid w:val="0"/>
          <w:color w:val="auto"/>
          <w:kern w:val="0"/>
          <w:sz w:val="24"/>
          <w:szCs w:val="24"/>
        </w:rPr>
        <w:t>（项目名称、招标编号）采购的招标公告及投标邀请，</w:t>
      </w:r>
      <w:r>
        <w:rPr>
          <w:rFonts w:hint="eastAsia" w:asciiTheme="minorEastAsia" w:hAnsiTheme="minorEastAsia"/>
          <w:snapToGrid w:val="0"/>
          <w:color w:val="auto"/>
          <w:kern w:val="0"/>
          <w:sz w:val="24"/>
          <w:szCs w:val="24"/>
          <w:u w:val="single"/>
        </w:rPr>
        <w:t xml:space="preserve">         </w:t>
      </w:r>
      <w:r>
        <w:rPr>
          <w:rFonts w:hint="eastAsia" w:asciiTheme="minorEastAsia" w:hAnsiTheme="minorEastAsia"/>
          <w:snapToGrid w:val="0"/>
          <w:color w:val="auto"/>
          <w:kern w:val="0"/>
          <w:sz w:val="24"/>
          <w:szCs w:val="24"/>
        </w:rPr>
        <w:t>（姓名、职务）被正式授权并代表投标人</w:t>
      </w:r>
      <w:r>
        <w:rPr>
          <w:rFonts w:hint="eastAsia" w:asciiTheme="minorEastAsia" w:hAnsiTheme="minorEastAsia"/>
          <w:snapToGrid w:val="0"/>
          <w:color w:val="auto"/>
          <w:kern w:val="0"/>
          <w:sz w:val="24"/>
          <w:szCs w:val="24"/>
          <w:u w:val="single"/>
        </w:rPr>
        <w:t xml:space="preserve">          </w:t>
      </w:r>
      <w:r>
        <w:rPr>
          <w:rFonts w:hint="eastAsia" w:asciiTheme="minorEastAsia" w:hAnsiTheme="minorEastAsia"/>
          <w:snapToGrid w:val="0"/>
          <w:color w:val="auto"/>
          <w:kern w:val="0"/>
          <w:sz w:val="24"/>
          <w:szCs w:val="24"/>
        </w:rPr>
        <w:t>（投标人名称、地址）提交。</w:t>
      </w:r>
    </w:p>
    <w:p>
      <w:pPr>
        <w:pStyle w:val="17"/>
        <w:adjustRightInd w:val="0"/>
        <w:spacing w:line="336" w:lineRule="auto"/>
        <w:ind w:firstLine="480" w:firstLineChars="200"/>
        <w:contextualSpacing/>
        <w:rPr>
          <w:rFonts w:asciiTheme="minorEastAsia" w:hAnsiTheme="minorEastAsia" w:eastAsiaTheme="minorEastAsia"/>
          <w:snapToGrid w:val="0"/>
          <w:color w:val="auto"/>
          <w:kern w:val="0"/>
          <w:szCs w:val="24"/>
        </w:rPr>
      </w:pPr>
      <w:r>
        <w:rPr>
          <w:rFonts w:hint="eastAsia" w:asciiTheme="minorEastAsia" w:hAnsiTheme="minorEastAsia" w:eastAsiaTheme="minorEastAsia"/>
          <w:snapToGrid w:val="0"/>
          <w:color w:val="auto"/>
          <w:kern w:val="0"/>
          <w:szCs w:val="24"/>
        </w:rPr>
        <w:t>我方确认收到贵方提供的</w:t>
      </w:r>
      <w:r>
        <w:rPr>
          <w:rFonts w:hint="eastAsia" w:asciiTheme="minorEastAsia" w:hAnsiTheme="minorEastAsia"/>
          <w:snapToGrid w:val="0"/>
          <w:color w:val="auto"/>
          <w:kern w:val="0"/>
          <w:szCs w:val="24"/>
          <w:u w:val="single"/>
        </w:rPr>
        <w:t xml:space="preserve">           </w:t>
      </w:r>
      <w:r>
        <w:rPr>
          <w:rFonts w:hint="eastAsia" w:asciiTheme="minorEastAsia" w:hAnsiTheme="minorEastAsia" w:eastAsiaTheme="minorEastAsia"/>
          <w:snapToGrid w:val="0"/>
          <w:color w:val="auto"/>
          <w:kern w:val="0"/>
          <w:szCs w:val="24"/>
        </w:rPr>
        <w:t>（项目名称、招标编号）招标文件的全部内容。</w:t>
      </w:r>
    </w:p>
    <w:p>
      <w:pPr>
        <w:pStyle w:val="17"/>
        <w:adjustRightInd w:val="0"/>
        <w:spacing w:line="336" w:lineRule="auto"/>
        <w:ind w:firstLine="480" w:firstLineChars="200"/>
        <w:contextualSpacing/>
        <w:rPr>
          <w:rFonts w:asciiTheme="minorEastAsia" w:hAnsiTheme="minorEastAsia" w:eastAsiaTheme="minorEastAsia"/>
          <w:snapToGrid w:val="0"/>
          <w:color w:val="auto"/>
          <w:kern w:val="0"/>
          <w:szCs w:val="24"/>
        </w:rPr>
      </w:pPr>
      <w:r>
        <w:rPr>
          <w:rFonts w:hint="eastAsia" w:asciiTheme="minorEastAsia" w:hAnsiTheme="minorEastAsia" w:eastAsiaTheme="minorEastAsia"/>
          <w:snapToGrid w:val="0"/>
          <w:color w:val="auto"/>
          <w:kern w:val="0"/>
          <w:szCs w:val="24"/>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color w:val="auto"/>
          <w:szCs w:val="24"/>
        </w:rPr>
        <w:t>已完全理解并接受招标文件的各项规定和要求及资金支付规定，对招标文件的合理性、合法性不再有异议。</w:t>
      </w:r>
    </w:p>
    <w:p>
      <w:pPr>
        <w:adjustRightInd w:val="0"/>
        <w:spacing w:line="336" w:lineRule="auto"/>
        <w:ind w:firstLine="480" w:firstLineChars="200"/>
        <w:contextualSpacing/>
        <w:rPr>
          <w:rFonts w:asciiTheme="minorEastAsia" w:hAnsiTheme="minorEastAsia"/>
          <w:snapToGrid w:val="0"/>
          <w:color w:val="auto"/>
          <w:kern w:val="0"/>
          <w:sz w:val="24"/>
          <w:szCs w:val="24"/>
        </w:rPr>
      </w:pPr>
      <w:r>
        <w:rPr>
          <w:rFonts w:hint="eastAsia" w:asciiTheme="minorEastAsia" w:hAnsiTheme="minorEastAsia"/>
          <w:i/>
          <w:snapToGrid w:val="0"/>
          <w:color w:val="auto"/>
          <w:kern w:val="0"/>
          <w:sz w:val="24"/>
          <w:szCs w:val="24"/>
          <w:u w:val="single"/>
        </w:rPr>
        <w:t xml:space="preserve">(投标人名称)     </w:t>
      </w:r>
      <w:r>
        <w:rPr>
          <w:rFonts w:hint="eastAsia" w:asciiTheme="minorEastAsia" w:hAnsiTheme="minorEastAsia"/>
          <w:snapToGrid w:val="0"/>
          <w:color w:val="auto"/>
          <w:kern w:val="0"/>
          <w:sz w:val="24"/>
          <w:szCs w:val="24"/>
        </w:rPr>
        <w:t>作为投标人正式授权</w:t>
      </w:r>
      <w:r>
        <w:rPr>
          <w:rFonts w:hint="eastAsia" w:asciiTheme="minorEastAsia" w:hAnsiTheme="minorEastAsia"/>
          <w:i/>
          <w:snapToGrid w:val="0"/>
          <w:color w:val="auto"/>
          <w:kern w:val="0"/>
          <w:sz w:val="24"/>
          <w:szCs w:val="24"/>
          <w:u w:val="single"/>
        </w:rPr>
        <w:t xml:space="preserve">(授权代表全名, 职务)       </w:t>
      </w:r>
      <w:r>
        <w:rPr>
          <w:rFonts w:hint="eastAsia" w:asciiTheme="minorEastAsia" w:hAnsiTheme="minorEastAsia"/>
          <w:snapToGrid w:val="0"/>
          <w:color w:val="auto"/>
          <w:kern w:val="0"/>
          <w:sz w:val="24"/>
          <w:szCs w:val="24"/>
        </w:rPr>
        <w:t>代表我方全权处理有关本投标的一切事宜。</w:t>
      </w:r>
    </w:p>
    <w:p>
      <w:pPr>
        <w:adjustRightInd w:val="0"/>
        <w:spacing w:line="336" w:lineRule="auto"/>
        <w:ind w:firstLine="480" w:firstLineChars="200"/>
        <w:contextualSpacing/>
        <w:rPr>
          <w:rFonts w:asciiTheme="minorEastAsia" w:hAnsiTheme="minorEastAsia"/>
          <w:snapToGrid w:val="0"/>
          <w:color w:val="auto"/>
          <w:kern w:val="0"/>
          <w:sz w:val="24"/>
          <w:szCs w:val="24"/>
        </w:rPr>
      </w:pPr>
      <w:r>
        <w:rPr>
          <w:rFonts w:hint="eastAsia" w:asciiTheme="minorEastAsia" w:hAnsiTheme="minorEastAsia"/>
          <w:snapToGrid w:val="0"/>
          <w:color w:val="auto"/>
          <w:kern w:val="0"/>
          <w:sz w:val="24"/>
          <w:szCs w:val="24"/>
        </w:rPr>
        <w:t>在此提交的投标文件，正本一份，副本_____份。</w:t>
      </w:r>
    </w:p>
    <w:p>
      <w:pPr>
        <w:adjustRightInd w:val="0"/>
        <w:spacing w:line="336" w:lineRule="auto"/>
        <w:ind w:firstLine="480" w:firstLineChars="200"/>
        <w:contextualSpacing/>
        <w:rPr>
          <w:rFonts w:cs="Courier New" w:asciiTheme="minorEastAsia" w:hAnsiTheme="minorEastAsia"/>
          <w:color w:val="auto"/>
          <w:sz w:val="24"/>
          <w:szCs w:val="24"/>
        </w:rPr>
      </w:pPr>
      <w:r>
        <w:rPr>
          <w:rFonts w:hint="eastAsia" w:cs="Courier New" w:asciiTheme="minorEastAsia" w:hAnsiTheme="minorEastAsia"/>
          <w:color w:val="auto"/>
          <w:sz w:val="24"/>
          <w:szCs w:val="24"/>
        </w:rPr>
        <w:t>我方已完全明白招标文件的所有条款要求，并申明如下：</w:t>
      </w:r>
    </w:p>
    <w:p>
      <w:pPr>
        <w:adjustRightInd w:val="0"/>
        <w:spacing w:line="336" w:lineRule="auto"/>
        <w:ind w:firstLine="480" w:firstLineChars="200"/>
        <w:contextualSpacing/>
        <w:rPr>
          <w:rFonts w:cs="Courier New" w:asciiTheme="minorEastAsia" w:hAnsiTheme="minorEastAsia"/>
          <w:color w:val="auto"/>
          <w:sz w:val="24"/>
          <w:szCs w:val="24"/>
        </w:rPr>
      </w:pPr>
      <w:r>
        <w:rPr>
          <w:rFonts w:hint="eastAsia" w:cs="Courier New" w:asciiTheme="minorEastAsia" w:hAnsiTheme="minorEastAsia"/>
          <w:color w:val="auto"/>
          <w:sz w:val="24"/>
          <w:szCs w:val="24"/>
        </w:rPr>
        <w:t>一、按招标文件提供的全部货物与相关服务的投标总价详见《开标一览表》。</w:t>
      </w:r>
    </w:p>
    <w:p>
      <w:pPr>
        <w:adjustRightInd w:val="0"/>
        <w:spacing w:line="336" w:lineRule="auto"/>
        <w:ind w:firstLine="480" w:firstLineChars="200"/>
        <w:contextualSpacing/>
        <w:rPr>
          <w:rFonts w:cs="Courier New" w:asciiTheme="minorEastAsia" w:hAnsiTheme="minorEastAsia"/>
          <w:color w:val="auto"/>
          <w:sz w:val="24"/>
          <w:szCs w:val="24"/>
        </w:rPr>
      </w:pPr>
      <w:r>
        <w:rPr>
          <w:rFonts w:hint="eastAsia" w:cs="Courier New" w:asciiTheme="minorEastAsia" w:hAnsiTheme="minorEastAsia"/>
          <w:color w:val="auto"/>
          <w:sz w:val="24"/>
          <w:szCs w:val="24"/>
        </w:rPr>
        <w:t>二、本投标文件的有效期为投标截止时间起</w:t>
      </w:r>
      <w:r>
        <w:rPr>
          <w:rFonts w:hint="eastAsia" w:asciiTheme="minorEastAsia" w:hAnsiTheme="minorEastAsia"/>
          <w:snapToGrid w:val="0"/>
          <w:color w:val="auto"/>
          <w:kern w:val="0"/>
          <w:sz w:val="24"/>
          <w:szCs w:val="24"/>
        </w:rPr>
        <w:t>___</w:t>
      </w:r>
      <w:r>
        <w:rPr>
          <w:rFonts w:hint="eastAsia" w:asciiTheme="minorEastAsia" w:hAnsiTheme="minorEastAsia"/>
          <w:snapToGrid w:val="0"/>
          <w:color w:val="auto"/>
          <w:kern w:val="0"/>
          <w:sz w:val="24"/>
          <w:szCs w:val="24"/>
          <w:u w:val="single"/>
        </w:rPr>
        <w:t>__</w:t>
      </w:r>
      <w:r>
        <w:rPr>
          <w:rFonts w:hint="eastAsia" w:cs="Courier New" w:asciiTheme="minorEastAsia" w:hAnsiTheme="minorEastAsia"/>
          <w:color w:val="auto"/>
          <w:sz w:val="24"/>
          <w:szCs w:val="24"/>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5"/>
        <w:adjustRightInd w:val="0"/>
        <w:spacing w:line="336" w:lineRule="auto"/>
        <w:ind w:firstLine="480" w:firstLineChars="200"/>
        <w:contextualSpacing/>
        <w:rPr>
          <w:rFonts w:cs="Courier New" w:asciiTheme="minorEastAsia" w:hAnsiTheme="minorEastAsia" w:eastAsiaTheme="minorEastAsia"/>
          <w:color w:val="auto"/>
        </w:rPr>
      </w:pPr>
      <w:r>
        <w:rPr>
          <w:rFonts w:hint="eastAsia" w:cs="Courier New" w:asciiTheme="minorEastAsia" w:hAnsiTheme="minorEastAsia" w:eastAsiaTheme="minorEastAsia"/>
          <w:color w:val="auto"/>
        </w:rPr>
        <w:t>三、我方同意按照贵方可能提出的要求而提供与投标有关的任何其它数据、信息或资料。</w:t>
      </w:r>
    </w:p>
    <w:p>
      <w:pPr>
        <w:pStyle w:val="25"/>
        <w:adjustRightInd w:val="0"/>
        <w:spacing w:line="336" w:lineRule="auto"/>
        <w:ind w:firstLine="480" w:firstLineChars="200"/>
        <w:contextualSpacing/>
        <w:rPr>
          <w:rFonts w:cs="Courier New" w:asciiTheme="minorEastAsia" w:hAnsiTheme="minorEastAsia" w:eastAsiaTheme="minorEastAsia"/>
          <w:color w:val="auto"/>
        </w:rPr>
      </w:pPr>
      <w:r>
        <w:rPr>
          <w:rFonts w:hint="eastAsia" w:cs="Courier New" w:asciiTheme="minorEastAsia" w:hAnsiTheme="minorEastAsia" w:eastAsiaTheme="minorEastAsia"/>
          <w:color w:val="auto"/>
        </w:rPr>
        <w:t>四、我方理解贵方不一定接受最低投标价或任何贵方可能收到的投标。</w:t>
      </w:r>
    </w:p>
    <w:p>
      <w:pPr>
        <w:pStyle w:val="25"/>
        <w:adjustRightInd w:val="0"/>
        <w:spacing w:line="336" w:lineRule="auto"/>
        <w:ind w:firstLine="480" w:firstLineChars="200"/>
        <w:contextualSpacing/>
        <w:rPr>
          <w:rFonts w:cs="Courier New" w:asciiTheme="minorEastAsia" w:hAnsiTheme="minorEastAsia" w:eastAsiaTheme="minorEastAsia"/>
          <w:color w:val="auto"/>
        </w:rPr>
      </w:pPr>
      <w:r>
        <w:rPr>
          <w:rFonts w:hint="eastAsia" w:cs="Courier New" w:asciiTheme="minorEastAsia" w:hAnsiTheme="minorEastAsia" w:eastAsiaTheme="minorEastAsia"/>
          <w:color w:val="auto"/>
        </w:rPr>
        <w:t>五、我方如果中标，将保证履行招标文件及其澄清、修改文件（如果有）中的全部责任和义务，按质、按量、按期完成《项目需求》及《合同书》中的全部任务。</w:t>
      </w:r>
    </w:p>
    <w:p>
      <w:pPr>
        <w:pStyle w:val="25"/>
        <w:adjustRightInd w:val="0"/>
        <w:spacing w:line="336" w:lineRule="auto"/>
        <w:ind w:firstLine="480" w:firstLineChars="200"/>
        <w:contextualSpacing/>
        <w:rPr>
          <w:rFonts w:cs="宋体" w:asciiTheme="minorEastAsia" w:hAnsiTheme="minorEastAsia" w:eastAsiaTheme="minorEastAsia"/>
          <w:color w:val="auto"/>
        </w:rPr>
      </w:pPr>
      <w:r>
        <w:rPr>
          <w:rFonts w:hint="eastAsia" w:cs="Courier New" w:asciiTheme="minorEastAsia" w:hAnsiTheme="minorEastAsia" w:eastAsiaTheme="minorEastAsia"/>
          <w:color w:val="auto"/>
        </w:rPr>
        <w:t>六、我方在此保证所提交的所有文件和全部说明是真实的和正确的。</w:t>
      </w:r>
    </w:p>
    <w:p>
      <w:pPr>
        <w:pStyle w:val="17"/>
        <w:adjustRightInd w:val="0"/>
        <w:spacing w:line="336" w:lineRule="auto"/>
        <w:ind w:firstLine="480" w:firstLineChars="200"/>
        <w:contextualSpacing/>
        <w:rPr>
          <w:rFonts w:asciiTheme="minorEastAsia" w:hAnsiTheme="minorEastAsia" w:eastAsiaTheme="minorEastAsia"/>
          <w:color w:val="auto"/>
          <w:szCs w:val="24"/>
        </w:rPr>
      </w:pPr>
      <w:r>
        <w:rPr>
          <w:rFonts w:hint="eastAsia" w:asciiTheme="minorEastAsia" w:hAnsiTheme="minorEastAsia" w:eastAsiaTheme="minorEastAsia"/>
          <w:color w:val="auto"/>
          <w:szCs w:val="24"/>
        </w:rPr>
        <w:t xml:space="preserve">七、我方投标报价已包含应向知识产权所有权人支付的所有相关税费，并保证采购人在中国使用我方提供的货物时，如有第三方提出侵犯其知识产权主张的，责任由我方承担。 </w:t>
      </w:r>
    </w:p>
    <w:p>
      <w:pPr>
        <w:pStyle w:val="17"/>
        <w:adjustRightInd w:val="0"/>
        <w:spacing w:line="336" w:lineRule="auto"/>
        <w:ind w:firstLine="480" w:firstLineChars="200"/>
        <w:contextualSpacing/>
        <w:rPr>
          <w:rFonts w:cs="Arial" w:asciiTheme="minorEastAsia" w:hAnsiTheme="minorEastAsia" w:eastAsiaTheme="minorEastAsia"/>
          <w:color w:val="auto"/>
          <w:szCs w:val="24"/>
        </w:rPr>
      </w:pPr>
      <w:r>
        <w:rPr>
          <w:rFonts w:hint="eastAsia" w:cs="Arial" w:asciiTheme="minorEastAsia" w:hAnsiTheme="minorEastAsia" w:eastAsiaTheme="minorEastAsia"/>
          <w:color w:val="auto"/>
          <w:szCs w:val="24"/>
        </w:rPr>
        <w:t>八、我方具备《政府采购法》第二十二条规定的条件；承诺如下：</w:t>
      </w:r>
    </w:p>
    <w:p>
      <w:pPr>
        <w:pStyle w:val="17"/>
        <w:adjustRightInd w:val="0"/>
        <w:spacing w:line="336" w:lineRule="auto"/>
        <w:ind w:firstLine="480" w:firstLineChars="200"/>
        <w:contextualSpacing/>
        <w:rPr>
          <w:rFonts w:cs="Arial" w:asciiTheme="minorEastAsia" w:hAnsiTheme="minorEastAsia" w:eastAsiaTheme="minorEastAsia"/>
          <w:color w:val="auto"/>
          <w:szCs w:val="24"/>
        </w:rPr>
      </w:pPr>
      <w:r>
        <w:rPr>
          <w:rFonts w:hint="eastAsia" w:cs="Arial" w:asciiTheme="minorEastAsia" w:hAnsiTheme="minorEastAsia" w:eastAsiaTheme="minorEastAsia"/>
          <w:color w:val="auto"/>
          <w:szCs w:val="24"/>
        </w:rPr>
        <w:t>（1）具有独立承担民事责任能力的在中华人民共和国境内注册的法人或其他组织或自然人，有效的营业执照（或事业法人登记证或身份证等相关证明）。</w:t>
      </w:r>
    </w:p>
    <w:p>
      <w:pPr>
        <w:adjustRightInd w:val="0"/>
        <w:spacing w:line="336"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（2）我方已依法缴纳了各项税费及社会保险费用，如有需要，可随时向采购人提供近三个月内的相关缴费证明，以便核查。</w:t>
      </w:r>
    </w:p>
    <w:p>
      <w:pPr>
        <w:adjustRightInd w:val="0"/>
        <w:spacing w:line="336"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（3）我方已依法建立健全的财务会计制度，如有需要，可随时向采购人提供相关证明材料，以便核查。</w:t>
      </w:r>
    </w:p>
    <w:p>
      <w:pPr>
        <w:adjustRightInd w:val="0"/>
        <w:spacing w:line="336"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（4）参加政府采购活动前三年内，在经营活动中没有重大违法记录。</w:t>
      </w:r>
    </w:p>
    <w:p>
      <w:pPr>
        <w:adjustRightInd w:val="0"/>
        <w:spacing w:line="336"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（5）符合法律、行政法规规定的其他条件。</w:t>
      </w:r>
    </w:p>
    <w:p>
      <w:pPr>
        <w:adjustRightInd w:val="0"/>
        <w:spacing w:line="336" w:lineRule="auto"/>
        <w:ind w:firstLine="504" w:firstLineChars="210"/>
        <w:contextualSpacing/>
        <w:rPr>
          <w:rFonts w:cs="Arial" w:asciiTheme="minorEastAsia" w:hAnsiTheme="minorEastAsia"/>
          <w:color w:val="auto"/>
          <w:sz w:val="24"/>
          <w:szCs w:val="24"/>
        </w:rPr>
      </w:pPr>
      <w:r>
        <w:rPr>
          <w:rFonts w:hint="eastAsia" w:cs="宋体" w:asciiTheme="minorEastAsia" w:hAnsiTheme="minorEastAsia"/>
          <w:color w:val="auto"/>
          <w:sz w:val="24"/>
          <w:szCs w:val="24"/>
        </w:rPr>
        <w:t>以上内容如有虚假或与事实不符的，评审委员会可将</w:t>
      </w:r>
      <w:r>
        <w:rPr>
          <w:rFonts w:hint="eastAsia" w:cs="Arial" w:asciiTheme="minorEastAsia" w:hAnsiTheme="minorEastAsia"/>
          <w:color w:val="auto"/>
          <w:sz w:val="24"/>
          <w:szCs w:val="24"/>
        </w:rPr>
        <w:t>我方做无效投标处理，我方愿意承担相应的法律责任。</w:t>
      </w:r>
    </w:p>
    <w:p>
      <w:pPr>
        <w:pStyle w:val="17"/>
        <w:adjustRightInd w:val="0"/>
        <w:spacing w:line="336" w:lineRule="auto"/>
        <w:ind w:firstLine="480" w:firstLineChars="200"/>
        <w:contextualSpacing/>
        <w:rPr>
          <w:rFonts w:asciiTheme="minorEastAsia" w:hAnsiTheme="minorEastAsia" w:eastAsiaTheme="minorEastAsia"/>
          <w:color w:val="auto"/>
          <w:szCs w:val="24"/>
        </w:rPr>
      </w:pPr>
      <w:r>
        <w:rPr>
          <w:rFonts w:hint="eastAsia" w:asciiTheme="minorEastAsia" w:hAnsiTheme="minorEastAsia" w:eastAsiaTheme="minorEastAsia"/>
          <w:color w:val="auto"/>
          <w:szCs w:val="24"/>
        </w:rPr>
        <w:t>九、我方具备履行合同所必需的设备和专业技术能力。</w:t>
      </w:r>
    </w:p>
    <w:p>
      <w:pPr>
        <w:pStyle w:val="17"/>
        <w:adjustRightInd w:val="0"/>
        <w:spacing w:line="336" w:lineRule="auto"/>
        <w:ind w:firstLine="480" w:firstLineChars="200"/>
        <w:contextualSpacing/>
        <w:rPr>
          <w:rFonts w:asciiTheme="minorEastAsia" w:hAnsiTheme="minorEastAsia" w:eastAsiaTheme="minorEastAsia"/>
          <w:color w:val="auto"/>
          <w:szCs w:val="24"/>
        </w:rPr>
      </w:pPr>
      <w:r>
        <w:rPr>
          <w:rFonts w:hint="eastAsia" w:asciiTheme="minorEastAsia" w:hAnsiTheme="minorEastAsia" w:eastAsiaTheme="minorEastAsia"/>
          <w:snapToGrid w:val="0"/>
          <w:color w:val="auto"/>
          <w:kern w:val="0"/>
          <w:szCs w:val="24"/>
        </w:rPr>
        <w:t>十、</w:t>
      </w:r>
      <w:r>
        <w:rPr>
          <w:rFonts w:hint="eastAsia" w:asciiTheme="minorEastAsia" w:hAnsiTheme="minorEastAsia" w:eastAsiaTheme="minorEastAsia"/>
          <w:color w:val="auto"/>
          <w:szCs w:val="24"/>
        </w:rPr>
        <w:t>我方对在本函及投标文件中所作的所有承诺承担法律责任。</w:t>
      </w:r>
    </w:p>
    <w:p>
      <w:pPr>
        <w:pStyle w:val="17"/>
        <w:adjustRightInd w:val="0"/>
        <w:snapToGrid w:val="0"/>
        <w:spacing w:line="360" w:lineRule="auto"/>
        <w:rPr>
          <w:rFonts w:asciiTheme="minorEastAsia" w:hAnsiTheme="minorEastAsia" w:eastAsiaTheme="minorEastAsia"/>
          <w:color w:val="auto"/>
          <w:szCs w:val="24"/>
        </w:rPr>
      </w:pPr>
    </w:p>
    <w:p>
      <w:pPr>
        <w:pStyle w:val="17"/>
        <w:adjustRightInd w:val="0"/>
        <w:snapToGrid w:val="0"/>
        <w:spacing w:line="360" w:lineRule="auto"/>
        <w:rPr>
          <w:rFonts w:asciiTheme="minorEastAsia" w:hAnsiTheme="minorEastAsia" w:eastAsiaTheme="minorEastAsia"/>
          <w:color w:val="auto"/>
          <w:szCs w:val="24"/>
        </w:rPr>
      </w:pPr>
      <w:r>
        <w:rPr>
          <w:rFonts w:hint="eastAsia" w:asciiTheme="minorEastAsia" w:hAnsiTheme="minorEastAsia" w:eastAsiaTheme="minorEastAsia"/>
          <w:color w:val="auto"/>
          <w:szCs w:val="24"/>
        </w:rPr>
        <w:t>所有与本招标有关的一切正式往来请寄：</w:t>
      </w:r>
    </w:p>
    <w:p>
      <w:pPr>
        <w:adjustRightInd w:val="0"/>
        <w:snapToGrid w:val="0"/>
        <w:spacing w:line="360" w:lineRule="auto"/>
        <w:rPr>
          <w:rFonts w:cs="宋体" w:asciiTheme="minorEastAsia" w:hAnsiTheme="minorEastAsia"/>
          <w:color w:val="auto"/>
          <w:sz w:val="24"/>
          <w:szCs w:val="24"/>
        </w:rPr>
      </w:pPr>
      <w:r>
        <w:rPr>
          <w:rFonts w:hint="eastAsia" w:cs="宋体" w:asciiTheme="minorEastAsia" w:hAnsiTheme="minorEastAsia"/>
          <w:color w:val="auto"/>
          <w:sz w:val="24"/>
          <w:szCs w:val="24"/>
        </w:rPr>
        <w:t>地    址：</w:t>
      </w:r>
      <w:r>
        <w:rPr>
          <w:rFonts w:hint="eastAsia" w:asciiTheme="minorEastAsia" w:hAnsiTheme="minorEastAsia"/>
          <w:snapToGrid w:val="0"/>
          <w:color w:val="auto"/>
          <w:kern w:val="0"/>
          <w:sz w:val="24"/>
          <w:szCs w:val="24"/>
        </w:rPr>
        <w:t>____________________</w:t>
      </w:r>
      <w:r>
        <w:rPr>
          <w:rFonts w:hint="eastAsia" w:cs="宋体" w:asciiTheme="minorEastAsia" w:hAnsiTheme="minorEastAsia"/>
          <w:color w:val="auto"/>
          <w:sz w:val="24"/>
          <w:szCs w:val="24"/>
        </w:rPr>
        <w:t xml:space="preserve">     邮政编码：</w:t>
      </w:r>
      <w:r>
        <w:rPr>
          <w:rFonts w:hint="eastAsia" w:asciiTheme="minorEastAsia" w:hAnsiTheme="minorEastAsia"/>
          <w:snapToGrid w:val="0"/>
          <w:color w:val="auto"/>
          <w:kern w:val="0"/>
          <w:sz w:val="24"/>
          <w:szCs w:val="24"/>
        </w:rPr>
        <w:t>_______________</w:t>
      </w:r>
    </w:p>
    <w:p>
      <w:pPr>
        <w:adjustRightInd w:val="0"/>
        <w:snapToGrid w:val="0"/>
        <w:spacing w:line="360" w:lineRule="auto"/>
        <w:rPr>
          <w:rFonts w:cs="宋体" w:asciiTheme="minorEastAsia" w:hAnsiTheme="minorEastAsia"/>
          <w:color w:val="auto"/>
          <w:sz w:val="24"/>
          <w:szCs w:val="24"/>
        </w:rPr>
      </w:pPr>
      <w:r>
        <w:rPr>
          <w:rFonts w:hint="eastAsia" w:cs="宋体" w:asciiTheme="minorEastAsia" w:hAnsiTheme="minorEastAsia"/>
          <w:color w:val="auto"/>
          <w:sz w:val="24"/>
          <w:szCs w:val="24"/>
        </w:rPr>
        <w:t>电    话：</w:t>
      </w:r>
      <w:r>
        <w:rPr>
          <w:rFonts w:hint="eastAsia" w:asciiTheme="minorEastAsia" w:hAnsiTheme="minorEastAsia"/>
          <w:snapToGrid w:val="0"/>
          <w:color w:val="auto"/>
          <w:kern w:val="0"/>
          <w:sz w:val="24"/>
          <w:szCs w:val="24"/>
        </w:rPr>
        <w:t>____________________</w:t>
      </w:r>
      <w:r>
        <w:rPr>
          <w:rFonts w:hint="eastAsia" w:cs="宋体" w:asciiTheme="minorEastAsia" w:hAnsiTheme="minorEastAsia"/>
          <w:color w:val="auto"/>
          <w:sz w:val="24"/>
          <w:szCs w:val="24"/>
        </w:rPr>
        <w:t xml:space="preserve">     传    真：</w:t>
      </w:r>
      <w:r>
        <w:rPr>
          <w:rFonts w:hint="eastAsia" w:asciiTheme="minorEastAsia" w:hAnsiTheme="minorEastAsia"/>
          <w:snapToGrid w:val="0"/>
          <w:color w:val="auto"/>
          <w:kern w:val="0"/>
          <w:sz w:val="24"/>
          <w:szCs w:val="24"/>
        </w:rPr>
        <w:t>_______________</w:t>
      </w:r>
    </w:p>
    <w:p>
      <w:pPr>
        <w:adjustRightInd w:val="0"/>
        <w:snapToGrid w:val="0"/>
        <w:spacing w:line="360" w:lineRule="auto"/>
        <w:rPr>
          <w:rFonts w:cs="宋体" w:asciiTheme="minorEastAsia" w:hAnsiTheme="minorEastAsia"/>
          <w:color w:val="auto"/>
          <w:sz w:val="24"/>
          <w:szCs w:val="24"/>
          <w:u w:val="single"/>
        </w:rPr>
      </w:pPr>
      <w:r>
        <w:rPr>
          <w:rFonts w:hint="eastAsia" w:cs="宋体" w:asciiTheme="minorEastAsia" w:hAnsiTheme="minorEastAsia"/>
          <w:color w:val="auto"/>
          <w:sz w:val="24"/>
          <w:szCs w:val="24"/>
        </w:rPr>
        <w:t>投标人代表姓名：</w:t>
      </w:r>
      <w:r>
        <w:rPr>
          <w:rFonts w:hint="eastAsia" w:asciiTheme="minorEastAsia" w:hAnsiTheme="minorEastAsia"/>
          <w:snapToGrid w:val="0"/>
          <w:color w:val="auto"/>
          <w:kern w:val="0"/>
          <w:sz w:val="24"/>
          <w:szCs w:val="24"/>
        </w:rPr>
        <w:t>______________</w:t>
      </w:r>
      <w:r>
        <w:rPr>
          <w:rFonts w:hint="eastAsia" w:cs="宋体" w:asciiTheme="minorEastAsia" w:hAnsiTheme="minorEastAsia"/>
          <w:color w:val="auto"/>
          <w:sz w:val="24"/>
          <w:szCs w:val="24"/>
        </w:rPr>
        <w:t xml:space="preserve">     职    务：</w:t>
      </w:r>
      <w:r>
        <w:rPr>
          <w:rFonts w:hint="eastAsia" w:asciiTheme="minorEastAsia" w:hAnsiTheme="minorEastAsia"/>
          <w:snapToGrid w:val="0"/>
          <w:color w:val="auto"/>
          <w:kern w:val="0"/>
          <w:sz w:val="24"/>
          <w:szCs w:val="24"/>
        </w:rPr>
        <w:t>_______________</w:t>
      </w:r>
    </w:p>
    <w:p>
      <w:pPr>
        <w:adjustRightInd w:val="0"/>
        <w:snapToGrid w:val="0"/>
        <w:spacing w:line="360" w:lineRule="auto"/>
        <w:rPr>
          <w:rFonts w:cs="宋体" w:asciiTheme="minorEastAsia" w:hAnsiTheme="minorEastAsia"/>
          <w:color w:val="auto"/>
          <w:sz w:val="24"/>
          <w:szCs w:val="24"/>
          <w:u w:val="single"/>
        </w:rPr>
      </w:pPr>
    </w:p>
    <w:p>
      <w:pPr>
        <w:adjustRightInd w:val="0"/>
        <w:snapToGrid w:val="0"/>
        <w:spacing w:line="360" w:lineRule="auto"/>
        <w:rPr>
          <w:rFonts w:cs="宋体" w:asciiTheme="minorEastAsia" w:hAnsiTheme="minorEastAsia"/>
          <w:color w:val="auto"/>
          <w:sz w:val="24"/>
          <w:szCs w:val="24"/>
        </w:rPr>
      </w:pPr>
      <w:r>
        <w:rPr>
          <w:rFonts w:hint="eastAsia" w:cs="宋体" w:asciiTheme="minorEastAsia" w:hAnsiTheme="minorEastAsia"/>
          <w:color w:val="auto"/>
          <w:sz w:val="24"/>
          <w:szCs w:val="24"/>
        </w:rPr>
        <w:t>投标人法定代表人（或法定代表人授权代表）签字或盖章：</w:t>
      </w:r>
      <w:r>
        <w:rPr>
          <w:rFonts w:hint="eastAsia" w:asciiTheme="minorEastAsia" w:hAnsiTheme="minorEastAsia"/>
          <w:snapToGrid w:val="0"/>
          <w:color w:val="auto"/>
          <w:kern w:val="0"/>
          <w:sz w:val="24"/>
          <w:szCs w:val="24"/>
        </w:rPr>
        <w:t>__________</w:t>
      </w:r>
    </w:p>
    <w:p>
      <w:pPr>
        <w:adjustRightInd w:val="0"/>
        <w:snapToGrid w:val="0"/>
        <w:spacing w:line="360" w:lineRule="auto"/>
        <w:rPr>
          <w:rFonts w:cs="宋体" w:asciiTheme="minorEastAsia" w:hAnsiTheme="minorEastAsia"/>
          <w:color w:val="auto"/>
          <w:sz w:val="24"/>
          <w:szCs w:val="24"/>
        </w:rPr>
      </w:pPr>
      <w:r>
        <w:rPr>
          <w:rFonts w:hint="eastAsia" w:cs="宋体" w:asciiTheme="minorEastAsia" w:hAnsiTheme="minorEastAsia"/>
          <w:color w:val="auto"/>
          <w:sz w:val="24"/>
          <w:szCs w:val="24"/>
        </w:rPr>
        <w:t>投标人名称（盖章）：</w:t>
      </w:r>
      <w:r>
        <w:rPr>
          <w:rFonts w:hint="eastAsia" w:asciiTheme="minorEastAsia" w:hAnsiTheme="minorEastAsia"/>
          <w:snapToGrid w:val="0"/>
          <w:color w:val="auto"/>
          <w:kern w:val="0"/>
          <w:sz w:val="24"/>
          <w:szCs w:val="24"/>
        </w:rPr>
        <w:t>__________</w:t>
      </w:r>
    </w:p>
    <w:p>
      <w:pPr>
        <w:adjustRightInd w:val="0"/>
        <w:snapToGrid w:val="0"/>
        <w:spacing w:line="360" w:lineRule="auto"/>
        <w:ind w:firstLine="4920" w:firstLineChars="2050"/>
        <w:rPr>
          <w:rFonts w:cs="宋体" w:asciiTheme="minorEastAsia" w:hAnsiTheme="minorEastAsia"/>
          <w:color w:val="auto"/>
          <w:sz w:val="24"/>
          <w:szCs w:val="24"/>
        </w:rPr>
      </w:pPr>
    </w:p>
    <w:p>
      <w:pPr>
        <w:adjustRightInd w:val="0"/>
        <w:snapToGrid w:val="0"/>
        <w:spacing w:line="360" w:lineRule="auto"/>
        <w:ind w:firstLine="4920" w:firstLineChars="2050"/>
        <w:rPr>
          <w:rFonts w:cs="宋体" w:asciiTheme="minorEastAsia" w:hAnsiTheme="minorEastAsia"/>
          <w:color w:val="auto"/>
          <w:sz w:val="24"/>
          <w:szCs w:val="24"/>
        </w:rPr>
      </w:pPr>
      <w:r>
        <w:rPr>
          <w:rFonts w:hint="eastAsia" w:cs="宋体" w:asciiTheme="minorEastAsia" w:hAnsiTheme="minorEastAsia"/>
          <w:color w:val="auto"/>
          <w:sz w:val="24"/>
          <w:szCs w:val="24"/>
        </w:rPr>
        <w:t>日期：   年   月   日</w:t>
      </w:r>
    </w:p>
    <w:p>
      <w:pPr>
        <w:rPr>
          <w:color w:val="auto"/>
        </w:rPr>
      </w:pPr>
      <w:r>
        <w:rPr>
          <w:color w:val="auto"/>
        </w:rPr>
        <w:br w:type="page"/>
      </w:r>
    </w:p>
    <w:p>
      <w:pPr>
        <w:pStyle w:val="5"/>
        <w:rPr>
          <w:color w:val="auto"/>
        </w:rPr>
      </w:pPr>
    </w:p>
    <w:p>
      <w:pPr>
        <w:spacing w:line="480" w:lineRule="exact"/>
        <w:jc w:val="center"/>
        <w:rPr>
          <w:rFonts w:asciiTheme="majorEastAsia" w:hAnsiTheme="majorEastAsia" w:eastAsiaTheme="majorEastAsia"/>
          <w:b/>
          <w:bCs/>
          <w:color w:val="auto"/>
          <w:sz w:val="36"/>
          <w:szCs w:val="36"/>
        </w:rPr>
      </w:pPr>
      <w:r>
        <w:rPr>
          <w:rFonts w:hint="eastAsia" w:asciiTheme="majorEastAsia" w:hAnsiTheme="majorEastAsia" w:eastAsiaTheme="majorEastAsia"/>
          <w:b/>
          <w:bCs/>
          <w:color w:val="auto"/>
          <w:sz w:val="36"/>
          <w:szCs w:val="36"/>
        </w:rPr>
        <w:t>3.2 法定代表人</w:t>
      </w:r>
      <w:r>
        <w:rPr>
          <w:rFonts w:asciiTheme="majorEastAsia" w:hAnsiTheme="majorEastAsia" w:eastAsiaTheme="majorEastAsia"/>
          <w:b/>
          <w:bCs/>
          <w:color w:val="auto"/>
          <w:sz w:val="36"/>
          <w:szCs w:val="36"/>
        </w:rPr>
        <w:t>资</w:t>
      </w:r>
      <w:r>
        <w:rPr>
          <w:rFonts w:hint="eastAsia" w:asciiTheme="majorEastAsia" w:hAnsiTheme="majorEastAsia" w:eastAsiaTheme="majorEastAsia"/>
          <w:b/>
          <w:bCs/>
          <w:color w:val="auto"/>
          <w:sz w:val="36"/>
          <w:szCs w:val="36"/>
        </w:rPr>
        <w:t>格</w:t>
      </w:r>
      <w:r>
        <w:rPr>
          <w:rFonts w:asciiTheme="majorEastAsia" w:hAnsiTheme="majorEastAsia" w:eastAsiaTheme="majorEastAsia"/>
          <w:b/>
          <w:bCs/>
          <w:color w:val="auto"/>
          <w:sz w:val="36"/>
          <w:szCs w:val="36"/>
        </w:rPr>
        <w:t>证</w:t>
      </w:r>
      <w:r>
        <w:rPr>
          <w:rFonts w:hint="eastAsia" w:asciiTheme="majorEastAsia" w:hAnsiTheme="majorEastAsia" w:eastAsiaTheme="majorEastAsia"/>
          <w:b/>
          <w:bCs/>
          <w:color w:val="auto"/>
          <w:sz w:val="36"/>
          <w:szCs w:val="36"/>
        </w:rPr>
        <w:t>明</w:t>
      </w:r>
      <w:r>
        <w:rPr>
          <w:rFonts w:asciiTheme="majorEastAsia" w:hAnsiTheme="majorEastAsia" w:eastAsiaTheme="majorEastAsia"/>
          <w:b/>
          <w:bCs/>
          <w:color w:val="auto"/>
          <w:sz w:val="36"/>
          <w:szCs w:val="36"/>
        </w:rPr>
        <w:t>书</w:t>
      </w:r>
    </w:p>
    <w:p>
      <w:pPr>
        <w:autoSpaceDE w:val="0"/>
        <w:autoSpaceDN w:val="0"/>
        <w:adjustRightInd w:val="0"/>
        <w:spacing w:line="480" w:lineRule="auto"/>
        <w:ind w:firstLine="616" w:firstLineChars="257"/>
        <w:rPr>
          <w:rFonts w:ascii="宋体" w:hAnsi="宋体"/>
          <w:color w:val="auto"/>
          <w:sz w:val="24"/>
          <w:szCs w:val="24"/>
        </w:rPr>
      </w:pPr>
    </w:p>
    <w:p>
      <w:pPr>
        <w:pStyle w:val="53"/>
        <w:spacing w:line="480" w:lineRule="auto"/>
        <w:ind w:firstLine="540" w:firstLineChars="225"/>
        <w:jc w:val="left"/>
        <w:rPr>
          <w:rFonts w:asciiTheme="minorEastAsia" w:hAnsiTheme="minorEastAsia"/>
          <w:color w:val="auto"/>
          <w:szCs w:val="24"/>
          <w:u w:val="single"/>
        </w:rPr>
      </w:pPr>
      <w:r>
        <w:rPr>
          <w:rFonts w:asciiTheme="minorEastAsia" w:hAnsiTheme="minorEastAsia"/>
          <w:color w:val="auto"/>
          <w:szCs w:val="24"/>
        </w:rPr>
        <w:t>单</w:t>
      </w:r>
      <w:r>
        <w:rPr>
          <w:rFonts w:hint="eastAsia" w:asciiTheme="minorEastAsia" w:hAnsiTheme="minorEastAsia"/>
          <w:color w:val="auto"/>
          <w:szCs w:val="24"/>
        </w:rPr>
        <w:t>位名</w:t>
      </w:r>
      <w:r>
        <w:rPr>
          <w:rFonts w:asciiTheme="minorEastAsia" w:hAnsiTheme="minorEastAsia"/>
          <w:color w:val="auto"/>
          <w:szCs w:val="24"/>
        </w:rPr>
        <w:t>称</w:t>
      </w:r>
      <w:r>
        <w:rPr>
          <w:rFonts w:hint="eastAsia" w:asciiTheme="minorEastAsia" w:hAnsiTheme="minorEastAsia"/>
          <w:color w:val="auto"/>
          <w:szCs w:val="24"/>
        </w:rPr>
        <w:t>：</w:t>
      </w:r>
      <w:r>
        <w:rPr>
          <w:rFonts w:hint="eastAsia" w:asciiTheme="minorEastAsia" w:hAnsiTheme="minorEastAsia"/>
          <w:color w:val="auto"/>
          <w:szCs w:val="24"/>
          <w:u w:val="single"/>
        </w:rPr>
        <w:t xml:space="preserve">                      </w:t>
      </w:r>
    </w:p>
    <w:p>
      <w:pPr>
        <w:pStyle w:val="53"/>
        <w:spacing w:line="480" w:lineRule="auto"/>
        <w:ind w:firstLine="540" w:firstLineChars="225"/>
        <w:jc w:val="left"/>
        <w:rPr>
          <w:rFonts w:asciiTheme="minorEastAsia" w:hAnsiTheme="minorEastAsia"/>
          <w:color w:val="auto"/>
          <w:szCs w:val="24"/>
          <w:u w:val="single"/>
        </w:rPr>
      </w:pPr>
      <w:r>
        <w:rPr>
          <w:rFonts w:hint="eastAsia" w:asciiTheme="minorEastAsia" w:hAnsiTheme="minorEastAsia"/>
          <w:color w:val="auto"/>
          <w:szCs w:val="24"/>
        </w:rPr>
        <w:t>地址：</w:t>
      </w:r>
      <w:r>
        <w:rPr>
          <w:rFonts w:hint="eastAsia" w:asciiTheme="minorEastAsia" w:hAnsiTheme="minorEastAsia"/>
          <w:color w:val="auto"/>
          <w:szCs w:val="24"/>
          <w:u w:val="single"/>
        </w:rPr>
        <w:t xml:space="preserve">                           </w:t>
      </w:r>
    </w:p>
    <w:p>
      <w:pPr>
        <w:pStyle w:val="53"/>
        <w:spacing w:line="480" w:lineRule="auto"/>
        <w:ind w:firstLine="540" w:firstLineChars="225"/>
        <w:jc w:val="left"/>
        <w:rPr>
          <w:rFonts w:asciiTheme="minorEastAsia" w:hAnsiTheme="minorEastAsia"/>
          <w:color w:val="auto"/>
          <w:szCs w:val="24"/>
        </w:rPr>
      </w:pPr>
      <w:r>
        <w:rPr>
          <w:rFonts w:hint="eastAsia" w:asciiTheme="minorEastAsia" w:hAnsiTheme="minorEastAsia"/>
          <w:color w:val="auto"/>
          <w:szCs w:val="24"/>
        </w:rPr>
        <w:t>姓名：</w:t>
      </w:r>
      <w:r>
        <w:rPr>
          <w:rFonts w:hint="eastAsia" w:asciiTheme="minorEastAsia" w:hAnsiTheme="minorEastAsia"/>
          <w:color w:val="auto"/>
          <w:szCs w:val="24"/>
          <w:u w:val="single"/>
        </w:rPr>
        <w:t xml:space="preserve">       </w:t>
      </w:r>
      <w:r>
        <w:rPr>
          <w:rFonts w:hint="eastAsia" w:asciiTheme="minorEastAsia" w:hAnsiTheme="minorEastAsia"/>
          <w:color w:val="auto"/>
          <w:szCs w:val="24"/>
        </w:rPr>
        <w:t>性</w:t>
      </w:r>
      <w:r>
        <w:rPr>
          <w:rFonts w:asciiTheme="minorEastAsia" w:hAnsiTheme="minorEastAsia"/>
          <w:color w:val="auto"/>
          <w:szCs w:val="24"/>
        </w:rPr>
        <w:t>别</w:t>
      </w:r>
      <w:r>
        <w:rPr>
          <w:rFonts w:hint="eastAsia" w:asciiTheme="minorEastAsia" w:hAnsiTheme="minorEastAsia"/>
          <w:color w:val="auto"/>
          <w:szCs w:val="24"/>
        </w:rPr>
        <w:t>：</w:t>
      </w:r>
      <w:r>
        <w:rPr>
          <w:rFonts w:hint="eastAsia" w:asciiTheme="minorEastAsia" w:hAnsiTheme="minorEastAsia"/>
          <w:color w:val="auto"/>
          <w:szCs w:val="24"/>
          <w:u w:val="single"/>
        </w:rPr>
        <w:t xml:space="preserve">      </w:t>
      </w:r>
      <w:r>
        <w:rPr>
          <w:rFonts w:hint="eastAsia" w:asciiTheme="minorEastAsia" w:hAnsiTheme="minorEastAsia"/>
          <w:color w:val="auto"/>
          <w:szCs w:val="24"/>
        </w:rPr>
        <w:t>年</w:t>
      </w:r>
      <w:r>
        <w:rPr>
          <w:rFonts w:asciiTheme="minorEastAsia" w:hAnsiTheme="minorEastAsia"/>
          <w:color w:val="auto"/>
          <w:szCs w:val="24"/>
        </w:rPr>
        <w:t>龄</w:t>
      </w:r>
      <w:r>
        <w:rPr>
          <w:rFonts w:hint="eastAsia" w:asciiTheme="minorEastAsia" w:hAnsiTheme="minorEastAsia"/>
          <w:color w:val="auto"/>
          <w:szCs w:val="24"/>
        </w:rPr>
        <w:t>：</w:t>
      </w:r>
      <w:r>
        <w:rPr>
          <w:rFonts w:asciiTheme="minorEastAsia" w:hAnsiTheme="minorEastAsia"/>
          <w:color w:val="auto"/>
          <w:szCs w:val="24"/>
          <w:u w:val="single"/>
        </w:rPr>
        <w:t xml:space="preserve">    </w:t>
      </w:r>
      <w:r>
        <w:rPr>
          <w:rFonts w:hint="eastAsia" w:asciiTheme="minorEastAsia" w:hAnsiTheme="minorEastAsia"/>
          <w:color w:val="auto"/>
          <w:szCs w:val="24"/>
          <w:u w:val="single"/>
        </w:rPr>
        <w:t xml:space="preserve">  </w:t>
      </w:r>
      <w:r>
        <w:rPr>
          <w:rFonts w:asciiTheme="minorEastAsia" w:hAnsiTheme="minorEastAsia"/>
          <w:color w:val="auto"/>
          <w:szCs w:val="24"/>
          <w:u w:val="single"/>
        </w:rPr>
        <w:t xml:space="preserve"> </w:t>
      </w:r>
      <w:r>
        <w:rPr>
          <w:rFonts w:asciiTheme="minorEastAsia" w:hAnsiTheme="minorEastAsia"/>
          <w:color w:val="auto"/>
          <w:szCs w:val="24"/>
        </w:rPr>
        <w:t>职务</w:t>
      </w:r>
      <w:r>
        <w:rPr>
          <w:rFonts w:hint="eastAsia" w:asciiTheme="minorEastAsia" w:hAnsiTheme="minorEastAsia"/>
          <w:color w:val="auto"/>
          <w:szCs w:val="24"/>
        </w:rPr>
        <w:t>：</w:t>
      </w:r>
      <w:r>
        <w:rPr>
          <w:rFonts w:hint="eastAsia" w:asciiTheme="minorEastAsia" w:hAnsiTheme="minorEastAsia"/>
          <w:color w:val="auto"/>
          <w:szCs w:val="24"/>
          <w:u w:val="single"/>
        </w:rPr>
        <w:t xml:space="preserve">        </w:t>
      </w:r>
    </w:p>
    <w:p>
      <w:pPr>
        <w:pStyle w:val="53"/>
        <w:spacing w:line="480" w:lineRule="auto"/>
        <w:ind w:firstLine="540" w:firstLineChars="225"/>
        <w:jc w:val="left"/>
        <w:rPr>
          <w:rFonts w:asciiTheme="minorEastAsia" w:hAnsiTheme="minorEastAsia"/>
          <w:color w:val="auto"/>
          <w:szCs w:val="24"/>
        </w:rPr>
      </w:pPr>
      <w:r>
        <w:rPr>
          <w:rFonts w:hint="eastAsia" w:asciiTheme="minorEastAsia" w:hAnsiTheme="minorEastAsia"/>
          <w:color w:val="auto"/>
          <w:szCs w:val="24"/>
        </w:rPr>
        <w:t>本人系</w:t>
      </w:r>
      <w:r>
        <w:rPr>
          <w:rFonts w:hint="eastAsia" w:asciiTheme="minorEastAsia" w:hAnsiTheme="minorEastAsia"/>
          <w:snapToGrid w:val="0"/>
          <w:color w:val="auto"/>
          <w:kern w:val="0"/>
          <w:szCs w:val="24"/>
          <w:u w:val="single"/>
        </w:rPr>
        <w:t xml:space="preserve">__ </w:t>
      </w:r>
      <w:r>
        <w:rPr>
          <w:rFonts w:hint="eastAsia" w:asciiTheme="minorEastAsia" w:hAnsiTheme="minorEastAsia"/>
          <w:i/>
          <w:snapToGrid w:val="0"/>
          <w:color w:val="auto"/>
          <w:szCs w:val="24"/>
          <w:u w:val="single"/>
        </w:rPr>
        <w:t>投</w:t>
      </w:r>
      <w:r>
        <w:rPr>
          <w:rFonts w:asciiTheme="minorEastAsia" w:hAnsiTheme="minorEastAsia"/>
          <w:i/>
          <w:snapToGrid w:val="0"/>
          <w:color w:val="auto"/>
          <w:szCs w:val="24"/>
          <w:u w:val="single"/>
        </w:rPr>
        <w:t>标</w:t>
      </w:r>
      <w:r>
        <w:rPr>
          <w:rFonts w:hint="eastAsia" w:asciiTheme="minorEastAsia" w:hAnsiTheme="minorEastAsia"/>
          <w:i/>
          <w:snapToGrid w:val="0"/>
          <w:color w:val="auto"/>
          <w:szCs w:val="24"/>
          <w:u w:val="single"/>
        </w:rPr>
        <w:t>人名</w:t>
      </w:r>
      <w:r>
        <w:rPr>
          <w:rFonts w:asciiTheme="minorEastAsia" w:hAnsiTheme="minorEastAsia"/>
          <w:i/>
          <w:snapToGrid w:val="0"/>
          <w:color w:val="auto"/>
          <w:szCs w:val="24"/>
          <w:u w:val="single"/>
        </w:rPr>
        <w:t>称</w:t>
      </w:r>
      <w:r>
        <w:rPr>
          <w:rFonts w:hint="eastAsia" w:asciiTheme="minorEastAsia" w:hAnsiTheme="minorEastAsia"/>
          <w:i/>
          <w:snapToGrid w:val="0"/>
          <w:color w:val="auto"/>
          <w:szCs w:val="24"/>
          <w:u w:val="single"/>
        </w:rPr>
        <w:t xml:space="preserve">  </w:t>
      </w:r>
      <w:r>
        <w:rPr>
          <w:rFonts w:hint="eastAsia" w:asciiTheme="minorEastAsia" w:hAnsiTheme="minorEastAsia"/>
          <w:color w:val="auto"/>
          <w:szCs w:val="24"/>
        </w:rPr>
        <w:t>的法定代表人。就</w:t>
      </w:r>
      <w:r>
        <w:rPr>
          <w:rFonts w:asciiTheme="minorEastAsia" w:hAnsiTheme="minorEastAsia"/>
          <w:color w:val="auto"/>
          <w:szCs w:val="24"/>
        </w:rPr>
        <w:t>参</w:t>
      </w:r>
      <w:r>
        <w:rPr>
          <w:rFonts w:hint="eastAsia" w:asciiTheme="minorEastAsia" w:hAnsiTheme="minorEastAsia"/>
          <w:color w:val="auto"/>
          <w:szCs w:val="24"/>
        </w:rPr>
        <w:t>加贵方招</w:t>
      </w:r>
      <w:r>
        <w:rPr>
          <w:rFonts w:asciiTheme="minorEastAsia" w:hAnsiTheme="minorEastAsia"/>
          <w:color w:val="auto"/>
          <w:szCs w:val="24"/>
        </w:rPr>
        <w:t>标编号为</w:t>
      </w:r>
      <w:r>
        <w:rPr>
          <w:rFonts w:hint="eastAsia" w:asciiTheme="minorEastAsia" w:hAnsiTheme="minorEastAsia"/>
          <w:snapToGrid w:val="0"/>
          <w:color w:val="auto"/>
          <w:kern w:val="0"/>
          <w:szCs w:val="24"/>
        </w:rPr>
        <w:t>__</w:t>
      </w:r>
      <w:r>
        <w:rPr>
          <w:rFonts w:asciiTheme="minorEastAsia" w:hAnsiTheme="minorEastAsia"/>
          <w:i/>
          <w:color w:val="auto"/>
          <w:szCs w:val="24"/>
          <w:u w:val="single"/>
        </w:rPr>
        <w:t>项目编号</w:t>
      </w:r>
      <w:r>
        <w:rPr>
          <w:rFonts w:hint="eastAsia" w:asciiTheme="minorEastAsia" w:hAnsiTheme="minorEastAsia"/>
          <w:i/>
          <w:color w:val="auto"/>
          <w:szCs w:val="24"/>
          <w:u w:val="single"/>
        </w:rPr>
        <w:t xml:space="preserve"> </w:t>
      </w:r>
      <w:r>
        <w:rPr>
          <w:rFonts w:hint="eastAsia" w:asciiTheme="minorEastAsia" w:hAnsiTheme="minorEastAsia"/>
          <w:color w:val="auto"/>
          <w:szCs w:val="24"/>
        </w:rPr>
        <w:t>的</w:t>
      </w:r>
      <w:r>
        <w:rPr>
          <w:rFonts w:hint="eastAsia" w:asciiTheme="minorEastAsia" w:hAnsiTheme="minorEastAsia"/>
          <w:snapToGrid w:val="0"/>
          <w:color w:val="auto"/>
          <w:kern w:val="0"/>
          <w:szCs w:val="24"/>
        </w:rPr>
        <w:t>___</w:t>
      </w:r>
      <w:r>
        <w:rPr>
          <w:rFonts w:asciiTheme="minorEastAsia" w:hAnsiTheme="minorEastAsia"/>
          <w:i/>
          <w:color w:val="auto"/>
          <w:szCs w:val="24"/>
          <w:u w:val="single"/>
        </w:rPr>
        <w:t>项目</w:t>
      </w:r>
      <w:r>
        <w:rPr>
          <w:rFonts w:hint="eastAsia" w:asciiTheme="minorEastAsia" w:hAnsiTheme="minorEastAsia"/>
          <w:i/>
          <w:color w:val="auto"/>
          <w:szCs w:val="24"/>
          <w:u w:val="single"/>
        </w:rPr>
        <w:t>名</w:t>
      </w:r>
      <w:r>
        <w:rPr>
          <w:rFonts w:asciiTheme="minorEastAsia" w:hAnsiTheme="minorEastAsia"/>
          <w:i/>
          <w:color w:val="auto"/>
          <w:szCs w:val="24"/>
          <w:u w:val="single"/>
        </w:rPr>
        <w:t>称</w:t>
      </w:r>
      <w:r>
        <w:rPr>
          <w:rFonts w:hint="eastAsia" w:asciiTheme="minorEastAsia" w:hAnsiTheme="minorEastAsia"/>
          <w:i/>
          <w:color w:val="auto"/>
          <w:szCs w:val="24"/>
          <w:u w:val="single"/>
        </w:rPr>
        <w:t xml:space="preserve">、标包  </w:t>
      </w:r>
      <w:r>
        <w:rPr>
          <w:rFonts w:hint="eastAsia" w:asciiTheme="minorEastAsia" w:hAnsiTheme="minorEastAsia"/>
          <w:color w:val="auto"/>
          <w:szCs w:val="24"/>
        </w:rPr>
        <w:t>公</w:t>
      </w:r>
      <w:r>
        <w:rPr>
          <w:rFonts w:asciiTheme="minorEastAsia" w:hAnsiTheme="minorEastAsia"/>
          <w:color w:val="auto"/>
          <w:szCs w:val="24"/>
        </w:rPr>
        <w:t>开</w:t>
      </w:r>
      <w:r>
        <w:rPr>
          <w:rFonts w:hint="eastAsia" w:asciiTheme="minorEastAsia" w:hAnsiTheme="minorEastAsia"/>
          <w:color w:val="auto"/>
          <w:szCs w:val="24"/>
        </w:rPr>
        <w:t>招</w:t>
      </w:r>
      <w:r>
        <w:rPr>
          <w:rFonts w:asciiTheme="minorEastAsia" w:hAnsiTheme="minorEastAsia"/>
          <w:color w:val="auto"/>
          <w:szCs w:val="24"/>
        </w:rPr>
        <w:t>标项目</w:t>
      </w:r>
      <w:r>
        <w:rPr>
          <w:rFonts w:hint="eastAsia" w:asciiTheme="minorEastAsia" w:hAnsiTheme="minorEastAsia"/>
          <w:color w:val="auto"/>
          <w:szCs w:val="24"/>
        </w:rPr>
        <w:t>的投</w:t>
      </w:r>
      <w:r>
        <w:rPr>
          <w:rFonts w:asciiTheme="minorEastAsia" w:hAnsiTheme="minorEastAsia"/>
          <w:color w:val="auto"/>
          <w:szCs w:val="24"/>
        </w:rPr>
        <w:t>标报价</w:t>
      </w:r>
      <w:r>
        <w:rPr>
          <w:rFonts w:hint="eastAsia" w:asciiTheme="minorEastAsia" w:hAnsiTheme="minorEastAsia"/>
          <w:color w:val="auto"/>
          <w:szCs w:val="24"/>
        </w:rPr>
        <w:t>，</w:t>
      </w:r>
      <w:r>
        <w:rPr>
          <w:rFonts w:asciiTheme="minorEastAsia" w:hAnsiTheme="minorEastAsia"/>
          <w:color w:val="auto"/>
          <w:szCs w:val="24"/>
        </w:rPr>
        <w:t>签</w:t>
      </w:r>
      <w:r>
        <w:rPr>
          <w:rFonts w:hint="eastAsia" w:asciiTheme="minorEastAsia" w:hAnsiTheme="minorEastAsia"/>
          <w:color w:val="auto"/>
          <w:szCs w:val="24"/>
        </w:rPr>
        <w:t>署上</w:t>
      </w:r>
      <w:r>
        <w:rPr>
          <w:rFonts w:asciiTheme="minorEastAsia" w:hAnsiTheme="minorEastAsia"/>
          <w:color w:val="auto"/>
          <w:szCs w:val="24"/>
        </w:rPr>
        <w:t>述项目</w:t>
      </w:r>
      <w:r>
        <w:rPr>
          <w:rFonts w:hint="eastAsia" w:asciiTheme="minorEastAsia" w:hAnsiTheme="minorEastAsia"/>
          <w:color w:val="auto"/>
          <w:szCs w:val="24"/>
        </w:rPr>
        <w:t>的投</w:t>
      </w:r>
      <w:r>
        <w:rPr>
          <w:rFonts w:asciiTheme="minorEastAsia" w:hAnsiTheme="minorEastAsia"/>
          <w:color w:val="auto"/>
          <w:szCs w:val="24"/>
        </w:rPr>
        <w:t>标</w:t>
      </w:r>
      <w:r>
        <w:rPr>
          <w:rFonts w:hint="eastAsia" w:asciiTheme="minorEastAsia" w:hAnsiTheme="minorEastAsia"/>
          <w:color w:val="auto"/>
          <w:szCs w:val="24"/>
        </w:rPr>
        <w:t>文件及合同的</w:t>
      </w:r>
      <w:r>
        <w:rPr>
          <w:rFonts w:asciiTheme="minorEastAsia" w:hAnsiTheme="minorEastAsia"/>
          <w:color w:val="auto"/>
          <w:szCs w:val="24"/>
        </w:rPr>
        <w:t>执</w:t>
      </w:r>
      <w:r>
        <w:rPr>
          <w:rFonts w:hint="eastAsia" w:asciiTheme="minorEastAsia" w:hAnsiTheme="minorEastAsia"/>
          <w:color w:val="auto"/>
          <w:szCs w:val="24"/>
        </w:rPr>
        <w:t>行、完成、服</w:t>
      </w:r>
      <w:r>
        <w:rPr>
          <w:rFonts w:asciiTheme="minorEastAsia" w:hAnsiTheme="minorEastAsia"/>
          <w:color w:val="auto"/>
          <w:szCs w:val="24"/>
        </w:rPr>
        <w:t>务</w:t>
      </w:r>
      <w:r>
        <w:rPr>
          <w:rFonts w:hint="eastAsia" w:asciiTheme="minorEastAsia" w:hAnsiTheme="minorEastAsia"/>
          <w:color w:val="auto"/>
          <w:szCs w:val="24"/>
        </w:rPr>
        <w:t>和保修，</w:t>
      </w:r>
      <w:r>
        <w:rPr>
          <w:rFonts w:asciiTheme="minorEastAsia" w:hAnsiTheme="minorEastAsia"/>
          <w:color w:val="auto"/>
          <w:szCs w:val="24"/>
        </w:rPr>
        <w:t>签</w:t>
      </w:r>
      <w:r>
        <w:rPr>
          <w:rFonts w:hint="eastAsia" w:asciiTheme="minorEastAsia" w:hAnsiTheme="minorEastAsia"/>
          <w:color w:val="auto"/>
          <w:szCs w:val="24"/>
        </w:rPr>
        <w:t>署合同和</w:t>
      </w:r>
      <w:r>
        <w:rPr>
          <w:rFonts w:asciiTheme="minorEastAsia" w:hAnsiTheme="minorEastAsia"/>
          <w:color w:val="auto"/>
          <w:szCs w:val="24"/>
        </w:rPr>
        <w:t>处</w:t>
      </w:r>
      <w:r>
        <w:rPr>
          <w:rFonts w:hint="eastAsia" w:asciiTheme="minorEastAsia" w:hAnsiTheme="minorEastAsia"/>
          <w:color w:val="auto"/>
          <w:szCs w:val="24"/>
        </w:rPr>
        <w:t>理与之有</w:t>
      </w:r>
      <w:r>
        <w:rPr>
          <w:rFonts w:asciiTheme="minorEastAsia" w:hAnsiTheme="minorEastAsia"/>
          <w:color w:val="auto"/>
          <w:szCs w:val="24"/>
        </w:rPr>
        <w:t>关的</w:t>
      </w:r>
      <w:r>
        <w:rPr>
          <w:rFonts w:hint="eastAsia" w:asciiTheme="minorEastAsia" w:hAnsiTheme="minorEastAsia"/>
          <w:color w:val="auto"/>
          <w:szCs w:val="24"/>
        </w:rPr>
        <w:t>一切事</w:t>
      </w:r>
      <w:r>
        <w:rPr>
          <w:rFonts w:asciiTheme="minorEastAsia" w:hAnsiTheme="minorEastAsia"/>
          <w:color w:val="auto"/>
          <w:szCs w:val="24"/>
        </w:rPr>
        <w:t>务</w:t>
      </w:r>
      <w:r>
        <w:rPr>
          <w:rFonts w:hint="eastAsia" w:asciiTheme="minorEastAsia" w:hAnsiTheme="minorEastAsia"/>
          <w:color w:val="auto"/>
          <w:szCs w:val="24"/>
        </w:rPr>
        <w:t>。</w:t>
      </w:r>
    </w:p>
    <w:p>
      <w:pPr>
        <w:pStyle w:val="53"/>
        <w:spacing w:line="480" w:lineRule="auto"/>
        <w:ind w:firstLine="540" w:firstLineChars="225"/>
        <w:jc w:val="left"/>
        <w:rPr>
          <w:rFonts w:asciiTheme="minorEastAsia" w:hAnsiTheme="minorEastAsia"/>
          <w:color w:val="auto"/>
          <w:szCs w:val="24"/>
        </w:rPr>
      </w:pPr>
      <w:r>
        <w:rPr>
          <w:rFonts w:hint="eastAsia" w:asciiTheme="minorEastAsia" w:hAnsiTheme="minorEastAsia"/>
          <w:color w:val="auto"/>
          <w:szCs w:val="24"/>
        </w:rPr>
        <w:t>特此</w:t>
      </w:r>
      <w:r>
        <w:rPr>
          <w:rFonts w:asciiTheme="minorEastAsia" w:hAnsiTheme="minorEastAsia"/>
          <w:color w:val="auto"/>
          <w:szCs w:val="24"/>
        </w:rPr>
        <w:t>证</w:t>
      </w:r>
      <w:r>
        <w:rPr>
          <w:rFonts w:hint="eastAsia" w:asciiTheme="minorEastAsia" w:hAnsiTheme="minorEastAsia"/>
          <w:color w:val="auto"/>
          <w:szCs w:val="24"/>
        </w:rPr>
        <w:t>明。</w:t>
      </w:r>
    </w:p>
    <w:p>
      <w:pPr>
        <w:pStyle w:val="53"/>
        <w:spacing w:line="480" w:lineRule="auto"/>
        <w:ind w:firstLine="540" w:firstLineChars="225"/>
        <w:jc w:val="left"/>
        <w:rPr>
          <w:rFonts w:asciiTheme="minorEastAsia" w:hAnsiTheme="minorEastAsia"/>
          <w:color w:val="auto"/>
          <w:szCs w:val="24"/>
        </w:rPr>
      </w:pPr>
    </w:p>
    <w:p>
      <w:pPr>
        <w:pStyle w:val="53"/>
        <w:spacing w:line="480" w:lineRule="auto"/>
        <w:ind w:firstLine="540" w:firstLineChars="225"/>
        <w:jc w:val="left"/>
        <w:rPr>
          <w:rFonts w:asciiTheme="minorEastAsia" w:hAnsiTheme="minorEastAsia"/>
          <w:color w:val="auto"/>
          <w:szCs w:val="24"/>
        </w:rPr>
      </w:pPr>
    </w:p>
    <w:p>
      <w:pPr>
        <w:pStyle w:val="53"/>
        <w:spacing w:line="480" w:lineRule="auto"/>
        <w:ind w:left="-538" w:leftChars="-256" w:firstLine="616" w:firstLineChars="257"/>
        <w:jc w:val="center"/>
        <w:rPr>
          <w:rFonts w:asciiTheme="minorEastAsia" w:hAnsiTheme="minorEastAsia"/>
          <w:bCs/>
          <w:color w:val="auto"/>
          <w:szCs w:val="24"/>
        </w:rPr>
      </w:pPr>
      <w:r>
        <w:rPr>
          <w:rFonts w:hint="eastAsia" w:asciiTheme="minorEastAsia" w:hAnsiTheme="minorEastAsia"/>
          <w:bCs/>
          <w:color w:val="auto"/>
          <w:szCs w:val="24"/>
        </w:rPr>
        <w:t>【此</w:t>
      </w:r>
      <w:r>
        <w:rPr>
          <w:rFonts w:asciiTheme="minorEastAsia" w:hAnsiTheme="minorEastAsia"/>
          <w:bCs/>
          <w:color w:val="auto"/>
          <w:szCs w:val="24"/>
        </w:rPr>
        <w:t>处请</w:t>
      </w:r>
      <w:r>
        <w:rPr>
          <w:rFonts w:hint="eastAsia" w:asciiTheme="minorEastAsia" w:hAnsiTheme="minorEastAsia"/>
          <w:bCs/>
          <w:color w:val="auto"/>
          <w:szCs w:val="24"/>
        </w:rPr>
        <w:t>粘</w:t>
      </w:r>
      <w:r>
        <w:rPr>
          <w:rFonts w:asciiTheme="minorEastAsia" w:hAnsiTheme="minorEastAsia"/>
          <w:bCs/>
          <w:color w:val="auto"/>
          <w:szCs w:val="24"/>
        </w:rPr>
        <w:t>贴</w:t>
      </w:r>
      <w:r>
        <w:rPr>
          <w:rFonts w:hint="eastAsia" w:asciiTheme="minorEastAsia" w:hAnsiTheme="minorEastAsia"/>
          <w:bCs/>
          <w:color w:val="auto"/>
          <w:szCs w:val="24"/>
        </w:rPr>
        <w:t>法定代表人身份</w:t>
      </w:r>
      <w:r>
        <w:rPr>
          <w:rFonts w:asciiTheme="minorEastAsia" w:hAnsiTheme="minorEastAsia"/>
          <w:bCs/>
          <w:color w:val="auto"/>
          <w:szCs w:val="24"/>
        </w:rPr>
        <w:t>证原件扫描件</w:t>
      </w:r>
      <w:r>
        <w:rPr>
          <w:rFonts w:hint="eastAsia" w:asciiTheme="minorEastAsia" w:hAnsiTheme="minorEastAsia"/>
          <w:bCs/>
          <w:color w:val="auto"/>
          <w:szCs w:val="24"/>
        </w:rPr>
        <w:t>，需清晰反映身份证有效期限】</w:t>
      </w:r>
    </w:p>
    <w:p>
      <w:pPr>
        <w:pStyle w:val="53"/>
        <w:spacing w:line="480" w:lineRule="auto"/>
        <w:ind w:left="-538" w:leftChars="-256" w:firstLine="616" w:firstLineChars="257"/>
        <w:jc w:val="center"/>
        <w:rPr>
          <w:rFonts w:asciiTheme="minorEastAsia" w:hAnsiTheme="minorEastAsia"/>
          <w:bCs/>
          <w:color w:val="auto"/>
          <w:szCs w:val="24"/>
        </w:rPr>
      </w:pPr>
    </w:p>
    <w:p>
      <w:pPr>
        <w:autoSpaceDE w:val="0"/>
        <w:autoSpaceDN w:val="0"/>
        <w:adjustRightInd w:val="0"/>
        <w:spacing w:line="360" w:lineRule="auto"/>
        <w:ind w:right="-11"/>
        <w:rPr>
          <w:rFonts w:cs="宋体" w:asciiTheme="minorEastAsia" w:hAnsiTheme="minorEastAsia"/>
          <w:color w:val="auto"/>
          <w:sz w:val="24"/>
          <w:szCs w:val="24"/>
          <w:lang w:val="zh-CN"/>
        </w:rPr>
      </w:pPr>
    </w:p>
    <w:p>
      <w:pPr>
        <w:autoSpaceDE w:val="0"/>
        <w:autoSpaceDN w:val="0"/>
        <w:adjustRightInd w:val="0"/>
        <w:spacing w:line="360" w:lineRule="auto"/>
        <w:ind w:right="-11"/>
        <w:rPr>
          <w:rFonts w:cs="宋体" w:asciiTheme="minorEastAsia" w:hAnsiTheme="minorEastAsia"/>
          <w:color w:val="auto"/>
          <w:sz w:val="24"/>
          <w:szCs w:val="24"/>
          <w:lang w:val="zh-CN"/>
        </w:rPr>
      </w:pPr>
    </w:p>
    <w:p>
      <w:pPr>
        <w:autoSpaceDE w:val="0"/>
        <w:autoSpaceDN w:val="0"/>
        <w:adjustRightInd w:val="0"/>
        <w:spacing w:line="360" w:lineRule="auto"/>
        <w:ind w:right="-11"/>
        <w:rPr>
          <w:rFonts w:cs="宋体" w:asciiTheme="minorEastAsia" w:hAnsiTheme="minorEastAsia"/>
          <w:color w:val="auto"/>
          <w:sz w:val="24"/>
          <w:szCs w:val="24"/>
          <w:lang w:val="zh-CN"/>
        </w:rPr>
      </w:pPr>
    </w:p>
    <w:p>
      <w:pPr>
        <w:spacing w:line="480" w:lineRule="auto"/>
        <w:ind w:firstLine="3900" w:firstLineChars="1625"/>
        <w:rPr>
          <w:rFonts w:cs="Arial" w:asciiTheme="minorEastAsia" w:hAnsiTheme="minorEastAsia"/>
          <w:color w:val="auto"/>
          <w:sz w:val="24"/>
          <w:szCs w:val="24"/>
          <w:u w:val="single"/>
        </w:rPr>
      </w:pPr>
      <w:r>
        <w:rPr>
          <w:rFonts w:hint="eastAsia" w:cs="Arial" w:asciiTheme="minorEastAsia" w:hAnsiTheme="minorEastAsia"/>
          <w:color w:val="auto"/>
          <w:sz w:val="24"/>
          <w:szCs w:val="24"/>
        </w:rPr>
        <w:t>投标人名称（并加盖公章）：</w:t>
      </w:r>
    </w:p>
    <w:p>
      <w:pPr>
        <w:pStyle w:val="56"/>
        <w:spacing w:before="60" w:line="480" w:lineRule="auto"/>
        <w:ind w:firstLine="3900" w:firstLineChars="1625"/>
        <w:rPr>
          <w:rFonts w:cs="Arial" w:asciiTheme="minorEastAsia" w:hAnsiTheme="minorEastAsia" w:eastAsiaTheme="minorEastAsia"/>
          <w:color w:val="auto"/>
          <w:szCs w:val="24"/>
        </w:rPr>
      </w:pPr>
      <w:r>
        <w:rPr>
          <w:rFonts w:hint="eastAsia" w:cs="Arial" w:asciiTheme="minorEastAsia" w:hAnsiTheme="minorEastAsia" w:eastAsiaTheme="minorEastAsia"/>
          <w:color w:val="auto"/>
          <w:szCs w:val="24"/>
        </w:rPr>
        <w:t>签署日期：   年   月  日</w:t>
      </w:r>
    </w:p>
    <w:p>
      <w:pPr>
        <w:pStyle w:val="55"/>
        <w:spacing w:line="480" w:lineRule="auto"/>
        <w:rPr>
          <w:rFonts w:cs="Arial" w:asciiTheme="minorEastAsia" w:hAnsiTheme="minorEastAsia"/>
          <w:color w:val="auto"/>
          <w:szCs w:val="24"/>
        </w:rPr>
      </w:pPr>
    </w:p>
    <w:p>
      <w:pPr>
        <w:rPr>
          <w:color w:val="auto"/>
        </w:rPr>
      </w:pPr>
    </w:p>
    <w:p>
      <w:pPr>
        <w:spacing w:line="320" w:lineRule="exact"/>
        <w:rPr>
          <w:rFonts w:asciiTheme="minorEastAsia" w:hAnsiTheme="minorEastAsia"/>
          <w:bCs/>
          <w:color w:val="auto"/>
          <w:kern w:val="12"/>
          <w:sz w:val="24"/>
          <w:szCs w:val="24"/>
        </w:rPr>
      </w:pPr>
      <w:r>
        <w:rPr>
          <w:rFonts w:hint="eastAsia" w:asciiTheme="minorEastAsia" w:hAnsiTheme="minorEastAsia"/>
          <w:bCs/>
          <w:color w:val="auto"/>
          <w:kern w:val="12"/>
          <w:sz w:val="24"/>
          <w:szCs w:val="24"/>
        </w:rPr>
        <w:t>说明：法定代表人</w:t>
      </w:r>
      <w:r>
        <w:rPr>
          <w:rFonts w:asciiTheme="minorEastAsia" w:hAnsiTheme="minorEastAsia"/>
          <w:bCs/>
          <w:color w:val="auto"/>
          <w:kern w:val="12"/>
          <w:sz w:val="24"/>
          <w:szCs w:val="24"/>
        </w:rPr>
        <w:t>参</w:t>
      </w:r>
      <w:r>
        <w:rPr>
          <w:rFonts w:hint="eastAsia" w:asciiTheme="minorEastAsia" w:hAnsiTheme="minorEastAsia"/>
          <w:bCs/>
          <w:color w:val="auto"/>
          <w:kern w:val="12"/>
          <w:sz w:val="24"/>
          <w:szCs w:val="24"/>
        </w:rPr>
        <w:t>加本招</w:t>
      </w:r>
      <w:r>
        <w:rPr>
          <w:rFonts w:asciiTheme="minorEastAsia" w:hAnsiTheme="minorEastAsia"/>
          <w:bCs/>
          <w:color w:val="auto"/>
          <w:kern w:val="12"/>
          <w:sz w:val="24"/>
          <w:szCs w:val="24"/>
        </w:rPr>
        <w:t>标项目</w:t>
      </w:r>
      <w:r>
        <w:rPr>
          <w:rFonts w:hint="eastAsia" w:asciiTheme="minorEastAsia" w:hAnsiTheme="minorEastAsia"/>
          <w:bCs/>
          <w:color w:val="auto"/>
          <w:kern w:val="12"/>
          <w:sz w:val="24"/>
          <w:szCs w:val="24"/>
        </w:rPr>
        <w:t>投</w:t>
      </w:r>
      <w:r>
        <w:rPr>
          <w:rFonts w:asciiTheme="minorEastAsia" w:hAnsiTheme="minorEastAsia"/>
          <w:bCs/>
          <w:color w:val="auto"/>
          <w:kern w:val="12"/>
          <w:sz w:val="24"/>
          <w:szCs w:val="24"/>
        </w:rPr>
        <w:t>标</w:t>
      </w:r>
      <w:r>
        <w:rPr>
          <w:rFonts w:hint="eastAsia" w:asciiTheme="minorEastAsia" w:hAnsiTheme="minorEastAsia"/>
          <w:bCs/>
          <w:color w:val="auto"/>
          <w:kern w:val="12"/>
          <w:sz w:val="24"/>
          <w:szCs w:val="24"/>
        </w:rPr>
        <w:t>的，</w:t>
      </w:r>
      <w:r>
        <w:rPr>
          <w:rFonts w:asciiTheme="minorEastAsia" w:hAnsiTheme="minorEastAsia"/>
          <w:bCs/>
          <w:color w:val="auto"/>
          <w:kern w:val="12"/>
          <w:sz w:val="24"/>
          <w:szCs w:val="24"/>
        </w:rPr>
        <w:t>仅须</w:t>
      </w:r>
      <w:r>
        <w:rPr>
          <w:rFonts w:hint="eastAsia" w:asciiTheme="minorEastAsia" w:hAnsiTheme="minorEastAsia"/>
          <w:bCs/>
          <w:color w:val="auto"/>
          <w:kern w:val="12"/>
          <w:sz w:val="24"/>
          <w:szCs w:val="24"/>
        </w:rPr>
        <w:t>出具此</w:t>
      </w:r>
      <w:r>
        <w:rPr>
          <w:rFonts w:asciiTheme="minorEastAsia" w:hAnsiTheme="minorEastAsia"/>
          <w:bCs/>
          <w:color w:val="auto"/>
          <w:kern w:val="12"/>
          <w:sz w:val="24"/>
          <w:szCs w:val="24"/>
        </w:rPr>
        <w:t>证</w:t>
      </w:r>
      <w:r>
        <w:rPr>
          <w:rFonts w:hint="eastAsia" w:asciiTheme="minorEastAsia" w:hAnsiTheme="minorEastAsia"/>
          <w:bCs/>
          <w:color w:val="auto"/>
          <w:kern w:val="12"/>
          <w:sz w:val="24"/>
          <w:szCs w:val="24"/>
        </w:rPr>
        <w:t>明</w:t>
      </w:r>
      <w:r>
        <w:rPr>
          <w:rFonts w:asciiTheme="minorEastAsia" w:hAnsiTheme="minorEastAsia"/>
          <w:bCs/>
          <w:color w:val="auto"/>
          <w:kern w:val="12"/>
          <w:sz w:val="24"/>
          <w:szCs w:val="24"/>
        </w:rPr>
        <w:t>书</w:t>
      </w:r>
      <w:r>
        <w:rPr>
          <w:rFonts w:hint="eastAsia" w:asciiTheme="minorEastAsia" w:hAnsiTheme="minorEastAsia"/>
          <w:bCs/>
          <w:color w:val="auto"/>
          <w:kern w:val="12"/>
          <w:sz w:val="24"/>
          <w:szCs w:val="24"/>
        </w:rPr>
        <w:t>。</w:t>
      </w:r>
    </w:p>
    <w:p>
      <w:pPr>
        <w:spacing w:line="480" w:lineRule="exact"/>
        <w:jc w:val="center"/>
        <w:rPr>
          <w:rFonts w:ascii="宋体" w:hAnsi="宋体"/>
          <w:b/>
          <w:bCs/>
          <w:color w:val="auto"/>
          <w:sz w:val="36"/>
          <w:szCs w:val="36"/>
        </w:rPr>
      </w:pPr>
    </w:p>
    <w:p>
      <w:pPr>
        <w:pStyle w:val="2"/>
        <w:ind w:firstLine="340"/>
        <w:rPr>
          <w:color w:val="auto"/>
        </w:rPr>
      </w:pPr>
    </w:p>
    <w:p>
      <w:pPr>
        <w:jc w:val="center"/>
        <w:rPr>
          <w:rFonts w:ascii="宋体" w:hAnsi="宋体"/>
          <w:b/>
          <w:bCs/>
          <w:color w:val="auto"/>
          <w:sz w:val="36"/>
          <w:szCs w:val="36"/>
        </w:rPr>
      </w:pPr>
      <w:r>
        <w:rPr>
          <w:rFonts w:hint="eastAsia" w:ascii="宋体" w:hAnsi="宋体"/>
          <w:b/>
          <w:bCs/>
          <w:color w:val="auto"/>
          <w:sz w:val="36"/>
          <w:szCs w:val="36"/>
        </w:rPr>
        <w:t>3.3 法定代表人授权书</w:t>
      </w:r>
    </w:p>
    <w:p>
      <w:pPr>
        <w:spacing w:line="480" w:lineRule="exact"/>
        <w:jc w:val="center"/>
        <w:rPr>
          <w:rFonts w:ascii="宋体" w:hAnsi="宋体"/>
          <w:b/>
          <w:bCs/>
          <w:color w:val="auto"/>
          <w:sz w:val="36"/>
          <w:szCs w:val="36"/>
        </w:rPr>
      </w:pP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本人</w:t>
      </w:r>
      <w:r>
        <w:rPr>
          <w:rFonts w:hint="eastAsia" w:cs="Arial" w:asciiTheme="minorEastAsia" w:hAnsiTheme="minorEastAsia"/>
          <w:color w:val="auto"/>
          <w:sz w:val="24"/>
          <w:szCs w:val="24"/>
          <w:u w:val="single"/>
        </w:rPr>
        <w:t xml:space="preserve">　 </w:t>
      </w:r>
      <w:r>
        <w:rPr>
          <w:rFonts w:hint="eastAsia" w:asciiTheme="minorEastAsia" w:hAnsiTheme="minorEastAsia"/>
          <w:snapToGrid w:val="0"/>
          <w:color w:val="auto"/>
          <w:sz w:val="24"/>
          <w:szCs w:val="24"/>
          <w:u w:val="single"/>
        </w:rPr>
        <w:t xml:space="preserve">法人姓名 </w:t>
      </w:r>
      <w:r>
        <w:rPr>
          <w:rFonts w:hint="eastAsia" w:cs="Arial" w:asciiTheme="minorEastAsia" w:hAnsiTheme="minorEastAsia"/>
          <w:color w:val="auto"/>
          <w:sz w:val="24"/>
          <w:szCs w:val="24"/>
        </w:rPr>
        <w:t>系</w:t>
      </w:r>
      <w:r>
        <w:rPr>
          <w:rFonts w:hint="eastAsia" w:cs="Arial" w:asciiTheme="minorEastAsia" w:hAnsiTheme="minorEastAsia"/>
          <w:color w:val="auto"/>
          <w:sz w:val="24"/>
          <w:szCs w:val="24"/>
          <w:u w:val="single"/>
        </w:rPr>
        <w:t>　</w:t>
      </w:r>
      <w:r>
        <w:rPr>
          <w:rFonts w:hint="eastAsia" w:asciiTheme="minorEastAsia" w:hAnsiTheme="minorEastAsia"/>
          <w:snapToGrid w:val="0"/>
          <w:color w:val="auto"/>
          <w:sz w:val="24"/>
          <w:szCs w:val="24"/>
          <w:u w:val="single"/>
        </w:rPr>
        <w:t xml:space="preserve">投标人名称  </w:t>
      </w:r>
      <w:r>
        <w:rPr>
          <w:rFonts w:hint="eastAsia" w:cs="Arial" w:asciiTheme="minorEastAsia" w:hAnsiTheme="minorEastAsia"/>
          <w:color w:val="auto"/>
          <w:sz w:val="24"/>
          <w:szCs w:val="24"/>
        </w:rPr>
        <w:t>的法定代表人，现委托</w:t>
      </w:r>
      <w:r>
        <w:rPr>
          <w:rFonts w:hint="eastAsia" w:cs="Arial" w:asciiTheme="minorEastAsia" w:hAnsiTheme="minorEastAsia"/>
          <w:color w:val="auto"/>
          <w:sz w:val="24"/>
          <w:szCs w:val="24"/>
          <w:u w:val="single"/>
        </w:rPr>
        <w:t>　</w:t>
      </w:r>
      <w:r>
        <w:rPr>
          <w:rFonts w:hint="eastAsia" w:asciiTheme="minorEastAsia" w:hAnsiTheme="minorEastAsia"/>
          <w:snapToGrid w:val="0"/>
          <w:color w:val="auto"/>
          <w:sz w:val="24"/>
          <w:szCs w:val="24"/>
          <w:u w:val="single"/>
        </w:rPr>
        <w:t xml:space="preserve">姓名、职务  </w:t>
      </w:r>
      <w:r>
        <w:rPr>
          <w:rFonts w:hint="eastAsia" w:cs="Arial" w:asciiTheme="minorEastAsia" w:hAnsiTheme="minorEastAsia"/>
          <w:color w:val="auto"/>
          <w:sz w:val="24"/>
          <w:szCs w:val="24"/>
        </w:rPr>
        <w:t>以我方的名义参加贵方</w:t>
      </w:r>
      <w:r>
        <w:rPr>
          <w:rFonts w:hint="eastAsia" w:cs="Arial" w:asciiTheme="minorEastAsia" w:hAnsiTheme="minorEastAsia"/>
          <w:color w:val="auto"/>
          <w:sz w:val="24"/>
          <w:szCs w:val="24"/>
          <w:u w:val="single"/>
        </w:rPr>
        <w:t>______________________</w:t>
      </w:r>
      <w:r>
        <w:rPr>
          <w:rFonts w:hint="eastAsia" w:cs="Arial" w:asciiTheme="minorEastAsia" w:hAnsiTheme="minorEastAsia"/>
          <w:color w:val="auto"/>
          <w:sz w:val="24"/>
          <w:szCs w:val="24"/>
        </w:rPr>
        <w:t>（项目名称、标包）项目的投标活动，并代表我方全权办理针对上述项目的投标、开标、投标文件澄清、签约等一切具体事务和签署相关文件。</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我方对被授权人的签名事项负全部责任。</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被授权人无转委托权，特此委托。</w:t>
      </w:r>
    </w:p>
    <w:p>
      <w:pPr>
        <w:spacing w:line="48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 xml:space="preserve">投标人名称： </w:t>
      </w:r>
      <w:r>
        <w:rPr>
          <w:rFonts w:hint="eastAsia" w:asciiTheme="minorEastAsia" w:hAnsiTheme="minorEastAsia"/>
          <w:color w:val="auto"/>
          <w:sz w:val="24"/>
          <w:szCs w:val="24"/>
          <w:u w:val="single"/>
        </w:rPr>
        <w:t xml:space="preserve">       （全称）        </w:t>
      </w:r>
      <w:r>
        <w:rPr>
          <w:rFonts w:hint="eastAsia" w:asciiTheme="minorEastAsia" w:hAnsiTheme="minorEastAsia"/>
          <w:color w:val="auto"/>
          <w:sz w:val="24"/>
          <w:szCs w:val="24"/>
        </w:rPr>
        <w:t>（盖单位公章）</w:t>
      </w:r>
    </w:p>
    <w:p>
      <w:pPr>
        <w:spacing w:line="48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法定代表人：（签字或加盖名章）</w:t>
      </w:r>
      <w:r>
        <w:rPr>
          <w:rFonts w:hint="eastAsia" w:asciiTheme="minorEastAsia" w:hAnsiTheme="minorEastAsia"/>
          <w:snapToGrid w:val="0"/>
          <w:color w:val="auto"/>
          <w:kern w:val="0"/>
          <w:sz w:val="24"/>
          <w:szCs w:val="24"/>
        </w:rPr>
        <w:t>____________________</w:t>
      </w:r>
    </w:p>
    <w:p>
      <w:pPr>
        <w:spacing w:line="480" w:lineRule="auto"/>
        <w:ind w:firstLine="480" w:firstLineChars="200"/>
        <w:rPr>
          <w:rFonts w:hint="eastAsia" w:asciiTheme="minorEastAsia" w:hAnsiTheme="minorEastAsia"/>
          <w:snapToGrid w:val="0"/>
          <w:color w:val="auto"/>
          <w:kern w:val="0"/>
          <w:sz w:val="24"/>
          <w:szCs w:val="24"/>
        </w:rPr>
      </w:pPr>
      <w:r>
        <w:rPr>
          <w:rFonts w:hint="eastAsia" w:asciiTheme="minorEastAsia" w:hAnsiTheme="minorEastAsia"/>
          <w:color w:val="auto"/>
          <w:sz w:val="24"/>
          <w:szCs w:val="24"/>
        </w:rPr>
        <w:t>法定代表人授权代表：（签字或加盖名章）</w:t>
      </w:r>
      <w:r>
        <w:rPr>
          <w:rFonts w:hint="eastAsia" w:asciiTheme="minorEastAsia" w:hAnsiTheme="minorEastAsia"/>
          <w:snapToGrid w:val="0"/>
          <w:color w:val="auto"/>
          <w:kern w:val="0"/>
          <w:sz w:val="24"/>
          <w:szCs w:val="24"/>
        </w:rPr>
        <w:t>____________</w:t>
      </w:r>
    </w:p>
    <w:p>
      <w:pPr>
        <w:spacing w:line="480" w:lineRule="auto"/>
        <w:ind w:firstLine="480" w:firstLineChars="200"/>
        <w:rPr>
          <w:rFonts w:hint="default" w:asciiTheme="minorEastAsia" w:hAnsiTheme="minorEastAsia" w:eastAsiaTheme="minorEastAsia"/>
          <w:color w:val="auto"/>
          <w:sz w:val="24"/>
          <w:szCs w:val="24"/>
          <w:lang w:val="en-US" w:eastAsia="zh-CN"/>
        </w:rPr>
      </w:pPr>
      <w:r>
        <w:rPr>
          <w:rFonts w:hint="eastAsia" w:asciiTheme="minorEastAsia" w:hAnsiTheme="minorEastAsia"/>
          <w:color w:val="auto"/>
          <w:sz w:val="24"/>
          <w:szCs w:val="24"/>
        </w:rPr>
        <w:t>法定代表人（单位负责人）授权代表联系电话（手机）：</w:t>
      </w:r>
      <w:r>
        <w:rPr>
          <w:rFonts w:hint="eastAsia" w:asciiTheme="minorEastAsia" w:hAnsiTheme="minorEastAsia"/>
          <w:color w:val="auto"/>
          <w:sz w:val="24"/>
          <w:szCs w:val="24"/>
          <w:lang w:val="en-US" w:eastAsia="zh-CN"/>
        </w:rPr>
        <w:t xml:space="preserve"> </w:t>
      </w:r>
      <w:r>
        <w:rPr>
          <w:rFonts w:hint="eastAsia" w:asciiTheme="minorEastAsia" w:hAnsiTheme="minorEastAsia"/>
          <w:color w:val="auto"/>
          <w:sz w:val="24"/>
          <w:szCs w:val="24"/>
          <w:u w:val="single"/>
          <w:lang w:val="en-US" w:eastAsia="zh-CN"/>
        </w:rPr>
        <w:t xml:space="preserve">               </w:t>
      </w:r>
      <w:bookmarkStart w:id="12" w:name="_GoBack"/>
      <w:bookmarkEnd w:id="12"/>
      <w:r>
        <w:rPr>
          <w:rFonts w:hint="eastAsia" w:asciiTheme="minorEastAsia" w:hAnsiTheme="minorEastAsia"/>
          <w:color w:val="auto"/>
          <w:sz w:val="24"/>
          <w:szCs w:val="24"/>
          <w:u w:val="single"/>
          <w:lang w:val="en-US" w:eastAsia="zh-CN"/>
        </w:rPr>
        <w:t xml:space="preserve">  </w:t>
      </w:r>
    </w:p>
    <w:tbl>
      <w:tblPr>
        <w:tblStyle w:val="26"/>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color w:val="auto"/>
                <w:sz w:val="24"/>
                <w:szCs w:val="24"/>
              </w:rPr>
            </w:pPr>
            <w:r>
              <w:rPr>
                <w:rFonts w:hint="eastAsia" w:asciiTheme="minorEastAsia" w:hAnsiTheme="minorEastAsia"/>
                <w:color w:val="auto"/>
                <w:sz w:val="24"/>
                <w:szCs w:val="24"/>
              </w:rPr>
              <w:t>法定代表人身份证（正面）</w:t>
            </w:r>
          </w:p>
        </w:tc>
        <w:tc>
          <w:tcPr>
            <w:tcW w:w="4485" w:type="dxa"/>
            <w:gridSpan w:val="2"/>
            <w:vAlign w:val="center"/>
          </w:tcPr>
          <w:p>
            <w:pPr>
              <w:jc w:val="center"/>
              <w:rPr>
                <w:rFonts w:asciiTheme="minorEastAsia" w:hAnsiTheme="minorEastAsia"/>
                <w:color w:val="auto"/>
                <w:sz w:val="24"/>
                <w:szCs w:val="24"/>
              </w:rPr>
            </w:pPr>
            <w:r>
              <w:rPr>
                <w:rFonts w:hint="eastAsia" w:asciiTheme="minorEastAsia" w:hAnsiTheme="minorEastAsia"/>
                <w:color w:val="auto"/>
                <w:sz w:val="24"/>
                <w:szCs w:val="24"/>
              </w:rPr>
              <w:t>法定代表人身份证（反面）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color w:val="auto"/>
                <w:sz w:val="24"/>
                <w:szCs w:val="24"/>
              </w:rPr>
            </w:pPr>
            <w:bookmarkStart w:id="7" w:name="_资格证明文件"/>
            <w:bookmarkEnd w:id="7"/>
            <w:bookmarkStart w:id="8" w:name="_Toc364329026"/>
            <w:r>
              <w:rPr>
                <w:rFonts w:hint="eastAsia" w:asciiTheme="minorEastAsia" w:hAnsiTheme="minorEastAsia"/>
                <w:color w:val="auto"/>
                <w:sz w:val="24"/>
                <w:szCs w:val="24"/>
              </w:rPr>
              <w:t>法定代表人授权代表身份证（正面）</w:t>
            </w:r>
            <w:bookmarkEnd w:id="8"/>
          </w:p>
        </w:tc>
        <w:tc>
          <w:tcPr>
            <w:tcW w:w="4492" w:type="dxa"/>
            <w:gridSpan w:val="2"/>
            <w:vAlign w:val="center"/>
          </w:tcPr>
          <w:p>
            <w:pPr>
              <w:jc w:val="center"/>
              <w:rPr>
                <w:rFonts w:asciiTheme="minorEastAsia" w:hAnsiTheme="minorEastAsia"/>
                <w:color w:val="auto"/>
                <w:sz w:val="24"/>
                <w:szCs w:val="24"/>
              </w:rPr>
            </w:pPr>
            <w:bookmarkStart w:id="9" w:name="_Toc364329027"/>
            <w:r>
              <w:rPr>
                <w:rFonts w:hint="eastAsia" w:asciiTheme="minorEastAsia" w:hAnsiTheme="minorEastAsia"/>
                <w:color w:val="auto"/>
                <w:sz w:val="24"/>
                <w:szCs w:val="24"/>
              </w:rPr>
              <w:t>法定代表人授权代表身份证（反面）</w:t>
            </w:r>
            <w:bookmarkEnd w:id="9"/>
          </w:p>
        </w:tc>
      </w:tr>
    </w:tbl>
    <w:p>
      <w:pPr>
        <w:spacing w:line="320" w:lineRule="exact"/>
        <w:ind w:left="2" w:firstLine="357" w:firstLineChars="149"/>
        <w:rPr>
          <w:rFonts w:cs="Courier New" w:asciiTheme="minorEastAsia" w:hAnsiTheme="minorEastAsia"/>
          <w:color w:val="auto"/>
          <w:sz w:val="24"/>
          <w:szCs w:val="24"/>
        </w:rPr>
      </w:pPr>
    </w:p>
    <w:p>
      <w:pPr>
        <w:pStyle w:val="2"/>
        <w:ind w:firstLine="340"/>
        <w:rPr>
          <w:color w:val="auto"/>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3.4 没有重大违法记录的声明</w:t>
      </w:r>
    </w:p>
    <w:p>
      <w:pPr>
        <w:spacing w:before="156" w:beforeLines="50" w:after="156" w:afterLines="50"/>
        <w:jc w:val="center"/>
        <w:rPr>
          <w:rFonts w:ascii="宋体" w:hAnsi="宋体" w:cs="Arial"/>
          <w:color w:val="auto"/>
          <w:kern w:val="0"/>
          <w:sz w:val="36"/>
          <w:szCs w:val="36"/>
        </w:rPr>
      </w:pPr>
      <w:r>
        <w:rPr>
          <w:rFonts w:hint="eastAsia" w:ascii="宋体" w:hAnsi="宋体" w:cs="Arial"/>
          <w:color w:val="auto"/>
          <w:kern w:val="0"/>
          <w:sz w:val="36"/>
          <w:szCs w:val="36"/>
        </w:rPr>
        <w:t>声　   明</w:t>
      </w:r>
    </w:p>
    <w:p>
      <w:pPr>
        <w:spacing w:before="156" w:beforeLines="50" w:after="156" w:afterLines="50" w:line="360" w:lineRule="auto"/>
        <w:ind w:firstLine="480" w:firstLineChars="20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156" w:beforeLines="50" w:after="156" w:afterLines="50" w:line="36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特此声明。</w:t>
      </w:r>
    </w:p>
    <w:p>
      <w:pPr>
        <w:spacing w:before="156" w:beforeLines="50" w:after="156" w:afterLines="50" w:line="360" w:lineRule="auto"/>
        <w:ind w:firstLine="480" w:firstLineChars="20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本公司对上述声明的真实性负责。如有虚假，将依法承担相应责任。</w:t>
      </w:r>
    </w:p>
    <w:p>
      <w:pPr>
        <w:spacing w:before="156" w:beforeLines="50" w:after="156" w:afterLines="50" w:line="360" w:lineRule="auto"/>
        <w:ind w:firstLine="566" w:firstLineChars="236"/>
        <w:rPr>
          <w:rFonts w:cs="宋体" w:asciiTheme="minorEastAsia" w:hAnsiTheme="minorEastAsia"/>
          <w:color w:val="auto"/>
          <w:sz w:val="24"/>
          <w:szCs w:val="24"/>
          <w:lang w:val="zh-CN"/>
        </w:rPr>
      </w:pPr>
    </w:p>
    <w:p>
      <w:pPr>
        <w:spacing w:before="156" w:beforeLines="50" w:after="156" w:afterLines="50" w:line="360" w:lineRule="auto"/>
        <w:ind w:right="420" w:firstLine="5486" w:firstLineChars="2286"/>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投标人名称（盖章）：</w:t>
      </w:r>
    </w:p>
    <w:p>
      <w:pPr>
        <w:spacing w:before="156" w:beforeLines="50" w:after="156" w:afterLines="50" w:line="360" w:lineRule="auto"/>
        <w:ind w:right="420" w:firstLine="5520" w:firstLineChars="230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日    期：</w:t>
      </w:r>
      <w:r>
        <w:rPr>
          <w:rFonts w:hint="eastAsia" w:cs="宋体" w:asciiTheme="minorEastAsia" w:hAnsiTheme="minorEastAsia"/>
          <w:color w:val="auto"/>
          <w:szCs w:val="21"/>
        </w:rPr>
        <w:t>年    月    日</w:t>
      </w:r>
    </w:p>
    <w:p>
      <w:pPr>
        <w:spacing w:before="156" w:beforeLines="50" w:after="156" w:afterLines="50" w:line="360" w:lineRule="auto"/>
        <w:ind w:right="420" w:firstLine="8262" w:firstLineChars="2286"/>
        <w:rPr>
          <w:rFonts w:ascii="宋体" w:hAnsi="宋体"/>
          <w:b/>
          <w:bCs/>
          <w:color w:val="auto"/>
          <w:sz w:val="36"/>
          <w:szCs w:val="36"/>
        </w:rPr>
      </w:pPr>
    </w:p>
    <w:p>
      <w:pPr>
        <w:pStyle w:val="2"/>
        <w:ind w:firstLine="340"/>
        <w:rPr>
          <w:color w:val="auto"/>
        </w:rPr>
      </w:pPr>
    </w:p>
    <w:p>
      <w:pPr>
        <w:pStyle w:val="2"/>
        <w:ind w:firstLine="340"/>
        <w:rPr>
          <w:color w:val="auto"/>
        </w:rPr>
      </w:pPr>
    </w:p>
    <w:p>
      <w:pPr>
        <w:pStyle w:val="2"/>
        <w:ind w:firstLine="340"/>
        <w:rPr>
          <w:color w:val="auto"/>
        </w:rPr>
      </w:pPr>
    </w:p>
    <w:p>
      <w:pPr>
        <w:pStyle w:val="2"/>
        <w:ind w:firstLine="340"/>
        <w:rPr>
          <w:color w:val="auto"/>
        </w:rPr>
      </w:pPr>
    </w:p>
    <w:p>
      <w:pPr>
        <w:pStyle w:val="2"/>
        <w:ind w:firstLine="340"/>
        <w:rPr>
          <w:color w:val="auto"/>
        </w:rPr>
      </w:pPr>
    </w:p>
    <w:p>
      <w:pPr>
        <w:pStyle w:val="2"/>
        <w:ind w:firstLine="340"/>
        <w:rPr>
          <w:color w:val="auto"/>
        </w:rPr>
      </w:pPr>
    </w:p>
    <w:p>
      <w:pPr>
        <w:pStyle w:val="2"/>
        <w:ind w:firstLine="340"/>
        <w:rPr>
          <w:color w:val="auto"/>
        </w:rPr>
      </w:pPr>
    </w:p>
    <w:p>
      <w:pPr>
        <w:pStyle w:val="2"/>
        <w:ind w:firstLine="340"/>
        <w:rPr>
          <w:color w:val="auto"/>
        </w:rPr>
      </w:pPr>
    </w:p>
    <w:p>
      <w:pPr>
        <w:autoSpaceDE w:val="0"/>
        <w:autoSpaceDN w:val="0"/>
        <w:adjustRightInd w:val="0"/>
        <w:spacing w:line="360" w:lineRule="auto"/>
        <w:jc w:val="center"/>
        <w:outlineLvl w:val="0"/>
        <w:rPr>
          <w:rFonts w:ascii="宋体" w:hAnsi="宋体"/>
          <w:b/>
          <w:bCs/>
          <w:color w:val="auto"/>
          <w:sz w:val="36"/>
          <w:szCs w:val="36"/>
        </w:rPr>
      </w:pPr>
      <w:r>
        <w:rPr>
          <w:rFonts w:hint="eastAsia" w:ascii="宋体" w:hAnsi="宋体"/>
          <w:b/>
          <w:bCs/>
          <w:color w:val="auto"/>
          <w:sz w:val="36"/>
          <w:szCs w:val="36"/>
        </w:rPr>
        <w:t>3.5 投标承诺函</w:t>
      </w:r>
    </w:p>
    <w:p>
      <w:pPr>
        <w:autoSpaceDE w:val="0"/>
        <w:autoSpaceDN w:val="0"/>
        <w:snapToGrid w:val="0"/>
        <w:spacing w:line="360" w:lineRule="auto"/>
        <w:jc w:val="center"/>
        <w:rPr>
          <w:rFonts w:ascii="宋体" w:hAnsi="宋体" w:eastAsia="宋体" w:cs="宋体"/>
          <w:color w:val="auto"/>
          <w:szCs w:val="21"/>
          <w:lang w:val="zh-CN"/>
        </w:rPr>
      </w:pPr>
    </w:p>
    <w:p>
      <w:pPr>
        <w:spacing w:before="156" w:beforeLines="50" w:after="156" w:afterLines="50" w:line="360" w:lineRule="auto"/>
        <w:ind w:firstLine="420" w:firstLineChars="200"/>
        <w:contextualSpacing/>
        <w:rPr>
          <w:rFonts w:ascii="宋体" w:hAnsi="宋体" w:eastAsia="宋体" w:cs="宋体"/>
          <w:color w:val="auto"/>
          <w:szCs w:val="21"/>
          <w:u w:val="single"/>
          <w:lang w:val="zh-CN"/>
        </w:rPr>
      </w:pPr>
      <w:r>
        <w:rPr>
          <w:rFonts w:hint="eastAsia" w:ascii="宋体" w:hAnsi="宋体" w:cs="宋体"/>
          <w:color w:val="auto"/>
          <w:szCs w:val="21"/>
          <w:u w:val="single"/>
          <w:lang w:val="zh-CN"/>
        </w:rPr>
        <w:t xml:space="preserve">            </w:t>
      </w:r>
      <w:r>
        <w:rPr>
          <w:rFonts w:hint="eastAsia" w:asciiTheme="minorEastAsia" w:hAnsiTheme="minorEastAsia"/>
          <w:b/>
          <w:snapToGrid w:val="0"/>
          <w:color w:val="auto"/>
          <w:kern w:val="0"/>
          <w:sz w:val="24"/>
          <w:szCs w:val="24"/>
          <w:u w:val="single"/>
        </w:rPr>
        <w:t>（采购人）</w:t>
      </w:r>
      <w:r>
        <w:rPr>
          <w:rFonts w:ascii="宋体" w:hAnsi="宋体" w:eastAsia="宋体" w:cs="宋体"/>
          <w:color w:val="auto"/>
          <w:szCs w:val="21"/>
          <w:u w:val="single"/>
          <w:lang w:val="zh-CN"/>
        </w:rPr>
        <w:t>：</w:t>
      </w:r>
    </w:p>
    <w:p>
      <w:pPr>
        <w:spacing w:before="156" w:beforeLines="50" w:after="156" w:afterLines="50" w:line="360" w:lineRule="auto"/>
        <w:ind w:firstLine="420" w:firstLineChars="200"/>
        <w:contextualSpacing/>
        <w:rPr>
          <w:rFonts w:cs="宋体" w:asciiTheme="minorEastAsia" w:hAnsiTheme="minorEastAsia"/>
          <w:color w:val="auto"/>
          <w:szCs w:val="21"/>
          <w:lang w:val="zh-CN"/>
        </w:rPr>
      </w:pPr>
      <w:r>
        <w:rPr>
          <w:rFonts w:ascii="宋体" w:hAnsi="宋体" w:eastAsia="宋体" w:cs="宋体"/>
          <w:color w:val="auto"/>
          <w:szCs w:val="21"/>
          <w:lang w:val="zh-CN"/>
        </w:rPr>
        <w:t>经研究，我</w:t>
      </w:r>
      <w:r>
        <w:rPr>
          <w:rFonts w:hint="eastAsia" w:cs="宋体" w:asciiTheme="minorEastAsia" w:hAnsiTheme="minorEastAsia"/>
          <w:color w:val="auto"/>
          <w:szCs w:val="21"/>
          <w:lang w:val="zh-CN"/>
        </w:rPr>
        <w:t>方自愿参与贵方</w:t>
      </w:r>
      <w:r>
        <w:rPr>
          <w:rFonts w:hint="eastAsia" w:ascii="宋体" w:hAnsi="宋体" w:eastAsia="宋体" w:cs="宋体"/>
          <w:color w:val="auto"/>
          <w:szCs w:val="21"/>
          <w:u w:val="single"/>
          <w:lang w:val="zh-CN"/>
        </w:rPr>
        <w:t xml:space="preserve"> </w:t>
      </w:r>
      <w:r>
        <w:rPr>
          <w:rFonts w:hint="eastAsia" w:cs="宋体" w:asciiTheme="minorEastAsia" w:hAnsiTheme="minorEastAsia"/>
          <w:color w:val="auto"/>
          <w:szCs w:val="21"/>
          <w:u w:val="single"/>
          <w:lang w:val="zh-CN"/>
        </w:rPr>
        <w:t xml:space="preserve">  </w:t>
      </w:r>
      <w:r>
        <w:rPr>
          <w:rFonts w:hint="eastAsia" w:ascii="宋体" w:hAnsi="宋体" w:eastAsia="宋体" w:cs="宋体"/>
          <w:color w:val="auto"/>
          <w:szCs w:val="21"/>
          <w:u w:val="single"/>
          <w:lang w:val="zh-CN"/>
        </w:rPr>
        <w:t xml:space="preserve"> </w:t>
      </w:r>
      <w:r>
        <w:rPr>
          <w:rFonts w:hint="eastAsia" w:cs="宋体" w:asciiTheme="minorEastAsia" w:hAnsiTheme="minorEastAsia"/>
          <w:color w:val="auto"/>
          <w:szCs w:val="21"/>
          <w:u w:val="single"/>
          <w:lang w:val="zh-CN"/>
        </w:rPr>
        <w:t xml:space="preserve">  </w:t>
      </w:r>
      <w:r>
        <w:rPr>
          <w:rFonts w:hint="eastAsia" w:ascii="宋体" w:hAnsi="宋体" w:eastAsia="宋体" w:cs="宋体"/>
          <w:color w:val="auto"/>
          <w:szCs w:val="21"/>
          <w:u w:val="single"/>
          <w:lang w:val="zh-CN"/>
        </w:rPr>
        <w:t xml:space="preserve"> </w:t>
      </w:r>
      <w:r>
        <w:rPr>
          <w:rFonts w:ascii="宋体" w:hAnsi="宋体" w:eastAsia="宋体" w:cs="宋体"/>
          <w:color w:val="auto"/>
          <w:szCs w:val="21"/>
          <w:lang w:val="zh-CN"/>
        </w:rPr>
        <w:t>年____月</w:t>
      </w:r>
      <w:r>
        <w:rPr>
          <w:rFonts w:hint="eastAsia" w:cs="宋体" w:asciiTheme="minorEastAsia" w:hAnsiTheme="minorEastAsia"/>
          <w:color w:val="auto"/>
          <w:szCs w:val="21"/>
          <w:u w:val="single"/>
          <w:lang w:val="zh-CN"/>
        </w:rPr>
        <w:t xml:space="preserve">    </w:t>
      </w:r>
      <w:r>
        <w:rPr>
          <w:rFonts w:hint="eastAsia" w:cs="宋体" w:asciiTheme="minorEastAsia" w:hAnsiTheme="minorEastAsia"/>
          <w:color w:val="auto"/>
          <w:szCs w:val="21"/>
          <w:lang w:val="zh-CN"/>
        </w:rPr>
        <w:t xml:space="preserve"> </w:t>
      </w:r>
      <w:r>
        <w:rPr>
          <w:rFonts w:ascii="宋体" w:hAnsi="宋体" w:eastAsia="宋体" w:cs="宋体"/>
          <w:color w:val="auto"/>
          <w:szCs w:val="21"/>
          <w:lang w:val="zh-CN"/>
        </w:rPr>
        <w:t>日</w:t>
      </w:r>
      <w:r>
        <w:rPr>
          <w:rFonts w:hint="eastAsia" w:cs="宋体" w:asciiTheme="minorEastAsia" w:hAnsiTheme="minorEastAsia"/>
          <w:color w:val="auto"/>
          <w:szCs w:val="21"/>
          <w:lang w:val="zh-CN"/>
        </w:rPr>
        <w:t xml:space="preserve"> </w:t>
      </w:r>
      <w:r>
        <w:rPr>
          <w:rFonts w:hint="eastAsia" w:cs="宋体" w:asciiTheme="minorEastAsia" w:hAnsiTheme="minorEastAsia"/>
          <w:color w:val="auto"/>
          <w:szCs w:val="21"/>
          <w:u w:val="single"/>
          <w:lang w:val="zh-CN"/>
        </w:rPr>
        <w:t xml:space="preserve">                     </w:t>
      </w:r>
      <w:r>
        <w:rPr>
          <w:rFonts w:ascii="宋体" w:hAnsi="宋体" w:eastAsia="宋体" w:cs="宋体"/>
          <w:color w:val="auto"/>
          <w:szCs w:val="21"/>
          <w:u w:val="single"/>
          <w:lang w:val="zh-CN"/>
        </w:rPr>
        <w:t>_</w:t>
      </w:r>
      <w:r>
        <w:rPr>
          <w:rFonts w:hint="eastAsia" w:cs="宋体" w:asciiTheme="minorEastAsia" w:hAnsiTheme="minorEastAsia"/>
          <w:color w:val="auto"/>
          <w:szCs w:val="21"/>
          <w:lang w:val="zh-CN"/>
        </w:rPr>
        <w:t>（招标编号、项目名称）的</w:t>
      </w:r>
      <w:r>
        <w:rPr>
          <w:rFonts w:ascii="宋体" w:hAnsi="宋体" w:eastAsia="宋体" w:cs="宋体"/>
          <w:color w:val="auto"/>
          <w:szCs w:val="21"/>
          <w:lang w:val="zh-CN"/>
        </w:rPr>
        <w:t>投标，</w:t>
      </w:r>
      <w:r>
        <w:rPr>
          <w:rFonts w:hint="eastAsia" w:cs="宋体" w:asciiTheme="minorEastAsia" w:hAnsiTheme="minorEastAsia"/>
          <w:color w:val="auto"/>
          <w:szCs w:val="21"/>
          <w:lang w:val="zh-CN"/>
        </w:rPr>
        <w:t>将</w:t>
      </w:r>
      <w:r>
        <w:rPr>
          <w:rFonts w:ascii="宋体" w:hAnsi="宋体" w:eastAsia="宋体" w:cs="宋体"/>
          <w:color w:val="auto"/>
          <w:szCs w:val="21"/>
          <w:lang w:val="zh-CN"/>
        </w:rPr>
        <w:t>严格</w:t>
      </w:r>
      <w:r>
        <w:rPr>
          <w:rFonts w:hint="eastAsia" w:cs="宋体" w:asciiTheme="minorEastAsia" w:hAnsiTheme="minorEastAsia"/>
          <w:color w:val="auto"/>
          <w:szCs w:val="21"/>
          <w:lang w:val="zh-CN"/>
        </w:rPr>
        <w:t>遵守</w:t>
      </w:r>
      <w:r>
        <w:rPr>
          <w:rFonts w:ascii="宋体" w:hAnsi="宋体" w:eastAsia="宋体" w:cs="宋体"/>
          <w:color w:val="auto"/>
          <w:szCs w:val="21"/>
          <w:lang w:val="zh-CN"/>
        </w:rPr>
        <w:t>《</w:t>
      </w:r>
      <w:r>
        <w:rPr>
          <w:rFonts w:hint="eastAsia" w:cs="宋体" w:asciiTheme="minorEastAsia" w:hAnsiTheme="minorEastAsia"/>
          <w:color w:val="auto"/>
          <w:szCs w:val="21"/>
          <w:lang w:val="zh-CN"/>
        </w:rPr>
        <w:t>中华人民共和国政府采购</w:t>
      </w:r>
      <w:r>
        <w:rPr>
          <w:rFonts w:ascii="宋体" w:hAnsi="宋体" w:eastAsia="宋体" w:cs="宋体"/>
          <w:color w:val="auto"/>
          <w:szCs w:val="21"/>
          <w:lang w:val="zh-CN"/>
        </w:rPr>
        <w:t>法》等</w:t>
      </w:r>
      <w:r>
        <w:rPr>
          <w:rFonts w:hint="eastAsia" w:cs="宋体" w:asciiTheme="minorEastAsia" w:hAnsiTheme="minorEastAsia"/>
          <w:color w:val="auto"/>
          <w:szCs w:val="21"/>
          <w:lang w:val="zh-CN"/>
        </w:rPr>
        <w:t>相关</w:t>
      </w:r>
      <w:r>
        <w:rPr>
          <w:rFonts w:ascii="宋体" w:hAnsi="宋体" w:eastAsia="宋体" w:cs="宋体"/>
          <w:color w:val="auto"/>
          <w:szCs w:val="21"/>
          <w:lang w:val="zh-CN"/>
        </w:rPr>
        <w:t>法律法规</w:t>
      </w:r>
      <w:r>
        <w:rPr>
          <w:rFonts w:hint="eastAsia" w:cs="宋体" w:asciiTheme="minorEastAsia" w:hAnsiTheme="minorEastAsia"/>
          <w:color w:val="auto"/>
          <w:szCs w:val="21"/>
          <w:lang w:val="zh-CN"/>
        </w:rPr>
        <w:t>规定</w:t>
      </w:r>
      <w:r>
        <w:rPr>
          <w:rFonts w:cs="宋体" w:asciiTheme="minorEastAsia" w:hAnsiTheme="minorEastAsia"/>
          <w:color w:val="auto"/>
          <w:szCs w:val="21"/>
          <w:lang w:val="zh-CN"/>
        </w:rPr>
        <w:t>，并无条件地遵守本次采购活动各项规定。我们郑重承诺：</w:t>
      </w:r>
      <w:r>
        <w:rPr>
          <w:rFonts w:hint="eastAsia" w:cs="宋体" w:asciiTheme="minorEastAsia" w:hAnsiTheme="minorEastAsia"/>
          <w:color w:val="auto"/>
          <w:szCs w:val="21"/>
          <w:lang w:val="zh-CN"/>
        </w:rPr>
        <w:t>我方</w:t>
      </w:r>
      <w:r>
        <w:rPr>
          <w:rFonts w:cs="宋体" w:asciiTheme="minorEastAsia" w:hAnsiTheme="minorEastAsia"/>
          <w:color w:val="auto"/>
          <w:szCs w:val="21"/>
          <w:lang w:val="zh-CN"/>
        </w:rPr>
        <w:t>如果在本次</w:t>
      </w:r>
      <w:r>
        <w:rPr>
          <w:rFonts w:hint="eastAsia" w:cs="宋体" w:asciiTheme="minorEastAsia" w:hAnsiTheme="minorEastAsia"/>
          <w:color w:val="auto"/>
          <w:szCs w:val="21"/>
          <w:lang w:val="zh-CN"/>
        </w:rPr>
        <w:t>投标</w:t>
      </w:r>
      <w:r>
        <w:rPr>
          <w:rFonts w:cs="宋体" w:asciiTheme="minorEastAsia" w:hAnsiTheme="minorEastAsia"/>
          <w:color w:val="auto"/>
          <w:szCs w:val="21"/>
          <w:lang w:val="zh-CN"/>
        </w:rPr>
        <w:t>活动中有</w:t>
      </w:r>
      <w:r>
        <w:rPr>
          <w:rFonts w:hint="eastAsia" w:cs="宋体" w:asciiTheme="minorEastAsia" w:hAnsiTheme="minorEastAsia"/>
          <w:color w:val="auto"/>
          <w:szCs w:val="21"/>
          <w:lang w:val="zh-CN"/>
        </w:rPr>
        <w:t>下列</w:t>
      </w:r>
      <w:r>
        <w:rPr>
          <w:rFonts w:cs="宋体" w:asciiTheme="minorEastAsia" w:hAnsiTheme="minorEastAsia"/>
          <w:color w:val="auto"/>
          <w:szCs w:val="21"/>
          <w:lang w:val="zh-CN"/>
        </w:rPr>
        <w:t>情形</w:t>
      </w:r>
      <w:r>
        <w:rPr>
          <w:rFonts w:hint="eastAsia" w:cs="宋体" w:asciiTheme="minorEastAsia" w:hAnsiTheme="minorEastAsia"/>
          <w:color w:val="auto"/>
          <w:szCs w:val="21"/>
          <w:lang w:val="zh-CN"/>
        </w:rPr>
        <w:t>之一</w:t>
      </w:r>
      <w:r>
        <w:rPr>
          <w:rFonts w:cs="宋体" w:asciiTheme="minorEastAsia" w:hAnsiTheme="minorEastAsia"/>
          <w:color w:val="auto"/>
          <w:szCs w:val="21"/>
          <w:lang w:val="zh-CN"/>
        </w:rPr>
        <w:t>的，愿接受政府采购</w:t>
      </w:r>
      <w:r>
        <w:rPr>
          <w:rFonts w:hint="eastAsia" w:cs="宋体" w:asciiTheme="minorEastAsia" w:hAnsiTheme="minorEastAsia"/>
          <w:color w:val="auto"/>
          <w:szCs w:val="21"/>
          <w:lang w:val="zh-CN"/>
        </w:rPr>
        <w:t>监督管理</w:t>
      </w:r>
      <w:r>
        <w:rPr>
          <w:rFonts w:cs="宋体" w:asciiTheme="minorEastAsia" w:hAnsiTheme="minorEastAsia"/>
          <w:color w:val="auto"/>
          <w:szCs w:val="21"/>
          <w:lang w:val="zh-CN"/>
        </w:rPr>
        <w:t>部门给予相关处罚并</w:t>
      </w:r>
      <w:r>
        <w:rPr>
          <w:rFonts w:hint="eastAsia" w:cs="宋体" w:asciiTheme="minorEastAsia" w:hAnsiTheme="minorEastAsia"/>
          <w:color w:val="auto"/>
          <w:szCs w:val="21"/>
          <w:lang w:val="zh-CN"/>
        </w:rPr>
        <w:t>承诺依法</w:t>
      </w:r>
      <w:r>
        <w:rPr>
          <w:rFonts w:cs="宋体" w:asciiTheme="minorEastAsia" w:hAnsiTheme="minorEastAsia"/>
          <w:color w:val="auto"/>
          <w:szCs w:val="21"/>
          <w:lang w:val="zh-CN"/>
        </w:rPr>
        <w:t>承担</w:t>
      </w:r>
      <w:r>
        <w:rPr>
          <w:rFonts w:hint="eastAsia" w:cs="宋体" w:asciiTheme="minorEastAsia" w:hAnsiTheme="minorEastAsia"/>
          <w:color w:val="auto"/>
          <w:szCs w:val="21"/>
          <w:lang w:val="zh-CN"/>
        </w:rPr>
        <w:t>相关的经济赔偿责任和</w:t>
      </w:r>
      <w:r>
        <w:rPr>
          <w:rFonts w:cs="宋体" w:asciiTheme="minorEastAsia" w:hAnsiTheme="minorEastAsia"/>
          <w:color w:val="auto"/>
          <w:szCs w:val="21"/>
          <w:lang w:val="zh-CN"/>
        </w:rPr>
        <w:t>法律责任。</w:t>
      </w:r>
    </w:p>
    <w:p>
      <w:pPr>
        <w:spacing w:before="156" w:beforeLines="50" w:after="156" w:afterLines="50" w:line="360" w:lineRule="auto"/>
        <w:ind w:firstLine="420" w:firstLineChars="200"/>
        <w:contextualSpacing/>
        <w:rPr>
          <w:rFonts w:cs="宋体" w:asciiTheme="minorEastAsia" w:hAnsiTheme="minorEastAsia"/>
          <w:color w:val="auto"/>
          <w:szCs w:val="21"/>
          <w:lang w:val="zh-CN"/>
        </w:rPr>
      </w:pPr>
      <w:r>
        <w:rPr>
          <w:rFonts w:hint="eastAsia" w:cs="宋体" w:asciiTheme="minorEastAsia" w:hAnsiTheme="minorEastAsia"/>
          <w:color w:val="auto"/>
          <w:szCs w:val="21"/>
          <w:lang w:val="zh-CN"/>
        </w:rPr>
        <w:t>一、在投标有效期内撤销投标文件；</w:t>
      </w:r>
    </w:p>
    <w:p>
      <w:pPr>
        <w:spacing w:before="156" w:beforeLines="50" w:after="156" w:afterLines="50" w:line="360" w:lineRule="auto"/>
        <w:ind w:firstLine="420" w:firstLineChars="200"/>
        <w:contextualSpacing/>
        <w:rPr>
          <w:rFonts w:cs="宋体" w:asciiTheme="minorEastAsia" w:hAnsiTheme="minorEastAsia"/>
          <w:color w:val="auto"/>
          <w:szCs w:val="21"/>
          <w:lang w:val="zh-CN"/>
        </w:rPr>
      </w:pPr>
      <w:r>
        <w:rPr>
          <w:rFonts w:hint="eastAsia" w:cs="宋体" w:asciiTheme="minorEastAsia" w:hAnsiTheme="minorEastAsia"/>
          <w:color w:val="auto"/>
          <w:szCs w:val="21"/>
          <w:lang w:val="zh-CN"/>
        </w:rPr>
        <w:t>二、在投标文件中提供虚假材料；</w:t>
      </w:r>
    </w:p>
    <w:p>
      <w:pPr>
        <w:spacing w:before="156" w:beforeLines="50" w:after="156" w:afterLines="50" w:line="360" w:lineRule="auto"/>
        <w:ind w:firstLine="420" w:firstLineChars="200"/>
        <w:contextualSpacing/>
        <w:rPr>
          <w:rFonts w:cs="宋体" w:asciiTheme="minorEastAsia" w:hAnsiTheme="minorEastAsia"/>
          <w:color w:val="auto"/>
          <w:szCs w:val="21"/>
          <w:lang w:val="zh-CN"/>
        </w:rPr>
      </w:pPr>
      <w:r>
        <w:rPr>
          <w:rFonts w:hint="eastAsia" w:cs="宋体" w:asciiTheme="minorEastAsia" w:hAnsiTheme="minorEastAsia"/>
          <w:color w:val="auto"/>
          <w:szCs w:val="21"/>
          <w:lang w:val="zh-CN"/>
        </w:rPr>
        <w:t>三、除因不可抗力或招标文件认可的情形以外，中标后不与采购人签订合同；</w:t>
      </w:r>
    </w:p>
    <w:p>
      <w:pPr>
        <w:spacing w:before="156" w:beforeLines="50" w:after="156" w:afterLines="50" w:line="360" w:lineRule="auto"/>
        <w:ind w:firstLine="420" w:firstLineChars="200"/>
        <w:contextualSpacing/>
        <w:rPr>
          <w:rFonts w:cs="宋体" w:asciiTheme="minorEastAsia" w:hAnsiTheme="minorEastAsia"/>
          <w:color w:val="auto"/>
          <w:szCs w:val="21"/>
          <w:lang w:val="zh-CN"/>
        </w:rPr>
      </w:pPr>
      <w:r>
        <w:rPr>
          <w:rFonts w:hint="eastAsia" w:cs="宋体" w:asciiTheme="minorEastAsia" w:hAnsiTheme="minorEastAsia"/>
          <w:color w:val="auto"/>
          <w:szCs w:val="21"/>
          <w:lang w:val="zh-CN"/>
        </w:rPr>
        <w:t>四、与采购人、其他投标人或者采购代理机构恶意串通；</w:t>
      </w:r>
    </w:p>
    <w:p>
      <w:pPr>
        <w:spacing w:before="156" w:beforeLines="50" w:after="156" w:afterLines="50" w:line="360" w:lineRule="auto"/>
        <w:ind w:firstLine="420" w:firstLineChars="200"/>
        <w:contextualSpacing/>
        <w:rPr>
          <w:rFonts w:cs="宋体" w:asciiTheme="minorEastAsia" w:hAnsiTheme="minorEastAsia"/>
          <w:color w:val="auto"/>
          <w:szCs w:val="21"/>
          <w:lang w:val="zh-CN"/>
        </w:rPr>
      </w:pPr>
      <w:r>
        <w:rPr>
          <w:rFonts w:hint="eastAsia" w:cs="宋体" w:asciiTheme="minorEastAsia" w:hAnsiTheme="minorEastAsia"/>
          <w:color w:val="auto"/>
          <w:szCs w:val="21"/>
          <w:lang w:val="zh-CN"/>
        </w:rPr>
        <w:t>五、法律法规及本招标文件规定的其他严重违法行为。</w:t>
      </w:r>
    </w:p>
    <w:p>
      <w:pPr>
        <w:rPr>
          <w:color w:val="auto"/>
          <w:sz w:val="28"/>
          <w:szCs w:val="28"/>
          <w:u w:val="single"/>
        </w:rPr>
      </w:pPr>
    </w:p>
    <w:p>
      <w:pPr>
        <w:rPr>
          <w:color w:val="auto"/>
          <w:sz w:val="28"/>
          <w:szCs w:val="28"/>
          <w:u w:val="single"/>
        </w:rPr>
      </w:pPr>
    </w:p>
    <w:p>
      <w:pPr>
        <w:spacing w:line="480" w:lineRule="auto"/>
        <w:ind w:firstLine="4357" w:firstLineChars="2075"/>
        <w:rPr>
          <w:rFonts w:cs="Arial" w:asciiTheme="minorEastAsia" w:hAnsiTheme="minorEastAsia"/>
          <w:color w:val="auto"/>
          <w:szCs w:val="21"/>
        </w:rPr>
      </w:pPr>
      <w:r>
        <w:rPr>
          <w:rFonts w:hint="eastAsia" w:cs="Arial" w:asciiTheme="minorEastAsia" w:hAnsiTheme="minorEastAsia"/>
          <w:color w:val="auto"/>
          <w:szCs w:val="21"/>
        </w:rPr>
        <w:t>投标人名称（盖章）：　　　　　　　　　</w:t>
      </w:r>
    </w:p>
    <w:p>
      <w:pPr>
        <w:spacing w:line="480" w:lineRule="auto"/>
        <w:ind w:firstLine="4357" w:firstLineChars="2075"/>
        <w:rPr>
          <w:rFonts w:cs="Arial" w:asciiTheme="minorEastAsia" w:hAnsiTheme="minorEastAsia"/>
          <w:color w:val="auto"/>
          <w:szCs w:val="21"/>
        </w:rPr>
      </w:pPr>
      <w:r>
        <w:rPr>
          <w:rFonts w:hint="eastAsia" w:cs="Arial" w:asciiTheme="minorEastAsia" w:hAnsiTheme="minorEastAsia"/>
          <w:color w:val="auto"/>
          <w:szCs w:val="21"/>
        </w:rPr>
        <w:t>日　  期：      年    月    日</w:t>
      </w:r>
    </w:p>
    <w:p>
      <w:pPr>
        <w:spacing w:before="156" w:beforeLines="50" w:after="156" w:afterLines="50" w:line="360" w:lineRule="auto"/>
        <w:ind w:right="420" w:firstLine="5486" w:firstLineChars="2286"/>
        <w:rPr>
          <w:rFonts w:cs="宋体" w:asciiTheme="minorEastAsia" w:hAnsiTheme="minorEastAsia"/>
          <w:color w:val="auto"/>
          <w:sz w:val="24"/>
          <w:szCs w:val="24"/>
          <w:lang w:val="zh-CN"/>
        </w:rPr>
      </w:pPr>
    </w:p>
    <w:p>
      <w:pPr>
        <w:rPr>
          <w:color w:val="auto"/>
          <w:lang w:val="zh-CN"/>
        </w:rPr>
      </w:pPr>
      <w:r>
        <w:rPr>
          <w:color w:val="auto"/>
          <w:lang w:val="zh-CN"/>
        </w:rPr>
        <w:br w:type="page"/>
      </w:r>
    </w:p>
    <w:p>
      <w:pPr>
        <w:pStyle w:val="5"/>
        <w:rPr>
          <w:color w:val="auto"/>
          <w:lang w:val="zh-CN"/>
        </w:rPr>
      </w:pPr>
    </w:p>
    <w:p>
      <w:pPr>
        <w:autoSpaceDE w:val="0"/>
        <w:autoSpaceDN w:val="0"/>
        <w:adjustRightInd w:val="0"/>
        <w:spacing w:line="360" w:lineRule="auto"/>
        <w:jc w:val="center"/>
        <w:outlineLvl w:val="0"/>
        <w:rPr>
          <w:rFonts w:ascii="宋体" w:cs="宋体"/>
          <w:color w:val="auto"/>
          <w:sz w:val="24"/>
          <w:lang w:val="zh-CN"/>
        </w:rPr>
      </w:pPr>
      <w:r>
        <w:rPr>
          <w:rFonts w:hint="eastAsia" w:ascii="宋体" w:hAnsi="宋体"/>
          <w:b/>
          <w:bCs/>
          <w:color w:val="auto"/>
          <w:sz w:val="36"/>
          <w:szCs w:val="36"/>
        </w:rPr>
        <w:t xml:space="preserve">3.6其他资格证书或材料 </w:t>
      </w:r>
    </w:p>
    <w:p>
      <w:pPr>
        <w:pStyle w:val="17"/>
        <w:spacing w:after="240" w:line="360" w:lineRule="auto"/>
        <w:jc w:val="center"/>
        <w:rPr>
          <w:color w:val="auto"/>
        </w:rPr>
      </w:pPr>
    </w:p>
    <w:p>
      <w:pPr>
        <w:pStyle w:val="17"/>
        <w:spacing w:after="240" w:line="360" w:lineRule="auto"/>
        <w:jc w:val="center"/>
        <w:rPr>
          <w:color w:val="auto"/>
        </w:rPr>
      </w:pPr>
    </w:p>
    <w:p>
      <w:pPr>
        <w:pStyle w:val="17"/>
        <w:spacing w:after="240" w:line="360" w:lineRule="auto"/>
        <w:jc w:val="center"/>
        <w:rPr>
          <w:color w:val="auto"/>
        </w:rPr>
      </w:pPr>
    </w:p>
    <w:p>
      <w:pPr>
        <w:pStyle w:val="17"/>
        <w:spacing w:after="240" w:line="360" w:lineRule="auto"/>
        <w:jc w:val="center"/>
        <w:rPr>
          <w:color w:val="auto"/>
        </w:rPr>
      </w:pPr>
    </w:p>
    <w:p>
      <w:pPr>
        <w:pStyle w:val="17"/>
        <w:spacing w:after="240" w:line="360" w:lineRule="auto"/>
        <w:jc w:val="center"/>
        <w:rPr>
          <w:rFonts w:asciiTheme="majorEastAsia" w:hAnsiTheme="majorEastAsia" w:eastAsiaTheme="majorEastAsia"/>
          <w:b/>
          <w:snapToGrid w:val="0"/>
          <w:color w:val="auto"/>
          <w:kern w:val="0"/>
          <w:sz w:val="36"/>
          <w:szCs w:val="36"/>
        </w:rPr>
      </w:pPr>
      <w:r>
        <w:rPr>
          <w:rFonts w:hint="eastAsia" w:asciiTheme="majorEastAsia" w:hAnsiTheme="majorEastAsia" w:eastAsiaTheme="majorEastAsia"/>
          <w:b/>
          <w:snapToGrid w:val="0"/>
          <w:color w:val="auto"/>
          <w:kern w:val="0"/>
          <w:sz w:val="36"/>
          <w:szCs w:val="36"/>
        </w:rPr>
        <w:t>四、符合性审查证明材料</w:t>
      </w:r>
    </w:p>
    <w:p>
      <w:pPr>
        <w:autoSpaceDE w:val="0"/>
        <w:autoSpaceDN w:val="0"/>
        <w:adjustRightInd w:val="0"/>
        <w:spacing w:line="360" w:lineRule="auto"/>
        <w:jc w:val="center"/>
        <w:rPr>
          <w:rFonts w:ascii="宋体" w:hAnsi="宋体" w:cs="黑体"/>
          <w:b/>
          <w:bCs/>
          <w:color w:val="auto"/>
          <w:sz w:val="44"/>
          <w:szCs w:val="44"/>
          <w:lang w:val="zh-CN"/>
        </w:rPr>
      </w:pPr>
      <w:r>
        <w:rPr>
          <w:rFonts w:hint="eastAsia" w:ascii="宋体" w:hAnsi="宋体"/>
          <w:b/>
          <w:bCs/>
          <w:color w:val="auto"/>
          <w:sz w:val="36"/>
          <w:szCs w:val="36"/>
        </w:rPr>
        <w:t>4.1</w:t>
      </w:r>
      <w:r>
        <w:rPr>
          <w:rFonts w:hint="eastAsia" w:hAnsi="宋体"/>
          <w:b/>
          <w:snapToGrid w:val="0"/>
          <w:color w:val="auto"/>
          <w:kern w:val="0"/>
          <w:sz w:val="36"/>
          <w:szCs w:val="36"/>
        </w:rPr>
        <w:t>实施方案（服务方案）</w:t>
      </w:r>
    </w:p>
    <w:p>
      <w:pPr>
        <w:snapToGrid w:val="0"/>
        <w:spacing w:line="360" w:lineRule="auto"/>
        <w:jc w:val="center"/>
        <w:rPr>
          <w:rFonts w:hAnsi="宋体"/>
          <w:b/>
          <w:snapToGrid w:val="0"/>
          <w:color w:val="auto"/>
          <w:kern w:val="0"/>
          <w:sz w:val="36"/>
          <w:szCs w:val="36"/>
        </w:rPr>
      </w:pPr>
    </w:p>
    <w:p>
      <w:pPr>
        <w:autoSpaceDE w:val="0"/>
        <w:autoSpaceDN w:val="0"/>
        <w:adjustRightInd w:val="0"/>
        <w:spacing w:line="360" w:lineRule="auto"/>
        <w:jc w:val="center"/>
        <w:rPr>
          <w:rFonts w:ascii="宋体" w:hAnsi="宋体" w:cs="宋体"/>
          <w:color w:val="auto"/>
          <w:sz w:val="24"/>
          <w:szCs w:val="24"/>
          <w:lang w:val="zh-CN"/>
        </w:rPr>
      </w:pPr>
      <w:r>
        <w:rPr>
          <w:rFonts w:hint="eastAsia" w:ascii="宋体" w:hAnsi="宋体" w:cs="宋体"/>
          <w:color w:val="auto"/>
          <w:sz w:val="24"/>
          <w:szCs w:val="24"/>
          <w:lang w:val="zh-CN"/>
        </w:rPr>
        <w:t>（投标人根据招标文件要求自行编制）</w:t>
      </w:r>
    </w:p>
    <w:p>
      <w:pPr>
        <w:spacing w:before="50" w:after="156" w:afterLines="50" w:line="360" w:lineRule="auto"/>
        <w:ind w:firstLine="2692" w:firstLineChars="745"/>
        <w:contextualSpacing/>
        <w:jc w:val="left"/>
        <w:rPr>
          <w:rFonts w:asciiTheme="minorEastAsia" w:hAnsiTheme="minorEastAsia"/>
          <w:b/>
          <w:snapToGrid w:val="0"/>
          <w:color w:val="auto"/>
          <w:kern w:val="0"/>
          <w:sz w:val="36"/>
          <w:szCs w:val="36"/>
        </w:rPr>
      </w:pPr>
    </w:p>
    <w:p>
      <w:pPr>
        <w:rPr>
          <w:color w:val="auto"/>
        </w:rPr>
      </w:pPr>
      <w:r>
        <w:rPr>
          <w:color w:val="auto"/>
        </w:rPr>
        <w:br w:type="page"/>
      </w:r>
    </w:p>
    <w:p>
      <w:pPr>
        <w:pStyle w:val="5"/>
        <w:rPr>
          <w:color w:val="auto"/>
        </w:rPr>
      </w:pPr>
    </w:p>
    <w:p>
      <w:pPr>
        <w:snapToGrid w:val="0"/>
        <w:spacing w:line="360" w:lineRule="auto"/>
        <w:jc w:val="center"/>
        <w:rPr>
          <w:rFonts w:hAnsi="宋体" w:eastAsia="宋体"/>
          <w:b/>
          <w:snapToGrid w:val="0"/>
          <w:color w:val="auto"/>
          <w:kern w:val="0"/>
          <w:sz w:val="36"/>
          <w:szCs w:val="36"/>
        </w:rPr>
      </w:pPr>
      <w:r>
        <w:rPr>
          <w:rFonts w:hint="eastAsia" w:ascii="宋体" w:hAnsi="宋体"/>
          <w:b/>
          <w:bCs/>
          <w:color w:val="auto"/>
          <w:sz w:val="36"/>
          <w:szCs w:val="36"/>
        </w:rPr>
        <w:t xml:space="preserve">4.2 </w:t>
      </w:r>
      <w:r>
        <w:rPr>
          <w:rFonts w:hint="eastAsia" w:hAnsi="宋体" w:eastAsia="宋体"/>
          <w:b/>
          <w:snapToGrid w:val="0"/>
          <w:color w:val="auto"/>
          <w:kern w:val="0"/>
          <w:sz w:val="36"/>
          <w:szCs w:val="36"/>
        </w:rPr>
        <w:t>业绩情况表</w:t>
      </w:r>
    </w:p>
    <w:p>
      <w:pPr>
        <w:spacing w:before="50" w:after="156"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snapToGrid w:val="0"/>
        <w:spacing w:line="360" w:lineRule="auto"/>
        <w:rPr>
          <w:rFonts w:hAnsi="宋体" w:eastAsia="宋体"/>
          <w:b/>
          <w:snapToGrid w:val="0"/>
          <w:color w:val="auto"/>
          <w:kern w:val="0"/>
          <w:sz w:val="36"/>
          <w:szCs w:val="36"/>
        </w:rPr>
      </w:pPr>
      <w:r>
        <w:rPr>
          <w:rFonts w:hint="eastAsia" w:asciiTheme="minorEastAsia" w:hAnsiTheme="minorEastAsia"/>
          <w:color w:val="auto"/>
          <w:sz w:val="24"/>
          <w:szCs w:val="24"/>
        </w:rPr>
        <w:t xml:space="preserve">项目名称：   </w:t>
      </w:r>
    </w:p>
    <w:tbl>
      <w:tblPr>
        <w:tblStyle w:val="26"/>
        <w:tblW w:w="92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jc w:val="center"/>
        </w:trPr>
        <w:tc>
          <w:tcPr>
            <w:tcW w:w="712" w:type="dxa"/>
            <w:shd w:val="clear" w:color="auto" w:fill="F3F3F3"/>
            <w:vAlign w:val="center"/>
          </w:tcPr>
          <w:p>
            <w:pPr>
              <w:pStyle w:val="13"/>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序号</w:t>
            </w:r>
          </w:p>
        </w:tc>
        <w:tc>
          <w:tcPr>
            <w:tcW w:w="1808" w:type="dxa"/>
            <w:shd w:val="clear" w:color="auto" w:fill="F3F3F3"/>
            <w:vAlign w:val="center"/>
          </w:tcPr>
          <w:p>
            <w:pPr>
              <w:pStyle w:val="13"/>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客户单位名称</w:t>
            </w:r>
          </w:p>
        </w:tc>
        <w:tc>
          <w:tcPr>
            <w:tcW w:w="3579" w:type="dxa"/>
            <w:shd w:val="clear" w:color="auto" w:fill="F3F3F3"/>
            <w:vAlign w:val="center"/>
          </w:tcPr>
          <w:p>
            <w:pPr>
              <w:pStyle w:val="13"/>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项目名称及主要内容</w:t>
            </w:r>
          </w:p>
        </w:tc>
        <w:tc>
          <w:tcPr>
            <w:tcW w:w="1440" w:type="dxa"/>
            <w:shd w:val="clear" w:color="auto" w:fill="F3F3F3"/>
            <w:vAlign w:val="center"/>
          </w:tcPr>
          <w:p>
            <w:pPr>
              <w:pStyle w:val="13"/>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合同金额（万元）</w:t>
            </w:r>
          </w:p>
        </w:tc>
        <w:tc>
          <w:tcPr>
            <w:tcW w:w="1706" w:type="dxa"/>
            <w:shd w:val="clear" w:color="auto" w:fill="F3F3F3"/>
            <w:vAlign w:val="center"/>
          </w:tcPr>
          <w:p>
            <w:pPr>
              <w:pStyle w:val="13"/>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712" w:type="dxa"/>
            <w:vAlign w:val="center"/>
          </w:tcPr>
          <w:p>
            <w:pPr>
              <w:pStyle w:val="13"/>
              <w:spacing w:line="360" w:lineRule="auto"/>
              <w:jc w:val="center"/>
              <w:rPr>
                <w:rFonts w:ascii="宋体" w:hAnsi="宋体" w:eastAsia="宋体" w:cs="宋体"/>
                <w:color w:val="auto"/>
                <w:sz w:val="24"/>
                <w:szCs w:val="24"/>
              </w:rPr>
            </w:pPr>
            <w:r>
              <w:rPr>
                <w:rFonts w:ascii="宋体" w:hAnsi="宋体" w:eastAsia="宋体" w:cs="宋体"/>
                <w:color w:val="auto"/>
                <w:sz w:val="24"/>
                <w:szCs w:val="24"/>
              </w:rPr>
              <w:t>1</w:t>
            </w:r>
          </w:p>
        </w:tc>
        <w:tc>
          <w:tcPr>
            <w:tcW w:w="1808" w:type="dxa"/>
            <w:vAlign w:val="center"/>
          </w:tcPr>
          <w:p>
            <w:pPr>
              <w:pStyle w:val="13"/>
              <w:spacing w:line="360" w:lineRule="auto"/>
              <w:jc w:val="center"/>
              <w:rPr>
                <w:rFonts w:ascii="宋体" w:hAnsi="宋体" w:eastAsia="宋体" w:cs="Times New Roman"/>
                <w:color w:val="auto"/>
                <w:sz w:val="24"/>
                <w:szCs w:val="24"/>
              </w:rPr>
            </w:pPr>
          </w:p>
        </w:tc>
        <w:tc>
          <w:tcPr>
            <w:tcW w:w="3579" w:type="dxa"/>
            <w:vAlign w:val="center"/>
          </w:tcPr>
          <w:p>
            <w:pPr>
              <w:pStyle w:val="13"/>
              <w:spacing w:line="360" w:lineRule="auto"/>
              <w:jc w:val="center"/>
              <w:rPr>
                <w:rFonts w:ascii="宋体" w:hAnsi="宋体" w:eastAsia="宋体" w:cs="Times New Roman"/>
                <w:color w:val="auto"/>
                <w:sz w:val="24"/>
                <w:szCs w:val="24"/>
              </w:rPr>
            </w:pPr>
          </w:p>
        </w:tc>
        <w:tc>
          <w:tcPr>
            <w:tcW w:w="1440" w:type="dxa"/>
            <w:vAlign w:val="center"/>
          </w:tcPr>
          <w:p>
            <w:pPr>
              <w:pStyle w:val="13"/>
              <w:spacing w:line="360" w:lineRule="auto"/>
              <w:jc w:val="center"/>
              <w:rPr>
                <w:rFonts w:ascii="宋体" w:hAnsi="宋体" w:eastAsia="宋体" w:cs="Times New Roman"/>
                <w:color w:val="auto"/>
                <w:sz w:val="24"/>
                <w:szCs w:val="24"/>
              </w:rPr>
            </w:pPr>
          </w:p>
        </w:tc>
        <w:tc>
          <w:tcPr>
            <w:tcW w:w="1706" w:type="dxa"/>
            <w:vAlign w:val="center"/>
          </w:tcPr>
          <w:p>
            <w:pPr>
              <w:pStyle w:val="13"/>
              <w:spacing w:line="360" w:lineRule="auto"/>
              <w:jc w:val="center"/>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712" w:type="dxa"/>
            <w:vAlign w:val="center"/>
          </w:tcPr>
          <w:p>
            <w:pPr>
              <w:pStyle w:val="13"/>
              <w:spacing w:line="360" w:lineRule="auto"/>
              <w:jc w:val="center"/>
              <w:rPr>
                <w:rFonts w:ascii="宋体" w:hAnsi="宋体" w:eastAsia="宋体" w:cs="宋体"/>
                <w:color w:val="auto"/>
                <w:sz w:val="24"/>
                <w:szCs w:val="24"/>
              </w:rPr>
            </w:pPr>
            <w:r>
              <w:rPr>
                <w:rFonts w:ascii="宋体" w:hAnsi="宋体" w:eastAsia="宋体" w:cs="宋体"/>
                <w:color w:val="auto"/>
                <w:sz w:val="24"/>
                <w:szCs w:val="24"/>
              </w:rPr>
              <w:t>2</w:t>
            </w:r>
          </w:p>
        </w:tc>
        <w:tc>
          <w:tcPr>
            <w:tcW w:w="1808" w:type="dxa"/>
            <w:vAlign w:val="center"/>
          </w:tcPr>
          <w:p>
            <w:pPr>
              <w:pStyle w:val="13"/>
              <w:spacing w:line="360" w:lineRule="auto"/>
              <w:jc w:val="center"/>
              <w:rPr>
                <w:rFonts w:ascii="宋体" w:hAnsi="宋体" w:eastAsia="宋体" w:cs="Times New Roman"/>
                <w:color w:val="auto"/>
                <w:sz w:val="24"/>
                <w:szCs w:val="24"/>
              </w:rPr>
            </w:pPr>
          </w:p>
        </w:tc>
        <w:tc>
          <w:tcPr>
            <w:tcW w:w="3579" w:type="dxa"/>
            <w:vAlign w:val="center"/>
          </w:tcPr>
          <w:p>
            <w:pPr>
              <w:pStyle w:val="13"/>
              <w:spacing w:line="360" w:lineRule="auto"/>
              <w:jc w:val="center"/>
              <w:rPr>
                <w:rFonts w:ascii="宋体" w:hAnsi="宋体" w:eastAsia="宋体" w:cs="Times New Roman"/>
                <w:color w:val="auto"/>
                <w:sz w:val="24"/>
                <w:szCs w:val="24"/>
              </w:rPr>
            </w:pPr>
          </w:p>
        </w:tc>
        <w:tc>
          <w:tcPr>
            <w:tcW w:w="1440" w:type="dxa"/>
            <w:vAlign w:val="center"/>
          </w:tcPr>
          <w:p>
            <w:pPr>
              <w:pStyle w:val="13"/>
              <w:spacing w:line="360" w:lineRule="auto"/>
              <w:jc w:val="center"/>
              <w:rPr>
                <w:rFonts w:ascii="宋体" w:hAnsi="宋体" w:eastAsia="宋体" w:cs="Times New Roman"/>
                <w:color w:val="auto"/>
                <w:sz w:val="24"/>
                <w:szCs w:val="24"/>
              </w:rPr>
            </w:pPr>
          </w:p>
        </w:tc>
        <w:tc>
          <w:tcPr>
            <w:tcW w:w="1706" w:type="dxa"/>
            <w:vAlign w:val="center"/>
          </w:tcPr>
          <w:p>
            <w:pPr>
              <w:pStyle w:val="13"/>
              <w:spacing w:line="360" w:lineRule="auto"/>
              <w:jc w:val="center"/>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712" w:type="dxa"/>
            <w:vAlign w:val="center"/>
          </w:tcPr>
          <w:p>
            <w:pPr>
              <w:pStyle w:val="13"/>
              <w:spacing w:line="360" w:lineRule="auto"/>
              <w:jc w:val="center"/>
              <w:rPr>
                <w:rFonts w:ascii="宋体" w:hAnsi="宋体" w:eastAsia="宋体" w:cs="宋体"/>
                <w:color w:val="auto"/>
                <w:sz w:val="24"/>
                <w:szCs w:val="24"/>
              </w:rPr>
            </w:pPr>
            <w:r>
              <w:rPr>
                <w:rFonts w:ascii="宋体" w:hAnsi="宋体" w:eastAsia="宋体" w:cs="宋体"/>
                <w:color w:val="auto"/>
                <w:sz w:val="24"/>
                <w:szCs w:val="24"/>
              </w:rPr>
              <w:t>3</w:t>
            </w:r>
          </w:p>
        </w:tc>
        <w:tc>
          <w:tcPr>
            <w:tcW w:w="1808" w:type="dxa"/>
            <w:vAlign w:val="center"/>
          </w:tcPr>
          <w:p>
            <w:pPr>
              <w:pStyle w:val="13"/>
              <w:spacing w:line="360" w:lineRule="auto"/>
              <w:jc w:val="center"/>
              <w:rPr>
                <w:rFonts w:ascii="宋体" w:hAnsi="宋体" w:eastAsia="宋体" w:cs="Times New Roman"/>
                <w:color w:val="auto"/>
                <w:sz w:val="24"/>
                <w:szCs w:val="24"/>
              </w:rPr>
            </w:pPr>
          </w:p>
        </w:tc>
        <w:tc>
          <w:tcPr>
            <w:tcW w:w="3579" w:type="dxa"/>
            <w:vAlign w:val="center"/>
          </w:tcPr>
          <w:p>
            <w:pPr>
              <w:pStyle w:val="13"/>
              <w:spacing w:line="360" w:lineRule="auto"/>
              <w:jc w:val="center"/>
              <w:rPr>
                <w:rFonts w:ascii="宋体" w:hAnsi="宋体" w:eastAsia="宋体" w:cs="Times New Roman"/>
                <w:color w:val="auto"/>
                <w:sz w:val="24"/>
                <w:szCs w:val="24"/>
              </w:rPr>
            </w:pPr>
          </w:p>
        </w:tc>
        <w:tc>
          <w:tcPr>
            <w:tcW w:w="1440" w:type="dxa"/>
            <w:vAlign w:val="center"/>
          </w:tcPr>
          <w:p>
            <w:pPr>
              <w:pStyle w:val="13"/>
              <w:spacing w:line="360" w:lineRule="auto"/>
              <w:jc w:val="center"/>
              <w:rPr>
                <w:rFonts w:ascii="宋体" w:hAnsi="宋体" w:eastAsia="宋体" w:cs="Times New Roman"/>
                <w:color w:val="auto"/>
                <w:sz w:val="24"/>
                <w:szCs w:val="24"/>
              </w:rPr>
            </w:pPr>
          </w:p>
        </w:tc>
        <w:tc>
          <w:tcPr>
            <w:tcW w:w="1706" w:type="dxa"/>
            <w:vAlign w:val="center"/>
          </w:tcPr>
          <w:p>
            <w:pPr>
              <w:pStyle w:val="13"/>
              <w:spacing w:line="360" w:lineRule="auto"/>
              <w:jc w:val="center"/>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712" w:type="dxa"/>
            <w:vAlign w:val="center"/>
          </w:tcPr>
          <w:p>
            <w:pPr>
              <w:pStyle w:val="13"/>
              <w:spacing w:line="360" w:lineRule="auto"/>
              <w:jc w:val="center"/>
              <w:rPr>
                <w:rFonts w:ascii="宋体" w:hAnsi="宋体" w:eastAsia="宋体" w:cs="宋体"/>
                <w:color w:val="auto"/>
                <w:sz w:val="24"/>
                <w:szCs w:val="24"/>
              </w:rPr>
            </w:pPr>
            <w:r>
              <w:rPr>
                <w:rFonts w:ascii="宋体" w:hAnsi="宋体" w:eastAsia="宋体" w:cs="宋体"/>
                <w:color w:val="auto"/>
                <w:sz w:val="24"/>
                <w:szCs w:val="24"/>
              </w:rPr>
              <w:t>4</w:t>
            </w:r>
          </w:p>
        </w:tc>
        <w:tc>
          <w:tcPr>
            <w:tcW w:w="1808" w:type="dxa"/>
            <w:vAlign w:val="center"/>
          </w:tcPr>
          <w:p>
            <w:pPr>
              <w:jc w:val="center"/>
              <w:rPr>
                <w:rFonts w:ascii="宋体"/>
                <w:color w:val="auto"/>
              </w:rPr>
            </w:pPr>
          </w:p>
        </w:tc>
        <w:tc>
          <w:tcPr>
            <w:tcW w:w="3579" w:type="dxa"/>
            <w:vAlign w:val="center"/>
          </w:tcPr>
          <w:p>
            <w:pPr>
              <w:jc w:val="center"/>
              <w:rPr>
                <w:rFonts w:ascii="宋体"/>
                <w:color w:val="auto"/>
              </w:rPr>
            </w:pPr>
          </w:p>
        </w:tc>
        <w:tc>
          <w:tcPr>
            <w:tcW w:w="1440" w:type="dxa"/>
            <w:vAlign w:val="center"/>
          </w:tcPr>
          <w:p>
            <w:pPr>
              <w:jc w:val="center"/>
              <w:rPr>
                <w:rFonts w:ascii="宋体"/>
                <w:color w:val="auto"/>
              </w:rPr>
            </w:pPr>
          </w:p>
        </w:tc>
        <w:tc>
          <w:tcPr>
            <w:tcW w:w="1706" w:type="dxa"/>
            <w:vAlign w:val="center"/>
          </w:tcPr>
          <w:p>
            <w:pPr>
              <w:jc w:val="center"/>
              <w:rPr>
                <w:rFonts w:asci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712" w:type="dxa"/>
            <w:vAlign w:val="center"/>
          </w:tcPr>
          <w:p>
            <w:pPr>
              <w:pStyle w:val="13"/>
              <w:spacing w:line="360" w:lineRule="auto"/>
              <w:jc w:val="center"/>
              <w:rPr>
                <w:rFonts w:ascii="宋体" w:hAnsi="宋体" w:eastAsia="宋体" w:cs="Times New Roman"/>
                <w:color w:val="auto"/>
                <w:sz w:val="24"/>
                <w:szCs w:val="24"/>
              </w:rPr>
            </w:pPr>
            <w:r>
              <w:rPr>
                <w:rFonts w:hint="eastAsia" w:ascii="宋体" w:hAnsi="宋体" w:eastAsia="宋体" w:cs="宋体"/>
                <w:color w:val="auto"/>
                <w:sz w:val="24"/>
                <w:szCs w:val="24"/>
              </w:rPr>
              <w:t>……</w:t>
            </w:r>
          </w:p>
        </w:tc>
        <w:tc>
          <w:tcPr>
            <w:tcW w:w="1808" w:type="dxa"/>
            <w:vAlign w:val="center"/>
          </w:tcPr>
          <w:p>
            <w:pPr>
              <w:jc w:val="center"/>
              <w:rPr>
                <w:rFonts w:ascii="宋体"/>
                <w:color w:val="auto"/>
              </w:rPr>
            </w:pPr>
          </w:p>
        </w:tc>
        <w:tc>
          <w:tcPr>
            <w:tcW w:w="3579" w:type="dxa"/>
            <w:vAlign w:val="center"/>
          </w:tcPr>
          <w:p>
            <w:pPr>
              <w:jc w:val="center"/>
              <w:rPr>
                <w:rFonts w:ascii="宋体"/>
                <w:color w:val="auto"/>
              </w:rPr>
            </w:pPr>
          </w:p>
        </w:tc>
        <w:tc>
          <w:tcPr>
            <w:tcW w:w="1440" w:type="dxa"/>
            <w:vAlign w:val="center"/>
          </w:tcPr>
          <w:p>
            <w:pPr>
              <w:jc w:val="center"/>
              <w:rPr>
                <w:rFonts w:ascii="宋体"/>
                <w:color w:val="auto"/>
              </w:rPr>
            </w:pPr>
          </w:p>
        </w:tc>
        <w:tc>
          <w:tcPr>
            <w:tcW w:w="1706" w:type="dxa"/>
            <w:vAlign w:val="center"/>
          </w:tcPr>
          <w:p>
            <w:pPr>
              <w:jc w:val="center"/>
              <w:rPr>
                <w:rFonts w:ascii="宋体"/>
                <w:color w:val="auto"/>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p>
    <w:p>
      <w:pPr>
        <w:autoSpaceDE w:val="0"/>
        <w:autoSpaceDN w:val="0"/>
        <w:adjustRightInd w:val="0"/>
        <w:spacing w:line="480" w:lineRule="auto"/>
        <w:rPr>
          <w:rFonts w:cs="宋体" w:asciiTheme="minorEastAsia" w:hAnsiTheme="minorEastAsia"/>
          <w:color w:val="auto"/>
          <w:sz w:val="24"/>
          <w:szCs w:val="24"/>
          <w:lang w:val="zh-CN"/>
        </w:rPr>
      </w:pPr>
    </w:p>
    <w:p>
      <w:pPr>
        <w:autoSpaceDE w:val="0"/>
        <w:autoSpaceDN w:val="0"/>
        <w:adjustRightInd w:val="0"/>
        <w:spacing w:line="360" w:lineRule="auto"/>
        <w:jc w:val="center"/>
        <w:outlineLvl w:val="0"/>
        <w:rPr>
          <w:rFonts w:ascii="宋体" w:hAnsi="宋体"/>
          <w:b/>
          <w:bCs/>
          <w:color w:val="auto"/>
          <w:sz w:val="36"/>
          <w:szCs w:val="36"/>
        </w:rPr>
      </w:pPr>
    </w:p>
    <w:p>
      <w:pPr>
        <w:pStyle w:val="2"/>
        <w:ind w:firstLine="340"/>
        <w:rPr>
          <w:color w:val="auto"/>
        </w:rPr>
      </w:pPr>
    </w:p>
    <w:p>
      <w:pPr>
        <w:autoSpaceDE w:val="0"/>
        <w:autoSpaceDN w:val="0"/>
        <w:adjustRightInd w:val="0"/>
        <w:spacing w:line="360" w:lineRule="auto"/>
        <w:jc w:val="center"/>
        <w:outlineLvl w:val="0"/>
        <w:rPr>
          <w:rFonts w:ascii="宋体" w:hAnsi="宋体"/>
          <w:b/>
          <w:bCs/>
          <w:color w:val="auto"/>
          <w:sz w:val="36"/>
          <w:szCs w:val="36"/>
        </w:rPr>
      </w:pPr>
      <w:r>
        <w:rPr>
          <w:rFonts w:hint="eastAsia" w:ascii="宋体" w:hAnsi="宋体"/>
          <w:b/>
          <w:bCs/>
          <w:color w:val="auto"/>
          <w:sz w:val="36"/>
          <w:szCs w:val="36"/>
        </w:rPr>
        <w:t>4.3服务承诺</w:t>
      </w:r>
    </w:p>
    <w:p>
      <w:pPr>
        <w:autoSpaceDE w:val="0"/>
        <w:autoSpaceDN w:val="0"/>
        <w:adjustRightInd w:val="0"/>
        <w:spacing w:line="360" w:lineRule="auto"/>
        <w:jc w:val="center"/>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（投标人根据招标文件要求自行编制）</w:t>
      </w:r>
    </w:p>
    <w:p>
      <w:pPr>
        <w:rPr>
          <w:color w:val="auto"/>
          <w:lang w:val="zh-CN"/>
        </w:rPr>
      </w:pPr>
      <w:r>
        <w:rPr>
          <w:color w:val="auto"/>
          <w:lang w:val="zh-CN"/>
        </w:rPr>
        <w:br w:type="page"/>
      </w:r>
    </w:p>
    <w:p>
      <w:pPr>
        <w:pStyle w:val="5"/>
        <w:rPr>
          <w:color w:val="auto"/>
          <w:lang w:val="zh-CN"/>
        </w:rPr>
      </w:pPr>
    </w:p>
    <w:p>
      <w:pPr>
        <w:autoSpaceDE w:val="0"/>
        <w:autoSpaceDN w:val="0"/>
        <w:adjustRightInd w:val="0"/>
        <w:spacing w:line="360" w:lineRule="auto"/>
        <w:jc w:val="center"/>
        <w:outlineLvl w:val="0"/>
        <w:rPr>
          <w:rFonts w:ascii="宋体" w:hAnsi="宋体"/>
          <w:b/>
          <w:bCs/>
          <w:color w:val="auto"/>
          <w:sz w:val="36"/>
          <w:szCs w:val="36"/>
        </w:rPr>
      </w:pPr>
      <w:r>
        <w:rPr>
          <w:rFonts w:hint="eastAsia" w:ascii="宋体" w:hAnsi="宋体"/>
          <w:b/>
          <w:bCs/>
          <w:color w:val="auto"/>
          <w:sz w:val="36"/>
          <w:szCs w:val="36"/>
        </w:rPr>
        <w:t>4.4 中小企业声明函</w:t>
      </w: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本公司郑重声明，根据《政府采购促进中小企业发展暂行办法》（财库[2011]181号）的规定，本公司为______（请填写：中型、小型、微型）企业。即，本公司同时满足以下条件：</w:t>
      </w:r>
      <w:r>
        <w:rPr>
          <w:rFonts w:hint="eastAsia" w:ascii="宋体" w:hAnsi="宋体" w:cs="Arial"/>
          <w:color w:val="auto"/>
          <w:kern w:val="0"/>
          <w:sz w:val="24"/>
          <w:szCs w:val="24"/>
        </w:rPr>
        <w:br w:type="textWrapping"/>
      </w:r>
      <w:r>
        <w:rPr>
          <w:rFonts w:hint="eastAsia" w:ascii="宋体" w:hAnsi="宋体" w:cs="Arial"/>
          <w:color w:val="auto"/>
          <w:kern w:val="0"/>
          <w:sz w:val="24"/>
          <w:szCs w:val="24"/>
        </w:rPr>
        <w:t>　　根据《工业和信息化部、国家统计局、国家发展和改革委员会、财政部关于印发中小企业划型标准规定的通知》（工信部联企业[2011]300号）规定的划分标准，</w:t>
      </w:r>
      <w:r>
        <w:rPr>
          <w:rFonts w:hint="eastAsia"/>
          <w:color w:val="auto"/>
          <w:sz w:val="24"/>
          <w:szCs w:val="24"/>
        </w:rPr>
        <w:t>按照《国家统计局关于印发统计上大中小微型企业划分办法的通知》（国统字</w:t>
      </w:r>
      <w:r>
        <w:rPr>
          <w:color w:val="auto"/>
          <w:sz w:val="24"/>
          <w:szCs w:val="24"/>
        </w:rPr>
        <w:t>[2011] 75</w:t>
      </w:r>
      <w:r>
        <w:rPr>
          <w:rFonts w:hint="eastAsia"/>
          <w:color w:val="auto"/>
          <w:sz w:val="24"/>
          <w:szCs w:val="24"/>
        </w:rPr>
        <w:t>号）规定，本公司所属行业为</w:t>
      </w:r>
      <w:r>
        <w:rPr>
          <w:color w:val="auto"/>
          <w:sz w:val="24"/>
          <w:szCs w:val="24"/>
        </w:rPr>
        <w:t>______</w:t>
      </w:r>
      <w:r>
        <w:rPr>
          <w:rFonts w:hint="eastAsia"/>
          <w:color w:val="auto"/>
          <w:sz w:val="24"/>
          <w:szCs w:val="24"/>
        </w:rPr>
        <w:t>，截至上一财年末，公司资产总额</w:t>
      </w:r>
      <w:r>
        <w:rPr>
          <w:color w:val="auto"/>
          <w:sz w:val="24"/>
          <w:szCs w:val="24"/>
        </w:rPr>
        <w:t>__</w:t>
      </w:r>
      <w:r>
        <w:rPr>
          <w:color w:val="auto"/>
          <w:sz w:val="24"/>
          <w:szCs w:val="24"/>
          <w:u w:val="single"/>
        </w:rPr>
        <w:t>____</w:t>
      </w:r>
      <w:r>
        <w:rPr>
          <w:rFonts w:hint="eastAsia"/>
          <w:color w:val="auto"/>
          <w:sz w:val="24"/>
          <w:szCs w:val="24"/>
        </w:rPr>
        <w:t>万元，营业收入</w:t>
      </w:r>
      <w:r>
        <w:rPr>
          <w:color w:val="auto"/>
          <w:sz w:val="24"/>
          <w:szCs w:val="24"/>
        </w:rPr>
        <w:t>______</w:t>
      </w:r>
      <w:r>
        <w:rPr>
          <w:rFonts w:hint="eastAsia"/>
          <w:color w:val="auto"/>
          <w:sz w:val="24"/>
          <w:szCs w:val="24"/>
        </w:rPr>
        <w:t>万元，从业人员</w:t>
      </w:r>
      <w:r>
        <w:rPr>
          <w:color w:val="auto"/>
          <w:sz w:val="24"/>
          <w:szCs w:val="24"/>
        </w:rPr>
        <w:t>______</w:t>
      </w:r>
      <w:r>
        <w:rPr>
          <w:rFonts w:hint="eastAsia"/>
          <w:color w:val="auto"/>
          <w:sz w:val="24"/>
          <w:szCs w:val="24"/>
        </w:rPr>
        <w:t>人，</w:t>
      </w:r>
      <w:r>
        <w:rPr>
          <w:rFonts w:hint="eastAsia" w:ascii="宋体" w:hAnsi="宋体" w:cs="Arial"/>
          <w:color w:val="auto"/>
          <w:kern w:val="0"/>
          <w:sz w:val="24"/>
          <w:szCs w:val="24"/>
        </w:rPr>
        <w:t>本公司为______（请填写：中型、小型、微型）企业。</w:t>
      </w: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auto"/>
          <w:kern w:val="0"/>
          <w:sz w:val="24"/>
          <w:szCs w:val="24"/>
        </w:rPr>
      </w:pPr>
    </w:p>
    <w:p>
      <w:pPr>
        <w:widowControl/>
        <w:spacing w:before="100" w:beforeAutospacing="1" w:after="100" w:afterAutospacing="1" w:line="360" w:lineRule="auto"/>
        <w:ind w:left="3885" w:leftChars="1850"/>
        <w:jc w:val="left"/>
        <w:rPr>
          <w:rFonts w:ascii="宋体" w:hAnsi="宋体" w:cs="Arial"/>
          <w:color w:val="auto"/>
          <w:kern w:val="0"/>
          <w:sz w:val="24"/>
          <w:szCs w:val="24"/>
        </w:rPr>
      </w:pPr>
      <w:r>
        <w:rPr>
          <w:rFonts w:hint="eastAsia" w:ascii="宋体" w:hAnsi="宋体" w:cs="Arial"/>
          <w:color w:val="auto"/>
          <w:kern w:val="0"/>
          <w:sz w:val="24"/>
          <w:szCs w:val="24"/>
        </w:rPr>
        <w:t>企业名称（盖章）：　　　　　　　　　</w:t>
      </w:r>
    </w:p>
    <w:p>
      <w:pPr>
        <w:spacing w:before="156" w:beforeLines="50" w:after="156" w:afterLines="50" w:line="360" w:lineRule="auto"/>
        <w:ind w:right="420" w:firstLine="3840" w:firstLineChars="160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 xml:space="preserve">日    期：    </w:t>
      </w:r>
      <w:r>
        <w:rPr>
          <w:rFonts w:hint="eastAsia" w:cs="宋体" w:asciiTheme="minorEastAsia" w:hAnsiTheme="minorEastAsia"/>
          <w:color w:val="auto"/>
          <w:szCs w:val="21"/>
        </w:rPr>
        <w:t>年    月    日</w:t>
      </w:r>
    </w:p>
    <w:p>
      <w:pPr>
        <w:pStyle w:val="2"/>
        <w:ind w:firstLine="340"/>
        <w:rPr>
          <w:color w:val="auto"/>
        </w:rPr>
      </w:pPr>
    </w:p>
    <w:p>
      <w:pPr>
        <w:widowControl/>
        <w:spacing w:before="100" w:beforeAutospacing="1" w:after="100" w:afterAutospacing="1" w:line="360" w:lineRule="auto"/>
        <w:contextualSpacing/>
        <w:jc w:val="left"/>
        <w:rPr>
          <w:rFonts w:ascii="宋体" w:hAnsi="宋体"/>
          <w:color w:val="auto"/>
          <w:sz w:val="24"/>
          <w:szCs w:val="24"/>
        </w:rPr>
      </w:pPr>
      <w:r>
        <w:rPr>
          <w:rFonts w:hint="eastAsia" w:ascii="宋体" w:hAnsi="宋体"/>
          <w:color w:val="auto"/>
          <w:sz w:val="24"/>
          <w:szCs w:val="24"/>
        </w:rPr>
        <w:t>说明：</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s="Arial"/>
          <w:color w:val="auto"/>
          <w:kern w:val="0"/>
          <w:sz w:val="24"/>
          <w:szCs w:val="24"/>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s="Arial"/>
          <w:color w:val="auto"/>
          <w:kern w:val="0"/>
          <w:sz w:val="24"/>
          <w:szCs w:val="24"/>
        </w:rPr>
        <w:t>2、如投标人为联合投标的，联合投标人需分别填写上述《中小企业声明函》。</w:t>
      </w:r>
    </w:p>
    <w:p>
      <w:pPr>
        <w:rPr>
          <w:rFonts w:ascii="宋体" w:hAnsi="宋体"/>
          <w:b/>
          <w:bCs/>
          <w:color w:val="auto"/>
          <w:sz w:val="36"/>
          <w:szCs w:val="36"/>
        </w:rPr>
      </w:pPr>
      <w:r>
        <w:rPr>
          <w:rFonts w:ascii="宋体" w:hAnsi="宋体"/>
          <w:b/>
          <w:bCs/>
          <w:color w:val="auto"/>
          <w:sz w:val="36"/>
          <w:szCs w:val="36"/>
        </w:rPr>
        <w:br w:type="page"/>
      </w:r>
    </w:p>
    <w:p>
      <w:pPr>
        <w:pStyle w:val="2"/>
        <w:rPr>
          <w:color w:val="auto"/>
        </w:rPr>
      </w:pPr>
    </w:p>
    <w:p>
      <w:pPr>
        <w:spacing w:line="360" w:lineRule="auto"/>
        <w:jc w:val="center"/>
        <w:rPr>
          <w:rFonts w:ascii="宋体" w:hAnsi="宋体"/>
          <w:b/>
          <w:bCs/>
          <w:color w:val="auto"/>
          <w:sz w:val="36"/>
          <w:szCs w:val="36"/>
        </w:rPr>
      </w:pPr>
      <w:bookmarkStart w:id="10" w:name="OLE_LINK14"/>
      <w:bookmarkStart w:id="11" w:name="OLE_LINK13"/>
      <w:r>
        <w:rPr>
          <w:rFonts w:hint="eastAsia" w:ascii="宋体" w:hAnsi="宋体"/>
          <w:b/>
          <w:bCs/>
          <w:color w:val="auto"/>
          <w:sz w:val="36"/>
          <w:szCs w:val="36"/>
        </w:rPr>
        <w:t>4.5 残疾人福利性单位声明函</w:t>
      </w:r>
    </w:p>
    <w:bookmarkEnd w:id="10"/>
    <w:bookmarkEnd w:id="11"/>
    <w:p>
      <w:pPr>
        <w:spacing w:line="360" w:lineRule="auto"/>
        <w:rPr>
          <w:rFonts w:ascii="宋体" w:hAnsi="宋体"/>
          <w:color w:val="auto"/>
          <w:szCs w:val="21"/>
        </w:rPr>
      </w:pP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s="Arial"/>
          <w:color w:val="auto"/>
          <w:kern w:val="0"/>
          <w:sz w:val="24"/>
          <w:szCs w:val="24"/>
          <w:u w:val="single"/>
        </w:rPr>
        <w:t>　     　</w:t>
      </w:r>
      <w:r>
        <w:rPr>
          <w:rFonts w:hint="eastAsia" w:ascii="宋体" w:hAnsi="宋体"/>
          <w:color w:val="auto"/>
          <w:sz w:val="24"/>
          <w:szCs w:val="24"/>
        </w:rPr>
        <w:t>单位的</w:t>
      </w:r>
      <w:r>
        <w:rPr>
          <w:rFonts w:hint="eastAsia" w:ascii="宋体" w:hAnsi="宋体" w:cs="Arial"/>
          <w:color w:val="auto"/>
          <w:kern w:val="0"/>
          <w:sz w:val="24"/>
          <w:szCs w:val="24"/>
          <w:u w:val="single"/>
        </w:rPr>
        <w:t>　     　</w:t>
      </w:r>
      <w:r>
        <w:rPr>
          <w:rFonts w:hint="eastAsia" w:ascii="宋体" w:hAnsi="宋体"/>
          <w:color w:val="auto"/>
          <w:sz w:val="24"/>
          <w:szCs w:val="24"/>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本单位对上述声明的真实性负责。如有虚假，将依法承担相应责任。</w:t>
      </w:r>
    </w:p>
    <w:p>
      <w:pPr>
        <w:spacing w:line="360" w:lineRule="auto"/>
        <w:rPr>
          <w:rFonts w:ascii="宋体" w:hAnsi="宋体"/>
          <w:color w:val="auto"/>
          <w:sz w:val="24"/>
          <w:szCs w:val="24"/>
        </w:rPr>
      </w:pPr>
    </w:p>
    <w:p>
      <w:pPr>
        <w:spacing w:line="360" w:lineRule="auto"/>
        <w:rPr>
          <w:rFonts w:ascii="宋体" w:hAnsi="宋体"/>
          <w:color w:val="auto"/>
          <w:sz w:val="24"/>
          <w:szCs w:val="24"/>
        </w:rPr>
      </w:pPr>
    </w:p>
    <w:p>
      <w:pPr>
        <w:spacing w:line="360" w:lineRule="auto"/>
        <w:rPr>
          <w:rFonts w:ascii="宋体" w:hAnsi="宋体"/>
          <w:color w:val="auto"/>
          <w:sz w:val="24"/>
          <w:szCs w:val="24"/>
        </w:rPr>
      </w:pPr>
      <w:r>
        <w:rPr>
          <w:rFonts w:hint="eastAsia" w:ascii="宋体" w:hAnsi="宋体"/>
          <w:color w:val="auto"/>
          <w:sz w:val="24"/>
          <w:szCs w:val="24"/>
        </w:rPr>
        <w:t xml:space="preserve">                                    单位名称（盖章）：</w:t>
      </w:r>
    </w:p>
    <w:p>
      <w:pPr>
        <w:spacing w:before="156" w:beforeLines="50" w:after="156" w:afterLines="50" w:line="360" w:lineRule="auto"/>
        <w:ind w:right="420" w:firstLine="4320" w:firstLineChars="180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 xml:space="preserve">日    期：    </w:t>
      </w:r>
      <w:r>
        <w:rPr>
          <w:rFonts w:hint="eastAsia" w:cs="宋体" w:asciiTheme="minorEastAsia" w:hAnsiTheme="minorEastAsia"/>
          <w:color w:val="auto"/>
          <w:szCs w:val="21"/>
        </w:rPr>
        <w:t>年    月    日</w:t>
      </w:r>
    </w:p>
    <w:p>
      <w:pPr>
        <w:spacing w:line="360" w:lineRule="auto"/>
        <w:rPr>
          <w:rFonts w:ascii="宋体" w:hAnsi="宋体"/>
          <w:color w:val="auto"/>
          <w:sz w:val="24"/>
          <w:szCs w:val="24"/>
        </w:rPr>
      </w:pPr>
    </w:p>
    <w:p>
      <w:pPr>
        <w:rPr>
          <w:color w:val="auto"/>
        </w:rPr>
      </w:pPr>
    </w:p>
    <w:p>
      <w:pPr>
        <w:rPr>
          <w:color w:val="auto"/>
        </w:rPr>
      </w:pPr>
    </w:p>
    <w:p>
      <w:pPr>
        <w:rPr>
          <w:color w:val="auto"/>
        </w:rPr>
      </w:pPr>
    </w:p>
    <w:p>
      <w:pPr>
        <w:pStyle w:val="17"/>
        <w:spacing w:after="240" w:line="360" w:lineRule="auto"/>
        <w:jc w:val="center"/>
        <w:rPr>
          <w:rFonts w:cs="黑体" w:asciiTheme="minorEastAsia" w:hAnsiTheme="minorEastAsia"/>
          <w:b/>
          <w:bCs/>
          <w:color w:val="auto"/>
          <w:sz w:val="44"/>
          <w:szCs w:val="44"/>
          <w:lang w:val="zh-CN"/>
        </w:rPr>
      </w:pPr>
    </w:p>
    <w:p>
      <w:pPr>
        <w:pStyle w:val="17"/>
        <w:spacing w:after="240" w:line="360" w:lineRule="auto"/>
        <w:jc w:val="center"/>
        <w:rPr>
          <w:rFonts w:asciiTheme="majorEastAsia" w:hAnsiTheme="majorEastAsia" w:eastAsiaTheme="majorEastAsia"/>
          <w:b/>
          <w:snapToGrid w:val="0"/>
          <w:color w:val="auto"/>
          <w:kern w:val="0"/>
          <w:sz w:val="36"/>
          <w:szCs w:val="36"/>
        </w:rPr>
      </w:pPr>
      <w:r>
        <w:rPr>
          <w:rFonts w:hint="eastAsia" w:asciiTheme="majorEastAsia" w:hAnsiTheme="majorEastAsia" w:eastAsiaTheme="majorEastAsia"/>
          <w:b/>
          <w:snapToGrid w:val="0"/>
          <w:color w:val="auto"/>
          <w:kern w:val="0"/>
          <w:sz w:val="36"/>
          <w:szCs w:val="36"/>
        </w:rPr>
        <w:t>五、</w:t>
      </w:r>
      <w:r>
        <w:rPr>
          <w:rFonts w:asciiTheme="majorEastAsia" w:hAnsiTheme="majorEastAsia" w:eastAsiaTheme="majorEastAsia"/>
          <w:b/>
          <w:snapToGrid w:val="0"/>
          <w:color w:val="auto"/>
          <w:kern w:val="0"/>
          <w:sz w:val="36"/>
          <w:szCs w:val="36"/>
        </w:rPr>
        <w:t>其他资料（若有）</w:t>
      </w:r>
    </w:p>
    <w:p>
      <w:pPr>
        <w:rPr>
          <w:color w:val="auto"/>
        </w:rPr>
      </w:pPr>
    </w:p>
    <w:p>
      <w:pPr>
        <w:rPr>
          <w:color w:val="auto"/>
        </w:rPr>
      </w:pPr>
    </w:p>
    <w:p>
      <w:pPr>
        <w:rPr>
          <w:color w:val="auto"/>
        </w:rPr>
      </w:pPr>
    </w:p>
    <w:p>
      <w:pPr>
        <w:spacing w:line="360" w:lineRule="auto"/>
        <w:jc w:val="center"/>
        <w:rPr>
          <w:rFonts w:ascii="宋体" w:hAnsi="宋体"/>
          <w:b/>
          <w:bCs/>
          <w:color w:val="auto"/>
          <w:sz w:val="28"/>
          <w:szCs w:val="28"/>
        </w:rPr>
      </w:pPr>
      <w:r>
        <w:rPr>
          <w:rFonts w:ascii="宋体" w:hAnsi="宋体"/>
          <w:b/>
          <w:bCs/>
          <w:color w:val="auto"/>
          <w:sz w:val="28"/>
          <w:szCs w:val="28"/>
        </w:rPr>
        <w:t>除招标文件另有规定外，投标人认为需要提交的其他证明材料或资料加盖投标人的单位公章后应在此项下提交。</w:t>
      </w:r>
    </w:p>
    <w:p>
      <w:pPr>
        <w:rPr>
          <w:color w:val="auto"/>
        </w:rPr>
      </w:pPr>
    </w:p>
    <w:sectPr>
      <w:footerReference r:id="rId3" w:type="default"/>
      <w:pgSz w:w="11906" w:h="16838"/>
      <w:pgMar w:top="1701" w:right="1474" w:bottom="1701" w:left="1588"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altName w:val="仿宋"/>
    <w:panose1 w:val="00000000000000000000"/>
    <w:charset w:val="86"/>
    <w:family w:val="auto"/>
    <w:pitch w:val="default"/>
    <w:sig w:usb0="00000000" w:usb1="00000000" w:usb2="00000000" w:usb3="00000000" w:csb0="00040000" w:csb1="00000000"/>
  </w:font>
  <w:font w:name="Cambria">
    <w:panose1 w:val="02040503050406030204"/>
    <w:charset w:val="00"/>
    <w:family w:val="roman"/>
    <w:pitch w:val="default"/>
    <w:sig w:usb0="A00002EF" w:usb1="4000004B" w:usb2="00000000" w:usb3="00000000" w:csb0="2000009F" w:csb1="00000000"/>
  </w:font>
  <w:font w:name="微软简隶书">
    <w:altName w:val="黑体"/>
    <w:panose1 w:val="00000000000000000000"/>
    <w:charset w:val="86"/>
    <w:family w:val="auto"/>
    <w:pitch w:val="default"/>
    <w:sig w:usb0="00000000" w:usb1="00000000" w:usb2="00000010" w:usb3="00000000" w:csb0="00040000" w:csb1="00000000"/>
  </w:font>
  <w:font w:name="MS Mincho">
    <w:panose1 w:val="02020609040205080304"/>
    <w:charset w:val="80"/>
    <w:family w:val="roma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TimesNewRomanPSMT">
    <w:altName w:val="宋体"/>
    <w:panose1 w:val="00000000000000000000"/>
    <w:charset w:val="00"/>
    <w:family w:val="auto"/>
    <w:pitch w:val="default"/>
    <w:sig w:usb0="00000000" w:usb1="00000000" w:usb2="00000010" w:usb3="00000000" w:csb0="0004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1"/>
                          </w:pPr>
                          <w:r>
                            <w:fldChar w:fldCharType="begin"/>
                          </w:r>
                          <w:r>
                            <w:instrText xml:space="preserve"> PAGE  \* MERGEFORMAT </w:instrText>
                          </w:r>
                          <w:r>
                            <w:fldChar w:fldCharType="separate"/>
                          </w:r>
                          <w:r>
                            <w:t>34</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Ps5vjrgEAAEsD&#10;AAAOAAAAAAAAAAEAIAAAAB4BAABkcnMvZTJvRG9jLnhtbFBLBQYAAAAABgAGAFkBAAA+BQAAAAA=&#10;">
              <v:fill on="f" focussize="0,0"/>
              <v:stroke on="f"/>
              <v:imagedata o:title=""/>
              <o:lock v:ext="edit" aspectratio="f"/>
              <v:textbox inset="0mm,0mm,0mm,0mm" style="mso-fit-shape-to-text:t;">
                <w:txbxContent>
                  <w:p>
                    <w:pPr>
                      <w:pStyle w:val="21"/>
                    </w:pPr>
                    <w:r>
                      <w:fldChar w:fldCharType="begin"/>
                    </w:r>
                    <w:r>
                      <w:instrText xml:space="preserve"> PAGE  \* MERGEFORMAT </w:instrText>
                    </w:r>
                    <w:r>
                      <w:fldChar w:fldCharType="separate"/>
                    </w:r>
                    <w:r>
                      <w:t>34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8"/>
      <w:suff w:val="nothing"/>
      <w:lvlText w:val="第%1部分"/>
      <w:lvlJc w:val="center"/>
      <w:pPr>
        <w:ind w:left="-288" w:firstLine="288"/>
      </w:pPr>
      <w:rPr>
        <w:rFonts w:hint="eastAsia"/>
        <w:sz w:val="28"/>
        <w:szCs w:val="28"/>
      </w:rPr>
    </w:lvl>
    <w:lvl w:ilvl="1" w:tentative="0">
      <w:start w:val="1"/>
      <w:numFmt w:val="chineseCountingThousand"/>
      <w:pStyle w:val="9"/>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11"/>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0E"/>
    <w:multiLevelType w:val="multilevel"/>
    <w:tmpl w:val="0000000E"/>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F"/>
    <w:multiLevelType w:val="multilevel"/>
    <w:tmpl w:val="0000000F"/>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11"/>
    <w:multiLevelType w:val="multilevel"/>
    <w:tmpl w:val="00000011"/>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4">
    <w:nsid w:val="00000013"/>
    <w:multiLevelType w:val="multilevel"/>
    <w:tmpl w:val="00000013"/>
    <w:lvl w:ilvl="0" w:tentative="0">
      <w:start w:val="2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14"/>
    <w:multiLevelType w:val="multilevel"/>
    <w:tmpl w:val="00000014"/>
    <w:lvl w:ilvl="0" w:tentative="0">
      <w:start w:val="1"/>
      <w:numFmt w:val="decimal"/>
      <w:pStyle w:val="57"/>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7"/>
    <w:multiLevelType w:val="multilevel"/>
    <w:tmpl w:val="00000017"/>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00000019"/>
    <w:multiLevelType w:val="multilevel"/>
    <w:tmpl w:val="00000019"/>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59F817C2"/>
    <w:multiLevelType w:val="singleLevel"/>
    <w:tmpl w:val="59F817C2"/>
    <w:lvl w:ilvl="0" w:tentative="0">
      <w:start w:val="2"/>
      <w:numFmt w:val="chineseCounting"/>
      <w:suff w:val="space"/>
      <w:lvlText w:val="第%1章"/>
      <w:lvlJc w:val="left"/>
    </w:lvl>
  </w:abstractNum>
  <w:abstractNum w:abstractNumId="10">
    <w:nsid w:val="59F817E8"/>
    <w:multiLevelType w:val="singleLevel"/>
    <w:tmpl w:val="59F817E8"/>
    <w:lvl w:ilvl="0" w:tentative="0">
      <w:start w:val="1"/>
      <w:numFmt w:val="chineseCounting"/>
      <w:pStyle w:val="61"/>
      <w:suff w:val="nothing"/>
      <w:lvlText w:val="%1、"/>
      <w:lvlJc w:val="left"/>
    </w:lvl>
  </w:abstractNum>
  <w:num w:numId="1">
    <w:abstractNumId w:val="0"/>
  </w:num>
  <w:num w:numId="2">
    <w:abstractNumId w:val="5"/>
  </w:num>
  <w:num w:numId="3">
    <w:abstractNumId w:val="10"/>
  </w:num>
  <w:num w:numId="4">
    <w:abstractNumId w:val="9"/>
  </w:num>
  <w:num w:numId="5">
    <w:abstractNumId w:val="3"/>
  </w:num>
  <w:num w:numId="6">
    <w:abstractNumId w:val="6"/>
  </w:num>
  <w:num w:numId="7">
    <w:abstractNumId w:val="1"/>
  </w:num>
  <w:num w:numId="8">
    <w:abstractNumId w:val="2"/>
  </w:num>
  <w:num w:numId="9">
    <w:abstractNumId w:val="7"/>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0A1"/>
    <w:rsid w:val="00017501"/>
    <w:rsid w:val="0003428F"/>
    <w:rsid w:val="00046CF2"/>
    <w:rsid w:val="000525A8"/>
    <w:rsid w:val="000578F0"/>
    <w:rsid w:val="00062FF6"/>
    <w:rsid w:val="000639CC"/>
    <w:rsid w:val="00081F2F"/>
    <w:rsid w:val="00083012"/>
    <w:rsid w:val="00085D77"/>
    <w:rsid w:val="00096EF2"/>
    <w:rsid w:val="00097E92"/>
    <w:rsid w:val="000A06BD"/>
    <w:rsid w:val="000A0D36"/>
    <w:rsid w:val="000A73A7"/>
    <w:rsid w:val="000B3B07"/>
    <w:rsid w:val="000B3BDB"/>
    <w:rsid w:val="000C25B9"/>
    <w:rsid w:val="000C513F"/>
    <w:rsid w:val="000D0161"/>
    <w:rsid w:val="000E02DD"/>
    <w:rsid w:val="000F1D27"/>
    <w:rsid w:val="000F5F55"/>
    <w:rsid w:val="000F77CE"/>
    <w:rsid w:val="00101C89"/>
    <w:rsid w:val="0011416B"/>
    <w:rsid w:val="00133E84"/>
    <w:rsid w:val="00151DA5"/>
    <w:rsid w:val="00161D7F"/>
    <w:rsid w:val="0017169F"/>
    <w:rsid w:val="00171D90"/>
    <w:rsid w:val="001A229C"/>
    <w:rsid w:val="001B609B"/>
    <w:rsid w:val="001B7A51"/>
    <w:rsid w:val="001B7FEA"/>
    <w:rsid w:val="001C277C"/>
    <w:rsid w:val="001C7B7A"/>
    <w:rsid w:val="001D27C5"/>
    <w:rsid w:val="001E1EFF"/>
    <w:rsid w:val="001E2C99"/>
    <w:rsid w:val="001E42D4"/>
    <w:rsid w:val="001E4A13"/>
    <w:rsid w:val="001F6950"/>
    <w:rsid w:val="00201A85"/>
    <w:rsid w:val="0020360E"/>
    <w:rsid w:val="0021009F"/>
    <w:rsid w:val="00212514"/>
    <w:rsid w:val="00213646"/>
    <w:rsid w:val="00226442"/>
    <w:rsid w:val="00232295"/>
    <w:rsid w:val="00235185"/>
    <w:rsid w:val="00240F1C"/>
    <w:rsid w:val="0024495F"/>
    <w:rsid w:val="00245FF5"/>
    <w:rsid w:val="00256723"/>
    <w:rsid w:val="00257170"/>
    <w:rsid w:val="00265850"/>
    <w:rsid w:val="0027181E"/>
    <w:rsid w:val="002737F7"/>
    <w:rsid w:val="00275630"/>
    <w:rsid w:val="00283852"/>
    <w:rsid w:val="00283B98"/>
    <w:rsid w:val="00284EF2"/>
    <w:rsid w:val="002A38BF"/>
    <w:rsid w:val="002A3D0B"/>
    <w:rsid w:val="002A5C8F"/>
    <w:rsid w:val="002C4C2D"/>
    <w:rsid w:val="002F3339"/>
    <w:rsid w:val="002F7867"/>
    <w:rsid w:val="0030296C"/>
    <w:rsid w:val="00303264"/>
    <w:rsid w:val="003205D0"/>
    <w:rsid w:val="00324408"/>
    <w:rsid w:val="00334459"/>
    <w:rsid w:val="00345281"/>
    <w:rsid w:val="0034629A"/>
    <w:rsid w:val="00352127"/>
    <w:rsid w:val="003544A8"/>
    <w:rsid w:val="003571FA"/>
    <w:rsid w:val="0037076E"/>
    <w:rsid w:val="00372DB4"/>
    <w:rsid w:val="003825ED"/>
    <w:rsid w:val="003907C7"/>
    <w:rsid w:val="003A359B"/>
    <w:rsid w:val="003C0E83"/>
    <w:rsid w:val="003C29D8"/>
    <w:rsid w:val="003E21EB"/>
    <w:rsid w:val="003E48EC"/>
    <w:rsid w:val="003E5112"/>
    <w:rsid w:val="003F6502"/>
    <w:rsid w:val="00402211"/>
    <w:rsid w:val="00404666"/>
    <w:rsid w:val="004050DE"/>
    <w:rsid w:val="00406244"/>
    <w:rsid w:val="004063CC"/>
    <w:rsid w:val="00410CC9"/>
    <w:rsid w:val="00416816"/>
    <w:rsid w:val="00420907"/>
    <w:rsid w:val="00427B00"/>
    <w:rsid w:val="00435FDE"/>
    <w:rsid w:val="00445073"/>
    <w:rsid w:val="00446149"/>
    <w:rsid w:val="00450F50"/>
    <w:rsid w:val="00456894"/>
    <w:rsid w:val="00464506"/>
    <w:rsid w:val="00465A0F"/>
    <w:rsid w:val="00470C14"/>
    <w:rsid w:val="00483528"/>
    <w:rsid w:val="004924B9"/>
    <w:rsid w:val="004B20C1"/>
    <w:rsid w:val="004B2BF1"/>
    <w:rsid w:val="004B4DFE"/>
    <w:rsid w:val="004B4EDE"/>
    <w:rsid w:val="004B64D5"/>
    <w:rsid w:val="004B7274"/>
    <w:rsid w:val="004C7602"/>
    <w:rsid w:val="004D4777"/>
    <w:rsid w:val="004D6DD1"/>
    <w:rsid w:val="004E2214"/>
    <w:rsid w:val="004E7410"/>
    <w:rsid w:val="004F0DAE"/>
    <w:rsid w:val="004F3D74"/>
    <w:rsid w:val="004F4304"/>
    <w:rsid w:val="005016B6"/>
    <w:rsid w:val="00502FE6"/>
    <w:rsid w:val="0053477A"/>
    <w:rsid w:val="00540282"/>
    <w:rsid w:val="00561DE5"/>
    <w:rsid w:val="005652F3"/>
    <w:rsid w:val="0057696E"/>
    <w:rsid w:val="00593D55"/>
    <w:rsid w:val="005A0C47"/>
    <w:rsid w:val="005A136F"/>
    <w:rsid w:val="005A270A"/>
    <w:rsid w:val="005A5995"/>
    <w:rsid w:val="005C217F"/>
    <w:rsid w:val="005C7961"/>
    <w:rsid w:val="005D175B"/>
    <w:rsid w:val="005D2E75"/>
    <w:rsid w:val="005F47A1"/>
    <w:rsid w:val="006420EB"/>
    <w:rsid w:val="0065153E"/>
    <w:rsid w:val="006553C3"/>
    <w:rsid w:val="006631F2"/>
    <w:rsid w:val="00667C94"/>
    <w:rsid w:val="00680656"/>
    <w:rsid w:val="006933BB"/>
    <w:rsid w:val="00694141"/>
    <w:rsid w:val="006A07CE"/>
    <w:rsid w:val="006A203E"/>
    <w:rsid w:val="006A7D4F"/>
    <w:rsid w:val="006B1770"/>
    <w:rsid w:val="006C316E"/>
    <w:rsid w:val="006D054D"/>
    <w:rsid w:val="006D1C0B"/>
    <w:rsid w:val="006D2224"/>
    <w:rsid w:val="006D3CA5"/>
    <w:rsid w:val="006D60A7"/>
    <w:rsid w:val="006E3BAC"/>
    <w:rsid w:val="00711114"/>
    <w:rsid w:val="00722534"/>
    <w:rsid w:val="00726BAF"/>
    <w:rsid w:val="00727091"/>
    <w:rsid w:val="00732C83"/>
    <w:rsid w:val="00732D02"/>
    <w:rsid w:val="00732F5A"/>
    <w:rsid w:val="0074554E"/>
    <w:rsid w:val="00753771"/>
    <w:rsid w:val="0075736B"/>
    <w:rsid w:val="00762FB1"/>
    <w:rsid w:val="007700BC"/>
    <w:rsid w:val="00776A4C"/>
    <w:rsid w:val="00780384"/>
    <w:rsid w:val="00783F96"/>
    <w:rsid w:val="007959FE"/>
    <w:rsid w:val="007A1521"/>
    <w:rsid w:val="007B0916"/>
    <w:rsid w:val="007B3A28"/>
    <w:rsid w:val="007C2BE7"/>
    <w:rsid w:val="007C2DAF"/>
    <w:rsid w:val="007C63B4"/>
    <w:rsid w:val="007D1DB9"/>
    <w:rsid w:val="007D5779"/>
    <w:rsid w:val="007E6687"/>
    <w:rsid w:val="007F6815"/>
    <w:rsid w:val="00802181"/>
    <w:rsid w:val="00803348"/>
    <w:rsid w:val="008126E8"/>
    <w:rsid w:val="00815F6B"/>
    <w:rsid w:val="00823CB6"/>
    <w:rsid w:val="0082671D"/>
    <w:rsid w:val="008276D4"/>
    <w:rsid w:val="0083025F"/>
    <w:rsid w:val="00834A4C"/>
    <w:rsid w:val="00841B6F"/>
    <w:rsid w:val="0084268D"/>
    <w:rsid w:val="008438B1"/>
    <w:rsid w:val="00847A7B"/>
    <w:rsid w:val="008730AF"/>
    <w:rsid w:val="00891A73"/>
    <w:rsid w:val="00896AAC"/>
    <w:rsid w:val="00896ED7"/>
    <w:rsid w:val="008A07C9"/>
    <w:rsid w:val="008A2425"/>
    <w:rsid w:val="008B50B1"/>
    <w:rsid w:val="008B64B1"/>
    <w:rsid w:val="008D0203"/>
    <w:rsid w:val="008D5054"/>
    <w:rsid w:val="008E2E1B"/>
    <w:rsid w:val="008E3A3F"/>
    <w:rsid w:val="008E4C74"/>
    <w:rsid w:val="008F00B5"/>
    <w:rsid w:val="00922D24"/>
    <w:rsid w:val="00925433"/>
    <w:rsid w:val="0094367E"/>
    <w:rsid w:val="00944C98"/>
    <w:rsid w:val="00947E5D"/>
    <w:rsid w:val="00953EB8"/>
    <w:rsid w:val="009540AC"/>
    <w:rsid w:val="0095494C"/>
    <w:rsid w:val="0097194D"/>
    <w:rsid w:val="00993428"/>
    <w:rsid w:val="00997FA4"/>
    <w:rsid w:val="009A34C8"/>
    <w:rsid w:val="009A4253"/>
    <w:rsid w:val="009B5D13"/>
    <w:rsid w:val="009B5FF2"/>
    <w:rsid w:val="009C0FBD"/>
    <w:rsid w:val="009C70D5"/>
    <w:rsid w:val="009D09F8"/>
    <w:rsid w:val="009E3CB5"/>
    <w:rsid w:val="009E3DD9"/>
    <w:rsid w:val="009E70F8"/>
    <w:rsid w:val="00A0460A"/>
    <w:rsid w:val="00A06146"/>
    <w:rsid w:val="00A13AE0"/>
    <w:rsid w:val="00A17AF7"/>
    <w:rsid w:val="00A226F1"/>
    <w:rsid w:val="00A2436A"/>
    <w:rsid w:val="00A31EA5"/>
    <w:rsid w:val="00A36582"/>
    <w:rsid w:val="00A4131C"/>
    <w:rsid w:val="00A55501"/>
    <w:rsid w:val="00A70E37"/>
    <w:rsid w:val="00A7139A"/>
    <w:rsid w:val="00A72250"/>
    <w:rsid w:val="00A740EF"/>
    <w:rsid w:val="00AA45C0"/>
    <w:rsid w:val="00AA4849"/>
    <w:rsid w:val="00AB7CC0"/>
    <w:rsid w:val="00AC2000"/>
    <w:rsid w:val="00AC38B5"/>
    <w:rsid w:val="00AD6DFF"/>
    <w:rsid w:val="00AE09FD"/>
    <w:rsid w:val="00AF6695"/>
    <w:rsid w:val="00B023E9"/>
    <w:rsid w:val="00B22D42"/>
    <w:rsid w:val="00B23A18"/>
    <w:rsid w:val="00B54D89"/>
    <w:rsid w:val="00B614D5"/>
    <w:rsid w:val="00B673B7"/>
    <w:rsid w:val="00B82A70"/>
    <w:rsid w:val="00BA00A1"/>
    <w:rsid w:val="00BA513E"/>
    <w:rsid w:val="00BC0DDA"/>
    <w:rsid w:val="00BC185E"/>
    <w:rsid w:val="00BD0FCD"/>
    <w:rsid w:val="00BF40AC"/>
    <w:rsid w:val="00BF6070"/>
    <w:rsid w:val="00C218B3"/>
    <w:rsid w:val="00C24C5F"/>
    <w:rsid w:val="00C33EEE"/>
    <w:rsid w:val="00C46826"/>
    <w:rsid w:val="00C46EC2"/>
    <w:rsid w:val="00C563CD"/>
    <w:rsid w:val="00C628B9"/>
    <w:rsid w:val="00C6345B"/>
    <w:rsid w:val="00C64B74"/>
    <w:rsid w:val="00C67EFC"/>
    <w:rsid w:val="00C70729"/>
    <w:rsid w:val="00C84869"/>
    <w:rsid w:val="00C8633E"/>
    <w:rsid w:val="00C87D94"/>
    <w:rsid w:val="00C961E6"/>
    <w:rsid w:val="00CA2759"/>
    <w:rsid w:val="00CB3B2C"/>
    <w:rsid w:val="00CC512B"/>
    <w:rsid w:val="00CD7C3E"/>
    <w:rsid w:val="00CE7CEF"/>
    <w:rsid w:val="00CF0B30"/>
    <w:rsid w:val="00CF6B98"/>
    <w:rsid w:val="00D10684"/>
    <w:rsid w:val="00D122D5"/>
    <w:rsid w:val="00D13518"/>
    <w:rsid w:val="00D23E0A"/>
    <w:rsid w:val="00D30EF5"/>
    <w:rsid w:val="00D329B2"/>
    <w:rsid w:val="00D4018D"/>
    <w:rsid w:val="00D50940"/>
    <w:rsid w:val="00D517B4"/>
    <w:rsid w:val="00D52F8C"/>
    <w:rsid w:val="00D6280B"/>
    <w:rsid w:val="00D62E23"/>
    <w:rsid w:val="00D649C6"/>
    <w:rsid w:val="00D65B0D"/>
    <w:rsid w:val="00D84FAD"/>
    <w:rsid w:val="00D858AE"/>
    <w:rsid w:val="00D907C4"/>
    <w:rsid w:val="00D921C3"/>
    <w:rsid w:val="00D9500B"/>
    <w:rsid w:val="00DC5FA9"/>
    <w:rsid w:val="00DD03C7"/>
    <w:rsid w:val="00DE0BCC"/>
    <w:rsid w:val="00DE31D5"/>
    <w:rsid w:val="00DE5212"/>
    <w:rsid w:val="00DE5F0D"/>
    <w:rsid w:val="00E0346E"/>
    <w:rsid w:val="00E05CFE"/>
    <w:rsid w:val="00E11E3C"/>
    <w:rsid w:val="00E138ED"/>
    <w:rsid w:val="00E204CF"/>
    <w:rsid w:val="00E225AA"/>
    <w:rsid w:val="00E27DEF"/>
    <w:rsid w:val="00E3328C"/>
    <w:rsid w:val="00E6034A"/>
    <w:rsid w:val="00E653B4"/>
    <w:rsid w:val="00E655C5"/>
    <w:rsid w:val="00E762EC"/>
    <w:rsid w:val="00E8068F"/>
    <w:rsid w:val="00E81F1B"/>
    <w:rsid w:val="00E87F36"/>
    <w:rsid w:val="00E921D4"/>
    <w:rsid w:val="00E94B80"/>
    <w:rsid w:val="00E969B7"/>
    <w:rsid w:val="00EA7F2D"/>
    <w:rsid w:val="00EB253B"/>
    <w:rsid w:val="00EB7B64"/>
    <w:rsid w:val="00EC6CB4"/>
    <w:rsid w:val="00ED24F5"/>
    <w:rsid w:val="00ED3114"/>
    <w:rsid w:val="00EE2F07"/>
    <w:rsid w:val="00EE70E8"/>
    <w:rsid w:val="00F03073"/>
    <w:rsid w:val="00F06384"/>
    <w:rsid w:val="00F149A9"/>
    <w:rsid w:val="00F170AF"/>
    <w:rsid w:val="00F177E3"/>
    <w:rsid w:val="00F2323E"/>
    <w:rsid w:val="00F33383"/>
    <w:rsid w:val="00F42340"/>
    <w:rsid w:val="00F56AC6"/>
    <w:rsid w:val="00F83BAF"/>
    <w:rsid w:val="00F85662"/>
    <w:rsid w:val="00F86330"/>
    <w:rsid w:val="00F92E6A"/>
    <w:rsid w:val="00F943A5"/>
    <w:rsid w:val="00FA3B21"/>
    <w:rsid w:val="00FA5DC4"/>
    <w:rsid w:val="00FA601C"/>
    <w:rsid w:val="00FA64FC"/>
    <w:rsid w:val="00FB1564"/>
    <w:rsid w:val="00FB7342"/>
    <w:rsid w:val="00FC2DFB"/>
    <w:rsid w:val="00FC3FB3"/>
    <w:rsid w:val="00FE160F"/>
    <w:rsid w:val="010C3F49"/>
    <w:rsid w:val="022A68D4"/>
    <w:rsid w:val="242557A9"/>
    <w:rsid w:val="293B24B4"/>
    <w:rsid w:val="37403544"/>
    <w:rsid w:val="3CDD6BEB"/>
    <w:rsid w:val="3ECE2FE8"/>
    <w:rsid w:val="43630F84"/>
    <w:rsid w:val="44A25615"/>
    <w:rsid w:val="536F2B46"/>
    <w:rsid w:val="5602190D"/>
    <w:rsid w:val="57A51E26"/>
    <w:rsid w:val="66736571"/>
    <w:rsid w:val="67984AC2"/>
    <w:rsid w:val="68757D5D"/>
    <w:rsid w:val="6DE809C9"/>
    <w:rsid w:val="6DFE24E7"/>
    <w:rsid w:val="6F6B5EF8"/>
    <w:rsid w:val="709755E3"/>
    <w:rsid w:val="767A02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qFormat="1" w:uiPriority="99" w:semiHidden="0"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8">
    <w:name w:val="heading 1"/>
    <w:basedOn w:val="1"/>
    <w:next w:val="1"/>
    <w:link w:val="34"/>
    <w:qFormat/>
    <w:uiPriority w:val="9"/>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9">
    <w:name w:val="heading 2"/>
    <w:basedOn w:val="1"/>
    <w:next w:val="1"/>
    <w:link w:val="62"/>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10">
    <w:name w:val="heading 3"/>
    <w:basedOn w:val="1"/>
    <w:next w:val="1"/>
    <w:link w:val="36"/>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11">
    <w:name w:val="heading 4"/>
    <w:basedOn w:val="1"/>
    <w:next w:val="1"/>
    <w:link w:val="37"/>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next w:val="5"/>
    <w:link w:val="39"/>
    <w:qFormat/>
    <w:uiPriority w:val="0"/>
    <w:pPr>
      <w:ind w:firstLine="420" w:firstLineChars="100"/>
    </w:pPr>
    <w:rPr>
      <w:rFonts w:ascii="宋体" w:hAnsi="Times New Roman" w:eastAsia="宋体" w:cs="Times New Roman"/>
      <w:kern w:val="0"/>
      <w:sz w:val="34"/>
      <w:szCs w:val="20"/>
    </w:rPr>
  </w:style>
  <w:style w:type="paragraph" w:styleId="3">
    <w:name w:val="Body Text"/>
    <w:basedOn w:val="1"/>
    <w:next w:val="4"/>
    <w:link w:val="38"/>
    <w:unhideWhenUsed/>
    <w:qFormat/>
    <w:uiPriority w:val="99"/>
    <w:pPr>
      <w:spacing w:after="120"/>
    </w:pPr>
  </w:style>
  <w:style w:type="paragraph" w:styleId="4">
    <w:name w:val="Body Text 2"/>
    <w:basedOn w:val="1"/>
    <w:qFormat/>
    <w:uiPriority w:val="0"/>
    <w:pPr>
      <w:spacing w:before="100" w:beforeAutospacing="1" w:after="100" w:afterAutospacing="1"/>
      <w:jc w:val="left"/>
    </w:pPr>
    <w:rPr>
      <w:rFonts w:ascii="宋体" w:hAnsi="宋体"/>
      <w:kern w:val="0"/>
      <w:sz w:val="24"/>
    </w:rPr>
  </w:style>
  <w:style w:type="paragraph" w:styleId="5">
    <w:name w:val="Body Text First Indent 2"/>
    <w:basedOn w:val="6"/>
    <w:unhideWhenUsed/>
    <w:qFormat/>
    <w:uiPriority w:val="99"/>
    <w:pPr>
      <w:ind w:firstLine="420" w:firstLineChars="200"/>
    </w:pPr>
  </w:style>
  <w:style w:type="paragraph" w:styleId="6">
    <w:name w:val="Body Text Indent"/>
    <w:basedOn w:val="1"/>
    <w:next w:val="7"/>
    <w:qFormat/>
    <w:uiPriority w:val="0"/>
    <w:pPr>
      <w:adjustRightInd w:val="0"/>
      <w:spacing w:after="120" w:line="360" w:lineRule="atLeast"/>
      <w:ind w:left="420" w:leftChars="200"/>
      <w:jc w:val="left"/>
      <w:textAlignment w:val="baseline"/>
    </w:pPr>
    <w:rPr>
      <w:sz w:val="24"/>
    </w:rPr>
  </w:style>
  <w:style w:type="paragraph" w:styleId="7">
    <w:name w:val="envelope return"/>
    <w:basedOn w:val="1"/>
    <w:unhideWhenUsed/>
    <w:qFormat/>
    <w:uiPriority w:val="99"/>
    <w:pPr>
      <w:snapToGrid w:val="0"/>
    </w:pPr>
    <w:rPr>
      <w:rFonts w:ascii="Arial" w:hAnsi="Arial"/>
    </w:rPr>
  </w:style>
  <w:style w:type="paragraph" w:styleId="12">
    <w:name w:val="Normal Indent"/>
    <w:basedOn w:val="1"/>
    <w:qFormat/>
    <w:uiPriority w:val="0"/>
    <w:pPr>
      <w:ind w:firstLine="425"/>
    </w:pPr>
    <w:rPr>
      <w:rFonts w:ascii="Times New Roman" w:hAnsi="Times New Roman" w:eastAsia="宋体" w:cs="Times New Roman"/>
      <w:szCs w:val="20"/>
    </w:rPr>
  </w:style>
  <w:style w:type="paragraph" w:styleId="13">
    <w:name w:val="caption"/>
    <w:basedOn w:val="1"/>
    <w:next w:val="1"/>
    <w:qFormat/>
    <w:uiPriority w:val="0"/>
    <w:rPr>
      <w:rFonts w:ascii="Arial" w:hAnsi="Arial" w:eastAsia="黑体" w:cs="Arial"/>
      <w:sz w:val="20"/>
      <w:szCs w:val="20"/>
    </w:rPr>
  </w:style>
  <w:style w:type="paragraph" w:styleId="14">
    <w:name w:val="Body Text 3"/>
    <w:basedOn w:val="1"/>
    <w:link w:val="40"/>
    <w:qFormat/>
    <w:uiPriority w:val="0"/>
    <w:rPr>
      <w:rFonts w:ascii="Times New Roman" w:hAnsi="Times New Roman" w:eastAsia="宋体" w:cs="Times New Roman"/>
      <w:color w:val="FF0000"/>
      <w:sz w:val="24"/>
      <w:szCs w:val="24"/>
    </w:rPr>
  </w:style>
  <w:style w:type="paragraph" w:styleId="15">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6">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7">
    <w:name w:val="Plain Text"/>
    <w:basedOn w:val="1"/>
    <w:link w:val="41"/>
    <w:qFormat/>
    <w:uiPriority w:val="0"/>
    <w:rPr>
      <w:rFonts w:eastAsia="宋体"/>
      <w:sz w:val="24"/>
    </w:rPr>
  </w:style>
  <w:style w:type="paragraph" w:styleId="18">
    <w:name w:val="Date"/>
    <w:basedOn w:val="1"/>
    <w:next w:val="1"/>
    <w:link w:val="42"/>
    <w:unhideWhenUsed/>
    <w:qFormat/>
    <w:uiPriority w:val="99"/>
    <w:pPr>
      <w:ind w:left="100" w:leftChars="2500"/>
    </w:pPr>
  </w:style>
  <w:style w:type="paragraph" w:styleId="19">
    <w:name w:val="Body Text Indent 2"/>
    <w:basedOn w:val="1"/>
    <w:link w:val="43"/>
    <w:semiHidden/>
    <w:unhideWhenUsed/>
    <w:qFormat/>
    <w:uiPriority w:val="99"/>
    <w:pPr>
      <w:spacing w:line="440" w:lineRule="exact"/>
      <w:ind w:firstLine="560" w:firstLineChars="200"/>
    </w:pPr>
    <w:rPr>
      <w:rFonts w:ascii="仿宋_GB2312" w:eastAsia="仿宋_GB2312"/>
      <w:sz w:val="28"/>
    </w:rPr>
  </w:style>
  <w:style w:type="paragraph" w:styleId="20">
    <w:name w:val="Balloon Text"/>
    <w:basedOn w:val="1"/>
    <w:link w:val="44"/>
    <w:semiHidden/>
    <w:unhideWhenUsed/>
    <w:qFormat/>
    <w:uiPriority w:val="99"/>
    <w:rPr>
      <w:sz w:val="18"/>
      <w:szCs w:val="18"/>
    </w:rPr>
  </w:style>
  <w:style w:type="paragraph" w:styleId="21">
    <w:name w:val="footer"/>
    <w:basedOn w:val="1"/>
    <w:link w:val="45"/>
    <w:unhideWhenUsed/>
    <w:qFormat/>
    <w:uiPriority w:val="99"/>
    <w:pPr>
      <w:tabs>
        <w:tab w:val="center" w:pos="4153"/>
        <w:tab w:val="right" w:pos="8306"/>
      </w:tabs>
      <w:snapToGrid w:val="0"/>
      <w:jc w:val="left"/>
    </w:pPr>
    <w:rPr>
      <w:sz w:val="18"/>
      <w:szCs w:val="18"/>
    </w:rPr>
  </w:style>
  <w:style w:type="paragraph" w:styleId="22">
    <w:name w:val="header"/>
    <w:basedOn w:val="1"/>
    <w:link w:val="46"/>
    <w:unhideWhenUsed/>
    <w:qFormat/>
    <w:uiPriority w:val="99"/>
    <w:pPr>
      <w:pBdr>
        <w:bottom w:val="single" w:color="auto" w:sz="6" w:space="1"/>
      </w:pBdr>
      <w:tabs>
        <w:tab w:val="center" w:pos="4153"/>
        <w:tab w:val="right" w:pos="8306"/>
      </w:tabs>
      <w:snapToGrid w:val="0"/>
      <w:jc w:val="center"/>
    </w:pPr>
    <w:rPr>
      <w:sz w:val="18"/>
      <w:szCs w:val="18"/>
    </w:rPr>
  </w:style>
  <w:style w:type="paragraph" w:styleId="23">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24">
    <w:name w:val="HTML Preformatted"/>
    <w:basedOn w:val="1"/>
    <w:link w:val="47"/>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5">
    <w:name w:val="Normal (Web)"/>
    <w:basedOn w:val="1"/>
    <w:qFormat/>
    <w:uiPriority w:val="99"/>
    <w:rPr>
      <w:rFonts w:ascii="Calibri" w:hAnsi="Calibri" w:eastAsia="宋体" w:cs="Times New Roman"/>
      <w:sz w:val="24"/>
      <w:szCs w:val="24"/>
    </w:rPr>
  </w:style>
  <w:style w:type="table" w:styleId="27">
    <w:name w:val="Table Grid"/>
    <w:basedOn w:val="2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29">
    <w:name w:val="Strong"/>
    <w:basedOn w:val="28"/>
    <w:qFormat/>
    <w:uiPriority w:val="22"/>
    <w:rPr>
      <w:b/>
      <w:bCs/>
    </w:rPr>
  </w:style>
  <w:style w:type="character" w:styleId="30">
    <w:name w:val="page number"/>
    <w:basedOn w:val="28"/>
    <w:qFormat/>
    <w:uiPriority w:val="0"/>
  </w:style>
  <w:style w:type="character" w:styleId="31">
    <w:name w:val="FollowedHyperlink"/>
    <w:basedOn w:val="28"/>
    <w:semiHidden/>
    <w:unhideWhenUsed/>
    <w:qFormat/>
    <w:uiPriority w:val="99"/>
    <w:rPr>
      <w:color w:val="800080" w:themeColor="followedHyperlink"/>
      <w:u w:val="single"/>
      <w14:textFill>
        <w14:solidFill>
          <w14:schemeClr w14:val="folHlink"/>
        </w14:solidFill>
      </w14:textFill>
    </w:rPr>
  </w:style>
  <w:style w:type="character" w:styleId="32">
    <w:name w:val="Emphasis"/>
    <w:basedOn w:val="28"/>
    <w:qFormat/>
    <w:uiPriority w:val="20"/>
  </w:style>
  <w:style w:type="character" w:styleId="33">
    <w:name w:val="Hyperlink"/>
    <w:basedOn w:val="28"/>
    <w:unhideWhenUsed/>
    <w:qFormat/>
    <w:uiPriority w:val="99"/>
    <w:rPr>
      <w:color w:val="000000"/>
      <w:u w:val="none"/>
    </w:rPr>
  </w:style>
  <w:style w:type="character" w:customStyle="1" w:styleId="34">
    <w:name w:val="标题 1 Char"/>
    <w:basedOn w:val="28"/>
    <w:link w:val="8"/>
    <w:qFormat/>
    <w:uiPriority w:val="9"/>
    <w:rPr>
      <w:rFonts w:ascii="Calibri" w:hAnsi="Calibri" w:eastAsia="宋体" w:cs="Times New Roman"/>
      <w:b/>
      <w:bCs/>
      <w:kern w:val="44"/>
      <w:sz w:val="44"/>
      <w:szCs w:val="44"/>
    </w:rPr>
  </w:style>
  <w:style w:type="character" w:customStyle="1" w:styleId="35">
    <w:name w:val="标题 2 Char"/>
    <w:basedOn w:val="28"/>
    <w:qFormat/>
    <w:uiPriority w:val="0"/>
    <w:rPr>
      <w:rFonts w:asciiTheme="majorHAnsi" w:hAnsiTheme="majorHAnsi" w:eastAsiaTheme="majorEastAsia" w:cstheme="majorBidi"/>
      <w:b/>
      <w:bCs/>
      <w:sz w:val="32"/>
      <w:szCs w:val="32"/>
    </w:rPr>
  </w:style>
  <w:style w:type="character" w:customStyle="1" w:styleId="36">
    <w:name w:val="标题 3 Char"/>
    <w:basedOn w:val="28"/>
    <w:link w:val="10"/>
    <w:qFormat/>
    <w:uiPriority w:val="0"/>
    <w:rPr>
      <w:rFonts w:ascii="宋体" w:hAnsi="宋体" w:eastAsia="宋体" w:cs="Times New Roman"/>
      <w:b/>
      <w:color w:val="000000"/>
      <w:kern w:val="0"/>
      <w:sz w:val="24"/>
      <w:szCs w:val="20"/>
      <w:lang w:val="en-GB"/>
    </w:rPr>
  </w:style>
  <w:style w:type="character" w:customStyle="1" w:styleId="37">
    <w:name w:val="标题 4 Char"/>
    <w:basedOn w:val="28"/>
    <w:link w:val="11"/>
    <w:qFormat/>
    <w:uiPriority w:val="0"/>
    <w:rPr>
      <w:rFonts w:ascii="Arial" w:hAnsi="Arial" w:eastAsia="黑体" w:cs="Times New Roman"/>
      <w:b/>
      <w:bCs/>
      <w:kern w:val="0"/>
      <w:sz w:val="28"/>
      <w:szCs w:val="28"/>
    </w:rPr>
  </w:style>
  <w:style w:type="character" w:customStyle="1" w:styleId="38">
    <w:name w:val="正文文本 Char"/>
    <w:basedOn w:val="28"/>
    <w:link w:val="3"/>
    <w:qFormat/>
    <w:uiPriority w:val="99"/>
  </w:style>
  <w:style w:type="character" w:customStyle="1" w:styleId="39">
    <w:name w:val="正文首行缩进 Char"/>
    <w:basedOn w:val="38"/>
    <w:link w:val="2"/>
    <w:qFormat/>
    <w:uiPriority w:val="0"/>
    <w:rPr>
      <w:rFonts w:ascii="宋体" w:hAnsi="Times New Roman" w:eastAsia="宋体" w:cs="Times New Roman"/>
      <w:kern w:val="0"/>
      <w:sz w:val="34"/>
      <w:szCs w:val="20"/>
    </w:rPr>
  </w:style>
  <w:style w:type="character" w:customStyle="1" w:styleId="40">
    <w:name w:val="正文文本 3 Char"/>
    <w:basedOn w:val="28"/>
    <w:link w:val="14"/>
    <w:qFormat/>
    <w:uiPriority w:val="0"/>
    <w:rPr>
      <w:rFonts w:ascii="Times New Roman" w:hAnsi="Times New Roman" w:eastAsia="宋体" w:cs="Times New Roman"/>
      <w:color w:val="FF0000"/>
      <w:sz w:val="24"/>
      <w:szCs w:val="24"/>
    </w:rPr>
  </w:style>
  <w:style w:type="character" w:customStyle="1" w:styleId="41">
    <w:name w:val="纯文本 Char"/>
    <w:basedOn w:val="28"/>
    <w:link w:val="17"/>
    <w:qFormat/>
    <w:uiPriority w:val="0"/>
    <w:rPr>
      <w:rFonts w:eastAsia="宋体"/>
      <w:sz w:val="24"/>
    </w:rPr>
  </w:style>
  <w:style w:type="character" w:customStyle="1" w:styleId="42">
    <w:name w:val="日期 Char"/>
    <w:basedOn w:val="28"/>
    <w:link w:val="18"/>
    <w:qFormat/>
    <w:uiPriority w:val="99"/>
  </w:style>
  <w:style w:type="character" w:customStyle="1" w:styleId="43">
    <w:name w:val="正文文本缩进 2 Char"/>
    <w:basedOn w:val="28"/>
    <w:link w:val="19"/>
    <w:semiHidden/>
    <w:qFormat/>
    <w:uiPriority w:val="99"/>
    <w:rPr>
      <w:rFonts w:ascii="仿宋_GB2312" w:eastAsia="仿宋_GB2312"/>
      <w:sz w:val="28"/>
    </w:rPr>
  </w:style>
  <w:style w:type="character" w:customStyle="1" w:styleId="44">
    <w:name w:val="批注框文本 Char"/>
    <w:basedOn w:val="28"/>
    <w:link w:val="20"/>
    <w:semiHidden/>
    <w:qFormat/>
    <w:uiPriority w:val="99"/>
    <w:rPr>
      <w:sz w:val="18"/>
      <w:szCs w:val="18"/>
    </w:rPr>
  </w:style>
  <w:style w:type="character" w:customStyle="1" w:styleId="45">
    <w:name w:val="页脚 Char"/>
    <w:basedOn w:val="28"/>
    <w:link w:val="21"/>
    <w:qFormat/>
    <w:uiPriority w:val="99"/>
    <w:rPr>
      <w:sz w:val="18"/>
      <w:szCs w:val="18"/>
    </w:rPr>
  </w:style>
  <w:style w:type="character" w:customStyle="1" w:styleId="46">
    <w:name w:val="页眉 Char"/>
    <w:basedOn w:val="28"/>
    <w:link w:val="22"/>
    <w:qFormat/>
    <w:uiPriority w:val="99"/>
    <w:rPr>
      <w:sz w:val="18"/>
      <w:szCs w:val="18"/>
    </w:rPr>
  </w:style>
  <w:style w:type="character" w:customStyle="1" w:styleId="47">
    <w:name w:val="HTML 预设格式 Char"/>
    <w:basedOn w:val="28"/>
    <w:link w:val="24"/>
    <w:semiHidden/>
    <w:qFormat/>
    <w:uiPriority w:val="99"/>
    <w:rPr>
      <w:rFonts w:ascii="宋体" w:hAnsi="宋体" w:eastAsia="宋体" w:cs="宋体"/>
      <w:kern w:val="0"/>
      <w:sz w:val="24"/>
      <w:szCs w:val="24"/>
    </w:rPr>
  </w:style>
  <w:style w:type="character" w:customStyle="1" w:styleId="48">
    <w:name w:val="纯文本 Char1"/>
    <w:qFormat/>
    <w:uiPriority w:val="0"/>
    <w:rPr>
      <w:rFonts w:eastAsia="宋体"/>
      <w:sz w:val="24"/>
    </w:rPr>
  </w:style>
  <w:style w:type="paragraph" w:customStyle="1" w:styleId="49">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50">
    <w:name w:val="列出段落1"/>
    <w:basedOn w:val="1"/>
    <w:qFormat/>
    <w:uiPriority w:val="34"/>
    <w:pPr>
      <w:ind w:firstLine="420" w:firstLineChars="200"/>
    </w:pPr>
  </w:style>
  <w:style w:type="paragraph" w:styleId="51">
    <w:name w:val="List Paragraph"/>
    <w:basedOn w:val="1"/>
    <w:unhideWhenUsed/>
    <w:qFormat/>
    <w:uiPriority w:val="99"/>
    <w:pPr>
      <w:ind w:firstLine="420" w:firstLineChars="200"/>
    </w:pPr>
  </w:style>
  <w:style w:type="character" w:customStyle="1" w:styleId="52">
    <w:name w:val="正文文本缩进 Char Char"/>
    <w:link w:val="53"/>
    <w:qFormat/>
    <w:uiPriority w:val="0"/>
    <w:rPr>
      <w:rFonts w:ascii="宋体"/>
      <w:sz w:val="24"/>
    </w:rPr>
  </w:style>
  <w:style w:type="paragraph" w:customStyle="1" w:styleId="53">
    <w:name w:val="正文文本缩进1"/>
    <w:basedOn w:val="1"/>
    <w:link w:val="52"/>
    <w:qFormat/>
    <w:uiPriority w:val="0"/>
    <w:pPr>
      <w:spacing w:line="360" w:lineRule="auto"/>
      <w:ind w:firstLine="480" w:firstLineChars="200"/>
    </w:pPr>
    <w:rPr>
      <w:rFonts w:ascii="宋体"/>
      <w:sz w:val="24"/>
    </w:rPr>
  </w:style>
  <w:style w:type="character" w:customStyle="1" w:styleId="54">
    <w:name w:val="日期 Char Char"/>
    <w:link w:val="55"/>
    <w:qFormat/>
    <w:uiPriority w:val="0"/>
    <w:rPr>
      <w:sz w:val="24"/>
    </w:rPr>
  </w:style>
  <w:style w:type="paragraph" w:customStyle="1" w:styleId="55">
    <w:name w:val="日期1"/>
    <w:basedOn w:val="1"/>
    <w:next w:val="1"/>
    <w:link w:val="54"/>
    <w:qFormat/>
    <w:uiPriority w:val="0"/>
    <w:rPr>
      <w:sz w:val="24"/>
    </w:rPr>
  </w:style>
  <w:style w:type="paragraph" w:customStyle="1" w:styleId="56">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57">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8">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9">
    <w:name w:val="edittexttarea"/>
    <w:basedOn w:val="28"/>
    <w:qFormat/>
    <w:uiPriority w:val="0"/>
  </w:style>
  <w:style w:type="paragraph" w:customStyle="1" w:styleId="60">
    <w:name w:val="样式 标题 1 + 四号 居中 段前: 12 磅 段后: 12 磅 行距: 单倍行距"/>
    <w:basedOn w:val="8"/>
    <w:qFormat/>
    <w:uiPriority w:val="0"/>
    <w:pPr>
      <w:spacing w:before="240" w:after="240" w:line="240" w:lineRule="auto"/>
      <w:ind w:left="-288"/>
      <w:jc w:val="center"/>
    </w:pPr>
    <w:rPr>
      <w:rFonts w:cs="宋体"/>
      <w:sz w:val="28"/>
      <w:szCs w:val="20"/>
    </w:rPr>
  </w:style>
  <w:style w:type="paragraph" w:customStyle="1" w:styleId="61">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62">
    <w:name w:val="标题 2 Char1"/>
    <w:basedOn w:val="28"/>
    <w:link w:val="9"/>
    <w:qFormat/>
    <w:uiPriority w:val="0"/>
    <w:rPr>
      <w:rFonts w:ascii="Arial" w:hAnsi="Arial" w:eastAsia="黑体" w:cs="Times New Roman"/>
      <w:b/>
      <w:bCs/>
      <w:kern w:val="0"/>
      <w:sz w:val="32"/>
      <w:szCs w:val="32"/>
    </w:rPr>
  </w:style>
  <w:style w:type="character" w:customStyle="1" w:styleId="63">
    <w:name w:val="hover25"/>
    <w:basedOn w:val="28"/>
    <w:qFormat/>
    <w:uiPriority w:val="0"/>
  </w:style>
  <w:style w:type="character" w:customStyle="1" w:styleId="64">
    <w:name w:val="green"/>
    <w:basedOn w:val="28"/>
    <w:qFormat/>
    <w:uiPriority w:val="0"/>
    <w:rPr>
      <w:color w:val="66AE00"/>
      <w:sz w:val="18"/>
      <w:szCs w:val="18"/>
    </w:rPr>
  </w:style>
  <w:style w:type="character" w:customStyle="1" w:styleId="65">
    <w:name w:val="green1"/>
    <w:basedOn w:val="28"/>
    <w:qFormat/>
    <w:uiPriority w:val="0"/>
    <w:rPr>
      <w:color w:val="66AE00"/>
      <w:sz w:val="18"/>
      <w:szCs w:val="18"/>
    </w:rPr>
  </w:style>
  <w:style w:type="character" w:customStyle="1" w:styleId="66">
    <w:name w:val="red"/>
    <w:basedOn w:val="28"/>
    <w:qFormat/>
    <w:uiPriority w:val="0"/>
    <w:rPr>
      <w:color w:val="FF0000"/>
      <w:sz w:val="18"/>
      <w:szCs w:val="18"/>
    </w:rPr>
  </w:style>
  <w:style w:type="character" w:customStyle="1" w:styleId="67">
    <w:name w:val="red1"/>
    <w:basedOn w:val="28"/>
    <w:qFormat/>
    <w:uiPriority w:val="0"/>
    <w:rPr>
      <w:color w:val="FF0000"/>
      <w:sz w:val="18"/>
      <w:szCs w:val="18"/>
    </w:rPr>
  </w:style>
  <w:style w:type="character" w:customStyle="1" w:styleId="68">
    <w:name w:val="red2"/>
    <w:basedOn w:val="28"/>
    <w:qFormat/>
    <w:uiPriority w:val="0"/>
    <w:rPr>
      <w:color w:val="FF0000"/>
    </w:rPr>
  </w:style>
  <w:style w:type="character" w:customStyle="1" w:styleId="69">
    <w:name w:val="blue"/>
    <w:basedOn w:val="28"/>
    <w:qFormat/>
    <w:uiPriority w:val="0"/>
    <w:rPr>
      <w:color w:val="0371C6"/>
      <w:sz w:val="21"/>
      <w:szCs w:val="21"/>
    </w:rPr>
  </w:style>
  <w:style w:type="character" w:customStyle="1" w:styleId="70">
    <w:name w:val="right"/>
    <w:basedOn w:val="28"/>
    <w:qFormat/>
    <w:uiPriority w:val="0"/>
    <w:rPr>
      <w:color w:val="999999"/>
      <w:sz w:val="18"/>
      <w:szCs w:val="18"/>
    </w:rPr>
  </w:style>
  <w:style w:type="character" w:customStyle="1" w:styleId="71">
    <w:name w:val="gb-jt"/>
    <w:basedOn w:val="28"/>
    <w:qFormat/>
    <w:uiPriority w:val="0"/>
  </w:style>
  <w:style w:type="paragraph" w:customStyle="1" w:styleId="72">
    <w:name w:val="List Paragraph1"/>
    <w:basedOn w:val="1"/>
    <w:qFormat/>
    <w:uiPriority w:val="99"/>
    <w:pPr>
      <w:ind w:firstLine="420" w:firstLineChars="200"/>
    </w:pPr>
    <w:rPr>
      <w:rFonts w:ascii="Times New Roman" w:hAnsi="Times New Roman" w:eastAsia="宋体" w:cs="Times New Roman"/>
      <w:szCs w:val="24"/>
    </w:rPr>
  </w:style>
  <w:style w:type="paragraph" w:customStyle="1" w:styleId="73">
    <w:name w:val="样式 标题 3 + (中文) 黑体 小四 非加粗 段前: 7.8 磅 段后: 0 磅 行距: 固定值 20 磅"/>
    <w:basedOn w:val="10"/>
    <w:qFormat/>
    <w:uiPriority w:val="0"/>
    <w:pPr>
      <w:keepNext/>
      <w:keepLines/>
      <w:autoSpaceDE/>
      <w:autoSpaceDN/>
      <w:adjustRightInd/>
      <w:spacing w:afterLines="0" w:line="400" w:lineRule="exact"/>
      <w:ind w:left="0"/>
      <w:jc w:val="both"/>
    </w:pPr>
    <w:rPr>
      <w:rFonts w:ascii="Calibri" w:hAnsi="Calibri" w:eastAsia="黑体" w:cs="宋体"/>
      <w:b w:val="0"/>
      <w:color w:val="auto"/>
      <w:szCs w:val="24"/>
    </w:rPr>
  </w:style>
  <w:style w:type="paragraph" w:customStyle="1" w:styleId="74">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75">
    <w:name w:val="No Spacing"/>
    <w:link w:val="76"/>
    <w:qFormat/>
    <w:uiPriority w:val="1"/>
    <w:rPr>
      <w:rFonts w:asciiTheme="minorHAnsi" w:hAnsiTheme="minorHAnsi" w:eastAsiaTheme="minorEastAsia" w:cstheme="minorBidi"/>
      <w:sz w:val="22"/>
      <w:szCs w:val="22"/>
      <w:lang w:val="en-US" w:eastAsia="zh-CN" w:bidi="ar-SA"/>
    </w:rPr>
  </w:style>
  <w:style w:type="character" w:customStyle="1" w:styleId="76">
    <w:name w:val="无间隔 Char"/>
    <w:basedOn w:val="28"/>
    <w:link w:val="75"/>
    <w:qFormat/>
    <w:uiPriority w:val="1"/>
    <w:rPr>
      <w:sz w:val="22"/>
      <w:szCs w:val="22"/>
    </w:rPr>
  </w:style>
  <w:style w:type="character" w:customStyle="1" w:styleId="77">
    <w:name w:val="red3"/>
    <w:basedOn w:val="28"/>
    <w:qFormat/>
    <w:uiPriority w:val="0"/>
    <w:rPr>
      <w:color w:val="FF0000"/>
    </w:rPr>
  </w:style>
  <w:style w:type="character" w:customStyle="1" w:styleId="78">
    <w:name w:val="hover24"/>
    <w:basedOn w:val="28"/>
    <w:qFormat/>
    <w:uiPriority w:val="0"/>
  </w:style>
  <w:style w:type="paragraph" w:customStyle="1" w:styleId="79">
    <w:name w:val="UserStyle_0"/>
    <w:next w:val="1"/>
    <w:qFormat/>
    <w:uiPriority w:val="0"/>
    <w:pPr>
      <w:ind w:firstLine="200" w:firstLineChars="200"/>
      <w:jc w:val="both"/>
    </w:pPr>
    <w:rPr>
      <w:rFonts w:ascii="宋体" w:hAnsi="Times New Roman" w:eastAsia="宋体" w:cs="Times New Roman"/>
      <w:sz w:val="21"/>
      <w:szCs w:val="22"/>
      <w:lang w:val="en-US" w:eastAsia="zh-CN" w:bidi="ar-SA"/>
    </w:rPr>
  </w:style>
  <w:style w:type="paragraph" w:customStyle="1" w:styleId="80">
    <w:name w:val="列出段落2"/>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136CAC-6F44-46DA-B8A4-3292802385B0}">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5320</Words>
  <Characters>30325</Characters>
  <Lines>252</Lines>
  <Paragraphs>71</Paragraphs>
  <TotalTime>1</TotalTime>
  <ScaleCrop>false</ScaleCrop>
  <LinksUpToDate>false</LinksUpToDate>
  <CharactersWithSpaces>35574</CharactersWithSpaces>
  <Application>WPS Office_11.1.0.8813_F1E327BC-269C-435d-A152-05C5408002CA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2019-08-13T07:43:00Z</dcterms:created>
  <dc:creator>中科华水工程管理有限公司:张倩</dc:creator>
  <cp:lastModifiedBy>河南远大建设工程管理有限公司:赵江鹏</cp:lastModifiedBy>
  <cp:lastPrinted>2020-04-01T09:06:00Z</cp:lastPrinted>
  <dcterms:modified xsi:type="dcterms:W3CDTF">2020-04-07T07:43:45Z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2052-11.1.0.8813</vt:lpwstr>
  </property>
</Properties>
</file>