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p>
    <w:p>
      <w:pPr>
        <w:ind w:firstLine="1920" w:firstLineChars="6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项目编号：建安建工公字</w:t>
      </w: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lang w:eastAsia="zh-CN"/>
        </w:rPr>
        <w:t>号</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rPr>
        <w:t>电商三级网络服务体系站点建设工程</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许昌市建安区商务局</w:t>
      </w:r>
    </w:p>
    <w:p>
      <w:pPr>
        <w:ind w:firstLine="1920" w:firstLineChars="600"/>
        <w:jc w:val="left"/>
        <w:rPr>
          <w:rFonts w:hint="eastAsia" w:asciiTheme="minorEastAsia" w:hAnsiTheme="minorEastAsia" w:eastAsiaTheme="minorEastAsia"/>
          <w:sz w:val="32"/>
          <w:szCs w:val="32"/>
          <w:lang w:eastAsia="zh-CN"/>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许昌宏业工程招标代理有限公司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二〇二〇年三月</w:t>
      </w:r>
    </w:p>
    <w:p>
      <w:pPr>
        <w:rPr>
          <w:rFonts w:ascii="黑体" w:hAnsi="宋体" w:eastAsia="黑体"/>
          <w:b/>
          <w:sz w:val="44"/>
        </w:rPr>
      </w:pPr>
      <w:r>
        <w:rPr>
          <w:rFonts w:ascii="黑体" w:hAnsi="宋体" w:eastAsia="黑体"/>
          <w:b/>
          <w:sz w:val="44"/>
        </w:rPr>
        <w:br w:type="page"/>
      </w:r>
    </w:p>
    <w:p>
      <w:pPr>
        <w:pStyle w:val="2"/>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 xml:space="preserve"> 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tabs>
          <w:tab w:val="left" w:pos="3185"/>
          <w:tab w:val="center" w:pos="5452"/>
        </w:tabs>
        <w:snapToGrid w:val="0"/>
        <w:spacing w:beforeLines="50"/>
        <w:jc w:val="center"/>
        <w:rPr>
          <w:rFonts w:hint="eastAsia" w:hAnsi="宋体" w:cs="黑体"/>
          <w:b/>
          <w:sz w:val="36"/>
          <w:szCs w:val="36"/>
        </w:rPr>
      </w:pPr>
      <w:r>
        <w:rPr>
          <w:rFonts w:hint="eastAsia" w:hAnsi="宋体" w:cs="黑体"/>
          <w:b/>
          <w:sz w:val="36"/>
          <w:szCs w:val="36"/>
        </w:rPr>
        <w:t xml:space="preserve"> </w:t>
      </w:r>
    </w:p>
    <w:p>
      <w:pPr>
        <w:rPr>
          <w:rFonts w:hint="eastAsia" w:hAnsi="宋体" w:cs="黑体"/>
          <w:b/>
          <w:sz w:val="36"/>
          <w:szCs w:val="36"/>
        </w:rPr>
      </w:pPr>
      <w:r>
        <w:rPr>
          <w:rFonts w:hint="eastAsia" w:hAnsi="宋体" w:cs="黑体"/>
          <w:b/>
          <w:sz w:val="36"/>
          <w:szCs w:val="36"/>
        </w:rPr>
        <w:br w:type="page"/>
      </w:r>
    </w:p>
    <w:p>
      <w:p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第一章 招标公告</w:t>
      </w:r>
    </w:p>
    <w:p>
      <w:pPr>
        <w:autoSpaceDE w:val="0"/>
        <w:autoSpaceDN w:val="0"/>
        <w:adjustRightInd w:val="0"/>
        <w:spacing w:line="520" w:lineRule="exact"/>
        <w:ind w:firstLine="480" w:firstLineChars="200"/>
        <w:jc w:val="center"/>
        <w:outlineLvl w:val="0"/>
        <w:rPr>
          <w:rFonts w:hint="eastAsia" w:hAnsi="宋体" w:cs="宋体"/>
          <w:sz w:val="24"/>
          <w:szCs w:val="24"/>
          <w:lang w:eastAsia="zh-CN"/>
        </w:rPr>
      </w:pPr>
      <w:r>
        <w:rPr>
          <w:rFonts w:hint="eastAsia" w:hAnsi="宋体" w:cs="宋体"/>
          <w:sz w:val="24"/>
          <w:szCs w:val="24"/>
          <w:lang w:eastAsia="zh-CN"/>
        </w:rPr>
        <w:t>建安建工公字〔2020〕</w:t>
      </w:r>
      <w:r>
        <w:rPr>
          <w:rFonts w:hint="eastAsia" w:hAnsi="宋体" w:cs="宋体"/>
          <w:sz w:val="24"/>
          <w:szCs w:val="24"/>
          <w:lang w:val="en-US" w:eastAsia="zh-CN"/>
        </w:rPr>
        <w:t>30</w:t>
      </w:r>
      <w:r>
        <w:rPr>
          <w:rFonts w:hint="eastAsia" w:hAnsi="宋体" w:cs="宋体"/>
          <w:sz w:val="24"/>
          <w:szCs w:val="24"/>
          <w:lang w:eastAsia="zh-CN"/>
        </w:rPr>
        <w:t>号（不见面开标）</w:t>
      </w:r>
    </w:p>
    <w:p>
      <w:pPr>
        <w:autoSpaceDE w:val="0"/>
        <w:autoSpaceDN w:val="0"/>
        <w:adjustRightInd w:val="0"/>
        <w:spacing w:line="520" w:lineRule="exact"/>
        <w:ind w:firstLine="480" w:firstLineChars="200"/>
        <w:jc w:val="center"/>
        <w:outlineLvl w:val="0"/>
        <w:rPr>
          <w:rFonts w:hint="eastAsia" w:hAnsi="宋体" w:eastAsia="宋体" w:cs="宋体"/>
          <w:sz w:val="24"/>
          <w:szCs w:val="24"/>
          <w:lang w:eastAsia="zh-CN"/>
        </w:rPr>
      </w:pPr>
      <w:r>
        <w:rPr>
          <w:rFonts w:hint="eastAsia" w:hAnsi="宋体" w:cs="宋体"/>
          <w:sz w:val="24"/>
          <w:szCs w:val="24"/>
          <w:lang w:eastAsia="zh-CN"/>
        </w:rPr>
        <w:t>许昌市建安区商务局</w:t>
      </w:r>
    </w:p>
    <w:p>
      <w:pPr>
        <w:autoSpaceDE w:val="0"/>
        <w:autoSpaceDN w:val="0"/>
        <w:adjustRightInd w:val="0"/>
        <w:spacing w:line="520" w:lineRule="exact"/>
        <w:ind w:firstLine="480" w:firstLineChars="200"/>
        <w:jc w:val="center"/>
        <w:outlineLvl w:val="0"/>
        <w:rPr>
          <w:rFonts w:hint="eastAsia" w:hAnsi="宋体" w:eastAsia="宋体" w:cs="宋体"/>
          <w:sz w:val="24"/>
          <w:szCs w:val="24"/>
          <w:lang w:eastAsia="zh-CN"/>
        </w:rPr>
      </w:pPr>
      <w:r>
        <w:rPr>
          <w:rFonts w:hint="eastAsia" w:hAnsi="宋体" w:cs="宋体"/>
          <w:sz w:val="24"/>
          <w:szCs w:val="24"/>
          <w:lang w:eastAsia="zh-CN"/>
        </w:rPr>
        <w:t>电商三级网络服务体系站点建设工程</w:t>
      </w:r>
    </w:p>
    <w:p>
      <w:pPr>
        <w:autoSpaceDE w:val="0"/>
        <w:autoSpaceDN w:val="0"/>
        <w:adjustRightInd w:val="0"/>
        <w:spacing w:line="520" w:lineRule="exact"/>
        <w:ind w:firstLine="480" w:firstLineChars="200"/>
        <w:jc w:val="center"/>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w:t>
      </w:r>
      <w:r>
        <w:rPr>
          <w:rFonts w:hint="eastAsia" w:hAnsi="宋体" w:cs="宋体"/>
          <w:sz w:val="24"/>
          <w:szCs w:val="22"/>
          <w:lang w:eastAsia="zh-CN"/>
        </w:rPr>
        <w:t>〔2020〕</w:t>
      </w:r>
      <w:r>
        <w:rPr>
          <w:rFonts w:hint="eastAsia" w:hAnsi="宋体" w:cs="宋体"/>
          <w:sz w:val="24"/>
          <w:szCs w:val="22"/>
          <w:lang w:val="en-US" w:eastAsia="zh-CN"/>
        </w:rPr>
        <w:t>30</w:t>
      </w:r>
      <w:r>
        <w:rPr>
          <w:rFonts w:hint="eastAsia" w:hAnsi="宋体" w:cs="宋体"/>
          <w:sz w:val="24"/>
          <w:szCs w:val="22"/>
          <w:lang w:eastAsia="zh-CN"/>
        </w:rPr>
        <w:t>号</w:t>
      </w:r>
      <w:r>
        <w:rPr>
          <w:rFonts w:hint="eastAsia" w:hAnsi="宋体" w:cs="宋体"/>
          <w:sz w:val="24"/>
          <w:szCs w:val="22"/>
        </w:rPr>
        <w:t>。</w:t>
      </w:r>
    </w:p>
    <w:p>
      <w:pPr>
        <w:autoSpaceDE w:val="0"/>
        <w:autoSpaceDN w:val="0"/>
        <w:adjustRightInd w:val="0"/>
        <w:spacing w:line="520" w:lineRule="exact"/>
        <w:ind w:firstLine="480" w:firstLineChars="200"/>
        <w:outlineLvl w:val="0"/>
        <w:rPr>
          <w:rFonts w:hAnsi="宋体" w:cs="宋体"/>
          <w:sz w:val="24"/>
          <w:szCs w:val="24"/>
        </w:rPr>
      </w:pPr>
      <w:r>
        <w:rPr>
          <w:rFonts w:hint="eastAsia" w:hAnsi="宋体" w:cs="宋体"/>
          <w:sz w:val="24"/>
          <w:szCs w:val="24"/>
        </w:rPr>
        <w:t>2、</w:t>
      </w:r>
      <w:r>
        <w:rPr>
          <w:rFonts w:hAnsi="宋体" w:cs="宋体"/>
          <w:sz w:val="24"/>
          <w:szCs w:val="24"/>
        </w:rPr>
        <w:t>项目名称：</w:t>
      </w:r>
      <w:r>
        <w:rPr>
          <w:rFonts w:hint="eastAsia" w:hAnsi="宋体" w:cs="宋体"/>
          <w:sz w:val="24"/>
          <w:szCs w:val="24"/>
          <w:lang w:eastAsia="zh-CN"/>
        </w:rPr>
        <w:t>电商三级网络服务体系站点建设工程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w:t>
      </w:r>
      <w:r>
        <w:rPr>
          <w:rFonts w:hint="eastAsia" w:hAnsi="宋体" w:cs="宋体"/>
          <w:sz w:val="24"/>
          <w:szCs w:val="22"/>
          <w:lang w:eastAsia="zh-CN"/>
        </w:rPr>
        <w:t>许昌市建安区商务局</w:t>
      </w:r>
      <w:r>
        <w:rPr>
          <w:rFonts w:hint="eastAsia" w:hAnsi="宋体" w:cs="宋体"/>
          <w:sz w:val="24"/>
          <w:szCs w:val="22"/>
        </w:rPr>
        <w:t>。</w:t>
      </w:r>
    </w:p>
    <w:p>
      <w:pPr>
        <w:autoSpaceDE w:val="0"/>
        <w:autoSpaceDN w:val="0"/>
        <w:adjustRightInd w:val="0"/>
        <w:spacing w:line="420" w:lineRule="exact"/>
        <w:ind w:firstLine="480" w:firstLineChars="200"/>
        <w:outlineLvl w:val="0"/>
        <w:rPr>
          <w:rFonts w:hAnsi="宋体" w:cs="宋体"/>
          <w:sz w:val="24"/>
          <w:szCs w:val="24"/>
        </w:rPr>
      </w:pPr>
      <w:r>
        <w:rPr>
          <w:rFonts w:hint="eastAsia" w:hAnsi="宋体" w:cs="宋体"/>
          <w:sz w:val="24"/>
          <w:szCs w:val="22"/>
        </w:rPr>
        <w:t>4、工程概况：本项目建设地点位于许昌市建安区</w:t>
      </w:r>
      <w:r>
        <w:rPr>
          <w:rFonts w:hint="eastAsia" w:hAnsi="宋体" w:cs="宋体"/>
          <w:sz w:val="24"/>
          <w:szCs w:val="24"/>
          <w:lang w:eastAsia="zh-CN"/>
        </w:rPr>
        <w:t>辖区内</w:t>
      </w:r>
      <w:r>
        <w:rPr>
          <w:rFonts w:hint="eastAsia" w:hAnsi="宋体" w:cs="宋体"/>
          <w:sz w:val="24"/>
          <w:szCs w:val="24"/>
        </w:rPr>
        <w:t>，建设内容包括</w:t>
      </w:r>
      <w:r>
        <w:rPr>
          <w:rFonts w:hint="eastAsia" w:hAnsi="宋体" w:cs="宋体"/>
          <w:sz w:val="24"/>
          <w:szCs w:val="24"/>
          <w:lang w:eastAsia="zh-CN"/>
        </w:rPr>
        <w:t>安装门头招牌、货架、室内服务台背景墙及服务点管理制度等</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4"/>
          <w:lang w:val="en-US" w:eastAsia="zh-CN"/>
        </w:rPr>
        <w:t>1052422.11</w:t>
      </w:r>
      <w:r>
        <w:rPr>
          <w:rFonts w:hint="eastAsia" w:hAnsi="宋体" w:cs="宋体"/>
          <w:sz w:val="24"/>
          <w:szCs w:val="24"/>
        </w:rPr>
        <w:t>元</w:t>
      </w:r>
      <w:r>
        <w:rPr>
          <w:rFonts w:hint="eastAsia" w:hAnsi="宋体" w:cs="宋体"/>
          <w:sz w:val="24"/>
          <w:szCs w:val="22"/>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sz w:val="24"/>
          <w:szCs w:val="24"/>
          <w:lang w:val="en-US" w:eastAsia="zh-CN"/>
        </w:rPr>
        <w:t>3</w:t>
      </w:r>
      <w:r>
        <w:rPr>
          <w:rFonts w:hAnsi="宋体" w:cs="宋体"/>
          <w:sz w:val="24"/>
          <w:szCs w:val="24"/>
        </w:rPr>
        <w:t>0</w:t>
      </w:r>
      <w:r>
        <w:rPr>
          <w:rFonts w:hint="eastAsia" w:hAnsi="宋体" w:cs="宋体"/>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spacing w:line="400" w:lineRule="exact"/>
        <w:ind w:firstLine="480" w:firstLineChars="200"/>
        <w:rPr>
          <w:rFonts w:hint="eastAsia" w:hAnsi="宋体" w:cs="宋体"/>
          <w:color w:val="000000" w:themeColor="text1"/>
          <w:sz w:val="24"/>
          <w:szCs w:val="24"/>
        </w:rPr>
      </w:pPr>
      <w:r>
        <w:rPr>
          <w:rFonts w:hint="eastAsia" w:hAnsi="宋体" w:cs="仿宋_GB2312"/>
          <w:kern w:val="2"/>
          <w:sz w:val="24"/>
          <w:szCs w:val="24"/>
          <w:shd w:val="clear" w:color="auto" w:fill="FFFFFF"/>
        </w:rPr>
        <w:t>1、</w:t>
      </w:r>
      <w:bookmarkStart w:id="1" w:name="_Toc28292"/>
      <w:bookmarkEnd w:id="1"/>
      <w:r>
        <w:rPr>
          <w:rFonts w:hint="eastAsia" w:hAnsi="宋体" w:cs="宋体"/>
          <w:color w:val="000000" w:themeColor="text1"/>
          <w:sz w:val="24"/>
          <w:szCs w:val="24"/>
          <w:lang w:val="en-US" w:eastAsia="zh-CN"/>
        </w:rPr>
        <w:t>投标人须具备独立的法人资格，并具有建筑装修装饰工程专业承包贰级（含）以上资质或建筑工程施工总承包叁级（含）以上资质，并具备有效的企业安全生产许可证，在人员、设备、资金等方面具有相应的施工能力；拟派项目负责人具有建筑工程专业贰级（含）以上注册建造师资格，具备有效的安全生产考核合格证书，且未担任其他在施建设项目。</w:t>
      </w:r>
    </w:p>
    <w:p>
      <w:pPr>
        <w:spacing w:line="400" w:lineRule="exact"/>
        <w:ind w:firstLine="480" w:firstLineChars="200"/>
        <w:rPr>
          <w:rFonts w:hAnsi="宋体" w:cs="宋体"/>
          <w:color w:val="000000" w:themeColor="text1"/>
          <w:sz w:val="24"/>
          <w:szCs w:val="24"/>
        </w:rPr>
      </w:pPr>
      <w:r>
        <w:rPr>
          <w:rFonts w:hAnsi="宋体" w:cs="宋体"/>
          <w:sz w:val="24"/>
          <w:szCs w:val="24"/>
        </w:rPr>
        <w:t>2</w:t>
      </w:r>
      <w:r>
        <w:rPr>
          <w:rFonts w:hint="eastAsia" w:hAnsi="宋体" w:cs="宋体"/>
          <w:sz w:val="24"/>
          <w:szCs w:val="24"/>
        </w:rPr>
        <w:t>、</w:t>
      </w:r>
      <w:r>
        <w:rPr>
          <w:rFonts w:hint="eastAsia" w:hAnsi="宋体" w:cs="宋体"/>
          <w:color w:val="000000" w:themeColor="text1"/>
          <w:sz w:val="24"/>
          <w:szCs w:val="24"/>
        </w:rPr>
        <w:t>投标人未被“信用中国”</w:t>
      </w:r>
      <w:r>
        <w:rPr>
          <w:rFonts w:hAnsi="宋体" w:cs="宋体"/>
          <w:color w:val="000000" w:themeColor="text1"/>
          <w:sz w:val="24"/>
          <w:szCs w:val="24"/>
        </w:rPr>
        <w:t>网站（www.creditchina.gov.cn）</w:t>
      </w:r>
      <w:r>
        <w:rPr>
          <w:rFonts w:hint="eastAsia" w:hAnsi="宋体" w:cs="宋体"/>
          <w:color w:val="000000" w:themeColor="text1"/>
          <w:sz w:val="24"/>
          <w:szCs w:val="24"/>
        </w:rPr>
        <w:t>列入失信被执行人、重大税收违法案件当事人名单，未被“信用河南”网站（www.xyhn.gov.cn）信用信息栏列入黑名单，以及未被“国家企业信用信息公示系统”</w:t>
      </w:r>
      <w:r>
        <w:rPr>
          <w:rFonts w:hAnsi="宋体" w:cs="宋体"/>
          <w:color w:val="000000" w:themeColor="text1"/>
          <w:sz w:val="24"/>
          <w:szCs w:val="24"/>
        </w:rPr>
        <w:t>网站（www.gsxt.gov.cn）</w:t>
      </w:r>
      <w:r>
        <w:rPr>
          <w:rFonts w:hint="eastAsia" w:hAnsi="宋体" w:cs="宋体"/>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p>
    <w:p>
      <w:pPr>
        <w:spacing w:line="4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pPr>
        <w:autoSpaceDE w:val="0"/>
        <w:autoSpaceDN w:val="0"/>
        <w:adjustRightInd w:val="0"/>
        <w:spacing w:line="420" w:lineRule="exact"/>
        <w:ind w:firstLine="480" w:firstLineChars="200"/>
        <w:jc w:val="lef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3、不接受联合体投标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1、招标文件和工程量清单的获取：投标人于投标文件递交截止时间前均可登录《全国公共资源交易平台(河南省▪许昌市)》（http://ggzy.xuchang.gov.cn/），通过“投标人/供应商登录”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2、</w:t>
      </w:r>
      <w:r>
        <w:rPr>
          <w:rFonts w:hint="eastAsia" w:hAnsi="宋体"/>
          <w:sz w:val="24"/>
          <w:szCs w:val="24"/>
        </w:rPr>
        <w:t>招标文件每套售价</w:t>
      </w:r>
      <w:r>
        <w:rPr>
          <w:rFonts w:hint="eastAsia" w:hAnsi="宋体"/>
          <w:sz w:val="24"/>
          <w:szCs w:val="24"/>
          <w:lang w:val="en-US" w:eastAsia="zh-CN"/>
        </w:rPr>
        <w:t>1</w:t>
      </w:r>
      <w:r>
        <w:rPr>
          <w:rFonts w:hint="eastAsia" w:hAnsi="宋体"/>
          <w:sz w:val="24"/>
          <w:szCs w:val="24"/>
        </w:rPr>
        <w:t>00元，投标人于开标结束后转账至支付宝账户：</w:t>
      </w:r>
      <w:r>
        <w:rPr>
          <w:rFonts w:hint="eastAsia" w:hAnsi="宋体"/>
          <w:color w:val="auto"/>
          <w:sz w:val="24"/>
          <w:szCs w:val="24"/>
          <w:lang w:val="en-US" w:eastAsia="zh-CN"/>
        </w:rPr>
        <w:t>13598978466</w:t>
      </w:r>
      <w:r>
        <w:rPr>
          <w:rFonts w:hint="eastAsia" w:hAnsi="宋体"/>
          <w:sz w:val="24"/>
          <w:szCs w:val="24"/>
        </w:rPr>
        <w:t>（转账时请备注项目编号、所属标段及公司名称）</w:t>
      </w:r>
      <w:r>
        <w:rPr>
          <w:rFonts w:hint="eastAsia" w:hAnsi="宋体" w:cs="宋体"/>
          <w:sz w:val="24"/>
          <w:szCs w:val="24"/>
        </w:rPr>
        <w:t>。</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本项目为全流程电子化交易项目，投标人应按规定在投标截止时间（同开标时间）前通过《全国公共资源交易平台(河南省▪许昌市)》公共资源交易系统成功上传本项目加密电子投标文件。</w:t>
      </w:r>
    </w:p>
    <w:p>
      <w:pPr>
        <w:spacing w:line="440" w:lineRule="exact"/>
        <w:ind w:firstLine="480" w:firstLineChars="200"/>
        <w:jc w:val="left"/>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 xml:space="preserve"> 投标截止时间及开标时间：2020年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17</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spacing w:line="440" w:lineRule="exact"/>
        <w:ind w:firstLine="480" w:firstLineChars="200"/>
        <w:jc w:val="left"/>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招标人（代理机构）线上开标地点：许昌市建安区新元大道兴业大厦4楼开标</w:t>
      </w:r>
      <w:r>
        <w:rPr>
          <w:rFonts w:hint="eastAsia" w:hAnsi="宋体" w:cs="宋体"/>
          <w:sz w:val="24"/>
          <w:szCs w:val="24"/>
          <w:lang w:eastAsia="zh-CN"/>
        </w:rPr>
        <w:t>一</w:t>
      </w:r>
      <w:r>
        <w:rPr>
          <w:rFonts w:hint="eastAsia" w:hAnsi="宋体" w:cs="宋体"/>
          <w:sz w:val="24"/>
          <w:szCs w:val="24"/>
        </w:rPr>
        <w:t>室。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spacing w:line="440" w:lineRule="exact"/>
        <w:ind w:firstLine="480" w:firstLineChars="200"/>
        <w:jc w:val="left"/>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逾期送达（未成功上传）的或者未按规定解密的电子投标文件，招标人不予受理。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招  标  人：</w:t>
      </w:r>
      <w:r>
        <w:rPr>
          <w:rFonts w:hint="eastAsia" w:hAnsi="宋体" w:cs="宋体"/>
          <w:sz w:val="24"/>
          <w:szCs w:val="24"/>
          <w:lang w:eastAsia="zh-CN"/>
        </w:rPr>
        <w:t>许昌市建安区商务局</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徐启辉</w:t>
      </w:r>
    </w:p>
    <w:p>
      <w:pPr>
        <w:spacing w:line="440" w:lineRule="exact"/>
        <w:ind w:firstLine="480" w:firstLineChars="200"/>
        <w:jc w:val="left"/>
        <w:rPr>
          <w:rFonts w:hint="default"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0374-5157069</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代理  机构：</w:t>
      </w:r>
      <w:r>
        <w:rPr>
          <w:rFonts w:hint="eastAsia" w:hAnsi="宋体" w:cs="宋体"/>
          <w:sz w:val="24"/>
          <w:szCs w:val="24"/>
          <w:lang w:eastAsia="zh-CN"/>
        </w:rPr>
        <w:t>许昌宏业工程招标代理有限公司</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项目负责人：</w:t>
      </w:r>
      <w:r>
        <w:rPr>
          <w:rFonts w:hint="eastAsia" w:hAnsi="宋体" w:cs="宋体"/>
          <w:sz w:val="24"/>
          <w:szCs w:val="24"/>
          <w:lang w:eastAsia="zh-CN"/>
        </w:rPr>
        <w:t>辛聪聪</w:t>
      </w:r>
    </w:p>
    <w:p>
      <w:pPr>
        <w:spacing w:line="440" w:lineRule="exact"/>
        <w:ind w:firstLine="480" w:firstLineChars="200"/>
        <w:jc w:val="left"/>
        <w:rPr>
          <w:rFonts w:hAnsi="宋体" w:cs="宋体"/>
          <w:sz w:val="24"/>
          <w:szCs w:val="24"/>
        </w:rPr>
      </w:pPr>
      <w:r>
        <w:rPr>
          <w:rFonts w:hint="eastAsia" w:hAnsi="宋体" w:cs="宋体"/>
          <w:sz w:val="24"/>
          <w:szCs w:val="24"/>
        </w:rPr>
        <w:t>电     话：</w:t>
      </w:r>
      <w:r>
        <w:rPr>
          <w:rFonts w:hint="eastAsia" w:hAnsi="宋体" w:cs="宋体"/>
          <w:sz w:val="24"/>
          <w:szCs w:val="24"/>
          <w:lang w:eastAsia="zh-CN"/>
        </w:rPr>
        <w:t>13598978466</w:t>
      </w:r>
    </w:p>
    <w:p>
      <w:pPr>
        <w:pStyle w:val="9"/>
        <w:ind w:firstLine="5280" w:firstLineChars="2200"/>
        <w:jc w:val="center"/>
        <w:rPr>
          <w:rFonts w:hint="eastAsia" w:hAnsi="宋体" w:eastAsia="宋体" w:cs="宋体"/>
          <w:sz w:val="24"/>
          <w:szCs w:val="24"/>
          <w:lang w:eastAsia="zh-CN"/>
        </w:rPr>
      </w:pPr>
      <w:r>
        <w:rPr>
          <w:rFonts w:hint="eastAsia" w:hAnsi="宋体" w:cs="宋体"/>
          <w:sz w:val="24"/>
          <w:szCs w:val="24"/>
          <w:lang w:eastAsia="zh-CN"/>
        </w:rPr>
        <w:t>许昌市建安区商务局</w:t>
      </w:r>
    </w:p>
    <w:p>
      <w:pPr>
        <w:pStyle w:val="9"/>
        <w:ind w:firstLine="6720" w:firstLineChars="2800"/>
        <w:rPr>
          <w:rFonts w:hAnsi="宋体" w:cs="宋体"/>
          <w:sz w:val="24"/>
          <w:szCs w:val="24"/>
        </w:rPr>
      </w:pPr>
      <w:r>
        <w:rPr>
          <w:rFonts w:hint="eastAsia" w:hAnsi="宋体" w:cs="宋体"/>
          <w:sz w:val="24"/>
          <w:szCs w:val="24"/>
        </w:rPr>
        <w:t>2020年3月</w:t>
      </w:r>
      <w:r>
        <w:rPr>
          <w:rFonts w:hint="eastAsia" w:hAnsi="宋体" w:cs="宋体"/>
          <w:sz w:val="24"/>
          <w:szCs w:val="24"/>
          <w:lang w:val="en-US" w:eastAsia="zh-CN"/>
        </w:rPr>
        <w:t>27</w:t>
      </w:r>
      <w:r>
        <w:rPr>
          <w:rFonts w:hint="eastAsia" w:hAnsi="宋体" w:cs="宋体"/>
          <w:sz w:val="24"/>
          <w:szCs w:val="24"/>
        </w:rPr>
        <w:t xml:space="preserve">日 </w:t>
      </w:r>
    </w:p>
    <w:p>
      <w:pPr>
        <w:shd w:val="clear" w:color="auto" w:fill="FFFFFF"/>
        <w:spacing w:line="360" w:lineRule="auto"/>
        <w:rPr>
          <w:rFonts w:hAnsi="宋体"/>
          <w:sz w:val="24"/>
          <w:szCs w:val="24"/>
        </w:rPr>
      </w:pPr>
      <w:r>
        <w:rPr>
          <w:rFonts w:hint="eastAsia" w:hAnsi="宋体"/>
          <w:b/>
          <w:bCs/>
          <w:sz w:val="24"/>
          <w:szCs w:val="24"/>
        </w:rPr>
        <w:t>温馨提示：</w:t>
      </w:r>
    </w:p>
    <w:p>
      <w:pPr>
        <w:shd w:val="clear" w:color="auto" w:fill="FFFFFF"/>
        <w:spacing w:line="360" w:lineRule="auto"/>
        <w:ind w:firstLine="562"/>
        <w:rPr>
          <w:rFonts w:hAnsi="宋体"/>
          <w:sz w:val="24"/>
          <w:szCs w:val="24"/>
        </w:rPr>
      </w:pPr>
      <w:r>
        <w:rPr>
          <w:rFonts w:hint="eastAsia" w:hAnsi="宋体"/>
          <w:b/>
          <w:bCs/>
          <w:sz w:val="24"/>
          <w:szCs w:val="24"/>
        </w:rPr>
        <w:t>本项目为全流程电子化交易项目，请认真阅读招标文件，并注意以下事项。</w:t>
      </w:r>
    </w:p>
    <w:p>
      <w:pPr>
        <w:shd w:val="clear" w:color="auto" w:fill="FFFFFF"/>
        <w:spacing w:line="360" w:lineRule="auto"/>
        <w:ind w:firstLine="480"/>
        <w:rPr>
          <w:rFonts w:hAnsi="宋体"/>
          <w:sz w:val="24"/>
          <w:szCs w:val="24"/>
        </w:rPr>
      </w:pPr>
      <w:r>
        <w:rPr>
          <w:rFonts w:hint="eastAsia" w:hAnsi="宋体"/>
          <w:sz w:val="24"/>
          <w:szCs w:val="24"/>
        </w:rPr>
        <w:t>1.投标人应按招标文件规定编制、提交、解密电子投标文件。</w:t>
      </w:r>
    </w:p>
    <w:p>
      <w:pPr>
        <w:shd w:val="clear" w:color="auto" w:fill="FFFFFF"/>
        <w:spacing w:line="360" w:lineRule="auto"/>
        <w:ind w:firstLine="480"/>
        <w:rPr>
          <w:rFonts w:hAnsi="宋体"/>
          <w:sz w:val="24"/>
          <w:szCs w:val="24"/>
        </w:rPr>
      </w:pPr>
      <w:r>
        <w:rPr>
          <w:rFonts w:hint="eastAsia" w:hAnsi="宋体"/>
          <w:sz w:val="24"/>
          <w:szCs w:val="24"/>
        </w:rPr>
        <w:t>2.电子文件下载、制作、提交期间和远程不见面开标（电子投标文件的解密）环节，投标人须使用同一个CA数字证书（证书须在有效期内并可正常使用）。</w:t>
      </w:r>
    </w:p>
    <w:p>
      <w:pPr>
        <w:shd w:val="clear" w:color="auto" w:fill="FFFFFF"/>
        <w:spacing w:line="360" w:lineRule="auto"/>
        <w:ind w:firstLine="482"/>
        <w:rPr>
          <w:rFonts w:hAnsi="宋体"/>
          <w:sz w:val="24"/>
          <w:szCs w:val="24"/>
        </w:rPr>
      </w:pPr>
      <w:r>
        <w:rPr>
          <w:rFonts w:hint="eastAsia" w:hAnsi="宋体"/>
          <w:b/>
          <w:bCs/>
          <w:sz w:val="24"/>
          <w:szCs w:val="24"/>
        </w:rPr>
        <w:t>3.电子投标文件的制作</w:t>
      </w:r>
    </w:p>
    <w:p>
      <w:pPr>
        <w:shd w:val="clear" w:color="auto" w:fill="FFFFFF"/>
        <w:spacing w:line="360" w:lineRule="auto"/>
        <w:ind w:firstLine="480"/>
        <w:rPr>
          <w:rFonts w:hAnsi="宋体"/>
          <w:sz w:val="24"/>
          <w:szCs w:val="24"/>
        </w:rPr>
      </w:pPr>
      <w:r>
        <w:rPr>
          <w:rFonts w:hint="eastAsia" w:hAnsi="宋体"/>
          <w:sz w:val="24"/>
          <w:szCs w:val="24"/>
        </w:rPr>
        <w:t>3.1 投标人登录《全国公共资源交易平台(河南省</w:t>
      </w:r>
      <w:r>
        <w:rPr>
          <w:rFonts w:hint="eastAsia" w:hAnsi="宋体" w:eastAsia="MS Mincho"/>
          <w:sz w:val="24"/>
          <w:szCs w:val="24"/>
        </w:rPr>
        <w:t>▪</w:t>
      </w:r>
      <w:r>
        <w:rPr>
          <w:rFonts w:hint="eastAsia" w:hAnsi="宋体"/>
          <w:sz w:val="24"/>
          <w:szCs w:val="24"/>
        </w:rPr>
        <w:t>许昌市)》公共资源交易系统（</w:t>
      </w:r>
      <w:r>
        <w:rPr>
          <w:rFonts w:hAnsi="宋体"/>
          <w:sz w:val="24"/>
          <w:szCs w:val="24"/>
        </w:rPr>
        <w:fldChar w:fldCharType="begin"/>
      </w:r>
      <w:r>
        <w:rPr>
          <w:rFonts w:hAnsi="宋体"/>
          <w:sz w:val="24"/>
          <w:szCs w:val="24"/>
        </w:rPr>
        <w:instrText xml:space="preserve">HYPERLINK "http://221.14.6.70:8088/ggzy/"</w:instrText>
      </w:r>
      <w:r>
        <w:rPr>
          <w:rFonts w:hAnsi="宋体"/>
          <w:sz w:val="24"/>
          <w:szCs w:val="24"/>
        </w:rPr>
        <w:fldChar w:fldCharType="separate"/>
      </w:r>
      <w:r>
        <w:rPr>
          <w:rStyle w:val="15"/>
          <w:rFonts w:hint="eastAsia" w:ascii="宋体" w:hAnsi="宋体" w:eastAsia="宋体"/>
          <w:color w:val="auto"/>
          <w:sz w:val="24"/>
          <w:szCs w:val="24"/>
        </w:rPr>
        <w:t>http://221.14.6.70:8088/ggzy/</w:t>
      </w:r>
      <w:r>
        <w:rPr>
          <w:rFonts w:hAnsi="宋体"/>
          <w:sz w:val="24"/>
          <w:szCs w:val="24"/>
        </w:rPr>
        <w:fldChar w:fldCharType="end"/>
      </w:r>
      <w:r>
        <w:rPr>
          <w:rFonts w:hint="eastAsia" w:hAnsi="宋体"/>
          <w:sz w:val="24"/>
          <w:szCs w:val="24"/>
        </w:rPr>
        <w:t>）下载“许昌投标文件制作系统SEARUN 最新版本”，按招标文件要求制作电子投标文件。</w:t>
      </w:r>
    </w:p>
    <w:p>
      <w:pPr>
        <w:shd w:val="clear" w:color="auto" w:fill="FFFFFF"/>
        <w:spacing w:line="360" w:lineRule="auto"/>
        <w:ind w:firstLine="480"/>
        <w:rPr>
          <w:rFonts w:hAnsi="宋体"/>
          <w:sz w:val="24"/>
          <w:szCs w:val="24"/>
        </w:rPr>
      </w:pPr>
      <w:r>
        <w:rPr>
          <w:rFonts w:hint="eastAsia" w:hAnsi="宋体"/>
          <w:sz w:val="24"/>
          <w:szCs w:val="24"/>
        </w:rPr>
        <w:t>电子投标文件的制作，参考《全国公共资源交易平台(河南省</w:t>
      </w:r>
      <w:r>
        <w:rPr>
          <w:rFonts w:hint="eastAsia" w:hAnsi="宋体" w:eastAsia="MS Mincho"/>
          <w:sz w:val="24"/>
          <w:szCs w:val="24"/>
        </w:rPr>
        <w:t>▪</w:t>
      </w:r>
      <w:r>
        <w:rPr>
          <w:rFonts w:hint="eastAsia" w:hAnsi="宋体"/>
          <w:sz w:val="24"/>
          <w:szCs w:val="24"/>
        </w:rPr>
        <w:t>许昌市)》公共资源交易系统——组件下载——交易系统操作手册（投标人、供应商）。</w:t>
      </w:r>
    </w:p>
    <w:p>
      <w:pPr>
        <w:shd w:val="clear" w:color="auto" w:fill="FFFFFF"/>
        <w:spacing w:line="360" w:lineRule="auto"/>
        <w:ind w:firstLine="480"/>
        <w:rPr>
          <w:rFonts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shd w:val="clear" w:color="auto" w:fill="FFFFFF"/>
        <w:spacing w:line="360" w:lineRule="auto"/>
        <w:ind w:firstLine="480"/>
        <w:rPr>
          <w:rFonts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shd w:val="clear" w:color="auto" w:fill="FFFFFF"/>
        <w:spacing w:line="360" w:lineRule="auto"/>
        <w:ind w:firstLine="480"/>
        <w:rPr>
          <w:rFonts w:hAnsi="宋体"/>
          <w:sz w:val="24"/>
          <w:szCs w:val="24"/>
        </w:rPr>
      </w:pPr>
      <w:r>
        <w:rPr>
          <w:rFonts w:hint="eastAsia" w:hAnsi="宋体"/>
          <w:sz w:val="24"/>
          <w:szCs w:val="24"/>
        </w:rPr>
        <w:t>一个标段对应生成一个文件夹（xxxx项目xx标段）,其中后缀名为“.file”的文件用于电子投标使用。</w:t>
      </w:r>
    </w:p>
    <w:p>
      <w:pPr>
        <w:shd w:val="clear" w:color="auto" w:fill="FFFFFF"/>
        <w:spacing w:line="360" w:lineRule="auto"/>
        <w:ind w:firstLine="482"/>
        <w:rPr>
          <w:rFonts w:hint="eastAsia" w:hAnsi="宋体"/>
          <w:b/>
          <w:bCs/>
          <w:sz w:val="24"/>
          <w:szCs w:val="24"/>
          <w:lang w:val="zh-CN"/>
        </w:rPr>
      </w:pPr>
      <w:r>
        <w:rPr>
          <w:rFonts w:hint="eastAsia" w:hAnsi="宋体"/>
          <w:b/>
          <w:bCs/>
          <w:sz w:val="24"/>
          <w:szCs w:val="24"/>
          <w:lang w:val="zh-CN"/>
        </w:rPr>
        <w:t>4.投标保证金的提交</w:t>
      </w:r>
    </w:p>
    <w:p>
      <w:pPr>
        <w:shd w:val="clear" w:color="auto" w:fill="FFFFFF"/>
        <w:spacing w:line="360" w:lineRule="auto"/>
        <w:ind w:firstLine="480"/>
        <w:rPr>
          <w:rFonts w:hint="eastAsia" w:hAnsi="宋体"/>
          <w:sz w:val="24"/>
          <w:szCs w:val="24"/>
          <w:lang w:val="zh-CN"/>
        </w:rPr>
      </w:pPr>
      <w:r>
        <w:rPr>
          <w:rFonts w:hint="eastAsia" w:hAnsi="宋体"/>
          <w:sz w:val="24"/>
          <w:szCs w:val="24"/>
          <w:lang w:val="zh-CN"/>
        </w:rPr>
        <w:t>4.1使用银行转帐方式提交的，投标人通过基本账户将款项一次足额递交、成功绑定，以收款人到账时间为准。</w:t>
      </w:r>
    </w:p>
    <w:p>
      <w:pPr>
        <w:shd w:val="clear" w:color="auto" w:fill="FFFFFF"/>
        <w:spacing w:line="360" w:lineRule="auto"/>
        <w:ind w:firstLine="480"/>
        <w:rPr>
          <w:rFonts w:hint="eastAsia" w:hAnsi="宋体"/>
          <w:sz w:val="24"/>
          <w:szCs w:val="24"/>
          <w:lang w:val="zh-CN"/>
        </w:rPr>
      </w:pPr>
      <w:r>
        <w:rPr>
          <w:rFonts w:hint="eastAsia" w:hAnsi="宋体"/>
          <w:sz w:val="24"/>
          <w:szCs w:val="24"/>
          <w:lang w:val="zh-CN"/>
        </w:rPr>
        <w:t>4.1.1投标人网上下载招标文件并根据每个标段的缴纳说明单在开标截止时间前提交。每个投标人每个项目每个标段只有唯一缴纳账号，切勿重复缴纳或错误缴纳。</w:t>
      </w:r>
    </w:p>
    <w:p>
      <w:pPr>
        <w:shd w:val="clear" w:color="auto" w:fill="FFFFFF"/>
        <w:spacing w:line="360" w:lineRule="auto"/>
        <w:ind w:firstLine="480"/>
        <w:rPr>
          <w:rFonts w:hint="eastAsia" w:hAnsi="宋体"/>
          <w:sz w:val="24"/>
          <w:szCs w:val="24"/>
          <w:lang w:val="zh-CN"/>
        </w:rPr>
      </w:pPr>
      <w:r>
        <w:rPr>
          <w:rFonts w:hint="eastAsia" w:hAnsi="宋体"/>
          <w:sz w:val="24"/>
          <w:szCs w:val="24"/>
          <w:lang w:val="zh-CN"/>
        </w:rPr>
        <w:t>4.1.2提交后再次登录</w:t>
      </w:r>
      <w:r>
        <w:rPr>
          <w:rFonts w:hint="eastAsia" w:hAnsi="宋体"/>
          <w:sz w:val="24"/>
          <w:szCs w:val="24"/>
        </w:rPr>
        <w:fldChar w:fldCharType="begin"/>
      </w:r>
      <w:r>
        <w:rPr>
          <w:rFonts w:hint="eastAsia" w:hAnsi="宋体"/>
          <w:sz w:val="24"/>
          <w:szCs w:val="24"/>
        </w:rPr>
        <w:instrText xml:space="preserve"> HYPERLINK "http://221.14.6.70:8088/ggzy" </w:instrText>
      </w:r>
      <w:r>
        <w:rPr>
          <w:rFonts w:hint="eastAsia" w:hAnsi="宋体"/>
          <w:sz w:val="24"/>
          <w:szCs w:val="24"/>
        </w:rPr>
        <w:fldChar w:fldCharType="separate"/>
      </w:r>
      <w:r>
        <w:rPr>
          <w:rFonts w:hint="eastAsia" w:hAnsi="宋体"/>
          <w:sz w:val="24"/>
          <w:szCs w:val="24"/>
          <w:lang w:val="zh-CN"/>
        </w:rPr>
        <w:t>http://221.14.6.70:8088/ggzy</w:t>
      </w:r>
      <w:r>
        <w:rPr>
          <w:rFonts w:hint="eastAsia" w:hAnsi="宋体"/>
          <w:sz w:val="24"/>
          <w:szCs w:val="24"/>
          <w:lang w:val="zh-CN"/>
        </w:rPr>
        <w:fldChar w:fldCharType="end"/>
      </w:r>
      <w:r>
        <w:rPr>
          <w:rFonts w:hint="eastAsia" w:hAnsi="宋体"/>
          <w:sz w:val="24"/>
          <w:szCs w:val="24"/>
          <w:lang w:val="zh-CN"/>
        </w:rPr>
        <w:t>系统，依次点击“会员向导”→“参与投标”→“保证金绑定”→“绑定”进行投标保证金绑定，前述系统显示“许昌公共资源交易中心保证金缴纳回执”表示投标保证金提交完成。未绑定标段的投标保证金，视为未按规定提交。</w:t>
      </w:r>
    </w:p>
    <w:p>
      <w:pPr>
        <w:shd w:val="clear" w:color="auto" w:fill="FFFFFF"/>
        <w:spacing w:line="360" w:lineRule="auto"/>
        <w:ind w:firstLine="480"/>
        <w:rPr>
          <w:rFonts w:hint="eastAsia" w:hAnsi="宋体"/>
          <w:sz w:val="24"/>
          <w:szCs w:val="24"/>
          <w:lang w:val="zh-CN"/>
        </w:rPr>
      </w:pPr>
      <w:r>
        <w:rPr>
          <w:rFonts w:hint="eastAsia" w:hAnsi="宋体"/>
          <w:sz w:val="24"/>
          <w:szCs w:val="24"/>
          <w:lang w:val="zh-CN"/>
        </w:rPr>
        <w:t>4.1.3投标人成功绑定投标保证金，将缴纳凭证</w:t>
      </w:r>
      <w:r>
        <w:rPr>
          <w:rFonts w:hint="eastAsia" w:hAnsi="宋体"/>
          <w:sz w:val="24"/>
          <w:szCs w:val="24"/>
        </w:rPr>
        <w:t>即本项目投保保证金</w:t>
      </w:r>
      <w:r>
        <w:rPr>
          <w:rFonts w:hint="eastAsia" w:hAnsi="宋体"/>
          <w:sz w:val="24"/>
          <w:szCs w:val="24"/>
          <w:lang w:val="zh-CN"/>
        </w:rPr>
        <w:t>“许昌市建安区公共资源交易中心保证金缴纳回执”附于投标文件中，</w:t>
      </w:r>
      <w:r>
        <w:rPr>
          <w:rFonts w:hint="eastAsia" w:hAnsi="宋体"/>
          <w:sz w:val="24"/>
          <w:szCs w:val="24"/>
        </w:rPr>
        <w:t>否则视为未按规定提交。</w:t>
      </w:r>
    </w:p>
    <w:p>
      <w:pPr>
        <w:shd w:val="clear" w:color="auto" w:fill="FFFFFF"/>
        <w:spacing w:line="360" w:lineRule="auto"/>
        <w:ind w:firstLine="480"/>
        <w:rPr>
          <w:rFonts w:hint="eastAsia" w:hAnsi="宋体"/>
          <w:sz w:val="24"/>
          <w:szCs w:val="24"/>
          <w:lang w:val="zh-CN"/>
        </w:rPr>
      </w:pPr>
      <w:r>
        <w:rPr>
          <w:rFonts w:hint="eastAsia" w:hAnsi="宋体"/>
          <w:sz w:val="24"/>
          <w:szCs w:val="24"/>
          <w:lang w:val="zh-CN"/>
        </w:rPr>
        <w:t>4.2使用保函方式提交的，投标人办理投标保函，保函应明确所投项目名称、项目编号及标段、受益人（招标人）、有效期（不低于本项目投标有效期）、担保金额（不低于本项目本标段投标保证金数额）。投标人应将投标保函原件扫描件附于投标文件中，否则视为未按规定提交投标保证金。</w:t>
      </w:r>
    </w:p>
    <w:p>
      <w:pPr>
        <w:shd w:val="clear" w:color="auto" w:fill="FFFFFF"/>
        <w:spacing w:line="360" w:lineRule="auto"/>
        <w:ind w:firstLine="482"/>
        <w:rPr>
          <w:rFonts w:hAnsi="宋体"/>
          <w:sz w:val="24"/>
          <w:szCs w:val="24"/>
        </w:rPr>
      </w:pPr>
      <w:r>
        <w:rPr>
          <w:rFonts w:hint="eastAsia" w:hAnsi="宋体"/>
          <w:b/>
          <w:bCs/>
          <w:sz w:val="24"/>
          <w:szCs w:val="24"/>
        </w:rPr>
        <w:t>5.加密电子投标文件的提交</w:t>
      </w:r>
    </w:p>
    <w:p>
      <w:pPr>
        <w:shd w:val="clear" w:color="auto" w:fill="FFFFFF"/>
        <w:spacing w:line="360" w:lineRule="auto"/>
        <w:ind w:firstLine="480"/>
        <w:rPr>
          <w:rFonts w:hAnsi="宋体"/>
          <w:sz w:val="24"/>
          <w:szCs w:val="24"/>
        </w:rPr>
      </w:pPr>
      <w:r>
        <w:rPr>
          <w:rFonts w:hint="eastAsia" w:hAnsi="宋体"/>
          <w:sz w:val="24"/>
          <w:szCs w:val="24"/>
        </w:rPr>
        <w:t>5.1加密电子投标文件应按规定在投标截止时间（开标时间）之前成功提交至《全国公共资源交易平台(河南省</w:t>
      </w:r>
      <w:r>
        <w:rPr>
          <w:rFonts w:hint="eastAsia" w:hAnsi="宋体" w:eastAsia="MS Mincho"/>
          <w:sz w:val="24"/>
          <w:szCs w:val="24"/>
        </w:rPr>
        <w:t>▪</w:t>
      </w:r>
      <w:r>
        <w:rPr>
          <w:rFonts w:hint="eastAsia" w:hAnsi="宋体"/>
          <w:sz w:val="24"/>
          <w:szCs w:val="24"/>
        </w:rPr>
        <w:t>许昌市)》公共资源交易系统（</w:t>
      </w:r>
      <w:r>
        <w:rPr>
          <w:rFonts w:hAnsi="宋体"/>
          <w:sz w:val="24"/>
          <w:szCs w:val="24"/>
        </w:rPr>
        <w:fldChar w:fldCharType="begin"/>
      </w:r>
      <w:r>
        <w:rPr>
          <w:rFonts w:hAnsi="宋体"/>
          <w:sz w:val="24"/>
          <w:szCs w:val="24"/>
        </w:rPr>
        <w:instrText xml:space="preserve">HYPERLINK "http://221.14.6.70:8088/ggzy/"</w:instrText>
      </w:r>
      <w:r>
        <w:rPr>
          <w:rFonts w:hAnsi="宋体"/>
          <w:sz w:val="24"/>
          <w:szCs w:val="24"/>
        </w:rPr>
        <w:fldChar w:fldCharType="separate"/>
      </w:r>
      <w:r>
        <w:rPr>
          <w:rStyle w:val="15"/>
          <w:rFonts w:hint="eastAsia" w:ascii="宋体" w:hAnsi="宋体" w:eastAsia="宋体"/>
          <w:color w:val="auto"/>
          <w:sz w:val="24"/>
          <w:szCs w:val="24"/>
        </w:rPr>
        <w:t>http://221.14.6.70:8088/ggzy/</w:t>
      </w:r>
      <w:r>
        <w:rPr>
          <w:rFonts w:hAnsi="宋体"/>
          <w:sz w:val="24"/>
          <w:szCs w:val="24"/>
        </w:rPr>
        <w:fldChar w:fldCharType="end"/>
      </w:r>
      <w:r>
        <w:rPr>
          <w:rFonts w:hint="eastAsia" w:hAnsi="宋体"/>
          <w:sz w:val="24"/>
          <w:szCs w:val="24"/>
        </w:rPr>
        <w:t>）。</w:t>
      </w:r>
    </w:p>
    <w:p>
      <w:pPr>
        <w:shd w:val="clear" w:color="auto" w:fill="FFFFFF"/>
        <w:spacing w:line="360" w:lineRule="auto"/>
        <w:ind w:firstLine="480"/>
        <w:rPr>
          <w:rFonts w:hAnsi="宋体"/>
          <w:sz w:val="24"/>
          <w:szCs w:val="24"/>
        </w:rPr>
      </w:pPr>
      <w:r>
        <w:rPr>
          <w:rFonts w:hint="eastAsia" w:hAnsi="宋体"/>
          <w:sz w:val="24"/>
          <w:szCs w:val="24"/>
        </w:rPr>
        <w:t>投标人应充分考虑并预留技术处理和上传数据所需时间。</w:t>
      </w:r>
    </w:p>
    <w:p>
      <w:pPr>
        <w:shd w:val="clear" w:color="auto" w:fill="FFFFFF"/>
        <w:spacing w:line="360" w:lineRule="auto"/>
        <w:ind w:firstLine="480"/>
        <w:rPr>
          <w:rFonts w:hAnsi="宋体"/>
          <w:sz w:val="24"/>
          <w:szCs w:val="24"/>
        </w:rPr>
      </w:pPr>
      <w:r>
        <w:rPr>
          <w:rFonts w:hint="eastAsia" w:hAnsi="宋体"/>
          <w:sz w:val="24"/>
          <w:szCs w:val="24"/>
        </w:rPr>
        <w:t>5.2 投标人对同一项目多个标段进行投标的，加密电子投标文件应按标段分别提交。</w:t>
      </w:r>
    </w:p>
    <w:p>
      <w:pPr>
        <w:shd w:val="clear" w:color="auto" w:fill="FFFFFF"/>
        <w:spacing w:line="360" w:lineRule="auto"/>
        <w:ind w:firstLine="480"/>
        <w:jc w:val="left"/>
        <w:rPr>
          <w:rFonts w:hAnsi="宋体"/>
          <w:sz w:val="24"/>
          <w:szCs w:val="24"/>
        </w:rPr>
      </w:pPr>
      <w:r>
        <w:rPr>
          <w:rFonts w:hint="eastAsia" w:hAnsi="宋体"/>
          <w:sz w:val="24"/>
          <w:szCs w:val="24"/>
        </w:rPr>
        <w:t>5.3 加密电子投标文件成功提交后，《全国公共资源交易平台(河南省</w:t>
      </w:r>
      <w:r>
        <w:rPr>
          <w:rFonts w:hint="eastAsia" w:hAnsi="宋体" w:eastAsia="MS Mincho"/>
          <w:sz w:val="24"/>
          <w:szCs w:val="24"/>
        </w:rPr>
        <w:t>▪</w:t>
      </w:r>
      <w:r>
        <w:rPr>
          <w:rFonts w:hint="eastAsia" w:hAnsi="宋体"/>
          <w:sz w:val="24"/>
          <w:szCs w:val="24"/>
        </w:rPr>
        <w:t>许昌市)》公共资源交易系统（</w:t>
      </w:r>
      <w:r>
        <w:rPr>
          <w:rFonts w:hAnsi="宋体"/>
          <w:sz w:val="24"/>
          <w:szCs w:val="24"/>
        </w:rPr>
        <w:fldChar w:fldCharType="begin"/>
      </w:r>
      <w:r>
        <w:rPr>
          <w:rFonts w:hAnsi="宋体"/>
          <w:sz w:val="24"/>
          <w:szCs w:val="24"/>
        </w:rPr>
        <w:instrText xml:space="preserve">HYPERLINK "http://221.14.6.70:8088/ggzy/"</w:instrText>
      </w:r>
      <w:r>
        <w:rPr>
          <w:rFonts w:hAnsi="宋体"/>
          <w:sz w:val="24"/>
          <w:szCs w:val="24"/>
        </w:rPr>
        <w:fldChar w:fldCharType="separate"/>
      </w:r>
      <w:r>
        <w:rPr>
          <w:rStyle w:val="15"/>
          <w:rFonts w:hint="eastAsia" w:ascii="宋体" w:hAnsi="宋体" w:eastAsia="宋体"/>
          <w:color w:val="auto"/>
          <w:sz w:val="24"/>
          <w:szCs w:val="24"/>
        </w:rPr>
        <w:t>http://221.14.6.70:8088/ggzy/</w:t>
      </w:r>
      <w:r>
        <w:rPr>
          <w:rFonts w:hAnsi="宋体"/>
          <w:sz w:val="24"/>
          <w:szCs w:val="24"/>
        </w:rPr>
        <w:fldChar w:fldCharType="end"/>
      </w:r>
      <w:r>
        <w:rPr>
          <w:rFonts w:hint="eastAsia" w:hAnsi="宋体"/>
          <w:sz w:val="24"/>
          <w:szCs w:val="24"/>
        </w:rPr>
        <w:t>）生成“投标文件提交回执单”。</w:t>
      </w:r>
    </w:p>
    <w:p>
      <w:pPr>
        <w:shd w:val="clear" w:color="auto" w:fill="FFFFFF"/>
        <w:spacing w:line="360" w:lineRule="auto"/>
        <w:ind w:firstLine="482"/>
        <w:rPr>
          <w:rFonts w:hAnsi="宋体"/>
          <w:sz w:val="24"/>
          <w:szCs w:val="24"/>
        </w:rPr>
      </w:pPr>
      <w:r>
        <w:rPr>
          <w:rFonts w:hint="eastAsia" w:hAnsi="宋体"/>
          <w:b/>
          <w:bCs/>
          <w:sz w:val="24"/>
          <w:szCs w:val="24"/>
        </w:rPr>
        <w:t>6.远程不见面开标（电子投标文件的解密）</w:t>
      </w:r>
    </w:p>
    <w:p>
      <w:pPr>
        <w:shd w:val="clear" w:color="auto" w:fill="FFFFFF"/>
        <w:spacing w:line="360" w:lineRule="auto"/>
        <w:ind w:firstLine="480"/>
        <w:rPr>
          <w:rFonts w:hAnsi="宋体"/>
          <w:sz w:val="24"/>
          <w:szCs w:val="24"/>
        </w:rPr>
      </w:pPr>
      <w:r>
        <w:rPr>
          <w:rFonts w:hint="eastAsia" w:hAnsi="宋体"/>
          <w:sz w:val="24"/>
          <w:szCs w:val="24"/>
        </w:rPr>
        <w:t>6.1 投标人应熟悉《许昌市不见面开标操作手册》，并提前设置不见面开标浏览器（设置流程详见《许昌市不见面开标操作手册》）。</w:t>
      </w:r>
    </w:p>
    <w:p>
      <w:pPr>
        <w:shd w:val="clear" w:color="auto" w:fill="FFFFFF"/>
        <w:spacing w:line="360" w:lineRule="auto"/>
        <w:ind w:firstLine="480"/>
        <w:rPr>
          <w:rFonts w:hAnsi="宋体"/>
          <w:sz w:val="24"/>
          <w:szCs w:val="24"/>
        </w:rPr>
      </w:pPr>
      <w:r>
        <w:rPr>
          <w:rFonts w:hint="eastAsia" w:hAnsi="宋体"/>
          <w:sz w:val="24"/>
          <w:szCs w:val="24"/>
        </w:rPr>
        <w:t>6.2 《许昌市不见面开标操作手册》下载路径：全国公共资源交易平台（河南省·许昌市）—“资料下载”栏目。</w:t>
      </w:r>
    </w:p>
    <w:p>
      <w:pPr>
        <w:shd w:val="clear" w:color="auto" w:fill="FFFFFF"/>
        <w:spacing w:line="360" w:lineRule="auto"/>
        <w:ind w:firstLine="480"/>
        <w:rPr>
          <w:rFonts w:hAnsi="宋体"/>
          <w:sz w:val="24"/>
          <w:szCs w:val="24"/>
        </w:rPr>
      </w:pPr>
      <w:r>
        <w:rPr>
          <w:rFonts w:hint="eastAsia" w:hAnsi="宋体"/>
          <w:sz w:val="24"/>
          <w:szCs w:val="24"/>
        </w:rPr>
        <w:t>6.3开标时间前投标人应登录本项目不见面开标大厅，按照招标文件确定的开标时间准时参加网上开标。</w:t>
      </w:r>
    </w:p>
    <w:p>
      <w:pPr>
        <w:shd w:val="clear" w:color="auto" w:fill="FFFFFF"/>
        <w:spacing w:line="360" w:lineRule="auto"/>
        <w:ind w:firstLine="480"/>
        <w:rPr>
          <w:rFonts w:hAnsi="宋体"/>
          <w:sz w:val="24"/>
          <w:szCs w:val="24"/>
        </w:rPr>
      </w:pPr>
      <w:r>
        <w:rPr>
          <w:rFonts w:hint="eastAsia" w:hAnsi="宋体"/>
          <w:sz w:val="24"/>
          <w:szCs w:val="24"/>
        </w:rPr>
        <w:t>6.4投标人对开标过程和开标记录如有疑义，可在本项目不见面开标大厅“文字互动”对话框或“新增质疑”处在线提出询问。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sz w:val="24"/>
        </w:rPr>
        <w:t>6.5根据代理机构在“文字互动”对话框的通知，投标人选择功能栏“解密环节”按钮进行电子投标文件解密（投标人解密应自代理机构在到达投标截止时间时点击“开标”按钮，开标开始并进行解密60分钟内完成）。投标人未解密或因投标人原因解密失败的，其投标将被拒绝。</w:t>
      </w:r>
    </w:p>
    <w:p>
      <w:pPr>
        <w:shd w:val="clear" w:color="auto" w:fill="FFFFFF"/>
        <w:spacing w:line="360" w:lineRule="auto"/>
        <w:ind w:firstLine="480"/>
        <w:rPr>
          <w:rFonts w:hAnsi="宋体"/>
          <w:sz w:val="24"/>
          <w:szCs w:val="24"/>
        </w:rPr>
      </w:pPr>
      <w:r>
        <w:rPr>
          <w:rFonts w:hint="eastAsia" w:hAnsi="宋体"/>
          <w:sz w:val="24"/>
          <w:szCs w:val="24"/>
        </w:rPr>
        <w:t>6.6项目远程不见面开标活动结束时，投标人应在《开标记录表》上进行电子签章。投标人未签章的，视同认可开标结果。</w:t>
      </w:r>
    </w:p>
    <w:p>
      <w:pPr>
        <w:shd w:val="clear" w:color="auto" w:fill="FFFFFF"/>
        <w:spacing w:line="360" w:lineRule="auto"/>
        <w:ind w:firstLine="480"/>
        <w:rPr>
          <w:rFonts w:hint="eastAsia" w:hAnsi="宋体"/>
          <w:b/>
          <w:sz w:val="24"/>
          <w:szCs w:val="24"/>
        </w:rPr>
      </w:pPr>
      <w:r>
        <w:rPr>
          <w:rFonts w:hint="eastAsia" w:hAnsi="宋体"/>
          <w:b/>
          <w:sz w:val="24"/>
          <w:szCs w:val="24"/>
        </w:rPr>
        <w:t>7.评标依据</w:t>
      </w:r>
    </w:p>
    <w:p>
      <w:pPr>
        <w:shd w:val="clear" w:color="auto" w:fill="FFFFFF"/>
        <w:spacing w:line="360" w:lineRule="auto"/>
        <w:ind w:firstLine="480"/>
        <w:rPr>
          <w:rFonts w:hint="eastAsia" w:hAnsi="宋体"/>
          <w:sz w:val="24"/>
          <w:szCs w:val="24"/>
        </w:rPr>
      </w:pPr>
      <w:r>
        <w:rPr>
          <w:rFonts w:hint="eastAsia" w:hAnsi="宋体"/>
          <w:sz w:val="24"/>
          <w:szCs w:val="24"/>
        </w:rPr>
        <w:t>7.1全流程电子化交易（远程不见面开标）项目，评标委员会以成功上传、解密的电子投标文件为评标依据。</w:t>
      </w:r>
    </w:p>
    <w:p>
      <w:pPr>
        <w:shd w:val="clear" w:color="auto" w:fill="FFFFFF"/>
        <w:spacing w:line="360" w:lineRule="auto"/>
        <w:ind w:firstLine="480"/>
        <w:rPr>
          <w:rFonts w:hint="eastAsia" w:hAnsi="宋体"/>
          <w:sz w:val="24"/>
          <w:szCs w:val="24"/>
        </w:rPr>
      </w:pPr>
      <w:r>
        <w:rPr>
          <w:rFonts w:hint="eastAsia" w:hAnsi="宋体"/>
          <w:sz w:val="24"/>
          <w:szCs w:val="24"/>
        </w:rPr>
        <w:t>7.2评审期间，保持投标文件提供的联系方式畅通，评标委员会随时可能对投标文件内容质询，投标人应及时进行答复（包括但不限于电子文档、电子邮件等）。</w:t>
      </w:r>
    </w:p>
    <w:p>
      <w:pPr>
        <w:tabs>
          <w:tab w:val="left" w:pos="4140"/>
          <w:tab w:val="left" w:pos="4260"/>
        </w:tabs>
        <w:spacing w:line="360" w:lineRule="auto"/>
        <w:ind w:right="-578" w:rightChars="-170" w:firstLine="240" w:firstLineChars="100"/>
        <w:jc w:val="left"/>
        <w:rPr>
          <w:rFonts w:hAnsi="宋体" w:cs="黑体"/>
          <w:b/>
          <w:sz w:val="36"/>
          <w:szCs w:val="36"/>
        </w:rPr>
      </w:pPr>
      <w:r>
        <w:rPr>
          <w:rFonts w:hint="eastAsia" w:hAnsi="宋体"/>
          <w:sz w:val="24"/>
          <w:szCs w:val="24"/>
        </w:rPr>
        <w:t>7.3 有多轮报价的，各投标人应提前准备好分项报价，为多轮报价做好准备，在谈判小组发起报价通知后，在规定时间内提交有效报价。</w:t>
      </w: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jc w:val="center"/>
        <w:rPr>
          <w:rFonts w:hint="eastAsia" w:hAnsi="宋体" w:cs="黑体"/>
          <w:b/>
          <w:sz w:val="36"/>
          <w:szCs w:val="36"/>
        </w:rPr>
      </w:pPr>
    </w:p>
    <w:p>
      <w:pPr>
        <w:tabs>
          <w:tab w:val="left" w:pos="4140"/>
          <w:tab w:val="left" w:pos="4260"/>
        </w:tabs>
        <w:spacing w:line="360" w:lineRule="auto"/>
        <w:ind w:right="-578" w:rightChars="-17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center"/>
        <w:outlineLvl w:val="0"/>
        <w:rPr>
          <w:rFonts w:hAnsi="宋体" w:cs="黑体"/>
          <w:b/>
          <w:sz w:val="28"/>
          <w:szCs w:val="28"/>
        </w:rPr>
      </w:pPr>
      <w:bookmarkStart w:id="2" w:name="_Toc283559940"/>
      <w:r>
        <w:rPr>
          <w:rFonts w:hint="eastAsia" w:hAnsi="宋体" w:cs="黑体"/>
          <w:b/>
          <w:sz w:val="28"/>
          <w:szCs w:val="28"/>
        </w:rPr>
        <w:t>投标人须知前附表</w:t>
      </w:r>
      <w:bookmarkEnd w:id="2"/>
    </w:p>
    <w:tbl>
      <w:tblPr>
        <w:tblStyle w:val="11"/>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746"/>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111"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746" w:type="dxa"/>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111"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746" w:type="dxa"/>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lang w:val="zh-CN"/>
              </w:rPr>
              <w:t>招 标 人：</w:t>
            </w:r>
            <w:r>
              <w:rPr>
                <w:rFonts w:hint="eastAsia" w:hAnsi="宋体" w:cs="宋体"/>
                <w:sz w:val="24"/>
                <w:szCs w:val="24"/>
                <w:lang w:eastAsia="zh-CN"/>
              </w:rPr>
              <w:t>许昌市建安区商务局</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地    址：</w:t>
            </w:r>
            <w:r>
              <w:rPr>
                <w:rFonts w:hint="eastAsia" w:hAnsi="宋体" w:cs="宋体"/>
                <w:sz w:val="24"/>
                <w:szCs w:val="24"/>
                <w:lang w:eastAsia="zh-CN"/>
              </w:rPr>
              <w:t>许昌市建安区新元大道文化中心D307</w:t>
            </w:r>
          </w:p>
          <w:p>
            <w:pPr>
              <w:autoSpaceDE w:val="0"/>
              <w:autoSpaceDN w:val="0"/>
              <w:adjustRightInd w:val="0"/>
              <w:spacing w:line="320" w:lineRule="exact"/>
              <w:rPr>
                <w:rFonts w:hint="eastAsia" w:hAnsi="宋体" w:eastAsia="宋体"/>
                <w:sz w:val="24"/>
                <w:szCs w:val="22"/>
                <w:lang w:eastAsia="zh-CN"/>
              </w:rPr>
            </w:pPr>
            <w:r>
              <w:rPr>
                <w:rFonts w:hint="eastAsia" w:hAnsi="宋体"/>
                <w:sz w:val="24"/>
                <w:szCs w:val="22"/>
              </w:rPr>
              <w:t>联 系 人：</w:t>
            </w:r>
            <w:r>
              <w:rPr>
                <w:rFonts w:hint="eastAsia" w:hAnsi="宋体"/>
                <w:sz w:val="24"/>
                <w:szCs w:val="22"/>
                <w:lang w:eastAsia="zh-CN"/>
              </w:rPr>
              <w:t>徐启辉</w:t>
            </w:r>
          </w:p>
          <w:p>
            <w:pPr>
              <w:autoSpaceDE w:val="0"/>
              <w:autoSpaceDN w:val="0"/>
              <w:adjustRightInd w:val="0"/>
              <w:spacing w:line="320" w:lineRule="exact"/>
              <w:rPr>
                <w:rFonts w:hint="eastAsia" w:hAnsi="宋体" w:eastAsia="宋体"/>
                <w:bCs/>
                <w:sz w:val="24"/>
                <w:lang w:eastAsia="zh-CN"/>
              </w:rPr>
            </w:pPr>
            <w:r>
              <w:rPr>
                <w:rFonts w:hint="eastAsia" w:hAnsi="宋体"/>
                <w:sz w:val="24"/>
                <w:szCs w:val="22"/>
              </w:rPr>
              <w:t>联系电话：</w:t>
            </w:r>
            <w:r>
              <w:rPr>
                <w:rFonts w:hint="eastAsia" w:hAnsi="宋体"/>
                <w:sz w:val="24"/>
                <w:szCs w:val="22"/>
                <w:lang w:eastAsia="zh-CN"/>
              </w:rPr>
              <w:t>15937439796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11"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746" w:type="dxa"/>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许昌宏业工程招标代理有限公司</w:t>
            </w:r>
          </w:p>
          <w:p>
            <w:pPr>
              <w:autoSpaceDE w:val="0"/>
              <w:autoSpaceDN w:val="0"/>
              <w:adjustRightInd w:val="0"/>
              <w:spacing w:line="320" w:lineRule="exact"/>
              <w:rPr>
                <w:rFonts w:hint="eastAsia" w:hAnsi="宋体" w:eastAsia="宋体"/>
                <w:sz w:val="24"/>
                <w:lang w:eastAsia="zh-CN"/>
              </w:rPr>
            </w:pPr>
            <w:r>
              <w:rPr>
                <w:rFonts w:hint="eastAsia" w:hAnsi="宋体"/>
                <w:sz w:val="24"/>
              </w:rPr>
              <w:t>联 系 人：</w:t>
            </w:r>
            <w:r>
              <w:rPr>
                <w:rFonts w:hint="eastAsia" w:hAnsi="宋体"/>
                <w:sz w:val="24"/>
                <w:lang w:eastAsia="zh-CN"/>
              </w:rPr>
              <w:t>辛聪聪</w:t>
            </w:r>
          </w:p>
          <w:p>
            <w:pPr>
              <w:autoSpaceDE w:val="0"/>
              <w:autoSpaceDN w:val="0"/>
              <w:adjustRightInd w:val="0"/>
              <w:spacing w:line="320" w:lineRule="exact"/>
              <w:rPr>
                <w:rFonts w:hint="eastAsia" w:hAnsi="宋体" w:eastAsia="宋体"/>
                <w:sz w:val="24"/>
                <w:lang w:eastAsia="zh-CN"/>
              </w:rPr>
            </w:pPr>
            <w:r>
              <w:rPr>
                <w:rFonts w:hint="eastAsia" w:hAnsi="宋体"/>
                <w:sz w:val="24"/>
              </w:rPr>
              <w:t>联系电话：</w:t>
            </w:r>
            <w:r>
              <w:rPr>
                <w:rFonts w:hint="eastAsia" w:hAnsi="宋体"/>
                <w:sz w:val="24"/>
                <w:lang w:eastAsia="zh-CN"/>
              </w:rPr>
              <w:t>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3</w:t>
            </w:r>
          </w:p>
        </w:tc>
        <w:tc>
          <w:tcPr>
            <w:tcW w:w="1746" w:type="dxa"/>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jc w:val="left"/>
              <w:rPr>
                <w:rFonts w:hint="eastAsia" w:hAnsi="宋体" w:eastAsia="宋体"/>
                <w:b/>
                <w:sz w:val="24"/>
                <w:lang w:eastAsia="zh-CN"/>
              </w:rPr>
            </w:pPr>
            <w:r>
              <w:rPr>
                <w:rFonts w:hint="eastAsia" w:hAnsi="宋体" w:cs="宋体"/>
                <w:sz w:val="24"/>
                <w:szCs w:val="24"/>
                <w:lang w:eastAsia="zh-CN"/>
              </w:rPr>
              <w:t>电商三级网络服务体系站点建设工程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746" w:type="dxa"/>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jc w:val="left"/>
              <w:rPr>
                <w:rFonts w:hint="eastAsia" w:hAnsi="宋体" w:eastAsia="宋体" w:cs="仿宋_GB2312"/>
                <w:sz w:val="24"/>
                <w:szCs w:val="24"/>
                <w:lang w:eastAsia="zh-CN"/>
              </w:rPr>
            </w:pPr>
            <w:r>
              <w:rPr>
                <w:rFonts w:hint="eastAsia" w:hAnsi="宋体" w:cs="宋体"/>
                <w:sz w:val="24"/>
                <w:szCs w:val="24"/>
                <w:lang w:eastAsia="zh-CN"/>
              </w:rPr>
              <w:t>许昌市建安区辖区内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746" w:type="dxa"/>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财政资金</w:t>
            </w:r>
            <w:bookmarkStart w:id="629" w:name="_GoBack"/>
            <w:bookmarkEnd w:id="6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746" w:type="dxa"/>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746" w:type="dxa"/>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vAlign w:val="center"/>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746" w:type="dxa"/>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420" w:lineRule="exact"/>
              <w:outlineLvl w:val="0"/>
              <w:rPr>
                <w:rFonts w:hAnsi="宋体" w:cs="宋体"/>
                <w:sz w:val="24"/>
                <w:szCs w:val="22"/>
              </w:rPr>
            </w:pPr>
            <w:r>
              <w:rPr>
                <w:rFonts w:hint="eastAsia" w:hAnsi="宋体" w:cs="宋体"/>
                <w:sz w:val="24"/>
                <w:szCs w:val="22"/>
              </w:rPr>
              <w:t>招标文件、工程量清单、设计变更（如有）及答疑纪要（如有）范围内的所有工程内容。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746" w:type="dxa"/>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3</w:t>
            </w:r>
            <w:r>
              <w:rPr>
                <w:rFonts w:hint="eastAsia" w:hAnsi="宋体" w:cs="仿宋_GB2312"/>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746" w:type="dxa"/>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746" w:type="dxa"/>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vAlign w:val="center"/>
          </w:tcPr>
          <w:p>
            <w:pPr>
              <w:autoSpaceDE w:val="0"/>
              <w:autoSpaceDN w:val="0"/>
              <w:adjustRightInd w:val="0"/>
              <w:spacing w:line="420" w:lineRule="exact"/>
              <w:jc w:val="left"/>
              <w:outlineLvl w:val="0"/>
              <w:rPr>
                <w:rFonts w:hint="eastAsia" w:hAnsi="宋体" w:eastAsia="宋体" w:cs="宋体"/>
                <w:sz w:val="24"/>
                <w:szCs w:val="24"/>
                <w:lang w:eastAsia="zh-CN"/>
              </w:rPr>
            </w:pPr>
            <w:r>
              <w:rPr>
                <w:rFonts w:hint="eastAsia" w:hAnsi="宋体" w:cs="仿宋_GB2312"/>
                <w:kern w:val="2"/>
                <w:sz w:val="24"/>
                <w:szCs w:val="24"/>
                <w:shd w:val="clear" w:color="auto" w:fill="FFFFFF"/>
              </w:rPr>
              <w:t>1、</w:t>
            </w:r>
            <w:r>
              <w:rPr>
                <w:rFonts w:hint="eastAsia" w:hAnsi="宋体" w:cs="宋体"/>
                <w:sz w:val="24"/>
                <w:szCs w:val="24"/>
                <w:lang w:eastAsia="zh-CN"/>
              </w:rPr>
              <w:t>投标人须具备独立的法人资格，并具有建筑装修装饰工程专业承包贰级（含）以上资质或建筑工程施工总承包叁级（含）以上资质，并具备有效的企业安全生产许可证，在人员、设备、资金等方面具有相应的施工能力；拟派项目负责人具有建筑工程专业贰级（含）以上注册建造师资格，具备有效的安全生产考核合格证书，且未担任其他在施建设项目。</w:t>
            </w:r>
          </w:p>
          <w:p>
            <w:pPr>
              <w:spacing w:line="400" w:lineRule="exact"/>
              <w:rPr>
                <w:rFonts w:hAnsi="宋体" w:cs="宋体"/>
                <w:color w:val="000000" w:themeColor="text1"/>
                <w:sz w:val="24"/>
                <w:szCs w:val="24"/>
              </w:rPr>
            </w:pPr>
            <w:r>
              <w:rPr>
                <w:rFonts w:hAnsi="宋体" w:cs="宋体"/>
                <w:sz w:val="24"/>
                <w:szCs w:val="24"/>
              </w:rPr>
              <w:t>2</w:t>
            </w:r>
            <w:r>
              <w:rPr>
                <w:rFonts w:hint="eastAsia" w:hAnsi="宋体" w:cs="宋体"/>
                <w:sz w:val="24"/>
                <w:szCs w:val="24"/>
              </w:rPr>
              <w:t>、</w:t>
            </w:r>
            <w:r>
              <w:rPr>
                <w:rFonts w:hint="eastAsia" w:hAnsi="宋体" w:cs="宋体"/>
                <w:color w:val="000000" w:themeColor="text1"/>
                <w:sz w:val="24"/>
                <w:szCs w:val="24"/>
              </w:rPr>
              <w:t>投标人未被“信用中国”</w:t>
            </w:r>
            <w:r>
              <w:rPr>
                <w:rFonts w:hAnsi="宋体" w:cs="宋体"/>
                <w:color w:val="000000" w:themeColor="text1"/>
                <w:sz w:val="24"/>
                <w:szCs w:val="24"/>
              </w:rPr>
              <w:t>网站（www.creditchina.gov.cn）</w:t>
            </w:r>
            <w:r>
              <w:rPr>
                <w:rFonts w:hint="eastAsia" w:hAnsi="宋体" w:cs="宋体"/>
                <w:color w:val="000000" w:themeColor="text1"/>
                <w:sz w:val="24"/>
                <w:szCs w:val="24"/>
              </w:rPr>
              <w:t>列入失信被执行人、重大税收违法案件当事人名单，未被“信用河南”网站（www.xyhn.gov.cn）信用信息栏列入黑名单，以及未被“国家企业信用信息公示系统”</w:t>
            </w:r>
            <w:r>
              <w:rPr>
                <w:rFonts w:hAnsi="宋体" w:cs="宋体"/>
                <w:color w:val="000000" w:themeColor="text1"/>
                <w:sz w:val="24"/>
                <w:szCs w:val="24"/>
              </w:rPr>
              <w:t>网站（www.gsxt.gov.cn）</w:t>
            </w:r>
            <w:r>
              <w:rPr>
                <w:rFonts w:hint="eastAsia" w:hAnsi="宋体" w:cs="宋体"/>
                <w:color w:val="000000" w:themeColor="text1"/>
                <w:sz w:val="24"/>
                <w:szCs w:val="24"/>
              </w:rPr>
              <w:t>列入经营异常名录或严重失信黑名单等。</w:t>
            </w:r>
            <w:r>
              <w:rPr>
                <w:rFonts w:hAnsi="宋体" w:cs="宋体"/>
                <w:color w:val="000000" w:themeColor="text1"/>
                <w:sz w:val="24"/>
                <w:szCs w:val="24"/>
              </w:rPr>
              <w:t>（招标人、代理机构或评标专家委员会评标现场查询）；</w:t>
            </w:r>
            <w:r>
              <w:rPr>
                <w:rFonts w:hint="eastAsia" w:hAnsi="宋体" w:cs="宋体"/>
                <w:color w:val="000000" w:themeColor="text1"/>
                <w:sz w:val="24"/>
                <w:szCs w:val="24"/>
              </w:rPr>
              <w:t>信用信息</w:t>
            </w:r>
            <w:r>
              <w:rPr>
                <w:rFonts w:hAnsi="宋体" w:cs="宋体"/>
                <w:color w:val="000000" w:themeColor="text1"/>
                <w:sz w:val="24"/>
                <w:szCs w:val="24"/>
              </w:rPr>
              <w:t>查询记录和证据留存具体方式：经评标专家委员会确认的查询结果网页截图作为查询记录和证据，与其他文件一并保存。</w:t>
            </w:r>
          </w:p>
          <w:p>
            <w:pPr>
              <w:autoSpaceDE w:val="0"/>
              <w:autoSpaceDN w:val="0"/>
              <w:adjustRightInd w:val="0"/>
              <w:spacing w:line="420" w:lineRule="exact"/>
              <w:outlineLvl w:val="0"/>
              <w:rPr>
                <w:rFonts w:hAnsi="宋体" w:cs="仿宋_GB2312"/>
                <w:kern w:val="2"/>
                <w:sz w:val="21"/>
                <w:szCs w:val="21"/>
                <w:shd w:val="clear" w:color="auto" w:fill="FFFFFF"/>
              </w:rPr>
            </w:pPr>
            <w:r>
              <w:rPr>
                <w:rFonts w:hint="eastAsia" w:hAnsi="宋体" w:cs="仿宋_GB2312"/>
                <w:kern w:val="2"/>
                <w:sz w:val="24"/>
                <w:szCs w:val="24"/>
                <w:shd w:val="clear" w:color="auto" w:fill="FFFFFF"/>
              </w:rPr>
              <w:t>3、不接受联合体投标</w:t>
            </w:r>
            <w:r>
              <w:rPr>
                <w:rFonts w:hint="eastAsia" w:hAnsi="宋体" w:cs="仿宋_GB2312"/>
                <w:kern w:val="2"/>
                <w:sz w:val="21"/>
                <w:szCs w:val="21"/>
                <w:shd w:val="clear" w:color="auto" w:fill="FFFFFF"/>
              </w:rPr>
              <w:t>。</w:t>
            </w:r>
          </w:p>
          <w:p>
            <w:pPr>
              <w:autoSpaceDE w:val="0"/>
              <w:autoSpaceDN w:val="0"/>
              <w:adjustRightInd w:val="0"/>
              <w:spacing w:line="420" w:lineRule="exact"/>
              <w:outlineLvl w:val="0"/>
              <w:rPr>
                <w:rFonts w:hAnsi="宋体"/>
                <w:b/>
                <w:sz w:val="24"/>
              </w:rPr>
            </w:pPr>
            <w:r>
              <w:rPr>
                <w:rFonts w:hint="eastAsia" w:hAnsi="宋体" w:cs="宋体"/>
                <w:sz w:val="24"/>
                <w:szCs w:val="24"/>
              </w:rPr>
              <w:t>4、本次招标实行资格后审。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746" w:type="dxa"/>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746" w:type="dxa"/>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746" w:type="dxa"/>
            <w:vAlign w:val="center"/>
          </w:tcPr>
          <w:p>
            <w:pPr>
              <w:autoSpaceDE w:val="0"/>
              <w:autoSpaceDN w:val="0"/>
              <w:adjustRightInd w:val="0"/>
              <w:spacing w:line="320" w:lineRule="exact"/>
              <w:jc w:val="center"/>
              <w:rPr>
                <w:rFonts w:hAnsi="宋体" w:cs="仿宋_GB2312"/>
                <w:sz w:val="24"/>
                <w:szCs w:val="22"/>
              </w:rPr>
            </w:pPr>
            <w:r>
              <w:rPr>
                <w:rFonts w:hint="eastAsia" w:hAnsi="宋体" w:cs="仿宋_GB2312"/>
                <w:sz w:val="24"/>
                <w:szCs w:val="22"/>
              </w:rPr>
              <w:t>投标预备会</w:t>
            </w:r>
          </w:p>
        </w:tc>
        <w:tc>
          <w:tcPr>
            <w:tcW w:w="7017" w:type="dxa"/>
            <w:vAlign w:val="center"/>
          </w:tcPr>
          <w:p>
            <w:pPr>
              <w:autoSpaceDE w:val="0"/>
              <w:autoSpaceDN w:val="0"/>
              <w:adjustRightInd w:val="0"/>
              <w:spacing w:line="320" w:lineRule="exact"/>
              <w:jc w:val="left"/>
              <w:rPr>
                <w:rFonts w:hAnsi="宋体" w:cs="仿宋_GB2312"/>
                <w:sz w:val="24"/>
                <w:szCs w:val="22"/>
              </w:rPr>
            </w:pPr>
            <w:r>
              <w:rPr>
                <w:rFonts w:hint="eastAsia" w:hAnsi="宋体" w:cs="仿宋_GB2312"/>
                <w:sz w:val="24"/>
                <w:szCs w:val="22"/>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11"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746" w:type="dxa"/>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1" w:type="dxa"/>
            <w:vAlign w:val="center"/>
          </w:tcPr>
          <w:p>
            <w:pPr>
              <w:jc w:val="center"/>
              <w:rPr>
                <w:rFonts w:hAnsi="宋体"/>
                <w:sz w:val="24"/>
              </w:rPr>
            </w:pPr>
            <w:r>
              <w:rPr>
                <w:rFonts w:hint="eastAsia" w:hAnsi="宋体"/>
                <w:sz w:val="24"/>
              </w:rPr>
              <w:t>1.10.3</w:t>
            </w:r>
          </w:p>
        </w:tc>
        <w:tc>
          <w:tcPr>
            <w:tcW w:w="1746" w:type="dxa"/>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746" w:type="dxa"/>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vAlign w:val="center"/>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746" w:type="dxa"/>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vAlign w:val="center"/>
          </w:tcPr>
          <w:p>
            <w:pPr>
              <w:autoSpaceDE w:val="0"/>
              <w:autoSpaceDN w:val="0"/>
              <w:adjustRightInd w:val="0"/>
              <w:spacing w:line="340" w:lineRule="exac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746" w:type="dxa"/>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vAlign w:val="center"/>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rPr>
                <w:rFonts w:hint="eastAsia" w:hAnsi="宋体" w:cs="宋体"/>
                <w:sz w:val="24"/>
                <w:szCs w:val="24"/>
              </w:rPr>
              <w:t>http://ggzy.xuchang.gov.cn/</w:t>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746" w:type="dxa"/>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746" w:type="dxa"/>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746" w:type="dxa"/>
            <w:vAlign w:val="center"/>
          </w:tcPr>
          <w:p>
            <w:pPr>
              <w:autoSpaceDE w:val="0"/>
              <w:autoSpaceDN w:val="0"/>
              <w:adjustRightInd w:val="0"/>
              <w:spacing w:line="340" w:lineRule="exact"/>
              <w:jc w:val="center"/>
              <w:rPr>
                <w:rFonts w:hAnsi="宋体"/>
                <w:bCs/>
                <w:sz w:val="24"/>
                <w:szCs w:val="22"/>
              </w:rPr>
            </w:pPr>
            <w:r>
              <w:rPr>
                <w:rFonts w:hint="eastAsia" w:hAnsi="宋体"/>
                <w:bCs/>
                <w:sz w:val="24"/>
                <w:szCs w:val="22"/>
              </w:rPr>
              <w:t>投标截止时间</w:t>
            </w:r>
          </w:p>
        </w:tc>
        <w:tc>
          <w:tcPr>
            <w:tcW w:w="7017" w:type="dxa"/>
            <w:vAlign w:val="center"/>
          </w:tcPr>
          <w:p>
            <w:pPr>
              <w:autoSpaceDE w:val="0"/>
              <w:autoSpaceDN w:val="0"/>
              <w:adjustRightInd w:val="0"/>
              <w:spacing w:line="340" w:lineRule="exact"/>
              <w:rPr>
                <w:rFonts w:hAnsi="宋体"/>
                <w:bCs/>
                <w:sz w:val="24"/>
                <w:szCs w:val="22"/>
              </w:rPr>
            </w:pPr>
            <w:r>
              <w:rPr>
                <w:rFonts w:hint="eastAsia" w:hAnsi="宋体"/>
                <w:bCs/>
                <w:sz w:val="24"/>
                <w:szCs w:val="22"/>
                <w:lang w:eastAsia="zh-CN"/>
              </w:rPr>
              <w:t>2020年</w:t>
            </w:r>
            <w:r>
              <w:rPr>
                <w:rFonts w:hint="eastAsia" w:hAnsi="宋体"/>
                <w:bCs/>
                <w:sz w:val="24"/>
                <w:szCs w:val="22"/>
                <w:lang w:val="en-US" w:eastAsia="zh-CN"/>
              </w:rPr>
              <w:t>4</w:t>
            </w:r>
            <w:r>
              <w:rPr>
                <w:rFonts w:hint="eastAsia" w:hAnsi="宋体"/>
                <w:bCs/>
                <w:sz w:val="24"/>
                <w:szCs w:val="22"/>
                <w:lang w:eastAsia="zh-CN"/>
              </w:rPr>
              <w:t>月</w:t>
            </w:r>
            <w:r>
              <w:rPr>
                <w:rFonts w:hint="eastAsia" w:hAnsi="宋体"/>
                <w:bCs/>
                <w:sz w:val="24"/>
                <w:szCs w:val="22"/>
                <w:lang w:val="en-US" w:eastAsia="zh-CN"/>
              </w:rPr>
              <w:t>17</w:t>
            </w:r>
            <w:r>
              <w:rPr>
                <w:rFonts w:hint="eastAsia" w:hAnsi="宋体"/>
                <w:bCs/>
                <w:sz w:val="24"/>
                <w:szCs w:val="22"/>
                <w:lang w:eastAsia="zh-CN"/>
              </w:rPr>
              <w:t>日</w:t>
            </w:r>
            <w:r>
              <w:rPr>
                <w:rFonts w:hint="eastAsia" w:hAnsi="宋体"/>
                <w:bCs/>
                <w:sz w:val="24"/>
                <w:szCs w:val="22"/>
                <w:lang w:val="en-US" w:eastAsia="zh-CN"/>
              </w:rPr>
              <w:t>9</w:t>
            </w:r>
            <w:r>
              <w:rPr>
                <w:rFonts w:hint="eastAsia" w:hAnsi="宋体"/>
                <w:bCs/>
                <w:sz w:val="24"/>
                <w:szCs w:val="22"/>
                <w:lang w:eastAsia="zh-CN"/>
              </w:rPr>
              <w:t>时</w:t>
            </w:r>
            <w:r>
              <w:rPr>
                <w:rFonts w:hint="eastAsia" w:hAnsi="宋体"/>
                <w:bCs/>
                <w:sz w:val="24"/>
                <w:szCs w:val="22"/>
                <w:lang w:val="en-US" w:eastAsia="zh-CN"/>
              </w:rPr>
              <w:t>30</w:t>
            </w:r>
            <w:r>
              <w:rPr>
                <w:rFonts w:hint="eastAsia" w:hAnsi="宋体"/>
                <w:bCs/>
                <w:sz w:val="24"/>
                <w:szCs w:val="22"/>
                <w:lang w:eastAsia="zh-CN"/>
              </w:rPr>
              <w:t>分</w:t>
            </w:r>
            <w:r>
              <w:rPr>
                <w:rFonts w:hint="eastAsia" w:hAnsi="宋体"/>
                <w:bCs/>
                <w:sz w:val="24"/>
                <w:szCs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746" w:type="dxa"/>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746" w:type="dxa"/>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746" w:type="dxa"/>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11" w:type="dxa"/>
            <w:vAlign w:val="center"/>
          </w:tcPr>
          <w:p>
            <w:pPr>
              <w:autoSpaceDE w:val="0"/>
              <w:autoSpaceDN w:val="0"/>
              <w:adjustRightInd w:val="0"/>
              <w:spacing w:line="420" w:lineRule="exact"/>
              <w:jc w:val="center"/>
              <w:rPr>
                <w:rFonts w:hAnsi="宋体" w:cs="黑体"/>
                <w:sz w:val="24"/>
              </w:rPr>
            </w:pPr>
            <w:bookmarkStart w:id="3" w:name="OLE_LINK3" w:colFirst="0" w:colLast="2"/>
            <w:bookmarkStart w:id="4" w:name="_Hlk424659721"/>
            <w:bookmarkStart w:id="5" w:name="OLE_LINK4" w:colFirst="0" w:colLast="2"/>
            <w:r>
              <w:rPr>
                <w:rFonts w:hAnsi="宋体" w:cs="TimesNewRomanPSMT"/>
                <w:sz w:val="24"/>
              </w:rPr>
              <w:t>3.4.1</w:t>
            </w:r>
          </w:p>
        </w:tc>
        <w:tc>
          <w:tcPr>
            <w:tcW w:w="1746" w:type="dxa"/>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3"/>
      <w:bookmarkEnd w:id="4"/>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1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746" w:type="dxa"/>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近年，指2016、2017、2018年。</w:t>
            </w:r>
            <w:r>
              <w:rPr>
                <w:rFonts w:hint="eastAsia"/>
                <w:sz w:val="24"/>
                <w:szCs w:val="24"/>
              </w:rPr>
              <w:t>（若公司成立未满三年，需提供从成立开始从事经营活动至今的年度财务状况）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746" w:type="dxa"/>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近年，指2017年1月1日至今。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11"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746" w:type="dxa"/>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746" w:type="dxa"/>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746"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签字或盖章</w:t>
            </w:r>
          </w:p>
          <w:p>
            <w:pPr>
              <w:autoSpaceDE w:val="0"/>
              <w:autoSpaceDN w:val="0"/>
              <w:adjustRightInd w:val="0"/>
              <w:spacing w:line="420" w:lineRule="exact"/>
              <w:jc w:val="center"/>
              <w:rPr>
                <w:rFonts w:hAnsi="宋体" w:cs="黑体"/>
                <w:sz w:val="24"/>
              </w:rPr>
            </w:pPr>
            <w:r>
              <w:rPr>
                <w:rFonts w:hint="eastAsia" w:hAnsi="宋体" w:cs="仿宋_GB2312"/>
                <w:sz w:val="24"/>
              </w:rPr>
              <w:t>要求</w:t>
            </w:r>
          </w:p>
        </w:tc>
        <w:tc>
          <w:tcPr>
            <w:tcW w:w="7017" w:type="dxa"/>
            <w:vAlign w:val="center"/>
          </w:tcPr>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746"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360" w:lineRule="auto"/>
              <w:jc w:val="left"/>
              <w:rPr>
                <w:rFonts w:hint="eastAsia"/>
                <w:sz w:val="24"/>
                <w:szCs w:val="24"/>
              </w:rPr>
            </w:pPr>
            <w:r>
              <w:rPr>
                <w:rFonts w:hint="eastAsia"/>
                <w:sz w:val="24"/>
                <w:szCs w:val="24"/>
              </w:rPr>
              <w:t>电子投标文件</w:t>
            </w:r>
          </w:p>
          <w:p>
            <w:pPr>
              <w:autoSpaceDE w:val="0"/>
              <w:autoSpaceDN w:val="0"/>
              <w:adjustRightInd w:val="0"/>
              <w:spacing w:line="360" w:lineRule="auto"/>
              <w:ind w:firstLine="480" w:firstLineChars="200"/>
              <w:jc w:val="left"/>
              <w:rPr>
                <w:rFonts w:hint="eastAsia"/>
                <w:sz w:val="24"/>
                <w:szCs w:val="24"/>
              </w:rPr>
            </w:pPr>
            <w:r>
              <w:rPr>
                <w:rFonts w:hint="eastAsia"/>
                <w:sz w:val="24"/>
                <w:szCs w:val="24"/>
              </w:rPr>
              <w:t>成功上传至【全国公共资源交易平台（河南省·许昌市）】公共资源交易系统电子投标文件1份（文件格式为：XX公司XXX项目编号.file）。</w:t>
            </w:r>
          </w:p>
          <w:p>
            <w:pPr>
              <w:spacing w:line="460" w:lineRule="exact"/>
              <w:rPr>
                <w:rFonts w:hAnsi="宋体" w:cs="仿宋_GB2312"/>
                <w:sz w:val="24"/>
              </w:rPr>
            </w:pPr>
            <w:r>
              <w:rPr>
                <w:rFonts w:hint="eastAsia"/>
                <w:b/>
                <w:sz w:val="24"/>
                <w:szCs w:val="24"/>
              </w:rPr>
              <w:t>注:投标人提交的电子投标文件，必须是通过“许昌投标文件制作系统SEARUN 最新版本”制作，并经过签章和加密后生成的电子投标文件。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746" w:type="dxa"/>
            <w:vAlign w:val="center"/>
          </w:tcPr>
          <w:p>
            <w:pPr>
              <w:autoSpaceDE w:val="0"/>
              <w:autoSpaceDN w:val="0"/>
              <w:adjustRightInd w:val="0"/>
              <w:spacing w:line="420" w:lineRule="exact"/>
              <w:jc w:val="center"/>
              <w:rPr>
                <w:rFonts w:hAnsi="宋体" w:cs="黑体"/>
                <w:b/>
                <w:bCs/>
                <w:sz w:val="24"/>
              </w:rPr>
            </w:pPr>
            <w:r>
              <w:rPr>
                <w:rFonts w:hint="eastAsia" w:hAnsi="宋体"/>
                <w:b/>
                <w:bCs/>
                <w:color w:val="000000"/>
                <w:sz w:val="24"/>
              </w:rPr>
              <w:t>本项目是否采用不见面开标</w:t>
            </w:r>
          </w:p>
        </w:tc>
        <w:tc>
          <w:tcPr>
            <w:tcW w:w="7017" w:type="dxa"/>
            <w:vAlign w:val="center"/>
          </w:tcPr>
          <w:p>
            <w:pPr>
              <w:autoSpaceDE w:val="0"/>
              <w:autoSpaceDN w:val="0"/>
              <w:adjustRightInd w:val="0"/>
              <w:spacing w:line="360" w:lineRule="auto"/>
              <w:rPr>
                <w:rFonts w:ascii="新宋体" w:hAnsi="新宋体"/>
                <w:b/>
                <w:bCs/>
                <w:sz w:val="24"/>
              </w:rPr>
            </w:pPr>
            <w:r>
              <w:rPr>
                <w:rFonts w:hint="eastAsia" w:hAnsi="宋体"/>
                <w:b/>
                <w:bCs/>
                <w:color w:val="000000"/>
                <w:sz w:val="24"/>
              </w:rPr>
              <w:t>本项目采用不见面开标。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746"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2"/>
              </w:numPr>
              <w:tabs>
                <w:tab w:val="left" w:pos="0"/>
                <w:tab w:val="clear" w:pos="360"/>
              </w:tabs>
              <w:spacing w:line="288" w:lineRule="auto"/>
              <w:ind w:left="0" w:hanging="648"/>
              <w:rPr>
                <w:sz w:val="24"/>
                <w:u w:val="single"/>
              </w:rPr>
            </w:pPr>
            <w:r>
              <w:rPr>
                <w:rFonts w:hint="eastAsia" w:hAnsi="宋体" w:cs="仿宋_GB2312"/>
                <w:sz w:val="24"/>
                <w:szCs w:val="22"/>
              </w:rPr>
              <w:t>电子投标文件递交地点：电子投标文件应在招标文件规定的投标文件提交截止时间（开标时间）之前成功提交至【全国公共资源交易平台(河南省▪许昌市)】公共资源交易系统（http://221.14.6.70:8088/ggzy/）。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746"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746"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开标</w:t>
            </w:r>
          </w:p>
          <w:p>
            <w:pPr>
              <w:autoSpaceDE w:val="0"/>
              <w:autoSpaceDN w:val="0"/>
              <w:adjustRightInd w:val="0"/>
              <w:spacing w:line="420" w:lineRule="exact"/>
              <w:jc w:val="center"/>
              <w:rPr>
                <w:rFonts w:hAnsi="宋体" w:cs="黑体"/>
                <w:sz w:val="24"/>
              </w:rPr>
            </w:pPr>
            <w:r>
              <w:rPr>
                <w:rFonts w:hint="eastAsia" w:hAnsi="宋体" w:cs="仿宋_GB2312"/>
                <w:sz w:val="24"/>
              </w:rPr>
              <w:t>时间和地点</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rPr>
                <w:rFonts w:hAnsi="宋体" w:cs="黑体"/>
                <w:sz w:val="24"/>
              </w:rPr>
            </w:pPr>
            <w:r>
              <w:rPr>
                <w:rFonts w:hint="eastAsia" w:hAnsi="宋体" w:cs="仿宋_GB2312"/>
                <w:sz w:val="24"/>
              </w:rPr>
              <w:t>开标地点：</w:t>
            </w:r>
            <w:r>
              <w:rPr>
                <w:rFonts w:hint="eastAsia" w:hAnsi="宋体" w:cs="仿宋_GB2312"/>
                <w:sz w:val="24"/>
                <w:szCs w:val="22"/>
              </w:rPr>
              <w:t>许昌市建安区新元大道</w:t>
            </w:r>
            <w:r>
              <w:rPr>
                <w:rFonts w:hint="eastAsia" w:hAnsi="宋体" w:cs="仿宋_GB2312"/>
                <w:sz w:val="24"/>
                <w:szCs w:val="22"/>
                <w:lang w:eastAsia="zh-CN"/>
              </w:rPr>
              <w:t>兴业大厦4楼开标一室</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746"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746"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sz w:val="24"/>
              </w:rPr>
              <w:t>评标委员会构成：5人，从河南省综合评标专家库中随机抽取4人和招标人代表1人（其中注册造价工程师不少于2人）。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746" w:type="dxa"/>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7.4</w:t>
            </w:r>
          </w:p>
        </w:tc>
        <w:tc>
          <w:tcPr>
            <w:tcW w:w="1746" w:type="dxa"/>
            <w:vAlign w:val="center"/>
          </w:tcPr>
          <w:p>
            <w:pPr>
              <w:autoSpaceDE w:val="0"/>
              <w:autoSpaceDN w:val="0"/>
              <w:adjustRightInd w:val="0"/>
              <w:jc w:val="center"/>
              <w:rPr>
                <w:rFonts w:hAnsi="宋体" w:cs="仿宋_GB2312"/>
                <w:sz w:val="24"/>
              </w:rPr>
            </w:pPr>
            <w:r>
              <w:rPr>
                <w:rFonts w:hint="eastAsia" w:hAnsi="宋体" w:cs="仿宋_GB2312"/>
                <w:sz w:val="24"/>
              </w:rPr>
              <w:t>履约保证金</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szCs w:val="22"/>
              </w:rPr>
              <w:t>中标合同金额的</w:t>
            </w:r>
            <w:r>
              <w:rPr>
                <w:rFonts w:hint="eastAsia" w:hAnsi="宋体" w:cs="仿宋_GB2312"/>
                <w:sz w:val="24"/>
                <w:szCs w:val="22"/>
                <w:lang w:val="en-US" w:eastAsia="zh-CN"/>
              </w:rPr>
              <w:t>5</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4" w:type="dxa"/>
            <w:gridSpan w:val="3"/>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874" w:type="dxa"/>
            <w:gridSpan w:val="3"/>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1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746"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11"/>
              <w:tblW w:w="7085" w:type="dxa"/>
              <w:jc w:val="center"/>
              <w:tblLayout w:type="fixed"/>
              <w:tblCellMar>
                <w:top w:w="0" w:type="dxa"/>
                <w:left w:w="108" w:type="dxa"/>
                <w:bottom w:w="0" w:type="dxa"/>
                <w:right w:w="108" w:type="dxa"/>
              </w:tblCellMar>
            </w:tblPr>
            <w:tblGrid>
              <w:gridCol w:w="7085"/>
            </w:tblGrid>
            <w:tr>
              <w:tblPrEx>
                <w:tblCellMar>
                  <w:top w:w="0" w:type="dxa"/>
                  <w:left w:w="108" w:type="dxa"/>
                  <w:bottom w:w="0" w:type="dxa"/>
                  <w:right w:w="108" w:type="dxa"/>
                </w:tblCellMar>
              </w:tblPrEx>
              <w:trPr>
                <w:trHeight w:val="9200"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eastAsia="zh-CN"/>
                    </w:rPr>
                    <w:t>壹佰零伍万贰仟肆佰贰拾贰元壹角壹分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eastAsia="zh-CN"/>
                    </w:rPr>
                    <w:t>1052422.11</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若不提出，则视为投标人对招标人公布的工程量清单无异议，中标后因此造成的工程量的增加，由中标人承担。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3"/>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1" w:type="dxa"/>
            <w:vAlign w:val="center"/>
          </w:tcPr>
          <w:p>
            <w:pPr>
              <w:spacing w:line="312" w:lineRule="auto"/>
              <w:rPr>
                <w:sz w:val="24"/>
              </w:rPr>
            </w:pPr>
          </w:p>
        </w:tc>
        <w:tc>
          <w:tcPr>
            <w:tcW w:w="1746" w:type="dxa"/>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3"/>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1" w:type="dxa"/>
            <w:vAlign w:val="center"/>
          </w:tcPr>
          <w:p>
            <w:pPr>
              <w:spacing w:line="312" w:lineRule="auto"/>
              <w:rPr>
                <w:rFonts w:ascii="新宋体" w:hAnsi="新宋体" w:eastAsia="新宋体"/>
                <w:b/>
                <w:sz w:val="24"/>
              </w:rPr>
            </w:pPr>
          </w:p>
        </w:tc>
        <w:tc>
          <w:tcPr>
            <w:tcW w:w="8763" w:type="dxa"/>
            <w:gridSpan w:val="2"/>
            <w:vAlign w:val="center"/>
          </w:tcPr>
          <w:p>
            <w:pPr>
              <w:spacing w:line="312" w:lineRule="auto"/>
              <w:rPr>
                <w:rFonts w:ascii="新宋体" w:hAnsi="新宋体" w:eastAsia="新宋体"/>
                <w:b/>
                <w:sz w:val="24"/>
              </w:rPr>
            </w:pPr>
            <w:r>
              <w:rPr>
                <w:rFonts w:hint="eastAsia"/>
                <w:b/>
                <w:bCs/>
                <w:sz w:val="24"/>
                <w:szCs w:val="24"/>
              </w:rPr>
              <w:t>投标人准时在网上参加投标、开标活动。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3"/>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11" w:type="dxa"/>
            <w:vAlign w:val="center"/>
          </w:tcPr>
          <w:p>
            <w:pPr>
              <w:spacing w:line="312" w:lineRule="auto"/>
              <w:rPr>
                <w:sz w:val="24"/>
              </w:rPr>
            </w:pPr>
          </w:p>
        </w:tc>
        <w:tc>
          <w:tcPr>
            <w:tcW w:w="8763" w:type="dxa"/>
            <w:gridSpan w:val="2"/>
            <w:vAlign w:val="center"/>
          </w:tcPr>
          <w:p>
            <w:pPr>
              <w:spacing w:line="440" w:lineRule="exact"/>
              <w:rPr>
                <w:rFonts w:ascii="新宋体" w:hAnsi="新宋体" w:eastAsia="新宋体"/>
                <w:b/>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3"/>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vAlign w:val="center"/>
          </w:tcPr>
          <w:p>
            <w:pPr>
              <w:spacing w:line="312" w:lineRule="auto"/>
              <w:rPr>
                <w:rFonts w:ascii="新宋体" w:hAnsi="新宋体" w:eastAsia="新宋体"/>
                <w:sz w:val="24"/>
              </w:rPr>
            </w:pPr>
          </w:p>
        </w:tc>
        <w:tc>
          <w:tcPr>
            <w:tcW w:w="8763" w:type="dxa"/>
            <w:gridSpan w:val="2"/>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3"/>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vAlign w:val="center"/>
          </w:tcPr>
          <w:p>
            <w:pPr>
              <w:spacing w:line="312" w:lineRule="auto"/>
              <w:rPr>
                <w:rFonts w:ascii="新宋体" w:hAnsi="新宋体" w:eastAsia="新宋体"/>
                <w:sz w:val="24"/>
              </w:rPr>
            </w:pPr>
          </w:p>
        </w:tc>
        <w:tc>
          <w:tcPr>
            <w:tcW w:w="8763" w:type="dxa"/>
            <w:gridSpan w:val="2"/>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874" w:type="dxa"/>
            <w:gridSpan w:val="3"/>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111" w:type="dxa"/>
            <w:vAlign w:val="center"/>
          </w:tcPr>
          <w:p>
            <w:pPr>
              <w:spacing w:line="312" w:lineRule="auto"/>
              <w:rPr>
                <w:sz w:val="24"/>
              </w:rPr>
            </w:pPr>
          </w:p>
        </w:tc>
        <w:tc>
          <w:tcPr>
            <w:tcW w:w="8763" w:type="dxa"/>
            <w:gridSpan w:val="2"/>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4" w:type="dxa"/>
            <w:gridSpan w:val="3"/>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11" w:type="dxa"/>
            <w:vAlign w:val="center"/>
          </w:tcPr>
          <w:p>
            <w:pPr>
              <w:spacing w:line="312" w:lineRule="auto"/>
              <w:rPr>
                <w:sz w:val="24"/>
              </w:rPr>
            </w:pPr>
          </w:p>
        </w:tc>
        <w:tc>
          <w:tcPr>
            <w:tcW w:w="8763" w:type="dxa"/>
            <w:gridSpan w:val="2"/>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3"/>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vAlign w:val="center"/>
          </w:tcPr>
          <w:p>
            <w:pPr>
              <w:spacing w:line="312" w:lineRule="auto"/>
              <w:rPr>
                <w:sz w:val="24"/>
              </w:rPr>
            </w:pPr>
          </w:p>
        </w:tc>
        <w:tc>
          <w:tcPr>
            <w:tcW w:w="8763" w:type="dxa"/>
            <w:gridSpan w:val="2"/>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4" w:type="dxa"/>
            <w:gridSpan w:val="3"/>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3"/>
            <w:vAlign w:val="center"/>
          </w:tcPr>
          <w:p>
            <w:pPr>
              <w:adjustRightInd w:val="0"/>
              <w:snapToGrid w:val="0"/>
              <w:spacing w:line="420" w:lineRule="exact"/>
              <w:rPr>
                <w:rFonts w:hAnsi="宋体" w:cs="仿宋_GB2312"/>
                <w:sz w:val="24"/>
              </w:rPr>
            </w:pPr>
            <w:bookmarkStart w:id="6" w:name="_Toc283559965"/>
            <w:bookmarkStart w:id="7" w:name="_Toc225243456"/>
            <w:r>
              <w:rPr>
                <w:rFonts w:hint="eastAsia" w:hAnsi="宋体" w:cs="宋体"/>
                <w:sz w:val="24"/>
              </w:rPr>
              <w:t>10.11.1 投标文件的拒收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vAlign w:val="center"/>
          </w:tcPr>
          <w:p>
            <w:pPr>
              <w:spacing w:line="312" w:lineRule="auto"/>
              <w:rPr>
                <w:sz w:val="24"/>
              </w:rPr>
            </w:pPr>
          </w:p>
        </w:tc>
        <w:tc>
          <w:tcPr>
            <w:tcW w:w="8763" w:type="dxa"/>
            <w:gridSpan w:val="2"/>
            <w:vAlign w:val="center"/>
          </w:tcPr>
          <w:p>
            <w:pPr>
              <w:autoSpaceDE w:val="0"/>
              <w:autoSpaceDN w:val="0"/>
              <w:adjustRightInd w:val="0"/>
              <w:spacing w:line="360" w:lineRule="auto"/>
              <w:jc w:val="left"/>
              <w:rPr>
                <w:rFonts w:hint="eastAsia"/>
                <w:b/>
                <w:bCs/>
                <w:sz w:val="24"/>
                <w:szCs w:val="24"/>
              </w:rPr>
            </w:pPr>
            <w:r>
              <w:rPr>
                <w:rFonts w:hint="eastAsia"/>
                <w:b/>
                <w:bCs/>
                <w:sz w:val="24"/>
                <w:szCs w:val="24"/>
              </w:rPr>
              <w:t>1、未成功上传的投标文件；</w:t>
            </w:r>
          </w:p>
          <w:p>
            <w:pPr>
              <w:keepNext w:val="0"/>
              <w:keepLines w:val="0"/>
              <w:pageBreakBefore w:val="0"/>
              <w:widowControl w:val="0"/>
              <w:kinsoku/>
              <w:wordWrap/>
              <w:overflowPunct/>
              <w:topLinePunct w:val="0"/>
              <w:bidi w:val="0"/>
              <w:adjustRightInd w:val="0"/>
              <w:snapToGrid w:val="0"/>
              <w:spacing w:line="360" w:lineRule="exact"/>
              <w:textAlignment w:val="auto"/>
            </w:pPr>
            <w:r>
              <w:rPr>
                <w:rFonts w:hint="eastAsia" w:hAnsi="宋体"/>
                <w:b/>
                <w:bCs/>
                <w:sz w:val="24"/>
              </w:rPr>
              <w:t>2、未进行解密或未按要求成功解密的投标文件。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3"/>
            <w:vAlign w:val="center"/>
          </w:tcPr>
          <w:p>
            <w:pPr>
              <w:keepNext w:val="0"/>
              <w:keepLines w:val="0"/>
              <w:pageBreakBefore w:val="0"/>
              <w:widowControl w:val="0"/>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vAlign w:val="center"/>
          </w:tcPr>
          <w:p>
            <w:pPr>
              <w:spacing w:line="312" w:lineRule="auto"/>
              <w:rPr>
                <w:sz w:val="24"/>
              </w:rPr>
            </w:pPr>
          </w:p>
        </w:tc>
        <w:tc>
          <w:tcPr>
            <w:tcW w:w="8763" w:type="dxa"/>
            <w:gridSpan w:val="2"/>
            <w:vAlign w:val="center"/>
          </w:tcPr>
          <w:p>
            <w:pPr>
              <w:keepNext w:val="0"/>
              <w:keepLines w:val="0"/>
              <w:pageBreakBefore w:val="0"/>
              <w:widowControl w:val="0"/>
              <w:tabs>
                <w:tab w:val="left" w:pos="1213"/>
              </w:tabs>
              <w:kinsoku/>
              <w:wordWrap/>
              <w:overflowPunct/>
              <w:topLinePunct w:val="0"/>
              <w:bidi w:val="0"/>
              <w:adjustRightInd w:val="0"/>
              <w:snapToGrid w:val="0"/>
              <w:spacing w:line="360" w:lineRule="exact"/>
              <w:textAlignment w:val="auto"/>
              <w:rPr>
                <w:rFonts w:ascii="新宋体" w:hAnsi="新宋体" w:eastAsia="新宋体"/>
                <w:sz w:val="24"/>
                <w:szCs w:val="22"/>
              </w:rPr>
            </w:pPr>
            <w:r>
              <w:rPr>
                <w:rFonts w:hint="eastAsia" w:hAnsi="宋体" w:cs="宋体"/>
                <w:b/>
                <w:bCs/>
                <w:sz w:val="24"/>
                <w:szCs w:val="24"/>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4"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111" w:type="dxa"/>
            <w:vAlign w:val="center"/>
          </w:tcPr>
          <w:p>
            <w:pPr>
              <w:spacing w:line="312" w:lineRule="auto"/>
              <w:rPr>
                <w:sz w:val="24"/>
              </w:rPr>
            </w:pPr>
          </w:p>
        </w:tc>
        <w:tc>
          <w:tcPr>
            <w:tcW w:w="8763" w:type="dxa"/>
            <w:gridSpan w:val="2"/>
            <w:vAlign w:val="center"/>
          </w:tcPr>
          <w:p>
            <w:pPr>
              <w:autoSpaceDE w:val="0"/>
              <w:autoSpaceDN w:val="0"/>
              <w:adjustRightInd w:val="0"/>
              <w:spacing w:line="360" w:lineRule="auto"/>
              <w:jc w:val="left"/>
              <w:rPr>
                <w:rFonts w:hint="eastAsia"/>
                <w:sz w:val="24"/>
                <w:szCs w:val="24"/>
              </w:rPr>
            </w:pPr>
            <w:r>
              <w:rPr>
                <w:rFonts w:hint="eastAsia"/>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pacing w:line="360" w:lineRule="auto"/>
              <w:jc w:val="left"/>
              <w:rPr>
                <w:rFonts w:hint="eastAsia"/>
                <w:sz w:val="24"/>
                <w:szCs w:val="24"/>
              </w:rPr>
            </w:pPr>
            <w:r>
              <w:rPr>
                <w:rFonts w:hint="eastAsia"/>
                <w:sz w:val="24"/>
                <w:szCs w:val="24"/>
              </w:rPr>
              <w:t>2、潜在投标人如对招标文件有异议，请在规定时间内在《全国公共资源交易平台（河南省·许昌市）》公共资源交易系统中提出，以其他方式递交的异议不予接受。</w:t>
            </w:r>
          </w:p>
          <w:p>
            <w:pPr>
              <w:autoSpaceDE w:val="0"/>
              <w:autoSpaceDN w:val="0"/>
              <w:adjustRightInd w:val="0"/>
              <w:spacing w:line="360" w:lineRule="auto"/>
              <w:jc w:val="left"/>
              <w:rPr>
                <w:rFonts w:hint="eastAsia"/>
                <w:sz w:val="24"/>
                <w:szCs w:val="24"/>
              </w:rPr>
            </w:pPr>
            <w:r>
              <w:rPr>
                <w:rFonts w:hint="eastAsia"/>
                <w:sz w:val="24"/>
                <w:szCs w:val="24"/>
              </w:rPr>
              <w:t>3、投标人在投标截止时间前应随时关注《全国公共资源交易平台（河南省·许昌市）》公共资源交易系统发出的有关本项目的答疑、修改等相关内容。</w:t>
            </w:r>
          </w:p>
          <w:p>
            <w:pPr>
              <w:autoSpaceDE w:val="0"/>
              <w:autoSpaceDN w:val="0"/>
              <w:adjustRightInd w:val="0"/>
              <w:spacing w:line="360" w:lineRule="auto"/>
              <w:jc w:val="left"/>
              <w:rPr>
                <w:rFonts w:hint="eastAsia"/>
                <w:sz w:val="24"/>
                <w:szCs w:val="24"/>
              </w:rPr>
            </w:pPr>
            <w:r>
              <w:rPr>
                <w:rFonts w:hint="eastAsia"/>
                <w:sz w:val="24"/>
                <w:szCs w:val="24"/>
              </w:rPr>
              <w:t>4、投标文件依据最终的招标文件进行编制。如果招标文件发生变更，投标人应以招标人最终发出的电子招标文件为准，编制投标文件，务请投标人随时关注项目变更信息。</w:t>
            </w:r>
          </w:p>
          <w:p>
            <w:pPr>
              <w:autoSpaceDE w:val="0"/>
              <w:autoSpaceDN w:val="0"/>
              <w:adjustRightInd w:val="0"/>
              <w:spacing w:line="360" w:lineRule="auto"/>
              <w:jc w:val="left"/>
              <w:rPr>
                <w:rFonts w:hint="eastAsia"/>
                <w:sz w:val="24"/>
                <w:szCs w:val="24"/>
              </w:rPr>
            </w:pPr>
            <w:r>
              <w:rPr>
                <w:rFonts w:hint="eastAsia"/>
                <w:sz w:val="24"/>
                <w:szCs w:val="24"/>
              </w:rPr>
              <w:t>5、招标人及其代理机构需留存项目电子档案时，可在质疑期满后使用CA锁从交易平台自行下载。</w:t>
            </w:r>
          </w:p>
          <w:p>
            <w:pPr>
              <w:autoSpaceDE w:val="0"/>
              <w:autoSpaceDN w:val="0"/>
              <w:adjustRightInd w:val="0"/>
              <w:spacing w:line="360" w:lineRule="auto"/>
              <w:jc w:val="left"/>
              <w:rPr>
                <w:rFonts w:hint="eastAsia"/>
                <w:sz w:val="24"/>
                <w:szCs w:val="24"/>
              </w:rPr>
            </w:pPr>
            <w:r>
              <w:rPr>
                <w:rFonts w:hint="eastAsia"/>
                <w:sz w:val="24"/>
                <w:szCs w:val="24"/>
              </w:rPr>
              <w:t>6、商务标投标文件制作注意事项：</w:t>
            </w:r>
          </w:p>
          <w:p>
            <w:pPr>
              <w:autoSpaceDE w:val="0"/>
              <w:autoSpaceDN w:val="0"/>
              <w:adjustRightInd w:val="0"/>
              <w:spacing w:line="360" w:lineRule="auto"/>
              <w:jc w:val="left"/>
              <w:rPr>
                <w:rFonts w:hint="eastAsia"/>
                <w:sz w:val="24"/>
                <w:szCs w:val="24"/>
              </w:rPr>
            </w:pPr>
            <w:r>
              <w:rPr>
                <w:rFonts w:hint="eastAsia"/>
                <w:sz w:val="24"/>
                <w:szCs w:val="24"/>
              </w:rPr>
              <w:t>6.1 投标人登录《全国公共资源交易平台（河南省·许昌市）》公共资源交易系统下载“许昌投标文件制作系统SEARUN 最新版本” 和操作手册（工程项目），按招标文件要求制作商务标投标文件。</w:t>
            </w:r>
          </w:p>
          <w:p>
            <w:pPr>
              <w:autoSpaceDE w:val="0"/>
              <w:autoSpaceDN w:val="0"/>
              <w:adjustRightInd w:val="0"/>
              <w:spacing w:line="360" w:lineRule="auto"/>
              <w:jc w:val="left"/>
              <w:rPr>
                <w:rFonts w:hint="eastAsia"/>
                <w:sz w:val="24"/>
                <w:szCs w:val="24"/>
              </w:rPr>
            </w:pPr>
            <w:r>
              <w:rPr>
                <w:rFonts w:hint="eastAsia"/>
                <w:sz w:val="24"/>
                <w:szCs w:val="24"/>
              </w:rPr>
              <w:t>6.2 商务标投标文件制作技术咨询：0374-2961598。</w:t>
            </w:r>
          </w:p>
          <w:p>
            <w:pPr>
              <w:autoSpaceDE w:val="0"/>
              <w:autoSpaceDN w:val="0"/>
              <w:adjustRightInd w:val="0"/>
              <w:spacing w:line="360" w:lineRule="auto"/>
              <w:jc w:val="left"/>
              <w:rPr>
                <w:rFonts w:hint="eastAsia"/>
                <w:sz w:val="24"/>
                <w:szCs w:val="24"/>
              </w:rPr>
            </w:pPr>
            <w:r>
              <w:rPr>
                <w:rFonts w:hint="eastAsia"/>
                <w:sz w:val="24"/>
                <w:szCs w:val="24"/>
              </w:rPr>
              <w:t>6.3 投标人应在投标文件递交的截止时间之前通过【全国公共资源交易平台（河南省•许昌市）】公共资源交易系统（http://ggzy.xuchang.gov.cn）递交电子投标文件。</w:t>
            </w:r>
          </w:p>
          <w:p>
            <w:pPr>
              <w:autoSpaceDE w:val="0"/>
              <w:autoSpaceDN w:val="0"/>
              <w:adjustRightInd w:val="0"/>
              <w:spacing w:line="360" w:lineRule="auto"/>
              <w:jc w:val="left"/>
              <w:rPr>
                <w:rFonts w:hint="eastAsia"/>
                <w:sz w:val="24"/>
                <w:szCs w:val="24"/>
              </w:rPr>
            </w:pPr>
            <w:r>
              <w:rPr>
                <w:rFonts w:hint="eastAsia"/>
                <w:sz w:val="24"/>
                <w:szCs w:val="24"/>
              </w:rPr>
              <w:t>6.4 请投标人在上传电子投标文件时认真检查上传投标文件是否完整、正确。</w:t>
            </w:r>
          </w:p>
          <w:p>
            <w:pPr>
              <w:autoSpaceDE w:val="0"/>
              <w:autoSpaceDN w:val="0"/>
              <w:adjustRightInd w:val="0"/>
              <w:spacing w:line="360" w:lineRule="auto"/>
              <w:jc w:val="left"/>
              <w:rPr>
                <w:rFonts w:hint="eastAsia"/>
                <w:sz w:val="24"/>
                <w:szCs w:val="24"/>
              </w:rPr>
            </w:pPr>
            <w:r>
              <w:rPr>
                <w:rFonts w:hint="eastAsia"/>
                <w:sz w:val="24"/>
                <w:szCs w:val="24"/>
              </w:rPr>
              <w:t>6.5 加密电子投标文件逾期上传的，招标人不予受理。</w:t>
            </w:r>
          </w:p>
          <w:p>
            <w:pPr>
              <w:autoSpaceDE w:val="0"/>
              <w:autoSpaceDN w:val="0"/>
              <w:adjustRightInd w:val="0"/>
              <w:spacing w:line="360" w:lineRule="auto"/>
              <w:jc w:val="left"/>
              <w:rPr>
                <w:rFonts w:hint="eastAsia"/>
                <w:sz w:val="24"/>
                <w:szCs w:val="24"/>
              </w:rPr>
            </w:pPr>
            <w:r>
              <w:rPr>
                <w:rFonts w:hint="eastAsia"/>
                <w:sz w:val="24"/>
                <w:szCs w:val="24"/>
              </w:rPr>
              <w:t>6.6 投标人采用银行转账方式提交投标保证金的，应在投标文件递交的截止时间之前按程序完成投标保证金绑定。</w:t>
            </w:r>
          </w:p>
          <w:p>
            <w:pPr>
              <w:autoSpaceDE w:val="0"/>
              <w:autoSpaceDN w:val="0"/>
              <w:adjustRightInd w:val="0"/>
              <w:spacing w:line="360" w:lineRule="auto"/>
              <w:jc w:val="left"/>
              <w:rPr>
                <w:rFonts w:hint="eastAsia"/>
                <w:sz w:val="24"/>
                <w:szCs w:val="24"/>
              </w:rPr>
            </w:pPr>
            <w:r>
              <w:rPr>
                <w:rFonts w:hint="eastAsia"/>
                <w:sz w:val="24"/>
                <w:szCs w:val="24"/>
              </w:rPr>
              <w:t>7、投标人需提前熟悉招标文件相关事项及《不见面开标流程操作手册》，并设置不见面开标浏览器（设置流程详见《不见面开标流程操作手册》）。</w:t>
            </w:r>
          </w:p>
          <w:p>
            <w:pPr>
              <w:autoSpaceDE w:val="0"/>
              <w:autoSpaceDN w:val="0"/>
              <w:adjustRightInd w:val="0"/>
              <w:spacing w:line="360" w:lineRule="auto"/>
              <w:jc w:val="left"/>
              <w:rPr>
                <w:rFonts w:hint="eastAsia"/>
                <w:sz w:val="24"/>
                <w:szCs w:val="24"/>
              </w:rPr>
            </w:pPr>
            <w:r>
              <w:rPr>
                <w:rFonts w:hint="eastAsia"/>
                <w:sz w:val="24"/>
                <w:szCs w:val="24"/>
              </w:rPr>
              <w:t>8、投标人上传、解密投标文件需使用同一个CA数字证书，需确保用于解密的CA数字证书在有效期内、可正常使用，并在规定时间内完成电子投标文件解密。评标时仅以成功上传、解密的投标文件为准。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adjustRightInd w:val="0"/>
              <w:spacing w:line="360" w:lineRule="auto"/>
              <w:jc w:val="left"/>
              <w:rPr>
                <w:rFonts w:hint="eastAsia"/>
                <w:sz w:val="24"/>
                <w:szCs w:val="24"/>
              </w:rPr>
            </w:pPr>
            <w:r>
              <w:rPr>
                <w:rFonts w:hint="eastAsia"/>
                <w:sz w:val="24"/>
                <w:szCs w:val="24"/>
              </w:rPr>
              <w:t>9、对开标过程有关内容有异议（质疑）的，投标人可在本项目的不见面开标大厅通过“文字互动”功能或“新增质疑”处提出异议（质疑），招标人（代理机构）及时进行线上答复。</w:t>
            </w:r>
          </w:p>
          <w:p>
            <w:pPr>
              <w:autoSpaceDE w:val="0"/>
              <w:autoSpaceDN w:val="0"/>
              <w:adjustRightInd w:val="0"/>
              <w:spacing w:line="360" w:lineRule="auto"/>
              <w:jc w:val="left"/>
              <w:rPr>
                <w:rFonts w:hint="eastAsia"/>
                <w:sz w:val="24"/>
                <w:szCs w:val="24"/>
              </w:rPr>
            </w:pPr>
            <w:r>
              <w:rPr>
                <w:rFonts w:hint="eastAsia"/>
                <w:sz w:val="24"/>
                <w:szCs w:val="24"/>
              </w:rPr>
              <w:t>不见面开标活动结束时，投标人应在《开标记录表》上进行电子签章，未进行电子签章的视为对开标结果无异议。</w:t>
            </w:r>
          </w:p>
          <w:p>
            <w:pPr>
              <w:autoSpaceDE w:val="0"/>
              <w:autoSpaceDN w:val="0"/>
              <w:adjustRightInd w:val="0"/>
              <w:spacing w:line="360" w:lineRule="auto"/>
              <w:jc w:val="left"/>
              <w:rPr>
                <w:rFonts w:hint="eastAsia"/>
                <w:sz w:val="24"/>
                <w:szCs w:val="24"/>
              </w:rPr>
            </w:pPr>
            <w:r>
              <w:rPr>
                <w:rFonts w:hint="eastAsia"/>
                <w:sz w:val="24"/>
                <w:szCs w:val="24"/>
              </w:rPr>
              <w:t>10、</w:t>
            </w:r>
            <w:r>
              <w:rPr>
                <w:rFonts w:hint="eastAsia" w:hAnsi="宋体"/>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p>
            <w:pPr>
              <w:keepNext w:val="0"/>
              <w:keepLines w:val="0"/>
              <w:pageBreakBefore w:val="0"/>
              <w:widowControl w:val="0"/>
              <w:kinsoku/>
              <w:wordWrap/>
              <w:overflowPunct/>
              <w:topLinePunct w:val="0"/>
              <w:autoSpaceDE w:val="0"/>
              <w:autoSpaceDN w:val="0"/>
              <w:bidi w:val="0"/>
              <w:adjustRightInd w:val="0"/>
              <w:snapToGrid w:val="0"/>
              <w:spacing w:line="360" w:lineRule="exact"/>
              <w:jc w:val="left"/>
              <w:textAlignment w:val="auto"/>
              <w:outlineLvl w:val="0"/>
              <w:rPr>
                <w:rFonts w:hAnsi="宋体" w:cs="仿宋_GB2312"/>
                <w:sz w:val="24"/>
              </w:rPr>
            </w:pPr>
            <w:r>
              <w:rPr>
                <w:rFonts w:hint="eastAsia" w:hAnsi="宋体"/>
                <w:b/>
                <w:sz w:val="24"/>
                <w:szCs w:val="24"/>
              </w:rPr>
              <w:t>11、按照《关于推进全流程电子化交易和在线监管工作有关问题的通知》（许公管办[2019]3号）规定：不同投标人电子投标文件制作硬件特征码（网卡MAC地址、CPU序号、硬盘序列号）均一致时，视为“不同投标人的投标文件由同一单位或者个人编制”或“不同投标人委托同一单位或者个人办理投标事宜”，其投标无效；评审专家应严格按照要求查看“硬件特征码”相关信息并进行评审，在评审报告中显示“不同投标人电子投标文件制作硬件特征码”是否雷同的分析及判定结果。</w:t>
            </w:r>
          </w:p>
        </w:tc>
      </w:tr>
    </w:tbl>
    <w:p>
      <w:pPr>
        <w:autoSpaceDE w:val="0"/>
        <w:autoSpaceDN w:val="0"/>
        <w:spacing w:line="440" w:lineRule="exact"/>
        <w:jc w:val="left"/>
        <w:outlineLvl w:val="0"/>
        <w:rPr>
          <w:rFonts w:hAnsi="宋体" w:cs="宋体"/>
          <w:b/>
          <w:sz w:val="28"/>
          <w:szCs w:val="28"/>
        </w:rPr>
      </w:pPr>
      <w:bookmarkStart w:id="8"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1.2.3 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项目负责人</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9" w:name="_Toc179632552"/>
      <w:bookmarkStart w:id="10" w:name="_Toc152045535"/>
      <w:bookmarkStart w:id="11" w:name="_Toc152042311"/>
      <w:bookmarkStart w:id="12" w:name="_Toc144974503"/>
      <w:r>
        <w:rPr>
          <w:rFonts w:hint="eastAsia" w:hAnsi="宋体" w:cs="宋体"/>
          <w:b/>
          <w:sz w:val="24"/>
        </w:rPr>
        <w:t>1.5 费用承担</w:t>
      </w:r>
      <w:bookmarkEnd w:id="9"/>
      <w:bookmarkEnd w:id="10"/>
      <w:bookmarkEnd w:id="11"/>
      <w:bookmarkEnd w:id="12"/>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3" w:name="_Toc144974504"/>
      <w:bookmarkStart w:id="14" w:name="_Toc179632553"/>
      <w:bookmarkStart w:id="15" w:name="_Toc152042312"/>
      <w:bookmarkStart w:id="16" w:name="_Toc152045536"/>
      <w:r>
        <w:rPr>
          <w:rFonts w:hint="eastAsia" w:hAnsi="宋体" w:cs="宋体"/>
          <w:b/>
          <w:sz w:val="24"/>
        </w:rPr>
        <w:t>1.6 保密</w:t>
      </w:r>
      <w:bookmarkEnd w:id="13"/>
      <w:bookmarkEnd w:id="14"/>
      <w:bookmarkEnd w:id="15"/>
      <w:bookmarkEnd w:id="16"/>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7" w:name="_Toc144974505"/>
      <w:bookmarkStart w:id="18" w:name="_Toc152045537"/>
      <w:bookmarkStart w:id="19" w:name="_Toc179632554"/>
      <w:bookmarkStart w:id="20" w:name="_Toc152042313"/>
      <w:r>
        <w:rPr>
          <w:rFonts w:hint="eastAsia" w:hAnsi="宋体" w:cs="宋体"/>
          <w:b/>
          <w:sz w:val="24"/>
        </w:rPr>
        <w:t>1.7 语言</w:t>
      </w:r>
      <w:bookmarkEnd w:id="17"/>
      <w:r>
        <w:rPr>
          <w:rFonts w:hint="eastAsia" w:hAnsi="宋体" w:cs="宋体"/>
          <w:b/>
          <w:sz w:val="24"/>
        </w:rPr>
        <w:t>文字</w:t>
      </w:r>
      <w:bookmarkEnd w:id="18"/>
      <w:bookmarkEnd w:id="19"/>
      <w:bookmarkEnd w:id="2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1" w:name="_Toc179632555"/>
      <w:bookmarkStart w:id="22" w:name="_Toc152045538"/>
      <w:bookmarkStart w:id="23" w:name="_Toc152042314"/>
      <w:bookmarkStart w:id="24" w:name="_Toc144974506"/>
      <w:r>
        <w:rPr>
          <w:rFonts w:hint="eastAsia" w:hAnsi="宋体" w:cs="宋体"/>
          <w:b/>
          <w:sz w:val="24"/>
        </w:rPr>
        <w:t>1.8 计量单位</w:t>
      </w:r>
      <w:bookmarkEnd w:id="21"/>
      <w:bookmarkEnd w:id="22"/>
      <w:bookmarkEnd w:id="23"/>
      <w:bookmarkEnd w:id="2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8"/>
    </w:p>
    <w:p>
      <w:pPr>
        <w:autoSpaceDE w:val="0"/>
        <w:autoSpaceDN w:val="0"/>
        <w:spacing w:line="440" w:lineRule="exact"/>
        <w:ind w:firstLine="480" w:firstLineChars="200"/>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int="eastAsia" w:hAnsi="宋体" w:cs="宋体"/>
          <w:b/>
          <w:sz w:val="24"/>
        </w:rPr>
        <w:t>投标预备会</w:t>
      </w:r>
      <w:bookmarkEnd w:id="25"/>
    </w:p>
    <w:p>
      <w:pPr>
        <w:autoSpaceDE w:val="0"/>
        <w:autoSpaceDN w:val="0"/>
        <w:spacing w:line="450" w:lineRule="exact"/>
        <w:ind w:firstLine="480" w:firstLineChars="200"/>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int="eastAsia" w:hAnsi="宋体" w:cs="宋体"/>
          <w:b/>
          <w:sz w:val="24"/>
        </w:rPr>
        <w:t>分包</w:t>
      </w:r>
      <w:bookmarkEnd w:id="26"/>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int="eastAsia" w:hAnsi="宋体" w:cs="宋体"/>
          <w:b/>
          <w:sz w:val="24"/>
        </w:rPr>
        <w:t>偏离</w:t>
      </w:r>
      <w:bookmarkEnd w:id="27"/>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16"/>
        <w:spacing w:line="450" w:lineRule="exact"/>
        <w:jc w:val="both"/>
        <w:outlineLvl w:val="0"/>
        <w:rPr>
          <w:rFonts w:hAnsi="宋体"/>
          <w:b/>
          <w:color w:val="auto"/>
        </w:rPr>
      </w:pPr>
      <w:bookmarkStart w:id="28" w:name="_Toc283559951"/>
      <w:r>
        <w:rPr>
          <w:rFonts w:hAnsi="宋体"/>
          <w:b/>
          <w:color w:val="auto"/>
        </w:rPr>
        <w:t xml:space="preserve">2. </w:t>
      </w:r>
      <w:r>
        <w:rPr>
          <w:rFonts w:hint="eastAsia" w:hAnsi="宋体"/>
          <w:b/>
          <w:color w:val="auto"/>
        </w:rPr>
        <w:t>招标文件</w:t>
      </w:r>
      <w:bookmarkEnd w:id="28"/>
    </w:p>
    <w:p>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int="eastAsia" w:hAnsi="宋体" w:cs="宋体"/>
          <w:b/>
          <w:sz w:val="24"/>
        </w:rPr>
        <w:t>招标文件的组成</w:t>
      </w:r>
      <w:bookmarkEnd w:id="29"/>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2.2</w:t>
      </w:r>
      <w:r>
        <w:rPr>
          <w:rFonts w:hint="eastAsia" w:hAnsi="宋体" w:cs="宋体"/>
          <w:sz w:val="24"/>
        </w:rPr>
        <w:t>款和第</w:t>
      </w:r>
      <w:r>
        <w:rPr>
          <w:rFonts w:hAnsi="宋体" w:cs="宋体"/>
          <w:sz w:val="24"/>
        </w:rPr>
        <w:t>2.3</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int="eastAsia" w:hAnsi="宋体" w:cs="宋体"/>
          <w:b/>
          <w:sz w:val="24"/>
        </w:rPr>
        <w:t>招标文件的澄清</w:t>
      </w:r>
      <w:bookmarkEnd w:id="30"/>
    </w:p>
    <w:p>
      <w:pPr>
        <w:spacing w:line="450" w:lineRule="exact"/>
        <w:ind w:firstLine="410" w:firstLineChars="171"/>
        <w:rPr>
          <w:sz w:val="24"/>
        </w:rPr>
      </w:pPr>
      <w:bookmarkStart w:id="31"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1"/>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15</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2" w:name="_Toc152045546"/>
      <w:bookmarkStart w:id="33" w:name="_Toc152042322"/>
      <w:bookmarkStart w:id="34" w:name="_Toc144974514"/>
      <w:bookmarkStart w:id="35" w:name="_Toc179632564"/>
      <w:r>
        <w:rPr>
          <w:rFonts w:hint="eastAsia" w:hAnsi="宋体" w:cs="宋体"/>
          <w:b/>
          <w:sz w:val="24"/>
        </w:rPr>
        <w:t>3. 投标文件</w:t>
      </w:r>
      <w:bookmarkEnd w:id="32"/>
      <w:bookmarkEnd w:id="33"/>
      <w:bookmarkEnd w:id="34"/>
      <w:bookmarkEnd w:id="35"/>
    </w:p>
    <w:p>
      <w:pPr>
        <w:autoSpaceDE w:val="0"/>
        <w:autoSpaceDN w:val="0"/>
        <w:spacing w:line="420" w:lineRule="exact"/>
        <w:jc w:val="left"/>
        <w:outlineLvl w:val="0"/>
        <w:rPr>
          <w:rFonts w:hAnsi="宋体" w:cs="宋体"/>
          <w:b/>
          <w:sz w:val="24"/>
        </w:rPr>
      </w:pPr>
      <w:bookmarkStart w:id="36"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（1）投标函；</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（2）投标函附录；</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（3）法定代表人身份证明、授权委托书；</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（4）投标保证金；</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（5）项目管理机构配备情况；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（6）投标单位基本信息表；</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（7）资格证明文件；</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（8）正在施工的和新承接的项目情况；</w:t>
      </w:r>
    </w:p>
    <w:p>
      <w:pPr>
        <w:autoSpaceDE w:val="0"/>
        <w:autoSpaceDN w:val="0"/>
        <w:spacing w:line="420" w:lineRule="exact"/>
        <w:ind w:firstLine="480" w:firstLineChars="200"/>
        <w:jc w:val="left"/>
        <w:outlineLvl w:val="0"/>
        <w:rPr>
          <w:rFonts w:hAnsi="宋体" w:cs="宋体"/>
          <w:sz w:val="24"/>
          <w:szCs w:val="22"/>
        </w:rPr>
      </w:pPr>
      <w:r>
        <w:rPr>
          <w:rFonts w:hint="eastAsia" w:hAnsi="宋体" w:cs="宋体"/>
          <w:sz w:val="24"/>
          <w:szCs w:val="22"/>
        </w:rPr>
        <w:t>（9）其它材料。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（13）风险管理措施。</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6"/>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highlight w:val="none"/>
        </w:rPr>
      </w:pPr>
      <w:bookmarkStart w:id="37" w:name="_Toc283559960"/>
      <w:r>
        <w:rPr>
          <w:rFonts w:hint="eastAsia" w:hAnsi="宋体" w:cs="宋体"/>
          <w:sz w:val="24"/>
          <w:highlight w:val="none"/>
        </w:rPr>
        <w:t>1、 投标保证金的退还：</w:t>
      </w:r>
    </w:p>
    <w:p>
      <w:pPr>
        <w:spacing w:line="380" w:lineRule="exact"/>
        <w:ind w:firstLine="480" w:firstLineChars="200"/>
        <w:rPr>
          <w:rFonts w:hAnsi="宋体" w:cs="宋体"/>
          <w:sz w:val="24"/>
          <w:highlight w:val="none"/>
        </w:rPr>
      </w:pPr>
      <w:r>
        <w:rPr>
          <w:rFonts w:hint="eastAsia" w:hAnsi="宋体" w:cs="宋体"/>
          <w:sz w:val="24"/>
          <w:highlight w:val="none"/>
        </w:rPr>
        <w:t>（1）中标公告发出后，5个工作日内退还非中标候选人投标保证金及银行同期活期存款利息。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2）在法定期限内签订书面合同，中标人执投标保证金退还申请表（单位加盖行政公章）及合同原件、履约保证金转帐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2、投标人有下列情形之一的，不予退还投标保证金：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（五）拒绝履行合同义务的；</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（六）相关法律、法规规定不予退还的其它情形。</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highlight w:val="none"/>
        </w:rPr>
      </w:pPr>
      <w:r>
        <w:rPr>
          <w:rFonts w:hint="eastAsia" w:ascii="新宋体" w:hAnsi="新宋体" w:eastAsia="新宋体" w:cs="仿宋_GB2312"/>
          <w:sz w:val="24"/>
          <w:szCs w:val="22"/>
          <w:highlight w:val="none"/>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hint="eastAsia" w:hAnsi="宋体" w:cs="宋体"/>
          <w:sz w:val="24"/>
          <w:lang w:val="zh-CN"/>
        </w:rPr>
      </w:pPr>
      <w:r>
        <w:rPr>
          <w:rFonts w:hint="eastAsia" w:hAnsi="宋体" w:cs="宋体"/>
          <w:sz w:val="24"/>
          <w:lang w:val="zh-CN"/>
        </w:rPr>
        <w:t>3.5.5 “近年发生的诉讼及仲裁情况”应说明相关情况，并附法院或仲裁机构作出的判决、裁决等有关法律文书原件扫描件，具体年份要求见投标人须知前附表。</w:t>
      </w:r>
    </w:p>
    <w:p>
      <w:pPr>
        <w:autoSpaceDE w:val="0"/>
        <w:autoSpaceDN w:val="0"/>
        <w:spacing w:line="360" w:lineRule="auto"/>
        <w:ind w:firstLine="480" w:firstLineChars="200"/>
        <w:jc w:val="left"/>
      </w:pPr>
      <w:r>
        <w:rPr>
          <w:rFonts w:hint="eastAsia" w:hAnsi="宋体"/>
          <w:sz w:val="24"/>
          <w:szCs w:val="24"/>
        </w:rPr>
        <w:t>3.5.6 未按规定提交投标保证金的，由评标委员会否决其投标。</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52045553"/>
      <w:bookmarkStart w:id="39" w:name="_Toc152042329"/>
      <w:bookmarkStart w:id="40" w:name="_Toc144974521"/>
      <w:bookmarkStart w:id="41" w:name="_Toc17963257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sz w:val="24"/>
          <w:szCs w:val="24"/>
        </w:rPr>
      </w:pPr>
      <w:r>
        <w:rPr>
          <w:rFonts w:hint="eastAsia" w:hAnsi="宋体" w:cs="宋体"/>
          <w:sz w:val="24"/>
        </w:rPr>
        <w:t xml:space="preserve">3.7.4 </w:t>
      </w:r>
      <w:r>
        <w:rPr>
          <w:rFonts w:hint="eastAsia" w:hAnsi="宋体"/>
          <w:sz w:val="24"/>
          <w:szCs w:val="24"/>
        </w:rPr>
        <w:t>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3.7.5 </w:t>
      </w:r>
      <w:r>
        <w:rPr>
          <w:rFonts w:hint="eastAsia" w:hAnsi="宋体" w:cs="宋体"/>
          <w:bCs/>
          <w:sz w:val="24"/>
        </w:rPr>
        <w:t>存储有备份文件的电子介质2份</w:t>
      </w:r>
      <w:r>
        <w:rPr>
          <w:rFonts w:hint="eastAsia" w:hAnsi="宋体" w:cs="宋体"/>
          <w:sz w:val="24"/>
        </w:rPr>
        <w:t>。</w:t>
      </w:r>
    </w:p>
    <w:p>
      <w:pPr>
        <w:autoSpaceDE w:val="0"/>
        <w:autoSpaceDN w:val="0"/>
        <w:spacing w:line="440" w:lineRule="exact"/>
        <w:jc w:val="left"/>
        <w:rPr>
          <w:rFonts w:hAnsi="宋体" w:cs="宋体"/>
          <w:b/>
          <w:sz w:val="24"/>
        </w:rPr>
      </w:pPr>
      <w:r>
        <w:rPr>
          <w:rFonts w:hint="eastAsia" w:hAnsi="宋体" w:cs="宋体"/>
          <w:b/>
          <w:sz w:val="24"/>
        </w:rPr>
        <w:t xml:space="preserve">    3.7.6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3.7.6.2 商务标投标文件制作技术咨询：0374-2961598。</w:t>
      </w:r>
    </w:p>
    <w:p>
      <w:pPr>
        <w:pStyle w:val="1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360" w:lineRule="auto"/>
        <w:jc w:val="left"/>
        <w:rPr>
          <w:rFonts w:hAnsi="宋体" w:cs="Times New Roman"/>
          <w:b/>
          <w:bCs/>
          <w:sz w:val="24"/>
          <w:szCs w:val="24"/>
        </w:rPr>
      </w:pPr>
      <w:bookmarkStart w:id="43" w:name="_Toc283559962"/>
      <w:bookmarkStart w:id="44" w:name="_Toc283559967"/>
      <w:r>
        <w:rPr>
          <w:rFonts w:hAnsi="宋体"/>
          <w:b/>
          <w:bCs/>
          <w:sz w:val="24"/>
          <w:szCs w:val="24"/>
        </w:rPr>
        <w:t>4.1</w:t>
      </w:r>
      <w:r>
        <w:rPr>
          <w:rFonts w:hint="eastAsia" w:hAnsi="宋体"/>
          <w:b/>
          <w:bCs/>
          <w:sz w:val="24"/>
          <w:szCs w:val="24"/>
        </w:rPr>
        <w:t xml:space="preserve"> 投标文件的</w:t>
      </w:r>
      <w:bookmarkEnd w:id="43"/>
      <w:r>
        <w:rPr>
          <w:rFonts w:hint="eastAsia" w:hAnsi="宋体"/>
          <w:b/>
          <w:bCs/>
          <w:sz w:val="24"/>
          <w:szCs w:val="24"/>
        </w:rPr>
        <w:t>提交</w:t>
      </w:r>
    </w:p>
    <w:p>
      <w:pPr>
        <w:spacing w:line="360" w:lineRule="auto"/>
        <w:ind w:firstLine="480" w:firstLineChars="200"/>
        <w:rPr>
          <w:rFonts w:hint="eastAsia" w:hAnsi="宋体"/>
          <w:sz w:val="24"/>
          <w:szCs w:val="24"/>
        </w:rPr>
      </w:pPr>
      <w:bookmarkStart w:id="45" w:name="_Toc283559963"/>
      <w:r>
        <w:rPr>
          <w:rFonts w:hint="eastAsia" w:hAnsi="宋体"/>
          <w:sz w:val="24"/>
          <w:szCs w:val="24"/>
        </w:rPr>
        <w:t>4.1.1 投标人应在投标人须知前附表中规定的投标截止时间前成功上传电子投标文件。</w:t>
      </w:r>
    </w:p>
    <w:p>
      <w:pPr>
        <w:spacing w:line="360" w:lineRule="auto"/>
        <w:ind w:firstLine="480" w:firstLineChars="200"/>
        <w:rPr>
          <w:rFonts w:hint="eastAsia" w:hAnsi="宋体"/>
          <w:sz w:val="24"/>
          <w:szCs w:val="24"/>
        </w:rPr>
      </w:pPr>
      <w:r>
        <w:rPr>
          <w:rFonts w:hint="eastAsia" w:hAnsi="宋体"/>
          <w:sz w:val="24"/>
          <w:szCs w:val="24"/>
        </w:rPr>
        <w:t>4.1.2 除投标人须知前附表另有规定外，投标人所提交的电子投标文件不予退还。</w:t>
      </w:r>
    </w:p>
    <w:p>
      <w:pPr>
        <w:spacing w:line="360" w:lineRule="auto"/>
        <w:ind w:firstLine="480" w:firstLineChars="200"/>
        <w:rPr>
          <w:rFonts w:hAnsi="宋体"/>
          <w:sz w:val="24"/>
          <w:szCs w:val="24"/>
        </w:rPr>
      </w:pPr>
      <w:r>
        <w:rPr>
          <w:rFonts w:hint="eastAsia" w:hAnsi="宋体"/>
          <w:sz w:val="24"/>
          <w:szCs w:val="24"/>
        </w:rPr>
        <w:t>4.1.3 逾期未成功上传的电子投标文件，招标人不予受理。</w:t>
      </w:r>
    </w:p>
    <w:p>
      <w:pPr>
        <w:autoSpaceDE w:val="0"/>
        <w:autoSpaceDN w:val="0"/>
        <w:spacing w:line="360" w:lineRule="auto"/>
        <w:jc w:val="left"/>
        <w:rPr>
          <w:rFonts w:hAnsi="宋体" w:cs="Times New Roman"/>
          <w:b/>
          <w:bCs/>
          <w:sz w:val="24"/>
          <w:szCs w:val="24"/>
        </w:rPr>
      </w:pPr>
      <w:r>
        <w:rPr>
          <w:rFonts w:hAnsi="宋体"/>
          <w:b/>
          <w:bCs/>
          <w:sz w:val="24"/>
          <w:szCs w:val="24"/>
        </w:rPr>
        <w:t xml:space="preserve">4.2 </w:t>
      </w:r>
      <w:bookmarkEnd w:id="45"/>
      <w:bookmarkStart w:id="46" w:name="_Toc283559964"/>
      <w:r>
        <w:rPr>
          <w:rFonts w:hint="eastAsia" w:hAnsi="宋体"/>
          <w:b/>
          <w:bCs/>
          <w:sz w:val="24"/>
          <w:szCs w:val="24"/>
        </w:rPr>
        <w:t>投标文件的修改与撤回</w:t>
      </w:r>
      <w:bookmarkEnd w:id="46"/>
    </w:p>
    <w:p>
      <w:pPr>
        <w:autoSpaceDE w:val="0"/>
        <w:autoSpaceDN w:val="0"/>
        <w:spacing w:line="360" w:lineRule="auto"/>
        <w:ind w:firstLine="480" w:firstLineChars="200"/>
        <w:jc w:val="left"/>
        <w:rPr>
          <w:rFonts w:hint="eastAsia" w:hAnsi="宋体"/>
          <w:sz w:val="24"/>
          <w:szCs w:val="24"/>
        </w:rPr>
      </w:pPr>
      <w:r>
        <w:rPr>
          <w:rFonts w:hAnsi="宋体"/>
          <w:sz w:val="24"/>
          <w:szCs w:val="24"/>
        </w:rPr>
        <w:t>4.</w:t>
      </w:r>
      <w:r>
        <w:rPr>
          <w:rFonts w:hint="eastAsia" w:hAnsi="宋体"/>
          <w:sz w:val="24"/>
          <w:szCs w:val="24"/>
        </w:rPr>
        <w:t>2.1 在本章第2.2.2 项规定的投标截止时间前，投标人可以修改或撤回已提交的电子投标文件，修改或撤回应以书面形式通知招标人。</w:t>
      </w:r>
    </w:p>
    <w:p>
      <w:pPr>
        <w:autoSpaceDE w:val="0"/>
        <w:autoSpaceDN w:val="0"/>
        <w:spacing w:line="360" w:lineRule="auto"/>
        <w:ind w:firstLine="480" w:firstLineChars="200"/>
        <w:jc w:val="left"/>
        <w:rPr>
          <w:rFonts w:hint="eastAsia" w:hAnsi="宋体"/>
          <w:sz w:val="24"/>
          <w:szCs w:val="24"/>
        </w:rPr>
      </w:pPr>
      <w:r>
        <w:rPr>
          <w:rFonts w:hint="eastAsia" w:hAnsi="宋体"/>
          <w:sz w:val="24"/>
          <w:szCs w:val="24"/>
        </w:rPr>
        <w:t>4.2.2 投标人修改或撤回已提交</w:t>
      </w:r>
      <w:r>
        <w:rPr>
          <w:rFonts w:hint="eastAsia" w:hAnsi="宋体"/>
          <w:color w:val="000000"/>
          <w:sz w:val="24"/>
          <w:szCs w:val="24"/>
        </w:rPr>
        <w:t>电子</w:t>
      </w:r>
      <w:r>
        <w:rPr>
          <w:rFonts w:hint="eastAsia" w:hAnsi="宋体"/>
          <w:sz w:val="24"/>
          <w:szCs w:val="24"/>
        </w:rPr>
        <w:t>投标文件的书面通知应按照投标人须知前附表第3.7.3 项的要求签字或盖章。招标人收到书面通知后，向投标人出具签收凭证。</w:t>
      </w:r>
    </w:p>
    <w:p>
      <w:pPr>
        <w:autoSpaceDE w:val="0"/>
        <w:autoSpaceDN w:val="0"/>
        <w:spacing w:line="360" w:lineRule="auto"/>
        <w:ind w:firstLine="480" w:firstLineChars="200"/>
        <w:jc w:val="left"/>
        <w:rPr>
          <w:rFonts w:hint="eastAsia" w:hAnsi="宋体"/>
          <w:sz w:val="24"/>
          <w:szCs w:val="24"/>
        </w:rPr>
      </w:pPr>
      <w:r>
        <w:rPr>
          <w:rFonts w:hint="eastAsia" w:hAnsi="宋体"/>
          <w:sz w:val="24"/>
          <w:szCs w:val="24"/>
        </w:rPr>
        <w:t>4.2.3 修改的内容为投标文件的组成部分。修改的</w:t>
      </w:r>
      <w:r>
        <w:rPr>
          <w:rFonts w:hint="eastAsia" w:hAnsi="宋体"/>
          <w:color w:val="000000"/>
          <w:sz w:val="24"/>
          <w:szCs w:val="24"/>
        </w:rPr>
        <w:t>电子</w:t>
      </w:r>
      <w:r>
        <w:rPr>
          <w:rFonts w:hint="eastAsia" w:hAnsi="宋体"/>
          <w:sz w:val="24"/>
          <w:szCs w:val="24"/>
        </w:rPr>
        <w:t>投标文件应按照本章第3条、第4条规定进行编制、密封、标记和提交，并标明“修改”字样。</w:t>
      </w:r>
    </w:p>
    <w:p>
      <w:pPr>
        <w:autoSpaceDE w:val="0"/>
        <w:autoSpaceDN w:val="0"/>
        <w:spacing w:line="360" w:lineRule="auto"/>
        <w:ind w:firstLine="480" w:firstLineChars="200"/>
        <w:jc w:val="left"/>
        <w:rPr>
          <w:rFonts w:hAnsi="宋体" w:cs="Times New Roman"/>
          <w:sz w:val="24"/>
          <w:szCs w:val="24"/>
        </w:rPr>
      </w:pPr>
      <w:r>
        <w:rPr>
          <w:rFonts w:hint="eastAsia" w:hAnsi="宋体"/>
          <w:sz w:val="24"/>
          <w:szCs w:val="24"/>
        </w:rPr>
        <w:t>4.2.4 投标人应当在投标截止时间前完成电子投标文件的提交，可以补充、修改或撤回。投标截止时间前未完成电子投标文件提交、取得“投标文件提交回执单”的，视为撤回投标文件。</w:t>
      </w:r>
    </w:p>
    <w:p>
      <w:pPr>
        <w:pStyle w:val="16"/>
        <w:spacing w:line="360" w:lineRule="auto"/>
        <w:jc w:val="both"/>
        <w:rPr>
          <w:rFonts w:hAnsi="宋体" w:cs="Times New Roman"/>
          <w:b/>
          <w:bCs/>
          <w:color w:val="auto"/>
        </w:rPr>
      </w:pPr>
      <w:r>
        <w:rPr>
          <w:rFonts w:hAnsi="宋体"/>
          <w:b/>
          <w:bCs/>
          <w:color w:val="auto"/>
        </w:rPr>
        <w:t xml:space="preserve">5. </w:t>
      </w:r>
      <w:r>
        <w:rPr>
          <w:rFonts w:hint="eastAsia" w:hAnsi="宋体"/>
          <w:b/>
          <w:bCs/>
          <w:color w:val="auto"/>
        </w:rPr>
        <w:t>开标</w:t>
      </w:r>
    </w:p>
    <w:p>
      <w:pPr>
        <w:autoSpaceDE w:val="0"/>
        <w:autoSpaceDN w:val="0"/>
        <w:adjustRightInd w:val="0"/>
        <w:spacing w:line="360" w:lineRule="auto"/>
        <w:jc w:val="left"/>
        <w:rPr>
          <w:rFonts w:hAnsi="宋体" w:cs="Times New Roman"/>
          <w:b/>
          <w:bCs/>
          <w:sz w:val="24"/>
          <w:szCs w:val="24"/>
        </w:rPr>
      </w:pPr>
      <w:r>
        <w:rPr>
          <w:rFonts w:hAnsi="宋体"/>
          <w:b/>
          <w:bCs/>
          <w:sz w:val="24"/>
          <w:szCs w:val="24"/>
        </w:rPr>
        <w:t xml:space="preserve">5.1 </w:t>
      </w:r>
      <w:r>
        <w:rPr>
          <w:rFonts w:hint="eastAsia" w:hAnsi="宋体"/>
          <w:b/>
          <w:bCs/>
          <w:sz w:val="24"/>
          <w:szCs w:val="24"/>
        </w:rPr>
        <w:t>开标时间和地点</w:t>
      </w:r>
    </w:p>
    <w:p>
      <w:pPr>
        <w:spacing w:line="360" w:lineRule="auto"/>
        <w:ind w:firstLine="480" w:firstLineChars="200"/>
        <w:rPr>
          <w:rFonts w:hAnsi="宋体" w:cs="Times New Roman"/>
          <w:sz w:val="24"/>
          <w:szCs w:val="24"/>
        </w:rPr>
      </w:pPr>
      <w:r>
        <w:rPr>
          <w:rFonts w:hint="eastAsia" w:hAnsi="宋体"/>
          <w:sz w:val="24"/>
          <w:szCs w:val="24"/>
        </w:rPr>
        <w:t>招标人或代理机构、监督人员应在开标前提前到达交易中心，在约定开标地点开通远程不见面开标大厅及开启“文字互动”等功能，组织投标人（供应商）准时在网上参加投标、开标活动。</w:t>
      </w:r>
    </w:p>
    <w:p>
      <w:pPr>
        <w:autoSpaceDE w:val="0"/>
        <w:autoSpaceDN w:val="0"/>
        <w:adjustRightInd w:val="0"/>
        <w:spacing w:line="360" w:lineRule="auto"/>
        <w:jc w:val="left"/>
        <w:rPr>
          <w:rFonts w:hint="eastAsia" w:hAnsi="宋体" w:cs="Times New Roman"/>
          <w:b/>
          <w:bCs/>
          <w:sz w:val="24"/>
          <w:szCs w:val="24"/>
        </w:rPr>
      </w:pPr>
      <w:r>
        <w:rPr>
          <w:rFonts w:hAnsi="宋体"/>
          <w:b/>
          <w:bCs/>
          <w:sz w:val="24"/>
          <w:szCs w:val="24"/>
        </w:rPr>
        <w:t xml:space="preserve">5.2 </w:t>
      </w:r>
      <w:r>
        <w:rPr>
          <w:rFonts w:hint="eastAsia" w:hAnsi="宋体"/>
          <w:b/>
          <w:bCs/>
          <w:sz w:val="24"/>
          <w:szCs w:val="24"/>
        </w:rPr>
        <w:t>开标程序</w:t>
      </w:r>
    </w:p>
    <w:p>
      <w:pPr>
        <w:spacing w:line="360" w:lineRule="auto"/>
        <w:ind w:firstLine="360" w:firstLineChars="150"/>
        <w:rPr>
          <w:rFonts w:hAnsi="宋体"/>
          <w:sz w:val="24"/>
        </w:rPr>
      </w:pPr>
      <w:r>
        <w:rPr>
          <w:rFonts w:hint="eastAsia" w:hAnsi="宋体"/>
          <w:sz w:val="24"/>
        </w:rPr>
        <w:t>（1）本项目采用“远程不见面”开标方式,投标人应当在开标时间前使用CA数字证书登录交易系统远程开标大厅在线准时参加开标活动并进行投标文件远程解密、在线提异议（质疑）及电子签章等；招标代理机构在开标时间前到达指定地点使用CA数字证书登录交易系统远程开标大厅，做好开标前各项准备。</w:t>
      </w:r>
    </w:p>
    <w:p>
      <w:pPr>
        <w:spacing w:line="360" w:lineRule="auto"/>
        <w:ind w:firstLine="360" w:firstLineChars="150"/>
        <w:rPr>
          <w:rFonts w:hAnsi="宋体"/>
          <w:sz w:val="24"/>
        </w:rPr>
      </w:pPr>
      <w:r>
        <w:rPr>
          <w:rFonts w:hint="eastAsia" w:hAnsi="宋体"/>
          <w:sz w:val="24"/>
        </w:rPr>
        <w:t>（2）投标截止时间到达时，招标代理机构点击“开标”按钮，开标开始并进行解密，解密时限为60分钟，各投标人可以远程进行解密投标文件。投标人未进行解密或未按规定进行解密的，视为放弃投标。待全部投标人解密完成后，招标人（代理机构）进行一键解密。</w:t>
      </w:r>
    </w:p>
    <w:p>
      <w:pPr>
        <w:spacing w:line="360" w:lineRule="auto"/>
        <w:ind w:firstLine="360" w:firstLineChars="150"/>
        <w:rPr>
          <w:rFonts w:hint="eastAsia" w:hAnsi="宋体"/>
          <w:sz w:val="24"/>
        </w:rPr>
      </w:pPr>
      <w:r>
        <w:rPr>
          <w:rFonts w:hint="eastAsia" w:hAnsi="宋体"/>
          <w:sz w:val="24"/>
        </w:rPr>
        <w:t>（3）解密完成后，招标人（代理机构）点击“系数抽取”按钮进行系数抽取，系数抽取情况在“公告通知”处显示。</w:t>
      </w:r>
    </w:p>
    <w:p>
      <w:pPr>
        <w:spacing w:line="360" w:lineRule="auto"/>
        <w:ind w:firstLine="360" w:firstLineChars="150"/>
        <w:rPr>
          <w:rFonts w:hAnsi="宋体"/>
          <w:sz w:val="24"/>
        </w:rPr>
      </w:pPr>
      <w:r>
        <w:rPr>
          <w:rFonts w:hint="eastAsia" w:hAnsi="宋体"/>
          <w:sz w:val="24"/>
        </w:rPr>
        <w:t>（4）系数抽取完成后，投标人可点击“开标记录”查看各投标人投标报价等信息，对开标过程或有关内容有异议（质疑）的，按照《许昌市不见面开标操作手册》在本项目不见面开标大厅“文字互动”对话框或“新增质疑”处在线询问和发起异议（质疑），招标人（代理机构）在线进行回复。</w:t>
      </w:r>
    </w:p>
    <w:p>
      <w:pPr>
        <w:spacing w:line="360" w:lineRule="auto"/>
        <w:ind w:firstLine="360" w:firstLineChars="150"/>
        <w:rPr>
          <w:rFonts w:hint="eastAsia" w:hAnsi="宋体"/>
          <w:sz w:val="24"/>
        </w:rPr>
      </w:pPr>
      <w:r>
        <w:rPr>
          <w:rFonts w:hint="eastAsia" w:hAnsi="宋体"/>
          <w:sz w:val="24"/>
        </w:rPr>
        <w:t>（5）如无投标人提出异议，招标代理机构通过“文字互动”对话框通知各投标人进行电子签章。投标人应在《开标记录表》上进行电子签章，未进行电子签章的视为对开标结果无异议。</w:t>
      </w:r>
    </w:p>
    <w:p>
      <w:pPr>
        <w:pStyle w:val="16"/>
        <w:spacing w:line="360" w:lineRule="auto"/>
        <w:ind w:firstLine="360" w:firstLineChars="150"/>
        <w:jc w:val="both"/>
        <w:rPr>
          <w:rFonts w:hint="eastAsia" w:hAnsi="宋体"/>
          <w:b/>
          <w:bCs/>
          <w:color w:val="auto"/>
        </w:rPr>
      </w:pPr>
      <w:r>
        <w:rPr>
          <w:rFonts w:hint="eastAsia" w:hAnsi="宋体"/>
          <w:color w:val="auto"/>
        </w:rPr>
        <w:t>（6）招标人（代理机构）签章并上传《开标记录表》，不见面开标活动结束。</w:t>
      </w:r>
    </w:p>
    <w:bookmarkEnd w:id="44"/>
    <w:p>
      <w:pPr>
        <w:pStyle w:val="16"/>
        <w:spacing w:line="440" w:lineRule="exact"/>
        <w:jc w:val="both"/>
        <w:outlineLvl w:val="0"/>
        <w:rPr>
          <w:rFonts w:hAnsi="宋体"/>
          <w:b/>
          <w:color w:val="auto"/>
        </w:rPr>
      </w:pPr>
      <w:bookmarkStart w:id="47" w:name="_Toc283559970"/>
      <w:r>
        <w:rPr>
          <w:rFonts w:hAnsi="宋体"/>
          <w:b/>
          <w:color w:val="auto"/>
        </w:rPr>
        <w:t xml:space="preserve">6. </w:t>
      </w:r>
      <w:r>
        <w:rPr>
          <w:rFonts w:hint="eastAsia" w:hAnsi="宋体"/>
          <w:b/>
          <w:color w:val="auto"/>
        </w:rPr>
        <w:t>评标</w:t>
      </w:r>
      <w:bookmarkEnd w:id="47"/>
    </w:p>
    <w:p>
      <w:pPr>
        <w:autoSpaceDE w:val="0"/>
        <w:autoSpaceDN w:val="0"/>
        <w:adjustRightInd w:val="0"/>
        <w:spacing w:line="440" w:lineRule="exact"/>
        <w:jc w:val="left"/>
        <w:outlineLvl w:val="0"/>
        <w:rPr>
          <w:rFonts w:hAnsi="宋体" w:cs="宋体"/>
          <w:b/>
          <w:sz w:val="24"/>
        </w:rPr>
      </w:pPr>
      <w:bookmarkStart w:id="48" w:name="_Toc283559971"/>
      <w:r>
        <w:rPr>
          <w:rFonts w:hAnsi="宋体" w:cs="宋体"/>
          <w:b/>
          <w:sz w:val="24"/>
        </w:rPr>
        <w:t xml:space="preserve">6.1 </w:t>
      </w:r>
      <w:r>
        <w:rPr>
          <w:rFonts w:hint="eastAsia" w:hAnsi="宋体" w:cs="宋体"/>
          <w:b/>
          <w:sz w:val="24"/>
        </w:rPr>
        <w:t>评标委员会</w:t>
      </w:r>
      <w:bookmarkEnd w:id="48"/>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49" w:name="_Toc283559972"/>
      <w:r>
        <w:rPr>
          <w:rFonts w:hAnsi="宋体" w:cs="宋体"/>
          <w:b/>
          <w:sz w:val="24"/>
        </w:rPr>
        <w:t xml:space="preserve">6.2 </w:t>
      </w:r>
      <w:r>
        <w:rPr>
          <w:rFonts w:hint="eastAsia" w:hAnsi="宋体" w:cs="宋体"/>
          <w:b/>
          <w:sz w:val="24"/>
        </w:rPr>
        <w:t>评标原则</w:t>
      </w:r>
      <w:bookmarkEnd w:id="4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0" w:name="_Toc283559973"/>
      <w:r>
        <w:rPr>
          <w:rFonts w:hAnsi="宋体" w:cs="宋体"/>
          <w:b/>
          <w:sz w:val="24"/>
        </w:rPr>
        <w:t xml:space="preserve">6.3 </w:t>
      </w:r>
      <w:r>
        <w:rPr>
          <w:rFonts w:hint="eastAsia" w:hAnsi="宋体" w:cs="宋体"/>
          <w:b/>
          <w:sz w:val="24"/>
        </w:rPr>
        <w:t>评标</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6"/>
        <w:spacing w:line="440" w:lineRule="exact"/>
        <w:jc w:val="both"/>
        <w:outlineLvl w:val="0"/>
        <w:rPr>
          <w:rFonts w:hAnsi="宋体"/>
          <w:b/>
          <w:color w:val="auto"/>
        </w:rPr>
      </w:pPr>
      <w:bookmarkStart w:id="51" w:name="_Toc283559974"/>
      <w:r>
        <w:rPr>
          <w:rFonts w:hAnsi="宋体"/>
          <w:b/>
          <w:color w:val="auto"/>
        </w:rPr>
        <w:t xml:space="preserve">7. </w:t>
      </w:r>
      <w:r>
        <w:rPr>
          <w:rFonts w:hint="eastAsia" w:hAnsi="宋体"/>
          <w:b/>
          <w:color w:val="auto"/>
        </w:rPr>
        <w:t>合同授予</w:t>
      </w:r>
      <w:bookmarkEnd w:id="51"/>
    </w:p>
    <w:p>
      <w:pPr>
        <w:autoSpaceDE w:val="0"/>
        <w:autoSpaceDN w:val="0"/>
        <w:spacing w:line="440" w:lineRule="exact"/>
        <w:jc w:val="left"/>
        <w:outlineLvl w:val="0"/>
        <w:rPr>
          <w:rFonts w:hAnsi="宋体" w:cs="宋体"/>
          <w:b/>
          <w:sz w:val="24"/>
        </w:rPr>
      </w:pPr>
      <w:bookmarkStart w:id="52" w:name="_Toc283559975"/>
      <w:r>
        <w:rPr>
          <w:rFonts w:hAnsi="宋体" w:cs="宋体"/>
          <w:b/>
          <w:sz w:val="24"/>
        </w:rPr>
        <w:t xml:space="preserve">7.1 </w:t>
      </w:r>
      <w:r>
        <w:rPr>
          <w:rFonts w:hint="eastAsia" w:hAnsi="宋体" w:cs="宋体"/>
          <w:b/>
          <w:sz w:val="24"/>
        </w:rPr>
        <w:t>定标方式</w:t>
      </w:r>
      <w:bookmarkEnd w:id="52"/>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3" w:name="_Toc283559976"/>
      <w:r>
        <w:rPr>
          <w:rFonts w:hAnsi="宋体" w:cs="宋体"/>
          <w:b/>
          <w:sz w:val="24"/>
        </w:rPr>
        <w:t>7.</w:t>
      </w:r>
      <w:r>
        <w:rPr>
          <w:rFonts w:hint="eastAsia" w:hAnsi="宋体" w:cs="宋体"/>
          <w:b/>
          <w:sz w:val="24"/>
        </w:rPr>
        <w:t>2中标通知</w:t>
      </w:r>
      <w:bookmarkEnd w:id="5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4" w:name="_Toc144974537"/>
      <w:bookmarkStart w:id="55" w:name="_Toc152045569"/>
      <w:bookmarkStart w:id="56" w:name="_Toc152042345"/>
      <w:bookmarkStart w:id="57" w:name="_Toc179632587"/>
    </w:p>
    <w:bookmarkEnd w:id="54"/>
    <w:bookmarkEnd w:id="55"/>
    <w:bookmarkEnd w:id="56"/>
    <w:bookmarkEnd w:id="57"/>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8" w:name="_Toc283559978"/>
      <w:r>
        <w:rPr>
          <w:rFonts w:hint="eastAsia" w:hAnsi="宋体" w:cs="宋体"/>
          <w:b/>
          <w:sz w:val="24"/>
        </w:rPr>
        <w:t>7.4履约保证金</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7.4.1履约保证金提交方式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1、以网银、银行转账支票、银行电汇、银行保函方式提交。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2、现金支票和现金不得作为履约保证金提交方式。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3、中标人必须通过其公司账户按照规定的方式提交，其名称应与中标单位的名称一致。</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4、中标人在缴纳履约保证金时必须在附言、备注和用途栏注明“项目编号及标段”，否则可能造成延迟退还。</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7.4.2履约保证金提交比例和数额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履约保证金数额</w:t>
      </w:r>
      <w:r>
        <w:rPr>
          <w:rFonts w:hint="eastAsia" w:hAnsi="宋体" w:cs="宋体"/>
          <w:sz w:val="24"/>
          <w:szCs w:val="22"/>
          <w:lang w:eastAsia="zh-CN"/>
        </w:rPr>
        <w:t>为</w:t>
      </w:r>
      <w:r>
        <w:rPr>
          <w:rFonts w:hint="eastAsia" w:hAnsi="宋体" w:cs="宋体"/>
          <w:sz w:val="24"/>
          <w:szCs w:val="22"/>
        </w:rPr>
        <w:t>中标合同金额的</w:t>
      </w:r>
      <w:r>
        <w:rPr>
          <w:rFonts w:hint="eastAsia" w:hAnsi="宋体" w:cs="宋体"/>
          <w:sz w:val="24"/>
          <w:szCs w:val="22"/>
          <w:lang w:val="en-US" w:eastAsia="zh-CN"/>
        </w:rPr>
        <w:t>5</w:t>
      </w:r>
      <w:r>
        <w:rPr>
          <w:rFonts w:hint="eastAsia" w:hAnsi="宋体" w:cs="宋体"/>
          <w:sz w:val="24"/>
          <w:szCs w:val="22"/>
        </w:rPr>
        <w:t>%。</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7.4.3履约保证金的退还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spacing w:line="440" w:lineRule="exact"/>
        <w:ind w:firstLine="480" w:firstLineChars="200"/>
        <w:jc w:val="left"/>
        <w:outlineLvl w:val="0"/>
        <w:rPr>
          <w:rFonts w:hAnsi="宋体" w:cs="宋体"/>
          <w:sz w:val="24"/>
          <w:szCs w:val="22"/>
        </w:rPr>
      </w:pPr>
      <w:r>
        <w:rPr>
          <w:rFonts w:hint="eastAsia" w:hAnsi="宋体" w:cs="宋体"/>
          <w:sz w:val="24"/>
          <w:szCs w:val="22"/>
        </w:rPr>
        <w:t>2、中标人因发生质疑、投诉、举报或有关部门立案调查的，中心依据相关行政监督部门的意见暂停退还或没收其履约保证金，待行政监督部门对相关情况处置后，按照有关规定办理。</w:t>
      </w:r>
    </w:p>
    <w:p>
      <w:pPr>
        <w:autoSpaceDE w:val="0"/>
        <w:autoSpaceDN w:val="0"/>
        <w:spacing w:line="440" w:lineRule="exac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58"/>
    </w:p>
    <w:p>
      <w:pPr>
        <w:autoSpaceDE w:val="0"/>
        <w:autoSpaceDN w:val="0"/>
        <w:adjustRightInd w:val="0"/>
        <w:spacing w:line="440" w:lineRule="exact"/>
        <w:jc w:val="left"/>
        <w:outlineLvl w:val="0"/>
        <w:rPr>
          <w:rFonts w:hAnsi="宋体" w:cs="宋体"/>
          <w:b/>
          <w:sz w:val="24"/>
        </w:rPr>
      </w:pPr>
      <w:bookmarkStart w:id="59" w:name="_Toc283559979"/>
      <w:r>
        <w:rPr>
          <w:rFonts w:hAnsi="宋体" w:cs="宋体"/>
          <w:b/>
          <w:sz w:val="24"/>
        </w:rPr>
        <w:t xml:space="preserve">8.1 </w:t>
      </w:r>
      <w:r>
        <w:rPr>
          <w:rFonts w:hint="eastAsia" w:hAnsi="宋体" w:cs="宋体"/>
          <w:b/>
          <w:sz w:val="24"/>
        </w:rPr>
        <w:t>重新招标</w:t>
      </w:r>
      <w:bookmarkEnd w:id="59"/>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0" w:name="_Toc283559980"/>
      <w:r>
        <w:rPr>
          <w:rFonts w:hAnsi="宋体" w:cs="宋体"/>
          <w:b/>
          <w:sz w:val="24"/>
        </w:rPr>
        <w:t xml:space="preserve">8.2 </w:t>
      </w:r>
      <w:r>
        <w:rPr>
          <w:rFonts w:hint="eastAsia" w:hAnsi="宋体" w:cs="宋体"/>
          <w:b/>
          <w:sz w:val="24"/>
        </w:rPr>
        <w:t>不再招标</w:t>
      </w:r>
      <w:bookmarkEnd w:id="60"/>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16"/>
        <w:spacing w:line="440" w:lineRule="exact"/>
        <w:jc w:val="both"/>
        <w:outlineLvl w:val="0"/>
        <w:rPr>
          <w:rFonts w:hAnsi="宋体"/>
          <w:b/>
          <w:color w:val="auto"/>
        </w:rPr>
      </w:pPr>
      <w:bookmarkStart w:id="61" w:name="_Toc283559981"/>
      <w:r>
        <w:rPr>
          <w:rFonts w:hAnsi="宋体"/>
          <w:b/>
          <w:color w:val="auto"/>
        </w:rPr>
        <w:t xml:space="preserve">9. </w:t>
      </w:r>
      <w:r>
        <w:rPr>
          <w:rFonts w:hint="eastAsia" w:hAnsi="宋体"/>
          <w:b/>
          <w:color w:val="auto"/>
        </w:rPr>
        <w:t>纪律和监督</w:t>
      </w:r>
      <w:bookmarkEnd w:id="61"/>
    </w:p>
    <w:p>
      <w:pPr>
        <w:autoSpaceDE w:val="0"/>
        <w:autoSpaceDN w:val="0"/>
        <w:adjustRightInd w:val="0"/>
        <w:spacing w:line="440" w:lineRule="exact"/>
        <w:jc w:val="left"/>
        <w:outlineLvl w:val="0"/>
        <w:rPr>
          <w:rFonts w:hAnsi="宋体" w:cs="宋体"/>
          <w:b/>
          <w:sz w:val="24"/>
        </w:rPr>
      </w:pPr>
      <w:bookmarkStart w:id="62" w:name="_Toc283559982"/>
      <w:r>
        <w:rPr>
          <w:rFonts w:hAnsi="宋体" w:cs="宋体"/>
          <w:b/>
          <w:sz w:val="24"/>
        </w:rPr>
        <w:t xml:space="preserve">9.1 </w:t>
      </w:r>
      <w:r>
        <w:rPr>
          <w:rFonts w:hint="eastAsia" w:hAnsi="宋体" w:cs="宋体"/>
          <w:b/>
          <w:sz w:val="24"/>
        </w:rPr>
        <w:t>对招标人的纪律要求</w:t>
      </w:r>
      <w:bookmarkEnd w:id="62"/>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3" w:name="_Toc283559983"/>
      <w:r>
        <w:rPr>
          <w:rFonts w:hAnsi="宋体" w:cs="宋体"/>
          <w:b/>
          <w:sz w:val="24"/>
        </w:rPr>
        <w:t xml:space="preserve">9.2 </w:t>
      </w:r>
      <w:r>
        <w:rPr>
          <w:rFonts w:hint="eastAsia" w:hAnsi="宋体" w:cs="宋体"/>
          <w:b/>
          <w:sz w:val="24"/>
        </w:rPr>
        <w:t>对投标人的纪律要求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4" w:name="_Toc283559984"/>
      <w:r>
        <w:rPr>
          <w:rFonts w:hAnsi="宋体" w:cs="宋体"/>
          <w:b/>
          <w:sz w:val="24"/>
        </w:rPr>
        <w:t xml:space="preserve">9.3 </w:t>
      </w:r>
      <w:r>
        <w:rPr>
          <w:rFonts w:hint="eastAsia" w:hAnsi="宋体" w:cs="宋体"/>
          <w:b/>
          <w:sz w:val="24"/>
        </w:rPr>
        <w:t>对评标委员会成员的纪律要求</w:t>
      </w:r>
      <w:bookmarkEnd w:id="64"/>
    </w:p>
    <w:p>
      <w:pPr>
        <w:autoSpaceDE w:val="0"/>
        <w:autoSpaceDN w:val="0"/>
        <w:adjustRightInd w:val="0"/>
        <w:spacing w:line="40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5" w:name="_Toc283559985"/>
      <w:r>
        <w:rPr>
          <w:rFonts w:hAnsi="宋体" w:cs="宋体"/>
          <w:b/>
          <w:sz w:val="24"/>
        </w:rPr>
        <w:t xml:space="preserve">9.4 </w:t>
      </w:r>
      <w:r>
        <w:rPr>
          <w:rFonts w:hint="eastAsia" w:hAnsi="宋体" w:cs="宋体"/>
          <w:b/>
          <w:sz w:val="24"/>
        </w:rPr>
        <w:t>对与评标活动有关的工作人员的纪律要求</w:t>
      </w:r>
      <w:bookmarkEnd w:id="65"/>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6" w:name="_Toc283559986"/>
      <w:r>
        <w:rPr>
          <w:rFonts w:hAnsi="宋体" w:cs="宋体"/>
          <w:b/>
          <w:sz w:val="24"/>
        </w:rPr>
        <w:t xml:space="preserve">9.5 </w:t>
      </w:r>
      <w:r>
        <w:rPr>
          <w:rFonts w:hint="eastAsia" w:hAnsi="宋体" w:cs="宋体"/>
          <w:b/>
          <w:sz w:val="24"/>
        </w:rPr>
        <w:t>投诉</w:t>
      </w:r>
      <w:bookmarkEnd w:id="66"/>
    </w:p>
    <w:p>
      <w:pPr>
        <w:autoSpaceDE w:val="0"/>
        <w:autoSpaceDN w:val="0"/>
        <w:adjustRightInd w:val="0"/>
        <w:spacing w:line="400" w:lineRule="exact"/>
        <w:ind w:firstLine="480" w:firstLineChars="200"/>
        <w:jc w:val="left"/>
        <w:rPr>
          <w:rFonts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16"/>
        <w:spacing w:line="440" w:lineRule="exact"/>
        <w:jc w:val="both"/>
        <w:outlineLvl w:val="0"/>
        <w:rPr>
          <w:rFonts w:hAnsi="宋体"/>
          <w:b/>
          <w:color w:val="auto"/>
        </w:rPr>
      </w:pPr>
      <w:bookmarkStart w:id="67" w:name="_Toc283559987"/>
      <w:r>
        <w:rPr>
          <w:rFonts w:hAnsi="宋体"/>
          <w:b/>
          <w:color w:val="auto"/>
        </w:rPr>
        <w:t xml:space="preserve">10. </w:t>
      </w:r>
      <w:r>
        <w:rPr>
          <w:rFonts w:hint="eastAsia" w:hAnsi="宋体"/>
          <w:b/>
          <w:color w:val="auto"/>
        </w:rPr>
        <w:t>需要补充的其他内容</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需要补充的其他内容：见投标人须知前附表。</w:t>
      </w:r>
      <w:bookmarkStart w:id="68" w:name="_Toc283559990"/>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p>
    <w:p>
      <w:pPr>
        <w:autoSpaceDE w:val="0"/>
        <w:autoSpaceDN w:val="0"/>
        <w:adjustRightInd w:val="0"/>
        <w:spacing w:line="440" w:lineRule="exact"/>
        <w:jc w:val="left"/>
        <w:rPr>
          <w:rFonts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sz w:val="24"/>
        </w:rPr>
      </w:pPr>
      <w:r>
        <w:rPr>
          <w:rFonts w:hint="eastAsia"/>
          <w:sz w:val="24"/>
        </w:rPr>
        <w:t xml:space="preserve"> （项目名称）</w:t>
      </w:r>
      <w:r>
        <w:rPr>
          <w:rFonts w:hint="eastAsia" w:hAnsi="宋体" w:cs="宋体"/>
          <w:sz w:val="24"/>
        </w:rPr>
        <w:t>招标评标委员会</w:t>
      </w:r>
    </w:p>
    <w:p>
      <w:pPr>
        <w:spacing w:line="480" w:lineRule="exact"/>
        <w:ind w:firstLine="2880" w:firstLineChars="1200"/>
        <w:rPr>
          <w:sz w:val="24"/>
        </w:rPr>
      </w:pPr>
      <w:r>
        <w:rPr>
          <w:rFonts w:hint="eastAsia"/>
          <w:sz w:val="24"/>
        </w:rPr>
        <w:t>（经评标委员会授权的招标人代表签字或招标人加盖单位章）</w:t>
      </w:r>
    </w:p>
    <w:p>
      <w:pPr>
        <w:spacing w:line="480" w:lineRule="exact"/>
        <w:ind w:firstLine="5280" w:firstLineChars="2200"/>
        <w:jc w:val="right"/>
        <w:rPr>
          <w:rFonts w:hAnsi="宋体" w:cs="宋体"/>
          <w:sz w:val="24"/>
        </w:rPr>
      </w:pPr>
      <w:r>
        <w:rPr>
          <w:rFonts w:hint="eastAsia"/>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9"/>
        <w:ind w:firstLine="0" w:firstLineChars="0"/>
      </w:pPr>
    </w:p>
    <w:p>
      <w:pPr>
        <w:spacing w:line="400" w:lineRule="exact"/>
        <w:ind w:firstLine="480" w:firstLineChars="200"/>
        <w:rPr>
          <w:rFonts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p>
    <w:p>
      <w:pPr>
        <w:spacing w:line="480" w:lineRule="exact"/>
        <w:ind w:right="240"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9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spacing w:line="420" w:lineRule="exact"/>
        <w:rPr>
          <w:rFonts w:hAnsi="宋体"/>
          <w:b/>
          <w:sz w:val="36"/>
          <w:szCs w:val="36"/>
        </w:rPr>
      </w:pPr>
    </w:p>
    <w:p>
      <w:pPr>
        <w:spacing w:line="420" w:lineRule="exact"/>
        <w:ind w:firstLine="2160" w:firstLineChars="600"/>
        <w:rPr>
          <w:rFonts w:hAnsi="宋体"/>
          <w:b/>
          <w:sz w:val="36"/>
          <w:szCs w:val="36"/>
        </w:rPr>
      </w:pPr>
    </w:p>
    <w:p>
      <w:pPr>
        <w:spacing w:line="420" w:lineRule="exact"/>
        <w:jc w:val="center"/>
        <w:rPr>
          <w:rFonts w:hint="eastAsia" w:hAnsi="宋体"/>
          <w:b/>
          <w:sz w:val="36"/>
          <w:szCs w:val="36"/>
        </w:rPr>
      </w:pPr>
    </w:p>
    <w:p>
      <w:pPr>
        <w:spacing w:line="420" w:lineRule="exact"/>
        <w:jc w:val="center"/>
        <w:rPr>
          <w:rFonts w:hint="eastAsia" w:hAnsi="宋体"/>
          <w:b/>
          <w:sz w:val="36"/>
          <w:szCs w:val="36"/>
        </w:rPr>
      </w:pPr>
    </w:p>
    <w:p>
      <w:pPr>
        <w:spacing w:line="420" w:lineRule="exact"/>
        <w:jc w:val="center"/>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（综合评标法）</w:t>
      </w:r>
    </w:p>
    <w:p>
      <w:pPr>
        <w:pStyle w:val="9"/>
        <w:ind w:firstLine="0" w:firstLineChars="0"/>
      </w:pPr>
    </w:p>
    <w:p>
      <w:pPr>
        <w:snapToGrid w:val="0"/>
        <w:spacing w:line="360" w:lineRule="auto"/>
        <w:ind w:firstLine="480" w:firstLineChars="200"/>
        <w:rPr>
          <w:rFonts w:ascii="新宋体" w:hAnsi="新宋体" w:eastAsia="新宋体"/>
          <w:sz w:val="24"/>
        </w:rPr>
      </w:pPr>
      <w:r>
        <w:rPr>
          <w:rFonts w:hint="eastAsia" w:ascii="新宋体" w:hAnsi="新宋体" w:eastAsia="新宋体"/>
          <w:b/>
          <w:bCs/>
          <w:sz w:val="24"/>
        </w:rPr>
        <w:t>一、</w:t>
      </w:r>
      <w:r>
        <w:rPr>
          <w:rFonts w:hint="eastAsia" w:ascii="新宋体" w:hAnsi="新宋体" w:eastAsia="新宋体" w:cs="新宋体"/>
          <w:sz w:val="24"/>
        </w:rPr>
        <w:t>评标办法依据“豫建〔2018〕161号关于印发《河南省建设工程工程量清单招标评标办法》的通知”，</w:t>
      </w:r>
      <w:r>
        <w:rPr>
          <w:rFonts w:hint="eastAsia" w:ascii="新宋体" w:hAnsi="新宋体" w:eastAsia="新宋体"/>
          <w:sz w:val="24"/>
        </w:rPr>
        <w:t>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二、</w:t>
      </w:r>
      <w:r>
        <w:rPr>
          <w:rFonts w:hint="eastAsia" w:ascii="新宋体" w:hAnsi="新宋体" w:eastAsia="新宋体"/>
          <w:sz w:val="24"/>
        </w:rPr>
        <w:t>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b/>
          <w:bCs/>
          <w:sz w:val="24"/>
        </w:rPr>
        <w:t>三、</w:t>
      </w:r>
      <w:r>
        <w:rPr>
          <w:rFonts w:hint="eastAsia" w:ascii="新宋体" w:hAnsi="新宋体" w:eastAsia="新宋体"/>
          <w:sz w:val="24"/>
        </w:rPr>
        <w:t>评标采用综合评标法，是指评标委员会根据招标文件要求，应从技术标、商务标、综合（信用）标三部分进行综合评审。</w:t>
      </w:r>
    </w:p>
    <w:p>
      <w:pPr>
        <w:spacing w:line="360" w:lineRule="auto"/>
        <w:ind w:firstLine="480" w:firstLineChars="200"/>
        <w:rPr>
          <w:rFonts w:ascii="新宋体" w:hAnsi="新宋体" w:eastAsia="新宋体"/>
          <w:b/>
          <w:bCs/>
          <w:sz w:val="24"/>
        </w:rPr>
      </w:pPr>
      <w:r>
        <w:rPr>
          <w:rFonts w:hint="eastAsia" w:ascii="新宋体" w:hAnsi="新宋体" w:eastAsia="新宋体"/>
          <w:b/>
          <w:bCs/>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
          <w:sz w:val="24"/>
        </w:rPr>
      </w:pPr>
      <w:r>
        <w:rPr>
          <w:rFonts w:hint="eastAsia" w:ascii="新宋体" w:hAnsi="新宋体" w:eastAsia="新宋体"/>
          <w:b/>
          <w:sz w:val="24"/>
        </w:rPr>
        <w:t>五、清标</w:t>
      </w:r>
    </w:p>
    <w:p>
      <w:pPr>
        <w:spacing w:line="360" w:lineRule="auto"/>
        <w:ind w:firstLine="480" w:firstLineChars="200"/>
        <w:rPr>
          <w:rFonts w:ascii="新宋体" w:hAnsi="新宋体" w:eastAsia="新宋体"/>
          <w:b/>
          <w:sz w:val="24"/>
        </w:rPr>
      </w:pPr>
      <w:r>
        <w:rPr>
          <w:rFonts w:hint="eastAsia" w:ascii="新宋体" w:hAnsi="新宋体" w:eastAsia="新宋体"/>
          <w:b/>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（3）规费和税金、安全文明施工费违反工程造价计价有关规定的；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（5）未按照招标文件所列明的暂列金额、暂估价编制投标报价的。</w:t>
      </w:r>
    </w:p>
    <w:p>
      <w:pPr>
        <w:spacing w:line="360" w:lineRule="auto"/>
        <w:ind w:firstLine="480" w:firstLineChars="200"/>
        <w:rPr>
          <w:rFonts w:ascii="新宋体" w:hAnsi="新宋体" w:eastAsia="新宋体"/>
          <w:bCs/>
          <w:sz w:val="24"/>
          <w:szCs w:val="22"/>
        </w:rPr>
      </w:pPr>
      <w:r>
        <w:rPr>
          <w:rFonts w:hint="eastAsia" w:ascii="新宋体" w:hAnsi="新宋体" w:eastAsia="新宋体"/>
          <w:bCs/>
          <w:sz w:val="24"/>
          <w:szCs w:val="22"/>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ascii="新宋体" w:hAnsi="新宋体"/>
          <w:b/>
          <w:sz w:val="24"/>
        </w:rPr>
      </w:pPr>
      <w:r>
        <w:rPr>
          <w:rFonts w:hint="eastAsia" w:hAnsi="宋体" w:cs="宋体"/>
          <w:b/>
          <w:bCs/>
          <w:sz w:val="24"/>
          <w:szCs w:val="24"/>
        </w:rPr>
        <w:t>备注：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要求查看“硬件特征码”相关信息并进行评审，在评标报告中显示“不同投标人电子投标文件制作硬件特征码”是否雷同的分析及判定结果。</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1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是否等于各分部分项清单（含单价措施项目）费之和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分部分项工程费及单价措施费清单综合单价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材料表中的单价与组成清单单价中的综合单价必须一致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安全文明施工费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其他措施费（费率类）项目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专业工程暂估价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应与招标人价格一致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应与招标人数量一致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增值税</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评标委员会按招标文件及商务标清标内容要求对投标文件的符合性、响应性、资格条件和重大偏差等逐一进行评审，经审查不符合招标文件要求的，不再进入详细评审阶段；符合招标文件要求的投标文件为有效投标文件，进入详细评审阶段，其报价为有效投标报价。</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hint="eastAsia"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pStyle w:val="9"/>
        <w:ind w:firstLine="480" w:firstLineChars="200"/>
        <w:jc w:val="left"/>
        <w:rPr>
          <w:rFonts w:hint="eastAsia" w:ascii="新宋体" w:hAnsi="新宋体" w:eastAsia="宋体" w:cs="宋体"/>
          <w:bCs/>
          <w:sz w:val="24"/>
          <w:szCs w:val="22"/>
          <w:lang w:val="en-US" w:eastAsia="zh-CN" w:bidi="ar-SA"/>
        </w:rPr>
      </w:pPr>
      <w:r>
        <w:rPr>
          <w:rFonts w:hint="eastAsia" w:ascii="新宋体" w:hAnsi="新宋体" w:eastAsia="新宋体" w:cs="宋体"/>
          <w:bCs/>
          <w:sz w:val="24"/>
        </w:rPr>
        <w:t>（</w:t>
      </w:r>
      <w:r>
        <w:rPr>
          <w:rFonts w:hint="eastAsia" w:ascii="新宋体" w:hAnsi="新宋体" w:eastAsia="新宋体" w:cs="宋体"/>
          <w:bCs/>
          <w:sz w:val="24"/>
          <w:lang w:val="en-US" w:eastAsia="zh-CN"/>
        </w:rPr>
        <w:t>8</w:t>
      </w:r>
      <w:r>
        <w:rPr>
          <w:rFonts w:hint="eastAsia" w:ascii="新宋体" w:hAnsi="新宋体" w:eastAsia="新宋体" w:cs="宋体"/>
          <w:bCs/>
          <w:sz w:val="24"/>
        </w:rPr>
        <w:t>）</w:t>
      </w:r>
      <w:r>
        <w:rPr>
          <w:rFonts w:hint="eastAsia" w:hAnsi="宋体" w:cs="新宋体"/>
          <w:sz w:val="24"/>
          <w:szCs w:val="21"/>
        </w:rPr>
        <w:t>是否按</w:t>
      </w:r>
      <w:r>
        <w:rPr>
          <w:rFonts w:hint="eastAsia" w:hAnsi="宋体" w:cs="新宋体"/>
          <w:sz w:val="24"/>
          <w:szCs w:val="21"/>
          <w:lang w:eastAsia="zh-CN"/>
        </w:rPr>
        <w:t>招标文件</w:t>
      </w:r>
      <w:r>
        <w:rPr>
          <w:rFonts w:hint="eastAsia" w:hAnsi="宋体" w:cs="新宋体"/>
          <w:sz w:val="24"/>
          <w:szCs w:val="21"/>
        </w:rPr>
        <w:t>规定缴纳投标保证金</w:t>
      </w:r>
      <w:r>
        <w:rPr>
          <w:rFonts w:hint="eastAsia" w:hAnsi="宋体" w:cs="新宋体"/>
          <w:sz w:val="24"/>
          <w:szCs w:val="21"/>
          <w:lang w:eastAsia="zh-CN"/>
        </w:rPr>
        <w:t>。</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评标委员会根据招标文件要求应从技术标、商务标、综合（信用）标三部分进行综合评审。技术标的权重占25%，商务标的权重占50%，综合（信用）标的权重占25%。</w:t>
      </w:r>
    </w:p>
    <w:p>
      <w:pPr>
        <w:snapToGrid w:val="0"/>
        <w:spacing w:line="360" w:lineRule="auto"/>
        <w:rPr>
          <w:rFonts w:hAnsi="宋体" w:cs="宋体"/>
          <w:b/>
          <w:sz w:val="24"/>
        </w:rPr>
      </w:pPr>
      <w:r>
        <w:rPr>
          <w:rFonts w:hint="eastAsia" w:hAnsi="宋体" w:cs="宋体"/>
          <w:b/>
          <w:sz w:val="24"/>
        </w:rPr>
        <w:t>（一）技术标（25分）</w:t>
      </w:r>
    </w:p>
    <w:tbl>
      <w:tblPr>
        <w:tblStyle w:val="1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10"/>
        <w:gridCol w:w="1044"/>
        <w:gridCol w:w="509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Align w:val="center"/>
          </w:tcPr>
          <w:p>
            <w:pPr>
              <w:spacing w:line="320" w:lineRule="exact"/>
              <w:jc w:val="center"/>
              <w:rPr>
                <w:rFonts w:hint="eastAsia" w:ascii="宋体" w:hAnsi="宋体" w:eastAsia="宋体" w:cs="宋体"/>
                <w:sz w:val="18"/>
                <w:szCs w:val="13"/>
              </w:rPr>
            </w:pPr>
            <w:bookmarkStart w:id="69" w:name="_Toc295572535"/>
            <w:bookmarkStart w:id="70" w:name="_Toc270931534"/>
            <w:bookmarkStart w:id="71" w:name="_Toc272833453"/>
            <w:bookmarkStart w:id="72" w:name="_Toc273546398"/>
            <w:r>
              <w:rPr>
                <w:rFonts w:hint="eastAsia" w:ascii="宋体" w:hAnsi="宋体" w:eastAsia="宋体" w:cs="宋体"/>
                <w:sz w:val="18"/>
                <w:szCs w:val="13"/>
              </w:rPr>
              <w:t>序号</w:t>
            </w:r>
          </w:p>
        </w:tc>
        <w:tc>
          <w:tcPr>
            <w:tcW w:w="1410"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内容</w:t>
            </w:r>
          </w:p>
        </w:tc>
        <w:tc>
          <w:tcPr>
            <w:tcW w:w="1044" w:type="dxa"/>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分值</w:t>
            </w:r>
          </w:p>
        </w:tc>
        <w:tc>
          <w:tcPr>
            <w:tcW w:w="509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评审标准</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内容完整性</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0-0.5分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技术标的主要内容具有完整性，符合招标文件的要求。</w:t>
            </w:r>
          </w:p>
        </w:tc>
        <w:tc>
          <w:tcPr>
            <w:tcW w:w="130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技术标不符合招标文件要求。</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2</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主要施工方案与技术措施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1-3分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施工方案（含工程特点、施工重点与难点及绿色施工）总体安排合理，运用先进、合理的施工工艺、施工机械；对施工难点有先进和合理的建议。</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施工方案（含工程特点、施工重点与难点及绿色施工）总体安排合理，施工工艺、施工机械合理、可行；对施工难点有合理的建议。</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3</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质量管理体系与措施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组织机构形式基本合理，指挥系统、质量监控系统、联络协调系统，具体措施可行。主体结构质量保证措施经济、安全、基本可行。主体结构、装饰装修符合工程建设强制性标准，不得偷工减料。</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4</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安全管理体系与措施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5</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文明施工、环境保护管理体系及施工现场扬尘治理措施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1-3分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标准》（DBJ41/174）的规定，防治方案科学、先进。</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标准》（DBJ41/174）的规定，有防治方案。</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6</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工期保证措施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工期承诺满足招标文件要求，工期保证措施合理且有针对性，有具体的违约责任承诺。</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工期承诺满足招标文件要求，工期保证措施基本合理，有具体的违约责任承诺。</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7</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拟投入资源配备计划</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0.5-2分</w:t>
            </w:r>
          </w:p>
        </w:tc>
        <w:tc>
          <w:tcPr>
            <w:tcW w:w="5091" w:type="dxa"/>
            <w:vAlign w:val="center"/>
          </w:tcPr>
          <w:p>
            <w:pPr>
              <w:numPr>
                <w:ilvl w:val="0"/>
                <w:numId w:val="3"/>
              </w:numPr>
              <w:spacing w:line="320" w:lineRule="exact"/>
              <w:rPr>
                <w:rFonts w:hint="eastAsia" w:ascii="宋体" w:hAnsi="宋体" w:eastAsia="宋体" w:cs="宋体"/>
                <w:sz w:val="18"/>
                <w:szCs w:val="13"/>
              </w:rPr>
            </w:pPr>
            <w:r>
              <w:rPr>
                <w:rFonts w:hint="eastAsia" w:ascii="宋体" w:hAnsi="宋体" w:eastAsia="宋体" w:cs="宋体"/>
                <w:sz w:val="18"/>
                <w:szCs w:val="13"/>
              </w:rPr>
              <w:t>机械：投入计划与进度计划呼应，采用先进机械设备且配置合理、先进，满足安全技术规范和施工进度需要；PC构件运输、安装设备满足施工要求；</w:t>
            </w:r>
          </w:p>
          <w:p>
            <w:pPr>
              <w:numPr>
                <w:ilvl w:val="0"/>
                <w:numId w:val="3"/>
              </w:numPr>
              <w:spacing w:line="320" w:lineRule="exact"/>
              <w:rPr>
                <w:rFonts w:hint="eastAsia" w:ascii="宋体" w:hAnsi="宋体" w:eastAsia="宋体" w:cs="宋体"/>
                <w:sz w:val="18"/>
                <w:szCs w:val="13"/>
              </w:rPr>
            </w:pPr>
            <w:r>
              <w:rPr>
                <w:rFonts w:hint="eastAsia" w:ascii="宋体" w:hAnsi="宋体" w:eastAsia="宋体" w:cs="宋体"/>
                <w:sz w:val="18"/>
                <w:szCs w:val="13"/>
              </w:rPr>
              <w:t>劳动力：投入计划与进度计划呼应，较好满足施工需要，调配投入计划合理、准确；</w:t>
            </w:r>
          </w:p>
          <w:p>
            <w:pPr>
              <w:spacing w:line="320" w:lineRule="exact"/>
              <w:rPr>
                <w:rFonts w:hint="eastAsia" w:ascii="宋体" w:hAnsi="宋体" w:eastAsia="宋体" w:cs="宋体"/>
                <w:sz w:val="18"/>
                <w:szCs w:val="13"/>
              </w:rPr>
            </w:pPr>
            <w:r>
              <w:rPr>
                <w:rFonts w:hint="eastAsia" w:ascii="宋体" w:hAnsi="宋体" w:eastAsia="宋体" w:cs="宋体"/>
                <w:sz w:val="18"/>
                <w:szCs w:val="13"/>
              </w:rPr>
              <w:t>3、主要物资计划：主要物资（含PC构件的供应需求）投入计划与进度计划呼应，较好满足施工需要，调配投入计划合理、准确。</w:t>
            </w:r>
          </w:p>
        </w:tc>
        <w:tc>
          <w:tcPr>
            <w:tcW w:w="1301" w:type="dxa"/>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numPr>
                <w:ilvl w:val="0"/>
                <w:numId w:val="4"/>
              </w:numPr>
              <w:spacing w:line="320" w:lineRule="exact"/>
              <w:rPr>
                <w:rFonts w:hint="eastAsia" w:ascii="宋体" w:hAnsi="宋体" w:eastAsia="宋体" w:cs="宋体"/>
                <w:sz w:val="18"/>
                <w:szCs w:val="13"/>
              </w:rPr>
            </w:pPr>
            <w:r>
              <w:rPr>
                <w:rFonts w:hint="eastAsia" w:ascii="宋体" w:hAnsi="宋体" w:eastAsia="宋体" w:cs="宋体"/>
                <w:sz w:val="18"/>
                <w:szCs w:val="13"/>
              </w:rPr>
              <w:t>机械：投入计划与进度计划呼应，机械设备配置基本合理，满足安全技术规范和施工进度需要；</w:t>
            </w:r>
          </w:p>
          <w:p>
            <w:pPr>
              <w:numPr>
                <w:ilvl w:val="0"/>
                <w:numId w:val="4"/>
              </w:numPr>
              <w:spacing w:line="320" w:lineRule="exact"/>
              <w:rPr>
                <w:rFonts w:hint="eastAsia" w:ascii="宋体" w:hAnsi="宋体" w:eastAsia="宋体" w:cs="宋体"/>
                <w:sz w:val="18"/>
                <w:szCs w:val="13"/>
              </w:rPr>
            </w:pPr>
            <w:r>
              <w:rPr>
                <w:rFonts w:hint="eastAsia" w:ascii="宋体" w:hAnsi="宋体" w:eastAsia="宋体" w:cs="宋体"/>
                <w:sz w:val="18"/>
                <w:szCs w:val="13"/>
              </w:rPr>
              <w:t>劳动力：投入计划与进度计划呼应，基本满足施工需要，调配投入计划基本合理；</w:t>
            </w:r>
          </w:p>
          <w:p>
            <w:pPr>
              <w:spacing w:line="320" w:lineRule="exact"/>
              <w:rPr>
                <w:rFonts w:hint="eastAsia" w:ascii="宋体" w:hAnsi="宋体" w:eastAsia="宋体" w:cs="宋体"/>
                <w:sz w:val="18"/>
                <w:szCs w:val="13"/>
              </w:rPr>
            </w:pPr>
            <w:r>
              <w:rPr>
                <w:rFonts w:hint="eastAsia" w:ascii="宋体" w:hAnsi="宋体" w:eastAsia="宋体" w:cs="宋体"/>
                <w:sz w:val="18"/>
                <w:szCs w:val="13"/>
              </w:rPr>
              <w:t>3、主要物资计划：主要物资（含PC构件的供应需求）投入计划与进度计划呼应，基本满足施工需要，调配投入计划基本合理。</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8</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施工进度表与网络计划图</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关键线路清晰、准确、完整、计划编制合理、可行、满足招标文件对工期的要求。</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关键线路基本准确，计划编制基本可行。</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9</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施工总平面图布置</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0.5-1分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总体布置有针对性、合理、能较好满足施工需要，符合安全、文明施工要求；材料堆放有序。</w:t>
            </w:r>
          </w:p>
        </w:tc>
        <w:tc>
          <w:tcPr>
            <w:tcW w:w="130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总体布置基本合理、基本满足施工需要。</w:t>
            </w:r>
          </w:p>
        </w:tc>
        <w:tc>
          <w:tcPr>
            <w:tcW w:w="1301" w:type="dxa"/>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10</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技术创新的应用实施措施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节能减排、绿色施工、工艺创新、装配式建筑等技术创新的应用实施措施符合工程情况，具有针对性、可行性、经济适用性。</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节能减排、绿色施工、工艺创新、装配式建筑等技术创新的应用实施措施基本符合工程情况，具有针对性。</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11</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采用新工艺、新技术、新设备、新材料、BIM等的程度</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采用新工艺、新技术、新设备、新材料、BIM等的程度满足设计要求，符合施工需要和相应技术标准等规定，经济适用。</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采用新工艺、新技术、新设备、新材料、BIM等的程度满足设计要求，基本符合施工要求和相应技术标准等规定。</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12</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施工现场实施信息化监控和数据处理</w:t>
            </w:r>
          </w:p>
        </w:tc>
        <w:tc>
          <w:tcPr>
            <w:tcW w:w="1044"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0.5-1.5分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施工现场实施信息化监控数据处理系统布置合理，满足需要。</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施工现场实施信息化监控数据处理系统布置基本符合需要。</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restart"/>
            <w:vAlign w:val="center"/>
          </w:tcPr>
          <w:p>
            <w:pPr>
              <w:spacing w:line="320" w:lineRule="exact"/>
              <w:jc w:val="center"/>
              <w:rPr>
                <w:rFonts w:hint="eastAsia" w:ascii="宋体" w:hAnsi="宋体" w:eastAsia="宋体" w:cs="宋体"/>
                <w:sz w:val="18"/>
                <w:szCs w:val="13"/>
              </w:rPr>
            </w:pPr>
            <w:r>
              <w:rPr>
                <w:rFonts w:hint="eastAsia" w:ascii="宋体" w:hAnsi="宋体" w:eastAsia="宋体" w:cs="宋体"/>
                <w:sz w:val="18"/>
                <w:szCs w:val="13"/>
              </w:rPr>
              <w:t>13</w:t>
            </w:r>
          </w:p>
        </w:tc>
        <w:tc>
          <w:tcPr>
            <w:tcW w:w="1410" w:type="dxa"/>
            <w:vMerge w:val="restart"/>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风险管理措施</w:t>
            </w:r>
          </w:p>
        </w:tc>
        <w:tc>
          <w:tcPr>
            <w:tcW w:w="1044" w:type="dxa"/>
            <w:vMerge w:val="restart"/>
            <w:vAlign w:val="center"/>
          </w:tcPr>
          <w:p>
            <w:pPr>
              <w:spacing w:line="320" w:lineRule="exact"/>
              <w:ind w:firstLine="180" w:firstLineChars="100"/>
              <w:rPr>
                <w:rFonts w:hint="eastAsia" w:ascii="宋体" w:hAnsi="宋体" w:eastAsia="宋体" w:cs="宋体"/>
                <w:sz w:val="18"/>
                <w:szCs w:val="13"/>
              </w:rPr>
            </w:pPr>
            <w:r>
              <w:rPr>
                <w:rFonts w:hint="eastAsia" w:ascii="宋体" w:hAnsi="宋体" w:eastAsia="宋体" w:cs="宋体"/>
                <w:sz w:val="18"/>
                <w:szCs w:val="13"/>
              </w:rPr>
              <w:t>1-2分</w:t>
            </w: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风险防控管理措施齐全，风险预控符合规范要求，风险控制要点定位准确 ，各阶段风险控制及应急措施得力。</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94" w:type="dxa"/>
            <w:vMerge w:val="continue"/>
            <w:vAlign w:val="center"/>
          </w:tcPr>
          <w:p>
            <w:pPr>
              <w:spacing w:line="320" w:lineRule="exact"/>
              <w:jc w:val="center"/>
              <w:rPr>
                <w:rFonts w:hint="eastAsia" w:ascii="宋体" w:hAnsi="宋体" w:eastAsia="宋体" w:cs="宋体"/>
                <w:sz w:val="18"/>
                <w:szCs w:val="13"/>
              </w:rPr>
            </w:pPr>
          </w:p>
        </w:tc>
        <w:tc>
          <w:tcPr>
            <w:tcW w:w="1410" w:type="dxa"/>
            <w:vMerge w:val="continue"/>
            <w:vAlign w:val="center"/>
          </w:tcPr>
          <w:p>
            <w:pPr>
              <w:spacing w:line="320" w:lineRule="exact"/>
              <w:ind w:firstLine="360" w:firstLineChars="200"/>
              <w:rPr>
                <w:rFonts w:hint="eastAsia" w:ascii="宋体" w:hAnsi="宋体" w:eastAsia="宋体" w:cs="宋体"/>
                <w:sz w:val="18"/>
                <w:szCs w:val="13"/>
              </w:rPr>
            </w:pPr>
          </w:p>
        </w:tc>
        <w:tc>
          <w:tcPr>
            <w:tcW w:w="1044" w:type="dxa"/>
            <w:vMerge w:val="continue"/>
            <w:vAlign w:val="center"/>
          </w:tcPr>
          <w:p>
            <w:pPr>
              <w:spacing w:line="320" w:lineRule="exact"/>
              <w:ind w:firstLine="360" w:firstLineChars="200"/>
              <w:jc w:val="center"/>
              <w:rPr>
                <w:rFonts w:hint="eastAsia" w:ascii="宋体" w:hAnsi="宋体" w:eastAsia="宋体" w:cs="宋体"/>
                <w:sz w:val="18"/>
                <w:szCs w:val="13"/>
              </w:rPr>
            </w:pPr>
          </w:p>
        </w:tc>
        <w:tc>
          <w:tcPr>
            <w:tcW w:w="509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风险防控管理措施基本齐全，风险预控符合规范要求，风险控制要点定位基本准确 ，有各阶段风险控制及应急措施。</w:t>
            </w: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104" w:type="dxa"/>
            <w:gridSpan w:val="2"/>
            <w:vAlign w:val="center"/>
          </w:tcPr>
          <w:p>
            <w:pPr>
              <w:spacing w:line="320" w:lineRule="exact"/>
              <w:ind w:firstLine="360" w:firstLineChars="200"/>
              <w:rPr>
                <w:rFonts w:hint="eastAsia" w:ascii="宋体" w:hAnsi="宋体" w:eastAsia="宋体" w:cs="宋体"/>
                <w:sz w:val="18"/>
                <w:szCs w:val="13"/>
              </w:rPr>
            </w:pPr>
            <w:r>
              <w:rPr>
                <w:rFonts w:hint="eastAsia" w:ascii="宋体" w:hAnsi="宋体" w:eastAsia="宋体" w:cs="宋体"/>
                <w:sz w:val="18"/>
                <w:szCs w:val="13"/>
              </w:rPr>
              <w:t>合计</w:t>
            </w:r>
          </w:p>
        </w:tc>
        <w:tc>
          <w:tcPr>
            <w:tcW w:w="1044"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10-25分</w:t>
            </w:r>
          </w:p>
        </w:tc>
        <w:tc>
          <w:tcPr>
            <w:tcW w:w="5091" w:type="dxa"/>
            <w:vAlign w:val="center"/>
          </w:tcPr>
          <w:p>
            <w:pPr>
              <w:spacing w:line="320" w:lineRule="exact"/>
              <w:rPr>
                <w:rFonts w:hint="eastAsia" w:ascii="宋体" w:hAnsi="宋体" w:eastAsia="宋体" w:cs="宋体"/>
                <w:sz w:val="18"/>
                <w:szCs w:val="13"/>
              </w:rPr>
            </w:pPr>
          </w:p>
        </w:tc>
        <w:tc>
          <w:tcPr>
            <w:tcW w:w="1301" w:type="dxa"/>
            <w:vAlign w:val="center"/>
          </w:tcPr>
          <w:p>
            <w:pPr>
              <w:spacing w:line="320" w:lineRule="exact"/>
              <w:rPr>
                <w:rFonts w:hint="eastAsia" w:ascii="宋体" w:hAnsi="宋体" w:eastAsia="宋体" w:cs="宋体"/>
                <w:sz w:val="18"/>
                <w:szCs w:val="13"/>
              </w:rPr>
            </w:pPr>
            <w:r>
              <w:rPr>
                <w:rFonts w:hint="eastAsia" w:ascii="宋体" w:hAnsi="宋体" w:eastAsia="宋体" w:cs="宋体"/>
                <w:sz w:val="18"/>
                <w:szCs w:val="13"/>
              </w:rPr>
              <w:t>10≤得分≤25</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（二）商务标（50分）</w:t>
      </w:r>
    </w:p>
    <w:p>
      <w:pPr>
        <w:snapToGrid w:val="0"/>
        <w:spacing w:line="360" w:lineRule="auto"/>
        <w:ind w:firstLine="481"/>
        <w:rPr>
          <w:rFonts w:hint="eastAsia" w:hAnsi="宋体" w:cs="宋体"/>
          <w:b/>
          <w:bCs/>
          <w:sz w:val="24"/>
          <w:szCs w:val="24"/>
        </w:rPr>
      </w:pPr>
      <w:r>
        <w:rPr>
          <w:rFonts w:hint="eastAsia" w:hAnsi="宋体" w:cs="宋体"/>
          <w:b/>
          <w:bCs/>
          <w:sz w:val="24"/>
          <w:szCs w:val="24"/>
        </w:rPr>
        <w:t xml:space="preserve">    1.投标报价的评审，共计30分。</w:t>
      </w:r>
    </w:p>
    <w:p>
      <w:pPr>
        <w:snapToGrid w:val="0"/>
        <w:spacing w:line="360" w:lineRule="auto"/>
        <w:ind w:firstLine="481"/>
        <w:rPr>
          <w:rFonts w:hint="eastAsia" w:hAnsi="宋体" w:cs="宋体"/>
          <w:sz w:val="24"/>
          <w:szCs w:val="24"/>
        </w:rPr>
      </w:pPr>
      <w:r>
        <w:rPr>
          <w:rFonts w:hint="eastAsia" w:hAnsi="宋体" w:cs="宋体"/>
          <w:sz w:val="24"/>
          <w:szCs w:val="24"/>
        </w:rPr>
        <w:t>工程量清单报价评标基准价计算公式为：</w:t>
      </w:r>
    </w:p>
    <w:p>
      <w:pPr>
        <w:snapToGrid w:val="0"/>
        <w:spacing w:line="360" w:lineRule="auto"/>
        <w:ind w:firstLine="481"/>
        <w:rPr>
          <w:rFonts w:hint="eastAsia" w:hAnsi="宋体" w:cs="宋体"/>
          <w:sz w:val="24"/>
          <w:szCs w:val="24"/>
        </w:rPr>
      </w:pPr>
      <w:r>
        <w:rPr>
          <w:rFonts w:hint="eastAsia" w:hAnsi="宋体" w:cs="宋体"/>
          <w:sz w:val="24"/>
          <w:szCs w:val="24"/>
        </w:rPr>
        <w:t>评标基准价＝最高投标限价×K+投标报价×（1－K）。</w:t>
      </w:r>
    </w:p>
    <w:p>
      <w:pPr>
        <w:snapToGrid w:val="0"/>
        <w:spacing w:line="360" w:lineRule="auto"/>
        <w:ind w:firstLine="481"/>
        <w:rPr>
          <w:rFonts w:hint="eastAsia" w:hAnsi="宋体" w:cs="宋体"/>
          <w:sz w:val="24"/>
          <w:szCs w:val="24"/>
        </w:rPr>
      </w:pPr>
      <w:r>
        <w:rPr>
          <w:rFonts w:hint="eastAsia" w:hAnsi="宋体" w:cs="宋体"/>
          <w:sz w:val="24"/>
          <w:szCs w:val="24"/>
        </w:rPr>
        <w:t>其中：K为最高投标限价权重系数，取值范围为0.3≤K≤0.5，在开标现场随机抽取。K值在取值区间内间隔为0.1或者0.05，由招标人确定。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snapToGrid w:val="0"/>
        <w:spacing w:line="360" w:lineRule="auto"/>
        <w:ind w:firstLine="481"/>
        <w:rPr>
          <w:rFonts w:hint="eastAsia"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snapToGrid w:val="0"/>
        <w:spacing w:line="360" w:lineRule="auto"/>
        <w:ind w:firstLine="481"/>
        <w:rPr>
          <w:rFonts w:hint="eastAsia" w:hAnsi="宋体" w:cs="宋体"/>
          <w:b/>
          <w:bCs/>
          <w:sz w:val="24"/>
          <w:szCs w:val="24"/>
        </w:rPr>
      </w:pPr>
      <w:r>
        <w:rPr>
          <w:rFonts w:hint="eastAsia" w:hAnsi="宋体" w:cs="宋体"/>
          <w:b/>
          <w:bCs/>
          <w:sz w:val="24"/>
          <w:szCs w:val="24"/>
        </w:rPr>
        <w:t>2.分部分项工程项目清单单价评审，共计10分。</w:t>
      </w:r>
    </w:p>
    <w:p>
      <w:pPr>
        <w:snapToGrid w:val="0"/>
        <w:spacing w:line="360" w:lineRule="auto"/>
        <w:ind w:firstLine="481"/>
        <w:rPr>
          <w:rFonts w:hint="eastAsia"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snapToGrid w:val="0"/>
        <w:spacing w:line="360" w:lineRule="auto"/>
        <w:ind w:firstLine="481"/>
        <w:rPr>
          <w:rFonts w:hint="eastAsia"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snapToGrid w:val="0"/>
        <w:spacing w:line="360" w:lineRule="auto"/>
        <w:ind w:firstLine="481"/>
        <w:rPr>
          <w:rFonts w:hint="eastAsia"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snapToGrid w:val="0"/>
        <w:spacing w:line="360" w:lineRule="auto"/>
        <w:ind w:firstLine="481"/>
        <w:rPr>
          <w:rFonts w:hint="eastAsia" w:hAnsi="宋体" w:cs="宋体"/>
          <w:sz w:val="24"/>
          <w:szCs w:val="24"/>
        </w:rPr>
      </w:pPr>
      <w:r>
        <w:rPr>
          <w:rFonts w:hint="eastAsia" w:hAnsi="宋体" w:cs="宋体"/>
          <w:b/>
          <w:bCs/>
          <w:sz w:val="24"/>
          <w:szCs w:val="24"/>
        </w:rPr>
        <w:t>3.措施项目费的评审（不含安全文明措施费），共计5分。</w:t>
      </w:r>
    </w:p>
    <w:p>
      <w:pPr>
        <w:snapToGrid w:val="0"/>
        <w:spacing w:line="360" w:lineRule="auto"/>
        <w:ind w:firstLine="481"/>
        <w:rPr>
          <w:rFonts w:hint="eastAsia"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snapToGrid w:val="0"/>
        <w:spacing w:line="360" w:lineRule="auto"/>
        <w:ind w:firstLine="481"/>
        <w:rPr>
          <w:rFonts w:hint="eastAsia" w:hAnsi="宋体" w:cs="宋体"/>
          <w:b/>
          <w:bCs/>
          <w:sz w:val="24"/>
          <w:szCs w:val="24"/>
        </w:rPr>
      </w:pPr>
      <w:r>
        <w:rPr>
          <w:rFonts w:hint="eastAsia" w:hAnsi="宋体" w:cs="宋体"/>
          <w:b/>
          <w:bCs/>
          <w:sz w:val="24"/>
          <w:szCs w:val="24"/>
        </w:rPr>
        <w:t>4.主要材料单价的评审，共计5分。</w:t>
      </w:r>
    </w:p>
    <w:p>
      <w:pPr>
        <w:snapToGrid w:val="0"/>
        <w:spacing w:line="360" w:lineRule="auto"/>
        <w:ind w:firstLine="481"/>
        <w:rPr>
          <w:rFonts w:hint="eastAsia" w:hAnsi="宋体" w:cs="宋体"/>
          <w:sz w:val="24"/>
          <w:szCs w:val="24"/>
        </w:rPr>
      </w:pPr>
      <w:r>
        <w:rPr>
          <w:rFonts w:hint="eastAsia" w:hAnsi="宋体" w:cs="宋体"/>
          <w:sz w:val="24"/>
          <w:szCs w:val="24"/>
        </w:rPr>
        <w:t>从最高投标限价中材料总价权重最大的前10-20项材料中抽取6项，在剩余材料中抽取4项。</w:t>
      </w:r>
    </w:p>
    <w:p>
      <w:pPr>
        <w:snapToGrid w:val="0"/>
        <w:spacing w:line="360" w:lineRule="auto"/>
        <w:ind w:firstLine="481"/>
        <w:rPr>
          <w:rFonts w:hint="eastAsia"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snapToGrid w:val="0"/>
        <w:spacing w:line="360" w:lineRule="auto"/>
        <w:ind w:firstLine="481"/>
        <w:rPr>
          <w:rFonts w:hint="eastAsia" w:hAnsi="宋体" w:cs="宋体"/>
          <w:sz w:val="24"/>
          <w:szCs w:val="24"/>
        </w:rPr>
      </w:pPr>
      <w:r>
        <w:rPr>
          <w:rFonts w:hint="eastAsia" w:hAnsi="宋体" w:cs="宋体"/>
          <w:sz w:val="24"/>
          <w:szCs w:val="24"/>
        </w:rPr>
        <w:t>当投标人报价在材料单价基准值95%–103%范围内（不含95%和103%）每项得0.5分，在材料单价基准值90%–95%范围内（含90%和95%）每项得0.25分。超出该范围的不得分。</w:t>
      </w:r>
    </w:p>
    <w:p>
      <w:pPr>
        <w:snapToGrid w:val="0"/>
        <w:spacing w:line="360" w:lineRule="auto"/>
        <w:ind w:firstLine="240" w:firstLineChars="100"/>
        <w:rPr>
          <w:rFonts w:hAnsi="宋体" w:cs="宋体"/>
          <w:sz w:val="24"/>
          <w:szCs w:val="24"/>
        </w:rPr>
      </w:pPr>
      <w:r>
        <w:rPr>
          <w:rFonts w:hint="eastAsia" w:hAnsi="宋体" w:cs="宋体"/>
          <w:b/>
          <w:bCs/>
          <w:sz w:val="24"/>
          <w:szCs w:val="24"/>
        </w:rPr>
        <w:t>注：针对上述2、4款项中部分分部分项工程项目数量较少、施工工艺简单、主材种类较少而不能满足最低抽项要求的，应将所有分部分项工程项目或主要材料项目纳入评审范围。</w:t>
      </w:r>
    </w:p>
    <w:bookmarkEnd w:id="69"/>
    <w:bookmarkEnd w:id="70"/>
    <w:bookmarkEnd w:id="71"/>
    <w:bookmarkEnd w:id="72"/>
    <w:p>
      <w:pPr>
        <w:spacing w:line="360" w:lineRule="auto"/>
        <w:rPr>
          <w:b/>
          <w:bCs/>
          <w:sz w:val="24"/>
          <w:szCs w:val="24"/>
        </w:rPr>
      </w:pPr>
      <w:r>
        <w:rPr>
          <w:rFonts w:hint="eastAsia" w:cs="宋体"/>
          <w:b/>
          <w:bCs/>
          <w:sz w:val="24"/>
          <w:szCs w:val="24"/>
        </w:rPr>
        <w:t>（三）综合（信用）标的评标分值（25分）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612"/>
        <w:gridCol w:w="587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35" w:type="dxa"/>
            <w:noWrap w:val="0"/>
            <w:vAlign w:val="center"/>
          </w:tcPr>
          <w:p>
            <w:pPr>
              <w:spacing w:line="276" w:lineRule="auto"/>
              <w:jc w:val="center"/>
              <w:rPr>
                <w:rFonts w:hAnsi="宋体"/>
                <w:sz w:val="24"/>
                <w:szCs w:val="24"/>
              </w:rPr>
            </w:pPr>
            <w:r>
              <w:rPr>
                <w:rFonts w:hint="eastAsia" w:hAnsi="宋体"/>
                <w:sz w:val="24"/>
                <w:szCs w:val="24"/>
              </w:rPr>
              <w:t>序号</w:t>
            </w:r>
          </w:p>
        </w:tc>
        <w:tc>
          <w:tcPr>
            <w:tcW w:w="1612" w:type="dxa"/>
            <w:noWrap w:val="0"/>
            <w:vAlign w:val="center"/>
          </w:tcPr>
          <w:p>
            <w:pPr>
              <w:spacing w:line="276" w:lineRule="auto"/>
              <w:jc w:val="center"/>
              <w:rPr>
                <w:rFonts w:hAnsi="宋体"/>
                <w:sz w:val="24"/>
                <w:szCs w:val="24"/>
              </w:rPr>
            </w:pPr>
            <w:r>
              <w:rPr>
                <w:rFonts w:hint="eastAsia" w:hAnsi="宋体"/>
                <w:sz w:val="24"/>
                <w:szCs w:val="24"/>
              </w:rPr>
              <w:t>项</w:t>
            </w:r>
            <w:r>
              <w:rPr>
                <w:rFonts w:hAnsi="宋体"/>
                <w:sz w:val="24"/>
                <w:szCs w:val="24"/>
              </w:rPr>
              <w:t xml:space="preserve">     </w:t>
            </w:r>
            <w:r>
              <w:rPr>
                <w:rFonts w:hint="eastAsia" w:hAnsi="宋体"/>
                <w:sz w:val="24"/>
                <w:szCs w:val="24"/>
              </w:rPr>
              <w:t>目</w:t>
            </w:r>
          </w:p>
        </w:tc>
        <w:tc>
          <w:tcPr>
            <w:tcW w:w="5871" w:type="dxa"/>
            <w:noWrap w:val="0"/>
            <w:vAlign w:val="center"/>
          </w:tcPr>
          <w:p>
            <w:pPr>
              <w:spacing w:line="276" w:lineRule="auto"/>
              <w:jc w:val="center"/>
              <w:rPr>
                <w:rFonts w:hAnsi="宋体"/>
                <w:sz w:val="24"/>
                <w:szCs w:val="24"/>
              </w:rPr>
            </w:pPr>
            <w:r>
              <w:rPr>
                <w:rFonts w:hint="eastAsia" w:hAnsi="宋体"/>
                <w:sz w:val="24"/>
                <w:szCs w:val="24"/>
              </w:rPr>
              <w:t>评</w:t>
            </w:r>
            <w:r>
              <w:rPr>
                <w:rFonts w:hAnsi="宋体"/>
                <w:sz w:val="24"/>
                <w:szCs w:val="24"/>
              </w:rPr>
              <w:t xml:space="preserve">  </w:t>
            </w:r>
            <w:r>
              <w:rPr>
                <w:rFonts w:hint="eastAsia" w:hAnsi="宋体"/>
                <w:sz w:val="24"/>
                <w:szCs w:val="24"/>
              </w:rPr>
              <w:t>审</w:t>
            </w:r>
            <w:r>
              <w:rPr>
                <w:rFonts w:hAnsi="宋体"/>
                <w:sz w:val="24"/>
                <w:szCs w:val="24"/>
              </w:rPr>
              <w:t xml:space="preserve">   </w:t>
            </w:r>
            <w:r>
              <w:rPr>
                <w:rFonts w:hint="eastAsia" w:hAnsi="宋体"/>
                <w:sz w:val="24"/>
                <w:szCs w:val="24"/>
              </w:rPr>
              <w:t>标</w:t>
            </w:r>
            <w:r>
              <w:rPr>
                <w:rFonts w:hAnsi="宋体"/>
                <w:sz w:val="24"/>
                <w:szCs w:val="24"/>
              </w:rPr>
              <w:t xml:space="preserve">   </w:t>
            </w:r>
            <w:r>
              <w:rPr>
                <w:rFonts w:hint="eastAsia" w:hAnsi="宋体"/>
                <w:sz w:val="24"/>
                <w:szCs w:val="24"/>
              </w:rPr>
              <w:t>准</w:t>
            </w:r>
          </w:p>
        </w:tc>
        <w:tc>
          <w:tcPr>
            <w:tcW w:w="1432" w:type="dxa"/>
            <w:noWrap w:val="0"/>
            <w:vAlign w:val="center"/>
          </w:tcPr>
          <w:p>
            <w:pPr>
              <w:spacing w:line="276" w:lineRule="auto"/>
              <w:jc w:val="center"/>
              <w:rPr>
                <w:rFonts w:hAnsi="宋体"/>
                <w:sz w:val="24"/>
                <w:szCs w:val="24"/>
              </w:rPr>
            </w:pPr>
            <w:r>
              <w:rPr>
                <w:rFonts w:hint="eastAsia" w:hAnsi="宋体"/>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35" w:type="dxa"/>
            <w:noWrap w:val="0"/>
            <w:vAlign w:val="center"/>
          </w:tcPr>
          <w:p>
            <w:pPr>
              <w:spacing w:line="276" w:lineRule="auto"/>
              <w:jc w:val="center"/>
              <w:rPr>
                <w:rFonts w:hAnsi="宋体"/>
                <w:sz w:val="24"/>
                <w:szCs w:val="24"/>
              </w:rPr>
            </w:pPr>
            <w:r>
              <w:rPr>
                <w:rFonts w:hAnsi="宋体"/>
                <w:sz w:val="24"/>
                <w:szCs w:val="24"/>
              </w:rPr>
              <w:t>1</w:t>
            </w:r>
          </w:p>
        </w:tc>
        <w:tc>
          <w:tcPr>
            <w:tcW w:w="1612" w:type="dxa"/>
            <w:noWrap w:val="0"/>
            <w:vAlign w:val="center"/>
          </w:tcPr>
          <w:p>
            <w:pPr>
              <w:spacing w:line="276" w:lineRule="auto"/>
              <w:jc w:val="center"/>
              <w:rPr>
                <w:rFonts w:hAnsi="宋体"/>
                <w:sz w:val="24"/>
                <w:szCs w:val="24"/>
              </w:rPr>
            </w:pPr>
            <w:r>
              <w:rPr>
                <w:rFonts w:hint="eastAsia" w:hAnsi="宋体"/>
                <w:sz w:val="24"/>
                <w:szCs w:val="24"/>
              </w:rPr>
              <w:t>企业业绩</w:t>
            </w:r>
          </w:p>
        </w:tc>
        <w:tc>
          <w:tcPr>
            <w:tcW w:w="5871" w:type="dxa"/>
            <w:noWrap w:val="0"/>
            <w:vAlign w:val="center"/>
          </w:tcPr>
          <w:p>
            <w:pPr>
              <w:spacing w:line="276" w:lineRule="auto"/>
              <w:jc w:val="left"/>
              <w:rPr>
                <w:rFonts w:hAnsi="宋体"/>
                <w:sz w:val="24"/>
                <w:szCs w:val="24"/>
              </w:rPr>
            </w:pPr>
            <w:r>
              <w:rPr>
                <w:rFonts w:hint="eastAsia" w:hAnsi="宋体"/>
                <w:sz w:val="24"/>
                <w:szCs w:val="24"/>
              </w:rPr>
              <w:t>企业自201</w:t>
            </w:r>
            <w:r>
              <w:rPr>
                <w:rFonts w:hint="eastAsia" w:hAnsi="宋体"/>
                <w:sz w:val="24"/>
                <w:szCs w:val="24"/>
                <w:lang w:val="en-US" w:eastAsia="zh-CN"/>
              </w:rPr>
              <w:t>7</w:t>
            </w:r>
            <w:r>
              <w:rPr>
                <w:rFonts w:hint="eastAsia" w:hAnsi="宋体"/>
                <w:sz w:val="24"/>
                <w:szCs w:val="24"/>
              </w:rPr>
              <w:t>年1月1日以来具有工程施工业绩者，每项得2分，本项最高得4分。（须同时提供中标通知书（或竣工证明）、合同协议书）</w:t>
            </w:r>
          </w:p>
        </w:tc>
        <w:tc>
          <w:tcPr>
            <w:tcW w:w="1432" w:type="dxa"/>
            <w:noWrap w:val="0"/>
            <w:vAlign w:val="center"/>
          </w:tcPr>
          <w:p>
            <w:pPr>
              <w:spacing w:line="276" w:lineRule="auto"/>
              <w:jc w:val="center"/>
              <w:rPr>
                <w:rFonts w:hAnsi="宋体"/>
                <w:sz w:val="24"/>
                <w:szCs w:val="24"/>
              </w:rPr>
            </w:pPr>
            <w:r>
              <w:rPr>
                <w:rFonts w:hAnsi="宋体"/>
                <w:sz w:val="24"/>
                <w:szCs w:val="24"/>
              </w:rPr>
              <w:t>0</w:t>
            </w:r>
            <w:r>
              <w:rPr>
                <w:rFonts w:hint="eastAsia" w:hAnsi="宋体"/>
                <w:sz w:val="24"/>
                <w:szCs w:val="24"/>
              </w:rPr>
              <w:t>＜得分</w:t>
            </w:r>
            <w:r>
              <w:rPr>
                <w:rFonts w:hAnsi="宋体"/>
                <w:sz w:val="24"/>
                <w:szCs w:val="24"/>
              </w:rPr>
              <w:t>≤</w:t>
            </w:r>
            <w:r>
              <w:rPr>
                <w:rFonts w:hint="eastAsia" w:hAnsi="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5" w:type="dxa"/>
            <w:noWrap w:val="0"/>
            <w:vAlign w:val="center"/>
          </w:tcPr>
          <w:p>
            <w:pPr>
              <w:spacing w:line="276" w:lineRule="auto"/>
              <w:jc w:val="center"/>
              <w:rPr>
                <w:rFonts w:hAnsi="宋体"/>
                <w:sz w:val="24"/>
                <w:szCs w:val="24"/>
              </w:rPr>
            </w:pPr>
            <w:r>
              <w:rPr>
                <w:rFonts w:hAnsi="宋体"/>
                <w:sz w:val="24"/>
                <w:szCs w:val="24"/>
              </w:rPr>
              <w:t>2</w:t>
            </w:r>
          </w:p>
        </w:tc>
        <w:tc>
          <w:tcPr>
            <w:tcW w:w="1612" w:type="dxa"/>
            <w:noWrap w:val="0"/>
            <w:vAlign w:val="center"/>
          </w:tcPr>
          <w:p>
            <w:pPr>
              <w:spacing w:line="276" w:lineRule="auto"/>
              <w:jc w:val="center"/>
              <w:rPr>
                <w:rFonts w:hAnsi="宋体"/>
                <w:sz w:val="24"/>
                <w:szCs w:val="24"/>
              </w:rPr>
            </w:pPr>
            <w:r>
              <w:rPr>
                <w:rFonts w:hint="eastAsia" w:hAnsi="宋体"/>
                <w:sz w:val="24"/>
                <w:szCs w:val="24"/>
              </w:rPr>
              <w:t>项目经理业绩</w:t>
            </w:r>
          </w:p>
        </w:tc>
        <w:tc>
          <w:tcPr>
            <w:tcW w:w="5871" w:type="dxa"/>
            <w:noWrap w:val="0"/>
            <w:vAlign w:val="center"/>
          </w:tcPr>
          <w:p>
            <w:pPr>
              <w:spacing w:line="276" w:lineRule="auto"/>
              <w:jc w:val="left"/>
              <w:rPr>
                <w:rFonts w:hAnsi="宋体"/>
                <w:sz w:val="24"/>
                <w:szCs w:val="24"/>
              </w:rPr>
            </w:pPr>
            <w:r>
              <w:rPr>
                <w:rFonts w:hint="eastAsia" w:hAnsi="宋体"/>
                <w:sz w:val="24"/>
                <w:szCs w:val="24"/>
              </w:rPr>
              <w:t>自</w:t>
            </w:r>
            <w:r>
              <w:rPr>
                <w:rFonts w:hint="eastAsia" w:hAnsi="宋体" w:cs="宋体"/>
                <w:bCs/>
                <w:sz w:val="24"/>
                <w:szCs w:val="24"/>
              </w:rPr>
              <w:t>2</w:t>
            </w:r>
            <w:r>
              <w:rPr>
                <w:rFonts w:hAnsi="宋体" w:cs="宋体"/>
                <w:bCs/>
                <w:sz w:val="24"/>
                <w:szCs w:val="24"/>
              </w:rPr>
              <w:t>01</w:t>
            </w:r>
            <w:r>
              <w:rPr>
                <w:rFonts w:hint="eastAsia" w:hAnsi="宋体" w:cs="宋体"/>
                <w:bCs/>
                <w:sz w:val="24"/>
                <w:szCs w:val="24"/>
                <w:lang w:val="en-US" w:eastAsia="zh-CN"/>
              </w:rPr>
              <w:t>7</w:t>
            </w:r>
            <w:r>
              <w:rPr>
                <w:rFonts w:hint="eastAsia" w:hAnsi="宋体" w:cs="宋体"/>
                <w:bCs/>
                <w:sz w:val="24"/>
                <w:szCs w:val="24"/>
              </w:rPr>
              <w:t>年1月</w:t>
            </w:r>
            <w:r>
              <w:rPr>
                <w:rFonts w:hAnsi="宋体" w:cs="宋体"/>
                <w:bCs/>
                <w:sz w:val="24"/>
                <w:szCs w:val="24"/>
              </w:rPr>
              <w:t>1</w:t>
            </w:r>
            <w:r>
              <w:rPr>
                <w:rFonts w:hint="eastAsia" w:hAnsi="宋体" w:cs="宋体"/>
                <w:bCs/>
                <w:sz w:val="24"/>
                <w:szCs w:val="24"/>
              </w:rPr>
              <w:t>日以来拟派项目负责人有业绩者每项得6分，本项最高得6分（</w:t>
            </w:r>
            <w:r>
              <w:rPr>
                <w:rFonts w:hint="eastAsia" w:hAnsi="宋体"/>
                <w:sz w:val="24"/>
                <w:szCs w:val="24"/>
              </w:rPr>
              <w:t>须同时提供中标通知书（或竣工证明）、合同协议书</w:t>
            </w:r>
            <w:r>
              <w:rPr>
                <w:rFonts w:hint="eastAsia" w:hAnsi="宋体" w:cs="宋体"/>
                <w:bCs/>
                <w:sz w:val="24"/>
                <w:szCs w:val="24"/>
              </w:rPr>
              <w:t>，若不显示项目负责人名字，需提供建设单位或行政监管部门出具的相关证明）。</w:t>
            </w:r>
          </w:p>
        </w:tc>
        <w:tc>
          <w:tcPr>
            <w:tcW w:w="1432" w:type="dxa"/>
            <w:noWrap w:val="0"/>
            <w:vAlign w:val="center"/>
          </w:tcPr>
          <w:p>
            <w:pPr>
              <w:spacing w:line="276" w:lineRule="auto"/>
              <w:jc w:val="center"/>
              <w:rPr>
                <w:rFonts w:hAnsi="宋体"/>
                <w:sz w:val="24"/>
                <w:szCs w:val="24"/>
              </w:rPr>
            </w:pPr>
            <w:r>
              <w:rPr>
                <w:rFonts w:hAnsi="宋体"/>
                <w:sz w:val="24"/>
                <w:szCs w:val="24"/>
              </w:rPr>
              <w:t>0</w:t>
            </w:r>
            <w:r>
              <w:rPr>
                <w:rFonts w:hint="eastAsia" w:hAnsi="宋体"/>
                <w:sz w:val="24"/>
                <w:szCs w:val="24"/>
              </w:rPr>
              <w:t>＜得分</w:t>
            </w:r>
            <w:r>
              <w:rPr>
                <w:rFonts w:hAnsi="宋体"/>
                <w:sz w:val="24"/>
                <w:szCs w:val="24"/>
              </w:rPr>
              <w:t>≤</w:t>
            </w:r>
            <w:r>
              <w:rPr>
                <w:rFonts w:hint="eastAsia" w:hAnsi="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35" w:type="dxa"/>
            <w:vMerge w:val="restart"/>
            <w:noWrap w:val="0"/>
            <w:vAlign w:val="center"/>
          </w:tcPr>
          <w:p>
            <w:pPr>
              <w:spacing w:line="276" w:lineRule="auto"/>
              <w:jc w:val="center"/>
              <w:rPr>
                <w:rFonts w:hAnsi="宋体"/>
                <w:sz w:val="24"/>
                <w:szCs w:val="24"/>
              </w:rPr>
            </w:pPr>
            <w:r>
              <w:rPr>
                <w:rFonts w:hAnsi="宋体"/>
                <w:sz w:val="24"/>
                <w:szCs w:val="24"/>
              </w:rPr>
              <w:t>3</w:t>
            </w:r>
          </w:p>
        </w:tc>
        <w:tc>
          <w:tcPr>
            <w:tcW w:w="1612" w:type="dxa"/>
            <w:vMerge w:val="restart"/>
            <w:noWrap w:val="0"/>
            <w:vAlign w:val="center"/>
          </w:tcPr>
          <w:p>
            <w:pPr>
              <w:spacing w:line="276" w:lineRule="auto"/>
              <w:jc w:val="center"/>
              <w:rPr>
                <w:rFonts w:hAnsi="宋体"/>
                <w:sz w:val="24"/>
                <w:szCs w:val="24"/>
              </w:rPr>
            </w:pPr>
            <w:r>
              <w:rPr>
                <w:rFonts w:hint="eastAsia" w:hAnsi="宋体"/>
                <w:sz w:val="24"/>
                <w:szCs w:val="24"/>
              </w:rPr>
              <w:t>优惠承诺</w:t>
            </w:r>
          </w:p>
        </w:tc>
        <w:tc>
          <w:tcPr>
            <w:tcW w:w="5871" w:type="dxa"/>
            <w:noWrap w:val="0"/>
            <w:vAlign w:val="center"/>
          </w:tcPr>
          <w:p>
            <w:pPr>
              <w:spacing w:line="276" w:lineRule="auto"/>
              <w:jc w:val="left"/>
              <w:rPr>
                <w:rFonts w:hAnsi="宋体"/>
                <w:sz w:val="24"/>
                <w:szCs w:val="24"/>
              </w:rPr>
            </w:pPr>
            <w:r>
              <w:rPr>
                <w:rFonts w:hint="eastAsia" w:hAnsi="宋体"/>
                <w:sz w:val="24"/>
                <w:szCs w:val="24"/>
              </w:rPr>
              <w:t>优惠承诺应是书面的符合工程实际情况，确保依法依规，优惠合理，详实可行。</w:t>
            </w:r>
          </w:p>
        </w:tc>
        <w:tc>
          <w:tcPr>
            <w:tcW w:w="1432" w:type="dxa"/>
            <w:noWrap w:val="0"/>
            <w:vAlign w:val="center"/>
          </w:tcPr>
          <w:p>
            <w:pPr>
              <w:spacing w:line="276" w:lineRule="auto"/>
              <w:jc w:val="center"/>
              <w:rPr>
                <w:rFonts w:hint="eastAsia" w:hAnsi="宋体"/>
                <w:sz w:val="24"/>
                <w:szCs w:val="24"/>
              </w:rPr>
            </w:pPr>
            <w:r>
              <w:rPr>
                <w:rFonts w:hint="eastAsia" w:hAnsi="宋体"/>
                <w:sz w:val="24"/>
                <w:szCs w:val="24"/>
              </w:rPr>
              <w:t>3＜得分</w:t>
            </w:r>
            <w:r>
              <w:rPr>
                <w:rFonts w:hAnsi="宋体"/>
                <w:sz w:val="24"/>
                <w:szCs w:val="24"/>
              </w:rPr>
              <w:t>≤</w:t>
            </w:r>
            <w:r>
              <w:rPr>
                <w:rFonts w:hint="eastAsia" w:hAnsi="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35" w:type="dxa"/>
            <w:vMerge w:val="continue"/>
            <w:noWrap w:val="0"/>
            <w:vAlign w:val="center"/>
          </w:tcPr>
          <w:p>
            <w:pPr>
              <w:spacing w:line="276" w:lineRule="auto"/>
              <w:jc w:val="left"/>
              <w:rPr>
                <w:rFonts w:hAnsi="宋体"/>
                <w:sz w:val="24"/>
                <w:szCs w:val="24"/>
              </w:rPr>
            </w:pPr>
          </w:p>
        </w:tc>
        <w:tc>
          <w:tcPr>
            <w:tcW w:w="1612" w:type="dxa"/>
            <w:vMerge w:val="continue"/>
            <w:noWrap w:val="0"/>
            <w:vAlign w:val="center"/>
          </w:tcPr>
          <w:p>
            <w:pPr>
              <w:spacing w:line="276" w:lineRule="auto"/>
              <w:jc w:val="left"/>
              <w:rPr>
                <w:rFonts w:hAnsi="宋体"/>
                <w:sz w:val="24"/>
                <w:szCs w:val="24"/>
              </w:rPr>
            </w:pPr>
          </w:p>
        </w:tc>
        <w:tc>
          <w:tcPr>
            <w:tcW w:w="5871" w:type="dxa"/>
            <w:noWrap w:val="0"/>
            <w:vAlign w:val="center"/>
          </w:tcPr>
          <w:p>
            <w:pPr>
              <w:spacing w:line="276" w:lineRule="auto"/>
              <w:jc w:val="left"/>
              <w:rPr>
                <w:rFonts w:hAnsi="宋体"/>
                <w:sz w:val="24"/>
                <w:szCs w:val="24"/>
              </w:rPr>
            </w:pPr>
            <w:r>
              <w:rPr>
                <w:rFonts w:hint="eastAsia" w:hAnsi="宋体"/>
                <w:sz w:val="24"/>
                <w:szCs w:val="24"/>
              </w:rPr>
              <w:t>优惠承诺符合工程实际情况，确保依法依规，优惠基本合理，基本详实可行。</w:t>
            </w:r>
          </w:p>
        </w:tc>
        <w:tc>
          <w:tcPr>
            <w:tcW w:w="1432" w:type="dxa"/>
            <w:noWrap w:val="0"/>
            <w:vAlign w:val="center"/>
          </w:tcPr>
          <w:p>
            <w:pPr>
              <w:spacing w:line="276" w:lineRule="auto"/>
              <w:jc w:val="center"/>
              <w:rPr>
                <w:rFonts w:hint="eastAsia" w:hAnsi="宋体"/>
                <w:sz w:val="24"/>
                <w:szCs w:val="24"/>
              </w:rPr>
            </w:pPr>
            <w:r>
              <w:rPr>
                <w:rFonts w:hint="eastAsia" w:hAnsi="宋体"/>
                <w:sz w:val="24"/>
                <w:szCs w:val="24"/>
              </w:rPr>
              <w:t>1</w:t>
            </w:r>
            <w:r>
              <w:rPr>
                <w:rFonts w:hAnsi="宋体"/>
                <w:sz w:val="24"/>
                <w:szCs w:val="24"/>
              </w:rPr>
              <w:t>≤</w:t>
            </w:r>
            <w:r>
              <w:rPr>
                <w:rFonts w:hint="eastAsia" w:hAnsi="宋体"/>
                <w:sz w:val="24"/>
                <w:szCs w:val="24"/>
              </w:rPr>
              <w:t>得分</w:t>
            </w:r>
            <w:r>
              <w:rPr>
                <w:rFonts w:hAnsi="宋体"/>
                <w:sz w:val="24"/>
                <w:szCs w:val="24"/>
              </w:rPr>
              <w:t>≤</w:t>
            </w:r>
            <w:r>
              <w:rPr>
                <w:rFonts w:hint="eastAsia"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35" w:type="dxa"/>
            <w:vMerge w:val="restart"/>
            <w:noWrap w:val="0"/>
            <w:vAlign w:val="center"/>
          </w:tcPr>
          <w:p>
            <w:pPr>
              <w:spacing w:line="276" w:lineRule="auto"/>
              <w:jc w:val="center"/>
              <w:rPr>
                <w:rFonts w:hAnsi="宋体"/>
                <w:sz w:val="24"/>
                <w:szCs w:val="24"/>
              </w:rPr>
            </w:pPr>
            <w:r>
              <w:rPr>
                <w:rFonts w:hAnsi="宋体"/>
                <w:sz w:val="24"/>
                <w:szCs w:val="24"/>
              </w:rPr>
              <w:t>4</w:t>
            </w:r>
          </w:p>
        </w:tc>
        <w:tc>
          <w:tcPr>
            <w:tcW w:w="1612" w:type="dxa"/>
            <w:vMerge w:val="restart"/>
            <w:noWrap w:val="0"/>
            <w:vAlign w:val="center"/>
          </w:tcPr>
          <w:p>
            <w:pPr>
              <w:spacing w:line="276" w:lineRule="auto"/>
              <w:jc w:val="center"/>
              <w:rPr>
                <w:rFonts w:hAnsi="宋体"/>
                <w:sz w:val="24"/>
                <w:szCs w:val="24"/>
              </w:rPr>
            </w:pPr>
            <w:r>
              <w:rPr>
                <w:rFonts w:hint="eastAsia" w:hAnsi="宋体"/>
                <w:sz w:val="24"/>
                <w:szCs w:val="24"/>
              </w:rPr>
              <w:t>履职尽责承诺</w:t>
            </w:r>
          </w:p>
        </w:tc>
        <w:tc>
          <w:tcPr>
            <w:tcW w:w="5871" w:type="dxa"/>
            <w:noWrap w:val="0"/>
            <w:vAlign w:val="center"/>
          </w:tcPr>
          <w:p>
            <w:pPr>
              <w:spacing w:line="276" w:lineRule="auto"/>
              <w:jc w:val="left"/>
              <w:rPr>
                <w:rFonts w:hAnsi="宋体"/>
                <w:sz w:val="24"/>
                <w:szCs w:val="24"/>
              </w:rPr>
            </w:pPr>
            <w:r>
              <w:rPr>
                <w:rFonts w:hint="eastAsia" w:hAnsi="宋体"/>
                <w:sz w:val="24"/>
                <w:szCs w:val="24"/>
              </w:rPr>
              <w:t>具有全面、详实、可行、合法有效的书面保证技术措施落实到位的承诺和落实不到位的处理承诺，其中包括各关键岗位人员（项目经理、技术负责人及相关技术人员、质量员、安全员、资料员、材料员等）的在岗、更换等履职尽责承诺，提供承包商履约保证。</w:t>
            </w:r>
          </w:p>
        </w:tc>
        <w:tc>
          <w:tcPr>
            <w:tcW w:w="1432" w:type="dxa"/>
            <w:noWrap w:val="0"/>
            <w:vAlign w:val="center"/>
          </w:tcPr>
          <w:p>
            <w:pPr>
              <w:spacing w:line="276" w:lineRule="auto"/>
              <w:jc w:val="center"/>
              <w:rPr>
                <w:rFonts w:hAnsi="宋体"/>
                <w:sz w:val="24"/>
                <w:szCs w:val="24"/>
              </w:rPr>
            </w:pPr>
            <w:r>
              <w:rPr>
                <w:rFonts w:hAnsi="宋体"/>
                <w:sz w:val="24"/>
                <w:szCs w:val="24"/>
              </w:rPr>
              <w:t>2</w:t>
            </w:r>
            <w:r>
              <w:rPr>
                <w:rFonts w:hint="eastAsia" w:hAnsi="宋体"/>
                <w:sz w:val="24"/>
                <w:szCs w:val="24"/>
              </w:rPr>
              <w:t>＜得分</w:t>
            </w:r>
            <w:r>
              <w:rPr>
                <w:rFonts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5" w:type="dxa"/>
            <w:vMerge w:val="continue"/>
            <w:noWrap w:val="0"/>
            <w:vAlign w:val="center"/>
          </w:tcPr>
          <w:p>
            <w:pPr>
              <w:spacing w:line="276" w:lineRule="auto"/>
              <w:jc w:val="left"/>
              <w:rPr>
                <w:rFonts w:hAnsi="宋体"/>
                <w:sz w:val="24"/>
                <w:szCs w:val="24"/>
              </w:rPr>
            </w:pPr>
          </w:p>
        </w:tc>
        <w:tc>
          <w:tcPr>
            <w:tcW w:w="1612" w:type="dxa"/>
            <w:vMerge w:val="continue"/>
            <w:noWrap w:val="0"/>
            <w:vAlign w:val="center"/>
          </w:tcPr>
          <w:p>
            <w:pPr>
              <w:spacing w:line="276" w:lineRule="auto"/>
              <w:jc w:val="left"/>
              <w:rPr>
                <w:rFonts w:hAnsi="宋体"/>
                <w:sz w:val="24"/>
                <w:szCs w:val="24"/>
              </w:rPr>
            </w:pPr>
          </w:p>
        </w:tc>
        <w:tc>
          <w:tcPr>
            <w:tcW w:w="5871" w:type="dxa"/>
            <w:noWrap w:val="0"/>
            <w:vAlign w:val="center"/>
          </w:tcPr>
          <w:p>
            <w:pPr>
              <w:spacing w:line="276" w:lineRule="auto"/>
              <w:jc w:val="left"/>
              <w:rPr>
                <w:rFonts w:hAnsi="宋体"/>
                <w:sz w:val="24"/>
                <w:szCs w:val="24"/>
              </w:rPr>
            </w:pPr>
            <w:r>
              <w:rPr>
                <w:rFonts w:hint="eastAsia" w:hAnsi="宋体"/>
                <w:sz w:val="24"/>
                <w:szCs w:val="24"/>
              </w:rPr>
              <w:t>具有可行、合法有效的书面保证技术措施落实到位的承诺和落实不到位的处理承诺，其中包括各关键岗位人员（项目经理、技术负责人及相关技术人员、质量员、安全员、资料员、材料员等）的在岗、更换等履职尽责承诺，提供承包商履约保证。</w:t>
            </w:r>
          </w:p>
        </w:tc>
        <w:tc>
          <w:tcPr>
            <w:tcW w:w="1432" w:type="dxa"/>
            <w:noWrap w:val="0"/>
            <w:vAlign w:val="center"/>
          </w:tcPr>
          <w:p>
            <w:pPr>
              <w:spacing w:line="276" w:lineRule="auto"/>
              <w:jc w:val="center"/>
              <w:rPr>
                <w:rFonts w:hAnsi="宋体"/>
                <w:sz w:val="24"/>
                <w:szCs w:val="24"/>
              </w:rPr>
            </w:pPr>
            <w:r>
              <w:rPr>
                <w:rFonts w:hAnsi="宋体"/>
                <w:sz w:val="24"/>
                <w:szCs w:val="24"/>
              </w:rPr>
              <w:t>1≤</w:t>
            </w:r>
            <w:r>
              <w:rPr>
                <w:rFonts w:hint="eastAsia" w:hAnsi="宋体"/>
                <w:sz w:val="24"/>
                <w:szCs w:val="24"/>
              </w:rPr>
              <w:t>得分</w:t>
            </w:r>
            <w:r>
              <w:rPr>
                <w:rFonts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5" w:type="dxa"/>
            <w:noWrap w:val="0"/>
            <w:vAlign w:val="center"/>
          </w:tcPr>
          <w:p>
            <w:pPr>
              <w:spacing w:line="276" w:lineRule="auto"/>
              <w:jc w:val="center"/>
              <w:rPr>
                <w:rFonts w:hAnsi="宋体"/>
                <w:sz w:val="24"/>
                <w:szCs w:val="24"/>
              </w:rPr>
            </w:pPr>
            <w:r>
              <w:rPr>
                <w:rFonts w:hAnsi="宋体"/>
                <w:sz w:val="24"/>
                <w:szCs w:val="24"/>
              </w:rPr>
              <w:t>5</w:t>
            </w:r>
          </w:p>
        </w:tc>
        <w:tc>
          <w:tcPr>
            <w:tcW w:w="1612" w:type="dxa"/>
            <w:noWrap w:val="0"/>
            <w:vAlign w:val="center"/>
          </w:tcPr>
          <w:p>
            <w:pPr>
              <w:spacing w:line="276" w:lineRule="auto"/>
              <w:jc w:val="center"/>
              <w:rPr>
                <w:rFonts w:hAnsi="宋体"/>
                <w:sz w:val="24"/>
                <w:szCs w:val="24"/>
              </w:rPr>
            </w:pPr>
            <w:r>
              <w:rPr>
                <w:rFonts w:hint="eastAsia" w:hAnsi="宋体"/>
                <w:sz w:val="24"/>
                <w:szCs w:val="24"/>
              </w:rPr>
              <w:t>企业信用(含纳税诚信)</w:t>
            </w:r>
          </w:p>
        </w:tc>
        <w:tc>
          <w:tcPr>
            <w:tcW w:w="5871" w:type="dxa"/>
            <w:noWrap w:val="0"/>
            <w:vAlign w:val="center"/>
          </w:tcPr>
          <w:p>
            <w:pPr>
              <w:spacing w:line="300" w:lineRule="exact"/>
              <w:jc w:val="left"/>
              <w:rPr>
                <w:rFonts w:hint="eastAsia" w:hAnsi="宋体" w:cs="宋体"/>
                <w:sz w:val="24"/>
                <w:szCs w:val="24"/>
              </w:rPr>
            </w:pPr>
            <w:r>
              <w:rPr>
                <w:rFonts w:hint="eastAsia" w:hAnsi="宋体" w:cs="宋体"/>
                <w:sz w:val="24"/>
                <w:szCs w:val="24"/>
              </w:rPr>
              <w:t>1、投标人提供2016年1月以来信用评级机构出具的有效的企业信用等级证书或信用等级报告的原件扫描件，等级为AAA级的得2分。</w:t>
            </w:r>
          </w:p>
          <w:p>
            <w:pPr>
              <w:pStyle w:val="9"/>
              <w:ind w:firstLine="0" w:firstLineChars="0"/>
            </w:pPr>
            <w:r>
              <w:rPr>
                <w:rFonts w:hint="eastAsia" w:hAnsi="宋体" w:cs="宋体"/>
                <w:sz w:val="24"/>
                <w:szCs w:val="24"/>
              </w:rPr>
              <w:t>2</w:t>
            </w:r>
            <w:r>
              <w:rPr>
                <w:rFonts w:hAnsi="宋体" w:cs="宋体"/>
                <w:sz w:val="24"/>
                <w:szCs w:val="24"/>
              </w:rPr>
              <w:t>、企业获得过省级装饰装修行业安全诚信企业的得1分、质量诚信企业的得1分。</w:t>
            </w:r>
          </w:p>
        </w:tc>
        <w:tc>
          <w:tcPr>
            <w:tcW w:w="1432" w:type="dxa"/>
            <w:noWrap w:val="0"/>
            <w:vAlign w:val="center"/>
          </w:tcPr>
          <w:p>
            <w:pPr>
              <w:spacing w:line="276" w:lineRule="auto"/>
              <w:jc w:val="center"/>
              <w:rPr>
                <w:rFonts w:hAnsi="宋体"/>
                <w:sz w:val="24"/>
                <w:szCs w:val="24"/>
              </w:rPr>
            </w:pPr>
            <w:r>
              <w:rPr>
                <w:rFonts w:hint="eastAsia" w:hAnsi="宋体"/>
                <w:sz w:val="24"/>
                <w:szCs w:val="24"/>
              </w:rPr>
              <w:t>0</w:t>
            </w:r>
            <w:r>
              <w:rPr>
                <w:rFonts w:hAnsi="宋体"/>
                <w:sz w:val="24"/>
                <w:szCs w:val="24"/>
              </w:rPr>
              <w:t>≤</w:t>
            </w:r>
            <w:r>
              <w:rPr>
                <w:rFonts w:hint="eastAsia" w:hAnsi="宋体"/>
                <w:sz w:val="24"/>
                <w:szCs w:val="24"/>
              </w:rPr>
              <w:t>得分</w:t>
            </w:r>
            <w:r>
              <w:rPr>
                <w:rFonts w:hAnsi="宋体"/>
                <w:sz w:val="24"/>
                <w:szCs w:val="24"/>
              </w:rPr>
              <w:t>≤</w:t>
            </w:r>
            <w:r>
              <w:rPr>
                <w:rFonts w:hint="eastAsia" w:hAnsi="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5" w:type="dxa"/>
            <w:noWrap w:val="0"/>
            <w:vAlign w:val="center"/>
          </w:tcPr>
          <w:p>
            <w:pPr>
              <w:spacing w:line="276" w:lineRule="auto"/>
              <w:jc w:val="center"/>
              <w:rPr>
                <w:rFonts w:hAnsi="宋体"/>
                <w:sz w:val="24"/>
                <w:szCs w:val="24"/>
              </w:rPr>
            </w:pPr>
            <w:r>
              <w:rPr>
                <w:rFonts w:hAnsi="宋体"/>
                <w:sz w:val="24"/>
                <w:szCs w:val="24"/>
              </w:rPr>
              <w:t>6</w:t>
            </w:r>
          </w:p>
        </w:tc>
        <w:tc>
          <w:tcPr>
            <w:tcW w:w="1612" w:type="dxa"/>
            <w:noWrap w:val="0"/>
            <w:vAlign w:val="center"/>
          </w:tcPr>
          <w:p>
            <w:pPr>
              <w:spacing w:line="276" w:lineRule="auto"/>
              <w:jc w:val="center"/>
              <w:rPr>
                <w:rFonts w:hAnsi="宋体"/>
                <w:sz w:val="24"/>
                <w:szCs w:val="24"/>
              </w:rPr>
            </w:pPr>
            <w:r>
              <w:rPr>
                <w:rFonts w:hint="eastAsia" w:hAnsi="宋体"/>
                <w:sz w:val="24"/>
                <w:szCs w:val="24"/>
              </w:rPr>
              <w:t>项目经理信用</w:t>
            </w:r>
          </w:p>
        </w:tc>
        <w:tc>
          <w:tcPr>
            <w:tcW w:w="5871" w:type="dxa"/>
            <w:noWrap w:val="0"/>
            <w:vAlign w:val="center"/>
          </w:tcPr>
          <w:p>
            <w:pPr>
              <w:spacing w:line="276" w:lineRule="auto"/>
              <w:jc w:val="left"/>
              <w:rPr>
                <w:rFonts w:hAnsi="宋体"/>
                <w:sz w:val="24"/>
                <w:szCs w:val="24"/>
              </w:rPr>
            </w:pPr>
            <w:r>
              <w:rPr>
                <w:rFonts w:hint="eastAsia" w:hAnsi="宋体" w:cs="宋体"/>
                <w:sz w:val="24"/>
                <w:szCs w:val="24"/>
              </w:rPr>
              <w:t>项目经理曾获得过市级装饰装修行业诚信项目经理的得2分，本项最高得2分。</w:t>
            </w:r>
          </w:p>
        </w:tc>
        <w:tc>
          <w:tcPr>
            <w:tcW w:w="1432" w:type="dxa"/>
            <w:noWrap w:val="0"/>
            <w:vAlign w:val="center"/>
          </w:tcPr>
          <w:p>
            <w:pPr>
              <w:spacing w:line="276" w:lineRule="auto"/>
              <w:jc w:val="center"/>
              <w:rPr>
                <w:rFonts w:hAnsi="宋体"/>
                <w:sz w:val="24"/>
                <w:szCs w:val="24"/>
              </w:rPr>
            </w:pPr>
            <w:r>
              <w:rPr>
                <w:rFonts w:hint="eastAsia" w:hAnsi="宋体"/>
                <w:sz w:val="24"/>
                <w:szCs w:val="24"/>
              </w:rPr>
              <w:t>0</w:t>
            </w:r>
            <w:r>
              <w:rPr>
                <w:rFonts w:hAnsi="宋体"/>
                <w:sz w:val="24"/>
                <w:szCs w:val="24"/>
              </w:rPr>
              <w:t>≤</w:t>
            </w:r>
            <w:r>
              <w:rPr>
                <w:rFonts w:hint="eastAsia" w:hAnsi="宋体"/>
                <w:sz w:val="24"/>
                <w:szCs w:val="24"/>
              </w:rPr>
              <w:t>得分</w:t>
            </w:r>
            <w:r>
              <w:rPr>
                <w:rFonts w:hAnsi="宋体"/>
                <w:sz w:val="24"/>
                <w:szCs w:val="24"/>
              </w:rPr>
              <w:t>≤</w:t>
            </w:r>
            <w:r>
              <w:rPr>
                <w:rFonts w:hint="eastAsia"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5" w:type="dxa"/>
            <w:noWrap w:val="0"/>
            <w:vAlign w:val="center"/>
          </w:tcPr>
          <w:p>
            <w:pPr>
              <w:spacing w:line="276" w:lineRule="auto"/>
              <w:jc w:val="center"/>
              <w:rPr>
                <w:rFonts w:hAnsi="宋体"/>
                <w:sz w:val="24"/>
                <w:szCs w:val="24"/>
              </w:rPr>
            </w:pPr>
            <w:r>
              <w:rPr>
                <w:rFonts w:hint="eastAsia" w:hAnsi="宋体"/>
                <w:sz w:val="24"/>
                <w:szCs w:val="24"/>
              </w:rPr>
              <w:t>7</w:t>
            </w:r>
          </w:p>
        </w:tc>
        <w:tc>
          <w:tcPr>
            <w:tcW w:w="1612" w:type="dxa"/>
            <w:noWrap w:val="0"/>
            <w:vAlign w:val="center"/>
          </w:tcPr>
          <w:p>
            <w:pPr>
              <w:spacing w:line="276" w:lineRule="auto"/>
              <w:jc w:val="center"/>
              <w:rPr>
                <w:rFonts w:hint="eastAsia" w:hAnsi="宋体"/>
                <w:sz w:val="24"/>
                <w:szCs w:val="24"/>
              </w:rPr>
            </w:pPr>
            <w:r>
              <w:rPr>
                <w:rFonts w:hint="eastAsia" w:hAnsi="宋体"/>
                <w:sz w:val="24"/>
                <w:szCs w:val="24"/>
              </w:rPr>
              <w:t>招标人意见</w:t>
            </w:r>
          </w:p>
        </w:tc>
        <w:tc>
          <w:tcPr>
            <w:tcW w:w="5871" w:type="dxa"/>
            <w:noWrap w:val="0"/>
            <w:vAlign w:val="center"/>
          </w:tcPr>
          <w:p>
            <w:pPr>
              <w:spacing w:line="276" w:lineRule="auto"/>
              <w:jc w:val="left"/>
              <w:rPr>
                <w:rFonts w:hint="eastAsia" w:hAnsi="宋体"/>
                <w:sz w:val="24"/>
                <w:szCs w:val="24"/>
              </w:rPr>
            </w:pPr>
            <w:r>
              <w:rPr>
                <w:rFonts w:hint="eastAsia" w:hAnsi="宋体"/>
                <w:sz w:val="24"/>
                <w:szCs w:val="24"/>
              </w:rPr>
              <w:t>招标人代表根据投标人综合实力酌情打分。</w:t>
            </w:r>
          </w:p>
        </w:tc>
        <w:tc>
          <w:tcPr>
            <w:tcW w:w="1432" w:type="dxa"/>
            <w:noWrap w:val="0"/>
            <w:vAlign w:val="center"/>
          </w:tcPr>
          <w:p>
            <w:pPr>
              <w:spacing w:line="276" w:lineRule="auto"/>
              <w:jc w:val="center"/>
              <w:rPr>
                <w:rFonts w:hAnsi="宋体"/>
                <w:sz w:val="24"/>
                <w:szCs w:val="24"/>
              </w:rPr>
            </w:pPr>
            <w:r>
              <w:rPr>
                <w:rFonts w:hint="eastAsia" w:hAnsi="宋体"/>
                <w:sz w:val="24"/>
                <w:szCs w:val="24"/>
              </w:rPr>
              <w:t>0</w:t>
            </w:r>
            <w:r>
              <w:rPr>
                <w:rFonts w:hAnsi="宋体"/>
                <w:sz w:val="24"/>
                <w:szCs w:val="24"/>
              </w:rPr>
              <w:t>≤</w:t>
            </w:r>
            <w:r>
              <w:rPr>
                <w:rFonts w:hint="eastAsia" w:hAnsi="宋体"/>
                <w:sz w:val="24"/>
                <w:szCs w:val="24"/>
              </w:rPr>
              <w:t>得分</w:t>
            </w:r>
            <w:r>
              <w:rPr>
                <w:rFonts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050" w:type="dxa"/>
            <w:gridSpan w:val="4"/>
            <w:noWrap w:val="0"/>
            <w:vAlign w:val="center"/>
          </w:tcPr>
          <w:p>
            <w:pPr>
              <w:spacing w:line="276" w:lineRule="auto"/>
              <w:rPr>
                <w:rFonts w:hint="eastAsia" w:hAnsi="宋体"/>
                <w:sz w:val="24"/>
                <w:szCs w:val="24"/>
              </w:rPr>
            </w:pPr>
            <w:r>
              <w:rPr>
                <w:rFonts w:hint="eastAsia" w:hAnsi="宋体"/>
                <w:sz w:val="24"/>
                <w:szCs w:val="24"/>
              </w:rPr>
              <w:t>注：</w:t>
            </w: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1 \* GB3</w:instrText>
            </w:r>
            <w:r>
              <w:rPr>
                <w:rFonts w:hAnsi="宋体"/>
                <w:sz w:val="24"/>
                <w:szCs w:val="24"/>
              </w:rPr>
              <w:instrText xml:space="preserve"> </w:instrText>
            </w:r>
            <w:r>
              <w:rPr>
                <w:rFonts w:hAnsi="宋体"/>
                <w:sz w:val="24"/>
                <w:szCs w:val="24"/>
              </w:rPr>
              <w:fldChar w:fldCharType="separate"/>
            </w:r>
            <w:r>
              <w:rPr>
                <w:rFonts w:hint="eastAsia" w:hAnsi="宋体"/>
                <w:sz w:val="24"/>
                <w:szCs w:val="24"/>
              </w:rPr>
              <w:t>①</w:t>
            </w:r>
            <w:r>
              <w:rPr>
                <w:rFonts w:hAnsi="宋体"/>
                <w:sz w:val="24"/>
                <w:szCs w:val="24"/>
              </w:rPr>
              <w:fldChar w:fldCharType="end"/>
            </w:r>
            <w:r>
              <w:rPr>
                <w:rFonts w:hint="eastAsia" w:hAnsi="宋体"/>
                <w:sz w:val="24"/>
                <w:szCs w:val="24"/>
              </w:rPr>
              <w:t>上述证明材料均以投标文件中原件扫描件为准</w:t>
            </w:r>
            <w:r>
              <w:rPr>
                <w:rFonts w:hAnsi="宋体"/>
                <w:sz w:val="24"/>
                <w:szCs w:val="24"/>
              </w:rPr>
              <w:fldChar w:fldCharType="begin"/>
            </w:r>
            <w:r>
              <w:rPr>
                <w:rFonts w:hAnsi="宋体"/>
                <w:sz w:val="24"/>
                <w:szCs w:val="24"/>
              </w:rPr>
              <w:instrText xml:space="preserve"> </w:instrText>
            </w:r>
            <w:r>
              <w:rPr>
                <w:rFonts w:hint="eastAsia" w:hAnsi="宋体"/>
                <w:sz w:val="24"/>
                <w:szCs w:val="24"/>
              </w:rPr>
              <w:instrText xml:space="preserve">= 2 \* GB3</w:instrText>
            </w:r>
            <w:r>
              <w:rPr>
                <w:rFonts w:hAnsi="宋体"/>
                <w:sz w:val="24"/>
                <w:szCs w:val="24"/>
              </w:rPr>
              <w:instrText xml:space="preserve"> </w:instrText>
            </w:r>
            <w:r>
              <w:rPr>
                <w:rFonts w:hAnsi="宋体"/>
                <w:sz w:val="24"/>
                <w:szCs w:val="24"/>
              </w:rPr>
              <w:fldChar w:fldCharType="separate"/>
            </w:r>
            <w:r>
              <w:rPr>
                <w:rFonts w:hint="eastAsia" w:hAnsi="宋体"/>
                <w:sz w:val="24"/>
                <w:szCs w:val="24"/>
              </w:rPr>
              <w:t>②</w:t>
            </w:r>
            <w:r>
              <w:rPr>
                <w:rFonts w:hAnsi="宋体"/>
                <w:sz w:val="24"/>
                <w:szCs w:val="24"/>
              </w:rPr>
              <w:fldChar w:fldCharType="end"/>
            </w:r>
            <w:r>
              <w:rPr>
                <w:rFonts w:hint="eastAsia" w:hAnsi="宋体"/>
                <w:sz w:val="24"/>
                <w:szCs w:val="24"/>
              </w:rPr>
              <w:t>业绩合同以合同签订日期为准，获奖证书以发证日期为准。</w:t>
            </w:r>
          </w:p>
        </w:tc>
      </w:tr>
    </w:tbl>
    <w:p>
      <w:pPr>
        <w:spacing w:line="360" w:lineRule="auto"/>
        <w:ind w:left="475" w:leftChars="140"/>
        <w:rPr>
          <w:rFonts w:hint="eastAsia"/>
          <w:b/>
          <w:sz w:val="24"/>
          <w:szCs w:val="24"/>
        </w:rPr>
      </w:pPr>
      <w:r>
        <w:rPr>
          <w:rFonts w:hint="eastAsia"/>
          <w:b/>
          <w:sz w:val="24"/>
          <w:szCs w:val="24"/>
        </w:rPr>
        <w:t>注：1）业绩合同以合同签订日期为准，获奖证书以发证日期为准。</w:t>
      </w:r>
    </w:p>
    <w:p>
      <w:pPr>
        <w:spacing w:line="360" w:lineRule="auto"/>
        <w:ind w:left="475" w:leftChars="140"/>
        <w:rPr>
          <w:rFonts w:hint="eastAsia"/>
          <w:b/>
          <w:sz w:val="24"/>
          <w:szCs w:val="24"/>
        </w:rPr>
      </w:pPr>
      <w:r>
        <w:rPr>
          <w:rFonts w:hint="eastAsia"/>
          <w:b/>
          <w:sz w:val="24"/>
          <w:szCs w:val="24"/>
        </w:rPr>
        <w:t>2）凡评标办法里涉及到的证书、证件及业绩材料等，均应在电子版投标文件中附其原件扫描件（或图片），否则该项得分应作0分处理。</w:t>
      </w:r>
    </w:p>
    <w:p>
      <w:pPr>
        <w:snapToGrid w:val="0"/>
        <w:spacing w:line="420" w:lineRule="exact"/>
        <w:ind w:firstLine="480" w:firstLineChars="200"/>
        <w:rPr>
          <w:rFonts w:hint="eastAsia" w:hAnsi="宋体" w:cs="宋体"/>
          <w:b/>
          <w:bCs/>
          <w:sz w:val="24"/>
          <w:szCs w:val="22"/>
        </w:rPr>
      </w:pPr>
      <w:r>
        <w:rPr>
          <w:rFonts w:hint="eastAsia"/>
          <w:b/>
          <w:sz w:val="24"/>
          <w:szCs w:val="24"/>
        </w:rPr>
        <w:t>3）近年来指201</w:t>
      </w:r>
      <w:r>
        <w:rPr>
          <w:rFonts w:hint="eastAsia"/>
          <w:b/>
          <w:sz w:val="24"/>
          <w:szCs w:val="24"/>
          <w:lang w:val="en-US" w:eastAsia="zh-CN"/>
        </w:rPr>
        <w:t>7</w:t>
      </w:r>
      <w:r>
        <w:rPr>
          <w:rFonts w:hint="eastAsia"/>
          <w:b/>
          <w:sz w:val="24"/>
          <w:szCs w:val="24"/>
        </w:rPr>
        <w:t>年1月1日以来。</w:t>
      </w:r>
    </w:p>
    <w:p>
      <w:pPr>
        <w:pStyle w:val="9"/>
        <w:rPr>
          <w:rFonts w:hAnsi="宋体" w:cs="宋体"/>
          <w:b/>
          <w:bCs/>
          <w:sz w:val="24"/>
          <w:szCs w:val="22"/>
        </w:rPr>
      </w:pPr>
      <w:r>
        <w:rPr>
          <w:rFonts w:hint="eastAsia" w:hAnsi="宋体" w:cs="宋体"/>
          <w:b/>
          <w:bCs/>
          <w:sz w:val="24"/>
          <w:szCs w:val="22"/>
        </w:rPr>
        <w:t>（四）投标人综合得分按下列公式计算：</w:t>
      </w:r>
    </w:p>
    <w:p>
      <w:pPr>
        <w:snapToGrid w:val="0"/>
        <w:spacing w:line="420" w:lineRule="exact"/>
        <w:ind w:firstLine="960" w:firstLineChars="400"/>
        <w:rPr>
          <w:rFonts w:hAnsi="宋体" w:cs="宋体"/>
          <w:b/>
          <w:bCs/>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sz w:val="24"/>
          <w:szCs w:val="22"/>
        </w:rPr>
      </w:pPr>
      <w:r>
        <w:rPr>
          <w:rFonts w:hint="eastAsia" w:hAnsi="宋体" w:cs="宋体"/>
          <w:b/>
          <w:bCs/>
          <w:sz w:val="24"/>
          <w:szCs w:val="22"/>
        </w:rPr>
        <w:t>（五）投标人的最终得分及中标候选人排序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36"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36"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7"/>
        <w:keepNext w:val="0"/>
        <w:keepLines w:val="0"/>
        <w:snapToGrid w:val="0"/>
        <w:spacing w:line="336" w:lineRule="auto"/>
        <w:ind w:firstLine="480" w:firstLineChars="200"/>
        <w:outlineLvl w:val="9"/>
        <w:rPr>
          <w:rFonts w:ascii="新宋体" w:eastAsia="新宋体"/>
          <w:b/>
          <w:szCs w:val="24"/>
        </w:rPr>
      </w:pPr>
      <w:bookmarkStart w:id="73" w:name="_Toc23277"/>
      <w:r>
        <w:rPr>
          <w:rFonts w:hint="eastAsia" w:ascii="新宋体" w:eastAsia="新宋体"/>
          <w:b/>
          <w:szCs w:val="24"/>
        </w:rPr>
        <w:t>九、评标报告</w:t>
      </w:r>
      <w:bookmarkEnd w:id="73"/>
    </w:p>
    <w:p>
      <w:pPr>
        <w:snapToGrid w:val="0"/>
        <w:spacing w:line="336"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17"/>
        <w:keepNext w:val="0"/>
        <w:keepLines w:val="0"/>
        <w:snapToGrid w:val="0"/>
        <w:spacing w:line="336" w:lineRule="auto"/>
        <w:ind w:firstLine="480" w:firstLineChars="200"/>
        <w:outlineLvl w:val="9"/>
        <w:rPr>
          <w:rFonts w:ascii="新宋体" w:eastAsia="新宋体"/>
          <w:b/>
          <w:szCs w:val="24"/>
        </w:rPr>
      </w:pPr>
      <w:bookmarkStart w:id="74" w:name="_Toc8686"/>
      <w:r>
        <w:rPr>
          <w:rFonts w:hint="eastAsia" w:ascii="新宋体" w:eastAsia="新宋体"/>
          <w:b/>
        </w:rPr>
        <w:t>十、</w:t>
      </w:r>
      <w:r>
        <w:rPr>
          <w:rFonts w:hint="eastAsia" w:ascii="新宋体" w:eastAsia="新宋体"/>
          <w:b/>
          <w:szCs w:val="24"/>
        </w:rPr>
        <w:t>公示</w:t>
      </w:r>
      <w:bookmarkEnd w:id="74"/>
    </w:p>
    <w:p>
      <w:pPr>
        <w:snapToGrid w:val="0"/>
        <w:spacing w:line="336"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36"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36"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36"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36"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36"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36"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36"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36"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36"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36"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36"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36" w:lineRule="auto"/>
        <w:ind w:firstLine="480" w:firstLineChars="200"/>
        <w:rPr>
          <w:rFonts w:ascii="新宋体" w:eastAsia="新宋体"/>
          <w:b/>
          <w:sz w:val="24"/>
        </w:rPr>
      </w:pPr>
      <w:r>
        <w:rPr>
          <w:rFonts w:hint="eastAsia" w:ascii="新宋体" w:eastAsia="新宋体"/>
          <w:b/>
          <w:sz w:val="24"/>
        </w:rPr>
        <w:t>11.4记名投票</w:t>
      </w:r>
    </w:p>
    <w:p>
      <w:pPr>
        <w:snapToGrid w:val="0"/>
        <w:spacing w:line="336"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36" w:lineRule="auto"/>
        <w:ind w:firstLine="480" w:firstLineChars="200"/>
        <w:rPr>
          <w:b/>
          <w:sz w:val="24"/>
        </w:rPr>
      </w:pPr>
      <w:r>
        <w:rPr>
          <w:rFonts w:hint="eastAsia"/>
          <w:b/>
          <w:sz w:val="24"/>
        </w:rPr>
        <w:t>11.5评标委员会对评标结果有异议的</w:t>
      </w:r>
    </w:p>
    <w:p>
      <w:pPr>
        <w:snapToGrid w:val="0"/>
        <w:spacing w:line="336" w:lineRule="auto"/>
        <w:ind w:firstLine="468" w:firstLineChars="200"/>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以书面阐述其不同意见和理由的，视为同意评标结论。评标委员会应当对此作出书面说明并记录在案。</w:t>
      </w:r>
    </w:p>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9"/>
        <w:ind w:firstLine="340"/>
      </w:pPr>
    </w:p>
    <w:p>
      <w:pPr>
        <w:widowControl/>
        <w:jc w:val="left"/>
        <w:rPr>
          <w:rFonts w:ascii="方正小标宋简体" w:hAnsi="黑体" w:eastAsia="方正小标宋简体"/>
          <w:b/>
          <w:bCs/>
          <w:sz w:val="32"/>
          <w:szCs w:val="32"/>
        </w:rPr>
      </w:pPr>
      <w:r>
        <w:rPr>
          <w:rFonts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建安建工公字〔2020〕</w:t>
            </w:r>
            <w:r>
              <w:rPr>
                <w:rFonts w:hint="eastAsia" w:cs="宋体" w:asciiTheme="minorEastAsia" w:hAnsiTheme="minorEastAsia" w:eastAsiaTheme="minorEastAsia"/>
                <w:sz w:val="24"/>
                <w:szCs w:val="22"/>
                <w:lang w:val="en-US" w:eastAsia="zh-CN"/>
              </w:rPr>
              <w:t>30</w:t>
            </w:r>
            <w:r>
              <w:rPr>
                <w:rFonts w:hint="eastAsia" w:cs="宋体" w:asciiTheme="minorEastAsia" w:hAnsiTheme="minorEastAsia" w:eastAsiaTheme="minorEastAsia"/>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20" w:lineRule="exact"/>
              <w:jc w:val="left"/>
              <w:outlineLvl w:val="0"/>
              <w:rPr>
                <w:rFonts w:hint="eastAsia" w:hAnsi="宋体" w:eastAsia="宋体" w:cs="宋体"/>
                <w:sz w:val="24"/>
                <w:szCs w:val="24"/>
                <w:lang w:eastAsia="zh-CN"/>
              </w:rPr>
            </w:pPr>
            <w:r>
              <w:rPr>
                <w:rFonts w:hint="eastAsia" w:cs="宋体" w:asciiTheme="minorEastAsia" w:hAnsiTheme="minorEastAsia" w:eastAsiaTheme="minorEastAsia"/>
                <w:sz w:val="24"/>
                <w:szCs w:val="22"/>
              </w:rPr>
              <w:t>许昌市建安区商务局电商三级网络服务体系站点建设工程</w:t>
            </w:r>
          </w:p>
          <w:p>
            <w:pPr>
              <w:adjustRightInd w:val="0"/>
              <w:spacing w:line="500" w:lineRule="exact"/>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jc w:val="center"/>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投标保证金</w:t>
            </w:r>
          </w:p>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cs="宋体" w:asciiTheme="minorEastAsia" w:hAnsiTheme="minorEastAsia" w:eastAsiaTheme="minorEastAsia"/>
                <w:sz w:val="24"/>
                <w:szCs w:val="22"/>
              </w:rPr>
            </w:pPr>
            <w:r>
              <w:rPr>
                <w:rFonts w:hint="eastAsia" w:cs="宋体" w:asciiTheme="minorEastAsia" w:hAnsiTheme="minorEastAsia" w:eastAsiaTheme="minorEastAsia"/>
                <w:sz w:val="24"/>
                <w:szCs w:val="22"/>
              </w:rPr>
              <w:t>金额：人民币：</w:t>
            </w:r>
            <w:r>
              <w:rPr>
                <w:rFonts w:hint="eastAsia" w:cs="宋体" w:asciiTheme="minorEastAsia" w:hAnsiTheme="minorEastAsia" w:eastAsiaTheme="minorEastAsia"/>
                <w:sz w:val="24"/>
                <w:szCs w:val="22"/>
                <w:lang w:eastAsia="zh-CN"/>
              </w:rPr>
              <w:t>贰万元</w:t>
            </w:r>
            <w:r>
              <w:rPr>
                <w:rFonts w:hint="eastAsia" w:cs="宋体" w:asciiTheme="minorEastAsia" w:hAnsiTheme="minorEastAsia" w:eastAsiaTheme="minorEastAsia"/>
                <w:sz w:val="24"/>
                <w:szCs w:val="22"/>
              </w:rPr>
              <w:t>整（</w:t>
            </w:r>
            <w:r>
              <w:rPr>
                <w:rFonts w:hint="eastAsia" w:cs="宋体" w:asciiTheme="minorEastAsia" w:hAnsiTheme="minorEastAsia" w:eastAsiaTheme="minorEastAsia"/>
                <w:sz w:val="24"/>
                <w:szCs w:val="22"/>
                <w:lang w:val="en-US" w:eastAsia="zh-CN"/>
              </w:rPr>
              <w:t>200</w:t>
            </w:r>
            <w:r>
              <w:rPr>
                <w:rFonts w:hint="eastAsia" w:cs="宋体" w:asciiTheme="minorEastAsia" w:hAnsiTheme="minorEastAsia" w:eastAsiaTheme="minorEastAsia"/>
                <w:sz w:val="24"/>
                <w:szCs w:val="22"/>
              </w:rPr>
              <w:t>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cs="宋体" w:asciiTheme="minorEastAsia" w:hAnsiTheme="minorEastAsia" w:eastAsiaTheme="minorEastAsia"/>
                <w:sz w:val="24"/>
              </w:rPr>
            </w:pPr>
            <w:r>
              <w:rPr>
                <w:rFonts w:hint="eastAsia" w:cs="宋体" w:asciiTheme="minorEastAsia" w:hAnsiTheme="minorEastAsia" w:eastAsia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cs="宋体" w:asciiTheme="minorEastAsia" w:hAnsiTheme="minorEastAsia" w:eastAsia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rPr>
                <w:rFonts w:hAnsi="宋体" w:cs="宋体"/>
                <w:sz w:val="24"/>
                <w:lang w:val="zh-CN"/>
              </w:rPr>
            </w:pPr>
            <w:r>
              <w:rPr>
                <w:rFonts w:hint="eastAsia" w:hAnsi="宋体" w:cs="宋体"/>
                <w:sz w:val="24"/>
                <w:lang w:val="zh-CN"/>
              </w:rPr>
              <w:t xml:space="preserve">    1、投标保证金的递交方式：银行转账、银行电汇、保函，不接受以现金方式缴纳的投标保证金。凡以现金方式缴纳投标保证金而影响其投标结果的，由投标人自行负责。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使用银行转帐、银行电汇</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的，于截止时间前通过投标人基本账户将款项一次足额递交、成功绑定，以收款人到账时间为准，在途资金无效。同时投标人应承担节假日银行系统不能支付的风险。</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使用保函方式的，</w:t>
            </w:r>
            <w:r>
              <w:rPr>
                <w:rFonts w:hint="eastAsia" w:hAnsi="宋体" w:cs="宋体"/>
                <w:sz w:val="24"/>
              </w:rPr>
              <w:t>投标</w:t>
            </w:r>
            <w:r>
              <w:rPr>
                <w:rFonts w:hint="eastAsia" w:hAnsi="宋体" w:cs="宋体"/>
                <w:sz w:val="24"/>
                <w:lang w:val="zh-CN"/>
              </w:rPr>
              <w:t>保函应明确项目名称、项目编号及标段、受益人（招标人）、有效期（不低于本项目投标有效期）、保函担保金额（不低于本项目本标段投标保证金数额）。投标人应将</w:t>
            </w:r>
            <w:r>
              <w:rPr>
                <w:rFonts w:hint="eastAsia" w:hAnsi="宋体" w:cs="宋体"/>
                <w:sz w:val="24"/>
              </w:rPr>
              <w:t>真实</w:t>
            </w:r>
            <w:r>
              <w:rPr>
                <w:rFonts w:hint="eastAsia" w:hAnsi="宋体" w:cs="宋体"/>
                <w:sz w:val="24"/>
                <w:lang w:val="zh-CN"/>
              </w:rPr>
              <w:t>合法的保函原件扫描件附于投标文件中，否则视为未按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2、投标保证金缴纳方式：</w:t>
            </w:r>
          </w:p>
          <w:p>
            <w:pPr>
              <w:autoSpaceDE w:val="0"/>
              <w:autoSpaceDN w:val="0"/>
              <w:adjustRightInd w:val="0"/>
              <w:spacing w:line="340" w:lineRule="exact"/>
              <w:rPr>
                <w:rFonts w:hAnsi="宋体" w:cs="宋体"/>
                <w:sz w:val="24"/>
              </w:rPr>
            </w:pPr>
            <w:r>
              <w:rPr>
                <w:rFonts w:hint="eastAsia" w:hAnsi="宋体" w:cs="宋体"/>
                <w:sz w:val="24"/>
                <w:lang w:val="zh-CN"/>
              </w:rPr>
              <w:t xml:space="preserve">    </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40" w:lineRule="exact"/>
              <w:rPr>
                <w:rFonts w:hAnsi="宋体" w:cs="宋体"/>
                <w:sz w:val="24"/>
                <w:lang w:val="zh-CN"/>
              </w:rPr>
            </w:pPr>
            <w:r>
              <w:rPr>
                <w:rFonts w:hint="eastAsia" w:hAnsi="宋体" w:cs="宋体"/>
                <w:sz w:val="24"/>
              </w:rPr>
              <w:t xml:space="preserve">    (2)</w:t>
            </w:r>
            <w:r>
              <w:rPr>
                <w:rFonts w:hint="eastAsia" w:hAnsi="宋体" w:cs="宋体"/>
                <w:sz w:val="24"/>
                <w:lang w:val="zh-CN"/>
              </w:rPr>
              <w:t>成功缴纳后</w:t>
            </w:r>
            <w:r>
              <w:rPr>
                <w:rFonts w:hint="eastAsia" w:hAnsi="宋体" w:cs="宋体"/>
                <w:sz w:val="24"/>
              </w:rPr>
              <w:t>再次</w:t>
            </w:r>
            <w:r>
              <w:rPr>
                <w:rFonts w:hint="eastAsia" w:hAnsi="宋体" w:cs="宋体"/>
                <w:sz w:val="24"/>
                <w:lang w:val="zh-CN"/>
              </w:rPr>
              <w:t>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进行投标保证金绑定。未绑定标段的投标保证金，视为未按</w:t>
            </w:r>
            <w:r>
              <w:rPr>
                <w:rFonts w:hint="eastAsia" w:hAnsi="宋体" w:cs="宋体"/>
                <w:sz w:val="24"/>
              </w:rPr>
              <w:t>规定提交</w:t>
            </w:r>
            <w:r>
              <w:rPr>
                <w:rFonts w:hint="eastAsia" w:hAnsi="宋体" w:cs="宋体"/>
                <w:sz w:val="24"/>
                <w:lang w:val="zh-CN"/>
              </w:rPr>
              <w:t>。</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(3)</w:t>
            </w:r>
            <w:r>
              <w:rPr>
                <w:rFonts w:hint="eastAsia" w:hAnsi="宋体" w:cs="宋体"/>
                <w:sz w:val="24"/>
                <w:lang w:val="zh-CN"/>
              </w:rPr>
              <w:t>投标人成功绑定投标保证金，将缴纳凭证</w:t>
            </w:r>
            <w:r>
              <w:rPr>
                <w:rFonts w:hint="eastAsia" w:hAnsi="宋体" w:cs="宋体"/>
                <w:sz w:val="24"/>
              </w:rPr>
              <w:t>即本项目投保保证金</w:t>
            </w:r>
            <w:r>
              <w:rPr>
                <w:rFonts w:hint="eastAsia" w:hAnsi="宋体" w:cs="宋体"/>
                <w:sz w:val="24"/>
                <w:lang w:val="zh-CN"/>
              </w:rPr>
              <w:t>“许昌市建安区公共资源交易中心保证金缴纳回执”附于投标文件中，</w:t>
            </w:r>
            <w:r>
              <w:rPr>
                <w:rFonts w:hint="eastAsia" w:hAnsi="宋体" w:cs="宋体"/>
                <w:sz w:val="24"/>
              </w:rPr>
              <w:t>否则视为未按规定提交。</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w:t>
            </w:r>
            <w:r>
              <w:rPr>
                <w:rFonts w:hint="eastAsia" w:hAnsi="宋体" w:cs="宋体"/>
                <w:sz w:val="24"/>
              </w:rPr>
              <w:t>(4)</w:t>
            </w:r>
            <w:r>
              <w:rPr>
                <w:rFonts w:hint="eastAsia" w:hAnsi="宋体" w:cs="宋体"/>
                <w:sz w:val="24"/>
                <w:lang w:val="zh-CN"/>
              </w:rPr>
              <w:t>每个投标人每个项目每个标段只有唯一缴纳账号，</w:t>
            </w:r>
            <w:r>
              <w:rPr>
                <w:rFonts w:hint="eastAsia" w:hAnsi="宋体" w:cs="宋体"/>
                <w:sz w:val="24"/>
              </w:rPr>
              <w:t>切勿重复缴纳或错误缴纳。</w:t>
            </w:r>
          </w:p>
          <w:p>
            <w:pPr>
              <w:autoSpaceDE w:val="0"/>
              <w:autoSpaceDN w:val="0"/>
              <w:adjustRightInd w:val="0"/>
              <w:spacing w:line="340" w:lineRule="exact"/>
              <w:rPr>
                <w:rFonts w:hAnsi="宋体" w:cs="宋体"/>
                <w:sz w:val="24"/>
              </w:rPr>
            </w:pPr>
            <w:r>
              <w:rPr>
                <w:rFonts w:hint="eastAsia" w:hAnsi="宋体" w:cs="宋体"/>
                <w:sz w:val="24"/>
              </w:rPr>
              <w:t xml:space="preserve">   3、未按上述规定操作引起的无效投标，由投标人自行负责。</w:t>
            </w:r>
          </w:p>
          <w:p>
            <w:pPr>
              <w:autoSpaceDE w:val="0"/>
              <w:autoSpaceDN w:val="0"/>
              <w:adjustRightInd w:val="0"/>
              <w:spacing w:line="340" w:lineRule="exact"/>
              <w:rPr>
                <w:rFonts w:hAnsi="宋体" w:cs="宋体"/>
                <w:sz w:val="24"/>
                <w:lang w:val="zh-CN"/>
              </w:rPr>
            </w:pPr>
            <w:r>
              <w:rPr>
                <w:rFonts w:hint="eastAsia" w:hAnsi="宋体" w:cs="宋体"/>
                <w:sz w:val="24"/>
                <w:lang w:val="zh-CN"/>
              </w:rPr>
              <w:t xml:space="preserve">   4、汇款凭证无须备注项目编号和项目名称。</w:t>
            </w:r>
          </w:p>
          <w:p>
            <w:pPr>
              <w:autoSpaceDE w:val="0"/>
              <w:autoSpaceDN w:val="0"/>
              <w:adjustRightInd w:val="0"/>
              <w:spacing w:line="340" w:lineRule="exact"/>
              <w:rPr>
                <w:rFonts w:hAnsi="宋体" w:cs="宋体"/>
                <w:sz w:val="24"/>
              </w:rPr>
            </w:pPr>
            <w:r>
              <w:rPr>
                <w:rFonts w:hint="eastAsia" w:hAnsi="宋体" w:cs="宋体"/>
                <w:sz w:val="24"/>
              </w:rPr>
              <w:t xml:space="preserve">   5、出现以下情形造成的投标保证金无效，由投标人自行负责。</w:t>
            </w:r>
          </w:p>
          <w:p>
            <w:pPr>
              <w:autoSpaceDE w:val="0"/>
              <w:autoSpaceDN w:val="0"/>
              <w:adjustRightInd w:val="0"/>
              <w:spacing w:line="340" w:lineRule="exact"/>
              <w:rPr>
                <w:rFonts w:hAnsi="宋体" w:cs="宋体"/>
                <w:sz w:val="24"/>
              </w:rPr>
            </w:pPr>
            <w:r>
              <w:rPr>
                <w:rFonts w:hint="eastAsia" w:hAnsi="宋体" w:cs="宋体"/>
                <w:sz w:val="24"/>
              </w:rPr>
              <w:t xml:space="preserve">   (1)投标保证金未从投标人的基本账户转出；</w:t>
            </w:r>
          </w:p>
          <w:p>
            <w:pPr>
              <w:autoSpaceDE w:val="0"/>
              <w:autoSpaceDN w:val="0"/>
              <w:adjustRightInd w:val="0"/>
              <w:spacing w:line="340" w:lineRule="exact"/>
              <w:rPr>
                <w:rFonts w:hAnsi="宋体" w:cs="宋体"/>
                <w:sz w:val="24"/>
              </w:rPr>
            </w:pPr>
            <w:r>
              <w:rPr>
                <w:rFonts w:hint="eastAsia" w:hAnsi="宋体" w:cs="宋体"/>
                <w:sz w:val="24"/>
              </w:rPr>
              <w:t xml:space="preserve">   (2)投标保证金未按照招标文件划分的标段转账。</w:t>
            </w:r>
          </w:p>
          <w:p>
            <w:pPr>
              <w:autoSpaceDE w:val="0"/>
              <w:autoSpaceDN w:val="0"/>
              <w:adjustRightInd w:val="0"/>
              <w:spacing w:line="340" w:lineRule="exact"/>
              <w:rPr>
                <w:rFonts w:hAnsi="宋体" w:cs="宋体"/>
                <w:sz w:val="24"/>
              </w:rPr>
            </w:pPr>
            <w:r>
              <w:rPr>
                <w:rFonts w:hint="eastAsia" w:hAnsi="宋体" w:cs="宋体"/>
                <w:sz w:val="24"/>
              </w:rPr>
              <w:t xml:space="preserve">   6、《保证金缴纳绑定操作指南》获取方法：</w:t>
            </w:r>
          </w:p>
          <w:p>
            <w:pPr>
              <w:autoSpaceDE w:val="0"/>
              <w:autoSpaceDN w:val="0"/>
              <w:adjustRightInd w:val="0"/>
              <w:spacing w:line="340" w:lineRule="exact"/>
              <w:rPr>
                <w:rFonts w:hAnsi="宋体" w:cs="宋体"/>
                <w:sz w:val="24"/>
              </w:rPr>
            </w:pPr>
            <w:r>
              <w:rPr>
                <w:rFonts w:hint="eastAsia" w:hAnsi="宋体" w:cs="宋体"/>
                <w:sz w:val="24"/>
              </w:rPr>
              <w:t xml:space="preserve">   (1)因投标人的原因无法及时退还投标（竞买）保证金、滞留三年以上的，投标（竞买）保证金上缴财政。</w:t>
            </w:r>
          </w:p>
          <w:p>
            <w:pPr>
              <w:autoSpaceDE w:val="0"/>
              <w:autoSpaceDN w:val="0"/>
              <w:adjustRightInd w:val="0"/>
              <w:spacing w:line="340" w:lineRule="exact"/>
              <w:rPr>
                <w:rFonts w:hAnsi="宋体" w:cs="宋体"/>
                <w:sz w:val="24"/>
              </w:rPr>
            </w:pPr>
            <w:r>
              <w:rPr>
                <w:rFonts w:hint="eastAsia" w:hAnsi="宋体" w:cs="宋体"/>
                <w:sz w:val="24"/>
              </w:rPr>
              <w:t xml:space="preserve">   (2)自文件发布之日起，投标人需进行基本户备案，已备案的基本户开户银行、账户发生变化的，须重新办理备案手续。备案后方可提交投标（竞买）保证金。</w:t>
            </w:r>
          </w:p>
          <w:p>
            <w:pPr>
              <w:autoSpaceDE w:val="0"/>
              <w:autoSpaceDN w:val="0"/>
              <w:adjustRightInd w:val="0"/>
              <w:spacing w:line="340" w:lineRule="exact"/>
              <w:rPr>
                <w:rFonts w:hAnsi="宋体" w:cs="宋体"/>
                <w:sz w:val="24"/>
              </w:rPr>
            </w:pPr>
            <w:r>
              <w:rPr>
                <w:rFonts w:hint="eastAsia" w:hAnsi="宋体" w:cs="宋体"/>
                <w:sz w:val="24"/>
              </w:rPr>
              <w:t xml:space="preserve">  (3)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40" w:lineRule="exact"/>
              <w:rPr>
                <w:rFonts w:hAnsi="宋体" w:cs="宋体"/>
                <w:sz w:val="24"/>
              </w:rPr>
            </w:pPr>
            <w:r>
              <w:rPr>
                <w:rFonts w:hint="eastAsia" w:hAnsi="宋体" w:cs="宋体"/>
                <w:sz w:val="24"/>
              </w:rPr>
              <w:t xml:space="preserve">  (4)特殊情况处理</w:t>
            </w:r>
          </w:p>
          <w:p>
            <w:pPr>
              <w:autoSpaceDE w:val="0"/>
              <w:autoSpaceDN w:val="0"/>
              <w:adjustRightInd w:val="0"/>
              <w:spacing w:line="340" w:lineRule="exact"/>
              <w:rPr>
                <w:rFonts w:hAnsi="宋体" w:cs="宋体"/>
                <w:sz w:val="24"/>
                <w:lang w:val="zh-CN"/>
              </w:rPr>
            </w:pPr>
            <w:r>
              <w:rPr>
                <w:rFonts w:hint="eastAsia" w:hAnsi="宋体" w:cs="宋体"/>
                <w:sz w:val="24"/>
              </w:rPr>
              <w:t xml:space="preserve">   投标人投标过程中因账户开户银行、银行账号发生变化，不能按照来款途径原路</w:t>
            </w:r>
            <w:r>
              <w:rPr>
                <w:rFonts w:hint="eastAsia" w:cs="宋体" w:asciiTheme="minorEastAsia" w:hAnsiTheme="minorEastAsia"/>
                <w:bCs/>
                <w:sz w:val="24"/>
              </w:rPr>
              <w:t>返还投标保证金的，投标人须提供原账户开户银行相关证明及新开账户开户许可证，到建安区公共资源交易中心四楼财务部办理退款手续。</w:t>
            </w:r>
            <w:r>
              <w:rPr>
                <w:rFonts w:hint="eastAsia" w:hAnsi="宋体" w:cs="宋体"/>
                <w:sz w:val="24"/>
                <w:lang w:val="zh-CN"/>
              </w:rPr>
              <w:t>登录许昌公共资源交易系统-组件下载-《保证金缴纳绑定操作指南》。</w:t>
            </w:r>
          </w:p>
          <w:p>
            <w:pPr>
              <w:rPr>
                <w:rFonts w:hAnsi="宋体" w:cs="宋体"/>
                <w:sz w:val="24"/>
                <w:lang w:val="zh-CN"/>
              </w:rPr>
            </w:pPr>
            <w:r>
              <w:rPr>
                <w:rFonts w:hint="eastAsia" w:hAnsi="宋体" w:cs="宋体"/>
                <w:sz w:val="24"/>
              </w:rPr>
              <w:t xml:space="preserve">    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spacing w:line="360" w:lineRule="exact"/>
              <w:ind w:firstLine="480" w:firstLineChars="200"/>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cs="宋体" w:asciiTheme="minorEastAsia" w:hAnsiTheme="minorEastAsia" w:eastAsiaTheme="minorEastAsia"/>
                <w:bCs/>
                <w:sz w:val="24"/>
              </w:rPr>
            </w:pPr>
            <w:r>
              <w:rPr>
                <w:rFonts w:hint="eastAsia" w:cs="宋体" w:asciiTheme="minorEastAsia" w:hAnsiTheme="minorEastAsia" w:eastAsiaTheme="minorEastAsia"/>
                <w:bCs/>
                <w:sz w:val="24"/>
              </w:rPr>
              <w:t>4、特殊情况处理</w:t>
            </w:r>
          </w:p>
          <w:p>
            <w:pPr>
              <w:adjustRightInd w:val="0"/>
              <w:spacing w:line="360" w:lineRule="exact"/>
              <w:ind w:firstLine="470" w:firstLineChars="196"/>
              <w:rPr>
                <w:rFonts w:cs="仿宋_GB2312" w:asciiTheme="minorEastAsia" w:hAnsiTheme="minorEastAsia" w:eastAsiaTheme="minorEastAsia"/>
                <w:sz w:val="24"/>
              </w:rPr>
            </w:pPr>
            <w:r>
              <w:rPr>
                <w:rFonts w:hint="eastAsia" w:cs="宋体" w:asciiTheme="minorEastAsia" w:hAnsiTheme="minorEastAsia" w:eastAsia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pStyle w:val="10"/>
        <w:ind w:left="0" w:leftChars="0" w:firstLine="0" w:firstLineChars="0"/>
        <w:rPr>
          <w:rFonts w:hint="default"/>
          <w:lang w:eastAsia="zh-CN"/>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Theme="minorEastAsia" w:hAnsiTheme="minorEastAsia" w:eastAsiaTheme="minorEastAsia"/>
                <w:sz w:val="24"/>
              </w:rPr>
            </w:pPr>
            <w:r>
              <w:rPr>
                <w:rFonts w:hint="eastAsia" w:cs="新宋体" w:asciiTheme="minorEastAsia" w:hAnsiTheme="minorEastAsia" w:eastAsia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sz w:val="24"/>
              </w:rPr>
            </w:pPr>
            <w:r>
              <w:rPr>
                <w:rFonts w:hint="eastAsia" w:cs="新宋体" w:asciiTheme="minorEastAsia" w:hAnsiTheme="minorEastAsia" w:eastAsia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cs="新宋体" w:asciiTheme="minorEastAsia" w:hAnsiTheme="minorEastAsia" w:eastAsia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Theme="minorEastAsia" w:hAnsiTheme="minorEastAsia" w:eastAsiaTheme="minorEastAsia"/>
                <w:sz w:val="24"/>
              </w:rPr>
            </w:pPr>
            <w:r>
              <w:rPr>
                <w:rFonts w:hint="eastAsia" w:cs="新宋体" w:asciiTheme="minorEastAsia" w:hAnsiTheme="minorEastAsia" w:eastAsia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hint="eastAsia" w:cs="新宋体" w:asciiTheme="minorEastAsia" w:hAnsiTheme="minorEastAsia" w:eastAsia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4"/>
              </w:rPr>
            </w:pPr>
            <w:r>
              <w:rPr>
                <w:rFonts w:hint="eastAsia" w:cs="新宋体" w:asciiTheme="minorEastAsia" w:hAnsiTheme="minorEastAsia" w:eastAsia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cs="新宋体" w:asciiTheme="minorEastAsia" w:hAnsiTheme="minorEastAsia" w:eastAsiaTheme="minorEastAsia"/>
                <w:sz w:val="24"/>
              </w:rPr>
            </w:pPr>
          </w:p>
          <w:p>
            <w:pPr>
              <w:ind w:right="480" w:firstLine="5880" w:firstLineChars="2450"/>
              <w:rPr>
                <w:rFonts w:asciiTheme="minorEastAsia" w:hAnsiTheme="minorEastAsia" w:eastAsiaTheme="minorEastAsia"/>
                <w:sz w:val="24"/>
              </w:rPr>
            </w:pPr>
            <w:r>
              <w:rPr>
                <w:rFonts w:hint="eastAsia" w:cs="新宋体" w:asciiTheme="minorEastAsia" w:hAnsiTheme="minorEastAsia" w:eastAsiaTheme="minorEastAsia"/>
                <w:sz w:val="24"/>
              </w:rPr>
              <w:t>年   月   日</w:t>
            </w:r>
          </w:p>
        </w:tc>
      </w:tr>
    </w:tbl>
    <w:p>
      <w:pPr>
        <w:rPr>
          <w:rFonts w:asciiTheme="minorEastAsia" w:hAnsiTheme="minorEastAsia" w:eastAsiaTheme="minorEastAsia"/>
          <w:b/>
          <w:bCs/>
          <w:sz w:val="32"/>
          <w:szCs w:val="32"/>
        </w:rPr>
      </w:pPr>
      <w:r>
        <w:rPr>
          <w:rFonts w:hint="eastAsia" w:asciiTheme="minorEastAsia" w:hAnsiTheme="minorEastAsia" w:eastAsiaTheme="minorEastAsia"/>
          <w:sz w:val="24"/>
        </w:rPr>
        <w:t>备注：中标单位使用此表退还保证金时，此表格大小及格式不得改变</w:t>
      </w:r>
      <w:r>
        <w:rPr>
          <w:rFonts w:hint="eastAsia" w:asciiTheme="minorEastAsia" w:hAnsiTheme="minorEastAsia" w:eastAsiaTheme="minorEastAsia"/>
          <w:sz w:val="28"/>
          <w:szCs w:val="28"/>
        </w:rPr>
        <w:t>。</w:t>
      </w:r>
    </w:p>
    <w:p>
      <w:pPr>
        <w:widowControl/>
        <w:spacing w:line="520" w:lineRule="exact"/>
        <w:rPr>
          <w:rFonts w:ascii="仿宋_GB2312" w:hAnsi="Arial" w:eastAsia="仿宋_GB2312" w:cs="Arial"/>
          <w:b/>
          <w:bCs/>
          <w:sz w:val="40"/>
          <w:szCs w:val="40"/>
        </w:rPr>
      </w:pPr>
    </w:p>
    <w:p>
      <w:pPr>
        <w:ind w:firstLine="2880" w:firstLineChars="800"/>
        <w:rPr>
          <w:rFonts w:hAnsi="宋体"/>
          <w:sz w:val="36"/>
          <w:szCs w:val="36"/>
        </w:rPr>
      </w:pPr>
      <w:r>
        <w:rPr>
          <w:rFonts w:hint="eastAsia" w:hAnsi="宋体"/>
          <w:sz w:val="36"/>
          <w:szCs w:val="36"/>
        </w:rPr>
        <w:t>履约保证金退还通知单</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Ansi="宋体"/>
                <w:sz w:val="24"/>
              </w:rPr>
            </w:pPr>
            <w:r>
              <w:rPr>
                <w:rFonts w:hint="eastAsia" w:hAnsi="宋体"/>
                <w:sz w:val="24"/>
              </w:rPr>
              <w:t>项目编号</w:t>
            </w:r>
          </w:p>
        </w:tc>
        <w:tc>
          <w:tcPr>
            <w:tcW w:w="4140" w:type="dxa"/>
            <w:gridSpan w:val="2"/>
            <w:vAlign w:val="center"/>
          </w:tcPr>
          <w:p>
            <w:pPr>
              <w:spacing w:line="360" w:lineRule="exact"/>
              <w:jc w:val="center"/>
              <w:rPr>
                <w:rFonts w:hAnsi="宋体"/>
                <w:sz w:val="24"/>
              </w:rPr>
            </w:pPr>
          </w:p>
        </w:tc>
        <w:tc>
          <w:tcPr>
            <w:tcW w:w="1440" w:type="dxa"/>
            <w:gridSpan w:val="2"/>
            <w:vAlign w:val="center"/>
          </w:tcPr>
          <w:p>
            <w:pPr>
              <w:spacing w:line="360" w:lineRule="exact"/>
              <w:jc w:val="center"/>
              <w:rPr>
                <w:rFonts w:hAnsi="宋体"/>
                <w:sz w:val="24"/>
              </w:rPr>
            </w:pPr>
            <w:r>
              <w:rPr>
                <w:rFonts w:hint="eastAsia" w:hAnsi="宋体"/>
                <w:sz w:val="24"/>
              </w:rPr>
              <w:t>是否完工</w:t>
            </w:r>
          </w:p>
        </w:tc>
        <w:tc>
          <w:tcPr>
            <w:tcW w:w="2162" w:type="dxa"/>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Ansi="宋体"/>
                <w:sz w:val="24"/>
              </w:rPr>
            </w:pPr>
            <w:r>
              <w:rPr>
                <w:rFonts w:hint="eastAsia" w:hAnsi="宋体"/>
                <w:sz w:val="24"/>
              </w:rPr>
              <w:t>中标企业名称</w:t>
            </w:r>
          </w:p>
        </w:tc>
        <w:tc>
          <w:tcPr>
            <w:tcW w:w="7742" w:type="dxa"/>
            <w:gridSpan w:val="5"/>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Ansi="宋体"/>
                <w:sz w:val="24"/>
              </w:rPr>
            </w:pPr>
            <w:r>
              <w:rPr>
                <w:rFonts w:hint="eastAsia" w:hAnsi="宋体"/>
                <w:sz w:val="24"/>
              </w:rPr>
              <w:t>开户银行</w:t>
            </w:r>
          </w:p>
        </w:tc>
        <w:tc>
          <w:tcPr>
            <w:tcW w:w="3780" w:type="dxa"/>
            <w:vAlign w:val="center"/>
          </w:tcPr>
          <w:p>
            <w:pPr>
              <w:rPr>
                <w:rFonts w:hAnsi="宋体"/>
                <w:sz w:val="24"/>
              </w:rPr>
            </w:pPr>
          </w:p>
        </w:tc>
        <w:tc>
          <w:tcPr>
            <w:tcW w:w="722" w:type="dxa"/>
            <w:gridSpan w:val="2"/>
            <w:vAlign w:val="center"/>
          </w:tcPr>
          <w:p>
            <w:pPr>
              <w:spacing w:line="360" w:lineRule="exact"/>
              <w:rPr>
                <w:rFonts w:hAnsi="宋体"/>
                <w:sz w:val="24"/>
              </w:rPr>
            </w:pPr>
            <w:r>
              <w:rPr>
                <w:rFonts w:hint="eastAsia" w:hAnsi="宋体"/>
                <w:sz w:val="24"/>
              </w:rPr>
              <w:t>账号</w:t>
            </w:r>
          </w:p>
        </w:tc>
        <w:tc>
          <w:tcPr>
            <w:tcW w:w="3240"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828" w:type="dxa"/>
            <w:gridSpan w:val="6"/>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 合同条款及格式</w:t>
      </w:r>
      <w:bookmarkEnd w:id="68"/>
    </w:p>
    <w:p>
      <w:pPr>
        <w:tabs>
          <w:tab w:val="left" w:pos="5000"/>
        </w:tabs>
        <w:spacing w:line="360" w:lineRule="auto"/>
        <w:ind w:firstLine="490"/>
        <w:rPr>
          <w:rFonts w:hAnsi="宋体" w:cs="黑体"/>
          <w:b/>
          <w:sz w:val="32"/>
          <w:szCs w:val="32"/>
        </w:rPr>
      </w:pPr>
      <w:bookmarkStart w:id="75"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5"/>
      <w:bookmarkStart w:id="76"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3"/>
        <w:jc w:val="center"/>
        <w:rPr>
          <w:rFonts w:asciiTheme="majorEastAsia" w:hAnsiTheme="majorEastAsia" w:eastAsiaTheme="majorEastAsia"/>
          <w:b w:val="0"/>
          <w:sz w:val="44"/>
          <w:szCs w:val="44"/>
        </w:rPr>
      </w:pPr>
      <w:r>
        <w:rPr>
          <w:rFonts w:asciiTheme="majorEastAsia" w:hAnsiTheme="majorEastAsia" w:eastAsiaTheme="majorEastAsia"/>
          <w:sz w:val="44"/>
          <w:szCs w:val="44"/>
        </w:rPr>
        <w:t>第一部分 合同协议书</w:t>
      </w:r>
    </w:p>
    <w:p>
      <w:pPr>
        <w:spacing w:line="480" w:lineRule="exact"/>
        <w:rPr>
          <w:rFonts w:ascii="Times New Roman" w:eastAsia="仿宋_GB2312"/>
          <w:b/>
          <w:sz w:val="24"/>
          <w:szCs w:val="24"/>
          <w:u w:val="single"/>
        </w:rPr>
      </w:pPr>
      <w:r>
        <w:rPr>
          <w:rFonts w:ascii="Times New Roman" w:eastAsia="仿宋_GB2312"/>
          <w:b/>
          <w:sz w:val="24"/>
          <w:szCs w:val="24"/>
        </w:rPr>
        <w:t>发包人（全称）：</w:t>
      </w:r>
      <w:r>
        <w:rPr>
          <w:rFonts w:ascii="Times New Roman" w:eastAsia="仿宋_GB2312"/>
          <w:b/>
          <w:sz w:val="24"/>
          <w:szCs w:val="24"/>
          <w:u w:val="single"/>
        </w:rPr>
        <w:t>         </w:t>
      </w:r>
    </w:p>
    <w:p>
      <w:pPr>
        <w:spacing w:line="480" w:lineRule="exact"/>
        <w:rPr>
          <w:rFonts w:ascii="Times New Roman" w:eastAsia="仿宋_GB2312"/>
          <w:b/>
          <w:sz w:val="24"/>
          <w:szCs w:val="24"/>
          <w:u w:val="single"/>
        </w:rPr>
      </w:pPr>
      <w:r>
        <w:rPr>
          <w:rFonts w:ascii="Times New Roman" w:eastAsia="仿宋_GB2312"/>
          <w:b/>
          <w:sz w:val="24"/>
          <w:szCs w:val="24"/>
        </w:rPr>
        <w:t>承包人（全称）：</w:t>
      </w:r>
      <w:r>
        <w:rPr>
          <w:rFonts w:ascii="Times New Roman" w:eastAsia="仿宋_GB2312"/>
          <w:b/>
          <w:sz w:val="24"/>
          <w:szCs w:val="24"/>
          <w:u w:val="single"/>
        </w:rPr>
        <w:t>     </w:t>
      </w:r>
    </w:p>
    <w:p>
      <w:pPr>
        <w:spacing w:line="480" w:lineRule="exact"/>
        <w:ind w:firstLine="480" w:firstLineChars="200"/>
        <w:rPr>
          <w:rFonts w:ascii="Times New Roman" w:eastAsia="仿宋_GB2312"/>
          <w:sz w:val="24"/>
          <w:szCs w:val="24"/>
        </w:rPr>
      </w:pPr>
      <w:r>
        <w:rPr>
          <w:rFonts w:ascii="Times New Roman" w:eastAsia="仿宋_GB2312"/>
          <w:sz w:val="24"/>
          <w:szCs w:val="24"/>
        </w:rPr>
        <w:t>根据《中华人民共和国合同法》、《中华人民共和国建筑法》及有关法律规定，遵循平等、自愿、公平和诚实信用的原则，双方就</w:t>
      </w:r>
    </w:p>
    <w:p>
      <w:pPr>
        <w:spacing w:line="480" w:lineRule="exact"/>
        <w:rPr>
          <w:rFonts w:ascii="Times New Roman" w:eastAsia="仿宋_GB2312"/>
          <w:sz w:val="24"/>
          <w:szCs w:val="24"/>
        </w:rPr>
      </w:pPr>
      <w:r>
        <w:rPr>
          <w:rFonts w:ascii="Times New Roman" w:eastAsia="仿宋_GB2312"/>
          <w:sz w:val="24"/>
          <w:szCs w:val="24"/>
        </w:rPr>
        <w:t>工程施工及有关事项协商一致</w:t>
      </w:r>
      <w:r>
        <w:rPr>
          <w:rFonts w:hint="eastAsia" w:ascii="Times New Roman" w:eastAsia="仿宋_GB2312"/>
          <w:sz w:val="24"/>
          <w:szCs w:val="24"/>
        </w:rPr>
        <w:t>，</w:t>
      </w:r>
      <w:r>
        <w:rPr>
          <w:rFonts w:ascii="Times New Roman" w:eastAsia="仿宋_GB2312"/>
          <w:sz w:val="24"/>
          <w:szCs w:val="24"/>
        </w:rPr>
        <w:t>共同达成如下协议：</w:t>
      </w:r>
    </w:p>
    <w:p>
      <w:pPr>
        <w:pStyle w:val="4"/>
        <w:spacing w:line="480" w:lineRule="exact"/>
        <w:rPr>
          <w:rFonts w:ascii="Times New Roman" w:hAnsi="Times New Roman" w:eastAsia="黑体"/>
          <w:bCs w:val="0"/>
          <w:sz w:val="24"/>
          <w:szCs w:val="24"/>
        </w:rPr>
      </w:pPr>
      <w:bookmarkStart w:id="77" w:name="_Toc351203481"/>
      <w:r>
        <w:rPr>
          <w:rFonts w:ascii="Times New Roman" w:hAnsi="Times New Roman" w:eastAsia="黑体"/>
          <w:b w:val="0"/>
          <w:sz w:val="24"/>
          <w:szCs w:val="24"/>
        </w:rPr>
        <w:t>一、工程概况</w:t>
      </w:r>
      <w:bookmarkEnd w:id="77"/>
    </w:p>
    <w:p>
      <w:pPr>
        <w:spacing w:line="480" w:lineRule="exact"/>
        <w:ind w:firstLine="470" w:firstLineChars="196"/>
        <w:rPr>
          <w:rFonts w:ascii="Times New Roman" w:eastAsia="仿宋_GB2312"/>
          <w:sz w:val="24"/>
          <w:szCs w:val="24"/>
          <w:u w:val="single"/>
        </w:rPr>
      </w:pPr>
      <w:r>
        <w:rPr>
          <w:rFonts w:ascii="Times New Roman" w:eastAsia="仿宋_GB2312"/>
          <w:bCs/>
          <w:sz w:val="24"/>
          <w:szCs w:val="24"/>
        </w:rPr>
        <w:t>1.工程名称</w:t>
      </w:r>
      <w:r>
        <w:rPr>
          <w:rFonts w:ascii="Times New Roman" w:eastAsia="仿宋_GB2312"/>
          <w:sz w:val="24"/>
          <w:szCs w:val="24"/>
        </w:rPr>
        <w:t>：</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2.工程地点：</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3.工程立项批准文号：</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ascii="Times New Roman" w:eastAsia="仿宋_GB2312"/>
          <w:bCs/>
          <w:sz w:val="24"/>
          <w:szCs w:val="24"/>
        </w:rPr>
        <w:t>4.资金来源：</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hint="eastAsia" w:ascii="Times New Roman" w:eastAsia="仿宋_GB2312"/>
          <w:bCs/>
          <w:sz w:val="24"/>
          <w:szCs w:val="24"/>
        </w:rPr>
        <w:t>5.工程内容：</w:t>
      </w:r>
      <w:r>
        <w:rPr>
          <w:rFonts w:ascii="Times New Roman" w:eastAsia="仿宋_GB2312"/>
          <w:sz w:val="24"/>
          <w:szCs w:val="24"/>
          <w:u w:val="single"/>
        </w:rPr>
        <w:t xml:space="preserve"> </w:t>
      </w:r>
      <w:r>
        <w:rPr>
          <w:rFonts w:ascii="Times New Roman" w:eastAsia="仿宋_GB2312"/>
          <w:bCs/>
          <w:sz w:val="24"/>
          <w:szCs w:val="24"/>
        </w:rPr>
        <w:t>。</w:t>
      </w:r>
    </w:p>
    <w:p>
      <w:pPr>
        <w:spacing w:line="480" w:lineRule="exact"/>
        <w:ind w:firstLine="470" w:firstLineChars="196"/>
        <w:rPr>
          <w:rFonts w:ascii="Times New Roman" w:eastAsia="仿宋_GB2312"/>
          <w:bCs/>
          <w:sz w:val="24"/>
          <w:szCs w:val="24"/>
        </w:rPr>
      </w:pPr>
      <w:r>
        <w:rPr>
          <w:rFonts w:hint="eastAsia" w:ascii="Times New Roman" w:eastAsia="仿宋_GB2312"/>
          <w:sz w:val="24"/>
          <w:szCs w:val="24"/>
        </w:rPr>
        <w:t>群体工程应附《</w:t>
      </w:r>
      <w:r>
        <w:rPr>
          <w:rFonts w:ascii="Times New Roman" w:eastAsia="仿宋_GB2312"/>
          <w:sz w:val="24"/>
          <w:szCs w:val="24"/>
        </w:rPr>
        <w:t>承包人承揽工程项目一览表</w:t>
      </w:r>
      <w:r>
        <w:rPr>
          <w:rFonts w:hint="eastAsia" w:ascii="Times New Roman" w:eastAsia="仿宋_GB2312"/>
          <w:sz w:val="24"/>
          <w:szCs w:val="24"/>
        </w:rPr>
        <w:t>》（附件1）。</w:t>
      </w:r>
    </w:p>
    <w:p>
      <w:pPr>
        <w:spacing w:line="480" w:lineRule="exact"/>
        <w:ind w:firstLine="470" w:firstLineChars="196"/>
        <w:rPr>
          <w:rFonts w:ascii="Times New Roman" w:eastAsia="仿宋_GB2312"/>
          <w:bCs/>
          <w:sz w:val="24"/>
          <w:szCs w:val="24"/>
        </w:rPr>
      </w:pPr>
      <w:r>
        <w:rPr>
          <w:rFonts w:hint="eastAsia" w:ascii="Times New Roman" w:eastAsia="仿宋_GB2312"/>
          <w:bCs/>
          <w:sz w:val="24"/>
          <w:szCs w:val="24"/>
        </w:rPr>
        <w:t>6</w:t>
      </w:r>
      <w:r>
        <w:rPr>
          <w:rFonts w:ascii="Times New Roman" w:eastAsia="仿宋_GB2312"/>
          <w:bCs/>
          <w:sz w:val="24"/>
          <w:szCs w:val="24"/>
        </w:rPr>
        <w:t>.工程承包范围：</w:t>
      </w:r>
    </w:p>
    <w:p>
      <w:pPr>
        <w:spacing w:line="480" w:lineRule="exact"/>
        <w:ind w:firstLine="463" w:firstLineChars="193"/>
        <w:rPr>
          <w:rFonts w:ascii="Times New Roman" w:eastAsia="仿宋_GB2312"/>
          <w:sz w:val="24"/>
          <w:szCs w:val="24"/>
        </w:rPr>
      </w:pP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pPr>
        <w:pStyle w:val="4"/>
        <w:spacing w:line="480" w:lineRule="exact"/>
        <w:rPr>
          <w:rFonts w:ascii="Times New Roman" w:hAnsi="Times New Roman" w:eastAsia="黑体"/>
          <w:b w:val="0"/>
          <w:sz w:val="24"/>
          <w:szCs w:val="24"/>
        </w:rPr>
      </w:pPr>
      <w:bookmarkStart w:id="78" w:name="_Toc351203482"/>
      <w:r>
        <w:rPr>
          <w:rFonts w:ascii="Times New Roman" w:hAnsi="Times New Roman" w:eastAsia="黑体"/>
          <w:b w:val="0"/>
          <w:sz w:val="24"/>
          <w:szCs w:val="24"/>
        </w:rPr>
        <w:t>二、合同工期</w:t>
      </w:r>
      <w:bookmarkEnd w:id="78"/>
    </w:p>
    <w:p>
      <w:pPr>
        <w:spacing w:line="480" w:lineRule="exact"/>
        <w:ind w:firstLine="459"/>
        <w:rPr>
          <w:rFonts w:ascii="Times New Roman" w:eastAsia="仿宋_GB2312"/>
          <w:sz w:val="24"/>
          <w:szCs w:val="24"/>
        </w:rPr>
      </w:pPr>
      <w:r>
        <w:rPr>
          <w:rFonts w:ascii="Times New Roman" w:eastAsia="仿宋_GB2312"/>
          <w:sz w:val="24"/>
          <w:szCs w:val="24"/>
        </w:rPr>
        <w:t>计划开工日期：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pPr>
        <w:spacing w:line="480" w:lineRule="exact"/>
        <w:ind w:firstLine="459"/>
        <w:rPr>
          <w:rFonts w:ascii="Times New Roman" w:eastAsia="仿宋_GB2312"/>
          <w:sz w:val="24"/>
          <w:szCs w:val="24"/>
        </w:rPr>
      </w:pPr>
      <w:r>
        <w:rPr>
          <w:rFonts w:ascii="Times New Roman" w:eastAsia="仿宋_GB2312"/>
          <w:sz w:val="24"/>
          <w:szCs w:val="24"/>
        </w:rPr>
        <w:t>计划竣工日期：</w:t>
      </w:r>
      <w:r>
        <w:rPr>
          <w:rFonts w:ascii="Times New Roman" w:eastAsia="仿宋_GB2312"/>
          <w:sz w:val="24"/>
          <w:szCs w:val="24"/>
          <w:u w:val="single"/>
        </w:rPr>
        <w:t></w:t>
      </w:r>
      <w:r>
        <w:rPr>
          <w:rFonts w:ascii="Times New Roman" w:eastAsia="仿宋_GB2312"/>
          <w:sz w:val="24"/>
          <w:szCs w:val="24"/>
        </w:rPr>
        <w:t>年</w:t>
      </w:r>
      <w:r>
        <w:rPr>
          <w:rFonts w:ascii="Times New Roman" w:eastAsia="仿宋_GB2312"/>
          <w:sz w:val="24"/>
          <w:szCs w:val="24"/>
          <w:u w:val="single"/>
        </w:rPr>
        <w:t></w:t>
      </w:r>
      <w:r>
        <w:rPr>
          <w:rFonts w:ascii="Times New Roman" w:eastAsia="仿宋_GB2312"/>
          <w:sz w:val="24"/>
          <w:szCs w:val="24"/>
        </w:rPr>
        <w:t>月</w:t>
      </w:r>
      <w:r>
        <w:rPr>
          <w:rFonts w:ascii="Times New Roman" w:eastAsia="仿宋_GB2312"/>
          <w:sz w:val="24"/>
          <w:szCs w:val="24"/>
          <w:u w:val="single"/>
        </w:rPr>
        <w:t></w:t>
      </w:r>
      <w:r>
        <w:rPr>
          <w:rFonts w:ascii="Times New Roman" w:eastAsia="仿宋_GB2312"/>
          <w:sz w:val="24"/>
          <w:szCs w:val="24"/>
        </w:rPr>
        <w:t>日。</w:t>
      </w:r>
    </w:p>
    <w:p>
      <w:pPr>
        <w:spacing w:line="480" w:lineRule="exact"/>
        <w:ind w:firstLine="459"/>
        <w:rPr>
          <w:rFonts w:ascii="Times New Roman" w:eastAsia="仿宋_GB2312"/>
          <w:sz w:val="24"/>
          <w:szCs w:val="24"/>
        </w:rPr>
      </w:pPr>
      <w:r>
        <w:rPr>
          <w:rFonts w:ascii="Times New Roman" w:eastAsia="仿宋_GB2312"/>
          <w:sz w:val="24"/>
          <w:szCs w:val="24"/>
        </w:rPr>
        <w:t>工期总日历天数：</w:t>
      </w:r>
      <w:r>
        <w:rPr>
          <w:rFonts w:ascii="Times New Roman" w:eastAsia="仿宋_GB2312"/>
          <w:sz w:val="24"/>
          <w:szCs w:val="24"/>
          <w:u w:val="single"/>
        </w:rPr>
        <w:t></w:t>
      </w:r>
      <w:r>
        <w:rPr>
          <w:rFonts w:ascii="Times New Roman" w:eastAsia="仿宋_GB2312"/>
          <w:sz w:val="24"/>
          <w:szCs w:val="24"/>
        </w:rPr>
        <w:t>天。工期总日历天数与根据前述计划开竣工日期计算的工期天数不一致的，以工期总日历天数为准。</w:t>
      </w:r>
    </w:p>
    <w:p>
      <w:pPr>
        <w:pStyle w:val="4"/>
        <w:spacing w:line="480" w:lineRule="exact"/>
        <w:rPr>
          <w:rFonts w:ascii="Times New Roman" w:hAnsi="Times New Roman" w:eastAsia="黑体"/>
          <w:bCs w:val="0"/>
          <w:sz w:val="24"/>
          <w:szCs w:val="24"/>
        </w:rPr>
      </w:pPr>
      <w:bookmarkStart w:id="79" w:name="_Toc351203483"/>
      <w:r>
        <w:rPr>
          <w:rFonts w:ascii="Times New Roman" w:hAnsi="Times New Roman" w:eastAsia="黑体"/>
          <w:b w:val="0"/>
          <w:sz w:val="24"/>
          <w:szCs w:val="24"/>
        </w:rPr>
        <w:t>三、质量标准</w:t>
      </w:r>
      <w:bookmarkEnd w:id="79"/>
    </w:p>
    <w:p>
      <w:pPr>
        <w:spacing w:line="480" w:lineRule="exact"/>
        <w:ind w:firstLine="459"/>
        <w:rPr>
          <w:rFonts w:ascii="Times New Roman" w:eastAsia="仿宋_GB2312"/>
          <w:sz w:val="24"/>
          <w:szCs w:val="24"/>
        </w:rPr>
      </w:pPr>
      <w:r>
        <w:rPr>
          <w:rFonts w:ascii="Times New Roman" w:eastAsia="仿宋_GB2312"/>
          <w:sz w:val="24"/>
          <w:szCs w:val="24"/>
        </w:rPr>
        <w:t>工程质量符合</w:t>
      </w:r>
      <w:r>
        <w:rPr>
          <w:rFonts w:ascii="Times New Roman" w:eastAsia="仿宋_GB2312"/>
          <w:sz w:val="24"/>
          <w:szCs w:val="24"/>
          <w:u w:val="single"/>
        </w:rPr>
        <w:t></w:t>
      </w:r>
      <w:r>
        <w:rPr>
          <w:rFonts w:ascii="Times New Roman" w:eastAsia="仿宋_GB2312"/>
          <w:sz w:val="24"/>
          <w:szCs w:val="24"/>
        </w:rPr>
        <w:t>标准。</w:t>
      </w:r>
    </w:p>
    <w:p>
      <w:pPr>
        <w:pStyle w:val="4"/>
        <w:spacing w:line="480" w:lineRule="exact"/>
        <w:rPr>
          <w:rFonts w:ascii="Times New Roman" w:hAnsi="Times New Roman" w:eastAsia="黑体"/>
          <w:bCs w:val="0"/>
          <w:sz w:val="24"/>
          <w:szCs w:val="24"/>
        </w:rPr>
      </w:pPr>
      <w:bookmarkStart w:id="80" w:name="_Toc351203484"/>
      <w:r>
        <w:rPr>
          <w:rFonts w:ascii="Times New Roman" w:hAnsi="Times New Roman" w:eastAsia="黑体"/>
          <w:b w:val="0"/>
          <w:sz w:val="24"/>
          <w:szCs w:val="24"/>
        </w:rPr>
        <w:t>四、签约合同价与合同价格形式</w:t>
      </w:r>
      <w:bookmarkEnd w:id="80"/>
      <w:r>
        <w:rPr>
          <w:rFonts w:ascii="Times New Roman" w:hAnsi="Times New Roman" w:eastAsia="黑体"/>
          <w:b w:val="0"/>
          <w:sz w:val="24"/>
          <w:szCs w:val="24"/>
        </w:rPr>
        <w:tab/>
      </w:r>
    </w:p>
    <w:p>
      <w:pPr>
        <w:spacing w:line="480" w:lineRule="exact"/>
        <w:ind w:firstLine="480" w:firstLineChars="200"/>
        <w:rPr>
          <w:rFonts w:ascii="Times New Roman" w:eastAsia="仿宋_GB2312"/>
          <w:sz w:val="24"/>
          <w:szCs w:val="24"/>
        </w:rPr>
      </w:pPr>
      <w:r>
        <w:rPr>
          <w:rFonts w:ascii="Times New Roman" w:eastAsia="仿宋_GB2312"/>
          <w:sz w:val="24"/>
          <w:szCs w:val="24"/>
        </w:rPr>
        <w:t>1.签约合同价为：</w:t>
      </w:r>
    </w:p>
    <w:p>
      <w:pPr>
        <w:spacing w:line="480" w:lineRule="exact"/>
        <w:ind w:firstLine="600" w:firstLineChars="250"/>
        <w:rPr>
          <w:rFonts w:ascii="Times New Roman" w:eastAsia="仿宋_GB2312"/>
          <w:sz w:val="24"/>
          <w:szCs w:val="24"/>
        </w:rPr>
      </w:pPr>
      <w:r>
        <w:rPr>
          <w:rFonts w:ascii="Times New Roman" w:eastAsia="仿宋_GB2312"/>
          <w:sz w:val="24"/>
          <w:szCs w:val="24"/>
        </w:rPr>
        <w:t>人民币（大写）(¥元)；</w:t>
      </w:r>
    </w:p>
    <w:p>
      <w:pPr>
        <w:spacing w:line="480" w:lineRule="exact"/>
        <w:ind w:firstLine="480" w:firstLineChars="200"/>
        <w:rPr>
          <w:rFonts w:ascii="Times New Roman" w:eastAsia="仿宋_GB2312"/>
          <w:sz w:val="24"/>
          <w:szCs w:val="24"/>
        </w:rPr>
      </w:pPr>
      <w:r>
        <w:rPr>
          <w:rFonts w:ascii="Times New Roman" w:eastAsia="仿宋_GB2312"/>
          <w:sz w:val="24"/>
          <w:szCs w:val="24"/>
        </w:rPr>
        <w:t>其中：</w:t>
      </w:r>
    </w:p>
    <w:p>
      <w:pPr>
        <w:spacing w:line="480" w:lineRule="exact"/>
        <w:ind w:firstLine="480" w:firstLineChars="200"/>
        <w:rPr>
          <w:rFonts w:ascii="Times New Roman" w:eastAsia="仿宋_GB2312"/>
          <w:sz w:val="24"/>
          <w:szCs w:val="24"/>
        </w:rPr>
      </w:pPr>
      <w:r>
        <w:rPr>
          <w:rFonts w:ascii="Times New Roman" w:eastAsia="仿宋_GB2312"/>
          <w:sz w:val="24"/>
          <w:szCs w:val="24"/>
        </w:rPr>
        <w:t>（1）安全文明施工费：</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（2）材料和工程设备暂估价金额：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（3）专业工程暂估价金额：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（4）暂列金额：</w:t>
      </w:r>
    </w:p>
    <w:p>
      <w:pPr>
        <w:spacing w:line="480" w:lineRule="exact"/>
        <w:ind w:firstLine="1080" w:firstLineChars="450"/>
        <w:rPr>
          <w:rFonts w:ascii="Times New Roman" w:eastAsia="仿宋_GB2312"/>
          <w:sz w:val="24"/>
          <w:szCs w:val="24"/>
        </w:rPr>
      </w:pPr>
      <w:r>
        <w:rPr>
          <w:rFonts w:ascii="Times New Roman" w:eastAsia="仿宋_GB2312"/>
          <w:sz w:val="24"/>
          <w:szCs w:val="24"/>
        </w:rPr>
        <w:t>人民币（大写） (¥元)。</w:t>
      </w:r>
    </w:p>
    <w:p>
      <w:pPr>
        <w:spacing w:line="480" w:lineRule="exact"/>
        <w:ind w:firstLine="480" w:firstLineChars="200"/>
        <w:rPr>
          <w:rFonts w:ascii="Times New Roman" w:eastAsia="仿宋_GB2312"/>
          <w:sz w:val="24"/>
          <w:szCs w:val="24"/>
        </w:rPr>
      </w:pPr>
      <w:r>
        <w:rPr>
          <w:rFonts w:ascii="Times New Roman" w:eastAsia="仿宋_GB2312"/>
          <w:sz w:val="24"/>
          <w:szCs w:val="24"/>
        </w:rPr>
        <w:t>2.合同价格形式：</w:t>
      </w:r>
      <w:r>
        <w:rPr>
          <w:rFonts w:ascii="Times New Roman" w:eastAsia="仿宋_GB2312"/>
          <w:sz w:val="24"/>
          <w:szCs w:val="24"/>
          <w:u w:val="single"/>
        </w:rPr>
        <w:t>           </w:t>
      </w:r>
      <w:r>
        <w:rPr>
          <w:rFonts w:ascii="Times New Roman" w:eastAsia="仿宋_GB2312"/>
          <w:sz w:val="24"/>
          <w:szCs w:val="24"/>
        </w:rPr>
        <w:t>。</w:t>
      </w:r>
    </w:p>
    <w:p>
      <w:pPr>
        <w:pStyle w:val="4"/>
        <w:spacing w:line="480" w:lineRule="exact"/>
        <w:rPr>
          <w:rFonts w:ascii="Times New Roman" w:hAnsi="Times New Roman" w:eastAsia="黑体"/>
          <w:b w:val="0"/>
          <w:sz w:val="24"/>
          <w:szCs w:val="24"/>
        </w:rPr>
      </w:pPr>
      <w:bookmarkStart w:id="81" w:name="_Toc351203485"/>
      <w:r>
        <w:rPr>
          <w:rFonts w:ascii="Times New Roman" w:hAnsi="Times New Roman" w:eastAsia="黑体"/>
          <w:b w:val="0"/>
          <w:sz w:val="24"/>
          <w:szCs w:val="24"/>
        </w:rPr>
        <w:t>五、</w:t>
      </w:r>
      <w:bookmarkEnd w:id="81"/>
      <w:r>
        <w:rPr>
          <w:rFonts w:hint="eastAsia" w:ascii="Times New Roman" w:hAnsi="Times New Roman" w:eastAsia="黑体"/>
          <w:b w:val="0"/>
          <w:sz w:val="24"/>
          <w:szCs w:val="24"/>
        </w:rPr>
        <w:t>项目负责人</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w:t>
      </w:r>
      <w:r>
        <w:rPr>
          <w:rFonts w:hint="eastAsia" w:ascii="Times New Roman" w:eastAsia="仿宋_GB2312"/>
          <w:sz w:val="24"/>
          <w:szCs w:val="24"/>
        </w:rPr>
        <w:t>项目负责人</w:t>
      </w:r>
      <w:r>
        <w:rPr>
          <w:rFonts w:ascii="Times New Roman" w:eastAsia="仿宋_GB2312"/>
          <w:sz w:val="24"/>
          <w:szCs w:val="24"/>
        </w:rPr>
        <w:t>：</w:t>
      </w:r>
      <w:r>
        <w:rPr>
          <w:rFonts w:ascii="Times New Roman" w:eastAsia="仿宋_GB2312"/>
          <w:sz w:val="24"/>
          <w:szCs w:val="24"/>
          <w:u w:val="single"/>
        </w:rPr>
        <w:t>         </w:t>
      </w:r>
      <w:r>
        <w:rPr>
          <w:rFonts w:ascii="Times New Roman" w:eastAsia="仿宋_GB2312"/>
          <w:sz w:val="24"/>
          <w:szCs w:val="24"/>
        </w:rPr>
        <w:t>。</w:t>
      </w:r>
    </w:p>
    <w:p>
      <w:pPr>
        <w:pStyle w:val="4"/>
        <w:spacing w:line="480" w:lineRule="exact"/>
        <w:rPr>
          <w:rFonts w:ascii="Times New Roman" w:hAnsi="Times New Roman" w:eastAsia="黑体"/>
          <w:bCs w:val="0"/>
          <w:sz w:val="24"/>
          <w:szCs w:val="24"/>
        </w:rPr>
      </w:pPr>
      <w:bookmarkStart w:id="82" w:name="_Toc351203486"/>
      <w:r>
        <w:rPr>
          <w:rFonts w:ascii="Times New Roman" w:hAnsi="Times New Roman" w:eastAsia="黑体"/>
          <w:b w:val="0"/>
          <w:sz w:val="24"/>
          <w:szCs w:val="24"/>
        </w:rPr>
        <w:t>六、合同文件构成</w:t>
      </w:r>
      <w:bookmarkEnd w:id="82"/>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本协议书与下列文件一起构成合同文件：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（1）中标通知书（如果有）；</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（2）投标函及其附录（如果有）；</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（3）专用合同条款及其附件；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（4）通用合同条款；</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（5）技术标准和要求；</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（6）图纸；</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（7）已标价工程量清单或预算书；</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（8）其他合同文件。</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上述各项合同文件包括合同当事人就该项合同文件所作出的补充和修改，属于同一类内容的文件，应以最新签署的为准。</w:t>
      </w:r>
      <w:r>
        <w:rPr>
          <w:rFonts w:hint="eastAsia" w:ascii="Times New Roman" w:eastAsia="仿宋_GB2312"/>
          <w:sz w:val="24"/>
          <w:szCs w:val="24"/>
        </w:rPr>
        <w:t>专用合同条款及其附件须经合同当事人签字或盖章。</w:t>
      </w:r>
    </w:p>
    <w:p>
      <w:pPr>
        <w:pStyle w:val="4"/>
        <w:spacing w:line="480" w:lineRule="exact"/>
        <w:rPr>
          <w:rFonts w:ascii="Times New Roman" w:hAnsi="Times New Roman" w:eastAsia="黑体"/>
          <w:b w:val="0"/>
          <w:bCs w:val="0"/>
          <w:sz w:val="24"/>
          <w:szCs w:val="24"/>
        </w:rPr>
      </w:pPr>
      <w:bookmarkStart w:id="83" w:name="_Toc351203487"/>
      <w:r>
        <w:rPr>
          <w:rFonts w:ascii="Times New Roman" w:hAnsi="Times New Roman" w:eastAsia="黑体"/>
          <w:b w:val="0"/>
          <w:sz w:val="24"/>
          <w:szCs w:val="24"/>
        </w:rPr>
        <w:t>七、承诺</w:t>
      </w:r>
      <w:bookmarkEnd w:id="83"/>
    </w:p>
    <w:p>
      <w:pPr>
        <w:spacing w:line="480" w:lineRule="exact"/>
        <w:ind w:firstLine="480" w:firstLineChars="200"/>
        <w:rPr>
          <w:rFonts w:ascii="Times New Roman" w:eastAsia="仿宋_GB2312"/>
          <w:bCs/>
          <w:sz w:val="24"/>
          <w:szCs w:val="24"/>
        </w:rPr>
      </w:pPr>
      <w:r>
        <w:rPr>
          <w:rFonts w:ascii="Times New Roman" w:eastAsia="仿宋_GB2312"/>
          <w:bCs/>
          <w:sz w:val="24"/>
          <w:szCs w:val="24"/>
        </w:rPr>
        <w:t>1.发包人承诺按照法律规定履行项目审批手续、筹集工程建设资金并按照合同约定的期限和方式支付合同价款。</w:t>
      </w:r>
    </w:p>
    <w:p>
      <w:pPr>
        <w:spacing w:line="480" w:lineRule="exact"/>
        <w:ind w:firstLine="480" w:firstLineChars="200"/>
        <w:rPr>
          <w:rFonts w:ascii="Times New Roman" w:eastAsia="仿宋_GB2312"/>
          <w:bCs/>
          <w:sz w:val="24"/>
          <w:szCs w:val="24"/>
        </w:rPr>
      </w:pPr>
      <w:r>
        <w:rPr>
          <w:rFonts w:ascii="Times New Roman" w:eastAsia="仿宋_GB2312"/>
          <w:bCs/>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Times New Roman" w:eastAsia="仿宋_GB2312"/>
          <w:bCs/>
          <w:sz w:val="24"/>
          <w:szCs w:val="24"/>
        </w:rPr>
      </w:pPr>
      <w:r>
        <w:rPr>
          <w:rFonts w:ascii="Times New Roman" w:eastAsia="仿宋_GB2312"/>
          <w:bCs/>
          <w:sz w:val="24"/>
          <w:szCs w:val="24"/>
        </w:rPr>
        <w:t>3.发包人和承包人通过招投标形式签订合同的，双方理解并</w:t>
      </w:r>
      <w:r>
        <w:rPr>
          <w:rFonts w:hint="eastAsia" w:ascii="Times New Roman" w:eastAsia="仿宋_GB2312"/>
          <w:bCs/>
          <w:sz w:val="24"/>
          <w:szCs w:val="24"/>
        </w:rPr>
        <w:t>承诺</w:t>
      </w:r>
      <w:r>
        <w:rPr>
          <w:rFonts w:ascii="Times New Roman" w:eastAsia="仿宋_GB2312"/>
          <w:bCs/>
          <w:sz w:val="24"/>
          <w:szCs w:val="24"/>
        </w:rPr>
        <w:t>不再就同一工程另行签订与合同实质性内容相背离的协议。</w:t>
      </w:r>
    </w:p>
    <w:p>
      <w:pPr>
        <w:spacing w:line="480" w:lineRule="exact"/>
        <w:rPr>
          <w:rFonts w:ascii="Times New Roman" w:eastAsia="黑体"/>
          <w:bCs/>
          <w:sz w:val="24"/>
          <w:szCs w:val="24"/>
        </w:rPr>
      </w:pPr>
      <w:bookmarkStart w:id="84" w:name="_Toc351203488"/>
      <w:r>
        <w:rPr>
          <w:rFonts w:ascii="Times New Roman" w:eastAsia="黑体"/>
          <w:b/>
          <w:sz w:val="24"/>
          <w:szCs w:val="24"/>
        </w:rPr>
        <w:t>八、词语含义</w:t>
      </w:r>
      <w:bookmarkEnd w:id="84"/>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本协议书中词语含义与第二部分通用合同条款中赋予的含义相同。</w:t>
      </w:r>
    </w:p>
    <w:p>
      <w:pPr>
        <w:pStyle w:val="4"/>
        <w:spacing w:line="480" w:lineRule="exact"/>
        <w:rPr>
          <w:rFonts w:ascii="Times New Roman" w:hAnsi="Times New Roman" w:eastAsia="黑体"/>
          <w:bCs w:val="0"/>
          <w:sz w:val="24"/>
          <w:szCs w:val="24"/>
        </w:rPr>
      </w:pPr>
      <w:bookmarkStart w:id="85" w:name="_Toc351203489"/>
      <w:r>
        <w:rPr>
          <w:rFonts w:ascii="Times New Roman" w:hAnsi="Times New Roman" w:eastAsia="黑体"/>
          <w:b w:val="0"/>
          <w:sz w:val="24"/>
          <w:szCs w:val="24"/>
        </w:rPr>
        <w:t>九、签订时间</w:t>
      </w:r>
      <w:bookmarkEnd w:id="85"/>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本合同于年月日签订。</w:t>
      </w:r>
    </w:p>
    <w:p>
      <w:pPr>
        <w:pStyle w:val="4"/>
        <w:spacing w:line="480" w:lineRule="exact"/>
        <w:rPr>
          <w:rFonts w:ascii="Times New Roman" w:hAnsi="Times New Roman" w:eastAsia="黑体"/>
          <w:bCs w:val="0"/>
          <w:sz w:val="24"/>
          <w:szCs w:val="24"/>
        </w:rPr>
      </w:pPr>
      <w:bookmarkStart w:id="86" w:name="_Toc351203490"/>
      <w:r>
        <w:rPr>
          <w:rFonts w:ascii="Times New Roman" w:hAnsi="Times New Roman" w:eastAsia="黑体"/>
          <w:b w:val="0"/>
          <w:sz w:val="24"/>
          <w:szCs w:val="24"/>
        </w:rPr>
        <w:t>十、签订地点</w:t>
      </w:r>
      <w:bookmarkEnd w:id="86"/>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本合同在签订。</w:t>
      </w:r>
    </w:p>
    <w:p>
      <w:pPr>
        <w:pStyle w:val="4"/>
        <w:spacing w:line="480" w:lineRule="exact"/>
        <w:rPr>
          <w:rFonts w:ascii="Times New Roman" w:hAnsi="Times New Roman" w:eastAsia="黑体"/>
          <w:bCs w:val="0"/>
          <w:sz w:val="24"/>
          <w:szCs w:val="24"/>
        </w:rPr>
      </w:pPr>
      <w:bookmarkStart w:id="87" w:name="_Toc351203491"/>
      <w:r>
        <w:rPr>
          <w:rFonts w:ascii="Times New Roman" w:hAnsi="Times New Roman" w:eastAsia="黑体"/>
          <w:b w:val="0"/>
          <w:sz w:val="24"/>
          <w:szCs w:val="24"/>
        </w:rPr>
        <w:t>十一、补充协议</w:t>
      </w:r>
      <w:bookmarkEnd w:id="87"/>
    </w:p>
    <w:p>
      <w:pPr>
        <w:spacing w:line="480" w:lineRule="exact"/>
        <w:ind w:firstLine="480" w:firstLineChars="200"/>
        <w:rPr>
          <w:rFonts w:ascii="Times New Roman" w:eastAsia="仿宋_GB2312"/>
          <w:b/>
          <w:bCs/>
          <w:sz w:val="24"/>
          <w:szCs w:val="24"/>
        </w:rPr>
      </w:pPr>
      <w:r>
        <w:rPr>
          <w:rFonts w:ascii="Times New Roman" w:eastAsia="仿宋_GB2312"/>
          <w:bCs/>
          <w:sz w:val="24"/>
          <w:szCs w:val="24"/>
        </w:rPr>
        <w:t>合同未尽事宜，合同当事人另行签订补充协议</w:t>
      </w:r>
      <w:r>
        <w:rPr>
          <w:rFonts w:hint="eastAsia" w:ascii="Times New Roman" w:eastAsia="仿宋_GB2312"/>
          <w:bCs/>
          <w:sz w:val="24"/>
          <w:szCs w:val="24"/>
        </w:rPr>
        <w:t>，</w:t>
      </w:r>
      <w:r>
        <w:rPr>
          <w:rFonts w:ascii="Times New Roman" w:eastAsia="仿宋_GB2312"/>
          <w:bCs/>
          <w:sz w:val="24"/>
          <w:szCs w:val="24"/>
        </w:rPr>
        <w:t>补充协议是合同的组成部分。</w:t>
      </w:r>
    </w:p>
    <w:p>
      <w:pPr>
        <w:pStyle w:val="4"/>
        <w:spacing w:line="480" w:lineRule="exact"/>
        <w:rPr>
          <w:rFonts w:ascii="Times New Roman" w:hAnsi="Times New Roman" w:eastAsia="黑体"/>
          <w:bCs w:val="0"/>
          <w:sz w:val="24"/>
          <w:szCs w:val="24"/>
        </w:rPr>
      </w:pPr>
      <w:bookmarkStart w:id="88" w:name="_Toc351203492"/>
      <w:r>
        <w:rPr>
          <w:rFonts w:ascii="Times New Roman" w:hAnsi="Times New Roman" w:eastAsia="黑体"/>
          <w:b w:val="0"/>
          <w:sz w:val="24"/>
          <w:szCs w:val="24"/>
        </w:rPr>
        <w:t>十二、合同生效</w:t>
      </w:r>
      <w:bookmarkEnd w:id="88"/>
    </w:p>
    <w:p>
      <w:pPr>
        <w:spacing w:line="480" w:lineRule="exact"/>
        <w:ind w:firstLine="480" w:firstLineChars="200"/>
        <w:rPr>
          <w:rFonts w:ascii="Times New Roman" w:eastAsia="仿宋_GB2312"/>
          <w:bCs/>
          <w:sz w:val="24"/>
          <w:szCs w:val="24"/>
        </w:rPr>
      </w:pPr>
      <w:r>
        <w:rPr>
          <w:rFonts w:ascii="Times New Roman" w:eastAsia="仿宋_GB2312"/>
          <w:bCs/>
          <w:sz w:val="24"/>
          <w:szCs w:val="24"/>
        </w:rPr>
        <w:t>本合同自生效。</w:t>
      </w:r>
    </w:p>
    <w:p>
      <w:pPr>
        <w:pStyle w:val="4"/>
        <w:spacing w:line="480" w:lineRule="exact"/>
        <w:rPr>
          <w:rFonts w:ascii="Times New Roman" w:hAnsi="Times New Roman" w:eastAsia="黑体"/>
          <w:bCs w:val="0"/>
          <w:sz w:val="24"/>
          <w:szCs w:val="24"/>
        </w:rPr>
      </w:pPr>
      <w:bookmarkStart w:id="89" w:name="_Toc351203493"/>
      <w:r>
        <w:rPr>
          <w:rFonts w:ascii="Times New Roman" w:hAnsi="Times New Roman" w:eastAsia="黑体"/>
          <w:b w:val="0"/>
          <w:sz w:val="24"/>
          <w:szCs w:val="24"/>
        </w:rPr>
        <w:t>十三、合同份数</w:t>
      </w:r>
      <w:bookmarkEnd w:id="89"/>
    </w:p>
    <w:p>
      <w:pPr>
        <w:spacing w:line="480" w:lineRule="exact"/>
        <w:ind w:firstLine="480" w:firstLineChars="200"/>
        <w:rPr>
          <w:rFonts w:ascii="Times New Roman" w:eastAsia="仿宋_GB2312"/>
          <w:sz w:val="24"/>
          <w:szCs w:val="24"/>
        </w:rPr>
      </w:pPr>
      <w:r>
        <w:rPr>
          <w:rFonts w:ascii="Times New Roman" w:eastAsia="仿宋_GB2312"/>
          <w:bCs/>
          <w:sz w:val="24"/>
          <w:szCs w:val="24"/>
        </w:rPr>
        <w:t>本合同一式份，均具有同等法律效力，发包人执份，承包人执份。</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w:t>
      </w:r>
      <w:r>
        <w:rPr>
          <w:rFonts w:hint="eastAsia" w:ascii="Times New Roman" w:eastAsia="仿宋_GB2312"/>
          <w:sz w:val="24"/>
          <w:szCs w:val="24"/>
        </w:rPr>
        <w:t>：</w:t>
      </w:r>
      <w:r>
        <w:rPr>
          <w:rFonts w:ascii="Times New Roman" w:eastAsia="仿宋_GB2312"/>
          <w:sz w:val="24"/>
          <w:szCs w:val="24"/>
        </w:rPr>
        <w:t>(公章)承包人</w:t>
      </w:r>
      <w:r>
        <w:rPr>
          <w:rFonts w:hint="eastAsia" w:ascii="Times New Roman" w:eastAsia="仿宋_GB2312"/>
          <w:sz w:val="24"/>
          <w:szCs w:val="24"/>
        </w:rPr>
        <w:t>：</w:t>
      </w:r>
      <w:r>
        <w:rPr>
          <w:rFonts w:ascii="Times New Roman" w:eastAsia="仿宋_GB2312"/>
          <w:sz w:val="24"/>
          <w:szCs w:val="24"/>
        </w:rPr>
        <w:t>(公章)</w:t>
      </w:r>
    </w:p>
    <w:p>
      <w:pPr>
        <w:spacing w:line="480" w:lineRule="exact"/>
        <w:ind w:firstLine="480" w:firstLineChars="200"/>
        <w:rPr>
          <w:rFonts w:ascii="Times New Roman" w:eastAsia="仿宋_GB2312"/>
          <w:sz w:val="24"/>
          <w:szCs w:val="24"/>
        </w:rPr>
      </w:pPr>
      <w:r>
        <w:rPr>
          <w:rFonts w:hint="eastAsia" w:ascii="Times New Roman" w:eastAsia="仿宋_GB2312"/>
          <w:sz w:val="24"/>
          <w:szCs w:val="24"/>
        </w:rPr>
        <w:t>法定代表人或其委托代理人：法定代表人或其委托代理人：</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（签字）（签字）</w:t>
      </w:r>
    </w:p>
    <w:p>
      <w:pPr>
        <w:tabs>
          <w:tab w:val="left" w:pos="4410"/>
        </w:tabs>
        <w:spacing w:line="480" w:lineRule="exact"/>
        <w:ind w:firstLine="480" w:firstLineChars="200"/>
        <w:rPr>
          <w:rFonts w:ascii="Times New Roman" w:eastAsia="仿宋_GB2312"/>
          <w:sz w:val="24"/>
          <w:szCs w:val="24"/>
        </w:rPr>
      </w:pPr>
      <w:r>
        <w:rPr>
          <w:rFonts w:hint="eastAsia" w:ascii="Times New Roman" w:eastAsia="仿宋_GB2312"/>
          <w:sz w:val="24"/>
          <w:szCs w:val="24"/>
        </w:rPr>
        <w:t>组织机构代码：</w:t>
      </w:r>
      <w:r>
        <w:rPr>
          <w:rFonts w:ascii="Times New Roman" w:eastAsia="仿宋_GB2312"/>
          <w:sz w:val="24"/>
          <w:szCs w:val="24"/>
          <w:u w:val="single"/>
        </w:rPr>
        <w:t xml:space="preserve">      </w:t>
      </w:r>
      <w:r>
        <w:rPr>
          <w:rFonts w:hint="eastAsia" w:ascii="Times New Roman" w:eastAsia="仿宋_GB2312"/>
          <w:sz w:val="24"/>
          <w:szCs w:val="24"/>
        </w:rPr>
        <w:t>组织机构代码：</w:t>
      </w:r>
      <w:r>
        <w:rPr>
          <w:rFonts w:ascii="Times New Roman" w:eastAsia="仿宋_GB2312"/>
          <w:sz w:val="24"/>
          <w:szCs w:val="24"/>
          <w:u w:val="single"/>
        </w:rPr>
        <w:t xml:space="preserve">   </w:t>
      </w:r>
    </w:p>
    <w:p>
      <w:pPr>
        <w:spacing w:line="480" w:lineRule="exact"/>
        <w:ind w:firstLine="480" w:firstLineChars="200"/>
        <w:rPr>
          <w:rFonts w:ascii="Times New Roman" w:eastAsia="仿宋_GB2312"/>
          <w:sz w:val="24"/>
          <w:szCs w:val="24"/>
        </w:rPr>
      </w:pPr>
      <w:r>
        <w:rPr>
          <w:rFonts w:ascii="Times New Roman" w:eastAsia="仿宋_GB2312"/>
          <w:sz w:val="24"/>
          <w:szCs w:val="24"/>
        </w:rPr>
        <w:t>地址：</w:t>
      </w:r>
      <w:r>
        <w:rPr>
          <w:rFonts w:ascii="Times New Roman" w:eastAsia="仿宋_GB2312"/>
          <w:sz w:val="24"/>
          <w:szCs w:val="24"/>
          <w:u w:val="single"/>
        </w:rPr>
        <w:t xml:space="preserve">     </w:t>
      </w:r>
      <w:r>
        <w:rPr>
          <w:rFonts w:ascii="Times New Roman" w:eastAsia="仿宋_GB2312"/>
          <w:sz w:val="24"/>
          <w:szCs w:val="24"/>
        </w:rPr>
        <w:t>地址：</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邮政编码：</w:t>
      </w:r>
      <w:r>
        <w:rPr>
          <w:rFonts w:ascii="Times New Roman" w:eastAsia="仿宋_GB2312"/>
          <w:sz w:val="24"/>
          <w:szCs w:val="24"/>
          <w:u w:val="single"/>
        </w:rPr>
        <w:t xml:space="preserve">   </w:t>
      </w:r>
      <w:r>
        <w:rPr>
          <w:rFonts w:ascii="Times New Roman" w:eastAsia="仿宋_GB2312"/>
          <w:sz w:val="24"/>
          <w:szCs w:val="24"/>
        </w:rPr>
        <w:t>邮政编码：</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法定代表人：</w:t>
      </w:r>
      <w:r>
        <w:rPr>
          <w:rFonts w:ascii="Times New Roman" w:eastAsia="仿宋_GB2312"/>
          <w:sz w:val="24"/>
          <w:szCs w:val="24"/>
          <w:u w:val="single"/>
        </w:rPr>
        <w:t></w:t>
      </w:r>
      <w:r>
        <w:rPr>
          <w:rFonts w:ascii="Times New Roman" w:eastAsia="仿宋_GB2312"/>
          <w:sz w:val="24"/>
          <w:szCs w:val="24"/>
        </w:rPr>
        <w:t>法定代表人：</w:t>
      </w: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委托代理人：</w:t>
      </w:r>
      <w:r>
        <w:rPr>
          <w:rFonts w:ascii="Times New Roman" w:eastAsia="仿宋_GB2312"/>
          <w:sz w:val="24"/>
          <w:szCs w:val="24"/>
          <w:u w:val="single"/>
        </w:rPr>
        <w:t xml:space="preserve"> </w:t>
      </w:r>
      <w:r>
        <w:rPr>
          <w:rFonts w:ascii="Times New Roman" w:eastAsia="仿宋_GB2312"/>
          <w:sz w:val="24"/>
          <w:szCs w:val="24"/>
        </w:rPr>
        <w:t>委托代理人：</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电话：</w:t>
      </w:r>
      <w:r>
        <w:rPr>
          <w:rFonts w:ascii="Times New Roman" w:eastAsia="仿宋_GB2312"/>
          <w:sz w:val="24"/>
          <w:szCs w:val="24"/>
          <w:u w:val="single"/>
        </w:rPr>
        <w:t></w:t>
      </w:r>
      <w:r>
        <w:rPr>
          <w:rFonts w:ascii="Times New Roman" w:eastAsia="仿宋_GB2312"/>
          <w:sz w:val="24"/>
          <w:szCs w:val="24"/>
        </w:rPr>
        <w:t>电话：</w:t>
      </w:r>
      <w:r>
        <w:rPr>
          <w:rFonts w:ascii="Times New Roman" w:eastAsia="仿宋_GB2312"/>
          <w:sz w:val="24"/>
          <w:szCs w:val="24"/>
          <w:u w:val="single"/>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传真：</w:t>
      </w:r>
      <w:r>
        <w:rPr>
          <w:rFonts w:ascii="Times New Roman" w:eastAsia="仿宋_GB2312"/>
          <w:sz w:val="24"/>
          <w:szCs w:val="24"/>
          <w:u w:val="single"/>
        </w:rPr>
        <w:t xml:space="preserve"> </w:t>
      </w:r>
      <w:r>
        <w:rPr>
          <w:rFonts w:ascii="Times New Roman" w:eastAsia="仿宋_GB2312"/>
          <w:sz w:val="24"/>
          <w:szCs w:val="24"/>
        </w:rPr>
        <w:t>传真：</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电子信箱：电子信箱：</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4"/>
          <w:szCs w:val="24"/>
        </w:rPr>
      </w:pPr>
      <w:r>
        <w:rPr>
          <w:rFonts w:ascii="Times New Roman" w:eastAsia="仿宋_GB2312"/>
          <w:sz w:val="24"/>
          <w:szCs w:val="24"/>
        </w:rPr>
        <w:t>开户银行：</w:t>
      </w:r>
      <w:r>
        <w:rPr>
          <w:rFonts w:ascii="Times New Roman" w:eastAsia="仿宋_GB2312"/>
          <w:sz w:val="24"/>
          <w:szCs w:val="24"/>
          <w:u w:val="single"/>
        </w:rPr>
        <w:t xml:space="preserve">   </w:t>
      </w:r>
      <w:r>
        <w:rPr>
          <w:rFonts w:ascii="Times New Roman" w:eastAsia="仿宋_GB2312"/>
          <w:sz w:val="24"/>
          <w:szCs w:val="24"/>
        </w:rPr>
        <w:t>开户银行：</w:t>
      </w:r>
      <w:r>
        <w:rPr>
          <w:rFonts w:ascii="Times New Roman" w:eastAsia="仿宋_GB2312"/>
          <w:sz w:val="24"/>
          <w:szCs w:val="24"/>
          <w:u w:val="single"/>
        </w:rPr>
        <w:t xml:space="preserve">   </w:t>
      </w:r>
    </w:p>
    <w:p>
      <w:pPr>
        <w:spacing w:line="480" w:lineRule="exact"/>
        <w:ind w:firstLine="480" w:firstLineChars="200"/>
        <w:rPr>
          <w:rFonts w:ascii="Times New Roman" w:eastAsia="仿宋_GB2312"/>
          <w:sz w:val="28"/>
          <w:szCs w:val="28"/>
        </w:rPr>
      </w:pPr>
      <w:r>
        <w:rPr>
          <w:rFonts w:ascii="Times New Roman" w:eastAsia="仿宋_GB2312"/>
          <w:sz w:val="24"/>
          <w:szCs w:val="24"/>
        </w:rPr>
        <w:t>账号：</w:t>
      </w:r>
      <w:r>
        <w:rPr>
          <w:rFonts w:ascii="Times New Roman" w:eastAsia="仿宋_GB2312"/>
          <w:sz w:val="24"/>
          <w:szCs w:val="24"/>
          <w:u w:val="single"/>
        </w:rPr>
        <w:t xml:space="preserve">       </w:t>
      </w:r>
      <w:r>
        <w:rPr>
          <w:rFonts w:ascii="Times New Roman" w:eastAsia="仿宋_GB2312"/>
          <w:sz w:val="24"/>
          <w:szCs w:val="24"/>
        </w:rPr>
        <w:t>账号：</w:t>
      </w:r>
      <w:r>
        <w:rPr>
          <w:rFonts w:ascii="Times New Roman" w:eastAsia="仿宋_GB2312"/>
          <w:sz w:val="24"/>
          <w:szCs w:val="24"/>
          <w:u w:val="single"/>
        </w:rPr>
        <w:t></w:t>
      </w:r>
    </w:p>
    <w:p>
      <w:pPr>
        <w:pStyle w:val="3"/>
        <w:jc w:val="center"/>
        <w:rPr>
          <w:rFonts w:asciiTheme="majorEastAsia" w:hAnsiTheme="majorEastAsia" w:eastAsiaTheme="majorEastAsia"/>
          <w:sz w:val="44"/>
          <w:szCs w:val="44"/>
        </w:rPr>
      </w:pPr>
      <w:r>
        <w:rPr>
          <w:rFonts w:eastAsia="仿宋_GB2312"/>
        </w:rPr>
        <w:br w:type="page"/>
      </w:r>
      <w:bookmarkStart w:id="90" w:name="_Toc351203494"/>
      <w:r>
        <w:rPr>
          <w:rFonts w:asciiTheme="majorEastAsia" w:hAnsiTheme="majorEastAsia" w:eastAsiaTheme="majorEastAsia"/>
          <w:sz w:val="44"/>
          <w:szCs w:val="44"/>
        </w:rPr>
        <w:t>第二部分 通用合同条款</w:t>
      </w:r>
      <w:bookmarkEnd w:id="90"/>
      <w:r>
        <w:rPr>
          <w:rFonts w:hint="eastAsia" w:asciiTheme="majorEastAsia" w:hAnsiTheme="majorEastAsia" w:eastAsiaTheme="majorEastAsia"/>
          <w:sz w:val="44"/>
          <w:szCs w:val="44"/>
        </w:rPr>
        <w:t>（略）</w:t>
      </w:r>
    </w:p>
    <w:p>
      <w:pPr>
        <w:pStyle w:val="3"/>
        <w:ind w:firstLine="2640" w:firstLineChars="600"/>
        <w:rPr>
          <w:rFonts w:ascii="华文中宋" w:hAnsi="华文中宋" w:eastAsia="华文中宋"/>
          <w:sz w:val="44"/>
          <w:szCs w:val="44"/>
        </w:rPr>
      </w:pPr>
    </w:p>
    <w:p>
      <w:pPr>
        <w:pStyle w:val="3"/>
        <w:ind w:firstLine="2640" w:firstLineChars="600"/>
        <w:rPr>
          <w:rFonts w:ascii="华文中宋" w:hAnsi="华文中宋" w:eastAsia="华文中宋"/>
          <w:sz w:val="44"/>
          <w:szCs w:val="44"/>
        </w:rPr>
      </w:pPr>
    </w:p>
    <w:p>
      <w:pPr>
        <w:pStyle w:val="3"/>
        <w:ind w:firstLine="2640" w:firstLineChars="600"/>
        <w:rPr>
          <w:rFonts w:ascii="华文中宋" w:hAnsi="华文中宋" w:eastAsia="华文中宋"/>
          <w:sz w:val="44"/>
          <w:szCs w:val="44"/>
        </w:rPr>
      </w:pPr>
    </w:p>
    <w:p>
      <w:pPr>
        <w:pStyle w:val="3"/>
        <w:ind w:firstLine="2640" w:firstLineChars="600"/>
        <w:rPr>
          <w:rFonts w:ascii="华文中宋" w:hAnsi="华文中宋" w:eastAsia="华文中宋"/>
          <w:sz w:val="44"/>
          <w:szCs w:val="44"/>
        </w:rPr>
      </w:pPr>
    </w:p>
    <w:p>
      <w:pPr>
        <w:pStyle w:val="3"/>
        <w:ind w:firstLine="2640" w:firstLineChars="600"/>
        <w:rPr>
          <w:rFonts w:ascii="华文中宋" w:hAnsi="华文中宋" w:eastAsia="华文中宋"/>
          <w:sz w:val="44"/>
          <w:szCs w:val="44"/>
        </w:rPr>
      </w:pPr>
    </w:p>
    <w:p>
      <w:pPr>
        <w:pStyle w:val="3"/>
        <w:ind w:firstLine="2640" w:firstLineChars="600"/>
        <w:rPr>
          <w:rFonts w:ascii="华文中宋" w:hAnsi="华文中宋" w:eastAsia="华文中宋"/>
          <w:sz w:val="44"/>
          <w:szCs w:val="44"/>
        </w:rPr>
      </w:pPr>
    </w:p>
    <w:p>
      <w:pPr>
        <w:pStyle w:val="3"/>
        <w:ind w:firstLine="2640" w:firstLineChars="600"/>
        <w:rPr>
          <w:rFonts w:ascii="华文中宋" w:hAnsi="华文中宋" w:eastAsia="华文中宋"/>
          <w:sz w:val="44"/>
          <w:szCs w:val="44"/>
        </w:rPr>
      </w:pPr>
    </w:p>
    <w:p>
      <w:pPr>
        <w:pStyle w:val="3"/>
        <w:ind w:firstLine="2640" w:firstLineChars="600"/>
        <w:rPr>
          <w:rFonts w:ascii="华文中宋" w:hAnsi="华文中宋" w:eastAsia="华文中宋"/>
          <w:sz w:val="44"/>
          <w:szCs w:val="44"/>
        </w:rPr>
      </w:pPr>
    </w:p>
    <w:p>
      <w:pPr>
        <w:pStyle w:val="3"/>
        <w:ind w:firstLine="2640" w:firstLineChars="600"/>
        <w:rPr>
          <w:rFonts w:ascii="华文中宋" w:hAnsi="华文中宋" w:eastAsia="华文中宋"/>
          <w:sz w:val="44"/>
          <w:szCs w:val="44"/>
        </w:rPr>
      </w:pPr>
    </w:p>
    <w:p>
      <w:pPr>
        <w:pStyle w:val="3"/>
        <w:ind w:firstLine="2640" w:firstLineChars="600"/>
        <w:rPr>
          <w:rFonts w:ascii="华文中宋" w:hAnsi="华文中宋" w:eastAsia="华文中宋"/>
          <w:sz w:val="44"/>
          <w:szCs w:val="44"/>
        </w:rPr>
      </w:pPr>
    </w:p>
    <w:p>
      <w:pPr>
        <w:pStyle w:val="10"/>
        <w:ind w:left="0" w:leftChars="0" w:firstLine="0" w:firstLineChars="0"/>
        <w:rPr>
          <w:rFonts w:hint="default"/>
          <w:lang w:eastAsia="zh-CN"/>
        </w:rPr>
      </w:pPr>
    </w:p>
    <w:p>
      <w:pPr>
        <w:pStyle w:val="10"/>
        <w:ind w:left="0" w:leftChars="0" w:firstLine="0" w:firstLineChars="0"/>
        <w:rPr>
          <w:rFonts w:hint="default"/>
          <w:lang w:eastAsia="zh-CN"/>
        </w:rPr>
      </w:pPr>
    </w:p>
    <w:p>
      <w:pPr>
        <w:pStyle w:val="10"/>
        <w:ind w:left="0" w:leftChars="0" w:firstLine="0" w:firstLineChars="0"/>
        <w:rPr>
          <w:rFonts w:hint="default"/>
          <w:lang w:eastAsia="zh-CN"/>
        </w:rPr>
      </w:pPr>
    </w:p>
    <w:p>
      <w:pPr>
        <w:pStyle w:val="3"/>
        <w:ind w:firstLine="2640" w:firstLineChars="600"/>
        <w:rPr>
          <w:rFonts w:asciiTheme="majorEastAsia" w:hAnsiTheme="majorEastAsia" w:eastAsiaTheme="majorEastAsia"/>
          <w:sz w:val="44"/>
          <w:szCs w:val="44"/>
        </w:rPr>
      </w:pPr>
      <w:r>
        <w:rPr>
          <w:rFonts w:asciiTheme="majorEastAsia" w:hAnsiTheme="majorEastAsia" w:eastAsiaTheme="majorEastAsia"/>
          <w:sz w:val="44"/>
          <w:szCs w:val="44"/>
        </w:rPr>
        <w:t xml:space="preserve">第三部分 </w:t>
      </w:r>
      <w:r>
        <w:rPr>
          <w:rFonts w:hint="eastAsia" w:asciiTheme="majorEastAsia" w:hAnsiTheme="majorEastAsia" w:eastAsiaTheme="majorEastAsia"/>
          <w:sz w:val="44"/>
          <w:szCs w:val="44"/>
        </w:rPr>
        <w:t>专用合同条款</w:t>
      </w:r>
    </w:p>
    <w:p>
      <w:pPr>
        <w:pStyle w:val="4"/>
        <w:spacing w:line="480" w:lineRule="exact"/>
        <w:rPr>
          <w:rFonts w:ascii="Times New Roman" w:hAnsi="Times New Roman" w:eastAsia="黑体"/>
          <w:b w:val="0"/>
          <w:sz w:val="24"/>
          <w:szCs w:val="24"/>
        </w:rPr>
      </w:pPr>
      <w:bookmarkStart w:id="91" w:name="_Toc351203633"/>
      <w:r>
        <w:rPr>
          <w:rFonts w:ascii="Times New Roman" w:hAnsi="Times New Roman" w:eastAsia="黑体"/>
          <w:b w:val="0"/>
          <w:sz w:val="24"/>
          <w:szCs w:val="24"/>
        </w:rPr>
        <w:t>1</w:t>
      </w:r>
      <w:bookmarkStart w:id="92" w:name="_Toc296944495"/>
      <w:bookmarkStart w:id="93" w:name="_Toc296890984"/>
      <w:bookmarkStart w:id="94" w:name="_Toc296891196"/>
      <w:bookmarkStart w:id="95" w:name="_Toc292559361"/>
      <w:bookmarkStart w:id="96" w:name="_Toc292559866"/>
      <w:bookmarkStart w:id="97" w:name="_Toc296347155"/>
      <w:bookmarkStart w:id="98" w:name="_Toc296346657"/>
      <w:bookmarkStart w:id="99" w:name="_Toc297048342"/>
      <w:bookmarkStart w:id="100" w:name="_Toc297120456"/>
      <w:bookmarkStart w:id="101" w:name="_Toc296503156"/>
      <w:r>
        <w:rPr>
          <w:rFonts w:ascii="Times New Roman" w:hAnsi="Times New Roman" w:eastAsia="黑体"/>
          <w:b w:val="0"/>
          <w:sz w:val="24"/>
          <w:szCs w:val="24"/>
        </w:rPr>
        <w:t>. 一般约定</w:t>
      </w:r>
      <w:bookmarkEnd w:id="91"/>
    </w:p>
    <w:bookmarkEnd w:id="92"/>
    <w:bookmarkEnd w:id="93"/>
    <w:bookmarkEnd w:id="94"/>
    <w:bookmarkEnd w:id="95"/>
    <w:bookmarkEnd w:id="96"/>
    <w:bookmarkEnd w:id="97"/>
    <w:bookmarkEnd w:id="98"/>
    <w:bookmarkEnd w:id="99"/>
    <w:bookmarkEnd w:id="100"/>
    <w:bookmarkEnd w:id="101"/>
    <w:p>
      <w:pPr>
        <w:spacing w:line="480" w:lineRule="exact"/>
        <w:ind w:firstLine="480" w:firstLineChars="200"/>
        <w:outlineLvl w:val="0"/>
        <w:rPr>
          <w:rFonts w:ascii="Times New Roman" w:eastAsia="黑体"/>
          <w:sz w:val="24"/>
          <w:szCs w:val="24"/>
        </w:rPr>
      </w:pPr>
      <w:r>
        <w:rPr>
          <w:rFonts w:ascii="Times New Roman" w:eastAsia="黑体"/>
          <w:sz w:val="24"/>
          <w:szCs w:val="24"/>
        </w:rPr>
        <w:t>1.1 词语定义</w:t>
      </w:r>
    </w:p>
    <w:p>
      <w:pPr>
        <w:spacing w:line="480" w:lineRule="exact"/>
        <w:ind w:firstLine="480" w:firstLineChars="200"/>
        <w:rPr>
          <w:rFonts w:ascii="Times New Roman" w:eastAsia="仿宋_GB2312"/>
          <w:sz w:val="24"/>
          <w:szCs w:val="24"/>
        </w:rPr>
      </w:pPr>
      <w:r>
        <w:rPr>
          <w:rFonts w:ascii="Times New Roman" w:eastAsia="仿宋_GB2312"/>
          <w:sz w:val="24"/>
          <w:szCs w:val="24"/>
        </w:rPr>
        <w:t>1.1.1合同</w:t>
      </w:r>
    </w:p>
    <w:p>
      <w:pPr>
        <w:spacing w:line="480" w:lineRule="exact"/>
        <w:ind w:firstLine="480" w:firstLineChars="200"/>
        <w:rPr>
          <w:rFonts w:ascii="Times New Roman" w:eastAsia="仿宋_GB2312"/>
          <w:sz w:val="24"/>
          <w:szCs w:val="24"/>
        </w:rPr>
      </w:pPr>
      <w:r>
        <w:rPr>
          <w:rFonts w:ascii="Times New Roman" w:eastAsia="仿宋_GB2312"/>
          <w:sz w:val="24"/>
          <w:szCs w:val="24"/>
        </w:rPr>
        <w:t>1.1.1.10其他合同文件包括：</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1.1.2 合同当事人及其他相关方</w:t>
      </w:r>
    </w:p>
    <w:p>
      <w:pPr>
        <w:spacing w:line="480" w:lineRule="exact"/>
        <w:ind w:firstLine="480" w:firstLineChars="200"/>
        <w:rPr>
          <w:rFonts w:ascii="Times New Roman" w:eastAsia="仿宋_GB2312"/>
          <w:sz w:val="24"/>
          <w:szCs w:val="24"/>
        </w:rPr>
      </w:pPr>
      <w:r>
        <w:rPr>
          <w:rFonts w:ascii="Times New Roman" w:eastAsia="仿宋_GB2312"/>
          <w:sz w:val="24"/>
          <w:szCs w:val="24"/>
        </w:rPr>
        <w:t>1.1.2.4监理人：</w:t>
      </w:r>
    </w:p>
    <w:p>
      <w:pPr>
        <w:spacing w:line="480" w:lineRule="exact"/>
        <w:ind w:firstLine="480" w:firstLineChars="20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1.1.2.5 设计人：</w:t>
      </w:r>
    </w:p>
    <w:p>
      <w:pPr>
        <w:spacing w:line="480" w:lineRule="exact"/>
        <w:ind w:firstLine="480" w:firstLineChars="200"/>
        <w:rPr>
          <w:rFonts w:ascii="Times New Roman" w:eastAsia="仿宋_GB2312"/>
          <w:sz w:val="24"/>
          <w:szCs w:val="24"/>
        </w:rPr>
      </w:pPr>
      <w:r>
        <w:rPr>
          <w:rFonts w:ascii="Times New Roman" w:eastAsia="仿宋_GB2312"/>
          <w:sz w:val="24"/>
          <w:szCs w:val="24"/>
        </w:rPr>
        <w:t>名称：</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资质类别和等级：</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1.1.3 工程和设备</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1.1.3.7 作为施工现场组成部分的其他场所包括：</w:t>
      </w:r>
    </w:p>
    <w:p>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1.1.3.9 永久占地包括：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1.1.3.10 临时占地包括：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1.3法律</w:t>
      </w:r>
    </w:p>
    <w:p>
      <w:pPr>
        <w:autoSpaceDE w:val="0"/>
        <w:autoSpaceDN w:val="0"/>
        <w:adjustRightInd w:val="0"/>
        <w:spacing w:line="480" w:lineRule="exact"/>
        <w:ind w:left="965" w:leftChars="284"/>
        <w:jc w:val="left"/>
        <w:rPr>
          <w:rFonts w:ascii="Times New Roman" w:eastAsia="仿宋_GB2312"/>
          <w:sz w:val="24"/>
          <w:szCs w:val="24"/>
          <w:u w:val="single"/>
        </w:rPr>
      </w:pPr>
      <w:r>
        <w:rPr>
          <w:rFonts w:ascii="Times New Roman" w:eastAsia="仿宋_GB2312"/>
          <w:sz w:val="24"/>
          <w:szCs w:val="24"/>
        </w:rPr>
        <w:t>适用于合同的其他规范性文件：</w:t>
      </w:r>
      <w:r>
        <w:rPr>
          <w:rFonts w:ascii="Times New Roman" w:eastAsia="仿宋_GB2312"/>
          <w:sz w:val="24"/>
          <w:szCs w:val="24"/>
          <w:u w:val="single"/>
        </w:rPr>
        <w:t></w:t>
      </w:r>
    </w:p>
    <w:p>
      <w:pPr>
        <w:autoSpaceDE w:val="0"/>
        <w:autoSpaceDN w:val="0"/>
        <w:adjustRightInd w:val="0"/>
        <w:spacing w:line="480" w:lineRule="exact"/>
        <w:jc w:val="lef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1.4 标准和规范</w:t>
      </w:r>
    </w:p>
    <w:p>
      <w:pPr>
        <w:spacing w:line="480" w:lineRule="exact"/>
        <w:ind w:firstLine="480" w:firstLineChars="200"/>
        <w:rPr>
          <w:rFonts w:ascii="Times New Roman" w:eastAsia="仿宋_GB2312"/>
          <w:sz w:val="24"/>
          <w:szCs w:val="24"/>
        </w:rPr>
      </w:pPr>
      <w:r>
        <w:rPr>
          <w:rFonts w:ascii="Times New Roman" w:eastAsia="仿宋_GB2312"/>
          <w:sz w:val="24"/>
          <w:szCs w:val="24"/>
        </w:rPr>
        <w:t>1.4.1适用于工程的标准规范包括：</w:t>
      </w:r>
      <w:r>
        <w:rPr>
          <w:rFonts w:ascii="Times New Roman" w:eastAsia="仿宋_GB2312"/>
          <w:sz w:val="24"/>
          <w:szCs w:val="24"/>
          <w:u w:val="single"/>
        </w:rPr>
        <w:t></w:t>
      </w:r>
    </w:p>
    <w:p>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1.4.2 发包人提供国外标准、规范的名称：；</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发包人提供国外标准、规范的份数：；</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发包人提供国外标准、规范的名称：。</w:t>
      </w:r>
    </w:p>
    <w:p>
      <w:pPr>
        <w:spacing w:line="480" w:lineRule="exact"/>
        <w:ind w:firstLine="480" w:firstLineChars="200"/>
        <w:rPr>
          <w:rFonts w:ascii="Times New Roman" w:eastAsia="仿宋_GB2312"/>
          <w:sz w:val="24"/>
          <w:szCs w:val="24"/>
        </w:rPr>
      </w:pPr>
      <w:r>
        <w:rPr>
          <w:rFonts w:ascii="Times New Roman" w:eastAsia="仿宋_GB2312"/>
          <w:sz w:val="24"/>
          <w:szCs w:val="24"/>
        </w:rPr>
        <w:t>1.4.3发包人对工程的技术标准和功能要求的特殊要求：</w:t>
      </w:r>
    </w:p>
    <w:p>
      <w:pPr>
        <w:spacing w:line="480" w:lineRule="exact"/>
        <w:rPr>
          <w:rFonts w:ascii="Times New Roman" w:eastAsia="仿宋_GB2312"/>
          <w:sz w:val="24"/>
          <w:szCs w:val="24"/>
        </w:rPr>
      </w:pPr>
      <w:r>
        <w:rPr>
          <w:rFonts w:ascii="Times New Roman" w:eastAsia="仿宋_GB2312"/>
          <w:sz w:val="24"/>
          <w:szCs w:val="24"/>
          <w:u w:val="single"/>
        </w:rPr>
        <w:t xml:space="preserve">            </w:t>
      </w:r>
      <w:r>
        <w:rPr>
          <w:rFonts w:ascii="Times New Roman" w:eastAsia="仿宋_GB2312"/>
          <w:sz w:val="24"/>
          <w:szCs w:val="24"/>
        </w:rPr>
        <w:t>。</w:t>
      </w:r>
    </w:p>
    <w:p>
      <w:pPr>
        <w:spacing w:after="120" w:line="480" w:lineRule="exact"/>
        <w:ind w:firstLine="480" w:firstLineChars="200"/>
        <w:outlineLvl w:val="0"/>
        <w:rPr>
          <w:rFonts w:ascii="Times New Roman" w:eastAsia="黑体"/>
          <w:sz w:val="24"/>
          <w:szCs w:val="24"/>
        </w:rPr>
      </w:pPr>
      <w:r>
        <w:rPr>
          <w:rFonts w:ascii="Times New Roman" w:eastAsia="黑体"/>
          <w:sz w:val="24"/>
          <w:szCs w:val="24"/>
        </w:rPr>
        <w:t>1.5 合同文件的优先顺序</w:t>
      </w:r>
    </w:p>
    <w:p>
      <w:pPr>
        <w:spacing w:line="480" w:lineRule="exact"/>
        <w:ind w:firstLine="480" w:firstLineChars="200"/>
        <w:rPr>
          <w:rFonts w:ascii="Times New Roman" w:eastAsia="仿宋_GB2312"/>
          <w:sz w:val="24"/>
          <w:szCs w:val="24"/>
        </w:rPr>
      </w:pPr>
      <w:r>
        <w:rPr>
          <w:rFonts w:ascii="Times New Roman" w:eastAsia="仿宋_GB2312"/>
          <w:sz w:val="24"/>
          <w:szCs w:val="24"/>
        </w:rPr>
        <w:t>合同文件组成及优先顺序为：</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1.6 图纸和承包人文件</w:t>
      </w:r>
      <w:r>
        <w:rPr>
          <w:rFonts w:ascii="Times New Roman" w:eastAsia="黑体"/>
          <w:sz w:val="24"/>
          <w:szCs w:val="24"/>
        </w:rPr>
        <w:tab/>
      </w:r>
    </w:p>
    <w:p>
      <w:pPr>
        <w:spacing w:line="480" w:lineRule="exact"/>
        <w:ind w:firstLine="480" w:firstLineChars="200"/>
        <w:rPr>
          <w:rFonts w:ascii="Times New Roman" w:eastAsia="仿宋_GB2312"/>
          <w:sz w:val="24"/>
          <w:szCs w:val="24"/>
        </w:rPr>
      </w:pPr>
      <w:r>
        <w:rPr>
          <w:rFonts w:ascii="Times New Roman" w:eastAsia="仿宋_GB2312"/>
          <w:sz w:val="24"/>
          <w:szCs w:val="24"/>
        </w:rPr>
        <w:t>1.6.1 图纸的提供</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发包人向承包人提供图纸的期限：</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发包人向承包人提供图纸的数量：</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发包人向承包人提供图纸的内容：</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1.6.4 承包人文件</w:t>
      </w:r>
    </w:p>
    <w:p>
      <w:pPr>
        <w:spacing w:line="480" w:lineRule="exact"/>
        <w:ind w:left="965" w:leftChars="284"/>
        <w:jc w:val="left"/>
        <w:rPr>
          <w:rFonts w:ascii="Times New Roman" w:eastAsia="仿宋_GB2312"/>
          <w:sz w:val="24"/>
          <w:szCs w:val="24"/>
          <w:u w:val="single"/>
        </w:rPr>
      </w:pPr>
      <w:r>
        <w:rPr>
          <w:rFonts w:ascii="Times New Roman" w:eastAsia="仿宋_GB2312"/>
          <w:sz w:val="24"/>
          <w:szCs w:val="24"/>
        </w:rPr>
        <w:t>需要由承包人提供的文件，包括：</w:t>
      </w:r>
      <w:r>
        <w:rPr>
          <w:rFonts w:ascii="Times New Roman" w:eastAsia="仿宋_GB2312"/>
          <w:sz w:val="24"/>
          <w:szCs w:val="24"/>
          <w:u w:val="single"/>
        </w:rPr>
        <w:t></w:t>
      </w:r>
    </w:p>
    <w:p>
      <w:pPr>
        <w:spacing w:line="480" w:lineRule="exact"/>
        <w:ind w:left="965" w:leftChars="284"/>
        <w:jc w:val="left"/>
        <w:rPr>
          <w:rFonts w:ascii="Times New Roman" w:eastAsia="仿宋_GB2312"/>
          <w:sz w:val="24"/>
          <w:szCs w:val="24"/>
        </w:rPr>
      </w:pP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承包人提供的文件的期限为：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承包人提供的文件的数量为：</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承包人提供的文件的形式为：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承包人文件的期限：</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1.6.5 现场图纸准备</w:t>
      </w:r>
    </w:p>
    <w:p>
      <w:pPr>
        <w:spacing w:line="480" w:lineRule="exact"/>
        <w:ind w:firstLine="480" w:firstLineChars="200"/>
        <w:rPr>
          <w:rFonts w:ascii="Times New Roman" w:eastAsia="仿宋_GB2312"/>
          <w:sz w:val="24"/>
          <w:szCs w:val="24"/>
        </w:rPr>
      </w:pPr>
      <w:r>
        <w:rPr>
          <w:rFonts w:ascii="Times New Roman" w:eastAsia="仿宋_GB2312"/>
          <w:sz w:val="24"/>
          <w:szCs w:val="24"/>
        </w:rPr>
        <w:t>关于现场图纸准备的约定：</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1.7 联络</w:t>
      </w:r>
    </w:p>
    <w:p>
      <w:pPr>
        <w:spacing w:line="480" w:lineRule="exact"/>
        <w:ind w:firstLine="480" w:firstLineChars="200"/>
        <w:rPr>
          <w:rFonts w:ascii="Times New Roman" w:eastAsia="仿宋_GB2312"/>
          <w:sz w:val="24"/>
          <w:szCs w:val="24"/>
        </w:rPr>
      </w:pPr>
      <w:r>
        <w:rPr>
          <w:rFonts w:ascii="Times New Roman" w:eastAsia="仿宋_GB2312"/>
          <w:sz w:val="24"/>
          <w:szCs w:val="24"/>
        </w:rPr>
        <w:t>1.7.1发包人和承包人应当在</w:t>
      </w:r>
      <w:r>
        <w:rPr>
          <w:rFonts w:ascii="Times New Roman" w:eastAsia="仿宋_GB2312"/>
          <w:sz w:val="24"/>
          <w:szCs w:val="24"/>
          <w:u w:val="single"/>
        </w:rPr>
        <w:t></w:t>
      </w:r>
      <w:r>
        <w:rPr>
          <w:rFonts w:ascii="Times New Roman" w:eastAsia="仿宋_GB2312"/>
          <w:sz w:val="24"/>
          <w:szCs w:val="24"/>
        </w:rPr>
        <w:t>天内将与合同有关的通知、批准、证明、证书、指示、指令、要求、请求、同意、意见、确定和决定等书面函件送达对方当事人</w:t>
      </w:r>
      <w:r>
        <w:rPr>
          <w:rFonts w:hint="eastAsia"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1.7.2 发包人接收文件的地点：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监理人接收文件的地点：</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监理人指定的接收人为：</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1.10 交通运输</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w:t>
      </w:r>
      <w:bookmarkStart w:id="102" w:name="_Toc318581155"/>
      <w:bookmarkStart w:id="103" w:name="_Toc304295521"/>
      <w:bookmarkStart w:id="104" w:name="_Toc312677986"/>
      <w:bookmarkStart w:id="105" w:name="_Toc303539100"/>
      <w:bookmarkStart w:id="106" w:name="_Toc300934943"/>
      <w:r>
        <w:rPr>
          <w:rFonts w:ascii="Times New Roman" w:eastAsia="仿宋_GB2312"/>
          <w:sz w:val="24"/>
          <w:szCs w:val="24"/>
        </w:rPr>
        <w:t>.10.1 出入现场的权利</w:t>
      </w:r>
    </w:p>
    <w:p>
      <w:pPr>
        <w:spacing w:line="480" w:lineRule="exact"/>
        <w:ind w:left="965" w:leftChars="284"/>
        <w:rPr>
          <w:rFonts w:ascii="Times New Roman" w:eastAsia="仿宋_GB2312"/>
          <w:sz w:val="24"/>
          <w:szCs w:val="24"/>
          <w:u w:val="single"/>
        </w:rPr>
      </w:pPr>
      <w:r>
        <w:rPr>
          <w:rFonts w:ascii="Times New Roman" w:eastAsia="仿宋_GB2312"/>
          <w:sz w:val="24"/>
          <w:szCs w:val="24"/>
        </w:rPr>
        <w:t>关于出入现场的权利的约定：</w:t>
      </w:r>
      <w:r>
        <w:rPr>
          <w:rFonts w:ascii="Times New Roman" w:eastAsia="仿宋_GB2312"/>
          <w:sz w:val="24"/>
          <w:szCs w:val="24"/>
          <w:u w:val="single"/>
        </w:rPr>
        <w:t> </w:t>
      </w:r>
    </w:p>
    <w:p>
      <w:pPr>
        <w:spacing w:line="480" w:lineRule="exact"/>
        <w:rPr>
          <w:rFonts w:ascii="Times New Roman" w:eastAsia="仿宋_GB2312"/>
          <w:sz w:val="24"/>
          <w:szCs w:val="24"/>
        </w:rPr>
      </w:pPr>
      <w:r>
        <w:rPr>
          <w:rFonts w:ascii="Times New Roman" w:eastAsia="仿宋_GB2312"/>
          <w:sz w:val="24"/>
          <w:szCs w:val="24"/>
          <w:u w:val="single"/>
        </w:rPr>
        <w:t> </w:t>
      </w:r>
      <w:r>
        <w:rPr>
          <w:rFonts w:ascii="Times New Roman" w:eastAsia="仿宋_GB2312"/>
          <w:sz w:val="24"/>
          <w:szCs w:val="24"/>
        </w:rPr>
        <w:t>。</w:t>
      </w:r>
    </w:p>
    <w:bookmarkEnd w:id="102"/>
    <w:bookmarkEnd w:id="103"/>
    <w:bookmarkEnd w:id="104"/>
    <w:bookmarkEnd w:id="105"/>
    <w:bookmarkEnd w:id="106"/>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w:t>
      </w:r>
      <w:bookmarkStart w:id="107" w:name="_Toc304295522"/>
      <w:bookmarkStart w:id="108" w:name="_Toc312677987"/>
      <w:bookmarkStart w:id="109" w:name="_Toc318581156"/>
      <w:bookmarkStart w:id="110" w:name="_Toc300934944"/>
      <w:bookmarkStart w:id="111" w:name="_Toc303539101"/>
      <w:r>
        <w:rPr>
          <w:rFonts w:ascii="Times New Roman" w:eastAsia="仿宋_GB2312"/>
          <w:sz w:val="24"/>
          <w:szCs w:val="24"/>
        </w:rPr>
        <w:t>.10.3 场内交通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关于场外交通和场内交通的边界的约定：</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关于发包人向承包人免费提供满足工程施工需要的场内道路和交通设施的约定：</w:t>
      </w:r>
      <w:r>
        <w:rPr>
          <w:rFonts w:ascii="Times New Roman" w:eastAsia="仿宋_GB2312"/>
          <w:sz w:val="24"/>
          <w:szCs w:val="24"/>
          <w:u w:val="single"/>
        </w:rPr>
        <w:t>             </w:t>
      </w:r>
      <w:r>
        <w:rPr>
          <w:rFonts w:ascii="Times New Roman" w:eastAsia="仿宋_GB2312"/>
          <w:sz w:val="24"/>
          <w:szCs w:val="24"/>
        </w:rPr>
        <w:t>。</w:t>
      </w:r>
      <w:bookmarkEnd w:id="107"/>
      <w:bookmarkEnd w:id="108"/>
      <w:bookmarkEnd w:id="109"/>
      <w:bookmarkEnd w:id="110"/>
      <w:bookmarkEnd w:id="111"/>
      <w:bookmarkStart w:id="112" w:name="_Toc31858115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1.10.4超大件和超重件的运输</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运输超大件或超重件所需的道路和桥梁临时加固改造费用和其他有关费用由承担。</w:t>
      </w:r>
    </w:p>
    <w:bookmarkEnd w:id="112"/>
    <w:p>
      <w:pPr>
        <w:spacing w:line="480" w:lineRule="exact"/>
        <w:ind w:firstLine="480" w:firstLineChars="200"/>
        <w:outlineLvl w:val="0"/>
        <w:rPr>
          <w:rFonts w:ascii="Times New Roman" w:eastAsia="黑体"/>
          <w:sz w:val="24"/>
          <w:szCs w:val="24"/>
        </w:rPr>
      </w:pPr>
      <w:r>
        <w:rPr>
          <w:rFonts w:ascii="Times New Roman" w:eastAsia="黑体"/>
          <w:sz w:val="24"/>
          <w:szCs w:val="24"/>
        </w:rPr>
        <w:t>1.11 知识产权</w:t>
      </w:r>
    </w:p>
    <w:p>
      <w:pPr>
        <w:spacing w:line="480" w:lineRule="exact"/>
        <w:ind w:firstLine="480" w:firstLineChars="200"/>
        <w:rPr>
          <w:rFonts w:ascii="Times New Roman" w:eastAsia="仿宋_GB2312"/>
          <w:sz w:val="24"/>
          <w:szCs w:val="24"/>
        </w:rPr>
      </w:pPr>
      <w:r>
        <w:rPr>
          <w:rFonts w:ascii="Times New Roman" w:eastAsia="仿宋_GB2312"/>
          <w:sz w:val="24"/>
          <w:szCs w:val="24"/>
        </w:rPr>
        <w:t>1.11.1关于发包人提供给承包人的图纸、发包人为实施工程自行编制或委托编制的技术规范以及反映发包人关于合同要求或其他类似性质的文件的著作权的归属：</w:t>
      </w:r>
      <w:r>
        <w:rPr>
          <w:rFonts w:ascii="Times New Roman" w:eastAsia="仿宋_GB2312"/>
          <w:sz w:val="24"/>
          <w:szCs w:val="24"/>
          <w:u w:val="single"/>
        </w:rPr>
        <w:t>                                   </w:t>
      </w:r>
      <w:r>
        <w:rPr>
          <w:rFonts w:ascii="Times New Roman" w:eastAsia="仿宋_GB2312"/>
          <w:sz w:val="24"/>
          <w:szCs w:val="24"/>
        </w:rPr>
        <w:t>。</w:t>
      </w:r>
    </w:p>
    <w:p>
      <w:pPr>
        <w:spacing w:line="480" w:lineRule="exact"/>
        <w:ind w:left="965" w:leftChars="284"/>
        <w:rPr>
          <w:rFonts w:ascii="Times New Roman" w:eastAsia="仿宋_GB2312"/>
          <w:sz w:val="24"/>
          <w:szCs w:val="24"/>
        </w:rPr>
      </w:pPr>
      <w:r>
        <w:rPr>
          <w:rFonts w:ascii="Times New Roman" w:eastAsia="仿宋_GB2312"/>
          <w:sz w:val="24"/>
          <w:szCs w:val="24"/>
        </w:rPr>
        <w:t>关于发包人提供的上述文件的使用限制的要求：</w:t>
      </w:r>
    </w:p>
    <w:p>
      <w:pPr>
        <w:spacing w:line="480" w:lineRule="exact"/>
        <w:rPr>
          <w:rFonts w:ascii="Times New Roman" w:eastAsia="仿宋_GB2312"/>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1.11.2 关于承包人为实施工程所编制文件的著作权的归属：</w:t>
      </w:r>
    </w:p>
    <w:p>
      <w:pPr>
        <w:spacing w:line="480" w:lineRule="exact"/>
        <w:rPr>
          <w:rFonts w:ascii="Times New Roman" w:eastAsia="仿宋_GB2312"/>
          <w:sz w:val="24"/>
          <w:szCs w:val="24"/>
        </w:rPr>
      </w:pP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1.11.3</w:t>
      </w:r>
      <w:r>
        <w:rPr>
          <w:rFonts w:ascii="Times New Roman" w:eastAsia="仿宋_GB2312"/>
          <w:sz w:val="24"/>
          <w:szCs w:val="24"/>
        </w:rPr>
        <w:t>关于承包人提供的上述文件的使用限制的要求：</w:t>
      </w:r>
      <w:r>
        <w:rPr>
          <w:rFonts w:ascii="Times New Roman" w:eastAsia="仿宋_GB2312"/>
          <w:sz w:val="24"/>
          <w:szCs w:val="24"/>
          <w:u w:val="single"/>
        </w:rPr>
        <w:t>   </w:t>
      </w:r>
    </w:p>
    <w:p>
      <w:pPr>
        <w:spacing w:line="480" w:lineRule="exact"/>
        <w:rPr>
          <w:rFonts w:ascii="Times New Roman" w:eastAsia="仿宋_GB2312"/>
          <w:sz w:val="24"/>
          <w:szCs w:val="24"/>
        </w:rPr>
      </w:pP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outlineLvl w:val="0"/>
        <w:rPr>
          <w:rFonts w:ascii="Times New Roman" w:eastAsia="仿宋_GB2312"/>
          <w:sz w:val="24"/>
          <w:szCs w:val="24"/>
        </w:rPr>
      </w:pPr>
      <w:r>
        <w:rPr>
          <w:rFonts w:ascii="Times New Roman" w:eastAsia="仿宋_GB2312"/>
          <w:sz w:val="24"/>
          <w:szCs w:val="24"/>
        </w:rPr>
        <w:t>1.11.4 承包人在施工过程中所采用的专利、专有技术、技术秘密的使用费的承担方式：</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1.13工程量清单错误的修正</w:t>
      </w:r>
    </w:p>
    <w:p>
      <w:pPr>
        <w:spacing w:line="480" w:lineRule="exact"/>
        <w:ind w:firstLine="480" w:firstLineChars="200"/>
        <w:rPr>
          <w:rFonts w:ascii="Times New Roman" w:eastAsia="仿宋_GB2312"/>
          <w:sz w:val="24"/>
          <w:szCs w:val="24"/>
        </w:rPr>
      </w:pPr>
      <w:r>
        <w:rPr>
          <w:rFonts w:hint="eastAsia" w:ascii="Times New Roman" w:eastAsia="仿宋_GB2312"/>
          <w:sz w:val="24"/>
          <w:szCs w:val="24"/>
        </w:rPr>
        <w:t>出现工程量清单错误时，是否调整合同价格：</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允许调整合同价格的工程量偏差范围：</w:t>
      </w:r>
      <w:r>
        <w:rPr>
          <w:rFonts w:ascii="Times New Roman" w:eastAsia="仿宋_GB2312"/>
          <w:sz w:val="24"/>
          <w:szCs w:val="24"/>
          <w:u w:val="single"/>
        </w:rPr>
        <w:t xml:space="preserve">    </w:t>
      </w:r>
      <w:r>
        <w:rPr>
          <w:rFonts w:ascii="Times New Roman" w:eastAsia="仿宋_GB2312"/>
          <w:sz w:val="24"/>
          <w:szCs w:val="24"/>
        </w:rPr>
        <w:t>。</w:t>
      </w:r>
    </w:p>
    <w:p>
      <w:pPr>
        <w:pStyle w:val="4"/>
        <w:spacing w:line="480" w:lineRule="exact"/>
        <w:rPr>
          <w:rFonts w:ascii="Times New Roman" w:hAnsi="Times New Roman" w:eastAsia="黑体"/>
          <w:b w:val="0"/>
          <w:sz w:val="24"/>
          <w:szCs w:val="24"/>
        </w:rPr>
      </w:pPr>
      <w:bookmarkStart w:id="113" w:name="_Toc351203634"/>
      <w:r>
        <w:rPr>
          <w:rFonts w:ascii="Times New Roman" w:hAnsi="Times New Roman" w:eastAsia="黑体"/>
          <w:b w:val="0"/>
          <w:sz w:val="24"/>
          <w:szCs w:val="24"/>
        </w:rPr>
        <w:t>2</w:t>
      </w:r>
      <w:bookmarkStart w:id="114" w:name="_Toc296891197"/>
      <w:bookmarkStart w:id="115" w:name="_Toc297120457"/>
      <w:bookmarkStart w:id="116" w:name="_Toc296503157"/>
      <w:bookmarkStart w:id="117" w:name="_Toc296944496"/>
      <w:bookmarkStart w:id="118" w:name="_Toc296890985"/>
      <w:bookmarkStart w:id="119" w:name="_Toc297048343"/>
      <w:bookmarkStart w:id="120" w:name="_Toc296346658"/>
      <w:bookmarkStart w:id="121" w:name="_Toc292559867"/>
      <w:bookmarkStart w:id="122" w:name="_Toc296347156"/>
      <w:bookmarkStart w:id="123" w:name="_Toc292559362"/>
      <w:r>
        <w:rPr>
          <w:rFonts w:ascii="Times New Roman" w:hAnsi="Times New Roman" w:eastAsia="黑体"/>
          <w:b w:val="0"/>
          <w:sz w:val="24"/>
          <w:szCs w:val="24"/>
        </w:rPr>
        <w:t>. 发包人</w:t>
      </w:r>
      <w:bookmarkEnd w:id="113"/>
    </w:p>
    <w:bookmarkEnd w:id="114"/>
    <w:bookmarkEnd w:id="115"/>
    <w:bookmarkEnd w:id="116"/>
    <w:bookmarkEnd w:id="117"/>
    <w:bookmarkEnd w:id="118"/>
    <w:bookmarkEnd w:id="119"/>
    <w:bookmarkEnd w:id="120"/>
    <w:bookmarkEnd w:id="121"/>
    <w:bookmarkEnd w:id="122"/>
    <w:bookmarkEnd w:id="123"/>
    <w:p>
      <w:pPr>
        <w:spacing w:line="480" w:lineRule="exact"/>
        <w:ind w:firstLine="480" w:firstLineChars="200"/>
        <w:outlineLvl w:val="0"/>
        <w:rPr>
          <w:rFonts w:ascii="Times New Roman" w:eastAsia="黑体"/>
          <w:sz w:val="24"/>
          <w:szCs w:val="24"/>
        </w:rPr>
      </w:pPr>
      <w:r>
        <w:rPr>
          <w:rFonts w:ascii="Times New Roman" w:eastAsia="黑体"/>
          <w:sz w:val="24"/>
          <w:szCs w:val="24"/>
        </w:rPr>
        <w:t>2.2 发包人代表</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发包人代表：</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发包人对发包人代表的授权范围如下：</w:t>
      </w:r>
      <w:r>
        <w:rPr>
          <w:rFonts w:ascii="Times New Roman" w:eastAsia="仿宋_GB2312"/>
          <w:sz w:val="24"/>
          <w:szCs w:val="24"/>
          <w:u w:val="single"/>
        </w:rPr>
        <w:t>     </w:t>
      </w:r>
    </w:p>
    <w:p>
      <w:pPr>
        <w:spacing w:line="480" w:lineRule="exact"/>
        <w:rPr>
          <w:rFonts w:ascii="Times New Roman" w:eastAsia="仿宋_GB2312"/>
          <w:b/>
          <w:sz w:val="24"/>
          <w:szCs w:val="24"/>
        </w:rPr>
      </w:pP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2.4 施工现场、施工条件和基础资料的提供</w:t>
      </w:r>
    </w:p>
    <w:p>
      <w:pPr>
        <w:spacing w:line="480" w:lineRule="exact"/>
        <w:ind w:firstLine="480" w:firstLineChars="200"/>
        <w:rPr>
          <w:rFonts w:ascii="Times New Roman" w:eastAsia="仿宋_GB2312"/>
          <w:sz w:val="24"/>
          <w:szCs w:val="24"/>
        </w:rPr>
      </w:pPr>
      <w:r>
        <w:rPr>
          <w:rFonts w:ascii="Times New Roman" w:eastAsia="仿宋_GB2312"/>
          <w:sz w:val="24"/>
          <w:szCs w:val="24"/>
        </w:rPr>
        <w:t>2.4.1 提供施工现场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关于发包人移交施工现场的期限要求：</w:t>
      </w:r>
      <w:r>
        <w:rPr>
          <w:rFonts w:ascii="Times New Roman" w:eastAsia="仿宋_GB2312"/>
          <w:sz w:val="24"/>
          <w:szCs w:val="24"/>
          <w:u w:val="single"/>
        </w:rPr>
        <w:t xml:space="preserve">                          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2.4.2 提供施工条件</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关于发包人应负责提供施工</w:t>
      </w:r>
      <w:r>
        <w:rPr>
          <w:rFonts w:hint="eastAsia" w:ascii="Times New Roman" w:eastAsia="仿宋_GB2312"/>
          <w:sz w:val="24"/>
          <w:szCs w:val="24"/>
        </w:rPr>
        <w:t>所需要的条件，</w:t>
      </w:r>
      <w:r>
        <w:rPr>
          <w:rFonts w:ascii="Times New Roman" w:eastAsia="仿宋_GB2312"/>
          <w:sz w:val="24"/>
          <w:szCs w:val="24"/>
        </w:rPr>
        <w:t>包括：</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2.5 资金来源证明及支付担保</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发包人提供资金来源证明的期限要求：</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发包人是否提供支付担保：</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发包人提供支付担保的形式：</w:t>
      </w:r>
      <w:r>
        <w:rPr>
          <w:rFonts w:ascii="Times New Roman" w:eastAsia="仿宋_GB2312"/>
          <w:sz w:val="24"/>
          <w:szCs w:val="24"/>
          <w:u w:val="single"/>
        </w:rPr>
        <w:t>              </w:t>
      </w:r>
      <w:r>
        <w:rPr>
          <w:rFonts w:ascii="Times New Roman" w:eastAsia="仿宋_GB2312"/>
          <w:sz w:val="24"/>
          <w:szCs w:val="24"/>
        </w:rPr>
        <w:t>。</w:t>
      </w:r>
    </w:p>
    <w:p>
      <w:pPr>
        <w:pStyle w:val="4"/>
        <w:spacing w:line="480" w:lineRule="exact"/>
        <w:rPr>
          <w:rFonts w:ascii="Times New Roman" w:hAnsi="Times New Roman" w:eastAsia="黑体"/>
          <w:b w:val="0"/>
          <w:sz w:val="24"/>
          <w:szCs w:val="24"/>
        </w:rPr>
      </w:pPr>
      <w:bookmarkStart w:id="124" w:name="_Toc351203635"/>
      <w:r>
        <w:rPr>
          <w:rFonts w:ascii="Times New Roman" w:hAnsi="Times New Roman" w:eastAsia="黑体"/>
          <w:b w:val="0"/>
          <w:sz w:val="24"/>
          <w:szCs w:val="24"/>
        </w:rPr>
        <w:t>3</w:t>
      </w:r>
      <w:bookmarkStart w:id="125" w:name="_Toc296944497"/>
      <w:bookmarkStart w:id="126" w:name="_Toc296891198"/>
      <w:bookmarkStart w:id="127" w:name="_Toc297048344"/>
      <w:bookmarkStart w:id="128" w:name="_Toc296346659"/>
      <w:bookmarkStart w:id="129" w:name="_Toc292559363"/>
      <w:bookmarkStart w:id="130" w:name="_Toc296347157"/>
      <w:bookmarkStart w:id="131" w:name="_Toc297120458"/>
      <w:bookmarkStart w:id="132" w:name="_Toc296503158"/>
      <w:bookmarkStart w:id="133" w:name="_Toc296890986"/>
      <w:bookmarkStart w:id="134" w:name="_Toc292559868"/>
      <w:r>
        <w:rPr>
          <w:rFonts w:ascii="Times New Roman" w:hAnsi="Times New Roman" w:eastAsia="黑体"/>
          <w:b w:val="0"/>
          <w:sz w:val="24"/>
          <w:szCs w:val="24"/>
        </w:rPr>
        <w:t>. 承包人</w:t>
      </w:r>
      <w:bookmarkEnd w:id="124"/>
    </w:p>
    <w:bookmarkEnd w:id="125"/>
    <w:bookmarkEnd w:id="126"/>
    <w:bookmarkEnd w:id="127"/>
    <w:bookmarkEnd w:id="128"/>
    <w:bookmarkEnd w:id="129"/>
    <w:bookmarkEnd w:id="130"/>
    <w:bookmarkEnd w:id="131"/>
    <w:bookmarkEnd w:id="132"/>
    <w:bookmarkEnd w:id="133"/>
    <w:bookmarkEnd w:id="134"/>
    <w:p>
      <w:pPr>
        <w:spacing w:line="480" w:lineRule="exact"/>
        <w:ind w:firstLine="480" w:firstLineChars="200"/>
        <w:rPr>
          <w:rFonts w:ascii="Times New Roman" w:eastAsia="黑体"/>
          <w:sz w:val="24"/>
          <w:szCs w:val="24"/>
        </w:rPr>
      </w:pPr>
      <w:r>
        <w:rPr>
          <w:rFonts w:ascii="Times New Roman" w:eastAsia="黑体"/>
          <w:sz w:val="24"/>
          <w:szCs w:val="24"/>
        </w:rPr>
        <w:t>3.1 承包人的一般义务</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w:t>
      </w:r>
      <w:r>
        <w:rPr>
          <w:rFonts w:hint="eastAsia" w:ascii="Times New Roman" w:eastAsia="仿宋_GB2312"/>
          <w:sz w:val="24"/>
          <w:szCs w:val="24"/>
        </w:rPr>
        <w:t>9</w:t>
      </w:r>
      <w:r>
        <w:rPr>
          <w:rFonts w:ascii="Times New Roman" w:eastAsia="仿宋_GB2312"/>
          <w:sz w:val="24"/>
          <w:szCs w:val="24"/>
        </w:rPr>
        <w:t>）承包人提交的竣工资料的内容：。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承包人需要提交的竣工资料套数：。</w:t>
      </w:r>
    </w:p>
    <w:p>
      <w:pPr>
        <w:spacing w:line="480" w:lineRule="exact"/>
        <w:ind w:left="1033" w:leftChars="304"/>
        <w:jc w:val="left"/>
        <w:rPr>
          <w:rFonts w:ascii="Times New Roman" w:eastAsia="仿宋_GB2312"/>
          <w:sz w:val="24"/>
          <w:szCs w:val="24"/>
        </w:rPr>
      </w:pPr>
      <w:r>
        <w:rPr>
          <w:rFonts w:ascii="Times New Roman" w:eastAsia="仿宋_GB2312"/>
          <w:sz w:val="24"/>
          <w:szCs w:val="24"/>
        </w:rPr>
        <w:t>承包人提交的竣工资料的费用承担：。</w:t>
      </w:r>
    </w:p>
    <w:p>
      <w:pPr>
        <w:spacing w:line="480" w:lineRule="exact"/>
        <w:ind w:left="1033" w:leftChars="304"/>
        <w:jc w:val="left"/>
        <w:rPr>
          <w:rFonts w:ascii="Times New Roman" w:eastAsia="仿宋_GB2312"/>
          <w:sz w:val="24"/>
          <w:szCs w:val="24"/>
        </w:rPr>
      </w:pPr>
      <w:r>
        <w:rPr>
          <w:rFonts w:ascii="Times New Roman" w:eastAsia="仿宋_GB2312"/>
          <w:sz w:val="24"/>
          <w:szCs w:val="24"/>
        </w:rPr>
        <w:t>承包人提交的竣工资料移交时间：。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承包人提交的竣工资料形式要求：。</w:t>
      </w:r>
    </w:p>
    <w:p>
      <w:pPr>
        <w:spacing w:line="480" w:lineRule="exact"/>
        <w:ind w:firstLine="480" w:firstLineChars="200"/>
        <w:rPr>
          <w:rFonts w:ascii="Times New Roman" w:eastAsia="仿宋_GB2312"/>
          <w:sz w:val="24"/>
          <w:szCs w:val="24"/>
        </w:rPr>
      </w:pPr>
      <w:r>
        <w:rPr>
          <w:rFonts w:ascii="Times New Roman" w:eastAsia="仿宋_GB2312"/>
          <w:sz w:val="24"/>
          <w:szCs w:val="24"/>
        </w:rPr>
        <w:t>（</w:t>
      </w:r>
      <w:r>
        <w:rPr>
          <w:rFonts w:hint="eastAsia" w:ascii="Times New Roman" w:eastAsia="仿宋_GB2312"/>
          <w:sz w:val="24"/>
          <w:szCs w:val="24"/>
        </w:rPr>
        <w:t>10</w:t>
      </w:r>
      <w:r>
        <w:rPr>
          <w:rFonts w:ascii="Times New Roman" w:eastAsia="仿宋_GB2312"/>
          <w:sz w:val="24"/>
          <w:szCs w:val="24"/>
        </w:rPr>
        <w:t>）承包人应履行的其他义务：</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 xml:space="preserve">3.2 </w:t>
      </w:r>
      <w:r>
        <w:rPr>
          <w:rFonts w:hint="eastAsia" w:ascii="Times New Roman" w:eastAsia="黑体"/>
          <w:sz w:val="24"/>
          <w:szCs w:val="24"/>
        </w:rPr>
        <w:t>项目负责人</w:t>
      </w:r>
    </w:p>
    <w:p>
      <w:pPr>
        <w:spacing w:line="480" w:lineRule="exact"/>
        <w:ind w:firstLine="480" w:firstLineChars="200"/>
        <w:rPr>
          <w:rFonts w:ascii="Times New Roman" w:eastAsia="仿宋_GB2312"/>
          <w:sz w:val="24"/>
          <w:szCs w:val="24"/>
        </w:rPr>
      </w:pPr>
      <w:r>
        <w:rPr>
          <w:rFonts w:ascii="Times New Roman" w:eastAsia="仿宋_GB2312"/>
          <w:sz w:val="24"/>
          <w:szCs w:val="24"/>
        </w:rPr>
        <w:t xml:space="preserve">3.2.1 </w:t>
      </w:r>
      <w:r>
        <w:rPr>
          <w:rFonts w:hint="eastAsia" w:ascii="Times New Roman" w:eastAsia="仿宋_GB2312"/>
          <w:sz w:val="24"/>
          <w:szCs w:val="24"/>
        </w:rPr>
        <w:t>项目负责人</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身份证号：</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建造师执业资格等级：</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建造师注册证书号：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建造师执业印章号：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安全生产考核合格证书号：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承包人对</w:t>
      </w:r>
      <w:r>
        <w:rPr>
          <w:rFonts w:hint="eastAsia" w:ascii="Times New Roman" w:eastAsia="仿宋_GB2312"/>
          <w:sz w:val="24"/>
          <w:szCs w:val="24"/>
        </w:rPr>
        <w:t>项目负责人</w:t>
      </w:r>
      <w:r>
        <w:rPr>
          <w:rFonts w:ascii="Times New Roman" w:eastAsia="仿宋_GB2312"/>
          <w:sz w:val="24"/>
          <w:szCs w:val="24"/>
        </w:rPr>
        <w:t>的授权范围如下：</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w:t>
      </w:r>
      <w:r>
        <w:rPr>
          <w:rFonts w:hint="eastAsia" w:ascii="Times New Roman" w:eastAsia="仿宋_GB2312"/>
          <w:sz w:val="24"/>
          <w:szCs w:val="24"/>
        </w:rPr>
        <w:t>项目负责人</w:t>
      </w:r>
      <w:r>
        <w:rPr>
          <w:rFonts w:ascii="Times New Roman" w:eastAsia="仿宋_GB2312"/>
          <w:sz w:val="24"/>
          <w:szCs w:val="24"/>
        </w:rPr>
        <w:t>每月在施工现场的时间要求：</w:t>
      </w:r>
      <w:r>
        <w:rPr>
          <w:rFonts w:ascii="Times New Roman" w:eastAsia="仿宋_GB2312"/>
          <w:sz w:val="24"/>
          <w:szCs w:val="24"/>
          <w:u w:val="single"/>
        </w:rPr>
        <w:t xml:space="preserve">       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承包人未提交劳动合同，以及没有为</w:t>
      </w:r>
      <w:r>
        <w:rPr>
          <w:rFonts w:hint="eastAsia" w:ascii="Times New Roman" w:eastAsia="仿宋_GB2312"/>
          <w:sz w:val="24"/>
          <w:szCs w:val="24"/>
        </w:rPr>
        <w:t>项目负责人</w:t>
      </w:r>
      <w:r>
        <w:rPr>
          <w:rFonts w:ascii="Times New Roman" w:eastAsia="仿宋_GB2312"/>
          <w:sz w:val="24"/>
          <w:szCs w:val="24"/>
        </w:rPr>
        <w:t>缴纳社会保险证明的违约责任：</w:t>
      </w:r>
      <w:r>
        <w:rPr>
          <w:rFonts w:ascii="Times New Roman" w:eastAsia="仿宋_GB2312"/>
          <w:sz w:val="24"/>
          <w:szCs w:val="24"/>
          <w:u w:val="single"/>
        </w:rPr>
        <w:t>     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hint="eastAsia" w:ascii="Times New Roman" w:eastAsia="仿宋_GB2312"/>
          <w:sz w:val="24"/>
          <w:szCs w:val="24"/>
        </w:rPr>
        <w:t>项目负责人</w:t>
      </w:r>
      <w:r>
        <w:rPr>
          <w:rFonts w:ascii="Times New Roman" w:eastAsia="仿宋_GB2312"/>
          <w:sz w:val="24"/>
          <w:szCs w:val="24"/>
        </w:rPr>
        <w:t>未经批准，擅自离开施工现场的违约责任：</w:t>
      </w:r>
      <w:r>
        <w:rPr>
          <w:rFonts w:ascii="Times New Roman" w:eastAsia="仿宋_GB2312"/>
          <w:sz w:val="24"/>
          <w:szCs w:val="24"/>
          <w:u w:val="single"/>
        </w:rPr>
        <w:t>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3.2.3 承包人擅自更换</w:t>
      </w:r>
      <w:r>
        <w:rPr>
          <w:rFonts w:hint="eastAsia" w:ascii="Times New Roman" w:eastAsia="仿宋_GB2312"/>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w:t>
      </w:r>
    </w:p>
    <w:p>
      <w:pPr>
        <w:spacing w:line="480" w:lineRule="exact"/>
        <w:rPr>
          <w:rFonts w:ascii="Times New Roman" w:eastAsia="仿宋_GB2312"/>
          <w:sz w:val="24"/>
          <w:szCs w:val="24"/>
        </w:rPr>
      </w:pPr>
      <w:r>
        <w:rPr>
          <w:rFonts w:ascii="Times New Roman" w:eastAsia="仿宋_GB2312"/>
          <w:sz w:val="24"/>
          <w:szCs w:val="24"/>
          <w:u w:val="single"/>
        </w:rPr>
        <w:t>                   </w:t>
      </w:r>
      <w:r>
        <w:rPr>
          <w:rFonts w:ascii="Times New Roman" w:eastAsia="仿宋_GB2312"/>
          <w:sz w:val="24"/>
          <w:szCs w:val="24"/>
        </w:rPr>
        <w:t>。</w:t>
      </w:r>
    </w:p>
    <w:p>
      <w:pPr>
        <w:spacing w:line="480" w:lineRule="exact"/>
        <w:outlineLvl w:val="0"/>
        <w:rPr>
          <w:rFonts w:ascii="Times New Roman" w:eastAsia="仿宋_GB2312"/>
          <w:sz w:val="24"/>
          <w:szCs w:val="24"/>
        </w:rPr>
      </w:pPr>
      <w:r>
        <w:rPr>
          <w:rFonts w:ascii="Times New Roman" w:eastAsia="仿宋_GB2312"/>
          <w:sz w:val="24"/>
          <w:szCs w:val="24"/>
        </w:rPr>
        <w:t xml:space="preserve">    3.2.4 承包人无正当理由拒绝更换</w:t>
      </w:r>
      <w:r>
        <w:rPr>
          <w:rFonts w:hint="eastAsia" w:ascii="Times New Roman" w:eastAsia="仿宋_GB2312"/>
          <w:sz w:val="24"/>
          <w:szCs w:val="24"/>
        </w:rPr>
        <w:t>项目负责人</w:t>
      </w:r>
      <w:r>
        <w:rPr>
          <w:rFonts w:ascii="Times New Roman" w:eastAsia="仿宋_GB2312"/>
          <w:sz w:val="24"/>
          <w:szCs w:val="24"/>
        </w:rPr>
        <w:t>的违约责任：</w:t>
      </w:r>
      <w:r>
        <w:rPr>
          <w:rFonts w:ascii="Times New Roman" w:eastAsia="仿宋_GB2312"/>
          <w:sz w:val="24"/>
          <w:szCs w:val="24"/>
          <w:u w:val="single"/>
        </w:rPr>
        <w:t xml:space="preserve">                            </w:t>
      </w:r>
      <w:r>
        <w:rPr>
          <w:rFonts w:ascii="Times New Roman" w:eastAsia="仿宋_GB2312"/>
          <w:sz w:val="24"/>
          <w:szCs w:val="24"/>
        </w:rPr>
        <w:t>。</w:t>
      </w:r>
    </w:p>
    <w:p>
      <w:pPr>
        <w:spacing w:after="120" w:line="480" w:lineRule="exact"/>
        <w:ind w:firstLine="480" w:firstLineChars="200"/>
        <w:rPr>
          <w:rFonts w:ascii="Times New Roman" w:eastAsia="黑体"/>
          <w:sz w:val="24"/>
          <w:szCs w:val="24"/>
        </w:rPr>
      </w:pPr>
      <w:r>
        <w:rPr>
          <w:rFonts w:ascii="Times New Roman" w:eastAsia="黑体"/>
          <w:sz w:val="24"/>
          <w:szCs w:val="24"/>
        </w:rPr>
        <w:t>3.3 承包人人员</w:t>
      </w:r>
    </w:p>
    <w:p>
      <w:pPr>
        <w:spacing w:line="480" w:lineRule="exact"/>
        <w:ind w:firstLine="480" w:firstLineChars="200"/>
        <w:rPr>
          <w:rFonts w:ascii="Times New Roman" w:eastAsia="仿宋_GB2312"/>
          <w:sz w:val="24"/>
          <w:szCs w:val="24"/>
        </w:rPr>
      </w:pPr>
      <w:r>
        <w:rPr>
          <w:rFonts w:ascii="Times New Roman" w:eastAsia="仿宋_GB2312"/>
          <w:sz w:val="24"/>
          <w:szCs w:val="24"/>
        </w:rPr>
        <w:t>3.3.1 承包人提交项目管理机构及施工现场管理人员安排报告的期限：</w:t>
      </w:r>
      <w:r>
        <w:rPr>
          <w:rFonts w:ascii="Times New Roman" w:eastAsia="仿宋_GB2312"/>
          <w:sz w:val="24"/>
          <w:szCs w:val="24"/>
          <w:u w:val="single"/>
        </w:rPr>
        <w:t xml:space="preserve">  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3.3.3 承包人无正当理由拒绝撤换主要施工管理人员的违约责任：</w:t>
      </w:r>
      <w:r>
        <w:rPr>
          <w:rFonts w:ascii="Times New Roman" w:eastAsia="仿宋_GB2312"/>
          <w:sz w:val="24"/>
          <w:szCs w:val="24"/>
          <w:u w:val="single"/>
        </w:rPr>
        <w:t xml:space="preserve">                              </w:t>
      </w:r>
      <w:r>
        <w:rPr>
          <w:rFonts w:ascii="Times New Roman" w:eastAsia="仿宋_GB2312"/>
          <w:sz w:val="24"/>
          <w:szCs w:val="24"/>
        </w:rPr>
        <w:t>。</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3.3.4 承包人主要施工管理人员离开施工现场的批准要求：</w:t>
      </w:r>
      <w:r>
        <w:rPr>
          <w:rFonts w:ascii="Times New Roman" w:eastAsia="仿宋_GB2312"/>
          <w:sz w:val="24"/>
          <w:szCs w:val="24"/>
          <w:u w:val="single"/>
        </w:rPr>
        <w:t></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3.3.5承包人擅自更换主要施工管理人员的违约责任：</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承包人主要施工管理人员擅自离开施工现场的违约责任：</w:t>
      </w:r>
      <w:r>
        <w:rPr>
          <w:rFonts w:ascii="Times New Roman" w:eastAsia="仿宋_GB2312"/>
          <w:sz w:val="24"/>
          <w:szCs w:val="24"/>
          <w:u w:val="single"/>
        </w:rPr>
        <w:t xml:space="preserve">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3</w:t>
      </w:r>
      <w:bookmarkStart w:id="135" w:name="_Toc297048345"/>
      <w:bookmarkStart w:id="136" w:name="_Toc304295523"/>
      <w:bookmarkStart w:id="137" w:name="_Toc303539102"/>
      <w:bookmarkStart w:id="138" w:name="_Toc296891199"/>
      <w:bookmarkStart w:id="139" w:name="_Toc296346660"/>
      <w:bookmarkStart w:id="140" w:name="_Toc296890987"/>
      <w:bookmarkStart w:id="141" w:name="_Toc297123492"/>
      <w:bookmarkStart w:id="142" w:name="_Toc297216151"/>
      <w:bookmarkStart w:id="143" w:name="_Toc312677988"/>
      <w:bookmarkStart w:id="144" w:name="_Toc292559869"/>
      <w:bookmarkStart w:id="145" w:name="_Toc296944498"/>
      <w:bookmarkStart w:id="146" w:name="_Toc292559364"/>
      <w:bookmarkStart w:id="147" w:name="_Toc296503159"/>
      <w:bookmarkStart w:id="148" w:name="_Toc297120459"/>
      <w:bookmarkStart w:id="149" w:name="_Toc296347158"/>
      <w:bookmarkStart w:id="150" w:name="_Toc300934945"/>
      <w:r>
        <w:rPr>
          <w:rFonts w:ascii="Times New Roman" w:eastAsia="黑体"/>
          <w:sz w:val="24"/>
          <w:szCs w:val="24"/>
        </w:rPr>
        <w:t>.5 分包</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Pr>
        <w:spacing w:line="480" w:lineRule="exact"/>
        <w:ind w:firstLine="480" w:firstLineChars="200"/>
        <w:rPr>
          <w:rFonts w:ascii="Times New Roman" w:eastAsia="仿宋_GB2312"/>
          <w:sz w:val="24"/>
          <w:szCs w:val="24"/>
        </w:rPr>
      </w:pPr>
      <w:r>
        <w:rPr>
          <w:rFonts w:ascii="Times New Roman" w:eastAsia="仿宋_GB2312"/>
          <w:sz w:val="24"/>
          <w:szCs w:val="24"/>
        </w:rPr>
        <w:t>3</w:t>
      </w:r>
      <w:bookmarkStart w:id="151" w:name="_Toc292559365"/>
      <w:bookmarkStart w:id="152" w:name="_Toc300934946"/>
      <w:bookmarkStart w:id="153" w:name="_Toc297048346"/>
      <w:bookmarkStart w:id="154" w:name="_Toc304295524"/>
      <w:bookmarkStart w:id="155" w:name="_Toc296890988"/>
      <w:bookmarkStart w:id="156" w:name="_Toc297123493"/>
      <w:bookmarkStart w:id="157" w:name="_Toc292559870"/>
      <w:bookmarkStart w:id="158" w:name="_Toc297120460"/>
      <w:bookmarkStart w:id="159" w:name="_Toc296891200"/>
      <w:bookmarkStart w:id="160" w:name="_Toc303539103"/>
      <w:bookmarkStart w:id="161" w:name="_Toc297216152"/>
      <w:bookmarkStart w:id="162" w:name="_Toc296944499"/>
      <w:bookmarkStart w:id="163" w:name="_Toc296347159"/>
      <w:bookmarkStart w:id="164" w:name="_Toc296346661"/>
      <w:bookmarkStart w:id="165" w:name="_Toc296503160"/>
      <w:bookmarkStart w:id="166" w:name="_Toc312677989"/>
      <w:bookmarkStart w:id="167" w:name="_Toc318581158"/>
      <w:r>
        <w:rPr>
          <w:rFonts w:ascii="Times New Roman" w:eastAsia="仿宋_GB2312"/>
          <w:sz w:val="24"/>
          <w:szCs w:val="24"/>
        </w:rPr>
        <w:t>.5.1 分包的一般约定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禁止分包的工程包括：</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主体结构、关键性工作的范围：</w:t>
      </w:r>
      <w:r>
        <w:rPr>
          <w:rFonts w:ascii="Times New Roman" w:eastAsia="仿宋_GB2312"/>
          <w:sz w:val="24"/>
          <w:szCs w:val="24"/>
          <w:u w:val="single"/>
        </w:rPr>
        <w:t xml:space="preserve">               </w:t>
      </w:r>
      <w:r>
        <w:rPr>
          <w:rFonts w:ascii="Times New Roman" w:eastAsia="仿宋_GB2312"/>
          <w:sz w:val="24"/>
          <w:szCs w:val="24"/>
        </w:rPr>
        <w: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8" w:name="_Toc297216153"/>
      <w:bookmarkStart w:id="169" w:name="_Toc296347160"/>
      <w:bookmarkStart w:id="170" w:name="_Toc296890989"/>
      <w:bookmarkStart w:id="171" w:name="_Toc297123494"/>
      <w:bookmarkStart w:id="172" w:name="_Toc303539104"/>
      <w:bookmarkStart w:id="173" w:name="_Toc296503161"/>
      <w:bookmarkStart w:id="174" w:name="_Toc297048347"/>
      <w:bookmarkStart w:id="175" w:name="_Toc296346662"/>
      <w:bookmarkStart w:id="176" w:name="_Toc296891201"/>
      <w:bookmarkStart w:id="177" w:name="_Toc300934947"/>
      <w:bookmarkStart w:id="178" w:name="_Toc296944500"/>
      <w:bookmarkStart w:id="179" w:name="_Toc297120461"/>
      <w:bookmarkStart w:id="180" w:name="_Toc304295525"/>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480" w:lineRule="exact"/>
        <w:rPr>
          <w:rFonts w:ascii="Times New Roman" w:eastAsia="仿宋_GB2312"/>
          <w:sz w:val="24"/>
          <w:szCs w:val="24"/>
        </w:rPr>
      </w:pPr>
      <w:r>
        <w:rPr>
          <w:rFonts w:ascii="Times New Roman" w:eastAsia="仿宋_GB2312"/>
          <w:sz w:val="24"/>
          <w:szCs w:val="24"/>
        </w:rPr>
        <w:t xml:space="preserve">    3</w:t>
      </w:r>
      <w:bookmarkStart w:id="181" w:name="_Toc318581159"/>
      <w:bookmarkStart w:id="182" w:name="_Toc312677990"/>
      <w:r>
        <w:rPr>
          <w:rFonts w:ascii="Times New Roman" w:eastAsia="仿宋_GB2312"/>
          <w:sz w:val="24"/>
          <w:szCs w:val="24"/>
        </w:rPr>
        <w:t>.5.2分包的确定</w:t>
      </w:r>
    </w:p>
    <w:p>
      <w:pPr>
        <w:spacing w:line="480" w:lineRule="exact"/>
        <w:ind w:firstLine="480" w:firstLineChars="200"/>
        <w:rPr>
          <w:rFonts w:ascii="Times New Roman" w:eastAsia="仿宋_GB2312"/>
          <w:sz w:val="24"/>
          <w:szCs w:val="24"/>
          <w:u w:val="single"/>
        </w:rPr>
      </w:pPr>
      <w:r>
        <w:rPr>
          <w:rFonts w:ascii="Times New Roman" w:eastAsia="仿宋_GB2312"/>
          <w:sz w:val="24"/>
          <w:szCs w:val="24"/>
        </w:rPr>
        <w:t>允许分包的专业工程包括：</w:t>
      </w:r>
      <w:r>
        <w:rPr>
          <w:rFonts w:ascii="Times New Roman" w:eastAsia="仿宋_GB2312"/>
          <w:sz w:val="24"/>
          <w:szCs w:val="24"/>
          <w:u w:val="single"/>
        </w:rPr>
        <w:t xml:space="preserve">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其他关于分包的约定：。</w:t>
      </w:r>
    </w:p>
    <w:p>
      <w:pPr>
        <w:spacing w:line="480" w:lineRule="exact"/>
        <w:ind w:firstLine="480" w:firstLineChars="200"/>
        <w:rPr>
          <w:rFonts w:ascii="Times New Roman" w:eastAsia="仿宋_GB2312"/>
          <w:sz w:val="24"/>
          <w:szCs w:val="24"/>
        </w:rPr>
      </w:pPr>
      <w:r>
        <w:rPr>
          <w:rFonts w:ascii="Times New Roman" w:eastAsia="仿宋_GB2312"/>
          <w:sz w:val="24"/>
          <w:szCs w:val="24"/>
        </w:rPr>
        <w:t>3.5.4 分包合同价款</w:t>
      </w:r>
    </w:p>
    <w:p>
      <w:pPr>
        <w:spacing w:line="480" w:lineRule="exact"/>
        <w:ind w:firstLine="480" w:firstLineChars="200"/>
        <w:rPr>
          <w:rFonts w:ascii="Times New Roman" w:eastAsia="仿宋_GB2312"/>
          <w:sz w:val="24"/>
          <w:szCs w:val="24"/>
        </w:rPr>
      </w:pPr>
      <w:r>
        <w:rPr>
          <w:rFonts w:ascii="Times New Roman" w:eastAsia="仿宋_GB2312"/>
          <w:sz w:val="24"/>
          <w:szCs w:val="24"/>
        </w:rPr>
        <w:t>关于分包合同价款支付的约定：</w:t>
      </w:r>
      <w:r>
        <w:rPr>
          <w:rFonts w:ascii="Times New Roman" w:eastAsia="仿宋_GB2312"/>
          <w:sz w:val="24"/>
          <w:szCs w:val="24"/>
          <w:u w:val="single"/>
        </w:rPr>
        <w:t xml:space="preserve">        </w:t>
      </w:r>
      <w:r>
        <w:rPr>
          <w:rFonts w:ascii="Times New Roman" w:eastAsia="仿宋_GB2312"/>
          <w:sz w:val="24"/>
          <w:szCs w:val="24"/>
        </w:rPr>
        <w:t>。</w:t>
      </w:r>
    </w:p>
    <w:bookmarkEnd w:id="181"/>
    <w:bookmarkEnd w:id="182"/>
    <w:p>
      <w:pPr>
        <w:spacing w:line="480" w:lineRule="exact"/>
        <w:ind w:firstLine="480" w:firstLineChars="200"/>
        <w:rPr>
          <w:rFonts w:ascii="Times New Roman" w:eastAsia="黑体"/>
          <w:sz w:val="24"/>
          <w:szCs w:val="24"/>
        </w:rPr>
      </w:pPr>
      <w:r>
        <w:rPr>
          <w:rFonts w:ascii="Times New Roman" w:eastAsia="黑体"/>
          <w:sz w:val="24"/>
          <w:szCs w:val="24"/>
        </w:rPr>
        <w:t>3.6 工程照管与成品、半成品保护</w:t>
      </w:r>
    </w:p>
    <w:p>
      <w:pPr>
        <w:spacing w:before="120" w:after="120" w:line="480" w:lineRule="exact"/>
        <w:ind w:firstLine="480" w:firstLineChars="200"/>
        <w:rPr>
          <w:rFonts w:ascii="Times New Roman" w:eastAsia="仿宋_GB2312"/>
          <w:sz w:val="24"/>
          <w:szCs w:val="24"/>
          <w:u w:val="single"/>
        </w:rPr>
      </w:pPr>
      <w:r>
        <w:rPr>
          <w:rFonts w:ascii="Times New Roman" w:eastAsia="仿宋_GB2312"/>
          <w:sz w:val="24"/>
          <w:szCs w:val="24"/>
        </w:rPr>
        <w:t>承包人负责照管工程及工程相关的材料、工程设备的起始时间：。</w:t>
      </w:r>
    </w:p>
    <w:p>
      <w:pPr>
        <w:spacing w:line="480" w:lineRule="exact"/>
        <w:ind w:firstLine="480" w:firstLineChars="200"/>
        <w:rPr>
          <w:rFonts w:ascii="Times New Roman" w:eastAsia="黑体"/>
          <w:sz w:val="24"/>
          <w:szCs w:val="24"/>
        </w:rPr>
      </w:pPr>
      <w:r>
        <w:rPr>
          <w:rFonts w:ascii="Times New Roman" w:eastAsia="黑体"/>
          <w:sz w:val="24"/>
          <w:szCs w:val="24"/>
        </w:rPr>
        <w:t>3.7 履约担保</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承包人是否提供履约担保：</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承包人提供履约担保的形式</w:t>
      </w:r>
      <w:r>
        <w:rPr>
          <w:rFonts w:hint="eastAsia" w:ascii="Times New Roman" w:eastAsia="仿宋_GB2312"/>
          <w:sz w:val="24"/>
          <w:szCs w:val="24"/>
        </w:rPr>
        <w:t>、金额及期限的</w:t>
      </w:r>
      <w:r>
        <w:rPr>
          <w:rFonts w:ascii="Times New Roman" w:eastAsia="仿宋_GB2312"/>
          <w:sz w:val="24"/>
          <w:szCs w:val="24"/>
        </w:rPr>
        <w:t>：。</w:t>
      </w:r>
    </w:p>
    <w:p>
      <w:pPr>
        <w:pStyle w:val="4"/>
        <w:spacing w:line="480" w:lineRule="exact"/>
        <w:rPr>
          <w:rFonts w:ascii="Times New Roman" w:hAnsi="Times New Roman" w:eastAsia="黑体"/>
          <w:b w:val="0"/>
          <w:sz w:val="24"/>
          <w:szCs w:val="24"/>
        </w:rPr>
      </w:pPr>
      <w:bookmarkStart w:id="183" w:name="_Toc351203636"/>
      <w:r>
        <w:rPr>
          <w:rFonts w:ascii="Times New Roman" w:hAnsi="Times New Roman" w:eastAsia="黑体"/>
          <w:b w:val="0"/>
          <w:sz w:val="24"/>
          <w:szCs w:val="24"/>
        </w:rPr>
        <w:t>4</w:t>
      </w:r>
      <w:bookmarkStart w:id="184" w:name="_Toc296890990"/>
      <w:bookmarkStart w:id="185" w:name="_Toc297120462"/>
      <w:bookmarkStart w:id="186" w:name="_Toc297048348"/>
      <w:bookmarkStart w:id="187" w:name="_Toc296944501"/>
      <w:bookmarkStart w:id="188" w:name="_Toc296347161"/>
      <w:bookmarkStart w:id="189" w:name="_Toc292559366"/>
      <w:bookmarkStart w:id="190" w:name="_Toc296891202"/>
      <w:bookmarkStart w:id="191" w:name="_Toc292559871"/>
      <w:bookmarkStart w:id="192" w:name="_Toc296346663"/>
      <w:bookmarkStart w:id="193" w:name="_Toc296503162"/>
      <w:bookmarkStart w:id="194" w:name="_Toc267251413"/>
      <w:r>
        <w:rPr>
          <w:rFonts w:ascii="Times New Roman" w:hAnsi="Times New Roman" w:eastAsia="黑体"/>
          <w:b w:val="0"/>
          <w:sz w:val="24"/>
          <w:szCs w:val="24"/>
        </w:rPr>
        <w:t>. 监</w:t>
      </w:r>
      <w:bookmarkEnd w:id="184"/>
      <w:bookmarkEnd w:id="185"/>
      <w:bookmarkEnd w:id="186"/>
      <w:bookmarkEnd w:id="187"/>
      <w:bookmarkEnd w:id="188"/>
      <w:bookmarkEnd w:id="189"/>
      <w:bookmarkEnd w:id="190"/>
      <w:bookmarkEnd w:id="191"/>
      <w:bookmarkEnd w:id="192"/>
      <w:bookmarkEnd w:id="193"/>
      <w:bookmarkEnd w:id="194"/>
      <w:r>
        <w:rPr>
          <w:rFonts w:ascii="Times New Roman" w:hAnsi="Times New Roman" w:eastAsia="黑体"/>
          <w:b w:val="0"/>
          <w:sz w:val="24"/>
          <w:szCs w:val="24"/>
        </w:rPr>
        <w:t>理人</w:t>
      </w:r>
      <w:bookmarkEnd w:id="183"/>
    </w:p>
    <w:p>
      <w:pPr>
        <w:spacing w:line="480" w:lineRule="exact"/>
        <w:ind w:firstLine="480" w:firstLineChars="200"/>
        <w:rPr>
          <w:rFonts w:ascii="Times New Roman" w:eastAsia="黑体"/>
          <w:sz w:val="24"/>
          <w:szCs w:val="24"/>
        </w:rPr>
      </w:pPr>
      <w:r>
        <w:rPr>
          <w:rFonts w:ascii="Times New Roman" w:eastAsia="黑体"/>
          <w:sz w:val="24"/>
          <w:szCs w:val="24"/>
        </w:rPr>
        <w:t>4.1监理人的一般规定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关于监理人的监理内容：。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关于监理人的监理权限：。</w:t>
      </w:r>
    </w:p>
    <w:p>
      <w:pPr>
        <w:spacing w:line="480" w:lineRule="exact"/>
        <w:ind w:firstLine="480" w:firstLineChars="200"/>
        <w:rPr>
          <w:rFonts w:ascii="Times New Roman" w:eastAsia="仿宋_GB2312"/>
          <w:sz w:val="24"/>
          <w:szCs w:val="24"/>
        </w:rPr>
      </w:pPr>
      <w:r>
        <w:rPr>
          <w:rFonts w:ascii="Times New Roman" w:eastAsia="仿宋_GB2312"/>
          <w:sz w:val="24"/>
          <w:szCs w:val="24"/>
        </w:rPr>
        <w:t>关于监理人在施工现场的办公场所、生活场所的提供和费用承担的约定：。</w:t>
      </w:r>
    </w:p>
    <w:p>
      <w:pPr>
        <w:spacing w:line="480" w:lineRule="exact"/>
        <w:ind w:firstLine="480" w:firstLineChars="200"/>
        <w:rPr>
          <w:rFonts w:ascii="Times New Roman" w:eastAsia="黑体"/>
          <w:sz w:val="24"/>
          <w:szCs w:val="24"/>
        </w:rPr>
      </w:pPr>
      <w:r>
        <w:rPr>
          <w:rFonts w:ascii="Times New Roman" w:eastAsia="黑体"/>
          <w:sz w:val="24"/>
          <w:szCs w:val="24"/>
        </w:rPr>
        <w:t>4.2 监理人员</w:t>
      </w:r>
    </w:p>
    <w:p>
      <w:pPr>
        <w:spacing w:line="480" w:lineRule="exact"/>
        <w:ind w:firstLine="480" w:firstLineChars="200"/>
        <w:rPr>
          <w:rFonts w:ascii="Times New Roman" w:eastAsia="仿宋_GB2312"/>
          <w:sz w:val="24"/>
          <w:szCs w:val="24"/>
        </w:rPr>
      </w:pPr>
      <w:r>
        <w:rPr>
          <w:rFonts w:ascii="Times New Roman" w:eastAsia="仿宋_GB2312"/>
          <w:sz w:val="24"/>
          <w:szCs w:val="24"/>
        </w:rPr>
        <w:t>总监理工程师：</w:t>
      </w:r>
    </w:p>
    <w:p>
      <w:pPr>
        <w:spacing w:line="480" w:lineRule="exact"/>
        <w:ind w:firstLine="480" w:firstLineChars="200"/>
        <w:rPr>
          <w:rFonts w:ascii="Times New Roman" w:eastAsia="仿宋_GB2312"/>
          <w:sz w:val="24"/>
          <w:szCs w:val="24"/>
        </w:rPr>
      </w:pPr>
      <w:r>
        <w:rPr>
          <w:rFonts w:ascii="Times New Roman" w:eastAsia="仿宋_GB2312"/>
          <w:sz w:val="24"/>
          <w:szCs w:val="24"/>
        </w:rPr>
        <w:t>姓名：</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职务：</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监理工程师执业资格证书号：</w:t>
      </w:r>
      <w:r>
        <w:rPr>
          <w:rFonts w:ascii="Times New Roman" w:eastAsia="仿宋_GB2312"/>
          <w:sz w:val="24"/>
          <w:szCs w:val="24"/>
          <w:u w:val="single"/>
        </w:rPr>
        <w:t>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联系电话：</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电子信箱：</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通信地址：</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仿宋_GB2312"/>
          <w:sz w:val="24"/>
          <w:szCs w:val="24"/>
        </w:rPr>
      </w:pPr>
      <w:r>
        <w:rPr>
          <w:rFonts w:ascii="Times New Roman" w:eastAsia="仿宋_GB2312"/>
          <w:sz w:val="24"/>
          <w:szCs w:val="24"/>
        </w:rPr>
        <w:t>关于监理人的其他约定：</w:t>
      </w:r>
      <w:r>
        <w:rPr>
          <w:rFonts w:ascii="Times New Roman" w:eastAsia="仿宋_GB2312"/>
          <w:sz w:val="24"/>
          <w:szCs w:val="24"/>
          <w:u w:val="single"/>
        </w:rPr>
        <w:t>   </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4.4 商定或确定</w:t>
      </w:r>
    </w:p>
    <w:p>
      <w:pPr>
        <w:spacing w:line="480" w:lineRule="exact"/>
        <w:ind w:firstLine="480" w:firstLineChars="200"/>
        <w:rPr>
          <w:rFonts w:ascii="Times New Roman" w:eastAsia="仿宋_GB2312"/>
          <w:sz w:val="24"/>
          <w:szCs w:val="24"/>
        </w:rPr>
      </w:pPr>
      <w:bookmarkStart w:id="195" w:name="_Toc267251418"/>
      <w:r>
        <w:rPr>
          <w:rFonts w:ascii="Times New Roman" w:eastAsia="仿宋_GB2312"/>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pStyle w:val="4"/>
        <w:spacing w:line="480" w:lineRule="exact"/>
        <w:rPr>
          <w:rFonts w:ascii="Times New Roman" w:hAnsi="Times New Roman" w:eastAsia="黑体"/>
          <w:b w:val="0"/>
          <w:sz w:val="24"/>
          <w:szCs w:val="24"/>
        </w:rPr>
      </w:pPr>
      <w:bookmarkStart w:id="196" w:name="_Toc351203637"/>
      <w:r>
        <w:rPr>
          <w:rFonts w:ascii="Times New Roman" w:hAnsi="Times New Roman" w:eastAsia="黑体"/>
          <w:b w:val="0"/>
          <w:sz w:val="24"/>
          <w:szCs w:val="24"/>
        </w:rPr>
        <w:t>5</w:t>
      </w:r>
      <w:bookmarkEnd w:id="195"/>
      <w:bookmarkStart w:id="197" w:name="_Toc297120463"/>
      <w:bookmarkStart w:id="198" w:name="_Toc296891203"/>
      <w:bookmarkStart w:id="199" w:name="_Toc296944502"/>
      <w:bookmarkStart w:id="200" w:name="_Toc292559367"/>
      <w:bookmarkStart w:id="201" w:name="_Toc296347162"/>
      <w:bookmarkStart w:id="202" w:name="_Toc297048349"/>
      <w:bookmarkStart w:id="203" w:name="_Toc296346664"/>
      <w:bookmarkStart w:id="204" w:name="_Toc296890991"/>
      <w:bookmarkStart w:id="205" w:name="_Toc296503163"/>
      <w:bookmarkStart w:id="206" w:name="_Toc292559872"/>
      <w:r>
        <w:rPr>
          <w:rFonts w:ascii="Times New Roman" w:hAnsi="Times New Roman" w:eastAsia="黑体"/>
          <w:b w:val="0"/>
          <w:sz w:val="24"/>
          <w:szCs w:val="24"/>
        </w:rPr>
        <w:t>. 工程质量</w:t>
      </w:r>
      <w:bookmarkEnd w:id="196"/>
    </w:p>
    <w:p>
      <w:pPr>
        <w:spacing w:line="480" w:lineRule="exact"/>
        <w:ind w:firstLine="480" w:firstLineChars="200"/>
        <w:outlineLvl w:val="0"/>
        <w:rPr>
          <w:rFonts w:ascii="Times New Roman" w:eastAsia="黑体"/>
          <w:sz w:val="24"/>
          <w:szCs w:val="24"/>
        </w:rPr>
      </w:pPr>
      <w:r>
        <w:rPr>
          <w:rFonts w:ascii="Times New Roman" w:eastAsia="黑体"/>
          <w:sz w:val="24"/>
          <w:szCs w:val="24"/>
        </w:rPr>
        <w:t>5.1 质量要求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w:t>
      </w:r>
      <w:bookmarkStart w:id="207" w:name="_Toc297216155"/>
      <w:bookmarkStart w:id="208" w:name="_Toc297123496"/>
      <w:bookmarkStart w:id="209" w:name="_Toc304295527"/>
      <w:bookmarkStart w:id="210" w:name="_Toc312677997"/>
      <w:bookmarkStart w:id="211" w:name="_Toc300934949"/>
      <w:bookmarkStart w:id="212" w:name="_Toc318581164"/>
      <w:bookmarkStart w:id="213" w:name="_Toc303539106"/>
      <w:r>
        <w:rPr>
          <w:rFonts w:ascii="Times New Roman" w:eastAsia="仿宋_GB2312"/>
          <w:sz w:val="24"/>
          <w:szCs w:val="24"/>
        </w:rPr>
        <w:t>.1.1 特殊质量标准和要求：。</w:t>
      </w:r>
    </w:p>
    <w:p>
      <w:pPr>
        <w:spacing w:line="480" w:lineRule="exact"/>
        <w:ind w:firstLine="480" w:firstLineChars="200"/>
        <w:jc w:val="left"/>
        <w:rPr>
          <w:rFonts w:ascii="Times New Roman" w:eastAsia="黑体"/>
          <w:sz w:val="24"/>
          <w:szCs w:val="24"/>
        </w:rPr>
      </w:pPr>
      <w:r>
        <w:rPr>
          <w:rFonts w:ascii="Times New Roman" w:eastAsia="仿宋_GB2312"/>
          <w:sz w:val="24"/>
          <w:szCs w:val="24"/>
        </w:rPr>
        <w:t>关于工程奖项的约定：。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5.3 隐蔽工程检查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5.3.2承包人提前通知监理人隐蔽工程检查的期限的约定：。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监理人不能按时进行检查时，应提前小时提交书面延期要求。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关于延期最长不得超过：小时。</w:t>
      </w:r>
    </w:p>
    <w:p>
      <w:pPr>
        <w:pStyle w:val="4"/>
        <w:spacing w:line="480" w:lineRule="exact"/>
        <w:rPr>
          <w:rFonts w:ascii="Times New Roman" w:hAnsi="Times New Roman" w:eastAsia="黑体"/>
          <w:b w:val="0"/>
          <w:sz w:val="24"/>
          <w:szCs w:val="24"/>
        </w:rPr>
      </w:pPr>
      <w:bookmarkStart w:id="214" w:name="_Toc351203638"/>
      <w:r>
        <w:rPr>
          <w:rFonts w:ascii="Times New Roman" w:hAnsi="Times New Roman" w:eastAsia="黑体"/>
          <w:b w:val="0"/>
          <w:sz w:val="24"/>
          <w:szCs w:val="24"/>
        </w:rPr>
        <w:t>6. 安全文明施工与环境保护</w:t>
      </w:r>
      <w:bookmarkEnd w:id="214"/>
    </w:p>
    <w:p>
      <w:pPr>
        <w:spacing w:line="480" w:lineRule="exact"/>
        <w:ind w:firstLine="480" w:firstLineChars="200"/>
        <w:rPr>
          <w:rFonts w:ascii="Times New Roman" w:eastAsia="黑体"/>
          <w:sz w:val="24"/>
          <w:szCs w:val="24"/>
        </w:rPr>
      </w:pPr>
      <w:r>
        <w:rPr>
          <w:rFonts w:ascii="Times New Roman" w:eastAsia="黑体"/>
          <w:sz w:val="24"/>
          <w:szCs w:val="24"/>
        </w:rPr>
        <w:t>6.1安全文明施工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6.1.1项目安全生产的达标目标及相应事项的约定：。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6.1.4 关于治安保卫的特别约定：。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关于编制施工场地治安管理计划的约定：。</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6.1.5 文明施工</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合同当事人对文明施工的要求：。</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6.1.6 关于安全文明施工费支付比例和支付期限的约定：。</w:t>
      </w:r>
    </w:p>
    <w:bookmarkEnd w:id="207"/>
    <w:bookmarkEnd w:id="208"/>
    <w:bookmarkEnd w:id="209"/>
    <w:bookmarkEnd w:id="210"/>
    <w:bookmarkEnd w:id="211"/>
    <w:bookmarkEnd w:id="212"/>
    <w:bookmarkEnd w:id="213"/>
    <w:p>
      <w:pPr>
        <w:pStyle w:val="4"/>
        <w:spacing w:line="480" w:lineRule="exact"/>
        <w:rPr>
          <w:rFonts w:ascii="Times New Roman" w:hAnsi="Times New Roman" w:eastAsia="黑体"/>
          <w:b w:val="0"/>
          <w:sz w:val="24"/>
          <w:szCs w:val="24"/>
        </w:rPr>
      </w:pPr>
      <w:bookmarkStart w:id="215" w:name="_Toc351203639"/>
      <w:r>
        <w:rPr>
          <w:rFonts w:ascii="Times New Roman" w:hAnsi="Times New Roman" w:eastAsia="黑体"/>
          <w:b w:val="0"/>
          <w:sz w:val="24"/>
          <w:szCs w:val="24"/>
        </w:rPr>
        <w:t>7. 工期和进度</w:t>
      </w:r>
      <w:bookmarkEnd w:id="215"/>
    </w:p>
    <w:p>
      <w:pPr>
        <w:spacing w:line="480" w:lineRule="exact"/>
        <w:ind w:firstLine="480" w:firstLineChars="200"/>
        <w:rPr>
          <w:rFonts w:ascii="Times New Roman" w:eastAsia="黑体"/>
          <w:sz w:val="24"/>
          <w:szCs w:val="24"/>
        </w:rPr>
      </w:pPr>
      <w:r>
        <w:rPr>
          <w:rFonts w:ascii="Times New Roman" w:eastAsia="黑体"/>
          <w:sz w:val="24"/>
          <w:szCs w:val="24"/>
        </w:rPr>
        <w:t>7.1 施工组织设计</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7.1.</w:t>
      </w:r>
      <w:r>
        <w:rPr>
          <w:rFonts w:hint="eastAsia" w:ascii="Times New Roman" w:eastAsia="仿宋_GB2312"/>
          <w:sz w:val="24"/>
          <w:szCs w:val="24"/>
        </w:rPr>
        <w:t>1 合同当事人约定的</w:t>
      </w:r>
      <w:r>
        <w:rPr>
          <w:rFonts w:ascii="Times New Roman" w:eastAsia="仿宋_GB2312"/>
          <w:sz w:val="24"/>
          <w:szCs w:val="24"/>
        </w:rPr>
        <w:t>施工组织设计</w:t>
      </w:r>
      <w:r>
        <w:rPr>
          <w:rFonts w:hint="eastAsia" w:ascii="Times New Roman" w:eastAsia="仿宋_GB2312"/>
          <w:sz w:val="24"/>
          <w:szCs w:val="24"/>
        </w:rPr>
        <w:t>应包括的其他内容</w:t>
      </w:r>
      <w:r>
        <w:rPr>
          <w:rFonts w:ascii="Times New Roman" w:eastAsia="仿宋_GB2312"/>
          <w:sz w:val="24"/>
          <w:szCs w:val="24"/>
        </w:rPr>
        <w:t>：。</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7.1.2施工组织设计的提交和修改</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承包人提交详细施工组织设计的期限的约定：。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发包人和监理人在收到</w:t>
      </w:r>
      <w:r>
        <w:rPr>
          <w:rFonts w:hint="eastAsia" w:ascii="Times New Roman" w:eastAsia="仿宋_GB2312"/>
          <w:sz w:val="24"/>
          <w:szCs w:val="24"/>
        </w:rPr>
        <w:t>详细的施工组织设计</w:t>
      </w:r>
      <w:r>
        <w:rPr>
          <w:rFonts w:ascii="Times New Roman" w:eastAsia="仿宋_GB2312"/>
          <w:sz w:val="24"/>
          <w:szCs w:val="24"/>
        </w:rPr>
        <w:t>后确认或提出修改意见的期限：。</w:t>
      </w:r>
    </w:p>
    <w:p>
      <w:pPr>
        <w:spacing w:line="480" w:lineRule="exact"/>
        <w:ind w:firstLine="480" w:firstLineChars="200"/>
        <w:rPr>
          <w:rFonts w:ascii="Times New Roman" w:eastAsia="黑体"/>
          <w:sz w:val="24"/>
          <w:szCs w:val="24"/>
        </w:rPr>
      </w:pPr>
      <w:r>
        <w:rPr>
          <w:rFonts w:ascii="Times New Roman" w:eastAsia="黑体"/>
          <w:sz w:val="24"/>
          <w:szCs w:val="24"/>
        </w:rPr>
        <w:t>7</w:t>
      </w:r>
      <w:bookmarkStart w:id="216" w:name="_Toc297123514"/>
      <w:bookmarkStart w:id="217" w:name="_Toc297216173"/>
      <w:bookmarkStart w:id="218" w:name="_Toc312678005"/>
      <w:bookmarkStart w:id="219" w:name="_Toc303539123"/>
      <w:bookmarkStart w:id="220" w:name="_Toc304295541"/>
      <w:bookmarkStart w:id="221" w:name="_Toc312677479"/>
      <w:bookmarkStart w:id="222" w:name="_Toc300934966"/>
      <w:r>
        <w:rPr>
          <w:rFonts w:ascii="Times New Roman" w:eastAsia="黑体"/>
          <w:sz w:val="24"/>
          <w:szCs w:val="24"/>
        </w:rPr>
        <w:t>.2 施工进度计划</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7.2.2 施工进度计划的修订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发包人和监理人在收到修订的施工进度计划后确认或提出修改意见的期限：。</w:t>
      </w:r>
    </w:p>
    <w:p>
      <w:pPr>
        <w:spacing w:line="480" w:lineRule="exact"/>
        <w:ind w:firstLine="480" w:firstLineChars="200"/>
        <w:rPr>
          <w:rFonts w:ascii="Times New Roman" w:eastAsia="黑体"/>
          <w:sz w:val="24"/>
          <w:szCs w:val="24"/>
        </w:rPr>
      </w:pPr>
      <w:r>
        <w:rPr>
          <w:rFonts w:ascii="Times New Roman" w:eastAsia="黑体"/>
          <w:sz w:val="24"/>
          <w:szCs w:val="24"/>
        </w:rPr>
        <w:t>7.3 开工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7.3.1 开工准备</w:t>
      </w:r>
    </w:p>
    <w:p>
      <w:pPr>
        <w:spacing w:line="480" w:lineRule="exact"/>
        <w:ind w:firstLine="645"/>
        <w:jc w:val="left"/>
        <w:rPr>
          <w:rFonts w:ascii="Times New Roman" w:eastAsia="仿宋_GB2312"/>
          <w:sz w:val="24"/>
          <w:szCs w:val="24"/>
          <w:u w:val="single"/>
        </w:rPr>
      </w:pPr>
      <w:r>
        <w:rPr>
          <w:rFonts w:ascii="Times New Roman" w:eastAsia="仿宋_GB2312"/>
          <w:sz w:val="24"/>
          <w:szCs w:val="24"/>
        </w:rPr>
        <w:t>关于承包人提交工程开工报审表的期限：。</w:t>
      </w:r>
    </w:p>
    <w:p>
      <w:pPr>
        <w:spacing w:line="480" w:lineRule="exact"/>
        <w:ind w:firstLine="645"/>
        <w:jc w:val="left"/>
        <w:rPr>
          <w:rFonts w:ascii="Times New Roman" w:eastAsia="仿宋_GB2312"/>
          <w:sz w:val="24"/>
          <w:szCs w:val="24"/>
        </w:rPr>
      </w:pPr>
      <w:r>
        <w:rPr>
          <w:rFonts w:ascii="Times New Roman" w:eastAsia="仿宋_GB2312"/>
          <w:sz w:val="24"/>
          <w:szCs w:val="24"/>
        </w:rPr>
        <w:t>关于发包人应完成的其他开工准备工作及期限：。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关于承包人应完成的其他开工准备工作及期限：。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7.3.2开工通知</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因发包人原因造成监理人未能在计划开工日期之日起天内发出开工通知的，承包人有权提出价格调整要求，或者解除合同。</w:t>
      </w:r>
    </w:p>
    <w:bookmarkEnd w:id="216"/>
    <w:bookmarkEnd w:id="217"/>
    <w:bookmarkEnd w:id="218"/>
    <w:bookmarkEnd w:id="219"/>
    <w:bookmarkEnd w:id="220"/>
    <w:bookmarkEnd w:id="221"/>
    <w:bookmarkEnd w:id="222"/>
    <w:p>
      <w:pPr>
        <w:spacing w:line="480" w:lineRule="exact"/>
        <w:ind w:firstLine="480" w:firstLineChars="200"/>
        <w:rPr>
          <w:rFonts w:ascii="Times New Roman" w:eastAsia="黑体"/>
          <w:sz w:val="24"/>
          <w:szCs w:val="24"/>
        </w:rPr>
      </w:pPr>
      <w:r>
        <w:rPr>
          <w:rFonts w:ascii="Times New Roman" w:eastAsia="黑体"/>
          <w:sz w:val="24"/>
          <w:szCs w:val="24"/>
        </w:rPr>
        <w:t>7.4 测量放线</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7.4.1发包人通过监理人向承包人提供测量基准点、基准线和水准点及其书面资料的期限：。</w:t>
      </w:r>
    </w:p>
    <w:p>
      <w:pPr>
        <w:spacing w:line="480" w:lineRule="exact"/>
        <w:ind w:firstLine="480" w:firstLineChars="200"/>
        <w:rPr>
          <w:rFonts w:ascii="Times New Roman" w:eastAsia="黑体"/>
          <w:sz w:val="24"/>
          <w:szCs w:val="24"/>
        </w:rPr>
      </w:pPr>
      <w:r>
        <w:rPr>
          <w:rFonts w:ascii="Times New Roman" w:eastAsia="黑体"/>
          <w:sz w:val="24"/>
          <w:szCs w:val="24"/>
        </w:rPr>
        <w:t>7</w:t>
      </w:r>
      <w:bookmarkStart w:id="223" w:name="_Toc304295546"/>
      <w:bookmarkStart w:id="224" w:name="_Toc300934968"/>
      <w:bookmarkStart w:id="225" w:name="_Toc303539125"/>
      <w:bookmarkStart w:id="226" w:name="_Toc312677484"/>
      <w:bookmarkStart w:id="227" w:name="_Toc312678010"/>
      <w:bookmarkStart w:id="228" w:name="_Toc297216175"/>
      <w:bookmarkStart w:id="229" w:name="_Toc297123516"/>
      <w:r>
        <w:rPr>
          <w:rFonts w:ascii="Times New Roman" w:eastAsia="黑体"/>
          <w:sz w:val="24"/>
          <w:szCs w:val="24"/>
        </w:rPr>
        <w:t>.5 工期延误</w:t>
      </w:r>
    </w:p>
    <w:bookmarkEnd w:id="223"/>
    <w:bookmarkEnd w:id="224"/>
    <w:bookmarkEnd w:id="225"/>
    <w:bookmarkEnd w:id="226"/>
    <w:bookmarkEnd w:id="227"/>
    <w:bookmarkEnd w:id="228"/>
    <w:bookmarkEnd w:id="229"/>
    <w:p>
      <w:pPr>
        <w:spacing w:line="480" w:lineRule="exact"/>
        <w:ind w:firstLine="480" w:firstLineChars="200"/>
        <w:jc w:val="left"/>
        <w:rPr>
          <w:rFonts w:ascii="Times New Roman" w:eastAsia="仿宋_GB2312"/>
          <w:sz w:val="24"/>
          <w:szCs w:val="24"/>
        </w:rPr>
      </w:pPr>
      <w:r>
        <w:rPr>
          <w:rFonts w:ascii="Times New Roman" w:eastAsia="仿宋_GB2312"/>
          <w:sz w:val="24"/>
          <w:szCs w:val="24"/>
        </w:rPr>
        <w:t>7.5.1 因发包人原因导致工期延误</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（7）因发包人原因导致工期延误的其他情形：。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bookmarkStart w:id="230" w:name="_Toc312678012"/>
      <w:bookmarkStart w:id="231" w:name="_Toc312677486"/>
      <w:bookmarkStart w:id="232" w:name="_Toc318581169"/>
      <w:bookmarkStart w:id="233" w:name="_Toc300934970"/>
      <w:bookmarkStart w:id="234" w:name="_Toc297123518"/>
      <w:bookmarkStart w:id="235" w:name="_Toc304295548"/>
      <w:bookmarkStart w:id="236" w:name="_Toc303539127"/>
      <w:bookmarkStart w:id="237" w:name="_Toc297216177"/>
      <w:r>
        <w:rPr>
          <w:rFonts w:ascii="Times New Roman" w:eastAsia="仿宋_GB2312"/>
          <w:sz w:val="24"/>
          <w:szCs w:val="24"/>
        </w:rPr>
        <w:t>.5.2 因承包人原因导致工期延误</w:t>
      </w:r>
    </w:p>
    <w:bookmarkEnd w:id="230"/>
    <w:bookmarkEnd w:id="231"/>
    <w:bookmarkEnd w:id="232"/>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w:t>
      </w:r>
      <w:bookmarkStart w:id="238" w:name="_Toc312677487"/>
      <w:bookmarkStart w:id="239" w:name="_Toc312678013"/>
      <w:bookmarkStart w:id="240" w:name="_Toc318581170"/>
      <w:r>
        <w:rPr>
          <w:rFonts w:ascii="Times New Roman" w:eastAsia="仿宋_GB2312"/>
          <w:sz w:val="24"/>
          <w:szCs w:val="24"/>
        </w:rPr>
        <w:t>承包人原因造成工期延误，逾期竣工违约金的计算方法为：。</w:t>
      </w:r>
      <w:bookmarkEnd w:id="233"/>
      <w:bookmarkEnd w:id="234"/>
      <w:bookmarkEnd w:id="235"/>
      <w:bookmarkEnd w:id="236"/>
      <w:bookmarkEnd w:id="237"/>
      <w:bookmarkEnd w:id="238"/>
      <w:bookmarkEnd w:id="239"/>
    </w:p>
    <w:bookmarkEnd w:id="240"/>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因承包人原因造成工期延误，逾</w:t>
      </w:r>
      <w:bookmarkStart w:id="241" w:name="_Toc318581171"/>
      <w:bookmarkStart w:id="242" w:name="_Toc312678014"/>
      <w:r>
        <w:rPr>
          <w:rFonts w:ascii="Times New Roman" w:eastAsia="仿宋_GB2312"/>
          <w:sz w:val="24"/>
          <w:szCs w:val="24"/>
        </w:rPr>
        <w:t>期竣工违约金的上限：。</w:t>
      </w:r>
    </w:p>
    <w:bookmarkEnd w:id="241"/>
    <w:bookmarkEnd w:id="242"/>
    <w:p>
      <w:pPr>
        <w:spacing w:line="480" w:lineRule="exact"/>
        <w:ind w:firstLine="480" w:firstLineChars="200"/>
        <w:rPr>
          <w:rFonts w:ascii="Times New Roman" w:eastAsia="黑体"/>
          <w:sz w:val="24"/>
          <w:szCs w:val="24"/>
        </w:rPr>
      </w:pPr>
      <w:r>
        <w:rPr>
          <w:rFonts w:ascii="Times New Roman" w:eastAsia="黑体"/>
          <w:sz w:val="24"/>
          <w:szCs w:val="24"/>
        </w:rPr>
        <w:t>7</w:t>
      </w:r>
      <w:bookmarkStart w:id="243" w:name="_Toc304295549"/>
      <w:bookmarkStart w:id="244" w:name="_Toc300934971"/>
      <w:bookmarkStart w:id="245" w:name="_Toc297216178"/>
      <w:bookmarkStart w:id="246" w:name="_Toc303539128"/>
      <w:bookmarkStart w:id="247" w:name="_Toc297123519"/>
      <w:bookmarkStart w:id="248" w:name="_Toc312678015"/>
      <w:r>
        <w:rPr>
          <w:rFonts w:ascii="Times New Roman" w:eastAsia="黑体"/>
          <w:sz w:val="24"/>
          <w:szCs w:val="24"/>
        </w:rPr>
        <w:t>.6 不</w:t>
      </w:r>
      <w:bookmarkEnd w:id="243"/>
      <w:bookmarkEnd w:id="244"/>
      <w:bookmarkEnd w:id="245"/>
      <w:bookmarkEnd w:id="246"/>
      <w:bookmarkEnd w:id="247"/>
      <w:bookmarkEnd w:id="248"/>
      <w:r>
        <w:rPr>
          <w:rFonts w:ascii="Times New Roman" w:eastAsia="黑体"/>
          <w:sz w:val="24"/>
          <w:szCs w:val="24"/>
        </w:rPr>
        <w:t>利物质条件</w:t>
      </w:r>
    </w:p>
    <w:p>
      <w:pPr>
        <w:spacing w:line="480" w:lineRule="exact"/>
        <w:ind w:firstLine="480" w:firstLineChars="200"/>
        <w:jc w:val="left"/>
        <w:rPr>
          <w:rFonts w:ascii="Times New Roman" w:eastAsia="仿宋_GB2312"/>
          <w:sz w:val="24"/>
          <w:szCs w:val="24"/>
        </w:rPr>
      </w:pPr>
      <w:bookmarkStart w:id="249" w:name="_Toc303539129"/>
      <w:bookmarkStart w:id="250" w:name="_Toc312678016"/>
      <w:bookmarkStart w:id="251" w:name="_Toc304295550"/>
      <w:bookmarkStart w:id="252" w:name="_Toc318581172"/>
      <w:bookmarkStart w:id="253" w:name="_Toc300934972"/>
      <w:bookmarkStart w:id="254" w:name="_Toc297216179"/>
      <w:bookmarkStart w:id="255" w:name="_Toc297123520"/>
      <w:r>
        <w:rPr>
          <w:rFonts w:ascii="Times New Roman" w:eastAsia="仿宋_GB2312"/>
          <w:sz w:val="24"/>
          <w:szCs w:val="24"/>
        </w:rPr>
        <w:t>不利物质条件的其他情形和有关约定：。</w:t>
      </w:r>
    </w:p>
    <w:bookmarkEnd w:id="249"/>
    <w:bookmarkEnd w:id="250"/>
    <w:bookmarkEnd w:id="251"/>
    <w:bookmarkEnd w:id="252"/>
    <w:bookmarkEnd w:id="253"/>
    <w:bookmarkEnd w:id="254"/>
    <w:bookmarkEnd w:id="255"/>
    <w:p>
      <w:pPr>
        <w:spacing w:line="480" w:lineRule="exact"/>
        <w:ind w:firstLine="480" w:firstLineChars="200"/>
        <w:rPr>
          <w:rFonts w:ascii="Times New Roman" w:eastAsia="黑体"/>
          <w:sz w:val="24"/>
          <w:szCs w:val="24"/>
        </w:rPr>
      </w:pPr>
      <w:r>
        <w:rPr>
          <w:rFonts w:ascii="Times New Roman" w:eastAsia="黑体"/>
          <w:sz w:val="24"/>
          <w:szCs w:val="24"/>
        </w:rPr>
        <w:t>7</w:t>
      </w:r>
      <w:bookmarkStart w:id="256" w:name="_Toc300934973"/>
      <w:bookmarkStart w:id="257" w:name="_Toc297216180"/>
      <w:bookmarkStart w:id="258" w:name="_Toc303539130"/>
      <w:bookmarkStart w:id="259" w:name="_Toc312678017"/>
      <w:bookmarkStart w:id="260" w:name="_Toc304295551"/>
      <w:bookmarkStart w:id="261" w:name="_Toc297123521"/>
      <w:r>
        <w:rPr>
          <w:rFonts w:ascii="Times New Roman" w:eastAsia="黑体"/>
          <w:sz w:val="24"/>
          <w:szCs w:val="24"/>
        </w:rPr>
        <w:t>.7异常恶劣的气候条件</w:t>
      </w:r>
    </w:p>
    <w:bookmarkEnd w:id="256"/>
    <w:bookmarkEnd w:id="257"/>
    <w:bookmarkEnd w:id="258"/>
    <w:bookmarkEnd w:id="259"/>
    <w:bookmarkEnd w:id="260"/>
    <w:bookmarkEnd w:id="261"/>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发包人和承包人同意以下情形视为异常恶劣的气候条件：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w:t>
      </w:r>
    </w:p>
    <w:p>
      <w:pPr>
        <w:spacing w:line="480" w:lineRule="exact"/>
        <w:ind w:firstLine="480" w:firstLineChars="200"/>
        <w:outlineLvl w:val="0"/>
        <w:rPr>
          <w:rFonts w:ascii="Times New Roman" w:eastAsia="黑体"/>
          <w:sz w:val="24"/>
          <w:szCs w:val="24"/>
        </w:rPr>
      </w:pPr>
      <w:r>
        <w:rPr>
          <w:rFonts w:ascii="Times New Roman" w:eastAsia="黑体"/>
          <w:sz w:val="24"/>
          <w:szCs w:val="24"/>
        </w:rPr>
        <w:t>7.9 提前竣工的奖励</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7.9.2提前竣工的奖励：。</w:t>
      </w:r>
    </w:p>
    <w:p>
      <w:pPr>
        <w:pStyle w:val="4"/>
        <w:spacing w:line="480" w:lineRule="exact"/>
        <w:rPr>
          <w:rFonts w:ascii="Times New Roman" w:hAnsi="Times New Roman" w:eastAsia="黑体"/>
          <w:b w:val="0"/>
          <w:sz w:val="24"/>
          <w:szCs w:val="24"/>
        </w:rPr>
      </w:pPr>
      <w:bookmarkStart w:id="262" w:name="_Toc351203640"/>
      <w:r>
        <w:rPr>
          <w:rFonts w:ascii="Times New Roman" w:hAnsi="Times New Roman" w:eastAsia="黑体"/>
          <w:b w:val="0"/>
          <w:sz w:val="24"/>
          <w:szCs w:val="24"/>
        </w:rPr>
        <w:t>8. 材料与设备</w:t>
      </w:r>
      <w:bookmarkEnd w:id="262"/>
    </w:p>
    <w:bookmarkEnd w:id="197"/>
    <w:bookmarkEnd w:id="198"/>
    <w:bookmarkEnd w:id="199"/>
    <w:bookmarkEnd w:id="200"/>
    <w:bookmarkEnd w:id="201"/>
    <w:bookmarkEnd w:id="202"/>
    <w:bookmarkEnd w:id="203"/>
    <w:bookmarkEnd w:id="204"/>
    <w:bookmarkEnd w:id="205"/>
    <w:bookmarkEnd w:id="206"/>
    <w:p>
      <w:pPr>
        <w:spacing w:line="480" w:lineRule="exact"/>
        <w:ind w:firstLine="480" w:firstLineChars="200"/>
        <w:rPr>
          <w:rFonts w:ascii="Times New Roman" w:eastAsia="黑体"/>
          <w:sz w:val="24"/>
          <w:szCs w:val="24"/>
        </w:rPr>
      </w:pPr>
      <w:r>
        <w:rPr>
          <w:rFonts w:ascii="Times New Roman" w:eastAsia="黑体"/>
          <w:sz w:val="24"/>
          <w:szCs w:val="24"/>
        </w:rPr>
        <w:t>8</w:t>
      </w:r>
      <w:bookmarkStart w:id="263" w:name="_Toc296347166"/>
      <w:bookmarkStart w:id="264" w:name="_Toc303539136"/>
      <w:bookmarkStart w:id="265" w:name="_Toc296890995"/>
      <w:bookmarkStart w:id="266" w:name="_Toc297216186"/>
      <w:bookmarkStart w:id="267" w:name="_Toc292559877"/>
      <w:bookmarkStart w:id="268" w:name="_Toc297048353"/>
      <w:bookmarkStart w:id="269" w:name="_Toc297123527"/>
      <w:bookmarkStart w:id="270" w:name="_Toc296944506"/>
      <w:bookmarkStart w:id="271" w:name="_Toc312677493"/>
      <w:bookmarkStart w:id="272" w:name="_Toc296891207"/>
      <w:bookmarkStart w:id="273" w:name="_Toc292559372"/>
      <w:bookmarkStart w:id="274" w:name="_Toc296503167"/>
      <w:bookmarkStart w:id="275" w:name="_Toc300934979"/>
      <w:bookmarkStart w:id="276" w:name="_Toc304295556"/>
      <w:bookmarkStart w:id="277" w:name="_Toc312678019"/>
      <w:bookmarkStart w:id="278" w:name="_Toc280868654"/>
      <w:bookmarkStart w:id="279" w:name="_Toc297120467"/>
      <w:bookmarkStart w:id="280" w:name="_Toc296346668"/>
      <w:bookmarkStart w:id="281" w:name="_Toc267251424"/>
      <w:bookmarkStart w:id="282" w:name="_Toc280868656"/>
      <w:bookmarkStart w:id="283" w:name="_Toc280868655"/>
      <w:r>
        <w:rPr>
          <w:rFonts w:ascii="Times New Roman" w:eastAsia="黑体"/>
          <w:sz w:val="24"/>
          <w:szCs w:val="24"/>
        </w:rPr>
        <w:t>.4材料与工程设备的保管与使用</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8</w:t>
      </w:r>
      <w:bookmarkStart w:id="284" w:name="_Toc292559878"/>
      <w:bookmarkStart w:id="285" w:name="_Toc292559373"/>
      <w:bookmarkStart w:id="286" w:name="_Toc296503168"/>
      <w:bookmarkStart w:id="287" w:name="_Toc297048354"/>
      <w:bookmarkStart w:id="288" w:name="_Toc318581173"/>
      <w:bookmarkStart w:id="289" w:name="_Toc297216187"/>
      <w:bookmarkStart w:id="290" w:name="_Toc296890996"/>
      <w:bookmarkStart w:id="291" w:name="_Toc297123528"/>
      <w:bookmarkStart w:id="292" w:name="_Toc296347167"/>
      <w:bookmarkStart w:id="293" w:name="_Toc296944507"/>
      <w:bookmarkStart w:id="294" w:name="_Toc303539137"/>
      <w:bookmarkStart w:id="295" w:name="_Toc296891208"/>
      <w:bookmarkStart w:id="296" w:name="_Toc296346669"/>
      <w:bookmarkStart w:id="297" w:name="_Toc304295557"/>
      <w:bookmarkStart w:id="298" w:name="_Toc312677494"/>
      <w:bookmarkStart w:id="299" w:name="_Toc312678020"/>
      <w:bookmarkStart w:id="300" w:name="_Toc297120468"/>
      <w:bookmarkStart w:id="301" w:name="_Toc300934980"/>
      <w:r>
        <w:rPr>
          <w:rFonts w:ascii="Times New Roman" w:eastAsia="仿宋_GB2312"/>
          <w:sz w:val="24"/>
          <w:szCs w:val="24"/>
        </w:rPr>
        <w:t>.4.1发包人供应的材料设备的保管费用的承担：</w:t>
      </w:r>
    </w:p>
    <w:p>
      <w:pPr>
        <w:spacing w:line="480" w:lineRule="exact"/>
        <w:jc w:val="left"/>
        <w:rPr>
          <w:rFonts w:ascii="Times New Roman" w:eastAsia="仿宋_GB2312"/>
          <w:sz w:val="24"/>
          <w:szCs w:val="24"/>
        </w:rPr>
      </w:pPr>
      <w:r>
        <w:rPr>
          <w:rFonts w:ascii="Times New Roman" w:eastAsia="仿宋_GB2312"/>
          <w:sz w:val="24"/>
          <w:szCs w:val="24"/>
        </w:rPr>
        <w:t>。</w:t>
      </w:r>
      <w:bookmarkEnd w:id="284"/>
      <w:bookmarkEnd w:id="285"/>
    </w:p>
    <w:p>
      <w:pPr>
        <w:spacing w:line="480" w:lineRule="exact"/>
        <w:ind w:firstLine="480" w:firstLineChars="200"/>
        <w:outlineLvl w:val="0"/>
        <w:rPr>
          <w:rFonts w:ascii="Times New Roman" w:eastAsia="黑体"/>
          <w:sz w:val="24"/>
          <w:szCs w:val="24"/>
        </w:rPr>
      </w:pPr>
      <w:r>
        <w:rPr>
          <w:rFonts w:ascii="Times New Roman" w:eastAsia="黑体"/>
          <w:sz w:val="24"/>
          <w:szCs w:val="24"/>
        </w:rPr>
        <w:t>8.6 样品</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8.6.1</w:t>
      </w:r>
      <w:r>
        <w:rPr>
          <w:rFonts w:ascii="Times New Roman" w:eastAsia="仿宋_GB2312"/>
          <w:sz w:val="24"/>
          <w:szCs w:val="24"/>
        </w:rPr>
        <w:tab/>
      </w:r>
      <w:r>
        <w:rPr>
          <w:rFonts w:ascii="Times New Roman" w:eastAsia="仿宋_GB2312"/>
          <w:sz w:val="24"/>
          <w:szCs w:val="24"/>
        </w:rPr>
        <w:t>样品的报送</w:t>
      </w:r>
      <w:r>
        <w:rPr>
          <w:rFonts w:hint="eastAsia" w:ascii="Times New Roman" w:eastAsia="仿宋_GB2312"/>
          <w:sz w:val="24"/>
          <w:szCs w:val="24"/>
        </w:rPr>
        <w:t>与封存</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需要承包人报送样品的材料或工程设备，样品的种类、名称、规格、数量要求：。</w:t>
      </w:r>
    </w:p>
    <w:p>
      <w:pPr>
        <w:spacing w:line="480" w:lineRule="exact"/>
        <w:ind w:firstLine="480" w:firstLineChars="200"/>
        <w:outlineLvl w:val="0"/>
        <w:rPr>
          <w:rFonts w:ascii="Times New Roman" w:eastAsia="黑体"/>
          <w:sz w:val="24"/>
          <w:szCs w:val="24"/>
        </w:rPr>
      </w:pPr>
      <w:r>
        <w:rPr>
          <w:rFonts w:ascii="Times New Roman" w:eastAsia="黑体"/>
          <w:sz w:val="24"/>
          <w:szCs w:val="24"/>
        </w:rPr>
        <w:t>8.8 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8.8.1 承包人提供的施工设备和临时设施</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关于修建临时设施费用承担的约定：。</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4"/>
        <w:spacing w:line="480" w:lineRule="exact"/>
        <w:rPr>
          <w:rFonts w:ascii="Times New Roman" w:hAnsi="Times New Roman" w:eastAsia="黑体"/>
          <w:b w:val="0"/>
          <w:sz w:val="24"/>
          <w:szCs w:val="24"/>
        </w:rPr>
      </w:pPr>
      <w:bookmarkStart w:id="302" w:name="_Toc351203641"/>
      <w:r>
        <w:rPr>
          <w:rFonts w:ascii="Times New Roman" w:hAnsi="Times New Roman" w:eastAsia="黑体"/>
          <w:b w:val="0"/>
          <w:sz w:val="24"/>
          <w:szCs w:val="24"/>
        </w:rPr>
        <w:t>9</w:t>
      </w:r>
      <w:bookmarkEnd w:id="281"/>
      <w:bookmarkEnd w:id="282"/>
      <w:bookmarkEnd w:id="283"/>
      <w:bookmarkStart w:id="303" w:name="_Toc312677495"/>
      <w:bookmarkStart w:id="304" w:name="_Toc312678021"/>
      <w:bookmarkStart w:id="305" w:name="_Toc303539139"/>
      <w:bookmarkStart w:id="306" w:name="_Toc300934982"/>
      <w:bookmarkStart w:id="307" w:name="_Toc304295559"/>
      <w:bookmarkStart w:id="308" w:name="_Toc297123533"/>
      <w:bookmarkStart w:id="309" w:name="_Toc297216192"/>
      <w:bookmarkStart w:id="310" w:name="_Toc267251428"/>
      <w:bookmarkStart w:id="311" w:name="_Toc296891001"/>
      <w:bookmarkStart w:id="312" w:name="_Toc296346674"/>
      <w:bookmarkStart w:id="313" w:name="_Toc296347172"/>
      <w:bookmarkStart w:id="314" w:name="_Toc292559378"/>
      <w:bookmarkStart w:id="315" w:name="_Toc297120473"/>
      <w:bookmarkStart w:id="316" w:name="_Toc297048359"/>
      <w:bookmarkStart w:id="317" w:name="_Toc296944512"/>
      <w:bookmarkStart w:id="318" w:name="_Toc267251427"/>
      <w:bookmarkStart w:id="319" w:name="_Toc292559883"/>
      <w:bookmarkStart w:id="320" w:name="_Toc296503173"/>
      <w:bookmarkStart w:id="321" w:name="_Toc296891213"/>
      <w:r>
        <w:rPr>
          <w:rFonts w:ascii="Times New Roman" w:hAnsi="Times New Roman" w:eastAsia="黑体"/>
          <w:b w:val="0"/>
          <w:sz w:val="24"/>
          <w:szCs w:val="24"/>
        </w:rPr>
        <w:t>. 试验与检验</w:t>
      </w:r>
      <w:bookmarkEnd w:id="302"/>
    </w:p>
    <w:bookmarkEnd w:id="303"/>
    <w:bookmarkEnd w:id="304"/>
    <w:bookmarkEnd w:id="305"/>
    <w:bookmarkEnd w:id="306"/>
    <w:bookmarkEnd w:id="307"/>
    <w:bookmarkEnd w:id="308"/>
    <w:bookmarkEnd w:id="309"/>
    <w:p>
      <w:pPr>
        <w:spacing w:line="480" w:lineRule="exact"/>
        <w:ind w:firstLine="480" w:firstLineChars="200"/>
        <w:rPr>
          <w:rFonts w:ascii="Times New Roman" w:eastAsia="黑体"/>
          <w:sz w:val="24"/>
          <w:szCs w:val="24"/>
        </w:rPr>
      </w:pPr>
      <w:r>
        <w:rPr>
          <w:rFonts w:ascii="Times New Roman" w:eastAsia="黑体"/>
          <w:sz w:val="24"/>
          <w:szCs w:val="24"/>
        </w:rPr>
        <w:t>9</w:t>
      </w:r>
      <w:bookmarkStart w:id="322" w:name="_Toc304295560"/>
      <w:bookmarkStart w:id="323" w:name="_Toc297123534"/>
      <w:bookmarkStart w:id="324" w:name="_Toc303539140"/>
      <w:bookmarkStart w:id="325" w:name="_Toc312678022"/>
      <w:bookmarkStart w:id="326" w:name="_Toc312677496"/>
      <w:bookmarkStart w:id="327" w:name="_Toc300934983"/>
      <w:bookmarkStart w:id="328" w:name="_Toc297216193"/>
      <w:r>
        <w:rPr>
          <w:rFonts w:ascii="Times New Roman" w:eastAsia="黑体"/>
          <w:sz w:val="24"/>
          <w:szCs w:val="24"/>
        </w:rPr>
        <w:t>.1试验设备与试验人员</w:t>
      </w:r>
    </w:p>
    <w:bookmarkEnd w:id="322"/>
    <w:bookmarkEnd w:id="323"/>
    <w:bookmarkEnd w:id="324"/>
    <w:bookmarkEnd w:id="325"/>
    <w:bookmarkEnd w:id="326"/>
    <w:bookmarkEnd w:id="327"/>
    <w:bookmarkEnd w:id="328"/>
    <w:p>
      <w:pPr>
        <w:spacing w:line="480" w:lineRule="exact"/>
        <w:ind w:firstLine="480" w:firstLineChars="200"/>
        <w:jc w:val="left"/>
        <w:rPr>
          <w:rFonts w:ascii="Times New Roman" w:eastAsia="仿宋_GB2312"/>
          <w:sz w:val="24"/>
          <w:szCs w:val="24"/>
        </w:rPr>
      </w:pPr>
      <w:r>
        <w:rPr>
          <w:rFonts w:ascii="Times New Roman" w:eastAsia="仿宋_GB2312"/>
          <w:sz w:val="24"/>
          <w:szCs w:val="24"/>
        </w:rPr>
        <w:t>9</w:t>
      </w:r>
      <w:bookmarkStart w:id="329" w:name="_Toc297123535"/>
      <w:bookmarkStart w:id="330" w:name="_Toc303539141"/>
      <w:bookmarkStart w:id="331" w:name="_Toc312677497"/>
      <w:bookmarkStart w:id="332" w:name="_Toc312678023"/>
      <w:bookmarkStart w:id="333" w:name="_Toc297216194"/>
      <w:bookmarkStart w:id="334" w:name="_Toc300934984"/>
      <w:bookmarkStart w:id="335" w:name="_Toc304295561"/>
      <w:bookmarkStart w:id="336" w:name="_Toc318581174"/>
      <w:r>
        <w:rPr>
          <w:rFonts w:ascii="Times New Roman" w:eastAsia="仿宋_GB2312"/>
          <w:sz w:val="24"/>
          <w:szCs w:val="24"/>
        </w:rPr>
        <w:t>.1.2 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施工现场需要配置的试验场所：</w:t>
      </w:r>
      <w:bookmarkEnd w:id="329"/>
      <w:bookmarkEnd w:id="330"/>
      <w:bookmarkEnd w:id="331"/>
      <w:bookmarkEnd w:id="332"/>
      <w:bookmarkEnd w:id="333"/>
      <w:bookmarkEnd w:id="334"/>
      <w:bookmarkEnd w:id="335"/>
      <w:bookmarkStart w:id="337" w:name="_Toc300934985"/>
      <w:bookmarkStart w:id="338" w:name="_Toc304295562"/>
      <w:bookmarkStart w:id="339" w:name="_Toc312678024"/>
      <w:bookmarkStart w:id="340" w:name="_Toc297216195"/>
      <w:bookmarkStart w:id="341" w:name="_Toc303539142"/>
      <w:bookmarkStart w:id="342" w:name="_Toc312677498"/>
      <w:bookmarkStart w:id="343" w:name="_Toc297123536"/>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施工现场需要配备的试验设备：。</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施工现场需要具备的其他试验条件：。</w:t>
      </w:r>
    </w:p>
    <w:p>
      <w:pPr>
        <w:spacing w:line="480" w:lineRule="exact"/>
        <w:ind w:firstLine="480" w:firstLineChars="200"/>
        <w:outlineLvl w:val="0"/>
        <w:rPr>
          <w:rFonts w:ascii="Times New Roman" w:eastAsia="黑体"/>
          <w:sz w:val="24"/>
          <w:szCs w:val="24"/>
        </w:rPr>
      </w:pPr>
      <w:r>
        <w:rPr>
          <w:rFonts w:ascii="Times New Roman" w:eastAsia="黑体"/>
          <w:sz w:val="24"/>
          <w:szCs w:val="24"/>
        </w:rPr>
        <w:t>9.4 现场工艺试验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现场工艺试验的有关约定：。</w:t>
      </w:r>
    </w:p>
    <w:bookmarkEnd w:id="336"/>
    <w:bookmarkEnd w:id="337"/>
    <w:bookmarkEnd w:id="338"/>
    <w:bookmarkEnd w:id="339"/>
    <w:bookmarkEnd w:id="340"/>
    <w:bookmarkEnd w:id="341"/>
    <w:bookmarkEnd w:id="342"/>
    <w:bookmarkEnd w:id="343"/>
    <w:p>
      <w:pPr>
        <w:pStyle w:val="4"/>
        <w:spacing w:line="480" w:lineRule="exact"/>
        <w:rPr>
          <w:rFonts w:ascii="Times New Roman" w:hAnsi="Times New Roman" w:eastAsia="黑体"/>
          <w:b w:val="0"/>
          <w:sz w:val="24"/>
          <w:szCs w:val="24"/>
        </w:rPr>
      </w:pPr>
      <w:bookmarkStart w:id="344" w:name="_Toc351203642"/>
      <w:r>
        <w:rPr>
          <w:rFonts w:ascii="Times New Roman" w:hAnsi="Times New Roman" w:eastAsia="黑体"/>
          <w:b w:val="0"/>
          <w:sz w:val="24"/>
          <w:szCs w:val="24"/>
        </w:rPr>
        <w:t>1</w:t>
      </w:r>
      <w:bookmarkEnd w:id="310"/>
      <w:bookmarkEnd w:id="311"/>
      <w:bookmarkEnd w:id="312"/>
      <w:bookmarkEnd w:id="313"/>
      <w:bookmarkEnd w:id="314"/>
      <w:bookmarkEnd w:id="315"/>
      <w:bookmarkEnd w:id="316"/>
      <w:bookmarkEnd w:id="317"/>
      <w:bookmarkEnd w:id="318"/>
      <w:bookmarkEnd w:id="319"/>
      <w:bookmarkEnd w:id="320"/>
      <w:bookmarkEnd w:id="321"/>
      <w:bookmarkStart w:id="345" w:name="_Toc304295566"/>
      <w:bookmarkStart w:id="346" w:name="_Toc296503193"/>
      <w:bookmarkStart w:id="347" w:name="_Toc296347192"/>
      <w:bookmarkStart w:id="348" w:name="_Toc296346694"/>
      <w:bookmarkStart w:id="349" w:name="_Toc296891021"/>
      <w:bookmarkStart w:id="350" w:name="_Toc296944532"/>
      <w:bookmarkStart w:id="351" w:name="_Toc297120493"/>
      <w:bookmarkStart w:id="352" w:name="_Toc303539146"/>
      <w:bookmarkStart w:id="353" w:name="_Toc297048379"/>
      <w:bookmarkStart w:id="354" w:name="_Toc300934989"/>
      <w:bookmarkStart w:id="355" w:name="_Toc297123540"/>
      <w:bookmarkStart w:id="356" w:name="_Toc296891233"/>
      <w:bookmarkStart w:id="357" w:name="_Toc297216199"/>
      <w:bookmarkStart w:id="358" w:name="_Toc292559903"/>
      <w:bookmarkStart w:id="359" w:name="_Toc292559398"/>
      <w:bookmarkStart w:id="360" w:name="_Toc312677499"/>
      <w:bookmarkStart w:id="361" w:name="_Toc312678025"/>
      <w:bookmarkStart w:id="362" w:name="_Toc267251441"/>
      <w:bookmarkStart w:id="363" w:name="_Toc267251439"/>
      <w:bookmarkStart w:id="364" w:name="_Toc267251437"/>
      <w:bookmarkStart w:id="365" w:name="_Toc267251435"/>
      <w:bookmarkStart w:id="366" w:name="_Toc267251440"/>
      <w:bookmarkStart w:id="367" w:name="_Toc267251433"/>
      <w:bookmarkStart w:id="368" w:name="_Toc267251442"/>
      <w:r>
        <w:rPr>
          <w:rFonts w:ascii="Times New Roman" w:hAnsi="Times New Roman" w:eastAsia="黑体"/>
          <w:b w:val="0"/>
          <w:sz w:val="24"/>
          <w:szCs w:val="24"/>
        </w:rPr>
        <w:t>0. 变更</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pPr>
        <w:spacing w:line="480" w:lineRule="exact"/>
        <w:ind w:firstLine="480" w:firstLineChars="200"/>
        <w:rPr>
          <w:rFonts w:ascii="Times New Roman" w:eastAsia="黑体"/>
          <w:sz w:val="24"/>
          <w:szCs w:val="24"/>
        </w:rPr>
      </w:pPr>
      <w:r>
        <w:rPr>
          <w:rFonts w:ascii="Times New Roman" w:eastAsia="黑体"/>
          <w:sz w:val="24"/>
          <w:szCs w:val="24"/>
        </w:rPr>
        <w:t>1</w:t>
      </w:r>
      <w:bookmarkStart w:id="369" w:name="_Toc303539147"/>
      <w:bookmarkStart w:id="370" w:name="_Toc297123541"/>
      <w:bookmarkStart w:id="371" w:name="_Toc297216200"/>
      <w:bookmarkStart w:id="372" w:name="_Toc297048380"/>
      <w:bookmarkStart w:id="373" w:name="_Toc296891022"/>
      <w:bookmarkStart w:id="374" w:name="_Toc292559904"/>
      <w:bookmarkStart w:id="375" w:name="_Toc296891234"/>
      <w:bookmarkStart w:id="376" w:name="_Toc300934990"/>
      <w:bookmarkStart w:id="377" w:name="_Toc296346695"/>
      <w:bookmarkStart w:id="378" w:name="_Toc296944533"/>
      <w:bookmarkStart w:id="379" w:name="_Toc297120494"/>
      <w:bookmarkStart w:id="380" w:name="_Toc292559399"/>
      <w:bookmarkStart w:id="381" w:name="_Toc304295567"/>
      <w:bookmarkStart w:id="382" w:name="_Toc296347193"/>
      <w:bookmarkStart w:id="383" w:name="_Toc296503194"/>
      <w:bookmarkStart w:id="384" w:name="_Toc312678026"/>
      <w:bookmarkStart w:id="385" w:name="_Toc312677500"/>
      <w:r>
        <w:rPr>
          <w:rFonts w:ascii="Times New Roman" w:eastAsia="黑体"/>
          <w:sz w:val="24"/>
          <w:szCs w:val="24"/>
        </w:rPr>
        <w:t>0.1变更的范围</w:t>
      </w:r>
    </w:p>
    <w:p>
      <w:pPr>
        <w:spacing w:line="480" w:lineRule="exact"/>
        <w:ind w:firstLine="600"/>
        <w:jc w:val="left"/>
        <w:rPr>
          <w:rFonts w:ascii="Times New Roman" w:eastAsia="仿宋_GB2312"/>
          <w:sz w:val="24"/>
          <w:szCs w:val="24"/>
        </w:rPr>
      </w:pPr>
      <w:r>
        <w:rPr>
          <w:rFonts w:ascii="Times New Roman" w:eastAsia="仿宋_GB2312"/>
          <w:sz w:val="24"/>
          <w:szCs w:val="24"/>
        </w:rPr>
        <w:t>关于变更的范围的约定：。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10.4 变更估价</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10.4.1 变更估价原则</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关于变更估价的约定: 。</w:t>
      </w:r>
    </w:p>
    <w:p>
      <w:pPr>
        <w:spacing w:line="480" w:lineRule="exact"/>
        <w:ind w:firstLine="480" w:firstLineChars="200"/>
        <w:rPr>
          <w:rFonts w:ascii="Times New Roman" w:eastAsia="黑体"/>
          <w:sz w:val="24"/>
          <w:szCs w:val="24"/>
        </w:rPr>
      </w:pPr>
      <w:r>
        <w:rPr>
          <w:rFonts w:ascii="Times New Roman" w:eastAsia="黑体"/>
          <w:sz w:val="24"/>
          <w:szCs w:val="24"/>
        </w:rPr>
        <w:t>1</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6" w:name="_Toc296891237"/>
      <w:bookmarkStart w:id="387" w:name="_Toc292559907"/>
      <w:bookmarkStart w:id="388" w:name="_Toc296944536"/>
      <w:bookmarkStart w:id="389" w:name="_Toc300934993"/>
      <w:bookmarkStart w:id="390" w:name="_Toc297048383"/>
      <w:bookmarkStart w:id="391" w:name="_Toc296891025"/>
      <w:bookmarkStart w:id="392" w:name="_Toc296346698"/>
      <w:bookmarkStart w:id="393" w:name="_Toc296503197"/>
      <w:bookmarkStart w:id="394" w:name="_Toc303539150"/>
      <w:bookmarkStart w:id="395" w:name="_Toc296347196"/>
      <w:bookmarkStart w:id="396" w:name="_Toc297216203"/>
      <w:bookmarkStart w:id="397" w:name="_Toc297123544"/>
      <w:bookmarkStart w:id="398" w:name="_Toc297120497"/>
      <w:bookmarkStart w:id="399" w:name="_Toc292559402"/>
      <w:bookmarkStart w:id="400" w:name="_Toc312677503"/>
      <w:bookmarkStart w:id="401" w:name="_Toc312678029"/>
      <w:bookmarkStart w:id="402" w:name="_Toc304295570"/>
      <w:r>
        <w:rPr>
          <w:rFonts w:ascii="Times New Roman" w:eastAsia="黑体"/>
          <w:sz w:val="24"/>
          <w:szCs w:val="24"/>
        </w:rPr>
        <w:t>0.5承</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Start w:id="403" w:name="_Toc296944542"/>
      <w:bookmarkStart w:id="404" w:name="_Toc296503203"/>
      <w:bookmarkStart w:id="405" w:name="_Toc297120503"/>
      <w:bookmarkStart w:id="406" w:name="_Toc297123545"/>
      <w:bookmarkStart w:id="407" w:name="_Toc297216204"/>
      <w:bookmarkStart w:id="408" w:name="_Toc296346704"/>
      <w:bookmarkStart w:id="409" w:name="_Toc292559408"/>
      <w:bookmarkStart w:id="410" w:name="_Toc297048389"/>
      <w:bookmarkStart w:id="411" w:name="_Toc296891243"/>
      <w:bookmarkStart w:id="412" w:name="_Toc292559913"/>
      <w:bookmarkStart w:id="413" w:name="_Toc296347202"/>
      <w:bookmarkStart w:id="414" w:name="_Toc300934994"/>
      <w:bookmarkStart w:id="415" w:name="_Toc303539151"/>
      <w:bookmarkStart w:id="416" w:name="_Toc296891031"/>
      <w:r>
        <w:rPr>
          <w:rFonts w:ascii="Times New Roman" w:eastAsia="黑体"/>
          <w:sz w:val="24"/>
          <w:szCs w:val="24"/>
        </w:rPr>
        <w:t>包人的合理化建议</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480" w:lineRule="exact"/>
        <w:ind w:firstLine="480" w:firstLineChars="200"/>
        <w:jc w:val="left"/>
        <w:rPr>
          <w:rFonts w:ascii="Times New Roman" w:eastAsia="仿宋_GB2312"/>
          <w:sz w:val="24"/>
          <w:szCs w:val="24"/>
        </w:rPr>
      </w:pPr>
      <w:r>
        <w:rPr>
          <w:rFonts w:ascii="Times New Roman" w:eastAsia="仿宋_GB2312"/>
          <w:sz w:val="24"/>
          <w:szCs w:val="24"/>
        </w:rPr>
        <w:t>监理人审查承包人合理化建议的期限：。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发包人审批承包人合理化建议的期限：。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w:t>
      </w:r>
      <w:bookmarkStart w:id="417" w:name="_Toc297048390"/>
      <w:bookmarkStart w:id="418" w:name="_Toc303539152"/>
      <w:bookmarkStart w:id="419" w:name="_Toc296347203"/>
      <w:bookmarkStart w:id="420" w:name="_Toc296891244"/>
      <w:bookmarkStart w:id="421" w:name="_Toc296944543"/>
      <w:bookmarkStart w:id="422" w:name="_Toc296503204"/>
      <w:bookmarkStart w:id="423" w:name="_Toc312678030"/>
      <w:bookmarkStart w:id="424" w:name="_Toc318581175"/>
      <w:bookmarkStart w:id="425" w:name="_Toc297123546"/>
      <w:bookmarkStart w:id="426" w:name="_Toc292559409"/>
      <w:bookmarkStart w:id="427" w:name="_Toc300934995"/>
      <w:bookmarkStart w:id="428" w:name="_Toc296891032"/>
      <w:bookmarkStart w:id="429" w:name="_Toc312677504"/>
      <w:bookmarkStart w:id="430" w:name="_Toc296346705"/>
      <w:bookmarkStart w:id="431" w:name="_Toc297216205"/>
      <w:bookmarkStart w:id="432" w:name="_Toc292559914"/>
      <w:bookmarkStart w:id="433" w:name="_Toc297120504"/>
      <w:bookmarkStart w:id="434" w:name="_Toc304295571"/>
      <w:r>
        <w:rPr>
          <w:rFonts w:ascii="Times New Roman" w:eastAsia="仿宋_GB2312"/>
          <w:sz w:val="24"/>
          <w:szCs w:val="24"/>
        </w:rPr>
        <w:t>包人提出的合理化建议降低了合同价格或者提高了工程经济效益的奖励的方法和金额为：。</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spacing w:line="480" w:lineRule="exact"/>
        <w:ind w:firstLine="480" w:firstLineChars="200"/>
        <w:outlineLvl w:val="0"/>
        <w:rPr>
          <w:rFonts w:ascii="Times New Roman" w:eastAsia="黑体"/>
          <w:sz w:val="24"/>
          <w:szCs w:val="24"/>
        </w:rPr>
      </w:pPr>
      <w:r>
        <w:rPr>
          <w:rFonts w:ascii="Times New Roman" w:eastAsia="黑体"/>
          <w:sz w:val="24"/>
          <w:szCs w:val="24"/>
        </w:rPr>
        <w:t>1</w:t>
      </w:r>
      <w:bookmarkStart w:id="435" w:name="_Toc296346700"/>
      <w:bookmarkStart w:id="436" w:name="_Toc297216207"/>
      <w:bookmarkStart w:id="437" w:name="_Toc296891027"/>
      <w:bookmarkStart w:id="438" w:name="_Toc296944538"/>
      <w:bookmarkStart w:id="439" w:name="_Toc304295574"/>
      <w:bookmarkStart w:id="440" w:name="_Toc296891239"/>
      <w:bookmarkStart w:id="441" w:name="_Toc303539154"/>
      <w:bookmarkStart w:id="442" w:name="_Toc292559404"/>
      <w:bookmarkStart w:id="443" w:name="_Toc297123548"/>
      <w:bookmarkStart w:id="444" w:name="_Toc297048385"/>
      <w:bookmarkStart w:id="445" w:name="_Toc312678033"/>
      <w:bookmarkStart w:id="446" w:name="_Toc300934997"/>
      <w:bookmarkStart w:id="447" w:name="_Toc296503199"/>
      <w:bookmarkStart w:id="448" w:name="_Toc296347198"/>
      <w:bookmarkStart w:id="449" w:name="_Toc292559909"/>
      <w:bookmarkStart w:id="450" w:name="_Toc312677507"/>
      <w:bookmarkStart w:id="451" w:name="_Toc297120499"/>
      <w:r>
        <w:rPr>
          <w:rFonts w:ascii="Times New Roman" w:eastAsia="黑体"/>
          <w:sz w:val="24"/>
          <w:szCs w:val="24"/>
        </w:rPr>
        <w:t>0.7 暂估价</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Pr>
        <w:spacing w:line="480" w:lineRule="exact"/>
        <w:ind w:firstLine="480" w:firstLineChars="200"/>
        <w:jc w:val="left"/>
        <w:rPr>
          <w:rFonts w:ascii="Times New Roman" w:eastAsia="仿宋_GB2312"/>
          <w:sz w:val="24"/>
          <w:szCs w:val="24"/>
        </w:rPr>
      </w:pPr>
      <w:r>
        <w:rPr>
          <w:rFonts w:ascii="Times New Roman" w:eastAsia="仿宋_GB2312"/>
          <w:sz w:val="24"/>
          <w:szCs w:val="24"/>
        </w:rPr>
        <w:t>暂</w:t>
      </w:r>
      <w:bookmarkStart w:id="452" w:name="_Toc312678034"/>
      <w:bookmarkStart w:id="453" w:name="_Toc312677508"/>
      <w:bookmarkStart w:id="454" w:name="_Toc318581176"/>
      <w:r>
        <w:rPr>
          <w:rFonts w:ascii="Times New Roman" w:eastAsia="仿宋_GB2312"/>
          <w:sz w:val="24"/>
          <w:szCs w:val="24"/>
        </w:rPr>
        <w:t>估价材料和工程设备的明细详见附件</w:t>
      </w:r>
      <w:r>
        <w:rPr>
          <w:rFonts w:hint="eastAsia" w:ascii="Times New Roman" w:eastAsia="仿宋_GB2312"/>
          <w:sz w:val="24"/>
          <w:szCs w:val="24"/>
        </w:rPr>
        <w:t>11：《</w:t>
      </w:r>
      <w:r>
        <w:rPr>
          <w:rFonts w:ascii="Times New Roman" w:eastAsia="仿宋_GB2312"/>
          <w:sz w:val="24"/>
          <w:szCs w:val="24"/>
        </w:rPr>
        <w:t>暂估价一览表</w:t>
      </w:r>
      <w:r>
        <w:rPr>
          <w:rFonts w:hint="eastAsia" w:ascii="Times New Roman" w:eastAsia="仿宋_GB2312"/>
          <w:sz w:val="24"/>
          <w:szCs w:val="24"/>
        </w:rPr>
        <w:t>》。</w:t>
      </w:r>
    </w:p>
    <w:bookmarkEnd w:id="452"/>
    <w:bookmarkEnd w:id="453"/>
    <w:bookmarkEnd w:id="454"/>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Start w:id="455" w:name="_Toc312677509"/>
      <w:bookmarkStart w:id="456" w:name="_Toc318581177"/>
      <w:bookmarkStart w:id="457" w:name="_Toc312678035"/>
      <w:r>
        <w:rPr>
          <w:rFonts w:ascii="Times New Roman" w:eastAsia="仿宋_GB2312"/>
          <w:sz w:val="24"/>
          <w:szCs w:val="24"/>
        </w:rPr>
        <w:t>0.7.1 依法必须招标的暂估价项目</w:t>
      </w:r>
    </w:p>
    <w:bookmarkEnd w:id="455"/>
    <w:bookmarkEnd w:id="456"/>
    <w:bookmarkEnd w:id="457"/>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10.7.2 不属于依法必须招标的暂估价项目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对于不属于依法必须招标的暂估价项目的确认和批准采取第种方式确定。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第3种方式：承包人直接实施的暂估价项目</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承包人直接实施的暂估价项目的约定：。</w:t>
      </w:r>
    </w:p>
    <w:p>
      <w:pPr>
        <w:spacing w:line="480" w:lineRule="exact"/>
        <w:ind w:firstLine="480" w:firstLineChars="200"/>
        <w:rPr>
          <w:rFonts w:ascii="Times New Roman" w:eastAsia="黑体"/>
          <w:sz w:val="24"/>
          <w:szCs w:val="24"/>
        </w:rPr>
      </w:pPr>
      <w:r>
        <w:rPr>
          <w:rFonts w:ascii="Times New Roman" w:eastAsia="黑体"/>
          <w:sz w:val="24"/>
          <w:szCs w:val="24"/>
        </w:rPr>
        <w:t>10.8 暂列金额</w:t>
      </w:r>
    </w:p>
    <w:p>
      <w:pPr>
        <w:autoSpaceDE w:val="0"/>
        <w:autoSpaceDN w:val="0"/>
        <w:adjustRightInd w:val="0"/>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合同当事人关于暂列金额使用的约定：。</w:t>
      </w:r>
    </w:p>
    <w:p>
      <w:pPr>
        <w:pStyle w:val="4"/>
        <w:spacing w:line="480" w:lineRule="exact"/>
        <w:rPr>
          <w:rFonts w:ascii="Times New Roman" w:hAnsi="Times New Roman" w:eastAsia="黑体"/>
          <w:b w:val="0"/>
          <w:sz w:val="24"/>
          <w:szCs w:val="24"/>
        </w:rPr>
      </w:pPr>
      <w:bookmarkStart w:id="458" w:name="_Toc351203643"/>
      <w:r>
        <w:rPr>
          <w:rFonts w:ascii="Times New Roman" w:hAnsi="Times New Roman" w:eastAsia="黑体"/>
          <w:b w:val="0"/>
          <w:sz w:val="24"/>
          <w:szCs w:val="24"/>
        </w:rPr>
        <w:t>11. 价格调整</w:t>
      </w:r>
      <w:bookmarkEnd w:id="458"/>
    </w:p>
    <w:p>
      <w:pPr>
        <w:spacing w:line="480" w:lineRule="exact"/>
        <w:ind w:firstLine="480" w:firstLineChars="200"/>
        <w:rPr>
          <w:rFonts w:ascii="Times New Roman" w:eastAsia="黑体"/>
          <w:sz w:val="24"/>
          <w:szCs w:val="24"/>
        </w:rPr>
      </w:pPr>
      <w:bookmarkStart w:id="459" w:name="_Toc297120501"/>
      <w:bookmarkStart w:id="460" w:name="_Toc296944540"/>
      <w:bookmarkStart w:id="461" w:name="_Toc296891029"/>
      <w:bookmarkStart w:id="462" w:name="_Toc297123550"/>
      <w:bookmarkStart w:id="463" w:name="_Toc296891241"/>
      <w:bookmarkStart w:id="464" w:name="_Toc304295577"/>
      <w:bookmarkStart w:id="465" w:name="_Toc296347200"/>
      <w:bookmarkStart w:id="466" w:name="_Toc297216209"/>
      <w:bookmarkStart w:id="467" w:name="_Toc292559911"/>
      <w:bookmarkStart w:id="468" w:name="_Toc312678039"/>
      <w:bookmarkStart w:id="469" w:name="_Toc297048387"/>
      <w:bookmarkStart w:id="470" w:name="_Toc296503201"/>
      <w:bookmarkStart w:id="471" w:name="_Toc303539157"/>
      <w:bookmarkStart w:id="472" w:name="_Toc300935000"/>
      <w:bookmarkStart w:id="473" w:name="_Toc292559406"/>
      <w:bookmarkStart w:id="474" w:name="_Toc296346702"/>
      <w:r>
        <w:rPr>
          <w:rFonts w:ascii="Times New Roman" w:eastAsia="黑体"/>
          <w:sz w:val="24"/>
          <w:szCs w:val="24"/>
        </w:rPr>
        <w:t>11.1 市场价格波动引起的调整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Pr>
        <w:spacing w:line="480" w:lineRule="exact"/>
        <w:ind w:firstLine="480" w:firstLineChars="200"/>
        <w:jc w:val="left"/>
        <w:rPr>
          <w:rFonts w:ascii="Times New Roman" w:eastAsia="仿宋_GB2312"/>
          <w:sz w:val="24"/>
          <w:szCs w:val="24"/>
        </w:rPr>
      </w:pPr>
      <w:r>
        <w:rPr>
          <w:rFonts w:ascii="Times New Roman" w:eastAsia="仿宋_GB2312"/>
          <w:sz w:val="24"/>
          <w:szCs w:val="24"/>
        </w:rPr>
        <w:t>市场价格波动是否调整合同价格的约定：。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因市场价格波动调整合同价格，采用以下第种方式对合同价格进行调整：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第1种方式：采用价格指数</w:t>
      </w:r>
      <w:r>
        <w:rPr>
          <w:rFonts w:hint="eastAsia" w:ascii="Times New Roman" w:eastAsia="仿宋_GB2312"/>
          <w:sz w:val="24"/>
          <w:szCs w:val="24"/>
        </w:rPr>
        <w:t>进行价格</w:t>
      </w:r>
      <w:r>
        <w:rPr>
          <w:rFonts w:ascii="Times New Roman" w:eastAsia="仿宋_GB2312"/>
          <w:sz w:val="24"/>
          <w:szCs w:val="24"/>
        </w:rPr>
        <w:t>调整。</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关于各可调因子、定值和变值权重，以及基本价格指数及其来源的约定：；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第2种方式：采用造价信息</w:t>
      </w:r>
      <w:r>
        <w:rPr>
          <w:rFonts w:hint="eastAsia" w:ascii="Times New Roman" w:eastAsia="仿宋_GB2312"/>
          <w:sz w:val="24"/>
          <w:szCs w:val="24"/>
        </w:rPr>
        <w:t>进行价格</w:t>
      </w:r>
      <w:r>
        <w:rPr>
          <w:rFonts w:ascii="Times New Roman" w:eastAsia="仿宋_GB2312"/>
          <w:sz w:val="24"/>
          <w:szCs w:val="24"/>
        </w:rPr>
        <w:t>调整。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（2）关于基准价格的约定：。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专用合同条款</w:t>
      </w:r>
      <w:r>
        <w:rPr>
          <w:rFonts w:hint="eastAsia" w:hAnsi="宋体" w:cs="宋体"/>
          <w:sz w:val="24"/>
          <w:szCs w:val="24"/>
        </w:rPr>
        <w:t>①</w:t>
      </w:r>
      <w:r>
        <w:rPr>
          <w:rFonts w:ascii="Times New Roman" w:eastAsia="仿宋_GB2312"/>
          <w:sz w:val="24"/>
          <w:szCs w:val="24"/>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ascii="Times New Roman" w:eastAsia="仿宋_GB2312"/>
          <w:sz w:val="24"/>
          <w:szCs w:val="24"/>
        </w:rPr>
      </w:pPr>
      <w:r>
        <w:rPr>
          <w:rFonts w:hint="eastAsia" w:hAnsi="宋体" w:cs="宋体"/>
          <w:sz w:val="24"/>
          <w:szCs w:val="24"/>
        </w:rPr>
        <w:t>②</w:t>
      </w:r>
      <w:r>
        <w:rPr>
          <w:rFonts w:ascii="Times New Roman" w:eastAsia="仿宋_GB2312"/>
          <w:sz w:val="24"/>
          <w:szCs w:val="24"/>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ascii="Times New Roman" w:eastAsia="仿宋_GB2312"/>
          <w:sz w:val="24"/>
          <w:szCs w:val="24"/>
        </w:rPr>
      </w:pPr>
      <w:r>
        <w:rPr>
          <w:rFonts w:hint="eastAsia" w:hAnsi="宋体" w:cs="宋体"/>
          <w:sz w:val="24"/>
          <w:szCs w:val="24"/>
        </w:rPr>
        <w:t>③</w:t>
      </w:r>
      <w:r>
        <w:rPr>
          <w:rFonts w:ascii="Times New Roman" w:eastAsia="仿宋_GB2312"/>
          <w:sz w:val="24"/>
          <w:szCs w:val="24"/>
        </w:rPr>
        <w:t>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ascii="Times New Roman" w:eastAsia="仿宋_GB2312"/>
          <w:sz w:val="24"/>
          <w:szCs w:val="24"/>
        </w:rPr>
      </w:pPr>
      <w:r>
        <w:rPr>
          <w:rFonts w:ascii="Times New Roman" w:eastAsia="仿宋_GB2312"/>
          <w:sz w:val="24"/>
          <w:szCs w:val="24"/>
        </w:rPr>
        <w:t>第3种方式：其他价格调整方式：。</w:t>
      </w:r>
    </w:p>
    <w:bookmarkEnd w:id="362"/>
    <w:bookmarkEnd w:id="363"/>
    <w:bookmarkEnd w:id="364"/>
    <w:bookmarkEnd w:id="365"/>
    <w:bookmarkEnd w:id="366"/>
    <w:bookmarkEnd w:id="367"/>
    <w:p>
      <w:pPr>
        <w:pStyle w:val="4"/>
        <w:spacing w:line="480" w:lineRule="exact"/>
        <w:rPr>
          <w:rFonts w:ascii="Times New Roman" w:hAnsi="Times New Roman" w:eastAsia="黑体"/>
          <w:b w:val="0"/>
          <w:sz w:val="24"/>
          <w:szCs w:val="24"/>
        </w:rPr>
      </w:pPr>
      <w:bookmarkStart w:id="475" w:name="_Toc296346706"/>
      <w:bookmarkStart w:id="476" w:name="_Toc296891033"/>
      <w:bookmarkStart w:id="477" w:name="_Toc297120505"/>
      <w:bookmarkStart w:id="478" w:name="_Toc296891245"/>
      <w:bookmarkStart w:id="479" w:name="_Toc296944544"/>
      <w:bookmarkStart w:id="480" w:name="_Toc297048391"/>
      <w:bookmarkStart w:id="481" w:name="_Toc296503205"/>
      <w:bookmarkStart w:id="482" w:name="_Toc296347204"/>
      <w:bookmarkStart w:id="483" w:name="_Toc292559915"/>
      <w:bookmarkStart w:id="484" w:name="_Toc292559410"/>
      <w:bookmarkStart w:id="485" w:name="_Toc351203644"/>
      <w:bookmarkStart w:id="486" w:name="_Toc297216211"/>
      <w:bookmarkStart w:id="487" w:name="_Toc297123552"/>
      <w:bookmarkStart w:id="488" w:name="_Toc312678040"/>
      <w:bookmarkStart w:id="489" w:name="_Toc304295579"/>
      <w:bookmarkStart w:id="490" w:name="_Toc300935002"/>
      <w:bookmarkStart w:id="491" w:name="_Toc303539159"/>
      <w:r>
        <w:rPr>
          <w:rFonts w:ascii="Times New Roman" w:hAnsi="Times New Roman" w:eastAsia="黑体"/>
          <w:b w:val="0"/>
          <w:sz w:val="24"/>
          <w:szCs w:val="24"/>
        </w:rPr>
        <w:t xml:space="preserve">12. </w:t>
      </w:r>
      <w:bookmarkEnd w:id="475"/>
      <w:bookmarkEnd w:id="476"/>
      <w:bookmarkEnd w:id="477"/>
      <w:bookmarkEnd w:id="478"/>
      <w:bookmarkEnd w:id="479"/>
      <w:bookmarkEnd w:id="480"/>
      <w:bookmarkEnd w:id="481"/>
      <w:bookmarkEnd w:id="482"/>
      <w:bookmarkEnd w:id="483"/>
      <w:bookmarkEnd w:id="484"/>
      <w:r>
        <w:rPr>
          <w:rFonts w:ascii="Times New Roman" w:hAnsi="Times New Roman" w:eastAsia="黑体"/>
          <w:b w:val="0"/>
          <w:sz w:val="24"/>
          <w:szCs w:val="24"/>
        </w:rPr>
        <w:t>合同价格、计量与支付</w:t>
      </w:r>
      <w:bookmarkEnd w:id="485"/>
    </w:p>
    <w:bookmarkEnd w:id="486"/>
    <w:bookmarkEnd w:id="487"/>
    <w:bookmarkEnd w:id="488"/>
    <w:bookmarkEnd w:id="489"/>
    <w:bookmarkEnd w:id="490"/>
    <w:bookmarkEnd w:id="491"/>
    <w:p>
      <w:pPr>
        <w:spacing w:line="480" w:lineRule="exact"/>
        <w:ind w:firstLine="480" w:firstLineChars="200"/>
        <w:rPr>
          <w:rFonts w:ascii="Times New Roman" w:eastAsia="黑体"/>
          <w:sz w:val="24"/>
          <w:szCs w:val="24"/>
        </w:rPr>
      </w:pPr>
      <w:bookmarkStart w:id="492" w:name="_Toc292559411"/>
      <w:bookmarkStart w:id="493" w:name="_Toc267251461"/>
      <w:bookmarkStart w:id="494" w:name="_Toc292559916"/>
      <w:bookmarkStart w:id="495" w:name="_Toc297120506"/>
      <w:bookmarkStart w:id="496" w:name="_Toc296891034"/>
      <w:bookmarkStart w:id="497" w:name="_Toc296944545"/>
      <w:bookmarkStart w:id="498" w:name="_Toc297048392"/>
      <w:bookmarkStart w:id="499" w:name="_Toc296346707"/>
      <w:bookmarkStart w:id="500" w:name="_Toc296347205"/>
      <w:bookmarkStart w:id="501" w:name="_Toc296503206"/>
      <w:bookmarkStart w:id="502" w:name="_Toc296891246"/>
      <w:bookmarkStart w:id="503" w:name="_Toc304295580"/>
      <w:bookmarkStart w:id="504" w:name="_Toc312678041"/>
      <w:bookmarkStart w:id="505" w:name="_Toc303539160"/>
      <w:bookmarkStart w:id="506" w:name="_Toc300935003"/>
      <w:bookmarkStart w:id="507" w:name="_Toc297123553"/>
      <w:bookmarkStart w:id="508" w:name="_Toc297216212"/>
      <w:r>
        <w:rPr>
          <w:rFonts w:ascii="Times New Roman" w:eastAsia="黑体"/>
          <w:sz w:val="24"/>
          <w:szCs w:val="24"/>
        </w:rPr>
        <w:t>12.1 合</w:t>
      </w:r>
      <w:bookmarkEnd w:id="492"/>
      <w:bookmarkEnd w:id="493"/>
      <w:bookmarkEnd w:id="494"/>
      <w:r>
        <w:rPr>
          <w:rFonts w:ascii="Times New Roman" w:eastAsia="黑体"/>
          <w:sz w:val="24"/>
          <w:szCs w:val="24"/>
        </w:rPr>
        <w:t>同价</w:t>
      </w:r>
      <w:bookmarkEnd w:id="495"/>
      <w:bookmarkEnd w:id="496"/>
      <w:bookmarkEnd w:id="497"/>
      <w:bookmarkEnd w:id="498"/>
      <w:bookmarkEnd w:id="499"/>
      <w:bookmarkEnd w:id="500"/>
      <w:bookmarkEnd w:id="501"/>
      <w:bookmarkEnd w:id="502"/>
      <w:r>
        <w:rPr>
          <w:rFonts w:ascii="Times New Roman" w:eastAsia="黑体"/>
          <w:sz w:val="24"/>
          <w:szCs w:val="24"/>
        </w:rPr>
        <w:t>格形式</w:t>
      </w:r>
    </w:p>
    <w:bookmarkEnd w:id="503"/>
    <w:bookmarkEnd w:id="504"/>
    <w:bookmarkEnd w:id="505"/>
    <w:bookmarkEnd w:id="506"/>
    <w:bookmarkEnd w:id="507"/>
    <w:bookmarkEnd w:id="508"/>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1、单价合同。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综合单价包含的风险范围：。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风险费用的计算方法：。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风险范围以外合同价格的调整方法：。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总价包含的风险范围：。</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风险费用的计算方法：。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风险范围以外合同价格的调整方法：。</w:t>
      </w:r>
    </w:p>
    <w:p>
      <w:pPr>
        <w:numPr>
          <w:ilvl w:val="0"/>
          <w:numId w:val="5"/>
        </w:numPr>
        <w:spacing w:line="480" w:lineRule="exact"/>
        <w:ind w:firstLine="481"/>
        <w:jc w:val="left"/>
        <w:rPr>
          <w:rFonts w:ascii="Times New Roman" w:eastAsia="仿宋_GB2312"/>
          <w:sz w:val="24"/>
          <w:szCs w:val="24"/>
        </w:rPr>
      </w:pPr>
      <w:r>
        <w:rPr>
          <w:rFonts w:ascii="Times New Roman" w:eastAsia="仿宋_GB2312"/>
          <w:sz w:val="24"/>
          <w:szCs w:val="24"/>
        </w:rPr>
        <w:t>其他价格方式：。</w:t>
      </w:r>
    </w:p>
    <w:p>
      <w:pPr>
        <w:spacing w:line="480" w:lineRule="exact"/>
        <w:ind w:firstLine="480" w:firstLineChars="200"/>
        <w:rPr>
          <w:rFonts w:ascii="Times New Roman" w:eastAsia="黑体"/>
          <w:sz w:val="24"/>
          <w:szCs w:val="24"/>
        </w:rPr>
      </w:pPr>
      <w:bookmarkStart w:id="509" w:name="_Toc297123554"/>
      <w:bookmarkStart w:id="510" w:name="_Toc304295581"/>
      <w:bookmarkStart w:id="511" w:name="_Toc300935004"/>
      <w:bookmarkStart w:id="512" w:name="_Toc312678042"/>
      <w:bookmarkStart w:id="513" w:name="_Toc303539161"/>
      <w:bookmarkStart w:id="514" w:name="_Toc297216213"/>
      <w:bookmarkStart w:id="515" w:name="_Toc296503207"/>
      <w:bookmarkStart w:id="516" w:name="_Toc292559917"/>
      <w:bookmarkStart w:id="517" w:name="_Toc297048393"/>
      <w:bookmarkStart w:id="518" w:name="_Toc296346708"/>
      <w:bookmarkStart w:id="519" w:name="_Toc292559412"/>
      <w:bookmarkStart w:id="520" w:name="_Toc297120507"/>
      <w:bookmarkStart w:id="521" w:name="_Toc296944546"/>
      <w:bookmarkStart w:id="522" w:name="_Toc296347206"/>
      <w:bookmarkStart w:id="523" w:name="_Toc296891035"/>
      <w:bookmarkStart w:id="524" w:name="_Toc296891247"/>
      <w:r>
        <w:rPr>
          <w:rFonts w:ascii="Times New Roman" w:eastAsia="黑体"/>
          <w:sz w:val="24"/>
          <w:szCs w:val="24"/>
        </w:rPr>
        <w:t>12.2 预付款</w:t>
      </w:r>
    </w:p>
    <w:bookmarkEnd w:id="509"/>
    <w:bookmarkEnd w:id="510"/>
    <w:bookmarkEnd w:id="511"/>
    <w:bookmarkEnd w:id="512"/>
    <w:bookmarkEnd w:id="513"/>
    <w:bookmarkEnd w:id="514"/>
    <w:p>
      <w:pPr>
        <w:spacing w:line="480" w:lineRule="exact"/>
        <w:ind w:firstLine="480" w:firstLineChars="200"/>
        <w:jc w:val="left"/>
        <w:rPr>
          <w:rFonts w:ascii="Times New Roman" w:eastAsia="仿宋_GB2312"/>
          <w:sz w:val="24"/>
          <w:szCs w:val="24"/>
        </w:rPr>
      </w:pPr>
      <w:r>
        <w:rPr>
          <w:rFonts w:ascii="Times New Roman" w:eastAsia="仿宋_GB2312"/>
          <w:sz w:val="24"/>
          <w:szCs w:val="24"/>
        </w:rPr>
        <w:t>12.2.1 预付款的支付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预付款支付比例或金额：。</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预付款支付期限：。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预付款扣回的方式：。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12.2.2 预付款担保</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承包人提交预付款担保的期限：。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预付款担保的形式为：。</w:t>
      </w:r>
    </w:p>
    <w:bookmarkEnd w:id="515"/>
    <w:bookmarkEnd w:id="516"/>
    <w:bookmarkEnd w:id="517"/>
    <w:bookmarkEnd w:id="518"/>
    <w:bookmarkEnd w:id="519"/>
    <w:bookmarkEnd w:id="520"/>
    <w:bookmarkEnd w:id="521"/>
    <w:bookmarkEnd w:id="522"/>
    <w:bookmarkEnd w:id="523"/>
    <w:bookmarkEnd w:id="524"/>
    <w:p>
      <w:pPr>
        <w:spacing w:line="480" w:lineRule="exact"/>
        <w:ind w:firstLine="480" w:firstLineChars="200"/>
        <w:rPr>
          <w:rFonts w:ascii="Times New Roman" w:eastAsia="黑体"/>
          <w:sz w:val="24"/>
          <w:szCs w:val="24"/>
        </w:rPr>
      </w:pPr>
      <w:r>
        <w:rPr>
          <w:rFonts w:ascii="Times New Roman" w:eastAsia="黑体"/>
          <w:sz w:val="24"/>
          <w:szCs w:val="24"/>
        </w:rPr>
        <w:t>12.3 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12.3.1 计量原则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工程量计算规则：。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12.3.2 计量周期</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关于计量周期的约定：。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12.3.3 单价合同的计量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关于单价合同计量的约定：。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12.3.4 总价合同的计量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关于总价合同计量的约定：。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12.3.5总价合同采用支付分解表计量支付的，是否适用第12.3.4 项</w:t>
      </w:r>
      <w:r>
        <w:rPr>
          <w:rFonts w:hint="eastAsia" w:ascii="Times New Roman" w:eastAsia="仿宋_GB2312"/>
          <w:sz w:val="24"/>
          <w:szCs w:val="24"/>
        </w:rPr>
        <w:t>〔</w:t>
      </w:r>
      <w:r>
        <w:rPr>
          <w:rFonts w:ascii="Times New Roman" w:eastAsia="仿宋_GB2312"/>
          <w:sz w:val="24"/>
          <w:szCs w:val="24"/>
        </w:rPr>
        <w:t>总价合同的计量</w:t>
      </w:r>
      <w:r>
        <w:rPr>
          <w:rFonts w:hint="eastAsia" w:ascii="Times New Roman" w:eastAsia="仿宋_GB2312"/>
          <w:sz w:val="24"/>
          <w:szCs w:val="24"/>
        </w:rPr>
        <w:t>〕</w:t>
      </w:r>
      <w:r>
        <w:rPr>
          <w:rFonts w:ascii="Times New Roman" w:eastAsia="仿宋_GB2312"/>
          <w:sz w:val="24"/>
          <w:szCs w:val="24"/>
        </w:rPr>
        <w:t>约定</w:t>
      </w:r>
      <w:r>
        <w:rPr>
          <w:rFonts w:hint="eastAsia" w:ascii="Times New Roman" w:eastAsia="仿宋_GB2312"/>
          <w:sz w:val="24"/>
          <w:szCs w:val="24"/>
        </w:rPr>
        <w:t>进行计量：</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12.3.6 其他价格形式合同的计量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其他价格形式的计量方式和程序：。</w:t>
      </w:r>
    </w:p>
    <w:p>
      <w:pPr>
        <w:spacing w:line="480" w:lineRule="exact"/>
        <w:ind w:firstLine="480" w:firstLineChars="200"/>
        <w:rPr>
          <w:rFonts w:ascii="Times New Roman" w:eastAsia="黑体"/>
          <w:sz w:val="24"/>
          <w:szCs w:val="24"/>
        </w:rPr>
      </w:pPr>
      <w:r>
        <w:rPr>
          <w:rFonts w:ascii="Times New Roman" w:eastAsia="黑体"/>
          <w:sz w:val="24"/>
          <w:szCs w:val="24"/>
        </w:rPr>
        <w:t>12.4 工程进度款支付</w:t>
      </w:r>
    </w:p>
    <w:p>
      <w:pPr>
        <w:spacing w:line="480" w:lineRule="exact"/>
        <w:ind w:firstLine="480" w:firstLineChars="200"/>
        <w:jc w:val="left"/>
        <w:rPr>
          <w:rFonts w:ascii="Times New Roman" w:eastAsia="仿宋_GB2312"/>
          <w:sz w:val="24"/>
          <w:szCs w:val="24"/>
        </w:rPr>
      </w:pPr>
      <w:bookmarkStart w:id="525" w:name="_Toc303539163"/>
      <w:bookmarkStart w:id="526" w:name="_Toc297216215"/>
      <w:bookmarkStart w:id="527" w:name="_Toc296944550"/>
      <w:bookmarkStart w:id="528" w:name="_Toc300935006"/>
      <w:bookmarkStart w:id="529" w:name="_Toc292559921"/>
      <w:bookmarkStart w:id="530" w:name="_Toc296347210"/>
      <w:bookmarkStart w:id="531" w:name="_Toc297120511"/>
      <w:bookmarkStart w:id="532" w:name="_Toc297123556"/>
      <w:bookmarkStart w:id="533" w:name="_Toc296891251"/>
      <w:bookmarkStart w:id="534" w:name="_Toc296503211"/>
      <w:bookmarkStart w:id="535" w:name="_Toc292559416"/>
      <w:bookmarkStart w:id="536" w:name="_Toc296346712"/>
      <w:bookmarkStart w:id="537" w:name="_Toc296891039"/>
      <w:bookmarkStart w:id="538" w:name="_Toc297048397"/>
      <w:r>
        <w:rPr>
          <w:rFonts w:ascii="Times New Roman" w:eastAsia="仿宋_GB2312"/>
          <w:sz w:val="24"/>
          <w:szCs w:val="24"/>
        </w:rPr>
        <w:t>12.4.1 付款周期</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关于付款周期的约定：。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12.4.2 进度付款申请单的编制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关于进度付款申请单编制的约定：。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ascii="Times New Roman" w:eastAsia="仿宋_GB2312"/>
          <w:sz w:val="24"/>
          <w:szCs w:val="24"/>
        </w:rPr>
        <w:t>2.4.3 进度付款申请单的提交</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（1）单价合同进度付款申请单提交的约定</w:t>
      </w:r>
      <w:r>
        <w:rPr>
          <w:rFonts w:hint="eastAsia" w:ascii="Times New Roman" w:eastAsia="仿宋_GB2312"/>
          <w:sz w:val="24"/>
          <w:szCs w:val="24"/>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（2）总价合同进度付款申请单提交的约定</w:t>
      </w:r>
      <w:r>
        <w:rPr>
          <w:rFonts w:hint="eastAsia" w:ascii="Times New Roman" w:eastAsia="仿宋_GB2312"/>
          <w:sz w:val="24"/>
          <w:szCs w:val="24"/>
        </w:rPr>
        <w:t>：</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（3）其他价格形式合同进度付款申请单提交的约定：。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12.4.4 进度款审核和支付</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（1）监理人审查并报送发包人的期限：。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发包人完成审批并签发进度款支付证书的期限：</w:t>
      </w:r>
    </w:p>
    <w:p>
      <w:pPr>
        <w:spacing w:line="480" w:lineRule="exact"/>
        <w:jc w:val="left"/>
        <w:rPr>
          <w:rFonts w:ascii="Times New Roman" w:eastAsia="仿宋_GB2312"/>
          <w:sz w:val="24"/>
          <w:szCs w:val="24"/>
        </w:rPr>
      </w:pP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（2）发包人支付进度款的期限：。</w:t>
      </w:r>
    </w:p>
    <w:p>
      <w:pPr>
        <w:spacing w:line="480" w:lineRule="exact"/>
        <w:ind w:firstLine="600" w:firstLineChars="250"/>
        <w:jc w:val="left"/>
        <w:rPr>
          <w:rFonts w:ascii="Times New Roman" w:eastAsia="仿宋_GB2312"/>
          <w:sz w:val="24"/>
          <w:szCs w:val="24"/>
        </w:rPr>
      </w:pPr>
      <w:r>
        <w:rPr>
          <w:rFonts w:ascii="Times New Roman" w:eastAsia="仿宋_GB2312"/>
          <w:sz w:val="24"/>
          <w:szCs w:val="24"/>
        </w:rPr>
        <w:t>发包人逾期支付进度款的违约金的计算方式：。</w:t>
      </w:r>
    </w:p>
    <w:p>
      <w:pPr>
        <w:spacing w:line="480" w:lineRule="exact"/>
        <w:ind w:firstLine="600" w:firstLineChars="250"/>
        <w:jc w:val="left"/>
        <w:rPr>
          <w:rFonts w:ascii="Times New Roman" w:eastAsia="仿宋_GB2312"/>
          <w:sz w:val="24"/>
          <w:szCs w:val="24"/>
        </w:rPr>
      </w:pPr>
      <w:r>
        <w:rPr>
          <w:rFonts w:ascii="Times New Roman" w:eastAsia="仿宋_GB2312"/>
          <w:sz w:val="24"/>
          <w:szCs w:val="24"/>
        </w:rPr>
        <w:t>12.4.6 支付分解表的编制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2、总价合同支付分解表的编制与审批：。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3、单价合同的总价项目支付分解表的编制与审批：。</w:t>
      </w:r>
    </w:p>
    <w:bookmarkEnd w:id="368"/>
    <w:p>
      <w:pPr>
        <w:pStyle w:val="4"/>
        <w:spacing w:line="480" w:lineRule="exact"/>
        <w:rPr>
          <w:rFonts w:ascii="Times New Roman" w:hAnsi="Times New Roman" w:eastAsia="黑体"/>
          <w:b w:val="0"/>
          <w:sz w:val="24"/>
          <w:szCs w:val="24"/>
        </w:rPr>
      </w:pPr>
      <w:bookmarkStart w:id="539" w:name="_Toc351203645"/>
      <w:bookmarkStart w:id="540" w:name="_Toc292559424"/>
      <w:bookmarkStart w:id="541" w:name="_Toc297123564"/>
      <w:bookmarkStart w:id="542" w:name="_Toc296346720"/>
      <w:bookmarkStart w:id="543" w:name="_Toc312678053"/>
      <w:bookmarkStart w:id="544" w:name="_Toc296891259"/>
      <w:bookmarkStart w:id="545" w:name="_Toc292559929"/>
      <w:bookmarkStart w:id="546" w:name="_Toc296891047"/>
      <w:bookmarkStart w:id="547" w:name="_Toc304295593"/>
      <w:bookmarkStart w:id="548" w:name="_Toc297216223"/>
      <w:bookmarkStart w:id="549" w:name="_Toc296944558"/>
      <w:bookmarkStart w:id="550" w:name="_Toc297048405"/>
      <w:bookmarkStart w:id="551" w:name="_Toc300935015"/>
      <w:bookmarkStart w:id="552" w:name="_Toc296347218"/>
      <w:bookmarkStart w:id="553" w:name="_Toc296503219"/>
      <w:bookmarkStart w:id="554" w:name="_Toc297120519"/>
      <w:bookmarkStart w:id="555" w:name="_Toc303539172"/>
      <w:r>
        <w:rPr>
          <w:rFonts w:ascii="Times New Roman" w:hAnsi="Times New Roman" w:eastAsia="黑体"/>
          <w:b w:val="0"/>
          <w:sz w:val="24"/>
          <w:szCs w:val="24"/>
        </w:rPr>
        <w:t>13.验收和工程试车</w:t>
      </w:r>
      <w:bookmarkEnd w:id="539"/>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Pr>
        <w:spacing w:line="480" w:lineRule="exact"/>
        <w:ind w:firstLine="480" w:firstLineChars="200"/>
        <w:rPr>
          <w:rFonts w:ascii="Times New Roman" w:eastAsia="黑体"/>
          <w:sz w:val="24"/>
          <w:szCs w:val="24"/>
        </w:rPr>
      </w:pPr>
      <w:r>
        <w:rPr>
          <w:rFonts w:ascii="Times New Roman" w:eastAsia="黑体"/>
          <w:sz w:val="24"/>
          <w:szCs w:val="24"/>
        </w:rPr>
        <w:t>13.1 分部分项工程验收</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13.1.2监理人不能按时进行验收时，应提前小时提交书面延期要求。</w:t>
      </w:r>
    </w:p>
    <w:p>
      <w:pPr>
        <w:spacing w:line="480" w:lineRule="exact"/>
        <w:ind w:firstLine="480" w:firstLineChars="200"/>
        <w:jc w:val="left"/>
        <w:rPr>
          <w:rFonts w:ascii="Times New Roman" w:eastAsia="仿宋_GB2312"/>
          <w:b/>
          <w:sz w:val="24"/>
          <w:szCs w:val="24"/>
        </w:rPr>
      </w:pPr>
      <w:r>
        <w:rPr>
          <w:rFonts w:ascii="Times New Roman" w:eastAsia="仿宋_GB2312"/>
          <w:sz w:val="24"/>
          <w:szCs w:val="24"/>
        </w:rPr>
        <w:t>关于延期最长不得超过：小时。</w:t>
      </w:r>
    </w:p>
    <w:p>
      <w:pPr>
        <w:spacing w:line="480" w:lineRule="exact"/>
        <w:ind w:firstLine="480" w:firstLineChars="200"/>
        <w:rPr>
          <w:rFonts w:ascii="Times New Roman" w:eastAsia="黑体"/>
          <w:sz w:val="24"/>
          <w:szCs w:val="24"/>
        </w:rPr>
      </w:pPr>
      <w:bookmarkStart w:id="556" w:name="_Toc312678056"/>
      <w:bookmarkStart w:id="557" w:name="_Toc296346724"/>
      <w:bookmarkStart w:id="558" w:name="_Toc297048409"/>
      <w:bookmarkStart w:id="559" w:name="_Toc303539173"/>
      <w:bookmarkStart w:id="560" w:name="_Toc296347222"/>
      <w:bookmarkStart w:id="561" w:name="_Toc292559428"/>
      <w:bookmarkStart w:id="562" w:name="_Toc296891051"/>
      <w:bookmarkStart w:id="563" w:name="_Toc297120523"/>
      <w:bookmarkStart w:id="564" w:name="_Toc296891263"/>
      <w:bookmarkStart w:id="565" w:name="_Toc304295596"/>
      <w:bookmarkStart w:id="566" w:name="_Toc297123565"/>
      <w:bookmarkStart w:id="567" w:name="_Toc297216224"/>
      <w:bookmarkStart w:id="568" w:name="_Toc300935016"/>
      <w:bookmarkStart w:id="569" w:name="_Toc296503223"/>
      <w:bookmarkStart w:id="570" w:name="_Toc296944562"/>
      <w:bookmarkStart w:id="571" w:name="_Toc292559933"/>
      <w:bookmarkStart w:id="572" w:name="_Toc267251472"/>
      <w:bookmarkStart w:id="573" w:name="_Toc267251470"/>
      <w:bookmarkStart w:id="574" w:name="_Toc267251474"/>
      <w:bookmarkStart w:id="575" w:name="_Toc267251475"/>
      <w:bookmarkStart w:id="576" w:name="_Toc267251476"/>
      <w:bookmarkStart w:id="577" w:name="_Toc267251471"/>
      <w:bookmarkStart w:id="578" w:name="_Toc267251473"/>
      <w:r>
        <w:rPr>
          <w:rFonts w:ascii="Times New Roman" w:eastAsia="黑体"/>
          <w:sz w:val="24"/>
          <w:szCs w:val="24"/>
        </w:rPr>
        <w:t>13.2 竣工验收</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Pr>
        <w:spacing w:line="480" w:lineRule="exact"/>
        <w:ind w:firstLine="480" w:firstLineChars="200"/>
        <w:jc w:val="left"/>
        <w:rPr>
          <w:rFonts w:ascii="Times New Roman" w:eastAsia="仿宋_GB2312"/>
          <w:sz w:val="24"/>
          <w:szCs w:val="24"/>
        </w:rPr>
      </w:pPr>
      <w:bookmarkStart w:id="579" w:name="_Toc280868704"/>
      <w:bookmarkStart w:id="580" w:name="_Toc280868705"/>
      <w:bookmarkStart w:id="581" w:name="_Toc280868706"/>
      <w:bookmarkStart w:id="582" w:name="_Toc280868707"/>
      <w:bookmarkStart w:id="583" w:name="_Toc280868708"/>
      <w:bookmarkStart w:id="584" w:name="_Toc280868709"/>
      <w:r>
        <w:rPr>
          <w:rFonts w:ascii="Times New Roman" w:eastAsia="仿宋_GB2312"/>
          <w:sz w:val="24"/>
          <w:szCs w:val="24"/>
        </w:rPr>
        <w:t>13.2.2竣工验收程序</w:t>
      </w:r>
    </w:p>
    <w:bookmarkEnd w:id="579"/>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关于竣工验收程序的约定：。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发包人不按照本项约定组织竣工验收、颁发工程接收证书的违约金的计算方法：。</w:t>
      </w:r>
    </w:p>
    <w:bookmarkEnd w:id="580"/>
    <w:p>
      <w:pPr>
        <w:spacing w:line="480" w:lineRule="exact"/>
        <w:ind w:firstLine="480" w:firstLineChars="200"/>
        <w:jc w:val="left"/>
        <w:rPr>
          <w:rFonts w:ascii="Times New Roman" w:eastAsia="仿宋_GB2312"/>
          <w:sz w:val="24"/>
          <w:szCs w:val="24"/>
        </w:rPr>
      </w:pPr>
      <w:r>
        <w:rPr>
          <w:rFonts w:ascii="Times New Roman" w:eastAsia="仿宋_GB2312"/>
          <w:sz w:val="24"/>
          <w:szCs w:val="24"/>
        </w:rPr>
        <w:t>13.2.5移交、接收全部与部分工程</w:t>
      </w:r>
    </w:p>
    <w:bookmarkEnd w:id="581"/>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承包人向发包人移交工程的期限：。</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发包人未按本合同约定接收全部或部分工程的，违约金的计算方法为：。</w:t>
      </w:r>
    </w:p>
    <w:bookmarkEnd w:id="582"/>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承包人未按时移交工程的，违约金的计算方法为：。</w:t>
      </w:r>
    </w:p>
    <w:p>
      <w:pPr>
        <w:spacing w:line="480" w:lineRule="exact"/>
        <w:ind w:firstLine="480" w:firstLineChars="200"/>
        <w:rPr>
          <w:rFonts w:ascii="Times New Roman" w:eastAsia="黑体"/>
          <w:sz w:val="24"/>
          <w:szCs w:val="24"/>
        </w:rPr>
      </w:pPr>
      <w:r>
        <w:rPr>
          <w:rFonts w:ascii="Times New Roman" w:eastAsia="黑体"/>
          <w:sz w:val="24"/>
          <w:szCs w:val="24"/>
        </w:rPr>
        <w:t>13.3 工程试车</w:t>
      </w:r>
    </w:p>
    <w:bookmarkEnd w:id="583"/>
    <w:p>
      <w:pPr>
        <w:spacing w:line="480" w:lineRule="exact"/>
        <w:ind w:firstLine="480" w:firstLineChars="200"/>
        <w:jc w:val="left"/>
        <w:rPr>
          <w:rFonts w:ascii="Times New Roman" w:eastAsia="仿宋_GB2312"/>
          <w:sz w:val="24"/>
          <w:szCs w:val="24"/>
        </w:rPr>
      </w:pPr>
      <w:r>
        <w:rPr>
          <w:rFonts w:ascii="Times New Roman" w:eastAsia="仿宋_GB2312"/>
          <w:sz w:val="24"/>
          <w:szCs w:val="24"/>
        </w:rPr>
        <w:t>13.3.1 试车程序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工程试车内容：。</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（1）单机无负荷试车费用由承担；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（2）无负荷联动试车费用由承担。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13.3.3 投料试车</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关于投料试车相关事项的约定：</w:t>
      </w:r>
      <w:r>
        <w:rPr>
          <w:rFonts w:ascii="Times New Roman" w:eastAsia="仿宋_GB2312"/>
          <w:sz w:val="24"/>
          <w:szCs w:val="24"/>
        </w:rPr>
        <w:t>。</w:t>
      </w:r>
    </w:p>
    <w:p>
      <w:pPr>
        <w:spacing w:line="480" w:lineRule="exact"/>
        <w:ind w:firstLine="480" w:firstLineChars="200"/>
        <w:outlineLvl w:val="0"/>
        <w:rPr>
          <w:rFonts w:ascii="Times New Roman" w:eastAsia="黑体"/>
          <w:sz w:val="24"/>
          <w:szCs w:val="24"/>
        </w:rPr>
      </w:pPr>
      <w:r>
        <w:rPr>
          <w:rFonts w:ascii="Times New Roman" w:eastAsia="黑体"/>
          <w:sz w:val="24"/>
          <w:szCs w:val="24"/>
        </w:rPr>
        <w:t>13.6 竣工退场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13.6.1 竣工退场</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承包人完成竣工退场的期限：。</w:t>
      </w:r>
    </w:p>
    <w:p>
      <w:pPr>
        <w:pStyle w:val="4"/>
        <w:spacing w:line="480" w:lineRule="exact"/>
        <w:rPr>
          <w:rFonts w:ascii="Times New Roman" w:hAnsi="Times New Roman" w:eastAsia="黑体"/>
          <w:b w:val="0"/>
          <w:sz w:val="24"/>
          <w:szCs w:val="24"/>
        </w:rPr>
      </w:pPr>
      <w:bookmarkStart w:id="585" w:name="_Toc351203646"/>
      <w:r>
        <w:rPr>
          <w:rFonts w:ascii="Times New Roman" w:hAnsi="Times New Roman" w:eastAsia="黑体"/>
          <w:b w:val="0"/>
          <w:sz w:val="24"/>
          <w:szCs w:val="24"/>
        </w:rPr>
        <w:t>14. 竣工结算</w:t>
      </w:r>
      <w:bookmarkEnd w:id="585"/>
    </w:p>
    <w:p>
      <w:pPr>
        <w:spacing w:line="480" w:lineRule="exact"/>
        <w:ind w:firstLine="480" w:firstLineChars="200"/>
        <w:rPr>
          <w:rFonts w:ascii="Times New Roman" w:eastAsia="黑体"/>
          <w:sz w:val="24"/>
          <w:szCs w:val="24"/>
        </w:rPr>
      </w:pPr>
      <w:r>
        <w:rPr>
          <w:rFonts w:ascii="Times New Roman" w:eastAsia="黑体"/>
          <w:sz w:val="24"/>
          <w:szCs w:val="24"/>
        </w:rPr>
        <w:t>14.1 竣工</w:t>
      </w:r>
      <w:r>
        <w:rPr>
          <w:rFonts w:hint="eastAsia" w:ascii="Times New Roman" w:eastAsia="黑体"/>
          <w:sz w:val="24"/>
          <w:szCs w:val="24"/>
        </w:rPr>
        <w:t>结算</w:t>
      </w:r>
      <w:r>
        <w:rPr>
          <w:rFonts w:ascii="Times New Roman" w:eastAsia="黑体"/>
          <w:sz w:val="24"/>
          <w:szCs w:val="24"/>
        </w:rPr>
        <w:t>申请</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承包人提交竣工</w:t>
      </w:r>
      <w:r>
        <w:rPr>
          <w:rFonts w:hint="eastAsia" w:ascii="Times New Roman" w:eastAsia="仿宋_GB2312"/>
          <w:sz w:val="24"/>
          <w:szCs w:val="24"/>
        </w:rPr>
        <w:t>结算</w:t>
      </w:r>
      <w:r>
        <w:rPr>
          <w:rFonts w:ascii="Times New Roman" w:eastAsia="仿宋_GB2312"/>
          <w:sz w:val="24"/>
          <w:szCs w:val="24"/>
        </w:rPr>
        <w:t>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竣工</w:t>
      </w:r>
      <w:r>
        <w:rPr>
          <w:rFonts w:hint="eastAsia" w:ascii="Times New Roman" w:eastAsia="仿宋_GB2312"/>
          <w:sz w:val="24"/>
          <w:szCs w:val="24"/>
        </w:rPr>
        <w:t>结算</w:t>
      </w:r>
      <w:r>
        <w:rPr>
          <w:rFonts w:ascii="Times New Roman" w:eastAsia="仿宋_GB2312"/>
          <w:sz w:val="24"/>
          <w:szCs w:val="24"/>
        </w:rPr>
        <w:t>申请单应包括的内容：。</w:t>
      </w:r>
    </w:p>
    <w:p>
      <w:pPr>
        <w:spacing w:line="480" w:lineRule="exact"/>
        <w:ind w:firstLine="480" w:firstLineChars="200"/>
        <w:outlineLvl w:val="0"/>
        <w:rPr>
          <w:rFonts w:ascii="Times New Roman" w:eastAsia="黑体"/>
          <w:sz w:val="24"/>
          <w:szCs w:val="24"/>
        </w:rPr>
      </w:pPr>
      <w:r>
        <w:rPr>
          <w:rFonts w:ascii="Times New Roman" w:eastAsia="黑体"/>
          <w:sz w:val="24"/>
          <w:szCs w:val="24"/>
        </w:rPr>
        <w:t>14.2 竣工结算审核</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审批</w:t>
      </w:r>
      <w:r>
        <w:rPr>
          <w:rFonts w:ascii="Times New Roman" w:eastAsia="仿宋_GB2312"/>
          <w:sz w:val="24"/>
          <w:szCs w:val="24"/>
        </w:rPr>
        <w:t>竣工付款申请单的期限：。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发包人完成竣工付款的期限：。</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关于竣工付款证书异议部分复核的方式和程序：</w:t>
      </w:r>
      <w:r>
        <w:rPr>
          <w:rFonts w:ascii="Times New Roman" w:eastAsia="仿宋_GB2312"/>
          <w:sz w:val="24"/>
          <w:szCs w:val="24"/>
        </w:rPr>
        <w:t>。</w:t>
      </w:r>
    </w:p>
    <w:p>
      <w:pPr>
        <w:spacing w:line="480" w:lineRule="exact"/>
        <w:ind w:firstLine="480" w:firstLineChars="200"/>
        <w:rPr>
          <w:rFonts w:ascii="Times New Roman" w:eastAsia="黑体"/>
          <w:sz w:val="24"/>
          <w:szCs w:val="24"/>
        </w:rPr>
      </w:pPr>
      <w:r>
        <w:rPr>
          <w:rFonts w:ascii="Times New Roman" w:eastAsia="黑体"/>
          <w:sz w:val="24"/>
          <w:szCs w:val="24"/>
        </w:rPr>
        <w:t>14.4 最终结清</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14.4.1 最终结清申请单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承包人提交最终结清申请单的份数：。</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承包人提交最终结算申请单的期限：。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14.4.2 最终结清证书和支付</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（1）发包人完成最终结清申请单的</w:t>
      </w:r>
      <w:r>
        <w:rPr>
          <w:rFonts w:hint="eastAsia" w:ascii="Times New Roman" w:eastAsia="仿宋_GB2312"/>
          <w:sz w:val="24"/>
          <w:szCs w:val="24"/>
        </w:rPr>
        <w:t>审批</w:t>
      </w:r>
      <w:r>
        <w:rPr>
          <w:rFonts w:ascii="Times New Roman" w:eastAsia="仿宋_GB2312"/>
          <w:sz w:val="24"/>
          <w:szCs w:val="24"/>
        </w:rPr>
        <w:t>并颁发最终结清证书的期限：。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（2）发包人完成支付的期限：。</w:t>
      </w:r>
    </w:p>
    <w:bookmarkEnd w:id="572"/>
    <w:bookmarkEnd w:id="573"/>
    <w:bookmarkEnd w:id="574"/>
    <w:bookmarkEnd w:id="575"/>
    <w:bookmarkEnd w:id="576"/>
    <w:bookmarkEnd w:id="577"/>
    <w:bookmarkEnd w:id="578"/>
    <w:bookmarkEnd w:id="584"/>
    <w:p>
      <w:pPr>
        <w:pStyle w:val="4"/>
        <w:spacing w:line="480" w:lineRule="exact"/>
        <w:rPr>
          <w:rFonts w:ascii="Times New Roman" w:hAnsi="Times New Roman" w:eastAsia="黑体"/>
          <w:b w:val="0"/>
          <w:sz w:val="24"/>
          <w:szCs w:val="24"/>
        </w:rPr>
      </w:pPr>
      <w:bookmarkStart w:id="586" w:name="_Toc351203647"/>
      <w:bookmarkStart w:id="587" w:name="_Toc267251483"/>
      <w:bookmarkStart w:id="588" w:name="_Toc267251484"/>
      <w:bookmarkStart w:id="589" w:name="_Toc267251482"/>
      <w:bookmarkStart w:id="590" w:name="_Toc267251485"/>
      <w:bookmarkStart w:id="591" w:name="_Toc267251489"/>
      <w:bookmarkStart w:id="592" w:name="_Toc267251486"/>
      <w:bookmarkStart w:id="593" w:name="_Toc267251488"/>
      <w:bookmarkStart w:id="594" w:name="_Toc267251490"/>
      <w:bookmarkStart w:id="595" w:name="_Toc267251491"/>
      <w:bookmarkStart w:id="596" w:name="_Toc267251493"/>
      <w:bookmarkStart w:id="597" w:name="_Toc267251495"/>
      <w:bookmarkStart w:id="598" w:name="_Toc267251499"/>
      <w:bookmarkStart w:id="599" w:name="_Toc267251492"/>
      <w:bookmarkStart w:id="600" w:name="_Toc267251503"/>
      <w:bookmarkStart w:id="601" w:name="_Toc267251497"/>
      <w:bookmarkStart w:id="602" w:name="_Toc267251494"/>
      <w:bookmarkStart w:id="603" w:name="_Toc267251502"/>
      <w:bookmarkStart w:id="604" w:name="_Toc267251501"/>
      <w:bookmarkStart w:id="605" w:name="_Toc267251496"/>
      <w:bookmarkStart w:id="606" w:name="_Toc267251498"/>
      <w:bookmarkStart w:id="607" w:name="_Toc267251504"/>
      <w:bookmarkStart w:id="608" w:name="_Toc267251506"/>
      <w:bookmarkStart w:id="609" w:name="_Toc267251507"/>
      <w:bookmarkStart w:id="610" w:name="_Toc267251508"/>
      <w:bookmarkStart w:id="611" w:name="_Toc267251510"/>
      <w:bookmarkStart w:id="612" w:name="_Toc267251511"/>
      <w:bookmarkStart w:id="613" w:name="_Toc267251509"/>
      <w:bookmarkStart w:id="614" w:name="_Toc267251514"/>
      <w:bookmarkStart w:id="615" w:name="_Toc267251515"/>
      <w:bookmarkStart w:id="616" w:name="_Toc267251513"/>
      <w:r>
        <w:rPr>
          <w:rFonts w:ascii="Times New Roman" w:hAnsi="Times New Roman" w:eastAsia="黑体"/>
          <w:b w:val="0"/>
          <w:sz w:val="24"/>
          <w:szCs w:val="24"/>
        </w:rPr>
        <w:t>15. 缺陷责任期与保修</w:t>
      </w:r>
      <w:bookmarkEnd w:id="586"/>
    </w:p>
    <w:p>
      <w:pPr>
        <w:spacing w:line="480" w:lineRule="exact"/>
        <w:ind w:firstLine="480" w:firstLineChars="200"/>
        <w:rPr>
          <w:rFonts w:ascii="Times New Roman" w:eastAsia="黑体"/>
          <w:sz w:val="24"/>
          <w:szCs w:val="24"/>
        </w:rPr>
      </w:pPr>
      <w:r>
        <w:rPr>
          <w:rFonts w:ascii="Times New Roman" w:eastAsia="黑体"/>
          <w:sz w:val="24"/>
          <w:szCs w:val="24"/>
        </w:rPr>
        <w:t>15.2缺陷责任期</w:t>
      </w:r>
      <w:bookmarkEnd w:id="587"/>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缺陷责任期的具体期限：。</w:t>
      </w:r>
    </w:p>
    <w:p>
      <w:pPr>
        <w:spacing w:line="480" w:lineRule="exact"/>
        <w:ind w:firstLine="480" w:firstLineChars="200"/>
        <w:outlineLvl w:val="0"/>
        <w:rPr>
          <w:rFonts w:ascii="Times New Roman" w:eastAsia="黑体"/>
          <w:sz w:val="24"/>
          <w:szCs w:val="24"/>
        </w:rPr>
      </w:pPr>
      <w:r>
        <w:rPr>
          <w:rFonts w:ascii="Times New Roman" w:eastAsia="黑体"/>
          <w:sz w:val="24"/>
          <w:szCs w:val="24"/>
        </w:rPr>
        <w:t>15.3 质量保证金</w:t>
      </w:r>
    </w:p>
    <w:p>
      <w:pPr>
        <w:spacing w:line="480" w:lineRule="exact"/>
        <w:ind w:firstLine="480" w:firstLineChars="200"/>
        <w:jc w:val="left"/>
        <w:rPr>
          <w:rFonts w:ascii="Times New Roman" w:eastAsia="仿宋_GB2312"/>
          <w:sz w:val="24"/>
          <w:szCs w:val="24"/>
        </w:rPr>
      </w:pPr>
      <w:r>
        <w:rPr>
          <w:rFonts w:hint="eastAsia" w:ascii="Times New Roman" w:eastAsia="仿宋_GB2312"/>
          <w:sz w:val="24"/>
          <w:szCs w:val="24"/>
        </w:rPr>
        <w:t>关于是否扣留质量保证金的约定：</w:t>
      </w:r>
      <w:r>
        <w:rPr>
          <w:rFonts w:ascii="Times New Roman" w:eastAsia="仿宋_GB2312"/>
          <w:sz w:val="24"/>
          <w:szCs w:val="24"/>
        </w:rPr>
        <w:t>。</w:t>
      </w:r>
      <w:r>
        <w:rPr>
          <w:rFonts w:hint="eastAsia" w:eastAsia="仿宋_GB2312"/>
          <w:sz w:val="24"/>
          <w:szCs w:val="24"/>
        </w:rPr>
        <w:t>在工程项目竣工前，承包人按专用合同条款第3.7条提供履约担保的，发包人不得同时预留工程质量保证金。</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 xml:space="preserve">15.3.1 </w:t>
      </w:r>
      <w:r>
        <w:rPr>
          <w:rFonts w:hint="eastAsia" w:ascii="Times New Roman" w:eastAsia="仿宋_GB2312"/>
          <w:sz w:val="24"/>
          <w:szCs w:val="24"/>
        </w:rPr>
        <w:t>承包人提供</w:t>
      </w:r>
      <w:r>
        <w:rPr>
          <w:rFonts w:ascii="Times New Roman" w:eastAsia="仿宋_GB2312"/>
          <w:sz w:val="24"/>
          <w:szCs w:val="24"/>
        </w:rPr>
        <w:t>质量保证金的</w:t>
      </w:r>
      <w:r>
        <w:rPr>
          <w:rFonts w:hint="eastAsia" w:ascii="Times New Roman" w:eastAsia="仿宋_GB2312"/>
          <w:sz w:val="24"/>
          <w:szCs w:val="24"/>
        </w:rPr>
        <w:t>方</w:t>
      </w:r>
      <w:r>
        <w:rPr>
          <w:rFonts w:ascii="Times New Roman" w:eastAsia="仿宋_GB2312"/>
          <w:sz w:val="24"/>
          <w:szCs w:val="24"/>
        </w:rPr>
        <w:t>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质量保证金采用以下第种方式：</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（1）质量保证金保函，保证金额为：；</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（2）%的工程款；</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（3）其他</w:t>
      </w:r>
      <w:r>
        <w:rPr>
          <w:rFonts w:hint="eastAsia" w:ascii="Times New Roman" w:eastAsia="仿宋_GB2312"/>
          <w:sz w:val="24"/>
          <w:szCs w:val="24"/>
        </w:rPr>
        <w:t>方</w:t>
      </w:r>
      <w:r>
        <w:rPr>
          <w:rFonts w:ascii="Times New Roman" w:eastAsia="仿宋_GB2312"/>
          <w:sz w:val="24"/>
          <w:szCs w:val="24"/>
        </w:rPr>
        <w:t>式:。</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15.3.2 质量保证金的扣留</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质量保证金的扣留采取以下第种方式：</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（2）工程竣工结算时一次性扣留质量保证金；</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（3）其他扣留方式:。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关于质量保证金的补充约定：。</w:t>
      </w:r>
    </w:p>
    <w:bookmarkEnd w:id="588"/>
    <w:bookmarkEnd w:id="589"/>
    <w:p>
      <w:pPr>
        <w:spacing w:line="480" w:lineRule="exact"/>
        <w:ind w:firstLine="480" w:firstLineChars="200"/>
        <w:rPr>
          <w:rFonts w:ascii="Times New Roman" w:eastAsia="黑体"/>
          <w:sz w:val="24"/>
          <w:szCs w:val="24"/>
        </w:rPr>
      </w:pPr>
      <w:r>
        <w:rPr>
          <w:rFonts w:ascii="Times New Roman" w:eastAsia="黑体"/>
          <w:sz w:val="24"/>
          <w:szCs w:val="24"/>
        </w:rPr>
        <w:t>15.4保修</w:t>
      </w:r>
    </w:p>
    <w:bookmarkEnd w:id="590"/>
    <w:p>
      <w:pPr>
        <w:spacing w:line="480" w:lineRule="exact"/>
        <w:ind w:firstLine="468" w:firstLineChars="195"/>
        <w:jc w:val="left"/>
        <w:rPr>
          <w:rFonts w:ascii="Times New Roman" w:eastAsia="仿宋_GB2312"/>
          <w:sz w:val="24"/>
          <w:szCs w:val="24"/>
        </w:rPr>
      </w:pPr>
      <w:r>
        <w:rPr>
          <w:rFonts w:ascii="Times New Roman" w:eastAsia="仿宋_GB2312"/>
          <w:sz w:val="24"/>
          <w:szCs w:val="24"/>
        </w:rPr>
        <w:t>15.4.1 保修责任</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工程保修期为：。</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15.4.3 修复通知</w:t>
      </w:r>
    </w:p>
    <w:p>
      <w:pPr>
        <w:spacing w:line="480" w:lineRule="exact"/>
        <w:ind w:firstLine="468" w:firstLineChars="195"/>
        <w:jc w:val="left"/>
        <w:rPr>
          <w:rFonts w:ascii="Times New Roman" w:eastAsia="仿宋_GB2312"/>
          <w:sz w:val="24"/>
          <w:szCs w:val="24"/>
        </w:rPr>
      </w:pPr>
      <w:r>
        <w:rPr>
          <w:rFonts w:ascii="Times New Roman" w:eastAsia="仿宋_GB2312"/>
          <w:sz w:val="24"/>
          <w:szCs w:val="24"/>
        </w:rPr>
        <w:t>承包人收到保修通知并到达工程现场的合理时间：。</w:t>
      </w:r>
    </w:p>
    <w:bookmarkEnd w:id="591"/>
    <w:bookmarkEnd w:id="592"/>
    <w:bookmarkEnd w:id="593"/>
    <w:bookmarkEnd w:id="594"/>
    <w:p>
      <w:pPr>
        <w:pStyle w:val="4"/>
        <w:spacing w:line="480" w:lineRule="exact"/>
        <w:rPr>
          <w:rFonts w:ascii="Times New Roman" w:hAnsi="Times New Roman" w:eastAsia="黑体"/>
          <w:b w:val="0"/>
          <w:sz w:val="24"/>
          <w:szCs w:val="24"/>
        </w:rPr>
      </w:pPr>
      <w:bookmarkStart w:id="617" w:name="_Toc351203648"/>
      <w:bookmarkStart w:id="618" w:name="_Toc280868717"/>
      <w:bookmarkStart w:id="619" w:name="_Toc280868718"/>
      <w:r>
        <w:rPr>
          <w:rFonts w:ascii="Times New Roman" w:hAnsi="Times New Roman" w:eastAsia="黑体"/>
          <w:b w:val="0"/>
          <w:sz w:val="24"/>
          <w:szCs w:val="24"/>
        </w:rPr>
        <w:t>16. 违约</w:t>
      </w:r>
      <w:bookmarkEnd w:id="617"/>
    </w:p>
    <w:p>
      <w:pPr>
        <w:spacing w:line="480" w:lineRule="exact"/>
        <w:ind w:firstLine="480" w:firstLineChars="200"/>
        <w:outlineLvl w:val="0"/>
        <w:rPr>
          <w:rFonts w:ascii="Times New Roman" w:eastAsia="黑体"/>
          <w:sz w:val="24"/>
          <w:szCs w:val="24"/>
        </w:rPr>
      </w:pPr>
      <w:r>
        <w:rPr>
          <w:rFonts w:ascii="Times New Roman" w:eastAsia="黑体"/>
          <w:sz w:val="24"/>
          <w:szCs w:val="24"/>
        </w:rPr>
        <w:t>16.1 发包人违约</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16.1.1发包人违约的情形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发包人违约的其他情形：。</w:t>
      </w:r>
    </w:p>
    <w:p>
      <w:pPr>
        <w:spacing w:line="480" w:lineRule="exact"/>
        <w:ind w:left="1200" w:hanging="1200" w:hangingChars="500"/>
        <w:jc w:val="left"/>
        <w:rPr>
          <w:rFonts w:ascii="Times New Roman" w:eastAsia="仿宋_GB2312"/>
          <w:sz w:val="24"/>
          <w:szCs w:val="24"/>
        </w:rPr>
      </w:pPr>
      <w:r>
        <w:rPr>
          <w:rFonts w:ascii="Times New Roman" w:eastAsia="仿宋_GB2312"/>
          <w:sz w:val="24"/>
          <w:szCs w:val="24"/>
        </w:rPr>
        <w:t xml:space="preserve">    16.1.2 发包人违约的责任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发包人违约责任的承担方式和计算方法：</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（1）因发包人原因未能在计划开工日期前7天内下达开工通知的违约责任：。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（2）因发包人原因未能按合同约定支付合同价款的违约责任：。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（3）发包人违反第10.1款</w:t>
      </w:r>
      <w:r>
        <w:rPr>
          <w:rFonts w:hint="eastAsia" w:ascii="Times New Roman" w:eastAsia="仿宋_GB2312"/>
          <w:sz w:val="24"/>
          <w:szCs w:val="24"/>
        </w:rPr>
        <w:t>〔</w:t>
      </w:r>
      <w:r>
        <w:rPr>
          <w:rFonts w:ascii="Times New Roman" w:eastAsia="仿宋_GB2312"/>
          <w:sz w:val="24"/>
          <w:szCs w:val="24"/>
        </w:rPr>
        <w:t>变更的范围</w:t>
      </w:r>
      <w:r>
        <w:rPr>
          <w:rFonts w:hint="eastAsia" w:ascii="Times New Roman" w:eastAsia="仿宋_GB2312"/>
          <w:sz w:val="24"/>
          <w:szCs w:val="24"/>
        </w:rPr>
        <w:t>〕</w:t>
      </w:r>
      <w:r>
        <w:rPr>
          <w:rFonts w:ascii="Times New Roman" w:eastAsia="仿宋_GB2312"/>
          <w:sz w:val="24"/>
          <w:szCs w:val="24"/>
        </w:rPr>
        <w:t>第（2）项约定，自行实施被取消的工作或转由他人实施的违约责任：。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（5）因发包人违反合同约定造成暂停施工的违约责任：。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（6）发包人无正当理由没有在约定期限内发出复工指示，导致承包人无法复工的违约责任：。</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（7）</w:t>
      </w:r>
      <w:r>
        <w:rPr>
          <w:rFonts w:hint="eastAsia" w:ascii="Times New Roman" w:eastAsia="仿宋_GB2312"/>
          <w:sz w:val="24"/>
          <w:szCs w:val="24"/>
        </w:rPr>
        <w:t>其他：</w:t>
      </w:r>
      <w:r>
        <w:rPr>
          <w:rFonts w:ascii="Times New Roman" w:eastAsia="仿宋_GB2312"/>
          <w:sz w:val="24"/>
          <w:szCs w:val="24"/>
        </w:rPr>
        <w:t>。</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16.1.3 因发包人违约解除合同</w:t>
      </w:r>
    </w:p>
    <w:p>
      <w:pPr>
        <w:autoSpaceDE w:val="0"/>
        <w:autoSpaceDN w:val="0"/>
        <w:adjustRightInd w:val="0"/>
        <w:spacing w:line="480" w:lineRule="exact"/>
        <w:ind w:firstLine="480" w:firstLineChars="200"/>
        <w:jc w:val="left"/>
        <w:rPr>
          <w:rFonts w:ascii="Times New Roman" w:eastAsia="仿宋_GB2312"/>
          <w:sz w:val="24"/>
          <w:szCs w:val="24"/>
        </w:rPr>
      </w:pPr>
      <w:r>
        <w:rPr>
          <w:rFonts w:ascii="Times New Roman" w:eastAsia="仿宋_GB2312"/>
          <w:sz w:val="24"/>
          <w:szCs w:val="24"/>
        </w:rPr>
        <w:t>承包人按16.1.1项</w:t>
      </w:r>
      <w:r>
        <w:rPr>
          <w:rFonts w:hint="eastAsia" w:ascii="Times New Roman" w:eastAsia="仿宋_GB2312"/>
          <w:sz w:val="24"/>
          <w:szCs w:val="24"/>
        </w:rPr>
        <w:t>〔</w:t>
      </w:r>
      <w:r>
        <w:rPr>
          <w:rFonts w:ascii="Times New Roman" w:eastAsia="仿宋_GB2312"/>
          <w:sz w:val="24"/>
          <w:szCs w:val="24"/>
        </w:rPr>
        <w:t>发包人违约的情形</w:t>
      </w:r>
      <w:r>
        <w:rPr>
          <w:rFonts w:hint="eastAsia" w:ascii="Times New Roman" w:eastAsia="仿宋_GB2312"/>
          <w:sz w:val="24"/>
          <w:szCs w:val="24"/>
        </w:rPr>
        <w:t>〕</w:t>
      </w:r>
      <w:r>
        <w:rPr>
          <w:rFonts w:ascii="Times New Roman" w:eastAsia="仿宋_GB2312"/>
          <w:sz w:val="24"/>
          <w:szCs w:val="24"/>
        </w:rPr>
        <w:t>约定暂停施工满天后发包人仍不纠正其违约行为并致使合同目的不能实现的，承包人有权解除合同。</w:t>
      </w:r>
    </w:p>
    <w:p>
      <w:pPr>
        <w:spacing w:line="480" w:lineRule="exact"/>
        <w:ind w:firstLine="480" w:firstLineChars="200"/>
        <w:outlineLvl w:val="0"/>
        <w:rPr>
          <w:rFonts w:ascii="Times New Roman" w:eastAsia="黑体"/>
          <w:sz w:val="24"/>
          <w:szCs w:val="24"/>
        </w:rPr>
      </w:pPr>
      <w:r>
        <w:rPr>
          <w:rFonts w:ascii="Times New Roman" w:eastAsia="黑体"/>
          <w:sz w:val="24"/>
          <w:szCs w:val="24"/>
        </w:rPr>
        <w:t>16.2 承包人违约</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16.2.1 承包人违约的情形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承包人违约的其他情形：。</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16.2.2承包人违约的责任</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承包人违约责任的承担方式和计算方法：。</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16.2.3 因承包人违约解除合同</w:t>
      </w:r>
    </w:p>
    <w:p>
      <w:pPr>
        <w:spacing w:before="120" w:after="120" w:line="480" w:lineRule="exact"/>
        <w:ind w:firstLine="480" w:firstLineChars="200"/>
        <w:rPr>
          <w:rFonts w:ascii="Times New Roman" w:eastAsia="仿宋_GB2312"/>
          <w:sz w:val="24"/>
          <w:szCs w:val="24"/>
        </w:rPr>
      </w:pPr>
      <w:r>
        <w:rPr>
          <w:rFonts w:ascii="Times New Roman" w:eastAsia="仿宋_GB2312"/>
          <w:sz w:val="24"/>
          <w:szCs w:val="24"/>
        </w:rPr>
        <w:t>关于承包人违约解除合同的特别约定：。</w:t>
      </w:r>
    </w:p>
    <w:p>
      <w:pPr>
        <w:spacing w:before="120" w:after="120" w:line="480" w:lineRule="exact"/>
        <w:ind w:firstLine="480" w:firstLineChars="200"/>
        <w:rPr>
          <w:rFonts w:ascii="Times New Roman" w:eastAsia="仿宋_GB2312"/>
          <w:sz w:val="24"/>
          <w:szCs w:val="24"/>
        </w:rPr>
      </w:pPr>
      <w:r>
        <w:rPr>
          <w:rFonts w:ascii="Times New Roman" w:eastAsia="仿宋_GB2312"/>
          <w:sz w:val="24"/>
          <w:szCs w:val="24"/>
        </w:rPr>
        <w:t>发包人</w:t>
      </w:r>
      <w:r>
        <w:rPr>
          <w:rFonts w:hint="eastAsia" w:ascii="Times New Roman" w:eastAsia="仿宋_GB2312"/>
          <w:sz w:val="24"/>
          <w:szCs w:val="24"/>
        </w:rPr>
        <w:t>继续</w:t>
      </w:r>
      <w:r>
        <w:rPr>
          <w:rFonts w:ascii="Times New Roman" w:eastAsia="仿宋_GB2312"/>
          <w:sz w:val="24"/>
          <w:szCs w:val="24"/>
        </w:rPr>
        <w:t>使用承包人在施工现场的材料、设备、临时工程、承包人文件和由承包人或以其名义编制的其他文件</w:t>
      </w:r>
      <w:r>
        <w:rPr>
          <w:rFonts w:hint="eastAsia" w:ascii="Times New Roman" w:eastAsia="仿宋_GB2312"/>
          <w:sz w:val="24"/>
          <w:szCs w:val="24"/>
        </w:rPr>
        <w:t>的费用承担方式</w:t>
      </w:r>
      <w:r>
        <w:rPr>
          <w:rFonts w:ascii="Times New Roman" w:eastAsia="仿宋_GB2312"/>
          <w:sz w:val="24"/>
          <w:szCs w:val="24"/>
        </w:rPr>
        <w:t>：</w:t>
      </w:r>
      <w:r>
        <w:rPr>
          <w:rFonts w:hint="eastAsia" w:ascii="Times New Roman" w:eastAsia="仿宋_GB2312"/>
          <w:sz w:val="24"/>
          <w:szCs w:val="24"/>
        </w:rPr>
        <w:t>。</w:t>
      </w:r>
    </w:p>
    <w:p>
      <w:pPr>
        <w:pStyle w:val="4"/>
        <w:spacing w:line="480" w:lineRule="exact"/>
        <w:rPr>
          <w:rFonts w:ascii="Times New Roman" w:hAnsi="Times New Roman" w:eastAsia="黑体"/>
          <w:b w:val="0"/>
          <w:sz w:val="24"/>
          <w:szCs w:val="24"/>
        </w:rPr>
      </w:pPr>
      <w:bookmarkStart w:id="620" w:name="_Toc351203649"/>
      <w:r>
        <w:rPr>
          <w:rFonts w:ascii="Times New Roman" w:hAnsi="Times New Roman" w:eastAsia="黑体"/>
          <w:b w:val="0"/>
          <w:sz w:val="24"/>
          <w:szCs w:val="24"/>
        </w:rPr>
        <w:t>17. 不可抗力</w:t>
      </w:r>
      <w:bookmarkEnd w:id="618"/>
      <w:bookmarkEnd w:id="620"/>
    </w:p>
    <w:p>
      <w:pPr>
        <w:spacing w:line="480" w:lineRule="exact"/>
        <w:ind w:firstLine="480" w:firstLineChars="200"/>
        <w:rPr>
          <w:rFonts w:ascii="Times New Roman" w:eastAsia="黑体"/>
          <w:sz w:val="24"/>
          <w:szCs w:val="24"/>
        </w:rPr>
      </w:pPr>
      <w:r>
        <w:rPr>
          <w:rFonts w:ascii="Times New Roman" w:eastAsia="黑体"/>
          <w:sz w:val="24"/>
          <w:szCs w:val="24"/>
        </w:rPr>
        <w:t>17.1 不可抗力的确认</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除通用合同条款约定的不可抗力事件之外，视为不可抗力的其他情形：。</w:t>
      </w:r>
    </w:p>
    <w:p>
      <w:pPr>
        <w:spacing w:line="480" w:lineRule="exact"/>
        <w:ind w:firstLine="480" w:firstLineChars="200"/>
        <w:outlineLvl w:val="0"/>
        <w:rPr>
          <w:rFonts w:ascii="Times New Roman" w:eastAsia="黑体"/>
          <w:sz w:val="24"/>
          <w:szCs w:val="24"/>
        </w:rPr>
      </w:pPr>
      <w:r>
        <w:rPr>
          <w:rFonts w:ascii="Times New Roman" w:eastAsia="黑体"/>
          <w:sz w:val="24"/>
          <w:szCs w:val="24"/>
        </w:rPr>
        <w:t>17.4 因不可抗力解除合同</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合同解除后，发包人应在商定或确定发包人应支付款项后天内完成款项的支付。</w:t>
      </w:r>
    </w:p>
    <w:p>
      <w:pPr>
        <w:pStyle w:val="4"/>
        <w:spacing w:line="480" w:lineRule="exact"/>
        <w:rPr>
          <w:rFonts w:ascii="Times New Roman" w:hAnsi="Times New Roman" w:eastAsia="黑体"/>
          <w:b w:val="0"/>
          <w:sz w:val="24"/>
          <w:szCs w:val="24"/>
        </w:rPr>
      </w:pPr>
      <w:bookmarkStart w:id="621" w:name="_Toc351203650"/>
      <w:r>
        <w:rPr>
          <w:rFonts w:ascii="Times New Roman" w:hAnsi="Times New Roman" w:eastAsia="黑体"/>
          <w:b w:val="0"/>
          <w:sz w:val="24"/>
          <w:szCs w:val="24"/>
        </w:rPr>
        <w:t>18. 保险</w:t>
      </w:r>
      <w:bookmarkEnd w:id="621"/>
    </w:p>
    <w:bookmarkEnd w:id="619"/>
    <w:p>
      <w:pPr>
        <w:spacing w:line="480" w:lineRule="exact"/>
        <w:ind w:firstLine="480" w:firstLineChars="200"/>
        <w:rPr>
          <w:rFonts w:ascii="Times New Roman" w:eastAsia="黑体"/>
          <w:sz w:val="24"/>
          <w:szCs w:val="24"/>
        </w:rPr>
      </w:pPr>
      <w:r>
        <w:rPr>
          <w:rFonts w:ascii="Times New Roman" w:eastAsia="黑体"/>
          <w:sz w:val="24"/>
          <w:szCs w:val="24"/>
        </w:rPr>
        <w:t>18.1 工程保险</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关于工程保险的特别约定：。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18.3 其他保险</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关于其他保险的约定：。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承包人是否应为其施工设备等办理财产保险：。</w:t>
      </w:r>
    </w:p>
    <w:p>
      <w:pPr>
        <w:spacing w:line="480" w:lineRule="exact"/>
        <w:ind w:firstLine="480" w:firstLineChars="200"/>
        <w:rPr>
          <w:rFonts w:ascii="Times New Roman" w:eastAsia="黑体"/>
          <w:sz w:val="24"/>
          <w:szCs w:val="24"/>
        </w:rPr>
      </w:pPr>
      <w:r>
        <w:rPr>
          <w:rFonts w:ascii="Times New Roman" w:eastAsia="黑体"/>
          <w:sz w:val="24"/>
          <w:szCs w:val="24"/>
        </w:rPr>
        <w:t>18.7 通知义务</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关于变更保险合同时的通知义务的约定：。</w:t>
      </w:r>
    </w:p>
    <w:bookmarkEnd w:id="595"/>
    <w:bookmarkEnd w:id="596"/>
    <w:bookmarkEnd w:id="597"/>
    <w:bookmarkEnd w:id="598"/>
    <w:bookmarkEnd w:id="599"/>
    <w:bookmarkEnd w:id="600"/>
    <w:bookmarkEnd w:id="601"/>
    <w:bookmarkEnd w:id="602"/>
    <w:bookmarkEnd w:id="603"/>
    <w:bookmarkEnd w:id="604"/>
    <w:bookmarkEnd w:id="605"/>
    <w:bookmarkEnd w:id="606"/>
    <w:p>
      <w:pPr>
        <w:pStyle w:val="4"/>
        <w:spacing w:line="480" w:lineRule="exact"/>
        <w:rPr>
          <w:rFonts w:ascii="Times New Roman" w:hAnsi="Times New Roman" w:eastAsia="黑体"/>
          <w:b w:val="0"/>
          <w:sz w:val="24"/>
          <w:szCs w:val="24"/>
        </w:rPr>
      </w:pPr>
      <w:bookmarkStart w:id="622" w:name="_Toc351203651"/>
      <w:r>
        <w:rPr>
          <w:rFonts w:ascii="Times New Roman" w:hAnsi="Times New Roman" w:eastAsia="黑体"/>
          <w:b w:val="0"/>
          <w:sz w:val="24"/>
          <w:szCs w:val="24"/>
        </w:rPr>
        <w:t>20. 争议解决</w:t>
      </w:r>
      <w:bookmarkEnd w:id="622"/>
    </w:p>
    <w:bookmarkEnd w:id="607"/>
    <w:bookmarkEnd w:id="608"/>
    <w:p>
      <w:pPr>
        <w:spacing w:line="480" w:lineRule="exact"/>
        <w:ind w:firstLine="480" w:firstLineChars="200"/>
        <w:outlineLvl w:val="0"/>
        <w:rPr>
          <w:rFonts w:ascii="Times New Roman" w:eastAsia="黑体"/>
          <w:sz w:val="24"/>
          <w:szCs w:val="24"/>
        </w:rPr>
      </w:pPr>
      <w:r>
        <w:rPr>
          <w:rFonts w:ascii="Times New Roman" w:eastAsia="黑体"/>
          <w:sz w:val="24"/>
          <w:szCs w:val="24"/>
        </w:rPr>
        <w:t>20.3 争</w:t>
      </w:r>
      <w:bookmarkEnd w:id="609"/>
      <w:r>
        <w:rPr>
          <w:rFonts w:ascii="Times New Roman" w:eastAsia="黑体"/>
          <w:sz w:val="24"/>
          <w:szCs w:val="24"/>
        </w:rPr>
        <w:t>议评审</w:t>
      </w:r>
    </w:p>
    <w:p>
      <w:pPr>
        <w:spacing w:line="480" w:lineRule="exact"/>
        <w:ind w:left="241" w:leftChars="71" w:firstLine="360" w:firstLineChars="150"/>
        <w:jc w:val="left"/>
        <w:rPr>
          <w:rFonts w:ascii="Times New Roman" w:eastAsia="仿宋_GB2312"/>
          <w:sz w:val="24"/>
          <w:szCs w:val="24"/>
        </w:rPr>
      </w:pPr>
      <w:r>
        <w:rPr>
          <w:rFonts w:ascii="Times New Roman" w:eastAsia="仿宋_GB2312"/>
          <w:sz w:val="24"/>
          <w:szCs w:val="24"/>
        </w:rPr>
        <w:t>合同当事人是否同意将工程争议提交争议评审小组决</w:t>
      </w:r>
      <w:r>
        <w:rPr>
          <w:rFonts w:hint="eastAsia" w:ascii="Times New Roman" w:eastAsia="仿宋_GB2312"/>
          <w:sz w:val="24"/>
          <w:szCs w:val="24"/>
        </w:rPr>
        <w:t>定：。</w:t>
      </w:r>
    </w:p>
    <w:p>
      <w:pPr>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20.3.1 争议评审小组的确定</w:t>
      </w:r>
    </w:p>
    <w:p>
      <w:pPr>
        <w:spacing w:line="480" w:lineRule="exact"/>
        <w:ind w:firstLine="480" w:firstLineChars="200"/>
        <w:jc w:val="left"/>
        <w:rPr>
          <w:rFonts w:ascii="Times New Roman" w:eastAsia="仿宋_GB2312"/>
          <w:sz w:val="24"/>
          <w:szCs w:val="24"/>
          <w:u w:val="single"/>
        </w:rPr>
      </w:pPr>
      <w:r>
        <w:rPr>
          <w:rFonts w:ascii="Times New Roman" w:eastAsia="仿宋_GB2312"/>
          <w:sz w:val="24"/>
          <w:szCs w:val="24"/>
        </w:rPr>
        <w:t>争议评审小组成员的确定：。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选定争议评审员的期限：。</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争议评审小组成员的报酬承担方式：。</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其他事项的约定：。</w:t>
      </w:r>
    </w:p>
    <w:p>
      <w:pPr>
        <w:autoSpaceDE w:val="0"/>
        <w:autoSpaceDN w:val="0"/>
        <w:adjustRightInd w:val="0"/>
        <w:spacing w:line="480" w:lineRule="exact"/>
        <w:ind w:firstLine="480" w:firstLineChars="200"/>
        <w:jc w:val="left"/>
        <w:outlineLvl w:val="0"/>
        <w:rPr>
          <w:rFonts w:ascii="Times New Roman" w:eastAsia="仿宋_GB2312"/>
          <w:sz w:val="24"/>
          <w:szCs w:val="24"/>
        </w:rPr>
      </w:pPr>
      <w:r>
        <w:rPr>
          <w:rFonts w:ascii="Times New Roman" w:eastAsia="仿宋_GB2312"/>
          <w:sz w:val="24"/>
          <w:szCs w:val="24"/>
        </w:rPr>
        <w:t>20.3.2 争议评审小组的决定</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合同当事人关于本项的约定：。</w:t>
      </w:r>
    </w:p>
    <w:p>
      <w:pPr>
        <w:spacing w:line="480" w:lineRule="exact"/>
        <w:ind w:firstLine="480" w:firstLineChars="200"/>
        <w:outlineLvl w:val="0"/>
        <w:rPr>
          <w:rFonts w:ascii="Times New Roman" w:eastAsia="黑体"/>
          <w:sz w:val="24"/>
          <w:szCs w:val="24"/>
        </w:rPr>
      </w:pPr>
      <w:r>
        <w:rPr>
          <w:rFonts w:ascii="Times New Roman" w:eastAsia="黑体"/>
          <w:sz w:val="24"/>
          <w:szCs w:val="24"/>
        </w:rPr>
        <w:t>20.4仲裁或诉讼</w:t>
      </w:r>
      <w:bookmarkEnd w:id="610"/>
    </w:p>
    <w:p>
      <w:pPr>
        <w:spacing w:after="120" w:line="480" w:lineRule="exact"/>
        <w:ind w:firstLine="480" w:firstLineChars="200"/>
        <w:rPr>
          <w:rFonts w:ascii="Times New Roman" w:eastAsia="黑体"/>
          <w:sz w:val="24"/>
          <w:szCs w:val="24"/>
        </w:rPr>
      </w:pPr>
      <w:r>
        <w:rPr>
          <w:rFonts w:ascii="Times New Roman" w:eastAsia="仿宋_GB2312"/>
          <w:sz w:val="24"/>
          <w:szCs w:val="24"/>
        </w:rPr>
        <w:t>因合同及合同有关事项发生的争议，按下列第种方式</w:t>
      </w:r>
      <w:r>
        <w:rPr>
          <w:rFonts w:hint="eastAsia" w:ascii="Times New Roman" w:eastAsia="仿宋_GB2312"/>
          <w:sz w:val="24"/>
          <w:szCs w:val="24"/>
        </w:rPr>
        <w:t>解</w:t>
      </w:r>
      <w:r>
        <w:rPr>
          <w:rFonts w:ascii="Times New Roman" w:eastAsia="仿宋_GB2312"/>
          <w:sz w:val="24"/>
          <w:szCs w:val="24"/>
        </w:rPr>
        <w:t>决：</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（1）向仲裁委员会申请仲裁；</w:t>
      </w:r>
    </w:p>
    <w:p>
      <w:pPr>
        <w:spacing w:line="480" w:lineRule="exact"/>
        <w:ind w:firstLine="480" w:firstLineChars="200"/>
        <w:jc w:val="left"/>
        <w:rPr>
          <w:rFonts w:ascii="Times New Roman" w:eastAsia="仿宋_GB2312"/>
          <w:sz w:val="24"/>
          <w:szCs w:val="24"/>
        </w:rPr>
      </w:pPr>
      <w:r>
        <w:rPr>
          <w:rFonts w:ascii="Times New Roman" w:eastAsia="仿宋_GB2312"/>
          <w:sz w:val="24"/>
          <w:szCs w:val="24"/>
        </w:rPr>
        <w:t>（2）向人民法院起诉。</w:t>
      </w:r>
      <w:bookmarkEnd w:id="611"/>
      <w:bookmarkEnd w:id="612"/>
      <w:bookmarkEnd w:id="613"/>
      <w:bookmarkEnd w:id="614"/>
      <w:bookmarkEnd w:id="615"/>
      <w:bookmarkEnd w:id="616"/>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（2）依据《建设工程工程量清单计价规范（GB50500-2013）》、《</w:t>
      </w:r>
      <w:r>
        <w:rPr>
          <w:rFonts w:hint="eastAsia" w:hAnsi="宋体" w:cs="宋体"/>
          <w:sz w:val="24"/>
          <w:lang w:eastAsia="zh-CN"/>
        </w:rPr>
        <w:t>河南省房屋建筑与装饰工程预算定额</w:t>
      </w:r>
      <w:r>
        <w:rPr>
          <w:rFonts w:hint="eastAsia" w:hAnsi="宋体" w:cs="宋体"/>
          <w:sz w:val="24"/>
        </w:rPr>
        <w:t>》（</w:t>
      </w:r>
      <w:r>
        <w:rPr>
          <w:rFonts w:hint="eastAsia" w:hAnsi="宋体" w:cs="宋体"/>
          <w:sz w:val="24"/>
          <w:lang w:val="en-US" w:eastAsia="zh-CN"/>
        </w:rPr>
        <w:t>HA 01-31-2016</w:t>
      </w:r>
      <w:r>
        <w:rPr>
          <w:rFonts w:hint="eastAsia" w:hAnsi="宋体" w:cs="宋体"/>
          <w:sz w:val="24"/>
        </w:rPr>
        <w:t>）以及省市相关配套文件；</w:t>
      </w:r>
    </w:p>
    <w:p>
      <w:pPr>
        <w:spacing w:line="440" w:lineRule="exact"/>
        <w:ind w:left="237" w:leftChars="70"/>
        <w:rPr>
          <w:rFonts w:hAnsi="宋体" w:cs="宋体"/>
          <w:sz w:val="24"/>
        </w:rPr>
      </w:pPr>
      <w:r>
        <w:rPr>
          <w:rFonts w:hint="eastAsia" w:hAnsi="宋体" w:cs="宋体"/>
          <w:sz w:val="24"/>
        </w:rPr>
        <w:t>（3）材料价格依据《许昌工程造价信息》2019年</w:t>
      </w:r>
      <w:r>
        <w:rPr>
          <w:rFonts w:hint="eastAsia" w:hAnsi="宋体" w:cs="宋体"/>
          <w:sz w:val="24"/>
          <w:lang w:eastAsia="zh-CN"/>
        </w:rPr>
        <w:t>第四期</w:t>
      </w:r>
      <w:r>
        <w:rPr>
          <w:rFonts w:hint="eastAsia" w:hAnsi="宋体" w:cs="宋体"/>
          <w:sz w:val="24"/>
          <w:lang w:val="en-US" w:eastAsia="zh-CN"/>
        </w:rPr>
        <w:t>8月份信息价，部分材料按</w:t>
      </w:r>
      <w:r>
        <w:rPr>
          <w:rFonts w:hint="eastAsia" w:hAnsi="宋体" w:cs="宋体"/>
          <w:sz w:val="24"/>
        </w:rPr>
        <w:t>市场询价。</w:t>
      </w:r>
    </w:p>
    <w:p>
      <w:pPr>
        <w:spacing w:line="440" w:lineRule="exact"/>
        <w:ind w:firstLine="240" w:firstLineChars="100"/>
        <w:rPr>
          <w:rFonts w:hAnsi="宋体" w:cs="宋体"/>
          <w:sz w:val="24"/>
        </w:rPr>
      </w:pPr>
      <w:r>
        <w:rPr>
          <w:rFonts w:hint="eastAsia" w:hAnsi="宋体" w:cs="宋体"/>
          <w:sz w:val="24"/>
        </w:rPr>
        <w:t>（4）价格指数按河南省第五期价格指数</w:t>
      </w:r>
      <w:r>
        <w:rPr>
          <w:rFonts w:hint="eastAsia" w:hAnsi="宋体" w:cs="宋体"/>
          <w:sz w:val="24"/>
          <w:lang w:eastAsia="zh-CN"/>
        </w:rPr>
        <w:t>计入</w:t>
      </w:r>
      <w:r>
        <w:rPr>
          <w:rFonts w:hint="eastAsia" w:hAnsi="宋体" w:cs="宋体"/>
          <w:sz w:val="24"/>
        </w:rPr>
        <w:t>；</w:t>
      </w:r>
    </w:p>
    <w:p>
      <w:pPr>
        <w:spacing w:line="440" w:lineRule="exact"/>
        <w:ind w:firstLine="240" w:firstLineChars="100"/>
        <w:rPr>
          <w:rFonts w:hAnsi="宋体" w:cs="宋体"/>
          <w:sz w:val="24"/>
        </w:rPr>
      </w:pPr>
      <w:r>
        <w:rPr>
          <w:rFonts w:hint="eastAsia" w:hAnsi="宋体" w:cs="宋体"/>
          <w:sz w:val="24"/>
        </w:rPr>
        <w:t>（5）税金按《住建部办公厅关于重新调整建设工程计价依据增值税税率的通知》执行，按9%计入。</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2.9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rPr>
          <w:rFonts w:hint="eastAsia" w:hAnsi="宋体" w:cs="宋体"/>
          <w:sz w:val="24"/>
          <w:szCs w:val="24"/>
        </w:rPr>
        <w:t>http://ggzy.xuchang.gov.cn/</w:t>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bookmarkEnd w:id="76"/>
    <w:p>
      <w:pPr>
        <w:autoSpaceDE w:val="0"/>
        <w:autoSpaceDN w:val="0"/>
        <w:adjustRightInd w:val="0"/>
        <w:jc w:val="center"/>
        <w:outlineLvl w:val="0"/>
        <w:rPr>
          <w:rFonts w:hAnsi="宋体" w:cs="黑体"/>
          <w:b/>
          <w:sz w:val="36"/>
          <w:szCs w:val="36"/>
        </w:rPr>
      </w:pPr>
      <w:bookmarkStart w:id="623" w:name="_Toc278443522"/>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3"/>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jc w:val="center"/>
        <w:outlineLvl w:val="0"/>
        <w:rPr>
          <w:rFonts w:hAnsi="宋体" w:cs="黑体"/>
          <w:b/>
          <w:sz w:val="44"/>
          <w:szCs w:val="44"/>
        </w:rPr>
      </w:pPr>
      <w:bookmarkStart w:id="624" w:name="_Toc278443525"/>
    </w:p>
    <w:p>
      <w:pPr>
        <w:autoSpaceDE w:val="0"/>
        <w:autoSpaceDN w:val="0"/>
        <w:adjustRightInd w:val="0"/>
        <w:spacing w:beforeLines="100" w:afterLines="100"/>
        <w:jc w:val="center"/>
        <w:outlineLvl w:val="0"/>
        <w:rPr>
          <w:rFonts w:hAnsi="宋体" w:cs="黑体"/>
          <w:b/>
          <w:sz w:val="44"/>
          <w:szCs w:val="44"/>
        </w:rPr>
      </w:pPr>
      <w:r>
        <w:rPr>
          <w:rFonts w:hAnsi="宋体" w:cs="黑体"/>
          <w:b/>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4"/>
    </w:p>
    <w:p>
      <w:pPr>
        <w:autoSpaceDE w:val="0"/>
        <w:autoSpaceDN w:val="0"/>
        <w:adjustRightInd w:val="0"/>
        <w:jc w:val="center"/>
        <w:rPr>
          <w:rFonts w:hAnsi="宋体" w:cs="宋体"/>
          <w:sz w:val="28"/>
          <w:u w:val="single"/>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eastAsia="宋体" w:cs="宋体"/>
          <w:sz w:val="52"/>
          <w:szCs w:val="22"/>
          <w:lang w:eastAsia="zh-CN"/>
        </w:rPr>
      </w:pPr>
      <w:r>
        <w:rPr>
          <w:rFonts w:hint="eastAsia" w:hAnsi="宋体" w:cs="宋体"/>
          <w:bCs/>
          <w:sz w:val="32"/>
          <w:szCs w:val="22"/>
        </w:rPr>
        <w:t>建安建工公字</w:t>
      </w:r>
      <w:r>
        <w:rPr>
          <w:rFonts w:hint="eastAsia" w:hAnsi="宋体" w:cs="宋体"/>
          <w:bCs/>
          <w:sz w:val="32"/>
          <w:szCs w:val="22"/>
          <w:lang w:eastAsia="zh-CN"/>
        </w:rPr>
        <w:t>〔2020〕  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16"/>
        <w:jc w:val="center"/>
        <w:rPr>
          <w:rFonts w:hAnsi="宋体"/>
          <w:color w:val="auto"/>
          <w:sz w:val="23"/>
          <w:u w:val="single"/>
        </w:rPr>
      </w:pPr>
    </w:p>
    <w:p>
      <w:pPr>
        <w:pStyle w:val="16"/>
        <w:spacing w:line="400" w:lineRule="exact"/>
        <w:jc w:val="center"/>
        <w:rPr>
          <w:rFonts w:hAnsi="宋体"/>
          <w:color w:val="auto"/>
          <w:sz w:val="23"/>
        </w:rPr>
      </w:pPr>
    </w:p>
    <w:p>
      <w:pPr>
        <w:pStyle w:val="16"/>
        <w:spacing w:line="400" w:lineRule="exact"/>
        <w:jc w:val="center"/>
        <w:rPr>
          <w:rFonts w:hAnsi="宋体"/>
          <w:color w:val="auto"/>
          <w:sz w:val="23"/>
        </w:rPr>
      </w:pPr>
    </w:p>
    <w:p>
      <w:pPr>
        <w:pStyle w:val="16"/>
        <w:spacing w:line="400" w:lineRule="exact"/>
        <w:jc w:val="center"/>
        <w:rPr>
          <w:rFonts w:hAnsi="宋体"/>
          <w:color w:val="auto"/>
          <w:sz w:val="23"/>
        </w:rPr>
      </w:pPr>
    </w:p>
    <w:p>
      <w:pPr>
        <w:pStyle w:val="16"/>
        <w:spacing w:line="400" w:lineRule="exact"/>
        <w:jc w:val="center"/>
        <w:rPr>
          <w:rFonts w:hAnsi="宋体"/>
          <w:color w:val="auto"/>
          <w:sz w:val="23"/>
        </w:rPr>
      </w:pPr>
    </w:p>
    <w:p>
      <w:pPr>
        <w:pStyle w:val="16"/>
        <w:spacing w:line="400" w:lineRule="exact"/>
        <w:jc w:val="center"/>
        <w:rPr>
          <w:rFonts w:hAnsi="宋体"/>
          <w:color w:val="auto"/>
          <w:sz w:val="23"/>
          <w:u w:val="single"/>
        </w:rPr>
      </w:pPr>
      <w:r>
        <w:rPr>
          <w:rFonts w:hint="eastAsia" w:hAnsi="宋体"/>
          <w:color w:val="auto"/>
          <w:sz w:val="23"/>
        </w:rPr>
        <w:t>投标人：（盖单位章）</w:t>
      </w:r>
    </w:p>
    <w:p>
      <w:pPr>
        <w:pStyle w:val="16"/>
        <w:spacing w:line="400" w:lineRule="exact"/>
        <w:jc w:val="center"/>
        <w:rPr>
          <w:rFonts w:hAnsi="宋体"/>
          <w:color w:val="auto"/>
          <w:sz w:val="23"/>
          <w:u w:val="single"/>
        </w:rPr>
      </w:pPr>
      <w:r>
        <w:rPr>
          <w:rFonts w:hint="eastAsia" w:hAnsi="宋体"/>
          <w:color w:val="auto"/>
          <w:sz w:val="23"/>
        </w:rPr>
        <w:t>法定代表人或其委托代理人：（签字）</w:t>
      </w:r>
    </w:p>
    <w:p>
      <w:pPr>
        <w:pStyle w:val="16"/>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sz w:val="32"/>
        </w:rPr>
      </w:pPr>
      <w:r>
        <w:rPr>
          <w:rFonts w:hint="eastAsia" w:hAnsi="宋体" w:eastAsia="新宋体" w:cs="宋体"/>
          <w:sz w:val="24"/>
        </w:rPr>
        <w:t>（</w:t>
      </w:r>
      <w:r>
        <w:rPr>
          <w:rFonts w:hint="eastAsia" w:ascii="新宋体" w:hAnsi="新宋体" w:eastAsia="新宋体" w:cs="仿宋_GB2312"/>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ind w:firstLine="3410" w:firstLineChars="1100"/>
        <w:jc w:val="left"/>
        <w:rPr>
          <w:rFonts w:hAnsi="宋体" w:cs="宋体"/>
          <w:sz w:val="31"/>
        </w:rPr>
      </w:pPr>
    </w:p>
    <w:p>
      <w:pPr>
        <w:autoSpaceDE w:val="0"/>
        <w:autoSpaceDN w:val="0"/>
        <w:adjustRightInd w:val="0"/>
        <w:jc w:val="center"/>
        <w:rPr>
          <w:rFonts w:hAnsi="宋体" w:cs="宋体"/>
          <w:sz w:val="28"/>
          <w:u w:val="single"/>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eastAsia="宋体" w:cs="宋体"/>
          <w:sz w:val="52"/>
          <w:szCs w:val="22"/>
          <w:lang w:eastAsia="zh-CN"/>
        </w:rPr>
      </w:pPr>
      <w:r>
        <w:rPr>
          <w:rFonts w:hint="eastAsia" w:hAnsi="宋体" w:cs="宋体"/>
          <w:bCs/>
          <w:sz w:val="32"/>
          <w:szCs w:val="22"/>
        </w:rPr>
        <w:t>建安建工公字</w:t>
      </w:r>
      <w:r>
        <w:rPr>
          <w:rFonts w:hint="eastAsia" w:hAnsi="宋体" w:cs="宋体"/>
          <w:bCs/>
          <w:sz w:val="32"/>
          <w:szCs w:val="22"/>
          <w:lang w:eastAsia="zh-CN"/>
        </w:rPr>
        <w:t>〔2020〕  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16"/>
        <w:jc w:val="center"/>
        <w:rPr>
          <w:rFonts w:hAnsi="宋体"/>
          <w:color w:val="auto"/>
          <w:sz w:val="23"/>
          <w:u w:val="single"/>
        </w:rPr>
      </w:pPr>
    </w:p>
    <w:p>
      <w:pPr>
        <w:pStyle w:val="16"/>
        <w:spacing w:line="400" w:lineRule="exact"/>
        <w:jc w:val="center"/>
        <w:rPr>
          <w:rFonts w:hAnsi="宋体"/>
          <w:color w:val="auto"/>
          <w:sz w:val="23"/>
        </w:rPr>
      </w:pPr>
    </w:p>
    <w:p>
      <w:pPr>
        <w:pStyle w:val="16"/>
        <w:spacing w:line="400" w:lineRule="exact"/>
        <w:jc w:val="center"/>
        <w:rPr>
          <w:rFonts w:hAnsi="宋体"/>
          <w:color w:val="auto"/>
          <w:sz w:val="23"/>
        </w:rPr>
      </w:pPr>
    </w:p>
    <w:p>
      <w:pPr>
        <w:pStyle w:val="16"/>
        <w:spacing w:line="400" w:lineRule="exact"/>
        <w:jc w:val="center"/>
        <w:rPr>
          <w:rFonts w:hAnsi="宋体"/>
          <w:color w:val="auto"/>
          <w:sz w:val="23"/>
        </w:rPr>
      </w:pPr>
    </w:p>
    <w:p>
      <w:pPr>
        <w:pStyle w:val="16"/>
        <w:spacing w:line="400" w:lineRule="exact"/>
        <w:jc w:val="center"/>
        <w:rPr>
          <w:rFonts w:hAnsi="宋体"/>
          <w:color w:val="auto"/>
          <w:sz w:val="23"/>
        </w:rPr>
      </w:pPr>
    </w:p>
    <w:p>
      <w:pPr>
        <w:pStyle w:val="16"/>
        <w:spacing w:line="400" w:lineRule="exact"/>
        <w:jc w:val="center"/>
        <w:rPr>
          <w:rFonts w:hAnsi="宋体"/>
          <w:color w:val="auto"/>
          <w:sz w:val="23"/>
          <w:u w:val="single"/>
        </w:rPr>
      </w:pPr>
      <w:r>
        <w:rPr>
          <w:rFonts w:hint="eastAsia" w:hAnsi="宋体"/>
          <w:color w:val="auto"/>
          <w:sz w:val="23"/>
        </w:rPr>
        <w:t>投标人：（盖单位章）</w:t>
      </w:r>
    </w:p>
    <w:p>
      <w:pPr>
        <w:pStyle w:val="16"/>
        <w:spacing w:line="400" w:lineRule="exact"/>
        <w:ind w:firstLine="2990" w:firstLineChars="1300"/>
        <w:rPr>
          <w:rFonts w:hAnsi="宋体"/>
          <w:color w:val="auto"/>
          <w:sz w:val="23"/>
          <w:u w:val="single"/>
        </w:rPr>
      </w:pPr>
      <w:r>
        <w:rPr>
          <w:rFonts w:hint="eastAsia" w:hAnsi="宋体"/>
          <w:color w:val="auto"/>
          <w:sz w:val="23"/>
        </w:rPr>
        <w:t>法定代表人或其委托代理人：（签字）</w:t>
      </w:r>
    </w:p>
    <w:p>
      <w:pPr>
        <w:pStyle w:val="16"/>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sz w:val="28"/>
          <w:szCs w:val="28"/>
        </w:rPr>
      </w:pPr>
    </w:p>
    <w:p>
      <w:pPr>
        <w:tabs>
          <w:tab w:val="center" w:pos="4739"/>
        </w:tabs>
        <w:rPr>
          <w:rFonts w:hAnsi="宋体"/>
          <w:b/>
          <w:sz w:val="32"/>
        </w:rPr>
      </w:pPr>
    </w:p>
    <w:p>
      <w:pPr>
        <w:tabs>
          <w:tab w:val="center" w:pos="4739"/>
        </w:tabs>
        <w:jc w:val="center"/>
        <w:rPr>
          <w:rFonts w:hAnsi="宋体"/>
          <w:b/>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5"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6" w:name="_Toc250616672"/>
    </w:p>
    <w:p>
      <w:pPr>
        <w:autoSpaceDE w:val="0"/>
        <w:autoSpaceDN w:val="0"/>
        <w:adjustRightInd w:val="0"/>
        <w:outlineLvl w:val="0"/>
        <w:rPr>
          <w:rFonts w:ascii="黑体" w:hAnsi="新宋体" w:eastAsia="黑体" w:cs="黑体"/>
          <w:sz w:val="28"/>
          <w:szCs w:val="28"/>
        </w:rPr>
      </w:pPr>
    </w:p>
    <w:p>
      <w:pPr>
        <w:pStyle w:val="9"/>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6"/>
    </w:p>
    <w:tbl>
      <w:tblPr>
        <w:tblStyle w:val="11"/>
        <w:tblW w:w="9180"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813"/>
        <w:gridCol w:w="610"/>
        <w:gridCol w:w="811"/>
        <w:gridCol w:w="813"/>
        <w:gridCol w:w="40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项目负责人</w:t>
            </w:r>
          </w:p>
        </w:tc>
        <w:tc>
          <w:tcPr>
            <w:tcW w:w="813" w:type="dxa"/>
            <w:vAlign w:val="center"/>
          </w:tcPr>
          <w:p>
            <w:pPr>
              <w:jc w:val="center"/>
              <w:rPr>
                <w:rFonts w:ascii="新宋体" w:hAnsi="新宋体" w:eastAsia="新宋体"/>
                <w:sz w:val="24"/>
              </w:rPr>
            </w:pPr>
          </w:p>
        </w:tc>
        <w:tc>
          <w:tcPr>
            <w:tcW w:w="610" w:type="dxa"/>
            <w:vAlign w:val="center"/>
          </w:tcPr>
          <w:p>
            <w:pPr>
              <w:jc w:val="center"/>
              <w:rPr>
                <w:rFonts w:ascii="新宋体" w:hAnsi="新宋体" w:eastAsia="新宋体"/>
                <w:sz w:val="24"/>
              </w:rPr>
            </w:pPr>
            <w:r>
              <w:rPr>
                <w:rFonts w:hint="eastAsia" w:ascii="新宋体" w:hAnsi="新宋体" w:eastAsia="新宋体"/>
                <w:sz w:val="24"/>
              </w:rPr>
              <w:t>职称</w:t>
            </w:r>
          </w:p>
        </w:tc>
        <w:tc>
          <w:tcPr>
            <w:tcW w:w="811" w:type="dxa"/>
            <w:vAlign w:val="center"/>
          </w:tcPr>
          <w:p>
            <w:pPr>
              <w:jc w:val="center"/>
              <w:rPr>
                <w:rFonts w:ascii="新宋体" w:hAnsi="新宋体" w:eastAsia="新宋体"/>
                <w:sz w:val="24"/>
              </w:rPr>
            </w:pPr>
          </w:p>
        </w:tc>
        <w:tc>
          <w:tcPr>
            <w:tcW w:w="813"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204"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929"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55"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96"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2929" w:type="dxa"/>
            <w:vMerge w:val="continue"/>
            <w:vAlign w:val="center"/>
          </w:tcPr>
          <w:p>
            <w:pPr>
              <w:jc w:val="center"/>
              <w:rPr>
                <w:rFonts w:ascii="新宋体" w:hAnsi="新宋体" w:eastAsia="新宋体"/>
                <w:sz w:val="24"/>
              </w:rPr>
            </w:pPr>
          </w:p>
        </w:tc>
        <w:tc>
          <w:tcPr>
            <w:tcW w:w="6251"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before="100" w:beforeAutospacing="1"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before="100" w:beforeAutospacing="1" w:line="480" w:lineRule="exact"/>
              <w:ind w:firstLine="600" w:firstLineChars="250"/>
              <w:rPr>
                <w:rFonts w:ascii="新宋体" w:hAnsi="新宋体" w:eastAsia="新宋体"/>
                <w:sz w:val="24"/>
              </w:rPr>
            </w:pPr>
            <w:r>
              <w:rPr>
                <w:rFonts w:hint="eastAsia" w:ascii="新宋体" w:hAnsi="新宋体" w:eastAsia="新宋体"/>
                <w:sz w:val="24"/>
              </w:rPr>
              <w:t>税金RMB￥：元</w:t>
            </w:r>
          </w:p>
          <w:p>
            <w:pPr>
              <w:spacing w:before="100" w:beforeAutospacing="1"/>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51"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51"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929"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51"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9180"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spacing w:line="360" w:lineRule="auto"/>
        <w:ind w:right="131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5"/>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7" w:name="_Toc271787731"/>
      <w:r>
        <w:rPr>
          <w:rFonts w:hint="eastAsia" w:ascii="黑体" w:hAnsi="新宋体" w:eastAsia="黑体" w:cs="黑体"/>
          <w:sz w:val="28"/>
          <w:szCs w:val="28"/>
        </w:rPr>
        <w:t>（一）法定代表人身份证明</w:t>
      </w:r>
      <w:bookmarkEnd w:id="627"/>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28" w:name="_Toc271787732"/>
      <w:r>
        <w:rPr>
          <w:rFonts w:hint="eastAsia" w:ascii="黑体" w:hAnsi="新宋体" w:eastAsia="黑体" w:cs="黑体"/>
          <w:sz w:val="28"/>
          <w:szCs w:val="28"/>
        </w:rPr>
        <w:t>（二）授权委托书</w:t>
      </w:r>
      <w:bookmarkEnd w:id="628"/>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rPr>
          <w:rFonts w:hAnsi="宋体"/>
          <w:b/>
          <w:sz w:val="32"/>
        </w:rPr>
      </w:pPr>
    </w:p>
    <w:p>
      <w:pPr>
        <w:spacing w:line="360" w:lineRule="auto"/>
        <w:jc w:val="center"/>
        <w:rPr>
          <w:rFonts w:hAnsi="宋体"/>
          <w:b/>
          <w:sz w:val="32"/>
        </w:rPr>
      </w:pPr>
    </w:p>
    <w:p>
      <w:pPr>
        <w:spacing w:line="360" w:lineRule="auto"/>
        <w:jc w:val="center"/>
        <w:rPr>
          <w:rFonts w:hAnsi="宋体"/>
          <w:b/>
          <w:sz w:val="32"/>
        </w:rPr>
      </w:pPr>
      <w:r>
        <w:rPr>
          <w:rFonts w:hint="eastAsia" w:hAnsi="宋体"/>
          <w:b/>
          <w:bCs/>
          <w:sz w:val="32"/>
          <w:szCs w:val="32"/>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b/>
          <w:bCs/>
          <w:sz w:val="32"/>
          <w:szCs w:val="32"/>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附缴纳投标保证金的有效证明。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11"/>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69"/>
        <w:gridCol w:w="969"/>
        <w:gridCol w:w="1441"/>
        <w:gridCol w:w="969"/>
        <w:gridCol w:w="969"/>
        <w:gridCol w:w="969"/>
        <w:gridCol w:w="143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83"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68" w:type="dxa"/>
            <w:vMerge w:val="continue"/>
            <w:vAlign w:val="center"/>
          </w:tcPr>
          <w:p>
            <w:pPr>
              <w:autoSpaceDE w:val="0"/>
              <w:autoSpaceDN w:val="0"/>
              <w:adjustRightInd w:val="0"/>
              <w:spacing w:line="360" w:lineRule="auto"/>
              <w:ind w:right="215"/>
              <w:jc w:val="center"/>
              <w:rPr>
                <w:rFonts w:hAnsi="宋体"/>
                <w:sz w:val="24"/>
              </w:rPr>
            </w:pPr>
          </w:p>
        </w:tc>
        <w:tc>
          <w:tcPr>
            <w:tcW w:w="969" w:type="dxa"/>
            <w:vMerge w:val="continue"/>
            <w:vAlign w:val="center"/>
          </w:tcPr>
          <w:p>
            <w:pPr>
              <w:autoSpaceDE w:val="0"/>
              <w:autoSpaceDN w:val="0"/>
              <w:adjustRightInd w:val="0"/>
              <w:spacing w:line="360" w:lineRule="auto"/>
              <w:ind w:right="215"/>
              <w:jc w:val="center"/>
              <w:rPr>
                <w:rFonts w:hAnsi="宋体"/>
                <w:sz w:val="24"/>
              </w:rPr>
            </w:pPr>
          </w:p>
        </w:tc>
        <w:tc>
          <w:tcPr>
            <w:tcW w:w="969" w:type="dxa"/>
            <w:vMerge w:val="continue"/>
            <w:vAlign w:val="center"/>
          </w:tcPr>
          <w:p>
            <w:pPr>
              <w:autoSpaceDE w:val="0"/>
              <w:autoSpaceDN w:val="0"/>
              <w:adjustRightInd w:val="0"/>
              <w:spacing w:line="360" w:lineRule="auto"/>
              <w:ind w:right="215"/>
              <w:jc w:val="center"/>
              <w:rPr>
                <w:rFonts w:hAnsi="宋体"/>
                <w:sz w:val="24"/>
              </w:rPr>
            </w:pPr>
          </w:p>
        </w:tc>
        <w:tc>
          <w:tcPr>
            <w:tcW w:w="1441"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9"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34"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9"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68"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r>
              <w:rPr>
                <w:rFonts w:hint="eastAsia" w:hAnsi="宋体"/>
                <w:sz w:val="24"/>
              </w:rPr>
              <w:t>……</w:t>
            </w:r>
          </w:p>
        </w:tc>
        <w:tc>
          <w:tcPr>
            <w:tcW w:w="969" w:type="dxa"/>
          </w:tcPr>
          <w:p>
            <w:pPr>
              <w:autoSpaceDE w:val="0"/>
              <w:autoSpaceDN w:val="0"/>
              <w:adjustRightInd w:val="0"/>
              <w:spacing w:line="360" w:lineRule="auto"/>
              <w:ind w:right="215"/>
              <w:rPr>
                <w:rFonts w:hAnsi="宋体"/>
                <w:sz w:val="24"/>
              </w:rPr>
            </w:pPr>
          </w:p>
        </w:tc>
        <w:tc>
          <w:tcPr>
            <w:tcW w:w="1441"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c>
          <w:tcPr>
            <w:tcW w:w="1434" w:type="dxa"/>
          </w:tcPr>
          <w:p>
            <w:pPr>
              <w:autoSpaceDE w:val="0"/>
              <w:autoSpaceDN w:val="0"/>
              <w:adjustRightInd w:val="0"/>
              <w:spacing w:line="360" w:lineRule="auto"/>
              <w:ind w:right="215"/>
              <w:rPr>
                <w:rFonts w:hAnsi="宋体"/>
                <w:sz w:val="24"/>
              </w:rPr>
            </w:pPr>
          </w:p>
        </w:tc>
        <w:tc>
          <w:tcPr>
            <w:tcW w:w="969"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附1：项目负责人简历表</w:t>
      </w:r>
    </w:p>
    <w:tbl>
      <w:tblPr>
        <w:tblStyle w:val="11"/>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69"/>
        <w:gridCol w:w="1279"/>
        <w:gridCol w:w="1439"/>
        <w:gridCol w:w="2081"/>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姓  名</w:t>
            </w:r>
          </w:p>
        </w:tc>
        <w:tc>
          <w:tcPr>
            <w:tcW w:w="1169" w:type="dxa"/>
            <w:vAlign w:val="center"/>
          </w:tcPr>
          <w:p>
            <w:pPr>
              <w:jc w:val="center"/>
              <w:rPr>
                <w:rFonts w:hAnsi="宋体"/>
                <w:sz w:val="24"/>
              </w:rPr>
            </w:pPr>
          </w:p>
        </w:tc>
        <w:tc>
          <w:tcPr>
            <w:tcW w:w="1279" w:type="dxa"/>
            <w:vAlign w:val="center"/>
          </w:tcPr>
          <w:p>
            <w:pPr>
              <w:jc w:val="center"/>
              <w:rPr>
                <w:rFonts w:hAnsi="宋体"/>
                <w:sz w:val="24"/>
              </w:rPr>
            </w:pPr>
            <w:r>
              <w:rPr>
                <w:rFonts w:hint="eastAsia" w:hAnsi="宋体"/>
                <w:sz w:val="24"/>
              </w:rPr>
              <w:t>年  龄</w:t>
            </w:r>
          </w:p>
        </w:tc>
        <w:tc>
          <w:tcPr>
            <w:tcW w:w="1439" w:type="dxa"/>
            <w:vAlign w:val="center"/>
          </w:tcPr>
          <w:p>
            <w:pPr>
              <w:jc w:val="center"/>
              <w:rPr>
                <w:rFonts w:hAnsi="宋体"/>
                <w:sz w:val="24"/>
              </w:rPr>
            </w:pPr>
          </w:p>
        </w:tc>
        <w:tc>
          <w:tcPr>
            <w:tcW w:w="2081" w:type="dxa"/>
            <w:vAlign w:val="center"/>
          </w:tcPr>
          <w:p>
            <w:pPr>
              <w:jc w:val="center"/>
              <w:rPr>
                <w:rFonts w:hAnsi="宋体"/>
                <w:sz w:val="24"/>
              </w:rPr>
            </w:pPr>
            <w:r>
              <w:rPr>
                <w:rFonts w:hint="eastAsia" w:hAnsi="宋体"/>
                <w:sz w:val="24"/>
              </w:rPr>
              <w:t>学历</w:t>
            </w: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职  称</w:t>
            </w:r>
          </w:p>
        </w:tc>
        <w:tc>
          <w:tcPr>
            <w:tcW w:w="1169" w:type="dxa"/>
            <w:vAlign w:val="center"/>
          </w:tcPr>
          <w:p>
            <w:pPr>
              <w:jc w:val="center"/>
              <w:rPr>
                <w:rFonts w:hAnsi="宋体"/>
                <w:sz w:val="24"/>
              </w:rPr>
            </w:pPr>
          </w:p>
        </w:tc>
        <w:tc>
          <w:tcPr>
            <w:tcW w:w="1279" w:type="dxa"/>
            <w:vAlign w:val="center"/>
          </w:tcPr>
          <w:p>
            <w:pPr>
              <w:jc w:val="center"/>
              <w:rPr>
                <w:rFonts w:hAnsi="宋体"/>
                <w:sz w:val="24"/>
              </w:rPr>
            </w:pPr>
            <w:r>
              <w:rPr>
                <w:rFonts w:hint="eastAsia" w:hAnsi="宋体"/>
                <w:sz w:val="24"/>
              </w:rPr>
              <w:t>职  务</w:t>
            </w:r>
          </w:p>
        </w:tc>
        <w:tc>
          <w:tcPr>
            <w:tcW w:w="1439" w:type="dxa"/>
            <w:vAlign w:val="center"/>
          </w:tcPr>
          <w:p>
            <w:pPr>
              <w:jc w:val="center"/>
              <w:rPr>
                <w:rFonts w:hAnsi="宋体"/>
                <w:sz w:val="24"/>
              </w:rPr>
            </w:pPr>
          </w:p>
        </w:tc>
        <w:tc>
          <w:tcPr>
            <w:tcW w:w="2081" w:type="dxa"/>
            <w:vAlign w:val="center"/>
          </w:tcPr>
          <w:p>
            <w:pPr>
              <w:jc w:val="center"/>
              <w:rPr>
                <w:rFonts w:hAnsi="宋体"/>
                <w:sz w:val="24"/>
              </w:rPr>
            </w:pPr>
            <w:r>
              <w:rPr>
                <w:rFonts w:hint="eastAsia" w:hAnsi="宋体"/>
                <w:sz w:val="24"/>
              </w:rPr>
              <w:t>拟在本工程任职</w:t>
            </w:r>
          </w:p>
        </w:tc>
        <w:tc>
          <w:tcPr>
            <w:tcW w:w="2399" w:type="dxa"/>
            <w:vAlign w:val="center"/>
          </w:tcPr>
          <w:p>
            <w:pPr>
              <w:jc w:val="center"/>
              <w:rPr>
                <w:rFonts w:hAnsi="宋体"/>
                <w:sz w:val="24"/>
              </w:rPr>
            </w:pPr>
            <w:r>
              <w:rPr>
                <w:rFonts w:hint="eastAsia"/>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毕业学校</w:t>
            </w:r>
          </w:p>
        </w:tc>
        <w:tc>
          <w:tcPr>
            <w:tcW w:w="8365"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r>
              <w:rPr>
                <w:rFonts w:hint="eastAsia" w:hAnsi="宋体"/>
                <w:sz w:val="24"/>
              </w:rPr>
              <w:t>时  间</w:t>
            </w:r>
          </w:p>
        </w:tc>
        <w:tc>
          <w:tcPr>
            <w:tcW w:w="3886" w:type="dxa"/>
            <w:gridSpan w:val="3"/>
            <w:vAlign w:val="center"/>
          </w:tcPr>
          <w:p>
            <w:pPr>
              <w:jc w:val="center"/>
              <w:rPr>
                <w:rFonts w:hAnsi="宋体"/>
                <w:sz w:val="24"/>
              </w:rPr>
            </w:pPr>
            <w:r>
              <w:rPr>
                <w:rFonts w:hint="eastAsia" w:hAnsi="宋体"/>
                <w:sz w:val="24"/>
              </w:rPr>
              <w:t>参加过的类似项目名称</w:t>
            </w:r>
          </w:p>
        </w:tc>
        <w:tc>
          <w:tcPr>
            <w:tcW w:w="2081" w:type="dxa"/>
            <w:vAlign w:val="center"/>
          </w:tcPr>
          <w:p>
            <w:pPr>
              <w:jc w:val="center"/>
              <w:rPr>
                <w:rFonts w:hAnsi="宋体"/>
                <w:sz w:val="24"/>
              </w:rPr>
            </w:pPr>
            <w:r>
              <w:rPr>
                <w:rFonts w:hint="eastAsia" w:hAnsi="宋体"/>
                <w:sz w:val="24"/>
              </w:rPr>
              <w:t>工程概况说明</w:t>
            </w:r>
          </w:p>
        </w:tc>
        <w:tc>
          <w:tcPr>
            <w:tcW w:w="2399"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32" w:type="dxa"/>
            <w:vAlign w:val="center"/>
          </w:tcPr>
          <w:p>
            <w:pPr>
              <w:jc w:val="center"/>
              <w:rPr>
                <w:rFonts w:hAnsi="宋体"/>
                <w:sz w:val="24"/>
              </w:rPr>
            </w:pPr>
          </w:p>
        </w:tc>
        <w:tc>
          <w:tcPr>
            <w:tcW w:w="1169" w:type="dxa"/>
            <w:vAlign w:val="center"/>
          </w:tcPr>
          <w:p>
            <w:pPr>
              <w:jc w:val="center"/>
              <w:rPr>
                <w:rFonts w:hAnsi="宋体"/>
                <w:sz w:val="24"/>
              </w:rPr>
            </w:pPr>
          </w:p>
        </w:tc>
        <w:tc>
          <w:tcPr>
            <w:tcW w:w="1279" w:type="dxa"/>
            <w:vAlign w:val="center"/>
          </w:tcPr>
          <w:p>
            <w:pPr>
              <w:jc w:val="center"/>
              <w:rPr>
                <w:rFonts w:hAnsi="宋体"/>
                <w:sz w:val="24"/>
              </w:rPr>
            </w:pPr>
          </w:p>
        </w:tc>
        <w:tc>
          <w:tcPr>
            <w:tcW w:w="1439" w:type="dxa"/>
            <w:vAlign w:val="center"/>
          </w:tcPr>
          <w:p>
            <w:pPr>
              <w:jc w:val="center"/>
              <w:rPr>
                <w:rFonts w:hAnsi="宋体"/>
                <w:sz w:val="24"/>
              </w:rPr>
            </w:pPr>
          </w:p>
        </w:tc>
        <w:tc>
          <w:tcPr>
            <w:tcW w:w="2081" w:type="dxa"/>
            <w:vAlign w:val="center"/>
          </w:tcPr>
          <w:p>
            <w:pPr>
              <w:jc w:val="center"/>
              <w:rPr>
                <w:rFonts w:hAnsi="宋体"/>
                <w:sz w:val="24"/>
              </w:rPr>
            </w:pPr>
          </w:p>
        </w:tc>
        <w:tc>
          <w:tcPr>
            <w:tcW w:w="2399"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1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530" w:type="dxa"/>
          </w:tcPr>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p>
            <w:pPr>
              <w:jc w:val="left"/>
              <w:rPr>
                <w:rFonts w:hAnsi="宋体"/>
                <w:sz w:val="24"/>
              </w:rPr>
            </w:pPr>
            <w:r>
              <w:rPr>
                <w:rFonts w:hint="eastAsia" w:hAnsi="宋体"/>
                <w:sz w:val="24"/>
              </w:rPr>
              <w:t>业绩</w:t>
            </w:r>
          </w:p>
          <w:p>
            <w:pPr>
              <w:jc w:val="left"/>
              <w:rPr>
                <w:rFonts w:hAnsi="宋体"/>
                <w:sz w:val="24"/>
              </w:rPr>
            </w:pPr>
            <w:r>
              <w:rPr>
                <w:rFonts w:hint="eastAsia" w:hAnsi="宋体"/>
                <w:sz w:val="24"/>
              </w:rPr>
              <w:t>及担</w:t>
            </w:r>
          </w:p>
          <w:p>
            <w:pPr>
              <w:jc w:val="left"/>
              <w:rPr>
                <w:rFonts w:hAnsi="宋体"/>
                <w:sz w:val="24"/>
              </w:rPr>
            </w:pPr>
            <w:r>
              <w:rPr>
                <w:rFonts w:hint="eastAsia" w:hAnsi="宋体"/>
                <w:sz w:val="24"/>
              </w:rPr>
              <w:t>任的</w:t>
            </w:r>
          </w:p>
          <w:p>
            <w:pPr>
              <w:jc w:val="left"/>
              <w:rPr>
                <w:rFonts w:hAnsi="宋体"/>
                <w:sz w:val="24"/>
              </w:rPr>
            </w:pPr>
            <w:r>
              <w:rPr>
                <w:rFonts w:hint="eastAsia" w:hAnsi="宋体"/>
                <w:sz w:val="24"/>
              </w:rPr>
              <w:t>主要</w:t>
            </w:r>
          </w:p>
          <w:p>
            <w:pPr>
              <w:jc w:val="left"/>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项目负责人</w:t>
      </w:r>
      <w:r>
        <w:rPr>
          <w:rFonts w:hint="eastAsia" w:hAnsi="宋体"/>
          <w:sz w:val="24"/>
        </w:rPr>
        <w:t>（</w:t>
      </w:r>
      <w:r>
        <w:rPr>
          <w:rFonts w:hint="eastAsia"/>
          <w:sz w:val="24"/>
        </w:rPr>
        <w:t>项目负责人</w:t>
      </w:r>
      <w:r>
        <w:rPr>
          <w:rFonts w:hint="eastAsia" w:hAnsi="宋体"/>
          <w:sz w:val="24"/>
        </w:rPr>
        <w:t>姓名）现阶段没有担任任何在施建设工程项目的</w:t>
      </w:r>
      <w:r>
        <w:rPr>
          <w:rFonts w:hint="eastAsia"/>
          <w:sz w:val="24"/>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11"/>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pStyle w:val="9"/>
        <w:ind w:firstLine="340"/>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11"/>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autoSpaceDE w:val="0"/>
        <w:autoSpaceDN w:val="0"/>
        <w:adjustRightInd w:val="0"/>
        <w:spacing w:line="360" w:lineRule="auto"/>
        <w:ind w:right="215" w:firstLine="640"/>
        <w:rPr>
          <w:rFonts w:hAnsi="宋体"/>
          <w:bCs/>
          <w:sz w:val="32"/>
          <w:szCs w:val="32"/>
        </w:rPr>
      </w:pPr>
    </w:p>
    <w:p>
      <w:pPr>
        <w:tabs>
          <w:tab w:val="center" w:pos="4739"/>
        </w:tabs>
        <w:ind w:left="180"/>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ind w:left="180"/>
        <w:jc w:val="right"/>
        <w:rPr>
          <w:sz w:val="32"/>
          <w:szCs w:val="32"/>
        </w:rPr>
      </w:pPr>
    </w:p>
    <w:p>
      <w:pPr>
        <w:tabs>
          <w:tab w:val="center" w:pos="4739"/>
        </w:tabs>
        <w:rPr>
          <w:sz w:val="24"/>
        </w:rPr>
      </w:pPr>
    </w:p>
    <w:p>
      <w:pPr>
        <w:tabs>
          <w:tab w:val="center" w:pos="4739"/>
        </w:tabs>
        <w:ind w:left="180"/>
        <w:jc w:val="right"/>
        <w:rPr>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eastAsia="宋体" w:cs="宋体"/>
          <w:sz w:val="52"/>
          <w:szCs w:val="22"/>
          <w:lang w:eastAsia="zh-CN"/>
        </w:rPr>
      </w:pPr>
      <w:r>
        <w:rPr>
          <w:rFonts w:hint="eastAsia" w:hAnsi="宋体" w:cs="宋体"/>
          <w:bCs/>
          <w:sz w:val="32"/>
          <w:szCs w:val="22"/>
        </w:rPr>
        <w:t>建安建工公字</w:t>
      </w:r>
      <w:r>
        <w:rPr>
          <w:rFonts w:hint="eastAsia" w:hAnsi="宋体" w:cs="宋体"/>
          <w:bCs/>
          <w:sz w:val="32"/>
          <w:szCs w:val="22"/>
          <w:lang w:eastAsia="zh-CN"/>
        </w:rPr>
        <w:t>〔2020〕  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9"/>
        <w:ind w:firstLine="440"/>
        <w:rPr>
          <w:rFonts w:hAnsi="宋体" w:cs="宋体"/>
          <w:sz w:val="44"/>
        </w:rPr>
      </w:pPr>
    </w:p>
    <w:p>
      <w:pPr>
        <w:pStyle w:val="9"/>
        <w:ind w:firstLine="440"/>
        <w:rPr>
          <w:rFonts w:hAnsi="宋体" w:cs="宋体"/>
          <w:sz w:val="44"/>
        </w:rPr>
      </w:pPr>
    </w:p>
    <w:p>
      <w:pPr>
        <w:autoSpaceDE w:val="0"/>
        <w:autoSpaceDN w:val="0"/>
        <w:adjustRightInd w:val="0"/>
        <w:spacing w:line="420" w:lineRule="exact"/>
        <w:jc w:val="center"/>
        <w:rPr>
          <w:rFonts w:hAnsi="宋体" w:cs="宋体"/>
          <w:sz w:val="44"/>
        </w:rPr>
      </w:pPr>
    </w:p>
    <w:p>
      <w:pPr>
        <w:pStyle w:val="16"/>
        <w:jc w:val="center"/>
        <w:rPr>
          <w:rFonts w:hAnsi="宋体"/>
          <w:color w:val="auto"/>
          <w:sz w:val="23"/>
          <w:u w:val="single"/>
        </w:rPr>
      </w:pPr>
    </w:p>
    <w:p>
      <w:pPr>
        <w:pStyle w:val="16"/>
        <w:spacing w:line="400" w:lineRule="exact"/>
        <w:jc w:val="center"/>
        <w:rPr>
          <w:rFonts w:hAnsi="宋体"/>
          <w:color w:val="auto"/>
          <w:sz w:val="23"/>
        </w:rPr>
      </w:pPr>
    </w:p>
    <w:p>
      <w:pPr>
        <w:pStyle w:val="16"/>
        <w:spacing w:line="400" w:lineRule="exact"/>
        <w:jc w:val="center"/>
        <w:rPr>
          <w:rFonts w:hAnsi="宋体"/>
          <w:color w:val="auto"/>
          <w:sz w:val="23"/>
        </w:rPr>
      </w:pPr>
    </w:p>
    <w:p>
      <w:pPr>
        <w:pStyle w:val="16"/>
        <w:spacing w:line="400" w:lineRule="exact"/>
        <w:jc w:val="center"/>
        <w:rPr>
          <w:rFonts w:hAnsi="宋体"/>
          <w:color w:val="auto"/>
          <w:sz w:val="23"/>
          <w:u w:val="single"/>
        </w:rPr>
      </w:pPr>
      <w:r>
        <w:rPr>
          <w:rFonts w:hint="eastAsia" w:hAnsi="宋体"/>
          <w:color w:val="auto"/>
          <w:sz w:val="23"/>
        </w:rPr>
        <w:t>投标人：（盖单位章）</w:t>
      </w:r>
    </w:p>
    <w:p>
      <w:pPr>
        <w:pStyle w:val="16"/>
        <w:spacing w:line="400" w:lineRule="exact"/>
        <w:jc w:val="center"/>
        <w:rPr>
          <w:rFonts w:hAnsi="宋体"/>
          <w:color w:val="auto"/>
          <w:sz w:val="23"/>
          <w:u w:val="single"/>
        </w:rPr>
      </w:pPr>
      <w:r>
        <w:rPr>
          <w:rFonts w:hint="eastAsia" w:hAnsi="宋体"/>
          <w:color w:val="auto"/>
          <w:sz w:val="23"/>
        </w:rPr>
        <w:t>法定代表人或其委托代理人：（签字）</w:t>
      </w:r>
    </w:p>
    <w:p>
      <w:pPr>
        <w:pStyle w:val="16"/>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（1）内容完整性；</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（2）主要施工方案与技术措施；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（5）文明施工、环境保护管理体系及施工现场扬尘治理措施；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（6）工期保证措施；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（8）施工进度表与网络计划图；</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（9）施工总平面图布置；</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（10）技术创新的应用实施措施；</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（11）采用新工艺、新技术、新设备、新材料、BIM等的程度；</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（12）施工现场实施信息化监控和数据处理；</w:t>
      </w:r>
    </w:p>
    <w:p>
      <w:pPr>
        <w:autoSpaceDE w:val="0"/>
        <w:autoSpaceDN w:val="0"/>
        <w:spacing w:line="600" w:lineRule="exact"/>
        <w:ind w:firstLine="480" w:firstLineChars="200"/>
        <w:jc w:val="left"/>
        <w:outlineLvl w:val="0"/>
        <w:rPr>
          <w:rFonts w:hAnsi="宋体" w:cs="宋体"/>
          <w:sz w:val="24"/>
        </w:rPr>
      </w:pPr>
      <w:r>
        <w:rPr>
          <w:rFonts w:hint="eastAsia" w:hAnsi="宋体" w:cs="宋体"/>
          <w:sz w:val="24"/>
        </w:rPr>
        <w:t>（13）风险管理措施。</w:t>
      </w:r>
    </w:p>
    <w:p>
      <w:pPr>
        <w:tabs>
          <w:tab w:val="center" w:pos="4739"/>
        </w:tabs>
        <w:ind w:left="180"/>
        <w:rPr>
          <w:rFonts w:hAnsi="宋体" w:cs="宋体"/>
          <w:b/>
          <w:sz w:val="26"/>
          <w:szCs w:val="26"/>
        </w:rPr>
      </w:pPr>
    </w:p>
    <w:p>
      <w:pPr>
        <w:tabs>
          <w:tab w:val="center" w:pos="4739"/>
        </w:tabs>
        <w:ind w:left="180"/>
        <w:rPr>
          <w:rFonts w:hAnsi="宋体" w:cs="TimesNewRomanPSMT"/>
          <w:sz w:val="18"/>
          <w:szCs w:val="18"/>
        </w:rPr>
      </w:pPr>
    </w:p>
    <w:p>
      <w:pPr>
        <w:autoSpaceDE w:val="0"/>
        <w:autoSpaceDN w:val="0"/>
        <w:adjustRightInd w:val="0"/>
        <w:spacing w:line="420" w:lineRule="exact"/>
        <w:rPr>
          <w:rFonts w:hAnsi="宋体" w:cs="宋体"/>
          <w:b/>
          <w:sz w:val="26"/>
          <w:szCs w:val="26"/>
        </w:rPr>
      </w:pPr>
    </w:p>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0000000000000000000"/>
    <w:charset w:val="86"/>
    <w:family w:val="auto"/>
    <w:pitch w:val="default"/>
    <w:sig w:usb0="00000000" w:usb1="00000000" w:usb2="0000001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080E0000" w:usb2="00000000"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MS UI Gothic">
    <w:panose1 w:val="020B0600070205080204"/>
    <w:charset w:val="80"/>
    <w:family w:val="auto"/>
    <w:pitch w:val="default"/>
    <w:sig w:usb0="A00002BF" w:usb1="68C7FCFB" w:usb2="00000010" w:usb3="00000000" w:csb0="4002009F" w:csb1="DFD7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pict>
        <v:shape id="_x0000_s2054" o:spid="_x0000_s2054"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O1bfUAAAAAgEAAA8AAAAAAAAAAQAgAAAAIgAAAGRycy9kb3ducmV2LnhtbFBL&#10;AQIUABQAAAAIAIdO4kCLg3LgwQEAAGADAAAOAAAAAAAAAAEAIAAAACMBAABkcnMvZTJvRG9jLnht&#10;bFBLBQYAAAAABgAGAFkBAABWBQ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5"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2KoR6+AQAAYwMAAA4AAAAAAAAAAQAgAAAAIgEAAGRycy9lMm9Eb2MueG1sUEsF&#10;BgAAAAAGAAYAWQEAAFI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Zy/zvAEAAGMDAAAOAAAAAAAAAAEAIAAAACIBAABkcnMvZTJvRG9jLnhtbFBLBQYA&#10;AAAABgAGAFkBAABQ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2" o:spid="_x0000_s2052"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ind w:right="360"/>
      <w:jc w:val="center"/>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mYMzN7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ByHgaJwgEAAGADAAAOAAAAAAAAAAEAIAAAACgBAABkcnMvZTJv&#10;RG9jLnhtbFBLBQYAAAAABgAGAFkBAABc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snyZib0BAABjAwAADgAAAAAAAAABACAAAAAiAQAAZHJzL2Uyb0RvYy54bWxQSwUG&#10;AAAAAAYABgBZAQAAUQ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4CAAF2B"/>
    <w:multiLevelType w:val="singleLevel"/>
    <w:tmpl w:val="04CAAF2B"/>
    <w:lvl w:ilvl="0" w:tentative="0">
      <w:start w:val="1"/>
      <w:numFmt w:val="decimal"/>
      <w:suff w:val="nothing"/>
      <w:lvlText w:val="%1、"/>
      <w:lvlJc w:val="left"/>
    </w:lvl>
  </w:abstractNum>
  <w:abstractNum w:abstractNumId="2">
    <w:nsid w:val="2CC990DF"/>
    <w:multiLevelType w:val="singleLevel"/>
    <w:tmpl w:val="2CC990DF"/>
    <w:lvl w:ilvl="0" w:tentative="0">
      <w:start w:val="1"/>
      <w:numFmt w:val="decimal"/>
      <w:suff w:val="nothing"/>
      <w:lvlText w:val="%1、"/>
      <w:lvlJc w:val="left"/>
    </w:lvl>
  </w:abstractNum>
  <w:abstractNum w:abstractNumId="3">
    <w:nsid w:val="576405E1"/>
    <w:multiLevelType w:val="singleLevel"/>
    <w:tmpl w:val="576405E1"/>
    <w:lvl w:ilvl="0" w:tentative="0">
      <w:start w:val="2"/>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7A188572"/>
    <w:multiLevelType w:val="singleLevel"/>
    <w:tmpl w:val="7A188572"/>
    <w:lvl w:ilvl="0" w:tentative="0">
      <w:start w:val="1"/>
      <w:numFmt w:val="chineseCounting"/>
      <w:suff w:val="space"/>
      <w:lvlText w:val="第%1章"/>
      <w:lvlJc w:val="left"/>
      <w:rPr>
        <w:rFonts w:hint="eastAsi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057292"/>
    <w:rsid w:val="003A5802"/>
    <w:rsid w:val="00861DB6"/>
    <w:rsid w:val="025B5D9C"/>
    <w:rsid w:val="03C75640"/>
    <w:rsid w:val="03F16962"/>
    <w:rsid w:val="05170CA1"/>
    <w:rsid w:val="07B15314"/>
    <w:rsid w:val="109F2523"/>
    <w:rsid w:val="1328776E"/>
    <w:rsid w:val="19057292"/>
    <w:rsid w:val="195B177B"/>
    <w:rsid w:val="1FB7379E"/>
    <w:rsid w:val="2625713E"/>
    <w:rsid w:val="29732334"/>
    <w:rsid w:val="2BB725C0"/>
    <w:rsid w:val="2C283F1C"/>
    <w:rsid w:val="2CF05DB0"/>
    <w:rsid w:val="2E354FA5"/>
    <w:rsid w:val="2FA15802"/>
    <w:rsid w:val="32C33D38"/>
    <w:rsid w:val="365D5AC7"/>
    <w:rsid w:val="3AA4380D"/>
    <w:rsid w:val="40E53376"/>
    <w:rsid w:val="457D6975"/>
    <w:rsid w:val="47536091"/>
    <w:rsid w:val="498B2931"/>
    <w:rsid w:val="4A271F2B"/>
    <w:rsid w:val="4ADB43D1"/>
    <w:rsid w:val="560B47A5"/>
    <w:rsid w:val="56156267"/>
    <w:rsid w:val="58221957"/>
    <w:rsid w:val="5B1B0EF9"/>
    <w:rsid w:val="5E696DFC"/>
    <w:rsid w:val="643C5ADC"/>
    <w:rsid w:val="65370EB6"/>
    <w:rsid w:val="663B27FC"/>
    <w:rsid w:val="66B32295"/>
    <w:rsid w:val="68936F2C"/>
    <w:rsid w:val="7B7B2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next w:val="10"/>
    <w:qFormat/>
    <w:uiPriority w:val="0"/>
    <w:pPr>
      <w:ind w:firstLine="420" w:firstLineChars="100"/>
    </w:pPr>
  </w:style>
  <w:style w:type="paragraph" w:styleId="10">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character" w:styleId="13">
    <w:name w:val="FollowedHyperlink"/>
    <w:basedOn w:val="12"/>
    <w:qFormat/>
    <w:uiPriority w:val="0"/>
    <w:rPr>
      <w:color w:val="000000"/>
      <w:u w:val="none"/>
    </w:rPr>
  </w:style>
  <w:style w:type="character" w:styleId="14">
    <w:name w:val="Emphasis"/>
    <w:basedOn w:val="12"/>
    <w:qFormat/>
    <w:uiPriority w:val="0"/>
  </w:style>
  <w:style w:type="character" w:styleId="15">
    <w:name w:val="Hyperlink"/>
    <w:basedOn w:val="12"/>
    <w:qFormat/>
    <w:uiPriority w:val="0"/>
    <w:rPr>
      <w:color w:val="000000"/>
      <w:u w:val="none"/>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character" w:customStyle="1" w:styleId="18">
    <w:name w:val="green"/>
    <w:basedOn w:val="12"/>
    <w:qFormat/>
    <w:uiPriority w:val="0"/>
    <w:rPr>
      <w:color w:val="66AE00"/>
      <w:sz w:val="18"/>
      <w:szCs w:val="18"/>
    </w:rPr>
  </w:style>
  <w:style w:type="character" w:customStyle="1" w:styleId="19">
    <w:name w:val="green1"/>
    <w:basedOn w:val="12"/>
    <w:qFormat/>
    <w:uiPriority w:val="0"/>
    <w:rPr>
      <w:color w:val="66AE00"/>
      <w:sz w:val="18"/>
      <w:szCs w:val="18"/>
    </w:rPr>
  </w:style>
  <w:style w:type="character" w:customStyle="1" w:styleId="20">
    <w:name w:val="red"/>
    <w:basedOn w:val="12"/>
    <w:qFormat/>
    <w:uiPriority w:val="0"/>
    <w:rPr>
      <w:color w:val="FF0000"/>
      <w:sz w:val="18"/>
      <w:szCs w:val="18"/>
    </w:rPr>
  </w:style>
  <w:style w:type="character" w:customStyle="1" w:styleId="21">
    <w:name w:val="red1"/>
    <w:basedOn w:val="12"/>
    <w:qFormat/>
    <w:uiPriority w:val="0"/>
    <w:rPr>
      <w:color w:val="FF0000"/>
      <w:sz w:val="18"/>
      <w:szCs w:val="18"/>
    </w:rPr>
  </w:style>
  <w:style w:type="character" w:customStyle="1" w:styleId="22">
    <w:name w:val="red2"/>
    <w:basedOn w:val="12"/>
    <w:qFormat/>
    <w:uiPriority w:val="0"/>
    <w:rPr>
      <w:color w:val="FF0000"/>
    </w:rPr>
  </w:style>
  <w:style w:type="character" w:customStyle="1" w:styleId="23">
    <w:name w:val="red3"/>
    <w:basedOn w:val="12"/>
    <w:qFormat/>
    <w:uiPriority w:val="0"/>
    <w:rPr>
      <w:color w:val="CC0000"/>
    </w:rPr>
  </w:style>
  <w:style w:type="character" w:customStyle="1" w:styleId="24">
    <w:name w:val="blue"/>
    <w:basedOn w:val="12"/>
    <w:qFormat/>
    <w:uiPriority w:val="0"/>
    <w:rPr>
      <w:color w:val="0371C6"/>
      <w:sz w:val="21"/>
      <w:szCs w:val="21"/>
    </w:rPr>
  </w:style>
  <w:style w:type="character" w:customStyle="1" w:styleId="25">
    <w:name w:val="right"/>
    <w:basedOn w:val="12"/>
    <w:qFormat/>
    <w:uiPriority w:val="0"/>
    <w:rPr>
      <w:color w:val="999999"/>
      <w:sz w:val="18"/>
      <w:szCs w:val="18"/>
    </w:rPr>
  </w:style>
  <w:style w:type="character" w:customStyle="1" w:styleId="26">
    <w:name w:val="hover24"/>
    <w:basedOn w:val="12"/>
    <w:qFormat/>
    <w:uiPriority w:val="0"/>
  </w:style>
  <w:style w:type="character" w:customStyle="1" w:styleId="27">
    <w:name w:val="gb-jt"/>
    <w:basedOn w:val="12"/>
    <w:qFormat/>
    <w:uiPriority w:val="0"/>
  </w:style>
  <w:style w:type="character" w:customStyle="1" w:styleId="28">
    <w:name w:val="hover25"/>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customShpInfo spid="_x0000_s2055"/>
    <customShpInfo spid="_x0000_s2053"/>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35386</Words>
  <Characters>7731</Characters>
  <Lines>64</Lines>
  <Paragraphs>86</Paragraphs>
  <TotalTime>21</TotalTime>
  <ScaleCrop>false</ScaleCrop>
  <LinksUpToDate>false</LinksUpToDate>
  <CharactersWithSpaces>43031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2020-03-02T02:49:00Z</dcterms:created>
  <dc:creator>八色花</dc:creator>
  <cp:lastModifiedBy>Administrator</cp:lastModifiedBy>
  <cp:lastPrinted>2020-04-14T03:47:16Z</cp:lastPrinted>
  <dcterms:modified xsi:type="dcterms:W3CDTF">2020-04-14T03:47:26Z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