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color w:val="000000"/>
          <w:sz w:val="42"/>
          <w:szCs w:val="42"/>
          <w:shd w:val="clear" w:color="auto" w:fill="FFFFFF"/>
          <w:lang w:val="en-US" w:eastAsia="zh-CN"/>
        </w:rPr>
      </w:pPr>
      <w:r>
        <w:rPr>
          <w:rFonts w:hint="eastAsia" w:ascii="黑体" w:hAnsi="黑体" w:eastAsia="黑体" w:cs="黑体"/>
          <w:b/>
          <w:bCs/>
          <w:color w:val="000000"/>
          <w:sz w:val="42"/>
          <w:szCs w:val="42"/>
          <w:shd w:val="clear" w:color="auto" w:fill="FFFFFF"/>
          <w:lang w:val="en-US" w:eastAsia="zh-CN"/>
        </w:rPr>
        <w:t>长葛市颍川路学校中小学医务、心理咨询室、初中历史、地理教室及创客教室等设备采购项目</w:t>
      </w:r>
    </w:p>
    <w:p>
      <w:pPr>
        <w:rPr>
          <w:rFonts w:ascii="微软简隶书" w:eastAsia="微软简隶书"/>
          <w:color w:val="000000"/>
          <w:u w:val="single"/>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jc w:val="center"/>
        <w:rPr>
          <w:rFonts w:hint="eastAsia" w:asciiTheme="majorEastAsia" w:hAnsiTheme="majorEastAsia" w:eastAsiaTheme="majorEastAsia" w:cstheme="majorEastAsia"/>
          <w:b/>
          <w:bCs w:val="0"/>
          <w:color w:val="000000"/>
          <w:w w:val="90"/>
          <w:sz w:val="84"/>
          <w:szCs w:val="84"/>
        </w:rPr>
      </w:pPr>
    </w:p>
    <w:p>
      <w:pPr>
        <w:jc w:val="center"/>
        <w:rPr>
          <w:rFonts w:hint="eastAsia" w:asciiTheme="majorEastAsia" w:hAnsiTheme="majorEastAsia" w:eastAsiaTheme="majorEastAsia" w:cstheme="majorEastAsia"/>
          <w:b/>
          <w:bCs w:val="0"/>
          <w:color w:val="000000"/>
          <w:w w:val="90"/>
          <w:sz w:val="84"/>
          <w:szCs w:val="84"/>
        </w:rPr>
      </w:pPr>
      <w:r>
        <w:rPr>
          <w:rFonts w:hint="eastAsia" w:asciiTheme="majorEastAsia" w:hAnsiTheme="majorEastAsia" w:eastAsiaTheme="majorEastAsia" w:cstheme="majorEastAsia"/>
          <w:b/>
          <w:bCs w:val="0"/>
          <w:color w:val="000000"/>
          <w:w w:val="90"/>
          <w:sz w:val="84"/>
          <w:szCs w:val="84"/>
        </w:rPr>
        <w:t>招</w:t>
      </w:r>
      <w:r>
        <w:rPr>
          <w:rFonts w:hint="eastAsia" w:asciiTheme="majorEastAsia" w:hAnsiTheme="majorEastAsia" w:eastAsiaTheme="majorEastAsia" w:cstheme="majorEastAsia"/>
          <w:b/>
          <w:bCs w:val="0"/>
          <w:color w:val="000000"/>
          <w:w w:val="90"/>
          <w:sz w:val="84"/>
          <w:szCs w:val="84"/>
          <w:lang w:val="en-US" w:eastAsia="zh-CN"/>
        </w:rPr>
        <w:t xml:space="preserve"> </w:t>
      </w:r>
      <w:r>
        <w:rPr>
          <w:rFonts w:hint="eastAsia" w:asciiTheme="majorEastAsia" w:hAnsiTheme="majorEastAsia" w:eastAsiaTheme="majorEastAsia" w:cstheme="majorEastAsia"/>
          <w:b/>
          <w:bCs w:val="0"/>
          <w:color w:val="000000"/>
          <w:w w:val="90"/>
          <w:sz w:val="84"/>
          <w:szCs w:val="84"/>
        </w:rPr>
        <w:t>标</w:t>
      </w:r>
      <w:r>
        <w:rPr>
          <w:rFonts w:hint="eastAsia" w:asciiTheme="majorEastAsia" w:hAnsiTheme="majorEastAsia" w:eastAsiaTheme="majorEastAsia" w:cstheme="majorEastAsia"/>
          <w:b/>
          <w:bCs w:val="0"/>
          <w:color w:val="000000"/>
          <w:w w:val="90"/>
          <w:sz w:val="84"/>
          <w:szCs w:val="84"/>
          <w:lang w:val="en-US" w:eastAsia="zh-CN"/>
        </w:rPr>
        <w:t xml:space="preserve"> </w:t>
      </w:r>
      <w:r>
        <w:rPr>
          <w:rFonts w:hint="eastAsia" w:asciiTheme="majorEastAsia" w:hAnsiTheme="majorEastAsia" w:eastAsiaTheme="majorEastAsia" w:cstheme="majorEastAsia"/>
          <w:b/>
          <w:bCs w:val="0"/>
          <w:color w:val="000000"/>
          <w:w w:val="90"/>
          <w:sz w:val="84"/>
          <w:szCs w:val="84"/>
        </w:rPr>
        <w:t>文</w:t>
      </w:r>
      <w:r>
        <w:rPr>
          <w:rFonts w:hint="eastAsia" w:asciiTheme="majorEastAsia" w:hAnsiTheme="majorEastAsia" w:eastAsiaTheme="majorEastAsia" w:cstheme="majorEastAsia"/>
          <w:b/>
          <w:bCs w:val="0"/>
          <w:color w:val="000000"/>
          <w:w w:val="90"/>
          <w:sz w:val="84"/>
          <w:szCs w:val="84"/>
          <w:lang w:val="en-US" w:eastAsia="zh-CN"/>
        </w:rPr>
        <w:t xml:space="preserve"> </w:t>
      </w:r>
      <w:r>
        <w:rPr>
          <w:rFonts w:hint="eastAsia" w:asciiTheme="majorEastAsia" w:hAnsiTheme="majorEastAsia" w:eastAsiaTheme="majorEastAsia" w:cstheme="majorEastAsia"/>
          <w:b/>
          <w:bCs w:val="0"/>
          <w:color w:val="000000"/>
          <w:w w:val="90"/>
          <w:sz w:val="84"/>
          <w:szCs w:val="84"/>
        </w:rPr>
        <w:t>件</w:t>
      </w: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ind w:firstLine="1084" w:firstLineChars="300"/>
        <w:rPr>
          <w:rFonts w:hint="eastAsia"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项目编号：</w:t>
      </w:r>
      <w:r>
        <w:rPr>
          <w:rFonts w:hint="eastAsia" w:asciiTheme="majorEastAsia" w:hAnsiTheme="majorEastAsia" w:eastAsiaTheme="majorEastAsia" w:cstheme="majorEastAsia"/>
          <w:b/>
          <w:bCs/>
          <w:color w:val="000000"/>
          <w:sz w:val="36"/>
          <w:szCs w:val="36"/>
          <w:lang w:eastAsia="zh-CN"/>
        </w:rPr>
        <w:t>长招采公字【</w:t>
      </w:r>
      <w:r>
        <w:rPr>
          <w:rFonts w:hint="eastAsia" w:asciiTheme="majorEastAsia" w:hAnsiTheme="majorEastAsia" w:eastAsiaTheme="majorEastAsia" w:cstheme="majorEastAsia"/>
          <w:b/>
          <w:bCs/>
          <w:color w:val="000000"/>
          <w:sz w:val="36"/>
          <w:szCs w:val="36"/>
          <w:lang w:val="en-US" w:eastAsia="zh-CN"/>
        </w:rPr>
        <w:t>2019</w:t>
      </w:r>
      <w:r>
        <w:rPr>
          <w:rFonts w:hint="eastAsia" w:asciiTheme="majorEastAsia" w:hAnsiTheme="majorEastAsia" w:eastAsiaTheme="majorEastAsia" w:cstheme="majorEastAsia"/>
          <w:b/>
          <w:bCs/>
          <w:color w:val="000000"/>
          <w:sz w:val="36"/>
          <w:szCs w:val="36"/>
          <w:lang w:eastAsia="zh-CN"/>
        </w:rPr>
        <w:t>】</w:t>
      </w:r>
      <w:r>
        <w:rPr>
          <w:rFonts w:hint="eastAsia" w:asciiTheme="majorEastAsia" w:hAnsiTheme="majorEastAsia" w:eastAsiaTheme="majorEastAsia" w:cstheme="majorEastAsia"/>
          <w:b/>
          <w:bCs/>
          <w:color w:val="000000"/>
          <w:sz w:val="36"/>
          <w:szCs w:val="36"/>
          <w:lang w:val="en-US" w:eastAsia="zh-CN"/>
        </w:rPr>
        <w:t>089</w:t>
      </w:r>
      <w:r>
        <w:rPr>
          <w:rFonts w:hint="eastAsia" w:asciiTheme="majorEastAsia" w:hAnsiTheme="majorEastAsia" w:eastAsiaTheme="majorEastAsia" w:cstheme="majorEastAsia"/>
          <w:b/>
          <w:bCs/>
          <w:color w:val="000000"/>
          <w:sz w:val="36"/>
          <w:szCs w:val="36"/>
          <w:lang w:eastAsia="zh-CN"/>
        </w:rPr>
        <w:t>号</w:t>
      </w:r>
    </w:p>
    <w:p>
      <w:pPr>
        <w:ind w:firstLine="1084" w:firstLineChars="300"/>
        <w:rPr>
          <w:rFonts w:hint="eastAsia"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采购单位：长葛市教育体育局</w:t>
      </w:r>
    </w:p>
    <w:p>
      <w:pPr>
        <w:ind w:firstLine="1084" w:firstLineChars="300"/>
        <w:rPr>
          <w:rFonts w:hint="eastAsia"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代理机构：</w:t>
      </w:r>
      <w:r>
        <w:rPr>
          <w:rFonts w:hint="eastAsia" w:asciiTheme="majorEastAsia" w:hAnsiTheme="majorEastAsia" w:eastAsiaTheme="majorEastAsia" w:cstheme="majorEastAsia"/>
          <w:b/>
          <w:bCs/>
          <w:color w:val="000000"/>
          <w:sz w:val="36"/>
          <w:szCs w:val="36"/>
          <w:lang w:eastAsia="zh-CN"/>
        </w:rPr>
        <w:t>山西文昌工程咨询有限公司</w:t>
      </w:r>
    </w:p>
    <w:p>
      <w:pPr>
        <w:rPr>
          <w:rFonts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 xml:space="preserve">      </w:t>
      </w:r>
    </w:p>
    <w:p>
      <w:pPr>
        <w:jc w:val="center"/>
        <w:rPr>
          <w:rFonts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二</w:t>
      </w:r>
      <w:r>
        <w:rPr>
          <w:rFonts w:hint="eastAsia" w:asciiTheme="majorEastAsia" w:hAnsiTheme="majorEastAsia" w:eastAsiaTheme="majorEastAsia" w:cstheme="majorEastAsia"/>
          <w:b/>
          <w:bCs/>
          <w:color w:val="000000"/>
          <w:sz w:val="36"/>
          <w:szCs w:val="36"/>
          <w:lang w:val="en-US" w:eastAsia="zh-CN"/>
        </w:rPr>
        <w:t>0</w:t>
      </w:r>
      <w:r>
        <w:rPr>
          <w:rFonts w:hint="eastAsia" w:asciiTheme="majorEastAsia" w:hAnsiTheme="majorEastAsia" w:eastAsiaTheme="majorEastAsia" w:cstheme="majorEastAsia"/>
          <w:b/>
          <w:bCs/>
          <w:color w:val="000000"/>
          <w:sz w:val="36"/>
          <w:szCs w:val="36"/>
          <w:lang w:eastAsia="zh-CN"/>
        </w:rPr>
        <w:t>二</w:t>
      </w:r>
      <w:r>
        <w:rPr>
          <w:rFonts w:hint="eastAsia" w:asciiTheme="majorEastAsia" w:hAnsiTheme="majorEastAsia" w:eastAsiaTheme="majorEastAsia" w:cstheme="majorEastAsia"/>
          <w:b/>
          <w:bCs/>
          <w:color w:val="000000"/>
          <w:sz w:val="36"/>
          <w:szCs w:val="36"/>
          <w:lang w:val="en-US" w:eastAsia="zh-CN"/>
        </w:rPr>
        <w:t>0</w:t>
      </w:r>
      <w:r>
        <w:rPr>
          <w:rFonts w:hint="eastAsia" w:asciiTheme="majorEastAsia" w:hAnsiTheme="majorEastAsia" w:eastAsiaTheme="majorEastAsia" w:cstheme="majorEastAsia"/>
          <w:b/>
          <w:bCs/>
          <w:color w:val="000000"/>
          <w:sz w:val="36"/>
          <w:szCs w:val="36"/>
        </w:rPr>
        <w:t>年</w:t>
      </w:r>
      <w:r>
        <w:rPr>
          <w:rFonts w:hint="eastAsia" w:asciiTheme="majorEastAsia" w:hAnsiTheme="majorEastAsia" w:eastAsiaTheme="majorEastAsia" w:cstheme="majorEastAsia"/>
          <w:b/>
          <w:bCs/>
          <w:color w:val="000000"/>
          <w:sz w:val="36"/>
          <w:szCs w:val="36"/>
          <w:lang w:eastAsia="zh-CN"/>
        </w:rPr>
        <w:t>三</w:t>
      </w:r>
      <w:r>
        <w:rPr>
          <w:rFonts w:hint="eastAsia" w:asciiTheme="majorEastAsia" w:hAnsiTheme="majorEastAsia" w:eastAsiaTheme="majorEastAsia" w:cstheme="majorEastAsia"/>
          <w:b/>
          <w:bCs/>
          <w:color w:val="000000"/>
          <w:sz w:val="36"/>
          <w:szCs w:val="36"/>
        </w:rPr>
        <w:t>月</w:t>
      </w:r>
    </w:p>
    <w:p>
      <w:pPr>
        <w:autoSpaceDE w:val="0"/>
        <w:autoSpaceDN w:val="0"/>
        <w:adjustRightInd w:val="0"/>
        <w:spacing w:line="700" w:lineRule="exact"/>
        <w:ind w:firstLine="551"/>
        <w:jc w:val="both"/>
        <w:rPr>
          <w:rFonts w:hint="eastAsia" w:cs="宋体" w:asciiTheme="majorEastAsia" w:hAnsiTheme="majorEastAsia" w:eastAsiaTheme="majorEastAsia"/>
          <w:b/>
          <w:kern w:val="0"/>
          <w:sz w:val="44"/>
          <w:szCs w:val="44"/>
        </w:rPr>
        <w:sectPr>
          <w:headerReference r:id="rId4" w:type="first"/>
          <w:headerReference r:id="rId3" w:type="default"/>
          <w:footerReference r:id="rId5" w:type="default"/>
          <w:pgSz w:w="11906" w:h="16838"/>
          <w:pgMar w:top="2098" w:right="1474" w:bottom="1928" w:left="1588" w:header="851" w:footer="992" w:gutter="0"/>
          <w:cols w:space="425" w:num="1"/>
          <w:titlePg/>
          <w:docGrid w:type="lines" w:linePitch="312" w:charSpace="0"/>
        </w:sectPr>
      </w:pPr>
    </w:p>
    <w:p>
      <w:pPr>
        <w:autoSpaceDE w:val="0"/>
        <w:autoSpaceDN w:val="0"/>
        <w:adjustRightInd w:val="0"/>
        <w:spacing w:line="700" w:lineRule="exact"/>
        <w:jc w:val="center"/>
        <w:rPr>
          <w:rFonts w:cs="宋体" w:asciiTheme="majorEastAsia" w:hAnsiTheme="majorEastAsia" w:eastAsiaTheme="majorEastAsia"/>
          <w:b/>
          <w:kern w:val="0"/>
          <w:sz w:val="44"/>
          <w:szCs w:val="44"/>
        </w:rPr>
      </w:pPr>
      <w:r>
        <w:rPr>
          <w:rFonts w:hint="eastAsia" w:cs="宋体" w:asciiTheme="majorEastAsia" w:hAnsiTheme="majorEastAsia" w:eastAsiaTheme="majorEastAsia"/>
          <w:b/>
          <w:kern w:val="0"/>
          <w:sz w:val="44"/>
          <w:szCs w:val="44"/>
        </w:rPr>
        <w:t>招标文件目录</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第一章 投标邀请</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第二章 项目需求</w:t>
      </w:r>
    </w:p>
    <w:p>
      <w:pPr>
        <w:autoSpaceDE w:val="0"/>
        <w:autoSpaceDN w:val="0"/>
        <w:adjustRightInd w:val="0"/>
        <w:spacing w:line="700" w:lineRule="exact"/>
        <w:ind w:firstLine="560"/>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第三章 </w:t>
      </w:r>
      <w:r>
        <w:rPr>
          <w:rFonts w:hint="eastAsia" w:asciiTheme="majorEastAsia" w:hAnsiTheme="majorEastAsia" w:eastAsiaTheme="majorEastAsia" w:cstheme="majorEastAsia"/>
          <w:b/>
          <w:kern w:val="0"/>
          <w:sz w:val="30"/>
          <w:szCs w:val="30"/>
        </w:rPr>
        <w:t>投标人须知前附表</w:t>
      </w:r>
    </w:p>
    <w:p>
      <w:pPr>
        <w:autoSpaceDE w:val="0"/>
        <w:autoSpaceDN w:val="0"/>
        <w:adjustRightInd w:val="0"/>
        <w:spacing w:line="700" w:lineRule="exact"/>
        <w:ind w:firstLine="560"/>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第四章 </w:t>
      </w:r>
      <w:r>
        <w:rPr>
          <w:rFonts w:hint="eastAsia" w:asciiTheme="majorEastAsia" w:hAnsiTheme="majorEastAsia" w:eastAsiaTheme="majorEastAsia" w:cstheme="majorEastAsia"/>
          <w:b/>
          <w:kern w:val="0"/>
          <w:sz w:val="30"/>
          <w:szCs w:val="30"/>
        </w:rPr>
        <w:t>投标人须知</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二、招标文件说明</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三、投标文件的编制</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四、投标文件的递交</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五、开标和评标</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六、定标和授予合同</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第五章 </w:t>
      </w:r>
      <w:r>
        <w:rPr>
          <w:rFonts w:hint="eastAsia" w:asciiTheme="majorEastAsia" w:hAnsiTheme="majorEastAsia" w:eastAsiaTheme="majorEastAsia" w:cstheme="majorEastAsia"/>
          <w:b/>
          <w:kern w:val="0"/>
          <w:sz w:val="30"/>
          <w:szCs w:val="30"/>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第六章 </w:t>
      </w:r>
      <w:r>
        <w:rPr>
          <w:rFonts w:hint="eastAsia" w:asciiTheme="majorEastAsia" w:hAnsiTheme="majorEastAsia" w:eastAsiaTheme="majorEastAsia" w:cstheme="majorEastAsia"/>
          <w:b/>
          <w:kern w:val="0"/>
          <w:sz w:val="30"/>
          <w:szCs w:val="30"/>
        </w:rPr>
        <w:t>资格审查与评标</w:t>
      </w:r>
    </w:p>
    <w:p>
      <w:pPr>
        <w:autoSpaceDE w:val="0"/>
        <w:autoSpaceDN w:val="0"/>
        <w:adjustRightInd w:val="0"/>
        <w:spacing w:line="700" w:lineRule="exact"/>
        <w:ind w:firstLine="551"/>
        <w:outlineLvl w:val="0"/>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第七章 </w:t>
      </w:r>
      <w:r>
        <w:rPr>
          <w:rFonts w:hint="eastAsia" w:asciiTheme="majorEastAsia" w:hAnsiTheme="majorEastAsia" w:eastAsiaTheme="majorEastAsia" w:cstheme="majorEastAsia"/>
          <w:b/>
          <w:kern w:val="0"/>
          <w:sz w:val="30"/>
          <w:szCs w:val="30"/>
        </w:rPr>
        <w:t>合同条款及格式</w:t>
      </w:r>
    </w:p>
    <w:p>
      <w:pPr>
        <w:autoSpaceDE w:val="0"/>
        <w:autoSpaceDN w:val="0"/>
        <w:adjustRightInd w:val="0"/>
        <w:spacing w:line="700" w:lineRule="exact"/>
        <w:ind w:firstLine="551"/>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第八章 </w:t>
      </w:r>
      <w:r>
        <w:rPr>
          <w:rFonts w:hint="eastAsia" w:asciiTheme="majorEastAsia" w:hAnsiTheme="majorEastAsia" w:eastAsiaTheme="majorEastAsia" w:cstheme="majorEastAsia"/>
          <w:b/>
          <w:kern w:val="0"/>
          <w:sz w:val="30"/>
          <w:szCs w:val="30"/>
        </w:rPr>
        <w:t>投标文件有关格式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pPr>
        <w:jc w:val="both"/>
        <w:rPr>
          <w:rFonts w:hint="eastAsia" w:cs="宋体" w:asciiTheme="majorEastAsia" w:hAnsiTheme="majorEastAsia" w:eastAsiaTheme="majorEastAsia"/>
          <w:b/>
          <w:kern w:val="0"/>
          <w:sz w:val="32"/>
          <w:szCs w:val="32"/>
        </w:rPr>
      </w:pPr>
    </w:p>
    <w:p>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第一章 投标邀请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0"/>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山西文昌工程咨询有限公司(以下简称代理机构) 受</w:t>
      </w:r>
      <w:r>
        <w:rPr>
          <w:rFonts w:hint="eastAsia" w:cs="仿宋_GB2312" w:asciiTheme="minorEastAsia" w:hAnsiTheme="minorEastAsia" w:eastAsiaTheme="minorEastAsia"/>
          <w:color w:val="000000"/>
          <w:sz w:val="24"/>
          <w:szCs w:val="24"/>
          <w:shd w:val="clear" w:color="auto" w:fill="FFFFFF"/>
          <w:lang w:val="en-US" w:eastAsia="zh-CN"/>
        </w:rPr>
        <w:t>长葛市教育体育局</w:t>
      </w:r>
      <w:r>
        <w:rPr>
          <w:rFonts w:hint="eastAsia" w:cs="仿宋_GB2312" w:asciiTheme="minorEastAsia" w:hAnsiTheme="minorEastAsia" w:eastAsiaTheme="minorEastAsia"/>
          <w:color w:val="000000"/>
          <w:sz w:val="24"/>
          <w:szCs w:val="24"/>
          <w:shd w:val="clear" w:color="auto" w:fill="FFFFFF"/>
          <w:lang w:val="zh-CN" w:eastAsia="zh-CN"/>
        </w:rPr>
        <w:t>的委托，对</w:t>
      </w:r>
      <w:r>
        <w:rPr>
          <w:rFonts w:hint="eastAsia" w:cs="仿宋_GB2312" w:asciiTheme="minorEastAsia" w:hAnsiTheme="minorEastAsia" w:eastAsiaTheme="minorEastAsia"/>
          <w:color w:val="000000"/>
          <w:sz w:val="24"/>
          <w:szCs w:val="24"/>
          <w:shd w:val="clear" w:color="auto" w:fill="FFFFFF"/>
          <w:lang w:val="en-US" w:eastAsia="zh-CN"/>
        </w:rPr>
        <w:t>长葛市颍川路学校中小学医务、心理咨询室、初中历史、地理教室及创客教室等设备采购项目</w:t>
      </w:r>
      <w:r>
        <w:rPr>
          <w:rFonts w:hint="eastAsia" w:cs="仿宋_GB2312" w:asciiTheme="minorEastAsia" w:hAnsiTheme="minorEastAsia" w:eastAsiaTheme="minorEastAsia"/>
          <w:color w:val="000000"/>
          <w:sz w:val="24"/>
          <w:szCs w:val="24"/>
          <w:shd w:val="clear" w:color="auto" w:fill="FFFFFF"/>
          <w:lang w:val="zh-CN"/>
        </w:rPr>
        <w:t>进行公开招标。现邀请符合本招标文件规定条件的投标人前来投标。</w:t>
      </w:r>
    </w:p>
    <w:p>
      <w:pPr>
        <w:pStyle w:val="23"/>
        <w:widowControl/>
        <w:shd w:val="clear" w:color="auto" w:fill="FFFFFF"/>
        <w:spacing w:line="360" w:lineRule="auto"/>
        <w:contextualSpacing/>
        <w:jc w:val="left"/>
        <w:rPr>
          <w:rFonts w:cs="黑体" w:asciiTheme="minorEastAsia" w:hAnsiTheme="minorEastAsia" w:eastAsiaTheme="minorEastAsia"/>
          <w:b/>
          <w:bCs/>
          <w:color w:val="000000"/>
          <w:sz w:val="24"/>
          <w:szCs w:val="24"/>
        </w:rPr>
      </w:pPr>
      <w:r>
        <w:rPr>
          <w:rFonts w:hint="eastAsia" w:ascii="黑体" w:hAnsi="黑体" w:eastAsia="黑体" w:cs="黑体"/>
          <w:bCs/>
          <w:color w:val="000000"/>
          <w:sz w:val="24"/>
          <w:szCs w:val="24"/>
          <w:shd w:val="clear" w:color="auto" w:fill="FFFFFF"/>
        </w:rPr>
        <w:t xml:space="preserve">    </w:t>
      </w:r>
      <w:r>
        <w:rPr>
          <w:rFonts w:hint="eastAsia" w:cs="黑体" w:asciiTheme="minorEastAsia" w:hAnsiTheme="minorEastAsia" w:eastAsiaTheme="minorEastAsia"/>
          <w:b/>
          <w:bCs/>
          <w:color w:val="000000"/>
          <w:sz w:val="24"/>
          <w:szCs w:val="24"/>
          <w:shd w:val="clear" w:color="auto" w:fill="FFFFFF"/>
        </w:rPr>
        <w:t>一、项目基本情况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80" w:firstLineChars="200"/>
        <w:jc w:val="left"/>
        <w:rPr>
          <w:rFonts w:hint="default" w:cs="仿宋_GB2312" w:asciiTheme="minorEastAsia" w:hAnsiTheme="minorEastAsia" w:eastAsiaTheme="minorEastAsia"/>
          <w:color w:val="000000"/>
          <w:sz w:val="24"/>
          <w:szCs w:val="24"/>
          <w:shd w:val="clear" w:color="auto" w:fill="FFFFFF"/>
          <w:lang w:val="en-US"/>
        </w:rPr>
      </w:pPr>
      <w:r>
        <w:rPr>
          <w:rFonts w:hint="eastAsia" w:cs="仿宋_GB2312" w:asciiTheme="minorEastAsia" w:hAnsiTheme="minorEastAsia" w:eastAsiaTheme="minorEastAsia"/>
          <w:color w:val="000000"/>
          <w:sz w:val="24"/>
          <w:szCs w:val="24"/>
          <w:shd w:val="clear" w:color="auto" w:fill="FFFFFF"/>
        </w:rPr>
        <w:t>（一）项目名</w:t>
      </w:r>
      <w:r>
        <w:rPr>
          <w:rFonts w:hint="eastAsia" w:cs="仿宋_GB2312" w:asciiTheme="minorEastAsia" w:hAnsiTheme="minorEastAsia" w:eastAsiaTheme="minorEastAsia"/>
          <w:color w:val="000000"/>
          <w:sz w:val="24"/>
          <w:szCs w:val="24"/>
          <w:shd w:val="clear" w:color="auto" w:fill="FFFFFF"/>
          <w:lang w:val="zh-CN"/>
        </w:rPr>
        <w:t>称</w:t>
      </w:r>
      <w:r>
        <w:rPr>
          <w:rFonts w:hint="eastAsia" w:cs="仿宋_GB2312" w:asciiTheme="minorEastAsia" w:hAnsiTheme="minorEastAsia" w:eastAsiaTheme="minorEastAsia"/>
          <w:color w:val="000000"/>
          <w:kern w:val="2"/>
          <w:sz w:val="24"/>
          <w:szCs w:val="24"/>
          <w:shd w:val="clear" w:color="auto" w:fill="FFFFFF"/>
          <w:lang w:val="zh-CN" w:eastAsia="zh-CN" w:bidi="ar-SA"/>
        </w:rPr>
        <w:t>：</w:t>
      </w:r>
      <w:r>
        <w:rPr>
          <w:rFonts w:hint="eastAsia" w:cs="仿宋_GB2312" w:asciiTheme="minorEastAsia" w:hAnsiTheme="minorEastAsia" w:eastAsiaTheme="minorEastAsia"/>
          <w:color w:val="000000"/>
          <w:kern w:val="2"/>
          <w:sz w:val="24"/>
          <w:szCs w:val="24"/>
          <w:shd w:val="clear" w:color="auto" w:fill="FFFFFF"/>
          <w:lang w:val="en-US" w:eastAsia="zh-CN" w:bidi="ar-SA"/>
        </w:rPr>
        <w:t>长葛市颍川路学校中小学医务、心理咨询室、初中历史、地理教室及创客教室等设备采购项目</w:t>
      </w:r>
    </w:p>
    <w:p>
      <w:pPr>
        <w:pStyle w:val="23"/>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（二）项目编号：</w:t>
      </w:r>
      <w:r>
        <w:rPr>
          <w:rFonts w:hint="eastAsia" w:cs="仿宋_GB2312" w:asciiTheme="minorEastAsia" w:hAnsiTheme="minorEastAsia" w:eastAsiaTheme="minorEastAsia"/>
          <w:color w:val="000000"/>
          <w:sz w:val="24"/>
          <w:szCs w:val="24"/>
          <w:shd w:val="clear" w:color="auto" w:fill="FFFFFF"/>
          <w:lang w:val="zh-CN" w:eastAsia="zh-CN"/>
        </w:rPr>
        <w:t>长招采公字【</w:t>
      </w:r>
      <w:r>
        <w:rPr>
          <w:rFonts w:hint="eastAsia" w:cs="仿宋_GB2312" w:asciiTheme="minorEastAsia" w:hAnsiTheme="minorEastAsia" w:eastAsiaTheme="minorEastAsia"/>
          <w:color w:val="000000"/>
          <w:sz w:val="24"/>
          <w:szCs w:val="24"/>
          <w:shd w:val="clear" w:color="auto" w:fill="FFFFFF"/>
          <w:lang w:val="en-US" w:eastAsia="zh-CN"/>
        </w:rPr>
        <w:t>2019</w:t>
      </w:r>
      <w:r>
        <w:rPr>
          <w:rFonts w:hint="eastAsia" w:cs="仿宋_GB2312" w:asciiTheme="minorEastAsia" w:hAnsiTheme="minorEastAsia" w:eastAsiaTheme="minorEastAsia"/>
          <w:color w:val="000000"/>
          <w:sz w:val="24"/>
          <w:szCs w:val="24"/>
          <w:shd w:val="clear" w:color="auto" w:fill="FFFFFF"/>
          <w:lang w:val="zh-CN" w:eastAsia="zh-CN"/>
        </w:rPr>
        <w:t>】</w:t>
      </w:r>
      <w:r>
        <w:rPr>
          <w:rFonts w:hint="eastAsia" w:cs="仿宋_GB2312" w:asciiTheme="minorEastAsia" w:hAnsiTheme="minorEastAsia" w:eastAsiaTheme="minorEastAsia"/>
          <w:color w:val="000000"/>
          <w:sz w:val="24"/>
          <w:szCs w:val="24"/>
          <w:shd w:val="clear" w:color="auto" w:fill="FFFFFF"/>
          <w:lang w:val="en-US" w:eastAsia="zh-CN"/>
        </w:rPr>
        <w:t>089</w:t>
      </w:r>
      <w:r>
        <w:rPr>
          <w:rFonts w:hint="eastAsia" w:cs="仿宋_GB2312" w:asciiTheme="minorEastAsia" w:hAnsiTheme="minorEastAsia" w:eastAsiaTheme="minorEastAsia"/>
          <w:color w:val="000000"/>
          <w:sz w:val="24"/>
          <w:szCs w:val="24"/>
          <w:shd w:val="clear" w:color="auto" w:fill="FFFFFF"/>
          <w:lang w:val="zh-CN" w:eastAsia="zh-CN"/>
        </w:rPr>
        <w:t xml:space="preserve">号 </w:t>
      </w:r>
      <w:r>
        <w:rPr>
          <w:rFonts w:hint="eastAsia" w:cs="仿宋_GB2312" w:asciiTheme="minorEastAsia" w:hAnsiTheme="minorEastAsia" w:eastAsiaTheme="minorEastAsia"/>
          <w:color w:val="000000"/>
          <w:sz w:val="24"/>
          <w:szCs w:val="24"/>
          <w:shd w:val="clear" w:color="auto" w:fill="FFFFFF"/>
          <w:lang w:val="zh-CN"/>
        </w:rPr>
        <w:t xml:space="preserve"> </w:t>
      </w:r>
    </w:p>
    <w:p>
      <w:pPr>
        <w:pStyle w:val="23"/>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 xml:space="preserve">（三）采购方式：公开招标 </w:t>
      </w:r>
    </w:p>
    <w:p>
      <w:pPr>
        <w:pStyle w:val="23"/>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en-US" w:eastAsia="zh-CN"/>
        </w:rPr>
      </w:pPr>
      <w:r>
        <w:rPr>
          <w:rFonts w:hint="eastAsia" w:cs="仿宋_GB2312" w:asciiTheme="minorEastAsia" w:hAnsiTheme="minorEastAsia" w:eastAsiaTheme="minorEastAsia"/>
          <w:color w:val="000000"/>
          <w:sz w:val="24"/>
          <w:szCs w:val="24"/>
          <w:shd w:val="clear" w:color="auto" w:fill="FFFFFF"/>
          <w:lang w:val="zh-CN"/>
        </w:rPr>
        <w:t>（四）项目主要内容、数量及要求</w:t>
      </w:r>
      <w:r>
        <w:rPr>
          <w:rFonts w:hint="eastAsia" w:cs="仿宋_GB2312" w:asciiTheme="minorEastAsia" w:hAnsiTheme="minorEastAsia" w:eastAsiaTheme="minorEastAsia"/>
          <w:color w:val="000000"/>
          <w:sz w:val="24"/>
          <w:szCs w:val="24"/>
          <w:shd w:val="clear" w:color="auto" w:fill="FFFFFF"/>
          <w:lang w:val="zh-CN" w:eastAsia="zh-CN"/>
        </w:rPr>
        <w:t>：</w:t>
      </w:r>
      <w:r>
        <w:rPr>
          <w:rFonts w:hint="eastAsia" w:cs="仿宋_GB2312" w:asciiTheme="minorEastAsia" w:hAnsiTheme="minorEastAsia"/>
          <w:color w:val="000000"/>
          <w:sz w:val="24"/>
          <w:szCs w:val="24"/>
          <w:shd w:val="clear" w:color="auto" w:fill="FFFFFF"/>
          <w:lang w:val="zh-CN" w:eastAsia="zh-CN"/>
        </w:rPr>
        <w:t>一标包：</w:t>
      </w:r>
      <w:r>
        <w:rPr>
          <w:rFonts w:hint="eastAsia" w:cs="仿宋_GB2312" w:asciiTheme="minorEastAsia" w:hAnsiTheme="minorEastAsia" w:eastAsiaTheme="minorEastAsia"/>
          <w:color w:val="000000"/>
          <w:kern w:val="2"/>
          <w:sz w:val="24"/>
          <w:szCs w:val="24"/>
          <w:shd w:val="clear" w:color="auto" w:fill="FFFFFF"/>
          <w:lang w:val="en-US" w:eastAsia="zh-CN" w:bidi="ar-SA"/>
        </w:rPr>
        <w:t>颍川路小学心理咨询室、中学心理咨询室、卫生保健室设备、中学体质检测室设备和小学体质检测室设备各一套采购；二标</w:t>
      </w:r>
      <w:r>
        <w:rPr>
          <w:rFonts w:hint="eastAsia" w:cs="仿宋_GB2312" w:asciiTheme="minorEastAsia" w:hAnsiTheme="minorEastAsia"/>
          <w:color w:val="000000"/>
          <w:kern w:val="2"/>
          <w:sz w:val="24"/>
          <w:szCs w:val="24"/>
          <w:shd w:val="clear" w:color="auto" w:fill="FFFFFF"/>
          <w:lang w:val="en-US" w:eastAsia="zh-CN" w:bidi="ar-SA"/>
        </w:rPr>
        <w:t>包</w:t>
      </w:r>
      <w:r>
        <w:rPr>
          <w:rFonts w:hint="eastAsia" w:cs="仿宋_GB2312" w:asciiTheme="minorEastAsia" w:hAnsiTheme="minorEastAsia" w:eastAsiaTheme="minorEastAsia"/>
          <w:color w:val="000000"/>
          <w:kern w:val="2"/>
          <w:sz w:val="24"/>
          <w:szCs w:val="24"/>
          <w:shd w:val="clear" w:color="auto" w:fill="FFFFFF"/>
          <w:lang w:val="en-US" w:eastAsia="zh-CN" w:bidi="ar-SA"/>
        </w:rPr>
        <w:t>：颍川路初中数字化历史专用教室配置和数字化地理创新实验室配置采购；三标</w:t>
      </w:r>
      <w:r>
        <w:rPr>
          <w:rFonts w:hint="eastAsia" w:cs="仿宋_GB2312" w:asciiTheme="minorEastAsia" w:hAnsiTheme="minorEastAsia"/>
          <w:color w:val="000000"/>
          <w:kern w:val="2"/>
          <w:sz w:val="24"/>
          <w:szCs w:val="24"/>
          <w:shd w:val="clear" w:color="auto" w:fill="FFFFFF"/>
          <w:lang w:val="en-US" w:eastAsia="zh-CN" w:bidi="ar-SA"/>
        </w:rPr>
        <w:t>包</w:t>
      </w:r>
      <w:r>
        <w:rPr>
          <w:rFonts w:hint="eastAsia" w:cs="仿宋_GB2312" w:asciiTheme="minorEastAsia" w:hAnsiTheme="minorEastAsia" w:eastAsiaTheme="minorEastAsia"/>
          <w:color w:val="000000"/>
          <w:kern w:val="2"/>
          <w:sz w:val="24"/>
          <w:szCs w:val="24"/>
          <w:shd w:val="clear" w:color="auto" w:fill="FFFFFF"/>
          <w:lang w:val="en-US" w:eastAsia="zh-CN" w:bidi="ar-SA"/>
        </w:rPr>
        <w:t>：采购中小学创客教室设备，</w:t>
      </w:r>
      <w:r>
        <w:rPr>
          <w:rFonts w:hint="eastAsia" w:cs="仿宋_GB2312" w:asciiTheme="minorEastAsia" w:hAnsiTheme="minorEastAsia" w:eastAsiaTheme="minorEastAsia"/>
          <w:color w:val="000000"/>
          <w:sz w:val="24"/>
          <w:szCs w:val="24"/>
          <w:shd w:val="clear" w:color="auto" w:fill="FFFFFF"/>
          <w:lang w:val="en-US" w:eastAsia="zh-CN"/>
        </w:rPr>
        <w:t>详细参数见采购文件。</w:t>
      </w:r>
    </w:p>
    <w:p>
      <w:pPr>
        <w:pStyle w:val="23"/>
        <w:widowControl/>
        <w:shd w:val="clear" w:color="auto" w:fill="FFFFFF"/>
        <w:spacing w:line="360" w:lineRule="auto"/>
        <w:ind w:firstLine="420"/>
        <w:contextualSpacing/>
        <w:jc w:val="left"/>
        <w:rPr>
          <w:b w:val="0"/>
          <w:i w:val="0"/>
        </w:rPr>
      </w:pPr>
      <w:r>
        <w:rPr>
          <w:rFonts w:hint="eastAsia" w:cs="仿宋_GB2312" w:asciiTheme="minorEastAsia" w:hAnsiTheme="minorEastAsia" w:eastAsiaTheme="minorEastAsia"/>
          <w:color w:val="000000"/>
          <w:sz w:val="24"/>
          <w:szCs w:val="24"/>
          <w:shd w:val="clear" w:color="auto" w:fill="FFFFFF"/>
          <w:lang w:val="zh-CN" w:eastAsia="zh-CN"/>
        </w:rPr>
        <w:t>（五）预算金额（最高限价）：</w:t>
      </w:r>
      <w:r>
        <w:rPr>
          <w:rFonts w:hint="eastAsia" w:cs="仿宋_GB2312" w:asciiTheme="minorEastAsia" w:hAnsiTheme="minorEastAsia"/>
          <w:color w:val="000000"/>
          <w:sz w:val="24"/>
          <w:szCs w:val="24"/>
          <w:shd w:val="clear" w:color="auto" w:fill="FFFFFF"/>
          <w:lang w:val="zh-CN" w:eastAsia="zh-CN"/>
        </w:rPr>
        <w:t>一标包：</w:t>
      </w:r>
      <w:r>
        <w:rPr>
          <w:rFonts w:hint="eastAsia" w:cs="仿宋_GB2312" w:asciiTheme="minorEastAsia" w:hAnsiTheme="minorEastAsia" w:eastAsiaTheme="minorEastAsia"/>
          <w:color w:val="000000"/>
          <w:kern w:val="2"/>
          <w:sz w:val="24"/>
          <w:szCs w:val="24"/>
          <w:shd w:val="clear" w:color="auto" w:fill="FFFFFF"/>
          <w:lang w:val="en-US" w:eastAsia="zh-CN" w:bidi="ar-SA"/>
        </w:rPr>
        <w:t>400000元；二标</w:t>
      </w:r>
      <w:r>
        <w:rPr>
          <w:rFonts w:hint="eastAsia" w:cs="仿宋_GB2312" w:asciiTheme="minorEastAsia" w:hAnsiTheme="minorEastAsia"/>
          <w:color w:val="000000"/>
          <w:kern w:val="2"/>
          <w:sz w:val="24"/>
          <w:szCs w:val="24"/>
          <w:shd w:val="clear" w:color="auto" w:fill="FFFFFF"/>
          <w:lang w:val="en-US" w:eastAsia="zh-CN" w:bidi="ar-SA"/>
        </w:rPr>
        <w:t>包</w:t>
      </w:r>
      <w:r>
        <w:rPr>
          <w:rFonts w:hint="eastAsia" w:cs="仿宋_GB2312" w:asciiTheme="minorEastAsia" w:hAnsiTheme="minorEastAsia" w:eastAsiaTheme="minorEastAsia"/>
          <w:color w:val="000000"/>
          <w:kern w:val="2"/>
          <w:sz w:val="24"/>
          <w:szCs w:val="24"/>
          <w:shd w:val="clear" w:color="auto" w:fill="FFFFFF"/>
          <w:lang w:val="en-US" w:eastAsia="zh-CN" w:bidi="ar-SA"/>
        </w:rPr>
        <w:t>：1000000元；三标</w:t>
      </w:r>
      <w:r>
        <w:rPr>
          <w:rFonts w:hint="eastAsia" w:cs="仿宋_GB2312" w:asciiTheme="minorEastAsia" w:hAnsiTheme="minorEastAsia"/>
          <w:color w:val="000000"/>
          <w:kern w:val="2"/>
          <w:sz w:val="24"/>
          <w:szCs w:val="24"/>
          <w:shd w:val="clear" w:color="auto" w:fill="FFFFFF"/>
          <w:lang w:val="en-US" w:eastAsia="zh-CN" w:bidi="ar-SA"/>
        </w:rPr>
        <w:t>包</w:t>
      </w:r>
      <w:r>
        <w:rPr>
          <w:rFonts w:hint="eastAsia" w:cs="仿宋_GB2312" w:asciiTheme="minorEastAsia" w:hAnsiTheme="minorEastAsia" w:eastAsiaTheme="minorEastAsia"/>
          <w:color w:val="000000"/>
          <w:kern w:val="2"/>
          <w:sz w:val="24"/>
          <w:szCs w:val="24"/>
          <w:shd w:val="clear" w:color="auto" w:fill="FFFFFF"/>
          <w:lang w:val="en-US" w:eastAsia="zh-CN" w:bidi="ar-SA"/>
        </w:rPr>
        <w:t>：1000000元。</w:t>
      </w:r>
    </w:p>
    <w:p>
      <w:pPr>
        <w:pStyle w:val="23"/>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en-US" w:eastAsia="zh-CN"/>
        </w:rPr>
      </w:pPr>
      <w:r>
        <w:rPr>
          <w:rFonts w:hint="eastAsia" w:cs="仿宋_GB2312" w:asciiTheme="minorEastAsia" w:hAnsiTheme="minorEastAsia" w:eastAsiaTheme="minorEastAsia"/>
          <w:color w:val="000000"/>
          <w:sz w:val="24"/>
          <w:szCs w:val="24"/>
          <w:shd w:val="clear" w:color="auto" w:fill="FFFFFF"/>
          <w:lang w:val="zh-CN" w:eastAsia="zh-CN"/>
        </w:rPr>
        <w:t>（六）交付（服务、完工）时间 ：</w:t>
      </w:r>
      <w:bookmarkStart w:id="0" w:name="交付日期"/>
      <w:r>
        <w:rPr>
          <w:rFonts w:hint="eastAsia" w:cs="仿宋_GB2312" w:asciiTheme="minorEastAsia" w:hAnsiTheme="minorEastAsia" w:eastAsiaTheme="minorEastAsia"/>
          <w:color w:val="000000"/>
          <w:sz w:val="24"/>
          <w:szCs w:val="24"/>
          <w:shd w:val="clear" w:color="auto" w:fill="FFFFFF"/>
          <w:lang w:val="en-US" w:eastAsia="zh-CN"/>
        </w:rPr>
        <w:t>合同签后30日历天内完成供货安装</w:t>
      </w:r>
      <w:bookmarkEnd w:id="0"/>
      <w:r>
        <w:rPr>
          <w:rFonts w:hint="eastAsia" w:cs="仿宋_GB2312" w:asciiTheme="minorEastAsia" w:hAnsiTheme="minorEastAsia" w:eastAsiaTheme="minorEastAsia"/>
          <w:color w:val="000000"/>
          <w:sz w:val="24"/>
          <w:szCs w:val="24"/>
          <w:shd w:val="clear" w:color="auto" w:fill="FFFFFF"/>
          <w:lang w:val="en-US" w:eastAsia="zh-CN"/>
        </w:rPr>
        <w:t>。</w:t>
      </w:r>
    </w:p>
    <w:p>
      <w:pPr>
        <w:pStyle w:val="23"/>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eastAsia="zh-CN"/>
        </w:rPr>
      </w:pPr>
      <w:r>
        <w:rPr>
          <w:rFonts w:hint="eastAsia" w:cs="仿宋_GB2312" w:asciiTheme="minorEastAsia" w:hAnsiTheme="minorEastAsia" w:eastAsiaTheme="minorEastAsia"/>
          <w:color w:val="000000"/>
          <w:sz w:val="24"/>
          <w:szCs w:val="24"/>
          <w:shd w:val="clear" w:color="auto" w:fill="FFFFFF"/>
          <w:lang w:val="zh-CN" w:eastAsia="zh-CN"/>
        </w:rPr>
        <w:t>（七）交付（服务、完工）地点：长葛市</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（八）进口产品：不允许。</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（九）分包：不允许。</w:t>
      </w:r>
    </w:p>
    <w:p>
      <w:pPr>
        <w:pStyle w:val="23"/>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二、需要落实的政府采购政策</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本项目落实中小微型企业、监狱企业、残疾人福利性单位扶持等相关政府采购政策。</w:t>
      </w:r>
    </w:p>
    <w:p>
      <w:pPr>
        <w:pStyle w:val="23"/>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三、投标人资格要求</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（一）符合《中华人民共和国政府采购法》第二十二条之规定；</w:t>
      </w:r>
    </w:p>
    <w:p>
      <w:pPr>
        <w:pStyle w:val="23"/>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（二）未被列入“信用中国”网站(www.creditchina.gov.cn)失信被执行人、重大税收违法案件当事人名单；“中国政府采购网” (www.ccgp.gov.cn)政府采购严重违法失信行为记录名单</w:t>
      </w:r>
      <w:r>
        <w:rPr>
          <w:rFonts w:hint="eastAsia" w:cs="仿宋_GB2312" w:asciiTheme="minorEastAsia" w:hAnsiTheme="minorEastAsia" w:eastAsiaTheme="minorEastAsia"/>
          <w:color w:val="000000"/>
          <w:sz w:val="24"/>
          <w:szCs w:val="24"/>
          <w:shd w:val="clear" w:color="auto" w:fill="FFFFFF"/>
          <w:lang w:val="en-US" w:eastAsia="zh-CN"/>
        </w:rPr>
        <w:t>；“中国社会组织公共服务平台”网站（www.chinanpo.gov.cn）严重违法失信名单</w:t>
      </w:r>
      <w:r>
        <w:rPr>
          <w:rFonts w:hint="eastAsia" w:cs="仿宋_GB2312" w:asciiTheme="minorEastAsia" w:hAnsiTheme="minorEastAsia" w:eastAsiaTheme="minorEastAsia"/>
          <w:color w:val="000000"/>
          <w:sz w:val="24"/>
          <w:szCs w:val="24"/>
          <w:shd w:val="clear" w:color="auto" w:fill="FFFFFF"/>
          <w:lang w:val="zh-CN"/>
        </w:rPr>
        <w:t>的投标人；</w:t>
      </w:r>
    </w:p>
    <w:p>
      <w:pPr>
        <w:pStyle w:val="23"/>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w:t>
      </w:r>
      <w:r>
        <w:rPr>
          <w:rFonts w:hint="eastAsia" w:cs="仿宋_GB2312" w:asciiTheme="minorEastAsia" w:hAnsiTheme="minorEastAsia" w:eastAsiaTheme="minorEastAsia"/>
          <w:color w:val="000000"/>
          <w:sz w:val="24"/>
          <w:szCs w:val="24"/>
          <w:shd w:val="clear" w:color="auto" w:fill="FFFFFF"/>
          <w:lang w:val="zh-CN" w:eastAsia="zh-CN"/>
        </w:rPr>
        <w:t>三</w:t>
      </w:r>
      <w:r>
        <w:rPr>
          <w:rFonts w:hint="eastAsia" w:cs="仿宋_GB2312" w:asciiTheme="minorEastAsia" w:hAnsiTheme="minorEastAsia" w:eastAsiaTheme="minorEastAsia"/>
          <w:color w:val="000000"/>
          <w:sz w:val="24"/>
          <w:szCs w:val="24"/>
          <w:shd w:val="clear" w:color="auto" w:fill="FFFFFF"/>
          <w:lang w:val="zh-CN"/>
        </w:rPr>
        <w:t>）本次招标不接受联合体投标。</w:t>
      </w:r>
    </w:p>
    <w:p>
      <w:pPr>
        <w:pStyle w:val="23"/>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四、招标文件的获取</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一）持CA数字认证证书，登录《全国公共资源交易平台（河南省·许昌市）》“系统用户注册”入口http://221.14.6.70:8088/ggzy/eps/public/RegistAllJcxx.html）进行免费注册登记（详见“常见问题解答-诚信库网上注册相关资料下载”）；</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（二）在投标截止时间前均可登录《全国公共资源交易平台（河南省·许昌市）》“投标人/供应商登录”入口（http://221.14.6.70:8088/ggzy/）自行免费下载招标文件（详见“常见问题解答-交易系统操作手册”）。</w:t>
      </w:r>
    </w:p>
    <w:p>
      <w:pPr>
        <w:pStyle w:val="23"/>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五、投标截止时间、开标时间及地点</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（一）投标截止及开标时间：</w:t>
      </w:r>
      <w:r>
        <w:rPr>
          <w:rFonts w:hint="eastAsia" w:cs="仿宋_GB2312" w:asciiTheme="minorEastAsia" w:hAnsiTheme="minorEastAsia" w:eastAsiaTheme="minorEastAsia"/>
          <w:color w:val="auto"/>
          <w:sz w:val="24"/>
          <w:szCs w:val="24"/>
          <w:u w:val="single"/>
          <w:lang w:val="en-US" w:eastAsia="zh-CN"/>
        </w:rPr>
        <w:t>2020</w:t>
      </w:r>
      <w:r>
        <w:rPr>
          <w:rFonts w:hint="eastAsia" w:cs="仿宋_GB2312" w:asciiTheme="minorEastAsia" w:hAnsiTheme="minorEastAsia" w:eastAsiaTheme="minorEastAsia"/>
          <w:color w:val="auto"/>
          <w:sz w:val="24"/>
          <w:szCs w:val="24"/>
        </w:rPr>
        <w:t>年</w:t>
      </w:r>
      <w:r>
        <w:rPr>
          <w:rFonts w:hint="eastAsia" w:cs="仿宋_GB2312" w:asciiTheme="minorEastAsia" w:hAnsiTheme="minorEastAsia" w:eastAsiaTheme="minorEastAsia"/>
          <w:color w:val="auto"/>
          <w:sz w:val="24"/>
          <w:szCs w:val="24"/>
          <w:u w:val="single"/>
          <w:lang w:val="en-US" w:eastAsia="zh-CN"/>
        </w:rPr>
        <w:t xml:space="preserve"> 3 </w:t>
      </w:r>
      <w:r>
        <w:rPr>
          <w:rFonts w:hint="eastAsia" w:cs="仿宋_GB2312" w:asciiTheme="minorEastAsia" w:hAnsiTheme="minorEastAsia" w:eastAsiaTheme="minorEastAsia"/>
          <w:color w:val="auto"/>
          <w:sz w:val="24"/>
          <w:szCs w:val="24"/>
        </w:rPr>
        <w:t>月</w:t>
      </w:r>
      <w:r>
        <w:rPr>
          <w:rFonts w:hint="eastAsia" w:cs="仿宋_GB2312" w:asciiTheme="minorEastAsia" w:hAnsiTheme="minorEastAsia" w:eastAsiaTheme="minorEastAsia"/>
          <w:color w:val="auto"/>
          <w:sz w:val="24"/>
          <w:szCs w:val="24"/>
          <w:u w:val="single"/>
          <w:lang w:val="en-US" w:eastAsia="zh-CN"/>
        </w:rPr>
        <w:t xml:space="preserve"> 27</w:t>
      </w:r>
      <w:r>
        <w:rPr>
          <w:rFonts w:hint="eastAsia" w:cs="仿宋_GB2312" w:asciiTheme="minorEastAsia" w:hAnsiTheme="minorEastAsia" w:eastAsiaTheme="minorEastAsia"/>
          <w:color w:val="auto"/>
          <w:sz w:val="24"/>
          <w:szCs w:val="24"/>
        </w:rPr>
        <w:t>日</w:t>
      </w:r>
      <w:r>
        <w:rPr>
          <w:rFonts w:hint="eastAsia" w:cs="仿宋_GB2312" w:asciiTheme="minorEastAsia" w:hAnsiTheme="minorEastAsia" w:eastAsiaTheme="minorEastAsia"/>
          <w:color w:val="auto"/>
          <w:sz w:val="24"/>
          <w:szCs w:val="24"/>
          <w:u w:val="single"/>
          <w:lang w:val="en-US" w:eastAsia="zh-CN"/>
        </w:rPr>
        <w:t xml:space="preserve"> 09</w:t>
      </w:r>
      <w:r>
        <w:rPr>
          <w:rFonts w:hint="eastAsia" w:cs="仿宋_GB2312" w:asciiTheme="minorEastAsia" w:hAnsiTheme="minorEastAsia" w:eastAsiaTheme="minorEastAsia"/>
          <w:color w:val="auto"/>
          <w:sz w:val="24"/>
          <w:szCs w:val="24"/>
        </w:rPr>
        <w:t>时</w:t>
      </w:r>
      <w:r>
        <w:rPr>
          <w:rFonts w:hint="eastAsia" w:cs="仿宋_GB2312" w:asciiTheme="minorEastAsia" w:hAnsiTheme="minorEastAsia" w:eastAsiaTheme="minorEastAsia"/>
          <w:color w:val="auto"/>
          <w:sz w:val="24"/>
          <w:szCs w:val="24"/>
          <w:u w:val="single"/>
          <w:lang w:val="en-US" w:eastAsia="zh-CN"/>
        </w:rPr>
        <w:t xml:space="preserve"> 00</w:t>
      </w:r>
      <w:r>
        <w:rPr>
          <w:rFonts w:hint="eastAsia" w:cs="仿宋_GB2312" w:asciiTheme="minorEastAsia" w:hAnsiTheme="minorEastAsia" w:eastAsiaTheme="minorEastAsia"/>
          <w:color w:val="auto"/>
          <w:sz w:val="24"/>
          <w:szCs w:val="24"/>
        </w:rPr>
        <w:t>分（北京时间），逾期提交或不符合规定的投标文件不予接受。</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（二）开标地点：长葛市公共资源交易中心开标</w:t>
      </w:r>
      <w:r>
        <w:rPr>
          <w:rFonts w:hint="eastAsia" w:cs="仿宋_GB2312" w:asciiTheme="minorEastAsia" w:hAnsiTheme="minorEastAsia" w:eastAsiaTheme="minorEastAsia"/>
          <w:color w:val="auto"/>
          <w:sz w:val="24"/>
          <w:szCs w:val="24"/>
          <w:lang w:val="en-US" w:eastAsia="zh-CN"/>
        </w:rPr>
        <w:t>二</w:t>
      </w:r>
      <w:r>
        <w:rPr>
          <w:rFonts w:hint="eastAsia" w:cs="仿宋_GB2312" w:asciiTheme="minorEastAsia" w:hAnsiTheme="minorEastAsia" w:eastAsiaTheme="minorEastAsia"/>
          <w:color w:val="auto"/>
          <w:sz w:val="24"/>
          <w:szCs w:val="24"/>
        </w:rPr>
        <w:t>室（长葛市葛天大道东段商务区6#楼</w:t>
      </w:r>
      <w:r>
        <w:rPr>
          <w:rFonts w:hint="eastAsia" w:cs="仿宋_GB2312" w:asciiTheme="minorEastAsia" w:hAnsiTheme="minorEastAsia" w:eastAsiaTheme="minorEastAsia"/>
          <w:color w:val="auto"/>
          <w:sz w:val="24"/>
          <w:szCs w:val="24"/>
          <w:lang w:val="en-US" w:eastAsia="zh-CN"/>
        </w:rPr>
        <w:t>4</w:t>
      </w:r>
      <w:r>
        <w:rPr>
          <w:rFonts w:hint="eastAsia" w:cs="仿宋_GB2312" w:asciiTheme="minorEastAsia" w:hAnsiTheme="minorEastAsia" w:eastAsiaTheme="minorEastAsia"/>
          <w:color w:val="auto"/>
          <w:sz w:val="24"/>
          <w:szCs w:val="24"/>
        </w:rPr>
        <w:t>楼</w:t>
      </w:r>
      <w:r>
        <w:rPr>
          <w:rFonts w:hint="eastAsia" w:cs="仿宋_GB2312" w:asciiTheme="minorEastAsia" w:hAnsiTheme="minorEastAsia" w:eastAsiaTheme="minorEastAsia"/>
          <w:color w:val="auto"/>
          <w:sz w:val="24"/>
          <w:szCs w:val="24"/>
          <w:lang w:val="en-US" w:eastAsia="zh-CN"/>
        </w:rPr>
        <w:t>409</w:t>
      </w:r>
      <w:r>
        <w:rPr>
          <w:rFonts w:hint="eastAsia" w:cs="仿宋_GB2312" w:asciiTheme="minorEastAsia" w:hAnsiTheme="minorEastAsia" w:eastAsiaTheme="minorEastAsia"/>
          <w:color w:val="auto"/>
          <w:sz w:val="24"/>
          <w:szCs w:val="24"/>
        </w:rPr>
        <w:t>室）。</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rPr>
      </w:pPr>
      <w:r>
        <w:rPr>
          <w:rFonts w:hint="eastAsia" w:cs="仿宋_GB2312" w:asciiTheme="minorEastAsia" w:hAnsiTheme="minorEastAsia" w:eastAsiaTheme="minorEastAsia"/>
          <w:color w:val="000000"/>
          <w:sz w:val="24"/>
          <w:szCs w:val="24"/>
        </w:rPr>
        <w:t>（三） 本项目为全流程电子化交易项目，投标人须提交电子投标文件和纸质投标文件。</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rPr>
      </w:pPr>
      <w:r>
        <w:rPr>
          <w:rFonts w:hint="eastAsia" w:cs="仿宋_GB2312" w:asciiTheme="minorEastAsia" w:hAnsiTheme="minorEastAsia" w:eastAsiaTheme="minorEastAsia"/>
          <w:color w:val="000000"/>
          <w:sz w:val="24"/>
          <w:szCs w:val="24"/>
        </w:rPr>
        <w:t>1、加密电子投标文件</w:t>
      </w:r>
      <w:r>
        <w:rPr>
          <w:rFonts w:hint="eastAsia" w:cs="宋体" w:asciiTheme="minorEastAsia" w:hAnsiTheme="minorEastAsia"/>
          <w:color w:val="000000"/>
          <w:sz w:val="24"/>
          <w:szCs w:val="24"/>
        </w:rPr>
        <w:t>（</w:t>
      </w:r>
      <w:r>
        <w:rPr>
          <w:rFonts w:asciiTheme="minorEastAsia" w:hAnsiTheme="minorEastAsia" w:eastAsiaTheme="minorEastAsia"/>
          <w:color w:val="000000"/>
          <w:sz w:val="24"/>
          <w:szCs w:val="24"/>
        </w:rPr>
        <w:t>.file</w:t>
      </w:r>
      <w:r>
        <w:rPr>
          <w:rFonts w:hint="eastAsia" w:cs="宋体" w:asciiTheme="minorEastAsia" w:hAnsiTheme="minorEastAsia"/>
          <w:color w:val="000000"/>
          <w:sz w:val="24"/>
          <w:szCs w:val="24"/>
        </w:rPr>
        <w:t>格式）须</w:t>
      </w:r>
      <w:r>
        <w:rPr>
          <w:rFonts w:hint="eastAsia" w:cs="仿宋_GB2312" w:asciiTheme="minorEastAsia" w:hAnsiTheme="minorEastAsia" w:eastAsiaTheme="minorEastAsia"/>
          <w:color w:val="000000"/>
          <w:sz w:val="24"/>
          <w:szCs w:val="24"/>
        </w:rPr>
        <w:t>在投标截止时间（开标时间）前通过《全国公共资源交易平台(河南省</w:t>
      </w:r>
      <w:r>
        <w:rPr>
          <w:rFonts w:hint="eastAsia" w:ascii="MS Mincho" w:hAnsi="MS Mincho" w:eastAsia="MS Mincho" w:cs="MS Mincho"/>
          <w:color w:val="000000"/>
          <w:sz w:val="24"/>
          <w:szCs w:val="24"/>
        </w:rPr>
        <w:t>▪</w:t>
      </w:r>
      <w:r>
        <w:rPr>
          <w:rFonts w:hint="eastAsia" w:ascii="宋体" w:hAnsi="宋体" w:cs="宋体"/>
          <w:color w:val="000000"/>
          <w:sz w:val="24"/>
          <w:szCs w:val="24"/>
        </w:rPr>
        <w:t>许昌市</w:t>
      </w:r>
      <w:r>
        <w:rPr>
          <w:rFonts w:hint="eastAsia" w:cs="仿宋_GB2312" w:asciiTheme="minorEastAsia" w:hAnsiTheme="minorEastAsia" w:eastAsiaTheme="minorEastAsia"/>
          <w:color w:val="000000"/>
          <w:sz w:val="24"/>
          <w:szCs w:val="24"/>
        </w:rPr>
        <w:t>)》公共资源交易系统成功上传。</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pct10" w:color="auto" w:fill="FFFFFF"/>
        </w:rPr>
      </w:pPr>
      <w:r>
        <w:rPr>
          <w:rFonts w:hint="eastAsia" w:cs="仿宋_GB2312" w:asciiTheme="minorEastAsia" w:hAnsiTheme="minorEastAsia" w:eastAsiaTheme="minorEastAsia"/>
          <w:color w:val="000000"/>
          <w:sz w:val="24"/>
          <w:szCs w:val="24"/>
        </w:rPr>
        <w:t>2、纸质投标文件（正本、副本各1份）和备份文件1份</w:t>
      </w:r>
      <w:r>
        <w:rPr>
          <w:rFonts w:hint="eastAsia" w:hAnsi="宋体"/>
          <w:color w:val="000000"/>
          <w:sz w:val="24"/>
          <w:szCs w:val="24"/>
        </w:rPr>
        <w:t>（使用电子介质存储）</w:t>
      </w:r>
      <w:r>
        <w:rPr>
          <w:rFonts w:hint="eastAsia" w:cs="仿宋_GB2312" w:asciiTheme="minorEastAsia" w:hAnsiTheme="minorEastAsia" w:eastAsiaTheme="minorEastAsia"/>
          <w:color w:val="000000"/>
          <w:sz w:val="24"/>
          <w:szCs w:val="24"/>
        </w:rPr>
        <w:t>在投标截止时间（开标时间）前递交至本项目开标地点。</w:t>
      </w:r>
    </w:p>
    <w:p>
      <w:pPr>
        <w:pStyle w:val="23"/>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六、本次招标公告同时在《河南省政府采购网》、《全国公共资源交易平台（河南省·许昌市）》、《长葛市人民政府门户网站》发布。</w:t>
      </w:r>
    </w:p>
    <w:p>
      <w:pPr>
        <w:pStyle w:val="23"/>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七、公告期限</w:t>
      </w:r>
    </w:p>
    <w:p>
      <w:pPr>
        <w:pStyle w:val="23"/>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rPr>
      </w:pPr>
      <w:r>
        <w:rPr>
          <w:rFonts w:hint="eastAsia" w:cs="仿宋_GB2312" w:asciiTheme="minorEastAsia" w:hAnsiTheme="minorEastAsia" w:eastAsiaTheme="minorEastAsia"/>
          <w:color w:val="000000"/>
          <w:sz w:val="24"/>
          <w:szCs w:val="24"/>
        </w:rPr>
        <w:t>本招标公告自发布之日起公告期限为5个工作日。</w:t>
      </w:r>
    </w:p>
    <w:p>
      <w:pPr>
        <w:pStyle w:val="23"/>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rPr>
      </w:pPr>
      <w:r>
        <w:rPr>
          <w:rFonts w:hint="eastAsia" w:cs="黑体" w:asciiTheme="minorEastAsia" w:hAnsiTheme="minorEastAsia" w:eastAsiaTheme="minorEastAsia"/>
          <w:b/>
          <w:bCs/>
          <w:color w:val="000000"/>
          <w:sz w:val="24"/>
          <w:szCs w:val="24"/>
        </w:rPr>
        <w:t>八、联系方式</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采购人：长葛市教育体育局</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 xml:space="preserve">联系人：石科长                      </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 xml:space="preserve">联系电话：03746110256  </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地址：长葛市八七路</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 xml:space="preserve">代理机构：山西文昌工程咨询有限公司 </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代理机构联系方式：张先生  13271279113</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代理机构地址：郑州市高新区冬青街7号B座1606</w:t>
      </w:r>
    </w:p>
    <w:p>
      <w:pPr>
        <w:spacing w:line="360" w:lineRule="exact"/>
        <w:ind w:firstLine="482" w:firstLineChars="200"/>
        <w:rPr>
          <w:rFonts w:hint="eastAsia" w:cs="黑体" w:asciiTheme="minorEastAsia" w:hAnsiTheme="minorEastAsia" w:eastAsiaTheme="minorEastAsia"/>
          <w:b/>
          <w:bCs/>
          <w:color w:val="000000"/>
          <w:kern w:val="2"/>
          <w:sz w:val="24"/>
          <w:szCs w:val="24"/>
          <w:lang w:val="en-US" w:eastAsia="zh-CN" w:bidi="ar-SA"/>
        </w:rPr>
      </w:pPr>
      <w:r>
        <w:rPr>
          <w:rFonts w:hint="eastAsia" w:cs="黑体" w:asciiTheme="minorEastAsia" w:hAnsiTheme="minorEastAsia" w:eastAsiaTheme="minorEastAsia"/>
          <w:b/>
          <w:bCs/>
          <w:color w:val="000000"/>
          <w:kern w:val="2"/>
          <w:sz w:val="24"/>
          <w:szCs w:val="24"/>
          <w:lang w:val="en-US" w:eastAsia="zh-CN" w:bidi="ar-SA"/>
        </w:rPr>
        <w:t>九、特别提示：</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1、所有投标单位请时刻关注全国公共资源交易平台（河南省.许昌市），澄清、答疑、变更均在全国公共资源交易平台（河南省.许昌市）发布，不再另行通知。如未及时查看影响其投标，后果自负。</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2、各投标人对代理公司提供的服务不满意，或认为代理公司在服务过程中有不当行为的，可致电长葛市公共资源交易管理委员会办公室监管股（0374-6189576），经查实后将按规定作出处理。</w:t>
      </w:r>
    </w:p>
    <w:p>
      <w:pPr>
        <w:adjustRightInd w:val="0"/>
        <w:snapToGrid w:val="0"/>
        <w:spacing w:line="360" w:lineRule="auto"/>
        <w:ind w:firstLine="840" w:firstLineChars="400"/>
        <w:jc w:val="left"/>
        <w:rPr>
          <w:rFonts w:ascii="宋体" w:hAnsi="宋体"/>
          <w:szCs w:val="21"/>
        </w:rPr>
      </w:pPr>
    </w:p>
    <w:p>
      <w:pPr>
        <w:adjustRightInd w:val="0"/>
        <w:snapToGrid w:val="0"/>
        <w:spacing w:line="360" w:lineRule="auto"/>
        <w:ind w:firstLine="840" w:firstLineChars="400"/>
        <w:jc w:val="left"/>
        <w:rPr>
          <w:rFonts w:ascii="宋体" w:hAnsi="宋体"/>
          <w:szCs w:val="21"/>
        </w:rPr>
      </w:pPr>
    </w:p>
    <w:p>
      <w:pPr>
        <w:spacing w:line="360" w:lineRule="auto"/>
        <w:rPr>
          <w:rFonts w:hAnsi="宋体"/>
          <w:b/>
          <w:sz w:val="28"/>
          <w:szCs w:val="28"/>
        </w:rPr>
      </w:pPr>
      <w:r>
        <w:rPr>
          <w:rFonts w:hint="eastAsia" w:hAnsi="宋体"/>
          <w:b/>
          <w:sz w:val="28"/>
          <w:szCs w:val="28"/>
        </w:rPr>
        <w:t>温馨提示：</w:t>
      </w:r>
    </w:p>
    <w:p>
      <w:pPr>
        <w:spacing w:line="360" w:lineRule="auto"/>
        <w:ind w:firstLine="562" w:firstLineChars="200"/>
        <w:rPr>
          <w:rFonts w:ascii="仿宋_GB2312" w:eastAsia="仿宋_GB2312"/>
          <w:b/>
          <w:sz w:val="32"/>
          <w:szCs w:val="32"/>
        </w:rPr>
      </w:pPr>
      <w:r>
        <w:rPr>
          <w:rFonts w:hint="eastAsia" w:hAnsi="宋体"/>
          <w:b/>
          <w:sz w:val="28"/>
          <w:szCs w:val="28"/>
        </w:rPr>
        <w:t>本项目为全流程电子化交易项目，请认真阅读招标文件，并注意以下事项。</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1.</w:t>
      </w:r>
      <w:r>
        <w:rPr>
          <w:rFonts w:hint="eastAsia" w:hAnsi="宋体"/>
          <w:b/>
          <w:color w:val="000000"/>
          <w:szCs w:val="21"/>
        </w:rPr>
        <w:t>投标人应按招标文件规定编制、提交电子投标文件和纸质投标文件。开、评标现场不接受投标人递交的备份电子投标文件和纸质投标文件以外的其他资料。</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2</w:t>
      </w:r>
      <w:r>
        <w:rPr>
          <w:rFonts w:asciiTheme="minorEastAsia" w:hAnsiTheme="minorEastAsia"/>
          <w:b/>
          <w:color w:val="000000"/>
          <w:szCs w:val="21"/>
        </w:rPr>
        <w:t>.</w:t>
      </w:r>
      <w:r>
        <w:rPr>
          <w:rFonts w:hint="eastAsia" w:hAnsi="宋体"/>
          <w:b/>
          <w:color w:val="000000"/>
          <w:szCs w:val="21"/>
        </w:rPr>
        <w:t>电子文件下载、制作、提交期间和开标（</w:t>
      </w:r>
      <w:r>
        <w:rPr>
          <w:rFonts w:hint="eastAsia" w:hAnsi="宋体"/>
          <w:szCs w:val="21"/>
        </w:rPr>
        <w:t>电子投标文件的解密</w:t>
      </w:r>
      <w:r>
        <w:rPr>
          <w:rFonts w:hint="eastAsia" w:hAnsi="宋体"/>
          <w:b/>
          <w:color w:val="000000"/>
          <w:szCs w:val="21"/>
        </w:rPr>
        <w:t>）环节，投标人须使用</w:t>
      </w:r>
      <w:r>
        <w:rPr>
          <w:rFonts w:hAnsi="宋体"/>
          <w:b/>
          <w:color w:val="000000"/>
          <w:szCs w:val="21"/>
        </w:rPr>
        <w:t>CA数字证书</w:t>
      </w:r>
      <w:r>
        <w:rPr>
          <w:rFonts w:hint="eastAsia" w:hAnsi="宋体"/>
          <w:b/>
          <w:color w:val="000000"/>
          <w:szCs w:val="21"/>
        </w:rPr>
        <w:t>（证书须在有效期内）</w:t>
      </w:r>
      <w:r>
        <w:rPr>
          <w:rFonts w:hAnsi="宋体"/>
          <w:b/>
          <w:color w:val="000000"/>
          <w:szCs w:val="21"/>
        </w:rPr>
        <w:t>。</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3</w:t>
      </w:r>
      <w:r>
        <w:rPr>
          <w:rFonts w:hint="eastAsia" w:asciiTheme="minorEastAsia" w:hAnsiTheme="minorEastAsia"/>
          <w:b/>
          <w:color w:val="000000"/>
          <w:szCs w:val="21"/>
        </w:rPr>
        <w:t>.</w:t>
      </w:r>
      <w:r>
        <w:rPr>
          <w:rFonts w:hint="eastAsia" w:hAnsi="宋体"/>
          <w:b/>
          <w:color w:val="000000"/>
          <w:szCs w:val="21"/>
        </w:rPr>
        <w:t>电子投标文件的制作</w:t>
      </w:r>
    </w:p>
    <w:p>
      <w:pPr>
        <w:tabs>
          <w:tab w:val="left" w:pos="7095"/>
        </w:tabs>
        <w:spacing w:line="360" w:lineRule="auto"/>
        <w:ind w:firstLine="420" w:firstLineChars="200"/>
        <w:contextualSpacing/>
        <w:rPr>
          <w:rFonts w:hAnsi="宋体"/>
          <w:color w:val="000000"/>
          <w:szCs w:val="21"/>
          <w:highlight w:val="none"/>
        </w:rPr>
      </w:pPr>
      <w:r>
        <w:rPr>
          <w:rFonts w:asciiTheme="minorEastAsia" w:hAnsiTheme="minorEastAsia"/>
          <w:color w:val="000000"/>
          <w:szCs w:val="21"/>
        </w:rPr>
        <w:t>3</w:t>
      </w:r>
      <w:r>
        <w:rPr>
          <w:rFonts w:hint="eastAsia" w:asciiTheme="minorEastAsia" w:hAnsiTheme="minorEastAsia"/>
          <w:color w:val="000000"/>
          <w:szCs w:val="21"/>
        </w:rPr>
        <w:t>.1</w:t>
      </w:r>
      <w:r>
        <w:rPr>
          <w:rFonts w:hint="eastAsia" w:hAnsi="宋体"/>
          <w:color w:val="000000"/>
          <w:szCs w:val="21"/>
        </w:rPr>
        <w:t xml:space="preserve"> 投标人登录《全国公共资源交易平台</w:t>
      </w:r>
      <w:r>
        <w:rPr>
          <w:rFonts w:hint="eastAsia" w:asciiTheme="majorEastAsia" w:hAnsiTheme="majorEastAsia" w:eastAsiaTheme="majorEastAsia"/>
          <w:color w:val="000000"/>
          <w:szCs w:val="21"/>
        </w:rPr>
        <w:t>(</w:t>
      </w:r>
      <w:r>
        <w:rPr>
          <w:rFonts w:hint="eastAsia" w:hAnsi="宋体"/>
          <w:color w:val="000000"/>
          <w:szCs w:val="21"/>
        </w:rPr>
        <w:t>河南省</w:t>
      </w:r>
      <w:r>
        <w:rPr>
          <w:rFonts w:hint="eastAsia" w:ascii="MS Mincho" w:hAnsi="MS Mincho" w:eastAsia="MS Mincho" w:cs="MS Mincho"/>
          <w:color w:val="000000"/>
          <w:szCs w:val="21"/>
        </w:rPr>
        <w:t>▪</w:t>
      </w:r>
      <w:r>
        <w:rPr>
          <w:rFonts w:hint="eastAsia" w:ascii="宋体" w:hAnsi="宋体" w:eastAsia="宋体" w:cs="宋体"/>
          <w:color w:val="000000"/>
          <w:szCs w:val="21"/>
        </w:rPr>
        <w:t>许</w:t>
      </w:r>
      <w:r>
        <w:rPr>
          <w:rFonts w:hint="eastAsia" w:ascii="宋体" w:hAnsi="宋体" w:eastAsia="宋体" w:cs="宋体"/>
          <w:color w:val="000000"/>
          <w:szCs w:val="21"/>
          <w:highlight w:val="none"/>
        </w:rPr>
        <w:t>昌市</w:t>
      </w:r>
      <w:r>
        <w:rPr>
          <w:rFonts w:hint="eastAsia" w:asciiTheme="minorEastAsia" w:hAnsiTheme="minorEastAsia"/>
          <w:color w:val="000000"/>
          <w:szCs w:val="21"/>
          <w:highlight w:val="none"/>
        </w:rPr>
        <w:t>)</w:t>
      </w:r>
      <w:r>
        <w:rPr>
          <w:rFonts w:hint="eastAsia" w:hAnsi="宋体"/>
          <w:color w:val="000000"/>
          <w:szCs w:val="21"/>
          <w:highlight w:val="none"/>
        </w:rPr>
        <w:t>》公共资源交易系统（</w:t>
      </w:r>
      <w:r>
        <w:rPr>
          <w:highlight w:val="none"/>
        </w:rPr>
        <w:fldChar w:fldCharType="begin"/>
      </w:r>
      <w:r>
        <w:rPr>
          <w:highlight w:val="none"/>
        </w:rPr>
        <w:instrText xml:space="preserve"> HYPERLINK "http://221.14.6.70:8088/ggzy/" </w:instrText>
      </w:r>
      <w:r>
        <w:rPr>
          <w:highlight w:val="none"/>
        </w:rPr>
        <w:fldChar w:fldCharType="separate"/>
      </w:r>
      <w:r>
        <w:rPr>
          <w:rStyle w:val="30"/>
          <w:rFonts w:hAnsi="宋体"/>
          <w:szCs w:val="21"/>
          <w:highlight w:val="none"/>
        </w:rPr>
        <w:t>http://221.14.6.70:8088/ggzy/</w:t>
      </w:r>
      <w:r>
        <w:rPr>
          <w:rStyle w:val="30"/>
          <w:rFonts w:hAnsi="宋体"/>
          <w:szCs w:val="21"/>
          <w:highlight w:val="none"/>
        </w:rPr>
        <w:fldChar w:fldCharType="end"/>
      </w:r>
      <w:r>
        <w:rPr>
          <w:rFonts w:hint="eastAsia" w:hAnsi="宋体"/>
          <w:color w:val="000000"/>
          <w:szCs w:val="21"/>
          <w:highlight w:val="none"/>
        </w:rPr>
        <w:t>）下载“许昌投标文件制作系统SEARUN 最新版本”，按招标文件要求制作电子投标文件。</w:t>
      </w:r>
    </w:p>
    <w:p>
      <w:pPr>
        <w:tabs>
          <w:tab w:val="left" w:pos="7095"/>
        </w:tabs>
        <w:spacing w:line="360" w:lineRule="auto"/>
        <w:ind w:firstLine="420" w:firstLineChars="200"/>
        <w:contextualSpacing/>
        <w:rPr>
          <w:rFonts w:hAnsi="宋体"/>
          <w:color w:val="000000"/>
          <w:szCs w:val="21"/>
        </w:rPr>
      </w:pPr>
      <w:r>
        <w:rPr>
          <w:rFonts w:hint="eastAsia" w:hAnsi="宋体"/>
          <w:color w:val="000000"/>
          <w:szCs w:val="21"/>
        </w:rPr>
        <w:t>电子投标文件的制作，参考《全国公共资源交易平台</w:t>
      </w:r>
      <w:r>
        <w:rPr>
          <w:rFonts w:hint="eastAsia" w:asciiTheme="minorEastAsia" w:hAnsiTheme="minorEastAsia"/>
          <w:color w:val="000000"/>
          <w:szCs w:val="21"/>
        </w:rPr>
        <w:t>(</w:t>
      </w:r>
      <w:r>
        <w:rPr>
          <w:rFonts w:hint="eastAsia" w:hAnsi="宋体"/>
          <w:color w:val="000000"/>
          <w:szCs w:val="21"/>
        </w:rPr>
        <w:t>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asciiTheme="minorEastAsia" w:hAnsiTheme="minorEastAsia"/>
          <w:color w:val="000000"/>
          <w:szCs w:val="21"/>
        </w:rPr>
        <w:t>)</w:t>
      </w:r>
      <w:r>
        <w:rPr>
          <w:rFonts w:hint="eastAsia" w:hAnsi="宋体"/>
          <w:color w:val="000000"/>
          <w:szCs w:val="21"/>
        </w:rPr>
        <w:t>》公共资源交易系统——组件下载——交易系统操作手册（投标人、供应商）。</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w:t>
      </w:r>
      <w:r>
        <w:rPr>
          <w:rFonts w:hint="eastAsia" w:asciiTheme="minorEastAsia" w:hAnsiTheme="minorEastAsia"/>
          <w:color w:val="000000"/>
          <w:szCs w:val="21"/>
        </w:rPr>
        <w:t>.</w:t>
      </w:r>
      <w:r>
        <w:rPr>
          <w:rFonts w:asciiTheme="minorEastAsia" w:hAnsiTheme="minorEastAsia"/>
          <w:color w:val="000000"/>
          <w:szCs w:val="21"/>
        </w:rPr>
        <w:t>2</w:t>
      </w:r>
      <w:r>
        <w:rPr>
          <w:rFonts w:hint="eastAsia" w:hAnsi="宋体"/>
          <w:color w:val="000000"/>
          <w:szCs w:val="21"/>
        </w:rPr>
        <w:t xml:space="preserve"> 投标人须将招标文件要求的资质、业绩、荣誉及相关人员证明材料等资料原件扫描件（或图片）制作到所提交的电子投标文件中。</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3.3</w:t>
      </w:r>
      <w:r>
        <w:rPr>
          <w:rFonts w:hint="eastAsia" w:hAnsi="宋体"/>
          <w:color w:val="000000"/>
          <w:szCs w:val="21"/>
        </w:rPr>
        <w:t>投标人对同一项目多个标段进行投标的，应分别下载所投标段的招标文件，按标段制作电子投标文件，并</w:t>
      </w:r>
      <w:r>
        <w:rPr>
          <w:rFonts w:hAnsi="宋体"/>
          <w:color w:val="000000"/>
          <w:szCs w:val="21"/>
        </w:rPr>
        <w:t>按招标文件要求在相应位置加盖</w:t>
      </w:r>
      <w:r>
        <w:rPr>
          <w:rFonts w:hint="eastAsia" w:hAnsi="宋体"/>
          <w:color w:val="000000"/>
          <w:szCs w:val="21"/>
        </w:rPr>
        <w:t>投标人</w:t>
      </w:r>
      <w:r>
        <w:rPr>
          <w:rFonts w:hAnsi="宋体"/>
          <w:color w:val="000000"/>
          <w:szCs w:val="21"/>
        </w:rPr>
        <w:t>电子印章</w:t>
      </w:r>
      <w:r>
        <w:rPr>
          <w:rFonts w:hint="eastAsia" w:hAnsi="宋体"/>
          <w:color w:val="000000"/>
          <w:szCs w:val="21"/>
        </w:rPr>
        <w:t>和法人电子印章。</w:t>
      </w:r>
    </w:p>
    <w:p>
      <w:pPr>
        <w:tabs>
          <w:tab w:val="left" w:pos="7095"/>
        </w:tabs>
        <w:spacing w:line="360" w:lineRule="auto"/>
        <w:ind w:left="105" w:leftChars="50" w:firstLine="315" w:firstLineChars="150"/>
        <w:contextualSpacing/>
        <w:rPr>
          <w:rFonts w:hAnsi="宋体"/>
          <w:color w:val="000000"/>
          <w:szCs w:val="21"/>
        </w:rPr>
      </w:pPr>
      <w:r>
        <w:rPr>
          <w:rFonts w:hint="eastAsia" w:hAnsi="宋体"/>
          <w:color w:val="000000"/>
          <w:szCs w:val="21"/>
        </w:rPr>
        <w:t>一个标段对应生成一个文件夹（xxxx项目xx标段）, 其中包含2个文件和1个文件夹。后缀名为“</w:t>
      </w:r>
      <w:r>
        <w:rPr>
          <w:rFonts w:hAnsi="宋体"/>
          <w:color w:val="000000"/>
          <w:szCs w:val="21"/>
        </w:rPr>
        <w:t>.file</w:t>
      </w:r>
      <w:r>
        <w:rPr>
          <w:rFonts w:hint="eastAsia" w:hAnsi="宋体"/>
          <w:color w:val="000000"/>
          <w:szCs w:val="21"/>
        </w:rPr>
        <w:t>”的文件用于电子投标使用，后缀名为“.PDF”的文件用于打印纸质投标文件，名称为“备份”的文件夹使用电子介质存储，供开标现场备用。</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4</w:t>
      </w:r>
      <w:r>
        <w:rPr>
          <w:rFonts w:hint="eastAsia" w:asciiTheme="minorEastAsia" w:hAnsiTheme="minorEastAsia"/>
          <w:b/>
          <w:color w:val="000000"/>
          <w:szCs w:val="21"/>
        </w:rPr>
        <w:t>.加密</w:t>
      </w:r>
      <w:r>
        <w:rPr>
          <w:rFonts w:hint="eastAsia" w:hAnsi="宋体"/>
          <w:b/>
          <w:color w:val="000000"/>
          <w:szCs w:val="21"/>
        </w:rPr>
        <w:t>电子投标文件的提交</w:t>
      </w:r>
    </w:p>
    <w:p>
      <w:pPr>
        <w:tabs>
          <w:tab w:val="left" w:pos="7095"/>
        </w:tabs>
        <w:spacing w:line="360" w:lineRule="auto"/>
        <w:contextualSpacing/>
        <w:rPr>
          <w:rFonts w:hAnsi="宋体"/>
          <w:color w:val="000000"/>
          <w:szCs w:val="21"/>
        </w:rPr>
      </w:pPr>
      <w:r>
        <w:rPr>
          <w:rFonts w:hint="eastAsia" w:hAnsi="宋体"/>
          <w:color w:val="000000"/>
          <w:szCs w:val="21"/>
        </w:rPr>
        <w:t xml:space="preserve">    </w:t>
      </w:r>
      <w:r>
        <w:rPr>
          <w:rFonts w:asciiTheme="minorEastAsia" w:hAnsiTheme="minorEastAsia"/>
          <w:color w:val="000000"/>
          <w:szCs w:val="21"/>
        </w:rPr>
        <w:t>4</w:t>
      </w:r>
      <w:r>
        <w:rPr>
          <w:rFonts w:hint="eastAsia" w:asciiTheme="minorEastAsia" w:hAnsiTheme="minorEastAsia"/>
          <w:color w:val="000000"/>
          <w:szCs w:val="21"/>
        </w:rPr>
        <w:t>.1加密</w:t>
      </w:r>
      <w:r>
        <w:rPr>
          <w:rFonts w:hint="eastAsia" w:hAnsi="宋体"/>
          <w:color w:val="000000"/>
          <w:szCs w:val="21"/>
        </w:rPr>
        <w:t>电子投标文件应在招标文件规定的投标截止时间（开标时间）之前成功提交至《全国公共资源交易平台(河南省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hAnsi="宋体"/>
          <w:color w:val="000000"/>
          <w:szCs w:val="21"/>
        </w:rPr>
        <w:t>)》公共资源交易系统（</w:t>
      </w:r>
      <w:r>
        <w:fldChar w:fldCharType="begin"/>
      </w:r>
      <w:r>
        <w:instrText xml:space="preserve"> HYPERLINK "http://221.14.6.70:8088/ggzy/" </w:instrText>
      </w:r>
      <w:r>
        <w:fldChar w:fldCharType="separate"/>
      </w:r>
      <w:r>
        <w:rPr>
          <w:rStyle w:val="30"/>
          <w:rFonts w:hAnsi="宋体"/>
          <w:szCs w:val="21"/>
        </w:rPr>
        <w:t>http://221.14.6.70:8088/ggzy/</w:t>
      </w:r>
      <w:r>
        <w:rPr>
          <w:rStyle w:val="30"/>
          <w:rFonts w:hAnsi="宋体"/>
          <w:szCs w:val="21"/>
        </w:rPr>
        <w:fldChar w:fldCharType="end"/>
      </w:r>
      <w:r>
        <w:rPr>
          <w:rFonts w:hint="eastAsia" w:hAnsi="宋体"/>
          <w:color w:val="000000"/>
          <w:szCs w:val="21"/>
        </w:rPr>
        <w:t>）。</w:t>
      </w:r>
    </w:p>
    <w:p>
      <w:pPr>
        <w:tabs>
          <w:tab w:val="left" w:pos="7095"/>
        </w:tabs>
        <w:spacing w:line="360" w:lineRule="auto"/>
        <w:ind w:firstLine="420" w:firstLineChars="200"/>
        <w:contextualSpacing/>
        <w:rPr>
          <w:rFonts w:hAnsi="宋体"/>
          <w:color w:val="000000"/>
          <w:szCs w:val="21"/>
        </w:rPr>
      </w:pPr>
      <w:r>
        <w:rPr>
          <w:rFonts w:hint="eastAsia" w:hAnsi="宋体"/>
          <w:color w:val="000000"/>
          <w:szCs w:val="21"/>
        </w:rPr>
        <w:t>投标人应充分考虑并预留技术处理和上传数据所需时间。</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4.</w:t>
      </w:r>
      <w:r>
        <w:rPr>
          <w:rFonts w:hint="eastAsia" w:asciiTheme="minorEastAsia" w:hAnsiTheme="minorEastAsia"/>
          <w:color w:val="000000"/>
          <w:szCs w:val="21"/>
        </w:rPr>
        <w:t xml:space="preserve">2 </w:t>
      </w:r>
      <w:r>
        <w:rPr>
          <w:rFonts w:hint="eastAsia" w:hAnsi="宋体"/>
          <w:color w:val="000000"/>
          <w:szCs w:val="21"/>
        </w:rPr>
        <w:t>投标人对同一项目多个标段进行投标的，加密电子投标文件应按标段分别提交。</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4</w:t>
      </w:r>
      <w:r>
        <w:rPr>
          <w:rFonts w:hint="eastAsia" w:asciiTheme="minorEastAsia" w:hAnsiTheme="minorEastAsia"/>
          <w:color w:val="000000"/>
          <w:szCs w:val="21"/>
        </w:rPr>
        <w:t>.</w:t>
      </w:r>
      <w:r>
        <w:rPr>
          <w:rFonts w:asciiTheme="minorEastAsia" w:hAnsiTheme="minorEastAsia"/>
          <w:color w:val="000000"/>
          <w:szCs w:val="21"/>
        </w:rPr>
        <w:t>3</w:t>
      </w:r>
      <w:r>
        <w:rPr>
          <w:rFonts w:hint="eastAsia" w:asciiTheme="minorEastAsia" w:hAnsiTheme="minorEastAsia"/>
          <w:color w:val="000000"/>
          <w:szCs w:val="21"/>
        </w:rPr>
        <w:t xml:space="preserve"> 加密</w:t>
      </w:r>
      <w:r>
        <w:rPr>
          <w:rFonts w:hint="eastAsia" w:hAnsi="宋体"/>
          <w:color w:val="000000"/>
          <w:szCs w:val="21"/>
        </w:rPr>
        <w:t>电子投标文件成功提交后，投标人应打印“投标文件提交回执单”供开标现场备查。</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5</w:t>
      </w:r>
      <w:r>
        <w:rPr>
          <w:rFonts w:hint="eastAsia" w:asciiTheme="minorEastAsia" w:hAnsiTheme="minorEastAsia"/>
          <w:b/>
          <w:color w:val="000000"/>
          <w:szCs w:val="21"/>
        </w:rPr>
        <w:t>.</w:t>
      </w:r>
      <w:r>
        <w:rPr>
          <w:rFonts w:hint="eastAsia" w:hAnsi="宋体"/>
          <w:b/>
          <w:color w:val="000000"/>
          <w:szCs w:val="21"/>
        </w:rPr>
        <w:t>评标依据</w:t>
      </w:r>
    </w:p>
    <w:p>
      <w:pPr>
        <w:tabs>
          <w:tab w:val="left" w:pos="7095"/>
        </w:tabs>
        <w:spacing w:line="360" w:lineRule="auto"/>
        <w:ind w:firstLine="420" w:firstLineChars="200"/>
        <w:contextualSpacing/>
        <w:rPr>
          <w:rFonts w:hint="eastAsia" w:hAnsi="宋体"/>
          <w:color w:val="000000"/>
          <w:szCs w:val="21"/>
        </w:rPr>
        <w:sectPr>
          <w:footerReference r:id="rId6" w:type="default"/>
          <w:pgSz w:w="11906" w:h="16838"/>
          <w:pgMar w:top="2098" w:right="1474" w:bottom="1928" w:left="1588" w:header="851" w:footer="992" w:gutter="0"/>
          <w:pgNumType w:fmt="decimal" w:start="1"/>
          <w:cols w:space="425" w:num="1"/>
          <w:docGrid w:type="lines" w:linePitch="312" w:charSpace="0"/>
        </w:sectPr>
      </w:pPr>
      <w:r>
        <w:rPr>
          <w:rFonts w:hint="eastAsia" w:asciiTheme="minorEastAsia" w:hAnsiTheme="minorEastAsia"/>
          <w:color w:val="000000"/>
          <w:szCs w:val="21"/>
        </w:rPr>
        <w:t>5.1</w:t>
      </w:r>
      <w:r>
        <w:rPr>
          <w:rFonts w:hint="eastAsia" w:hAnsi="宋体"/>
          <w:color w:val="000000"/>
          <w:szCs w:val="21"/>
        </w:rPr>
        <w:t>采用全流程电子化交易评标时，评标委员会以电子投标文件为依据评标。</w:t>
      </w:r>
    </w:p>
    <w:p>
      <w:pPr>
        <w:numPr>
          <w:ilvl w:val="0"/>
          <w:numId w:val="0"/>
        </w:numPr>
        <w:ind w:firstLine="2570" w:firstLineChars="800"/>
        <w:jc w:val="both"/>
        <w:rPr>
          <w:rFonts w:cs="宋体" w:asciiTheme="majorEastAsia" w:hAnsiTheme="majorEastAsia" w:eastAsiaTheme="majorEastAsia"/>
          <w:b/>
          <w:color w:val="FF0000"/>
          <w:kern w:val="0"/>
          <w:sz w:val="32"/>
          <w:szCs w:val="32"/>
        </w:rPr>
      </w:pPr>
      <w:r>
        <w:rPr>
          <w:rFonts w:hint="eastAsia" w:cs="宋体" w:asciiTheme="majorEastAsia" w:hAnsiTheme="majorEastAsia" w:eastAsiaTheme="majorEastAsia"/>
          <w:b/>
          <w:color w:val="FF0000"/>
          <w:kern w:val="0"/>
          <w:sz w:val="32"/>
          <w:szCs w:val="32"/>
          <w:lang w:eastAsia="zh-CN"/>
        </w:rPr>
        <w:t>第二章</w:t>
      </w:r>
      <w:r>
        <w:rPr>
          <w:rFonts w:hint="eastAsia" w:cs="宋体" w:asciiTheme="majorEastAsia" w:hAnsiTheme="majorEastAsia" w:eastAsiaTheme="majorEastAsia"/>
          <w:b/>
          <w:color w:val="FF0000"/>
          <w:kern w:val="0"/>
          <w:sz w:val="32"/>
          <w:szCs w:val="32"/>
          <w:lang w:val="en-US" w:eastAsia="zh-CN"/>
        </w:rPr>
        <w:t xml:space="preserve">  </w:t>
      </w:r>
      <w:r>
        <w:rPr>
          <w:rFonts w:hint="eastAsia" w:cs="宋体" w:asciiTheme="majorEastAsia" w:hAnsiTheme="majorEastAsia" w:eastAsiaTheme="majorEastAsia"/>
          <w:b/>
          <w:color w:val="FF0000"/>
          <w:kern w:val="0"/>
          <w:sz w:val="32"/>
          <w:szCs w:val="32"/>
        </w:rPr>
        <w:t>项目需求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left"/>
        <w:rPr>
          <w:rFonts w:ascii="仿宋" w:hAnsi="仿宋" w:eastAsia="仿宋" w:cs="仿宋"/>
          <w:b w:val="0"/>
          <w:i w:val="0"/>
          <w:color w:val="000000"/>
          <w:kern w:val="0"/>
          <w:sz w:val="32"/>
          <w:szCs w:val="32"/>
          <w:u w:val="none"/>
          <w:shd w:val="clear" w:fill="FFFFFF"/>
          <w:lang w:val="en-US" w:eastAsia="zh-CN" w:bidi="ar"/>
        </w:rPr>
      </w:pPr>
      <w:bookmarkStart w:id="1" w:name="_Toc98579069"/>
      <w:bookmarkStart w:id="2" w:name="_Toc98035089"/>
      <w:bookmarkStart w:id="3" w:name="_Toc101951263"/>
      <w:bookmarkStart w:id="4" w:name="_Toc50276204"/>
      <w:bookmarkStart w:id="5" w:name="_Toc41884706"/>
      <w:bookmarkStart w:id="6" w:name="_Toc98580293"/>
      <w:bookmarkStart w:id="7" w:name="_Toc272497418"/>
      <w:bookmarkStart w:id="8" w:name="_Toc46308687"/>
      <w:bookmarkStart w:id="9" w:name="_Toc42394517"/>
      <w:bookmarkStart w:id="10" w:name="_Toc42313172"/>
      <w:bookmarkStart w:id="11" w:name="_Toc50276165"/>
      <w:bookmarkStart w:id="12" w:name="_Toc98579610"/>
      <w:bookmarkStart w:id="13" w:name="_Toc101843125"/>
      <w:bookmarkStart w:id="14" w:name="_Toc42394673"/>
      <w:bookmarkStart w:id="15" w:name="_Toc101771372"/>
      <w:bookmarkStart w:id="16" w:name="_Toc175644394"/>
      <w:bookmarkStart w:id="17" w:name="_Toc101775125"/>
      <w:bookmarkStart w:id="18" w:name="_Toc41723936"/>
      <w:bookmarkStart w:id="19" w:name="_Toc46308531"/>
      <w:bookmarkStart w:id="20" w:name="_Toc98579011"/>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left"/>
        <w:rPr>
          <w:b w:val="0"/>
          <w:i w:val="0"/>
        </w:rPr>
      </w:pPr>
      <w:r>
        <w:rPr>
          <w:rFonts w:ascii="仿宋" w:hAnsi="仿宋" w:eastAsia="仿宋" w:cs="仿宋"/>
          <w:b w:val="0"/>
          <w:i w:val="0"/>
          <w:color w:val="000000"/>
          <w:kern w:val="0"/>
          <w:sz w:val="32"/>
          <w:szCs w:val="32"/>
          <w:u w:val="none"/>
          <w:shd w:val="clear" w:fill="FFFFFF"/>
          <w:lang w:val="en-US" w:eastAsia="zh-CN" w:bidi="ar"/>
        </w:rPr>
        <w:t>一标</w:t>
      </w:r>
      <w:r>
        <w:rPr>
          <w:rFonts w:hint="eastAsia" w:ascii="仿宋" w:hAnsi="仿宋" w:eastAsia="仿宋" w:cs="仿宋"/>
          <w:b w:val="0"/>
          <w:i w:val="0"/>
          <w:color w:val="000000"/>
          <w:kern w:val="0"/>
          <w:sz w:val="32"/>
          <w:szCs w:val="32"/>
          <w:u w:val="none"/>
          <w:shd w:val="clear" w:fill="FFFFFF"/>
          <w:lang w:val="en-US" w:eastAsia="zh-CN" w:bidi="ar"/>
        </w:rPr>
        <w:t>包</w:t>
      </w:r>
      <w:r>
        <w:rPr>
          <w:rFonts w:ascii="仿宋" w:hAnsi="仿宋" w:eastAsia="仿宋" w:cs="仿宋"/>
          <w:b w:val="0"/>
          <w:i w:val="0"/>
          <w:color w:val="000000"/>
          <w:kern w:val="0"/>
          <w:sz w:val="32"/>
          <w:szCs w:val="32"/>
          <w:u w:val="none"/>
          <w:shd w:val="clear" w:fill="FFFFFF"/>
          <w:lang w:val="en-US" w:eastAsia="zh-CN" w:bidi="ar"/>
        </w:rPr>
        <w:t>：</w:t>
      </w:r>
      <w:r>
        <w:rPr>
          <w:rFonts w:hint="eastAsia" w:ascii="仿宋" w:hAnsi="仿宋" w:eastAsia="仿宋" w:cs="仿宋"/>
          <w:b w:val="0"/>
          <w:i w:val="0"/>
          <w:color w:val="000000"/>
          <w:kern w:val="0"/>
          <w:sz w:val="32"/>
          <w:szCs w:val="32"/>
          <w:u w:val="none"/>
          <w:shd w:val="clear" w:fill="FFFFFF"/>
          <w:lang w:val="en-US" w:eastAsia="zh-CN" w:bidi="ar"/>
        </w:rPr>
        <w:t>小学心理咨询室、中学心理咨询室、卫生保健室设备、中学体质检测室设备和小学体质检测室设备规格及参数</w:t>
      </w:r>
    </w:p>
    <w:p>
      <w:pPr>
        <w:jc w:val="center"/>
        <w:rPr>
          <w:rFonts w:hint="eastAsia"/>
          <w:sz w:val="32"/>
          <w:szCs w:val="32"/>
        </w:rPr>
      </w:pPr>
    </w:p>
    <w:p>
      <w:pPr>
        <w:jc w:val="center"/>
        <w:rPr>
          <w:sz w:val="32"/>
          <w:szCs w:val="32"/>
        </w:rPr>
      </w:pPr>
      <w:r>
        <w:rPr>
          <w:rFonts w:hint="eastAsia"/>
          <w:sz w:val="32"/>
          <w:szCs w:val="32"/>
        </w:rPr>
        <w:t>小学体质检测室设备配备规格及参数</w:t>
      </w:r>
    </w:p>
    <w:p/>
    <w:p/>
    <w:tbl>
      <w:tblPr>
        <w:tblStyle w:val="25"/>
        <w:tblW w:w="9258" w:type="dxa"/>
        <w:tblInd w:w="0" w:type="dxa"/>
        <w:shd w:val="clear" w:color="auto" w:fill="auto"/>
        <w:tblLayout w:type="autofit"/>
        <w:tblCellMar>
          <w:top w:w="0" w:type="dxa"/>
          <w:left w:w="0" w:type="dxa"/>
          <w:bottom w:w="0" w:type="dxa"/>
          <w:right w:w="0" w:type="dxa"/>
        </w:tblCellMar>
      </w:tblPr>
      <w:tblGrid>
        <w:gridCol w:w="588"/>
        <w:gridCol w:w="1289"/>
        <w:gridCol w:w="5179"/>
        <w:gridCol w:w="1780"/>
        <w:gridCol w:w="422"/>
      </w:tblGrid>
      <w:tr>
        <w:tblPrEx>
          <w:shd w:val="clear" w:color="auto" w:fill="auto"/>
          <w:tblCellMar>
            <w:top w:w="0" w:type="dxa"/>
            <w:left w:w="0" w:type="dxa"/>
            <w:bottom w:w="0" w:type="dxa"/>
            <w:right w:w="0" w:type="dxa"/>
          </w:tblCellMar>
        </w:tblPrEx>
        <w:trPr>
          <w:trHeight w:val="1049"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序号</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设备名称</w:t>
            </w:r>
          </w:p>
        </w:tc>
        <w:tc>
          <w:tcPr>
            <w:tcW w:w="51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产品参数功能及特点</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产品图片</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数量</w:t>
            </w:r>
          </w:p>
        </w:tc>
      </w:tr>
      <w:tr>
        <w:tblPrEx>
          <w:shd w:val="clear" w:color="auto" w:fill="auto"/>
          <w:tblCellMar>
            <w:top w:w="0" w:type="dxa"/>
            <w:left w:w="0" w:type="dxa"/>
            <w:bottom w:w="0" w:type="dxa"/>
            <w:right w:w="0" w:type="dxa"/>
          </w:tblCellMar>
        </w:tblPrEx>
        <w:trPr>
          <w:trHeight w:val="9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身高体重测试仪</w:t>
            </w:r>
          </w:p>
        </w:tc>
        <w:tc>
          <w:tcPr>
            <w:tcW w:w="51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Style w:val="82"/>
                <w:b w:val="0"/>
                <w:bCs w:val="0"/>
                <w:sz w:val="21"/>
                <w:szCs w:val="21"/>
                <w:lang w:val="en-US" w:eastAsia="zh-CN" w:bidi="ar"/>
              </w:rPr>
            </w:pPr>
          </w:p>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3272155</wp:posOffset>
                  </wp:positionH>
                  <wp:positionV relativeFrom="paragraph">
                    <wp:posOffset>126365</wp:posOffset>
                  </wp:positionV>
                  <wp:extent cx="1200785" cy="1172210"/>
                  <wp:effectExtent l="0" t="0" r="3175" b="1270"/>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8"/>
                          <a:srcRect r="20613"/>
                          <a:stretch>
                            <a:fillRect/>
                          </a:stretch>
                        </pic:blipFill>
                        <pic:spPr>
                          <a:xfrm>
                            <a:off x="0" y="0"/>
                            <a:ext cx="1200785" cy="1172210"/>
                          </a:xfrm>
                          <a:prstGeom prst="rect">
                            <a:avLst/>
                          </a:prstGeom>
                          <a:noFill/>
                          <a:ln>
                            <a:noFill/>
                          </a:ln>
                        </pic:spPr>
                      </pic:pic>
                    </a:graphicData>
                  </a:graphic>
                </wp:anchor>
              </w:drawing>
            </w:r>
            <w:r>
              <w:rPr>
                <w:rStyle w:val="82"/>
                <w:b w:val="0"/>
                <w:bCs w:val="0"/>
                <w:sz w:val="21"/>
                <w:szCs w:val="21"/>
                <w:lang w:val="en-US" w:eastAsia="zh-CN" w:bidi="ar"/>
              </w:rPr>
              <w:t>1. 直接测量人体的身高体重，反映被测者身体匀称度和发育形态指数（BMI）；身高测试采用电机加光栅感应测量身高，精度高,不易受外在环境干扰；</w:t>
            </w:r>
            <w:r>
              <w:rPr>
                <w:rStyle w:val="76"/>
                <w:b w:val="0"/>
                <w:bCs w:val="0"/>
                <w:sz w:val="21"/>
                <w:szCs w:val="21"/>
                <w:lang w:val="en-US" w:eastAsia="zh-CN" w:bidi="ar"/>
              </w:rPr>
              <w:t>身高触头采用可折叠式设计</w:t>
            </w:r>
            <w:r>
              <w:rPr>
                <w:rStyle w:val="82"/>
                <w:b w:val="0"/>
                <w:bCs w:val="0"/>
                <w:sz w:val="21"/>
                <w:szCs w:val="21"/>
                <w:lang w:val="en-US" w:eastAsia="zh-CN" w:bidi="ar"/>
              </w:rPr>
              <w:t>。</w:t>
            </w:r>
            <w:r>
              <w:rPr>
                <w:rStyle w:val="76"/>
                <w:b w:val="0"/>
                <w:bCs w:val="0"/>
                <w:sz w:val="21"/>
                <w:szCs w:val="21"/>
                <w:lang w:val="en-US" w:eastAsia="zh-CN" w:bidi="ar"/>
              </w:rPr>
              <w:t>体重底座采用全铝材质一体化压铸成型</w:t>
            </w:r>
            <w:r>
              <w:rPr>
                <w:rStyle w:val="82"/>
                <w:b w:val="0"/>
                <w:bCs w:val="0"/>
                <w:sz w:val="21"/>
                <w:szCs w:val="21"/>
                <w:lang w:val="en-US" w:eastAsia="zh-CN" w:bidi="ar"/>
              </w:rPr>
              <w:t>，体重使用高精度体重传感器，测试精度高，耐疲劳、寿命长。★测试仪采用3.5吋真彩TFT LCD液晶显示屏显示测试值</w:t>
            </w:r>
            <w:r>
              <w:rPr>
                <w:rStyle w:val="76"/>
                <w:b w:val="0"/>
                <w:bCs w:val="0"/>
                <w:sz w:val="21"/>
                <w:szCs w:val="21"/>
                <w:lang w:val="en-US" w:eastAsia="zh-CN" w:bidi="ar"/>
              </w:rPr>
              <w:t>（身高体重数值及BMI指数）</w:t>
            </w:r>
            <w:r>
              <w:rPr>
                <w:rStyle w:val="82"/>
                <w:b w:val="0"/>
                <w:bCs w:val="0"/>
                <w:sz w:val="21"/>
                <w:szCs w:val="21"/>
                <w:lang w:val="en-US" w:eastAsia="zh-CN" w:bidi="ar"/>
              </w:rPr>
              <w:t>，界面美观，操作简单。测试仪具有同步语音播报身高、体重测试数值功能，语音播报可设置开启或关闭。★3.5吋真彩TFT LCD液晶显示屏，触摸式电容感应按键，寿命可达100万次以上；输入学号具备自动递增功能，可增加非接触式刷卡和激光条形码扫描功能。LCD中文显示界面，测试步骤中文提示功能，测试成绩与单机同步显示；LCD背光延时或设置，语音提示、蜂鸣器提示、语音成绩播报功能。★主机与单机可采用有线（RS232）或无线(2.4G-ANT组网)方式连接；主机与电脑之间也采用有线（USB）或无线（2.4G-ANT组网）通讯方式传输测试数据（双向无线，避免冗长连接线，便于移动测试）。★主机内可储存65000条测试数据；★主机内置多种测试项目程序，测试项目可任意切换；主机可根据测试项目设置测试人数、测试次数；主机内置大容量可充电锂电池，可独立工作1个工作日以上，在停电时不影响测试。可靠性高、耐疲劳、寿命长，适应频繁、大量人群集中测试。根据《GB/T19851.122005》中小学体育器材和场地国标设计。主要技术参数：身高：90cm～210cm    体重：5kg ～150kg分度值：身高：0.1cm  体重：0.1kg误差：身高：±0.2cm       体重：±0.1kg  （≤100kg）                                 ±0.15kg （＞100kg）</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75"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2</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肺活量测试仪</w:t>
            </w:r>
          </w:p>
        </w:tc>
        <w:tc>
          <w:tcPr>
            <w:tcW w:w="51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 测定人体呼吸的最大通气能力，测试数值反映肺的容积和肺</w:t>
            </w:r>
            <w:r>
              <w:rPr>
                <w:rFonts w:hint="eastAsia" w:ascii="宋体" w:hAnsi="宋体" w:eastAsia="宋体" w:cs="宋体"/>
                <w:b w:val="0"/>
                <w:bCs w:val="0"/>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5032375</wp:posOffset>
                  </wp:positionH>
                  <wp:positionV relativeFrom="paragraph">
                    <wp:posOffset>2327275</wp:posOffset>
                  </wp:positionV>
                  <wp:extent cx="1836420" cy="1158240"/>
                  <wp:effectExtent l="0" t="0" r="7620" b="0"/>
                  <wp:wrapNone/>
                  <wp:docPr id="41" name="图片_2"/>
                  <wp:cNvGraphicFramePr/>
                  <a:graphic xmlns:a="http://schemas.openxmlformats.org/drawingml/2006/main">
                    <a:graphicData uri="http://schemas.openxmlformats.org/drawingml/2006/picture">
                      <pic:pic xmlns:pic="http://schemas.openxmlformats.org/drawingml/2006/picture">
                        <pic:nvPicPr>
                          <pic:cNvPr id="41" name="图片_2"/>
                          <pic:cNvPicPr/>
                        </pic:nvPicPr>
                        <pic:blipFill>
                          <a:blip r:embed="rId9"/>
                          <a:stretch>
                            <a:fillRect/>
                          </a:stretch>
                        </pic:blipFill>
                        <pic:spPr>
                          <a:xfrm>
                            <a:off x="0" y="0"/>
                            <a:ext cx="1836420" cy="1158240"/>
                          </a:xfrm>
                          <a:prstGeom prst="rect">
                            <a:avLst/>
                          </a:prstGeom>
                          <a:noFill/>
                          <a:ln>
                            <a:noFill/>
                          </a:ln>
                        </pic:spPr>
                      </pic:pic>
                    </a:graphicData>
                  </a:graphic>
                </wp:anchor>
              </w:drawing>
            </w:r>
            <w:r>
              <w:rPr>
                <w:rFonts w:hint="eastAsia" w:ascii="宋体" w:hAnsi="宋体" w:eastAsia="宋体" w:cs="宋体"/>
                <w:b w:val="0"/>
                <w:bCs w:val="0"/>
                <w:i w:val="0"/>
                <w:color w:val="000000"/>
                <w:kern w:val="0"/>
                <w:sz w:val="21"/>
                <w:szCs w:val="21"/>
                <w:u w:val="none"/>
                <w:lang w:val="en-US" w:eastAsia="zh-CN" w:bidi="ar"/>
              </w:rPr>
              <w:t>的扩展能力。使用进口高精密传感器，精度高，吹管优化设计与处理，不易产生积水，防补气（防作弊）功能，补气时自动锁定数据。测试仪采用一体化设计，128×64液晶显示，具有锁定功能，读数方便。一键式操作，使用简便，同时具有清零功能。采用单节7号电池供电，低功耗设计，3分钟未使用自动关机，带低电量提示功能。★3.5吋真彩TFT LCD液晶显示屏，触摸式电容感应按键，寿命可达100万次以上；输入学号具备自动递增功能，可增加非接触式刷卡和激光条形码扫描功能。LCD中文显示界面，测试步骤中文提示功能，测试成绩与单机同步显示；LCD背光延时或设置，语音提示、蜂鸣器提示、语音成绩播报功能。★主机与单机可采用有线（RS232）或无线(2.4G-ANT组网)方式连接；主机与电脑之间也采用有线（USB）或无线（2.4G-ANT组网）通讯方式传输测试数据（双向无线，避免冗长连接线，便于移动测试）。★主机内可储存65000条测试数据；★主机内置多种测试项目程序，测试项目可任意切换；主机可根据测试项目设置测试人数、测试次数；主机内置大容量可充电锂电池，可独立工作1个工作日以上，在停电时不影响测试。可靠性高、耐疲劳、寿命长，适应频繁、大量人群集中测试。根据《GB/T19851.122005》中小学体育器材和场地国标设计。主要技术参数：量程：100～9999ml                                    分度值：1ml误差：±1.5%FS</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238"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3</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坐位体前屈测试仪</w:t>
            </w:r>
          </w:p>
        </w:tc>
        <w:tc>
          <w:tcPr>
            <w:tcW w:w="51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 xml:space="preserve">1. 自动测量坐位体前屈的数值，从而反映躯干、腰、髋等部位关节、肌肉和韧带的伸展性和柔韧性。推板具有防作弊功能，反推或者停顿超时自动锁定读数。传感器精度高，抗光性强，不易受外在环境影响；测试仪具有自动清零功能。低功耗设计，3分钟未使用自动关机，带低电量提示功能。标准型带辅助测试床体，含海绵座垫及铁质挡板。★3.5吋真彩TFT LCD液晶显示屏，触摸式电容感应按键，寿命可达100万次以上；输入学号具备自动递增功能，可增加非接触式刷卡和激光条形码扫描功能。LCD中文显示界面，测试步骤中文提示功能，测试成绩与单机同步显示；LCD背光延时或设置，语音提示、蜂鸣器提示、语音成绩播报功能。★主机与单机可采用有线（RS232）或无线(2.4G-ANT组网)方式连接；主机与电脑之间也采用有线（USB）或无线（2.4G-ANT组网）通讯方式传输测试数据（双向无线，避免冗长连接线，便于移动测试）。★主机内可储存65000条测试数据；★主机内置多种测试项目程序，测试项目可任意切换；主机可根据测试项目设置测试人数、测试次数；主机内置大容量可充电锂电池，可独立工作1个工作日以上，在停电时不影响测试。可靠性高、耐疲劳、寿命长，适应频繁、大量人群集中测试。根据《GB/T19851.122005》中小学体育器材和场地国标设计。主要技术参数    　测量范围：－20cm～35cm　　　分度值：0.1cm　　　误差： ±0.1cm   </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45720</wp:posOffset>
                  </wp:positionH>
                  <wp:positionV relativeFrom="paragraph">
                    <wp:posOffset>1112520</wp:posOffset>
                  </wp:positionV>
                  <wp:extent cx="1600200" cy="1120140"/>
                  <wp:effectExtent l="0" t="0" r="0" b="762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10"/>
                          <a:stretch>
                            <a:fillRect/>
                          </a:stretch>
                        </pic:blipFill>
                        <pic:spPr>
                          <a:xfrm>
                            <a:off x="0" y="0"/>
                            <a:ext cx="1600200" cy="1120140"/>
                          </a:xfrm>
                          <a:prstGeom prst="rect">
                            <a:avLst/>
                          </a:prstGeom>
                          <a:noFill/>
                          <a:ln>
                            <a:noFill/>
                          </a:ln>
                        </pic:spPr>
                      </pic:pic>
                    </a:graphicData>
                  </a:graphic>
                </wp:anchor>
              </w:drawing>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238"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4</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仰卧起坐测试仪</w:t>
            </w:r>
          </w:p>
        </w:tc>
        <w:tc>
          <w:tcPr>
            <w:tcW w:w="51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3257550</wp:posOffset>
                  </wp:positionH>
                  <wp:positionV relativeFrom="paragraph">
                    <wp:posOffset>861695</wp:posOffset>
                  </wp:positionV>
                  <wp:extent cx="1630680" cy="1165860"/>
                  <wp:effectExtent l="0" t="0" r="0" b="7620"/>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11"/>
                          <a:stretch>
                            <a:fillRect/>
                          </a:stretch>
                        </pic:blipFill>
                        <pic:spPr>
                          <a:xfrm>
                            <a:off x="0" y="0"/>
                            <a:ext cx="1630680" cy="1165860"/>
                          </a:xfrm>
                          <a:prstGeom prst="rect">
                            <a:avLst/>
                          </a:prstGeom>
                          <a:noFill/>
                          <a:ln>
                            <a:noFill/>
                          </a:ln>
                        </pic:spPr>
                      </pic:pic>
                    </a:graphicData>
                  </a:graphic>
                </wp:anchor>
              </w:drawing>
            </w:r>
            <w:r>
              <w:rPr>
                <w:rStyle w:val="82"/>
                <w:b w:val="0"/>
                <w:bCs w:val="0"/>
                <w:sz w:val="21"/>
                <w:szCs w:val="21"/>
                <w:lang w:val="en-US" w:eastAsia="zh-CN" w:bidi="ar"/>
              </w:rPr>
              <w:t>1. 通过对被试者在规定时间内完成仰卧起坐的个数，可反映人体的腹部肌群力量。测试感应杆可随受测者身高来进行前后调节，达到测试动作标准化管理。测试感应探头采用高精度抗干扰传感器，具有抗阳光干扰设计，提高测试灵敏度。</w:t>
            </w:r>
            <w:r>
              <w:rPr>
                <w:rStyle w:val="76"/>
                <w:b w:val="0"/>
                <w:bCs w:val="0"/>
                <w:sz w:val="21"/>
                <w:szCs w:val="21"/>
                <w:lang w:val="en-US" w:eastAsia="zh-CN" w:bidi="ar"/>
              </w:rPr>
              <w:t>采用96×16规格的LED点阵屏幕显示</w:t>
            </w:r>
            <w:r>
              <w:rPr>
                <w:rStyle w:val="82"/>
                <w:b w:val="0"/>
                <w:bCs w:val="0"/>
                <w:sz w:val="21"/>
                <w:szCs w:val="21"/>
                <w:lang w:val="en-US" w:eastAsia="zh-CN" w:bidi="ar"/>
              </w:rPr>
              <w:t>，显示内容丰富，可显示中文、英文、数字和其它符号；</w:t>
            </w:r>
            <w:r>
              <w:rPr>
                <w:rStyle w:val="76"/>
                <w:b w:val="0"/>
                <w:bCs w:val="0"/>
                <w:sz w:val="21"/>
                <w:szCs w:val="21"/>
                <w:lang w:val="en-US" w:eastAsia="zh-CN" w:bidi="ar"/>
              </w:rPr>
              <w:t>配有红外遥控器，操作距离可达3～5米。配有仰卧起坐测试专用床体，带勾脚，勾脚套有海绵垫抗压减震、防滑，</w:t>
            </w:r>
            <w:r>
              <w:rPr>
                <w:rStyle w:val="82"/>
                <w:b w:val="0"/>
                <w:bCs w:val="0"/>
                <w:sz w:val="21"/>
                <w:szCs w:val="21"/>
                <w:lang w:val="en-US" w:eastAsia="zh-CN" w:bidi="ar"/>
              </w:rPr>
              <w:t xml:space="preserve">保护测试者脚面。★3.5吋真彩TFT LCD液晶显示屏，触摸式电容感应按键，寿命可达100万次以上；输入学号具备自动递增功能，可增加非接触式刷卡和激光条形码扫描功能。LCD中文显示界面，测试步骤中文提示功能，测试成绩与单机同步显示；LCD背光延时或设置，语音提示、蜂鸣器提示、语音成绩播报功能。★主机与单机可采用有线（RS232）或无线(2.4G-ANT组网)方式连接；主机与电脑之间也采用有线（USB）或无线（2.4G-ANT组网）通讯方式传输测试数据（双向无线，避免冗长连接线，便于移动测试）。★主机内可储存65000条测试数据；★主机内置多种测试项目程序，测试项目可任意切换；主机可根据测试项目设置测试人数、测试次数；主机内置大容量可充电锂电池，可独立工作1个工作日以上，在停电时不影响测试。可靠性高、耐疲劳、寿命长，适应频繁、大量人群集中测试。根据《GB/T19851.122005》中小学体育器材和场地国标设计。主要技术参数  测量范围：0～999次     分度值：1次  测量精度：±1次  </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6632"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5</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 xml:space="preserve"> 50米跑测试仪</w:t>
            </w:r>
          </w:p>
        </w:tc>
        <w:tc>
          <w:tcPr>
            <w:tcW w:w="51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3255010</wp:posOffset>
                  </wp:positionH>
                  <wp:positionV relativeFrom="paragraph">
                    <wp:posOffset>852805</wp:posOffset>
                  </wp:positionV>
                  <wp:extent cx="1199515" cy="716280"/>
                  <wp:effectExtent l="0" t="0" r="4445" b="0"/>
                  <wp:wrapNone/>
                  <wp:docPr id="5" name="图片_5"/>
                  <wp:cNvGraphicFramePr/>
                  <a:graphic xmlns:a="http://schemas.openxmlformats.org/drawingml/2006/main">
                    <a:graphicData uri="http://schemas.openxmlformats.org/drawingml/2006/picture">
                      <pic:pic xmlns:pic="http://schemas.openxmlformats.org/drawingml/2006/picture">
                        <pic:nvPicPr>
                          <pic:cNvPr id="5" name="图片_5"/>
                          <pic:cNvPicPr/>
                        </pic:nvPicPr>
                        <pic:blipFill>
                          <a:blip r:embed="rId12"/>
                          <a:stretch>
                            <a:fillRect/>
                          </a:stretch>
                        </pic:blipFill>
                        <pic:spPr>
                          <a:xfrm>
                            <a:off x="0" y="0"/>
                            <a:ext cx="1199515" cy="716280"/>
                          </a:xfrm>
                          <a:prstGeom prst="rect">
                            <a:avLst/>
                          </a:prstGeom>
                          <a:noFill/>
                          <a:ln>
                            <a:noFill/>
                          </a:ln>
                        </pic:spPr>
                      </pic:pic>
                    </a:graphicData>
                  </a:graphic>
                </wp:anchor>
              </w:drawing>
            </w:r>
            <w:r>
              <w:rPr>
                <w:rStyle w:val="82"/>
                <w:b w:val="0"/>
                <w:bCs w:val="0"/>
                <w:sz w:val="21"/>
                <w:szCs w:val="21"/>
                <w:lang w:val="en-US" w:eastAsia="zh-CN" w:bidi="ar"/>
              </w:rPr>
              <w:t>1. 自动测量50米跑的时间,测试受试者速度，反应速度、灵敏素质及神经系统灵活性的发展水平。主机具有抢跑重置功能，无需重新录入测试者信息可扩展测试100米、150米、200米、400米跑等项目。标准型标配是4人，最多可同时进行8人测试。★3.5吋真彩TFT LCD液晶显示屏，触摸式电容感应按键，寿命可达100万次以上；输入学号具备自动递增功能，可增加非接触式刷卡和激光条形码扫描功能。LCD中文显示界面，测试步骤中文提示功能，测试成绩与单机同步显示；LCD背光延时或设置，语音提示、蜂鸣器提示、语音成绩播报功能。★主机与单机可采用有线（RS232）或无线(2.4G-ANT组网)方式连接；主机与电脑之间也采用有线（USB）或无线（2.4G-ANT组网）通讯方式传输测试数据（双向无线，避免冗长连接线，便于移动测试）。★主机内可储存65000条测试数据；★主机内置多种测试项目程序，测试项目可任意切换；主机可根据测试项目设置测试人数、测试次数；主机内置大容量可充电锂电池，可独立工作1个工作日以上，在停电时不影响测试。可靠性高、耐疲劳、寿命长，适应频繁、大量人群集中测试。根据《GB/T19851.122005》中小学体育器材和场地国标设计。主要技术参数：    　测量范围：0S～999.9S  　　　分度值：0.1s　　　误差：±1.5%</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238"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6</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跳绳测试仪</w:t>
            </w:r>
          </w:p>
        </w:tc>
        <w:tc>
          <w:tcPr>
            <w:tcW w:w="51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Style w:val="82"/>
                <w:b w:val="0"/>
                <w:bCs w:val="0"/>
                <w:sz w:val="21"/>
                <w:szCs w:val="21"/>
                <w:lang w:val="en-US" w:eastAsia="zh-CN" w:bidi="ar"/>
              </w:rPr>
            </w:pPr>
          </w:p>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3237230</wp:posOffset>
                  </wp:positionH>
                  <wp:positionV relativeFrom="paragraph">
                    <wp:posOffset>580390</wp:posOffset>
                  </wp:positionV>
                  <wp:extent cx="1234440" cy="720090"/>
                  <wp:effectExtent l="0" t="0" r="0" b="11430"/>
                  <wp:wrapNone/>
                  <wp:docPr id="6" name="图片_6"/>
                  <wp:cNvGraphicFramePr/>
                  <a:graphic xmlns:a="http://schemas.openxmlformats.org/drawingml/2006/main">
                    <a:graphicData uri="http://schemas.openxmlformats.org/drawingml/2006/picture">
                      <pic:pic xmlns:pic="http://schemas.openxmlformats.org/drawingml/2006/picture">
                        <pic:nvPicPr>
                          <pic:cNvPr id="6" name="图片_6"/>
                          <pic:cNvPicPr/>
                        </pic:nvPicPr>
                        <pic:blipFill>
                          <a:blip r:embed="rId13"/>
                          <a:srcRect l="14609"/>
                          <a:stretch>
                            <a:fillRect/>
                          </a:stretch>
                        </pic:blipFill>
                        <pic:spPr>
                          <a:xfrm>
                            <a:off x="0" y="0"/>
                            <a:ext cx="1234440" cy="720090"/>
                          </a:xfrm>
                          <a:prstGeom prst="rect">
                            <a:avLst/>
                          </a:prstGeom>
                          <a:noFill/>
                          <a:ln>
                            <a:noFill/>
                          </a:ln>
                        </pic:spPr>
                      </pic:pic>
                    </a:graphicData>
                  </a:graphic>
                </wp:anchor>
              </w:drawing>
            </w:r>
            <w:r>
              <w:rPr>
                <w:rStyle w:val="82"/>
                <w:b w:val="0"/>
                <w:bCs w:val="0"/>
                <w:sz w:val="21"/>
                <w:szCs w:val="21"/>
                <w:lang w:val="en-US" w:eastAsia="zh-CN" w:bidi="ar"/>
              </w:rPr>
              <w:t>1. 测试受试者的下肢力量和身体协调能力，测试仪自带液晶显示器，能与主机同步显示测试数据。测试仪</w:t>
            </w:r>
            <w:r>
              <w:rPr>
                <w:rStyle w:val="76"/>
                <w:b w:val="0"/>
                <w:bCs w:val="0"/>
                <w:sz w:val="21"/>
                <w:szCs w:val="21"/>
                <w:lang w:val="en-US" w:eastAsia="zh-CN" w:bidi="ar"/>
              </w:rPr>
              <w:t>结构简单方便，采用体育考试常用的悬浮式轴承结构设计，高强度铝合金接头可套用2~6mm的钢丝绳，方便更换跳绳和调节跳绳长度，自带防滑绳扣同时具有防作弊功能。</w:t>
            </w:r>
            <w:r>
              <w:rPr>
                <w:rStyle w:val="82"/>
                <w:b w:val="0"/>
                <w:bCs w:val="0"/>
                <w:sz w:val="21"/>
                <w:szCs w:val="21"/>
                <w:lang w:val="en-US" w:eastAsia="zh-CN" w:bidi="ar"/>
              </w:rPr>
              <w:t>一键式操作，使用简便，带蜂鸣器提醒；标准型标配是6人，最多可实现8人同时测试；★3.5吋真彩TFT LCD液晶显示屏，触摸式电容感应按键，寿命可达100万次以上；输入学号具备自动递增功能，可增加非接触式刷卡和激光条形码扫描功能。LCD中文显示界面，测试步骤中文提示功能，测试成绩与单机同步显示；LCD背光延时或设置，语音提示、蜂鸣器提示、语音成绩播报功能。★主机与单机可采用有线（RS232）或无线(2.4G-ANT组网)方式连接；主机与电脑之间也采用有线（USB）或无线（2.4G-ANT组网）通讯方式传输测试数据（双向无线，避免冗长连接线，便于移动测试）。★主机内可储存65000条测试数据；★主机内置多种测试项目程序，测试项目可任意切换；主机可根据测试项目设置测试人数、测试次数；主机内置大容量可充电锂电池，可独立工作1个工作日以上，在停电时不影响测试。可靠性高、耐疲劳、寿命长，适应频繁、大量人群集中测试。根据《GB/T19851.122005》中小学体育器材和场地国标设计。主要技术参数：   　 测量范围：0～999次　　　分度值：1次　　　误差： ±1</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238" w:hRule="atLeast"/>
        </w:trPr>
        <w:tc>
          <w:tcPr>
            <w:tcW w:w="58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7</w:t>
            </w:r>
          </w:p>
        </w:tc>
        <w:tc>
          <w:tcPr>
            <w:tcW w:w="1289"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往返跑测试仪</w:t>
            </w:r>
          </w:p>
        </w:tc>
        <w:tc>
          <w:tcPr>
            <w:tcW w:w="5179"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 自动测量50米×8往返跑的时间，测试受试者速度，反应速度，灵敏素质及神经系统灵活性的发展水平。仪器可扩展测试10米×8次，15米×8次，25米×4次等不同距离次数规格要求的折返跑。起点具有抢跑犯规检测装置，标准型标配是2人同测。★3.5吋真彩TFT LCD液晶显示屏，触摸式电容感应按键，寿命可达100万次以上；输入学号具备自动递增功能，可增加非接触式刷卡和激光条形码扫描功能。LCD中文显示界面，测试步骤中文提示功能，测试成绩与单机同步显示；LCD背光延时或设置，语音提示、蜂鸣器提示、语音成绩播报功能。★主机与单机可采用有线（RS232）或无线(2.4G-ANT组网)方式连接；主机与电脑之间也采用有线（USB）或无线（2.4G-ANT组网）通讯方式传输测试数据（双向无线，避免冗长连接线，便于移动测试）。★主机内可储存65000条测试数据；★主机内置多种测试项目程序，测试项目可任意切换；主机可根据测试项目设置测试人数、测试次数；主机内置大容量可充电锂电池，可独立工作1个工作日以上，在停电时不影响测试。可靠性高、耐疲劳、寿命长，适应频繁、大量人群集中测试。根据《GB/T19851.122005》中小学体育器材和场地国标设计。主要技术参数：    　测量范围：0S～999.9S  　　　      分度值：0.01s　　　误差：±1.5%</w:t>
            </w:r>
          </w:p>
        </w:tc>
        <w:tc>
          <w:tcPr>
            <w:tcW w:w="1780"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121920</wp:posOffset>
                  </wp:positionH>
                  <wp:positionV relativeFrom="paragraph">
                    <wp:posOffset>556260</wp:posOffset>
                  </wp:positionV>
                  <wp:extent cx="1501140" cy="1074420"/>
                  <wp:effectExtent l="0" t="0" r="7620" b="7620"/>
                  <wp:wrapNone/>
                  <wp:docPr id="7" name="图片_7"/>
                  <wp:cNvGraphicFramePr/>
                  <a:graphic xmlns:a="http://schemas.openxmlformats.org/drawingml/2006/main">
                    <a:graphicData uri="http://schemas.openxmlformats.org/drawingml/2006/picture">
                      <pic:pic xmlns:pic="http://schemas.openxmlformats.org/drawingml/2006/picture">
                        <pic:nvPicPr>
                          <pic:cNvPr id="7" name="图片_7"/>
                          <pic:cNvPicPr/>
                        </pic:nvPicPr>
                        <pic:blipFill>
                          <a:blip r:embed="rId14"/>
                          <a:stretch>
                            <a:fillRect/>
                          </a:stretch>
                        </pic:blipFill>
                        <pic:spPr>
                          <a:xfrm>
                            <a:off x="0" y="0"/>
                            <a:ext cx="1501140" cy="1074420"/>
                          </a:xfrm>
                          <a:prstGeom prst="rect">
                            <a:avLst/>
                          </a:prstGeom>
                          <a:noFill/>
                          <a:ln>
                            <a:noFill/>
                          </a:ln>
                        </pic:spPr>
                      </pic:pic>
                    </a:graphicData>
                  </a:graphic>
                </wp:anchor>
              </w:drawing>
            </w:r>
          </w:p>
        </w:tc>
        <w:tc>
          <w:tcPr>
            <w:tcW w:w="422"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r>
    </w:tbl>
    <w:p>
      <w:pPr>
        <w:jc w:val="center"/>
        <w:rPr>
          <w:rFonts w:hint="eastAsia"/>
          <w:sz w:val="32"/>
          <w:szCs w:val="32"/>
        </w:rPr>
      </w:pPr>
    </w:p>
    <w:p>
      <w:pPr>
        <w:jc w:val="center"/>
        <w:rPr>
          <w:sz w:val="32"/>
          <w:szCs w:val="32"/>
        </w:rPr>
      </w:pPr>
      <w:r>
        <w:rPr>
          <w:rFonts w:hint="eastAsia"/>
          <w:sz w:val="32"/>
          <w:szCs w:val="32"/>
        </w:rPr>
        <w:t>中学体质检测室设备配备规格及参数</w:t>
      </w:r>
    </w:p>
    <w:p/>
    <w:tbl>
      <w:tblPr>
        <w:tblStyle w:val="25"/>
        <w:tblW w:w="8977"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Layout w:type="autofit"/>
        <w:tblCellMar>
          <w:top w:w="0" w:type="dxa"/>
          <w:left w:w="0" w:type="dxa"/>
          <w:bottom w:w="0" w:type="dxa"/>
          <w:right w:w="0" w:type="dxa"/>
        </w:tblCellMar>
      </w:tblPr>
      <w:tblGrid>
        <w:gridCol w:w="450"/>
        <w:gridCol w:w="981"/>
        <w:gridCol w:w="4424"/>
        <w:gridCol w:w="2422"/>
        <w:gridCol w:w="70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588" w:hRule="atLeast"/>
        </w:trPr>
        <w:tc>
          <w:tcPr>
            <w:tcW w:w="450" w:type="dxa"/>
            <w:tcBorders>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序号</w:t>
            </w:r>
          </w:p>
        </w:tc>
        <w:tc>
          <w:tcPr>
            <w:tcW w:w="981" w:type="dxa"/>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设备名称</w:t>
            </w:r>
          </w:p>
        </w:tc>
        <w:tc>
          <w:tcPr>
            <w:tcW w:w="4424" w:type="dxa"/>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产品参数功能及特点</w:t>
            </w:r>
          </w:p>
        </w:tc>
        <w:tc>
          <w:tcPr>
            <w:tcW w:w="2422" w:type="dxa"/>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产品图片</w:t>
            </w:r>
          </w:p>
        </w:tc>
        <w:tc>
          <w:tcPr>
            <w:tcW w:w="700" w:type="dxa"/>
            <w:tcBorders>
              <w:left w:val="single" w:color="000000" w:sz="4" w:space="0"/>
              <w:bottom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90" w:hRule="atLeast"/>
        </w:trPr>
        <w:tc>
          <w:tcPr>
            <w:tcW w:w="450"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 xml:space="preserve">   身高体重测试仪</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Style w:val="80"/>
                <w:rFonts w:hint="eastAsia" w:asciiTheme="minorEastAsia" w:hAnsiTheme="minorEastAsia" w:eastAsiaTheme="minorEastAsia" w:cstheme="minorEastAsia"/>
                <w:sz w:val="21"/>
                <w:szCs w:val="21"/>
                <w:lang w:val="en-US" w:eastAsia="zh-CN" w:bidi="ar"/>
              </w:rPr>
              <w:t>1. 直接测量人体的身高体重，反映被测者身体匀称度和发育形态指数（BMI）；身高测试采用电机加光栅感应测量身高，精度高,不易受外在环境干扰；</w:t>
            </w:r>
            <w:r>
              <w:rPr>
                <w:rFonts w:hint="eastAsia" w:asciiTheme="minorEastAsia" w:hAnsiTheme="minorEastAsia" w:eastAsiaTheme="minorEastAsia" w:cstheme="minorEastAsia"/>
                <w:b/>
                <w:i w:val="0"/>
                <w:color w:val="000000"/>
                <w:kern w:val="0"/>
                <w:sz w:val="21"/>
                <w:szCs w:val="21"/>
                <w:u w:val="none"/>
                <w:lang w:val="en-US" w:eastAsia="zh-CN" w:bidi="ar"/>
              </w:rPr>
              <w:t>身高触头采用可折叠式设计</w:t>
            </w:r>
            <w:r>
              <w:rPr>
                <w:rStyle w:val="80"/>
                <w:rFonts w:hint="eastAsia" w:asciiTheme="minorEastAsia" w:hAnsiTheme="minorEastAsia" w:eastAsiaTheme="minorEastAsia" w:cstheme="minorEastAsia"/>
                <w:sz w:val="21"/>
                <w:szCs w:val="21"/>
                <w:lang w:val="en-US" w:eastAsia="zh-CN" w:bidi="ar"/>
              </w:rPr>
              <w:t>。</w:t>
            </w:r>
            <w:r>
              <w:rPr>
                <w:rFonts w:hint="eastAsia" w:asciiTheme="minorEastAsia" w:hAnsiTheme="minorEastAsia" w:eastAsiaTheme="minorEastAsia" w:cstheme="minorEastAsia"/>
                <w:b/>
                <w:i w:val="0"/>
                <w:color w:val="000000"/>
                <w:kern w:val="0"/>
                <w:sz w:val="21"/>
                <w:szCs w:val="21"/>
                <w:u w:val="none"/>
                <w:lang w:val="en-US" w:eastAsia="zh-CN" w:bidi="ar"/>
              </w:rPr>
              <w:t>体重底座采用全铝材质一体化压铸成型</w:t>
            </w:r>
            <w:r>
              <w:rPr>
                <w:rStyle w:val="80"/>
                <w:rFonts w:hint="eastAsia" w:asciiTheme="minorEastAsia" w:hAnsiTheme="minorEastAsia" w:eastAsiaTheme="minorEastAsia" w:cstheme="minorEastAsia"/>
                <w:sz w:val="21"/>
                <w:szCs w:val="21"/>
                <w:lang w:val="en-US" w:eastAsia="zh-CN" w:bidi="ar"/>
              </w:rPr>
              <w:t>，体重使用高精度体重传感器，测试精度高，耐疲劳、寿命长。</w:t>
            </w:r>
            <w:r>
              <w:rPr>
                <w:rStyle w:val="81"/>
                <w:rFonts w:hint="eastAsia" w:asciiTheme="minorEastAsia" w:hAnsiTheme="minorEastAsia" w:eastAsiaTheme="minorEastAsia" w:cstheme="minorEastAsia"/>
                <w:sz w:val="21"/>
                <w:szCs w:val="21"/>
                <w:lang w:val="en-US" w:eastAsia="zh-CN" w:bidi="ar"/>
              </w:rPr>
              <w:t>★</w:t>
            </w:r>
            <w:r>
              <w:rPr>
                <w:rStyle w:val="80"/>
                <w:rFonts w:hint="eastAsia" w:asciiTheme="minorEastAsia" w:hAnsiTheme="minorEastAsia" w:eastAsiaTheme="minorEastAsia" w:cstheme="minorEastAsia"/>
                <w:sz w:val="21"/>
                <w:szCs w:val="21"/>
                <w:lang w:val="en-US" w:eastAsia="zh-CN" w:bidi="ar"/>
              </w:rPr>
              <w:t>测试仪采用3.5吋真彩TFT LCD液晶显示屏显示测试值</w:t>
            </w:r>
            <w:r>
              <w:rPr>
                <w:rFonts w:hint="eastAsia" w:asciiTheme="minorEastAsia" w:hAnsiTheme="minorEastAsia" w:eastAsiaTheme="minorEastAsia" w:cstheme="minorEastAsia"/>
                <w:b/>
                <w:i w:val="0"/>
                <w:color w:val="000000"/>
                <w:kern w:val="0"/>
                <w:sz w:val="21"/>
                <w:szCs w:val="21"/>
                <w:u w:val="none"/>
                <w:lang w:val="en-US" w:eastAsia="zh-CN" w:bidi="ar"/>
              </w:rPr>
              <w:t>（身高体重数值及BMI指数）</w:t>
            </w:r>
            <w:r>
              <w:rPr>
                <w:rStyle w:val="80"/>
                <w:rFonts w:hint="eastAsia" w:asciiTheme="minorEastAsia" w:hAnsiTheme="minorEastAsia" w:eastAsiaTheme="minorEastAsia" w:cstheme="minorEastAsia"/>
                <w:sz w:val="21"/>
                <w:szCs w:val="21"/>
                <w:lang w:val="en-US" w:eastAsia="zh-CN" w:bidi="ar"/>
              </w:rPr>
              <w:t>，界面美观，操作简单。测试仪具有同步语音播报身高、体重测试数值功能，语音播报可设置开启或关闭。</w:t>
            </w:r>
            <w:r>
              <w:rPr>
                <w:rStyle w:val="81"/>
                <w:rFonts w:hint="eastAsia" w:asciiTheme="minorEastAsia" w:hAnsiTheme="minorEastAsia" w:eastAsiaTheme="minorEastAsia" w:cstheme="minorEastAsia"/>
                <w:sz w:val="21"/>
                <w:szCs w:val="21"/>
                <w:lang w:val="en-US" w:eastAsia="zh-CN" w:bidi="ar"/>
              </w:rPr>
              <w:t>★3.5吋真彩</w:t>
            </w:r>
            <w:r>
              <w:rPr>
                <w:rFonts w:hint="eastAsia" w:asciiTheme="minorEastAsia" w:hAnsiTheme="minorEastAsia" w:eastAsiaTheme="minorEastAsia" w:cstheme="minorEastAsia"/>
                <w:i w:val="0"/>
                <w:color w:val="000000"/>
                <w:kern w:val="0"/>
                <w:sz w:val="21"/>
                <w:szCs w:val="21"/>
                <w:u w:val="none"/>
                <w:lang w:val="en-US" w:eastAsia="zh-CN" w:bidi="ar"/>
              </w:rPr>
              <w:t xml:space="preserve">TFT </w:t>
            </w:r>
            <w:r>
              <w:rPr>
                <w:rStyle w:val="81"/>
                <w:rFonts w:hint="eastAsia" w:asciiTheme="minorEastAsia" w:hAnsiTheme="minorEastAsia" w:eastAsiaTheme="minorEastAsia" w:cstheme="minorEastAsia"/>
                <w:sz w:val="21"/>
                <w:szCs w:val="21"/>
                <w:lang w:val="en-US" w:eastAsia="zh-CN" w:bidi="ar"/>
              </w:rPr>
              <w:t>LCD液晶显示屏，触摸式电容感应按键，寿命可达</w:t>
            </w:r>
            <w:r>
              <w:rPr>
                <w:rFonts w:hint="eastAsia" w:asciiTheme="minorEastAsia" w:hAnsiTheme="minorEastAsia" w:eastAsiaTheme="minorEastAsia" w:cstheme="minorEastAsia"/>
                <w:i w:val="0"/>
                <w:color w:val="000000"/>
                <w:kern w:val="0"/>
                <w:sz w:val="21"/>
                <w:szCs w:val="21"/>
                <w:u w:val="none"/>
                <w:lang w:val="en-US" w:eastAsia="zh-CN" w:bidi="ar"/>
              </w:rPr>
              <w:t>100</w:t>
            </w:r>
            <w:r>
              <w:rPr>
                <w:rStyle w:val="81"/>
                <w:rFonts w:hint="eastAsia" w:asciiTheme="minorEastAsia" w:hAnsiTheme="minorEastAsia" w:eastAsiaTheme="minorEastAsia" w:cstheme="minorEastAsia"/>
                <w:sz w:val="21"/>
                <w:szCs w:val="21"/>
                <w:lang w:val="en-US" w:eastAsia="zh-CN" w:bidi="ar"/>
              </w:rPr>
              <w:t>万次以上；输入学号具备自动递增功能，可增加非接触式刷卡和激光条形码扫描功能。</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中文显示界面，测试步骤中文提示功能，测试成绩与单机同步显示；</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背光延时或设置，语音提示、蜂鸣器提示、语音成绩播报功能。★主机与单机可采用有线（</w:t>
            </w:r>
            <w:r>
              <w:rPr>
                <w:rFonts w:hint="eastAsia" w:asciiTheme="minorEastAsia" w:hAnsiTheme="minorEastAsia" w:eastAsiaTheme="minorEastAsia" w:cstheme="minorEastAsia"/>
                <w:i w:val="0"/>
                <w:color w:val="000000"/>
                <w:kern w:val="0"/>
                <w:sz w:val="21"/>
                <w:szCs w:val="21"/>
                <w:u w:val="none"/>
                <w:lang w:val="en-US" w:eastAsia="zh-CN" w:bidi="ar"/>
              </w:rPr>
              <w:t>RS232</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w:t>
            </w:r>
            <w:r>
              <w:rPr>
                <w:rFonts w:hint="eastAsia" w:asciiTheme="minorEastAsia" w:hAnsiTheme="minorEastAsia" w:eastAsiaTheme="minorEastAsia" w:cstheme="minorEastAsia"/>
                <w:i w:val="0"/>
                <w:color w:val="000000"/>
                <w:kern w:val="0"/>
                <w:sz w:val="21"/>
                <w:szCs w:val="21"/>
                <w:u w:val="none"/>
                <w:lang w:val="en-US" w:eastAsia="zh-CN" w:bidi="ar"/>
              </w:rPr>
              <w:t>)</w:t>
            </w:r>
            <w:r>
              <w:rPr>
                <w:rStyle w:val="81"/>
                <w:rFonts w:hint="eastAsia" w:asciiTheme="minorEastAsia" w:hAnsiTheme="minorEastAsia" w:eastAsiaTheme="minorEastAsia" w:cstheme="minorEastAsia"/>
                <w:sz w:val="21"/>
                <w:szCs w:val="21"/>
                <w:lang w:val="en-US" w:eastAsia="zh-CN" w:bidi="ar"/>
              </w:rPr>
              <w:t>方式连接；主机与电脑之间也采用有线（</w:t>
            </w:r>
            <w:r>
              <w:rPr>
                <w:rFonts w:hint="eastAsia" w:asciiTheme="minorEastAsia" w:hAnsiTheme="minorEastAsia" w:eastAsiaTheme="minorEastAsia" w:cstheme="minorEastAsia"/>
                <w:i w:val="0"/>
                <w:color w:val="000000"/>
                <w:kern w:val="0"/>
                <w:sz w:val="21"/>
                <w:szCs w:val="21"/>
                <w:u w:val="none"/>
                <w:lang w:val="en-US" w:eastAsia="zh-CN" w:bidi="ar"/>
              </w:rPr>
              <w:t>USB</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组网）通讯方式传输测试数据（双向无线，避免冗长连接线，便于移动测试）。★主机内可储存</w:t>
            </w:r>
            <w:r>
              <w:rPr>
                <w:rFonts w:hint="eastAsia" w:asciiTheme="minorEastAsia" w:hAnsiTheme="minorEastAsia" w:eastAsiaTheme="minorEastAsia" w:cstheme="minorEastAsia"/>
                <w:i w:val="0"/>
                <w:color w:val="000000"/>
                <w:kern w:val="0"/>
                <w:sz w:val="21"/>
                <w:szCs w:val="21"/>
                <w:u w:val="none"/>
                <w:lang w:val="en-US" w:eastAsia="zh-CN" w:bidi="ar"/>
              </w:rPr>
              <w:t>65000</w:t>
            </w:r>
            <w:r>
              <w:rPr>
                <w:rStyle w:val="81"/>
                <w:rFonts w:hint="eastAsia" w:asciiTheme="minorEastAsia" w:hAnsiTheme="minorEastAsia" w:eastAsiaTheme="minorEastAsia" w:cstheme="minorEastAsia"/>
                <w:sz w:val="21"/>
                <w:szCs w:val="21"/>
                <w:lang w:val="en-US" w:eastAsia="zh-CN" w:bidi="ar"/>
              </w:rPr>
              <w:t>条测试数据；★主机内置多种测试项目程序，测试项目可任意切换；主机可根据测试项目设置测试人数、测试次数；主机内置大容量可充电锂电池，可独立工作</w:t>
            </w:r>
            <w:r>
              <w:rPr>
                <w:rFonts w:hint="eastAsia" w:asciiTheme="minorEastAsia" w:hAnsiTheme="minorEastAsia" w:eastAsiaTheme="minorEastAsia" w:cstheme="minorEastAsia"/>
                <w:i w:val="0"/>
                <w:color w:val="000000"/>
                <w:kern w:val="0"/>
                <w:sz w:val="21"/>
                <w:szCs w:val="21"/>
                <w:u w:val="none"/>
                <w:lang w:val="en-US" w:eastAsia="zh-CN" w:bidi="ar"/>
              </w:rPr>
              <w:t>1</w:t>
            </w:r>
            <w:r>
              <w:rPr>
                <w:rStyle w:val="81"/>
                <w:rFonts w:hint="eastAsia" w:asciiTheme="minorEastAsia" w:hAnsiTheme="minorEastAsia" w:eastAsiaTheme="minorEastAsia" w:cstheme="minorEastAsia"/>
                <w:sz w:val="21"/>
                <w:szCs w:val="21"/>
                <w:lang w:val="en-US" w:eastAsia="zh-CN" w:bidi="ar"/>
              </w:rPr>
              <w:t>个工作日以上，在停电时不影响测试。可靠性高、耐疲劳、寿命长，适应频繁、大量人群集中测试。根据《</w:t>
            </w:r>
            <w:r>
              <w:rPr>
                <w:rFonts w:hint="eastAsia" w:asciiTheme="minorEastAsia" w:hAnsiTheme="minorEastAsia" w:eastAsiaTheme="minorEastAsia" w:cstheme="minorEastAsia"/>
                <w:i w:val="0"/>
                <w:color w:val="000000"/>
                <w:kern w:val="0"/>
                <w:sz w:val="21"/>
                <w:szCs w:val="21"/>
                <w:u w:val="none"/>
                <w:lang w:val="en-US" w:eastAsia="zh-CN" w:bidi="ar"/>
              </w:rPr>
              <w:t>GB/T19851.122005</w:t>
            </w:r>
            <w:r>
              <w:rPr>
                <w:rStyle w:val="81"/>
                <w:rFonts w:hint="eastAsia" w:asciiTheme="minorEastAsia" w:hAnsiTheme="minorEastAsia" w:eastAsiaTheme="minorEastAsia" w:cstheme="minorEastAsia"/>
                <w:sz w:val="21"/>
                <w:szCs w:val="21"/>
                <w:lang w:val="en-US" w:eastAsia="zh-CN" w:bidi="ar"/>
              </w:rPr>
              <w:t>》中小学体育器材和场地国标设计。主要技术参数：</w:t>
            </w:r>
            <w:r>
              <w:rPr>
                <w:rStyle w:val="80"/>
                <w:rFonts w:hint="eastAsia" w:asciiTheme="minorEastAsia" w:hAnsiTheme="minorEastAsia" w:eastAsiaTheme="minorEastAsia" w:cstheme="minorEastAsia"/>
                <w:sz w:val="21"/>
                <w:szCs w:val="21"/>
                <w:lang w:val="en-US" w:eastAsia="zh-CN" w:bidi="ar"/>
              </w:rPr>
              <w:t>身高：90cm～210cm    体重：5kg ～150kg分度值：身高：0.1cm  体重：0.1kg误差：身高：±0.2cm       体重：±0.1kg  （≤100kg）                                 ±0.15kg （＞100kg）</w:t>
            </w:r>
          </w:p>
        </w:tc>
        <w:tc>
          <w:tcPr>
            <w:tcW w:w="2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184785</wp:posOffset>
                  </wp:positionH>
                  <wp:positionV relativeFrom="paragraph">
                    <wp:posOffset>257810</wp:posOffset>
                  </wp:positionV>
                  <wp:extent cx="1276350" cy="1237615"/>
                  <wp:effectExtent l="0" t="0" r="3810" b="12065"/>
                  <wp:wrapNone/>
                  <wp:docPr id="8" name="图片_8"/>
                  <wp:cNvGraphicFramePr/>
                  <a:graphic xmlns:a="http://schemas.openxmlformats.org/drawingml/2006/main">
                    <a:graphicData uri="http://schemas.openxmlformats.org/drawingml/2006/picture">
                      <pic:pic xmlns:pic="http://schemas.openxmlformats.org/drawingml/2006/picture">
                        <pic:nvPicPr>
                          <pic:cNvPr id="8" name="图片_8"/>
                          <pic:cNvPicPr/>
                        </pic:nvPicPr>
                        <pic:blipFill>
                          <a:blip r:embed="rId15"/>
                          <a:stretch>
                            <a:fillRect/>
                          </a:stretch>
                        </pic:blipFill>
                        <pic:spPr>
                          <a:xfrm>
                            <a:off x="0" y="0"/>
                            <a:ext cx="1276350" cy="1237615"/>
                          </a:xfrm>
                          <a:prstGeom prst="rect">
                            <a:avLst/>
                          </a:prstGeom>
                          <a:noFill/>
                          <a:ln>
                            <a:noFill/>
                          </a:ln>
                        </pic:spPr>
                      </pic:pic>
                    </a:graphicData>
                  </a:graphic>
                </wp:anchor>
              </w:drawing>
            </w:r>
          </w:p>
        </w:tc>
        <w:tc>
          <w:tcPr>
            <w:tcW w:w="700"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90" w:hRule="atLeast"/>
        </w:trPr>
        <w:tc>
          <w:tcPr>
            <w:tcW w:w="450"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 xml:space="preserve"> 肺活量测试仪</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Style w:val="80"/>
                <w:rFonts w:hint="eastAsia" w:asciiTheme="minorEastAsia" w:hAnsiTheme="minorEastAsia" w:eastAsiaTheme="minorEastAsia" w:cstheme="minorEastAsia"/>
                <w:sz w:val="21"/>
                <w:szCs w:val="21"/>
                <w:lang w:val="en-US" w:eastAsia="zh-CN" w:bidi="ar"/>
              </w:rPr>
            </w:pPr>
          </w:p>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Style w:val="80"/>
                <w:rFonts w:hint="eastAsia" w:asciiTheme="minorEastAsia" w:hAnsiTheme="minorEastAsia" w:eastAsiaTheme="minorEastAsia" w:cstheme="minorEastAsia"/>
                <w:sz w:val="21"/>
                <w:szCs w:val="21"/>
                <w:lang w:val="en-US" w:eastAsia="zh-CN" w:bidi="ar"/>
              </w:rPr>
              <w:t>1. 测定人体呼吸的最大通气能力，测试数值反映肺的容积和肺的扩展能力。使用进口高精密传感器，精度高，吹管优化设计与处理，不易产生积水，防补气（防作弊）功能，补气时自动锁定数据。测试仪采用一体化设计，128×64液晶显示，具有锁定功能，读数方便。一键式操作，使用简便，同时具有清零功能。采用单节7号电池供电，低功耗设计，3分钟未使用自动关机，带低电量提示功能。</w:t>
            </w:r>
            <w:r>
              <w:rPr>
                <w:rStyle w:val="81"/>
                <w:rFonts w:hint="eastAsia" w:asciiTheme="minorEastAsia" w:hAnsiTheme="minorEastAsia" w:eastAsiaTheme="minorEastAsia" w:cstheme="minorEastAsia"/>
                <w:sz w:val="21"/>
                <w:szCs w:val="21"/>
                <w:lang w:val="en-US" w:eastAsia="zh-CN" w:bidi="ar"/>
              </w:rPr>
              <w:t>★3.5吋真彩</w:t>
            </w:r>
            <w:r>
              <w:rPr>
                <w:rFonts w:hint="eastAsia" w:asciiTheme="minorEastAsia" w:hAnsiTheme="minorEastAsia" w:eastAsiaTheme="minorEastAsia" w:cstheme="minorEastAsia"/>
                <w:i w:val="0"/>
                <w:color w:val="000000"/>
                <w:kern w:val="0"/>
                <w:sz w:val="21"/>
                <w:szCs w:val="21"/>
                <w:u w:val="none"/>
                <w:lang w:val="en-US" w:eastAsia="zh-CN" w:bidi="ar"/>
              </w:rPr>
              <w:t xml:space="preserve">TFT </w:t>
            </w:r>
            <w:r>
              <w:rPr>
                <w:rStyle w:val="81"/>
                <w:rFonts w:hint="eastAsia" w:asciiTheme="minorEastAsia" w:hAnsiTheme="minorEastAsia" w:eastAsiaTheme="minorEastAsia" w:cstheme="minorEastAsia"/>
                <w:sz w:val="21"/>
                <w:szCs w:val="21"/>
                <w:lang w:val="en-US" w:eastAsia="zh-CN" w:bidi="ar"/>
              </w:rPr>
              <w:t>LCD液晶显示屏，触摸式电容感应按键，寿命可达</w:t>
            </w:r>
            <w:r>
              <w:rPr>
                <w:rFonts w:hint="eastAsia" w:asciiTheme="minorEastAsia" w:hAnsiTheme="minorEastAsia" w:eastAsiaTheme="minorEastAsia" w:cstheme="minorEastAsia"/>
                <w:i w:val="0"/>
                <w:color w:val="000000"/>
                <w:kern w:val="0"/>
                <w:sz w:val="21"/>
                <w:szCs w:val="21"/>
                <w:u w:val="none"/>
                <w:lang w:val="en-US" w:eastAsia="zh-CN" w:bidi="ar"/>
              </w:rPr>
              <w:t>100</w:t>
            </w:r>
            <w:r>
              <w:rPr>
                <w:rStyle w:val="81"/>
                <w:rFonts w:hint="eastAsia" w:asciiTheme="minorEastAsia" w:hAnsiTheme="minorEastAsia" w:eastAsiaTheme="minorEastAsia" w:cstheme="minorEastAsia"/>
                <w:sz w:val="21"/>
                <w:szCs w:val="21"/>
                <w:lang w:val="en-US" w:eastAsia="zh-CN" w:bidi="ar"/>
              </w:rPr>
              <w:t>万次以上；输入学号具备自动递增功能，可增加非接触式刷卡和激光条形码扫描功能。</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中文显示界面，测试步骤中文提示功能，测试成绩与单机同步显示；</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背光延时或设置，语音提示、蜂鸣器提示、语音成绩播报功能。★主机与单机可采用有线（</w:t>
            </w:r>
            <w:r>
              <w:rPr>
                <w:rFonts w:hint="eastAsia" w:asciiTheme="minorEastAsia" w:hAnsiTheme="minorEastAsia" w:eastAsiaTheme="minorEastAsia" w:cstheme="minorEastAsia"/>
                <w:i w:val="0"/>
                <w:color w:val="000000"/>
                <w:kern w:val="0"/>
                <w:sz w:val="21"/>
                <w:szCs w:val="21"/>
                <w:u w:val="none"/>
                <w:lang w:val="en-US" w:eastAsia="zh-CN" w:bidi="ar"/>
              </w:rPr>
              <w:t>RS232</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w:t>
            </w:r>
            <w:r>
              <w:rPr>
                <w:rFonts w:hint="eastAsia" w:asciiTheme="minorEastAsia" w:hAnsiTheme="minorEastAsia" w:eastAsiaTheme="minorEastAsia" w:cstheme="minorEastAsia"/>
                <w:i w:val="0"/>
                <w:color w:val="000000"/>
                <w:kern w:val="0"/>
                <w:sz w:val="21"/>
                <w:szCs w:val="21"/>
                <w:u w:val="none"/>
                <w:lang w:val="en-US" w:eastAsia="zh-CN" w:bidi="ar"/>
              </w:rPr>
              <w:t>)</w:t>
            </w:r>
            <w:r>
              <w:rPr>
                <w:rStyle w:val="81"/>
                <w:rFonts w:hint="eastAsia" w:asciiTheme="minorEastAsia" w:hAnsiTheme="minorEastAsia" w:eastAsiaTheme="minorEastAsia" w:cstheme="minorEastAsia"/>
                <w:sz w:val="21"/>
                <w:szCs w:val="21"/>
                <w:lang w:val="en-US" w:eastAsia="zh-CN" w:bidi="ar"/>
              </w:rPr>
              <w:t>方式连接；主机与电脑之间也采用有线（</w:t>
            </w:r>
            <w:r>
              <w:rPr>
                <w:rFonts w:hint="eastAsia" w:asciiTheme="minorEastAsia" w:hAnsiTheme="minorEastAsia" w:eastAsiaTheme="minorEastAsia" w:cstheme="minorEastAsia"/>
                <w:i w:val="0"/>
                <w:color w:val="000000"/>
                <w:kern w:val="0"/>
                <w:sz w:val="21"/>
                <w:szCs w:val="21"/>
                <w:u w:val="none"/>
                <w:lang w:val="en-US" w:eastAsia="zh-CN" w:bidi="ar"/>
              </w:rPr>
              <w:t>USB</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组网）通讯方式传输测试数据（双向无线，避免冗长连接线，便于移动测试）。★主机内可储存</w:t>
            </w:r>
            <w:r>
              <w:rPr>
                <w:rFonts w:hint="eastAsia" w:asciiTheme="minorEastAsia" w:hAnsiTheme="minorEastAsia" w:eastAsiaTheme="minorEastAsia" w:cstheme="minorEastAsia"/>
                <w:i w:val="0"/>
                <w:color w:val="000000"/>
                <w:kern w:val="0"/>
                <w:sz w:val="21"/>
                <w:szCs w:val="21"/>
                <w:u w:val="none"/>
                <w:lang w:val="en-US" w:eastAsia="zh-CN" w:bidi="ar"/>
              </w:rPr>
              <w:t>65000</w:t>
            </w:r>
            <w:r>
              <w:rPr>
                <w:rStyle w:val="81"/>
                <w:rFonts w:hint="eastAsia" w:asciiTheme="minorEastAsia" w:hAnsiTheme="minorEastAsia" w:eastAsiaTheme="minorEastAsia" w:cstheme="minorEastAsia"/>
                <w:sz w:val="21"/>
                <w:szCs w:val="21"/>
                <w:lang w:val="en-US" w:eastAsia="zh-CN" w:bidi="ar"/>
              </w:rPr>
              <w:t>条测试数据；★主机内置多种测试项目程序，测试项目可任意切换；主机可根据测试项目设置测试人数、测试次数；主机内置大容量可充电锂电池，可独立工作</w:t>
            </w:r>
            <w:r>
              <w:rPr>
                <w:rFonts w:hint="eastAsia" w:asciiTheme="minorEastAsia" w:hAnsiTheme="minorEastAsia" w:eastAsiaTheme="minorEastAsia" w:cstheme="minorEastAsia"/>
                <w:i w:val="0"/>
                <w:color w:val="000000"/>
                <w:kern w:val="0"/>
                <w:sz w:val="21"/>
                <w:szCs w:val="21"/>
                <w:u w:val="none"/>
                <w:lang w:val="en-US" w:eastAsia="zh-CN" w:bidi="ar"/>
              </w:rPr>
              <w:t>1</w:t>
            </w:r>
            <w:r>
              <w:rPr>
                <w:rStyle w:val="81"/>
                <w:rFonts w:hint="eastAsia" w:asciiTheme="minorEastAsia" w:hAnsiTheme="minorEastAsia" w:eastAsiaTheme="minorEastAsia" w:cstheme="minorEastAsia"/>
                <w:sz w:val="21"/>
                <w:szCs w:val="21"/>
                <w:lang w:val="en-US" w:eastAsia="zh-CN" w:bidi="ar"/>
              </w:rPr>
              <w:t>个工作日以上，在停电时不影响测试。</w:t>
            </w:r>
            <w:r>
              <w:rPr>
                <w:rStyle w:val="80"/>
                <w:rFonts w:hint="eastAsia" w:asciiTheme="minorEastAsia" w:hAnsiTheme="minorEastAsia" w:eastAsiaTheme="minorEastAsia" w:cstheme="minorEastAsia"/>
                <w:sz w:val="21"/>
                <w:szCs w:val="21"/>
                <w:lang w:val="en-US" w:eastAsia="zh-CN" w:bidi="ar"/>
              </w:rPr>
              <w:t>可靠性高、耐疲劳、寿命长，适应频繁、大量人群集中测试。根据《</w:t>
            </w:r>
            <w:r>
              <w:rPr>
                <w:rFonts w:hint="eastAsia" w:asciiTheme="minorEastAsia" w:hAnsiTheme="minorEastAsia" w:eastAsiaTheme="minorEastAsia" w:cstheme="minorEastAsia"/>
                <w:i w:val="0"/>
                <w:color w:val="000000"/>
                <w:kern w:val="0"/>
                <w:sz w:val="21"/>
                <w:szCs w:val="21"/>
                <w:u w:val="none"/>
                <w:lang w:val="en-US" w:eastAsia="zh-CN" w:bidi="ar"/>
              </w:rPr>
              <w:t>GB/T19851.122005</w:t>
            </w:r>
            <w:r>
              <w:rPr>
                <w:rStyle w:val="80"/>
                <w:rFonts w:hint="eastAsia" w:asciiTheme="minorEastAsia" w:hAnsiTheme="minorEastAsia" w:eastAsiaTheme="minorEastAsia" w:cstheme="minorEastAsia"/>
                <w:sz w:val="21"/>
                <w:szCs w:val="21"/>
                <w:lang w:val="en-US" w:eastAsia="zh-CN" w:bidi="ar"/>
              </w:rPr>
              <w:t>》中小学体育器材和场地国标设计。主要技术参数：    量程：100～9999ml                   分度值：1ml误差：±1.5%FS</w:t>
            </w:r>
          </w:p>
        </w:tc>
        <w:tc>
          <w:tcPr>
            <w:tcW w:w="2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60325</wp:posOffset>
                  </wp:positionH>
                  <wp:positionV relativeFrom="paragraph">
                    <wp:posOffset>708025</wp:posOffset>
                  </wp:positionV>
                  <wp:extent cx="1423035" cy="1287780"/>
                  <wp:effectExtent l="0" t="0" r="9525" b="7620"/>
                  <wp:wrapNone/>
                  <wp:docPr id="9" name="图片_9"/>
                  <wp:cNvGraphicFramePr/>
                  <a:graphic xmlns:a="http://schemas.openxmlformats.org/drawingml/2006/main">
                    <a:graphicData uri="http://schemas.openxmlformats.org/drawingml/2006/picture">
                      <pic:pic xmlns:pic="http://schemas.openxmlformats.org/drawingml/2006/picture">
                        <pic:nvPicPr>
                          <pic:cNvPr id="9" name="图片_9"/>
                          <pic:cNvPicPr/>
                        </pic:nvPicPr>
                        <pic:blipFill>
                          <a:blip r:embed="rId16"/>
                          <a:srcRect l="16275" r="13584"/>
                          <a:stretch>
                            <a:fillRect/>
                          </a:stretch>
                        </pic:blipFill>
                        <pic:spPr>
                          <a:xfrm>
                            <a:off x="0" y="0"/>
                            <a:ext cx="1423035" cy="1287780"/>
                          </a:xfrm>
                          <a:prstGeom prst="rect">
                            <a:avLst/>
                          </a:prstGeom>
                          <a:noFill/>
                          <a:ln>
                            <a:noFill/>
                          </a:ln>
                        </pic:spPr>
                      </pic:pic>
                    </a:graphicData>
                  </a:graphic>
                </wp:anchor>
              </w:drawing>
            </w:r>
          </w:p>
        </w:tc>
        <w:tc>
          <w:tcPr>
            <w:tcW w:w="700"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90" w:hRule="atLeast"/>
        </w:trPr>
        <w:tc>
          <w:tcPr>
            <w:tcW w:w="450"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坐位体前屈测试仪</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Style w:val="80"/>
                <w:rFonts w:hint="eastAsia" w:asciiTheme="minorEastAsia" w:hAnsiTheme="minorEastAsia" w:eastAsiaTheme="minorEastAsia" w:cstheme="minorEastAsia"/>
                <w:sz w:val="21"/>
                <w:szCs w:val="21"/>
                <w:lang w:val="en-US" w:eastAsia="zh-CN" w:bidi="ar"/>
              </w:rPr>
              <w:t>1. 自动测量坐位体前屈的数值，从而反映躯干、腰、髋等部位关节、肌肉和韧带的伸展性和柔韧</w:t>
            </w:r>
            <w:r>
              <w:rPr>
                <w:rFonts w:hint="eastAsia" w:asciiTheme="minorEastAsia" w:hAnsiTheme="minorEastAsia" w:eastAsiaTheme="minorEastAsia" w:cstheme="minorEastAsia"/>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2971165</wp:posOffset>
                  </wp:positionH>
                  <wp:positionV relativeFrom="paragraph">
                    <wp:posOffset>978535</wp:posOffset>
                  </wp:positionV>
                  <wp:extent cx="1607820" cy="1127760"/>
                  <wp:effectExtent l="0" t="0" r="7620" b="0"/>
                  <wp:wrapNone/>
                  <wp:docPr id="10" name="图片_10"/>
                  <wp:cNvGraphicFramePr/>
                  <a:graphic xmlns:a="http://schemas.openxmlformats.org/drawingml/2006/main">
                    <a:graphicData uri="http://schemas.openxmlformats.org/drawingml/2006/picture">
                      <pic:pic xmlns:pic="http://schemas.openxmlformats.org/drawingml/2006/picture">
                        <pic:nvPicPr>
                          <pic:cNvPr id="10" name="图片_10"/>
                          <pic:cNvPicPr/>
                        </pic:nvPicPr>
                        <pic:blipFill>
                          <a:blip r:embed="rId17"/>
                          <a:stretch>
                            <a:fillRect/>
                          </a:stretch>
                        </pic:blipFill>
                        <pic:spPr>
                          <a:xfrm>
                            <a:off x="0" y="0"/>
                            <a:ext cx="1607820" cy="1127760"/>
                          </a:xfrm>
                          <a:prstGeom prst="rect">
                            <a:avLst/>
                          </a:prstGeom>
                          <a:noFill/>
                          <a:ln>
                            <a:noFill/>
                          </a:ln>
                        </pic:spPr>
                      </pic:pic>
                    </a:graphicData>
                  </a:graphic>
                </wp:anchor>
              </w:drawing>
            </w:r>
            <w:r>
              <w:rPr>
                <w:rStyle w:val="80"/>
                <w:rFonts w:hint="eastAsia" w:asciiTheme="minorEastAsia" w:hAnsiTheme="minorEastAsia" w:eastAsiaTheme="minorEastAsia" w:cstheme="minorEastAsia"/>
                <w:sz w:val="21"/>
                <w:szCs w:val="21"/>
                <w:lang w:val="en-US" w:eastAsia="zh-CN" w:bidi="ar"/>
              </w:rPr>
              <w:t>性。推板具有防作弊功能，反推或者停顿超时自动锁定读数。传感器精度高，抗光性强，不易受外在环境影响；测试仪具有自动清零功能。低功耗设计，3分钟未使用自动关机，带低电量提示功能。标准型带辅助测试床体，含海绵座垫及铁质挡板。</w:t>
            </w:r>
            <w:r>
              <w:rPr>
                <w:rStyle w:val="81"/>
                <w:rFonts w:hint="eastAsia" w:asciiTheme="minorEastAsia" w:hAnsiTheme="minorEastAsia" w:eastAsiaTheme="minorEastAsia" w:cstheme="minorEastAsia"/>
                <w:sz w:val="21"/>
                <w:szCs w:val="21"/>
                <w:lang w:val="en-US" w:eastAsia="zh-CN" w:bidi="ar"/>
              </w:rPr>
              <w:t>★3.5吋真彩</w:t>
            </w:r>
            <w:r>
              <w:rPr>
                <w:rFonts w:hint="eastAsia" w:asciiTheme="minorEastAsia" w:hAnsiTheme="minorEastAsia" w:eastAsiaTheme="minorEastAsia" w:cstheme="minorEastAsia"/>
                <w:i w:val="0"/>
                <w:color w:val="000000"/>
                <w:kern w:val="0"/>
                <w:sz w:val="21"/>
                <w:szCs w:val="21"/>
                <w:u w:val="none"/>
                <w:lang w:val="en-US" w:eastAsia="zh-CN" w:bidi="ar"/>
              </w:rPr>
              <w:t xml:space="preserve">TFT </w:t>
            </w:r>
            <w:r>
              <w:rPr>
                <w:rStyle w:val="81"/>
                <w:rFonts w:hint="eastAsia" w:asciiTheme="minorEastAsia" w:hAnsiTheme="minorEastAsia" w:eastAsiaTheme="minorEastAsia" w:cstheme="minorEastAsia"/>
                <w:sz w:val="21"/>
                <w:szCs w:val="21"/>
                <w:lang w:val="en-US" w:eastAsia="zh-CN" w:bidi="ar"/>
              </w:rPr>
              <w:t>LCD液晶显示屏，触摸式电容感应按键，寿命可达</w:t>
            </w:r>
            <w:r>
              <w:rPr>
                <w:rFonts w:hint="eastAsia" w:asciiTheme="minorEastAsia" w:hAnsiTheme="minorEastAsia" w:eastAsiaTheme="minorEastAsia" w:cstheme="minorEastAsia"/>
                <w:i w:val="0"/>
                <w:color w:val="000000"/>
                <w:kern w:val="0"/>
                <w:sz w:val="21"/>
                <w:szCs w:val="21"/>
                <w:u w:val="none"/>
                <w:lang w:val="en-US" w:eastAsia="zh-CN" w:bidi="ar"/>
              </w:rPr>
              <w:t>100</w:t>
            </w:r>
            <w:r>
              <w:rPr>
                <w:rStyle w:val="81"/>
                <w:rFonts w:hint="eastAsia" w:asciiTheme="minorEastAsia" w:hAnsiTheme="minorEastAsia" w:eastAsiaTheme="minorEastAsia" w:cstheme="minorEastAsia"/>
                <w:sz w:val="21"/>
                <w:szCs w:val="21"/>
                <w:lang w:val="en-US" w:eastAsia="zh-CN" w:bidi="ar"/>
              </w:rPr>
              <w:t>万次以上；输入学号具备自动递增功能，可增加非接触式刷卡和激光条形码扫描功能。</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中文显示界面，测试步骤中文提示功能，测试成绩与单机同步显示；</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背光延时或设置，语音提示、蜂鸣器提示、语音成绩播报功能。★主机与单机可采用有线（</w:t>
            </w:r>
            <w:r>
              <w:rPr>
                <w:rFonts w:hint="eastAsia" w:asciiTheme="minorEastAsia" w:hAnsiTheme="minorEastAsia" w:eastAsiaTheme="minorEastAsia" w:cstheme="minorEastAsia"/>
                <w:i w:val="0"/>
                <w:color w:val="000000"/>
                <w:kern w:val="0"/>
                <w:sz w:val="21"/>
                <w:szCs w:val="21"/>
                <w:u w:val="none"/>
                <w:lang w:val="en-US" w:eastAsia="zh-CN" w:bidi="ar"/>
              </w:rPr>
              <w:t>RS232</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w:t>
            </w:r>
            <w:r>
              <w:rPr>
                <w:rFonts w:hint="eastAsia" w:asciiTheme="minorEastAsia" w:hAnsiTheme="minorEastAsia" w:eastAsiaTheme="minorEastAsia" w:cstheme="minorEastAsia"/>
                <w:i w:val="0"/>
                <w:color w:val="000000"/>
                <w:kern w:val="0"/>
                <w:sz w:val="21"/>
                <w:szCs w:val="21"/>
                <w:u w:val="none"/>
                <w:lang w:val="en-US" w:eastAsia="zh-CN" w:bidi="ar"/>
              </w:rPr>
              <w:t>)</w:t>
            </w:r>
            <w:r>
              <w:rPr>
                <w:rStyle w:val="81"/>
                <w:rFonts w:hint="eastAsia" w:asciiTheme="minorEastAsia" w:hAnsiTheme="minorEastAsia" w:eastAsiaTheme="minorEastAsia" w:cstheme="minorEastAsia"/>
                <w:sz w:val="21"/>
                <w:szCs w:val="21"/>
                <w:lang w:val="en-US" w:eastAsia="zh-CN" w:bidi="ar"/>
              </w:rPr>
              <w:t>方式连接；主机与电脑之间也采用有线（</w:t>
            </w:r>
            <w:r>
              <w:rPr>
                <w:rFonts w:hint="eastAsia" w:asciiTheme="minorEastAsia" w:hAnsiTheme="minorEastAsia" w:eastAsiaTheme="minorEastAsia" w:cstheme="minorEastAsia"/>
                <w:i w:val="0"/>
                <w:color w:val="000000"/>
                <w:kern w:val="0"/>
                <w:sz w:val="21"/>
                <w:szCs w:val="21"/>
                <w:u w:val="none"/>
                <w:lang w:val="en-US" w:eastAsia="zh-CN" w:bidi="ar"/>
              </w:rPr>
              <w:t>USB</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组网）通讯方式传输测试数据（双向无线，避免冗长连接线，便于移动测试）。★主机内可储存</w:t>
            </w:r>
            <w:r>
              <w:rPr>
                <w:rFonts w:hint="eastAsia" w:asciiTheme="minorEastAsia" w:hAnsiTheme="minorEastAsia" w:eastAsiaTheme="minorEastAsia" w:cstheme="minorEastAsia"/>
                <w:i w:val="0"/>
                <w:color w:val="000000"/>
                <w:kern w:val="0"/>
                <w:sz w:val="21"/>
                <w:szCs w:val="21"/>
                <w:u w:val="none"/>
                <w:lang w:val="en-US" w:eastAsia="zh-CN" w:bidi="ar"/>
              </w:rPr>
              <w:t>65000</w:t>
            </w:r>
            <w:r>
              <w:rPr>
                <w:rStyle w:val="81"/>
                <w:rFonts w:hint="eastAsia" w:asciiTheme="minorEastAsia" w:hAnsiTheme="minorEastAsia" w:eastAsiaTheme="minorEastAsia" w:cstheme="minorEastAsia"/>
                <w:sz w:val="21"/>
                <w:szCs w:val="21"/>
                <w:lang w:val="en-US" w:eastAsia="zh-CN" w:bidi="ar"/>
              </w:rPr>
              <w:t>条测试数据；★主机内置多种测试项目程序，测试项目可任意切换；主机可根据测试项目设置测试人数、测试次数；主机内置大容量可充电锂电池，可独立工作</w:t>
            </w:r>
            <w:r>
              <w:rPr>
                <w:rFonts w:hint="eastAsia" w:asciiTheme="minorEastAsia" w:hAnsiTheme="minorEastAsia" w:eastAsiaTheme="minorEastAsia" w:cstheme="minorEastAsia"/>
                <w:i w:val="0"/>
                <w:color w:val="000000"/>
                <w:kern w:val="0"/>
                <w:sz w:val="21"/>
                <w:szCs w:val="21"/>
                <w:u w:val="none"/>
                <w:lang w:val="en-US" w:eastAsia="zh-CN" w:bidi="ar"/>
              </w:rPr>
              <w:t>1</w:t>
            </w:r>
            <w:r>
              <w:rPr>
                <w:rStyle w:val="81"/>
                <w:rFonts w:hint="eastAsia" w:asciiTheme="minorEastAsia" w:hAnsiTheme="minorEastAsia" w:eastAsiaTheme="minorEastAsia" w:cstheme="minorEastAsia"/>
                <w:sz w:val="21"/>
                <w:szCs w:val="21"/>
                <w:lang w:val="en-US" w:eastAsia="zh-CN" w:bidi="ar"/>
              </w:rPr>
              <w:t>个工作日以上，在停电时不影响测试。</w:t>
            </w:r>
            <w:r>
              <w:rPr>
                <w:rStyle w:val="80"/>
                <w:rFonts w:hint="eastAsia" w:asciiTheme="minorEastAsia" w:hAnsiTheme="minorEastAsia" w:eastAsiaTheme="minorEastAsia" w:cstheme="minorEastAsia"/>
                <w:sz w:val="21"/>
                <w:szCs w:val="21"/>
                <w:lang w:val="en-US" w:eastAsia="zh-CN" w:bidi="ar"/>
              </w:rPr>
              <w:t>可靠性高、耐疲劳、寿命长，适应频繁、大量人群集中测试。根据《</w:t>
            </w:r>
            <w:r>
              <w:rPr>
                <w:rFonts w:hint="eastAsia" w:asciiTheme="minorEastAsia" w:hAnsiTheme="minorEastAsia" w:eastAsiaTheme="minorEastAsia" w:cstheme="minorEastAsia"/>
                <w:i w:val="0"/>
                <w:color w:val="000000"/>
                <w:kern w:val="0"/>
                <w:sz w:val="21"/>
                <w:szCs w:val="21"/>
                <w:u w:val="none"/>
                <w:lang w:val="en-US" w:eastAsia="zh-CN" w:bidi="ar"/>
              </w:rPr>
              <w:t>GB/T19851.122005</w:t>
            </w:r>
            <w:r>
              <w:rPr>
                <w:rStyle w:val="80"/>
                <w:rFonts w:hint="eastAsia" w:asciiTheme="minorEastAsia" w:hAnsiTheme="minorEastAsia" w:eastAsiaTheme="minorEastAsia" w:cstheme="minorEastAsia"/>
                <w:sz w:val="21"/>
                <w:szCs w:val="21"/>
                <w:lang w:val="en-US" w:eastAsia="zh-CN" w:bidi="ar"/>
              </w:rPr>
              <w:t xml:space="preserve">》中小学体育器材和场地国标设计。主要技术参数  　测量范围：－20cm～35cm　分度值：0.1cm　　　误差： ±0.1cm   </w:t>
            </w:r>
          </w:p>
        </w:tc>
        <w:tc>
          <w:tcPr>
            <w:tcW w:w="2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p>
        </w:tc>
        <w:tc>
          <w:tcPr>
            <w:tcW w:w="700"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477" w:hRule="atLeast"/>
        </w:trPr>
        <w:tc>
          <w:tcPr>
            <w:tcW w:w="450"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 xml:space="preserve">  立定跳远测试仪</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Style w:val="80"/>
                <w:rFonts w:hint="eastAsia" w:asciiTheme="minorEastAsia" w:hAnsiTheme="minorEastAsia" w:eastAsiaTheme="minorEastAsia" w:cstheme="minorEastAsia"/>
                <w:sz w:val="21"/>
                <w:szCs w:val="21"/>
                <w:lang w:val="en-US" w:eastAsia="zh-CN" w:bidi="ar"/>
              </w:rPr>
              <w:t>1. 采用红外线非接触传感器测量的原理自动测量立定跳远的距离，反映人体下肢爆发力水平，</w:t>
            </w:r>
            <w:r>
              <w:rPr>
                <w:rFonts w:hint="eastAsia" w:asciiTheme="minorEastAsia" w:hAnsiTheme="minorEastAsia" w:eastAsiaTheme="minorEastAsia" w:cstheme="minorEastAsia"/>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2905125</wp:posOffset>
                  </wp:positionH>
                  <wp:positionV relativeFrom="paragraph">
                    <wp:posOffset>736600</wp:posOffset>
                  </wp:positionV>
                  <wp:extent cx="1630680" cy="1165860"/>
                  <wp:effectExtent l="0" t="0" r="0" b="7620"/>
                  <wp:wrapNone/>
                  <wp:docPr id="42" name="图片_11"/>
                  <wp:cNvGraphicFramePr/>
                  <a:graphic xmlns:a="http://schemas.openxmlformats.org/drawingml/2006/main">
                    <a:graphicData uri="http://schemas.openxmlformats.org/drawingml/2006/picture">
                      <pic:pic xmlns:pic="http://schemas.openxmlformats.org/drawingml/2006/picture">
                        <pic:nvPicPr>
                          <pic:cNvPr id="42" name="图片_11"/>
                          <pic:cNvPicPr/>
                        </pic:nvPicPr>
                        <pic:blipFill>
                          <a:blip r:embed="rId18"/>
                          <a:stretch>
                            <a:fillRect/>
                          </a:stretch>
                        </pic:blipFill>
                        <pic:spPr>
                          <a:xfrm>
                            <a:off x="0" y="0"/>
                            <a:ext cx="1630680" cy="1165860"/>
                          </a:xfrm>
                          <a:prstGeom prst="rect">
                            <a:avLst/>
                          </a:prstGeom>
                          <a:noFill/>
                          <a:ln>
                            <a:noFill/>
                          </a:ln>
                        </pic:spPr>
                      </pic:pic>
                    </a:graphicData>
                  </a:graphic>
                </wp:anchor>
              </w:drawing>
            </w:r>
            <w:r>
              <w:rPr>
                <w:rStyle w:val="80"/>
                <w:rFonts w:hint="eastAsia" w:asciiTheme="minorEastAsia" w:hAnsiTheme="minorEastAsia" w:eastAsiaTheme="minorEastAsia" w:cstheme="minorEastAsia"/>
                <w:sz w:val="21"/>
                <w:szCs w:val="21"/>
                <w:lang w:val="en-US" w:eastAsia="zh-CN" w:bidi="ar"/>
              </w:rPr>
              <w:t>测试数据准确，经久耐用；</w:t>
            </w:r>
            <w:r>
              <w:rPr>
                <w:rFonts w:hint="eastAsia" w:asciiTheme="minorEastAsia" w:hAnsiTheme="minorEastAsia" w:eastAsiaTheme="minorEastAsia" w:cstheme="minorEastAsia"/>
                <w:b/>
                <w:i w:val="0"/>
                <w:color w:val="000000"/>
                <w:kern w:val="0"/>
                <w:sz w:val="21"/>
                <w:szCs w:val="21"/>
                <w:u w:val="none"/>
                <w:lang w:val="en-US" w:eastAsia="zh-CN" w:bidi="ar"/>
              </w:rPr>
              <w:t>采用96×16规格的LED点阵屏幕显示</w:t>
            </w:r>
            <w:r>
              <w:rPr>
                <w:rStyle w:val="80"/>
                <w:rFonts w:hint="eastAsia" w:asciiTheme="minorEastAsia" w:hAnsiTheme="minorEastAsia" w:eastAsiaTheme="minorEastAsia" w:cstheme="minorEastAsia"/>
                <w:sz w:val="21"/>
                <w:szCs w:val="21"/>
                <w:lang w:val="en-US" w:eastAsia="zh-CN" w:bidi="ar"/>
              </w:rPr>
              <w:t>，显示内容丰富，可显示中文、英文、数字和其它符号；</w:t>
            </w:r>
            <w:r>
              <w:rPr>
                <w:rFonts w:hint="eastAsia" w:asciiTheme="minorEastAsia" w:hAnsiTheme="minorEastAsia" w:eastAsiaTheme="minorEastAsia" w:cstheme="minorEastAsia"/>
                <w:b/>
                <w:i w:val="0"/>
                <w:color w:val="000000"/>
                <w:kern w:val="0"/>
                <w:sz w:val="21"/>
                <w:szCs w:val="21"/>
                <w:u w:val="none"/>
                <w:lang w:val="en-US" w:eastAsia="zh-CN" w:bidi="ar"/>
              </w:rPr>
              <w:t>配有红外遥控器，操作距离可达3～5米。可设置多个起跳点</w:t>
            </w:r>
            <w:r>
              <w:rPr>
                <w:rStyle w:val="80"/>
                <w:rFonts w:hint="eastAsia" w:asciiTheme="minorEastAsia" w:hAnsiTheme="minorEastAsia" w:eastAsiaTheme="minorEastAsia" w:cstheme="minorEastAsia"/>
                <w:sz w:val="21"/>
                <w:szCs w:val="21"/>
                <w:lang w:val="en-US" w:eastAsia="zh-CN" w:bidi="ar"/>
              </w:rPr>
              <w:t>；可设定测试次数为1～3次，自动显示最好成绩；测试垫具备防滑减震功能，防止出现意外伤害；</w:t>
            </w:r>
            <w:r>
              <w:rPr>
                <w:rStyle w:val="81"/>
                <w:rFonts w:hint="eastAsia" w:asciiTheme="minorEastAsia" w:hAnsiTheme="minorEastAsia" w:eastAsiaTheme="minorEastAsia" w:cstheme="minorEastAsia"/>
                <w:sz w:val="21"/>
                <w:szCs w:val="21"/>
                <w:lang w:val="en-US" w:eastAsia="zh-CN" w:bidi="ar"/>
              </w:rPr>
              <w:t>★3.5吋真彩</w:t>
            </w:r>
            <w:r>
              <w:rPr>
                <w:rFonts w:hint="eastAsia" w:asciiTheme="minorEastAsia" w:hAnsiTheme="minorEastAsia" w:eastAsiaTheme="minorEastAsia" w:cstheme="minorEastAsia"/>
                <w:i w:val="0"/>
                <w:color w:val="000000"/>
                <w:kern w:val="0"/>
                <w:sz w:val="21"/>
                <w:szCs w:val="21"/>
                <w:u w:val="none"/>
                <w:lang w:val="en-US" w:eastAsia="zh-CN" w:bidi="ar"/>
              </w:rPr>
              <w:t xml:space="preserve">TFT </w:t>
            </w:r>
            <w:r>
              <w:rPr>
                <w:rStyle w:val="81"/>
                <w:rFonts w:hint="eastAsia" w:asciiTheme="minorEastAsia" w:hAnsiTheme="minorEastAsia" w:eastAsiaTheme="minorEastAsia" w:cstheme="minorEastAsia"/>
                <w:sz w:val="21"/>
                <w:szCs w:val="21"/>
                <w:lang w:val="en-US" w:eastAsia="zh-CN" w:bidi="ar"/>
              </w:rPr>
              <w:t>LCD液晶显示屏，触摸式电容感应按键，寿命可达</w:t>
            </w:r>
            <w:r>
              <w:rPr>
                <w:rFonts w:hint="eastAsia" w:asciiTheme="minorEastAsia" w:hAnsiTheme="minorEastAsia" w:eastAsiaTheme="minorEastAsia" w:cstheme="minorEastAsia"/>
                <w:i w:val="0"/>
                <w:color w:val="000000"/>
                <w:kern w:val="0"/>
                <w:sz w:val="21"/>
                <w:szCs w:val="21"/>
                <w:u w:val="none"/>
                <w:lang w:val="en-US" w:eastAsia="zh-CN" w:bidi="ar"/>
              </w:rPr>
              <w:t>100</w:t>
            </w:r>
            <w:r>
              <w:rPr>
                <w:rStyle w:val="81"/>
                <w:rFonts w:hint="eastAsia" w:asciiTheme="minorEastAsia" w:hAnsiTheme="minorEastAsia" w:eastAsiaTheme="minorEastAsia" w:cstheme="minorEastAsia"/>
                <w:sz w:val="21"/>
                <w:szCs w:val="21"/>
                <w:lang w:val="en-US" w:eastAsia="zh-CN" w:bidi="ar"/>
              </w:rPr>
              <w:t>万次以上；输入学号具备自动递增功能，可增加非接触式刷卡和激光条形码扫描功能。</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中文显示界面，测试步骤中文提示功能，测试成绩与单机同步显示；</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背光延时或设置，语音提示、蜂鸣器提示、语音成绩播报功能。★主机与单机可采用有线（</w:t>
            </w:r>
            <w:r>
              <w:rPr>
                <w:rFonts w:hint="eastAsia" w:asciiTheme="minorEastAsia" w:hAnsiTheme="minorEastAsia" w:eastAsiaTheme="minorEastAsia" w:cstheme="minorEastAsia"/>
                <w:i w:val="0"/>
                <w:color w:val="000000"/>
                <w:kern w:val="0"/>
                <w:sz w:val="21"/>
                <w:szCs w:val="21"/>
                <w:u w:val="none"/>
                <w:lang w:val="en-US" w:eastAsia="zh-CN" w:bidi="ar"/>
              </w:rPr>
              <w:t>RS232</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w:t>
            </w:r>
            <w:r>
              <w:rPr>
                <w:rFonts w:hint="eastAsia" w:asciiTheme="minorEastAsia" w:hAnsiTheme="minorEastAsia" w:eastAsiaTheme="minorEastAsia" w:cstheme="minorEastAsia"/>
                <w:i w:val="0"/>
                <w:color w:val="000000"/>
                <w:kern w:val="0"/>
                <w:sz w:val="21"/>
                <w:szCs w:val="21"/>
                <w:u w:val="none"/>
                <w:lang w:val="en-US" w:eastAsia="zh-CN" w:bidi="ar"/>
              </w:rPr>
              <w:t>)</w:t>
            </w:r>
            <w:r>
              <w:rPr>
                <w:rStyle w:val="81"/>
                <w:rFonts w:hint="eastAsia" w:asciiTheme="minorEastAsia" w:hAnsiTheme="minorEastAsia" w:eastAsiaTheme="minorEastAsia" w:cstheme="minorEastAsia"/>
                <w:sz w:val="21"/>
                <w:szCs w:val="21"/>
                <w:lang w:val="en-US" w:eastAsia="zh-CN" w:bidi="ar"/>
              </w:rPr>
              <w:t>方式连接；主机与电脑之间也采用有线（</w:t>
            </w:r>
            <w:r>
              <w:rPr>
                <w:rFonts w:hint="eastAsia" w:asciiTheme="minorEastAsia" w:hAnsiTheme="minorEastAsia" w:eastAsiaTheme="minorEastAsia" w:cstheme="minorEastAsia"/>
                <w:i w:val="0"/>
                <w:color w:val="000000"/>
                <w:kern w:val="0"/>
                <w:sz w:val="21"/>
                <w:szCs w:val="21"/>
                <w:u w:val="none"/>
                <w:lang w:val="en-US" w:eastAsia="zh-CN" w:bidi="ar"/>
              </w:rPr>
              <w:t>USB</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组网）通讯方式传输测试数据（双向无线，避免冗长连接线，便于移动测试）。★主机内可储存</w:t>
            </w:r>
            <w:r>
              <w:rPr>
                <w:rFonts w:hint="eastAsia" w:asciiTheme="minorEastAsia" w:hAnsiTheme="minorEastAsia" w:eastAsiaTheme="minorEastAsia" w:cstheme="minorEastAsia"/>
                <w:i w:val="0"/>
                <w:color w:val="000000"/>
                <w:kern w:val="0"/>
                <w:sz w:val="21"/>
                <w:szCs w:val="21"/>
                <w:u w:val="none"/>
                <w:lang w:val="en-US" w:eastAsia="zh-CN" w:bidi="ar"/>
              </w:rPr>
              <w:t>65000</w:t>
            </w:r>
            <w:r>
              <w:rPr>
                <w:rStyle w:val="81"/>
                <w:rFonts w:hint="eastAsia" w:asciiTheme="minorEastAsia" w:hAnsiTheme="minorEastAsia" w:eastAsiaTheme="minorEastAsia" w:cstheme="minorEastAsia"/>
                <w:sz w:val="21"/>
                <w:szCs w:val="21"/>
                <w:lang w:val="en-US" w:eastAsia="zh-CN" w:bidi="ar"/>
              </w:rPr>
              <w:t>条测试数据；★主机内置多种测试项目程序，测试项目可任意切换；主机可根据测试项目设置测试人数、测试次数；主机内置大容量可充电锂电池，可独立工作</w:t>
            </w:r>
            <w:r>
              <w:rPr>
                <w:rFonts w:hint="eastAsia" w:asciiTheme="minorEastAsia" w:hAnsiTheme="minorEastAsia" w:eastAsiaTheme="minorEastAsia" w:cstheme="minorEastAsia"/>
                <w:i w:val="0"/>
                <w:color w:val="000000"/>
                <w:kern w:val="0"/>
                <w:sz w:val="21"/>
                <w:szCs w:val="21"/>
                <w:u w:val="none"/>
                <w:lang w:val="en-US" w:eastAsia="zh-CN" w:bidi="ar"/>
              </w:rPr>
              <w:t>1</w:t>
            </w:r>
            <w:r>
              <w:rPr>
                <w:rStyle w:val="81"/>
                <w:rFonts w:hint="eastAsia" w:asciiTheme="minorEastAsia" w:hAnsiTheme="minorEastAsia" w:eastAsiaTheme="minorEastAsia" w:cstheme="minorEastAsia"/>
                <w:sz w:val="21"/>
                <w:szCs w:val="21"/>
                <w:lang w:val="en-US" w:eastAsia="zh-CN" w:bidi="ar"/>
              </w:rPr>
              <w:t>个工作日以上，在停电时不影响测试。</w:t>
            </w:r>
            <w:r>
              <w:rPr>
                <w:rStyle w:val="80"/>
                <w:rFonts w:hint="eastAsia" w:asciiTheme="minorEastAsia" w:hAnsiTheme="minorEastAsia" w:eastAsiaTheme="minorEastAsia" w:cstheme="minorEastAsia"/>
                <w:sz w:val="21"/>
                <w:szCs w:val="21"/>
                <w:lang w:val="en-US" w:eastAsia="zh-CN" w:bidi="ar"/>
              </w:rPr>
              <w:t>可靠性高、耐疲劳、寿命长，适应频繁、大量人群集中测试。根据《</w:t>
            </w:r>
            <w:r>
              <w:rPr>
                <w:rFonts w:hint="eastAsia" w:asciiTheme="minorEastAsia" w:hAnsiTheme="minorEastAsia" w:eastAsiaTheme="minorEastAsia" w:cstheme="minorEastAsia"/>
                <w:i w:val="0"/>
                <w:color w:val="000000"/>
                <w:kern w:val="0"/>
                <w:sz w:val="21"/>
                <w:szCs w:val="21"/>
                <w:u w:val="none"/>
                <w:lang w:val="en-US" w:eastAsia="zh-CN" w:bidi="ar"/>
              </w:rPr>
              <w:t>GB/T19851.122005</w:t>
            </w:r>
            <w:r>
              <w:rPr>
                <w:rStyle w:val="80"/>
                <w:rFonts w:hint="eastAsia" w:asciiTheme="minorEastAsia" w:hAnsiTheme="minorEastAsia" w:eastAsiaTheme="minorEastAsia" w:cstheme="minorEastAsia"/>
                <w:sz w:val="21"/>
                <w:szCs w:val="21"/>
                <w:lang w:val="en-US" w:eastAsia="zh-CN" w:bidi="ar"/>
              </w:rPr>
              <w:t>》中小学体育器材和场地国标设计。主要技术参数    量程： 90～300cm       误差：±1cm                 分度值：1cm</w:t>
            </w:r>
          </w:p>
        </w:tc>
        <w:tc>
          <w:tcPr>
            <w:tcW w:w="2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p>
        </w:tc>
        <w:tc>
          <w:tcPr>
            <w:tcW w:w="700"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588" w:hRule="atLeast"/>
        </w:trPr>
        <w:tc>
          <w:tcPr>
            <w:tcW w:w="450"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 xml:space="preserve"> 跳绳测试仪</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2679065</wp:posOffset>
                  </wp:positionH>
                  <wp:positionV relativeFrom="paragraph">
                    <wp:posOffset>622935</wp:posOffset>
                  </wp:positionV>
                  <wp:extent cx="1607820" cy="1150620"/>
                  <wp:effectExtent l="0" t="0" r="7620" b="7620"/>
                  <wp:wrapNone/>
                  <wp:docPr id="43" name="图片_1"/>
                  <wp:cNvGraphicFramePr/>
                  <a:graphic xmlns:a="http://schemas.openxmlformats.org/drawingml/2006/main">
                    <a:graphicData uri="http://schemas.openxmlformats.org/drawingml/2006/picture">
                      <pic:pic xmlns:pic="http://schemas.openxmlformats.org/drawingml/2006/picture">
                        <pic:nvPicPr>
                          <pic:cNvPr id="43" name="图片_1"/>
                          <pic:cNvPicPr/>
                        </pic:nvPicPr>
                        <pic:blipFill>
                          <a:blip r:embed="rId19"/>
                          <a:stretch>
                            <a:fillRect/>
                          </a:stretch>
                        </pic:blipFill>
                        <pic:spPr>
                          <a:xfrm>
                            <a:off x="0" y="0"/>
                            <a:ext cx="1607820" cy="1150620"/>
                          </a:xfrm>
                          <a:prstGeom prst="rect">
                            <a:avLst/>
                          </a:prstGeom>
                          <a:noFill/>
                          <a:ln>
                            <a:noFill/>
                          </a:ln>
                        </pic:spPr>
                      </pic:pic>
                    </a:graphicData>
                  </a:graphic>
                </wp:anchor>
              </w:drawing>
            </w:r>
            <w:r>
              <w:rPr>
                <w:rStyle w:val="81"/>
                <w:rFonts w:hint="eastAsia" w:asciiTheme="minorEastAsia" w:hAnsiTheme="minorEastAsia" w:eastAsiaTheme="minorEastAsia" w:cstheme="minorEastAsia"/>
                <w:sz w:val="21"/>
                <w:szCs w:val="21"/>
                <w:lang w:val="en-US" w:eastAsia="zh-CN" w:bidi="ar"/>
              </w:rPr>
              <w:t>1. 测试受试者的下肢力量和身体协调能力，测试仪自带液晶显示器，能与主机同步显示测试数据。测试仪</w:t>
            </w:r>
            <w:r>
              <w:rPr>
                <w:rStyle w:val="79"/>
                <w:rFonts w:hint="eastAsia" w:asciiTheme="minorEastAsia" w:hAnsiTheme="minorEastAsia" w:eastAsiaTheme="minorEastAsia" w:cstheme="minorEastAsia"/>
                <w:sz w:val="21"/>
                <w:szCs w:val="21"/>
                <w:lang w:val="en-US" w:eastAsia="zh-CN" w:bidi="ar"/>
              </w:rPr>
              <w:t>结构简单方便，采用体育考试常用的悬浮式轴承结构设计，高强度铝合金接头可套用2~6mm的钢丝绳，方便更换跳绳和调节跳绳长度，自带防滑绳扣同时具有防作弊功能。</w:t>
            </w:r>
            <w:r>
              <w:rPr>
                <w:rStyle w:val="81"/>
                <w:rFonts w:hint="eastAsia" w:asciiTheme="minorEastAsia" w:hAnsiTheme="minorEastAsia" w:eastAsiaTheme="minorEastAsia" w:cstheme="minorEastAsia"/>
                <w:sz w:val="21"/>
                <w:szCs w:val="21"/>
                <w:lang w:val="en-US" w:eastAsia="zh-CN" w:bidi="ar"/>
              </w:rPr>
              <w:t>一键式操作，使用简便，带蜂鸣器提醒；标准型标配是6人，最多可实现8人同时测试；★3.5吋真彩TFT LCD液晶显示屏，触摸式电容感应按键，寿命可达100万次以上；输入学号具备自动递增功能，可增加非接触式刷卡和激光条形码扫描功能。LCD中文显示界面，测试步骤中文提示功能，测试成绩与单机同步显示；LCD背光延时或设置，语音提示、蜂鸣器提示、语音成绩播报功能。★主机与单机可采用有线（RS232）或无线(2.4G-ANT组网)方式连接；主机与电脑之间也采用有线（USB）或无线（2.4G-ANT组网）通讯方式传输测试数据（双向无线，避免冗长连接线，便于移动测试）。★主机内可储存65000条测试数据；★主机内置多种测试项目程序，测试项目可任意切换；主机可根据测试项目设置测试人数、测试次数；主机内置大容量可充电锂电池，可独立工作1个工作日以上，在停电时不影响测试。可靠性高、耐疲劳、寿命长，适应频繁、大量人群集中测试。根据《GB/T19851.122005》中小学体育器材和场地国标设计。主要技术参数：   　 测量范围：0～999次　　　分度值：1次　　　误差： ±1</w:t>
            </w:r>
          </w:p>
        </w:tc>
        <w:tc>
          <w:tcPr>
            <w:tcW w:w="2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p>
        </w:tc>
        <w:tc>
          <w:tcPr>
            <w:tcW w:w="700"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90" w:hRule="atLeast"/>
        </w:trPr>
        <w:tc>
          <w:tcPr>
            <w:tcW w:w="450"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 xml:space="preserve">   仰卧起坐测试仪</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2669540</wp:posOffset>
                  </wp:positionH>
                  <wp:positionV relativeFrom="paragraph">
                    <wp:posOffset>405130</wp:posOffset>
                  </wp:positionV>
                  <wp:extent cx="2091055" cy="1768475"/>
                  <wp:effectExtent l="0" t="0" r="12065" b="14605"/>
                  <wp:wrapNone/>
                  <wp:docPr id="13" name="图片_12"/>
                  <wp:cNvGraphicFramePr/>
                  <a:graphic xmlns:a="http://schemas.openxmlformats.org/drawingml/2006/main">
                    <a:graphicData uri="http://schemas.openxmlformats.org/drawingml/2006/picture">
                      <pic:pic xmlns:pic="http://schemas.openxmlformats.org/drawingml/2006/picture">
                        <pic:nvPicPr>
                          <pic:cNvPr id="13" name="图片_12"/>
                          <pic:cNvPicPr/>
                        </pic:nvPicPr>
                        <pic:blipFill>
                          <a:blip r:embed="rId20"/>
                          <a:stretch>
                            <a:fillRect/>
                          </a:stretch>
                        </pic:blipFill>
                        <pic:spPr>
                          <a:xfrm>
                            <a:off x="0" y="0"/>
                            <a:ext cx="2091055" cy="1768475"/>
                          </a:xfrm>
                          <a:prstGeom prst="rect">
                            <a:avLst/>
                          </a:prstGeom>
                          <a:noFill/>
                          <a:ln>
                            <a:noFill/>
                          </a:ln>
                        </pic:spPr>
                      </pic:pic>
                    </a:graphicData>
                  </a:graphic>
                </wp:anchor>
              </w:drawing>
            </w:r>
            <w:r>
              <w:rPr>
                <w:rStyle w:val="80"/>
                <w:rFonts w:hint="eastAsia" w:asciiTheme="minorEastAsia" w:hAnsiTheme="minorEastAsia" w:eastAsiaTheme="minorEastAsia" w:cstheme="minorEastAsia"/>
                <w:sz w:val="21"/>
                <w:szCs w:val="21"/>
                <w:lang w:val="en-US" w:eastAsia="zh-CN" w:bidi="ar"/>
              </w:rPr>
              <w:t>1. 通过对被试者在规定时间内完成仰卧起坐的个数，可反映人体的腹部肌群力量。测试感应杆可随受测者身高来进行前后调节，达到测试动作标准化管理。测试感应探头采用高精度抗干扰传感器，具有抗阳光干扰设计，提高测试灵敏度。</w:t>
            </w:r>
            <w:r>
              <w:rPr>
                <w:rFonts w:hint="eastAsia" w:asciiTheme="minorEastAsia" w:hAnsiTheme="minorEastAsia" w:eastAsiaTheme="minorEastAsia" w:cstheme="minorEastAsia"/>
                <w:b/>
                <w:i w:val="0"/>
                <w:color w:val="000000"/>
                <w:kern w:val="0"/>
                <w:sz w:val="21"/>
                <w:szCs w:val="21"/>
                <w:u w:val="none"/>
                <w:lang w:val="en-US" w:eastAsia="zh-CN" w:bidi="ar"/>
              </w:rPr>
              <w:t>采用96×16规格的LED点阵屏幕显示</w:t>
            </w:r>
            <w:r>
              <w:rPr>
                <w:rStyle w:val="80"/>
                <w:rFonts w:hint="eastAsia" w:asciiTheme="minorEastAsia" w:hAnsiTheme="minorEastAsia" w:eastAsiaTheme="minorEastAsia" w:cstheme="minorEastAsia"/>
                <w:sz w:val="21"/>
                <w:szCs w:val="21"/>
                <w:lang w:val="en-US" w:eastAsia="zh-CN" w:bidi="ar"/>
              </w:rPr>
              <w:t>，显示内容丰富，可显示中文、英文、数字和其它符号；</w:t>
            </w:r>
            <w:r>
              <w:rPr>
                <w:rFonts w:hint="eastAsia" w:asciiTheme="minorEastAsia" w:hAnsiTheme="minorEastAsia" w:eastAsiaTheme="minorEastAsia" w:cstheme="minorEastAsia"/>
                <w:b/>
                <w:i w:val="0"/>
                <w:color w:val="000000"/>
                <w:kern w:val="0"/>
                <w:sz w:val="21"/>
                <w:szCs w:val="21"/>
                <w:u w:val="none"/>
                <w:lang w:val="en-US" w:eastAsia="zh-CN" w:bidi="ar"/>
              </w:rPr>
              <w:t>配有红外遥控器，操作距离可达3～5米。配有仰卧起坐测试专用床体，带勾脚，勾脚套有海绵垫抗压减震、防滑，</w:t>
            </w:r>
            <w:r>
              <w:rPr>
                <w:rStyle w:val="80"/>
                <w:rFonts w:hint="eastAsia" w:asciiTheme="minorEastAsia" w:hAnsiTheme="minorEastAsia" w:eastAsiaTheme="minorEastAsia" w:cstheme="minorEastAsia"/>
                <w:sz w:val="21"/>
                <w:szCs w:val="21"/>
                <w:lang w:val="en-US" w:eastAsia="zh-CN" w:bidi="ar"/>
              </w:rPr>
              <w:t>保护测试者脚面。</w:t>
            </w:r>
            <w:r>
              <w:rPr>
                <w:rStyle w:val="81"/>
                <w:rFonts w:hint="eastAsia" w:asciiTheme="minorEastAsia" w:hAnsiTheme="minorEastAsia" w:eastAsiaTheme="minorEastAsia" w:cstheme="minorEastAsia"/>
                <w:sz w:val="21"/>
                <w:szCs w:val="21"/>
                <w:lang w:val="en-US" w:eastAsia="zh-CN" w:bidi="ar"/>
              </w:rPr>
              <w:t>★3.5吋真彩</w:t>
            </w:r>
            <w:r>
              <w:rPr>
                <w:rFonts w:hint="eastAsia" w:asciiTheme="minorEastAsia" w:hAnsiTheme="minorEastAsia" w:eastAsiaTheme="minorEastAsia" w:cstheme="minorEastAsia"/>
                <w:i w:val="0"/>
                <w:color w:val="000000"/>
                <w:kern w:val="0"/>
                <w:sz w:val="21"/>
                <w:szCs w:val="21"/>
                <w:u w:val="none"/>
                <w:lang w:val="en-US" w:eastAsia="zh-CN" w:bidi="ar"/>
              </w:rPr>
              <w:t xml:space="preserve">TFT </w:t>
            </w:r>
            <w:r>
              <w:rPr>
                <w:rStyle w:val="81"/>
                <w:rFonts w:hint="eastAsia" w:asciiTheme="minorEastAsia" w:hAnsiTheme="minorEastAsia" w:eastAsiaTheme="minorEastAsia" w:cstheme="minorEastAsia"/>
                <w:sz w:val="21"/>
                <w:szCs w:val="21"/>
                <w:lang w:val="en-US" w:eastAsia="zh-CN" w:bidi="ar"/>
              </w:rPr>
              <w:t>LCD液晶显示屏，触摸式电容感应按键，寿命可达</w:t>
            </w:r>
            <w:r>
              <w:rPr>
                <w:rFonts w:hint="eastAsia" w:asciiTheme="minorEastAsia" w:hAnsiTheme="minorEastAsia" w:eastAsiaTheme="minorEastAsia" w:cstheme="minorEastAsia"/>
                <w:i w:val="0"/>
                <w:color w:val="000000"/>
                <w:kern w:val="0"/>
                <w:sz w:val="21"/>
                <w:szCs w:val="21"/>
                <w:u w:val="none"/>
                <w:lang w:val="en-US" w:eastAsia="zh-CN" w:bidi="ar"/>
              </w:rPr>
              <w:t>100</w:t>
            </w:r>
            <w:r>
              <w:rPr>
                <w:rStyle w:val="81"/>
                <w:rFonts w:hint="eastAsia" w:asciiTheme="minorEastAsia" w:hAnsiTheme="minorEastAsia" w:eastAsiaTheme="minorEastAsia" w:cstheme="minorEastAsia"/>
                <w:sz w:val="21"/>
                <w:szCs w:val="21"/>
                <w:lang w:val="en-US" w:eastAsia="zh-CN" w:bidi="ar"/>
              </w:rPr>
              <w:t>万次以上；输入学号具备自动递增功能，可增加非接触式刷卡和激光条形码扫描功能。</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中文显示界面，测试步骤中文提示功能，测试成绩与单机同步显示；</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背光延时或设置，语音提示、蜂鸣器提示、语音成绩播报功能。★主机与单机可采用有线（</w:t>
            </w:r>
            <w:r>
              <w:rPr>
                <w:rFonts w:hint="eastAsia" w:asciiTheme="minorEastAsia" w:hAnsiTheme="minorEastAsia" w:eastAsiaTheme="minorEastAsia" w:cstheme="minorEastAsia"/>
                <w:i w:val="0"/>
                <w:color w:val="000000"/>
                <w:kern w:val="0"/>
                <w:sz w:val="21"/>
                <w:szCs w:val="21"/>
                <w:u w:val="none"/>
                <w:lang w:val="en-US" w:eastAsia="zh-CN" w:bidi="ar"/>
              </w:rPr>
              <w:t>RS232</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w:t>
            </w:r>
            <w:r>
              <w:rPr>
                <w:rFonts w:hint="eastAsia" w:asciiTheme="minorEastAsia" w:hAnsiTheme="minorEastAsia" w:eastAsiaTheme="minorEastAsia" w:cstheme="minorEastAsia"/>
                <w:i w:val="0"/>
                <w:color w:val="000000"/>
                <w:kern w:val="0"/>
                <w:sz w:val="21"/>
                <w:szCs w:val="21"/>
                <w:u w:val="none"/>
                <w:lang w:val="en-US" w:eastAsia="zh-CN" w:bidi="ar"/>
              </w:rPr>
              <w:t>)</w:t>
            </w:r>
            <w:r>
              <w:rPr>
                <w:rStyle w:val="81"/>
                <w:rFonts w:hint="eastAsia" w:asciiTheme="minorEastAsia" w:hAnsiTheme="minorEastAsia" w:eastAsiaTheme="minorEastAsia" w:cstheme="minorEastAsia"/>
                <w:sz w:val="21"/>
                <w:szCs w:val="21"/>
                <w:lang w:val="en-US" w:eastAsia="zh-CN" w:bidi="ar"/>
              </w:rPr>
              <w:t>方式连接；主机与电脑之间也采用有线（</w:t>
            </w:r>
            <w:r>
              <w:rPr>
                <w:rFonts w:hint="eastAsia" w:asciiTheme="minorEastAsia" w:hAnsiTheme="minorEastAsia" w:eastAsiaTheme="minorEastAsia" w:cstheme="minorEastAsia"/>
                <w:i w:val="0"/>
                <w:color w:val="000000"/>
                <w:kern w:val="0"/>
                <w:sz w:val="21"/>
                <w:szCs w:val="21"/>
                <w:u w:val="none"/>
                <w:lang w:val="en-US" w:eastAsia="zh-CN" w:bidi="ar"/>
              </w:rPr>
              <w:t>USB</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组网）通讯方式传输测试数据（双向无线，避免冗长连接线，便于移动测试）。★主机内可储存</w:t>
            </w:r>
            <w:r>
              <w:rPr>
                <w:rFonts w:hint="eastAsia" w:asciiTheme="minorEastAsia" w:hAnsiTheme="minorEastAsia" w:eastAsiaTheme="minorEastAsia" w:cstheme="minorEastAsia"/>
                <w:i w:val="0"/>
                <w:color w:val="000000"/>
                <w:kern w:val="0"/>
                <w:sz w:val="21"/>
                <w:szCs w:val="21"/>
                <w:u w:val="none"/>
                <w:lang w:val="en-US" w:eastAsia="zh-CN" w:bidi="ar"/>
              </w:rPr>
              <w:t>65000</w:t>
            </w:r>
            <w:r>
              <w:rPr>
                <w:rStyle w:val="81"/>
                <w:rFonts w:hint="eastAsia" w:asciiTheme="minorEastAsia" w:hAnsiTheme="minorEastAsia" w:eastAsiaTheme="minorEastAsia" w:cstheme="minorEastAsia"/>
                <w:sz w:val="21"/>
                <w:szCs w:val="21"/>
                <w:lang w:val="en-US" w:eastAsia="zh-CN" w:bidi="ar"/>
              </w:rPr>
              <w:t>条测试数据；★主机内置多种测试项目程序，测试项目可任意切换；主机可根据测试项目设置测试人数、测试次数；主机内置大容量可充电锂电池，可独立工作</w:t>
            </w:r>
            <w:r>
              <w:rPr>
                <w:rFonts w:hint="eastAsia" w:asciiTheme="minorEastAsia" w:hAnsiTheme="minorEastAsia" w:eastAsiaTheme="minorEastAsia" w:cstheme="minorEastAsia"/>
                <w:i w:val="0"/>
                <w:color w:val="000000"/>
                <w:kern w:val="0"/>
                <w:sz w:val="21"/>
                <w:szCs w:val="21"/>
                <w:u w:val="none"/>
                <w:lang w:val="en-US" w:eastAsia="zh-CN" w:bidi="ar"/>
              </w:rPr>
              <w:t>1</w:t>
            </w:r>
            <w:r>
              <w:rPr>
                <w:rStyle w:val="81"/>
                <w:rFonts w:hint="eastAsia" w:asciiTheme="minorEastAsia" w:hAnsiTheme="minorEastAsia" w:eastAsiaTheme="minorEastAsia" w:cstheme="minorEastAsia"/>
                <w:sz w:val="21"/>
                <w:szCs w:val="21"/>
                <w:lang w:val="en-US" w:eastAsia="zh-CN" w:bidi="ar"/>
              </w:rPr>
              <w:t>个工作日以上，在停电时不影响测试。</w:t>
            </w:r>
            <w:r>
              <w:rPr>
                <w:rStyle w:val="80"/>
                <w:rFonts w:hint="eastAsia" w:asciiTheme="minorEastAsia" w:hAnsiTheme="minorEastAsia" w:eastAsiaTheme="minorEastAsia" w:cstheme="minorEastAsia"/>
                <w:sz w:val="21"/>
                <w:szCs w:val="21"/>
                <w:lang w:val="en-US" w:eastAsia="zh-CN" w:bidi="ar"/>
              </w:rPr>
              <w:t>可靠性高、耐疲劳、寿命长，适应频繁、大量人群集中测试。根据《</w:t>
            </w:r>
            <w:r>
              <w:rPr>
                <w:rFonts w:hint="eastAsia" w:asciiTheme="minorEastAsia" w:hAnsiTheme="minorEastAsia" w:eastAsiaTheme="minorEastAsia" w:cstheme="minorEastAsia"/>
                <w:i w:val="0"/>
                <w:color w:val="000000"/>
                <w:kern w:val="0"/>
                <w:sz w:val="21"/>
                <w:szCs w:val="21"/>
                <w:u w:val="none"/>
                <w:lang w:val="en-US" w:eastAsia="zh-CN" w:bidi="ar"/>
              </w:rPr>
              <w:t>GB/T19851.122005</w:t>
            </w:r>
            <w:r>
              <w:rPr>
                <w:rStyle w:val="80"/>
                <w:rFonts w:hint="eastAsia" w:asciiTheme="minorEastAsia" w:hAnsiTheme="minorEastAsia" w:eastAsiaTheme="minorEastAsia" w:cstheme="minorEastAsia"/>
                <w:sz w:val="21"/>
                <w:szCs w:val="21"/>
                <w:lang w:val="en-US" w:eastAsia="zh-CN" w:bidi="ar"/>
              </w:rPr>
              <w:t xml:space="preserve">》中小学体育器材和场地国标设计。主要技术参数  测量范围：0～999次     分度值：1次  测量精度：±1次  </w:t>
            </w:r>
          </w:p>
        </w:tc>
        <w:tc>
          <w:tcPr>
            <w:tcW w:w="2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p>
        </w:tc>
        <w:tc>
          <w:tcPr>
            <w:tcW w:w="700"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588" w:hRule="atLeast"/>
        </w:trPr>
        <w:tc>
          <w:tcPr>
            <w:tcW w:w="450"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7</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 xml:space="preserve">   50米跑测试仪</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numPr>
                <w:ilvl w:val="0"/>
                <w:numId w:val="4"/>
              </w:numPr>
              <w:suppressLineNumbers w:val="0"/>
              <w:jc w:val="both"/>
              <w:textAlignment w:val="center"/>
              <w:rPr>
                <w:rStyle w:val="80"/>
                <w:rFonts w:hint="eastAsia" w:asciiTheme="minorEastAsia" w:hAnsiTheme="minorEastAsia" w:eastAsiaTheme="minorEastAsia" w:cstheme="minorEastAsia"/>
                <w:sz w:val="21"/>
                <w:szCs w:val="21"/>
                <w:lang w:val="en-US" w:eastAsia="zh-CN" w:bidi="ar"/>
              </w:rPr>
            </w:pPr>
            <w:r>
              <w:rPr>
                <w:rFonts w:hint="eastAsia" w:asciiTheme="minorEastAsia" w:hAnsiTheme="minorEastAsia" w:eastAsiaTheme="minorEastAsia" w:cstheme="minorEastAsia"/>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2745740</wp:posOffset>
                  </wp:positionH>
                  <wp:positionV relativeFrom="paragraph">
                    <wp:posOffset>2101850</wp:posOffset>
                  </wp:positionV>
                  <wp:extent cx="1539240" cy="1097280"/>
                  <wp:effectExtent l="0" t="0" r="0" b="0"/>
                  <wp:wrapNone/>
                  <wp:docPr id="14" name="图片_13"/>
                  <wp:cNvGraphicFramePr/>
                  <a:graphic xmlns:a="http://schemas.openxmlformats.org/drawingml/2006/main">
                    <a:graphicData uri="http://schemas.openxmlformats.org/drawingml/2006/picture">
                      <pic:pic xmlns:pic="http://schemas.openxmlformats.org/drawingml/2006/picture">
                        <pic:nvPicPr>
                          <pic:cNvPr id="14" name="图片_13"/>
                          <pic:cNvPicPr/>
                        </pic:nvPicPr>
                        <pic:blipFill>
                          <a:blip r:embed="rId21"/>
                          <a:stretch>
                            <a:fillRect/>
                          </a:stretch>
                        </pic:blipFill>
                        <pic:spPr>
                          <a:xfrm>
                            <a:off x="0" y="0"/>
                            <a:ext cx="1539240" cy="1097280"/>
                          </a:xfrm>
                          <a:prstGeom prst="rect">
                            <a:avLst/>
                          </a:prstGeom>
                          <a:noFill/>
                          <a:ln>
                            <a:noFill/>
                          </a:ln>
                        </pic:spPr>
                      </pic:pic>
                    </a:graphicData>
                  </a:graphic>
                </wp:anchor>
              </w:drawing>
            </w:r>
            <w:r>
              <w:rPr>
                <w:rStyle w:val="80"/>
                <w:rFonts w:hint="eastAsia" w:asciiTheme="minorEastAsia" w:hAnsiTheme="minorEastAsia" w:eastAsiaTheme="minorEastAsia" w:cstheme="minorEastAsia"/>
                <w:sz w:val="21"/>
                <w:szCs w:val="21"/>
                <w:lang w:val="en-US" w:eastAsia="zh-CN" w:bidi="ar"/>
              </w:rPr>
              <w:t>自动测量50米跑的时间,测试受试者速度，反应速度、灵敏素质及神经系统灵活性的发展水平。主机具有抢跑重置功能，无需重新录入测试者信息可扩展测试100米、150米、200米、400米跑等项目。标准型标配是4人，最多可同时进行8人测试。</w:t>
            </w:r>
            <w:r>
              <w:rPr>
                <w:rStyle w:val="81"/>
                <w:rFonts w:hint="eastAsia" w:asciiTheme="minorEastAsia" w:hAnsiTheme="minorEastAsia" w:eastAsiaTheme="minorEastAsia" w:cstheme="minorEastAsia"/>
                <w:sz w:val="21"/>
                <w:szCs w:val="21"/>
                <w:lang w:val="en-US" w:eastAsia="zh-CN" w:bidi="ar"/>
              </w:rPr>
              <w:t>★3.5吋真彩</w:t>
            </w:r>
            <w:r>
              <w:rPr>
                <w:rFonts w:hint="eastAsia" w:asciiTheme="minorEastAsia" w:hAnsiTheme="minorEastAsia" w:eastAsiaTheme="minorEastAsia" w:cstheme="minorEastAsia"/>
                <w:i w:val="0"/>
                <w:color w:val="000000"/>
                <w:kern w:val="0"/>
                <w:sz w:val="21"/>
                <w:szCs w:val="21"/>
                <w:u w:val="none"/>
                <w:lang w:val="en-US" w:eastAsia="zh-CN" w:bidi="ar"/>
              </w:rPr>
              <w:t xml:space="preserve">TFT </w:t>
            </w:r>
            <w:r>
              <w:rPr>
                <w:rStyle w:val="81"/>
                <w:rFonts w:hint="eastAsia" w:asciiTheme="minorEastAsia" w:hAnsiTheme="minorEastAsia" w:eastAsiaTheme="minorEastAsia" w:cstheme="minorEastAsia"/>
                <w:sz w:val="21"/>
                <w:szCs w:val="21"/>
                <w:lang w:val="en-US" w:eastAsia="zh-CN" w:bidi="ar"/>
              </w:rPr>
              <w:t>LCD液晶显示屏，触摸式电容感应按键，寿命可达</w:t>
            </w:r>
            <w:r>
              <w:rPr>
                <w:rFonts w:hint="eastAsia" w:asciiTheme="minorEastAsia" w:hAnsiTheme="minorEastAsia" w:eastAsiaTheme="minorEastAsia" w:cstheme="minorEastAsia"/>
                <w:i w:val="0"/>
                <w:color w:val="000000"/>
                <w:kern w:val="0"/>
                <w:sz w:val="21"/>
                <w:szCs w:val="21"/>
                <w:u w:val="none"/>
                <w:lang w:val="en-US" w:eastAsia="zh-CN" w:bidi="ar"/>
              </w:rPr>
              <w:t>100</w:t>
            </w:r>
            <w:r>
              <w:rPr>
                <w:rStyle w:val="81"/>
                <w:rFonts w:hint="eastAsia" w:asciiTheme="minorEastAsia" w:hAnsiTheme="minorEastAsia" w:eastAsiaTheme="minorEastAsia" w:cstheme="minorEastAsia"/>
                <w:sz w:val="21"/>
                <w:szCs w:val="21"/>
                <w:lang w:val="en-US" w:eastAsia="zh-CN" w:bidi="ar"/>
              </w:rPr>
              <w:t>万次以上；输入学号具备自动递增功能，可增加非接触式刷卡和激光条形码扫描功能。</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中文显示界面，测试步骤中文提示功能，测试成绩与单机同步显示；</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背光延时或设置，语音提示、蜂鸣器提示、语音成绩播报功能。★主机与单机可采用有线（</w:t>
            </w:r>
            <w:r>
              <w:rPr>
                <w:rFonts w:hint="eastAsia" w:asciiTheme="minorEastAsia" w:hAnsiTheme="minorEastAsia" w:eastAsiaTheme="minorEastAsia" w:cstheme="minorEastAsia"/>
                <w:i w:val="0"/>
                <w:color w:val="000000"/>
                <w:kern w:val="0"/>
                <w:sz w:val="21"/>
                <w:szCs w:val="21"/>
                <w:u w:val="none"/>
                <w:lang w:val="en-US" w:eastAsia="zh-CN" w:bidi="ar"/>
              </w:rPr>
              <w:t>RS232</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w:t>
            </w:r>
            <w:r>
              <w:rPr>
                <w:rFonts w:hint="eastAsia" w:asciiTheme="minorEastAsia" w:hAnsiTheme="minorEastAsia" w:eastAsiaTheme="minorEastAsia" w:cstheme="minorEastAsia"/>
                <w:i w:val="0"/>
                <w:color w:val="000000"/>
                <w:kern w:val="0"/>
                <w:sz w:val="21"/>
                <w:szCs w:val="21"/>
                <w:u w:val="none"/>
                <w:lang w:val="en-US" w:eastAsia="zh-CN" w:bidi="ar"/>
              </w:rPr>
              <w:t>)</w:t>
            </w:r>
            <w:r>
              <w:rPr>
                <w:rStyle w:val="81"/>
                <w:rFonts w:hint="eastAsia" w:asciiTheme="minorEastAsia" w:hAnsiTheme="minorEastAsia" w:eastAsiaTheme="minorEastAsia" w:cstheme="minorEastAsia"/>
                <w:sz w:val="21"/>
                <w:szCs w:val="21"/>
                <w:lang w:val="en-US" w:eastAsia="zh-CN" w:bidi="ar"/>
              </w:rPr>
              <w:t>方式连接；主机与电脑之间也采用有线（</w:t>
            </w:r>
            <w:r>
              <w:rPr>
                <w:rFonts w:hint="eastAsia" w:asciiTheme="minorEastAsia" w:hAnsiTheme="minorEastAsia" w:eastAsiaTheme="minorEastAsia" w:cstheme="minorEastAsia"/>
                <w:i w:val="0"/>
                <w:color w:val="000000"/>
                <w:kern w:val="0"/>
                <w:sz w:val="21"/>
                <w:szCs w:val="21"/>
                <w:u w:val="none"/>
                <w:lang w:val="en-US" w:eastAsia="zh-CN" w:bidi="ar"/>
              </w:rPr>
              <w:t>USB</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组网）通讯方式传输测试数据（双向无线，避免冗长连接线，便于移动测试）。★主机内可储存</w:t>
            </w:r>
            <w:r>
              <w:rPr>
                <w:rFonts w:hint="eastAsia" w:asciiTheme="minorEastAsia" w:hAnsiTheme="minorEastAsia" w:eastAsiaTheme="minorEastAsia" w:cstheme="minorEastAsia"/>
                <w:i w:val="0"/>
                <w:color w:val="000000"/>
                <w:kern w:val="0"/>
                <w:sz w:val="21"/>
                <w:szCs w:val="21"/>
                <w:u w:val="none"/>
                <w:lang w:val="en-US" w:eastAsia="zh-CN" w:bidi="ar"/>
              </w:rPr>
              <w:t>65000</w:t>
            </w:r>
            <w:r>
              <w:rPr>
                <w:rStyle w:val="81"/>
                <w:rFonts w:hint="eastAsia" w:asciiTheme="minorEastAsia" w:hAnsiTheme="minorEastAsia" w:eastAsiaTheme="minorEastAsia" w:cstheme="minorEastAsia"/>
                <w:sz w:val="21"/>
                <w:szCs w:val="21"/>
                <w:lang w:val="en-US" w:eastAsia="zh-CN" w:bidi="ar"/>
              </w:rPr>
              <w:t>条测试数据；★主机内置多种测试项目程序，测试项目可任意切换；主机可根据测试项目设置测试人数、测试次数；主机内置大容量可充电锂电池，可独立工作</w:t>
            </w:r>
            <w:r>
              <w:rPr>
                <w:rFonts w:hint="eastAsia" w:asciiTheme="minorEastAsia" w:hAnsiTheme="minorEastAsia" w:eastAsiaTheme="minorEastAsia" w:cstheme="minorEastAsia"/>
                <w:i w:val="0"/>
                <w:color w:val="000000"/>
                <w:kern w:val="0"/>
                <w:sz w:val="21"/>
                <w:szCs w:val="21"/>
                <w:u w:val="none"/>
                <w:lang w:val="en-US" w:eastAsia="zh-CN" w:bidi="ar"/>
              </w:rPr>
              <w:t>1</w:t>
            </w:r>
            <w:r>
              <w:rPr>
                <w:rStyle w:val="81"/>
                <w:rFonts w:hint="eastAsia" w:asciiTheme="minorEastAsia" w:hAnsiTheme="minorEastAsia" w:eastAsiaTheme="minorEastAsia" w:cstheme="minorEastAsia"/>
                <w:sz w:val="21"/>
                <w:szCs w:val="21"/>
                <w:lang w:val="en-US" w:eastAsia="zh-CN" w:bidi="ar"/>
              </w:rPr>
              <w:t>个工作日以上，在停电时不影响测试。</w:t>
            </w:r>
            <w:r>
              <w:rPr>
                <w:rStyle w:val="80"/>
                <w:rFonts w:hint="eastAsia" w:asciiTheme="minorEastAsia" w:hAnsiTheme="minorEastAsia" w:eastAsiaTheme="minorEastAsia" w:cstheme="minorEastAsia"/>
                <w:sz w:val="21"/>
                <w:szCs w:val="21"/>
                <w:lang w:val="en-US" w:eastAsia="zh-CN" w:bidi="ar"/>
              </w:rPr>
              <w:t>可靠性高、耐疲劳、寿命长，适应频繁、大量人群集中测试。根据《</w:t>
            </w:r>
            <w:r>
              <w:rPr>
                <w:rFonts w:hint="eastAsia" w:asciiTheme="minorEastAsia" w:hAnsiTheme="minorEastAsia" w:eastAsiaTheme="minorEastAsia" w:cstheme="minorEastAsia"/>
                <w:i w:val="0"/>
                <w:color w:val="000000"/>
                <w:kern w:val="0"/>
                <w:sz w:val="21"/>
                <w:szCs w:val="21"/>
                <w:u w:val="none"/>
                <w:lang w:val="en-US" w:eastAsia="zh-CN" w:bidi="ar"/>
              </w:rPr>
              <w:t>GB/T19851.122005</w:t>
            </w:r>
            <w:r>
              <w:rPr>
                <w:rStyle w:val="80"/>
                <w:rFonts w:hint="eastAsia" w:asciiTheme="minorEastAsia" w:hAnsiTheme="minorEastAsia" w:eastAsiaTheme="minorEastAsia" w:cstheme="minorEastAsia"/>
                <w:sz w:val="21"/>
                <w:szCs w:val="21"/>
                <w:lang w:val="en-US" w:eastAsia="zh-CN" w:bidi="ar"/>
              </w:rPr>
              <w:t>》中小学体育器材和场地国标设计。主要技术参数：    　</w:t>
            </w:r>
          </w:p>
          <w:p>
            <w:pPr>
              <w:keepNext w:val="0"/>
              <w:keepLines w:val="0"/>
              <w:widowControl/>
              <w:numPr>
                <w:ilvl w:val="0"/>
                <w:numId w:val="0"/>
              </w:numPr>
              <w:suppressLineNumbers w:val="0"/>
              <w:jc w:val="both"/>
              <w:textAlignment w:val="center"/>
              <w:rPr>
                <w:rFonts w:hint="eastAsia" w:asciiTheme="minorEastAsia" w:hAnsiTheme="minorEastAsia" w:eastAsiaTheme="minorEastAsia" w:cstheme="minorEastAsia"/>
                <w:i w:val="0"/>
                <w:color w:val="000000"/>
                <w:sz w:val="21"/>
                <w:szCs w:val="21"/>
                <w:u w:val="none"/>
              </w:rPr>
            </w:pPr>
            <w:r>
              <w:rPr>
                <w:rStyle w:val="80"/>
                <w:rFonts w:hint="eastAsia" w:asciiTheme="minorEastAsia" w:hAnsiTheme="minorEastAsia" w:eastAsiaTheme="minorEastAsia" w:cstheme="minorEastAsia"/>
                <w:sz w:val="21"/>
                <w:szCs w:val="21"/>
                <w:lang w:val="en-US" w:eastAsia="zh-CN" w:bidi="ar"/>
              </w:rPr>
              <w:t>测量范围：0S～999.9S  　　　分度值：0.1s　　　误差：±1.5%</w:t>
            </w:r>
          </w:p>
        </w:tc>
        <w:tc>
          <w:tcPr>
            <w:tcW w:w="2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p>
        </w:tc>
        <w:tc>
          <w:tcPr>
            <w:tcW w:w="700"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3426" w:hRule="atLeast"/>
        </w:trPr>
        <w:tc>
          <w:tcPr>
            <w:tcW w:w="450" w:type="dxa"/>
            <w:tcBorders>
              <w:top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8</w:t>
            </w:r>
          </w:p>
        </w:tc>
        <w:tc>
          <w:tcPr>
            <w:tcW w:w="981"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中长跑测试仪（不含主机，电脑测试）</w:t>
            </w:r>
          </w:p>
        </w:tc>
        <w:tc>
          <w:tcPr>
            <w:tcW w:w="4424"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2794635</wp:posOffset>
                  </wp:positionH>
                  <wp:positionV relativeFrom="paragraph">
                    <wp:posOffset>3058795</wp:posOffset>
                  </wp:positionV>
                  <wp:extent cx="1615440" cy="1127760"/>
                  <wp:effectExtent l="0" t="0" r="0" b="0"/>
                  <wp:wrapNone/>
                  <wp:docPr id="15" name="图片_14"/>
                  <wp:cNvGraphicFramePr/>
                  <a:graphic xmlns:a="http://schemas.openxmlformats.org/drawingml/2006/main">
                    <a:graphicData uri="http://schemas.openxmlformats.org/drawingml/2006/picture">
                      <pic:pic xmlns:pic="http://schemas.openxmlformats.org/drawingml/2006/picture">
                        <pic:nvPicPr>
                          <pic:cNvPr id="15" name="图片_14"/>
                          <pic:cNvPicPr/>
                        </pic:nvPicPr>
                        <pic:blipFill>
                          <a:blip r:embed="rId22"/>
                          <a:stretch>
                            <a:fillRect/>
                          </a:stretch>
                        </pic:blipFill>
                        <pic:spPr>
                          <a:xfrm>
                            <a:off x="0" y="0"/>
                            <a:ext cx="1615440" cy="1127760"/>
                          </a:xfrm>
                          <a:prstGeom prst="rect">
                            <a:avLst/>
                          </a:prstGeom>
                          <a:noFill/>
                          <a:ln>
                            <a:noFill/>
                          </a:ln>
                        </pic:spPr>
                      </pic:pic>
                    </a:graphicData>
                  </a:graphic>
                </wp:anchor>
              </w:drawing>
            </w:r>
            <w:r>
              <w:rPr>
                <w:rStyle w:val="80"/>
                <w:rFonts w:hint="eastAsia" w:asciiTheme="minorEastAsia" w:hAnsiTheme="minorEastAsia" w:eastAsiaTheme="minorEastAsia" w:cstheme="minorEastAsia"/>
                <w:sz w:val="21"/>
                <w:szCs w:val="21"/>
                <w:lang w:val="en-US" w:eastAsia="zh-CN" w:bidi="ar"/>
              </w:rPr>
              <w:t>1. 自动测量800、1000米跑的时间，测试受试者耐力素质的发展水平和灵敏度，特别是心血管呼吸系统的机能及肌肉耐力；采</w:t>
            </w:r>
            <w:r>
              <w:rPr>
                <w:rFonts w:hint="eastAsia" w:asciiTheme="minorEastAsia" w:hAnsiTheme="minorEastAsia" w:eastAsiaTheme="minorEastAsia" w:cstheme="minorEastAsia"/>
                <w:b/>
                <w:i w:val="0"/>
                <w:color w:val="000000"/>
                <w:kern w:val="0"/>
                <w:sz w:val="21"/>
                <w:szCs w:val="21"/>
                <w:u w:val="none"/>
                <w:lang w:val="en-US" w:eastAsia="zh-CN" w:bidi="ar"/>
              </w:rPr>
              <w:t>用穿戴式带编号背心，内置无线计圈计时卡（含芯片电池，电池可以工作3~5年），标签塑封防摔抗震，接收器可以同时处理100个芯片（具体数量根据需求配置），测时误差0.01s，数据可靠无漏。终点采用5米长防水地毯，内置大功率感应线圈</w:t>
            </w:r>
            <w:r>
              <w:rPr>
                <w:rStyle w:val="80"/>
                <w:rFonts w:hint="eastAsia" w:asciiTheme="minorEastAsia" w:hAnsiTheme="minorEastAsia" w:eastAsiaTheme="minorEastAsia" w:cstheme="minorEastAsia"/>
                <w:sz w:val="21"/>
                <w:szCs w:val="21"/>
                <w:lang w:val="en-US" w:eastAsia="zh-CN" w:bidi="ar"/>
              </w:rPr>
              <w:t>。地毯为绿色环保无公害材质，地毯材质柔软，脚感舒适不影响测试成绩，可快速圈起便于收纳。</w:t>
            </w:r>
            <w:r>
              <w:rPr>
                <w:rFonts w:hint="eastAsia" w:asciiTheme="minorEastAsia" w:hAnsiTheme="minorEastAsia" w:eastAsiaTheme="minorEastAsia" w:cstheme="minorEastAsia"/>
                <w:b/>
                <w:i w:val="0"/>
                <w:color w:val="000000"/>
                <w:kern w:val="0"/>
                <w:sz w:val="21"/>
                <w:szCs w:val="21"/>
                <w:u w:val="none"/>
                <w:lang w:val="en-US" w:eastAsia="zh-CN" w:bidi="ar"/>
              </w:rPr>
              <w:t>主机可加配使用无线发令枪发令，具有抢跑重置功能，</w:t>
            </w:r>
            <w:r>
              <w:rPr>
                <w:rStyle w:val="80"/>
                <w:rFonts w:hint="eastAsia" w:asciiTheme="minorEastAsia" w:hAnsiTheme="minorEastAsia" w:eastAsiaTheme="minorEastAsia" w:cstheme="minorEastAsia"/>
                <w:sz w:val="21"/>
                <w:szCs w:val="21"/>
                <w:lang w:val="en-US" w:eastAsia="zh-CN" w:bidi="ar"/>
              </w:rPr>
              <w:t>无需重新录入测试者信息；可扩展测试1500、3000、5000米跑等项目；可根据跑道200、250、300、400米以及不标准跑道设置计圈；标准配置是20人同测，最多可同时进行100人测试，自动计时和自动记圈。</w:t>
            </w:r>
            <w:r>
              <w:rPr>
                <w:rStyle w:val="81"/>
                <w:rFonts w:hint="eastAsia" w:asciiTheme="minorEastAsia" w:hAnsiTheme="minorEastAsia" w:eastAsiaTheme="minorEastAsia" w:cstheme="minorEastAsia"/>
                <w:sz w:val="21"/>
                <w:szCs w:val="21"/>
                <w:lang w:val="en-US" w:eastAsia="zh-CN" w:bidi="ar"/>
              </w:rPr>
              <w:t>★3.5吋真彩</w:t>
            </w:r>
            <w:r>
              <w:rPr>
                <w:rFonts w:hint="eastAsia" w:asciiTheme="minorEastAsia" w:hAnsiTheme="minorEastAsia" w:eastAsiaTheme="minorEastAsia" w:cstheme="minorEastAsia"/>
                <w:i w:val="0"/>
                <w:color w:val="000000"/>
                <w:kern w:val="0"/>
                <w:sz w:val="21"/>
                <w:szCs w:val="21"/>
                <w:u w:val="none"/>
                <w:lang w:val="en-US" w:eastAsia="zh-CN" w:bidi="ar"/>
              </w:rPr>
              <w:t xml:space="preserve">TFT </w:t>
            </w:r>
            <w:r>
              <w:rPr>
                <w:rStyle w:val="81"/>
                <w:rFonts w:hint="eastAsia" w:asciiTheme="minorEastAsia" w:hAnsiTheme="minorEastAsia" w:eastAsiaTheme="minorEastAsia" w:cstheme="minorEastAsia"/>
                <w:sz w:val="21"/>
                <w:szCs w:val="21"/>
                <w:lang w:val="en-US" w:eastAsia="zh-CN" w:bidi="ar"/>
              </w:rPr>
              <w:t>LCD液晶显示屏，触摸式电容感应按键，寿命可达</w:t>
            </w:r>
            <w:r>
              <w:rPr>
                <w:rFonts w:hint="eastAsia" w:asciiTheme="minorEastAsia" w:hAnsiTheme="minorEastAsia" w:eastAsiaTheme="minorEastAsia" w:cstheme="minorEastAsia"/>
                <w:i w:val="0"/>
                <w:color w:val="000000"/>
                <w:kern w:val="0"/>
                <w:sz w:val="21"/>
                <w:szCs w:val="21"/>
                <w:u w:val="none"/>
                <w:lang w:val="en-US" w:eastAsia="zh-CN" w:bidi="ar"/>
              </w:rPr>
              <w:t>100</w:t>
            </w:r>
            <w:r>
              <w:rPr>
                <w:rStyle w:val="81"/>
                <w:rFonts w:hint="eastAsia" w:asciiTheme="minorEastAsia" w:hAnsiTheme="minorEastAsia" w:eastAsiaTheme="minorEastAsia" w:cstheme="minorEastAsia"/>
                <w:sz w:val="21"/>
                <w:szCs w:val="21"/>
                <w:lang w:val="en-US" w:eastAsia="zh-CN" w:bidi="ar"/>
              </w:rPr>
              <w:t>万次以上；输入学号具备自动递增功能，可增加非接触式刷卡和激光条形码扫描功能。</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中文显示界面，测试步骤中文提示功能，测试成绩与单机同步显示；</w:t>
            </w:r>
            <w:r>
              <w:rPr>
                <w:rFonts w:hint="eastAsia" w:asciiTheme="minorEastAsia" w:hAnsiTheme="minorEastAsia" w:eastAsiaTheme="minorEastAsia" w:cstheme="minorEastAsia"/>
                <w:i w:val="0"/>
                <w:color w:val="000000"/>
                <w:kern w:val="0"/>
                <w:sz w:val="21"/>
                <w:szCs w:val="21"/>
                <w:u w:val="none"/>
                <w:lang w:val="en-US" w:eastAsia="zh-CN" w:bidi="ar"/>
              </w:rPr>
              <w:t>LCD</w:t>
            </w:r>
            <w:r>
              <w:rPr>
                <w:rStyle w:val="81"/>
                <w:rFonts w:hint="eastAsia" w:asciiTheme="minorEastAsia" w:hAnsiTheme="minorEastAsia" w:eastAsiaTheme="minorEastAsia" w:cstheme="minorEastAsia"/>
                <w:sz w:val="21"/>
                <w:szCs w:val="21"/>
                <w:lang w:val="en-US" w:eastAsia="zh-CN" w:bidi="ar"/>
              </w:rPr>
              <w:t>背光延时或设置，语音提示、蜂鸣器提示、语音成绩播报功能。★主机与单机可采用有线（</w:t>
            </w:r>
            <w:r>
              <w:rPr>
                <w:rFonts w:hint="eastAsia" w:asciiTheme="minorEastAsia" w:hAnsiTheme="minorEastAsia" w:eastAsiaTheme="minorEastAsia" w:cstheme="minorEastAsia"/>
                <w:i w:val="0"/>
                <w:color w:val="000000"/>
                <w:kern w:val="0"/>
                <w:sz w:val="21"/>
                <w:szCs w:val="21"/>
                <w:u w:val="none"/>
                <w:lang w:val="en-US" w:eastAsia="zh-CN" w:bidi="ar"/>
              </w:rPr>
              <w:t>RS232</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w:t>
            </w:r>
            <w:r>
              <w:rPr>
                <w:rFonts w:hint="eastAsia" w:asciiTheme="minorEastAsia" w:hAnsiTheme="minorEastAsia" w:eastAsiaTheme="minorEastAsia" w:cstheme="minorEastAsia"/>
                <w:i w:val="0"/>
                <w:color w:val="000000"/>
                <w:kern w:val="0"/>
                <w:sz w:val="21"/>
                <w:szCs w:val="21"/>
                <w:u w:val="none"/>
                <w:lang w:val="en-US" w:eastAsia="zh-CN" w:bidi="ar"/>
              </w:rPr>
              <w:t>)</w:t>
            </w:r>
            <w:r>
              <w:rPr>
                <w:rStyle w:val="81"/>
                <w:rFonts w:hint="eastAsia" w:asciiTheme="minorEastAsia" w:hAnsiTheme="minorEastAsia" w:eastAsiaTheme="minorEastAsia" w:cstheme="minorEastAsia"/>
                <w:sz w:val="21"/>
                <w:szCs w:val="21"/>
                <w:lang w:val="en-US" w:eastAsia="zh-CN" w:bidi="ar"/>
              </w:rPr>
              <w:t>方式连接；主机与电脑之间也采用有线（</w:t>
            </w:r>
            <w:r>
              <w:rPr>
                <w:rFonts w:hint="eastAsia" w:asciiTheme="minorEastAsia" w:hAnsiTheme="minorEastAsia" w:eastAsiaTheme="minorEastAsia" w:cstheme="minorEastAsia"/>
                <w:i w:val="0"/>
                <w:color w:val="000000"/>
                <w:kern w:val="0"/>
                <w:sz w:val="21"/>
                <w:szCs w:val="21"/>
                <w:u w:val="none"/>
                <w:lang w:val="en-US" w:eastAsia="zh-CN" w:bidi="ar"/>
              </w:rPr>
              <w:t>USB</w:t>
            </w:r>
            <w:r>
              <w:rPr>
                <w:rStyle w:val="81"/>
                <w:rFonts w:hint="eastAsia" w:asciiTheme="minorEastAsia" w:hAnsiTheme="minorEastAsia" w:eastAsiaTheme="minorEastAsia" w:cstheme="minorEastAsia"/>
                <w:sz w:val="21"/>
                <w:szCs w:val="21"/>
                <w:lang w:val="en-US" w:eastAsia="zh-CN" w:bidi="ar"/>
              </w:rPr>
              <w:t>）或无线（</w:t>
            </w:r>
            <w:r>
              <w:rPr>
                <w:rFonts w:hint="eastAsia" w:asciiTheme="minorEastAsia" w:hAnsiTheme="minorEastAsia" w:eastAsiaTheme="minorEastAsia" w:cstheme="minorEastAsia"/>
                <w:i w:val="0"/>
                <w:color w:val="000000"/>
                <w:kern w:val="0"/>
                <w:sz w:val="21"/>
                <w:szCs w:val="21"/>
                <w:u w:val="none"/>
                <w:lang w:val="en-US" w:eastAsia="zh-CN" w:bidi="ar"/>
              </w:rPr>
              <w:t>2.4G-ANT</w:t>
            </w:r>
            <w:r>
              <w:rPr>
                <w:rStyle w:val="81"/>
                <w:rFonts w:hint="eastAsia" w:asciiTheme="minorEastAsia" w:hAnsiTheme="minorEastAsia" w:eastAsiaTheme="minorEastAsia" w:cstheme="minorEastAsia"/>
                <w:sz w:val="21"/>
                <w:szCs w:val="21"/>
                <w:lang w:val="en-US" w:eastAsia="zh-CN" w:bidi="ar"/>
              </w:rPr>
              <w:t>组网）通讯方式传输测试数据（双向无线，避免冗长连接线，便于移动测试）。★主机内可储存</w:t>
            </w:r>
            <w:r>
              <w:rPr>
                <w:rFonts w:hint="eastAsia" w:asciiTheme="minorEastAsia" w:hAnsiTheme="minorEastAsia" w:eastAsiaTheme="minorEastAsia" w:cstheme="minorEastAsia"/>
                <w:i w:val="0"/>
                <w:color w:val="000000"/>
                <w:kern w:val="0"/>
                <w:sz w:val="21"/>
                <w:szCs w:val="21"/>
                <w:u w:val="none"/>
                <w:lang w:val="en-US" w:eastAsia="zh-CN" w:bidi="ar"/>
              </w:rPr>
              <w:t>65000</w:t>
            </w:r>
            <w:r>
              <w:rPr>
                <w:rStyle w:val="81"/>
                <w:rFonts w:hint="eastAsia" w:asciiTheme="minorEastAsia" w:hAnsiTheme="minorEastAsia" w:eastAsiaTheme="minorEastAsia" w:cstheme="minorEastAsia"/>
                <w:sz w:val="21"/>
                <w:szCs w:val="21"/>
                <w:lang w:val="en-US" w:eastAsia="zh-CN" w:bidi="ar"/>
              </w:rPr>
              <w:t>条测试数据；★主机内置多种测试项目程序，测试项目可任意切换；主机可根据测试项目设置测试人数、测试次数；主机内置大容量可充电锂电池，可独立工作</w:t>
            </w:r>
            <w:r>
              <w:rPr>
                <w:rFonts w:hint="eastAsia" w:asciiTheme="minorEastAsia" w:hAnsiTheme="minorEastAsia" w:eastAsiaTheme="minorEastAsia" w:cstheme="minorEastAsia"/>
                <w:i w:val="0"/>
                <w:color w:val="000000"/>
                <w:kern w:val="0"/>
                <w:sz w:val="21"/>
                <w:szCs w:val="21"/>
                <w:u w:val="none"/>
                <w:lang w:val="en-US" w:eastAsia="zh-CN" w:bidi="ar"/>
              </w:rPr>
              <w:t>1</w:t>
            </w:r>
            <w:r>
              <w:rPr>
                <w:rStyle w:val="81"/>
                <w:rFonts w:hint="eastAsia" w:asciiTheme="minorEastAsia" w:hAnsiTheme="minorEastAsia" w:eastAsiaTheme="minorEastAsia" w:cstheme="minorEastAsia"/>
                <w:sz w:val="21"/>
                <w:szCs w:val="21"/>
                <w:lang w:val="en-US" w:eastAsia="zh-CN" w:bidi="ar"/>
              </w:rPr>
              <w:t>个工作日以上，在停电时不影响测试。</w:t>
            </w:r>
            <w:r>
              <w:rPr>
                <w:rStyle w:val="80"/>
                <w:rFonts w:hint="eastAsia" w:asciiTheme="minorEastAsia" w:hAnsiTheme="minorEastAsia" w:eastAsiaTheme="minorEastAsia" w:cstheme="minorEastAsia"/>
                <w:sz w:val="21"/>
                <w:szCs w:val="21"/>
                <w:lang w:val="en-US" w:eastAsia="zh-CN" w:bidi="ar"/>
              </w:rPr>
              <w:t>可靠性高、耐疲劳、寿命长，适应频繁、大量人群集中测试。根据《</w:t>
            </w:r>
            <w:r>
              <w:rPr>
                <w:rFonts w:hint="eastAsia" w:asciiTheme="minorEastAsia" w:hAnsiTheme="minorEastAsia" w:eastAsiaTheme="minorEastAsia" w:cstheme="minorEastAsia"/>
                <w:i w:val="0"/>
                <w:color w:val="000000"/>
                <w:kern w:val="0"/>
                <w:sz w:val="21"/>
                <w:szCs w:val="21"/>
                <w:u w:val="none"/>
                <w:lang w:val="en-US" w:eastAsia="zh-CN" w:bidi="ar"/>
              </w:rPr>
              <w:t>GB/T19851.122005</w:t>
            </w:r>
            <w:r>
              <w:rPr>
                <w:rStyle w:val="80"/>
                <w:rFonts w:hint="eastAsia" w:asciiTheme="minorEastAsia" w:hAnsiTheme="minorEastAsia" w:eastAsiaTheme="minorEastAsia" w:cstheme="minorEastAsia"/>
                <w:sz w:val="21"/>
                <w:szCs w:val="21"/>
                <w:lang w:val="en-US" w:eastAsia="zh-CN" w:bidi="ar"/>
              </w:rPr>
              <w:t xml:space="preserve">》中小学体育器材和场地国标设计。主要技术参数：　　　测量范围：0～9999.99S   分度值：0.01s        误差：0s </w:t>
            </w:r>
          </w:p>
        </w:tc>
        <w:tc>
          <w:tcPr>
            <w:tcW w:w="2422"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46990</wp:posOffset>
                  </wp:positionH>
                  <wp:positionV relativeFrom="paragraph">
                    <wp:posOffset>198120</wp:posOffset>
                  </wp:positionV>
                  <wp:extent cx="1471930" cy="1271270"/>
                  <wp:effectExtent l="0" t="0" r="6350" b="8890"/>
                  <wp:wrapNone/>
                  <wp:docPr id="16" name="图片_15"/>
                  <wp:cNvGraphicFramePr/>
                  <a:graphic xmlns:a="http://schemas.openxmlformats.org/drawingml/2006/main">
                    <a:graphicData uri="http://schemas.openxmlformats.org/drawingml/2006/picture">
                      <pic:pic xmlns:pic="http://schemas.openxmlformats.org/drawingml/2006/picture">
                        <pic:nvPicPr>
                          <pic:cNvPr id="16" name="图片_15"/>
                          <pic:cNvPicPr/>
                        </pic:nvPicPr>
                        <pic:blipFill>
                          <a:blip r:embed="rId23"/>
                          <a:stretch>
                            <a:fillRect/>
                          </a:stretch>
                        </pic:blipFill>
                        <pic:spPr>
                          <a:xfrm>
                            <a:off x="0" y="0"/>
                            <a:ext cx="1471930" cy="1271270"/>
                          </a:xfrm>
                          <a:prstGeom prst="rect">
                            <a:avLst/>
                          </a:prstGeom>
                          <a:noFill/>
                          <a:ln>
                            <a:noFill/>
                          </a:ln>
                        </pic:spPr>
                      </pic:pic>
                    </a:graphicData>
                  </a:graphic>
                </wp:anchor>
              </w:drawing>
            </w:r>
          </w:p>
        </w:tc>
        <w:tc>
          <w:tcPr>
            <w:tcW w:w="700" w:type="dxa"/>
            <w:tcBorders>
              <w:top w:val="single" w:color="000000" w:sz="4" w:space="0"/>
              <w:lef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bl>
    <w:p/>
    <w:p/>
    <w:p/>
    <w:p>
      <w:pPr>
        <w:jc w:val="center"/>
      </w:pPr>
      <w:r>
        <w:rPr>
          <w:rFonts w:hint="eastAsia" w:ascii="宋体" w:hAnsi="宋体" w:eastAsia="宋体" w:cs="宋体"/>
          <w:b/>
          <w:i w:val="0"/>
          <w:color w:val="000000"/>
          <w:kern w:val="0"/>
          <w:sz w:val="36"/>
          <w:szCs w:val="36"/>
          <w:u w:val="none"/>
          <w:lang w:val="en-US" w:eastAsia="zh-CN" w:bidi="ar"/>
        </w:rPr>
        <w:t>小学心理咨询室专用设备配置规格及参数</w:t>
      </w:r>
    </w:p>
    <w:tbl>
      <w:tblPr>
        <w:tblStyle w:val="25"/>
        <w:tblW w:w="9616" w:type="dxa"/>
        <w:tblInd w:w="0" w:type="dxa"/>
        <w:shd w:val="clear" w:color="auto" w:fill="auto"/>
        <w:tblLayout w:type="autofit"/>
        <w:tblCellMar>
          <w:top w:w="0" w:type="dxa"/>
          <w:left w:w="0" w:type="dxa"/>
          <w:bottom w:w="0" w:type="dxa"/>
          <w:right w:w="0" w:type="dxa"/>
        </w:tblCellMar>
      </w:tblPr>
      <w:tblGrid>
        <w:gridCol w:w="1350"/>
        <w:gridCol w:w="944"/>
        <w:gridCol w:w="1242"/>
        <w:gridCol w:w="5093"/>
        <w:gridCol w:w="510"/>
        <w:gridCol w:w="477"/>
      </w:tblGrid>
      <w:tr>
        <w:tblPrEx>
          <w:shd w:val="clear" w:color="auto" w:fill="auto"/>
          <w:tblCellMar>
            <w:top w:w="0" w:type="dxa"/>
            <w:left w:w="0" w:type="dxa"/>
            <w:bottom w:w="0" w:type="dxa"/>
            <w:right w:w="0" w:type="dxa"/>
          </w:tblCellMar>
        </w:tblPrEx>
        <w:trPr>
          <w:trHeight w:val="479"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参考图片</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产品分类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产品名称</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产 品 参 数</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数量</w:t>
            </w:r>
          </w:p>
        </w:tc>
      </w:tr>
      <w:tr>
        <w:tblPrEx>
          <w:shd w:val="clear" w:color="auto" w:fill="auto"/>
          <w:tblCellMar>
            <w:top w:w="0" w:type="dxa"/>
            <w:left w:w="0" w:type="dxa"/>
            <w:bottom w:w="0" w:type="dxa"/>
            <w:right w:w="0" w:type="dxa"/>
          </w:tblCellMar>
        </w:tblPrEx>
        <w:trPr>
          <w:trHeight w:val="3394" w:hRule="atLeast"/>
        </w:trPr>
        <w:tc>
          <w:tcPr>
            <w:tcW w:w="1350" w:type="dxa"/>
            <w:vMerge w:val="restart"/>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-201930</wp:posOffset>
                  </wp:positionH>
                  <wp:positionV relativeFrom="paragraph">
                    <wp:posOffset>6483985</wp:posOffset>
                  </wp:positionV>
                  <wp:extent cx="1119505" cy="670560"/>
                  <wp:effectExtent l="0" t="0" r="8255" b="0"/>
                  <wp:wrapNone/>
                  <wp:docPr id="28" name="图片_2"/>
                  <wp:cNvGraphicFramePr/>
                  <a:graphic xmlns:a="http://schemas.openxmlformats.org/drawingml/2006/main">
                    <a:graphicData uri="http://schemas.openxmlformats.org/drawingml/2006/picture">
                      <pic:pic xmlns:pic="http://schemas.openxmlformats.org/drawingml/2006/picture">
                        <pic:nvPicPr>
                          <pic:cNvPr id="28" name="图片_2"/>
                          <pic:cNvPicPr/>
                        </pic:nvPicPr>
                        <pic:blipFill>
                          <a:blip r:embed="rId24"/>
                          <a:stretch>
                            <a:fillRect/>
                          </a:stretch>
                        </pic:blipFill>
                        <pic:spPr>
                          <a:xfrm>
                            <a:off x="0" y="0"/>
                            <a:ext cx="1119505" cy="670560"/>
                          </a:xfrm>
                          <a:prstGeom prst="rect">
                            <a:avLst/>
                          </a:prstGeom>
                          <a:noFill/>
                          <a:ln>
                            <a:noFill/>
                          </a:ln>
                        </pic:spPr>
                      </pic:pic>
                    </a:graphicData>
                  </a:graphic>
                </wp:anchor>
              </w:drawing>
            </w: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-201930</wp:posOffset>
                  </wp:positionH>
                  <wp:positionV relativeFrom="paragraph">
                    <wp:posOffset>4858385</wp:posOffset>
                  </wp:positionV>
                  <wp:extent cx="1073785" cy="556260"/>
                  <wp:effectExtent l="0" t="0" r="8255" b="7620"/>
                  <wp:wrapNone/>
                  <wp:docPr id="29" name="图片_8"/>
                  <wp:cNvGraphicFramePr/>
                  <a:graphic xmlns:a="http://schemas.openxmlformats.org/drawingml/2006/main">
                    <a:graphicData uri="http://schemas.openxmlformats.org/drawingml/2006/picture">
                      <pic:pic xmlns:pic="http://schemas.openxmlformats.org/drawingml/2006/picture">
                        <pic:nvPicPr>
                          <pic:cNvPr id="29" name="图片_8"/>
                          <pic:cNvPicPr/>
                        </pic:nvPicPr>
                        <pic:blipFill>
                          <a:blip r:embed="rId25"/>
                          <a:stretch>
                            <a:fillRect/>
                          </a:stretch>
                        </pic:blipFill>
                        <pic:spPr>
                          <a:xfrm>
                            <a:off x="0" y="0"/>
                            <a:ext cx="1073785" cy="556260"/>
                          </a:xfrm>
                          <a:prstGeom prst="rect">
                            <a:avLst/>
                          </a:prstGeom>
                          <a:noFill/>
                          <a:ln>
                            <a:noFill/>
                          </a:ln>
                        </pic:spPr>
                      </pic:pic>
                    </a:graphicData>
                  </a:graphic>
                </wp:anchor>
              </w:drawing>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b w:val="0"/>
                <w:bCs w:val="0"/>
                <w:i w:val="0"/>
                <w:color w:val="000000"/>
                <w:kern w:val="0"/>
                <w:sz w:val="21"/>
                <w:szCs w:val="21"/>
                <w:u w:val="none"/>
                <w:lang w:val="en-US" w:eastAsia="zh-CN" w:bidi="ar"/>
              </w:rPr>
              <w:t>★</w:t>
            </w:r>
            <w:r>
              <w:rPr>
                <w:rFonts w:hint="eastAsia" w:ascii="宋体" w:hAnsi="宋体" w:eastAsia="宋体" w:cs="宋体"/>
                <w:i w:val="0"/>
                <w:color w:val="000000"/>
                <w:kern w:val="0"/>
                <w:sz w:val="24"/>
                <w:szCs w:val="24"/>
                <w:u w:val="none"/>
                <w:lang w:val="en-US" w:eastAsia="zh-CN" w:bidi="ar"/>
              </w:rPr>
              <w:t>计算机</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1.商用台式机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2. CPU：≥Inteli3-6100（3.7GHz）；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3.主板：H110 或更高规格的intel芯片组"</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4.内存：≥4GB DDR3 1600；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5.硬盘：≥1TB，SATA3接口，7200rpm；"</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6. 显卡：集成显卡；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 网卡：集成10/100/1000MB自适应网卡；"</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8. 声卡：集成5.1声道声卡；  9. 电源功率：≤220W ；                                                                             10. 整机噪音：声压指标不高于11.5分贝；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11.显示器：≥19英寸低蓝光显示器；"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12.键鼠：主机同品牌USB光电鼠标、防水键盘；</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942" w:hRule="atLeast"/>
        </w:trPr>
        <w:tc>
          <w:tcPr>
            <w:tcW w:w="135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办公桌椅</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心理教师办公用，1400*700*760mm基材采高密度环保纤维板，漆面光泽度高、硬度达H级，椅子框架采用一次性成型不锈钢材料，优质超纤皮。透气性强，柔软而富有弹性，厚度适中。</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329" w:hRule="atLeast"/>
        </w:trPr>
        <w:tc>
          <w:tcPr>
            <w:tcW w:w="135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无声挂钟</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控制咨询时间， 圆形，扫秒机芯，12寸</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35" w:hRule="atLeast"/>
        </w:trPr>
        <w:tc>
          <w:tcPr>
            <w:tcW w:w="135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文件柜</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材质：选用优质冷轧钢钢板，表面颜色为灰色，基层：采用静电粉末喷塑，无有机溶液，环保无污染，规格：1800*850*400mm</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329" w:hRule="atLeast"/>
        </w:trPr>
        <w:tc>
          <w:tcPr>
            <w:tcW w:w="135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饮水机</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冷热两用</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942" w:hRule="atLeast"/>
        </w:trPr>
        <w:tc>
          <w:tcPr>
            <w:tcW w:w="135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高档布艺沙发</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木质材质: 松木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 面料: 棉，北欧风格；三人位2.18米；填充物: 独立弹簧包； 沙发组合形式: L形；可拆洗；</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357" w:hRule="atLeast"/>
        </w:trPr>
        <w:tc>
          <w:tcPr>
            <w:tcW w:w="135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茶几+两把椅子</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摆放物品,用于心理咨询。</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90" w:hRule="atLeast"/>
        </w:trPr>
        <w:tc>
          <w:tcPr>
            <w:tcW w:w="135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b w:val="0"/>
                <w:bCs w:val="0"/>
                <w:i w:val="0"/>
                <w:color w:val="000000"/>
                <w:kern w:val="0"/>
                <w:sz w:val="21"/>
                <w:szCs w:val="21"/>
                <w:u w:val="none"/>
                <w:lang w:val="en-US" w:eastAsia="zh-CN" w:bidi="ar"/>
              </w:rPr>
              <w:t>★</w:t>
            </w:r>
            <w:r>
              <w:rPr>
                <w:rFonts w:hint="eastAsia" w:ascii="宋体" w:hAnsi="宋体" w:eastAsia="宋体" w:cs="宋体"/>
                <w:i w:val="0"/>
                <w:color w:val="auto"/>
                <w:kern w:val="0"/>
                <w:sz w:val="24"/>
                <w:szCs w:val="24"/>
                <w:u w:val="none"/>
                <w:lang w:val="en-US" w:eastAsia="zh-CN" w:bidi="ar"/>
              </w:rPr>
              <w:t>智能想象表达训练系统</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产品介绍：本系统将心理成长、想象力开发、记忆力开发及色彩心理知识普及紧密结合的创新型产品，该系统后台管理功能丰富，操作简单，实用性极强。</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 系统配置：采用Android 8.0系统，10.1寸屏幕，内存64GB容量，存储容量达4+64GB（可扩展），8核心，运行速度流畅，电容型触摸屏，视觉体验出众。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 系统包含教程、再造想象、色彩脱敏、曼陀罗训练、心灵涂鸦、记忆拼图五大主题模块，可释放不良情绪、缓解心理压力、增进想象力和记忆力开发，促进使用者内在的对话和成长。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 系统自带3种不同操作工具及修改工具，提供10种不同颜色选择，在用户选择不同颜色时，系统自动出现4条以上对应色彩心理知识；</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 教程：包括曼陀罗花等植物、动物、人物、建筑等不少于20种不同形状图片制作教程，增强用户的动手能力。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 再造想象：提供大海、沙滩、草原3种场景环境，不同场景提供不少于30种元素搭配，用户可在不同场景上随意操作，或者直接使用场景元素，供客户自由发挥，让人全身心地释放自我。</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 色彩脱敏：按难度划分为20个等级，通过寻找每张图中细微的差别的颜色，不断训练视力对不同色彩的敏感度，借助成功过关带来成长积极暗示，满足多次使用。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 曼陀罗图训练：以荣格的曼陀罗疗法为基础结合先进的表达工具，引导用户合理地表达自我，促进心理成长，多达50种的曼陀罗样图，帮助用户构建心灵蜕变之路。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 心灵涂鸦：用户可运用系统自带3种不同操作工具及修改工具，在三种不同场景情境下，选择10种不同颜色，可随意操作，系统提供不少于30种场景元素供选择，使作品更逼真，反应不同心境，充分发挥自我想象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 记忆拼图：供用户心理放松的趣味性模块，该模块分为可滑动与点选2种模式，通过轻松休闲的拼图游戏可达排解负面情绪，促进心理放松，进而训练、提升记忆力以及注意力。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 界面管理：用户注册后凭密码登录，在我的作品中集中查看自己创作的作品，以及系统可根据用户使用记录给予的相应激励等级，用户每使用某个知识模块的一定时间，就出现对应的激励文字或者动画。</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153" w:hRule="atLeast"/>
        </w:trPr>
        <w:tc>
          <w:tcPr>
            <w:tcW w:w="135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b w:val="0"/>
                <w:bCs w:val="0"/>
                <w:i w:val="0"/>
                <w:color w:val="000000"/>
                <w:kern w:val="0"/>
                <w:sz w:val="21"/>
                <w:szCs w:val="21"/>
                <w:u w:val="none"/>
                <w:lang w:val="en-US" w:eastAsia="zh-CN" w:bidi="ar"/>
              </w:rPr>
              <w:t>★</w:t>
            </w:r>
            <w:r>
              <w:rPr>
                <w:rFonts w:hint="eastAsia" w:ascii="宋体" w:hAnsi="宋体" w:eastAsia="宋体" w:cs="宋体"/>
                <w:i w:val="0"/>
                <w:color w:val="auto"/>
                <w:kern w:val="0"/>
                <w:sz w:val="24"/>
                <w:szCs w:val="24"/>
                <w:u w:val="none"/>
                <w:lang w:val="en-US" w:eastAsia="zh-CN" w:bidi="ar"/>
              </w:rPr>
              <w:t>心理健康教育管理平台(小学版)</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心理健康教育管理平台：功能模块：专栏、（机构介绍、关于我们、帮助中心、心理文章、心理图片、心理小测试、心理视频、更新日志）测评（管理员测评普查、管理员自助测评、管理员测评记录、管理普查列表、发起普查、管理测评记录、导出测评记录）、预约咨询（咨询师列表、预约记录、私信记录），调查问卷（管理员问卷列表、管理员问卷记录、综合面板、创建问卷调查），设置（个人信息、皮肤设置、修改密码、综合面板、管理班级、管理量表、管理专栏分类、管理用户资料、管理员辖区设置）等wq20多个功能模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 量表丰富：系统内置多个国际国内通用心理量表，量表范围涵盖认知、情绪、人格、学习、心理健康、职业兴趣等多方面，可有效实现心理特征的全方位扫描。通用版量表有120个。</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自主管理测评量表：系统包含心理健康、情绪、学习、人格、智力、社交、生活、职业测评等多类型的上百个量表（根据版本不一样，量表数量会有区别）。支持自主管理量表，可由管理员自由的管理测评量表，如果管理员暂时不想开放这个量表，可以选择禁用量表，后续又可以恢复量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3、测评报告自动生成：测验完成后，系统自动生成报告，报告以图文并茂的形式，丰富多样。报告内容包括图形、各项因子得分、结果分析语、指导建议等。同时，报告还可以根据老师 的要求进行个性化的添加心理咨询指导建议等。管理员与学生均能查阅测评报告，而学生只能查阅管理员开放的量表报 告，避免敏感性的结果在学生群体中造成不良的影响。</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4、智能预警功能：，危机预警系统可迅速地将测试者心理健康水平进行筛选、分类，生成严重程度的学生群体预警报表，为个案咨询、团体辅导、危机干预等心理辅导工作提供参考依据。</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5、快速预约功能：学生、家长、老师可以在电脑上或者手机上随时实现预约，并查看相关结果。</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建站功能：系统不仅具有测评功能，还具有学生档案管理功能，支持用户自定义文章，图片，测试，视频等模块。系统集测评、心理知识普及、心理网站等功能于一体，每个功能模块用户可以自由更改模块名称与自由添加模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7、问卷调查功能：系统集问卷设计，问卷发布，数据收集等功能于一体。管理员可以根据实际需要发布相关调查问卷并收集相关问卷结果。</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8、系统可自定义分级，针对不同区域、不同学校、不同部门进行由上至下的分级管理要求，系统可设置多个管理员参与管理，最高可设置 99 级管理级别，智能地控制每级管理员的查询数据范围和操作权限。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9、手机APP功能，支持微信接口，可无缝与微信平台对接，用户通过微信扫码即可下载客户端，做到随时随地进行心理测评、查看测评报告，随时预约，随时学习的功能。</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10、档案管理功能：系统自动的为每位学生建立心理测评档案， 包括学生基本情况、历次测评的报告、咨询情况记录、在线答疑的问题等内容，并且能方便快捷查询这些档案内容。</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7992" w:hRule="atLeast"/>
        </w:trPr>
        <w:tc>
          <w:tcPr>
            <w:tcW w:w="1350"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15240</wp:posOffset>
                  </wp:positionH>
                  <wp:positionV relativeFrom="paragraph">
                    <wp:posOffset>792480</wp:posOffset>
                  </wp:positionV>
                  <wp:extent cx="822960" cy="937260"/>
                  <wp:effectExtent l="0" t="0" r="0" b="7620"/>
                  <wp:wrapNone/>
                  <wp:docPr id="27" name="图片_3"/>
                  <wp:cNvGraphicFramePr/>
                  <a:graphic xmlns:a="http://schemas.openxmlformats.org/drawingml/2006/main">
                    <a:graphicData uri="http://schemas.openxmlformats.org/drawingml/2006/picture">
                      <pic:pic xmlns:pic="http://schemas.openxmlformats.org/drawingml/2006/picture">
                        <pic:nvPicPr>
                          <pic:cNvPr id="27" name="图片_3"/>
                          <pic:cNvPicPr/>
                        </pic:nvPicPr>
                        <pic:blipFill>
                          <a:blip r:embed="rId26"/>
                          <a:stretch>
                            <a:fillRect/>
                          </a:stretch>
                        </pic:blipFill>
                        <pic:spPr>
                          <a:xfrm>
                            <a:off x="0" y="0"/>
                            <a:ext cx="822960" cy="937260"/>
                          </a:xfrm>
                          <a:prstGeom prst="rect">
                            <a:avLst/>
                          </a:prstGeom>
                          <a:noFill/>
                          <a:ln>
                            <a:noFill/>
                          </a:ln>
                        </pic:spPr>
                      </pic:pic>
                    </a:graphicData>
                  </a:graphic>
                </wp:anchor>
              </w:drawing>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基础版沙盘游戏</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一、2个沙盘：沙盘尺寸约：长 72cm×宽 57cm×深7cm(内径尺寸)，沙盘架高约70cm。专用三底两面环保漆；内侧底与边框、底部为蓝色，外部为实木色，表面光滑不伤手、防水、耐磨不掉色。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二2个沙具架，沙具架规格：150cm×30cm×100cm（±3cm），柜体采用5层8阶设计，既美观又便于分类摆放选取沙具。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三、1000个沙具种类：18 大类（宗教类、风车、灯塔等标志类、公共标识类、交通工具类、公共建筑类、桥栅栏类、日月等自然物类、贝壳山石类、现实中人物类、空想人物类虚拟人物、恐龙怪兽类、家具、日用品类、水生动物、野生动物类、家禽家畜类、草坪类、植物类、军队类）</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四、沙盘游戏治疗指导书籍1本</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五、精选原色水洗砂20公斤，颗粒光滑、大小均匀、高温消毒。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六、沙具选取框1套 （沙具选取框2个，清理刷2个）</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七、 健康情绪调节管理平台一套                                                               1、搭载平台：支持多种格式音乐、心理文章，心理图片、心理电影播放，可连接WiFi，可下载相关心理游戏等</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2、功能模块：平台集综合管理功能模块于一体，包含：个体记录、团体记录、用户管理、分析帮助、设备管理、学习资源、查看附件等。</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3、档案管理：系统可记录操作者人口学信息包括姓名、性别、年龄、民族、籍贯等个人信息，为治疗师提供准确详细的分析信息。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4、个体记录：操作者可在个体记录中直接编写当前状态下游戏治疗信息，并可在操作现场直接利用系统搭载平台摄像头拍摄图片或视频上传于个体记录中。</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监测功能：系统可实时监测来访者操作过程中的目光注视，面部表情，肢体动作，身体语言，声音特质，空间距离，操作流程，情绪状态等细节，方便心理治疗师进行观察，真正了解来访者的内心活动，加强咨询功能。</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开放式平台：可通过其他外部设备摄制相关资料上传于该系统；同一操作者再次使用该系统时可在原记录信息上再次添加操作记录即可，方便管理员查看与对比使用者多次使用情况，管理员可通过操作系统直接拍摄现场视频或图片直接记录于系统中，也可以上传其它途径的图片或视频文件；方便治疗师进行前后对比，数据分析，成长记录，增强治疗效果等。</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7、团体记录: 系统可以添加团体活动主题、活动人数、活动地点、活动时间，记录当前背景信息，供后期做数据分析和对比，同时也可以对已完成的操作记录记录进行删除。</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8、分析帮助：系统自带专业角色意向寓意解析，管理员可自行添加和删除角色意向寓意分析，系统可通过检索查找对应角色寓意解析，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9、设备管理：管理员可以通过设备管理模块添加设备具体数量，并且根据消耗情况及时修改，方便管理员直接掌握和统计所有角色模型对应的数量及消耗情况。</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学习资源：管理员可以上传各种心理学相关学习资料，学习资源库中的心理学内容资源不受网络限制，资源支持PPT、word、PDF、视频等内容格式，学习资源内容包括：心理文章500篇，名人励志心理格言500句，不少于50名国际知名心理学专家简介，中小学心理健康课件不少于50篇，心理知识可自主上传，更有针对性，方便用户了解与学习撑握心理键康知识，提升心理键康水平。</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555" w:hRule="atLeast"/>
        </w:trPr>
        <w:tc>
          <w:tcPr>
            <w:tcW w:w="1350"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auto"/>
                <w:kern w:val="0"/>
                <w:sz w:val="24"/>
                <w:szCs w:val="24"/>
                <w:u w:val="none"/>
                <w:lang w:val="en-US" w:eastAsia="zh-CN" w:bidi="ar"/>
              </w:rPr>
              <w:t>智能反馈音乐放松系统I型</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尺寸约：</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长(L)105cm×宽(W)90cm×高(H)105cm(椅背收起)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长(L)170cm×宽(W)90cm×高(H)60cm（椅背展开）</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产品净重：45KG   最大承载量：100KG ；电源：220V（50Hz）</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产品组成：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1.高级真皮电动功能椅：采头等舱设计，功能椅靠背、腿部无线电动控制设计，靠背约100度-170度，腿部约90度-170度任意调节。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2.★多功能生理指标采集系统：采用无线蓝牙指脉式生理指标采集，蓝牙频段范围：2402.00-2480.00MHZ，最大输出功率：＜100mW。集成手腕式生物反馈处理器，精确反馈人体多项</w:t>
            </w: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-2315210</wp:posOffset>
                  </wp:positionH>
                  <wp:positionV relativeFrom="paragraph">
                    <wp:posOffset>1542415</wp:posOffset>
                  </wp:positionV>
                  <wp:extent cx="1096645" cy="723900"/>
                  <wp:effectExtent l="0" t="0" r="635" b="7620"/>
                  <wp:wrapNone/>
                  <wp:docPr id="30" name="图片_1"/>
                  <wp:cNvGraphicFramePr/>
                  <a:graphic xmlns:a="http://schemas.openxmlformats.org/drawingml/2006/main">
                    <a:graphicData uri="http://schemas.openxmlformats.org/drawingml/2006/picture">
                      <pic:pic xmlns:pic="http://schemas.openxmlformats.org/drawingml/2006/picture">
                        <pic:nvPicPr>
                          <pic:cNvPr id="30" name="图片_1"/>
                          <pic:cNvPicPr/>
                        </pic:nvPicPr>
                        <pic:blipFill>
                          <a:blip r:embed="rId27"/>
                          <a:stretch>
                            <a:fillRect/>
                          </a:stretch>
                        </pic:blipFill>
                        <pic:spPr>
                          <a:xfrm>
                            <a:off x="0" y="0"/>
                            <a:ext cx="1096645" cy="723900"/>
                          </a:xfrm>
                          <a:prstGeom prst="rect">
                            <a:avLst/>
                          </a:prstGeom>
                          <a:noFill/>
                          <a:ln>
                            <a:noFill/>
                          </a:ln>
                        </pic:spPr>
                      </pic:pic>
                    </a:graphicData>
                  </a:graphic>
                </wp:anchor>
              </w:drawing>
            </w:r>
            <w:r>
              <w:rPr>
                <w:rFonts w:hint="eastAsia" w:ascii="宋体" w:hAnsi="宋体" w:eastAsia="宋体" w:cs="宋体"/>
                <w:i w:val="0"/>
                <w:color w:val="000000"/>
                <w:kern w:val="0"/>
                <w:sz w:val="24"/>
                <w:szCs w:val="24"/>
                <w:u w:val="none"/>
                <w:lang w:val="en-US" w:eastAsia="zh-CN" w:bidi="ar"/>
              </w:rPr>
              <w:t>生理指标，采集终端可直观显示：蓝牙指示灯、蜂鸣器指示灯、血氧饱和度指示灯、脉率指示灯、电量指示灯、血氧饱和度值、脉率值、脉搏强度、容积波。</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3.★多功能音乐反馈放松系统：系统分为用户登录，智能放松、放松训练、自主放松、系统设置、数据中心六大模块。并远程实现对功能椅的多种姿态调节控制。</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播音系统:内置高品质音响，公放尺寸约20cmX18cm，质流线型手工箱体设计，喇叭外露式设计环绕，音箱尺寸约15cmX10cm，功率：10W+10W、低音功率：25W、标准阻抗：4欧姆、灵敏度：85dB、频率范围：80Hz~18KHz、电源输入：220v~50Hz。内置蓝牙，带有模拟音频信号输入接口、USB输入接口，支持电脑、手机、平板等随需切换无线/有线模式，更多应用场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5.智能一体化操作系统：智能音乐反馈放松系统和音乐放松椅姿势调整系统高度集成。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6.存储系统：配置高容量存储系统16G，内置大量放松音乐、放松视频、放松图片等资料，并可无限扩充，支持SD卡及USB存储设备等。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7.音乐放松催眠系统：专业音乐放松指导视频及催眠摇摆仪等设备。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功能介绍：</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系统软件可实现在音乐放松全程中，实时监测训练者的生理指标变化，采集到的生理指标包括血氧、脉率、脉搏、PNN50、QRS、心跳、R-R,HRV心率变异性等多项生理指标。并且系统可智能判断评估放松情况；系统用独特的模型算法，对训练者的各项实时生理指标数据进行计算分析，判断减压放松的有效性。</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放松方案智能跟踪：放松方案动态切换，智能选择，所有的放松过程，包括生理指标的变化都可进行历史放松回放，帮助使用者进行数据对比，及时了解最新心理和生理状况；实现放松方案的个体化和跟踪化，节约人力操作，提高效率。</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3、智能放松功能：</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 智能定制放松：系统给出几种不同的音乐风格，通过采集指标，通过采集指标，智能分析来访者，定制适合与当前状态的放松方案。</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 智能动态放松：通过采集来访者当前生理指标，系统智能分析，动态调整放松音乐。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4、放松训练采用想象放松：</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（1）大海:想象在大海的小岛上，温暖的海风，柔软的沙滩，心都会陶醉。</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（2）田野：仿佛回到了乡下，一片片田野绿油油的，无比舒畅。</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（3）草原：每个人心中都有一片自己向往的草原，在那里放空自己。呼吸放松、鼻腔放松、肌肉放松等多种真人放松指导视频和视听资料，并配合放松音效，提升放松效果；</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5、自主放松包括：情绪音乐、中医五行、脑波音乐、放松减压带指导语、纯音乐等多种音乐。并且系统可根据来访者选择的不同音乐类型会自动调整放松姿势。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无线蓝牙生理数据采集与传输功能：指脉式生理指标采集器与手腕式生理数据处理器，实现无线数据传输。摆脱使用USB等数据线形式，在有效距离为5米内，反馈放松时可以在房间内自由活动，减少用户在放松训练过程中的束缚感，根据实际情况可将整个放松过程扩大至音乐放松椅，沙发和卧床上。使用者并可以生理采集设备面板进行生理采集连接、断开等操作，远程完成放松训练的开启和关闭。可通过下载安装APP与手机、平板等移动终端设备实现24小时血氧、脉率、灌注指数生理指标监测，支持安卓windows系统、Android系统、IOS系统。</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7、★音乐放松椅姿势远程调节功能：</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(1)放松椅全部姿势可实现无线远程调节，使用者可以通过音乐反馈系统中的功能椅控制界面，选择自己喜欢的放松姿势。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系统为来访者预设了舒适正坐、减压躺靠、松弛后仰、放松仰躺、零重力等姿势状态，控制面板上的音乐椅会根据被选择的姿势状态同步为来访者展现放松椅的调节角度，让来访者对自己当前状态下的姿势状态了如指掌，提高安全系数。</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(3)并且系统可根据来访者选择的不同音乐类型会自动调整放松姿势。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8、智能无线蓝牙自动匹配功能：音乐放松反馈系统打开状态下，生理指标采集、智能音乐放松、放松椅姿势调节系统可自动进行数据连接匹配，无需任何手动操作，极大简化了操作过程。</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9、数据反馈中心： 数据图文化训练报告：训练报告以图形加文字方式显示，清晰记录训练者整个放松过程的各类生理指标的数值、变化曲线，以及相关放松训练评价文字和参考建议。报告可以导出 为WORD和图片。</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10、在线升级功能：系统版本升级，系统可自动远程识别并进行升级。</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产品配置：</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1、音乐放松椅1台</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2、音乐放松系统1套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3、生理指标采集器1套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4、显示器支架1套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5、催眠眼罩2个</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6、指导书籍1本</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329" w:hRule="atLeast"/>
        </w:trPr>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-151765</wp:posOffset>
                  </wp:positionH>
                  <wp:positionV relativeFrom="paragraph">
                    <wp:posOffset>1385570</wp:posOffset>
                  </wp:positionV>
                  <wp:extent cx="1104265" cy="1082040"/>
                  <wp:effectExtent l="0" t="0" r="8255" b="0"/>
                  <wp:wrapNone/>
                  <wp:docPr id="26" name="图片_12"/>
                  <wp:cNvGraphicFramePr/>
                  <a:graphic xmlns:a="http://schemas.openxmlformats.org/drawingml/2006/main">
                    <a:graphicData uri="http://schemas.openxmlformats.org/drawingml/2006/picture">
                      <pic:pic xmlns:pic="http://schemas.openxmlformats.org/drawingml/2006/picture">
                        <pic:nvPicPr>
                          <pic:cNvPr id="26" name="图片_12"/>
                          <pic:cNvPicPr/>
                        </pic:nvPicPr>
                        <pic:blipFill>
                          <a:blip r:embed="rId28"/>
                          <a:stretch>
                            <a:fillRect/>
                          </a:stretch>
                        </pic:blipFill>
                        <pic:spPr>
                          <a:xfrm>
                            <a:off x="0" y="0"/>
                            <a:ext cx="1104265" cy="1082040"/>
                          </a:xfrm>
                          <a:prstGeom prst="rect">
                            <a:avLst/>
                          </a:prstGeom>
                          <a:noFill/>
                          <a:ln>
                            <a:noFill/>
                          </a:ln>
                        </pic:spPr>
                      </pic:pic>
                    </a:graphicData>
                  </a:graphic>
                </wp:anchor>
              </w:drawing>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仿真型宣泄人-男（录音版）</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1、智能仿真型宣泄人1个（男）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外观设计采用拥抱击打部分及机身稳定部分组成，高度以及大小符合中小学生以及成人使用，金属支架结构；身高约180cm±5cm（可根据适用对象选择具体的版本）内部填充环保材料，无缝对接闭合，仿真人外形，真人服装。智能语音开关：产品通电后无需打开操作电源开关，通过直接多触点震动芯片感应即可启动机器进入工作状态。远程语音采集传感器：语音感应采集传感技术；语音感应最佳距离10cm-20cm，工作电压4.5V，内置语音储存芯片，可存储，可删除,可播放。</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头部必须为仿真人设计，采用玻璃钢材质，无毒无味，手感舒适。五官轮廓清晰，棱角分明，细节设计逼真，眼睛部位包括眉毛、眼睑、眼珠等。整体一体成型，增加了仿真性和耐用性，采用进口高缓冲材料，一次性磨具成型，大大提供高了宣泄手感，在宣泄的同时可以很好的保护来访者。</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底座采用稳定型圆柱底座，底座尺寸约：直径70cm,高20cm，稳定安全美观；可注沙，底座语音操作控制系统内置自定义电路板模块可实现录音功能、其内部安装有4寸方型纸盆45磁4欧5W外放喇叭以及经过CE检测PCB板，尺寸约为：4.5cmX6.5cm，PCB板上设置有振动感应芯片和语音播报芯片以及主控制器，布线密度高，体积小，重量轻。</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（4）智能仿真型宣泄人发声系统默认6种不同的求饶声，并内置有语音自定义存储器为来访者录制自己的宣泄语，来访者可连续录制7段自定义语音，并可以随机播放，电路板5V安全电压供电，简易安全。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2、护手套2对(可有效的缓冲打击时的撞击，采用了轻型耐用材料)</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3、摔打宣泄球4个（橡胶）</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4、立式宣泄球1个（立式不倒，外层高级仿皮材料，高度可调节。）</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5、宣泄挂图4张（高清晰画质、永不退色,）</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6、宣泄室制度1张（高清晰画质、永不退色,）</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7、充气宣泄棒2根（长约80cm，锥型）</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2168" w:hRule="atLeast"/>
        </w:trPr>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立式宣泄柱</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沙袋：高度：高80厘米，底座高70厘米， 底座直径：48厘米，击打部分直径：30厘米，特点：产品不需挂吊，具有缓冲性，安装简单，只需加水（或沙）即可在室内进行训练。上部与下部是PVC在一起,可取开成两个部分,上部是优质皮革下边是加大PVC而成,保证每次击打能迅速复位，    上部击打部分由优质皮革细密缝制而成,内部为硬质海绵及PVC材料。下部底座为ABS材料一次成型,可装水或沙子.使沙袋放在地上稳固。</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2168"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心理挂图</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心理挂图包含：可能图形、两歧图形、错觉图形、心理趣味图形等多种主题;根据应用类型，可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划分为心理知识类、心理放松类、心理暗示类、心理大师类、心理错觉类、艺术风景类等多个</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种类，心理挂图的画质清晰，色彩明丽，色调柔和，有很好的装饰空间的视觉效果;采用KT版材质，永不褪色，规格：43*56cm ，整体形象高档美观。</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副</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2781"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426720</wp:posOffset>
                  </wp:positionV>
                  <wp:extent cx="838200" cy="541020"/>
                  <wp:effectExtent l="0" t="0" r="0" b="7620"/>
                  <wp:wrapNone/>
                  <wp:docPr id="25" name="图片_10"/>
                  <wp:cNvGraphicFramePr/>
                  <a:graphic xmlns:a="http://schemas.openxmlformats.org/drawingml/2006/main">
                    <a:graphicData uri="http://schemas.openxmlformats.org/drawingml/2006/picture">
                      <pic:pic xmlns:pic="http://schemas.openxmlformats.org/drawingml/2006/picture">
                        <pic:nvPicPr>
                          <pic:cNvPr id="25" name="图片_10"/>
                          <pic:cNvPicPr/>
                        </pic:nvPicPr>
                        <pic:blipFill>
                          <a:blip r:embed="rId29"/>
                          <a:stretch>
                            <a:fillRect/>
                          </a:stretch>
                        </pic:blipFill>
                        <pic:spPr>
                          <a:xfrm>
                            <a:off x="0" y="0"/>
                            <a:ext cx="838200" cy="541020"/>
                          </a:xfrm>
                          <a:prstGeom prst="rect">
                            <a:avLst/>
                          </a:prstGeom>
                          <a:noFill/>
                          <a:ln>
                            <a:noFill/>
                          </a:ln>
                        </pic:spPr>
                      </pic:pic>
                    </a:graphicData>
                  </a:graphic>
                </wp:anchor>
              </w:drawing>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团体活动桌椅</w:t>
            </w:r>
          </w:p>
        </w:tc>
        <w:tc>
          <w:tcPr>
            <w:tcW w:w="5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每套环形组合桌，6个扇形桌面，8种/6种颜色。颜色：红蓝绿黄橙白等，能够根据团体活动需要，组合成圆形、扇形、方形、S形、C形、X形等十几种排列方式。</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钢木材质，木质多层双面漆面板，金属支架，桌面支架采用直径约5厘米圆管，桌子外圆直径约160厘米（6面），高约70厘米；根据团体辅导活动的专业要求， 组合后圆的内直径是约60厘米，色彩丰富，单色色度艳丽无色差，不开裂不变形，耐热耐污耐擦，更加环保。配6个折叠椅支架由铁管加烤漆工艺构成。坐面宽大，坐感舒适；人体工程设计。</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90" w:hRule="atLeast"/>
        </w:trPr>
        <w:tc>
          <w:tcPr>
            <w:tcW w:w="1350"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15240</wp:posOffset>
                  </wp:positionH>
                  <wp:positionV relativeFrom="paragraph">
                    <wp:posOffset>1531620</wp:posOffset>
                  </wp:positionV>
                  <wp:extent cx="807720" cy="586740"/>
                  <wp:effectExtent l="0" t="0" r="0" b="7620"/>
                  <wp:wrapNone/>
                  <wp:docPr id="24" name="图片_11"/>
                  <wp:cNvGraphicFramePr/>
                  <a:graphic xmlns:a="http://schemas.openxmlformats.org/drawingml/2006/main">
                    <a:graphicData uri="http://schemas.openxmlformats.org/drawingml/2006/picture">
                      <pic:pic xmlns:pic="http://schemas.openxmlformats.org/drawingml/2006/picture">
                        <pic:nvPicPr>
                          <pic:cNvPr id="24" name="图片_11"/>
                          <pic:cNvPicPr/>
                        </pic:nvPicPr>
                        <pic:blipFill>
                          <a:blip r:embed="rId30"/>
                          <a:stretch>
                            <a:fillRect/>
                          </a:stretch>
                        </pic:blipFill>
                        <pic:spPr>
                          <a:xfrm>
                            <a:off x="0" y="0"/>
                            <a:ext cx="807720" cy="586740"/>
                          </a:xfrm>
                          <a:prstGeom prst="rect">
                            <a:avLst/>
                          </a:prstGeom>
                          <a:noFill/>
                          <a:ln>
                            <a:noFill/>
                          </a:ln>
                        </pic:spPr>
                      </pic:pic>
                    </a:graphicData>
                  </a:graphic>
                </wp:anchor>
              </w:drawing>
            </w:r>
          </w:p>
        </w:tc>
        <w:tc>
          <w:tcPr>
            <w:tcW w:w="944"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1242"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团体活动辅导箱（标配版）</w:t>
            </w:r>
          </w:p>
        </w:tc>
        <w:tc>
          <w:tcPr>
            <w:tcW w:w="5093"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活动包尺寸约：45*38*20cm各类型的活动器材几百件，适合30－50个人同时使用，适用于公司、社区、企事业单位、学校、监狱、部队等所有进行团体活动的部门。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活动主题：自我探索，亲情联接，人际互动，团体熔炼，学会学习，潜能开发，领导管理，开拓创新，价值选择，社会责任。</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1、自我探索：成长五部曲、心灵之舞、我的“角落”、左右脚、20个“自我”、自画像、背上留言、生命线、盲人与“拐杖”求生抉择。</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2、亲情联接：家庭大事记、找变化、清扫亲情“垃圾”、给......的一封信、My Birthday party、父母亲的剪影、感恩父母、原生家庭、再选你的父母、我的家庭树。</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3、人际互动：身体认字、说句奉承话、快枪手、爱在指尖、你说我画、心有千千结、巧过地雷阵、朋友大拍卖、最少的脚、多元排队。</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4、团队熔炼：背背佳、七手八脚、食指神功、气球桥梁、啄木鸟行动、创意搭档、风中奇遇、横渡硫酸河、信任之旅、珍珠岛救援大行动。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5、学会学习：撕纸条、疯狂一分钟、我是钟、出谋划策、职业畅想发布会、没有你，我怎么办、神奇大变身、叫醒你的N种思维、fashion show、enjoy your feeling。</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6、潜能开发：突出重围、举手礼、穿绳游戏、优点坐椅、三只小猪“造房子”、随机应变、传球游戏、沧海一舟、创意剪纸、穿越A4纸。</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7、领导管理：勇于面对、今天我当家、老鹰抓小鸡、缺失的一角、真的还是假的、贩卖希望、你来说，我来做、合作方块、穿越障碍、勇闯夺命岛。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8、开拓创新：九点连线、一笔变新字、如何卖木梳给和尚、敢想敢画、从A到B、万能的口香糖、一张让你叫绝的A4纸、分苹果、创意积木大比拼、玩具创意设计。</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9、价值选择：找零钱、早操大表态、取绰号、超级一比一、艺术插花、我的“VIT”、海上求生、价值拍卖、红黑游戏、沉船游戏。</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10、社会责任：承担责任、歌唱祖国、家乡美、我说我知道、放飞我心、职业生涯探索、中国地图、共建未来城、家乡拼图、拯救阳光城。</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配套：a、指导书籍1本、b、团体活动视频剪辑光盘1张、c、心理游戏管理系统1张</w:t>
            </w:r>
          </w:p>
        </w:tc>
        <w:tc>
          <w:tcPr>
            <w:tcW w:w="510"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77"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bl>
    <w:p>
      <w:pPr>
        <w:jc w:val="both"/>
        <w:rPr>
          <w:rFonts w:hint="eastAsia"/>
          <w:sz w:val="32"/>
          <w:szCs w:val="32"/>
        </w:rPr>
      </w:pPr>
    </w:p>
    <w:p>
      <w:pPr>
        <w:jc w:val="center"/>
        <w:rPr>
          <w:rFonts w:hint="eastAsia"/>
          <w:sz w:val="32"/>
          <w:szCs w:val="32"/>
        </w:rPr>
      </w:pPr>
      <w:r>
        <w:rPr>
          <w:rFonts w:hint="eastAsia"/>
          <w:sz w:val="32"/>
          <w:szCs w:val="32"/>
        </w:rPr>
        <w:t>中学心理咨询室专用设备配置规格及参数</w:t>
      </w:r>
    </w:p>
    <w:tbl>
      <w:tblPr>
        <w:tblStyle w:val="25"/>
        <w:tblW w:w="9597" w:type="dxa"/>
        <w:tblInd w:w="0" w:type="dxa"/>
        <w:shd w:val="clear" w:color="auto" w:fill="auto"/>
        <w:tblLayout w:type="autofit"/>
        <w:tblCellMar>
          <w:top w:w="0" w:type="dxa"/>
          <w:left w:w="0" w:type="dxa"/>
          <w:bottom w:w="0" w:type="dxa"/>
          <w:right w:w="0" w:type="dxa"/>
        </w:tblCellMar>
      </w:tblPr>
      <w:tblGrid>
        <w:gridCol w:w="1402"/>
        <w:gridCol w:w="898"/>
        <w:gridCol w:w="939"/>
        <w:gridCol w:w="5419"/>
        <w:gridCol w:w="485"/>
        <w:gridCol w:w="454"/>
      </w:tblGrid>
      <w:tr>
        <w:tblPrEx>
          <w:shd w:val="clear" w:color="auto" w:fill="auto"/>
          <w:tblCellMar>
            <w:top w:w="0" w:type="dxa"/>
            <w:left w:w="0" w:type="dxa"/>
            <w:bottom w:w="0" w:type="dxa"/>
            <w:right w:w="0" w:type="dxa"/>
          </w:tblCellMar>
        </w:tblPrEx>
        <w:trPr>
          <w:trHeight w:val="470" w:hRule="atLeast"/>
        </w:trPr>
        <w:tc>
          <w:tcPr>
            <w:tcW w:w="14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参考图片</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产品分类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产品名称</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产 品 参 数</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数量</w:t>
            </w:r>
          </w:p>
        </w:tc>
      </w:tr>
      <w:tr>
        <w:tblPrEx>
          <w:shd w:val="clear" w:color="auto" w:fill="auto"/>
          <w:tblCellMar>
            <w:top w:w="0" w:type="dxa"/>
            <w:left w:w="0" w:type="dxa"/>
            <w:bottom w:w="0" w:type="dxa"/>
            <w:right w:w="0" w:type="dxa"/>
          </w:tblCellMar>
        </w:tblPrEx>
        <w:trPr>
          <w:trHeight w:val="3261" w:hRule="atLeast"/>
        </w:trPr>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6195060</wp:posOffset>
                  </wp:positionV>
                  <wp:extent cx="1005840" cy="670560"/>
                  <wp:effectExtent l="0" t="0" r="0" b="0"/>
                  <wp:wrapNone/>
                  <wp:docPr id="38" name="图片_2"/>
                  <wp:cNvGraphicFramePr/>
                  <a:graphic xmlns:a="http://schemas.openxmlformats.org/drawingml/2006/main">
                    <a:graphicData uri="http://schemas.openxmlformats.org/drawingml/2006/picture">
                      <pic:pic xmlns:pic="http://schemas.openxmlformats.org/drawingml/2006/picture">
                        <pic:nvPicPr>
                          <pic:cNvPr id="38" name="图片_2"/>
                          <pic:cNvPicPr/>
                        </pic:nvPicPr>
                        <pic:blipFill>
                          <a:blip r:embed="rId31"/>
                          <a:stretch>
                            <a:fillRect/>
                          </a:stretch>
                        </pic:blipFill>
                        <pic:spPr>
                          <a:xfrm>
                            <a:off x="0" y="0"/>
                            <a:ext cx="1005840" cy="670560"/>
                          </a:xfrm>
                          <a:prstGeom prst="rect">
                            <a:avLst/>
                          </a:prstGeom>
                          <a:noFill/>
                          <a:ln>
                            <a:noFill/>
                          </a:ln>
                        </pic:spPr>
                      </pic:pic>
                    </a:graphicData>
                  </a:graphic>
                </wp:anchor>
              </w:drawing>
            </w: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76200</wp:posOffset>
                  </wp:positionH>
                  <wp:positionV relativeFrom="paragraph">
                    <wp:posOffset>5455920</wp:posOffset>
                  </wp:positionV>
                  <wp:extent cx="960120" cy="556260"/>
                  <wp:effectExtent l="0" t="0" r="0" b="7620"/>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32"/>
                          <a:stretch>
                            <a:fillRect/>
                          </a:stretch>
                        </pic:blipFill>
                        <pic:spPr>
                          <a:xfrm>
                            <a:off x="0" y="0"/>
                            <a:ext cx="960120" cy="556260"/>
                          </a:xfrm>
                          <a:prstGeom prst="rect">
                            <a:avLst/>
                          </a:prstGeom>
                          <a:noFill/>
                          <a:ln>
                            <a:noFill/>
                          </a:ln>
                        </pic:spPr>
                      </pic:pic>
                    </a:graphicData>
                  </a:graphic>
                </wp:anchor>
              </w:drawing>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b w:val="0"/>
                <w:bCs w:val="0"/>
                <w:i w:val="0"/>
                <w:color w:val="000000"/>
                <w:kern w:val="0"/>
                <w:sz w:val="21"/>
                <w:szCs w:val="21"/>
                <w:u w:val="none"/>
                <w:lang w:val="en-US" w:eastAsia="zh-CN" w:bidi="ar"/>
              </w:rPr>
              <w:t>★</w:t>
            </w:r>
            <w:r>
              <w:rPr>
                <w:rFonts w:hint="eastAsia" w:ascii="宋体" w:hAnsi="宋体" w:eastAsia="宋体" w:cs="宋体"/>
                <w:i w:val="0"/>
                <w:color w:val="000000"/>
                <w:kern w:val="0"/>
                <w:sz w:val="24"/>
                <w:szCs w:val="24"/>
                <w:u w:val="none"/>
                <w:lang w:val="en-US" w:eastAsia="zh-CN" w:bidi="ar"/>
              </w:rPr>
              <w:t>计算机</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1.商用台式机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2. CPU：≥Inteli3-6100（3.7GHz）；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3.主板：H110 或更高规格的intel芯片组"</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4.内存：≥4GB DDR3 1600；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5.硬盘：≥1TB，SATA3接口，7200rpm；"</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6. 显卡：集成显卡；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 网卡：集成10/100/1000MB自适应网卡；"</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8. 声卡：集成5.1声道声卡；  9. 电源功率：≤220W ；                                                                             10. 整机噪音：声压指标不高于11.5分贝；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11.显示器：≥19英寸低蓝光显示器；"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12.键鼠：主机同品牌USB光电鼠标、防水键盘；</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905" w:hRule="atLeast"/>
        </w:trPr>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办公桌椅</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心理教师办公用，1400*700*760mm基材采高密度环保纤维板，漆面光泽度高、硬度达H级，椅子框架采用一次性成型不锈钢材料，优质超纤皮。透气性强，柔软而富有弹性，厚度适中。</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316" w:hRule="atLeast"/>
        </w:trPr>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无声挂钟</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控制咨询时间， 圆形，扫秒机芯，12寸</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10" w:hRule="atLeast"/>
        </w:trPr>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文件柜</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材质：选用优质冷轧钢钢板，表面颜色为灰色，基层：采用静电粉末喷塑，无有机溶液，环保无污染，规格：1800*850*400mm</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316" w:hRule="atLeast"/>
        </w:trPr>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饮水机</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冷热两用</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905" w:hRule="atLeast"/>
        </w:trPr>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高档布艺 沙发</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木质材质: 松木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 面料: 棉，北欧风格；三人位2.18米；填充物: 独立弹簧包； 沙发组合形式: L形；可拆洗；</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10" w:hRule="atLeast"/>
        </w:trPr>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辅助类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茶几+两把椅子</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摆放物品,用于心理咨询。</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90" w:hRule="atLeast"/>
        </w:trPr>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auto"/>
                <w:kern w:val="0"/>
                <w:sz w:val="24"/>
                <w:szCs w:val="24"/>
                <w:u w:val="none"/>
                <w:lang w:val="en-US" w:eastAsia="zh-CN" w:bidi="ar"/>
              </w:rPr>
              <w:t>智能想象表达训练系统</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产品介绍：本系统将心理成长、想象力开发、记忆力开发及色彩心理知识普及紧密结合的创新型产品，该系统后台管理功能丰富，操作简单，实用性极强。</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1、 </w:t>
            </w:r>
            <w:r>
              <w:rPr>
                <w:rFonts w:hint="eastAsia" w:ascii="宋体" w:hAnsi="宋体" w:eastAsia="宋体" w:cs="宋体"/>
                <w:b w:val="0"/>
                <w:bCs w:val="0"/>
                <w:i w:val="0"/>
                <w:color w:val="000000"/>
                <w:kern w:val="0"/>
                <w:sz w:val="21"/>
                <w:szCs w:val="21"/>
                <w:u w:val="none"/>
                <w:lang w:val="en-US" w:eastAsia="zh-CN" w:bidi="ar"/>
              </w:rPr>
              <w:t>★</w:t>
            </w:r>
            <w:r>
              <w:rPr>
                <w:rFonts w:hint="eastAsia" w:ascii="宋体" w:hAnsi="宋体" w:eastAsia="宋体" w:cs="宋体"/>
                <w:i w:val="0"/>
                <w:color w:val="000000"/>
                <w:kern w:val="0"/>
                <w:sz w:val="24"/>
                <w:szCs w:val="24"/>
                <w:u w:val="none"/>
                <w:lang w:val="en-US" w:eastAsia="zh-CN" w:bidi="ar"/>
              </w:rPr>
              <w:t>系统配置：采用Android 8.0系统，10.1寸屏幕，内存64GB容量，存储容量达4+64GB（可扩展），8核心，运行速度流畅，电容型触摸屏，视觉体验出众。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 系统包含教程、再造想象、色彩脱敏、曼陀罗训练、心灵涂鸦、记忆拼图五大主题模块，可释放不良情绪、缓解心理压力、增进想象力和记忆力开发，促进使用者内在的对话和成长。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 系统自带3种不同操作工具及修改工具，提供10种不同颜色选择，在用户选择不同颜色时，系统自动出现4条以上对应色彩心理知识；</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 教程：包括曼陀罗花等植物、动物、人物、建筑等不少于20种不同形状图片制作教程，增强用户的动手能力。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 再造想象：提供大海、沙滩、草原3种场景环境，不同场景提供不少于30种元素搭配，用户可在不同场景上随意操作，或者直接使用场景元素，供客户自由发挥，让人全身心地释放自我。</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 色彩脱敏：按难度划分为20个等级，通过寻找每张图中细微的差别的颜色，不断训练视力对不同色彩的敏感度，借助成功过关带来成长积极暗示，满足多次使用。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 曼陀罗图训练：以荣格的曼陀罗疗法为基础结合先进的表达工具，引导用户合理地表达自我，促进心理成长，多达50种的曼陀罗样图，帮助用户构建心灵蜕变之路。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 心灵涂鸦：用户可运用系统自带3种不同操作工具及修改工具，在三种不同场景情境下，选择10种不同颜色，可随意操作，系统提供不少于30种场景元素供选择，使作品更逼真，反应不同心境，充分发挥自我想象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 记忆拼图：供用户心理放松的趣味性模块，该模块分为可滑动与点选2种模式，通过轻松休闲的拼图游戏可达排解负面情绪，促进心理放松，进而训练、提升记忆力以及注意力。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 界面管理：用户注册后凭密码登录，在我的作品中集中查看自己创作的作品，以及系统可根据用户使用记录给予的相应激励等级，用户每使用某个知识模块的一定时间，就出现对应的激励文字或者动画。</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90" w:hRule="atLeast"/>
        </w:trPr>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auto"/>
                <w:kern w:val="0"/>
                <w:sz w:val="24"/>
                <w:szCs w:val="24"/>
                <w:u w:val="none"/>
                <w:lang w:val="en-US" w:eastAsia="zh-CN" w:bidi="ar"/>
              </w:rPr>
              <w:t>心理健康教育管理平台(中学版)</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心理健康教育管理平台：功能模块：专栏、（机构介绍、关于我们、帮助中心、心理文章、心理图片、心理小测试、心理视频、更新日志）测评（管理员测评普查、管理员自助测评、管理员测评记录、管理普查列表、发起普查、管理测评记录、导出测评记录）、预约咨询（咨询师列表、预约记录、私信记录），调查问卷（管理员问卷列表、管理员问卷记录、综合面板、创建问卷调查），设置（个人信息、皮肤设置、修改密码、综合面板、管理班级、管理量表、管理专栏分类、管理用户资料、管理员辖区设置）等wq20多个功能模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 量表丰富：系统内置多个国际国内通用心理量表，量表范围涵盖认知、情绪、人格、学习、心理健康、职业兴趣等多方面，可有效实现心理特征的全方位扫描。通用版量表有120个。</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自主管理测评量表：系统包含心理健康、情绪、学习、人格、智力、社交、生活、职业测评等多类型的上百个量表（根据版本不一样，量表数量会有区别）。支持自主管理量表，可由管理员自由的管理测评量表，如果管理员暂时不想开放这个量表，可以选择禁用量表，后续又可以恢复量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3、测评报告自动生成：测验完成后，系统自动生成报告，报告以图文并茂的形式，丰富多样。报告内容包括图形、各项因子得分、结果分析语、指导建议等。同时，报告还可以根据老师 的要求进行个性化的添加心理咨询指导建议等。管理员与学生均能查阅测评报告，而学生只能查阅管理员开放的量表报 告，避免敏感性的结果在学生群体中造成不良的影响。</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4、智能预警功能：，危机预警系统可迅速地将测试者心理健康水平进行筛选、分类，生成严重程度的学生群体预警报表，为个案咨询、团体辅导、危机干预等心理辅导工作提供参考依据。</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5、快速预约功能：学生、家长、老师可以在电脑上或者手机上随时实现预约，并查看相关结果。</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建站功能：系统不仅具有测评功能，还具有学生档案管理功能，支持用户自定义文章，图片，测试，视频等模块。系统集测评、心理知识普及、心理网站等功能于一体，每个功能模块用户可以自由更改模块名称与自由添加模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7、问卷调查功能：系统集问卷设计，问卷发布，数据收集等功能于一体。管理员可以根据实际需要发布相关调查问卷并收集相关问卷结果。</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8、系统可自定义分级，针对不同区域、不同学校、不同部门进行由上至下的分级管理要求，系统可设置多个管理员参与管理，最高可设置 99 级管理级别，智能地控制每级管理员的查询数据范围和操作权限。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9、手机APP功能，支持微信接口，可无缝与微信平台对接，用户通过微信扫码即可下载客户端，做到随时随地进行心理测评、查看测评报告，随时预约，随时学习的功能。</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10、档案管理功能：系统自动的为每位学生建立心理测评档案， 包括学生基本情况、历次测评的报告、咨询情况记录、在线答疑的问题等内容，并且能方便快捷查询这些档案内容。</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90" w:hRule="atLeast"/>
        </w:trPr>
        <w:tc>
          <w:tcPr>
            <w:tcW w:w="14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99060</wp:posOffset>
                  </wp:positionH>
                  <wp:positionV relativeFrom="paragraph">
                    <wp:posOffset>1242060</wp:posOffset>
                  </wp:positionV>
                  <wp:extent cx="822960" cy="937260"/>
                  <wp:effectExtent l="0" t="0" r="0" b="7620"/>
                  <wp:wrapNone/>
                  <wp:docPr id="36" name="图片_3"/>
                  <wp:cNvGraphicFramePr/>
                  <a:graphic xmlns:a="http://schemas.openxmlformats.org/drawingml/2006/main">
                    <a:graphicData uri="http://schemas.openxmlformats.org/drawingml/2006/picture">
                      <pic:pic xmlns:pic="http://schemas.openxmlformats.org/drawingml/2006/picture">
                        <pic:nvPicPr>
                          <pic:cNvPr id="36" name="图片_3"/>
                          <pic:cNvPicPr/>
                        </pic:nvPicPr>
                        <pic:blipFill>
                          <a:blip r:embed="rId33"/>
                          <a:stretch>
                            <a:fillRect/>
                          </a:stretch>
                        </pic:blipFill>
                        <pic:spPr>
                          <a:xfrm>
                            <a:off x="0" y="0"/>
                            <a:ext cx="822960" cy="937260"/>
                          </a:xfrm>
                          <a:prstGeom prst="rect">
                            <a:avLst/>
                          </a:prstGeom>
                          <a:noFill/>
                          <a:ln>
                            <a:noFill/>
                          </a:ln>
                        </pic:spPr>
                      </pic:pic>
                    </a:graphicData>
                  </a:graphic>
                </wp:anchor>
              </w:drawing>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基础版沙盘游戏</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一、2个沙盘：沙盘尺寸约：长 72cm×宽 57cm×深7cm(内径尺寸)，沙盘架高约70cm。专用三底两面环保漆；内侧底与边框、底部为蓝色，外部为实木色，表面光滑不伤手、防水、耐磨不掉色。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二2个沙具架，沙具架规格：150cm×30cm×100cm（±3cm），柜体采用5层8阶设计，既美观又便于分类摆放选取沙具。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三、1000个沙具种类：18 大类（宗教类、风车、灯塔等标志类、公共标识类、交通工具类、公共建筑类、桥栅栏类、日月等自然物类、贝壳山石类、现实中人物类、空想人物类虚拟人物、恐龙怪兽类、家具、日用品类、水生动物、野生动物类、家禽家畜类、草坪类、植物类、军队类）</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四、沙盘游戏治疗指导书籍1本</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五、精选原色水洗砂20公斤，颗粒光滑、大小均匀、高温消毒。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六、沙具选取框1套 （沙具选取框2个，清理刷2个）</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七、 健康情绪调节管理平台一套                                                               1、搭载平台：支持多种格式音乐、心理文章，心理图片、心理电影播放，可连接WiFi，可下载相关心理游戏等</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2、功能模块：平台集综合管理功能模块于一体，包含：个体记录、团体记录、用户管理、分析帮助、设备管理、学习资源、查看附件等。</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3、档案管理：系统可记录操作者人口学信息包括姓名、性别、年龄、民族、籍贯等个人信息，为治疗师提供准确详细的分析信息。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4、个体记录：操作者可在个体记录中直接编写当前状态下游戏治疗信息，并可在操作现场直接利用系统搭载平台摄像头拍摄图片或视频上传于个体记录中。</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监测功能：系统可实时监测来访者操作过程中的目光注视，面部表情，肢体动作，身体语言，声音特质，空间距离，操作流程，情绪状态等细节，方便心理治疗师进行观察，真正了解来访者的内心活动，加强咨询功能。</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开放式平台：可通过其他外部设备摄制相关资料上传于该系统；同一操作者再次使用该系统时可在原记录信息上再次添加操作记录即可，方便管理员查看与对比使用者多次使用情况，管理员可通过操作系统直接拍摄现场视频或图片直接记录于系统中，也可以上传其它途径的图片或视频文件；方便治疗师进行前后对比，数据分析，成长记录，增强治疗效果等。</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7、团体记录: 系统可以添加团体活动主题、活动人数、活动地点、活动时间，记录当前背景信息，供后期做数据分析和对比，同时也可以对已完成的操作记录记录进行删除。</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8、分析帮助：系统自带专业角色意向寓意解析，管理员可自行添加和删除角色意向寓意分析，系统可通过检索查找对应角色寓意解析，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9、设备管理：管理员可以通过设备管理模块添加设备具体数量，并且根据消耗情况及时修改，方便管理员直接掌握和统计所有角色模型对应的数量及消耗情况。</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学习资源：管理员可以上传各种心理学相关学习资料，学习资源库中的心理学内容资源不受网络限制，资源支持PPT、word、PDF、视频等内容格式，学习资源内容包括：心理文章500篇，名人励志心理格言500句，不少于50名国际知名心理学专家简介，中小学心理健康课件不少于50篇，心理知识可自主上传，更有针对性，方便用户了解与学习撑握心理键康知识，提升心理键康水平。</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428" w:hRule="atLeast"/>
        </w:trPr>
        <w:tc>
          <w:tcPr>
            <w:tcW w:w="14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1356360</wp:posOffset>
                  </wp:positionV>
                  <wp:extent cx="982345" cy="723265"/>
                  <wp:effectExtent l="0" t="0" r="8255" b="8255"/>
                  <wp:wrapNone/>
                  <wp:docPr id="34" name="图片_1"/>
                  <wp:cNvGraphicFramePr/>
                  <a:graphic xmlns:a="http://schemas.openxmlformats.org/drawingml/2006/main">
                    <a:graphicData uri="http://schemas.openxmlformats.org/drawingml/2006/picture">
                      <pic:pic xmlns:pic="http://schemas.openxmlformats.org/drawingml/2006/picture">
                        <pic:nvPicPr>
                          <pic:cNvPr id="34" name="图片_1"/>
                          <pic:cNvPicPr/>
                        </pic:nvPicPr>
                        <pic:blipFill>
                          <a:blip r:embed="rId34"/>
                          <a:stretch>
                            <a:fillRect/>
                          </a:stretch>
                        </pic:blipFill>
                        <pic:spPr>
                          <a:xfrm>
                            <a:off x="0" y="0"/>
                            <a:ext cx="982345" cy="723265"/>
                          </a:xfrm>
                          <a:prstGeom prst="rect">
                            <a:avLst/>
                          </a:prstGeom>
                          <a:noFill/>
                          <a:ln>
                            <a:noFill/>
                          </a:ln>
                        </pic:spPr>
                      </pic:pic>
                    </a:graphicData>
                  </a:graphic>
                </wp:anchor>
              </w:drawing>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auto"/>
                <w:kern w:val="0"/>
                <w:sz w:val="24"/>
                <w:szCs w:val="24"/>
                <w:u w:val="none"/>
                <w:lang w:val="en-US" w:eastAsia="zh-CN" w:bidi="ar"/>
              </w:rPr>
              <w:t>智能反馈音乐放松系统I型</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尺寸约：</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长(L)105cm×宽(W)90cm×高(H)105cm(椅背收起)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长(L)170cm×宽(W)90cm×高(H)60cm（椅背展开）</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产品净重：45KG   最大承载量：100KG ；电源：220V（50Hz）</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产品组成：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1.高级真皮电动功能椅：采头等舱设计，功能椅靠背、腿部无线电动控制设计，靠背约100度-170度，腿部约90度-170度任意调节。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多功能生理指标采集系统：采用无线蓝牙指脉式生理指标采集，蓝牙频段范围：2402.00-2480.00MHZ，最大输出功率：＜100mW。集成手腕式生物反馈处理器，精确反馈人体多项生理指标，采集终端可直观显示：蓝牙指示灯、蜂鸣器指示灯、血氧饱和度指示灯、脉率指示灯、电量指示灯、血氧饱和度值、脉率值、脉搏强度、容积波。</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3.★多功能音乐反馈放松系统：系统分为用户登录，智能放松、放松训练、自主放松、系统设置、数据中心六大模块。并远程实现对功能椅的多种姿态调节控制。</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播音系统:内置高品质音响，公放尺寸约20cmX18cm，质流线型手工箱体设计，喇叭外露式设计环绕，音箱尺寸约15cmX10cm，功率：10W+10W、低音功率：25W、标准阻抗：4欧姆、灵敏度：85dB、频率范围：80Hz~18KHz、电源输入：220v~50Hz。内置蓝牙，带有模拟音频信号输入接口、USB输入接口，支持电脑、手机、平板等随需切换无线/有线模式，更多应用场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5.智能一体化操作系统：智能音乐反馈放松系统和音乐放松椅姿势调整系统高度集成。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6.存储系统：配置高容量存储系统16G，内置大量放松音乐、放松视频、放松图片等资料，并可无限扩充，支持SD卡及USB存储设备等。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7.音乐放松催眠系统：专业音乐放松指导视频及催眠摇摆仪等设备。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功能介绍：</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系统软件可实现在音乐放松全程中，实时监测训练者的生理指标变化，采集到的生理指标包括血氧、脉率、脉搏、PNN50、QRS、心跳、R-R,HRV心率变异性等多项生理指标。并且系统可智能判断评估放松情况；系统用独特的模型算法，对训练者的各项实时生理指标数据进行计算分析，判断减压放松的有效性。</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放松方案智能跟踪：放松方案动态切换，智能选择，所有的放松过程，包括生理指标的变化都可进行历史放松回放，帮助使用者进行数据对比，及时了解最新心理和生理状况；实现放松方案的个体化和跟踪化，节约人力操作，提高效率。</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3、智能放松功能：</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 智能定制放松：系统给出几种不同的音乐风格，通过采集指标，通过采集指标，智能分析来访者，定制适合与当前状态的放松方案。</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 智能动态放松：通过采集来访者当前生理指标，系统智能分析，动态调整放松音乐。</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4、放松训练采用想象放松：</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（1）大海:想象在大海的小岛上，温暖的海风，柔软的沙滩，心都会陶醉。</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（2）田野：仿佛回到了乡下，一片片田野绿油油的，无比舒畅。</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（3）草原：每个人心中都有一片自己向往的草原，在那里放空自己。呼吸放松、鼻腔放松、肌肉放松等多种真人放松指导视频和视听资料，并配合放松音效，提升放松效果；</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5、自主放松包括：情绪音乐、中医五行、脑波音乐、放松减压带指导语、纯音乐等多种音乐。并且系统可根据来访者选择的不同音乐类型会自动调整放松姿势。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无线蓝牙生理数据采集与传输功能：指脉式生理指标采集器与手腕式生理数据处理器，实现无线数据传输。摆脱使用USB等数据线形式，在有效距离为5米内，反馈放松时可以在房间内自由活动，减少用户在放松训练过程中的束缚感，根据实际情况可将整个放松过程扩大至音乐放松椅，沙发和卧床上。使用者并可以生理采集设备面板进行生理采集连接、断开等操作，远程完成放松训练的开启和关闭。可通过下载安装APP与手机、平板等移动终端设备实现24小时血氧、脉率、灌注指数生理指标监测，支持安卓windows系统、Android系统、IOS系统。</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7、★音乐放松椅姿势远程调节功能：</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(1)放松椅全部姿势可实现无线远程调节，使用者可以通过音乐反馈系统中的功能椅控制界面，选择自己喜欢的放松姿势。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系统为来访者预设了舒适正坐、减压躺靠、松弛后仰、放松仰躺、零重力等姿势状态，控制面板上的音乐椅会根据被选择的姿势状态同步为来访者展现放松椅的调节角度，让来访者对自己当前状态下的姿势状态了如指掌，提高安全系数。</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(3)并且系统可根据来访者选择的不同音乐类型会自动调整放松姿势。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8、智能无线蓝牙自动匹配功能：音乐放松反馈系统打开状态下，生理指标采集、智能音乐放松、放松椅姿势调节系统可自动进行数据连接匹配，无需任何手动操作，极大简化了操作过程。</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9、数据反馈中心： 数据图文化训练报告：训练报告以图形加文字方式显示，清晰记录训练者整个放松过程的各类生理指标的数值、变化曲线，以及相关放松训练评价文字和参考建议。报告可以导出 为WORD和图片。</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10、在线升级功能：系统版本升级，系统可自动远程识别并进行升级。</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产品配置：</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1、音乐放松椅1台</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2、音乐放松系统1套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3、生理指标采集器1套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4、显示器支架1套</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5、催眠眼罩2个</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6、指导书籍1本</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2043" w:hRule="atLeast"/>
        </w:trPr>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7620</wp:posOffset>
                  </wp:positionH>
                  <wp:positionV relativeFrom="paragraph">
                    <wp:posOffset>723900</wp:posOffset>
                  </wp:positionV>
                  <wp:extent cx="990600" cy="1082040"/>
                  <wp:effectExtent l="0" t="0" r="0" b="0"/>
                  <wp:wrapNone/>
                  <wp:docPr id="32" name="图片_12"/>
                  <wp:cNvGraphicFramePr/>
                  <a:graphic xmlns:a="http://schemas.openxmlformats.org/drawingml/2006/main">
                    <a:graphicData uri="http://schemas.openxmlformats.org/drawingml/2006/picture">
                      <pic:pic xmlns:pic="http://schemas.openxmlformats.org/drawingml/2006/picture">
                        <pic:nvPicPr>
                          <pic:cNvPr id="32" name="图片_12"/>
                          <pic:cNvPicPr/>
                        </pic:nvPicPr>
                        <pic:blipFill>
                          <a:blip r:embed="rId35"/>
                          <a:stretch>
                            <a:fillRect/>
                          </a:stretch>
                        </pic:blipFill>
                        <pic:spPr>
                          <a:xfrm>
                            <a:off x="0" y="0"/>
                            <a:ext cx="990600" cy="1082040"/>
                          </a:xfrm>
                          <a:prstGeom prst="rect">
                            <a:avLst/>
                          </a:prstGeom>
                          <a:noFill/>
                          <a:ln>
                            <a:noFill/>
                          </a:ln>
                        </pic:spPr>
                      </pic:pic>
                    </a:graphicData>
                  </a:graphic>
                </wp:anchor>
              </w:drawing>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仿真型宣泄人-男（录音版）</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1、智能仿真型宣泄人1个（男）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外观设计采用拥抱击打部分及机身稳定部分组成，高度以及大小符合中小学生以及成人使用，金属支架结构；身高约180cm±5cm（可根据适用对象选择具体的版本）内部填充环保材料，无缝对接闭合，仿真人外形，真人服装。智能语音开关：产品通电后无需打开操作电源开关，通过直接多触点震动芯片感应即可启动机器进入工作状态。远程语音采集传感器：语音感应采集传感技术；语音感应最佳距离10cm-20cm，工作电压4.5V，内置语音储存芯片，可存储，可删除,可播放。</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头部必须为仿真人设计，采用玻璃钢材质，无毒无味，手感舒适。五官轮廓清晰，棱角分明，细节设计逼真，眼睛部位包括眉毛、眼睑、眼珠等。整体一体成型，增加了仿真性和耐用性，采用进口高缓冲材料，一次性磨具成型，大大提供高了宣泄手感，在宣泄的同时可以很好的保护来访者。</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底座采用稳定型圆柱底座，底座尺寸约：直径70cm,高20cm，稳定安全美观；可注沙，底座语音操作控制系统内置自定义电路板模块可实现录音功能、其内部安装有4寸方型纸盆45磁4欧5W外放喇叭以及经过CE检测PCB板，尺寸约为：4.5cmX6.5cm，PCB板上设置有振动感应芯片和语音播报芯片以及主控制器，布线密度高，体积小，重量轻。</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（4）智能仿真型宣泄人发声系统默认6种不同的求饶声，并内置有语音自定义存储器为来访者录制自己的宣泄语，来访者可连续录制7段自定义语音，并可以随机播放，电路板5V安全电压供电，简易安全。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2、护手套2对(可有效的缓冲打击时的撞击，采用了轻型耐用材料)</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3、摔打宣泄球4个（橡胶）</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4、立式宣泄球1个（立式不倒，外层高级仿皮材料，高度可调节。）</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5、宣泄挂图4张（高清晰画质、永不退色,）</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6、宣泄室制度1张（高清晰画质、永不退色,）</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7、充气宣泄棒2根（长约80cm，锥型）</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789" w:hRule="atLeast"/>
        </w:trPr>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立式宣泄柱</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沙袋：高度：高80厘米，底座高70厘米， 底座直径：48厘米，击打部分直径：30厘米，特点：产品不需挂吊，具有缓冲性，安装简单，只需加水（或沙）即可在室内进行训练。上部与下部是PVC在一起,可取开成两个部分,上部是优质皮革下边是加大PVC而成,保证每次击打能迅速复位，    上部击打部分由优质皮革细密缝制而成,内部为硬质海绵及PVC材料。下部底座为ABS材料一次成型,可装水或沙子.使沙袋放在地上稳固。</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789" w:hRule="atLeast"/>
        </w:trPr>
        <w:tc>
          <w:tcPr>
            <w:tcW w:w="14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心理挂图</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心理挂图包含：可能图形、两歧图形、错觉图形、心理趣味图形等多种主题;根据应用类型，可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划分为心理知识类、心理放松类、心理暗示类、心理大师类、心理错觉类、艺术风景类等多个</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种类，心理挂图的画质清晰，色彩明丽，色调柔和，有很好的装饰空间的视觉效果;采用KT版材质，永不褪色，规格：43*56cm ，整体形象高档美观</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副</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2378" w:hRule="atLeast"/>
        </w:trPr>
        <w:tc>
          <w:tcPr>
            <w:tcW w:w="14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53340</wp:posOffset>
                  </wp:positionH>
                  <wp:positionV relativeFrom="paragraph">
                    <wp:posOffset>320040</wp:posOffset>
                  </wp:positionV>
                  <wp:extent cx="838200" cy="541020"/>
                  <wp:effectExtent l="0" t="0" r="0" b="7620"/>
                  <wp:wrapNone/>
                  <wp:docPr id="31" name="图片_10"/>
                  <wp:cNvGraphicFramePr/>
                  <a:graphic xmlns:a="http://schemas.openxmlformats.org/drawingml/2006/main">
                    <a:graphicData uri="http://schemas.openxmlformats.org/drawingml/2006/picture">
                      <pic:pic xmlns:pic="http://schemas.openxmlformats.org/drawingml/2006/picture">
                        <pic:nvPicPr>
                          <pic:cNvPr id="31" name="图片_10"/>
                          <pic:cNvPicPr/>
                        </pic:nvPicPr>
                        <pic:blipFill>
                          <a:blip r:embed="rId36"/>
                          <a:stretch>
                            <a:fillRect/>
                          </a:stretch>
                        </pic:blipFill>
                        <pic:spPr>
                          <a:xfrm>
                            <a:off x="0" y="0"/>
                            <a:ext cx="838200" cy="541020"/>
                          </a:xfrm>
                          <a:prstGeom prst="rect">
                            <a:avLst/>
                          </a:prstGeom>
                          <a:noFill/>
                          <a:ln>
                            <a:noFill/>
                          </a:ln>
                        </pic:spPr>
                      </pic:pic>
                    </a:graphicData>
                  </a:graphic>
                </wp:anchor>
              </w:drawing>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团体活动桌椅</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每套环形组合桌，6个扇形桌面，8种/6种颜色。颜色：红蓝绿黄橙白等，能够根据团体活动需要，组合成圆形、扇形、方形、S形、C形、X形等十几种排列方式。</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钢木材质，木质多层双面漆面板，金属支架，桌面支架采用直径约5厘米圆管，桌子外圆直径约160厘米（6面），高约70厘米；根据团体辅导活动的专业要求， 组合后圆的内直径是约60厘米，色彩丰富，单色色度艳丽无色差，不开裂不变形，耐热耐污耐擦，更加环保。配6个折叠椅支架由铁管加烤漆工艺构成。坐面宽大，坐感舒适；人体工程设计。</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1789" w:hRule="atLeast"/>
        </w:trPr>
        <w:tc>
          <w:tcPr>
            <w:tcW w:w="14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45720</wp:posOffset>
                  </wp:positionH>
                  <wp:positionV relativeFrom="paragraph">
                    <wp:posOffset>60960</wp:posOffset>
                  </wp:positionV>
                  <wp:extent cx="838200" cy="586740"/>
                  <wp:effectExtent l="0" t="0" r="0" b="7620"/>
                  <wp:wrapNone/>
                  <wp:docPr id="33" name="图片_13"/>
                  <wp:cNvGraphicFramePr/>
                  <a:graphic xmlns:a="http://schemas.openxmlformats.org/drawingml/2006/main">
                    <a:graphicData uri="http://schemas.openxmlformats.org/drawingml/2006/picture">
                      <pic:pic xmlns:pic="http://schemas.openxmlformats.org/drawingml/2006/picture">
                        <pic:nvPicPr>
                          <pic:cNvPr id="33" name="图片_13"/>
                          <pic:cNvPicPr/>
                        </pic:nvPicPr>
                        <pic:blipFill>
                          <a:blip r:embed="rId37"/>
                          <a:stretch>
                            <a:fillRect/>
                          </a:stretch>
                        </pic:blipFill>
                        <pic:spPr>
                          <a:xfrm>
                            <a:off x="0" y="0"/>
                            <a:ext cx="838200" cy="586740"/>
                          </a:xfrm>
                          <a:prstGeom prst="rect">
                            <a:avLst/>
                          </a:prstGeom>
                          <a:noFill/>
                          <a:ln>
                            <a:noFill/>
                          </a:ln>
                        </pic:spPr>
                      </pic:pic>
                    </a:graphicData>
                  </a:graphic>
                </wp:anchor>
              </w:drawing>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艺术活动箱</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（基础型）</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1、音乐心理辅导器具：手拍鼓，口琴等乐器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2、美术心理辅导器具：绘画类用品，串珠类用品，美术辅助用品；</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3、舞动心理辅导器具：器具类，球类，绳索类，丝绸类，舞动辅助用品；</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4、配套书籍4本（色彩心理学、绘画心理学，音乐心理学，舞蹈心理学）</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不少于25种道具，数量不少于150件，产品适合学校、社区、青少年宫等场地使用。</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89" w:hRule="atLeast"/>
        </w:trPr>
        <w:tc>
          <w:tcPr>
            <w:tcW w:w="14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专业类</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团体活动辅导箱（标配</w:t>
            </w: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-1410335</wp:posOffset>
                  </wp:positionH>
                  <wp:positionV relativeFrom="paragraph">
                    <wp:posOffset>545465</wp:posOffset>
                  </wp:positionV>
                  <wp:extent cx="808355" cy="586740"/>
                  <wp:effectExtent l="0" t="0" r="14605" b="7620"/>
                  <wp:wrapNone/>
                  <wp:docPr id="37" name="图片_11"/>
                  <wp:cNvGraphicFramePr/>
                  <a:graphic xmlns:a="http://schemas.openxmlformats.org/drawingml/2006/main">
                    <a:graphicData uri="http://schemas.openxmlformats.org/drawingml/2006/picture">
                      <pic:pic xmlns:pic="http://schemas.openxmlformats.org/drawingml/2006/picture">
                        <pic:nvPicPr>
                          <pic:cNvPr id="37" name="图片_11"/>
                          <pic:cNvPicPr/>
                        </pic:nvPicPr>
                        <pic:blipFill>
                          <a:blip r:embed="rId38"/>
                          <a:stretch>
                            <a:fillRect/>
                          </a:stretch>
                        </pic:blipFill>
                        <pic:spPr>
                          <a:xfrm>
                            <a:off x="0" y="0"/>
                            <a:ext cx="808355" cy="586740"/>
                          </a:xfrm>
                          <a:prstGeom prst="rect">
                            <a:avLst/>
                          </a:prstGeom>
                          <a:noFill/>
                          <a:ln>
                            <a:noFill/>
                          </a:ln>
                        </pic:spPr>
                      </pic:pic>
                    </a:graphicData>
                  </a:graphic>
                </wp:anchor>
              </w:drawing>
            </w:r>
            <w:r>
              <w:rPr>
                <w:rFonts w:hint="eastAsia" w:ascii="宋体" w:hAnsi="宋体" w:eastAsia="宋体" w:cs="宋体"/>
                <w:i w:val="0"/>
                <w:color w:val="000000"/>
                <w:kern w:val="0"/>
                <w:sz w:val="24"/>
                <w:szCs w:val="24"/>
                <w:u w:val="none"/>
                <w:lang w:val="en-US" w:eastAsia="zh-CN" w:bidi="ar"/>
              </w:rPr>
              <w:t>版）</w:t>
            </w:r>
          </w:p>
        </w:tc>
        <w:tc>
          <w:tcPr>
            <w:tcW w:w="54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活动包尺寸约：45*38*20cm各类型的活动器材几百件，适合30－50个人同时使用，适用于公司、社区、企事业单位、学校、监狱、部队等所有进行团体活动的部门。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活动主题：自我探索，亲情联接，人际互动，团体熔炼，学会学习，潜能开发，领导管理，开拓创新，价值选择，社会责任。</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1、自我探索：成长五部曲、心灵之舞、我的“角落”、左右脚、20个“自我”、自画像、背上留言、生命线、盲人与“拐杖”求生抉择。</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2、亲情联接：家庭大事记、找变化、清扫亲情“垃圾”、给......的一封信、My Birthday party、父母亲的剪影、感恩父母、原生家庭、再选你的父母、我的家庭树。</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3、人际互动：身体认字、说句奉承话、快枪手、爱在指尖、你说我画、心有千千结、巧过地雷阵、朋友大拍卖、最少的脚、多元排队。</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4、团队熔炼：背背佳、七手八脚、食指神功、气球桥梁、啄木鸟行动、创意搭档、风中奇遇、横渡硫酸河、信任之旅、珍珠岛救援大行动。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5、学会学习：撕纸条、疯狂一分钟、我是钟、出谋划策、职业畅想发布会、没有你，我怎么办、神奇大变身、叫醒你的N种思维、fashion show、enjoy your feeling。</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6、潜能开发：突出重围、举手礼、穿绳游戏、优点坐椅、三只小猪“造房子”、随机应变、传球游戏、沧海一舟、创意剪纸、穿越A4纸。</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7、领导管理：勇于面对、今天我当家、老鹰抓小鸡、缺失的一角、真的还是假的、贩卖希望、你来说，我来做、合作方块、穿越障碍、勇闯夺命岛。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8、开拓创新：九点连线、一笔变新字、如何卖木梳给和尚、敢想敢画、从A到B、万能的口香糖、一张让你叫绝的A4纸、分苹果、创意积木大比拼、玩具创意设计。</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9、价值选择：找零钱、早操大表态、取绰号、超级一比一、艺术插花、我的“VIT”、海上求生、价值拍卖、红黑游戏、沉船游戏。</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10、社会责任：承担责任、歌唱祖国、家乡美、我说我知道、放飞我心、职业生涯探索、中国地图、共建未来城、家乡拼图、拯救阳光城。</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配套：a、指导书籍1本、b、团体活动视频剪辑光盘1张、c、心理游戏管理系统1张</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bl>
    <w:p>
      <w:pPr>
        <w:jc w:val="center"/>
        <w:rPr>
          <w:rFonts w:hint="eastAsia"/>
          <w:sz w:val="32"/>
          <w:szCs w:val="32"/>
        </w:rPr>
      </w:pPr>
      <w:r>
        <w:rPr>
          <w:rFonts w:hint="eastAsia"/>
          <w:sz w:val="32"/>
          <w:szCs w:val="32"/>
        </w:rPr>
        <w:t>中小学卫生保健室配置规格及参数</w:t>
      </w:r>
    </w:p>
    <w:p>
      <w:pPr>
        <w:jc w:val="center"/>
        <w:rPr>
          <w:rFonts w:hint="eastAsia"/>
          <w:sz w:val="32"/>
          <w:szCs w:val="32"/>
        </w:rPr>
      </w:pPr>
    </w:p>
    <w:tbl>
      <w:tblPr>
        <w:tblStyle w:val="25"/>
        <w:tblW w:w="9617" w:type="dxa"/>
        <w:tblInd w:w="0" w:type="dxa"/>
        <w:shd w:val="clear" w:color="auto" w:fill="auto"/>
        <w:tblLayout w:type="autofit"/>
        <w:tblCellMar>
          <w:top w:w="0" w:type="dxa"/>
          <w:left w:w="0" w:type="dxa"/>
          <w:bottom w:w="0" w:type="dxa"/>
          <w:right w:w="0" w:type="dxa"/>
        </w:tblCellMar>
      </w:tblPr>
      <w:tblGrid>
        <w:gridCol w:w="721"/>
        <w:gridCol w:w="1674"/>
        <w:gridCol w:w="754"/>
        <w:gridCol w:w="6468"/>
      </w:tblGrid>
      <w:tr>
        <w:tblPrEx>
          <w:shd w:val="clear" w:color="auto" w:fill="auto"/>
          <w:tblCellMar>
            <w:top w:w="0" w:type="dxa"/>
            <w:left w:w="0" w:type="dxa"/>
            <w:bottom w:w="0" w:type="dxa"/>
            <w:right w:w="0" w:type="dxa"/>
          </w:tblCellMar>
        </w:tblPrEx>
        <w:trPr>
          <w:trHeight w:val="33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名称</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数量</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规格参数</w:t>
            </w:r>
          </w:p>
        </w:tc>
      </w:tr>
      <w:tr>
        <w:tblPrEx>
          <w:tblCellMar>
            <w:top w:w="0" w:type="dxa"/>
            <w:left w:w="0" w:type="dxa"/>
            <w:bottom w:w="0" w:type="dxa"/>
            <w:right w:w="0" w:type="dxa"/>
          </w:tblCellMar>
        </w:tblPrEx>
        <w:trPr>
          <w:trHeight w:val="3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身高坐高计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铝杆，测量范围：600－2000mm，站高：60-200cm 坐高40-120cm 精度：±0.1cm</w:t>
            </w:r>
          </w:p>
        </w:tc>
      </w:tr>
      <w:tr>
        <w:tblPrEx>
          <w:tblCellMar>
            <w:top w:w="0" w:type="dxa"/>
            <w:left w:w="0" w:type="dxa"/>
            <w:bottom w:w="0" w:type="dxa"/>
            <w:right w:w="0" w:type="dxa"/>
          </w:tblCellMar>
        </w:tblPrEx>
        <w:trPr>
          <w:trHeight w:val="94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身高体重秤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最大秤量Max=160</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分度值e=d=0.5kg</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长度计量：量度范围70～190（cm）  分度值0.5cm</w:t>
            </w:r>
          </w:p>
        </w:tc>
      </w:tr>
      <w:tr>
        <w:tblPrEx>
          <w:tblCellMar>
            <w:top w:w="0" w:type="dxa"/>
            <w:left w:w="0" w:type="dxa"/>
            <w:bottom w:w="0" w:type="dxa"/>
            <w:right w:w="0" w:type="dxa"/>
          </w:tblCellMar>
        </w:tblPrEx>
        <w:trPr>
          <w:trHeight w:val="21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电子肺活量计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量程：10000ml</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分度：5ml</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精度：1%F.S(气体容积以当时状态计)</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电源：220V/50HZ</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显示：4位液晶显示器（LCD），显示肺活量</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按键：电源开关/清零功能键</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工作环境：0-40摄氏度</w:t>
            </w:r>
          </w:p>
        </w:tc>
      </w:tr>
      <w:tr>
        <w:tblPrEx>
          <w:tblCellMar>
            <w:top w:w="0" w:type="dxa"/>
            <w:left w:w="0" w:type="dxa"/>
            <w:bottom w:w="0" w:type="dxa"/>
            <w:right w:w="0" w:type="dxa"/>
          </w:tblCellMar>
        </w:tblPrEx>
        <w:trPr>
          <w:trHeight w:val="94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秒表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1.时间、日历显示、定时闹响</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2.夜光，防水</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3.附带了指南针功能</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皮脂厚度仪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测量范围：0—60毫米</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多功能测量尺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三折 选用优质木材，刻度清晰，黄底黑字，分度值1mm</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照度计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数字式光照度计</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标准对数视力表灯箱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超薄led对数灯光视力表 2.5m</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红外线测温枪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欧姆龙红外线测温枪</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鱼跃台式血压计</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听诊器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医用单头专业听诊器</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体温计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欧姆龙电子体温计</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压舌板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 14cm</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异物针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不锈钢钛合金 角膜铲形异物针，眼科显微器械，处理异物用</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资料柜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不锈钢，180*390*350</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药品柜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不锈钢，180*390*350</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外伤处理器械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铝合金医疗箱，剪刀，止血钳，镊子，碘酒，棉球，创可贴等</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五官检查器械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医用五官科检查器，检耳镜、眼底镜、牙镜、耳鼻口咽喉、牙科全检</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口腔检查器械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口腔检查四件套</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辩色图谱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色盲检查图， 人民卫生出版社</w:t>
            </w:r>
          </w:p>
        </w:tc>
      </w:tr>
      <w:tr>
        <w:tblPrEx>
          <w:tblCellMar>
            <w:top w:w="0" w:type="dxa"/>
            <w:left w:w="0" w:type="dxa"/>
            <w:bottom w:w="0" w:type="dxa"/>
            <w:right w:w="0" w:type="dxa"/>
          </w:tblCellMar>
        </w:tblPrEx>
        <w:trPr>
          <w:trHeight w:val="3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移动式紫外线消毒车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1、灯管功率：≥30W×2  灯管数量：2支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2、静态适用体积：≥50m³</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3、灯管寿命：≥1000小时</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4、电源电压：220V±10%；频率：50Hz±10%</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5、输入功率：180VA</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6、紫外线波长：253.7nm</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7、辐照强度：≥107uw/cm²（单支灯管）</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*8、脚轮移动可折叠，灯管采用“左右式”双灯管结构以增加紫外线照射面积，双灯管也可单独使用，不用时可垂放，0-180度可任意调节。</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9、带定时装置0-120分钟，</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*10、底座采用“弹珠式”安装方式，操作简单。</w:t>
            </w:r>
          </w:p>
        </w:tc>
      </w:tr>
      <w:tr>
        <w:tblPrEx>
          <w:tblCellMar>
            <w:top w:w="0" w:type="dxa"/>
            <w:left w:w="0" w:type="dxa"/>
            <w:bottom w:w="0" w:type="dxa"/>
            <w:right w:w="0" w:type="dxa"/>
          </w:tblCellMar>
        </w:tblPrEx>
        <w:trPr>
          <w:trHeight w:val="40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紫外线空气消毒器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适用体积≥120m3</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2. 循环消毒风量≥1200m3/h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 机内紫外线辐射强度≥10000uw/cm2</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 机内紫外线泄漏:≤0.1uw/cm2</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 负氧离子发生量:≥6*10^6个/cm3</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6. 细菌总数≤200cfu/m3</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7. 输入功率≤100w</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8. 噪音≤60db</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9. 紫外线灯管寿命5000小时以上</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10. 电源:220V/50Hz</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11. 动态空气消毒时空气中臭氧含量0.1mg/m3;静态臭氧工作时空气中臭氧含量2500mg/h</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12. 移动式</w:t>
            </w:r>
          </w:p>
        </w:tc>
      </w:tr>
      <w:tr>
        <w:tblPrEx>
          <w:tblCellMar>
            <w:top w:w="0" w:type="dxa"/>
            <w:left w:w="0" w:type="dxa"/>
            <w:bottom w:w="0" w:type="dxa"/>
            <w:right w:w="0" w:type="dxa"/>
          </w:tblCellMar>
        </w:tblPrEx>
        <w:trPr>
          <w:trHeight w:val="3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不锈钢手推车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不锈钢，医用小推车</w:t>
            </w:r>
          </w:p>
        </w:tc>
      </w:tr>
      <w:tr>
        <w:tblPrEx>
          <w:tblCellMar>
            <w:top w:w="0" w:type="dxa"/>
            <w:left w:w="0" w:type="dxa"/>
            <w:bottom w:w="0" w:type="dxa"/>
            <w:right w:w="0" w:type="dxa"/>
          </w:tblCellMar>
        </w:tblPrEx>
        <w:trPr>
          <w:trHeight w:val="279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高压灭菌锅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消毒容积 ：18L，φ280×260mm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额定工作压力 ：0.14-0.16Mpa</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额定工作温度 ：126℃</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最大安全压力： 0.165Mpa</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灭菌室热均匀度 ：≤1℃</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功率 ：AC220V.50Hz/2KW</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运输体积（mm） ：410×410×520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毛重/净重 18/16Kg</w:t>
            </w:r>
          </w:p>
        </w:tc>
      </w:tr>
      <w:tr>
        <w:tblPrEx>
          <w:tblCellMar>
            <w:top w:w="0" w:type="dxa"/>
            <w:left w:w="0" w:type="dxa"/>
            <w:bottom w:w="0" w:type="dxa"/>
            <w:right w:w="0" w:type="dxa"/>
          </w:tblCellMar>
        </w:tblPrEx>
        <w:trPr>
          <w:trHeight w:val="6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诊察床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诊断床钢制喷塑诊察床，床体大架是全部为优质加厚圆管钢材制成，床面采用精致木板外包高档皮革制成，床垫内置四公分厚度的高密度海绵</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诊察凳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钢制喷塑，1.2m</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诊察桌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现代风格简易凳子</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搁脚凳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现代风格简易凳子</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处置台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铁皮，180*390*350</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污物桶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 8L</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敷料缸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直径8cm，不锈钢</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卫生箱     （含配置）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内含血压表，听诊器，剪刀，止血钳，镊子，压板，温度计，创可贴等</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酒精灯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150ml酒精灯</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棉球缸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直径8cm，不锈钢</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器械柜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不锈钢，180*390*350</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洗眼设备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冲眼壶，受水器</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落地蛇形灯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不锈钢手术反光灯</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担架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医用担架，折叠，多功能加厚铝合金、不锈钢简易担架床</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三角巾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96*96*136</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贮槽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20cm，不锈钢</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有盖方盘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9寸，不锈钢</w:t>
            </w:r>
          </w:p>
        </w:tc>
      </w:tr>
      <w:tr>
        <w:tblPrEx>
          <w:tblCellMar>
            <w:top w:w="0" w:type="dxa"/>
            <w:left w:w="0" w:type="dxa"/>
            <w:bottom w:w="0" w:type="dxa"/>
            <w:right w:w="0"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w:t>
            </w:r>
          </w:p>
        </w:tc>
        <w:tc>
          <w:tcPr>
            <w:tcW w:w="16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电子血压计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欧姆龙</w:t>
            </w:r>
          </w:p>
        </w:tc>
      </w:tr>
      <w:tr>
        <w:tblPrEx>
          <w:tblCellMar>
            <w:top w:w="0" w:type="dxa"/>
            <w:left w:w="0" w:type="dxa"/>
            <w:bottom w:w="0" w:type="dxa"/>
            <w:right w:w="0" w:type="dxa"/>
          </w:tblCellMar>
        </w:tblPrEx>
        <w:trPr>
          <w:trHeight w:val="341" w:hRule="atLeast"/>
        </w:trPr>
        <w:tc>
          <w:tcPr>
            <w:tcW w:w="0" w:type="auto"/>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w:t>
            </w:r>
          </w:p>
        </w:tc>
        <w:tc>
          <w:tcPr>
            <w:tcW w:w="1674"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食品快速安全检测箱</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按配置</w:t>
            </w:r>
          </w:p>
        </w:tc>
      </w:tr>
      <w:tr>
        <w:tblPrEx>
          <w:tblCellMar>
            <w:top w:w="0" w:type="dxa"/>
            <w:left w:w="0" w:type="dxa"/>
            <w:bottom w:w="0" w:type="dxa"/>
            <w:right w:w="0" w:type="dxa"/>
          </w:tblCellMar>
        </w:tblPrEx>
        <w:trPr>
          <w:trHeight w:val="340" w:hRule="atLeast"/>
        </w:trPr>
        <w:tc>
          <w:tcPr>
            <w:tcW w:w="0" w:type="auto"/>
            <w:tcBorders>
              <w:top w:val="single" w:color="auto" w:sz="4" w:space="0"/>
              <w:left w:val="single" w:color="auto" w:sz="4" w:space="0"/>
              <w:bottom w:val="single" w:color="auto"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44</w:t>
            </w:r>
          </w:p>
        </w:tc>
        <w:tc>
          <w:tcPr>
            <w:tcW w:w="1674"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快速制氧机</w:t>
            </w:r>
          </w:p>
        </w:tc>
        <w:tc>
          <w:tcPr>
            <w:tcW w:w="0" w:type="auto"/>
            <w:tcBorders>
              <w:top w:val="single" w:color="auto"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468" w:type="dxa"/>
            <w:tcBorders>
              <w:top w:val="single" w:color="auto" w:sz="4" w:space="0"/>
              <w:left w:val="single" w:color="000000"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鱼跃</w:t>
            </w:r>
          </w:p>
        </w:tc>
      </w:tr>
    </w:tbl>
    <w:p>
      <w:pPr>
        <w:jc w:val="both"/>
        <w:rPr>
          <w:rFonts w:hint="eastAsia"/>
          <w:sz w:val="32"/>
          <w:szCs w:val="32"/>
        </w:rPr>
      </w:pPr>
    </w:p>
    <w:p>
      <w:pPr>
        <w:pStyle w:val="24"/>
        <w:rPr>
          <w:rFonts w:hint="eastAsia"/>
          <w:sz w:val="32"/>
          <w:szCs w:val="32"/>
        </w:rPr>
      </w:pPr>
    </w:p>
    <w:p>
      <w:pPr>
        <w:rPr>
          <w:rFonts w:hint="eastAsia"/>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left"/>
        <w:rPr>
          <w:rFonts w:hint="eastAsia"/>
          <w:sz w:val="32"/>
          <w:szCs w:val="32"/>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left"/>
        <w:rPr>
          <w:rFonts w:hint="eastAsia"/>
          <w:sz w:val="32"/>
          <w:szCs w:val="32"/>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left"/>
        <w:rPr>
          <w:rFonts w:hint="eastAsia"/>
          <w:sz w:val="32"/>
          <w:szCs w:val="32"/>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left"/>
        <w:rPr>
          <w:rFonts w:hint="eastAsia"/>
          <w:sz w:val="32"/>
          <w:szCs w:val="32"/>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center"/>
        <w:rPr>
          <w:rFonts w:hint="eastAsia"/>
          <w:sz w:val="32"/>
          <w:szCs w:val="32"/>
          <w:lang w:eastAsia="zh-CN"/>
        </w:rPr>
      </w:pPr>
      <w:r>
        <w:rPr>
          <w:rFonts w:hint="eastAsia"/>
          <w:sz w:val="32"/>
          <w:szCs w:val="32"/>
          <w:lang w:eastAsia="zh-CN"/>
        </w:rPr>
        <w:t>二标包：</w:t>
      </w:r>
      <w:r>
        <w:rPr>
          <w:rFonts w:hint="eastAsia"/>
          <w:sz w:val="32"/>
          <w:szCs w:val="32"/>
          <w:lang w:val="en-US" w:eastAsia="zh-CN"/>
        </w:rPr>
        <w:t>初中数字化历史专用教室配置和数字化地理创新实验室配置参数</w:t>
      </w:r>
    </w:p>
    <w:p>
      <w:pPr>
        <w:pStyle w:val="3"/>
        <w:numPr>
          <w:ilvl w:val="0"/>
          <w:numId w:val="0"/>
        </w:numPr>
        <w:tabs>
          <w:tab w:val="left" w:pos="4877"/>
          <w:tab w:val="center" w:pos="7483"/>
        </w:tabs>
        <w:rPr>
          <w:sz w:val="28"/>
          <w:szCs w:val="28"/>
        </w:rPr>
      </w:pPr>
      <w:bookmarkStart w:id="21" w:name="_Toc32544"/>
      <w:r>
        <w:rPr>
          <w:rFonts w:hint="eastAsia"/>
          <w:sz w:val="28"/>
          <w:szCs w:val="28"/>
        </w:rPr>
        <w:t>一．数字化地理创新实验室配置规格及要求</w:t>
      </w:r>
      <w:bookmarkEnd w:id="21"/>
    </w:p>
    <w:tbl>
      <w:tblPr>
        <w:tblStyle w:val="25"/>
        <w:tblpPr w:leftFromText="180" w:rightFromText="180" w:vertAnchor="text" w:horzAnchor="page" w:tblpX="1583" w:tblpY="266"/>
        <w:tblOverlap w:val="never"/>
        <w:tblW w:w="9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823"/>
        <w:gridCol w:w="7038"/>
        <w:gridCol w:w="408"/>
        <w:gridCol w:w="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823"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项目名称</w:t>
            </w:r>
          </w:p>
        </w:tc>
        <w:tc>
          <w:tcPr>
            <w:tcW w:w="7038"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备       注</w:t>
            </w:r>
          </w:p>
        </w:tc>
        <w:tc>
          <w:tcPr>
            <w:tcW w:w="408"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单位</w:t>
            </w:r>
          </w:p>
        </w:tc>
        <w:tc>
          <w:tcPr>
            <w:tcW w:w="58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trPr>
        <w:tc>
          <w:tcPr>
            <w:tcW w:w="460" w:type="dxa"/>
            <w:tcBorders>
              <w:bottom w:val="single" w:color="auto" w:sz="4" w:space="0"/>
            </w:tcBorders>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823" w:type="dxa"/>
            <w:tcBorders>
              <w:bottom w:val="single" w:color="auto" w:sz="4" w:space="0"/>
            </w:tcBorders>
            <w:noWrap w:val="0"/>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交互智能平板</w:t>
            </w:r>
          </w:p>
          <w:p>
            <w:pPr>
              <w:widowControl/>
              <w:jc w:val="center"/>
              <w:textAlignment w:val="center"/>
              <w:rPr>
                <w:rFonts w:hint="eastAsia" w:ascii="仿宋" w:hAnsi="仿宋" w:eastAsia="仿宋" w:cs="仿宋"/>
                <w:color w:val="000000"/>
                <w:kern w:val="0"/>
                <w:sz w:val="24"/>
                <w:szCs w:val="24"/>
              </w:rPr>
            </w:pPr>
          </w:p>
        </w:tc>
        <w:tc>
          <w:tcPr>
            <w:tcW w:w="7038" w:type="dxa"/>
            <w:tcBorders>
              <w:bottom w:val="single" w:color="auto" w:sz="4" w:space="0"/>
            </w:tcBorders>
            <w:noWrap w:val="0"/>
            <w:vAlign w:val="center"/>
          </w:tcPr>
          <w:p>
            <w:pPr>
              <w:pStyle w:val="85"/>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一、硬件功能</w:t>
            </w:r>
          </w:p>
          <w:p>
            <w:pPr>
              <w:pStyle w:val="43"/>
              <w:numPr>
                <w:ilvl w:val="0"/>
                <w:numId w:val="5"/>
              </w:numPr>
              <w:spacing w:line="276" w:lineRule="auto"/>
              <w:ind w:firstLineChars="0"/>
              <w:rPr>
                <w:rFonts w:hint="eastAsia" w:ascii="仿宋" w:hAnsi="仿宋" w:eastAsia="仿宋" w:cs="仿宋"/>
                <w:sz w:val="24"/>
                <w:szCs w:val="24"/>
              </w:rPr>
            </w:pPr>
            <w:r>
              <w:rPr>
                <w:rFonts w:hint="eastAsia" w:ascii="仿宋" w:hAnsi="仿宋" w:eastAsia="仿宋" w:cs="仿宋"/>
                <w:sz w:val="24"/>
                <w:szCs w:val="24"/>
              </w:rPr>
              <w:t xml:space="preserve">整机屏幕采用 </w:t>
            </w:r>
            <w:r>
              <w:rPr>
                <w:rFonts w:hint="eastAsia" w:ascii="仿宋" w:hAnsi="仿宋" w:eastAsia="仿宋" w:cs="仿宋"/>
                <w:color w:val="000000"/>
                <w:sz w:val="24"/>
                <w:szCs w:val="24"/>
              </w:rPr>
              <w:t xml:space="preserve">≥65英寸 </w:t>
            </w:r>
            <w:r>
              <w:rPr>
                <w:rFonts w:hint="eastAsia" w:ascii="仿宋" w:hAnsi="仿宋" w:eastAsia="仿宋" w:cs="仿宋"/>
                <w:sz w:val="24"/>
                <w:szCs w:val="24"/>
              </w:rPr>
              <w:t>UHD超高清LED 液晶屏，显示比例16:9，具备防眩光效果。；</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屏幕图像分辨率达3840*2160。</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整机电视开关、电脑开关和节能待机键三合一，确保用户操作便捷（采用红外触控技术，支持在Windows系统中进行20点或以上触控。支持在Android系统中进行10点或以上触控。</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整机具有减滤蓝光功能，可通过前置物理功能按键，一键启用减滤蓝光模式。</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设备支持通过前置物理按键，一键启动录屏功能，可将屏幕中显示的课件、音频内容与老师人声同时录制。</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整机支持机身前置物理按键，一键切换画面显示比例（4：3与16:9），可对不同页面比例的PPT课件实现全屏展示。</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整机内置非独立外扩展的摄像头，支持二维码扫码识别，可拍摄不低于500万像素的照片。</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整机内置非独立外扩展的麦克风，可用于一键录屏对音频进行采集整机内置无线网络模块，无任何外接、转接天线及网卡可实现正常网络连接。</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同一物理按键完成Android系统和Windows系统的节能熄屏操作，通过轻按按键实现节能熄屏/唤醒，长按按键实现关机。</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整机内置专业硬件自检维护工具（不接受第三方工具），支持对触摸框、PC模块、光感系统等模块进行检测，针对不同模块给出问题原因提示，可对嵌入式系统运行内存、垃圾文件进行清理。支持直接扫描系统提供的二维码进行在线客服问题报修。</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整机具备不少于3路前置双系统USB3.0接口,双系统USB3.0接口，双系统USB3.0接口支持Android系统、Windows系统读取外接移动存储设备，即插即用无需区分接口对应系统</w:t>
            </w:r>
            <w:r>
              <w:rPr>
                <w:rFonts w:hint="eastAsia" w:ascii="仿宋" w:hAnsi="仿宋" w:eastAsia="仿宋" w:cs="仿宋"/>
                <w:sz w:val="24"/>
                <w:szCs w:val="24"/>
                <w:lang w:eastAsia="zh-CN"/>
              </w:rPr>
              <w:t>。</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支持锁定屏幕触摸和整机前置按键，可通过遥控器、软件菜单（调试菜单）实现该功能，也可通过前置的实体按键以组合按键的形式进行锁定/解锁。</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具备智能手势识别功能，系统在任意信号源通道下可智能识别上、下、左、右方向的手势滑动并调用响应功能，支持将手势滑动方向自定义设置为快速返回、截图、冻结屏幕。</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主板采用H310芯片组，搭载酷睿系列 I3 CPU，内存：4GB DDR4笔记本内存或以上配置，硬盘：128GB或以上SSD固态硬盘</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采用抽拉内置式模块化电脑，抽拉内置式，PC模块可插入整机，可实现无单独接线的插拔。采用120pin或以上接口。</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模块化电脑采用按压式卡扣方式，无需工具即可快速拆卸电脑模块。</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模块化电脑</w:t>
            </w:r>
            <w:r>
              <w:rPr>
                <w:rStyle w:val="31"/>
                <w:rFonts w:hint="eastAsia" w:ascii="仿宋" w:hAnsi="仿宋" w:eastAsia="仿宋" w:cs="仿宋"/>
                <w:sz w:val="24"/>
                <w:szCs w:val="24"/>
              </w:rPr>
              <w:t>具有独立非外扩展的电脑USB接口：电脑上至少具备4个USB3.0 TypeA接口，1个USB TypeC接口（支持TypeC接口的U盘插入使用）</w:t>
            </w:r>
            <w:r>
              <w:rPr>
                <w:rFonts w:hint="eastAsia" w:ascii="仿宋" w:hAnsi="仿宋" w:eastAsia="仿宋" w:cs="仿宋"/>
                <w:sz w:val="24"/>
                <w:szCs w:val="24"/>
              </w:rPr>
              <w:t>。</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模块化电脑预安装正版Windows 10 Professional 专业版和Microsoft Office 2016 正版软件，）。</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整机端内置蓝牙：在Windows系统下，整机可通过蓝牙模块与蓝牙音箱连接，通过蓝牙音箱播放整机音频。</w:t>
            </w:r>
          </w:p>
          <w:p>
            <w:pPr>
              <w:pStyle w:val="43"/>
              <w:numPr>
                <w:ilvl w:val="0"/>
                <w:numId w:val="6"/>
              </w:numPr>
              <w:ind w:firstLine="560"/>
              <w:rPr>
                <w:rFonts w:hint="eastAsia" w:ascii="仿宋" w:hAnsi="仿宋" w:eastAsia="仿宋" w:cs="仿宋"/>
                <w:sz w:val="24"/>
                <w:szCs w:val="24"/>
              </w:rPr>
            </w:pPr>
            <w:r>
              <w:rPr>
                <w:rFonts w:hint="eastAsia" w:ascii="仿宋" w:hAnsi="仿宋" w:eastAsia="仿宋" w:cs="仿宋"/>
                <w:sz w:val="24"/>
                <w:szCs w:val="24"/>
              </w:rPr>
              <w:t>软件部分</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具有可扩展，易于学校管理，安全可靠的云存储空间，根据每名教师使用时长与教学资料制作频率提供可扩展升级至不小于200G的个人云空间。</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为使用方全体教师配备个人账号，形成一体的信息化教学账号体系；根据教师账号信息将教师云空间匹配至对应学校、学科校本资源库。支持通过数字账号、微信二维码、硬件密钥方式登录教师个人账号。</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互动教学课件支持分享至学校校本资源库，学段学科根据教师个人信息自动匹配，分享后课件全校教师可见，并可直接下载使用。校本资源库支持按学科、学段进行快速查找，同时支持关键词精准检索。</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备授课平台对接教学数据管理平台，可将教学平台的教案关联至教师课件，支持课件同时关联多份教案，关联后教师可在备课界面调用查看教案，便于教研工作开展。</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采用备授课一体化框架设计，教师可根据教学场景自由切换类PPT界面的备课模式与触控交互教学模式，适用于教室、办公室等不同教学环境，便于教师教学使用。</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互动课件内容的编辑修改无需人为保存即可自动同步至云空间，可根据教师需要调整云空间自动同步的时间间隔，避免教学资源的损坏、遗失。</w:t>
            </w:r>
          </w:p>
          <w:p>
            <w:pPr>
              <w:pStyle w:val="43"/>
              <w:numPr>
                <w:ilvl w:val="0"/>
                <w:numId w:val="5"/>
              </w:numPr>
              <w:ind w:firstLineChars="0"/>
              <w:rPr>
                <w:rFonts w:hint="eastAsia" w:ascii="仿宋" w:hAnsi="仿宋" w:eastAsia="仿宋" w:cs="仿宋"/>
                <w:sz w:val="24"/>
                <w:szCs w:val="24"/>
              </w:rPr>
            </w:pPr>
            <w:r>
              <w:rPr>
                <w:rFonts w:hint="eastAsia" w:ascii="仿宋" w:hAnsi="仿宋" w:eastAsia="仿宋" w:cs="仿宋"/>
                <w:sz w:val="24"/>
                <w:szCs w:val="24"/>
              </w:rPr>
              <w:t>支持PPT的原生解析，教师可将pptx课件转化为互动教学课件，保留pptx原文件中的文字、图片、表格等对象及动画的可编辑性，并可为课件增加互动教学元素。</w:t>
            </w:r>
          </w:p>
          <w:p>
            <w:pPr>
              <w:pStyle w:val="43"/>
              <w:numPr>
                <w:ilvl w:val="0"/>
                <w:numId w:val="5"/>
              </w:numPr>
              <w:ind w:firstLineChars="0"/>
              <w:rPr>
                <w:rFonts w:hint="eastAsia" w:ascii="仿宋" w:hAnsi="仿宋" w:eastAsia="仿宋" w:cs="仿宋"/>
                <w:color w:val="000000"/>
                <w:kern w:val="0"/>
                <w:sz w:val="24"/>
                <w:szCs w:val="24"/>
              </w:rPr>
            </w:pPr>
            <w:r>
              <w:rPr>
                <w:rFonts w:hint="eastAsia" w:ascii="仿宋" w:hAnsi="仿宋" w:eastAsia="仿宋" w:cs="仿宋"/>
                <w:sz w:val="24"/>
                <w:szCs w:val="24"/>
              </w:rPr>
              <w:t>提供页面备注功能，可一键展开/隐藏备注。方便教师备课过程中记录教学研究思路用于教学反思。</w:t>
            </w:r>
          </w:p>
        </w:tc>
        <w:tc>
          <w:tcPr>
            <w:tcW w:w="408" w:type="dxa"/>
            <w:tcBorders>
              <w:bottom w:val="single" w:color="auto" w:sz="4" w:space="0"/>
            </w:tcBorders>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kern w:val="0"/>
                <w:sz w:val="24"/>
                <w:szCs w:val="24"/>
              </w:rPr>
              <w:t>台</w:t>
            </w:r>
          </w:p>
        </w:tc>
        <w:tc>
          <w:tcPr>
            <w:tcW w:w="580" w:type="dxa"/>
            <w:tcBorders>
              <w:bottom w:val="single" w:color="auto" w:sz="4" w:space="0"/>
            </w:tcBorders>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tcBorders>
              <w:bottom w:val="single" w:color="auto" w:sz="4" w:space="0"/>
            </w:tcBorders>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823" w:type="dxa"/>
            <w:tcBorders>
              <w:bottom w:val="single" w:color="auto" w:sz="4" w:space="0"/>
            </w:tcBorders>
            <w:noWrap w:val="0"/>
            <w:vAlign w:val="center"/>
          </w:tcPr>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教学书写板</w:t>
            </w:r>
          </w:p>
          <w:p>
            <w:pPr>
              <w:spacing w:line="360" w:lineRule="auto"/>
              <w:jc w:val="center"/>
              <w:rPr>
                <w:rFonts w:hint="eastAsia" w:ascii="仿宋" w:hAnsi="仿宋" w:eastAsia="仿宋" w:cs="仿宋"/>
                <w:color w:val="000000"/>
                <w:kern w:val="0"/>
                <w:sz w:val="24"/>
                <w:szCs w:val="24"/>
              </w:rPr>
            </w:pPr>
          </w:p>
        </w:tc>
        <w:tc>
          <w:tcPr>
            <w:tcW w:w="7038" w:type="dxa"/>
            <w:tcBorders>
              <w:bottom w:val="single" w:color="auto" w:sz="4" w:space="0"/>
            </w:tcBorders>
            <w:noWrap w:val="0"/>
            <w:vAlign w:val="top"/>
          </w:tcPr>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1.结构：双层结构，内层为固定书写板，外层为滑动书写板，滑动板配装刻有黑板品牌LOGO标识的挂锁，支持电子产品居中放置；</w:t>
            </w:r>
          </w:p>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2.基本尺寸：≥4000mm×1280mm，保证与电子产品外形尺寸配套；</w:t>
            </w:r>
          </w:p>
          <w:p>
            <w:pPr>
              <w:spacing w:line="360" w:lineRule="auto"/>
              <w:rPr>
                <w:rFonts w:hint="eastAsia" w:ascii="仿宋" w:hAnsi="仿宋" w:eastAsia="仿宋" w:cs="仿宋"/>
                <w:kern w:val="0"/>
                <w:sz w:val="24"/>
                <w:szCs w:val="24"/>
                <w:lang w:eastAsia="zh-CN"/>
              </w:rPr>
            </w:pPr>
            <w:r>
              <w:rPr>
                <w:rFonts w:hint="eastAsia" w:ascii="仿宋" w:hAnsi="仿宋" w:eastAsia="仿宋" w:cs="仿宋"/>
                <w:kern w:val="0"/>
                <w:sz w:val="24"/>
                <w:szCs w:val="24"/>
              </w:rPr>
              <w:t>3.★板面：优质烤漆板面，亚光墨绿色，光泽度≤12光泽单位。参照GB/T6739-2006,板面硬度测试结果为9H无划痕</w:t>
            </w:r>
            <w:r>
              <w:rPr>
                <w:rFonts w:hint="eastAsia" w:ascii="仿宋" w:hAnsi="仿宋" w:eastAsia="仿宋" w:cs="仿宋"/>
                <w:kern w:val="0"/>
                <w:sz w:val="24"/>
                <w:szCs w:val="24"/>
                <w:lang w:eastAsia="zh-CN"/>
              </w:rPr>
              <w:t>。</w:t>
            </w:r>
          </w:p>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4.衬板：选用吸音、防潮、阻燃聚苯乙烯板，厚度≥14mm；</w:t>
            </w:r>
          </w:p>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5.背板：选用优质镀锌钢板。设有凹槽加强筋；</w:t>
            </w:r>
          </w:p>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6.覆板：自动化流水线覆板作业，甲醛释放量≤0.15mg/L，符合GB 28231-2011《书写板安全卫生要求》；</w:t>
            </w:r>
          </w:p>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7.★边框：采用高强度电泳香槟色铝合金，模具挤压一次成型，依据GB5237.3-2008＆GB/T8013.1-2001落砂磨耗实验结果为合格，提供检测报告；</w:t>
            </w:r>
          </w:p>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8.黑板滑轮：上轮采用减震消音双吊轮，滑轮使用高精度轴承稳定性好；</w:t>
            </w:r>
          </w:p>
          <w:p>
            <w:pPr>
              <w:spacing w:line="360" w:lineRule="auto"/>
              <w:rPr>
                <w:rFonts w:hint="eastAsia" w:ascii="仿宋" w:hAnsi="仿宋" w:eastAsia="仿宋" w:cs="仿宋"/>
                <w:sz w:val="24"/>
                <w:szCs w:val="24"/>
              </w:rPr>
            </w:pPr>
            <w:r>
              <w:rPr>
                <w:rFonts w:hint="eastAsia" w:ascii="仿宋" w:hAnsi="仿宋" w:eastAsia="仿宋" w:cs="仿宋"/>
                <w:kern w:val="0"/>
                <w:sz w:val="24"/>
                <w:szCs w:val="24"/>
              </w:rPr>
              <w:t>9.安全性：一把锁实现对滑动黑板的锁定，钥匙通用，方便实用；</w:t>
            </w:r>
          </w:p>
        </w:tc>
        <w:tc>
          <w:tcPr>
            <w:tcW w:w="408" w:type="dxa"/>
            <w:tcBorders>
              <w:bottom w:val="single" w:color="auto" w:sz="4" w:space="0"/>
            </w:tcBorders>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kern w:val="0"/>
                <w:sz w:val="24"/>
                <w:szCs w:val="24"/>
              </w:rPr>
              <w:t>块</w:t>
            </w:r>
          </w:p>
        </w:tc>
        <w:tc>
          <w:tcPr>
            <w:tcW w:w="580" w:type="dxa"/>
            <w:tcBorders>
              <w:bottom w:val="single" w:color="auto" w:sz="4" w:space="0"/>
            </w:tcBorders>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823" w:type="dxa"/>
            <w:tcBorders>
              <w:bottom w:val="single" w:color="auto" w:sz="4" w:space="0"/>
            </w:tcBorders>
            <w:noWrap w:val="0"/>
            <w:vAlign w:val="center"/>
          </w:tcPr>
          <w:p>
            <w:pPr>
              <w:widowControl/>
              <w:jc w:val="center"/>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虚拟现实沙盘系统</w:t>
            </w:r>
          </w:p>
        </w:tc>
        <w:tc>
          <w:tcPr>
            <w:tcW w:w="7038" w:type="dxa"/>
            <w:tcBorders>
              <w:bottom w:val="single" w:color="auto" w:sz="4" w:space="0"/>
            </w:tcBorders>
            <w:noWrap w:val="0"/>
            <w:vAlign w:val="center"/>
          </w:tcPr>
          <w:p>
            <w:pPr>
              <w:spacing w:line="276" w:lineRule="auto"/>
              <w:rPr>
                <w:rFonts w:hint="eastAsia" w:ascii="仿宋" w:hAnsi="仿宋" w:eastAsia="仿宋" w:cs="仿宋"/>
                <w:sz w:val="24"/>
                <w:szCs w:val="24"/>
              </w:rPr>
            </w:pPr>
            <w:r>
              <w:rPr>
                <w:rFonts w:hint="eastAsia" w:ascii="仿宋" w:hAnsi="仿宋" w:eastAsia="仿宋" w:cs="仿宋"/>
                <w:sz w:val="24"/>
                <w:szCs w:val="24"/>
              </w:rPr>
              <w:t>1、基本参数：★产品外形尺寸≥1500×1202×2450±1mm.</w:t>
            </w:r>
          </w:p>
          <w:p>
            <w:pPr>
              <w:spacing w:line="276" w:lineRule="auto"/>
              <w:rPr>
                <w:rFonts w:hint="eastAsia" w:ascii="仿宋" w:hAnsi="仿宋" w:eastAsia="仿宋" w:cs="仿宋"/>
                <w:sz w:val="24"/>
                <w:szCs w:val="24"/>
              </w:rPr>
            </w:pPr>
            <w:r>
              <w:rPr>
                <w:rFonts w:hint="eastAsia" w:ascii="仿宋" w:hAnsi="仿宋" w:eastAsia="仿宋" w:cs="仿宋"/>
                <w:sz w:val="24"/>
                <w:szCs w:val="24"/>
              </w:rPr>
              <w:t>产品硬件构成：虚拟现实沙盘主要由以下部分构成：1、交互传感器；2、工程投影机、3、虚拟现实主机；4、高强度沙盘、5；精制石英砂；6、扩展接口等</w:t>
            </w:r>
          </w:p>
          <w:p>
            <w:pPr>
              <w:spacing w:line="276" w:lineRule="auto"/>
              <w:rPr>
                <w:rFonts w:hint="eastAsia" w:ascii="仿宋" w:hAnsi="仿宋" w:eastAsia="仿宋" w:cs="仿宋"/>
                <w:sz w:val="24"/>
                <w:szCs w:val="24"/>
              </w:rPr>
            </w:pPr>
            <w:r>
              <w:rPr>
                <w:rFonts w:hint="eastAsia" w:ascii="仿宋" w:hAnsi="仿宋" w:eastAsia="仿宋" w:cs="仿宋"/>
                <w:sz w:val="24"/>
                <w:szCs w:val="24"/>
              </w:rPr>
              <w:t>★交互传感器：可以感应操作者动作，能够显示操作者手势和动作，可以对动作幅度、方位等进行计算处理，可以对操作者做出的造型进行记忆、处理，可视范围：水平视角：57度；垂直视角：43度。</w:t>
            </w:r>
          </w:p>
          <w:p>
            <w:pPr>
              <w:spacing w:line="276" w:lineRule="auto"/>
              <w:rPr>
                <w:rFonts w:hint="eastAsia" w:ascii="仿宋" w:hAnsi="仿宋" w:eastAsia="仿宋" w:cs="仿宋"/>
                <w:sz w:val="24"/>
                <w:szCs w:val="24"/>
              </w:rPr>
            </w:pPr>
            <w:r>
              <w:rPr>
                <w:rFonts w:hint="eastAsia" w:ascii="仿宋" w:hAnsi="仿宋" w:eastAsia="仿宋" w:cs="仿宋"/>
                <w:sz w:val="24"/>
                <w:szCs w:val="24"/>
              </w:rPr>
              <w:t>工程投影机：投影机特性：互动;投影技术:3LCD;显示芯片:0.63英寸芯片;亮度:5200流明;亮度均匀值:85%;对比度:10000:1;标准分辨率 XGA（1024*768）灯泡参数:灯泡功率:270W灯泡寿命:正常模式：5000小时，经济模式：7000小时；镜头垂直位移确保图像无失真；水平、垂直和四角梯形校正功能；曲面校正功能；兼容先进的控制系统；1.6 倍变焦镜头，灵活安装；包含HDMI x 2 的丰富端口设计实现更多功能</w:t>
            </w:r>
          </w:p>
          <w:p>
            <w:pPr>
              <w:spacing w:line="276" w:lineRule="auto"/>
              <w:rPr>
                <w:rFonts w:hint="eastAsia" w:ascii="仿宋" w:hAnsi="仿宋" w:eastAsia="仿宋" w:cs="仿宋"/>
                <w:sz w:val="24"/>
                <w:szCs w:val="24"/>
              </w:rPr>
            </w:pPr>
            <w:r>
              <w:rPr>
                <w:rFonts w:hint="eastAsia" w:ascii="仿宋" w:hAnsi="仿宋" w:eastAsia="仿宋" w:cs="仿宋"/>
                <w:sz w:val="24"/>
                <w:szCs w:val="24"/>
              </w:rPr>
              <w:t>虚拟现实主机：系统：win10   64位操作系统，主板；技嘉（或其他品牌）B75主板，主板芯片组：英特尔H87系列；CPU：英特尔 酷睿i5 ；CPU主频：3.0G或以上，最高睿频 3400MHz，制程工艺 22nm  ，内存；8GB,DDR3 1600Mhz ；硬盘：SSD固态硬盘，容量128G以上。显卡：GTX900以上显卡，芯片：NVIDIA 显卡芯片：GeForce GTX900以上，显存：2G或以上。</w:t>
            </w:r>
          </w:p>
          <w:p>
            <w:pPr>
              <w:spacing w:line="276" w:lineRule="auto"/>
              <w:rPr>
                <w:rFonts w:hint="eastAsia" w:ascii="仿宋" w:hAnsi="仿宋" w:eastAsia="仿宋" w:cs="仿宋"/>
                <w:sz w:val="24"/>
                <w:szCs w:val="24"/>
              </w:rPr>
            </w:pPr>
            <w:r>
              <w:rPr>
                <w:rFonts w:hint="eastAsia" w:ascii="仿宋" w:hAnsi="仿宋" w:eastAsia="仿宋" w:cs="仿宋"/>
                <w:sz w:val="24"/>
                <w:szCs w:val="24"/>
              </w:rPr>
              <w:t>高强度沙盘：外形经过工业设计，造型美观，外表面覆以耐划伤亚克力材质，内部结构以高强度铝型材材质为主，外观流线型设计，高度适中，操作者能够方面的进行各种沙盘内容的制作。</w:t>
            </w:r>
          </w:p>
          <w:p>
            <w:pPr>
              <w:spacing w:line="276" w:lineRule="auto"/>
              <w:rPr>
                <w:rFonts w:hint="eastAsia" w:ascii="仿宋" w:hAnsi="仿宋" w:eastAsia="仿宋" w:cs="仿宋"/>
                <w:sz w:val="24"/>
                <w:szCs w:val="24"/>
              </w:rPr>
            </w:pPr>
            <w:r>
              <w:rPr>
                <w:rFonts w:hint="eastAsia" w:ascii="仿宋" w:hAnsi="仿宋" w:eastAsia="仿宋" w:cs="仿宋"/>
                <w:sz w:val="24"/>
                <w:szCs w:val="24"/>
              </w:rPr>
              <w:t>精制石英砂：规格；沙子颗粒粗细0.6-1毫米，砂体颗粒大小适中，具有良好的堆积性和易塑性。</w:t>
            </w:r>
          </w:p>
          <w:p>
            <w:pPr>
              <w:spacing w:line="276" w:lineRule="auto"/>
              <w:rPr>
                <w:rFonts w:hint="eastAsia" w:ascii="仿宋" w:hAnsi="仿宋" w:eastAsia="仿宋" w:cs="仿宋"/>
                <w:sz w:val="24"/>
                <w:szCs w:val="24"/>
              </w:rPr>
            </w:pPr>
            <w:r>
              <w:rPr>
                <w:rFonts w:hint="eastAsia" w:ascii="仿宋" w:hAnsi="仿宋" w:eastAsia="仿宋" w:cs="仿宋"/>
                <w:sz w:val="24"/>
                <w:szCs w:val="24"/>
              </w:rPr>
              <w:t>扩展接口：可以扩展多个显示器和音频接口。扩展接口丰富。</w:t>
            </w:r>
          </w:p>
          <w:p>
            <w:pPr>
              <w:spacing w:line="276"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虚拟现实沙盘系统</w:t>
            </w:r>
            <w:r>
              <w:rPr>
                <w:rFonts w:hint="eastAsia" w:ascii="仿宋" w:hAnsi="仿宋" w:eastAsia="仿宋" w:cs="仿宋"/>
                <w:sz w:val="24"/>
                <w:szCs w:val="24"/>
              </w:rPr>
              <w:t>软件：</w:t>
            </w:r>
          </w:p>
          <w:p>
            <w:pPr>
              <w:spacing w:line="276" w:lineRule="auto"/>
              <w:rPr>
                <w:rFonts w:hint="eastAsia" w:ascii="仿宋" w:hAnsi="仿宋" w:eastAsia="仿宋" w:cs="仿宋"/>
                <w:sz w:val="24"/>
                <w:szCs w:val="24"/>
              </w:rPr>
            </w:pPr>
            <w:r>
              <w:rPr>
                <w:rFonts w:hint="eastAsia" w:ascii="仿宋" w:hAnsi="仿宋" w:eastAsia="仿宋" w:cs="仿宋"/>
                <w:sz w:val="24"/>
                <w:szCs w:val="24"/>
              </w:rPr>
              <w:t>★多种互动演示模式：软件采用模块化设计，各个功能模块采用一键切换功能，根据演示内容和教学点需求，可以一键切换如地形地貌模式、下雨模式、沙滩模式、深海模式等。</w:t>
            </w:r>
          </w:p>
          <w:p>
            <w:pPr>
              <w:spacing w:line="276" w:lineRule="auto"/>
              <w:rPr>
                <w:rFonts w:hint="eastAsia" w:ascii="仿宋" w:hAnsi="仿宋" w:eastAsia="仿宋" w:cs="仿宋"/>
                <w:sz w:val="24"/>
                <w:szCs w:val="24"/>
              </w:rPr>
            </w:pPr>
            <w:r>
              <w:rPr>
                <w:rFonts w:hint="eastAsia" w:ascii="仿宋" w:hAnsi="仿宋" w:eastAsia="仿宋" w:cs="仿宋"/>
                <w:sz w:val="24"/>
                <w:szCs w:val="24"/>
              </w:rPr>
              <w:t>★软件多屏互动：多屏互动使地理课上比较复杂的知识变的简单，如在讲授等高线章节的内容时，就可以通过沙盘上立体的分层设色的等高线和扩展屏上显示的平面等高线的内容进行对比。</w:t>
            </w:r>
          </w:p>
          <w:p>
            <w:pPr>
              <w:spacing w:line="276" w:lineRule="auto"/>
              <w:rPr>
                <w:rFonts w:hint="eastAsia" w:ascii="仿宋" w:hAnsi="仿宋" w:eastAsia="仿宋" w:cs="仿宋"/>
                <w:sz w:val="24"/>
                <w:szCs w:val="24"/>
              </w:rPr>
            </w:pPr>
            <w:r>
              <w:rPr>
                <w:rFonts w:hint="eastAsia" w:ascii="仿宋" w:hAnsi="仿宋" w:eastAsia="仿宋" w:cs="仿宋"/>
                <w:sz w:val="24"/>
                <w:szCs w:val="24"/>
              </w:rPr>
              <w:t>3、课件内容：</w:t>
            </w:r>
          </w:p>
          <w:p>
            <w:pPr>
              <w:spacing w:line="276" w:lineRule="auto"/>
              <w:rPr>
                <w:rFonts w:hint="eastAsia" w:ascii="仿宋" w:hAnsi="仿宋" w:eastAsia="仿宋" w:cs="仿宋"/>
                <w:sz w:val="24"/>
                <w:szCs w:val="24"/>
              </w:rPr>
            </w:pPr>
            <w:r>
              <w:rPr>
                <w:rFonts w:hint="eastAsia" w:ascii="仿宋" w:hAnsi="仿宋" w:eastAsia="仿宋" w:cs="仿宋"/>
                <w:sz w:val="24"/>
                <w:szCs w:val="24"/>
              </w:rPr>
              <w:t>地形图的判读：可以在沙盘上堆积出如陡坡山峰、山脊、山谷和陡崖等常见的地形部位。软件根据高度进行分层设色，并将颜色投影到沙盘表面，可以一目了然的看到地表的高低形态和海洋的起伏状况。</w:t>
            </w:r>
          </w:p>
          <w:p>
            <w:pPr>
              <w:spacing w:line="276" w:lineRule="auto"/>
              <w:rPr>
                <w:rFonts w:hint="eastAsia" w:ascii="仿宋" w:hAnsi="仿宋" w:eastAsia="仿宋" w:cs="仿宋"/>
                <w:sz w:val="24"/>
                <w:szCs w:val="24"/>
              </w:rPr>
            </w:pPr>
            <w:r>
              <w:rPr>
                <w:rFonts w:hint="eastAsia" w:ascii="仿宋" w:hAnsi="仿宋" w:eastAsia="仿宋" w:cs="仿宋"/>
                <w:sz w:val="24"/>
                <w:szCs w:val="24"/>
              </w:rPr>
              <w:t>虚拟现实的应用，使产品的交互性和构想性得到了充分的发挥。虚拟现实可以实现多种教学模式，可以根据地理教科书各个章节内容，制作出不同的地形地貌及互动课件，如：1、地形图的判读；2等高线的绘制、3海陆变迁、4、陆地与海洋各种地形地貌的成因展示。</w:t>
            </w:r>
          </w:p>
          <w:p>
            <w:pPr>
              <w:spacing w:line="276" w:lineRule="auto"/>
              <w:rPr>
                <w:rFonts w:hint="eastAsia" w:ascii="仿宋" w:hAnsi="仿宋" w:eastAsia="仿宋" w:cs="仿宋"/>
                <w:sz w:val="24"/>
                <w:szCs w:val="24"/>
              </w:rPr>
            </w:pPr>
            <w:r>
              <w:rPr>
                <w:rFonts w:hint="eastAsia" w:ascii="仿宋" w:hAnsi="仿宋" w:eastAsia="仿宋" w:cs="仿宋"/>
                <w:sz w:val="24"/>
                <w:szCs w:val="24"/>
              </w:rPr>
              <w:t>等高线和高度值的显示，直接和地理相关教学篇章完全切合。立体等高线和平面等高线有机结合，老师容易讲解，学生便于理解。</w:t>
            </w:r>
          </w:p>
          <w:p>
            <w:pPr>
              <w:spacing w:line="276" w:lineRule="auto"/>
              <w:rPr>
                <w:rFonts w:hint="eastAsia" w:ascii="仿宋" w:hAnsi="仿宋" w:eastAsia="仿宋" w:cs="仿宋"/>
                <w:sz w:val="24"/>
                <w:szCs w:val="24"/>
                <w:lang w:eastAsia="zh-CN"/>
              </w:rPr>
            </w:pPr>
            <w:r>
              <w:rPr>
                <w:rFonts w:hint="eastAsia" w:ascii="仿宋" w:hAnsi="仿宋" w:eastAsia="仿宋" w:cs="仿宋"/>
                <w:sz w:val="24"/>
                <w:szCs w:val="24"/>
              </w:rPr>
              <w:t>随心所欲的制作各种教学上使用的沙盘和地貌，各种互动情景只需一键切换就可以随时由下雨模式进入到泥石流模式等。</w:t>
            </w:r>
          </w:p>
        </w:tc>
        <w:tc>
          <w:tcPr>
            <w:tcW w:w="408" w:type="dxa"/>
            <w:tcBorders>
              <w:bottom w:val="single" w:color="auto" w:sz="4" w:space="0"/>
            </w:tcBorders>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kern w:val="0"/>
                <w:sz w:val="24"/>
                <w:szCs w:val="24"/>
              </w:rPr>
              <w:t>套</w:t>
            </w:r>
          </w:p>
        </w:tc>
        <w:tc>
          <w:tcPr>
            <w:tcW w:w="580" w:type="dxa"/>
            <w:tcBorders>
              <w:bottom w:val="single" w:color="auto" w:sz="4" w:space="0"/>
            </w:tcBorders>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823" w:type="dxa"/>
            <w:tcBorders>
              <w:bottom w:val="single" w:color="auto" w:sz="4" w:space="0"/>
            </w:tcBorders>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数字化交互地球教学研（KNS）系统（现场演示）</w:t>
            </w:r>
          </w:p>
        </w:tc>
        <w:tc>
          <w:tcPr>
            <w:tcW w:w="7038" w:type="dxa"/>
            <w:tcBorders>
              <w:bottom w:val="single" w:color="auto" w:sz="4" w:space="0"/>
            </w:tcBorders>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数字化交互地球教学研（KNS）系统是信息时代数字化的教育装备之一，是一款以课程制作、资源整理、教学演示等于一体的教学工具。</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交互地球包含地理课程构建中涉及的视频、动画、图片、思维导图等资源，它将数字地球与教学课件有机结合，能够广泛应用于中学地理教学，满足教学多元化和个性化需求，促进教师教学观念、手段和方法的更新，促进学习方式的变革。既突破了传统教室在呈现方式上的局限性和不足，又方便了教师的日常的教学。可实现地理信息双屏互动展示，多种地理资料同屏呈现，同时将GPS、GIS、RS融入课堂，实现基于真实情景的地理教学。</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根据教学实际使用教材，进行目录匹配。图片资源包括：高清地理景观图、思维导图、知识地图、地形图、气温图、人口分布图、河流图等。</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地理资源包括：卫星地图、GPS数据、真实地理环境下的习题、构建基于真实环境下的地理教学。</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地理视频资源包括：高清地理记录片、航拍视频、地理实验视频、研学视频等。</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地理动画资源包括：地理知识点动画示意、地理现象动画、模拟地理实验动画等。</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地理图片资源、视频资源、动画资源、地理资源可一件导入到课件。</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特色课程：地球专题课程、区域课程、地理探究课程、地理研学实践课程等。课程、区域课程、地理探究课程、地理研学实践课程等。</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硬件：</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尺寸</w:t>
            </w:r>
            <w:r>
              <w:rPr>
                <w:rFonts w:hint="eastAsia" w:ascii="仿宋" w:hAnsi="仿宋" w:eastAsia="仿宋" w:cs="仿宋"/>
                <w:kern w:val="0"/>
                <w:sz w:val="24"/>
                <w:szCs w:val="24"/>
              </w:rPr>
              <w:t>≥</w:t>
            </w:r>
            <w:r>
              <w:rPr>
                <w:rFonts w:hint="eastAsia" w:ascii="仿宋" w:hAnsi="仿宋" w:eastAsia="仿宋" w:cs="仿宋"/>
                <w:color w:val="000000"/>
                <w:kern w:val="0"/>
                <w:sz w:val="24"/>
                <w:szCs w:val="24"/>
              </w:rPr>
              <w:t>245mm x 175mm x 8.3</w:t>
            </w:r>
            <w:r>
              <w:rPr>
                <w:rFonts w:hint="eastAsia" w:ascii="仿宋" w:hAnsi="仿宋" w:eastAsia="仿宋" w:cs="仿宋"/>
                <w:sz w:val="24"/>
                <w:szCs w:val="24"/>
              </w:rPr>
              <w:t>±1</w:t>
            </w:r>
            <w:r>
              <w:rPr>
                <w:rFonts w:hint="eastAsia" w:ascii="仿宋" w:hAnsi="仿宋" w:eastAsia="仿宋" w:cs="仿宋"/>
                <w:color w:val="000000"/>
                <w:kern w:val="0"/>
                <w:sz w:val="24"/>
                <w:szCs w:val="24"/>
              </w:rPr>
              <w:t>mm</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 英寸 PixelSense 触摸显示屏，分辨率</w:t>
            </w:r>
            <w:r>
              <w:rPr>
                <w:rFonts w:hint="eastAsia" w:ascii="仿宋" w:hAnsi="仿宋" w:eastAsia="仿宋" w:cs="仿宋"/>
                <w:kern w:val="0"/>
                <w:sz w:val="24"/>
                <w:szCs w:val="24"/>
              </w:rPr>
              <w:t>≥</w:t>
            </w:r>
            <w:r>
              <w:rPr>
                <w:rFonts w:hint="eastAsia" w:ascii="仿宋" w:hAnsi="仿宋" w:eastAsia="仿宋" w:cs="仿宋"/>
                <w:color w:val="000000"/>
                <w:kern w:val="0"/>
                <w:sz w:val="24"/>
                <w:szCs w:val="24"/>
              </w:rPr>
              <w:t xml:space="preserve"> 1800 x 1200（217 PPI），屏幕比例 </w:t>
            </w:r>
            <w:r>
              <w:rPr>
                <w:rFonts w:hint="eastAsia" w:ascii="仿宋" w:hAnsi="仿宋" w:eastAsia="仿宋" w:cs="仿宋"/>
                <w:kern w:val="0"/>
                <w:sz w:val="24"/>
                <w:szCs w:val="24"/>
              </w:rPr>
              <w:t>≥</w:t>
            </w:r>
            <w:r>
              <w:rPr>
                <w:rFonts w:hint="eastAsia" w:ascii="仿宋" w:hAnsi="仿宋" w:eastAsia="仿宋" w:cs="仿宋"/>
                <w:color w:val="000000"/>
                <w:kern w:val="0"/>
                <w:sz w:val="24"/>
                <w:szCs w:val="24"/>
              </w:rPr>
              <w:t>3:2，</w:t>
            </w:r>
            <w:r>
              <w:rPr>
                <w:rFonts w:hint="eastAsia" w:ascii="仿宋" w:hAnsi="仿宋" w:eastAsia="仿宋" w:cs="仿宋"/>
                <w:color w:val="000000"/>
                <w:kern w:val="0"/>
                <w:sz w:val="24"/>
                <w:szCs w:val="24"/>
                <w:lang w:eastAsia="zh-CN"/>
              </w:rPr>
              <w:t>不小于</w:t>
            </w:r>
            <w:r>
              <w:rPr>
                <w:rFonts w:hint="eastAsia" w:ascii="仿宋" w:hAnsi="仿宋" w:eastAsia="仿宋" w:cs="仿宋"/>
                <w:color w:val="000000"/>
                <w:kern w:val="0"/>
                <w:sz w:val="24"/>
                <w:szCs w:val="24"/>
              </w:rPr>
              <w:t>10 点触控，支持墨迹书写。</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内存</w:t>
            </w:r>
            <w:r>
              <w:rPr>
                <w:rFonts w:hint="eastAsia" w:ascii="仿宋" w:hAnsi="仿宋" w:eastAsia="仿宋" w:cs="仿宋"/>
                <w:kern w:val="0"/>
                <w:sz w:val="24"/>
                <w:szCs w:val="24"/>
              </w:rPr>
              <w:t>≥</w:t>
            </w:r>
            <w:r>
              <w:rPr>
                <w:rFonts w:hint="eastAsia" w:ascii="仿宋" w:hAnsi="仿宋" w:eastAsia="仿宋" w:cs="仿宋"/>
                <w:color w:val="000000"/>
                <w:kern w:val="0"/>
                <w:sz w:val="24"/>
                <w:szCs w:val="24"/>
              </w:rPr>
              <w:t>4GB、128GB 固态硬盘（SSD）</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处理器，英特尔奔腾金牌处理器 4415Y。</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英特尔 HD 显卡 615。</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外壳：镁质。</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教学通兼容设备：VGA、HDMI双接口输出，2.4G+5G双频覆盖，支持mac、ios、Android、window等多种系统无线显示。</w:t>
            </w:r>
          </w:p>
        </w:tc>
        <w:tc>
          <w:tcPr>
            <w:tcW w:w="408" w:type="dxa"/>
            <w:tcBorders>
              <w:bottom w:val="single" w:color="auto" w:sz="4" w:space="0"/>
            </w:tcBorders>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kern w:val="0"/>
                <w:sz w:val="24"/>
                <w:szCs w:val="24"/>
              </w:rPr>
              <w:t>套</w:t>
            </w:r>
          </w:p>
        </w:tc>
        <w:tc>
          <w:tcPr>
            <w:tcW w:w="580" w:type="dxa"/>
            <w:tcBorders>
              <w:bottom w:val="single" w:color="auto" w:sz="4" w:space="0"/>
            </w:tcBorders>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2"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823" w:type="dxa"/>
            <w:noWrap w:val="0"/>
            <w:vAlign w:val="center"/>
          </w:tcPr>
          <w:p>
            <w:pPr>
              <w:jc w:val="center"/>
              <w:textAlignment w:val="center"/>
              <w:rPr>
                <w:rFonts w:hint="eastAsia" w:ascii="仿宋" w:hAnsi="仿宋" w:eastAsia="仿宋" w:cs="仿宋"/>
                <w:color w:val="000000"/>
                <w:kern w:val="0"/>
                <w:sz w:val="24"/>
                <w:szCs w:val="24"/>
              </w:rPr>
            </w:pPr>
            <w:r>
              <w:rPr>
                <w:rFonts w:hint="eastAsia" w:ascii="仿宋" w:hAnsi="仿宋" w:eastAsia="仿宋" w:cs="仿宋"/>
                <w:sz w:val="24"/>
                <w:szCs w:val="24"/>
                <w:lang w:bidi="ar"/>
              </w:rPr>
              <w:t>中国地形图(中国立体地形)</w:t>
            </w:r>
          </w:p>
        </w:tc>
        <w:tc>
          <w:tcPr>
            <w:tcW w:w="7038" w:type="dxa"/>
            <w:noWrap w:val="0"/>
            <w:vAlign w:val="center"/>
          </w:tcPr>
          <w:p>
            <w:pPr>
              <w:rPr>
                <w:rFonts w:hint="eastAsia" w:ascii="仿宋" w:hAnsi="仿宋" w:eastAsia="仿宋" w:cs="仿宋"/>
                <w:color w:val="000000"/>
                <w:kern w:val="0"/>
                <w:sz w:val="24"/>
                <w:szCs w:val="24"/>
                <w:lang w:eastAsia="zh-CN"/>
              </w:rPr>
            </w:pPr>
            <w:r>
              <w:rPr>
                <w:rFonts w:hint="eastAsia" w:ascii="仿宋" w:hAnsi="仿宋" w:eastAsia="仿宋" w:cs="仿宋"/>
                <w:kern w:val="0"/>
                <w:sz w:val="24"/>
                <w:szCs w:val="24"/>
              </w:rPr>
              <w:t>★</w:t>
            </w:r>
            <w:r>
              <w:rPr>
                <w:rFonts w:hint="eastAsia" w:ascii="仿宋" w:hAnsi="仿宋" w:eastAsia="仿宋" w:cs="仿宋"/>
                <w:sz w:val="24"/>
                <w:szCs w:val="24"/>
                <w:lang w:bidi="ar"/>
              </w:rPr>
              <w:t>外框尺寸</w:t>
            </w:r>
            <w:r>
              <w:rPr>
                <w:rFonts w:hint="eastAsia" w:ascii="仿宋" w:hAnsi="仿宋" w:eastAsia="仿宋" w:cs="仿宋"/>
                <w:kern w:val="0"/>
                <w:sz w:val="24"/>
                <w:szCs w:val="24"/>
              </w:rPr>
              <w:t>≥</w:t>
            </w:r>
            <w:r>
              <w:rPr>
                <w:rFonts w:hint="eastAsia" w:ascii="仿宋" w:hAnsi="仿宋" w:eastAsia="仿宋" w:cs="仿宋"/>
                <w:sz w:val="24"/>
                <w:szCs w:val="24"/>
                <w:lang w:bidi="ar"/>
              </w:rPr>
              <w:t>2850mm*2000mm 水平尺</w:t>
            </w:r>
            <w:r>
              <w:rPr>
                <w:rFonts w:hint="eastAsia" w:ascii="仿宋" w:hAnsi="仿宋" w:eastAsia="仿宋" w:cs="仿宋"/>
                <w:kern w:val="0"/>
                <w:sz w:val="24"/>
                <w:szCs w:val="24"/>
              </w:rPr>
              <w:t>≥</w:t>
            </w:r>
            <w:r>
              <w:rPr>
                <w:rFonts w:hint="eastAsia" w:ascii="仿宋" w:hAnsi="仿宋" w:eastAsia="仿宋" w:cs="仿宋"/>
                <w:sz w:val="24"/>
                <w:szCs w:val="24"/>
                <w:lang w:bidi="ar"/>
              </w:rPr>
              <w:t>1：250万，垂直比例尺</w:t>
            </w:r>
            <w:r>
              <w:rPr>
                <w:rFonts w:hint="eastAsia" w:ascii="仿宋" w:hAnsi="仿宋" w:eastAsia="仿宋" w:cs="仿宋"/>
                <w:kern w:val="0"/>
                <w:sz w:val="24"/>
                <w:szCs w:val="24"/>
              </w:rPr>
              <w:t>★≥</w:t>
            </w:r>
            <w:r>
              <w:rPr>
                <w:rFonts w:hint="eastAsia" w:ascii="仿宋" w:hAnsi="仿宋" w:eastAsia="仿宋" w:cs="仿宋"/>
                <w:sz w:val="24"/>
                <w:szCs w:val="24"/>
                <w:lang w:bidi="ar"/>
              </w:rPr>
              <w:t>1：6万；1.立体地形图通过卫星遥感资料，采用等高线分层设计，利用集成电路和发光管，使国界、省会、直辖市循环闪动，五大河流的流向以及13条主要铁路按北京发往全国各地重要车站闪动，且由20路开关控制，可以全显示和分条显示，同时配语音同步解说。地形采用永不褪色的进口复合材料和地图的比例尺大小精雕而成；色泽鲜艳，立体感强，效果逼真，是一个集声、光、电为一体的现代高科技教学产品。2.外框尺寸</w:t>
            </w:r>
            <w:r>
              <w:rPr>
                <w:rFonts w:hint="eastAsia" w:ascii="仿宋" w:hAnsi="仿宋" w:eastAsia="仿宋" w:cs="仿宋"/>
                <w:kern w:val="0"/>
                <w:sz w:val="24"/>
                <w:szCs w:val="24"/>
              </w:rPr>
              <w:t>≥</w:t>
            </w:r>
            <w:r>
              <w:rPr>
                <w:rFonts w:hint="eastAsia" w:ascii="仿宋" w:hAnsi="仿宋" w:eastAsia="仿宋" w:cs="仿宋"/>
                <w:sz w:val="24"/>
                <w:szCs w:val="24"/>
                <w:lang w:bidi="ar"/>
              </w:rPr>
              <w:t>2850mm×2000</w:t>
            </w:r>
            <w:r>
              <w:rPr>
                <w:rFonts w:hint="eastAsia" w:ascii="仿宋" w:hAnsi="仿宋" w:eastAsia="仿宋" w:cs="仿宋"/>
                <w:sz w:val="24"/>
                <w:szCs w:val="24"/>
              </w:rPr>
              <w:t>±1</w:t>
            </w:r>
            <w:r>
              <w:rPr>
                <w:rFonts w:hint="eastAsia" w:ascii="仿宋" w:hAnsi="仿宋" w:eastAsia="仿宋" w:cs="仿宋"/>
                <w:sz w:val="24"/>
                <w:szCs w:val="24"/>
                <w:lang w:bidi="ar"/>
              </w:rPr>
              <w:t>mm ； 内容：1.国界；2.省会；3.五岳名山；4.地形阶梯分布；5.青藏线；6.京广线；7.京九线；8.京沪线；9.京哈线；10.陇海线；11.兰新线；12.京包线、包兰线；13.浙赣线、湘黔线；14.宝成线、成昆线。PVC材料底图彩色印刷，整体成型，低碳环保</w:t>
            </w:r>
          </w:p>
        </w:tc>
        <w:tc>
          <w:tcPr>
            <w:tcW w:w="408"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kern w:val="0"/>
                <w:sz w:val="24"/>
                <w:szCs w:val="24"/>
              </w:rPr>
              <w:t>套</w:t>
            </w:r>
          </w:p>
        </w:tc>
        <w:tc>
          <w:tcPr>
            <w:tcW w:w="58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823"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平面地形地球仪</w:t>
            </w:r>
          </w:p>
        </w:tc>
        <w:tc>
          <w:tcPr>
            <w:tcW w:w="7038" w:type="dxa"/>
            <w:noWrap w:val="0"/>
            <w:vAlign w:val="center"/>
          </w:tcPr>
          <w:p>
            <w:pPr>
              <w:widowControl/>
              <w:jc w:val="left"/>
              <w:rPr>
                <w:rFonts w:hint="eastAsia" w:ascii="仿宋" w:hAnsi="仿宋" w:eastAsia="仿宋" w:cs="仿宋"/>
                <w:sz w:val="24"/>
                <w:szCs w:val="24"/>
              </w:rPr>
            </w:pPr>
            <w:r>
              <w:rPr>
                <w:rFonts w:hint="eastAsia" w:ascii="仿宋" w:hAnsi="仿宋" w:eastAsia="仿宋" w:cs="仿宋"/>
                <w:color w:val="000000"/>
                <w:kern w:val="0"/>
                <w:sz w:val="24"/>
                <w:szCs w:val="24"/>
              </w:rPr>
              <w:t>Φ32</w:t>
            </w:r>
            <w:r>
              <w:rPr>
                <w:rFonts w:hint="eastAsia" w:ascii="仿宋" w:hAnsi="仿宋" w:eastAsia="仿宋" w:cs="仿宋"/>
                <w:sz w:val="24"/>
                <w:szCs w:val="24"/>
              </w:rPr>
              <w:t>±1</w:t>
            </w:r>
            <w:r>
              <w:rPr>
                <w:rFonts w:hint="eastAsia" w:ascii="仿宋" w:hAnsi="仿宋" w:eastAsia="仿宋" w:cs="仿宋"/>
                <w:color w:val="000000"/>
                <w:kern w:val="0"/>
                <w:sz w:val="24"/>
                <w:szCs w:val="24"/>
              </w:rPr>
              <w:t>cm，1.产品由球体和支架等组成。</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2.球体直径为320±5mm,平面比例尺1:40000000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3.符合JY58－80《地球仪技术条件》的有关规定。</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4.符合JY0001－2004《教学仪器设备产品一般质量要求》的有关规定。</w:t>
            </w:r>
          </w:p>
        </w:tc>
        <w:tc>
          <w:tcPr>
            <w:tcW w:w="408" w:type="dxa"/>
            <w:noWrap w:val="0"/>
            <w:vAlign w:val="center"/>
          </w:tcPr>
          <w:p>
            <w:pPr>
              <w:widowControl/>
              <w:jc w:val="center"/>
              <w:rPr>
                <w:rFonts w:hint="eastAsia" w:ascii="仿宋" w:hAnsi="仿宋" w:eastAsia="仿宋" w:cs="仿宋"/>
                <w:sz w:val="24"/>
                <w:szCs w:val="24"/>
              </w:rPr>
            </w:pPr>
            <w:r>
              <w:rPr>
                <w:rFonts w:hint="eastAsia" w:ascii="仿宋" w:hAnsi="仿宋" w:eastAsia="仿宋" w:cs="仿宋"/>
                <w:kern w:val="0"/>
                <w:sz w:val="24"/>
                <w:szCs w:val="24"/>
              </w:rPr>
              <w:t>个</w:t>
            </w:r>
          </w:p>
        </w:tc>
        <w:tc>
          <w:tcPr>
            <w:tcW w:w="580" w:type="dxa"/>
            <w:noWrap w:val="0"/>
            <w:vAlign w:val="center"/>
          </w:tcPr>
          <w:p>
            <w:pPr>
              <w:widowControl/>
              <w:jc w:val="center"/>
              <w:rPr>
                <w:rFonts w:hint="eastAsia" w:ascii="仿宋" w:hAnsi="仿宋" w:eastAsia="仿宋" w:cs="仿宋"/>
                <w:sz w:val="24"/>
                <w:szCs w:val="24"/>
              </w:rPr>
            </w:pPr>
            <w:r>
              <w:rPr>
                <w:rFonts w:hint="eastAsia" w:ascii="仿宋" w:hAnsi="仿宋" w:eastAsia="仿宋" w:cs="仿宋"/>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`7</w:t>
            </w:r>
          </w:p>
        </w:tc>
        <w:tc>
          <w:tcPr>
            <w:tcW w:w="823"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平面政区地球仪</w:t>
            </w:r>
          </w:p>
        </w:tc>
        <w:tc>
          <w:tcPr>
            <w:tcW w:w="7038"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color w:val="000000"/>
                <w:kern w:val="0"/>
                <w:sz w:val="24"/>
                <w:szCs w:val="24"/>
              </w:rPr>
              <w:t>Φ32</w:t>
            </w:r>
            <w:r>
              <w:rPr>
                <w:rFonts w:hint="eastAsia" w:ascii="仿宋" w:hAnsi="仿宋" w:eastAsia="仿宋" w:cs="仿宋"/>
                <w:sz w:val="24"/>
                <w:szCs w:val="24"/>
              </w:rPr>
              <w:t>±1</w:t>
            </w:r>
            <w:r>
              <w:rPr>
                <w:rFonts w:hint="eastAsia" w:ascii="仿宋" w:hAnsi="仿宋" w:eastAsia="仿宋" w:cs="仿宋"/>
                <w:color w:val="000000"/>
                <w:kern w:val="0"/>
                <w:sz w:val="24"/>
                <w:szCs w:val="24"/>
              </w:rPr>
              <w:t>cm，1.产品由球体和支架等组成。</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2.球体直径为320±5mm,平面比例尺1:60000000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3.符合JY58－80《地球仪技术条件》的有关规定。</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4.符合JY0001－2003《教学仪器设备产品一般质量要求》的有关规定。</w:t>
            </w:r>
          </w:p>
        </w:tc>
        <w:tc>
          <w:tcPr>
            <w:tcW w:w="408"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件</w:t>
            </w:r>
          </w:p>
        </w:tc>
        <w:tc>
          <w:tcPr>
            <w:tcW w:w="58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823"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rPr>
              <w:t>各省立体地形</w:t>
            </w:r>
            <w:r>
              <w:rPr>
                <w:rFonts w:hint="eastAsia" w:ascii="仿宋" w:hAnsi="仿宋" w:eastAsia="仿宋" w:cs="仿宋"/>
                <w:sz w:val="24"/>
                <w:szCs w:val="24"/>
                <w:lang w:eastAsia="zh-CN"/>
              </w:rPr>
              <w:t>（河南省立体地形）</w:t>
            </w:r>
          </w:p>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（现场演示）</w:t>
            </w:r>
          </w:p>
        </w:tc>
        <w:tc>
          <w:tcPr>
            <w:tcW w:w="7038"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各省立体地形</w:t>
            </w:r>
            <w:r>
              <w:rPr>
                <w:rFonts w:hint="eastAsia" w:ascii="仿宋" w:hAnsi="仿宋" w:eastAsia="仿宋" w:cs="仿宋"/>
                <w:sz w:val="24"/>
                <w:szCs w:val="24"/>
                <w:lang w:eastAsia="zh-CN"/>
              </w:rPr>
              <w:t>（</w:t>
            </w:r>
            <w:r>
              <w:rPr>
                <w:rFonts w:hint="eastAsia" w:ascii="仿宋" w:hAnsi="仿宋" w:eastAsia="仿宋" w:cs="仿宋"/>
                <w:sz w:val="24"/>
                <w:szCs w:val="24"/>
              </w:rPr>
              <w:t>河南省立体地形</w:t>
            </w:r>
            <w:r>
              <w:rPr>
                <w:rFonts w:hint="eastAsia" w:ascii="仿宋" w:hAnsi="仿宋" w:eastAsia="仿宋" w:cs="仿宋"/>
                <w:sz w:val="24"/>
                <w:szCs w:val="24"/>
                <w:lang w:eastAsia="zh-CN"/>
              </w:rPr>
              <w:t>）</w:t>
            </w:r>
            <w:r>
              <w:rPr>
                <w:rFonts w:hint="eastAsia" w:ascii="仿宋" w:hAnsi="仿宋" w:eastAsia="仿宋" w:cs="仿宋"/>
                <w:kern w:val="0"/>
                <w:sz w:val="24"/>
                <w:szCs w:val="24"/>
              </w:rPr>
              <w:t>★</w:t>
            </w:r>
            <w:r>
              <w:rPr>
                <w:rFonts w:hint="eastAsia" w:ascii="仿宋" w:hAnsi="仿宋" w:eastAsia="仿宋" w:cs="仿宋"/>
                <w:sz w:val="24"/>
                <w:szCs w:val="24"/>
              </w:rPr>
              <w:t>产品外框尺寸</w:t>
            </w:r>
            <w:r>
              <w:rPr>
                <w:rFonts w:hint="eastAsia" w:ascii="仿宋" w:hAnsi="仿宋" w:eastAsia="仿宋" w:cs="仿宋"/>
                <w:kern w:val="0"/>
                <w:sz w:val="24"/>
                <w:szCs w:val="24"/>
              </w:rPr>
              <w:t>≥</w:t>
            </w:r>
            <w:r>
              <w:rPr>
                <w:rFonts w:hint="eastAsia" w:ascii="仿宋" w:hAnsi="仿宋" w:eastAsia="仿宋" w:cs="仿宋"/>
                <w:sz w:val="24"/>
                <w:szCs w:val="24"/>
              </w:rPr>
              <w:t>2850mm*2000mm*80mm,比例尺</w:t>
            </w:r>
            <w:r>
              <w:rPr>
                <w:rFonts w:hint="eastAsia" w:ascii="仿宋" w:hAnsi="仿宋" w:eastAsia="仿宋" w:cs="仿宋"/>
                <w:kern w:val="0"/>
                <w:sz w:val="24"/>
                <w:szCs w:val="24"/>
              </w:rPr>
              <w:t>≥</w:t>
            </w:r>
            <w:r>
              <w:rPr>
                <w:rFonts w:hint="eastAsia" w:ascii="仿宋" w:hAnsi="仿宋" w:eastAsia="仿宋" w:cs="仿宋"/>
                <w:sz w:val="24"/>
                <w:szCs w:val="24"/>
              </w:rPr>
              <w:t>1:36万</w:t>
            </w:r>
            <w:r>
              <w:rPr>
                <w:rFonts w:hint="eastAsia" w:ascii="仿宋" w:hAnsi="仿宋" w:eastAsia="仿宋" w:cs="仿宋"/>
                <w:sz w:val="24"/>
                <w:szCs w:val="24"/>
                <w:lang w:val="en-US" w:eastAsia="zh-CN"/>
              </w:rPr>
              <w:t>.</w:t>
            </w:r>
            <w:r>
              <w:rPr>
                <w:rFonts w:hint="eastAsia" w:ascii="仿宋" w:hAnsi="仿宋" w:eastAsia="仿宋" w:cs="仿宋"/>
                <w:sz w:val="24"/>
                <w:szCs w:val="24"/>
              </w:rPr>
              <w:t>外框采用电泳铝合金材料包装地图表面材料:采用优质、环保0.3mm白色PVC材料、通过高温高压技术一次成型，厚度均匀无拼逢。产品特色：地图根据等高线分层设色，不同颜色展现不同的地势高低。能够直观体现典型的地形地貌特征:山峰、山脉、河流、湖泊、平原等；地图内容准确丰富、外形美观、材质轻便、牢固不变形；地图符合《教学仪器产品一般质量要求》及教学仪器行业标准、符合地图学地图标注标准规定。</w:t>
            </w:r>
          </w:p>
          <w:p>
            <w:pPr>
              <w:rPr>
                <w:rFonts w:hint="eastAsia" w:ascii="仿宋" w:hAnsi="仿宋" w:eastAsia="仿宋" w:cs="仿宋"/>
                <w:color w:val="000000"/>
                <w:kern w:val="0"/>
                <w:sz w:val="24"/>
                <w:szCs w:val="24"/>
                <w:lang w:eastAsia="zh-CN"/>
              </w:rPr>
            </w:pPr>
            <w:r>
              <w:rPr>
                <w:rFonts w:hint="eastAsia" w:ascii="仿宋" w:hAnsi="仿宋" w:eastAsia="仿宋" w:cs="仿宋"/>
                <w:sz w:val="24"/>
                <w:szCs w:val="24"/>
              </w:rPr>
              <w:t>地图展现的主要内容：图面包含省级行政中心、地市级行政中心、县级行政中心、乡、镇；主要城市；主要机场位置；主要山脉及山峰高度的标注；国家级风景名胜区、国家级自然保护区、国家地质公园、国家森林公园、一般景点；国界、省界、自治区界、地级市界；铁路；高速公路及编号、出入口、服务区；国道及编号、高等级公路、省道等。</w:t>
            </w:r>
          </w:p>
        </w:tc>
        <w:tc>
          <w:tcPr>
            <w:tcW w:w="408" w:type="dxa"/>
            <w:noWrap w:val="0"/>
            <w:vAlign w:val="center"/>
          </w:tcPr>
          <w:p>
            <w:pPr>
              <w:rPr>
                <w:rFonts w:hint="eastAsia" w:ascii="仿宋" w:hAnsi="仿宋" w:eastAsia="仿宋" w:cs="仿宋"/>
                <w:kern w:val="0"/>
                <w:sz w:val="24"/>
                <w:szCs w:val="24"/>
              </w:rPr>
            </w:pPr>
            <w:r>
              <w:rPr>
                <w:rFonts w:hint="eastAsia" w:ascii="仿宋" w:hAnsi="仿宋" w:eastAsia="仿宋" w:cs="仿宋"/>
                <w:sz w:val="24"/>
                <w:szCs w:val="24"/>
              </w:rPr>
              <w:t>套</w:t>
            </w:r>
          </w:p>
        </w:tc>
        <w:tc>
          <w:tcPr>
            <w:tcW w:w="580" w:type="dxa"/>
            <w:noWrap w:val="0"/>
            <w:vAlign w:val="center"/>
          </w:tcPr>
          <w:p>
            <w:pPr>
              <w:rPr>
                <w:rFonts w:hint="eastAsia" w:ascii="仿宋" w:hAnsi="仿宋" w:eastAsia="仿宋" w:cs="仿宋"/>
                <w:kern w:val="0"/>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0"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9</w:t>
            </w:r>
          </w:p>
        </w:tc>
        <w:tc>
          <w:tcPr>
            <w:tcW w:w="823" w:type="dxa"/>
            <w:noWrap w:val="0"/>
            <w:vAlign w:val="center"/>
          </w:tcPr>
          <w:p>
            <w:pPr>
              <w:widowControl/>
              <w:jc w:val="both"/>
              <w:textAlignment w:val="center"/>
              <w:rPr>
                <w:rFonts w:hint="eastAsia" w:ascii="仿宋" w:hAnsi="仿宋" w:eastAsia="仿宋" w:cs="仿宋"/>
                <w:color w:val="000000"/>
                <w:kern w:val="0"/>
                <w:sz w:val="24"/>
                <w:szCs w:val="24"/>
              </w:rPr>
            </w:pPr>
            <w:r>
              <w:rPr>
                <w:rFonts w:hint="eastAsia" w:ascii="仿宋" w:hAnsi="仿宋" w:eastAsia="仿宋" w:cs="仿宋"/>
                <w:sz w:val="24"/>
                <w:szCs w:val="24"/>
              </w:rPr>
              <w:t>世界</w:t>
            </w:r>
            <w:r>
              <w:rPr>
                <w:rFonts w:hint="eastAsia" w:ascii="仿宋" w:hAnsi="仿宋" w:eastAsia="仿宋" w:cs="仿宋"/>
                <w:sz w:val="24"/>
                <w:szCs w:val="24"/>
                <w:lang w:bidi="ar"/>
              </w:rPr>
              <w:t>地形图(世界立体地形)</w:t>
            </w:r>
          </w:p>
        </w:tc>
        <w:tc>
          <w:tcPr>
            <w:tcW w:w="7038" w:type="dxa"/>
            <w:noWrap w:val="0"/>
            <w:vAlign w:val="center"/>
          </w:tcPr>
          <w:p>
            <w:pPr>
              <w:widowControl/>
              <w:textAlignment w:val="center"/>
              <w:rPr>
                <w:rFonts w:hint="eastAsia" w:ascii="仿宋" w:hAnsi="仿宋" w:eastAsia="仿宋" w:cs="仿宋"/>
                <w:color w:val="000000"/>
                <w:kern w:val="0"/>
                <w:sz w:val="24"/>
                <w:szCs w:val="24"/>
                <w:lang w:eastAsia="zh-CN"/>
              </w:rPr>
            </w:pP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1.外框尺寸</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2850mm*2000mm，水平比列尺尺</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1:1250万，垂直比列尺</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1:18万；</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根据卫星遥感资料和地形等高线精雕模具。复合材料，一次成型；颜料着色，永不蜕色。2.能够清楚表示出世界七大洲、四大洋；世界各国的国家；世界各国首都；主要国家的部分重点城市；世界各国主要铁路干线；世界各国主要高等级公路；世界主要航海线；世界各国主要高原、河流、湖泊、沙漠、盆地、平原、丘陵、山脉、山峰及其它地形相关要素；世界主要海洋、海峡、岛屿、海湾、海沟、海丘、海岭、海台、海盆；世界主要能源矿产分布；世界主要科学考察站；世界大陆冰及陆缘冰分布；世界永冰界等内容。3.模型采用集成电路和彩色高亮度发光管显示各国首都、首府，世界十大河流，及世界能源和主要矿产分布，同时配有同步语音解说，地图立体感强，色泽鲜艳，柔和，注记清晰，信息量大，是集声、光、电为一体的适合现代教学的高科技产品。4.外形尺寸</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2850mm×2000</w:t>
            </w:r>
            <w:r>
              <w:rPr>
                <w:rFonts w:hint="eastAsia" w:ascii="仿宋" w:hAnsi="仿宋" w:eastAsia="仿宋" w:cs="仿宋"/>
                <w:sz w:val="24"/>
                <w:szCs w:val="24"/>
              </w:rPr>
              <w:t>±1</w:t>
            </w:r>
            <w:r>
              <w:rPr>
                <w:rFonts w:hint="eastAsia" w:ascii="仿宋" w:hAnsi="仿宋" w:eastAsia="仿宋" w:cs="仿宋"/>
                <w:color w:val="000000"/>
                <w:kern w:val="0"/>
                <w:sz w:val="24"/>
                <w:szCs w:val="24"/>
                <w:lang w:bidi="ar"/>
              </w:rPr>
              <w:t>mm .5.可以声光电演示的内容有：1.河流：长江、黄河、松花江、雅鲁藏布江、珠江；2.核电站：石油天燃气、煤炭、世界能源分布；3.鄂毕河4070km（俄罗斯）、勒拿河4320km（俄罗斯）、湄公河4500km（亚洲）、刚果河4640km（非洲）、拉普拉塔河4700km（南美）、黄河5460km（中国）、密西西比河6262km（北美洲）、长江6300km（中国）、亚马孙河6480km（南美）、尼罗河6671km（非洲）。PVC材料，整体成型，低碳环保。制作材料：采用约0.3mm厚亚白色的PVC材料制成，材料表面光滑、厚度均匀。</w:t>
            </w:r>
          </w:p>
        </w:tc>
        <w:tc>
          <w:tcPr>
            <w:tcW w:w="408"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套</w:t>
            </w:r>
          </w:p>
        </w:tc>
        <w:tc>
          <w:tcPr>
            <w:tcW w:w="58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tcBorders>
              <w:bottom w:val="single" w:color="auto" w:sz="4" w:space="0"/>
            </w:tcBorders>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23" w:type="dxa"/>
            <w:noWrap w:val="0"/>
            <w:vAlign w:val="center"/>
          </w:tcPr>
          <w:p>
            <w:pPr>
              <w:shd w:val="clear" w:color="auto" w:fill="FFFFFF"/>
              <w:spacing w:line="360" w:lineRule="atLeast"/>
              <w:ind w:firstLine="420"/>
              <w:rPr>
                <w:rFonts w:hint="eastAsia" w:ascii="仿宋" w:hAnsi="仿宋" w:eastAsia="仿宋" w:cs="仿宋"/>
                <w:color w:val="000000"/>
                <w:kern w:val="0"/>
                <w:sz w:val="24"/>
                <w:szCs w:val="24"/>
              </w:rPr>
            </w:pPr>
            <w:r>
              <w:rPr>
                <w:rFonts w:hint="eastAsia" w:ascii="仿宋" w:hAnsi="仿宋" w:eastAsia="仿宋" w:cs="仿宋"/>
                <w:color w:val="333333"/>
                <w:sz w:val="24"/>
                <w:szCs w:val="24"/>
              </w:rPr>
              <w:t>北盘江第一桥</w:t>
            </w:r>
            <w:r>
              <w:rPr>
                <w:rFonts w:hint="eastAsia" w:ascii="仿宋" w:hAnsi="仿宋" w:eastAsia="仿宋" w:cs="仿宋"/>
                <w:sz w:val="24"/>
                <w:szCs w:val="24"/>
              </w:rPr>
              <w:t>模型</w:t>
            </w:r>
          </w:p>
        </w:tc>
        <w:tc>
          <w:tcPr>
            <w:tcW w:w="7038" w:type="dxa"/>
            <w:noWrap w:val="0"/>
            <w:vAlign w:val="center"/>
          </w:tcPr>
          <w:p>
            <w:pPr>
              <w:shd w:val="clear" w:color="auto" w:fill="FFFFFF"/>
              <w:spacing w:line="360" w:lineRule="atLeast"/>
              <w:ind w:firstLine="420"/>
              <w:rPr>
                <w:rFonts w:hint="eastAsia" w:ascii="仿宋" w:hAnsi="仿宋" w:eastAsia="仿宋" w:cs="仿宋"/>
                <w:sz w:val="24"/>
                <w:szCs w:val="24"/>
              </w:rPr>
            </w:pPr>
            <w:r>
              <w:rPr>
                <w:rFonts w:hint="eastAsia" w:ascii="仿宋" w:hAnsi="仿宋" w:eastAsia="仿宋" w:cs="仿宋"/>
                <w:kern w:val="0"/>
                <w:sz w:val="24"/>
                <w:szCs w:val="24"/>
              </w:rPr>
              <w:t>★</w:t>
            </w:r>
            <w:r>
              <w:rPr>
                <w:rFonts w:hint="eastAsia" w:ascii="仿宋" w:hAnsi="仿宋" w:eastAsia="仿宋" w:cs="仿宋"/>
                <w:sz w:val="24"/>
                <w:szCs w:val="24"/>
              </w:rPr>
              <w:t>模型</w:t>
            </w:r>
            <w:r>
              <w:rPr>
                <w:rFonts w:hint="eastAsia" w:ascii="仿宋" w:hAnsi="仿宋" w:eastAsia="仿宋" w:cs="仿宋"/>
                <w:sz w:val="24"/>
                <w:szCs w:val="24"/>
                <w:lang w:eastAsia="zh-CN"/>
              </w:rPr>
              <w:t>尺寸</w:t>
            </w:r>
            <w:r>
              <w:rPr>
                <w:rFonts w:hint="eastAsia" w:ascii="仿宋" w:hAnsi="仿宋" w:eastAsia="仿宋" w:cs="仿宋"/>
                <w:kern w:val="0"/>
                <w:sz w:val="24"/>
                <w:szCs w:val="24"/>
              </w:rPr>
              <w:t>≥</w:t>
            </w:r>
            <w:r>
              <w:rPr>
                <w:rFonts w:hint="eastAsia" w:ascii="仿宋" w:hAnsi="仿宋" w:eastAsia="仿宋" w:cs="仿宋"/>
                <w:sz w:val="24"/>
                <w:szCs w:val="24"/>
              </w:rPr>
              <w:t>宽61厘米，长91±1厘米，高56±1厘米。</w:t>
            </w:r>
          </w:p>
          <w:p>
            <w:pPr>
              <w:shd w:val="clear" w:color="auto" w:fill="FFFFFF"/>
              <w:spacing w:line="360" w:lineRule="atLeast"/>
              <w:ind w:firstLine="420"/>
              <w:rPr>
                <w:rFonts w:hint="eastAsia" w:ascii="仿宋" w:hAnsi="仿宋" w:eastAsia="仿宋" w:cs="仿宋"/>
                <w:sz w:val="24"/>
                <w:szCs w:val="24"/>
              </w:rPr>
            </w:pPr>
            <w:r>
              <w:rPr>
                <w:rFonts w:hint="eastAsia" w:ascii="仿宋" w:hAnsi="仿宋" w:eastAsia="仿宋" w:cs="仿宋"/>
                <w:sz w:val="24"/>
                <w:szCs w:val="24"/>
              </w:rPr>
              <w:t>北盘江第一桥（The First Beipan River Bridge），原称尼珠河大桥或北盘江大桥，是中国境内一座连接云南省曲靖市宣威市普立乡与贵州省六盘水市水城县都格镇的特大桥，位于泥猪河之上，为杭瑞高速公路的组成部分。北盘江第一桥于2013年动工建设；</w:t>
            </w:r>
            <w:r>
              <w:rPr>
                <w:rStyle w:val="86"/>
                <w:rFonts w:hint="eastAsia" w:ascii="仿宋" w:hAnsi="仿宋" w:eastAsia="仿宋" w:cs="仿宋"/>
                <w:sz w:val="24"/>
                <w:szCs w:val="24"/>
              </w:rPr>
              <w:t> </w:t>
            </w:r>
            <w:r>
              <w:rPr>
                <w:rFonts w:hint="eastAsia" w:ascii="仿宋" w:hAnsi="仿宋" w:eastAsia="仿宋" w:cs="仿宋"/>
                <w:sz w:val="24"/>
                <w:szCs w:val="24"/>
              </w:rPr>
              <w:t>于2016年9月10日完成合龙；于2016年12月29日竣工运营。北盘江第一桥北起都格镇， 上跨尼珠河大峡谷，南至腊龙村；</w:t>
            </w:r>
            <w:r>
              <w:rPr>
                <w:rStyle w:val="86"/>
                <w:rFonts w:hint="eastAsia" w:ascii="仿宋" w:hAnsi="仿宋" w:eastAsia="仿宋" w:cs="仿宋"/>
                <w:sz w:val="24"/>
                <w:szCs w:val="24"/>
              </w:rPr>
              <w:t> </w:t>
            </w:r>
            <w:r>
              <w:rPr>
                <w:rFonts w:hint="eastAsia" w:ascii="仿宋" w:hAnsi="仿宋" w:eastAsia="仿宋" w:cs="仿宋"/>
                <w:sz w:val="24"/>
                <w:szCs w:val="24"/>
              </w:rPr>
              <w:t>全长1341.4米；桥面至江面距离565.4米；采用双向四车道高速公路标准，设计速度80千米/小时；</w:t>
            </w:r>
            <w:r>
              <w:rPr>
                <w:rStyle w:val="86"/>
                <w:rFonts w:hint="eastAsia" w:ascii="仿宋" w:hAnsi="仿宋" w:eastAsia="仿宋" w:cs="仿宋"/>
                <w:sz w:val="24"/>
                <w:szCs w:val="24"/>
              </w:rPr>
              <w:t> </w:t>
            </w:r>
            <w:r>
              <w:rPr>
                <w:rFonts w:hint="eastAsia" w:ascii="仿宋" w:hAnsi="仿宋" w:eastAsia="仿宋" w:cs="仿宋"/>
                <w:sz w:val="24"/>
                <w:szCs w:val="24"/>
              </w:rPr>
              <w:t>工程项目总投资10.28亿元。</w:t>
            </w:r>
          </w:p>
          <w:p>
            <w:pPr>
              <w:widowControl/>
              <w:shd w:val="clear" w:color="auto" w:fill="FFFFFF"/>
              <w:spacing w:line="360" w:lineRule="atLeast"/>
              <w:ind w:firstLine="480"/>
              <w:jc w:val="left"/>
              <w:rPr>
                <w:rFonts w:hint="eastAsia" w:ascii="仿宋" w:hAnsi="仿宋" w:eastAsia="仿宋" w:cs="仿宋"/>
                <w:color w:val="000000"/>
                <w:kern w:val="0"/>
                <w:sz w:val="24"/>
                <w:szCs w:val="24"/>
              </w:rPr>
            </w:pPr>
            <w:r>
              <w:rPr>
                <w:rFonts w:hint="eastAsia" w:ascii="仿宋" w:hAnsi="仿宋" w:eastAsia="仿宋" w:cs="仿宋"/>
                <w:sz w:val="24"/>
                <w:szCs w:val="24"/>
              </w:rPr>
              <w:t>北盘江第一桥因其相对高度超过</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"https://baike.baidu.com/item/%E5%9B%9B%E6%B8%A1%E6%B2%B3%E7%89%B9%E5%A4%A7%E6%A1%A5/5483726" \t "_blank" </w:instrText>
            </w:r>
            <w:r>
              <w:rPr>
                <w:rFonts w:hint="eastAsia" w:ascii="仿宋" w:hAnsi="仿宋" w:eastAsia="仿宋" w:cs="仿宋"/>
                <w:sz w:val="24"/>
                <w:szCs w:val="24"/>
              </w:rPr>
              <w:fldChar w:fldCharType="separate"/>
            </w:r>
            <w:r>
              <w:rPr>
                <w:rStyle w:val="30"/>
                <w:rFonts w:hint="eastAsia" w:ascii="仿宋" w:hAnsi="仿宋" w:eastAsia="仿宋" w:cs="仿宋"/>
                <w:color w:val="auto"/>
                <w:sz w:val="24"/>
                <w:szCs w:val="24"/>
              </w:rPr>
              <w:t>四渡河特大桥</w:t>
            </w:r>
            <w:r>
              <w:rPr>
                <w:rFonts w:hint="eastAsia" w:ascii="仿宋" w:hAnsi="仿宋" w:eastAsia="仿宋" w:cs="仿宋"/>
                <w:sz w:val="24"/>
                <w:szCs w:val="24"/>
              </w:rPr>
              <w:fldChar w:fldCharType="end"/>
            </w:r>
            <w:r>
              <w:rPr>
                <w:rFonts w:hint="eastAsia" w:ascii="仿宋" w:hAnsi="仿宋" w:eastAsia="仿宋" w:cs="仿宋"/>
                <w:sz w:val="24"/>
                <w:szCs w:val="24"/>
              </w:rPr>
              <w:t xml:space="preserve">，刷新世界第一高桥记录而闻名中外。 </w:t>
            </w:r>
            <w:r>
              <w:rPr>
                <w:rFonts w:hint="eastAsia" w:ascii="仿宋" w:hAnsi="仿宋" w:eastAsia="仿宋" w:cs="仿宋"/>
                <w:color w:val="333333"/>
                <w:sz w:val="24"/>
                <w:szCs w:val="24"/>
              </w:rPr>
              <w:t xml:space="preserve">      </w:t>
            </w:r>
          </w:p>
        </w:tc>
        <w:tc>
          <w:tcPr>
            <w:tcW w:w="408"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kern w:val="0"/>
                <w:sz w:val="24"/>
                <w:szCs w:val="24"/>
              </w:rPr>
              <w:t>套</w:t>
            </w:r>
          </w:p>
        </w:tc>
        <w:tc>
          <w:tcPr>
            <w:tcW w:w="58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11</w:t>
            </w:r>
          </w:p>
        </w:tc>
        <w:tc>
          <w:tcPr>
            <w:tcW w:w="823" w:type="dxa"/>
            <w:noWrap w:val="0"/>
            <w:vAlign w:val="center"/>
          </w:tcPr>
          <w:p>
            <w:pPr>
              <w:rPr>
                <w:rFonts w:hint="eastAsia" w:ascii="仿宋" w:hAnsi="仿宋" w:eastAsia="仿宋" w:cs="仿宋"/>
                <w:sz w:val="24"/>
                <w:szCs w:val="24"/>
              </w:rPr>
            </w:pPr>
          </w:p>
          <w:p>
            <w:pPr>
              <w:jc w:val="center"/>
              <w:rPr>
                <w:rFonts w:hint="eastAsia" w:ascii="仿宋" w:hAnsi="仿宋" w:eastAsia="仿宋" w:cs="仿宋"/>
                <w:sz w:val="24"/>
                <w:szCs w:val="24"/>
              </w:rPr>
            </w:pPr>
          </w:p>
          <w:p>
            <w:pPr>
              <w:bidi w:val="0"/>
              <w:rPr>
                <w:rFonts w:hint="eastAsia" w:ascii="仿宋" w:hAnsi="仿宋" w:eastAsia="仿宋" w:cs="仿宋"/>
                <w:sz w:val="24"/>
                <w:szCs w:val="24"/>
                <w:lang w:val="en-US" w:eastAsia="zh-CN"/>
              </w:rPr>
            </w:pPr>
            <w:r>
              <w:rPr>
                <w:rFonts w:hint="eastAsia" w:ascii="仿宋" w:hAnsi="仿宋" w:eastAsia="仿宋" w:cs="仿宋"/>
                <w:sz w:val="24"/>
                <w:szCs w:val="24"/>
              </w:rPr>
              <w:t>多媒体球幕投影</w:t>
            </w:r>
            <w:r>
              <w:rPr>
                <w:rFonts w:hint="eastAsia" w:ascii="仿宋" w:hAnsi="仿宋" w:eastAsia="仿宋" w:cs="仿宋"/>
                <w:sz w:val="24"/>
                <w:szCs w:val="24"/>
                <w:lang w:eastAsia="zh-CN"/>
              </w:rPr>
              <w:t>系统</w:t>
            </w:r>
          </w:p>
          <w:p>
            <w:pPr>
              <w:jc w:val="center"/>
              <w:rPr>
                <w:rFonts w:hint="eastAsia" w:ascii="仿宋" w:hAnsi="仿宋" w:eastAsia="仿宋" w:cs="仿宋"/>
                <w:color w:val="000000"/>
                <w:kern w:val="0"/>
                <w:sz w:val="24"/>
                <w:szCs w:val="24"/>
              </w:rPr>
            </w:pPr>
          </w:p>
        </w:tc>
        <w:tc>
          <w:tcPr>
            <w:tcW w:w="7038"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多媒体球幕投影演示仪参数：</w:t>
            </w:r>
          </w:p>
          <w:p>
            <w:pPr>
              <w:rPr>
                <w:rFonts w:hint="eastAsia" w:ascii="仿宋" w:hAnsi="仿宋" w:eastAsia="仿宋" w:cs="仿宋"/>
                <w:sz w:val="24"/>
                <w:szCs w:val="24"/>
              </w:rPr>
            </w:pPr>
            <w:r>
              <w:rPr>
                <w:rFonts w:hint="eastAsia" w:ascii="仿宋" w:hAnsi="仿宋" w:eastAsia="仿宋" w:cs="仿宋"/>
                <w:sz w:val="24"/>
                <w:szCs w:val="24"/>
              </w:rPr>
              <w:t>一：基本参数：</w:t>
            </w:r>
          </w:p>
          <w:p>
            <w:pPr>
              <w:pStyle w:val="42"/>
              <w:numPr>
                <w:ilvl w:val="0"/>
                <w:numId w:val="7"/>
              </w:numPr>
              <w:ind w:firstLineChars="0"/>
              <w:rPr>
                <w:rFonts w:hint="eastAsia" w:ascii="仿宋" w:hAnsi="仿宋" w:eastAsia="仿宋" w:cs="仿宋"/>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外观尺寸</w:t>
            </w:r>
            <w:r>
              <w:rPr>
                <w:rFonts w:hint="eastAsia" w:ascii="仿宋" w:hAnsi="仿宋" w:eastAsia="仿宋" w:cs="仿宋"/>
                <w:kern w:val="0"/>
                <w:sz w:val="24"/>
                <w:szCs w:val="24"/>
              </w:rPr>
              <w:t>≥</w:t>
            </w:r>
            <w:r>
              <w:rPr>
                <w:rFonts w:hint="eastAsia" w:ascii="仿宋" w:hAnsi="仿宋" w:eastAsia="仿宋" w:cs="仿宋"/>
                <w:sz w:val="24"/>
                <w:szCs w:val="24"/>
              </w:rPr>
              <w:t>470×390×360毫米</w:t>
            </w:r>
          </w:p>
          <w:p>
            <w:pPr>
              <w:pStyle w:val="42"/>
              <w:numPr>
                <w:ilvl w:val="0"/>
                <w:numId w:val="7"/>
              </w:numPr>
              <w:ind w:firstLineChars="0"/>
              <w:rPr>
                <w:rFonts w:hint="eastAsia" w:ascii="仿宋" w:hAnsi="仿宋" w:eastAsia="仿宋" w:cs="仿宋"/>
                <w:sz w:val="24"/>
                <w:szCs w:val="24"/>
              </w:rPr>
            </w:pPr>
            <w:r>
              <w:rPr>
                <w:rFonts w:hint="eastAsia" w:ascii="仿宋" w:hAnsi="仿宋" w:eastAsia="仿宋" w:cs="仿宋"/>
                <w:sz w:val="24"/>
                <w:szCs w:val="24"/>
              </w:rPr>
              <w:t>重量</w:t>
            </w:r>
            <w:r>
              <w:rPr>
                <w:rFonts w:hint="eastAsia" w:ascii="仿宋" w:hAnsi="仿宋" w:eastAsia="仿宋" w:cs="仿宋"/>
                <w:kern w:val="0"/>
                <w:sz w:val="24"/>
                <w:szCs w:val="24"/>
              </w:rPr>
              <w:t>≥</w:t>
            </w:r>
            <w:r>
              <w:rPr>
                <w:rFonts w:hint="eastAsia" w:ascii="仿宋" w:hAnsi="仿宋" w:eastAsia="仿宋" w:cs="仿宋"/>
                <w:sz w:val="24"/>
                <w:szCs w:val="24"/>
              </w:rPr>
              <w:t>18-20KG</w:t>
            </w:r>
          </w:p>
          <w:p>
            <w:pPr>
              <w:pStyle w:val="42"/>
              <w:numPr>
                <w:ilvl w:val="0"/>
                <w:numId w:val="7"/>
              </w:numPr>
              <w:ind w:firstLineChars="0"/>
              <w:rPr>
                <w:rFonts w:hint="eastAsia" w:ascii="仿宋" w:hAnsi="仿宋" w:eastAsia="仿宋" w:cs="仿宋"/>
                <w:sz w:val="24"/>
                <w:szCs w:val="24"/>
              </w:rPr>
            </w:pPr>
            <w:r>
              <w:rPr>
                <w:rFonts w:hint="eastAsia" w:ascii="仿宋" w:hAnsi="仿宋" w:eastAsia="仿宋" w:cs="仿宋"/>
                <w:sz w:val="24"/>
                <w:szCs w:val="24"/>
              </w:rPr>
              <w:t>电源：交流220V/3A</w:t>
            </w:r>
          </w:p>
          <w:p>
            <w:pPr>
              <w:rPr>
                <w:rFonts w:hint="eastAsia" w:ascii="仿宋" w:hAnsi="仿宋" w:eastAsia="仿宋" w:cs="仿宋"/>
                <w:sz w:val="24"/>
                <w:szCs w:val="24"/>
              </w:rPr>
            </w:pPr>
            <w:r>
              <w:rPr>
                <w:rFonts w:hint="eastAsia" w:ascii="仿宋" w:hAnsi="仿宋" w:eastAsia="仿宋" w:cs="仿宋"/>
                <w:sz w:val="24"/>
                <w:szCs w:val="24"/>
              </w:rPr>
              <w:t>二：外设接口以及拓展：</w:t>
            </w:r>
          </w:p>
          <w:p>
            <w:pPr>
              <w:pStyle w:val="42"/>
              <w:numPr>
                <w:ilvl w:val="0"/>
                <w:numId w:val="8"/>
              </w:numPr>
              <w:ind w:firstLineChars="0"/>
              <w:rPr>
                <w:rFonts w:hint="eastAsia" w:ascii="仿宋" w:hAnsi="仿宋" w:eastAsia="仿宋" w:cs="仿宋"/>
                <w:sz w:val="24"/>
                <w:szCs w:val="24"/>
              </w:rPr>
            </w:pPr>
            <w:r>
              <w:rPr>
                <w:rFonts w:hint="eastAsia" w:ascii="仿宋" w:hAnsi="仿宋" w:eastAsia="仿宋" w:cs="仿宋"/>
                <w:sz w:val="24"/>
                <w:szCs w:val="24"/>
              </w:rPr>
              <w:t>USB接口</w:t>
            </w:r>
            <w:r>
              <w:rPr>
                <w:rFonts w:hint="eastAsia" w:ascii="仿宋" w:hAnsi="仿宋" w:eastAsia="仿宋" w:cs="仿宋"/>
                <w:kern w:val="0"/>
                <w:sz w:val="24"/>
                <w:szCs w:val="24"/>
              </w:rPr>
              <w:t>≥</w:t>
            </w:r>
            <w:r>
              <w:rPr>
                <w:rFonts w:hint="eastAsia" w:ascii="仿宋" w:hAnsi="仿宋" w:eastAsia="仿宋" w:cs="仿宋"/>
                <w:sz w:val="24"/>
                <w:szCs w:val="24"/>
              </w:rPr>
              <w:t>4个USB接口。</w:t>
            </w:r>
          </w:p>
          <w:p>
            <w:pPr>
              <w:pStyle w:val="42"/>
              <w:numPr>
                <w:ilvl w:val="0"/>
                <w:numId w:val="8"/>
              </w:numPr>
              <w:ind w:firstLineChars="0"/>
              <w:rPr>
                <w:rFonts w:hint="eastAsia" w:ascii="仿宋" w:hAnsi="仿宋" w:eastAsia="仿宋" w:cs="仿宋"/>
                <w:sz w:val="24"/>
                <w:szCs w:val="24"/>
              </w:rPr>
            </w:pPr>
            <w:r>
              <w:rPr>
                <w:rFonts w:hint="eastAsia" w:ascii="仿宋" w:hAnsi="仿宋" w:eastAsia="仿宋" w:cs="仿宋"/>
                <w:sz w:val="24"/>
                <w:szCs w:val="24"/>
              </w:rPr>
              <w:t>VGA接口</w:t>
            </w:r>
            <w:r>
              <w:rPr>
                <w:rFonts w:hint="eastAsia" w:ascii="仿宋" w:hAnsi="仿宋" w:eastAsia="仿宋" w:cs="仿宋"/>
                <w:kern w:val="0"/>
                <w:sz w:val="24"/>
                <w:szCs w:val="24"/>
              </w:rPr>
              <w:t>≥</w:t>
            </w:r>
            <w:r>
              <w:rPr>
                <w:rFonts w:hint="eastAsia" w:ascii="仿宋" w:hAnsi="仿宋" w:eastAsia="仿宋" w:cs="仿宋"/>
                <w:sz w:val="24"/>
                <w:szCs w:val="24"/>
              </w:rPr>
              <w:t>1个VGA-A接口；一个VGA-B接口</w:t>
            </w:r>
          </w:p>
          <w:p>
            <w:pPr>
              <w:pStyle w:val="42"/>
              <w:numPr>
                <w:ilvl w:val="0"/>
                <w:numId w:val="8"/>
              </w:numPr>
              <w:ind w:firstLineChars="0"/>
              <w:rPr>
                <w:rFonts w:hint="eastAsia" w:ascii="仿宋" w:hAnsi="仿宋" w:eastAsia="仿宋" w:cs="仿宋"/>
                <w:sz w:val="24"/>
                <w:szCs w:val="24"/>
              </w:rPr>
            </w:pPr>
            <w:r>
              <w:rPr>
                <w:rFonts w:hint="eastAsia" w:ascii="仿宋" w:hAnsi="仿宋" w:eastAsia="仿宋" w:cs="仿宋"/>
                <w:sz w:val="24"/>
                <w:szCs w:val="24"/>
              </w:rPr>
              <w:t>音频接口</w:t>
            </w:r>
            <w:r>
              <w:rPr>
                <w:rFonts w:hint="eastAsia" w:ascii="仿宋" w:hAnsi="仿宋" w:eastAsia="仿宋" w:cs="仿宋"/>
                <w:kern w:val="0"/>
                <w:sz w:val="24"/>
                <w:szCs w:val="24"/>
              </w:rPr>
              <w:t>≥</w:t>
            </w:r>
            <w:r>
              <w:rPr>
                <w:rFonts w:hint="eastAsia" w:ascii="仿宋" w:hAnsi="仿宋" w:eastAsia="仿宋" w:cs="仿宋"/>
                <w:sz w:val="24"/>
                <w:szCs w:val="24"/>
              </w:rPr>
              <w:t>3个3.5MM接口</w:t>
            </w:r>
          </w:p>
          <w:p>
            <w:pPr>
              <w:pStyle w:val="42"/>
              <w:numPr>
                <w:ilvl w:val="0"/>
                <w:numId w:val="8"/>
              </w:numPr>
              <w:ind w:firstLineChars="0"/>
              <w:rPr>
                <w:rFonts w:hint="eastAsia" w:ascii="仿宋" w:hAnsi="仿宋" w:eastAsia="仿宋" w:cs="仿宋"/>
                <w:sz w:val="24"/>
                <w:szCs w:val="24"/>
              </w:rPr>
            </w:pPr>
            <w:r>
              <w:rPr>
                <w:rFonts w:hint="eastAsia" w:ascii="仿宋" w:hAnsi="仿宋" w:eastAsia="仿宋" w:cs="仿宋"/>
                <w:sz w:val="24"/>
                <w:szCs w:val="24"/>
              </w:rPr>
              <w:t>网络接口</w:t>
            </w:r>
            <w:r>
              <w:rPr>
                <w:rFonts w:hint="eastAsia" w:ascii="仿宋" w:hAnsi="仿宋" w:eastAsia="仿宋" w:cs="仿宋"/>
                <w:kern w:val="0"/>
                <w:sz w:val="24"/>
                <w:szCs w:val="24"/>
              </w:rPr>
              <w:t>≥</w:t>
            </w:r>
            <w:r>
              <w:rPr>
                <w:rFonts w:hint="eastAsia" w:ascii="仿宋" w:hAnsi="仿宋" w:eastAsia="仿宋" w:cs="仿宋"/>
                <w:sz w:val="24"/>
                <w:szCs w:val="24"/>
              </w:rPr>
              <w:t>1个RJ45接口</w:t>
            </w:r>
          </w:p>
          <w:p>
            <w:pPr>
              <w:rPr>
                <w:rFonts w:hint="eastAsia" w:ascii="仿宋" w:hAnsi="仿宋" w:eastAsia="仿宋" w:cs="仿宋"/>
                <w:sz w:val="24"/>
                <w:szCs w:val="24"/>
              </w:rPr>
            </w:pPr>
            <w:r>
              <w:rPr>
                <w:rFonts w:hint="eastAsia" w:ascii="仿宋" w:hAnsi="仿宋" w:eastAsia="仿宋" w:cs="仿宋"/>
                <w:sz w:val="24"/>
                <w:szCs w:val="24"/>
              </w:rPr>
              <w:t>三：电脑硬件配置参数</w:t>
            </w:r>
          </w:p>
          <w:p>
            <w:pPr>
              <w:pStyle w:val="42"/>
              <w:numPr>
                <w:ilvl w:val="0"/>
                <w:numId w:val="9"/>
              </w:numPr>
              <w:ind w:firstLineChars="0"/>
              <w:rPr>
                <w:rFonts w:hint="eastAsia" w:ascii="仿宋" w:hAnsi="仿宋" w:eastAsia="仿宋" w:cs="仿宋"/>
                <w:kern w:val="0"/>
                <w:sz w:val="24"/>
                <w:szCs w:val="24"/>
              </w:rPr>
            </w:pPr>
            <w:r>
              <w:rPr>
                <w:rFonts w:hint="eastAsia" w:ascii="仿宋" w:hAnsi="仿宋" w:eastAsia="仿宋" w:cs="仿宋"/>
                <w:kern w:val="0"/>
                <w:sz w:val="24"/>
                <w:szCs w:val="24"/>
              </w:rPr>
              <w:t>CPU：</w:t>
            </w:r>
            <w:r>
              <w:rPr>
                <w:rFonts w:hint="eastAsia" w:ascii="仿宋" w:hAnsi="仿宋" w:eastAsia="仿宋" w:cs="仿宋"/>
                <w:kern w:val="0"/>
                <w:sz w:val="24"/>
                <w:szCs w:val="24"/>
                <w:lang w:eastAsia="zh-CN"/>
              </w:rPr>
              <w:t>不小于</w:t>
            </w:r>
            <w:r>
              <w:rPr>
                <w:rFonts w:hint="eastAsia" w:ascii="仿宋" w:hAnsi="仿宋" w:eastAsia="仿宋" w:cs="仿宋"/>
                <w:kern w:val="0"/>
                <w:sz w:val="24"/>
                <w:szCs w:val="24"/>
              </w:rPr>
              <w:t>intel i5系列；CPU频率：2.5GHz以上；睿频加速频率：3.0GHz以上；处理器倍频：20倍以上。</w:t>
            </w:r>
          </w:p>
          <w:p>
            <w:pPr>
              <w:pStyle w:val="43"/>
              <w:numPr>
                <w:ilvl w:val="0"/>
                <w:numId w:val="9"/>
              </w:numPr>
              <w:ind w:firstLineChars="0"/>
              <w:rPr>
                <w:rFonts w:hint="eastAsia" w:ascii="仿宋" w:hAnsi="仿宋" w:eastAsia="仿宋" w:cs="仿宋"/>
                <w:kern w:val="0"/>
                <w:sz w:val="24"/>
                <w:szCs w:val="24"/>
              </w:rPr>
            </w:pPr>
            <w:r>
              <w:rPr>
                <w:rFonts w:hint="eastAsia" w:ascii="仿宋" w:hAnsi="仿宋" w:eastAsia="仿宋" w:cs="仿宋"/>
                <w:kern w:val="0"/>
                <w:sz w:val="24"/>
                <w:szCs w:val="24"/>
              </w:rPr>
              <w:t>主板：技嘉B75系列或以上。</w:t>
            </w:r>
          </w:p>
          <w:p>
            <w:pPr>
              <w:pStyle w:val="42"/>
              <w:ind w:firstLine="0" w:firstLineChars="0"/>
              <w:rPr>
                <w:rFonts w:hint="eastAsia" w:ascii="仿宋" w:hAnsi="仿宋" w:eastAsia="仿宋" w:cs="仿宋"/>
                <w:kern w:val="0"/>
                <w:sz w:val="24"/>
                <w:szCs w:val="24"/>
              </w:rPr>
            </w:pPr>
            <w:r>
              <w:rPr>
                <w:rFonts w:hint="eastAsia" w:ascii="仿宋" w:hAnsi="仿宋" w:eastAsia="仿宋" w:cs="仿宋"/>
                <w:kern w:val="0"/>
                <w:sz w:val="24"/>
                <w:szCs w:val="24"/>
              </w:rPr>
              <w:t>3、硬盘：尺寸规格2.5英寸</w:t>
            </w:r>
            <w:r>
              <w:rPr>
                <w:rFonts w:hint="eastAsia" w:ascii="仿宋" w:hAnsi="仿宋" w:eastAsia="仿宋" w:cs="仿宋"/>
                <w:kern w:val="0"/>
                <w:sz w:val="24"/>
                <w:szCs w:val="24"/>
                <w:lang w:eastAsia="zh-CN"/>
              </w:rPr>
              <w:t>左右</w:t>
            </w:r>
            <w:r>
              <w:rPr>
                <w:rFonts w:hint="eastAsia" w:ascii="仿宋" w:hAnsi="仿宋" w:eastAsia="仿宋" w:cs="仿宋"/>
                <w:kern w:val="0"/>
                <w:sz w:val="24"/>
                <w:szCs w:val="24"/>
              </w:rPr>
              <w:t>，硬盘容量</w:t>
            </w:r>
            <w:r>
              <w:rPr>
                <w:rFonts w:hint="eastAsia" w:ascii="仿宋" w:hAnsi="仿宋" w:eastAsia="仿宋" w:cs="仿宋"/>
                <w:kern w:val="0"/>
                <w:sz w:val="24"/>
                <w:szCs w:val="24"/>
                <w:lang w:eastAsia="zh-CN"/>
              </w:rPr>
              <w:t>不小于</w:t>
            </w:r>
            <w:r>
              <w:rPr>
                <w:rFonts w:hint="eastAsia" w:ascii="仿宋" w:hAnsi="仿宋" w:eastAsia="仿宋" w:cs="仿宋"/>
                <w:kern w:val="0"/>
                <w:sz w:val="24"/>
                <w:szCs w:val="24"/>
              </w:rPr>
              <w:t>512GB,传输接口：SATA3</w:t>
            </w:r>
          </w:p>
          <w:p>
            <w:pPr>
              <w:pStyle w:val="42"/>
              <w:ind w:firstLine="0" w:firstLineChars="0"/>
              <w:rPr>
                <w:rFonts w:hint="eastAsia" w:ascii="仿宋" w:hAnsi="仿宋" w:eastAsia="仿宋" w:cs="仿宋"/>
                <w:kern w:val="0"/>
                <w:sz w:val="24"/>
                <w:szCs w:val="24"/>
              </w:rPr>
            </w:pPr>
            <w:r>
              <w:rPr>
                <w:rFonts w:hint="eastAsia" w:ascii="仿宋" w:hAnsi="仿宋" w:eastAsia="仿宋" w:cs="仿宋"/>
                <w:kern w:val="0"/>
                <w:sz w:val="24"/>
                <w:szCs w:val="24"/>
                <w:highlight w:val="lightGray"/>
              </w:rPr>
              <w:t>4、</w:t>
            </w:r>
            <w:r>
              <w:rPr>
                <w:rFonts w:hint="eastAsia" w:ascii="仿宋" w:hAnsi="仿宋" w:eastAsia="仿宋" w:cs="仿宋"/>
                <w:kern w:val="0"/>
                <w:sz w:val="24"/>
                <w:szCs w:val="24"/>
              </w:rPr>
              <w:t>显卡：GT210或以上，支持双显功能</w:t>
            </w:r>
          </w:p>
          <w:p>
            <w:pPr>
              <w:rPr>
                <w:rFonts w:hint="eastAsia" w:ascii="仿宋" w:hAnsi="仿宋" w:eastAsia="仿宋" w:cs="仿宋"/>
                <w:sz w:val="24"/>
                <w:szCs w:val="24"/>
              </w:rPr>
            </w:pPr>
            <w:r>
              <w:rPr>
                <w:rFonts w:hint="eastAsia" w:ascii="仿宋" w:hAnsi="仿宋" w:eastAsia="仿宋" w:cs="仿宋"/>
                <w:kern w:val="0"/>
                <w:sz w:val="24"/>
                <w:szCs w:val="24"/>
              </w:rPr>
              <w:t>5、内存：DDR3，内存容量</w:t>
            </w:r>
            <w:r>
              <w:rPr>
                <w:rFonts w:hint="eastAsia" w:ascii="仿宋" w:hAnsi="仿宋" w:eastAsia="仿宋" w:cs="仿宋"/>
                <w:kern w:val="0"/>
                <w:sz w:val="24"/>
                <w:szCs w:val="24"/>
                <w:lang w:eastAsia="zh-CN"/>
              </w:rPr>
              <w:t>不小于</w:t>
            </w:r>
            <w:r>
              <w:rPr>
                <w:rFonts w:hint="eastAsia" w:ascii="仿宋" w:hAnsi="仿宋" w:eastAsia="仿宋" w:cs="仿宋"/>
                <w:kern w:val="0"/>
                <w:sz w:val="24"/>
                <w:szCs w:val="24"/>
              </w:rPr>
              <w:t>8GB</w:t>
            </w:r>
          </w:p>
          <w:p>
            <w:pPr>
              <w:rPr>
                <w:rFonts w:hint="eastAsia" w:ascii="仿宋" w:hAnsi="仿宋" w:eastAsia="仿宋" w:cs="仿宋"/>
                <w:sz w:val="24"/>
                <w:szCs w:val="24"/>
              </w:rPr>
            </w:pPr>
            <w:r>
              <w:rPr>
                <w:rFonts w:hint="eastAsia" w:ascii="仿宋" w:hAnsi="仿宋" w:eastAsia="仿宋" w:cs="仿宋"/>
                <w:sz w:val="24"/>
                <w:szCs w:val="24"/>
              </w:rPr>
              <w:t>四：投影机参数：</w:t>
            </w:r>
          </w:p>
          <w:p>
            <w:pPr>
              <w:pStyle w:val="42"/>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亮度</w:t>
            </w:r>
            <w:r>
              <w:rPr>
                <w:rFonts w:hint="eastAsia" w:ascii="仿宋" w:hAnsi="仿宋" w:eastAsia="仿宋" w:cs="仿宋"/>
                <w:kern w:val="0"/>
                <w:sz w:val="24"/>
                <w:szCs w:val="24"/>
              </w:rPr>
              <w:t>≥</w:t>
            </w:r>
            <w:r>
              <w:rPr>
                <w:rFonts w:hint="eastAsia" w:ascii="仿宋" w:hAnsi="仿宋" w:eastAsia="仿宋" w:cs="仿宋"/>
                <w:sz w:val="24"/>
                <w:szCs w:val="24"/>
              </w:rPr>
              <w:t>4200流明（ISO21118标准）</w:t>
            </w:r>
          </w:p>
          <w:p>
            <w:pPr>
              <w:pStyle w:val="42"/>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对比度</w:t>
            </w:r>
            <w:r>
              <w:rPr>
                <w:rFonts w:hint="eastAsia" w:ascii="仿宋" w:hAnsi="仿宋" w:eastAsia="仿宋" w:cs="仿宋"/>
                <w:kern w:val="0"/>
                <w:sz w:val="24"/>
                <w:szCs w:val="24"/>
              </w:rPr>
              <w:t>≥</w:t>
            </w:r>
            <w:r>
              <w:rPr>
                <w:rFonts w:hint="eastAsia" w:ascii="仿宋" w:hAnsi="仿宋" w:eastAsia="仿宋" w:cs="仿宋"/>
                <w:sz w:val="24"/>
                <w:szCs w:val="24"/>
              </w:rPr>
              <w:t>10000：1</w:t>
            </w:r>
          </w:p>
          <w:p>
            <w:pPr>
              <w:pStyle w:val="42"/>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分辨率</w:t>
            </w:r>
            <w:r>
              <w:rPr>
                <w:rFonts w:hint="eastAsia" w:ascii="仿宋" w:hAnsi="仿宋" w:eastAsia="仿宋" w:cs="仿宋"/>
                <w:kern w:val="0"/>
                <w:sz w:val="24"/>
                <w:szCs w:val="24"/>
              </w:rPr>
              <w:t>≥</w:t>
            </w:r>
            <w:r>
              <w:rPr>
                <w:rFonts w:hint="eastAsia" w:ascii="仿宋" w:hAnsi="仿宋" w:eastAsia="仿宋" w:cs="仿宋"/>
                <w:sz w:val="24"/>
                <w:szCs w:val="24"/>
              </w:rPr>
              <w:t>1200×1080</w:t>
            </w:r>
          </w:p>
          <w:p>
            <w:pPr>
              <w:pStyle w:val="42"/>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均匀性：90%</w:t>
            </w:r>
          </w:p>
          <w:p>
            <w:pPr>
              <w:pStyle w:val="42"/>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显示技术：3LCD 0.63“ BrightEra无机液晶板”</w:t>
            </w:r>
          </w:p>
          <w:p>
            <w:pPr>
              <w:pStyle w:val="42"/>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灯泡使用寿命3000小时-5000小时。</w:t>
            </w:r>
          </w:p>
          <w:p>
            <w:pPr>
              <w:rPr>
                <w:rFonts w:hint="eastAsia" w:ascii="仿宋" w:hAnsi="仿宋" w:eastAsia="仿宋" w:cs="仿宋"/>
                <w:kern w:val="0"/>
                <w:sz w:val="24"/>
                <w:szCs w:val="24"/>
              </w:rPr>
            </w:pPr>
            <w:r>
              <w:rPr>
                <w:rFonts w:hint="eastAsia" w:ascii="仿宋" w:hAnsi="仿宋" w:eastAsia="仿宋" w:cs="仿宋"/>
                <w:sz w:val="24"/>
                <w:szCs w:val="24"/>
              </w:rPr>
              <w:t>五：球幕参数：</w:t>
            </w:r>
          </w:p>
          <w:p>
            <w:pPr>
              <w:rPr>
                <w:rFonts w:hint="eastAsia" w:ascii="仿宋" w:hAnsi="仿宋" w:eastAsia="仿宋" w:cs="仿宋"/>
                <w:sz w:val="24"/>
                <w:szCs w:val="24"/>
              </w:rPr>
            </w:pPr>
            <w:r>
              <w:rPr>
                <w:rFonts w:hint="eastAsia" w:ascii="仿宋" w:hAnsi="仿宋" w:eastAsia="仿宋" w:cs="仿宋"/>
                <w:kern w:val="0"/>
                <w:sz w:val="24"/>
                <w:szCs w:val="24"/>
              </w:rPr>
              <w:t>球幕直径≥60CM；内有特殊涂层，保证亮度均匀，防眩光、辐射；高对比度。</w:t>
            </w:r>
          </w:p>
          <w:p>
            <w:pPr>
              <w:rPr>
                <w:rFonts w:hint="eastAsia" w:ascii="仿宋" w:hAnsi="仿宋" w:eastAsia="仿宋" w:cs="仿宋"/>
                <w:kern w:val="0"/>
                <w:sz w:val="24"/>
                <w:szCs w:val="24"/>
              </w:rPr>
            </w:pPr>
            <w:r>
              <w:rPr>
                <w:rFonts w:hint="eastAsia" w:ascii="仿宋" w:hAnsi="仿宋" w:eastAsia="仿宋" w:cs="仿宋"/>
                <w:sz w:val="24"/>
                <w:szCs w:val="24"/>
              </w:rPr>
              <w:t>六：鱼眼镜头参数：</w:t>
            </w:r>
          </w:p>
          <w:p>
            <w:pPr>
              <w:rPr>
                <w:rFonts w:hint="eastAsia" w:ascii="仿宋" w:hAnsi="仿宋" w:eastAsia="仿宋" w:cs="仿宋"/>
                <w:sz w:val="24"/>
                <w:szCs w:val="24"/>
              </w:rPr>
            </w:pPr>
            <w:r>
              <w:rPr>
                <w:rFonts w:hint="eastAsia" w:ascii="仿宋" w:hAnsi="仿宋" w:eastAsia="仿宋" w:cs="仿宋"/>
                <w:kern w:val="0"/>
                <w:sz w:val="24"/>
                <w:szCs w:val="24"/>
              </w:rPr>
              <w:t>焦距：4.9mm；光圈数：2.0；相面直径：9.92mm；出瞳位置：-39.6mm；传递函数（36线对/mm时）：0.60；横向色差：15μm；相对照度：98%；畸变：正负3%；视场角：175°；光学总长：200mm</w:t>
            </w:r>
          </w:p>
          <w:p>
            <w:pPr>
              <w:rPr>
                <w:rFonts w:hint="eastAsia" w:ascii="仿宋" w:hAnsi="仿宋" w:eastAsia="仿宋" w:cs="仿宋"/>
                <w:sz w:val="24"/>
                <w:szCs w:val="24"/>
              </w:rPr>
            </w:pPr>
            <w:r>
              <w:rPr>
                <w:rFonts w:hint="eastAsia" w:ascii="仿宋" w:hAnsi="仿宋" w:eastAsia="仿宋" w:cs="仿宋"/>
                <w:kern w:val="0"/>
                <w:sz w:val="24"/>
                <w:szCs w:val="24"/>
              </w:rPr>
              <w:t>★</w:t>
            </w:r>
            <w:r>
              <w:rPr>
                <w:rFonts w:hint="eastAsia" w:ascii="仿宋" w:hAnsi="仿宋" w:eastAsia="仿宋" w:cs="仿宋"/>
                <w:sz w:val="24"/>
                <w:szCs w:val="24"/>
              </w:rPr>
              <w:t>七：调焦系统参数：</w:t>
            </w:r>
          </w:p>
          <w:p>
            <w:pPr>
              <w:rPr>
                <w:rFonts w:hint="eastAsia" w:ascii="仿宋" w:hAnsi="仿宋" w:eastAsia="仿宋" w:cs="仿宋"/>
                <w:sz w:val="24"/>
                <w:szCs w:val="24"/>
              </w:rPr>
            </w:pPr>
            <w:r>
              <w:rPr>
                <w:rFonts w:hint="eastAsia" w:ascii="仿宋" w:hAnsi="仿宋" w:eastAsia="仿宋" w:cs="仿宋"/>
                <w:sz w:val="24"/>
                <w:szCs w:val="24"/>
              </w:rPr>
              <w:t>柔性步进调焦控制电路：集成调焦界面能够触摸和无线对镜头X/Y/Z六方向调节，内置柔性步进控制电路和电脑板进行控制，使调焦更加细腻、平滑稳定。</w:t>
            </w:r>
          </w:p>
          <w:p>
            <w:pPr>
              <w:rPr>
                <w:rFonts w:hint="eastAsia" w:ascii="仿宋" w:hAnsi="仿宋" w:eastAsia="仿宋" w:cs="仿宋"/>
                <w:kern w:val="0"/>
                <w:sz w:val="24"/>
                <w:szCs w:val="24"/>
              </w:rPr>
            </w:pPr>
            <w:r>
              <w:rPr>
                <w:rFonts w:hint="eastAsia" w:ascii="仿宋" w:hAnsi="仿宋" w:eastAsia="仿宋" w:cs="仿宋"/>
                <w:sz w:val="24"/>
                <w:szCs w:val="24"/>
              </w:rPr>
              <w:t>八：触摸屏参数：</w:t>
            </w:r>
          </w:p>
          <w:p>
            <w:pPr>
              <w:rPr>
                <w:rFonts w:hint="eastAsia" w:ascii="仿宋" w:hAnsi="仿宋" w:eastAsia="仿宋" w:cs="仿宋"/>
                <w:color w:val="000000"/>
                <w:kern w:val="0"/>
                <w:sz w:val="24"/>
                <w:szCs w:val="24"/>
                <w:lang w:eastAsia="zh-CN"/>
              </w:rPr>
            </w:pPr>
            <w:r>
              <w:rPr>
                <w:rFonts w:hint="eastAsia" w:ascii="仿宋" w:hAnsi="仿宋" w:eastAsia="仿宋" w:cs="仿宋"/>
                <w:kern w:val="0"/>
                <w:sz w:val="24"/>
                <w:szCs w:val="24"/>
                <w:lang w:eastAsia="zh-CN"/>
              </w:rPr>
              <w:t>不小于</w:t>
            </w:r>
            <w:r>
              <w:rPr>
                <w:rFonts w:hint="eastAsia" w:ascii="仿宋" w:hAnsi="仿宋" w:eastAsia="仿宋" w:cs="仿宋"/>
                <w:kern w:val="0"/>
                <w:sz w:val="24"/>
                <w:szCs w:val="24"/>
              </w:rPr>
              <w:t>12寸工业级液晶触控面板；电容压力触屏；支持4点以上触摸技术，分辨率≥1024×768，单点触摸寿命大于5000万次；光学透光率大于95-98%；触控玻璃表面毛氏硬度大于7H；带有软键盘功能.</w:t>
            </w:r>
          </w:p>
        </w:tc>
        <w:tc>
          <w:tcPr>
            <w:tcW w:w="408" w:type="dxa"/>
            <w:noWrap w:val="0"/>
            <w:vAlign w:val="center"/>
          </w:tcPr>
          <w:p>
            <w:pPr>
              <w:rPr>
                <w:rFonts w:hint="eastAsia" w:ascii="仿宋" w:hAnsi="仿宋" w:eastAsia="仿宋" w:cs="仿宋"/>
                <w:kern w:val="0"/>
                <w:sz w:val="24"/>
                <w:szCs w:val="24"/>
              </w:rPr>
            </w:pPr>
            <w:r>
              <w:rPr>
                <w:rFonts w:hint="eastAsia" w:ascii="仿宋" w:hAnsi="仿宋" w:eastAsia="仿宋" w:cs="仿宋"/>
                <w:sz w:val="24"/>
                <w:szCs w:val="24"/>
              </w:rPr>
              <w:t>套</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12</w:t>
            </w:r>
          </w:p>
        </w:tc>
        <w:tc>
          <w:tcPr>
            <w:tcW w:w="823" w:type="dxa"/>
            <w:noWrap w:val="0"/>
            <w:vAlign w:val="center"/>
          </w:tcPr>
          <w:p>
            <w:pPr>
              <w:rPr>
                <w:rFonts w:hint="eastAsia" w:ascii="仿宋" w:hAnsi="仿宋" w:eastAsia="仿宋" w:cs="仿宋"/>
                <w:kern w:val="0"/>
                <w:sz w:val="24"/>
                <w:szCs w:val="24"/>
              </w:rPr>
            </w:pPr>
          </w:p>
          <w:p>
            <w:pPr>
              <w:jc w:val="center"/>
              <w:rPr>
                <w:rFonts w:hint="eastAsia" w:ascii="仿宋" w:hAnsi="仿宋" w:eastAsia="仿宋" w:cs="仿宋"/>
                <w:kern w:val="0"/>
                <w:sz w:val="24"/>
                <w:szCs w:val="24"/>
              </w:rPr>
            </w:pPr>
            <w:r>
              <w:rPr>
                <w:rFonts w:hint="eastAsia" w:ascii="仿宋" w:hAnsi="仿宋" w:eastAsia="仿宋" w:cs="仿宋"/>
                <w:sz w:val="24"/>
                <w:szCs w:val="24"/>
              </w:rPr>
              <w:t>多媒体球幕投影系统</w:t>
            </w:r>
            <w:r>
              <w:rPr>
                <w:rFonts w:hint="eastAsia" w:ascii="仿宋" w:hAnsi="仿宋" w:eastAsia="仿宋" w:cs="仿宋"/>
                <w:sz w:val="24"/>
                <w:szCs w:val="24"/>
                <w:lang w:eastAsia="zh-CN"/>
              </w:rPr>
              <w:t>课程资源平台软件</w:t>
            </w:r>
          </w:p>
        </w:tc>
        <w:tc>
          <w:tcPr>
            <w:tcW w:w="7038"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运行环境：</w:t>
            </w:r>
          </w:p>
          <w:p>
            <w:pPr>
              <w:pStyle w:val="43"/>
              <w:numPr>
                <w:ilvl w:val="0"/>
                <w:numId w:val="11"/>
              </w:numPr>
              <w:ind w:firstLineChars="0"/>
              <w:rPr>
                <w:rFonts w:hint="eastAsia" w:ascii="仿宋" w:hAnsi="仿宋" w:eastAsia="仿宋" w:cs="仿宋"/>
                <w:sz w:val="24"/>
                <w:szCs w:val="24"/>
              </w:rPr>
            </w:pPr>
            <w:r>
              <w:rPr>
                <w:rFonts w:hint="eastAsia" w:ascii="仿宋" w:hAnsi="仿宋" w:eastAsia="仿宋" w:cs="仿宋"/>
                <w:sz w:val="24"/>
                <w:szCs w:val="24"/>
              </w:rPr>
              <w:t>操作系统环境：win7 32/64操作系统。</w:t>
            </w:r>
          </w:p>
          <w:p>
            <w:pPr>
              <w:pStyle w:val="43"/>
              <w:numPr>
                <w:ilvl w:val="0"/>
                <w:numId w:val="11"/>
              </w:numPr>
              <w:ind w:firstLineChars="0"/>
              <w:rPr>
                <w:rFonts w:hint="eastAsia" w:ascii="仿宋" w:hAnsi="仿宋" w:eastAsia="仿宋" w:cs="仿宋"/>
                <w:sz w:val="24"/>
                <w:szCs w:val="24"/>
              </w:rPr>
            </w:pPr>
            <w:r>
              <w:rPr>
                <w:rFonts w:hint="eastAsia" w:ascii="仿宋" w:hAnsi="仿宋" w:eastAsia="仿宋" w:cs="仿宋"/>
                <w:sz w:val="24"/>
                <w:szCs w:val="24"/>
              </w:rPr>
              <w:t>基本硬件运行环境：Inter i3以上处理器；内存最小容量2GB;独立显卡，显存不小于500MB;硬盘空间：不小于120GB.</w:t>
            </w:r>
          </w:p>
          <w:p>
            <w:pPr>
              <w:rPr>
                <w:rFonts w:hint="eastAsia" w:ascii="仿宋" w:hAnsi="仿宋" w:eastAsia="仿宋" w:cs="仿宋"/>
                <w:sz w:val="24"/>
                <w:szCs w:val="24"/>
              </w:rPr>
            </w:pPr>
            <w:r>
              <w:rPr>
                <w:rFonts w:hint="eastAsia" w:ascii="仿宋" w:hAnsi="仿宋" w:eastAsia="仿宋" w:cs="仿宋"/>
                <w:sz w:val="24"/>
                <w:szCs w:val="24"/>
              </w:rPr>
              <w:t xml:space="preserve">软件参数： </w:t>
            </w:r>
          </w:p>
          <w:p>
            <w:pPr>
              <w:rPr>
                <w:rFonts w:hint="eastAsia" w:ascii="仿宋" w:hAnsi="仿宋" w:eastAsia="仿宋" w:cs="仿宋"/>
                <w:sz w:val="24"/>
                <w:szCs w:val="24"/>
              </w:rPr>
            </w:pPr>
            <w:r>
              <w:rPr>
                <w:rFonts w:hint="eastAsia" w:ascii="仿宋" w:hAnsi="仿宋" w:eastAsia="仿宋" w:cs="仿宋"/>
                <w:sz w:val="24"/>
                <w:szCs w:val="24"/>
              </w:rPr>
              <w:t>一．软件特色：</w:t>
            </w:r>
          </w:p>
          <w:p>
            <w:pPr>
              <w:rPr>
                <w:rFonts w:hint="eastAsia" w:ascii="仿宋" w:hAnsi="仿宋" w:eastAsia="仿宋" w:cs="仿宋"/>
                <w:sz w:val="24"/>
                <w:szCs w:val="24"/>
              </w:rPr>
            </w:pPr>
            <w:r>
              <w:rPr>
                <w:rFonts w:hint="eastAsia" w:ascii="仿宋" w:hAnsi="仿宋" w:eastAsia="仿宋" w:cs="仿宋"/>
                <w:sz w:val="24"/>
                <w:szCs w:val="24"/>
              </w:rPr>
              <w:t>1、通常的教学环境是平面的，数字星球系统将球面、平面、立体、动态、实时相结合；</w:t>
            </w:r>
          </w:p>
          <w:p>
            <w:pPr>
              <w:rPr>
                <w:rFonts w:hint="eastAsia" w:ascii="仿宋" w:hAnsi="仿宋" w:eastAsia="仿宋" w:cs="仿宋"/>
                <w:sz w:val="24"/>
                <w:szCs w:val="24"/>
              </w:rPr>
            </w:pPr>
            <w:r>
              <w:rPr>
                <w:rFonts w:hint="eastAsia" w:ascii="仿宋" w:hAnsi="仿宋" w:eastAsia="仿宋" w:cs="仿宋"/>
                <w:sz w:val="24"/>
                <w:szCs w:val="24"/>
              </w:rPr>
              <w:t>2、数字星球系统软件――融文本、声音、图像、图形、动画、视频、平面、立体于一体，改变书本单一的线性结构，活化教学内容；</w:t>
            </w:r>
          </w:p>
          <w:p>
            <w:pPr>
              <w:rPr>
                <w:rFonts w:hint="eastAsia" w:ascii="仿宋" w:hAnsi="仿宋" w:eastAsia="仿宋" w:cs="仿宋"/>
                <w:sz w:val="24"/>
                <w:szCs w:val="24"/>
              </w:rPr>
            </w:pPr>
            <w:r>
              <w:rPr>
                <w:rFonts w:hint="eastAsia" w:ascii="仿宋" w:hAnsi="仿宋" w:eastAsia="仿宋" w:cs="仿宋"/>
                <w:sz w:val="24"/>
                <w:szCs w:val="24"/>
              </w:rPr>
              <w:t>3、内置FLAH模块，可以播放任何格式和大小的动画，可以将普通平面动画自动转化为球面显示动画，球面显示大小形状位置等可以随意调节。</w:t>
            </w:r>
          </w:p>
          <w:p>
            <w:pPr>
              <w:rPr>
                <w:rFonts w:hint="eastAsia" w:ascii="仿宋" w:hAnsi="仿宋" w:eastAsia="仿宋" w:cs="仿宋"/>
                <w:sz w:val="24"/>
                <w:szCs w:val="24"/>
              </w:rPr>
            </w:pPr>
            <w:r>
              <w:rPr>
                <w:rFonts w:hint="eastAsia" w:ascii="仿宋" w:hAnsi="仿宋" w:eastAsia="仿宋" w:cs="仿宋"/>
                <w:sz w:val="24"/>
                <w:szCs w:val="24"/>
              </w:rPr>
              <w:t>4、可以播放视频、网页以及ppt等内容，并同步在球面上进行显示，显示内容的大小形状位置等可以随意调节。</w:t>
            </w:r>
          </w:p>
          <w:p>
            <w:pPr>
              <w:rPr>
                <w:rFonts w:hint="eastAsia" w:ascii="仿宋" w:hAnsi="仿宋" w:eastAsia="仿宋" w:cs="仿宋"/>
                <w:sz w:val="24"/>
                <w:szCs w:val="24"/>
              </w:rPr>
            </w:pPr>
            <w:r>
              <w:rPr>
                <w:rFonts w:hint="eastAsia" w:ascii="仿宋" w:hAnsi="仿宋" w:eastAsia="仿宋" w:cs="仿宋"/>
                <w:sz w:val="24"/>
                <w:szCs w:val="24"/>
              </w:rPr>
              <w:t>5、带有交互学习功能，可以模拟24节气以及晨昏等自然现象。</w:t>
            </w:r>
          </w:p>
          <w:p>
            <w:pPr>
              <w:rPr>
                <w:rFonts w:hint="eastAsia" w:ascii="仿宋" w:hAnsi="仿宋" w:eastAsia="仿宋" w:cs="仿宋"/>
                <w:sz w:val="24"/>
                <w:szCs w:val="24"/>
              </w:rPr>
            </w:pPr>
            <w:r>
              <w:rPr>
                <w:rFonts w:hint="eastAsia" w:ascii="仿宋" w:hAnsi="仿宋" w:eastAsia="仿宋" w:cs="仿宋"/>
                <w:sz w:val="24"/>
                <w:szCs w:val="24"/>
              </w:rPr>
              <w:t>6、数字星球平台的开放性、互动性，能够满足教学多元化和个性化需求；</w:t>
            </w:r>
          </w:p>
          <w:p>
            <w:pPr>
              <w:rPr>
                <w:rFonts w:hint="eastAsia" w:ascii="仿宋" w:hAnsi="仿宋" w:eastAsia="仿宋" w:cs="仿宋"/>
                <w:sz w:val="24"/>
                <w:szCs w:val="24"/>
              </w:rPr>
            </w:pPr>
            <w:r>
              <w:rPr>
                <w:rFonts w:hint="eastAsia" w:ascii="仿宋" w:hAnsi="仿宋" w:eastAsia="仿宋" w:cs="仿宋"/>
                <w:sz w:val="24"/>
                <w:szCs w:val="24"/>
              </w:rPr>
              <w:t>7、数字星球系统可以实现信息技术和学科课程内容的深层次整合；</w:t>
            </w:r>
          </w:p>
          <w:p>
            <w:pPr>
              <w:jc w:val="left"/>
              <w:rPr>
                <w:rFonts w:hint="eastAsia" w:ascii="仿宋" w:hAnsi="仿宋" w:eastAsia="仿宋" w:cs="仿宋"/>
                <w:sz w:val="24"/>
                <w:szCs w:val="24"/>
              </w:rPr>
            </w:pPr>
            <w:r>
              <w:rPr>
                <w:rFonts w:hint="eastAsia" w:ascii="仿宋" w:hAnsi="仿宋" w:eastAsia="仿宋" w:cs="仿宋"/>
                <w:sz w:val="24"/>
                <w:szCs w:val="24"/>
              </w:rPr>
              <w:t>8、数字星球系统软件，经过控制软件和硬件系统的配合，能够将二维图像显示为球形屏幕上的3600全景图像，逼真模拟各种天体、星体和球体。在球形屏幕上显示三维动画，模拟演示各种动态过程；</w:t>
            </w:r>
          </w:p>
          <w:p>
            <w:pPr>
              <w:jc w:val="left"/>
              <w:rPr>
                <w:rFonts w:hint="eastAsia" w:ascii="仿宋" w:hAnsi="仿宋" w:eastAsia="仿宋" w:cs="仿宋"/>
                <w:sz w:val="24"/>
                <w:szCs w:val="24"/>
              </w:rPr>
            </w:pPr>
            <w:r>
              <w:rPr>
                <w:rFonts w:hint="eastAsia" w:ascii="仿宋" w:hAnsi="仿宋" w:eastAsia="仿宋" w:cs="仿宋"/>
                <w:sz w:val="24"/>
                <w:szCs w:val="24"/>
              </w:rPr>
              <w:t>9、数字星球系统软件可以通过软件或者软件接口，选择演示内容；控制动画播放；控制球面图像或者动画的旋转；分别为 HTML 文件、FLASH 文件和 PowerPoint 提供软件接口， 使得这些格式的文件可以通过软件接口调用和控制数字星球系统的显示内容和显示方式。</w:t>
            </w:r>
          </w:p>
          <w:p>
            <w:pPr>
              <w:rPr>
                <w:rFonts w:hint="eastAsia" w:ascii="仿宋" w:hAnsi="仿宋" w:eastAsia="仿宋" w:cs="仿宋"/>
                <w:sz w:val="24"/>
                <w:szCs w:val="24"/>
              </w:rPr>
            </w:pPr>
            <w:r>
              <w:rPr>
                <w:rFonts w:hint="eastAsia" w:ascii="仿宋" w:hAnsi="仿宋" w:eastAsia="仿宋" w:cs="仿宋"/>
                <w:sz w:val="24"/>
                <w:szCs w:val="24"/>
              </w:rPr>
              <w:t>二．功能模块参数：</w:t>
            </w:r>
          </w:p>
          <w:p>
            <w:pPr>
              <w:rPr>
                <w:rFonts w:hint="eastAsia" w:ascii="仿宋" w:hAnsi="仿宋" w:eastAsia="仿宋" w:cs="仿宋"/>
                <w:sz w:val="24"/>
                <w:szCs w:val="24"/>
              </w:rPr>
            </w:pPr>
            <w:r>
              <w:rPr>
                <w:rFonts w:hint="eastAsia" w:ascii="仿宋" w:hAnsi="仿宋" w:eastAsia="仿宋" w:cs="仿宋"/>
                <w:sz w:val="24"/>
                <w:szCs w:val="24"/>
              </w:rPr>
              <w:t>1．独立登陆系统</w:t>
            </w:r>
          </w:p>
          <w:p>
            <w:pPr>
              <w:rPr>
                <w:rFonts w:hint="eastAsia" w:ascii="仿宋" w:hAnsi="仿宋" w:eastAsia="仿宋" w:cs="仿宋"/>
                <w:sz w:val="24"/>
                <w:szCs w:val="24"/>
              </w:rPr>
            </w:pPr>
            <w:r>
              <w:rPr>
                <w:rFonts w:hint="eastAsia" w:ascii="仿宋" w:hAnsi="仿宋" w:eastAsia="仿宋" w:cs="仿宋"/>
                <w:sz w:val="24"/>
                <w:szCs w:val="24"/>
              </w:rPr>
              <w:t>产品采用usb热插拔型加密狗与密码进行软件双重加密，加密狗即插即用，携带方便安全性高；密码可根据用户数量及习惯自行添加，每个用户享有独立存储空间，在可以多人共享产品操作的同时保护每个用户独立的备课文件及素材，避免用户数量较多时产生的相关问题。</w:t>
            </w:r>
          </w:p>
          <w:p>
            <w:pPr>
              <w:rPr>
                <w:rFonts w:hint="eastAsia" w:ascii="仿宋" w:hAnsi="仿宋" w:eastAsia="仿宋" w:cs="仿宋"/>
                <w:sz w:val="24"/>
                <w:szCs w:val="24"/>
              </w:rPr>
            </w:pPr>
            <w:r>
              <w:rPr>
                <w:rFonts w:hint="eastAsia" w:ascii="仿宋" w:hAnsi="仿宋" w:eastAsia="仿宋" w:cs="仿宋"/>
                <w:sz w:val="24"/>
                <w:szCs w:val="24"/>
              </w:rPr>
              <w:t>2.自主备课系统</w:t>
            </w:r>
          </w:p>
          <w:p>
            <w:pPr>
              <w:rPr>
                <w:rFonts w:hint="eastAsia" w:ascii="仿宋" w:hAnsi="仿宋" w:eastAsia="仿宋" w:cs="仿宋"/>
                <w:sz w:val="24"/>
                <w:szCs w:val="24"/>
              </w:rPr>
            </w:pPr>
            <w:r>
              <w:rPr>
                <w:rFonts w:hint="eastAsia" w:ascii="仿宋" w:hAnsi="仿宋" w:eastAsia="仿宋" w:cs="仿宋"/>
                <w:sz w:val="24"/>
                <w:szCs w:val="24"/>
              </w:rPr>
              <w:t>软件内置自主备课系统，通过该系统，教师可根据教学需要自行选取课程包中各类素材制成pre课件，课件支持多素材、自定义播放时间与顺序等功能。完成后的课件可实现一键式播放演示，无需另加操作，便于教师多角度、全方位的授课。课件实现独立存储，用户只能查看与编辑当前登陆账号创建的课件与素材。</w:t>
            </w:r>
          </w:p>
          <w:p>
            <w:pPr>
              <w:rPr>
                <w:rFonts w:hint="eastAsia" w:ascii="仿宋" w:hAnsi="仿宋" w:eastAsia="仿宋" w:cs="仿宋"/>
                <w:sz w:val="24"/>
                <w:szCs w:val="24"/>
              </w:rPr>
            </w:pPr>
            <w:r>
              <w:rPr>
                <w:rFonts w:hint="eastAsia" w:ascii="仿宋" w:hAnsi="仿宋" w:eastAsia="仿宋" w:cs="仿宋"/>
                <w:sz w:val="24"/>
                <w:szCs w:val="24"/>
              </w:rPr>
              <w:t>3.演示控制系统</w:t>
            </w:r>
          </w:p>
          <w:p>
            <w:pPr>
              <w:rPr>
                <w:rFonts w:hint="eastAsia" w:ascii="仿宋" w:hAnsi="仿宋" w:eastAsia="仿宋" w:cs="仿宋"/>
                <w:sz w:val="24"/>
                <w:szCs w:val="24"/>
              </w:rPr>
            </w:pPr>
            <w:r>
              <w:rPr>
                <w:rFonts w:hint="eastAsia" w:ascii="仿宋" w:hAnsi="仿宋" w:eastAsia="仿宋" w:cs="仿宋"/>
                <w:sz w:val="24"/>
                <w:szCs w:val="24"/>
              </w:rPr>
              <w:t>软件内置演示控制系统，可根据使用需求调整投影角度、运动方向以及运动速度，全智能化操作，避免硬件调节，延长产品使用寿命。</w:t>
            </w:r>
          </w:p>
          <w:p>
            <w:pPr>
              <w:rPr>
                <w:rFonts w:hint="eastAsia" w:ascii="仿宋" w:hAnsi="仿宋" w:eastAsia="仿宋" w:cs="仿宋"/>
                <w:sz w:val="24"/>
                <w:szCs w:val="24"/>
              </w:rPr>
            </w:pPr>
            <w:r>
              <w:rPr>
                <w:rFonts w:hint="eastAsia" w:ascii="仿宋" w:hAnsi="仿宋" w:eastAsia="仿宋" w:cs="仿宋"/>
                <w:sz w:val="24"/>
                <w:szCs w:val="24"/>
              </w:rPr>
              <w:t>4.穹顶投影系统</w:t>
            </w:r>
          </w:p>
          <w:p>
            <w:pPr>
              <w:rPr>
                <w:rFonts w:hint="eastAsia" w:ascii="仿宋" w:hAnsi="仿宋" w:eastAsia="仿宋" w:cs="仿宋"/>
                <w:sz w:val="24"/>
                <w:szCs w:val="24"/>
              </w:rPr>
            </w:pPr>
            <w:r>
              <w:rPr>
                <w:rFonts w:hint="eastAsia" w:ascii="仿宋" w:hAnsi="仿宋" w:eastAsia="仿宋" w:cs="仿宋"/>
                <w:sz w:val="24"/>
                <w:szCs w:val="24"/>
              </w:rPr>
              <w:t>软件内置穹顶投影系统，配合配套穹顶，可实现穹顶演示功能，360度可视角提供3D立体感。并且具有智能调节系统，根据需求调节投影面积，避免硬件调节，延长产品使用寿命。</w:t>
            </w:r>
          </w:p>
          <w:p>
            <w:pPr>
              <w:rPr>
                <w:rFonts w:hint="eastAsia" w:ascii="仿宋" w:hAnsi="仿宋" w:eastAsia="仿宋" w:cs="仿宋"/>
                <w:sz w:val="24"/>
                <w:szCs w:val="24"/>
              </w:rPr>
            </w:pPr>
            <w:r>
              <w:rPr>
                <w:rFonts w:hint="eastAsia" w:ascii="仿宋" w:hAnsi="仿宋" w:eastAsia="仿宋" w:cs="仿宋"/>
                <w:sz w:val="24"/>
                <w:szCs w:val="24"/>
              </w:rPr>
              <w:t>5.智能昼夜系统</w:t>
            </w:r>
          </w:p>
          <w:p>
            <w:pPr>
              <w:rPr>
                <w:rFonts w:hint="eastAsia" w:ascii="仿宋" w:hAnsi="仿宋" w:eastAsia="仿宋" w:cs="仿宋"/>
                <w:sz w:val="24"/>
                <w:szCs w:val="24"/>
              </w:rPr>
            </w:pPr>
            <w:r>
              <w:rPr>
                <w:rFonts w:hint="eastAsia" w:ascii="仿宋" w:hAnsi="仿宋" w:eastAsia="仿宋" w:cs="仿宋"/>
                <w:sz w:val="24"/>
                <w:szCs w:val="24"/>
              </w:rPr>
              <w:t>软件内置智能昼夜系统，能配合地球自转实现晨昏变化的展现与四季的交替的展现，动态直观的诠释相关知识点，达到更好的教学目标和教学要求。</w:t>
            </w:r>
          </w:p>
          <w:p>
            <w:pPr>
              <w:rPr>
                <w:rFonts w:hint="eastAsia" w:ascii="仿宋" w:hAnsi="仿宋" w:eastAsia="仿宋" w:cs="仿宋"/>
                <w:sz w:val="24"/>
                <w:szCs w:val="24"/>
              </w:rPr>
            </w:pPr>
            <w:r>
              <w:rPr>
                <w:rFonts w:hint="eastAsia" w:ascii="仿宋" w:hAnsi="仿宋" w:eastAsia="仿宋" w:cs="仿宋"/>
                <w:sz w:val="24"/>
                <w:szCs w:val="24"/>
              </w:rPr>
              <w:t>6.语音解说智能控制系统</w:t>
            </w:r>
          </w:p>
          <w:p>
            <w:pPr>
              <w:rPr>
                <w:rFonts w:hint="eastAsia" w:ascii="仿宋" w:hAnsi="仿宋" w:eastAsia="仿宋" w:cs="仿宋"/>
                <w:sz w:val="24"/>
                <w:szCs w:val="24"/>
              </w:rPr>
            </w:pPr>
            <w:r>
              <w:rPr>
                <w:rFonts w:hint="eastAsia" w:ascii="仿宋" w:hAnsi="仿宋" w:eastAsia="仿宋" w:cs="仿宋"/>
                <w:sz w:val="24"/>
                <w:szCs w:val="24"/>
              </w:rPr>
              <w:t>能对演示课件的语音及背景音乐进行控制，端口开发。教师可以自主的增加语音解说和修改语音解说及背景音乐。</w:t>
            </w:r>
          </w:p>
          <w:p>
            <w:pPr>
              <w:rPr>
                <w:rFonts w:hint="eastAsia" w:ascii="仿宋" w:hAnsi="仿宋" w:eastAsia="仿宋" w:cs="仿宋"/>
                <w:sz w:val="24"/>
                <w:szCs w:val="24"/>
              </w:rPr>
            </w:pPr>
            <w:r>
              <w:rPr>
                <w:rFonts w:hint="eastAsia" w:ascii="仿宋" w:hAnsi="仿宋" w:eastAsia="仿宋" w:cs="仿宋"/>
                <w:sz w:val="24"/>
                <w:szCs w:val="24"/>
              </w:rPr>
              <w:t>三：课件参数（课件持续更新中-------）：</w:t>
            </w:r>
          </w:p>
          <w:p>
            <w:pPr>
              <w:rPr>
                <w:rFonts w:hint="eastAsia" w:ascii="仿宋" w:hAnsi="仿宋" w:eastAsia="仿宋" w:cs="仿宋"/>
                <w:sz w:val="24"/>
                <w:szCs w:val="24"/>
              </w:rPr>
            </w:pPr>
            <w:r>
              <w:rPr>
                <w:rFonts w:hint="eastAsia" w:ascii="仿宋" w:hAnsi="仿宋" w:eastAsia="仿宋" w:cs="仿宋"/>
                <w:sz w:val="24"/>
                <w:szCs w:val="24"/>
              </w:rPr>
              <w:t>课程包包含符合初高中地理课程标准，满足教师教学和学生自主学习和探究性学习的双重需要，除自然地理学科内容外，包括人文和环境等的有关内容。部分课件名录如下：</w:t>
            </w:r>
          </w:p>
          <w:p>
            <w:pPr>
              <w:rPr>
                <w:rFonts w:hint="eastAsia" w:ascii="仿宋" w:hAnsi="仿宋" w:eastAsia="仿宋" w:cs="仿宋"/>
                <w:sz w:val="24"/>
                <w:szCs w:val="24"/>
              </w:rPr>
            </w:pPr>
            <w:r>
              <w:rPr>
                <w:rFonts w:hint="eastAsia" w:ascii="仿宋" w:hAnsi="仿宋" w:eastAsia="仿宋" w:cs="仿宋"/>
                <w:sz w:val="24"/>
                <w:szCs w:val="24"/>
              </w:rPr>
              <w:t>地球与地球仪 2.经线、纬线和经纬网 3.地球自转 4.世界地形 5.海陆分布 6.非洲 7.南极洲 8.地表形态变化的内力作用 9.地球自转 10气压带和风带 11.气候类型 12.气压 13.季风</w:t>
            </w:r>
          </w:p>
          <w:p>
            <w:pPr>
              <w:rPr>
                <w:rFonts w:hint="eastAsia" w:ascii="仿宋" w:hAnsi="仿宋" w:eastAsia="仿宋" w:cs="仿宋"/>
                <w:sz w:val="24"/>
                <w:szCs w:val="24"/>
              </w:rPr>
            </w:pPr>
            <w:r>
              <w:rPr>
                <w:rFonts w:hint="eastAsia" w:ascii="仿宋" w:hAnsi="仿宋" w:eastAsia="仿宋" w:cs="仿宋"/>
                <w:sz w:val="24"/>
                <w:szCs w:val="24"/>
              </w:rPr>
              <w:t>14.常见的天气系统 15.海水运动 16.渔场分布 17.新工业与新能源 18.地球在宇宙中的位置</w:t>
            </w:r>
          </w:p>
          <w:p>
            <w:pPr>
              <w:rPr>
                <w:rFonts w:hint="eastAsia" w:ascii="仿宋" w:hAnsi="仿宋" w:eastAsia="仿宋" w:cs="仿宋"/>
                <w:sz w:val="24"/>
                <w:szCs w:val="24"/>
              </w:rPr>
            </w:pPr>
            <w:r>
              <w:rPr>
                <w:rFonts w:hint="eastAsia" w:ascii="仿宋" w:hAnsi="仿宋" w:eastAsia="仿宋" w:cs="仿宋"/>
                <w:sz w:val="24"/>
                <w:szCs w:val="24"/>
              </w:rPr>
              <w:t>19.气压带风带对气候的影响 20.海陆分布对大气环流的影响 21.全球气候变化 22.传统工业与新工业 23.现代技术在国土整治中的应用 24.天气系统与气象灾害 25.世界农业地域类型</w:t>
            </w:r>
          </w:p>
          <w:p>
            <w:pPr>
              <w:rPr>
                <w:rFonts w:hint="eastAsia" w:ascii="仿宋" w:hAnsi="仿宋" w:eastAsia="仿宋" w:cs="仿宋"/>
                <w:sz w:val="24"/>
                <w:szCs w:val="24"/>
              </w:rPr>
            </w:pPr>
            <w:r>
              <w:rPr>
                <w:rFonts w:hint="eastAsia" w:ascii="仿宋" w:hAnsi="仿宋" w:eastAsia="仿宋" w:cs="仿宋"/>
                <w:sz w:val="24"/>
                <w:szCs w:val="24"/>
              </w:rPr>
              <w:t>26.自然环境对城市的影响 27.自然灾害 28.地域与人口 29.行星与太阳系 30.地理知识应用</w:t>
            </w:r>
          </w:p>
          <w:p>
            <w:pPr>
              <w:rPr>
                <w:rFonts w:hint="eastAsia" w:ascii="仿宋" w:hAnsi="仿宋" w:eastAsia="仿宋" w:cs="仿宋"/>
                <w:sz w:val="24"/>
                <w:szCs w:val="24"/>
                <w:lang w:eastAsia="zh-CN"/>
              </w:rPr>
            </w:pPr>
            <w:r>
              <w:rPr>
                <w:rFonts w:hint="eastAsia" w:ascii="仿宋" w:hAnsi="仿宋" w:eastAsia="仿宋" w:cs="仿宋"/>
                <w:sz w:val="24"/>
                <w:szCs w:val="24"/>
              </w:rPr>
              <w:t>31.星球系列 32.NASA地球月球火星—远行星 33.地球上的地震 34.走近太阳 35.月球的奥秘 36.红色的火星 37.太阳系 38.四季星空 39.星海点睛 40.联合国教科文组织41.气候变化 42.我们的地球 43.世界之最</w:t>
            </w:r>
          </w:p>
        </w:tc>
        <w:tc>
          <w:tcPr>
            <w:tcW w:w="408" w:type="dxa"/>
            <w:noWrap w:val="0"/>
            <w:vAlign w:val="center"/>
          </w:tcPr>
          <w:p>
            <w:pPr>
              <w:rPr>
                <w:rFonts w:hint="eastAsia" w:ascii="仿宋" w:hAnsi="仿宋" w:eastAsia="仿宋" w:cs="仿宋"/>
                <w:kern w:val="0"/>
                <w:sz w:val="24"/>
                <w:szCs w:val="24"/>
              </w:rPr>
            </w:pPr>
            <w:r>
              <w:rPr>
                <w:rFonts w:hint="eastAsia" w:ascii="仿宋" w:hAnsi="仿宋" w:eastAsia="仿宋" w:cs="仿宋"/>
                <w:sz w:val="24"/>
                <w:szCs w:val="24"/>
              </w:rPr>
              <w:t>套</w:t>
            </w:r>
          </w:p>
        </w:tc>
        <w:tc>
          <w:tcPr>
            <w:tcW w:w="580" w:type="dxa"/>
            <w:noWrap w:val="0"/>
            <w:vAlign w:val="center"/>
          </w:tcPr>
          <w:p>
            <w:pPr>
              <w:rPr>
                <w:rFonts w:hint="eastAsia" w:ascii="仿宋" w:hAnsi="仿宋" w:eastAsia="仿宋" w:cs="仿宋"/>
                <w:kern w:val="0"/>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13</w:t>
            </w:r>
          </w:p>
        </w:tc>
        <w:tc>
          <w:tcPr>
            <w:tcW w:w="823" w:type="dxa"/>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演示穹顶幕</w:t>
            </w:r>
          </w:p>
        </w:tc>
        <w:tc>
          <w:tcPr>
            <w:tcW w:w="7038" w:type="dxa"/>
            <w:noWrap w:val="0"/>
            <w:vAlign w:val="top"/>
          </w:tcPr>
          <w:p>
            <w:pPr>
              <w:bidi w:val="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直径</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2.75m，与本系统配套的内装天象演示穹顶，冠底直径不小2.75米，玻璃钢成型，表面白色亚光优质涂料，整体钢结构固定，可以和数字星球系统配合使用用于科普、天象、星空、星象等内容的教学</w:t>
            </w:r>
          </w:p>
        </w:tc>
        <w:tc>
          <w:tcPr>
            <w:tcW w:w="408"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套</w:t>
            </w:r>
          </w:p>
        </w:tc>
        <w:tc>
          <w:tcPr>
            <w:tcW w:w="58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14</w:t>
            </w:r>
          </w:p>
        </w:tc>
        <w:tc>
          <w:tcPr>
            <w:tcW w:w="823" w:type="dxa"/>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等高线地形图判读模型</w:t>
            </w:r>
          </w:p>
        </w:tc>
        <w:tc>
          <w:tcPr>
            <w:tcW w:w="7038" w:type="dxa"/>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模型根据等高线地形图原理制作而成，可演示平面地形图与实际地形部位的对应关系，基本内容有：山顶、山脊、山谷、鞍部、陡崖、河流、冲积扇、缓坡、陡坡。模型表面绘有等高线并可分为若干层，分层部分可自由取下以演示平面等高线与模型等高线的关系，模型侧面绘有与等高线相对应的地形剖面图。本模型具有结果简单、材料轻巧、搭拆方便、形象直观等特点。</w:t>
            </w:r>
          </w:p>
        </w:tc>
        <w:tc>
          <w:tcPr>
            <w:tcW w:w="408" w:type="dxa"/>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件</w:t>
            </w:r>
          </w:p>
        </w:tc>
        <w:tc>
          <w:tcPr>
            <w:tcW w:w="58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15</w:t>
            </w:r>
          </w:p>
        </w:tc>
        <w:tc>
          <w:tcPr>
            <w:tcW w:w="823" w:type="dxa"/>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板块构造及地表形态模型</w:t>
            </w:r>
          </w:p>
        </w:tc>
        <w:tc>
          <w:tcPr>
            <w:tcW w:w="7038" w:type="dxa"/>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bidi="ar"/>
              </w:rPr>
              <w:t>模型</w:t>
            </w:r>
            <w:r>
              <w:rPr>
                <w:rFonts w:hint="eastAsia" w:ascii="仿宋" w:hAnsi="仿宋" w:eastAsia="仿宋" w:cs="仿宋"/>
                <w:color w:val="000000"/>
                <w:kern w:val="0"/>
                <w:sz w:val="24"/>
                <w:szCs w:val="24"/>
                <w:lang w:bidi="ar"/>
              </w:rPr>
              <w:t>尺寸</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60×33×17cm，采用优质合成树脂制作，牢固、不变形、着色鲜明，能演示讲授海底地形、地球内部圈层，地壳结构，地壳运动，地形变化，板块构造、火山地震的形成与分布地球表面海陆轮廓的形成。带有海洋部分，陆地部分，地球内部圈层，地壳结构，地形变化，板块构造等演示功能。</w:t>
            </w:r>
          </w:p>
        </w:tc>
        <w:tc>
          <w:tcPr>
            <w:tcW w:w="408" w:type="dxa"/>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件</w:t>
            </w:r>
          </w:p>
        </w:tc>
        <w:tc>
          <w:tcPr>
            <w:tcW w:w="58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46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16</w:t>
            </w:r>
          </w:p>
        </w:tc>
        <w:tc>
          <w:tcPr>
            <w:tcW w:w="823" w:type="dxa"/>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褶皱构造及地貌演变模型</w:t>
            </w:r>
          </w:p>
        </w:tc>
        <w:tc>
          <w:tcPr>
            <w:tcW w:w="703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eastAsia="zh-CN" w:bidi="ar"/>
              </w:rPr>
              <w:t>模型</w:t>
            </w:r>
            <w:r>
              <w:rPr>
                <w:rFonts w:hint="eastAsia" w:ascii="仿宋" w:hAnsi="仿宋" w:eastAsia="仿宋" w:cs="仿宋"/>
                <w:color w:val="000000"/>
                <w:kern w:val="0"/>
                <w:sz w:val="24"/>
                <w:szCs w:val="24"/>
                <w:lang w:bidi="ar"/>
              </w:rPr>
              <w:t>尺寸≥51×23×17 cm，采用优质合成树脂制作，牢固、不变形、着色鲜明，可概括、缩小、集中的表现褶皱构造现象及其它地表形态的动态变化过程。</w:t>
            </w:r>
          </w:p>
        </w:tc>
        <w:tc>
          <w:tcPr>
            <w:tcW w:w="408" w:type="dxa"/>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件</w:t>
            </w:r>
          </w:p>
        </w:tc>
        <w:tc>
          <w:tcPr>
            <w:tcW w:w="580" w:type="dxa"/>
            <w:noWrap w:val="0"/>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17</w:t>
            </w:r>
          </w:p>
        </w:tc>
        <w:tc>
          <w:tcPr>
            <w:tcW w:w="823" w:type="dxa"/>
            <w:noWrap w:val="0"/>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断裂构造及地貌演变模型</w:t>
            </w:r>
          </w:p>
        </w:tc>
        <w:tc>
          <w:tcPr>
            <w:tcW w:w="7038" w:type="dxa"/>
            <w:noWrap w:val="0"/>
            <w:vAlign w:val="center"/>
          </w:tcPr>
          <w:p>
            <w:pPr>
              <w:widowControl/>
              <w:jc w:val="center"/>
              <w:textAlignment w:val="center"/>
              <w:rPr>
                <w:rStyle w:val="80"/>
                <w:rFonts w:hint="eastAsia" w:ascii="仿宋" w:hAnsi="仿宋" w:eastAsia="仿宋" w:cs="仿宋"/>
                <w:sz w:val="24"/>
                <w:szCs w:val="24"/>
                <w:lang w:bidi="ar"/>
              </w:rPr>
            </w:pPr>
            <w:r>
              <w:rPr>
                <w:rFonts w:hint="eastAsia" w:ascii="仿宋" w:hAnsi="仿宋" w:eastAsia="仿宋" w:cs="仿宋"/>
                <w:color w:val="000000"/>
                <w:kern w:val="0"/>
                <w:sz w:val="24"/>
                <w:szCs w:val="24"/>
                <w:lang w:eastAsia="zh-CN" w:bidi="ar"/>
              </w:rPr>
              <w:t>模型</w:t>
            </w:r>
            <w:r>
              <w:rPr>
                <w:rFonts w:hint="eastAsia" w:ascii="仿宋" w:hAnsi="仿宋" w:eastAsia="仿宋" w:cs="仿宋"/>
                <w:color w:val="000000"/>
                <w:kern w:val="0"/>
                <w:sz w:val="24"/>
                <w:szCs w:val="24"/>
                <w:lang w:bidi="ar"/>
              </w:rPr>
              <w:t>尺寸≥50×28×19 cm，由两部分五件组成，整体部分规格≥450mm×120mm×150mm，活动部分组合后规格≥450mm×100mm×150mm，其中四件能在磁性范围内移动。能够按矢示方向活动演示说明断裂构造的形成，活动演示地垒地堑的形成，演示地形地貌形态。</w:t>
            </w:r>
          </w:p>
        </w:tc>
        <w:tc>
          <w:tcPr>
            <w:tcW w:w="408" w:type="dxa"/>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件</w:t>
            </w:r>
          </w:p>
        </w:tc>
        <w:tc>
          <w:tcPr>
            <w:tcW w:w="58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18</w:t>
            </w:r>
          </w:p>
        </w:tc>
        <w:tc>
          <w:tcPr>
            <w:tcW w:w="823" w:type="dxa"/>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褶皱侵蚀与断层演示组合模型</w:t>
            </w:r>
          </w:p>
        </w:tc>
        <w:tc>
          <w:tcPr>
            <w:tcW w:w="7038" w:type="dxa"/>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尺寸≥37×24×39 cm，采用优质合成树脂制作，牢固、不变形、着色鲜明</w:t>
            </w:r>
          </w:p>
        </w:tc>
        <w:tc>
          <w:tcPr>
            <w:tcW w:w="408" w:type="dxa"/>
            <w:noWrap w:val="0"/>
            <w:vAlign w:val="center"/>
          </w:tcPr>
          <w:p>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bidi="ar"/>
              </w:rPr>
              <w:t>件</w:t>
            </w:r>
          </w:p>
        </w:tc>
        <w:tc>
          <w:tcPr>
            <w:tcW w:w="58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19</w:t>
            </w:r>
          </w:p>
        </w:tc>
        <w:tc>
          <w:tcPr>
            <w:tcW w:w="823" w:type="dxa"/>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sz w:val="24"/>
                <w:szCs w:val="24"/>
              </w:rPr>
              <w:t>比例尺演示装置</w:t>
            </w:r>
          </w:p>
        </w:tc>
        <w:tc>
          <w:tcPr>
            <w:tcW w:w="7038" w:type="dxa"/>
            <w:noWrap w:val="0"/>
            <w:vAlign w:val="center"/>
          </w:tcPr>
          <w:p>
            <w:pPr>
              <w:rPr>
                <w:rFonts w:hint="eastAsia" w:ascii="仿宋" w:hAnsi="仿宋" w:eastAsia="仿宋" w:cs="仿宋"/>
                <w:color w:val="000000"/>
                <w:kern w:val="0"/>
                <w:sz w:val="24"/>
                <w:szCs w:val="24"/>
                <w:lang w:eastAsia="zh-CN"/>
              </w:rPr>
            </w:pPr>
            <w:r>
              <w:rPr>
                <w:rFonts w:hint="eastAsia" w:ascii="仿宋" w:hAnsi="仿宋" w:eastAsia="仿宋" w:cs="仿宋"/>
                <w:sz w:val="24"/>
                <w:szCs w:val="24"/>
              </w:rPr>
              <w:t>比例尺是表示图上一条线段的长度与地面相应线段的实际长度之比。公式为：比例尺=图上距离与实际距离的比。本产品通过一张中国地图作为地图演示比例尺的算法以及要是过程结果，产品带有灯光辅助投影功能，带有标尺。</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件</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7"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823"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防洪堤的实验和动态演示模型(现场演示)</w:t>
            </w:r>
          </w:p>
          <w:p>
            <w:pPr>
              <w:jc w:val="center"/>
              <w:rPr>
                <w:rFonts w:hint="eastAsia" w:ascii="仿宋" w:hAnsi="仿宋" w:eastAsia="仿宋" w:cs="仿宋"/>
                <w:color w:val="000000"/>
                <w:kern w:val="0"/>
                <w:sz w:val="24"/>
                <w:szCs w:val="24"/>
              </w:rPr>
            </w:pPr>
          </w:p>
        </w:tc>
        <w:tc>
          <w:tcPr>
            <w:tcW w:w="7038"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防洪堤的实验和动态演示模型</w:t>
            </w:r>
          </w:p>
          <w:p>
            <w:pPr>
              <w:rPr>
                <w:rFonts w:hint="eastAsia" w:ascii="仿宋" w:hAnsi="仿宋" w:eastAsia="仿宋" w:cs="仿宋"/>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w:t>
            </w:r>
            <w:r>
              <w:rPr>
                <w:rFonts w:hint="eastAsia" w:ascii="仿宋" w:hAnsi="仿宋" w:eastAsia="仿宋" w:cs="仿宋"/>
                <w:sz w:val="24"/>
                <w:szCs w:val="24"/>
              </w:rPr>
              <w:t>产品尺寸及构造</w:t>
            </w:r>
            <w:r>
              <w:rPr>
                <w:rFonts w:hint="eastAsia" w:ascii="仿宋" w:hAnsi="仿宋" w:eastAsia="仿宋" w:cs="仿宋"/>
                <w:kern w:val="0"/>
                <w:sz w:val="24"/>
                <w:szCs w:val="24"/>
              </w:rPr>
              <w:t>≥</w:t>
            </w:r>
            <w:r>
              <w:rPr>
                <w:rFonts w:hint="eastAsia" w:ascii="仿宋" w:hAnsi="仿宋" w:eastAsia="仿宋" w:cs="仿宋"/>
                <w:sz w:val="24"/>
                <w:szCs w:val="24"/>
              </w:rPr>
              <w:t>1000×250×250毫米。防洪堤构造模型6套，水浪发生器一套，液晶显示屏调节系统一套、测量系统一套，实验指导手册一份、盛水装置一套</w:t>
            </w:r>
          </w:p>
          <w:p>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电器及参数;交流220V/2A电源，触摸方式：电阻式触摸，显示分辨率：800×480；通讯方式：USART串行通讯。工作电压：4.75V/7V。16位真彩色RGB显示；支持多种组态空间：按钮控件、进度条控件、文本控件、指针控件等；支持基本的GUI指令。 </w:t>
            </w:r>
          </w:p>
          <w:p>
            <w:pPr>
              <w:rPr>
                <w:rFonts w:hint="eastAsia" w:ascii="仿宋" w:hAnsi="仿宋" w:eastAsia="仿宋" w:cs="仿宋"/>
                <w:sz w:val="24"/>
                <w:szCs w:val="24"/>
              </w:rPr>
            </w:pPr>
            <w:r>
              <w:rPr>
                <w:rFonts w:hint="eastAsia" w:ascii="仿宋" w:hAnsi="仿宋" w:eastAsia="仿宋" w:cs="仿宋"/>
                <w:kern w:val="0"/>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产品功能:1能够直观演示堤坝结构不同所带来的危害。通过动态演示可以观测到不同结构模型所带来的实验效果，实验效果清晰可见。通过观察可以一目了然的看到各种实验现象。2能够通过测量等方式演示出不同堤坝结构具体的破坏程度。不同的防洪堤所带来的灾害也不同，通过数据的形式给出不同防洪堤的破坏程度。3堤坝构造模型能够任意更换。为了全方位的展示不同防洪堤的作用。实验模型要能够快速更换实验道具。</w:t>
            </w:r>
          </w:p>
          <w:p>
            <w:pPr>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kern w:val="0"/>
                <w:sz w:val="24"/>
                <w:szCs w:val="24"/>
              </w:rPr>
              <w:t>★</w:t>
            </w:r>
            <w:r>
              <w:rPr>
                <w:rFonts w:hint="eastAsia" w:ascii="仿宋" w:hAnsi="仿宋" w:eastAsia="仿宋" w:cs="仿宋"/>
                <w:sz w:val="24"/>
                <w:szCs w:val="24"/>
              </w:rPr>
              <w:tab/>
            </w:r>
            <w:r>
              <w:rPr>
                <w:rFonts w:hint="eastAsia" w:ascii="仿宋" w:hAnsi="仿宋" w:eastAsia="仿宋" w:cs="仿宋"/>
                <w:sz w:val="24"/>
                <w:szCs w:val="24"/>
              </w:rPr>
              <w:t>水（海）浪发生器能够在不同的堤坝模型中通过参数设定进行不同级别的水（海）浪的制作。对洪水流量、强度等各个参数能够通过调整数据的形式进行不同的实验。</w:t>
            </w:r>
          </w:p>
          <w:p>
            <w:pPr>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kern w:val="0"/>
                <w:sz w:val="24"/>
                <w:szCs w:val="24"/>
              </w:rPr>
              <w:t>★</w:t>
            </w:r>
            <w:r>
              <w:rPr>
                <w:rFonts w:hint="eastAsia" w:ascii="仿宋" w:hAnsi="仿宋" w:eastAsia="仿宋" w:cs="仿宋"/>
                <w:sz w:val="24"/>
                <w:szCs w:val="24"/>
              </w:rPr>
              <w:tab/>
            </w:r>
            <w:r>
              <w:rPr>
                <w:rFonts w:hint="eastAsia" w:ascii="仿宋" w:hAnsi="仿宋" w:eastAsia="仿宋" w:cs="仿宋"/>
                <w:sz w:val="24"/>
                <w:szCs w:val="24"/>
              </w:rPr>
              <w:t>水（海）发生的次数可调，强度可调。可以通过触摸屏触摸的形式进行各种参数的调节。</w:t>
            </w:r>
          </w:p>
          <w:p>
            <w:pPr>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kern w:val="0"/>
                <w:sz w:val="24"/>
                <w:szCs w:val="24"/>
              </w:rPr>
              <w:t>★</w:t>
            </w:r>
            <w:r>
              <w:rPr>
                <w:rFonts w:hint="eastAsia" w:ascii="仿宋" w:hAnsi="仿宋" w:eastAsia="仿宋" w:cs="仿宋"/>
                <w:sz w:val="24"/>
                <w:szCs w:val="24"/>
              </w:rPr>
              <w:tab/>
            </w:r>
            <w:r>
              <w:rPr>
                <w:rFonts w:hint="eastAsia" w:ascii="仿宋" w:hAnsi="仿宋" w:eastAsia="仿宋" w:cs="仿宋"/>
                <w:sz w:val="24"/>
                <w:szCs w:val="24"/>
              </w:rPr>
              <w:t>系统参数完全通过液晶屏进行调节，能够对水（海）浪的次数、强度等进行调整。</w:t>
            </w:r>
          </w:p>
          <w:p>
            <w:pPr>
              <w:rPr>
                <w:rFonts w:hint="eastAsia" w:ascii="仿宋" w:hAnsi="仿宋" w:eastAsia="仿宋" w:cs="仿宋"/>
                <w:color w:val="000000"/>
                <w:kern w:val="0"/>
                <w:sz w:val="24"/>
                <w:szCs w:val="24"/>
                <w:lang w:bidi="ar"/>
              </w:rPr>
            </w:pPr>
            <w:r>
              <w:rPr>
                <w:rFonts w:hint="eastAsia" w:ascii="仿宋" w:hAnsi="仿宋" w:eastAsia="仿宋" w:cs="仿宋"/>
                <w:sz w:val="24"/>
                <w:szCs w:val="24"/>
              </w:rPr>
              <w:t>7、</w:t>
            </w:r>
            <w:r>
              <w:rPr>
                <w:rFonts w:hint="eastAsia" w:ascii="仿宋" w:hAnsi="仿宋" w:eastAsia="仿宋" w:cs="仿宋"/>
                <w:kern w:val="0"/>
                <w:sz w:val="24"/>
                <w:szCs w:val="24"/>
              </w:rPr>
              <w:t>★</w:t>
            </w:r>
            <w:r>
              <w:rPr>
                <w:rFonts w:hint="eastAsia" w:ascii="仿宋" w:hAnsi="仿宋" w:eastAsia="仿宋" w:cs="仿宋"/>
                <w:sz w:val="24"/>
                <w:szCs w:val="24"/>
              </w:rPr>
              <w:t xml:space="preserve">实验数据（洪水溢出量）可以通过传感器实时读出每次实验数据。可以显示到彩色显示屏中。          </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个</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21</w:t>
            </w:r>
          </w:p>
        </w:tc>
        <w:tc>
          <w:tcPr>
            <w:tcW w:w="823" w:type="dxa"/>
            <w:noWrap w:val="0"/>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可替换式挂图灯箱</w:t>
            </w:r>
          </w:p>
        </w:tc>
        <w:tc>
          <w:tcPr>
            <w:tcW w:w="7038" w:type="dxa"/>
            <w:noWrap w:val="0"/>
            <w:vAlign w:val="center"/>
          </w:tcPr>
          <w:p>
            <w:pPr>
              <w:rPr>
                <w:rFonts w:hint="eastAsia" w:ascii="仿宋" w:hAnsi="仿宋" w:eastAsia="仿宋" w:cs="仿宋"/>
                <w:color w:val="000000"/>
                <w:kern w:val="0"/>
                <w:sz w:val="24"/>
                <w:szCs w:val="24"/>
                <w:lang w:bidi="ar"/>
              </w:rPr>
            </w:pPr>
            <w:r>
              <w:rPr>
                <w:rFonts w:hint="eastAsia" w:ascii="仿宋" w:hAnsi="仿宋" w:eastAsia="仿宋" w:cs="仿宋"/>
                <w:sz w:val="24"/>
                <w:szCs w:val="24"/>
                <w:lang w:eastAsia="zh-CN"/>
              </w:rPr>
              <w:t>外观</w:t>
            </w:r>
            <w:r>
              <w:rPr>
                <w:rFonts w:hint="eastAsia" w:ascii="仿宋" w:hAnsi="仿宋" w:eastAsia="仿宋" w:cs="仿宋"/>
                <w:sz w:val="24"/>
                <w:szCs w:val="24"/>
              </w:rPr>
              <w:t>尺寸</w:t>
            </w:r>
            <w:r>
              <w:rPr>
                <w:rFonts w:hint="eastAsia" w:ascii="仿宋" w:hAnsi="仿宋" w:eastAsia="仿宋" w:cs="仿宋"/>
                <w:kern w:val="0"/>
                <w:sz w:val="24"/>
                <w:szCs w:val="24"/>
              </w:rPr>
              <w:t>≥</w:t>
            </w:r>
            <w:r>
              <w:rPr>
                <w:rFonts w:hint="eastAsia" w:ascii="仿宋" w:hAnsi="仿宋" w:eastAsia="仿宋" w:cs="仿宋"/>
                <w:sz w:val="24"/>
                <w:szCs w:val="24"/>
              </w:rPr>
              <w:t>60cm*60cm定制,可开启式超薄铝合金成型灯箱，</w:t>
            </w:r>
            <w:r>
              <w:rPr>
                <w:rFonts w:hint="eastAsia" w:ascii="仿宋" w:hAnsi="仿宋" w:eastAsia="仿宋" w:cs="仿宋"/>
                <w:sz w:val="24"/>
                <w:szCs w:val="24"/>
                <w:lang w:eastAsia="zh-CN"/>
              </w:rPr>
              <w:t>不小于</w:t>
            </w:r>
            <w:r>
              <w:rPr>
                <w:rFonts w:hint="eastAsia" w:ascii="仿宋" w:hAnsi="仿宋" w:eastAsia="仿宋" w:cs="仿宋"/>
                <w:sz w:val="24"/>
                <w:szCs w:val="24"/>
              </w:rPr>
              <w:t>3cm边框、表面静电喷涂、颜色为闪光银，Led光源</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件</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8"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22</w:t>
            </w:r>
          </w:p>
        </w:tc>
        <w:tc>
          <w:tcPr>
            <w:tcW w:w="823" w:type="dxa"/>
            <w:noWrap w:val="0"/>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教学挂图灯箱片</w:t>
            </w:r>
          </w:p>
        </w:tc>
        <w:tc>
          <w:tcPr>
            <w:tcW w:w="7038" w:type="dxa"/>
            <w:noWrap w:val="0"/>
            <w:vAlign w:val="center"/>
          </w:tcPr>
          <w:p>
            <w:pPr>
              <w:rPr>
                <w:rFonts w:hint="eastAsia" w:ascii="仿宋" w:hAnsi="仿宋" w:eastAsia="仿宋" w:cs="仿宋"/>
                <w:color w:val="000000"/>
                <w:kern w:val="0"/>
                <w:sz w:val="24"/>
                <w:szCs w:val="24"/>
                <w:lang w:bidi="ar"/>
              </w:rPr>
            </w:pPr>
            <w:r>
              <w:rPr>
                <w:rFonts w:hint="eastAsia" w:ascii="仿宋" w:hAnsi="仿宋" w:eastAsia="仿宋" w:cs="仿宋"/>
                <w:sz w:val="24"/>
                <w:szCs w:val="24"/>
              </w:rPr>
              <w:t>尺寸</w:t>
            </w:r>
            <w:r>
              <w:rPr>
                <w:rFonts w:hint="eastAsia" w:ascii="仿宋" w:hAnsi="仿宋" w:eastAsia="仿宋" w:cs="仿宋"/>
                <w:kern w:val="0"/>
                <w:sz w:val="24"/>
                <w:szCs w:val="24"/>
              </w:rPr>
              <w:t>≥</w:t>
            </w:r>
            <w:r>
              <w:rPr>
                <w:rFonts w:hint="eastAsia" w:ascii="仿宋" w:hAnsi="仿宋" w:eastAsia="仿宋" w:cs="仿宋"/>
                <w:sz w:val="24"/>
                <w:szCs w:val="24"/>
              </w:rPr>
              <w:t>58cm*58cm定制,灯箱片要求：1440dpi高清晰度灯箱片，覆亮膜：大陆漂移示意、地壳运动怎样改变了地表、探索海底、大板块与火山地震带分布、探索世界年平均气温的分布规律、探索世界气候类型、中国北纬30°线附近分层设色地形图和地形剖面图、地球公转与季节变化、东南亚热带气候与农业生产、撒哈拉以南非洲、中亚地形分布、亚洲地形和沿30°N的地形剖面、南亚地形分布、中东地区、欧洲旅游胜地、北美洲地形和沿30°N的地形剖面、美国农业带的分布、中国自然景观、中国气候带分布、中国山脉分布、中国矿产资源分布、中国主要铁路和铁路枢纽、中国南方地形图、中国西北地区地貌、中国温度带、中国行政区域、青藏地区、黄河流域水系水利和地上河示意图、长江流域水系水利和干流剖面图、沟壑纵横的特殊地形区——黄土高原、中国跨流域调水工程线路示意图、中国主要远洋航线、中国人口密度、中国土壤类型、中国国\家重点风景名胜区、太阳、卡西尼号穿越土星环、宇航员漫步太空</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件</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23</w:t>
            </w:r>
          </w:p>
        </w:tc>
        <w:tc>
          <w:tcPr>
            <w:tcW w:w="823" w:type="dxa"/>
            <w:noWrap w:val="0"/>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地球内部构造模型</w:t>
            </w:r>
          </w:p>
        </w:tc>
        <w:tc>
          <w:tcPr>
            <w:tcW w:w="7038" w:type="dxa"/>
            <w:noWrap w:val="0"/>
            <w:vAlign w:val="center"/>
          </w:tcPr>
          <w:p>
            <w:pPr>
              <w:rPr>
                <w:rFonts w:hint="eastAsia" w:ascii="仿宋" w:hAnsi="仿宋" w:eastAsia="仿宋" w:cs="仿宋"/>
                <w:color w:val="000000"/>
                <w:kern w:val="0"/>
                <w:sz w:val="24"/>
                <w:szCs w:val="24"/>
                <w:lang w:bidi="ar"/>
              </w:rPr>
            </w:pPr>
            <w:r>
              <w:rPr>
                <w:rFonts w:hint="eastAsia" w:ascii="仿宋" w:hAnsi="仿宋" w:eastAsia="仿宋" w:cs="仿宋"/>
                <w:sz w:val="24"/>
                <w:szCs w:val="24"/>
              </w:rPr>
              <w:t>Φ</w:t>
            </w:r>
            <w:r>
              <w:rPr>
                <w:rFonts w:hint="eastAsia" w:ascii="仿宋" w:hAnsi="仿宋" w:eastAsia="仿宋" w:cs="仿宋"/>
                <w:kern w:val="0"/>
                <w:sz w:val="24"/>
                <w:szCs w:val="24"/>
              </w:rPr>
              <w:t>≥</w:t>
            </w:r>
            <w:r>
              <w:rPr>
                <w:rFonts w:hint="eastAsia" w:ascii="仿宋" w:hAnsi="仿宋" w:eastAsia="仿宋" w:cs="仿宋"/>
                <w:sz w:val="24"/>
                <w:szCs w:val="24"/>
              </w:rPr>
              <w:t>32cm</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套</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24</w:t>
            </w:r>
          </w:p>
        </w:tc>
        <w:tc>
          <w:tcPr>
            <w:tcW w:w="823" w:type="dxa"/>
            <w:noWrap w:val="0"/>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月球仪</w:t>
            </w:r>
          </w:p>
        </w:tc>
        <w:tc>
          <w:tcPr>
            <w:tcW w:w="7038" w:type="dxa"/>
            <w:noWrap w:val="0"/>
            <w:vAlign w:val="center"/>
          </w:tcPr>
          <w:p>
            <w:pPr>
              <w:rPr>
                <w:rFonts w:hint="eastAsia" w:ascii="仿宋" w:hAnsi="仿宋" w:eastAsia="仿宋" w:cs="仿宋"/>
                <w:color w:val="000000"/>
                <w:kern w:val="0"/>
                <w:sz w:val="24"/>
                <w:szCs w:val="24"/>
                <w:lang w:bidi="ar"/>
              </w:rPr>
            </w:pPr>
            <w:r>
              <w:rPr>
                <w:rFonts w:hint="eastAsia" w:ascii="仿宋" w:hAnsi="仿宋" w:eastAsia="仿宋" w:cs="仿宋"/>
                <w:sz w:val="24"/>
                <w:szCs w:val="24"/>
              </w:rPr>
              <w:t>Φ</w:t>
            </w:r>
            <w:r>
              <w:rPr>
                <w:rFonts w:hint="eastAsia" w:ascii="仿宋" w:hAnsi="仿宋" w:eastAsia="仿宋" w:cs="仿宋"/>
                <w:kern w:val="0"/>
                <w:sz w:val="24"/>
                <w:szCs w:val="24"/>
              </w:rPr>
              <w:t>≥</w:t>
            </w:r>
            <w:r>
              <w:rPr>
                <w:rFonts w:hint="eastAsia" w:ascii="仿宋" w:hAnsi="仿宋" w:eastAsia="仿宋" w:cs="仿宋"/>
                <w:sz w:val="24"/>
                <w:szCs w:val="24"/>
              </w:rPr>
              <w:t>32cm</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个</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25</w:t>
            </w:r>
          </w:p>
        </w:tc>
        <w:tc>
          <w:tcPr>
            <w:tcW w:w="823" w:type="dxa"/>
            <w:noWrap w:val="0"/>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黄土地貌</w:t>
            </w:r>
          </w:p>
        </w:tc>
        <w:tc>
          <w:tcPr>
            <w:tcW w:w="7038" w:type="dxa"/>
            <w:noWrap w:val="0"/>
            <w:vAlign w:val="top"/>
          </w:tcPr>
          <w:p>
            <w:pPr>
              <w:widowControl/>
              <w:jc w:val="left"/>
              <w:rPr>
                <w:rFonts w:hint="eastAsia" w:ascii="仿宋" w:hAnsi="仿宋" w:eastAsia="仿宋" w:cs="仿宋"/>
                <w:color w:val="000000"/>
                <w:kern w:val="0"/>
                <w:sz w:val="24"/>
                <w:szCs w:val="24"/>
                <w:lang w:bidi="ar"/>
              </w:rPr>
            </w:pPr>
            <w:r>
              <w:rPr>
                <w:rFonts w:hint="eastAsia" w:ascii="仿宋" w:hAnsi="仿宋" w:eastAsia="仿宋" w:cs="仿宋"/>
                <w:kern w:val="0"/>
                <w:sz w:val="24"/>
                <w:szCs w:val="24"/>
              </w:rPr>
              <w:t>包括：冲沟、河谷、黄土梁、黄土茆、川、窑洞及人工改造的平原、梯地（在茆上有同心园梯地）。规格≥680*480</w:t>
            </w:r>
            <w:r>
              <w:rPr>
                <w:rFonts w:hint="eastAsia" w:ascii="仿宋" w:hAnsi="仿宋" w:eastAsia="仿宋" w:cs="仿宋"/>
                <w:sz w:val="24"/>
                <w:szCs w:val="24"/>
              </w:rPr>
              <w:t>±1</w:t>
            </w:r>
            <w:r>
              <w:rPr>
                <w:rFonts w:hint="eastAsia" w:ascii="仿宋" w:hAnsi="仿宋" w:eastAsia="仿宋" w:cs="仿宋"/>
                <w:kern w:val="0"/>
                <w:sz w:val="24"/>
                <w:szCs w:val="24"/>
              </w:rPr>
              <w:t>mm,采用高分子材料精制而成、仿真微缩内容完整充实、紧扣教材</w:t>
            </w:r>
            <w:r>
              <w:rPr>
                <w:rFonts w:hint="eastAsia" w:ascii="仿宋" w:hAnsi="仿宋" w:eastAsia="仿宋" w:cs="仿宋"/>
                <w:color w:val="000000"/>
                <w:kern w:val="0"/>
                <w:sz w:val="24"/>
                <w:szCs w:val="24"/>
                <w:lang w:bidi="ar"/>
              </w:rPr>
              <w:t>。</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26</w:t>
            </w:r>
          </w:p>
        </w:tc>
        <w:tc>
          <w:tcPr>
            <w:tcW w:w="823" w:type="dxa"/>
            <w:noWrap w:val="0"/>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冰川地貌</w:t>
            </w:r>
          </w:p>
        </w:tc>
        <w:tc>
          <w:tcPr>
            <w:tcW w:w="7038" w:type="dxa"/>
            <w:noWrap w:val="0"/>
            <w:vAlign w:val="top"/>
          </w:tcPr>
          <w:p>
            <w:pPr>
              <w:widowControl/>
              <w:jc w:val="left"/>
              <w:rPr>
                <w:rFonts w:hint="eastAsia" w:ascii="仿宋" w:hAnsi="仿宋" w:eastAsia="仿宋" w:cs="仿宋"/>
                <w:color w:val="000000"/>
                <w:kern w:val="0"/>
                <w:sz w:val="24"/>
                <w:szCs w:val="24"/>
                <w:lang w:bidi="ar"/>
              </w:rPr>
            </w:pPr>
            <w:r>
              <w:rPr>
                <w:rFonts w:hint="eastAsia" w:ascii="仿宋" w:hAnsi="仿宋" w:eastAsia="仿宋" w:cs="仿宋"/>
                <w:kern w:val="0"/>
                <w:sz w:val="24"/>
                <w:szCs w:val="24"/>
              </w:rPr>
              <w:t>包括：U形谷、冰碛、冰碛湖、冰碛垅、冰斗、角峰、刃脊、漂砾、悬谷，可演示冰川不断侵蚀岩石和岩壁形成的冰斗和角峰。规格：≥680*480mm,采用高分子材料精制而成、仿真微缩内容完整充实、紧扣教材。</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27</w:t>
            </w:r>
          </w:p>
        </w:tc>
        <w:tc>
          <w:tcPr>
            <w:tcW w:w="823" w:type="dxa"/>
            <w:noWrap w:val="0"/>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海岸侵蚀地貌</w:t>
            </w:r>
          </w:p>
        </w:tc>
        <w:tc>
          <w:tcPr>
            <w:tcW w:w="7038" w:type="dxa"/>
            <w:noWrap w:val="0"/>
            <w:vAlign w:val="top"/>
          </w:tcPr>
          <w:p>
            <w:pPr>
              <w:widowControl/>
              <w:jc w:val="left"/>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包括：海蚀凹形崖、海蚀洞、海蚀柱、海蚀拱石、海蚀平台,规格</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680*480</w:t>
            </w:r>
            <w:r>
              <w:rPr>
                <w:rFonts w:hint="eastAsia" w:ascii="仿宋" w:hAnsi="仿宋" w:eastAsia="仿宋" w:cs="仿宋"/>
                <w:sz w:val="24"/>
                <w:szCs w:val="24"/>
              </w:rPr>
              <w:t>±1</w:t>
            </w:r>
            <w:r>
              <w:rPr>
                <w:rFonts w:hint="eastAsia" w:ascii="仿宋" w:hAnsi="仿宋" w:eastAsia="仿宋" w:cs="仿宋"/>
                <w:color w:val="000000"/>
                <w:kern w:val="0"/>
                <w:sz w:val="24"/>
                <w:szCs w:val="24"/>
                <w:lang w:bidi="ar"/>
              </w:rPr>
              <w:t>mm,采用高分子材料精制而成、仿真微缩内容完整充实、紧扣教材。采用高分子材料精制而成、仿真微缩内容完整充实、紧扣教材。</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28</w:t>
            </w:r>
          </w:p>
        </w:tc>
        <w:tc>
          <w:tcPr>
            <w:tcW w:w="823" w:type="dxa"/>
            <w:noWrap w:val="0"/>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kern w:val="0"/>
                <w:sz w:val="24"/>
                <w:szCs w:val="24"/>
              </w:rPr>
              <w:t>喀斯特地貌</w:t>
            </w:r>
          </w:p>
        </w:tc>
        <w:tc>
          <w:tcPr>
            <w:tcW w:w="7038" w:type="dxa"/>
            <w:noWrap w:val="0"/>
            <w:vAlign w:val="top"/>
          </w:tcPr>
          <w:p>
            <w:pPr>
              <w:widowControl/>
              <w:jc w:val="left"/>
              <w:textAlignment w:val="top"/>
              <w:rPr>
                <w:rFonts w:hint="eastAsia" w:ascii="仿宋" w:hAnsi="仿宋" w:eastAsia="仿宋" w:cs="仿宋"/>
                <w:color w:val="000000"/>
                <w:kern w:val="0"/>
                <w:sz w:val="24"/>
                <w:szCs w:val="24"/>
                <w:lang w:bidi="ar"/>
              </w:rPr>
            </w:pPr>
            <w:r>
              <w:rPr>
                <w:rFonts w:hint="eastAsia" w:ascii="仿宋" w:hAnsi="仿宋" w:eastAsia="仿宋" w:cs="仿宋"/>
                <w:kern w:val="0"/>
                <w:sz w:val="24"/>
                <w:szCs w:val="24"/>
              </w:rPr>
              <w:t>包括：石林、洼地坝子、落水洞、天生桥、峰林、地面河、溶洞、暗河、钟乳石、石笋、洞穴边石坝（莲花池）。规格≥680*480</w:t>
            </w:r>
            <w:r>
              <w:rPr>
                <w:rFonts w:hint="eastAsia" w:ascii="仿宋" w:hAnsi="仿宋" w:eastAsia="仿宋" w:cs="仿宋"/>
                <w:sz w:val="24"/>
                <w:szCs w:val="24"/>
              </w:rPr>
              <w:t>±1</w:t>
            </w:r>
            <w:r>
              <w:rPr>
                <w:rFonts w:hint="eastAsia" w:ascii="仿宋" w:hAnsi="仿宋" w:eastAsia="仿宋" w:cs="仿宋"/>
                <w:kern w:val="0"/>
                <w:sz w:val="24"/>
                <w:szCs w:val="24"/>
              </w:rPr>
              <w:t>mm,采用高分子材料精制而成、仿真微缩内容完整充实、紧扣教材。</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29</w:t>
            </w:r>
          </w:p>
        </w:tc>
        <w:tc>
          <w:tcPr>
            <w:tcW w:w="823" w:type="dxa"/>
            <w:noWrap w:val="0"/>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kern w:val="0"/>
                <w:sz w:val="24"/>
                <w:szCs w:val="24"/>
              </w:rPr>
              <w:t>火山熔岩地貌</w:t>
            </w:r>
          </w:p>
        </w:tc>
        <w:tc>
          <w:tcPr>
            <w:tcW w:w="7038" w:type="dxa"/>
            <w:noWrap w:val="0"/>
            <w:vAlign w:val="top"/>
          </w:tcPr>
          <w:p>
            <w:pPr>
              <w:widowControl/>
              <w:jc w:val="left"/>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包括：两类火山口（盾形，锥形）典型火山的剖面（火山口、火山通道、岩浆）的两大熔岩流，熔岩丘、堰寒湖。规格</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680*480</w:t>
            </w:r>
            <w:r>
              <w:rPr>
                <w:rFonts w:hint="eastAsia" w:ascii="仿宋" w:hAnsi="仿宋" w:eastAsia="仿宋" w:cs="仿宋"/>
                <w:sz w:val="24"/>
                <w:szCs w:val="24"/>
              </w:rPr>
              <w:t>±1</w:t>
            </w:r>
            <w:r>
              <w:rPr>
                <w:rFonts w:hint="eastAsia" w:ascii="仿宋" w:hAnsi="仿宋" w:eastAsia="仿宋" w:cs="仿宋"/>
                <w:color w:val="000000"/>
                <w:kern w:val="0"/>
                <w:sz w:val="24"/>
                <w:szCs w:val="24"/>
                <w:lang w:bidi="ar"/>
              </w:rPr>
              <w:t>mm,采用高分子材料精制而成、仿真微缩内容完整充实、紧扣教材。</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30</w:t>
            </w:r>
          </w:p>
        </w:tc>
        <w:tc>
          <w:tcPr>
            <w:tcW w:w="823" w:type="dxa"/>
            <w:noWrap w:val="0"/>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kern w:val="0"/>
                <w:sz w:val="24"/>
                <w:szCs w:val="24"/>
              </w:rPr>
              <w:t>断层褶皱地貌</w:t>
            </w:r>
          </w:p>
        </w:tc>
        <w:tc>
          <w:tcPr>
            <w:tcW w:w="7038" w:type="dxa"/>
            <w:noWrap w:val="0"/>
            <w:vAlign w:val="top"/>
          </w:tcPr>
          <w:p>
            <w:pPr>
              <w:widowControl/>
              <w:jc w:val="left"/>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包括：断层带陡崖、地垒山、地堑谷、背斜山、向斜谷逆向地貌的向斜成山，背斜成谷。断块山、单面山。规格</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680*480</w:t>
            </w:r>
            <w:r>
              <w:rPr>
                <w:rFonts w:hint="eastAsia" w:ascii="仿宋" w:hAnsi="仿宋" w:eastAsia="仿宋" w:cs="仿宋"/>
                <w:sz w:val="24"/>
                <w:szCs w:val="24"/>
              </w:rPr>
              <w:t>±1</w:t>
            </w:r>
            <w:r>
              <w:rPr>
                <w:rFonts w:hint="eastAsia" w:ascii="仿宋" w:hAnsi="仿宋" w:eastAsia="仿宋" w:cs="仿宋"/>
                <w:color w:val="000000"/>
                <w:kern w:val="0"/>
                <w:sz w:val="24"/>
                <w:szCs w:val="24"/>
                <w:lang w:bidi="ar"/>
              </w:rPr>
              <w:t>mm,采用高分子材料精制而成、仿真微缩内容完整充实、紧扣教材。</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31</w:t>
            </w:r>
          </w:p>
        </w:tc>
        <w:tc>
          <w:tcPr>
            <w:tcW w:w="823" w:type="dxa"/>
            <w:noWrap w:val="0"/>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kern w:val="0"/>
                <w:sz w:val="24"/>
                <w:szCs w:val="24"/>
              </w:rPr>
              <w:t>地震模型</w:t>
            </w:r>
          </w:p>
        </w:tc>
        <w:tc>
          <w:tcPr>
            <w:tcW w:w="7038" w:type="dxa"/>
            <w:noWrap w:val="0"/>
            <w:vAlign w:val="top"/>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地震模型：表现：震源、震中、震源深度、震中距不同对地表建筑物的破坏程度不同，遭破坏的房屋、公路、铁路、山坡产生滑坡，农田等。</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地震模型微缩立体展板规格≥900mm×600mm</w:t>
            </w:r>
          </w:p>
          <w:p>
            <w:pPr>
              <w:widowControl/>
              <w:jc w:val="left"/>
              <w:rPr>
                <w:rFonts w:hint="eastAsia" w:ascii="仿宋" w:hAnsi="仿宋" w:eastAsia="仿宋" w:cs="仿宋"/>
                <w:color w:val="000000"/>
                <w:kern w:val="0"/>
                <w:sz w:val="24"/>
                <w:szCs w:val="24"/>
                <w:lang w:bidi="ar"/>
              </w:rPr>
            </w:pPr>
            <w:r>
              <w:rPr>
                <w:rFonts w:hint="eastAsia" w:ascii="仿宋" w:hAnsi="仿宋" w:eastAsia="仿宋" w:cs="仿宋"/>
                <w:kern w:val="0"/>
                <w:sz w:val="24"/>
                <w:szCs w:val="24"/>
              </w:rPr>
              <w:t>★地震模型点读内容为：1地震2地震波3震源4震中5极震区6震中距7烈度8震源深度9纵波10横波11等震线12震级</w:t>
            </w:r>
            <w:r>
              <w:rPr>
                <w:rFonts w:hint="eastAsia" w:ascii="仿宋" w:hAnsi="仿宋" w:eastAsia="仿宋" w:cs="仿宋"/>
                <w:color w:val="000000"/>
                <w:kern w:val="0"/>
                <w:sz w:val="24"/>
                <w:szCs w:val="24"/>
                <w:lang w:bidi="ar"/>
              </w:rPr>
              <w:t>仿真微缩内容完整充实、紧扣教材。</w:t>
            </w:r>
          </w:p>
        </w:tc>
        <w:tc>
          <w:tcPr>
            <w:tcW w:w="408"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32</w:t>
            </w:r>
          </w:p>
        </w:tc>
        <w:tc>
          <w:tcPr>
            <w:tcW w:w="823" w:type="dxa"/>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rPr>
              <w:t>地上河模型</w:t>
            </w:r>
          </w:p>
        </w:tc>
        <w:tc>
          <w:tcPr>
            <w:tcW w:w="7038" w:type="dxa"/>
            <w:noWrap w:val="0"/>
            <w:vAlign w:val="top"/>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地上河模型：反映：郑州以东，荷泽以西段。黄河地上河最主要的特征、平原及地上河、铁路桥、开封铁塔、船只、虹吸管灌溉工程及清淤池、荷泽附近的南水北调穿黄河工程。</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地上河模型微缩立体展板规格≥900mm×600mm</w:t>
            </w:r>
          </w:p>
          <w:p>
            <w:pPr>
              <w:widowControl/>
              <w:jc w:val="left"/>
              <w:rPr>
                <w:rFonts w:hint="eastAsia" w:ascii="仿宋" w:hAnsi="仿宋" w:eastAsia="仿宋" w:cs="仿宋"/>
                <w:sz w:val="24"/>
                <w:szCs w:val="24"/>
              </w:rPr>
            </w:pPr>
            <w:r>
              <w:rPr>
                <w:rFonts w:hint="eastAsia" w:ascii="仿宋" w:hAnsi="仿宋" w:eastAsia="仿宋" w:cs="仿宋"/>
                <w:kern w:val="0"/>
                <w:sz w:val="24"/>
                <w:szCs w:val="24"/>
              </w:rPr>
              <w:t>★地上河模型点读内容为：1地上河2黄河大堤3引黄淤灌4华北平原5黄河河床</w:t>
            </w:r>
            <w:r>
              <w:rPr>
                <w:rFonts w:hint="eastAsia" w:ascii="仿宋" w:hAnsi="仿宋" w:eastAsia="仿宋" w:cs="仿宋"/>
                <w:color w:val="000000"/>
                <w:kern w:val="0"/>
                <w:sz w:val="24"/>
                <w:szCs w:val="24"/>
                <w:lang w:bidi="ar"/>
              </w:rPr>
              <w:t>仿真微缩内容完整充实、紧扣教材。</w:t>
            </w:r>
          </w:p>
        </w:tc>
        <w:tc>
          <w:tcPr>
            <w:tcW w:w="408"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33</w:t>
            </w:r>
          </w:p>
        </w:tc>
        <w:tc>
          <w:tcPr>
            <w:tcW w:w="823" w:type="dxa"/>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rPr>
              <w:t>流水地貌</w:t>
            </w:r>
          </w:p>
        </w:tc>
        <w:tc>
          <w:tcPr>
            <w:tcW w:w="7038"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流水地貌：包括：上游的“V”形谷地及树枝状水系，出山口的冲积扇，中游的泛滥平原、牛轭湖、下游的滨海平原、三角洲。流水地貌微缩立体展板规格≥900mm×600mm</w:t>
            </w:r>
          </w:p>
          <w:p>
            <w:pPr>
              <w:widowControl/>
              <w:jc w:val="left"/>
              <w:rPr>
                <w:rFonts w:hint="eastAsia" w:ascii="仿宋" w:hAnsi="仿宋" w:eastAsia="仿宋" w:cs="仿宋"/>
                <w:sz w:val="24"/>
                <w:szCs w:val="24"/>
              </w:rPr>
            </w:pPr>
            <w:r>
              <w:rPr>
                <w:rFonts w:hint="eastAsia" w:ascii="仿宋" w:hAnsi="仿宋" w:eastAsia="仿宋" w:cs="仿宋"/>
                <w:kern w:val="0"/>
                <w:sz w:val="24"/>
                <w:szCs w:val="24"/>
              </w:rPr>
              <w:t>★流水地貌点读内容为；1流水地貌2峡谷区3平原区4三角洲5牛轭湖6曲流7水库8急流</w:t>
            </w:r>
            <w:r>
              <w:rPr>
                <w:rFonts w:hint="eastAsia" w:ascii="仿宋" w:hAnsi="仿宋" w:eastAsia="仿宋" w:cs="仿宋"/>
                <w:color w:val="000000"/>
                <w:kern w:val="0"/>
                <w:sz w:val="24"/>
                <w:szCs w:val="24"/>
                <w:lang w:bidi="ar"/>
              </w:rPr>
              <w:t>仿真微缩内容完整充实、紧扣教材。</w:t>
            </w:r>
          </w:p>
        </w:tc>
        <w:tc>
          <w:tcPr>
            <w:tcW w:w="408"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34</w:t>
            </w:r>
          </w:p>
        </w:tc>
        <w:tc>
          <w:tcPr>
            <w:tcW w:w="823" w:type="dxa"/>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rPr>
              <w:t>等高线地貌模型</w:t>
            </w:r>
          </w:p>
        </w:tc>
        <w:tc>
          <w:tcPr>
            <w:tcW w:w="7038"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等高线地貌模型：包括：山头、鞍部、陡坡、缓坡、山谷线、山脊线、峡，谷、陡崖、三圈等高闭曲线，并有剖面图。</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等高线地貌模型微缩立体展板规格≥900mm×600mm</w:t>
            </w:r>
          </w:p>
          <w:p>
            <w:pPr>
              <w:widowControl/>
              <w:jc w:val="left"/>
              <w:rPr>
                <w:rFonts w:hint="eastAsia" w:ascii="仿宋" w:hAnsi="仿宋" w:eastAsia="仿宋" w:cs="仿宋"/>
                <w:sz w:val="24"/>
                <w:szCs w:val="24"/>
              </w:rPr>
            </w:pPr>
            <w:r>
              <w:rPr>
                <w:rFonts w:hint="eastAsia" w:ascii="仿宋" w:hAnsi="仿宋" w:eastAsia="仿宋" w:cs="仿宋"/>
                <w:kern w:val="0"/>
                <w:sz w:val="24"/>
                <w:szCs w:val="24"/>
              </w:rPr>
              <w:t>★等高线地貌点读内容为：1等高线2山脊3山谷4鞍部5缓坡与陡坡及陡崖6山顶丹霞地貌  包括：巨红色的几乎呈水平状的砂砾岩层、垂直节理发育形成丹崖、齐峰，有直立状、堡状、宝塔状，形成巨大陡崖、石墙、石窗、石桥、巷谷</w:t>
            </w:r>
            <w:r>
              <w:rPr>
                <w:rFonts w:hint="eastAsia" w:ascii="仿宋" w:hAnsi="仿宋" w:eastAsia="仿宋" w:cs="仿宋"/>
                <w:color w:val="000000"/>
                <w:kern w:val="0"/>
                <w:sz w:val="24"/>
                <w:szCs w:val="24"/>
                <w:lang w:bidi="ar"/>
              </w:rPr>
              <w:t>仿真微缩内容完整充实、紧扣教材。</w:t>
            </w:r>
          </w:p>
        </w:tc>
        <w:tc>
          <w:tcPr>
            <w:tcW w:w="408"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35</w:t>
            </w:r>
          </w:p>
        </w:tc>
        <w:tc>
          <w:tcPr>
            <w:tcW w:w="823" w:type="dxa"/>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rPr>
              <w:t>丹霞地貌模型</w:t>
            </w:r>
          </w:p>
        </w:tc>
        <w:tc>
          <w:tcPr>
            <w:tcW w:w="7038"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丹霞地貌模型；微缩立体展板规格≥900mm×600mm</w:t>
            </w:r>
          </w:p>
          <w:p>
            <w:pPr>
              <w:widowControl/>
              <w:jc w:val="left"/>
              <w:rPr>
                <w:rFonts w:hint="eastAsia" w:ascii="仿宋" w:hAnsi="仿宋" w:eastAsia="仿宋" w:cs="仿宋"/>
                <w:sz w:val="24"/>
                <w:szCs w:val="24"/>
              </w:rPr>
            </w:pPr>
            <w:r>
              <w:rPr>
                <w:rFonts w:hint="eastAsia" w:ascii="仿宋" w:hAnsi="仿宋" w:eastAsia="仿宋" w:cs="仿宋"/>
                <w:kern w:val="0"/>
                <w:sz w:val="24"/>
                <w:szCs w:val="24"/>
              </w:rPr>
              <w:t>★丹霞地貌点读内容为：1石柱2方山3陡崖4红色岩层5垂直节理6堡状残峰7河流曲流</w:t>
            </w:r>
            <w:r>
              <w:rPr>
                <w:rFonts w:hint="eastAsia" w:ascii="仿宋" w:hAnsi="仿宋" w:eastAsia="仿宋" w:cs="仿宋"/>
                <w:color w:val="000000"/>
                <w:kern w:val="0"/>
                <w:sz w:val="24"/>
                <w:szCs w:val="24"/>
                <w:lang w:bidi="ar"/>
              </w:rPr>
              <w:t>仿真微缩内容完整充实、紧扣教材。</w:t>
            </w:r>
          </w:p>
        </w:tc>
        <w:tc>
          <w:tcPr>
            <w:tcW w:w="408"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36</w:t>
            </w:r>
          </w:p>
        </w:tc>
        <w:tc>
          <w:tcPr>
            <w:tcW w:w="823" w:type="dxa"/>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rPr>
              <w:t>地下水模型</w:t>
            </w:r>
          </w:p>
        </w:tc>
        <w:tc>
          <w:tcPr>
            <w:tcW w:w="7038"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地下水模型；  包括：自流井、梯田石山、自流水盆地、补给区、排泄区、承压区、隔水层、枯井、含水层（承压水层）、潜水层、承压线。地下水模型微缩立体展板规格≥900mm×600mm</w:t>
            </w:r>
          </w:p>
          <w:p>
            <w:pPr>
              <w:widowControl/>
              <w:jc w:val="left"/>
              <w:rPr>
                <w:rFonts w:hint="eastAsia" w:ascii="仿宋" w:hAnsi="仿宋" w:eastAsia="仿宋" w:cs="仿宋"/>
                <w:sz w:val="24"/>
                <w:szCs w:val="24"/>
              </w:rPr>
            </w:pPr>
            <w:r>
              <w:rPr>
                <w:rFonts w:hint="eastAsia" w:ascii="仿宋" w:hAnsi="仿宋" w:eastAsia="仿宋" w:cs="仿宋"/>
                <w:kern w:val="0"/>
                <w:sz w:val="24"/>
                <w:szCs w:val="24"/>
              </w:rPr>
              <w:t>★地下水模型点读内容为：1地下水2补给区3承压区4排泄区5潜水6承压水7自流井8含水层9自流水盆地10隔水层11承压线</w:t>
            </w:r>
            <w:r>
              <w:rPr>
                <w:rFonts w:hint="eastAsia" w:ascii="仿宋" w:hAnsi="仿宋" w:eastAsia="仿宋" w:cs="仿宋"/>
                <w:color w:val="000000"/>
                <w:kern w:val="0"/>
                <w:sz w:val="24"/>
                <w:szCs w:val="24"/>
                <w:lang w:bidi="ar"/>
              </w:rPr>
              <w:t>仿真微缩内容完整充实、紧扣教材。</w:t>
            </w:r>
          </w:p>
        </w:tc>
        <w:tc>
          <w:tcPr>
            <w:tcW w:w="408"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37</w:t>
            </w:r>
          </w:p>
        </w:tc>
        <w:tc>
          <w:tcPr>
            <w:tcW w:w="823" w:type="dxa"/>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rPr>
              <w:t xml:space="preserve">风化地貌 </w:t>
            </w:r>
          </w:p>
        </w:tc>
        <w:tc>
          <w:tcPr>
            <w:tcW w:w="7038"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风化地貌 ； 包括：1风蚀：风蚀城堡，风蚀蘑菇，风蚀洞穴，风蚀洼地，风蚀桂；2风积：新月形沙丘，戈壁</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风化地貌模型微缩立体展板规格≥900mm×600mm</w:t>
            </w:r>
          </w:p>
          <w:p>
            <w:pPr>
              <w:widowControl/>
              <w:jc w:val="left"/>
              <w:rPr>
                <w:rFonts w:hint="eastAsia" w:ascii="仿宋" w:hAnsi="仿宋" w:eastAsia="仿宋" w:cs="仿宋"/>
                <w:sz w:val="24"/>
                <w:szCs w:val="24"/>
              </w:rPr>
            </w:pPr>
            <w:r>
              <w:rPr>
                <w:rFonts w:hint="eastAsia" w:ascii="仿宋" w:hAnsi="仿宋" w:eastAsia="仿宋" w:cs="仿宋"/>
                <w:kern w:val="0"/>
                <w:sz w:val="24"/>
                <w:szCs w:val="24"/>
              </w:rPr>
              <w:t>★风化地貌点读内容为:1风化地貌2球状风化3化学风化4石蛋地形5物理风化</w:t>
            </w:r>
          </w:p>
        </w:tc>
        <w:tc>
          <w:tcPr>
            <w:tcW w:w="408"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38</w:t>
            </w:r>
          </w:p>
        </w:tc>
        <w:tc>
          <w:tcPr>
            <w:tcW w:w="823"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风沙地貌</w:t>
            </w:r>
          </w:p>
          <w:p>
            <w:pPr>
              <w:widowControl/>
              <w:jc w:val="left"/>
              <w:textAlignment w:val="center"/>
              <w:rPr>
                <w:rFonts w:hint="eastAsia" w:ascii="仿宋" w:hAnsi="仿宋" w:eastAsia="仿宋" w:cs="仿宋"/>
                <w:sz w:val="24"/>
                <w:szCs w:val="24"/>
              </w:rPr>
            </w:pPr>
          </w:p>
        </w:tc>
        <w:tc>
          <w:tcPr>
            <w:tcW w:w="7038"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风沙地貌模型；微缩立体展板规格≥900mm×600mm</w:t>
            </w:r>
          </w:p>
          <w:p>
            <w:pPr>
              <w:widowControl/>
              <w:jc w:val="left"/>
              <w:rPr>
                <w:rFonts w:hint="eastAsia" w:ascii="仿宋" w:hAnsi="仿宋" w:eastAsia="仿宋" w:cs="仿宋"/>
                <w:sz w:val="24"/>
                <w:szCs w:val="24"/>
              </w:rPr>
            </w:pPr>
            <w:r>
              <w:rPr>
                <w:rFonts w:hint="eastAsia" w:ascii="仿宋" w:hAnsi="仿宋" w:eastAsia="仿宋" w:cs="仿宋"/>
                <w:kern w:val="0"/>
                <w:sz w:val="24"/>
                <w:szCs w:val="24"/>
              </w:rPr>
              <w:t>★风沙地貌点读内容为：1风沙地貌2风蚀城堡3风蚀蘑菇4新月形沙丘5迎风坡6背风坡7风蚀柱8风蚀洞穴9风蚀洼地10戈壁11沙漠绿洲12沙垄13岩漠14干谷15干盐湖16沙漠</w:t>
            </w:r>
          </w:p>
        </w:tc>
        <w:tc>
          <w:tcPr>
            <w:tcW w:w="408"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39</w:t>
            </w:r>
          </w:p>
        </w:tc>
        <w:tc>
          <w:tcPr>
            <w:tcW w:w="823" w:type="dxa"/>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rPr>
              <w:t xml:space="preserve">环境地貌 </w:t>
            </w:r>
          </w:p>
        </w:tc>
        <w:tc>
          <w:tcPr>
            <w:tcW w:w="7038"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环境地貌  包括：环境污染，水污染，放射性污染、土壤污染、固体废弃物污染以及大气污染等内容。 </w:t>
            </w:r>
          </w:p>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环境地貌模型微缩立体展板规格≥900mm×600mm</w:t>
            </w:r>
          </w:p>
          <w:p>
            <w:pPr>
              <w:widowControl/>
              <w:jc w:val="left"/>
              <w:rPr>
                <w:rFonts w:hint="eastAsia" w:ascii="仿宋" w:hAnsi="仿宋" w:eastAsia="仿宋" w:cs="仿宋"/>
                <w:sz w:val="24"/>
                <w:szCs w:val="24"/>
              </w:rPr>
            </w:pPr>
            <w:r>
              <w:rPr>
                <w:rFonts w:hint="eastAsia" w:ascii="仿宋" w:hAnsi="仿宋" w:eastAsia="仿宋" w:cs="仿宋"/>
                <w:kern w:val="0"/>
                <w:sz w:val="24"/>
                <w:szCs w:val="24"/>
              </w:rPr>
              <w:t>★环境地貌点读内容为：1环境问题2水污染3放射性污染4土壤污染5固体废弃物污染6大气污染</w:t>
            </w:r>
            <w:r>
              <w:rPr>
                <w:rFonts w:hint="eastAsia" w:ascii="仿宋" w:hAnsi="仿宋" w:eastAsia="仿宋" w:cs="仿宋"/>
                <w:color w:val="000000"/>
                <w:kern w:val="0"/>
                <w:sz w:val="24"/>
                <w:szCs w:val="24"/>
                <w:lang w:bidi="ar"/>
              </w:rPr>
              <w:t>。</w:t>
            </w:r>
          </w:p>
        </w:tc>
        <w:tc>
          <w:tcPr>
            <w:tcW w:w="408"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40</w:t>
            </w:r>
          </w:p>
        </w:tc>
        <w:tc>
          <w:tcPr>
            <w:tcW w:w="823" w:type="dxa"/>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rPr>
              <w:t>煤与石油</w:t>
            </w:r>
          </w:p>
        </w:tc>
        <w:tc>
          <w:tcPr>
            <w:tcW w:w="7038" w:type="dxa"/>
            <w:noWrap w:val="0"/>
            <w:vAlign w:val="center"/>
          </w:tcPr>
          <w:p>
            <w:pPr>
              <w:widowControl/>
              <w:rPr>
                <w:rFonts w:hint="eastAsia" w:ascii="仿宋" w:hAnsi="仿宋" w:eastAsia="仿宋" w:cs="仿宋"/>
                <w:kern w:val="0"/>
                <w:sz w:val="24"/>
                <w:szCs w:val="24"/>
              </w:rPr>
            </w:pPr>
            <w:r>
              <w:rPr>
                <w:rFonts w:hint="eastAsia" w:ascii="仿宋" w:hAnsi="仿宋" w:eastAsia="仿宋" w:cs="仿宋"/>
                <w:kern w:val="0"/>
                <w:sz w:val="24"/>
                <w:szCs w:val="24"/>
              </w:rPr>
              <w:t>煤与石油  包括：煤矿地质构造、煤层分布、坑道、采煤作业面、露田煤矿作业；石油矿的含油层、天然气层分布、钻井及井架、采油机、地面输煤线、储油罐、煤矿堆场、石油管道等。</w:t>
            </w:r>
          </w:p>
          <w:p>
            <w:pPr>
              <w:widowControl/>
              <w:rPr>
                <w:rFonts w:hint="eastAsia" w:ascii="仿宋" w:hAnsi="仿宋" w:eastAsia="仿宋" w:cs="仿宋"/>
                <w:kern w:val="0"/>
                <w:sz w:val="24"/>
                <w:szCs w:val="24"/>
              </w:rPr>
            </w:pPr>
            <w:r>
              <w:rPr>
                <w:rFonts w:hint="eastAsia" w:ascii="仿宋" w:hAnsi="仿宋" w:eastAsia="仿宋" w:cs="仿宋"/>
                <w:kern w:val="0"/>
                <w:sz w:val="24"/>
                <w:szCs w:val="24"/>
              </w:rPr>
              <w:t>煤与石油模型微缩立体展板规格≥900mm×600mm</w:t>
            </w:r>
          </w:p>
          <w:p>
            <w:pPr>
              <w:widowControl/>
              <w:rPr>
                <w:rFonts w:hint="eastAsia" w:ascii="仿宋" w:hAnsi="仿宋" w:eastAsia="仿宋" w:cs="仿宋"/>
                <w:sz w:val="24"/>
                <w:szCs w:val="24"/>
              </w:rPr>
            </w:pPr>
            <w:r>
              <w:rPr>
                <w:rFonts w:hint="eastAsia" w:ascii="仿宋" w:hAnsi="仿宋" w:eastAsia="仿宋" w:cs="仿宋"/>
                <w:kern w:val="0"/>
                <w:sz w:val="24"/>
                <w:szCs w:val="24"/>
              </w:rPr>
              <w:t>★煤与石油点读内容为；1煤和石油2坑道3煤层4矿井5储油构造6海上钻井平台7天然气8石油9油井10露天煤矿</w:t>
            </w:r>
            <w:r>
              <w:rPr>
                <w:rFonts w:hint="eastAsia" w:ascii="仿宋" w:hAnsi="仿宋" w:eastAsia="仿宋" w:cs="仿宋"/>
                <w:color w:val="000000"/>
                <w:kern w:val="0"/>
                <w:sz w:val="24"/>
                <w:szCs w:val="24"/>
                <w:lang w:bidi="ar"/>
              </w:rPr>
              <w:t>仿真微缩内容完整充实、紧扣教材。</w:t>
            </w:r>
          </w:p>
        </w:tc>
        <w:tc>
          <w:tcPr>
            <w:tcW w:w="408"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41</w:t>
            </w:r>
          </w:p>
        </w:tc>
        <w:tc>
          <w:tcPr>
            <w:tcW w:w="823"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rPr>
              <w:t>五种地形</w:t>
            </w:r>
          </w:p>
        </w:tc>
        <w:tc>
          <w:tcPr>
            <w:tcW w:w="7038" w:type="dxa"/>
            <w:noWrap w:val="0"/>
            <w:vAlign w:val="center"/>
          </w:tcPr>
          <w:p>
            <w:pPr>
              <w:widowControl/>
              <w:rPr>
                <w:rFonts w:hint="eastAsia" w:ascii="仿宋" w:hAnsi="仿宋" w:eastAsia="仿宋" w:cs="仿宋"/>
                <w:kern w:val="0"/>
                <w:sz w:val="24"/>
                <w:szCs w:val="24"/>
              </w:rPr>
            </w:pPr>
            <w:r>
              <w:rPr>
                <w:rFonts w:hint="eastAsia" w:ascii="仿宋" w:hAnsi="仿宋" w:eastAsia="仿宋" w:cs="仿宋"/>
                <w:kern w:val="0"/>
                <w:sz w:val="24"/>
                <w:szCs w:val="24"/>
              </w:rPr>
              <w:t>五种地形模型微缩立体展板规格≥900mm×600mm</w:t>
            </w:r>
          </w:p>
          <w:p>
            <w:pPr>
              <w:widowControl/>
              <w:rPr>
                <w:rFonts w:hint="eastAsia" w:ascii="仿宋" w:hAnsi="仿宋" w:eastAsia="仿宋" w:cs="仿宋"/>
                <w:sz w:val="24"/>
                <w:szCs w:val="24"/>
              </w:rPr>
            </w:pPr>
            <w:r>
              <w:rPr>
                <w:rFonts w:hint="eastAsia" w:ascii="仿宋" w:hAnsi="仿宋" w:eastAsia="仿宋" w:cs="仿宋"/>
                <w:kern w:val="0"/>
                <w:sz w:val="24"/>
                <w:szCs w:val="24"/>
              </w:rPr>
              <w:t>★五种地形点读内容为：1五种地形2平原3丘陵4高原5山地6盆地</w:t>
            </w:r>
            <w:r>
              <w:rPr>
                <w:rFonts w:hint="eastAsia" w:ascii="仿宋" w:hAnsi="仿宋" w:eastAsia="仿宋" w:cs="仿宋"/>
                <w:color w:val="000000"/>
                <w:kern w:val="0"/>
                <w:sz w:val="24"/>
                <w:szCs w:val="24"/>
                <w:lang w:bidi="ar"/>
              </w:rPr>
              <w:t>仿真微缩内容完整充实、紧扣教材。</w:t>
            </w:r>
          </w:p>
        </w:tc>
        <w:tc>
          <w:tcPr>
            <w:tcW w:w="408" w:type="dxa"/>
            <w:noWrap w:val="0"/>
            <w:vAlign w:val="center"/>
          </w:tcPr>
          <w:p>
            <w:pPr>
              <w:jc w:val="cente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42</w:t>
            </w:r>
          </w:p>
        </w:tc>
        <w:tc>
          <w:tcPr>
            <w:tcW w:w="823"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rPr>
              <w:t>重力地貌</w:t>
            </w:r>
          </w:p>
        </w:tc>
        <w:tc>
          <w:tcPr>
            <w:tcW w:w="7038" w:type="dxa"/>
            <w:noWrap w:val="0"/>
            <w:vAlign w:val="center"/>
          </w:tcPr>
          <w:p>
            <w:pPr>
              <w:widowControl/>
              <w:rPr>
                <w:rFonts w:hint="eastAsia" w:ascii="仿宋" w:hAnsi="仿宋" w:eastAsia="仿宋" w:cs="仿宋"/>
                <w:kern w:val="0"/>
                <w:sz w:val="24"/>
                <w:szCs w:val="24"/>
              </w:rPr>
            </w:pPr>
            <w:r>
              <w:rPr>
                <w:rFonts w:hint="eastAsia" w:ascii="仿宋" w:hAnsi="仿宋" w:eastAsia="仿宋" w:cs="仿宋"/>
                <w:kern w:val="0"/>
                <w:sz w:val="24"/>
                <w:szCs w:val="24"/>
              </w:rPr>
              <w:t>重力地貌  包括：滑坡、塌崩、泥石流及它们对地表建筑物（山洞、房屋、铁路、公路、火车等）的破坏</w:t>
            </w:r>
          </w:p>
          <w:p>
            <w:pPr>
              <w:widowControl/>
              <w:rPr>
                <w:rFonts w:hint="eastAsia" w:ascii="仿宋" w:hAnsi="仿宋" w:eastAsia="仿宋" w:cs="仿宋"/>
                <w:kern w:val="0"/>
                <w:sz w:val="24"/>
                <w:szCs w:val="24"/>
              </w:rPr>
            </w:pPr>
            <w:r>
              <w:rPr>
                <w:rFonts w:hint="eastAsia" w:ascii="仿宋" w:hAnsi="仿宋" w:eastAsia="仿宋" w:cs="仿宋"/>
                <w:kern w:val="0"/>
                <w:sz w:val="24"/>
                <w:szCs w:val="24"/>
              </w:rPr>
              <w:t>重力地貌模型微缩立体展板规格≥900mm×600mm</w:t>
            </w:r>
          </w:p>
          <w:p>
            <w:pPr>
              <w:widowControl/>
              <w:textAlignment w:val="center"/>
              <w:rPr>
                <w:rFonts w:hint="eastAsia" w:ascii="仿宋" w:hAnsi="仿宋" w:eastAsia="仿宋" w:cs="仿宋"/>
                <w:sz w:val="24"/>
                <w:szCs w:val="24"/>
              </w:rPr>
            </w:pPr>
            <w:r>
              <w:rPr>
                <w:rFonts w:hint="eastAsia" w:ascii="仿宋" w:hAnsi="仿宋" w:eastAsia="仿宋" w:cs="仿宋"/>
                <w:kern w:val="0"/>
                <w:sz w:val="24"/>
                <w:szCs w:val="24"/>
              </w:rPr>
              <w:t>★重力地貌点读内容为：1重力地貌2滑坡壁3滑坡体4滑坡舌5崩塌6倒石锥7泥石流8泥石流扇9滑坡</w:t>
            </w:r>
            <w:r>
              <w:rPr>
                <w:rFonts w:hint="eastAsia" w:ascii="仿宋" w:hAnsi="仿宋" w:eastAsia="仿宋" w:cs="仿宋"/>
                <w:color w:val="000000"/>
                <w:kern w:val="0"/>
                <w:sz w:val="24"/>
                <w:szCs w:val="24"/>
                <w:lang w:bidi="ar"/>
              </w:rPr>
              <w:t>仿真微缩内容完整充实、紧扣教材。</w:t>
            </w:r>
          </w:p>
        </w:tc>
        <w:tc>
          <w:tcPr>
            <w:tcW w:w="408" w:type="dxa"/>
            <w:noWrap w:val="0"/>
            <w:vAlign w:val="center"/>
          </w:tcPr>
          <w:p>
            <w:pPr>
              <w:jc w:val="center"/>
              <w:rPr>
                <w:rFonts w:hint="eastAsia" w:ascii="仿宋" w:hAnsi="仿宋" w:eastAsia="仿宋" w:cs="仿宋"/>
                <w:sz w:val="24"/>
                <w:szCs w:val="24"/>
              </w:rPr>
            </w:pPr>
            <w:r>
              <w:rPr>
                <w:rFonts w:hint="eastAsia" w:ascii="仿宋" w:hAnsi="仿宋" w:eastAsia="仿宋" w:cs="仿宋"/>
                <w:color w:val="000000"/>
                <w:kern w:val="0"/>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43</w:t>
            </w:r>
          </w:p>
        </w:tc>
        <w:tc>
          <w:tcPr>
            <w:tcW w:w="823"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地形地貌点读控制器</w:t>
            </w:r>
          </w:p>
        </w:tc>
        <w:tc>
          <w:tcPr>
            <w:tcW w:w="7038" w:type="dxa"/>
            <w:noWrap w:val="0"/>
            <w:vAlign w:val="center"/>
          </w:tcPr>
          <w:p>
            <w:pPr>
              <w:widowControl/>
              <w:textAlignment w:val="center"/>
              <w:rPr>
                <w:rFonts w:hint="eastAsia" w:ascii="仿宋" w:hAnsi="仿宋" w:eastAsia="仿宋" w:cs="仿宋"/>
                <w:sz w:val="24"/>
                <w:szCs w:val="24"/>
              </w:rPr>
            </w:pPr>
            <w:r>
              <w:rPr>
                <w:rFonts w:hint="eastAsia" w:ascii="仿宋" w:hAnsi="仿宋" w:eastAsia="仿宋" w:cs="仿宋"/>
                <w:sz w:val="24"/>
                <w:szCs w:val="24"/>
              </w:rPr>
              <w:t>产品控制地形地貌展板控制器和点读笔</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44</w:t>
            </w:r>
          </w:p>
        </w:tc>
        <w:tc>
          <w:tcPr>
            <w:tcW w:w="823"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地形地貌柜</w:t>
            </w:r>
          </w:p>
        </w:tc>
        <w:tc>
          <w:tcPr>
            <w:tcW w:w="7038" w:type="dxa"/>
            <w:noWrap w:val="0"/>
            <w:vAlign w:val="center"/>
          </w:tcPr>
          <w:p>
            <w:pPr>
              <w:widowControl/>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eastAsia="zh-CN" w:bidi="ar"/>
              </w:rPr>
              <w:t>外观尺寸</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76*56*50cm1.6密度板造型，防火板饰面。造型美观做工精致，专业木工施工制作，迎合专业教室氛围。</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个</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45</w:t>
            </w:r>
          </w:p>
        </w:tc>
        <w:tc>
          <w:tcPr>
            <w:tcW w:w="823"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防尘玻璃罩</w:t>
            </w:r>
          </w:p>
        </w:tc>
        <w:tc>
          <w:tcPr>
            <w:tcW w:w="7038" w:type="dxa"/>
            <w:noWrap w:val="0"/>
            <w:vAlign w:val="center"/>
          </w:tcPr>
          <w:p>
            <w:pPr>
              <w:widowControl/>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eastAsia="zh-CN" w:bidi="ar"/>
              </w:rPr>
              <w:t>外观尺寸</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75*55*50cm采用5mm钢化玻璃制作，导角，磨边，达到防尘、美观的同时，很好的保护模型不被损坏。</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个</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46</w:t>
            </w:r>
          </w:p>
        </w:tc>
        <w:tc>
          <w:tcPr>
            <w:tcW w:w="82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课桌椅</w:t>
            </w:r>
          </w:p>
        </w:tc>
        <w:tc>
          <w:tcPr>
            <w:tcW w:w="7038" w:type="dxa"/>
            <w:noWrap w:val="0"/>
            <w:vAlign w:val="center"/>
          </w:tcPr>
          <w:p>
            <w:pPr>
              <w:rPr>
                <w:rFonts w:hint="eastAsia" w:ascii="仿宋" w:hAnsi="仿宋" w:eastAsia="仿宋" w:cs="仿宋"/>
                <w:sz w:val="24"/>
                <w:szCs w:val="24"/>
                <w:lang w:eastAsia="zh-CN"/>
              </w:rPr>
            </w:pPr>
            <w:r>
              <w:rPr>
                <w:rFonts w:hint="eastAsia" w:ascii="仿宋" w:hAnsi="仿宋" w:eastAsia="仿宋" w:cs="仿宋"/>
                <w:kern w:val="0"/>
                <w:sz w:val="24"/>
                <w:szCs w:val="24"/>
              </w:rPr>
              <w:t>1.★</w:t>
            </w:r>
            <w:r>
              <w:rPr>
                <w:rFonts w:hint="eastAsia" w:ascii="仿宋" w:hAnsi="仿宋" w:eastAsia="仿宋" w:cs="仿宋"/>
                <w:sz w:val="24"/>
                <w:szCs w:val="24"/>
              </w:rPr>
              <w:t>质量标准：按照《GB/T3976-2014课桌椅》质量标准。2.</w:t>
            </w:r>
            <w:r>
              <w:rPr>
                <w:rFonts w:hint="eastAsia" w:ascii="仿宋" w:hAnsi="仿宋" w:eastAsia="仿宋" w:cs="仿宋"/>
                <w:kern w:val="0"/>
                <w:sz w:val="24"/>
                <w:szCs w:val="24"/>
              </w:rPr>
              <w:t>★</w:t>
            </w:r>
            <w:r>
              <w:rPr>
                <w:rFonts w:hint="eastAsia" w:ascii="仿宋" w:hAnsi="仿宋" w:eastAsia="仿宋" w:cs="仿宋"/>
                <w:sz w:val="24"/>
                <w:szCs w:val="24"/>
              </w:rPr>
              <w:t>外观尺寸符合国家标准，经过抗冲击实验测试符合相关标准，具备《QB/T4071-2010课桌椅》检测报告3.</w:t>
            </w:r>
            <w:r>
              <w:rPr>
                <w:rFonts w:hint="eastAsia" w:ascii="仿宋" w:hAnsi="仿宋" w:eastAsia="仿宋" w:cs="仿宋"/>
                <w:kern w:val="0"/>
                <w:sz w:val="24"/>
                <w:szCs w:val="24"/>
              </w:rPr>
              <w:t>★</w:t>
            </w:r>
            <w:r>
              <w:rPr>
                <w:rFonts w:hint="eastAsia" w:ascii="仿宋" w:hAnsi="仿宋" w:eastAsia="仿宋" w:cs="仿宋"/>
                <w:sz w:val="24"/>
                <w:szCs w:val="24"/>
              </w:rPr>
              <w:t>产品环保要求：全新料制作，铅，汞，铬等有毒有害物质检测达标，无甲醛释放，安全环保，具备《GB18584-2001》甲醛检测报告</w:t>
            </w:r>
            <w:r>
              <w:rPr>
                <w:rFonts w:hint="eastAsia" w:ascii="仿宋" w:hAnsi="仿宋" w:eastAsia="仿宋" w:cs="仿宋"/>
                <w:sz w:val="24"/>
                <w:szCs w:val="24"/>
                <w:lang w:eastAsia="zh-CN"/>
              </w:rPr>
              <w:t>。</w:t>
            </w:r>
          </w:p>
        </w:tc>
        <w:tc>
          <w:tcPr>
            <w:tcW w:w="408"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47</w:t>
            </w:r>
          </w:p>
        </w:tc>
        <w:tc>
          <w:tcPr>
            <w:tcW w:w="823"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讲台</w:t>
            </w:r>
          </w:p>
        </w:tc>
        <w:tc>
          <w:tcPr>
            <w:tcW w:w="7038" w:type="dxa"/>
            <w:noWrap w:val="0"/>
            <w:vAlign w:val="center"/>
          </w:tcPr>
          <w:p>
            <w:pPr>
              <w:widowControl/>
              <w:textAlignment w:val="center"/>
              <w:rPr>
                <w:rFonts w:hint="eastAsia" w:ascii="仿宋" w:hAnsi="仿宋" w:eastAsia="仿宋" w:cs="仿宋"/>
                <w:sz w:val="24"/>
                <w:szCs w:val="24"/>
              </w:rPr>
            </w:pPr>
            <w:r>
              <w:rPr>
                <w:rFonts w:hint="eastAsia" w:ascii="仿宋" w:hAnsi="仿宋" w:eastAsia="仿宋" w:cs="仿宋"/>
                <w:kern w:val="0"/>
                <w:sz w:val="24"/>
                <w:szCs w:val="24"/>
              </w:rPr>
              <w:t>材质：桌面主体选用马钢优质冷轧钢板，精加工制作,板材厚度1.2mm。表面经酸洗、磷化防腐防锈后静电喷塑处理，喷后均匀，光洁度好，塑面经久耐用、桌面前部为高密度防火板。具有防尘钢化汽车玻璃，要求达到防水、防尘功能。 产品规格≥1100*700*960MM，底台高度≥210MM，底台与讲台紧密连接</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台</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48</w:t>
            </w:r>
          </w:p>
        </w:tc>
        <w:tc>
          <w:tcPr>
            <w:tcW w:w="823" w:type="dxa"/>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矿物矿石标本</w:t>
            </w:r>
          </w:p>
        </w:tc>
        <w:tc>
          <w:tcPr>
            <w:tcW w:w="7038" w:type="dxa"/>
            <w:noWrap w:val="0"/>
            <w:vAlign w:val="center"/>
          </w:tcPr>
          <w:p>
            <w:pPr>
              <w:widowControl/>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精装42种</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盒</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3"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49</w:t>
            </w:r>
          </w:p>
        </w:tc>
        <w:tc>
          <w:tcPr>
            <w:tcW w:w="823" w:type="dxa"/>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水土流失演示模型</w:t>
            </w:r>
          </w:p>
        </w:tc>
        <w:tc>
          <w:tcPr>
            <w:tcW w:w="7038" w:type="dxa"/>
            <w:noWrap w:val="0"/>
            <w:vAlign w:val="center"/>
          </w:tcPr>
          <w:p>
            <w:pPr>
              <w:widowControl/>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配置要求：实验箱1套；可调节承载板1块；各种实验材料若干；塑料挡板2块；收集槽1个；雨水系统1套；塑料量杯2个；电子台秤1台；实验记录及说明书一份；护目镜1个。实验要求：能够完成5种模式的地表流失实验，通过不同的实验能够看到不同的实验效果，并能够对实验进行记录和总结，能够根据实验现象和实验结果分析各种原因。实验内容：将承载板分别放入实验装置中标示的位置1-5中，观察表面的流动情况和下沟谷的水量变化。实验目的：通过实验让学生了解地表流失的严重性及怎样克服和解决地表流失的问题。</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50</w:t>
            </w:r>
          </w:p>
        </w:tc>
        <w:tc>
          <w:tcPr>
            <w:tcW w:w="823" w:type="dxa"/>
            <w:noWrap w:val="0"/>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光照强度（辐射）演示模型</w:t>
            </w:r>
          </w:p>
        </w:tc>
        <w:tc>
          <w:tcPr>
            <w:tcW w:w="7038" w:type="dxa"/>
            <w:noWrap w:val="0"/>
            <w:vAlign w:val="center"/>
          </w:tcPr>
          <w:p>
            <w:pPr>
              <w:widowControl/>
              <w:jc w:val="center"/>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配置要求：实验装置支架1套；辐射源1套；投射屏1套、数据采集系统1套，实验记录及说明书1份。护目镜1个。实验要求：1、能够完成3次不同的实验要求；2、能够对投射光源的位置等进行改变；3；能够对投射屏的位移进行读数及投射点进行调节。4、投射屏能够进行翻转。实验目的：通过实验让学生了解和掌握一些天气、气候等因素对辐射强度的影响。</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w:t>
            </w:r>
          </w:p>
        </w:tc>
        <w:tc>
          <w:tcPr>
            <w:tcW w:w="823" w:type="dxa"/>
            <w:noWrap w:val="0"/>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风海流和补偿流成因实验套装</w:t>
            </w:r>
          </w:p>
        </w:tc>
        <w:tc>
          <w:tcPr>
            <w:tcW w:w="7038" w:type="dxa"/>
            <w:noWrap w:val="0"/>
            <w:vAlign w:val="center"/>
          </w:tcPr>
          <w:p>
            <w:pPr>
              <w:widowControl/>
              <w:spacing w:after="200" w:afterLines="0"/>
              <w:textAlignment w:val="center"/>
              <w:rPr>
                <w:rFonts w:hint="eastAsia" w:ascii="仿宋" w:hAnsi="仿宋" w:eastAsia="仿宋" w:cs="仿宋"/>
                <w:kern w:val="0"/>
                <w:sz w:val="24"/>
                <w:szCs w:val="24"/>
              </w:rPr>
            </w:pPr>
            <w:r>
              <w:rPr>
                <w:rFonts w:hint="eastAsia" w:ascii="仿宋" w:hAnsi="仿宋" w:eastAsia="仿宋" w:cs="仿宋"/>
                <w:color w:val="000000"/>
                <w:kern w:val="0"/>
                <w:sz w:val="24"/>
                <w:szCs w:val="24"/>
                <w:lang w:bidi="ar"/>
              </w:rPr>
              <w:t>洋流是地理教学中重要的知识点。风海流和补偿流是实现全球水热平衡的重要形式，不仅对海洋环境，也对陆地环境产生着巨大的影响。洋流的成因是中学地理教学的重点和难点内容。本品为风海流和补偿流成因演示仪器，可直观演示风海流和补偿流两种最重要洋流的形成原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产品演示功能与配备要求：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1、能够进行全方位立体演示，同时演示4个立面的运动状态，能够在不更换任何配件的情况下重复演示。</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2、能够进行无极调速。</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3、产品采用直流12V电源供电。</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4.产品外观整洁，除电源外无其他电器外露。</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设备尺寸</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长</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400宽</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280高</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190mm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产品组件：</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1.风海流和补偿流实验箱：1个；2.塑料棒：1个；3.电源适配器：1个；4.实验指导手册：10份 ；5、产品外箱。</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9"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w:t>
            </w:r>
          </w:p>
        </w:tc>
        <w:tc>
          <w:tcPr>
            <w:tcW w:w="823" w:type="dxa"/>
            <w:noWrap w:val="0"/>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等高线绘制试验箱</w:t>
            </w:r>
          </w:p>
        </w:tc>
        <w:tc>
          <w:tcPr>
            <w:tcW w:w="7038"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rPr>
              <w:tab/>
            </w:r>
            <w:r>
              <w:rPr>
                <w:rFonts w:hint="eastAsia" w:ascii="仿宋" w:hAnsi="仿宋" w:eastAsia="仿宋" w:cs="仿宋"/>
                <w:sz w:val="24"/>
                <w:szCs w:val="24"/>
              </w:rPr>
              <w:t>产品特色</w:t>
            </w:r>
          </w:p>
          <w:p>
            <w:pPr>
              <w:rPr>
                <w:rFonts w:hint="eastAsia" w:ascii="仿宋" w:hAnsi="仿宋" w:eastAsia="仿宋" w:cs="仿宋"/>
                <w:sz w:val="24"/>
                <w:szCs w:val="24"/>
              </w:rPr>
            </w:pPr>
            <w:r>
              <w:rPr>
                <w:rFonts w:hint="eastAsia" w:ascii="仿宋" w:hAnsi="仿宋" w:eastAsia="仿宋" w:cs="仿宋"/>
                <w:sz w:val="24"/>
                <w:szCs w:val="24"/>
              </w:rPr>
              <w:t>1、带有可塑形物料若干，可发挥想象自行动手制作需要绘制等高线的山体</w:t>
            </w:r>
          </w:p>
          <w:p>
            <w:pPr>
              <w:rPr>
                <w:rFonts w:hint="eastAsia" w:ascii="仿宋" w:hAnsi="仿宋" w:eastAsia="仿宋" w:cs="仿宋"/>
                <w:sz w:val="24"/>
                <w:szCs w:val="24"/>
              </w:rPr>
            </w:pPr>
            <w:r>
              <w:rPr>
                <w:rFonts w:hint="eastAsia" w:ascii="仿宋" w:hAnsi="仿宋" w:eastAsia="仿宋" w:cs="仿宋"/>
                <w:sz w:val="24"/>
                <w:szCs w:val="24"/>
              </w:rPr>
              <w:t>2、带有可塑形物料若干，可按不同要求制作任意形式的山体</w:t>
            </w:r>
          </w:p>
          <w:p>
            <w:pPr>
              <w:rPr>
                <w:rFonts w:hint="eastAsia" w:ascii="仿宋" w:hAnsi="仿宋" w:eastAsia="仿宋" w:cs="仿宋"/>
                <w:sz w:val="24"/>
                <w:szCs w:val="24"/>
              </w:rPr>
            </w:pPr>
            <w:r>
              <w:rPr>
                <w:rFonts w:hint="eastAsia" w:ascii="仿宋" w:hAnsi="仿宋" w:eastAsia="仿宋" w:cs="仿宋"/>
                <w:sz w:val="24"/>
                <w:szCs w:val="24"/>
              </w:rPr>
              <w:t>3、全透明容器，可在各角度观察实验操作</w:t>
            </w:r>
          </w:p>
          <w:p>
            <w:pPr>
              <w:rPr>
                <w:rFonts w:hint="eastAsia" w:ascii="仿宋" w:hAnsi="仿宋" w:eastAsia="仿宋" w:cs="仿宋"/>
                <w:sz w:val="24"/>
                <w:szCs w:val="24"/>
              </w:rPr>
            </w:pPr>
            <w:r>
              <w:rPr>
                <w:rFonts w:hint="eastAsia" w:ascii="仿宋" w:hAnsi="仿宋" w:eastAsia="仿宋" w:cs="仿宋"/>
                <w:sz w:val="24"/>
                <w:szCs w:val="24"/>
              </w:rPr>
              <w:t>4、全透明容器带比例尺，可直观的显示山体高度，方便等高线的绘制</w:t>
            </w:r>
          </w:p>
          <w:p>
            <w:pPr>
              <w:rPr>
                <w:rFonts w:hint="eastAsia" w:ascii="仿宋" w:hAnsi="仿宋" w:eastAsia="仿宋" w:cs="仿宋"/>
                <w:sz w:val="24"/>
                <w:szCs w:val="24"/>
              </w:rPr>
            </w:pPr>
            <w:r>
              <w:rPr>
                <w:rFonts w:hint="eastAsia" w:ascii="仿宋" w:hAnsi="仿宋" w:eastAsia="仿宋" w:cs="仿宋"/>
                <w:sz w:val="24"/>
                <w:szCs w:val="24"/>
              </w:rPr>
              <w:t>5、配备红外激光笔进行制导，保证等高线绘制的精确度</w:t>
            </w:r>
          </w:p>
          <w:p>
            <w:pPr>
              <w:rPr>
                <w:rFonts w:hint="eastAsia" w:ascii="仿宋" w:hAnsi="仿宋" w:eastAsia="仿宋" w:cs="仿宋"/>
                <w:sz w:val="24"/>
                <w:szCs w:val="24"/>
              </w:rPr>
            </w:pPr>
            <w:r>
              <w:rPr>
                <w:rFonts w:hint="eastAsia" w:ascii="仿宋" w:hAnsi="仿宋" w:eastAsia="仿宋" w:cs="仿宋"/>
                <w:sz w:val="24"/>
                <w:szCs w:val="24"/>
              </w:rPr>
              <w:t>二、教学意义</w:t>
            </w:r>
          </w:p>
          <w:p>
            <w:pPr>
              <w:rPr>
                <w:rFonts w:hint="eastAsia" w:ascii="仿宋" w:hAnsi="仿宋" w:eastAsia="仿宋" w:cs="仿宋"/>
                <w:sz w:val="24"/>
                <w:szCs w:val="24"/>
              </w:rPr>
            </w:pPr>
            <w:r>
              <w:rPr>
                <w:rFonts w:hint="eastAsia" w:ascii="仿宋" w:hAnsi="仿宋" w:eastAsia="仿宋" w:cs="仿宋"/>
                <w:sz w:val="24"/>
                <w:szCs w:val="24"/>
              </w:rPr>
              <w:t>1、等高线指的是地形图上高程相等的相邻各点所连成的闭合曲线。</w:t>
            </w:r>
          </w:p>
          <w:p>
            <w:pPr>
              <w:rPr>
                <w:rFonts w:hint="eastAsia" w:ascii="仿宋" w:hAnsi="仿宋" w:eastAsia="仿宋" w:cs="仿宋"/>
                <w:sz w:val="24"/>
                <w:szCs w:val="24"/>
              </w:rPr>
            </w:pPr>
            <w:r>
              <w:rPr>
                <w:rFonts w:hint="eastAsia" w:ascii="仿宋" w:hAnsi="仿宋" w:eastAsia="仿宋" w:cs="仿宋"/>
                <w:sz w:val="24"/>
                <w:szCs w:val="24"/>
              </w:rPr>
              <w:t>2、在等高线地形图上，根据等高线不同的弯曲形态，可以判读出地表形态的一般状况。</w:t>
            </w:r>
          </w:p>
          <w:p>
            <w:pPr>
              <w:rPr>
                <w:rFonts w:hint="eastAsia" w:ascii="仿宋" w:hAnsi="仿宋" w:eastAsia="仿宋" w:cs="仿宋"/>
                <w:sz w:val="24"/>
                <w:szCs w:val="24"/>
              </w:rPr>
            </w:pPr>
            <w:r>
              <w:rPr>
                <w:rFonts w:hint="eastAsia" w:ascii="仿宋" w:hAnsi="仿宋" w:eastAsia="仿宋" w:cs="仿宋"/>
                <w:sz w:val="24"/>
                <w:szCs w:val="24"/>
              </w:rPr>
              <w:t>3、通过绘制模拟山体等高线，了解等高线地形图、分层设色地形图构成和特点。</w:t>
            </w:r>
          </w:p>
          <w:p>
            <w:pPr>
              <w:rPr>
                <w:rFonts w:hint="eastAsia" w:ascii="仿宋" w:hAnsi="仿宋" w:eastAsia="仿宋" w:cs="仿宋"/>
                <w:sz w:val="24"/>
                <w:szCs w:val="24"/>
              </w:rPr>
            </w:pPr>
            <w:r>
              <w:rPr>
                <w:rFonts w:hint="eastAsia" w:ascii="仿宋" w:hAnsi="仿宋" w:eastAsia="仿宋" w:cs="仿宋"/>
                <w:sz w:val="24"/>
                <w:szCs w:val="24"/>
              </w:rPr>
              <w:t>4、使学生学习利用实践操作来了解地理知识。</w:t>
            </w:r>
          </w:p>
          <w:p>
            <w:pPr>
              <w:rPr>
                <w:rFonts w:hint="eastAsia" w:ascii="仿宋" w:hAnsi="仿宋" w:eastAsia="仿宋" w:cs="仿宋"/>
                <w:sz w:val="24"/>
                <w:szCs w:val="24"/>
              </w:rPr>
            </w:pPr>
            <w:r>
              <w:rPr>
                <w:rFonts w:hint="eastAsia" w:ascii="仿宋" w:hAnsi="仿宋" w:eastAsia="仿宋" w:cs="仿宋"/>
                <w:sz w:val="24"/>
                <w:szCs w:val="24"/>
              </w:rPr>
              <w:t>6、使学生认识到等值线系统的重要性。</w:t>
            </w:r>
          </w:p>
          <w:p>
            <w:pPr>
              <w:rPr>
                <w:rFonts w:hint="eastAsia" w:ascii="仿宋" w:hAnsi="仿宋" w:eastAsia="仿宋" w:cs="仿宋"/>
                <w:sz w:val="24"/>
                <w:szCs w:val="24"/>
              </w:rPr>
            </w:pPr>
            <w:r>
              <w:rPr>
                <w:rFonts w:hint="eastAsia" w:ascii="仿宋" w:hAnsi="仿宋" w:eastAsia="仿宋" w:cs="仿宋"/>
                <w:sz w:val="24"/>
                <w:szCs w:val="24"/>
              </w:rPr>
              <w:t>三、产品硬件参数</w:t>
            </w:r>
          </w:p>
          <w:p>
            <w:pPr>
              <w:rPr>
                <w:rFonts w:hint="eastAsia" w:ascii="仿宋" w:hAnsi="仿宋" w:eastAsia="仿宋" w:cs="仿宋"/>
                <w:sz w:val="24"/>
                <w:szCs w:val="24"/>
              </w:rPr>
            </w:pPr>
            <w:r>
              <w:rPr>
                <w:rFonts w:hint="eastAsia" w:ascii="仿宋" w:hAnsi="仿宋" w:eastAsia="仿宋" w:cs="仿宋"/>
                <w:sz w:val="24"/>
                <w:szCs w:val="24"/>
              </w:rPr>
              <w:t>产品构成：1、亚克力盒 2、可塑形陶泥 3、红外激光笔 4、记号笔 5、幻灯片</w:t>
            </w:r>
          </w:p>
          <w:p>
            <w:pPr>
              <w:rPr>
                <w:rFonts w:hint="eastAsia" w:ascii="仿宋" w:hAnsi="仿宋" w:eastAsia="仿宋" w:cs="仿宋"/>
                <w:sz w:val="24"/>
                <w:szCs w:val="24"/>
              </w:rPr>
            </w:pPr>
            <w:r>
              <w:rPr>
                <w:rFonts w:hint="eastAsia" w:ascii="仿宋" w:hAnsi="仿宋" w:eastAsia="仿宋" w:cs="仿宋"/>
                <w:sz w:val="24"/>
                <w:szCs w:val="24"/>
              </w:rPr>
              <w:t>亚克力盒:主要实验容器全透明亚克力盒，尺寸</w:t>
            </w:r>
            <w:r>
              <w:rPr>
                <w:rFonts w:hint="eastAsia" w:ascii="仿宋" w:hAnsi="仿宋" w:eastAsia="仿宋" w:cs="仿宋"/>
                <w:sz w:val="24"/>
                <w:szCs w:val="24"/>
                <w:lang w:eastAsia="zh-CN"/>
              </w:rPr>
              <w:t>不小于</w:t>
            </w:r>
            <w:r>
              <w:rPr>
                <w:rFonts w:hint="eastAsia" w:ascii="仿宋" w:hAnsi="仿宋" w:eastAsia="仿宋" w:cs="仿宋"/>
                <w:sz w:val="24"/>
                <w:szCs w:val="24"/>
              </w:rPr>
              <w:t>30cm*20cm*10cm，侧边带有刻度，可观察液面高度，顶部带有盖子，可放置绘制用幻灯片</w:t>
            </w:r>
          </w:p>
          <w:p>
            <w:pPr>
              <w:rPr>
                <w:rFonts w:hint="eastAsia" w:ascii="仿宋" w:hAnsi="仿宋" w:eastAsia="仿宋" w:cs="仿宋"/>
                <w:sz w:val="24"/>
                <w:szCs w:val="24"/>
              </w:rPr>
            </w:pPr>
            <w:r>
              <w:rPr>
                <w:rFonts w:hint="eastAsia" w:ascii="仿宋" w:hAnsi="仿宋" w:eastAsia="仿宋" w:cs="仿宋"/>
                <w:sz w:val="24"/>
                <w:szCs w:val="24"/>
              </w:rPr>
              <w:t>可塑形陶泥：模拟山体构成采用可塑性较强的陶泥，可塑性强、无毒无害，且可以重复使用，降低试验难度和成本</w:t>
            </w:r>
          </w:p>
          <w:p>
            <w:pPr>
              <w:rPr>
                <w:rFonts w:hint="eastAsia" w:ascii="仿宋" w:hAnsi="仿宋" w:eastAsia="仿宋" w:cs="仿宋"/>
                <w:sz w:val="24"/>
                <w:szCs w:val="24"/>
              </w:rPr>
            </w:pPr>
            <w:r>
              <w:rPr>
                <w:rFonts w:hint="eastAsia" w:ascii="仿宋" w:hAnsi="仿宋" w:eastAsia="仿宋" w:cs="仿宋"/>
                <w:sz w:val="24"/>
                <w:szCs w:val="24"/>
              </w:rPr>
              <w:t>红外激光笔：教学用红外激光笔，可以精确指向山体模型的各点，保证绘制等高线时的精确度</w:t>
            </w:r>
          </w:p>
          <w:p>
            <w:pPr>
              <w:rPr>
                <w:rFonts w:hint="eastAsia" w:ascii="仿宋" w:hAnsi="仿宋" w:eastAsia="仿宋" w:cs="仿宋"/>
                <w:sz w:val="24"/>
                <w:szCs w:val="24"/>
              </w:rPr>
            </w:pPr>
            <w:r>
              <w:rPr>
                <w:rFonts w:hint="eastAsia" w:ascii="仿宋" w:hAnsi="仿宋" w:eastAsia="仿宋" w:cs="仿宋"/>
                <w:sz w:val="24"/>
                <w:szCs w:val="24"/>
              </w:rPr>
              <w:t>记号笔：用于绘制等高线，书写流畅，笔迹清晰</w:t>
            </w:r>
          </w:p>
          <w:p>
            <w:pPr>
              <w:rPr>
                <w:rFonts w:hint="eastAsia" w:ascii="仿宋" w:hAnsi="仿宋" w:eastAsia="仿宋" w:cs="仿宋"/>
                <w:kern w:val="0"/>
                <w:sz w:val="24"/>
                <w:szCs w:val="24"/>
              </w:rPr>
            </w:pPr>
            <w:r>
              <w:rPr>
                <w:rFonts w:hint="eastAsia" w:ascii="仿宋" w:hAnsi="仿宋" w:eastAsia="仿宋" w:cs="仿宋"/>
                <w:sz w:val="24"/>
                <w:szCs w:val="24"/>
              </w:rPr>
              <w:t>幻灯片：用于绘制等高线，平整光滑，透明度高，适合记号笔书写</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53</w:t>
            </w:r>
          </w:p>
        </w:tc>
        <w:tc>
          <w:tcPr>
            <w:tcW w:w="823" w:type="dxa"/>
            <w:noWrap w:val="0"/>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探究锋面试验箱</w:t>
            </w:r>
          </w:p>
        </w:tc>
        <w:tc>
          <w:tcPr>
            <w:tcW w:w="7038"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rPr>
              <w:tab/>
            </w:r>
            <w:r>
              <w:rPr>
                <w:rFonts w:hint="eastAsia" w:ascii="仿宋" w:hAnsi="仿宋" w:eastAsia="仿宋" w:cs="仿宋"/>
                <w:sz w:val="24"/>
                <w:szCs w:val="24"/>
              </w:rPr>
              <w:t>产品特色</w:t>
            </w:r>
          </w:p>
          <w:p>
            <w:pPr>
              <w:rPr>
                <w:rFonts w:hint="eastAsia" w:ascii="仿宋" w:hAnsi="仿宋" w:eastAsia="仿宋" w:cs="仿宋"/>
                <w:sz w:val="24"/>
                <w:szCs w:val="24"/>
              </w:rPr>
            </w:pPr>
            <w:r>
              <w:rPr>
                <w:rFonts w:hint="eastAsia" w:ascii="仿宋" w:hAnsi="仿宋" w:eastAsia="仿宋" w:cs="仿宋"/>
                <w:sz w:val="24"/>
                <w:szCs w:val="24"/>
              </w:rPr>
              <w:t>1、全透明容器，可在各角度观察实验操作</w:t>
            </w:r>
          </w:p>
          <w:p>
            <w:pPr>
              <w:rPr>
                <w:rFonts w:hint="eastAsia" w:ascii="仿宋" w:hAnsi="仿宋" w:eastAsia="仿宋" w:cs="仿宋"/>
                <w:sz w:val="24"/>
                <w:szCs w:val="24"/>
              </w:rPr>
            </w:pPr>
            <w:r>
              <w:rPr>
                <w:rFonts w:hint="eastAsia" w:ascii="仿宋" w:hAnsi="仿宋" w:eastAsia="仿宋" w:cs="仿宋"/>
                <w:sz w:val="24"/>
                <w:szCs w:val="24"/>
              </w:rPr>
              <w:t>2、全透明容易带斜向隔板，保证实验结果的准确性</w:t>
            </w:r>
          </w:p>
          <w:p>
            <w:pPr>
              <w:rPr>
                <w:rFonts w:hint="eastAsia" w:ascii="仿宋" w:hAnsi="仿宋" w:eastAsia="仿宋" w:cs="仿宋"/>
                <w:sz w:val="24"/>
                <w:szCs w:val="24"/>
              </w:rPr>
            </w:pPr>
            <w:r>
              <w:rPr>
                <w:rFonts w:hint="eastAsia" w:ascii="仿宋" w:hAnsi="仿宋" w:eastAsia="仿宋" w:cs="仿宋"/>
                <w:sz w:val="24"/>
                <w:szCs w:val="24"/>
              </w:rPr>
              <w:t>3、配备溶液密度调节的相关材料，保证实验效果明显</w:t>
            </w:r>
          </w:p>
          <w:p>
            <w:pPr>
              <w:rPr>
                <w:rFonts w:hint="eastAsia" w:ascii="仿宋" w:hAnsi="仿宋" w:eastAsia="仿宋" w:cs="仿宋"/>
                <w:sz w:val="24"/>
                <w:szCs w:val="24"/>
              </w:rPr>
            </w:pPr>
            <w:r>
              <w:rPr>
                <w:rFonts w:hint="eastAsia" w:ascii="仿宋" w:hAnsi="仿宋" w:eastAsia="仿宋" w:cs="仿宋"/>
                <w:sz w:val="24"/>
                <w:szCs w:val="24"/>
              </w:rPr>
              <w:t>4、配备红蓝对比食用色素，保证实验对比的区分度</w:t>
            </w:r>
          </w:p>
          <w:p>
            <w:pPr>
              <w:rPr>
                <w:rFonts w:hint="eastAsia" w:ascii="仿宋" w:hAnsi="仿宋" w:eastAsia="仿宋" w:cs="仿宋"/>
                <w:sz w:val="24"/>
                <w:szCs w:val="24"/>
              </w:rPr>
            </w:pPr>
            <w:r>
              <w:rPr>
                <w:rFonts w:hint="eastAsia" w:ascii="仿宋" w:hAnsi="仿宋" w:eastAsia="仿宋" w:cs="仿宋"/>
                <w:sz w:val="24"/>
                <w:szCs w:val="24"/>
              </w:rPr>
              <w:t>二、教学意义</w:t>
            </w:r>
          </w:p>
          <w:p>
            <w:pPr>
              <w:rPr>
                <w:rFonts w:hint="eastAsia" w:ascii="仿宋" w:hAnsi="仿宋" w:eastAsia="仿宋" w:cs="仿宋"/>
                <w:sz w:val="24"/>
                <w:szCs w:val="24"/>
              </w:rPr>
            </w:pPr>
            <w:r>
              <w:rPr>
                <w:rFonts w:hint="eastAsia" w:ascii="仿宋" w:hAnsi="仿宋" w:eastAsia="仿宋" w:cs="仿宋"/>
                <w:sz w:val="24"/>
                <w:szCs w:val="24"/>
              </w:rPr>
              <w:t>1、了解气团和锋面的概念和类型，掌握锋面特征和锋面移动对天气的影响。</w:t>
            </w:r>
          </w:p>
          <w:p>
            <w:pPr>
              <w:rPr>
                <w:rFonts w:hint="eastAsia" w:ascii="仿宋" w:hAnsi="仿宋" w:eastAsia="仿宋" w:cs="仿宋"/>
                <w:sz w:val="24"/>
                <w:szCs w:val="24"/>
              </w:rPr>
            </w:pPr>
            <w:r>
              <w:rPr>
                <w:rFonts w:hint="eastAsia" w:ascii="仿宋" w:hAnsi="仿宋" w:eastAsia="仿宋" w:cs="仿宋"/>
                <w:sz w:val="24"/>
                <w:szCs w:val="24"/>
              </w:rPr>
              <w:t>2、通过探究锋面实验，培养学生空间想象能力和分析地理问题能力。</w:t>
            </w:r>
          </w:p>
          <w:p>
            <w:pPr>
              <w:rPr>
                <w:rFonts w:hint="eastAsia" w:ascii="仿宋" w:hAnsi="仿宋" w:eastAsia="仿宋" w:cs="仿宋"/>
                <w:sz w:val="24"/>
                <w:szCs w:val="24"/>
              </w:rPr>
            </w:pPr>
            <w:r>
              <w:rPr>
                <w:rFonts w:hint="eastAsia" w:ascii="仿宋" w:hAnsi="仿宋" w:eastAsia="仿宋" w:cs="仿宋"/>
                <w:sz w:val="24"/>
                <w:szCs w:val="24"/>
              </w:rPr>
              <w:t>3、通过锋面系统的分析，学会分析现实生活中与锋面有关的天气变化。</w:t>
            </w:r>
          </w:p>
          <w:p>
            <w:pPr>
              <w:rPr>
                <w:rFonts w:hint="eastAsia" w:ascii="仿宋" w:hAnsi="仿宋" w:eastAsia="仿宋" w:cs="仿宋"/>
                <w:sz w:val="24"/>
                <w:szCs w:val="24"/>
              </w:rPr>
            </w:pPr>
            <w:r>
              <w:rPr>
                <w:rFonts w:hint="eastAsia" w:ascii="仿宋" w:hAnsi="仿宋" w:eastAsia="仿宋" w:cs="仿宋"/>
                <w:sz w:val="24"/>
                <w:szCs w:val="24"/>
              </w:rPr>
              <w:t>4、使学生学习利用实践操作来了解地理知识。</w:t>
            </w:r>
          </w:p>
          <w:p>
            <w:pPr>
              <w:rPr>
                <w:rFonts w:hint="eastAsia" w:ascii="仿宋" w:hAnsi="仿宋" w:eastAsia="仿宋" w:cs="仿宋"/>
                <w:sz w:val="24"/>
                <w:szCs w:val="24"/>
              </w:rPr>
            </w:pPr>
            <w:r>
              <w:rPr>
                <w:rFonts w:hint="eastAsia" w:ascii="仿宋" w:hAnsi="仿宋" w:eastAsia="仿宋" w:cs="仿宋"/>
                <w:sz w:val="24"/>
                <w:szCs w:val="24"/>
              </w:rPr>
              <w:t>6、使学生认识到锋面系统的变化性。</w:t>
            </w:r>
          </w:p>
          <w:p>
            <w:pPr>
              <w:rPr>
                <w:rFonts w:hint="eastAsia" w:ascii="仿宋" w:hAnsi="仿宋" w:eastAsia="仿宋" w:cs="仿宋"/>
                <w:sz w:val="24"/>
                <w:szCs w:val="24"/>
              </w:rPr>
            </w:pPr>
            <w:r>
              <w:rPr>
                <w:rFonts w:hint="eastAsia" w:ascii="仿宋" w:hAnsi="仿宋" w:eastAsia="仿宋" w:cs="仿宋"/>
                <w:sz w:val="24"/>
                <w:szCs w:val="24"/>
              </w:rPr>
              <w:t>三、产品硬件参数</w:t>
            </w:r>
          </w:p>
          <w:p>
            <w:pPr>
              <w:rPr>
                <w:rFonts w:hint="eastAsia" w:ascii="仿宋" w:hAnsi="仿宋" w:eastAsia="仿宋" w:cs="仿宋"/>
                <w:sz w:val="24"/>
                <w:szCs w:val="24"/>
              </w:rPr>
            </w:pPr>
            <w:r>
              <w:rPr>
                <w:rFonts w:hint="eastAsia" w:ascii="仿宋" w:hAnsi="仿宋" w:eastAsia="仿宋" w:cs="仿宋"/>
                <w:sz w:val="24"/>
                <w:szCs w:val="24"/>
              </w:rPr>
              <w:t>产品构成：1、亚克力盒 2、红蓝食用色素 3、食盐</w:t>
            </w:r>
          </w:p>
          <w:p>
            <w:pPr>
              <w:rPr>
                <w:rFonts w:hint="eastAsia" w:ascii="仿宋" w:hAnsi="仿宋" w:eastAsia="仿宋" w:cs="仿宋"/>
                <w:sz w:val="24"/>
                <w:szCs w:val="24"/>
              </w:rPr>
            </w:pPr>
            <w:r>
              <w:rPr>
                <w:rFonts w:hint="eastAsia" w:ascii="仿宋" w:hAnsi="仿宋" w:eastAsia="仿宋" w:cs="仿宋"/>
                <w:sz w:val="24"/>
                <w:szCs w:val="24"/>
              </w:rPr>
              <w:t>亚克力盒:主要实验容器全透明亚克力盒，尺寸</w:t>
            </w:r>
            <w:r>
              <w:rPr>
                <w:rFonts w:hint="eastAsia" w:ascii="仿宋" w:hAnsi="仿宋" w:eastAsia="仿宋" w:cs="仿宋"/>
                <w:sz w:val="24"/>
                <w:szCs w:val="24"/>
                <w:lang w:eastAsia="zh-CN"/>
              </w:rPr>
              <w:t>不小于</w:t>
            </w:r>
            <w:r>
              <w:rPr>
                <w:rFonts w:hint="eastAsia" w:ascii="仿宋" w:hAnsi="仿宋" w:eastAsia="仿宋" w:cs="仿宋"/>
                <w:sz w:val="24"/>
                <w:szCs w:val="24"/>
              </w:rPr>
              <w:t>30cm*10cm*10±1cm，中间带有斜向隔板，可对两侧液面进行分隔</w:t>
            </w:r>
          </w:p>
          <w:p>
            <w:pPr>
              <w:rPr>
                <w:rFonts w:hint="eastAsia" w:ascii="仿宋" w:hAnsi="仿宋" w:eastAsia="仿宋" w:cs="仿宋"/>
                <w:sz w:val="24"/>
                <w:szCs w:val="24"/>
              </w:rPr>
            </w:pPr>
            <w:r>
              <w:rPr>
                <w:rFonts w:hint="eastAsia" w:ascii="仿宋" w:hAnsi="仿宋" w:eastAsia="仿宋" w:cs="仿宋"/>
                <w:sz w:val="24"/>
                <w:szCs w:val="24"/>
              </w:rPr>
              <w:t>红蓝食用色素：分别加入两侧液体中，使实验效果更加明显</w:t>
            </w:r>
          </w:p>
          <w:p>
            <w:pPr>
              <w:rPr>
                <w:rFonts w:hint="eastAsia" w:ascii="仿宋" w:hAnsi="仿宋" w:eastAsia="仿宋" w:cs="仿宋"/>
                <w:kern w:val="0"/>
                <w:sz w:val="24"/>
                <w:szCs w:val="24"/>
              </w:rPr>
            </w:pPr>
            <w:r>
              <w:rPr>
                <w:rFonts w:hint="eastAsia" w:ascii="仿宋" w:hAnsi="仿宋" w:eastAsia="仿宋" w:cs="仿宋"/>
                <w:sz w:val="24"/>
                <w:szCs w:val="24"/>
              </w:rPr>
              <w:t>食盐：加入加有蓝色食用色素一侧的液体中，保证实验效果的准确性</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54</w:t>
            </w:r>
          </w:p>
        </w:tc>
        <w:tc>
          <w:tcPr>
            <w:tcW w:w="823" w:type="dxa"/>
            <w:noWrap w:val="0"/>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探究热力环流试验箱</w:t>
            </w:r>
          </w:p>
        </w:tc>
        <w:tc>
          <w:tcPr>
            <w:tcW w:w="7038"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rPr>
              <w:tab/>
            </w:r>
            <w:r>
              <w:rPr>
                <w:rFonts w:hint="eastAsia" w:ascii="仿宋" w:hAnsi="仿宋" w:eastAsia="仿宋" w:cs="仿宋"/>
                <w:sz w:val="24"/>
                <w:szCs w:val="24"/>
              </w:rPr>
              <w:t>产品特色</w:t>
            </w:r>
          </w:p>
          <w:p>
            <w:pPr>
              <w:rPr>
                <w:rFonts w:hint="eastAsia" w:ascii="仿宋" w:hAnsi="仿宋" w:eastAsia="仿宋" w:cs="仿宋"/>
                <w:sz w:val="24"/>
                <w:szCs w:val="24"/>
              </w:rPr>
            </w:pPr>
            <w:r>
              <w:rPr>
                <w:rFonts w:hint="eastAsia" w:ascii="仿宋" w:hAnsi="仿宋" w:eastAsia="仿宋" w:cs="仿宋"/>
                <w:sz w:val="24"/>
                <w:szCs w:val="24"/>
              </w:rPr>
              <w:t>1、全定制U型玻璃管，根据实验定制，确保实验结果正确，实验效果准确。</w:t>
            </w:r>
          </w:p>
          <w:p>
            <w:pPr>
              <w:rPr>
                <w:rFonts w:hint="eastAsia" w:ascii="仿宋" w:hAnsi="仿宋" w:eastAsia="仿宋" w:cs="仿宋"/>
                <w:sz w:val="24"/>
                <w:szCs w:val="24"/>
              </w:rPr>
            </w:pPr>
            <w:r>
              <w:rPr>
                <w:rFonts w:hint="eastAsia" w:ascii="仿宋" w:hAnsi="仿宋" w:eastAsia="仿宋" w:cs="仿宋"/>
                <w:sz w:val="24"/>
                <w:szCs w:val="24"/>
              </w:rPr>
              <w:t>2、定制铁架台，完全符合试验高度要求，提高实验可控度</w:t>
            </w:r>
          </w:p>
          <w:p>
            <w:pPr>
              <w:rPr>
                <w:rFonts w:hint="eastAsia" w:ascii="仿宋" w:hAnsi="仿宋" w:eastAsia="仿宋" w:cs="仿宋"/>
                <w:sz w:val="24"/>
                <w:szCs w:val="24"/>
              </w:rPr>
            </w:pPr>
            <w:r>
              <w:rPr>
                <w:rFonts w:hint="eastAsia" w:ascii="仿宋" w:hAnsi="仿宋" w:eastAsia="仿宋" w:cs="仿宋"/>
                <w:sz w:val="24"/>
                <w:szCs w:val="24"/>
              </w:rPr>
              <w:t>3、全透明容器，可在各角度观察实验操作</w:t>
            </w:r>
          </w:p>
          <w:p>
            <w:pPr>
              <w:rPr>
                <w:rFonts w:hint="eastAsia" w:ascii="仿宋" w:hAnsi="仿宋" w:eastAsia="仿宋" w:cs="仿宋"/>
                <w:sz w:val="24"/>
                <w:szCs w:val="24"/>
              </w:rPr>
            </w:pPr>
            <w:r>
              <w:rPr>
                <w:rFonts w:hint="eastAsia" w:ascii="仿宋" w:hAnsi="仿宋" w:eastAsia="仿宋" w:cs="仿宋"/>
                <w:sz w:val="24"/>
                <w:szCs w:val="24"/>
              </w:rPr>
              <w:t>4、分离式安全酒精灯，保证存储及操作时的安全性</w:t>
            </w:r>
          </w:p>
          <w:p>
            <w:pPr>
              <w:rPr>
                <w:rFonts w:hint="eastAsia" w:ascii="仿宋" w:hAnsi="仿宋" w:eastAsia="仿宋" w:cs="仿宋"/>
                <w:sz w:val="24"/>
                <w:szCs w:val="24"/>
              </w:rPr>
            </w:pPr>
            <w:r>
              <w:rPr>
                <w:rFonts w:hint="eastAsia" w:ascii="仿宋" w:hAnsi="仿宋" w:eastAsia="仿宋" w:cs="仿宋"/>
                <w:sz w:val="24"/>
                <w:szCs w:val="24"/>
              </w:rPr>
              <w:t>5、安全食用色素，在保证实验效果的同时确保实验的安全性</w:t>
            </w:r>
          </w:p>
          <w:p>
            <w:pPr>
              <w:rPr>
                <w:rFonts w:hint="eastAsia" w:ascii="仿宋" w:hAnsi="仿宋" w:eastAsia="仿宋" w:cs="仿宋"/>
                <w:sz w:val="24"/>
                <w:szCs w:val="24"/>
              </w:rPr>
            </w:pPr>
            <w:r>
              <w:rPr>
                <w:rFonts w:hint="eastAsia" w:ascii="仿宋" w:hAnsi="仿宋" w:eastAsia="仿宋" w:cs="仿宋"/>
                <w:sz w:val="24"/>
                <w:szCs w:val="24"/>
              </w:rPr>
              <w:t>二、教学意义</w:t>
            </w:r>
          </w:p>
          <w:p>
            <w:pPr>
              <w:rPr>
                <w:rFonts w:hint="eastAsia" w:ascii="仿宋" w:hAnsi="仿宋" w:eastAsia="仿宋" w:cs="仿宋"/>
                <w:sz w:val="24"/>
                <w:szCs w:val="24"/>
              </w:rPr>
            </w:pPr>
            <w:r>
              <w:rPr>
                <w:rFonts w:hint="eastAsia" w:ascii="仿宋" w:hAnsi="仿宋" w:eastAsia="仿宋" w:cs="仿宋"/>
                <w:sz w:val="24"/>
                <w:szCs w:val="24"/>
              </w:rPr>
              <w:t>1、让学生理解热力环流的形成原因，了解热力环流的形成过程。</w:t>
            </w:r>
          </w:p>
          <w:p>
            <w:pPr>
              <w:rPr>
                <w:rFonts w:hint="eastAsia" w:ascii="仿宋" w:hAnsi="仿宋" w:eastAsia="仿宋" w:cs="仿宋"/>
                <w:sz w:val="24"/>
                <w:szCs w:val="24"/>
              </w:rPr>
            </w:pPr>
            <w:r>
              <w:rPr>
                <w:rFonts w:hint="eastAsia" w:ascii="仿宋" w:hAnsi="仿宋" w:eastAsia="仿宋" w:cs="仿宋"/>
                <w:sz w:val="24"/>
                <w:szCs w:val="24"/>
              </w:rPr>
              <w:t>2、通过热力环流实验培养学生从学习中和生活中提出问题、发现问题的能力，理论联系实际，解决实际问题的能力。</w:t>
            </w:r>
          </w:p>
          <w:p>
            <w:pPr>
              <w:rPr>
                <w:rFonts w:hint="eastAsia" w:ascii="仿宋" w:hAnsi="仿宋" w:eastAsia="仿宋" w:cs="仿宋"/>
                <w:sz w:val="24"/>
                <w:szCs w:val="24"/>
              </w:rPr>
            </w:pPr>
            <w:r>
              <w:rPr>
                <w:rFonts w:hint="eastAsia" w:ascii="仿宋" w:hAnsi="仿宋" w:eastAsia="仿宋" w:cs="仿宋"/>
                <w:sz w:val="24"/>
                <w:szCs w:val="24"/>
              </w:rPr>
              <w:t>3、让学生了解热力环流在现实生活中存在较为广泛，例如山谷风、海陆风、城市风等都是热力环流的具体体现。</w:t>
            </w:r>
          </w:p>
          <w:p>
            <w:pPr>
              <w:rPr>
                <w:rFonts w:hint="eastAsia" w:ascii="仿宋" w:hAnsi="仿宋" w:eastAsia="仿宋" w:cs="仿宋"/>
                <w:sz w:val="24"/>
                <w:szCs w:val="24"/>
              </w:rPr>
            </w:pPr>
            <w:r>
              <w:rPr>
                <w:rFonts w:hint="eastAsia" w:ascii="仿宋" w:hAnsi="仿宋" w:eastAsia="仿宋" w:cs="仿宋"/>
                <w:sz w:val="24"/>
                <w:szCs w:val="24"/>
              </w:rPr>
              <w:t>4、使学生学习利用实践操作来了解地理知识。</w:t>
            </w:r>
          </w:p>
          <w:p>
            <w:pPr>
              <w:rPr>
                <w:rFonts w:hint="eastAsia" w:ascii="仿宋" w:hAnsi="仿宋" w:eastAsia="仿宋" w:cs="仿宋"/>
                <w:sz w:val="24"/>
                <w:szCs w:val="24"/>
              </w:rPr>
            </w:pPr>
            <w:r>
              <w:rPr>
                <w:rFonts w:hint="eastAsia" w:ascii="仿宋" w:hAnsi="仿宋" w:eastAsia="仿宋" w:cs="仿宋"/>
                <w:sz w:val="24"/>
                <w:szCs w:val="24"/>
              </w:rPr>
              <w:t>6、使学生认识到热力环流系统的重要性。</w:t>
            </w:r>
          </w:p>
          <w:p>
            <w:pPr>
              <w:rPr>
                <w:rFonts w:hint="eastAsia" w:ascii="仿宋" w:hAnsi="仿宋" w:eastAsia="仿宋" w:cs="仿宋"/>
                <w:sz w:val="24"/>
                <w:szCs w:val="24"/>
              </w:rPr>
            </w:pPr>
            <w:r>
              <w:rPr>
                <w:rFonts w:hint="eastAsia" w:ascii="仿宋" w:hAnsi="仿宋" w:eastAsia="仿宋" w:cs="仿宋"/>
                <w:sz w:val="24"/>
                <w:szCs w:val="24"/>
              </w:rPr>
              <w:t>三、产品硬件参数</w:t>
            </w:r>
          </w:p>
          <w:p>
            <w:pPr>
              <w:rPr>
                <w:rFonts w:hint="eastAsia" w:ascii="仿宋" w:hAnsi="仿宋" w:eastAsia="仿宋" w:cs="仿宋"/>
                <w:sz w:val="24"/>
                <w:szCs w:val="24"/>
              </w:rPr>
            </w:pPr>
            <w:r>
              <w:rPr>
                <w:rFonts w:hint="eastAsia" w:ascii="仿宋" w:hAnsi="仿宋" w:eastAsia="仿宋" w:cs="仿宋"/>
                <w:sz w:val="24"/>
                <w:szCs w:val="24"/>
              </w:rPr>
              <w:t>产品构成：1、U形玻璃管 2、铁架台 3、安全酒精灯 4、红蓝食用色素</w:t>
            </w:r>
          </w:p>
          <w:p>
            <w:pPr>
              <w:rPr>
                <w:rFonts w:hint="eastAsia" w:ascii="仿宋" w:hAnsi="仿宋" w:eastAsia="仿宋" w:cs="仿宋"/>
                <w:sz w:val="24"/>
                <w:szCs w:val="24"/>
              </w:rPr>
            </w:pPr>
            <w:r>
              <w:rPr>
                <w:rFonts w:hint="eastAsia" w:ascii="仿宋" w:hAnsi="仿宋" w:eastAsia="仿宋" w:cs="仿宋"/>
                <w:sz w:val="24"/>
                <w:szCs w:val="24"/>
              </w:rPr>
              <w:t>U形玻璃管:主要实验容器U型玻璃管，此玻璃罐为根据实验需求完全定制，专为此实验设计，因此拥有更好的实验效果及实验准确性</w:t>
            </w:r>
          </w:p>
          <w:p>
            <w:pPr>
              <w:rPr>
                <w:rFonts w:hint="eastAsia" w:ascii="仿宋" w:hAnsi="仿宋" w:eastAsia="仿宋" w:cs="仿宋"/>
                <w:sz w:val="24"/>
                <w:szCs w:val="24"/>
              </w:rPr>
            </w:pPr>
            <w:r>
              <w:rPr>
                <w:rFonts w:hint="eastAsia" w:ascii="仿宋" w:hAnsi="仿宋" w:eastAsia="仿宋" w:cs="仿宋"/>
                <w:sz w:val="24"/>
                <w:szCs w:val="24"/>
              </w:rPr>
              <w:t>铁架台：铁架台为部分定制，高度完全根据实验定制，确保收纳方便，以及实验效果的可控</w:t>
            </w:r>
          </w:p>
          <w:p>
            <w:pPr>
              <w:rPr>
                <w:rFonts w:hint="eastAsia" w:ascii="仿宋" w:hAnsi="仿宋" w:eastAsia="仿宋" w:cs="仿宋"/>
                <w:sz w:val="24"/>
                <w:szCs w:val="24"/>
              </w:rPr>
            </w:pPr>
            <w:r>
              <w:rPr>
                <w:rFonts w:hint="eastAsia" w:ascii="仿宋" w:hAnsi="仿宋" w:eastAsia="仿宋" w:cs="仿宋"/>
                <w:sz w:val="24"/>
                <w:szCs w:val="24"/>
              </w:rPr>
              <w:t>安全酒精灯：未使用市为酒精与灯体分离，保证存储的安全性，使用时燃烧稳定挥发少，使用时间长</w:t>
            </w:r>
          </w:p>
          <w:p>
            <w:pPr>
              <w:rPr>
                <w:rFonts w:hint="eastAsia" w:ascii="仿宋" w:hAnsi="仿宋" w:eastAsia="仿宋" w:cs="仿宋"/>
                <w:kern w:val="0"/>
                <w:sz w:val="24"/>
                <w:szCs w:val="24"/>
              </w:rPr>
            </w:pPr>
            <w:r>
              <w:rPr>
                <w:rFonts w:hint="eastAsia" w:ascii="仿宋" w:hAnsi="仿宋" w:eastAsia="仿宋" w:cs="仿宋"/>
                <w:sz w:val="24"/>
                <w:szCs w:val="24"/>
              </w:rPr>
              <w:t>红蓝食用色素：安全食用色素，最大限度体现实验效果</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55</w:t>
            </w:r>
          </w:p>
        </w:tc>
        <w:tc>
          <w:tcPr>
            <w:tcW w:w="823" w:type="dxa"/>
            <w:noWrap w:val="0"/>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温室气体验证试验箱</w:t>
            </w:r>
          </w:p>
        </w:tc>
        <w:tc>
          <w:tcPr>
            <w:tcW w:w="7038"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rPr>
              <w:tab/>
            </w:r>
            <w:r>
              <w:rPr>
                <w:rFonts w:hint="eastAsia" w:ascii="仿宋" w:hAnsi="仿宋" w:eastAsia="仿宋" w:cs="仿宋"/>
                <w:sz w:val="24"/>
                <w:szCs w:val="24"/>
              </w:rPr>
              <w:t>产品特色</w:t>
            </w:r>
          </w:p>
          <w:p>
            <w:pPr>
              <w:rPr>
                <w:rFonts w:hint="eastAsia" w:ascii="仿宋" w:hAnsi="仿宋" w:eastAsia="仿宋" w:cs="仿宋"/>
                <w:sz w:val="24"/>
                <w:szCs w:val="24"/>
              </w:rPr>
            </w:pPr>
            <w:r>
              <w:rPr>
                <w:rFonts w:hint="eastAsia" w:ascii="仿宋" w:hAnsi="仿宋" w:eastAsia="仿宋" w:cs="仿宋"/>
                <w:sz w:val="24"/>
                <w:szCs w:val="24"/>
              </w:rPr>
              <w:t>1、采用对照试验的方法进行操作，结果直观、便于观察记录</w:t>
            </w:r>
          </w:p>
          <w:p>
            <w:pPr>
              <w:rPr>
                <w:rFonts w:hint="eastAsia" w:ascii="仿宋" w:hAnsi="仿宋" w:eastAsia="仿宋" w:cs="仿宋"/>
                <w:sz w:val="24"/>
                <w:szCs w:val="24"/>
              </w:rPr>
            </w:pPr>
            <w:r>
              <w:rPr>
                <w:rFonts w:hint="eastAsia" w:ascii="仿宋" w:hAnsi="仿宋" w:eastAsia="仿宋" w:cs="仿宋"/>
                <w:sz w:val="24"/>
                <w:szCs w:val="24"/>
              </w:rPr>
              <w:t>2、实验变量可控，可根据实验总体时间进行调配</w:t>
            </w:r>
          </w:p>
          <w:p>
            <w:pPr>
              <w:rPr>
                <w:rFonts w:hint="eastAsia" w:ascii="仿宋" w:hAnsi="仿宋" w:eastAsia="仿宋" w:cs="仿宋"/>
                <w:sz w:val="24"/>
                <w:szCs w:val="24"/>
              </w:rPr>
            </w:pPr>
            <w:r>
              <w:rPr>
                <w:rFonts w:hint="eastAsia" w:ascii="仿宋" w:hAnsi="仿宋" w:eastAsia="仿宋" w:cs="仿宋"/>
                <w:sz w:val="24"/>
                <w:szCs w:val="24"/>
              </w:rPr>
              <w:t>3、全透明容器，可在各角度观察实验操作</w:t>
            </w:r>
          </w:p>
          <w:p>
            <w:pPr>
              <w:rPr>
                <w:rFonts w:hint="eastAsia" w:ascii="仿宋" w:hAnsi="仿宋" w:eastAsia="仿宋" w:cs="仿宋"/>
                <w:sz w:val="24"/>
                <w:szCs w:val="24"/>
              </w:rPr>
            </w:pPr>
            <w:r>
              <w:rPr>
                <w:rFonts w:hint="eastAsia" w:ascii="仿宋" w:hAnsi="仿宋" w:eastAsia="仿宋" w:cs="仿宋"/>
                <w:sz w:val="24"/>
                <w:szCs w:val="24"/>
              </w:rPr>
              <w:t>4、温度传感器精确度高，误差小</w:t>
            </w:r>
          </w:p>
          <w:p>
            <w:pPr>
              <w:rPr>
                <w:rFonts w:hint="eastAsia" w:ascii="仿宋" w:hAnsi="仿宋" w:eastAsia="仿宋" w:cs="仿宋"/>
                <w:sz w:val="24"/>
                <w:szCs w:val="24"/>
              </w:rPr>
            </w:pPr>
            <w:r>
              <w:rPr>
                <w:rFonts w:hint="eastAsia" w:ascii="仿宋" w:hAnsi="仿宋" w:eastAsia="仿宋" w:cs="仿宋"/>
                <w:sz w:val="24"/>
                <w:szCs w:val="24"/>
              </w:rPr>
              <w:t>5、光源热量稳定</w:t>
            </w:r>
          </w:p>
          <w:p>
            <w:pPr>
              <w:rPr>
                <w:rFonts w:hint="eastAsia" w:ascii="仿宋" w:hAnsi="仿宋" w:eastAsia="仿宋" w:cs="仿宋"/>
                <w:sz w:val="24"/>
                <w:szCs w:val="24"/>
              </w:rPr>
            </w:pPr>
            <w:r>
              <w:rPr>
                <w:rFonts w:hint="eastAsia" w:ascii="仿宋" w:hAnsi="仿宋" w:eastAsia="仿宋" w:cs="仿宋"/>
                <w:sz w:val="24"/>
                <w:szCs w:val="24"/>
              </w:rPr>
              <w:t>二、教学意义</w:t>
            </w:r>
          </w:p>
          <w:p>
            <w:pPr>
              <w:rPr>
                <w:rFonts w:hint="eastAsia" w:ascii="仿宋" w:hAnsi="仿宋" w:eastAsia="仿宋" w:cs="仿宋"/>
                <w:sz w:val="24"/>
                <w:szCs w:val="24"/>
              </w:rPr>
            </w:pPr>
            <w:r>
              <w:rPr>
                <w:rFonts w:hint="eastAsia" w:ascii="仿宋" w:hAnsi="仿宋" w:eastAsia="仿宋" w:cs="仿宋"/>
                <w:sz w:val="24"/>
                <w:szCs w:val="24"/>
              </w:rPr>
              <w:t>1、通过对温室气体的对比试验，使学生了解二氧化碳的温室效应。</w:t>
            </w:r>
          </w:p>
          <w:p>
            <w:pPr>
              <w:rPr>
                <w:rFonts w:hint="eastAsia" w:ascii="仿宋" w:hAnsi="仿宋" w:eastAsia="仿宋" w:cs="仿宋"/>
                <w:sz w:val="24"/>
                <w:szCs w:val="24"/>
              </w:rPr>
            </w:pPr>
            <w:r>
              <w:rPr>
                <w:rFonts w:hint="eastAsia" w:ascii="仿宋" w:hAnsi="仿宋" w:eastAsia="仿宋" w:cs="仿宋"/>
                <w:sz w:val="24"/>
                <w:szCs w:val="24"/>
              </w:rPr>
              <w:t>2、二氧化碳被认为是加剧温室效应的主要来源，大量二氧化碳的排放会导致温室效应的增强，造成地球总体气温升高。</w:t>
            </w:r>
          </w:p>
          <w:p>
            <w:pPr>
              <w:rPr>
                <w:rFonts w:hint="eastAsia" w:ascii="仿宋" w:hAnsi="仿宋" w:eastAsia="仿宋" w:cs="仿宋"/>
                <w:sz w:val="24"/>
                <w:szCs w:val="24"/>
              </w:rPr>
            </w:pPr>
            <w:r>
              <w:rPr>
                <w:rFonts w:hint="eastAsia" w:ascii="仿宋" w:hAnsi="仿宋" w:eastAsia="仿宋" w:cs="仿宋"/>
                <w:sz w:val="24"/>
                <w:szCs w:val="24"/>
              </w:rPr>
              <w:t>3、自工业革命以来，人类向大气中排入的二氧化碳等吸热性强的温室气体逐年增加，大气的温室效应也随之增强。</w:t>
            </w:r>
          </w:p>
          <w:p>
            <w:pPr>
              <w:rPr>
                <w:rFonts w:hint="eastAsia" w:ascii="仿宋" w:hAnsi="仿宋" w:eastAsia="仿宋" w:cs="仿宋"/>
                <w:sz w:val="24"/>
                <w:szCs w:val="24"/>
              </w:rPr>
            </w:pPr>
            <w:r>
              <w:rPr>
                <w:rFonts w:hint="eastAsia" w:ascii="仿宋" w:hAnsi="仿宋" w:eastAsia="仿宋" w:cs="仿宋"/>
                <w:sz w:val="24"/>
                <w:szCs w:val="24"/>
              </w:rPr>
              <w:t>4、使学生学习利用实践操作来了解地理知识。</w:t>
            </w:r>
          </w:p>
          <w:p>
            <w:pPr>
              <w:rPr>
                <w:rFonts w:hint="eastAsia" w:ascii="仿宋" w:hAnsi="仿宋" w:eastAsia="仿宋" w:cs="仿宋"/>
                <w:sz w:val="24"/>
                <w:szCs w:val="24"/>
              </w:rPr>
            </w:pPr>
            <w:r>
              <w:rPr>
                <w:rFonts w:hint="eastAsia" w:ascii="仿宋" w:hAnsi="仿宋" w:eastAsia="仿宋" w:cs="仿宋"/>
                <w:sz w:val="24"/>
                <w:szCs w:val="24"/>
              </w:rPr>
              <w:t>6、使学生认识到温室效应的严重性。</w:t>
            </w:r>
          </w:p>
          <w:p>
            <w:pPr>
              <w:rPr>
                <w:rFonts w:hint="eastAsia" w:ascii="仿宋" w:hAnsi="仿宋" w:eastAsia="仿宋" w:cs="仿宋"/>
                <w:sz w:val="24"/>
                <w:szCs w:val="24"/>
              </w:rPr>
            </w:pPr>
            <w:r>
              <w:rPr>
                <w:rFonts w:hint="eastAsia" w:ascii="仿宋" w:hAnsi="仿宋" w:eastAsia="仿宋" w:cs="仿宋"/>
                <w:sz w:val="24"/>
                <w:szCs w:val="24"/>
              </w:rPr>
              <w:t>三、产品硬件参数</w:t>
            </w:r>
          </w:p>
          <w:p>
            <w:pPr>
              <w:rPr>
                <w:rFonts w:hint="eastAsia" w:ascii="仿宋" w:hAnsi="仿宋" w:eastAsia="仿宋" w:cs="仿宋"/>
                <w:sz w:val="24"/>
                <w:szCs w:val="24"/>
              </w:rPr>
            </w:pPr>
            <w:r>
              <w:rPr>
                <w:rFonts w:hint="eastAsia" w:ascii="仿宋" w:hAnsi="仿宋" w:eastAsia="仿宋" w:cs="仿宋"/>
                <w:sz w:val="24"/>
                <w:szCs w:val="24"/>
              </w:rPr>
              <w:t>产品构成：1、锥形瓶 2、温度传感器 3、光源 4、计时器</w:t>
            </w:r>
          </w:p>
          <w:p>
            <w:pPr>
              <w:rPr>
                <w:rFonts w:hint="eastAsia" w:ascii="仿宋" w:hAnsi="仿宋" w:eastAsia="仿宋" w:cs="仿宋"/>
                <w:sz w:val="24"/>
                <w:szCs w:val="24"/>
              </w:rPr>
            </w:pPr>
            <w:r>
              <w:rPr>
                <w:rFonts w:hint="eastAsia" w:ascii="仿宋" w:hAnsi="仿宋" w:eastAsia="仿宋" w:cs="仿宋"/>
                <w:sz w:val="24"/>
                <w:szCs w:val="24"/>
              </w:rPr>
              <w:t>锥形瓶:主要实验容器全透明锥形瓶，达到实验室标准，带刻度可观察液面高度，顶部带有密封橡皮塞，可保证密封性，确保实验结果的准确性</w:t>
            </w:r>
          </w:p>
          <w:p>
            <w:pPr>
              <w:rPr>
                <w:rFonts w:hint="eastAsia" w:ascii="仿宋" w:hAnsi="仿宋" w:eastAsia="仿宋" w:cs="仿宋"/>
                <w:sz w:val="24"/>
                <w:szCs w:val="24"/>
              </w:rPr>
            </w:pPr>
            <w:r>
              <w:rPr>
                <w:rFonts w:hint="eastAsia" w:ascii="仿宋" w:hAnsi="仿宋" w:eastAsia="仿宋" w:cs="仿宋"/>
                <w:sz w:val="24"/>
                <w:szCs w:val="24"/>
              </w:rPr>
              <w:t>温度传感器：高精度温度传感器，误差小，使用便捷</w:t>
            </w:r>
          </w:p>
          <w:p>
            <w:pPr>
              <w:rPr>
                <w:rFonts w:hint="eastAsia" w:ascii="仿宋" w:hAnsi="仿宋" w:eastAsia="仿宋" w:cs="仿宋"/>
                <w:sz w:val="24"/>
                <w:szCs w:val="24"/>
              </w:rPr>
            </w:pPr>
            <w:r>
              <w:rPr>
                <w:rFonts w:hint="eastAsia" w:ascii="仿宋" w:hAnsi="仿宋" w:eastAsia="仿宋" w:cs="仿宋"/>
                <w:sz w:val="24"/>
                <w:szCs w:val="24"/>
              </w:rPr>
              <w:t>光源：白炽灯光源，热量稳定，确保实验正常进行，保证实验结果准确定</w:t>
            </w:r>
          </w:p>
          <w:p>
            <w:pPr>
              <w:rPr>
                <w:rFonts w:hint="eastAsia" w:ascii="仿宋" w:hAnsi="仿宋" w:eastAsia="仿宋" w:cs="仿宋"/>
                <w:kern w:val="0"/>
                <w:sz w:val="24"/>
                <w:szCs w:val="24"/>
              </w:rPr>
            </w:pPr>
            <w:r>
              <w:rPr>
                <w:rFonts w:hint="eastAsia" w:ascii="仿宋" w:hAnsi="仿宋" w:eastAsia="仿宋" w:cs="仿宋"/>
                <w:sz w:val="24"/>
                <w:szCs w:val="24"/>
              </w:rPr>
              <w:t>计时器：控制实验进行时间，便于观察与记录</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7"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56</w:t>
            </w:r>
          </w:p>
        </w:tc>
        <w:tc>
          <w:tcPr>
            <w:tcW w:w="823" w:type="dxa"/>
            <w:noWrap w:val="0"/>
            <w:vAlign w:val="center"/>
          </w:tcPr>
          <w:p>
            <w:pPr>
              <w:widowControl/>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日、月、地运行仪</w:t>
            </w:r>
          </w:p>
        </w:tc>
        <w:tc>
          <w:tcPr>
            <w:tcW w:w="7038" w:type="dxa"/>
            <w:noWrap w:val="0"/>
            <w:vAlign w:val="center"/>
          </w:tcPr>
          <w:p>
            <w:pPr>
              <w:widowControl/>
              <w:textAlignment w:val="center"/>
              <w:rPr>
                <w:rFonts w:hint="eastAsia" w:ascii="仿宋" w:hAnsi="仿宋" w:eastAsia="仿宋" w:cs="仿宋"/>
                <w:kern w:val="0"/>
                <w:sz w:val="24"/>
                <w:szCs w:val="24"/>
              </w:rPr>
            </w:pPr>
            <w:r>
              <w:rPr>
                <w:rFonts w:hint="eastAsia" w:ascii="仿宋" w:hAnsi="仿宋" w:eastAsia="仿宋" w:cs="仿宋"/>
                <w:kern w:val="0"/>
                <w:sz w:val="24"/>
                <w:szCs w:val="24"/>
              </w:rPr>
              <w:t>在演示前将太阳插头插入太阳底座，同时将地球月球配套盘，传动皮带装好。</w:t>
            </w:r>
          </w:p>
          <w:p>
            <w:pPr>
              <w:widowControl/>
              <w:textAlignment w:val="center"/>
              <w:rPr>
                <w:rFonts w:hint="eastAsia" w:ascii="仿宋" w:hAnsi="仿宋" w:eastAsia="仿宋" w:cs="仿宋"/>
                <w:kern w:val="0"/>
                <w:sz w:val="24"/>
                <w:szCs w:val="24"/>
              </w:rPr>
            </w:pPr>
            <w:r>
              <w:rPr>
                <w:rFonts w:hint="eastAsia" w:ascii="仿宋" w:hAnsi="仿宋" w:eastAsia="仿宋" w:cs="仿宋"/>
                <w:kern w:val="0"/>
                <w:sz w:val="24"/>
                <w:szCs w:val="24"/>
              </w:rPr>
              <w:t>1、 地球，月球及太阳的相对运动：</w:t>
            </w:r>
          </w:p>
          <w:p>
            <w:pPr>
              <w:widowControl/>
              <w:textAlignment w:val="center"/>
              <w:rPr>
                <w:rFonts w:hint="eastAsia" w:ascii="仿宋" w:hAnsi="仿宋" w:eastAsia="仿宋" w:cs="仿宋"/>
                <w:kern w:val="0"/>
                <w:sz w:val="24"/>
                <w:szCs w:val="24"/>
              </w:rPr>
            </w:pPr>
            <w:r>
              <w:rPr>
                <w:rFonts w:hint="eastAsia" w:ascii="仿宋" w:hAnsi="仿宋" w:eastAsia="仿宋" w:cs="仿宋"/>
                <w:kern w:val="0"/>
                <w:sz w:val="24"/>
                <w:szCs w:val="24"/>
              </w:rPr>
              <w:t>回转横臂，可见地球在固定的地轴上自转，又绕太阳公转。月亮绕地球公转，又与其公转周期相等的自转、太阳只是自东向西自转（因仪器本身条件有限，无法反映）。</w:t>
            </w:r>
          </w:p>
          <w:p>
            <w:pPr>
              <w:widowControl/>
              <w:textAlignment w:val="center"/>
              <w:rPr>
                <w:rFonts w:hint="eastAsia" w:ascii="仿宋" w:hAnsi="仿宋" w:eastAsia="仿宋" w:cs="仿宋"/>
                <w:kern w:val="0"/>
                <w:sz w:val="24"/>
                <w:szCs w:val="24"/>
              </w:rPr>
            </w:pPr>
            <w:r>
              <w:rPr>
                <w:rFonts w:hint="eastAsia" w:ascii="仿宋" w:hAnsi="仿宋" w:eastAsia="仿宋" w:cs="仿宋"/>
                <w:kern w:val="0"/>
                <w:sz w:val="24"/>
                <w:szCs w:val="24"/>
              </w:rPr>
              <w:t>地球每年绕木阳公转一周，月亮则绕地球回转十二周，地球自转三百六十五周。</w:t>
            </w:r>
          </w:p>
          <w:p>
            <w:pPr>
              <w:widowControl/>
              <w:textAlignment w:val="center"/>
              <w:rPr>
                <w:rFonts w:hint="eastAsia" w:ascii="仿宋" w:hAnsi="仿宋" w:eastAsia="仿宋" w:cs="仿宋"/>
                <w:kern w:val="0"/>
                <w:sz w:val="24"/>
                <w:szCs w:val="24"/>
              </w:rPr>
            </w:pPr>
            <w:r>
              <w:rPr>
                <w:rFonts w:hint="eastAsia" w:ascii="仿宋" w:hAnsi="仿宋" w:eastAsia="仿宋" w:cs="仿宋"/>
                <w:kern w:val="0"/>
                <w:sz w:val="24"/>
                <w:szCs w:val="24"/>
              </w:rPr>
              <w:t>2、 昼夜的成因：</w:t>
            </w:r>
          </w:p>
          <w:p>
            <w:pPr>
              <w:widowControl/>
              <w:textAlignment w:val="center"/>
              <w:rPr>
                <w:rFonts w:hint="eastAsia" w:ascii="仿宋" w:hAnsi="仿宋" w:eastAsia="仿宋" w:cs="仿宋"/>
                <w:kern w:val="0"/>
                <w:sz w:val="24"/>
                <w:szCs w:val="24"/>
              </w:rPr>
            </w:pPr>
            <w:r>
              <w:rPr>
                <w:rFonts w:hint="eastAsia" w:ascii="仿宋" w:hAnsi="仿宋" w:eastAsia="仿宋" w:cs="仿宋"/>
                <w:kern w:val="0"/>
                <w:sz w:val="24"/>
                <w:szCs w:val="24"/>
              </w:rPr>
              <w:t>可见地球总是有半个面向着太阳，另一半面背太阳。朝太阳的是白天，背太阳的是黑夜。</w:t>
            </w:r>
          </w:p>
          <w:p>
            <w:pPr>
              <w:widowControl/>
              <w:textAlignment w:val="center"/>
              <w:rPr>
                <w:rFonts w:hint="eastAsia" w:ascii="仿宋" w:hAnsi="仿宋" w:eastAsia="仿宋" w:cs="仿宋"/>
                <w:kern w:val="0"/>
                <w:sz w:val="24"/>
                <w:szCs w:val="24"/>
              </w:rPr>
            </w:pPr>
            <w:r>
              <w:rPr>
                <w:rFonts w:hint="eastAsia" w:ascii="仿宋" w:hAnsi="仿宋" w:eastAsia="仿宋" w:cs="仿宋"/>
                <w:kern w:val="0"/>
                <w:sz w:val="24"/>
                <w:szCs w:val="24"/>
              </w:rPr>
              <w:t>地球每二十四小时绕地轴自转一周，除南、北极圈以内外地球上任何地方都会有白天和黑夜，这便是昼夜交替的现象。</w:t>
            </w:r>
          </w:p>
          <w:p>
            <w:pPr>
              <w:widowControl/>
              <w:textAlignment w:val="center"/>
              <w:rPr>
                <w:rFonts w:hint="eastAsia" w:ascii="仿宋" w:hAnsi="仿宋" w:eastAsia="仿宋" w:cs="仿宋"/>
                <w:kern w:val="0"/>
                <w:sz w:val="24"/>
                <w:szCs w:val="24"/>
              </w:rPr>
            </w:pPr>
            <w:r>
              <w:rPr>
                <w:rFonts w:hint="eastAsia" w:ascii="仿宋" w:hAnsi="仿宋" w:eastAsia="仿宋" w:cs="仿宋"/>
                <w:kern w:val="0"/>
                <w:sz w:val="24"/>
                <w:szCs w:val="24"/>
              </w:rPr>
              <w:t>还可以依仪器上地球的光标地区为标准，随地球自转方向，参照仪器月相盘中早晨，正午等位置来说明一个地方的时间和太阳的方向。</w:t>
            </w:r>
          </w:p>
          <w:p>
            <w:pPr>
              <w:widowControl/>
              <w:textAlignment w:val="center"/>
              <w:rPr>
                <w:rFonts w:hint="eastAsia" w:ascii="仿宋" w:hAnsi="仿宋" w:eastAsia="仿宋" w:cs="仿宋"/>
                <w:kern w:val="0"/>
                <w:sz w:val="24"/>
                <w:szCs w:val="24"/>
              </w:rPr>
            </w:pPr>
            <w:r>
              <w:rPr>
                <w:rFonts w:hint="eastAsia" w:ascii="仿宋" w:hAnsi="仿宋" w:eastAsia="仿宋" w:cs="仿宋"/>
                <w:kern w:val="0"/>
                <w:sz w:val="24"/>
                <w:szCs w:val="24"/>
              </w:rPr>
              <w:t>3、 月球圆缺的变化：</w:t>
            </w:r>
          </w:p>
          <w:p>
            <w:pPr>
              <w:widowControl/>
              <w:textAlignment w:val="center"/>
              <w:rPr>
                <w:rFonts w:hint="eastAsia" w:ascii="仿宋" w:hAnsi="仿宋" w:eastAsia="仿宋" w:cs="仿宋"/>
                <w:kern w:val="0"/>
                <w:sz w:val="24"/>
                <w:szCs w:val="24"/>
                <w:lang w:eastAsia="zh-CN"/>
              </w:rPr>
            </w:pPr>
            <w:r>
              <w:rPr>
                <w:rFonts w:hint="eastAsia" w:ascii="仿宋" w:hAnsi="仿宋" w:eastAsia="仿宋" w:cs="仿宋"/>
                <w:kern w:val="0"/>
                <w:sz w:val="24"/>
                <w:szCs w:val="24"/>
              </w:rPr>
              <w:t>月球本身不会发光，我们能见到的月亮是被太阳照着的一面，它和地球一样，无论何时（月蚀时除外）总有一半被太阳照亮，因为它不断地绕地球旋转，照亮部分有时全对着我们，有时全背着我们，因此就产生盈亏圆缺的变化。</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件</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57</w:t>
            </w:r>
          </w:p>
        </w:tc>
        <w:tc>
          <w:tcPr>
            <w:tcW w:w="823" w:type="dxa"/>
            <w:noWrap w:val="0"/>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地震模型</w:t>
            </w:r>
          </w:p>
        </w:tc>
        <w:tc>
          <w:tcPr>
            <w:tcW w:w="7038" w:type="dxa"/>
            <w:noWrap w:val="0"/>
            <w:vAlign w:val="center"/>
          </w:tcPr>
          <w:p>
            <w:pPr>
              <w:widowControl/>
              <w:textAlignment w:val="top"/>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bidi="ar"/>
              </w:rPr>
              <w:t>地震演示模型--光电演示地震的纵波和横波的传播方向以及震源的位置等内容。语音能够详实的解说地震的构成和发生的原因等内容。陪配的展板内容包括事例和产生原因、破坏程度等。能够动态的模拟地震发生时所产生的纵横波并且通过调谐旋钮可以模拟地震的震级。通过配备的房屋模型能够直观的观察出地震发生时地震的震级大小所带来的破坏程度不同等演示内容。</w:t>
            </w:r>
            <w:r>
              <w:rPr>
                <w:rFonts w:hint="eastAsia" w:ascii="仿宋" w:hAnsi="仿宋" w:eastAsia="仿宋" w:cs="仿宋"/>
                <w:color w:val="000000"/>
                <w:kern w:val="0"/>
                <w:sz w:val="24"/>
                <w:szCs w:val="24"/>
                <w:lang w:bidi="ar"/>
              </w:rPr>
              <w:br w:type="textWrapping"/>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产品尺寸</w:t>
            </w:r>
            <w:r>
              <w:rPr>
                <w:rFonts w:hint="eastAsia" w:ascii="仿宋" w:hAnsi="仿宋" w:eastAsia="仿宋" w:cs="仿宋"/>
                <w:kern w:val="0"/>
                <w:sz w:val="24"/>
                <w:szCs w:val="24"/>
              </w:rPr>
              <w:t>≥</w:t>
            </w:r>
            <w:r>
              <w:rPr>
                <w:rFonts w:hint="eastAsia" w:ascii="仿宋" w:hAnsi="仿宋" w:eastAsia="仿宋" w:cs="仿宋"/>
                <w:color w:val="000000"/>
                <w:kern w:val="0"/>
                <w:sz w:val="24"/>
                <w:szCs w:val="24"/>
                <w:lang w:bidi="ar"/>
              </w:rPr>
              <w:t>1米×1米×1.2</w:t>
            </w:r>
            <w:r>
              <w:rPr>
                <w:rFonts w:hint="eastAsia" w:ascii="仿宋" w:hAnsi="仿宋" w:eastAsia="仿宋" w:cs="仿宋"/>
                <w:sz w:val="24"/>
                <w:szCs w:val="24"/>
              </w:rPr>
              <w:t>±1</w:t>
            </w:r>
            <w:r>
              <w:rPr>
                <w:rFonts w:hint="eastAsia" w:ascii="仿宋" w:hAnsi="仿宋" w:eastAsia="仿宋" w:cs="仿宋"/>
                <w:color w:val="000000"/>
                <w:kern w:val="0"/>
                <w:sz w:val="24"/>
                <w:szCs w:val="24"/>
                <w:lang w:bidi="ar"/>
              </w:rPr>
              <w:t>米</w:t>
            </w:r>
          </w:p>
        </w:tc>
        <w:tc>
          <w:tcPr>
            <w:tcW w:w="408" w:type="dxa"/>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sz w:val="24"/>
                <w:szCs w:val="24"/>
              </w:rPr>
              <w:t>套</w:t>
            </w:r>
          </w:p>
        </w:tc>
        <w:tc>
          <w:tcPr>
            <w:tcW w:w="58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r>
    </w:tbl>
    <w:p>
      <w:pPr>
        <w:rPr>
          <w:rFonts w:hint="eastAsia"/>
        </w:rPr>
      </w:pPr>
    </w:p>
    <w:p>
      <w:pPr>
        <w:pStyle w:val="16"/>
        <w:spacing w:line="560" w:lineRule="exact"/>
        <w:jc w:val="center"/>
        <w:rPr>
          <w:rFonts w:hint="eastAsia" w:ascii="黑体" w:hAnsi="宋体" w:eastAsia="黑体" w:cs="Times New Roman"/>
          <w:sz w:val="52"/>
          <w:szCs w:val="20"/>
        </w:rPr>
      </w:pPr>
    </w:p>
    <w:p>
      <w:pPr>
        <w:pStyle w:val="16"/>
        <w:spacing w:line="560" w:lineRule="exact"/>
        <w:jc w:val="center"/>
        <w:rPr>
          <w:rFonts w:hint="eastAsia" w:ascii="黑体" w:hAnsi="宋体" w:eastAsia="黑体" w:cs="Times New Roman"/>
          <w:sz w:val="52"/>
          <w:szCs w:val="20"/>
        </w:rPr>
      </w:pPr>
    </w:p>
    <w:p>
      <w:pPr>
        <w:pStyle w:val="16"/>
        <w:spacing w:line="560" w:lineRule="exact"/>
        <w:jc w:val="center"/>
        <w:rPr>
          <w:rFonts w:hint="eastAsia" w:ascii="黑体" w:hAnsi="宋体" w:eastAsia="黑体" w:cs="Times New Roman"/>
          <w:sz w:val="52"/>
          <w:szCs w:val="20"/>
        </w:rPr>
      </w:pPr>
      <w:r>
        <w:rPr>
          <w:rFonts w:hint="eastAsia" w:ascii="黑体" w:hAnsi="宋体" w:eastAsia="黑体" w:cs="Times New Roman"/>
          <w:sz w:val="52"/>
          <w:szCs w:val="20"/>
        </w:rPr>
        <w:t>二、数字化历史专用教室配置要求</w:t>
      </w:r>
    </w:p>
    <w:p>
      <w:pPr>
        <w:pStyle w:val="16"/>
        <w:spacing w:line="560" w:lineRule="exact"/>
        <w:rPr>
          <w:rFonts w:hint="eastAsia" w:ascii="黑体" w:hAnsi="宋体" w:eastAsia="黑体" w:cs="Times New Roman"/>
          <w:sz w:val="52"/>
          <w:szCs w:val="20"/>
        </w:rPr>
      </w:pPr>
    </w:p>
    <w:tbl>
      <w:tblPr>
        <w:tblStyle w:val="25"/>
        <w:tblW w:w="0" w:type="auto"/>
        <w:tblInd w:w="-93" w:type="dxa"/>
        <w:tblLayout w:type="fixed"/>
        <w:tblCellMar>
          <w:top w:w="0" w:type="dxa"/>
          <w:left w:w="15" w:type="dxa"/>
          <w:bottom w:w="0" w:type="dxa"/>
          <w:right w:w="15" w:type="dxa"/>
        </w:tblCellMar>
      </w:tblPr>
      <w:tblGrid>
        <w:gridCol w:w="271"/>
        <w:gridCol w:w="1043"/>
        <w:gridCol w:w="6995"/>
        <w:gridCol w:w="333"/>
        <w:gridCol w:w="295"/>
      </w:tblGrid>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shd w:val="solid" w:color="FFFFFF" w:fill="auto"/>
            <w:noWrap w:val="0"/>
            <w:vAlign w:val="center"/>
          </w:tcPr>
          <w:p>
            <w:pPr>
              <w:shd w:val="solid" w:color="FFFFFF" w:fill="auto"/>
              <w:autoSpaceDN w:val="0"/>
              <w:textAlignment w:val="center"/>
              <w:rPr>
                <w:rFonts w:hint="eastAsia" w:ascii="仿宋" w:hAnsi="仿宋" w:eastAsia="仿宋" w:cs="仿宋"/>
                <w:b/>
                <w:color w:val="000000"/>
                <w:sz w:val="21"/>
                <w:szCs w:val="21"/>
                <w:shd w:val="clear" w:color="auto" w:fill="FFFFFF"/>
              </w:rPr>
            </w:pPr>
            <w:r>
              <w:rPr>
                <w:rFonts w:hint="eastAsia" w:ascii="仿宋" w:hAnsi="仿宋" w:eastAsia="仿宋" w:cs="仿宋"/>
                <w:b/>
                <w:color w:val="000000"/>
                <w:sz w:val="21"/>
                <w:szCs w:val="21"/>
                <w:shd w:val="clear" w:color="auto" w:fill="FFFFFF"/>
              </w:rPr>
              <w:t>序号</w:t>
            </w:r>
          </w:p>
        </w:tc>
        <w:tc>
          <w:tcPr>
            <w:tcW w:w="1043" w:type="dxa"/>
            <w:tcBorders>
              <w:top w:val="single" w:color="auto" w:sz="4" w:space="0"/>
              <w:left w:val="single" w:color="auto" w:sz="4" w:space="0"/>
              <w:bottom w:val="single" w:color="auto" w:sz="4" w:space="0"/>
              <w:right w:val="single" w:color="auto" w:sz="4" w:space="0"/>
            </w:tcBorders>
            <w:shd w:val="solid" w:color="FFFFFF" w:fill="auto"/>
            <w:noWrap w:val="0"/>
            <w:vAlign w:val="center"/>
          </w:tcPr>
          <w:p>
            <w:pPr>
              <w:shd w:val="solid" w:color="FFFFFF" w:fill="auto"/>
              <w:autoSpaceDN w:val="0"/>
              <w:jc w:val="center"/>
              <w:textAlignment w:val="center"/>
              <w:rPr>
                <w:rFonts w:hint="eastAsia" w:ascii="仿宋" w:hAnsi="仿宋" w:eastAsia="仿宋" w:cs="仿宋"/>
                <w:b/>
                <w:color w:val="000000"/>
                <w:sz w:val="21"/>
                <w:szCs w:val="21"/>
                <w:shd w:val="clear" w:color="auto" w:fill="FFFFFF"/>
              </w:rPr>
            </w:pPr>
            <w:r>
              <w:rPr>
                <w:rFonts w:hint="eastAsia" w:ascii="仿宋" w:hAnsi="仿宋" w:eastAsia="仿宋" w:cs="仿宋"/>
                <w:b/>
                <w:color w:val="000000"/>
                <w:sz w:val="21"/>
                <w:szCs w:val="21"/>
                <w:shd w:val="clear" w:color="auto" w:fill="FFFFFF"/>
              </w:rPr>
              <w:t>产品名称</w:t>
            </w:r>
          </w:p>
        </w:tc>
        <w:tc>
          <w:tcPr>
            <w:tcW w:w="6995" w:type="dxa"/>
            <w:tcBorders>
              <w:top w:val="single" w:color="auto" w:sz="4" w:space="0"/>
              <w:left w:val="single" w:color="auto" w:sz="4" w:space="0"/>
              <w:bottom w:val="single" w:color="auto" w:sz="4" w:space="0"/>
              <w:right w:val="single" w:color="auto" w:sz="4" w:space="0"/>
            </w:tcBorders>
            <w:shd w:val="solid" w:color="FFFFFF" w:fill="auto"/>
            <w:noWrap w:val="0"/>
            <w:vAlign w:val="center"/>
          </w:tcPr>
          <w:p>
            <w:pPr>
              <w:shd w:val="solid" w:color="FFFFFF" w:fill="auto"/>
              <w:autoSpaceDN w:val="0"/>
              <w:jc w:val="center"/>
              <w:textAlignment w:val="center"/>
              <w:rPr>
                <w:rFonts w:hint="eastAsia" w:ascii="仿宋" w:hAnsi="仿宋" w:eastAsia="仿宋" w:cs="仿宋"/>
                <w:b/>
                <w:color w:val="000000"/>
                <w:sz w:val="21"/>
                <w:szCs w:val="21"/>
                <w:shd w:val="clear" w:color="auto" w:fill="FFFFFF"/>
              </w:rPr>
            </w:pPr>
            <w:r>
              <w:rPr>
                <w:rFonts w:hint="eastAsia" w:ascii="仿宋" w:hAnsi="仿宋" w:eastAsia="仿宋" w:cs="仿宋"/>
                <w:b/>
                <w:color w:val="000000"/>
                <w:sz w:val="21"/>
                <w:szCs w:val="21"/>
                <w:shd w:val="clear" w:color="auto" w:fill="FFFFFF"/>
              </w:rPr>
              <w:t>备       注</w:t>
            </w:r>
          </w:p>
        </w:tc>
        <w:tc>
          <w:tcPr>
            <w:tcW w:w="333" w:type="dxa"/>
            <w:tcBorders>
              <w:top w:val="single" w:color="auto" w:sz="4" w:space="0"/>
              <w:left w:val="single" w:color="auto" w:sz="4" w:space="0"/>
              <w:bottom w:val="single" w:color="auto" w:sz="4" w:space="0"/>
              <w:right w:val="single" w:color="auto" w:sz="4" w:space="0"/>
            </w:tcBorders>
            <w:shd w:val="solid" w:color="FFFFFF" w:fill="auto"/>
            <w:noWrap w:val="0"/>
            <w:vAlign w:val="center"/>
          </w:tcPr>
          <w:p>
            <w:pPr>
              <w:shd w:val="solid" w:color="FFFFFF" w:fill="auto"/>
              <w:autoSpaceDN w:val="0"/>
              <w:jc w:val="center"/>
              <w:textAlignment w:val="center"/>
              <w:rPr>
                <w:rFonts w:hint="eastAsia" w:ascii="仿宋" w:hAnsi="仿宋" w:eastAsia="仿宋" w:cs="仿宋"/>
                <w:b/>
                <w:color w:val="000000"/>
                <w:sz w:val="21"/>
                <w:szCs w:val="21"/>
                <w:shd w:val="clear" w:color="auto" w:fill="FFFFFF"/>
              </w:rPr>
            </w:pPr>
            <w:r>
              <w:rPr>
                <w:rFonts w:hint="eastAsia" w:ascii="仿宋" w:hAnsi="仿宋" w:eastAsia="仿宋" w:cs="仿宋"/>
                <w:b/>
                <w:color w:val="000000"/>
                <w:sz w:val="21"/>
                <w:szCs w:val="21"/>
                <w:shd w:val="clear" w:color="auto" w:fill="FFFFFF"/>
              </w:rPr>
              <w:t>单位</w:t>
            </w:r>
          </w:p>
        </w:tc>
        <w:tc>
          <w:tcPr>
            <w:tcW w:w="295" w:type="dxa"/>
            <w:tcBorders>
              <w:top w:val="single" w:color="auto" w:sz="4" w:space="0"/>
              <w:left w:val="single" w:color="auto" w:sz="4" w:space="0"/>
              <w:bottom w:val="single" w:color="auto" w:sz="4" w:space="0"/>
              <w:right w:val="single" w:color="auto" w:sz="4" w:space="0"/>
            </w:tcBorders>
            <w:shd w:val="solid" w:color="FFFFFF" w:fill="auto"/>
            <w:noWrap w:val="0"/>
            <w:vAlign w:val="center"/>
          </w:tcPr>
          <w:p>
            <w:pPr>
              <w:shd w:val="solid" w:color="FFFFFF" w:fill="auto"/>
              <w:autoSpaceDN w:val="0"/>
              <w:jc w:val="center"/>
              <w:textAlignment w:val="center"/>
              <w:rPr>
                <w:rFonts w:hint="eastAsia" w:ascii="仿宋" w:hAnsi="仿宋" w:eastAsia="仿宋" w:cs="仿宋"/>
                <w:b/>
                <w:color w:val="000000"/>
                <w:sz w:val="21"/>
                <w:szCs w:val="21"/>
                <w:shd w:val="clear" w:color="auto" w:fill="FFFFFF"/>
              </w:rPr>
            </w:pPr>
            <w:r>
              <w:rPr>
                <w:rFonts w:hint="eastAsia" w:ascii="仿宋" w:hAnsi="仿宋" w:eastAsia="仿宋" w:cs="仿宋"/>
                <w:b/>
                <w:color w:val="000000"/>
                <w:sz w:val="21"/>
                <w:szCs w:val="21"/>
                <w:shd w:val="clear" w:color="auto" w:fill="FFFFFF"/>
              </w:rPr>
              <w:t>数量</w:t>
            </w:r>
          </w:p>
        </w:tc>
      </w:tr>
      <w:tr>
        <w:tblPrEx>
          <w:tblCellMar>
            <w:top w:w="0" w:type="dxa"/>
            <w:left w:w="15" w:type="dxa"/>
            <w:bottom w:w="0" w:type="dxa"/>
            <w:right w:w="15" w:type="dxa"/>
          </w:tblCellMar>
        </w:tblPrEx>
        <w:trPr>
          <w:trHeight w:val="2993" w:hRule="atLeast"/>
        </w:trPr>
        <w:tc>
          <w:tcPr>
            <w:tcW w:w="271" w:type="dxa"/>
            <w:tcBorders>
              <w:top w:val="single" w:color="auto" w:sz="4" w:space="0"/>
              <w:left w:val="single" w:color="auto" w:sz="4" w:space="0"/>
              <w:bottom w:val="single" w:color="auto" w:sz="4" w:space="0"/>
              <w:right w:val="single" w:color="auto" w:sz="4" w:space="0"/>
            </w:tcBorders>
            <w:shd w:val="solid" w:color="FFFFFF" w:fill="auto"/>
            <w:noWrap w:val="0"/>
            <w:vAlign w:val="center"/>
          </w:tcPr>
          <w:p>
            <w:pPr>
              <w:autoSpaceDN w:val="0"/>
              <w:jc w:val="center"/>
              <w:textAlignment w:val="center"/>
              <w:rPr>
                <w:rFonts w:hint="eastAsia" w:ascii="仿宋" w:hAnsi="仿宋" w:eastAsia="仿宋" w:cs="仿宋"/>
                <w:color w:val="000000"/>
                <w:sz w:val="21"/>
                <w:szCs w:val="21"/>
                <w:shd w:val="clear" w:color="auto" w:fill="FFFFFF"/>
              </w:rPr>
            </w:pPr>
            <w:bookmarkStart w:id="22" w:name="OLE_LINK3" w:colFirst="6" w:colLast="6"/>
            <w:bookmarkStart w:id="23" w:name="OLE_LINK1" w:colFirst="6" w:colLast="6"/>
            <w:r>
              <w:rPr>
                <w:rFonts w:hint="eastAsia" w:ascii="仿宋" w:hAnsi="仿宋" w:eastAsia="仿宋" w:cs="仿宋"/>
                <w:color w:val="000000"/>
                <w:sz w:val="21"/>
                <w:szCs w:val="21"/>
              </w:rPr>
              <w:t>1</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数字化资源地形（投影地形）</w:t>
            </w:r>
          </w:p>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sz w:val="21"/>
                <w:szCs w:val="21"/>
                <w:lang w:eastAsia="zh-CN"/>
              </w:rPr>
              <w:t>历史版</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pStyle w:val="88"/>
              <w:ind w:left="0" w:leftChars="0" w:firstLine="0" w:firstLineChars="0"/>
              <w:rPr>
                <w:rFonts w:hint="eastAsia" w:ascii="仿宋" w:hAnsi="仿宋" w:eastAsia="仿宋" w:cs="仿宋"/>
                <w:kern w:val="0"/>
                <w:sz w:val="21"/>
                <w:szCs w:val="21"/>
              </w:rPr>
            </w:pPr>
            <w:r>
              <w:rPr>
                <w:rFonts w:hint="eastAsia" w:ascii="仿宋" w:hAnsi="仿宋" w:eastAsia="仿宋" w:cs="仿宋"/>
                <w:sz w:val="21"/>
                <w:szCs w:val="21"/>
              </w:rPr>
              <w:t xml:space="preserve">硬件构成： </w:t>
            </w:r>
            <w:r>
              <w:rPr>
                <w:rFonts w:hint="eastAsia" w:ascii="仿宋" w:hAnsi="仿宋" w:eastAsia="仿宋" w:cs="仿宋"/>
                <w:kern w:val="0"/>
                <w:sz w:val="21"/>
                <w:szCs w:val="21"/>
              </w:rPr>
              <w:t>（1）★产品整体尺寸≥3.85米×1.27米，厚度≥64毫米；全金属烤漆材质，强度高，不变形，白板表面涂装纳米涂层，白板为无尘设计，支持普通书写功能，可以使用普通水性白板笔进行书写，擦拭方便不留痕迹。书写板表面带有磁性吸附功能。能够吸附任意磁性物体，版面带有投影功能，投影后图像增益明显。</w:t>
            </w:r>
          </w:p>
          <w:p>
            <w:pPr>
              <w:widowControl/>
              <w:ind w:firstLine="210" w:firstLineChars="100"/>
              <w:jc w:val="left"/>
              <w:rPr>
                <w:rFonts w:hint="eastAsia" w:ascii="仿宋" w:hAnsi="仿宋" w:eastAsia="仿宋" w:cs="仿宋"/>
                <w:kern w:val="0"/>
                <w:sz w:val="21"/>
                <w:szCs w:val="21"/>
              </w:rPr>
            </w:pPr>
            <w:r>
              <w:rPr>
                <w:rFonts w:hint="eastAsia" w:ascii="仿宋" w:hAnsi="仿宋" w:eastAsia="仿宋" w:cs="仿宋"/>
                <w:kern w:val="0"/>
                <w:sz w:val="21"/>
                <w:szCs w:val="21"/>
              </w:rPr>
              <w:t>（2）★投影机：1台，激光投影。</w:t>
            </w:r>
          </w:p>
          <w:p>
            <w:pPr>
              <w:ind w:firstLine="210" w:firstLineChars="100"/>
              <w:rPr>
                <w:rFonts w:hint="eastAsia" w:ascii="仿宋" w:hAnsi="仿宋" w:eastAsia="仿宋" w:cs="仿宋"/>
                <w:kern w:val="0"/>
                <w:sz w:val="21"/>
                <w:szCs w:val="21"/>
              </w:rPr>
            </w:pPr>
            <w:r>
              <w:rPr>
                <w:rFonts w:hint="eastAsia" w:ascii="仿宋" w:hAnsi="仿宋" w:eastAsia="仿宋" w:cs="仿宋"/>
                <w:kern w:val="0"/>
                <w:sz w:val="21"/>
                <w:szCs w:val="21"/>
              </w:rPr>
              <w:t>（3）★实物投影展台：实物投影展台外观与数字化历史教学平台外观颜色搭配一致，产品的整体性更加完善，非独立实物投影展台。展台投影的开启和关闭等操作通过数字化历史教学平台软件一体化操作，通过硬件连接和软件功能设计使展台与教学系统有机连接，形成一套完整的硬件加软件设备；展台分辨率支持：1920×1080.带有自动对焦及补光功能，实物投影软件带有电子白板功能及分享功能。</w:t>
            </w:r>
          </w:p>
          <w:p>
            <w:pPr>
              <w:shd w:val="clear" w:color="auto" w:fill="FFFFFF"/>
              <w:spacing w:line="420" w:lineRule="atLeast"/>
              <w:ind w:firstLine="210" w:firstLineChars="100"/>
              <w:rPr>
                <w:rFonts w:hint="eastAsia" w:ascii="仿宋" w:hAnsi="仿宋" w:eastAsia="仿宋" w:cs="仿宋"/>
                <w:sz w:val="21"/>
                <w:szCs w:val="21"/>
              </w:rPr>
            </w:pPr>
            <w:r>
              <w:rPr>
                <w:rFonts w:hint="eastAsia" w:ascii="仿宋" w:hAnsi="仿宋" w:eastAsia="仿宋" w:cs="仿宋"/>
                <w:sz w:val="21"/>
                <w:szCs w:val="21"/>
              </w:rPr>
              <w:t>（4）</w:t>
            </w:r>
            <w:r>
              <w:rPr>
                <w:rFonts w:hint="eastAsia" w:ascii="仿宋" w:hAnsi="仿宋" w:eastAsia="仿宋" w:cs="仿宋"/>
                <w:kern w:val="0"/>
                <w:sz w:val="21"/>
                <w:szCs w:val="21"/>
              </w:rPr>
              <w:t>★</w:t>
            </w:r>
            <w:r>
              <w:rPr>
                <w:rFonts w:hint="eastAsia" w:ascii="仿宋" w:hAnsi="仿宋" w:eastAsia="仿宋" w:cs="仿宋"/>
                <w:sz w:val="21"/>
                <w:szCs w:val="21"/>
              </w:rPr>
              <w:t>电脑：超薄插拔式模块化电脑：超薄插拔式Intel Core系列模块化电脑，Intel Core 系列 CPU： Intel Core I5，声卡：集成高清晰立体音效声卡，网卡：集成10/100/1000M自适应网卡，内存：DDR3 标配4G，硬盘：标配120GSSD，USB接口， VGA输出，HDMI输出，耳机输出，麦克风输入</w:t>
            </w:r>
          </w:p>
          <w:p>
            <w:pPr>
              <w:widowControl/>
              <w:ind w:firstLine="210" w:firstLineChars="100"/>
              <w:jc w:val="left"/>
              <w:rPr>
                <w:rFonts w:hint="eastAsia" w:ascii="仿宋" w:hAnsi="仿宋" w:eastAsia="仿宋" w:cs="仿宋"/>
                <w:kern w:val="0"/>
                <w:sz w:val="21"/>
                <w:szCs w:val="21"/>
              </w:rPr>
            </w:pPr>
            <w:r>
              <w:rPr>
                <w:rFonts w:hint="eastAsia" w:ascii="仿宋" w:hAnsi="仿宋" w:eastAsia="仿宋" w:cs="仿宋"/>
                <w:kern w:val="0"/>
                <w:sz w:val="21"/>
                <w:szCs w:val="21"/>
              </w:rPr>
              <w:t>（5）★互动模块：互动接收机，支持双屏，4点以上触摸功能。</w:t>
            </w:r>
            <w:r>
              <w:rPr>
                <w:rFonts w:hint="eastAsia" w:ascii="仿宋" w:hAnsi="仿宋" w:eastAsia="仿宋" w:cs="仿宋"/>
                <w:sz w:val="21"/>
                <w:szCs w:val="21"/>
              </w:rPr>
              <w:t>特性：一次性定位，无需重新定位，使用极其方便，全新设计，支持多人书写， HID设备，即插即用。</w:t>
            </w:r>
          </w:p>
          <w:p>
            <w:pPr>
              <w:bidi w:val="0"/>
              <w:rPr>
                <w:rFonts w:hint="eastAsia" w:ascii="仿宋" w:hAnsi="仿宋" w:eastAsia="仿宋" w:cs="仿宋"/>
                <w:kern w:val="0"/>
                <w:sz w:val="21"/>
                <w:szCs w:val="21"/>
              </w:rPr>
            </w:pPr>
            <w:r>
              <w:rPr>
                <w:rFonts w:hint="eastAsia" w:ascii="仿宋" w:hAnsi="仿宋" w:eastAsia="仿宋" w:cs="仿宋"/>
                <w:sz w:val="21"/>
                <w:szCs w:val="21"/>
                <w:lang w:eastAsia="zh-CN"/>
              </w:rPr>
              <w:t>数字化资源地形平台软件特色</w:t>
            </w:r>
          </w:p>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rPr>
              <w:t>课堂教学：</w:t>
            </w:r>
          </w:p>
          <w:p>
            <w:pPr>
              <w:widowControl/>
              <w:ind w:left="360"/>
              <w:jc w:val="left"/>
              <w:rPr>
                <w:rFonts w:hint="eastAsia" w:ascii="仿宋" w:hAnsi="仿宋" w:eastAsia="仿宋" w:cs="仿宋"/>
                <w:kern w:val="0"/>
                <w:sz w:val="21"/>
                <w:szCs w:val="21"/>
              </w:rPr>
            </w:pPr>
            <w:r>
              <w:rPr>
                <w:rFonts w:hint="eastAsia" w:ascii="仿宋" w:hAnsi="仿宋" w:eastAsia="仿宋" w:cs="仿宋"/>
                <w:kern w:val="0"/>
                <w:sz w:val="21"/>
                <w:szCs w:val="21"/>
              </w:rPr>
              <w:t>1、★传统教学功能：黑板板面由纳米磁性复合材料和承载基板压制而成，具有硬度强，平整度、书写性、擦拭性及成像增益好等特点。黑板支持常规黑板模式教学。</w:t>
            </w:r>
          </w:p>
          <w:p>
            <w:pPr>
              <w:widowControl/>
              <w:ind w:left="360"/>
              <w:jc w:val="left"/>
              <w:rPr>
                <w:rFonts w:hint="eastAsia" w:ascii="仿宋" w:hAnsi="仿宋" w:eastAsia="仿宋" w:cs="仿宋"/>
                <w:kern w:val="0"/>
                <w:sz w:val="21"/>
                <w:szCs w:val="21"/>
              </w:rPr>
            </w:pPr>
            <w:r>
              <w:rPr>
                <w:rFonts w:hint="eastAsia" w:ascii="仿宋" w:hAnsi="仿宋" w:eastAsia="仿宋" w:cs="仿宋"/>
                <w:kern w:val="0"/>
                <w:sz w:val="21"/>
                <w:szCs w:val="21"/>
              </w:rPr>
              <w:t>单屏教学加传统教学模式：教师可以根据教学需求将课件进行任意单屏显示（左单屏或右单屏），另外一块屏幕息屏，此种状态下一块为多媒体内容显示，另一块作为传统教学白板进行水笔书写，以此达到对多媒体课件的课堂注解和标注功能。</w:t>
            </w:r>
          </w:p>
          <w:p>
            <w:pPr>
              <w:widowControl/>
              <w:ind w:left="420" w:leftChars="200"/>
              <w:jc w:val="left"/>
              <w:rPr>
                <w:rFonts w:hint="eastAsia" w:ascii="仿宋" w:hAnsi="仿宋" w:eastAsia="仿宋" w:cs="仿宋"/>
                <w:kern w:val="0"/>
                <w:sz w:val="21"/>
                <w:szCs w:val="21"/>
              </w:rPr>
            </w:pPr>
            <w:r>
              <w:rPr>
                <w:rFonts w:hint="eastAsia" w:ascii="仿宋" w:hAnsi="仿宋" w:eastAsia="仿宋" w:cs="仿宋"/>
                <w:kern w:val="0"/>
                <w:sz w:val="21"/>
                <w:szCs w:val="21"/>
              </w:rPr>
              <w:t>2、★多媒体教学模式：支持所有学科的多媒体教学，软件设计为开源性平台，教师只需要将上课所需课件加载到软件即可以实现多种多样的双屏、单屏教学功能，无需对课件资源等媒体内容进行任何修改。</w:t>
            </w:r>
          </w:p>
          <w:p>
            <w:pPr>
              <w:widowControl/>
              <w:ind w:left="360"/>
              <w:jc w:val="left"/>
              <w:rPr>
                <w:rFonts w:hint="eastAsia" w:ascii="仿宋" w:hAnsi="仿宋" w:eastAsia="仿宋" w:cs="仿宋"/>
                <w:kern w:val="0"/>
                <w:sz w:val="21"/>
                <w:szCs w:val="21"/>
              </w:rPr>
            </w:pPr>
            <w:r>
              <w:rPr>
                <w:rFonts w:hint="eastAsia" w:ascii="仿宋" w:hAnsi="仿宋" w:eastAsia="仿宋" w:cs="仿宋"/>
                <w:kern w:val="0"/>
                <w:sz w:val="21"/>
                <w:szCs w:val="21"/>
              </w:rPr>
              <w:t>3、★单屏教学加电子白板教学模式：教师可以根据教学需要将课件资源投影到任意一个屏幕，另一个屏幕启动电子白板功能，教师可以通过电子白板功能进行课件的操作和注解。</w:t>
            </w:r>
          </w:p>
          <w:p>
            <w:pPr>
              <w:widowControl/>
              <w:ind w:left="420" w:leftChars="200"/>
              <w:jc w:val="left"/>
              <w:rPr>
                <w:rFonts w:hint="eastAsia" w:ascii="仿宋" w:hAnsi="仿宋" w:eastAsia="仿宋" w:cs="仿宋"/>
                <w:kern w:val="0"/>
                <w:sz w:val="21"/>
                <w:szCs w:val="21"/>
              </w:rPr>
            </w:pPr>
            <w:r>
              <w:rPr>
                <w:rFonts w:hint="eastAsia" w:ascii="仿宋" w:hAnsi="仿宋" w:eastAsia="仿宋" w:cs="仿宋"/>
                <w:kern w:val="0"/>
                <w:sz w:val="21"/>
                <w:szCs w:val="21"/>
              </w:rPr>
              <w:t>4、★双屏教学模式：教师可以根据素材需要进行双屏互动教学，左屏可以作为主干知识教学，右屏可以根据主干知识点进行插入不同的多媒体素材，从而达到对主干知识点补充和扩展教学的目地。</w:t>
            </w:r>
          </w:p>
          <w:p>
            <w:pPr>
              <w:widowControl/>
              <w:ind w:left="360"/>
              <w:jc w:val="left"/>
              <w:rPr>
                <w:rFonts w:hint="eastAsia" w:ascii="仿宋" w:hAnsi="仿宋" w:eastAsia="仿宋" w:cs="仿宋"/>
                <w:kern w:val="0"/>
                <w:sz w:val="21"/>
                <w:szCs w:val="21"/>
              </w:rPr>
            </w:pPr>
            <w:r>
              <w:rPr>
                <w:rFonts w:hint="eastAsia" w:ascii="仿宋" w:hAnsi="仿宋" w:eastAsia="仿宋" w:cs="仿宋"/>
                <w:kern w:val="0"/>
                <w:sz w:val="21"/>
                <w:szCs w:val="21"/>
              </w:rPr>
              <w:t>5、★其他教学功能：教师根据教学资源和教学需要，可以将各种功能进行任意组合，如在进行多媒体教学时，若不想展示某屏内容，可以直接将此屏息屏，这时教师可以在此屏进行普通水笔书写，对其他知识点补充后再进行其他内容的教学，当前内容教学完成后，再次点击按钮就可以进行后续内容的教学功能等。</w:t>
            </w:r>
          </w:p>
          <w:p>
            <w:pPr>
              <w:widowControl/>
              <w:ind w:left="360"/>
              <w:jc w:val="left"/>
              <w:rPr>
                <w:rFonts w:hint="eastAsia" w:ascii="仿宋" w:hAnsi="仿宋" w:eastAsia="仿宋" w:cs="仿宋"/>
                <w:kern w:val="0"/>
                <w:sz w:val="21"/>
                <w:szCs w:val="21"/>
              </w:rPr>
            </w:pPr>
            <w:r>
              <w:rPr>
                <w:rFonts w:hint="eastAsia" w:ascii="仿宋" w:hAnsi="仿宋" w:eastAsia="仿宋" w:cs="仿宋"/>
                <w:kern w:val="0"/>
                <w:sz w:val="21"/>
                <w:szCs w:val="21"/>
              </w:rPr>
              <w:t>复习巩固</w:t>
            </w:r>
          </w:p>
          <w:p>
            <w:pPr>
              <w:widowControl/>
              <w:numPr>
                <w:ilvl w:val="0"/>
                <w:numId w:val="12"/>
              </w:numPr>
              <w:jc w:val="left"/>
              <w:rPr>
                <w:rFonts w:hint="eastAsia" w:ascii="仿宋" w:hAnsi="仿宋" w:eastAsia="仿宋" w:cs="仿宋"/>
                <w:kern w:val="0"/>
                <w:sz w:val="21"/>
                <w:szCs w:val="21"/>
              </w:rPr>
            </w:pPr>
            <w:r>
              <w:rPr>
                <w:rFonts w:hint="eastAsia" w:ascii="仿宋" w:hAnsi="仿宋" w:eastAsia="仿宋" w:cs="仿宋"/>
                <w:kern w:val="0"/>
                <w:sz w:val="21"/>
                <w:szCs w:val="21"/>
              </w:rPr>
              <w:t>课堂内容分享功能：软件支持教学课件的分享及存储功能，能够快速将课堂内容保存到本地电脑端或云端，教师可以自由分享上课内容给学生。学生可以对课堂笔记内容进行课后复习。</w:t>
            </w:r>
          </w:p>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rPr>
              <w:t>2、课后作业功能：教师可以根据教学需要对学生布置课后作业，或将自己的上课内容及重要知识点发送给学生进行课后复习，此项功能完全基于教育云平台进行发送和收取。</w:t>
            </w:r>
          </w:p>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rPr>
              <w:t>历史上的今天</w:t>
            </w:r>
          </w:p>
          <w:p>
            <w:pPr>
              <w:widowControl/>
              <w:numPr>
                <w:ilvl w:val="0"/>
                <w:numId w:val="13"/>
              </w:numPr>
              <w:jc w:val="left"/>
              <w:rPr>
                <w:rFonts w:hint="eastAsia" w:ascii="仿宋" w:hAnsi="仿宋" w:eastAsia="仿宋" w:cs="仿宋"/>
                <w:kern w:val="0"/>
                <w:sz w:val="21"/>
                <w:szCs w:val="21"/>
              </w:rPr>
            </w:pPr>
            <w:r>
              <w:rPr>
                <w:rFonts w:hint="eastAsia" w:ascii="仿宋" w:hAnsi="仿宋" w:eastAsia="仿宋" w:cs="仿宋"/>
                <w:kern w:val="0"/>
                <w:sz w:val="21"/>
                <w:szCs w:val="21"/>
              </w:rPr>
              <w:t>软件带有历史上的今天查看功能，联网状态下可以实时查看历史上的今天发生的历史事件等。有助于扩展课堂历史教学的知识面和提高学生的学习兴趣等。</w:t>
            </w:r>
          </w:p>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rPr>
              <w:t>★3D资源功能</w:t>
            </w:r>
          </w:p>
          <w:p>
            <w:pPr>
              <w:widowControl/>
              <w:jc w:val="left"/>
              <w:rPr>
                <w:rFonts w:hint="eastAsia" w:ascii="仿宋" w:hAnsi="仿宋" w:eastAsia="仿宋" w:cs="仿宋"/>
                <w:sz w:val="21"/>
                <w:szCs w:val="21"/>
                <w:shd w:val="clear" w:color="auto" w:fill="FFFFFF"/>
              </w:rPr>
            </w:pPr>
            <w:r>
              <w:rPr>
                <w:rFonts w:hint="eastAsia" w:ascii="仿宋" w:hAnsi="仿宋" w:eastAsia="仿宋" w:cs="仿宋"/>
                <w:kern w:val="0"/>
                <w:sz w:val="21"/>
                <w:szCs w:val="21"/>
              </w:rPr>
              <w:t>数字化历史教学软件带有3D资源教学功能，3D资源的引入使学生能够更加真切的体会到文物的历史气息，更加快速的进入到学习状态。3D资源完全根据教材插图及相应的文物或出土器物进行建模设计，3D资源三维效果逼真，配色合理。教师可以对这些资源进行放大、缩小、旋转、局部查看等操作。也可以调出这些3D资源的文字及视频内容供学生学习和观摩。</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套</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90" w:hRule="atLeast"/>
        </w:trPr>
        <w:tc>
          <w:tcPr>
            <w:tcW w:w="271" w:type="dxa"/>
            <w:tcBorders>
              <w:top w:val="single" w:color="auto" w:sz="4" w:space="0"/>
              <w:left w:val="single" w:color="auto" w:sz="4" w:space="0"/>
              <w:bottom w:val="single" w:color="auto" w:sz="4" w:space="0"/>
              <w:right w:val="single" w:color="auto" w:sz="4" w:space="0"/>
            </w:tcBorders>
            <w:shd w:val="solid" w:color="FFFFFF" w:fill="auto"/>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2</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rPr>
            </w:pPr>
            <w:r>
              <w:rPr>
                <w:rFonts w:hint="eastAsia" w:ascii="仿宋" w:hAnsi="仿宋" w:eastAsia="仿宋" w:cs="仿宋"/>
                <w:sz w:val="21"/>
                <w:szCs w:val="21"/>
              </w:rPr>
              <w:t>泰姬陵模型</w:t>
            </w:r>
          </w:p>
          <w:p>
            <w:pPr>
              <w:widowControl/>
              <w:jc w:val="center"/>
              <w:textAlignment w:val="center"/>
              <w:rPr>
                <w:rFonts w:hint="eastAsia" w:ascii="仿宋" w:hAnsi="仿宋" w:eastAsia="仿宋" w:cs="仿宋"/>
                <w:sz w:val="21"/>
                <w:szCs w:val="21"/>
                <w:shd w:val="clear" w:color="auto" w:fill="FFFFFF"/>
              </w:rPr>
            </w:pPr>
          </w:p>
        </w:tc>
        <w:tc>
          <w:tcPr>
            <w:tcW w:w="6995" w:type="dxa"/>
            <w:tcBorders>
              <w:top w:val="single" w:color="auto" w:sz="4" w:space="0"/>
              <w:left w:val="single" w:color="auto" w:sz="4" w:space="0"/>
              <w:bottom w:val="single" w:color="auto" w:sz="4" w:space="0"/>
              <w:right w:val="single" w:color="auto" w:sz="4" w:space="0"/>
            </w:tcBorders>
            <w:noWrap w:val="0"/>
            <w:vAlign w:val="top"/>
          </w:tcPr>
          <w:p>
            <w:pPr>
              <w:pStyle w:val="89"/>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尺寸：长</w:t>
            </w:r>
            <w:r>
              <w:rPr>
                <w:rFonts w:hint="eastAsia" w:ascii="仿宋" w:hAnsi="仿宋" w:eastAsia="仿宋" w:cs="仿宋"/>
                <w:kern w:val="0"/>
                <w:sz w:val="21"/>
                <w:szCs w:val="21"/>
              </w:rPr>
              <w:t>≥</w:t>
            </w:r>
            <w:r>
              <w:rPr>
                <w:rFonts w:hint="eastAsia" w:ascii="仿宋" w:hAnsi="仿宋" w:eastAsia="仿宋" w:cs="仿宋"/>
                <w:sz w:val="21"/>
                <w:szCs w:val="21"/>
              </w:rPr>
              <w:t>58厘米，宽</w:t>
            </w:r>
            <w:r>
              <w:rPr>
                <w:rFonts w:hint="eastAsia" w:ascii="仿宋" w:hAnsi="仿宋" w:eastAsia="仿宋" w:cs="仿宋"/>
                <w:kern w:val="0"/>
                <w:sz w:val="21"/>
                <w:szCs w:val="21"/>
              </w:rPr>
              <w:t>≥</w:t>
            </w:r>
            <w:r>
              <w:rPr>
                <w:rFonts w:hint="eastAsia" w:ascii="仿宋" w:hAnsi="仿宋" w:eastAsia="仿宋" w:cs="仿宋"/>
                <w:sz w:val="21"/>
                <w:szCs w:val="21"/>
              </w:rPr>
              <w:t>58厘米，高</w:t>
            </w:r>
            <w:r>
              <w:rPr>
                <w:rFonts w:hint="eastAsia" w:ascii="仿宋" w:hAnsi="仿宋" w:eastAsia="仿宋" w:cs="仿宋"/>
                <w:kern w:val="0"/>
                <w:sz w:val="21"/>
                <w:szCs w:val="21"/>
              </w:rPr>
              <w:t>≥</w:t>
            </w:r>
            <w:r>
              <w:rPr>
                <w:rFonts w:hint="eastAsia" w:ascii="仿宋" w:hAnsi="仿宋" w:eastAsia="仿宋" w:cs="仿宋"/>
                <w:sz w:val="21"/>
                <w:szCs w:val="21"/>
              </w:rPr>
              <w:t>35厘米。</w:t>
            </w:r>
          </w:p>
          <w:p>
            <w:pPr>
              <w:spacing w:line="360" w:lineRule="atLeast"/>
              <w:ind w:firstLine="420"/>
              <w:rPr>
                <w:rFonts w:hint="eastAsia" w:ascii="仿宋" w:hAnsi="仿宋" w:eastAsia="仿宋" w:cs="仿宋"/>
                <w:sz w:val="21"/>
                <w:szCs w:val="21"/>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"https://baike.baidu.com/item/%E6%B3%B0%E5%A7%AC"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泰姬</w:t>
            </w:r>
            <w:r>
              <w:rPr>
                <w:rFonts w:hint="eastAsia" w:ascii="仿宋" w:hAnsi="仿宋" w:eastAsia="仿宋" w:cs="仿宋"/>
                <w:sz w:val="21"/>
                <w:szCs w:val="21"/>
              </w:rPr>
              <w:fldChar w:fldCharType="end"/>
            </w:r>
            <w:r>
              <w:rPr>
                <w:rFonts w:hint="eastAsia" w:ascii="仿宋" w:hAnsi="仿宋" w:eastAsia="仿宋" w:cs="仿宋"/>
                <w:sz w:val="21"/>
                <w:szCs w:val="21"/>
              </w:rPr>
              <w:t>陵（Taj Mahal ），是</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"https://baike.baidu.com/item/%E5%8D%B0%E5%BA%A6/121904"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印度</w:t>
            </w:r>
            <w:r>
              <w:rPr>
                <w:rFonts w:hint="eastAsia" w:ascii="仿宋" w:hAnsi="仿宋" w:eastAsia="仿宋" w:cs="仿宋"/>
                <w:sz w:val="21"/>
                <w:szCs w:val="21"/>
              </w:rPr>
              <w:fldChar w:fldCharType="end"/>
            </w:r>
            <w:r>
              <w:rPr>
                <w:rFonts w:hint="eastAsia" w:ascii="仿宋" w:hAnsi="仿宋" w:eastAsia="仿宋" w:cs="仿宋"/>
                <w:sz w:val="21"/>
                <w:szCs w:val="21"/>
              </w:rPr>
              <w:t>知名度最高的古迹之一，</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"https://baike.baidu.com/item/%E4%B8%96%E7%95%8C%E6%96%87%E5%8C%96%E9%81%97%E4%BA%A7"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世界文化遗产</w:t>
            </w:r>
            <w:r>
              <w:rPr>
                <w:rFonts w:hint="eastAsia" w:ascii="仿宋" w:hAnsi="仿宋" w:eastAsia="仿宋" w:cs="仿宋"/>
                <w:sz w:val="21"/>
                <w:szCs w:val="21"/>
              </w:rPr>
              <w:fldChar w:fldCharType="end"/>
            </w:r>
            <w:r>
              <w:rPr>
                <w:rFonts w:hint="eastAsia" w:ascii="仿宋" w:hAnsi="仿宋" w:eastAsia="仿宋" w:cs="仿宋"/>
                <w:sz w:val="21"/>
                <w:szCs w:val="21"/>
              </w:rPr>
              <w:t>，被评选为“</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"https://baike.baidu.com/item/%E4%B8%96%E7%95%8C%E6%96%B0%E4%B8%83%E5%A4%A7%E5%A5%87%E8%BF%B9"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世界新七大奇迹</w:t>
            </w:r>
            <w:r>
              <w:rPr>
                <w:rFonts w:hint="eastAsia" w:ascii="仿宋" w:hAnsi="仿宋" w:eastAsia="仿宋" w:cs="仿宋"/>
                <w:sz w:val="21"/>
                <w:szCs w:val="21"/>
              </w:rPr>
              <w:fldChar w:fldCharType="end"/>
            </w:r>
            <w:r>
              <w:rPr>
                <w:rFonts w:hint="eastAsia" w:ascii="仿宋" w:hAnsi="仿宋" w:eastAsia="仿宋" w:cs="仿宋"/>
                <w:sz w:val="21"/>
                <w:szCs w:val="21"/>
              </w:rPr>
              <w:t>”。</w:t>
            </w:r>
            <w:r>
              <w:rPr>
                <w:rFonts w:hint="eastAsia" w:ascii="仿宋" w:hAnsi="仿宋" w:eastAsia="仿宋" w:cs="仿宋"/>
                <w:sz w:val="21"/>
                <w:szCs w:val="21"/>
                <w:vertAlign w:val="superscript"/>
              </w:rPr>
              <w:t>[1]</w:t>
            </w:r>
            <w:bookmarkStart w:id="24" w:name="ref_[1]_15370619"/>
            <w:r>
              <w:rPr>
                <w:rFonts w:hint="eastAsia" w:ascii="仿宋" w:hAnsi="仿宋" w:eastAsia="仿宋" w:cs="仿宋"/>
                <w:sz w:val="21"/>
                <w:szCs w:val="21"/>
              </w:rPr>
              <w:t> </w:t>
            </w:r>
            <w:bookmarkEnd w:id="24"/>
            <w:r>
              <w:rPr>
                <w:rFonts w:hint="eastAsia" w:ascii="仿宋" w:hAnsi="仿宋" w:eastAsia="仿宋" w:cs="仿宋"/>
                <w:sz w:val="21"/>
                <w:szCs w:val="21"/>
              </w:rPr>
              <w:t xml:space="preserve"> </w:t>
            </w:r>
          </w:p>
          <w:p>
            <w:pPr>
              <w:spacing w:line="360" w:lineRule="atLeast"/>
              <w:ind w:firstLine="420"/>
              <w:rPr>
                <w:rFonts w:hint="eastAsia" w:ascii="仿宋" w:hAnsi="仿宋" w:eastAsia="仿宋" w:cs="仿宋"/>
                <w:sz w:val="21"/>
                <w:szCs w:val="21"/>
              </w:rPr>
            </w:pPr>
            <w:r>
              <w:rPr>
                <w:rFonts w:hint="eastAsia" w:ascii="仿宋" w:hAnsi="仿宋" w:eastAsia="仿宋" w:cs="仿宋"/>
                <w:sz w:val="21"/>
                <w:szCs w:val="21"/>
              </w:rPr>
              <w:t>泰姬陵全称为“泰姬·玛哈拉”，是一座白色大理石建成的巨大陵墓</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"https://baike.baidu.com/item/%E6%B8%85%E7%9C%9F%E5%AF%BA"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清真寺</w:t>
            </w:r>
            <w:r>
              <w:rPr>
                <w:rFonts w:hint="eastAsia" w:ascii="仿宋" w:hAnsi="仿宋" w:eastAsia="仿宋" w:cs="仿宋"/>
                <w:sz w:val="21"/>
                <w:szCs w:val="21"/>
              </w:rPr>
              <w:fldChar w:fldCharType="end"/>
            </w:r>
            <w:r>
              <w:rPr>
                <w:rFonts w:hint="eastAsia" w:ascii="仿宋" w:hAnsi="仿宋" w:eastAsia="仿宋" w:cs="仿宋"/>
                <w:sz w:val="21"/>
                <w:szCs w:val="21"/>
              </w:rPr>
              <w:t>，是莫卧儿皇帝</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"https://baike.baidu.com/item/%E6%B2%99%E8%B4%BE%E6%B1%97"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沙贾汗</w:t>
            </w:r>
            <w:r>
              <w:rPr>
                <w:rFonts w:hint="eastAsia" w:ascii="仿宋" w:hAnsi="仿宋" w:eastAsia="仿宋" w:cs="仿宋"/>
                <w:sz w:val="21"/>
                <w:szCs w:val="21"/>
              </w:rPr>
              <w:fldChar w:fldCharType="end"/>
            </w:r>
            <w:r>
              <w:rPr>
                <w:rFonts w:hint="eastAsia" w:ascii="仿宋" w:hAnsi="仿宋" w:eastAsia="仿宋" w:cs="仿宋"/>
                <w:sz w:val="21"/>
                <w:szCs w:val="21"/>
              </w:rPr>
              <w:t>为纪念他心爱的妃子于1631年至1653年在</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"https://baike.baidu.com/item/%E9%98%BF%E6%A0%BC%E6%8B%89"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阿格拉</w:t>
            </w:r>
            <w:r>
              <w:rPr>
                <w:rFonts w:hint="eastAsia" w:ascii="仿宋" w:hAnsi="仿宋" w:eastAsia="仿宋" w:cs="仿宋"/>
                <w:sz w:val="21"/>
                <w:szCs w:val="21"/>
              </w:rPr>
              <w:fldChar w:fldCharType="end"/>
            </w:r>
            <w:r>
              <w:rPr>
                <w:rFonts w:hint="eastAsia" w:ascii="仿宋" w:hAnsi="仿宋" w:eastAsia="仿宋" w:cs="仿宋"/>
                <w:sz w:val="21"/>
                <w:szCs w:val="21"/>
              </w:rPr>
              <w:t>而建的。位于今印度距</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"https://baike.baidu.com/item/%E6%96%B0%E5%BE%B7%E9%87%8C"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新德里</w:t>
            </w:r>
            <w:r>
              <w:rPr>
                <w:rFonts w:hint="eastAsia" w:ascii="仿宋" w:hAnsi="仿宋" w:eastAsia="仿宋" w:cs="仿宋"/>
                <w:sz w:val="21"/>
                <w:szCs w:val="21"/>
              </w:rPr>
              <w:fldChar w:fldCharType="end"/>
            </w:r>
            <w:r>
              <w:rPr>
                <w:rFonts w:hint="eastAsia" w:ascii="仿宋" w:hAnsi="仿宋" w:eastAsia="仿宋" w:cs="仿宋"/>
                <w:sz w:val="21"/>
                <w:szCs w:val="21"/>
              </w:rPr>
              <w:t>200多公里外的北方邦的</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"https://baike.baidu.com/item/%E9%98%BF%E6%A0%BC%E6%8B%89"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阿格拉</w:t>
            </w:r>
            <w:r>
              <w:rPr>
                <w:rFonts w:hint="eastAsia" w:ascii="仿宋" w:hAnsi="仿宋" w:eastAsia="仿宋" w:cs="仿宋"/>
                <w:sz w:val="21"/>
                <w:szCs w:val="21"/>
              </w:rPr>
              <w:fldChar w:fldCharType="end"/>
            </w:r>
            <w:r>
              <w:rPr>
                <w:rFonts w:hint="eastAsia" w:ascii="仿宋" w:hAnsi="仿宋" w:eastAsia="仿宋" w:cs="仿宋"/>
                <w:sz w:val="21"/>
                <w:szCs w:val="21"/>
              </w:rPr>
              <w:t>(Agra)城内，</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"https://baike.baidu.com/item/%E4%BA%9A%E7%A9%86%E7%BA%B3%E6%B2%B3"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亚穆纳河</w:t>
            </w:r>
            <w:r>
              <w:rPr>
                <w:rFonts w:hint="eastAsia" w:ascii="仿宋" w:hAnsi="仿宋" w:eastAsia="仿宋" w:cs="仿宋"/>
                <w:sz w:val="21"/>
                <w:szCs w:val="21"/>
              </w:rPr>
              <w:fldChar w:fldCharType="end"/>
            </w:r>
            <w:r>
              <w:rPr>
                <w:rFonts w:hint="eastAsia" w:ascii="仿宋" w:hAnsi="仿宋" w:eastAsia="仿宋" w:cs="仿宋"/>
                <w:sz w:val="21"/>
                <w:szCs w:val="21"/>
              </w:rPr>
              <w:t>右侧。由殿堂、钟楼、尖塔、水池等构成，全部用纯白色大理石建筑，用玻璃、玛瑙镶嵌，具有极高的</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"https://baike.baidu.com/item/%E8%89%BA%E6%9C%AF%E4%BB%B7%E5%80%BC"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艺术价值</w:t>
            </w:r>
            <w:r>
              <w:rPr>
                <w:rFonts w:hint="eastAsia" w:ascii="仿宋" w:hAnsi="仿宋" w:eastAsia="仿宋" w:cs="仿宋"/>
                <w:sz w:val="21"/>
                <w:szCs w:val="21"/>
              </w:rPr>
              <w:fldChar w:fldCharType="end"/>
            </w:r>
            <w:r>
              <w:rPr>
                <w:rFonts w:hint="eastAsia" w:ascii="仿宋" w:hAnsi="仿宋" w:eastAsia="仿宋" w:cs="仿宋"/>
                <w:sz w:val="21"/>
                <w:szCs w:val="21"/>
              </w:rPr>
              <w:t>。</w:t>
            </w:r>
          </w:p>
          <w:p>
            <w:pPr>
              <w:spacing w:line="360" w:lineRule="atLeast"/>
              <w:ind w:firstLine="420"/>
              <w:rPr>
                <w:rFonts w:hint="eastAsia" w:ascii="仿宋" w:hAnsi="仿宋" w:eastAsia="仿宋" w:cs="仿宋"/>
                <w:sz w:val="21"/>
                <w:szCs w:val="21"/>
                <w:shd w:val="clear" w:color="auto" w:fill="FFFFFF"/>
              </w:rPr>
            </w:pPr>
            <w:r>
              <w:rPr>
                <w:rFonts w:hint="eastAsia" w:ascii="仿宋" w:hAnsi="仿宋" w:eastAsia="仿宋" w:cs="仿宋"/>
                <w:sz w:val="21"/>
                <w:szCs w:val="21"/>
              </w:rPr>
              <w:t>泰姬陵是印度</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"https://baike.baidu.com/item/%E7%A9%86%E6%96%AF%E6%9E%97"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穆斯林</w:t>
            </w:r>
            <w:r>
              <w:rPr>
                <w:rFonts w:hint="eastAsia" w:ascii="仿宋" w:hAnsi="仿宋" w:eastAsia="仿宋" w:cs="仿宋"/>
                <w:sz w:val="21"/>
                <w:szCs w:val="21"/>
              </w:rPr>
              <w:fldChar w:fldCharType="end"/>
            </w:r>
            <w:r>
              <w:rPr>
                <w:rFonts w:hint="eastAsia" w:ascii="仿宋" w:hAnsi="仿宋" w:eastAsia="仿宋" w:cs="仿宋"/>
                <w:sz w:val="21"/>
                <w:szCs w:val="21"/>
              </w:rPr>
              <w:t>艺术最完美的瑰宝，是</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"https://baike.baidu.com/item/%E4%B8%96%E7%95%8C%E9%81%97%E4%BA%A7/67761"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世界遗产</w:t>
            </w:r>
            <w:r>
              <w:rPr>
                <w:rFonts w:hint="eastAsia" w:ascii="仿宋" w:hAnsi="仿宋" w:eastAsia="仿宋" w:cs="仿宋"/>
                <w:sz w:val="21"/>
                <w:szCs w:val="21"/>
              </w:rPr>
              <w:fldChar w:fldCharType="end"/>
            </w:r>
            <w:r>
              <w:rPr>
                <w:rFonts w:hint="eastAsia" w:ascii="仿宋" w:hAnsi="仿宋" w:eastAsia="仿宋" w:cs="仿宋"/>
                <w:sz w:val="21"/>
                <w:szCs w:val="21"/>
              </w:rPr>
              <w:t>中的经典杰作之一，被誉为“完美建筑”，又有“印度明珠”的美誉。</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套</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2993" w:hRule="atLeast"/>
        </w:trPr>
        <w:tc>
          <w:tcPr>
            <w:tcW w:w="271" w:type="dxa"/>
            <w:tcBorders>
              <w:top w:val="single" w:color="auto" w:sz="4" w:space="0"/>
              <w:left w:val="single" w:color="auto" w:sz="4" w:space="0"/>
              <w:bottom w:val="single" w:color="auto" w:sz="4" w:space="0"/>
              <w:right w:val="single" w:color="auto" w:sz="4" w:space="0"/>
            </w:tcBorders>
            <w:shd w:val="solid" w:color="FFFFFF" w:fill="auto"/>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3</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巴西基督像</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eastAsia="zh-CN" w:bidi="ar"/>
              </w:rPr>
              <w:t>模型尺寸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93*63*55cm，全景缩微模型，复合材料复制；                                                简介：里约热内卢基督像（救世基督像，葡萄牙语：Cristo Redentor）落成于1931年，总高38米，体积庞大，有200吨重，左右手的指间距达到了23米。雕像中的耶稣基督身着长袍，双臂平举，深情地俯瞰山下里约热内卢市的美丽全景，预示着博爱的精神和对独立的赞许。耶稣像面向着碧波荡漾的大西洋，张开着的双臂从远处望去，就像一个巨大的十字架，显得庄重、威严。耶稣基督的身影与群山融为一体，一些云团不时飘浮在山峰之间，使耶稣像若隐若现，使他显得更加神秘圣洁。巨大的耶稣塑像建在这座高山的顶端，无论白天还是夜晚，从市内的大部分地区都能看到，成为巴西名城里约热内卢最著名的标志。</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项</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90"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4</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帕特农神庙</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eastAsia="zh-CN" w:bidi="ar"/>
              </w:rPr>
              <w:t>模型尺寸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93*63*37cm 全景缩微模型，复合材料复制；简介；神庙的内部，既遵循多利亚柱式的惯例，安排得很简单，又主题突出，庄重宏伟。专与一般神庙相同，殿堂均分为前后两间，前厅安置神像，后库存放祭品和财物。帕特农神庙的前厅安置着菲迪亚斯制作的黄金象牙雕的雅典娜巨像。为配合这尊巨像，前厅用两层多利亚的柱列围绕巨像的左右和后方。上承屋顶，旁开空廊，更衬托出巨像的高大，而它们的檐部也大大简化，只有额枋而没有三陇板和间板。像之帕特农神庙前方直到大门为一片空白，不置任何杂物，却在靠近巨像基座处挖出一个长方形水池，利用池中之水反射从大门而来的阳光，控使金光闪烁的巨像更显富丽堂皇。和前厅隔开的后库则是真正的宝库，用来存放雅典海上同盟各邦交纳的贡金。廊前列雕花铁栅，库房用四根柱子支撑，不过柱子是爱奥尼亚式而非前厅所用的多利亚式。这一方面适应了同盟各邦主要属于爱奥尼亚地区的情况，同时也反映了神庙设计思想的一大特点，即按伯里克利所宣扬的“雅典是全希腊的学校”的思想，把两种柱身容于一身。</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项</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5</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秦明古长城模型</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2070"/>
                <w:tab w:val="center" w:pos="4376"/>
              </w:tabs>
              <w:jc w:val="left"/>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eastAsia="zh-CN" w:bidi="ar"/>
              </w:rPr>
              <w:tab/>
            </w:r>
            <w:r>
              <w:rPr>
                <w:rFonts w:hint="eastAsia" w:ascii="仿宋" w:hAnsi="仿宋" w:eastAsia="仿宋" w:cs="仿宋"/>
                <w:color w:val="000000"/>
                <w:kern w:val="0"/>
                <w:sz w:val="21"/>
                <w:szCs w:val="21"/>
                <w:lang w:eastAsia="zh-CN" w:bidi="ar"/>
              </w:rPr>
              <w:t>模型尺寸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eastAsia="zh-CN" w:bidi="ar"/>
              </w:rPr>
              <w:tab/>
            </w:r>
            <w:r>
              <w:rPr>
                <w:rFonts w:hint="eastAsia" w:ascii="仿宋" w:hAnsi="仿宋" w:eastAsia="仿宋" w:cs="仿宋"/>
                <w:color w:val="000000"/>
                <w:kern w:val="0"/>
                <w:sz w:val="21"/>
                <w:szCs w:val="21"/>
                <w:lang w:bidi="ar"/>
              </w:rPr>
              <w:t>930×630×200mm；复合材料复制。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项</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6</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磨制石器模型</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eastAsia="zh-CN" w:bidi="ar"/>
              </w:rPr>
              <w:t>模型尺寸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610×410×120mm；复合材料复制。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项</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7</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半坡遗址模型</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eastAsia="zh-CN" w:bidi="ar"/>
              </w:rPr>
              <w:t>模型尺寸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930×630×200mm；全景缩微模型，复合材料复制。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项</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8</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半坡陶器模型</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eastAsia="zh-CN" w:bidi="ar"/>
              </w:rPr>
              <w:t>模型尺寸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930×630×200mm；全景缩微模型，复合材料复制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项</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1800"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9</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秦始皇兵马俑一号坑复原图</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eastAsia="zh-CN" w:bidi="ar"/>
              </w:rPr>
              <w:t>模型尺寸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930×630×200mm；全景缩微模型，复合材料复制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项</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10</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 xml:space="preserve">猪纹陶钵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高仿真复合材料复制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11</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黑陶高柄杯</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高仿真复合材料复制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color w:val="000000"/>
                <w:sz w:val="21"/>
                <w:szCs w:val="21"/>
                <w:shd w:val="clear" w:color="auto" w:fill="FFFFFF"/>
              </w:rPr>
            </w:pPr>
            <w:r>
              <w:rPr>
                <w:rFonts w:hint="eastAsia" w:ascii="仿宋" w:hAnsi="仿宋" w:eastAsia="仿宋" w:cs="仿宋"/>
                <w:color w:val="000000"/>
                <w:sz w:val="21"/>
                <w:szCs w:val="21"/>
              </w:rPr>
              <w:t>12</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 xml:space="preserve">二里头铜爵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博物馆原物拓制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shd w:val="clear" w:color="auto" w:fill="FFFFFF"/>
              </w:rPr>
            </w:pPr>
            <w:r>
              <w:rPr>
                <w:rFonts w:hint="eastAsia" w:ascii="仿宋" w:hAnsi="仿宋" w:eastAsia="仿宋" w:cs="仿宋"/>
                <w:sz w:val="21"/>
                <w:szCs w:val="21"/>
              </w:rPr>
              <w:t>13</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卜甲、卜骨</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高仿真复合材料复制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shd w:val="clear" w:color="auto" w:fill="FFFFFF"/>
              </w:rPr>
            </w:pPr>
            <w:r>
              <w:rPr>
                <w:rFonts w:hint="eastAsia" w:ascii="仿宋" w:hAnsi="仿宋" w:eastAsia="仿宋" w:cs="仿宋"/>
                <w:sz w:val="21"/>
                <w:szCs w:val="21"/>
              </w:rPr>
              <w:t>14</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曲辕犁</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原物复制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15</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 xml:space="preserve">勾践剑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rPr>
            </w:pPr>
            <w:r>
              <w:rPr>
                <w:rFonts w:hint="eastAsia" w:ascii="仿宋" w:hAnsi="仿宋" w:eastAsia="仿宋" w:cs="仿宋"/>
                <w:kern w:val="0"/>
                <w:sz w:val="21"/>
                <w:szCs w:val="21"/>
                <w:lang w:bidi="ar"/>
              </w:rPr>
              <w:t>高仿真复制、青铜制作</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16</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 xml:space="preserve">双镰范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rPr>
            </w:pPr>
            <w:r>
              <w:rPr>
                <w:rFonts w:hint="eastAsia" w:ascii="仿宋" w:hAnsi="仿宋" w:eastAsia="仿宋" w:cs="仿宋"/>
                <w:kern w:val="0"/>
                <w:sz w:val="21"/>
                <w:szCs w:val="21"/>
                <w:lang w:bidi="ar"/>
              </w:rPr>
              <w:t>高仿真复合材料复制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17</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 xml:space="preserve">十二字砖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rPr>
            </w:pPr>
            <w:r>
              <w:rPr>
                <w:rFonts w:hint="eastAsia" w:ascii="仿宋" w:hAnsi="仿宋" w:eastAsia="仿宋" w:cs="仿宋"/>
                <w:kern w:val="0"/>
                <w:sz w:val="21"/>
                <w:szCs w:val="21"/>
                <w:lang w:bidi="ar"/>
              </w:rPr>
              <w:t>高仿真复合材料复制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18</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古钱币</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rPr>
            </w:pPr>
            <w:r>
              <w:rPr>
                <w:rFonts w:hint="eastAsia" w:ascii="仿宋" w:hAnsi="仿宋" w:eastAsia="仿宋" w:cs="仿宋"/>
                <w:kern w:val="0"/>
                <w:sz w:val="21"/>
                <w:szCs w:val="21"/>
                <w:lang w:bidi="ar"/>
              </w:rPr>
              <w:t>高仿真复合材料复制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19</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 xml:space="preserve">汉竹、木简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rPr>
            </w:pPr>
            <w:r>
              <w:rPr>
                <w:rFonts w:hint="eastAsia" w:ascii="仿宋" w:hAnsi="仿宋" w:eastAsia="仿宋" w:cs="仿宋"/>
                <w:kern w:val="0"/>
                <w:sz w:val="21"/>
                <w:szCs w:val="21"/>
                <w:lang w:bidi="ar"/>
              </w:rPr>
              <w:t>高仿真复合材料复制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20</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漆耳杯</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rPr>
            </w:pPr>
            <w:r>
              <w:rPr>
                <w:rFonts w:hint="eastAsia" w:ascii="仿宋" w:hAnsi="仿宋" w:eastAsia="仿宋" w:cs="仿宋"/>
                <w:kern w:val="0"/>
                <w:sz w:val="21"/>
                <w:szCs w:val="21"/>
                <w:lang w:bidi="ar"/>
              </w:rPr>
              <w:t>博物馆原物复制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21</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马王堆乘云绣</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rPr>
            </w:pPr>
            <w:r>
              <w:rPr>
                <w:rFonts w:hint="eastAsia" w:ascii="仿宋" w:hAnsi="仿宋" w:eastAsia="仿宋" w:cs="仿宋"/>
                <w:kern w:val="0"/>
                <w:sz w:val="21"/>
                <w:szCs w:val="21"/>
                <w:lang w:bidi="ar"/>
              </w:rPr>
              <w:t>高仿真复制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sz w:val="21"/>
                <w:szCs w:val="21"/>
                <w:shd w:val="clear" w:color="auto" w:fill="FFFFFF"/>
              </w:rPr>
            </w:pPr>
            <w:r>
              <w:rPr>
                <w:rFonts w:hint="eastAsia" w:ascii="仿宋" w:hAnsi="仿宋" w:eastAsia="仿宋" w:cs="仿宋"/>
                <w:kern w:val="0"/>
                <w:sz w:val="21"/>
                <w:szCs w:val="21"/>
                <w:lang w:bidi="ar"/>
              </w:rPr>
              <w:t>1</w:t>
            </w:r>
          </w:p>
        </w:tc>
      </w:tr>
      <w:bookmarkEnd w:id="22"/>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22</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 xml:space="preserve">铜奔马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青铜原物复制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23</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老式电话机</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高仿真复制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24</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三彩马</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陶瓷制品</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25</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四羊方尊</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根据实物1：1复制；用国家博物馆原物拓片、复合材料复制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项</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26</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司母戊方鼎模型</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eastAsia="zh-CN" w:bidi="ar"/>
              </w:rPr>
              <w:t>模型尺寸</w:t>
            </w:r>
            <w:r>
              <w:rPr>
                <w:rFonts w:hint="eastAsia" w:ascii="仿宋" w:hAnsi="仿宋" w:eastAsia="仿宋" w:cs="仿宋"/>
                <w:kern w:val="0"/>
                <w:sz w:val="21"/>
                <w:szCs w:val="21"/>
              </w:rPr>
              <w:t>≥</w:t>
            </w:r>
            <w:r>
              <w:rPr>
                <w:rFonts w:hint="eastAsia" w:ascii="仿宋" w:hAnsi="仿宋" w:eastAsia="仿宋" w:cs="仿宋"/>
                <w:kern w:val="0"/>
                <w:sz w:val="21"/>
                <w:szCs w:val="21"/>
                <w:lang w:bidi="ar"/>
              </w:rPr>
              <w:t>170*160*130mm；复合材料复制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项</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27</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三彩骆驼</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陶瓷制品</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28</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 xml:space="preserve">铜镜（海兽葡萄镜）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全铜高仿真复制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29</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司南</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原物复原</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30</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 xml:space="preserve">至顺三年铜炮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高仿真复制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31</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景德镇青花瓷盘</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陶瓷制品</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32</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 xml:space="preserve">景德镇五彩瓷瓶  </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陶瓷制品</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33</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郑和宝船</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高仿真复制</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34</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罗马城徽</w:t>
            </w:r>
            <w:r>
              <w:rPr>
                <w:rStyle w:val="81"/>
                <w:rFonts w:hint="eastAsia" w:ascii="仿宋" w:hAnsi="仿宋" w:eastAsia="仿宋" w:cs="仿宋"/>
                <w:color w:val="auto"/>
                <w:sz w:val="21"/>
                <w:szCs w:val="21"/>
                <w:lang w:bidi="ar"/>
              </w:rPr>
              <w:t>--</w:t>
            </w:r>
            <w:r>
              <w:rPr>
                <w:rFonts w:hint="eastAsia" w:ascii="仿宋" w:hAnsi="仿宋" w:eastAsia="仿宋" w:cs="仿宋"/>
                <w:kern w:val="0"/>
                <w:sz w:val="21"/>
                <w:szCs w:val="21"/>
                <w:lang w:bidi="ar"/>
              </w:rPr>
              <w:t>母狼</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高仿真复制模型</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35</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中国古观星台模型</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全景缩微模型</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1346"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36</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仿宋" w:hAnsi="仿宋" w:eastAsia="仿宋" w:cs="仿宋"/>
                <w:kern w:val="0"/>
                <w:sz w:val="21"/>
                <w:szCs w:val="21"/>
                <w:lang w:eastAsia="zh-CN" w:bidi="ar"/>
              </w:rPr>
            </w:pPr>
            <w:r>
              <w:rPr>
                <w:rFonts w:hint="eastAsia" w:ascii="仿宋" w:hAnsi="仿宋" w:eastAsia="仿宋" w:cs="仿宋"/>
                <w:kern w:val="0"/>
                <w:sz w:val="21"/>
                <w:szCs w:val="21"/>
                <w:lang w:eastAsia="zh-CN" w:bidi="ar"/>
              </w:rPr>
              <w:t>历史演播系统</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pStyle w:val="43"/>
              <w:numPr>
                <w:ilvl w:val="0"/>
                <w:numId w:val="14"/>
              </w:numPr>
              <w:ind w:firstLineChars="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产品尺寸</w:t>
            </w:r>
            <w:r>
              <w:rPr>
                <w:rFonts w:hint="eastAsia" w:ascii="仿宋" w:hAnsi="仿宋" w:eastAsia="仿宋" w:cs="仿宋"/>
                <w:kern w:val="0"/>
                <w:sz w:val="21"/>
                <w:szCs w:val="21"/>
              </w:rPr>
              <w:t>≥</w:t>
            </w:r>
            <w:r>
              <w:rPr>
                <w:rFonts w:hint="eastAsia" w:ascii="仿宋" w:hAnsi="仿宋" w:eastAsia="仿宋" w:cs="仿宋"/>
                <w:sz w:val="21"/>
                <w:szCs w:val="21"/>
              </w:rPr>
              <w:t>4米×1.2米×0.3米</w:t>
            </w:r>
          </w:p>
          <w:p>
            <w:pPr>
              <w:pStyle w:val="43"/>
              <w:numPr>
                <w:ilvl w:val="0"/>
                <w:numId w:val="14"/>
              </w:numPr>
              <w:ind w:firstLineChars="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产品构成</w:t>
            </w:r>
            <w:r>
              <w:rPr>
                <w:rFonts w:hint="eastAsia" w:ascii="仿宋" w:hAnsi="仿宋" w:eastAsia="仿宋" w:cs="仿宋"/>
                <w:kern w:val="0"/>
                <w:sz w:val="21"/>
                <w:szCs w:val="21"/>
              </w:rPr>
              <w:t>≥</w:t>
            </w:r>
            <w:r>
              <w:rPr>
                <w:rFonts w:hint="eastAsia" w:ascii="仿宋" w:hAnsi="仿宋" w:eastAsia="仿宋" w:cs="仿宋"/>
                <w:sz w:val="21"/>
                <w:szCs w:val="21"/>
              </w:rPr>
              <w:t>55寸LED显示屏一套，</w:t>
            </w:r>
            <w:r>
              <w:rPr>
                <w:rFonts w:hint="eastAsia" w:ascii="仿宋" w:hAnsi="仿宋" w:eastAsia="仿宋" w:cs="仿宋"/>
                <w:sz w:val="21"/>
                <w:szCs w:val="21"/>
                <w:lang w:eastAsia="zh-CN"/>
              </w:rPr>
              <w:t>不小于</w:t>
            </w:r>
            <w:r>
              <w:rPr>
                <w:rFonts w:hint="eastAsia" w:ascii="仿宋" w:hAnsi="仿宋" w:eastAsia="仿宋" w:cs="仿宋"/>
                <w:sz w:val="21"/>
                <w:szCs w:val="21"/>
              </w:rPr>
              <w:t>4.2米×1.4±1米磁性白板一块、ops电脑一套、电子滑动装置一套、多点触摸系统一套、磁性历史知识板</w:t>
            </w:r>
            <w:r>
              <w:rPr>
                <w:rFonts w:hint="eastAsia" w:ascii="仿宋" w:hAnsi="仿宋" w:eastAsia="仿宋" w:cs="仿宋"/>
                <w:kern w:val="0"/>
                <w:sz w:val="21"/>
                <w:szCs w:val="21"/>
              </w:rPr>
              <w:t>≥</w:t>
            </w:r>
            <w:r>
              <w:rPr>
                <w:rFonts w:hint="eastAsia" w:ascii="仿宋" w:hAnsi="仿宋" w:eastAsia="仿宋" w:cs="仿宋"/>
                <w:sz w:val="21"/>
                <w:szCs w:val="21"/>
              </w:rPr>
              <w:t>182片、时间轴</w:t>
            </w:r>
            <w:r>
              <w:rPr>
                <w:rFonts w:hint="eastAsia" w:ascii="仿宋" w:hAnsi="仿宋" w:eastAsia="仿宋" w:cs="仿宋"/>
                <w:kern w:val="0"/>
                <w:sz w:val="21"/>
                <w:szCs w:val="21"/>
              </w:rPr>
              <w:t>≥</w:t>
            </w:r>
            <w:r>
              <w:rPr>
                <w:rFonts w:hint="eastAsia" w:ascii="仿宋" w:hAnsi="仿宋" w:eastAsia="仿宋" w:cs="仿宋"/>
                <w:sz w:val="21"/>
                <w:szCs w:val="21"/>
              </w:rPr>
              <w:t>25套。</w:t>
            </w:r>
          </w:p>
          <w:p>
            <w:pPr>
              <w:pStyle w:val="43"/>
              <w:numPr>
                <w:ilvl w:val="0"/>
                <w:numId w:val="14"/>
              </w:numPr>
              <w:ind w:firstLineChars="0"/>
              <w:rPr>
                <w:rFonts w:hint="eastAsia" w:ascii="仿宋" w:hAnsi="仿宋" w:eastAsia="仿宋" w:cs="仿宋"/>
                <w:sz w:val="21"/>
                <w:szCs w:val="21"/>
              </w:rPr>
            </w:pPr>
            <w:r>
              <w:rPr>
                <w:rFonts w:hint="eastAsia" w:ascii="仿宋" w:hAnsi="仿宋" w:eastAsia="仿宋" w:cs="仿宋"/>
                <w:sz w:val="21"/>
                <w:szCs w:val="21"/>
              </w:rPr>
              <w:t>电器及硬件参数：供电参数：交流220V/2.5A，三脚电源插座，必须带有接地线。</w:t>
            </w:r>
          </w:p>
          <w:p>
            <w:pPr>
              <w:pStyle w:val="43"/>
              <w:ind w:left="420" w:firstLine="0" w:firstLineChars="0"/>
              <w:rPr>
                <w:rFonts w:hint="eastAsia" w:ascii="仿宋" w:hAnsi="仿宋" w:eastAsia="仿宋" w:cs="仿宋"/>
                <w:sz w:val="21"/>
                <w:szCs w:val="21"/>
              </w:rPr>
            </w:pPr>
            <w:r>
              <w:rPr>
                <w:rFonts w:hint="eastAsia" w:ascii="仿宋" w:hAnsi="仿宋" w:eastAsia="仿宋" w:cs="仿宋"/>
                <w:sz w:val="21"/>
                <w:szCs w:val="21"/>
              </w:rPr>
              <w:t>电脑参数：处理器:</w:t>
            </w:r>
            <w:r>
              <w:rPr>
                <w:rFonts w:hint="eastAsia" w:ascii="仿宋" w:hAnsi="仿宋" w:eastAsia="仿宋" w:cs="仿宋"/>
                <w:sz w:val="21"/>
                <w:szCs w:val="21"/>
                <w:lang w:eastAsia="zh-CN"/>
              </w:rPr>
              <w:t>不小于</w:t>
            </w:r>
            <w:r>
              <w:rPr>
                <w:rFonts w:hint="eastAsia" w:ascii="仿宋" w:hAnsi="仿宋" w:eastAsia="仿宋" w:cs="仿宋"/>
                <w:sz w:val="21"/>
                <w:szCs w:val="21"/>
              </w:rPr>
              <w:t>I5，内存</w:t>
            </w:r>
            <w:r>
              <w:rPr>
                <w:rFonts w:hint="eastAsia" w:ascii="仿宋" w:hAnsi="仿宋" w:eastAsia="仿宋" w:cs="仿宋"/>
                <w:kern w:val="0"/>
                <w:sz w:val="21"/>
                <w:szCs w:val="21"/>
              </w:rPr>
              <w:t>≥</w:t>
            </w:r>
            <w:r>
              <w:rPr>
                <w:rFonts w:hint="eastAsia" w:ascii="仿宋" w:hAnsi="仿宋" w:eastAsia="仿宋" w:cs="仿宋"/>
                <w:sz w:val="21"/>
                <w:szCs w:val="21"/>
              </w:rPr>
              <w:t>4G，硬盘：固态硬盘，容量</w:t>
            </w:r>
            <w:r>
              <w:rPr>
                <w:rFonts w:hint="eastAsia" w:ascii="仿宋" w:hAnsi="仿宋" w:eastAsia="仿宋" w:cs="仿宋"/>
                <w:kern w:val="0"/>
                <w:sz w:val="21"/>
                <w:szCs w:val="21"/>
              </w:rPr>
              <w:t>≥</w:t>
            </w:r>
            <w:r>
              <w:rPr>
                <w:rFonts w:hint="eastAsia" w:ascii="仿宋" w:hAnsi="仿宋" w:eastAsia="仿宋" w:cs="仿宋"/>
                <w:sz w:val="21"/>
                <w:szCs w:val="21"/>
              </w:rPr>
              <w:t>120G，屏幕分辨率</w:t>
            </w:r>
            <w:r>
              <w:rPr>
                <w:rFonts w:hint="eastAsia" w:ascii="仿宋" w:hAnsi="仿宋" w:eastAsia="仿宋" w:cs="仿宋"/>
                <w:kern w:val="0"/>
                <w:sz w:val="21"/>
                <w:szCs w:val="21"/>
              </w:rPr>
              <w:t>≥</w:t>
            </w:r>
            <w:r>
              <w:rPr>
                <w:rFonts w:hint="eastAsia" w:ascii="仿宋" w:hAnsi="仿宋" w:eastAsia="仿宋" w:cs="仿宋"/>
                <w:sz w:val="21"/>
                <w:szCs w:val="21"/>
              </w:rPr>
              <w:t>1920×1080</w:t>
            </w:r>
          </w:p>
          <w:p>
            <w:pPr>
              <w:pStyle w:val="43"/>
              <w:ind w:left="420" w:firstLine="0" w:firstLineChars="0"/>
              <w:rPr>
                <w:rFonts w:hint="eastAsia" w:ascii="仿宋" w:hAnsi="仿宋" w:eastAsia="仿宋" w:cs="仿宋"/>
                <w:sz w:val="21"/>
                <w:szCs w:val="21"/>
              </w:rPr>
            </w:pPr>
            <w:r>
              <w:rPr>
                <w:rFonts w:hint="eastAsia" w:ascii="仿宋" w:hAnsi="仿宋" w:eastAsia="仿宋" w:cs="仿宋"/>
                <w:sz w:val="21"/>
                <w:szCs w:val="21"/>
              </w:rPr>
              <w:t>触摸参数：支持4点以上同时触摸功能。</w:t>
            </w:r>
          </w:p>
          <w:p>
            <w:pPr>
              <w:pStyle w:val="43"/>
              <w:numPr>
                <w:ilvl w:val="0"/>
                <w:numId w:val="14"/>
              </w:numPr>
              <w:ind w:firstLineChars="0"/>
              <w:rPr>
                <w:rFonts w:hint="eastAsia" w:ascii="仿宋" w:hAnsi="仿宋" w:eastAsia="仿宋" w:cs="仿宋"/>
                <w:sz w:val="21"/>
                <w:szCs w:val="21"/>
              </w:rPr>
            </w:pPr>
            <w:r>
              <w:rPr>
                <w:rFonts w:hint="eastAsia" w:ascii="仿宋" w:hAnsi="仿宋" w:eastAsia="仿宋" w:cs="仿宋"/>
                <w:sz w:val="21"/>
                <w:szCs w:val="21"/>
              </w:rPr>
              <w:t>产品功能：多媒体历史长河教学系统作为中学历史教学产品，在历史教学中起着不可替代的作用，历史长河产品涵盖了视频内容、语音内容、3D模型、重要知识图版、手写白板、二维码知识扩展平台等内容，可以说涵盖了所有的历史教学题材的内容。历史长河的内容编排不仅参考了通史的内容特征，而且还对高中历史教学的</w:t>
            </w:r>
            <w:r>
              <w:rPr>
                <w:rFonts w:hint="eastAsia" w:ascii="仿宋" w:hAnsi="仿宋" w:eastAsia="仿宋" w:cs="仿宋"/>
                <w:color w:val="333333"/>
                <w:sz w:val="21"/>
                <w:szCs w:val="21"/>
              </w:rPr>
              <w:t>史论结合、知识点多而交叉的特点进行了重点知识的展现和拓展。使用方面：形象的使用方式以及传统教学和多媒体教学方式的呈现，让教师能够更加灵活的选择适合的教学方式，知识图版的任意组合让教学更加多样性，二维码知识扩展平台扩展了更多的历史知识让固定的图版内容可以增添更多的学习资源。</w:t>
            </w:r>
          </w:p>
          <w:p>
            <w:pPr>
              <w:numPr>
                <w:ilvl w:val="0"/>
                <w:numId w:val="14"/>
              </w:numPr>
              <w:bidi w:val="0"/>
              <w:ind w:left="562" w:leftChars="0" w:hanging="420" w:firstLineChars="0"/>
              <w:rPr>
                <w:rFonts w:hint="eastAsia" w:ascii="仿宋" w:hAnsi="仿宋" w:eastAsia="仿宋" w:cs="仿宋"/>
                <w:sz w:val="21"/>
                <w:szCs w:val="21"/>
              </w:rPr>
            </w:pPr>
            <w:r>
              <w:rPr>
                <w:rFonts w:hint="eastAsia" w:ascii="仿宋" w:hAnsi="仿宋" w:eastAsia="仿宋" w:cs="仿宋"/>
                <w:sz w:val="21"/>
                <w:szCs w:val="21"/>
                <w:lang w:eastAsia="zh-CN"/>
              </w:rPr>
              <w:t>多媒体历史长河（沿革）系统</w:t>
            </w:r>
            <w:r>
              <w:rPr>
                <w:rFonts w:hint="eastAsia" w:ascii="仿宋" w:hAnsi="仿宋" w:eastAsia="仿宋" w:cs="仿宋"/>
                <w:sz w:val="21"/>
                <w:szCs w:val="21"/>
              </w:rPr>
              <w:t>软件</w:t>
            </w:r>
            <w:r>
              <w:rPr>
                <w:rFonts w:hint="eastAsia" w:ascii="仿宋" w:hAnsi="仿宋" w:eastAsia="仿宋" w:cs="仿宋"/>
                <w:sz w:val="21"/>
                <w:szCs w:val="21"/>
                <w:lang w:val="en-US" w:eastAsia="zh-CN"/>
              </w:rPr>
              <w:t xml:space="preserve"> </w:t>
            </w:r>
          </w:p>
          <w:p>
            <w:pPr>
              <w:numPr>
                <w:ilvl w:val="0"/>
                <w:numId w:val="0"/>
              </w:numPr>
              <w:bidi w:val="0"/>
              <w:ind w:left="142" w:leftChars="0"/>
              <w:rPr>
                <w:rFonts w:hint="eastAsia" w:ascii="仿宋" w:hAnsi="仿宋" w:eastAsia="仿宋" w:cs="仿宋"/>
                <w:sz w:val="21"/>
                <w:szCs w:val="21"/>
              </w:rPr>
            </w:pPr>
            <w:r>
              <w:rPr>
                <w:rFonts w:hint="eastAsia" w:ascii="仿宋" w:hAnsi="仿宋" w:eastAsia="仿宋" w:cs="仿宋"/>
                <w:sz w:val="21"/>
                <w:szCs w:val="21"/>
              </w:rPr>
              <w:t>系统要求：win7以上系统</w:t>
            </w:r>
          </w:p>
          <w:p>
            <w:pPr>
              <w:pStyle w:val="43"/>
              <w:ind w:left="420" w:firstLine="0" w:firstLineChars="0"/>
              <w:rPr>
                <w:rFonts w:hint="eastAsia" w:ascii="仿宋" w:hAnsi="仿宋" w:eastAsia="仿宋" w:cs="仿宋"/>
                <w:sz w:val="21"/>
                <w:szCs w:val="21"/>
              </w:rPr>
            </w:pPr>
            <w:r>
              <w:rPr>
                <w:rFonts w:hint="eastAsia" w:ascii="仿宋" w:hAnsi="仿宋" w:eastAsia="仿宋" w:cs="仿宋"/>
                <w:sz w:val="21"/>
                <w:szCs w:val="21"/>
              </w:rPr>
              <w:t>功能说明：</w:t>
            </w:r>
            <w:r>
              <w:rPr>
                <w:rFonts w:hint="eastAsia" w:ascii="仿宋" w:hAnsi="仿宋" w:eastAsia="仿宋" w:cs="仿宋"/>
                <w:kern w:val="0"/>
                <w:sz w:val="21"/>
                <w:szCs w:val="21"/>
              </w:rPr>
              <w:t>★</w:t>
            </w:r>
            <w:r>
              <w:rPr>
                <w:rFonts w:hint="eastAsia" w:ascii="仿宋" w:hAnsi="仿宋" w:eastAsia="仿宋" w:cs="仿宋"/>
                <w:sz w:val="21"/>
                <w:szCs w:val="21"/>
              </w:rPr>
              <w:t>1、推拉式的互动体验方式：产品设计思路以历史卷轴</w:t>
            </w:r>
          </w:p>
          <w:p>
            <w:pPr>
              <w:pStyle w:val="43"/>
              <w:ind w:left="420" w:firstLine="0" w:firstLineChars="0"/>
              <w:rPr>
                <w:rFonts w:hint="eastAsia" w:ascii="仿宋" w:hAnsi="仿宋" w:eastAsia="仿宋" w:cs="仿宋"/>
                <w:sz w:val="21"/>
                <w:szCs w:val="21"/>
              </w:rPr>
            </w:pPr>
            <w:r>
              <w:rPr>
                <w:rFonts w:hint="eastAsia" w:ascii="仿宋" w:hAnsi="仿宋" w:eastAsia="仿宋" w:cs="仿宋"/>
                <w:sz w:val="21"/>
                <w:szCs w:val="21"/>
              </w:rPr>
              <w:t>为设计蓝本。推拉式的使用方式在推拉的过程中仿佛游离在历史的大变革之中。促使使用者去探索历史的真相及内容。</w:t>
            </w:r>
            <w:r>
              <w:rPr>
                <w:rFonts w:hint="eastAsia" w:ascii="仿宋" w:hAnsi="仿宋" w:eastAsia="仿宋" w:cs="仿宋"/>
                <w:kern w:val="0"/>
                <w:sz w:val="21"/>
                <w:szCs w:val="21"/>
              </w:rPr>
              <w:t>★</w:t>
            </w:r>
            <w:r>
              <w:rPr>
                <w:rFonts w:hint="eastAsia" w:ascii="仿宋" w:hAnsi="仿宋" w:eastAsia="仿宋" w:cs="仿宋"/>
                <w:sz w:val="21"/>
                <w:szCs w:val="21"/>
              </w:rPr>
              <w:t>2、定位跟随功能：先进的跟随系统可以根据使用者当前所处的位置自动运行到相应的历史阶段供使用者选择学习内容。</w:t>
            </w:r>
            <w:r>
              <w:rPr>
                <w:rFonts w:hint="eastAsia" w:ascii="仿宋" w:hAnsi="仿宋" w:eastAsia="仿宋" w:cs="仿宋"/>
                <w:kern w:val="0"/>
                <w:sz w:val="21"/>
                <w:szCs w:val="21"/>
              </w:rPr>
              <w:t>★</w:t>
            </w:r>
            <w:r>
              <w:rPr>
                <w:rFonts w:hint="eastAsia" w:ascii="仿宋" w:hAnsi="仿宋" w:eastAsia="仿宋" w:cs="仿宋"/>
                <w:sz w:val="21"/>
                <w:szCs w:val="21"/>
              </w:rPr>
              <w:t>3、丰富的多媒体内容：多媒体内容涵盖图片、3D模型、视频、动画以及图片内容，且这些内容根据需要进行了不同的功能细化。图片内容可以进行书写交互功能，能够对图片进行放大、插入画笔、自由书写文字以及保存分享功能；3D模型，可以任意自由度旋转观看、可以任意放大，可以观看各种文物的细节内容。立体的呈现方式让历史文物可以逼真的呈现在我们眼前；视频内容可以控制快进、音量大小、暂停等功能。4、知识的扩展功能：每个历史主题内容都进行了相应知识的扩展，知识扩展主要根据同时期发生的历史事件以及同时期和世界历史内容的知识扩展。5、多套软件演示内容的呈现：历史长河配备了中国史的演示内容以及世界历史的演示内容，还可以根据需求定制其他需要的历史内容，例如：中国红军长征史等。6、知识图板的任意组合功能，历史长河配备有各种知识图板，这些图板为磁性材料，使用时可随意拼贴。教师可以根据各种历史史实进行重点知识的讲解，知识图板带有二维码，通过扫描可以扩展更多的历史知识。</w:t>
            </w:r>
          </w:p>
          <w:p>
            <w:pPr>
              <w:pStyle w:val="43"/>
              <w:numPr>
                <w:ilvl w:val="0"/>
                <w:numId w:val="14"/>
              </w:numPr>
              <w:ind w:firstLineChars="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主要演示内容：</w:t>
            </w:r>
          </w:p>
          <w:p>
            <w:pPr>
              <w:pStyle w:val="43"/>
              <w:ind w:left="420" w:leftChars="200" w:firstLine="0" w:firstLineChars="0"/>
              <w:rPr>
                <w:rFonts w:hint="eastAsia" w:ascii="仿宋" w:hAnsi="仿宋" w:eastAsia="仿宋" w:cs="仿宋"/>
                <w:sz w:val="21"/>
                <w:szCs w:val="21"/>
              </w:rPr>
            </w:pPr>
            <w:r>
              <w:rPr>
                <w:rFonts w:hint="eastAsia" w:ascii="仿宋" w:hAnsi="仿宋" w:eastAsia="仿宋" w:cs="仿宋"/>
                <w:sz w:val="21"/>
                <w:szCs w:val="21"/>
              </w:rPr>
              <w:t>1.中国历史：</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旧、新石器时代（1元谋人；2蓝田人；3北京人;4山顶洞人;5旧石器时代；6新石器时代；7半坡遗址；8人面鱼纹彩陶盆；9小口尖底陶瓶；10河姆渡遗址；11双鸟朝阳纹牙雕；12骨耜）</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金石并用时代（1黄帝；2颛帝；3帝喾；4帝尧；5帝舜；6大禹治水）</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夏朝（1夏启；2夏桀；3二里头遗址；4七孔玉刀礼器；5青铜爵；6灰陶三足盘；7青铜盉；8钺）</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商朝（1商汤；2商纣；3比干；4四羊方尊；5司母戊大方鼎；6父戊方鼎；7甲骨文）</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周朝（1牧野之战；2周文王；3周武王；4周公旦；5姜子牙；6原始青瓷双系罐；7玉凤纹刀；8硕父鬲；9周平王；10孔子；11老子；12孙子兵法；13三足羊首鼎；14孟子；15扁鹊；16商鞅；17铜小口鼎；18三星堆青铜立人像）</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秦朝（1秦始皇；2秦统一六国货币；3秦统一六国文字；4秦兵马俑）</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汉朝（1汉高祖刘邦；2汉武帝刘彻；3董仲舒；4长信宫灯；5“万岁”瓦当；6《史记》 司马迁；7王莽；8新莽铜嘉量；9新莽币十布；10新莽币铜范；11干栏式铜仓；12光武帝刘秀；13蔡伦；14张衡；15华佗；16《伤寒杂病论》；17马踏飞燕；18西汉耧车）</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魏晋（1曹丕；2刘备；3孙权；4诸葛亮；5司马炎；6司马睿；7顾恺之；8王羲之）</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南北朝（1拓跋宏；2贾思勰；3高洋；4元宝炬；5宇文觉；6刘裕；7陶渊明；8萧道成；9维卫尊佛像；10萧衍；11陈霸先）</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随朝（1杨坚；2杨广；3京杭大运河）</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唐朝（1李渊；2李世民；3武则天；4玄奘；5李白；6雕版印刷）</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五代十国（1朱温；2李存勖；3石晋瑭；4刘知远；5郭威）</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宋朝（1赵匡胤；2王安石；3清明上河图；4毕昇；5《资治通鉴》；6赵构；7陆游；8岳飞；9文天祥；10汝窑；11钧窑；12官窑；13哥窑；14吉州窑白地褐彩盖罐）</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元朝（1忽必烈；2郭守敬；3关汉卿；4青花海水白龙纹八方梅瓶；5釉里红地白花暗刻云龙纹四系扁壶；6元曲《窦娥冤》；7元曲《西厢记》）</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明朝（1朱元璋；2海瑞；3戚继光；4郑和；5吴承恩；6汤显祖；7唐伯虎；8《徐霞客游记》；9《本草纲目》李时珍）</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清朝（1爱新觉罗·皇太极；2爱新觉罗·玄烨；3吴敬梓；4曹雪芹；5聊斋志异；6林则徐禁烟运动；7第一次鸦片战争；8八国联军侵华；9圆明园兽首）</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中华民国（1中国民国建立；2新文化运动；3五四运动；4中国共产党成立；5南昌起义；6九一八事变；7七七事变；8解放战争）</w:t>
            </w:r>
          </w:p>
          <w:p>
            <w:pPr>
              <w:pStyle w:val="43"/>
              <w:numPr>
                <w:ilvl w:val="0"/>
                <w:numId w:val="15"/>
              </w:numPr>
              <w:ind w:firstLine="560"/>
              <w:rPr>
                <w:rFonts w:hint="eastAsia" w:ascii="仿宋" w:hAnsi="仿宋" w:eastAsia="仿宋" w:cs="仿宋"/>
                <w:sz w:val="21"/>
                <w:szCs w:val="21"/>
              </w:rPr>
            </w:pPr>
            <w:r>
              <w:rPr>
                <w:rFonts w:hint="eastAsia" w:ascii="仿宋" w:hAnsi="仿宋" w:eastAsia="仿宋" w:cs="仿宋"/>
                <w:sz w:val="21"/>
                <w:szCs w:val="21"/>
              </w:rPr>
              <w:t>中华人民共和国（1新中国成立；2三大改造；3新中国第一颗原子弹；4文化大革命；5东方红卫星；6尼克松访华；7杂交水稻之父袁隆平；8十一届三中全会；9香港回归；10澳门回归；11汶川地震；12北京奥运会；13上海世博会；14科学发展观；15中共十八大；16嫦娥三号；17神舟七号；18庆祝中国人民解放军建军90周年阅兵）</w:t>
            </w:r>
          </w:p>
          <w:p>
            <w:pPr>
              <w:pStyle w:val="43"/>
              <w:numPr>
                <w:ilvl w:val="0"/>
                <w:numId w:val="16"/>
              </w:numPr>
              <w:ind w:left="420" w:leftChars="200" w:firstLine="560"/>
              <w:rPr>
                <w:rFonts w:hint="eastAsia" w:ascii="仿宋" w:hAnsi="仿宋" w:eastAsia="仿宋" w:cs="仿宋"/>
                <w:sz w:val="21"/>
                <w:szCs w:val="21"/>
              </w:rPr>
            </w:pPr>
            <w:r>
              <w:rPr>
                <w:rFonts w:hint="eastAsia" w:ascii="仿宋" w:hAnsi="仿宋" w:eastAsia="仿宋" w:cs="仿宋"/>
                <w:sz w:val="21"/>
                <w:szCs w:val="21"/>
              </w:rPr>
              <w:t>世界历史：</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世界上古史（1南方古猿露西；2克罗马农人；3农业革命；4爱琴文明；5古埃及文明；6古希腊城邦；7古印度文明；8两河流域文明；9印度阿育王石柱遗址；10黄金时代的民主伯利克里；11梭伦改革；12十二铜表法）</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世界中古史（1玛雅文化；2津巴布韦石城；3早期佛教；4十字军东征）</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资本主义与资产阶级革命（1哥伦布发现新大陆；2圈地运动；3三角贸易；4英国殖民霸权的确立；5英国资产阶级革命；6英国君主立宪制；7美国1787年宪法的制定；8拿破仑）</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西方人文与科学（1文艺复兴；2伏尔泰；3孟德斯鸠；4伽利略；5哥白尼；6艾萨克·牛顿）</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工业革命（1英国工业革命；2瓦特；3世界市场的基本形成）</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资产阶级革命与国际工人运动（1俄国农奴制改革；2日本明治维新；3法兰西的共和之路；4共产党宣言；5巴黎公社）</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第二次工业革命（1第二次工业革命；2爱迪生；3汽车；4诺贝尔；5莱特兄弟）</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帝国主义的到来（1垄断组织的产生；2帝国主义瓜分非洲；3世界连接为一体）</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第一次世界大战（1第一次世界大战；2三国同盟和三国协约；3萨拉热窝事件）</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十月革命与苏联社会主义建设（1十月革命；2苏俄新经济政策；3苏联的社会主义工业化；4斯大林模式）</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凡尔赛华盛顿体系下的东西方世界（1凡尔赛—华盛顿体系；2非暴力不合作运动；3凯末尔革命；4德国法西斯统治；5 1929年经济危机；6第二次世界大战；7罗斯福新政）</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二战后的世界经济（1二战后美国经济繁荣；2布协顿森林体系的建立；3欧盟成立；4世贸组织）</w:t>
            </w:r>
          </w:p>
          <w:p>
            <w:pPr>
              <w:pStyle w:val="43"/>
              <w:numPr>
                <w:ilvl w:val="0"/>
                <w:numId w:val="17"/>
              </w:numPr>
              <w:ind w:left="840" w:leftChars="400" w:firstLine="560"/>
              <w:rPr>
                <w:rFonts w:hint="eastAsia" w:ascii="仿宋" w:hAnsi="仿宋" w:eastAsia="仿宋" w:cs="仿宋"/>
                <w:sz w:val="21"/>
                <w:szCs w:val="21"/>
              </w:rPr>
            </w:pPr>
            <w:r>
              <w:rPr>
                <w:rFonts w:hint="eastAsia" w:ascii="仿宋" w:hAnsi="仿宋" w:eastAsia="仿宋" w:cs="仿宋"/>
                <w:sz w:val="21"/>
                <w:szCs w:val="21"/>
              </w:rPr>
              <w:t>二战后的世界格局（1联合国；2美国冷战政策；3社会主义阵营的形成；4 911事件；5科索沃战争；6古巴导弹危机；7不结盟运动会议；8越南战争；9巴以冲突；10伊拉克入侵科威特；11东欧剧变；12苏联解体；13海湾战争）</w:t>
            </w:r>
          </w:p>
          <w:p>
            <w:pPr>
              <w:pStyle w:val="43"/>
              <w:numPr>
                <w:ilvl w:val="0"/>
                <w:numId w:val="17"/>
              </w:numPr>
              <w:ind w:left="840" w:leftChars="400" w:firstLine="560"/>
              <w:rPr>
                <w:rFonts w:hint="eastAsia" w:ascii="仿宋" w:hAnsi="仿宋" w:eastAsia="仿宋" w:cs="仿宋"/>
                <w:kern w:val="0"/>
                <w:sz w:val="21"/>
                <w:szCs w:val="21"/>
                <w:lang w:bidi="ar"/>
              </w:rPr>
            </w:pPr>
            <w:r>
              <w:rPr>
                <w:rFonts w:hint="eastAsia" w:ascii="仿宋" w:hAnsi="仿宋" w:eastAsia="仿宋" w:cs="仿宋"/>
                <w:sz w:val="21"/>
                <w:szCs w:val="21"/>
              </w:rPr>
              <w:t>科技文化（1.美国信息化时代的到来；2.苏联首次载人宇宙飞行；3.卓别林）</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套</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4618"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37</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pStyle w:val="3"/>
              <w:numPr>
                <w:ilvl w:val="0"/>
                <w:numId w:val="0"/>
              </w:numPr>
              <w:rPr>
                <w:rFonts w:hint="eastAsia" w:ascii="仿宋" w:hAnsi="仿宋" w:eastAsia="仿宋" w:cs="仿宋"/>
                <w:kern w:val="0"/>
                <w:sz w:val="21"/>
                <w:szCs w:val="21"/>
                <w:lang w:bidi="ar"/>
              </w:rPr>
            </w:pPr>
          </w:p>
          <w:p>
            <w:pPr>
              <w:pStyle w:val="3"/>
              <w:numPr>
                <w:ilvl w:val="0"/>
                <w:numId w:val="0"/>
              </w:numPr>
              <w:rPr>
                <w:rFonts w:hint="eastAsia" w:ascii="仿宋" w:hAnsi="仿宋" w:eastAsia="仿宋" w:cs="仿宋"/>
                <w:kern w:val="0"/>
                <w:sz w:val="21"/>
                <w:szCs w:val="21"/>
                <w:lang w:bidi="ar"/>
              </w:rPr>
            </w:pPr>
            <w:r>
              <w:rPr>
                <w:rFonts w:hint="eastAsia" w:ascii="仿宋" w:hAnsi="仿宋" w:eastAsia="仿宋" w:cs="仿宋"/>
                <w:b w:val="0"/>
                <w:bCs/>
                <w:color w:val="333333"/>
                <w:kern w:val="0"/>
                <w:sz w:val="21"/>
                <w:szCs w:val="21"/>
              </w:rPr>
              <w:t>昭陵六骏浮雕（飒露紫）模型</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Lines="0" w:beforeAutospacing="1" w:after="100" w:afterLines="0" w:afterAutospacing="1"/>
              <w:jc w:val="left"/>
              <w:rPr>
                <w:rFonts w:hint="eastAsia" w:ascii="仿宋" w:hAnsi="仿宋" w:eastAsia="仿宋" w:cs="仿宋"/>
                <w:kern w:val="0"/>
                <w:sz w:val="21"/>
                <w:szCs w:val="21"/>
                <w:lang w:bidi="ar"/>
              </w:rPr>
            </w:pPr>
            <w:r>
              <w:rPr>
                <w:rFonts w:hint="eastAsia" w:ascii="仿宋" w:hAnsi="仿宋" w:eastAsia="仿宋" w:cs="仿宋"/>
                <w:kern w:val="0"/>
                <w:sz w:val="21"/>
                <w:szCs w:val="21"/>
              </w:rPr>
              <w:t>★</w:t>
            </w:r>
            <w:r>
              <w:rPr>
                <w:rFonts w:hint="eastAsia" w:ascii="仿宋" w:hAnsi="仿宋" w:eastAsia="仿宋" w:cs="仿宋"/>
                <w:color w:val="666666"/>
                <w:kern w:val="0"/>
                <w:sz w:val="21"/>
                <w:szCs w:val="21"/>
              </w:rPr>
              <w:t>模型尺寸：高</w:t>
            </w:r>
            <w:r>
              <w:rPr>
                <w:rFonts w:hint="eastAsia" w:ascii="仿宋" w:hAnsi="仿宋" w:eastAsia="仿宋" w:cs="仿宋"/>
                <w:kern w:val="0"/>
                <w:sz w:val="21"/>
                <w:szCs w:val="21"/>
              </w:rPr>
              <w:t>≥</w:t>
            </w:r>
            <w:r>
              <w:rPr>
                <w:rFonts w:hint="eastAsia" w:ascii="仿宋" w:hAnsi="仿宋" w:eastAsia="仿宋" w:cs="仿宋"/>
                <w:color w:val="666666"/>
                <w:kern w:val="0"/>
                <w:sz w:val="21"/>
                <w:szCs w:val="21"/>
              </w:rPr>
              <w:t>34.2厘米，宽</w:t>
            </w:r>
            <w:r>
              <w:rPr>
                <w:rFonts w:hint="eastAsia" w:ascii="仿宋" w:hAnsi="仿宋" w:eastAsia="仿宋" w:cs="仿宋"/>
                <w:kern w:val="0"/>
                <w:sz w:val="21"/>
                <w:szCs w:val="21"/>
              </w:rPr>
              <w:t>≥</w:t>
            </w:r>
            <w:r>
              <w:rPr>
                <w:rFonts w:hint="eastAsia" w:ascii="仿宋" w:hAnsi="仿宋" w:eastAsia="仿宋" w:cs="仿宋"/>
                <w:color w:val="666666"/>
                <w:kern w:val="0"/>
                <w:sz w:val="21"/>
                <w:szCs w:val="21"/>
              </w:rPr>
              <w:t>41厘米，厚</w:t>
            </w:r>
            <w:r>
              <w:rPr>
                <w:rFonts w:hint="eastAsia" w:ascii="仿宋" w:hAnsi="仿宋" w:eastAsia="仿宋" w:cs="仿宋"/>
                <w:kern w:val="0"/>
                <w:sz w:val="21"/>
                <w:szCs w:val="21"/>
              </w:rPr>
              <w:t>≥</w:t>
            </w:r>
            <w:r>
              <w:rPr>
                <w:rFonts w:hint="eastAsia" w:ascii="仿宋" w:hAnsi="仿宋" w:eastAsia="仿宋" w:cs="仿宋"/>
                <w:color w:val="666666"/>
                <w:kern w:val="0"/>
                <w:sz w:val="21"/>
                <w:szCs w:val="21"/>
              </w:rPr>
              <w:t>6厘米。</w:t>
            </w:r>
            <w:r>
              <w:rPr>
                <w:rFonts w:hint="eastAsia" w:ascii="仿宋" w:hAnsi="仿宋" w:eastAsia="仿宋" w:cs="仿宋"/>
                <w:color w:val="2F2F2F"/>
                <w:sz w:val="21"/>
                <w:szCs w:val="21"/>
              </w:rPr>
              <w:t>“飒露紫”是李世民东征洛阳，铲平王世充势力时的坐骑，列于陵园祭坛西侧首位。据《旧唐书·丘行恭传》记载，李世民与王世充在洛阳邙山的一次交战中，为了探清对方实力，他自己跨上“飒露紫”，只带了数十名骑兵，猛冲到敌阵背后。王世充的军队望风而逃，死伤众多，几乎无人敢阻挡他。这时，一条长堤横在面前，李世民和随从将士失散，只有将军丘行恭一人紧随其后。稍后，王世充一队骑兵追了上来，一箭射中太宗战马“飒露紫”。丘行恭急转马头，向敌兵连射数箭，箭无虚发，敌军不敢上前。丘行恭随即翻身下马，将箭从“飒露紫”身上拔出，把自己的坐骑让与李世民。他牵着受伤的“飒露紫”，手持大刀 “巨跃大呼，斩数人，突阵而出，得入大军”。</w:t>
            </w:r>
            <w:r>
              <w:rPr>
                <w:rFonts w:hint="eastAsia" w:ascii="仿宋" w:hAnsi="仿宋" w:eastAsia="仿宋" w:cs="仿宋"/>
                <w:color w:val="2F2F2F"/>
                <w:sz w:val="21"/>
                <w:szCs w:val="21"/>
              </w:rPr>
              <w:br w:type="textWrapping"/>
            </w:r>
            <w:r>
              <w:rPr>
                <w:rFonts w:hint="eastAsia" w:ascii="仿宋" w:hAnsi="仿宋" w:eastAsia="仿宋" w:cs="仿宋"/>
                <w:color w:val="2F2F2F"/>
                <w:sz w:val="21"/>
                <w:szCs w:val="21"/>
              </w:rPr>
              <w:t>李世民为了褒奖丘行恭拼死护驾的战功，特命将其拔箭的情形刻于石屏上，石刻 “飒露紫”正是捕捉了这一瞬间情形。对于丘行恭和“飒露紫”，李世民都有很深的感情。李世民为其题赞文曰：“紫燕超跃，骨腾神骏，气詟三川，威凌八阵。”</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件</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2396"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both"/>
              <w:textAlignment w:val="center"/>
              <w:rPr>
                <w:rFonts w:hint="eastAsia" w:ascii="仿宋" w:hAnsi="仿宋" w:eastAsia="仿宋" w:cs="仿宋"/>
                <w:sz w:val="21"/>
                <w:szCs w:val="21"/>
              </w:rPr>
            </w:pPr>
            <w:r>
              <w:rPr>
                <w:rFonts w:hint="eastAsia" w:ascii="仿宋" w:hAnsi="仿宋" w:eastAsia="仿宋" w:cs="仿宋"/>
                <w:sz w:val="21"/>
                <w:szCs w:val="21"/>
              </w:rPr>
              <w:t>38</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sz w:val="21"/>
                <w:szCs w:val="21"/>
              </w:rPr>
              <w:t>大雁塔模型</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pStyle w:val="89"/>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大雁塔模型：长</w:t>
            </w:r>
            <w:r>
              <w:rPr>
                <w:rFonts w:hint="eastAsia" w:ascii="仿宋" w:hAnsi="仿宋" w:eastAsia="仿宋" w:cs="仿宋"/>
                <w:kern w:val="0"/>
                <w:sz w:val="21"/>
                <w:szCs w:val="21"/>
              </w:rPr>
              <w:t>≥</w:t>
            </w:r>
            <w:r>
              <w:rPr>
                <w:rFonts w:hint="eastAsia" w:ascii="仿宋" w:hAnsi="仿宋" w:eastAsia="仿宋" w:cs="仿宋"/>
                <w:sz w:val="21"/>
                <w:szCs w:val="21"/>
              </w:rPr>
              <w:t>48.7厘米，宽</w:t>
            </w:r>
            <w:r>
              <w:rPr>
                <w:rFonts w:hint="eastAsia" w:ascii="仿宋" w:hAnsi="仿宋" w:eastAsia="仿宋" w:cs="仿宋"/>
                <w:kern w:val="0"/>
                <w:sz w:val="21"/>
                <w:szCs w:val="21"/>
              </w:rPr>
              <w:t>≥</w:t>
            </w:r>
            <w:r>
              <w:rPr>
                <w:rFonts w:hint="eastAsia" w:ascii="仿宋" w:hAnsi="仿宋" w:eastAsia="仿宋" w:cs="仿宋"/>
                <w:sz w:val="21"/>
                <w:szCs w:val="21"/>
              </w:rPr>
              <w:t>45.7厘米，高</w:t>
            </w:r>
            <w:r>
              <w:rPr>
                <w:rFonts w:hint="eastAsia" w:ascii="仿宋" w:hAnsi="仿宋" w:eastAsia="仿宋" w:cs="仿宋"/>
                <w:kern w:val="0"/>
                <w:sz w:val="21"/>
                <w:szCs w:val="21"/>
              </w:rPr>
              <w:t>≥</w:t>
            </w:r>
            <w:r>
              <w:rPr>
                <w:rFonts w:hint="eastAsia" w:ascii="仿宋" w:hAnsi="仿宋" w:eastAsia="仿宋" w:cs="仿宋"/>
                <w:sz w:val="21"/>
                <w:szCs w:val="21"/>
              </w:rPr>
              <w:t>64.7厘米</w:t>
            </w:r>
          </w:p>
          <w:p>
            <w:pPr>
              <w:shd w:val="clear" w:color="auto" w:fill="FFFFFF"/>
              <w:spacing w:line="360" w:lineRule="atLeast"/>
              <w:ind w:firstLine="480"/>
              <w:rPr>
                <w:rFonts w:hint="eastAsia" w:ascii="仿宋" w:hAnsi="仿宋" w:eastAsia="仿宋" w:cs="仿宋"/>
                <w:sz w:val="21"/>
                <w:szCs w:val="21"/>
                <w:shd w:val="clear" w:color="auto" w:fill="FFFFFF"/>
              </w:rPr>
            </w:pPr>
            <w:r>
              <w:rPr>
                <w:rFonts w:hint="eastAsia" w:ascii="仿宋" w:hAnsi="仿宋" w:eastAsia="仿宋" w:cs="仿宋"/>
                <w:sz w:val="21"/>
                <w:szCs w:val="21"/>
              </w:rPr>
              <w:t>大雁塔位于唐</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"https://baike.baidu.com/item/%E9%95%BF%E5%AE%89%E5%9F%8E/10262101"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长安城</w:t>
            </w:r>
            <w:r>
              <w:rPr>
                <w:rFonts w:hint="eastAsia" w:ascii="仿宋" w:hAnsi="仿宋" w:eastAsia="仿宋" w:cs="仿宋"/>
                <w:sz w:val="21"/>
                <w:szCs w:val="21"/>
              </w:rPr>
              <w:fldChar w:fldCharType="end"/>
            </w:r>
            <w:r>
              <w:rPr>
                <w:rFonts w:hint="eastAsia" w:ascii="仿宋" w:hAnsi="仿宋" w:eastAsia="仿宋" w:cs="仿宋"/>
                <w:sz w:val="21"/>
                <w:szCs w:val="21"/>
              </w:rPr>
              <w:t>晋昌坊（今陕西省西安市南）的</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"https://baike.baidu.com/item/%E5%A4%A7%E6%85%88%E6%81%A9%E5%AF%BA/1445264"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大慈恩寺</w:t>
            </w:r>
            <w:r>
              <w:rPr>
                <w:rFonts w:hint="eastAsia" w:ascii="仿宋" w:hAnsi="仿宋" w:eastAsia="仿宋" w:cs="仿宋"/>
                <w:sz w:val="21"/>
                <w:szCs w:val="21"/>
              </w:rPr>
              <w:fldChar w:fldCharType="end"/>
            </w:r>
            <w:r>
              <w:rPr>
                <w:rFonts w:hint="eastAsia" w:ascii="仿宋" w:hAnsi="仿宋" w:eastAsia="仿宋" w:cs="仿宋"/>
                <w:sz w:val="21"/>
                <w:szCs w:val="21"/>
              </w:rPr>
              <w:t>内，又名“慈恩寺塔”。唐</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"https://baike.baidu.com/item/%E6%B0%B8%E5%BE%BD"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永徽</w:t>
            </w:r>
            <w:r>
              <w:rPr>
                <w:rFonts w:hint="eastAsia" w:ascii="仿宋" w:hAnsi="仿宋" w:eastAsia="仿宋" w:cs="仿宋"/>
                <w:sz w:val="21"/>
                <w:szCs w:val="21"/>
              </w:rPr>
              <w:fldChar w:fldCharType="end"/>
            </w:r>
            <w:r>
              <w:rPr>
                <w:rFonts w:hint="eastAsia" w:ascii="仿宋" w:hAnsi="仿宋" w:eastAsia="仿宋" w:cs="仿宋"/>
                <w:sz w:val="21"/>
                <w:szCs w:val="21"/>
              </w:rPr>
              <w:t>三年（652年），</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"https://baike.baidu.com/item/%E7%8E%84%E5%A5%98/296302"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玄奘</w:t>
            </w:r>
            <w:r>
              <w:rPr>
                <w:rFonts w:hint="eastAsia" w:ascii="仿宋" w:hAnsi="仿宋" w:eastAsia="仿宋" w:cs="仿宋"/>
                <w:sz w:val="21"/>
                <w:szCs w:val="21"/>
              </w:rPr>
              <w:fldChar w:fldCharType="end"/>
            </w:r>
            <w:r>
              <w:rPr>
                <w:rFonts w:hint="eastAsia" w:ascii="仿宋" w:hAnsi="仿宋" w:eastAsia="仿宋" w:cs="仿宋"/>
                <w:sz w:val="21"/>
                <w:szCs w:val="21"/>
              </w:rPr>
              <w:t>为保存由</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"https://baike.baidu.com/item/%E5%A4%A9%E7%AB%BA/763559"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天竺</w:t>
            </w:r>
            <w:r>
              <w:rPr>
                <w:rFonts w:hint="eastAsia" w:ascii="仿宋" w:hAnsi="仿宋" w:eastAsia="仿宋" w:cs="仿宋"/>
                <w:sz w:val="21"/>
                <w:szCs w:val="21"/>
              </w:rPr>
              <w:fldChar w:fldCharType="end"/>
            </w:r>
            <w:r>
              <w:rPr>
                <w:rFonts w:hint="eastAsia" w:ascii="仿宋" w:hAnsi="仿宋" w:eastAsia="仿宋" w:cs="仿宋"/>
                <w:sz w:val="21"/>
                <w:szCs w:val="21"/>
              </w:rPr>
              <w:t>经</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"https://baike.baidu.com/item/%E4%B8%9D%E7%BB%B8%E4%B9%8B%E8%B7%AF/434"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丝绸之路</w:t>
            </w:r>
            <w:r>
              <w:rPr>
                <w:rFonts w:hint="eastAsia" w:ascii="仿宋" w:hAnsi="仿宋" w:eastAsia="仿宋" w:cs="仿宋"/>
                <w:sz w:val="21"/>
                <w:szCs w:val="21"/>
              </w:rPr>
              <w:fldChar w:fldCharType="end"/>
            </w:r>
            <w:r>
              <w:rPr>
                <w:rFonts w:hint="eastAsia" w:ascii="仿宋" w:hAnsi="仿宋" w:eastAsia="仿宋" w:cs="仿宋"/>
                <w:sz w:val="21"/>
                <w:szCs w:val="21"/>
              </w:rPr>
              <w:t>带回</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"https://baike.baidu.com/item/%E9%95%BF%E5%AE%89/31540"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长安</w:t>
            </w:r>
            <w:r>
              <w:rPr>
                <w:rFonts w:hint="eastAsia" w:ascii="仿宋" w:hAnsi="仿宋" w:eastAsia="仿宋" w:cs="仿宋"/>
                <w:sz w:val="21"/>
                <w:szCs w:val="21"/>
              </w:rPr>
              <w:fldChar w:fldCharType="end"/>
            </w:r>
            <w:r>
              <w:rPr>
                <w:rFonts w:hint="eastAsia" w:ascii="仿宋" w:hAnsi="仿宋" w:eastAsia="仿宋" w:cs="仿宋"/>
                <w:sz w:val="21"/>
                <w:szCs w:val="21"/>
              </w:rPr>
              <w:t>的经卷佛像主持修建了大雁塔，最初五层，后加盖至九层，再后层数和高度又有数次变更，最后固定为今天所看到的七层塔身，</w:t>
            </w:r>
            <w:r>
              <w:rPr>
                <w:rFonts w:hint="eastAsia" w:ascii="仿宋" w:hAnsi="仿宋" w:eastAsia="仿宋" w:cs="仿宋"/>
                <w:sz w:val="21"/>
                <w:szCs w:val="21"/>
                <w:shd w:val="clear" w:color="auto" w:fill="FFFFFF"/>
              </w:rPr>
              <w:t>大雁塔是砖仿木结构的四方形</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"https://baike.baidu.com/item/%E6%A5%BC%E9%98%81%E5%BC%8F%E5%A1%94"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shd w:val="clear" w:color="auto" w:fill="FFFFFF"/>
              </w:rPr>
              <w:t>楼阁式塔</w:t>
            </w:r>
            <w:r>
              <w:rPr>
                <w:rFonts w:hint="eastAsia" w:ascii="仿宋" w:hAnsi="仿宋" w:eastAsia="仿宋" w:cs="仿宋"/>
                <w:sz w:val="21"/>
                <w:szCs w:val="21"/>
                <w:shd w:val="clear" w:color="auto" w:fill="FFFFFF"/>
              </w:rPr>
              <w:fldChar w:fldCharType="end"/>
            </w:r>
            <w:r>
              <w:rPr>
                <w:rFonts w:hint="eastAsia" w:ascii="仿宋" w:hAnsi="仿宋" w:eastAsia="仿宋" w:cs="仿宋"/>
                <w:sz w:val="21"/>
                <w:szCs w:val="21"/>
                <w:shd w:val="clear" w:color="auto" w:fill="FFFFFF"/>
              </w:rPr>
              <w:t>，由塔基、塔身、塔刹三部分组成。全塔通高64.7米，塔基高4.2米，南北长约48.7米，东西长约45.7米；塔身底层边长25.5米，呈方锥形；塔刹高4.87米。1、2两层有9间，3、4两层有7间，5、6、7、8层有五间，每层四面均有劵门。</w:t>
            </w:r>
          </w:p>
          <w:p>
            <w:pPr>
              <w:ind w:firstLine="420" w:firstLineChars="200"/>
              <w:rPr>
                <w:rFonts w:hint="eastAsia" w:ascii="仿宋" w:hAnsi="仿宋" w:eastAsia="仿宋" w:cs="仿宋"/>
                <w:kern w:val="0"/>
                <w:sz w:val="21"/>
                <w:szCs w:val="21"/>
                <w:lang w:bidi="ar"/>
              </w:rPr>
            </w:pPr>
            <w:r>
              <w:rPr>
                <w:rStyle w:val="86"/>
                <w:rFonts w:hint="eastAsia" w:ascii="仿宋" w:hAnsi="仿宋" w:eastAsia="仿宋" w:cs="仿宋"/>
                <w:sz w:val="21"/>
                <w:szCs w:val="21"/>
                <w:shd w:val="clear" w:color="auto" w:fill="FFFFFF"/>
              </w:rPr>
              <w:t xml:space="preserve">  </w:t>
            </w:r>
            <w:r>
              <w:rPr>
                <w:rFonts w:hint="eastAsia" w:ascii="仿宋" w:hAnsi="仿宋" w:eastAsia="仿宋" w:cs="仿宋"/>
                <w:kern w:val="0"/>
                <w:sz w:val="21"/>
                <w:szCs w:val="21"/>
                <w:shd w:val="clear" w:color="auto" w:fill="FFFFFF"/>
              </w:rPr>
              <w:t xml:space="preserve"> </w:t>
            </w:r>
            <w:r>
              <w:rPr>
                <w:rFonts w:hint="eastAsia" w:ascii="仿宋" w:hAnsi="仿宋" w:eastAsia="仿宋" w:cs="仿宋"/>
                <w:sz w:val="21"/>
                <w:szCs w:val="21"/>
              </w:rPr>
              <w:t>大雁塔作为现存最早、规模最大的唐代四方楼阁式砖塔，是</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"https://baike.baidu.com/item/%E4%BD%9B%E5%A1%94/3169894" \t "_blank" </w:instrText>
            </w:r>
            <w:r>
              <w:rPr>
                <w:rFonts w:hint="eastAsia" w:ascii="仿宋" w:hAnsi="仿宋" w:eastAsia="仿宋" w:cs="仿宋"/>
                <w:sz w:val="21"/>
                <w:szCs w:val="21"/>
              </w:rPr>
              <w:fldChar w:fldCharType="separate"/>
            </w:r>
            <w:r>
              <w:rPr>
                <w:rStyle w:val="30"/>
                <w:rFonts w:hint="eastAsia" w:ascii="仿宋" w:hAnsi="仿宋" w:eastAsia="仿宋" w:cs="仿宋"/>
                <w:color w:val="auto"/>
                <w:sz w:val="21"/>
                <w:szCs w:val="21"/>
              </w:rPr>
              <w:t>佛塔</w:t>
            </w:r>
            <w:r>
              <w:rPr>
                <w:rFonts w:hint="eastAsia" w:ascii="仿宋" w:hAnsi="仿宋" w:eastAsia="仿宋" w:cs="仿宋"/>
                <w:sz w:val="21"/>
                <w:szCs w:val="21"/>
              </w:rPr>
              <w:fldChar w:fldCharType="end"/>
            </w:r>
            <w:r>
              <w:rPr>
                <w:rFonts w:hint="eastAsia" w:ascii="仿宋" w:hAnsi="仿宋" w:eastAsia="仿宋" w:cs="仿宋"/>
                <w:sz w:val="21"/>
                <w:szCs w:val="21"/>
              </w:rPr>
              <w:t>这种古印度佛寺的建筑形式随佛教传入中原地区，并融入华夏文化的典型物证，是凝聚了中国古代劳动人民智慧结晶的标志性建筑。</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件</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90"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39</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eastAsia="zh-CN" w:bidi="ar"/>
              </w:rPr>
            </w:pPr>
            <w:r>
              <w:rPr>
                <w:rFonts w:hint="eastAsia" w:ascii="仿宋" w:hAnsi="仿宋" w:eastAsia="仿宋" w:cs="仿宋"/>
                <w:kern w:val="0"/>
                <w:sz w:val="21"/>
                <w:szCs w:val="21"/>
                <w:lang w:bidi="ar"/>
              </w:rPr>
              <w:t>数字模型</w:t>
            </w:r>
            <w:r>
              <w:rPr>
                <w:rFonts w:hint="eastAsia" w:ascii="仿宋" w:hAnsi="仿宋" w:eastAsia="仿宋" w:cs="仿宋"/>
                <w:kern w:val="0"/>
                <w:sz w:val="21"/>
                <w:szCs w:val="21"/>
                <w:lang w:eastAsia="zh-CN" w:bidi="ar"/>
              </w:rPr>
              <w:t>系统</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rPr>
              <w:t>产品构成：★主显示屏≥高亮50寸，分辨率≥1920x1080，操作屏：电容式触摸一体机，</w:t>
            </w:r>
          </w:p>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rPr>
              <w:t>★整机尺寸：长≥1253*宽≥891mm，高≥1600mm，三维播放器支持AVI、MOV、FLV、MP4、WMV等视频格式。</w:t>
            </w:r>
          </w:p>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lang w:eastAsia="zh-CN"/>
              </w:rPr>
              <w:t>数字模型系统软件</w:t>
            </w:r>
            <w:r>
              <w:rPr>
                <w:rFonts w:hint="eastAsia" w:ascii="仿宋" w:hAnsi="仿宋" w:eastAsia="仿宋" w:cs="仿宋"/>
                <w:kern w:val="0"/>
                <w:sz w:val="21"/>
                <w:szCs w:val="21"/>
              </w:rPr>
              <w:t>：</w:t>
            </w:r>
          </w:p>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rPr>
              <w:t>1. 支持软件联机调试，可适用于各种不同的幻影成像产品，通过软件的调试模式可设置显示网格区域及内容显示位置来适应不同的幻影成像产品。</w:t>
            </w:r>
          </w:p>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rPr>
              <w:t>2. 支持3D模型，视频的播放和操作，软件支持内部外部的模型和影片格式内容。</w:t>
            </w:r>
          </w:p>
          <w:p>
            <w:pPr>
              <w:widowControl/>
              <w:jc w:val="left"/>
              <w:rPr>
                <w:rFonts w:hint="eastAsia" w:ascii="仿宋" w:hAnsi="仿宋" w:eastAsia="仿宋" w:cs="仿宋"/>
                <w:kern w:val="0"/>
                <w:sz w:val="21"/>
                <w:szCs w:val="21"/>
              </w:rPr>
            </w:pPr>
            <w:r>
              <w:rPr>
                <w:rFonts w:hint="eastAsia" w:ascii="仿宋" w:hAnsi="仿宋" w:eastAsia="仿宋" w:cs="仿宋"/>
                <w:kern w:val="0"/>
                <w:sz w:val="21"/>
                <w:szCs w:val="21"/>
              </w:rPr>
              <w:t>课件内容：</w:t>
            </w:r>
          </w:p>
          <w:p>
            <w:pPr>
              <w:widowControl/>
              <w:numPr>
                <w:ilvl w:val="0"/>
                <w:numId w:val="18"/>
              </w:numPr>
              <w:jc w:val="left"/>
              <w:rPr>
                <w:rFonts w:hint="eastAsia" w:ascii="仿宋" w:hAnsi="仿宋" w:eastAsia="仿宋" w:cs="仿宋"/>
                <w:kern w:val="0"/>
                <w:sz w:val="21"/>
                <w:szCs w:val="21"/>
                <w:lang w:bidi="ar"/>
              </w:rPr>
            </w:pPr>
            <w:r>
              <w:rPr>
                <w:rFonts w:hint="eastAsia" w:ascii="仿宋" w:hAnsi="仿宋" w:eastAsia="仿宋" w:cs="仿宋"/>
                <w:kern w:val="0"/>
                <w:sz w:val="21"/>
                <w:szCs w:val="21"/>
              </w:rPr>
              <w:t>重要建筑：1、印度—泰姬陵，2、埃及—狮身人面像，3、希腊—帕特农神庙，4、美国—自由女神，5、法国—埃菲尔铁塔，6、沙特阿拉伯—帆船酒店，7、日本—天守阁，8、日本-东京塔，9、澳大利亚—悉尼歌剧院，10、英国—伦敦桥，11、中国-长城，12、中国-东方明珠塔，13、中国-大雁塔，14、中国—天坛，15、荷兰-风车，16、墨西哥-玛雅金字塔,古代仪器 ：1、司南，2、浑天仪，3、地动仪,能源：1、风力发电，2、太阳能发电，3、海洋研究船，4、水电站</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台</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9596"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40</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both"/>
              <w:textAlignment w:val="center"/>
              <w:rPr>
                <w:rFonts w:hint="eastAsia" w:ascii="仿宋" w:hAnsi="仿宋" w:eastAsia="仿宋" w:cs="仿宋"/>
                <w:kern w:val="0"/>
                <w:sz w:val="21"/>
                <w:szCs w:val="21"/>
                <w:lang w:eastAsia="zh-CN" w:bidi="ar"/>
              </w:rPr>
            </w:pPr>
            <w:r>
              <w:rPr>
                <w:rFonts w:hint="eastAsia" w:ascii="仿宋" w:hAnsi="仿宋" w:eastAsia="仿宋" w:cs="仿宋"/>
                <w:kern w:val="0"/>
                <w:sz w:val="21"/>
                <w:szCs w:val="21"/>
                <w:lang w:eastAsia="zh-CN" w:bidi="ar"/>
              </w:rPr>
              <w:t>中学历史信息系统软件</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eastAsia="zh-CN"/>
              </w:rPr>
              <w:t>中学历史信息系统软件</w:t>
            </w:r>
            <w:r>
              <w:rPr>
                <w:rFonts w:hint="eastAsia" w:ascii="仿宋" w:hAnsi="仿宋" w:eastAsia="仿宋" w:cs="仿宋"/>
                <w:sz w:val="21"/>
                <w:szCs w:val="21"/>
              </w:rPr>
              <w:t>》 系统自带10000份以高清文物图片素材、1000条音频解说、1000份历史视频、1000道随堂试题、200份教学课件；系统所设每个室风格各异，各有侧重；一般用户、教师用户、学生用户、机构用户、管理员用户五种角色各有空间、互不干扰。①专题栏目</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查看校内通知、最新新闻动态，教育机构的最新政策和新闻动态。</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②资源</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数字历史馆分为五大科室，具体如下：</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文物博览室——依据初中历史新课标。按照历史时期发展的顺序：原始社会时期、夏商西周时期、春秋战国时期……，通过各种文物还原各个时期的政治、经济、文化和日常生活等。</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 xml:space="preserve">  专题研读室——依据高中历史新课标，突出教学重点，多种类型资源相互关联，</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 xml:space="preserve">   影像资料室——全程播放历史视频，还原历史详情。</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教学研究室——汇集历史课件、微课程、公开课等资源，是教师备课，课堂观摩与学生预习、课后复习的好场所。</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情系家园——自主上传一些家乡特有的矿产、小吃、特产、传说与学校校史，创建与打造一个家乡历史馆、校史文化馆。</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③自主探究中心</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包含探究热身、探究广场与探究成果三个模块，汇集了历史教学中一些重点试题，引导学生进行自主探究性学习。</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④用户空间</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a用户可创建个人空间，上传共享资源，并发布个人博客、评论等操作。</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b 信息统计：机构用户可以查看所管理学校的软件使用情况，软件可以自动生成柱状图和饼状图，通过系统自带的“打印”功能打印出来，供教学管理者使用。序号 设备名称 功能、技术要求 数量 单位 备注</w:t>
            </w:r>
          </w:p>
          <w:p>
            <w:pPr>
              <w:widowControl/>
              <w:textAlignment w:val="center"/>
              <w:rPr>
                <w:rFonts w:hint="eastAsia" w:ascii="仿宋" w:hAnsi="仿宋" w:eastAsia="仿宋" w:cs="仿宋"/>
                <w:sz w:val="21"/>
                <w:szCs w:val="21"/>
              </w:rPr>
            </w:pPr>
            <w:r>
              <w:rPr>
                <w:rFonts w:hint="eastAsia" w:ascii="仿宋" w:hAnsi="仿宋" w:eastAsia="仿宋" w:cs="仿宋"/>
                <w:sz w:val="21"/>
                <w:szCs w:val="21"/>
              </w:rPr>
              <w:t>01 前段调度以及负载均衡服务器 配置双CPU Intel Xeon E5-2420处理器或以上</w:t>
            </w:r>
          </w:p>
          <w:p>
            <w:pPr>
              <w:widowControl/>
              <w:textAlignment w:val="center"/>
              <w:rPr>
                <w:rFonts w:hint="eastAsia" w:ascii="仿宋" w:hAnsi="仿宋" w:eastAsia="仿宋" w:cs="仿宋"/>
                <w:sz w:val="21"/>
                <w:szCs w:val="21"/>
                <w:lang w:val="en-US" w:eastAsia="zh-CN"/>
              </w:rPr>
            </w:pPr>
            <w:r>
              <w:rPr>
                <w:rFonts w:hint="eastAsia" w:ascii="仿宋" w:hAnsi="仿宋" w:eastAsia="仿宋" w:cs="仿宋"/>
                <w:sz w:val="21"/>
                <w:szCs w:val="21"/>
              </w:rPr>
              <w:t>配置16G DDR3 ECC RDIMM或以上内存容量；配置≥1块2T 3.5英寸热插拔企业级SATA硬盘，硬盘转速7200RPM，标配支持8个3.5英寸硬盘位；独立高性能8口SAS RAID卡，支持RAID0,1,5,6。RAID卡自带512M缓存</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套</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41</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仿古课桌椅</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eastAsia="zh-CN" w:bidi="ar"/>
              </w:rPr>
              <w:t>外观尺寸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1200mm×400mm×690mm,明清风格，实木仿古雕刻制作，古桃木色着色。古案几设计，不设课桌抽屉，两头装饰角斗。Φ300×450Hmm，仿古凳，轻质木精加工而成。</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套</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28</w:t>
            </w:r>
          </w:p>
        </w:tc>
      </w:tr>
      <w:tr>
        <w:tblPrEx>
          <w:tblCellMar>
            <w:top w:w="0" w:type="dxa"/>
            <w:left w:w="15" w:type="dxa"/>
            <w:bottom w:w="0" w:type="dxa"/>
            <w:right w:w="15" w:type="dxa"/>
          </w:tblCellMar>
        </w:tblPrEx>
        <w:trPr>
          <w:trHeight w:val="183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textAlignment w:val="center"/>
              <w:rPr>
                <w:rFonts w:hint="eastAsia" w:ascii="仿宋" w:hAnsi="仿宋" w:eastAsia="仿宋" w:cs="仿宋"/>
                <w:sz w:val="21"/>
                <w:szCs w:val="21"/>
              </w:rPr>
            </w:pPr>
            <w:r>
              <w:rPr>
                <w:rFonts w:hint="eastAsia" w:ascii="仿宋" w:hAnsi="仿宋" w:eastAsia="仿宋" w:cs="仿宋"/>
                <w:sz w:val="21"/>
                <w:szCs w:val="21"/>
              </w:rPr>
              <w:t>42</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多媒体讲台</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 xml:space="preserve"> 产品规格</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1100*700*960MM，底台高度</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210MM，底台与讲台紧密连接。材质：桌面主体选用马钢优质冷轧钢板，精加工制作,板材厚度</w:t>
            </w:r>
            <w:r>
              <w:rPr>
                <w:rFonts w:hint="eastAsia" w:ascii="仿宋" w:hAnsi="仿宋" w:eastAsia="仿宋" w:cs="仿宋"/>
                <w:color w:val="000000"/>
                <w:kern w:val="0"/>
                <w:sz w:val="21"/>
                <w:szCs w:val="21"/>
                <w:lang w:eastAsia="zh-CN" w:bidi="ar"/>
              </w:rPr>
              <w:t>不小于</w:t>
            </w:r>
            <w:r>
              <w:rPr>
                <w:rFonts w:hint="eastAsia" w:ascii="仿宋" w:hAnsi="仿宋" w:eastAsia="仿宋" w:cs="仿宋"/>
                <w:color w:val="000000"/>
                <w:kern w:val="0"/>
                <w:sz w:val="21"/>
                <w:szCs w:val="21"/>
                <w:lang w:bidi="ar"/>
              </w:rPr>
              <w:t>1.2mm。表面经酸洗、磷化防腐防锈后静电喷塑处理，喷后均匀，光洁度好，塑面经久耐用、桌面前部为高密度防火板。具有防尘钢化汽车玻璃，要求达到防水、防尘功能。</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台</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1</w:t>
            </w:r>
          </w:p>
        </w:tc>
      </w:tr>
      <w:tr>
        <w:tblPrEx>
          <w:tblCellMar>
            <w:top w:w="0" w:type="dxa"/>
            <w:left w:w="15" w:type="dxa"/>
            <w:bottom w:w="0" w:type="dxa"/>
            <w:right w:w="15" w:type="dxa"/>
          </w:tblCellMar>
        </w:tblPrEx>
        <w:trPr>
          <w:trHeight w:val="128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43</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eastAsia="zh-CN" w:bidi="ar"/>
              </w:rPr>
            </w:pPr>
            <w:r>
              <w:rPr>
                <w:rFonts w:hint="eastAsia" w:ascii="仿宋" w:hAnsi="仿宋" w:eastAsia="仿宋" w:cs="仿宋"/>
                <w:kern w:val="0"/>
                <w:sz w:val="21"/>
                <w:szCs w:val="21"/>
                <w:lang w:eastAsia="zh-CN" w:bidi="ar"/>
              </w:rPr>
              <w:t>指南车</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kern w:val="0"/>
                <w:sz w:val="21"/>
                <w:szCs w:val="21"/>
                <w:lang w:eastAsia="zh-CN" w:bidi="ar"/>
              </w:rPr>
            </w:pPr>
            <w:r>
              <w:rPr>
                <w:rFonts w:hint="eastAsia" w:ascii="仿宋" w:hAnsi="仿宋" w:eastAsia="仿宋" w:cs="仿宋"/>
                <w:kern w:val="0"/>
                <w:sz w:val="21"/>
                <w:szCs w:val="21"/>
                <w:lang w:bidi="ar"/>
              </w:rPr>
              <w:t>又称司南车，是中国古代用来指示方向的一种机械装置，它利用差速齿轮传动系统，根据车轮的转动，由车上木人指示方向，不论车子转向何方，木人的手始终指向你设定好的方向，此产品不仅体现了古代科技的进步，同时展现了古人的智慧。实木足轮Φ</w:t>
            </w:r>
            <w:r>
              <w:rPr>
                <w:rFonts w:hint="eastAsia" w:ascii="仿宋" w:hAnsi="仿宋" w:eastAsia="仿宋" w:cs="仿宋"/>
                <w:kern w:val="0"/>
                <w:sz w:val="21"/>
                <w:szCs w:val="21"/>
              </w:rPr>
              <w:t>≥</w:t>
            </w:r>
            <w:r>
              <w:rPr>
                <w:rFonts w:hint="eastAsia" w:ascii="仿宋" w:hAnsi="仿宋" w:eastAsia="仿宋" w:cs="仿宋"/>
                <w:kern w:val="0"/>
                <w:sz w:val="21"/>
                <w:szCs w:val="21"/>
                <w:lang w:bidi="ar"/>
              </w:rPr>
              <w:t>700mm</w:t>
            </w:r>
            <w:r>
              <w:rPr>
                <w:rFonts w:hint="eastAsia" w:ascii="仿宋" w:hAnsi="仿宋" w:eastAsia="仿宋" w:cs="仿宋"/>
                <w:kern w:val="0"/>
                <w:sz w:val="21"/>
                <w:szCs w:val="21"/>
                <w:lang w:eastAsia="zh-CN" w:bidi="ar"/>
              </w:rPr>
              <w:t>。</w:t>
            </w:r>
          </w:p>
          <w:p>
            <w:pPr>
              <w:widowControl/>
              <w:jc w:val="left"/>
              <w:textAlignment w:val="center"/>
              <w:rPr>
                <w:rFonts w:hint="eastAsia" w:ascii="仿宋" w:hAnsi="仿宋" w:eastAsia="仿宋" w:cs="仿宋"/>
                <w:kern w:val="0"/>
                <w:sz w:val="21"/>
                <w:szCs w:val="21"/>
                <w:lang w:eastAsia="zh-CN" w:bidi="ar"/>
              </w:rPr>
            </w:pP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台</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44</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记里鼓车</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仿宋" w:hAnsi="仿宋" w:eastAsia="仿宋" w:cs="仿宋"/>
                <w:kern w:val="0"/>
                <w:sz w:val="21"/>
                <w:szCs w:val="21"/>
                <w:lang w:eastAsia="zh-CN" w:bidi="ar"/>
              </w:rPr>
            </w:pPr>
            <w:r>
              <w:rPr>
                <w:rFonts w:hint="eastAsia" w:ascii="仿宋" w:hAnsi="仿宋" w:eastAsia="仿宋" w:cs="仿宋"/>
                <w:kern w:val="0"/>
                <w:sz w:val="21"/>
                <w:szCs w:val="21"/>
                <w:lang w:bidi="ar"/>
              </w:rPr>
              <w:t>又称记道车、大章车；它是利用车轮带动大小不同的一组齿轮，使车轮走满一里时，其中一个齿轮刚好转动一圈，该轮轴拔动车上木人打鼓或击钟，报告行程；此产品不仅体现了古代科技的进步，同时展现了古人的智慧.实木足轮Φ</w:t>
            </w:r>
            <w:r>
              <w:rPr>
                <w:rFonts w:hint="eastAsia" w:ascii="仿宋" w:hAnsi="仿宋" w:eastAsia="仿宋" w:cs="仿宋"/>
                <w:kern w:val="0"/>
                <w:sz w:val="21"/>
                <w:szCs w:val="21"/>
              </w:rPr>
              <w:t>≥</w:t>
            </w:r>
            <w:r>
              <w:rPr>
                <w:rFonts w:hint="eastAsia" w:ascii="仿宋" w:hAnsi="仿宋" w:eastAsia="仿宋" w:cs="仿宋"/>
                <w:kern w:val="0"/>
                <w:sz w:val="21"/>
                <w:szCs w:val="21"/>
                <w:lang w:bidi="ar"/>
              </w:rPr>
              <w:t>700mm</w:t>
            </w:r>
            <w:r>
              <w:rPr>
                <w:rFonts w:hint="eastAsia" w:ascii="仿宋" w:hAnsi="仿宋" w:eastAsia="仿宋" w:cs="仿宋"/>
                <w:kern w:val="0"/>
                <w:sz w:val="21"/>
                <w:szCs w:val="21"/>
                <w:lang w:eastAsia="zh-CN" w:bidi="ar"/>
              </w:rPr>
              <w:t>。</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台</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r>
      <w:tr>
        <w:tblPrEx>
          <w:tblCellMar>
            <w:top w:w="0" w:type="dxa"/>
            <w:left w:w="15" w:type="dxa"/>
            <w:bottom w:w="0" w:type="dxa"/>
            <w:right w:w="15" w:type="dxa"/>
          </w:tblCellMar>
        </w:tblPrEx>
        <w:trPr>
          <w:trHeight w:val="1203"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45</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防尘玻璃罩</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eastAsia="zh-CN" w:bidi="ar"/>
              </w:rPr>
              <w:t>外观尺寸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950×650×500mm，采用5mm钢化玻璃制作，导角，磨边，达到防尘、美观的同时，很好的保护模型不被损坏。</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14</w:t>
            </w:r>
          </w:p>
        </w:tc>
      </w:tr>
      <w:tr>
        <w:tblPrEx>
          <w:tblCellMar>
            <w:top w:w="0" w:type="dxa"/>
            <w:left w:w="15" w:type="dxa"/>
            <w:bottom w:w="0" w:type="dxa"/>
            <w:right w:w="15" w:type="dxa"/>
          </w:tblCellMar>
        </w:tblPrEx>
        <w:trPr>
          <w:trHeight w:val="607"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r>
              <w:rPr>
                <w:rFonts w:hint="eastAsia" w:ascii="仿宋" w:hAnsi="仿宋" w:eastAsia="仿宋" w:cs="仿宋"/>
                <w:sz w:val="21"/>
                <w:szCs w:val="21"/>
              </w:rPr>
              <w:t>46</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仿古柜</w:t>
            </w: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eastAsia="zh-CN" w:bidi="ar"/>
              </w:rPr>
              <w:t>外观尺寸</w:t>
            </w:r>
            <w:r>
              <w:rPr>
                <w:rFonts w:hint="eastAsia" w:ascii="仿宋" w:hAnsi="仿宋" w:eastAsia="仿宋" w:cs="仿宋"/>
                <w:kern w:val="0"/>
                <w:sz w:val="21"/>
                <w:szCs w:val="21"/>
              </w:rPr>
              <w:t>≥</w:t>
            </w:r>
            <w:r>
              <w:rPr>
                <w:rFonts w:hint="eastAsia" w:ascii="仿宋" w:hAnsi="仿宋" w:eastAsia="仿宋" w:cs="仿宋"/>
                <w:color w:val="000000"/>
                <w:kern w:val="0"/>
                <w:sz w:val="21"/>
                <w:szCs w:val="21"/>
                <w:lang w:bidi="ar"/>
              </w:rPr>
              <w:t>980×680×500m，机制木工板加工，1.6密度板造型，防火板贴面。</w:t>
            </w:r>
          </w:p>
        </w:tc>
        <w:tc>
          <w:tcPr>
            <w:tcW w:w="3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个</w:t>
            </w:r>
          </w:p>
        </w:tc>
        <w:tc>
          <w:tcPr>
            <w:tcW w:w="29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kern w:val="0"/>
                <w:sz w:val="21"/>
                <w:szCs w:val="21"/>
                <w:lang w:bidi="ar"/>
              </w:rPr>
            </w:pPr>
            <w:r>
              <w:rPr>
                <w:rFonts w:hint="eastAsia" w:ascii="仿宋" w:hAnsi="仿宋" w:eastAsia="仿宋" w:cs="仿宋"/>
                <w:color w:val="000000"/>
                <w:kern w:val="0"/>
                <w:sz w:val="21"/>
                <w:szCs w:val="21"/>
                <w:lang w:bidi="ar"/>
              </w:rPr>
              <w:t>14</w:t>
            </w:r>
          </w:p>
        </w:tc>
      </w:tr>
      <w:tr>
        <w:tblPrEx>
          <w:tblCellMar>
            <w:top w:w="0" w:type="dxa"/>
            <w:left w:w="15" w:type="dxa"/>
            <w:bottom w:w="0" w:type="dxa"/>
            <w:right w:w="15" w:type="dxa"/>
          </w:tblCellMar>
        </w:tblPrEx>
        <w:trPr>
          <w:trHeight w:val="616" w:hRule="atLeast"/>
        </w:trPr>
        <w:tc>
          <w:tcPr>
            <w:tcW w:w="27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仿宋" w:hAnsi="仿宋" w:eastAsia="仿宋" w:cs="仿宋"/>
                <w:sz w:val="21"/>
                <w:szCs w:val="21"/>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hint="eastAsia" w:ascii="仿宋" w:hAnsi="仿宋" w:eastAsia="仿宋" w:cs="仿宋"/>
                <w:kern w:val="0"/>
                <w:sz w:val="21"/>
                <w:szCs w:val="21"/>
                <w:lang w:bidi="ar"/>
              </w:rPr>
            </w:pPr>
          </w:p>
        </w:tc>
        <w:tc>
          <w:tcPr>
            <w:tcW w:w="699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sz w:val="21"/>
                <w:szCs w:val="21"/>
                <w:lang w:bidi="ar"/>
              </w:rPr>
            </w:pPr>
          </w:p>
        </w:tc>
        <w:tc>
          <w:tcPr>
            <w:tcW w:w="33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kern w:val="0"/>
                <w:sz w:val="21"/>
                <w:szCs w:val="21"/>
                <w:lang w:bidi="ar"/>
              </w:rPr>
            </w:pPr>
          </w:p>
        </w:tc>
        <w:tc>
          <w:tcPr>
            <w:tcW w:w="2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kern w:val="0"/>
                <w:sz w:val="21"/>
                <w:szCs w:val="21"/>
                <w:lang w:bidi="ar"/>
              </w:rPr>
            </w:pPr>
          </w:p>
        </w:tc>
      </w:tr>
      <w:bookmarkEnd w:id="23"/>
    </w:tbl>
    <w:p>
      <w:pPr>
        <w:pStyle w:val="24"/>
        <w:rPr>
          <w:rFonts w:hint="eastAsia" w:eastAsia="宋体"/>
          <w:lang w:eastAsia="zh-CN"/>
        </w:rPr>
      </w:pPr>
    </w:p>
    <w:p>
      <w:pPr>
        <w:jc w:val="both"/>
        <w:rPr>
          <w:rFonts w:hint="eastAsia"/>
          <w:sz w:val="32"/>
          <w:szCs w:val="32"/>
        </w:rPr>
      </w:pPr>
    </w:p>
    <w:p/>
    <w:p/>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center"/>
        <w:rPr>
          <w:rFonts w:ascii="仿宋" w:hAnsi="仿宋" w:eastAsia="仿宋" w:cs="仿宋"/>
          <w:b/>
          <w:bCs/>
          <w:i w:val="0"/>
          <w:color w:val="000000"/>
          <w:kern w:val="0"/>
          <w:sz w:val="32"/>
          <w:szCs w:val="32"/>
          <w:u w:val="none"/>
          <w:shd w:val="clear" w:fill="FFFFFF"/>
          <w:lang w:val="en-US" w:eastAsia="zh-CN" w:bidi="ar"/>
        </w:rPr>
      </w:pPr>
    </w:p>
    <w:p>
      <w:pPr>
        <w:pStyle w:val="2"/>
        <w:rPr>
          <w:rFonts w:ascii="仿宋" w:hAnsi="仿宋" w:eastAsia="仿宋" w:cs="仿宋"/>
          <w:b/>
          <w:bCs/>
          <w:i w:val="0"/>
          <w:color w:val="000000"/>
          <w:kern w:val="0"/>
          <w:sz w:val="32"/>
          <w:szCs w:val="32"/>
          <w:u w:val="none"/>
          <w:shd w:val="clear" w:fill="FFFFFF"/>
          <w:lang w:val="en-US" w:eastAsia="zh-CN" w:bidi="ar"/>
        </w:rPr>
      </w:pPr>
    </w:p>
    <w:p>
      <w:pPr>
        <w:rPr>
          <w:rFonts w:ascii="仿宋" w:hAnsi="仿宋" w:eastAsia="仿宋" w:cs="仿宋"/>
          <w:b/>
          <w:bCs/>
          <w:i w:val="0"/>
          <w:color w:val="000000"/>
          <w:kern w:val="0"/>
          <w:sz w:val="32"/>
          <w:szCs w:val="32"/>
          <w:u w:val="none"/>
          <w:shd w:val="clear" w:fill="FFFFFF"/>
          <w:lang w:val="en-US" w:eastAsia="zh-CN" w:bidi="ar"/>
        </w:rPr>
      </w:pPr>
    </w:p>
    <w:p>
      <w:pPr>
        <w:pStyle w:val="2"/>
        <w:rPr>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center"/>
      </w:pPr>
      <w:r>
        <w:rPr>
          <w:rFonts w:ascii="仿宋" w:hAnsi="仿宋" w:eastAsia="仿宋" w:cs="仿宋"/>
          <w:b/>
          <w:bCs/>
          <w:i w:val="0"/>
          <w:color w:val="000000"/>
          <w:kern w:val="0"/>
          <w:sz w:val="32"/>
          <w:szCs w:val="32"/>
          <w:u w:val="none"/>
          <w:shd w:val="clear" w:fill="FFFFFF"/>
          <w:lang w:val="en-US" w:eastAsia="zh-CN" w:bidi="ar"/>
        </w:rPr>
        <w:t>三标</w:t>
      </w:r>
      <w:r>
        <w:rPr>
          <w:rFonts w:hint="eastAsia" w:ascii="仿宋" w:hAnsi="仿宋" w:eastAsia="仿宋" w:cs="仿宋"/>
          <w:b/>
          <w:bCs/>
          <w:i w:val="0"/>
          <w:color w:val="000000"/>
          <w:kern w:val="0"/>
          <w:sz w:val="32"/>
          <w:szCs w:val="32"/>
          <w:u w:val="none"/>
          <w:shd w:val="clear" w:fill="FFFFFF"/>
          <w:lang w:val="en-US" w:eastAsia="zh-CN" w:bidi="ar"/>
        </w:rPr>
        <w:t>包：中小学创客教室设备采购参数</w:t>
      </w:r>
    </w:p>
    <w:tbl>
      <w:tblPr>
        <w:tblStyle w:val="25"/>
        <w:tblW w:w="9137" w:type="dxa"/>
        <w:tblInd w:w="0" w:type="dxa"/>
        <w:tblLayout w:type="fixed"/>
        <w:tblCellMar>
          <w:top w:w="0" w:type="dxa"/>
          <w:left w:w="0" w:type="dxa"/>
          <w:bottom w:w="0" w:type="dxa"/>
          <w:right w:w="0" w:type="dxa"/>
        </w:tblCellMar>
      </w:tblPr>
      <w:tblGrid>
        <w:gridCol w:w="476"/>
        <w:gridCol w:w="964"/>
        <w:gridCol w:w="4634"/>
        <w:gridCol w:w="651"/>
        <w:gridCol w:w="781"/>
        <w:gridCol w:w="1631"/>
      </w:tblGrid>
      <w:tr>
        <w:tblPrEx>
          <w:tblCellMar>
            <w:top w:w="0" w:type="dxa"/>
            <w:left w:w="0" w:type="dxa"/>
            <w:bottom w:w="0" w:type="dxa"/>
            <w:right w:w="0" w:type="dxa"/>
          </w:tblCellMar>
        </w:tblPrEx>
        <w:trPr>
          <w:trHeight w:val="639" w:hRule="atLeast"/>
        </w:trPr>
        <w:tc>
          <w:tcPr>
            <w:tcW w:w="9137" w:type="dxa"/>
            <w:gridSpan w:val="6"/>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r>
              <w:rPr>
                <w:rFonts w:hint="eastAsia" w:ascii="宋体" w:hAnsi="宋体" w:eastAsia="宋体" w:cs="宋体"/>
                <w:b/>
                <w:i w:val="0"/>
                <w:color w:val="000000"/>
                <w:kern w:val="0"/>
                <w:sz w:val="28"/>
                <w:szCs w:val="28"/>
                <w:u w:val="none"/>
                <w:lang w:val="en-US" w:eastAsia="zh-CN" w:bidi="ar"/>
              </w:rPr>
              <w:t>小学创客教室配备设备清单及规格参数</w:t>
            </w:r>
          </w:p>
        </w:tc>
      </w:tr>
      <w:tr>
        <w:tblPrEx>
          <w:tblCellMar>
            <w:top w:w="0" w:type="dxa"/>
            <w:left w:w="0" w:type="dxa"/>
            <w:bottom w:w="0" w:type="dxa"/>
            <w:right w:w="0" w:type="dxa"/>
          </w:tblCellMar>
        </w:tblPrEx>
        <w:trPr>
          <w:trHeight w:val="639"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序号</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设备名称</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技术参数</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单位</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数量</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参考图片</w:t>
            </w:r>
          </w:p>
        </w:tc>
      </w:tr>
      <w:tr>
        <w:tblPrEx>
          <w:tblCellMar>
            <w:top w:w="0" w:type="dxa"/>
            <w:left w:w="0" w:type="dxa"/>
            <w:bottom w:w="0" w:type="dxa"/>
            <w:right w:w="0" w:type="dxa"/>
          </w:tblCellMar>
        </w:tblPrEx>
        <w:trPr>
          <w:trHeight w:val="90" w:hRule="atLeast"/>
        </w:trPr>
        <w:tc>
          <w:tcPr>
            <w:tcW w:w="6074" w:type="dxa"/>
            <w:gridSpan w:val="3"/>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创客教学基础套装</w:t>
            </w:r>
          </w:p>
        </w:tc>
        <w:tc>
          <w:tcPr>
            <w:tcW w:w="65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78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163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11215"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编程魔盒   （初级A）</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编程魔盒》创新初级套件A，采用图形化编程和激光切割结构件，面向小学生群体，是一套适合青少年使用的产品改造、编程学习的系统套件。课程充分考虑到学生所处在的认知阶段，设立了ABC三级的进阶课程，从知识内容到工程结构设计、编程逻辑思维等多个方面，逐步的使学生理解和运用电子元器件和编程软件及方法，每个阶段通过六个场景的搭建，学生可以通过对结构件的综合分析，进行多角度整体规划，手脑并用，帮助学生的思维由经验型向理论型转化，改造并创造出设计新颖，使用方便，更符合人类审美要求的产品，架起技术与艺术之间的桥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产品配置参数：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★兼容Arduino的开源主控板（尺寸50*50mm），ATMel328p芯片 数字3针扩展口：14个扩展端口可同时并行工作，以GPIO+电源+地方式扩展，3针针脚间距2.54mm 模拟3针扩展口：6个扩展端口可同时并行工作，特殊GPIO+电源+地方式扩展，3针针脚间距2.54mm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接口引脚：UART引脚直接接出、I2C引脚直接接出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USB芯片：采用最好的USB转TTL转换芯片、FTDI模式，避免其他形式的转换芯片编程时大概率失败问题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电源供电：可以一键切换3.3V或5V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外壳：可选配光敏树脂打印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使用次数：可反复接插使用2万次、绝对避免磁吸弹簧针模式在使用数次即接触不良问题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核心编程控制板：含有2个一致的核心编程控制板（不需要电源板），分别用于编程学习、系统搭建演示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执行器和传感器：四位数码管（1.9寸）、数字按键、8X8点阵屏、MAX7219、LED全彩灯带、蜂鸣器、led灯板、放大器套装、碰撞传感器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编程方式：配合经典的图形化编程软件进行教学*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兼容方式：兼容乐高*</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连接方式：编程控制板与传感器及执行器模块之间用3Pin的信号线接插连接，不需要焊接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防呆和鲁棒性：防呆设计，信号线插反不会引发短路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支持多样的互动程式 如: Flash,Max/Msp,VVVV,PD,C,Processing 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场景搭建：系统搭建迅速可在一节课内完成一个小系统模块，让学生迅速获得系统可玩性内容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其他通用规格包括：</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Digital I/O 数字输入/输出端共 0~13。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 Analog I/O 模拟输入/输出端共 0~5。</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 支持 USB 接口协议及供电(不需外接电源)。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 支持 ISP 下载功能。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 支持单片机 TX/RX 端子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 支持 USB TX/RX 端子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 支持 AREF 端子。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 支持六組 PWM 端子(Pin11,Pin10,Pin9，Pin6,Pin5,Pin3)。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 输入电压：接上 USB 时无须外部供电或外部 5V~9V DC 输入。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10．输出电压：5V DC 输出和 3.3V DC 输出 和外部电源输入。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教材参数：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1本；内容15课时（章节）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软件特点：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图形化编程软件:基于开源的Mixly图形化编程软件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课程资源包：</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整个课程包含15章节30课时，可满足学校全学年的教学需求。课程包备有学生教材、教案、课件供师生使用，开标现场提供不少于5个课题的现场演示；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2）★课程内容：课程由浅入深，学习连接电路，有多个详尽的课程:电子竞技、方舟反应炉、留声机、吸血毛毛虫</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1254760</wp:posOffset>
                  </wp:positionV>
                  <wp:extent cx="1338580" cy="978535"/>
                  <wp:effectExtent l="0" t="0" r="2540" b="12065"/>
                  <wp:wrapNone/>
                  <wp:docPr id="17" name="图片_23"/>
                  <wp:cNvGraphicFramePr/>
                  <a:graphic xmlns:a="http://schemas.openxmlformats.org/drawingml/2006/main">
                    <a:graphicData uri="http://schemas.openxmlformats.org/drawingml/2006/picture">
                      <pic:pic xmlns:pic="http://schemas.openxmlformats.org/drawingml/2006/picture">
                        <pic:nvPicPr>
                          <pic:cNvPr id="17" name="图片_23"/>
                          <pic:cNvPicPr/>
                        </pic:nvPicPr>
                        <pic:blipFill>
                          <a:blip r:embed="rId39"/>
                          <a:stretch>
                            <a:fillRect/>
                          </a:stretch>
                        </pic:blipFill>
                        <pic:spPr>
                          <a:xfrm>
                            <a:off x="0" y="0"/>
                            <a:ext cx="1338580" cy="9785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编程魔盒   （中级B）</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编程魔盒》创新中级套件B，采用图形化编程和激光切割结构件，面向小学生群体，是一套适合青少年使用的产品改造、编程学习的系统套件。课程充分考虑到学生所处在的认知阶段，设立了ABC三级的进阶课程，从知识内容到工程结构设计、编程逻辑思维等多个方面，逐步的使学生理解和运用电子元器件和编程软件及方法，每个阶段通过六个场景的搭建，学生可以通过对结构件的综合分析，进行多角度整体规划，手脑并用，帮助学生的思维由经验型向理论型转化，改造并创造出设计新颖，使用方便，更符合人类审美要求的产品，架起技术与艺术之间的桥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★兼容Arduino的开源主控板（尺寸50*50mm），ATMel328p芯片 数字3针扩展口：14个扩展端口可同时并行工作，以GPIO+电源+地方式扩展，3针针脚间距2.54mm 模拟3针扩展口：6个扩展端口可同时并行工作，特殊GPIO+电源+地方式扩展，3针针脚间距2.54mm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接口引脚：UART引脚直接接出、I2C引脚直接接出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USB芯片：采用最好的USB转TTL转换芯片、FTDI模式，避免其他形式的转换芯片编程时大概率失败问题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电源供电：可以一键切换3.3V或5V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外壳：可选配光敏树脂打印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使用次数：可反复接插使用2万次、绝对避免磁吸弹簧针模式在使用数次即接触不良问题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核心编程控制板：含有2个一致的核心编程控制板（不需要电源板），分别用于编程学习、系统搭建演示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执行器和传感器：数字led灯（红绿蓝）、数字按键、8X8点阵屏、MAX7219驱动、触摸传感器、130电机、电机驱动板（L1190S）、放大器套装、8X8点阵屏（红绿双色、IIC接口）、模拟角度传感器（电位计）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编程方式：配合经典的图形化编程软件进行教学*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兼容方式：兼容乐高*</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连接方式：编程控制板与传感器及执行器模块之间用3Pin的信号线接插连接，不需要焊接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防呆和鲁棒性：防呆设计，信号线插反不会引发短路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支持多样的互动程式 如: Flash,Max/Msp,VVVV,PD,C,Processing 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场景搭建：系统搭建迅速可在一节课内完成一个小系统模块，让学生迅速获得系统可玩性内容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其他通用规格包括：</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Digital I/O 数字输入/输出端共 0~13。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 Analog I/O 模拟输入/输出端共 0~5。</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 支持 USB 接口协议及供电(不需外接电源)。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 支持 ISP 下载功能。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 支持单片机 TX/RX 端子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 支持 USB TX/RX 端子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 支持 AREF 端子。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 支持六組 PWM 端子(Pin11,Pin10,Pin9，Pin6,Pin5,Pin3)。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 输入电压：接上 USB 时无须外部供电或外部 5V~9V DC 输入。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10．输出电压：5V DC 输出和 3.3V DC 输出 和外部电源输入。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教材参数：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1本；内容15课时（章节）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软件特点：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图形化编程软件:基于开源的Mixly图形化编程软件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课程资源包：</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1)整个课程包含15章节30课时，可满足学校全学年的教学需求。课程包备有学生教材、教案、课件供师生使用，开标现场提供不少于5个课题的现场演示；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2）★课程内容：课程内容：配有生动的使用课程，课程由浅入深，学习连接电路，有多个详尽的课程:电子罗盘、温馨小屋、荷兰风车、光电钢琴</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359410</wp:posOffset>
                  </wp:positionH>
                  <wp:positionV relativeFrom="paragraph">
                    <wp:posOffset>602615</wp:posOffset>
                  </wp:positionV>
                  <wp:extent cx="1280160" cy="662940"/>
                  <wp:effectExtent l="0" t="0" r="0" b="7620"/>
                  <wp:wrapNone/>
                  <wp:docPr id="18" name="图片_24"/>
                  <wp:cNvGraphicFramePr/>
                  <a:graphic xmlns:a="http://schemas.openxmlformats.org/drawingml/2006/main">
                    <a:graphicData uri="http://schemas.openxmlformats.org/drawingml/2006/picture">
                      <pic:pic xmlns:pic="http://schemas.openxmlformats.org/drawingml/2006/picture">
                        <pic:nvPicPr>
                          <pic:cNvPr id="18" name="图片_24"/>
                          <pic:cNvPicPr/>
                        </pic:nvPicPr>
                        <pic:blipFill>
                          <a:blip r:embed="rId40"/>
                          <a:stretch>
                            <a:fillRect/>
                          </a:stretch>
                        </pic:blipFill>
                        <pic:spPr>
                          <a:xfrm>
                            <a:off x="0" y="0"/>
                            <a:ext cx="1280160" cy="6629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413"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编程魔盒   （高级C）</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编程魔盒》创新高级套件C，采用图形化编程和激光切割结构件，面向小学生群体，是一套适合青少年使用的产品改造、编程学习的系统套件。课程充分考虑到学生所处在的认知阶段，设立了ABC三级的进阶课程，从知识内容到工程结构设计、编程逻辑思维等多个方面，逐步的使学生理解和运用电子元器件和编程软件及方法，每个阶段通过六个场景的搭建，学生可以通过对结构件的综合分析，进行多角度整体规划，手脑并用，帮助学生的思维由经验型向理论型转化，改造并创造出设计新颖，使用方便，更符合人类审美要求的产品，架起技术与艺术之间的桥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★兼容Arduino的开源主控板（尺寸50*50mm），ATMel328p芯片 数字3针扩展口：14个扩展端口可同时并行工作，以GPIO+电源+地方式扩展，3针针脚间距2.54mm 模拟3针扩展口：6个扩展端口可同时并行工作，特殊GPIO+电源+地方式扩展，3针针脚间距2.54mm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接口引脚：UART引脚直接接出、I2C引脚直接接出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USB芯片：采用最好的USB转TTL转换芯片、FTDI模式，避免其他形式的转换芯片编程时大概率失败问题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电源供电：可以一键切换3.3V或5V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外壳：可选配光敏树脂打印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使用次数：可反复接插使用2万次、绝对避免磁吸弹簧针模式在使用数次即接触不良问题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核心编程控制板：含有2个一致的核心编程控制板（不需要电源板），分别用于编程学习、系统搭建演示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执行器和传感器：数字LED灯（红绿黄）、蜂鸣器、9g舵机，碰撞传感器、超声波传感器、数字按键、1602液晶屏（IIC接口），四位数码管（1.9寸），摇杆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编程方式：配合经典的图形化编程软件进行教学*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兼容方式：兼容乐高*</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连接方式：编程控制板与传感器及执行器模块之间用3Pin的信号线接插连接，不需要焊接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防呆和鲁棒性：防呆设计，信号线插                                                                                                                                                                                                                                                                                                                                                                                                                                                                                                                                                                                                                                                                                                                                                                                                                                                                                                                                                                                                                                                                                                                                                                                                                                                                                                                                                                                                                                                                                                                                                                        想反不会引发短路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支持多样的互动程式 如: Flash,Max/Msp,VVVV,PD,C,Processing 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场景搭建：系统搭建迅速可在一节课内完成一个小系统模块，让学生迅速获得系统可玩性内容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其他通用规格包括：</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Digital I/O 数字输入/输出端共 0~13。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 Analog I/O 模拟输入/输出端共 0~5。</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 支持 USB 接口协议及供电(不需外接电源)。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 支持 ISP 下载功能。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 支持单片机 TX/RX 端子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 支持 USB TX/RX 端子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 支持 AREF 端子。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 支持六組 PWM 端子(Pin11,Pin10,Pin9，Pin6,Pin5,Pin3)。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 输入电压：接上 USB 时无须外部供电或外部 5V~9V DC 输入。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10．输出电压：5V DC 输出和 3.3V DC 输出 和外部电源输入。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教材参数：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1本；内容15课时（章节）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软件特点：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图形化编程软件:基于开源的Mixly图形化编程软件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课程资源包：</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整个课程包含15章节30课时，可满足学校全学年的教学需求。课程包备有学生教材、教案、课件供师生使用，开标现场提供不少于5个课题的现场演示；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2）课程内容：配有生动的使用课程，课程由浅入深，学习连接电路，有多个详尽的课程:交通信号灯、招财猫、精准测距枪、机械手臂</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91440</wp:posOffset>
                  </wp:positionH>
                  <wp:positionV relativeFrom="paragraph">
                    <wp:posOffset>45720</wp:posOffset>
                  </wp:positionV>
                  <wp:extent cx="1348740" cy="723900"/>
                  <wp:effectExtent l="0" t="0" r="7620" b="7620"/>
                  <wp:wrapNone/>
                  <wp:docPr id="19" name="图片_25"/>
                  <wp:cNvGraphicFramePr/>
                  <a:graphic xmlns:a="http://schemas.openxmlformats.org/drawingml/2006/main">
                    <a:graphicData uri="http://schemas.openxmlformats.org/drawingml/2006/picture">
                      <pic:pic xmlns:pic="http://schemas.openxmlformats.org/drawingml/2006/picture">
                        <pic:nvPicPr>
                          <pic:cNvPr id="19" name="图片_25"/>
                          <pic:cNvPicPr/>
                        </pic:nvPicPr>
                        <pic:blipFill>
                          <a:blip r:embed="rId41"/>
                          <a:stretch>
                            <a:fillRect/>
                          </a:stretch>
                        </pic:blipFill>
                        <pic:spPr>
                          <a:xfrm>
                            <a:off x="0" y="0"/>
                            <a:ext cx="1348740" cy="7239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3455"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图形化编程软件</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交互式中文图形化编程软件，兼容多种开源主控板，并可自行开发库文件；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2、同时支持交互式可编程创客基础设备包、交互式可编程创客基础设备包等多种硬件编程；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3、支持USB数据线连接编程连接方式；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4、支持mixly联机编程和Arduino代码上传两种编程模式；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5、Arduino模式能实现图形模块与Arduino指令的转换；         6、支持Windows、Mac等多种系统平台；</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46</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57150</wp:posOffset>
                  </wp:positionH>
                  <wp:positionV relativeFrom="paragraph">
                    <wp:posOffset>835660</wp:posOffset>
                  </wp:positionV>
                  <wp:extent cx="1165860" cy="685800"/>
                  <wp:effectExtent l="0" t="0" r="7620" b="0"/>
                  <wp:wrapNone/>
                  <wp:docPr id="20" name="图片_20"/>
                  <wp:cNvGraphicFramePr/>
                  <a:graphic xmlns:a="http://schemas.openxmlformats.org/drawingml/2006/main">
                    <a:graphicData uri="http://schemas.openxmlformats.org/drawingml/2006/picture">
                      <pic:pic xmlns:pic="http://schemas.openxmlformats.org/drawingml/2006/picture">
                        <pic:nvPicPr>
                          <pic:cNvPr id="20" name="图片_20"/>
                          <pic:cNvPicPr/>
                        </pic:nvPicPr>
                        <pic:blipFill>
                          <a:blip r:embed="rId42"/>
                          <a:stretch>
                            <a:fillRect/>
                          </a:stretch>
                        </pic:blipFill>
                        <pic:spPr>
                          <a:xfrm>
                            <a:off x="0" y="0"/>
                            <a:ext cx="1165860" cy="6858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4022"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平台及课程资源包</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用于STEAM创客教育、机器人编程、人工智能应用授课使用，为课堂PBL项目式学习及造物、普及创客基础素养提供配套的编程平台及丰富的课程资源。主要包含：ScratchPi编程平台*1、视频教学课程*12、基础班课程资源包*1、高级版课程资源包*1、教育版课程资源包*1、等级考试课程资源包*1、月球探险课程资源包*1、动力主题拓展课程包*1、物联网主题拓展课程包*1。包含供应商售后流程文档、常用电子模块介绍文档、售后故障排查文档、以及客服部门联系方式。为保障教学质量做出有力支持。</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200660</wp:posOffset>
                  </wp:positionH>
                  <wp:positionV relativeFrom="paragraph">
                    <wp:posOffset>1656080</wp:posOffset>
                  </wp:positionV>
                  <wp:extent cx="716280" cy="746760"/>
                  <wp:effectExtent l="0" t="0" r="0" b="0"/>
                  <wp:wrapNone/>
                  <wp:docPr id="21" name="图片_24_SpCnt_1"/>
                  <wp:cNvGraphicFramePr/>
                  <a:graphic xmlns:a="http://schemas.openxmlformats.org/drawingml/2006/main">
                    <a:graphicData uri="http://schemas.openxmlformats.org/drawingml/2006/picture">
                      <pic:pic xmlns:pic="http://schemas.openxmlformats.org/drawingml/2006/picture">
                        <pic:nvPicPr>
                          <pic:cNvPr id="21" name="图片_24_SpCnt_1"/>
                          <pic:cNvPicPr/>
                        </pic:nvPicPr>
                        <pic:blipFill>
                          <a:blip r:embed="rId43"/>
                          <a:stretch>
                            <a:fillRect/>
                          </a:stretch>
                        </pic:blipFill>
                        <pic:spPr>
                          <a:xfrm>
                            <a:off x="0" y="0"/>
                            <a:ext cx="716280" cy="74676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167640</wp:posOffset>
                  </wp:positionH>
                  <wp:positionV relativeFrom="paragraph">
                    <wp:posOffset>220345</wp:posOffset>
                  </wp:positionV>
                  <wp:extent cx="754380" cy="876300"/>
                  <wp:effectExtent l="0" t="0" r="7620" b="7620"/>
                  <wp:wrapNone/>
                  <wp:docPr id="22" name="图片_83"/>
                  <wp:cNvGraphicFramePr/>
                  <a:graphic xmlns:a="http://schemas.openxmlformats.org/drawingml/2006/main">
                    <a:graphicData uri="http://schemas.openxmlformats.org/drawingml/2006/picture">
                      <pic:pic xmlns:pic="http://schemas.openxmlformats.org/drawingml/2006/picture">
                        <pic:nvPicPr>
                          <pic:cNvPr id="22" name="图片_83"/>
                          <pic:cNvPicPr/>
                        </pic:nvPicPr>
                        <pic:blipFill>
                          <a:blip r:embed="rId44"/>
                          <a:stretch>
                            <a:fillRect/>
                          </a:stretch>
                        </pic:blipFill>
                        <pic:spPr>
                          <a:xfrm>
                            <a:off x="0" y="0"/>
                            <a:ext cx="754380" cy="8763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39" w:hRule="atLeast"/>
        </w:trPr>
        <w:tc>
          <w:tcPr>
            <w:tcW w:w="6074" w:type="dxa"/>
            <w:gridSpan w:val="3"/>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创客拓展配件包</w:t>
            </w:r>
          </w:p>
        </w:tc>
        <w:tc>
          <w:tcPr>
            <w:tcW w:w="65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78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163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9614"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智能闪电车</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索中掌握智能车的组装、改造、编程、调试等知识，将不同学科的知识运用其中，同时在课程中学生通过自己设计比赛赛点和玩法，可以充分了解比赛的举办和运营，增强了课程的趣味性，也使学生对于比赛有更强的心理建设。</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产品参数：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产品尺寸：长度267mm*宽度145mm*高度110mm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 底盘材料：铝合金板氧化底盘</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 主控板：Taiduino 2代，主控芯片 ATmega 2560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 扩展板接口：开关、充电接口、Micro USB串口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 元器件控制：防反接固定元器件接口；内置元器件：陀螺仪、蜂鸣器、声音传感器、复位按键、自锁按键、蜂鸣器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6. 驱动：直流减速电机，减速比1比150；转向舵机18g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 外接传感器：红外测距模块，测量距离10-60cm，模拟量输出；光电对管，数字输出；灰度模块，探测分辨率10%；超声波传感器，测量范围：0-50cm，感应角度：不大于15度，高精度：可达0.3cm；火焰传感器，检测火焰或者波长在760纳米～1100纳米范围内的光源，测试火焰距离约为80cm；蓝牙模块；1602屏幕，背光、蓝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 电机：工作电压12V，空载转速转速400转，金属齿轮组，减速配比编程可调；</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 舵机：工作电压5V，自由度180度，齿轮材质金属；</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 外设：RGB灯带，LED灯珠，额定电压：5V，颜色红/绿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11. 车辆轮子：通用轮/越野轮或麦轮，直径 65mm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 电池：额定电压：11.1V，数量：3节3.7V组成，容量：3000mah</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充电：12V锂电池充放电接口；工作电压：5V；电池输入接口：12V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13.可参加相关机器人比赛</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273685</wp:posOffset>
                  </wp:positionH>
                  <wp:positionV relativeFrom="paragraph">
                    <wp:posOffset>548005</wp:posOffset>
                  </wp:positionV>
                  <wp:extent cx="1402715" cy="1097915"/>
                  <wp:effectExtent l="0" t="0" r="0" b="0"/>
                  <wp:wrapNone/>
                  <wp:docPr id="23" name="图片_28"/>
                  <wp:cNvGraphicFramePr/>
                  <a:graphic xmlns:a="http://schemas.openxmlformats.org/drawingml/2006/main">
                    <a:graphicData uri="http://schemas.openxmlformats.org/drawingml/2006/picture">
                      <pic:pic xmlns:pic="http://schemas.openxmlformats.org/drawingml/2006/picture">
                        <pic:nvPicPr>
                          <pic:cNvPr id="23" name="图片_28"/>
                          <pic:cNvPicPr/>
                        </pic:nvPicPr>
                        <pic:blipFill>
                          <a:blip r:embed="rId45"/>
                          <a:stretch>
                            <a:fillRect/>
                          </a:stretch>
                        </pic:blipFill>
                        <pic:spPr>
                          <a:xfrm>
                            <a:off x="0" y="0"/>
                            <a:ext cx="1402715" cy="109791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3462"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智能闪电车配套课程</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闪电车课程涵盖目前国内外智能车大赛赛事中4种类型的比赛内容：障碍赛、任务赛、巡线赛、对抗赛。集智能车组装、编程和竞技一体，让学生在玩乐中学习，在动手探索中掌握智能车的组装、改造、编程、调试等知识，将不同学科的知识运用其中，同时在课程中学生通过自己设计比赛赛点和玩法，可以充分了解比赛的举办和运营，增强了课程的趣味性，也使学生对于比赛有更强的心理建设。课时安排：共16次课，32课时，包含课程PPT（教师用）、课程教案（教师用）</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207010</wp:posOffset>
                  </wp:positionH>
                  <wp:positionV relativeFrom="paragraph">
                    <wp:posOffset>1232535</wp:posOffset>
                  </wp:positionV>
                  <wp:extent cx="701040" cy="815340"/>
                  <wp:effectExtent l="0" t="0" r="0" b="7620"/>
                  <wp:wrapNone/>
                  <wp:docPr id="39" name="图片_10"/>
                  <wp:cNvGraphicFramePr/>
                  <a:graphic xmlns:a="http://schemas.openxmlformats.org/drawingml/2006/main">
                    <a:graphicData uri="http://schemas.openxmlformats.org/drawingml/2006/picture">
                      <pic:pic xmlns:pic="http://schemas.openxmlformats.org/drawingml/2006/picture">
                        <pic:nvPicPr>
                          <pic:cNvPr id="39" name="图片_10"/>
                          <pic:cNvPicPr/>
                        </pic:nvPicPr>
                        <pic:blipFill>
                          <a:blip r:embed="rId46"/>
                          <a:stretch>
                            <a:fillRect/>
                          </a:stretch>
                        </pic:blipFill>
                        <pic:spPr>
                          <a:xfrm>
                            <a:off x="0" y="0"/>
                            <a:ext cx="701040" cy="81534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304800</wp:posOffset>
                  </wp:positionH>
                  <wp:positionV relativeFrom="paragraph">
                    <wp:posOffset>167640</wp:posOffset>
                  </wp:positionV>
                  <wp:extent cx="624205" cy="784860"/>
                  <wp:effectExtent l="0" t="0" r="635" b="7620"/>
                  <wp:wrapNone/>
                  <wp:docPr id="40" name="图片_28_SpCnt_1"/>
                  <wp:cNvGraphicFramePr/>
                  <a:graphic xmlns:a="http://schemas.openxmlformats.org/drawingml/2006/main">
                    <a:graphicData uri="http://schemas.openxmlformats.org/drawingml/2006/picture">
                      <pic:pic xmlns:pic="http://schemas.openxmlformats.org/drawingml/2006/picture">
                        <pic:nvPicPr>
                          <pic:cNvPr id="40" name="图片_28_SpCnt_1"/>
                          <pic:cNvPicPr/>
                        </pic:nvPicPr>
                        <pic:blipFill>
                          <a:blip r:embed="rId47"/>
                          <a:stretch>
                            <a:fillRect/>
                          </a:stretch>
                        </pic:blipFill>
                        <pic:spPr>
                          <a:xfrm>
                            <a:off x="0" y="0"/>
                            <a:ext cx="624205" cy="7848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39" w:hRule="atLeast"/>
        </w:trPr>
        <w:tc>
          <w:tcPr>
            <w:tcW w:w="6074" w:type="dxa"/>
            <w:gridSpan w:val="3"/>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3D打印</w:t>
            </w:r>
          </w:p>
        </w:tc>
        <w:tc>
          <w:tcPr>
            <w:tcW w:w="65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78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163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90"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3D打印机</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1、打印尺寸：≥228*228*258mm（长*宽*高）,设备尺寸：≤400*400*475mm；</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2、打印的材料：支持市面主流的FDM打印耗材，如PLA、TPU、ABS、碳纤维等；</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3、打印机喷嘴：</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3.1、采用纯铜材质喷嘴，内壁光滑，能有效减少机器堵头情况的发生；</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3.2、机器出厂标配0.4mm喷嘴，可更换其他大小尺寸的喷嘴，如0.2、0.3、0.6等型号喷嘴，满足各类打印需求。</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4、打印速度：≤200mm/s，采用的是上市公司提供的优质步进电机，保证在高速打印的情况不丢步，性能可靠，让模型在快速以及高质量的情况的完美打印；</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5、机身结构：</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5.1机身采用的是2mm全钢板无缝焊机工艺，机身采用的是2mm全钢板无缝焊机工艺，机壳钣金,磨砂喷漆工艺，防止爆漆。（机身采用全钢结构，更加稳固，可有效降低机器打印时的震动与共振，使打印精度更高）；</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5.2、领先的十字架的打印结构设计也保证了打印的稳定性，在打印高的模型的时候不容易出现晃动；</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5.3、光轴精度可以达到0.1mm，硬件上面就保证了高质量的打印；</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5.4、耐磨性优于普通的皮带50%,提高了机器的使用寿命；</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5.5、近端送料，可以打印TPU等软料耗材；</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6、主板采用进口超静音TMC驱动，打印时声音小于50分贝，不影响课堂使用环境；</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7、操作界面：</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7.1、3.5英寸触摸屏让操作更加的顺手灵敏，让使用更加方便，同时也能实现中英文语言切换，满足各人群的需求。</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7.2、3.5寸彩色的操作界面让机器不死板，符合现代人的审美观；</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8、打印连接方式：支持U盘或SD卡脱机打印（不连电脑）和联机打印（连电脑），以及WiFi连接控制。脱机打印可让一台电脑对应多台打印机，满足教学的需求，避免需要多台电脑造成不必要的浪费；</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9、设备能实现打印完自动关机，在打印完成后自动给主板断电，实现安全打印；</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10、机器采用内置“明纬”电源，安全可靠为机器提供能量，实现长时间打印无压力，安全打印。</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11、喷嘴快拆、喷头快拆（模块化设计，便携拆装，有利于快速拆装机器）；</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12、一体式加热热床，热床最高可加热至110℃，可以打印ABS等特殊耗材；</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13、具有断料检测的功能，在机器缺料的情况下自动停止打印，人为的续接耗材上去的情况下可以继续之前的模型打印，让模型不浪费；</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14、断电续打：打印过程中断电后，不借助外部电源，在不拔卡等人为干扰机器的情况下，来电后可继续打印；</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15、加热异常保护：智能监控，若发生加热异常，机器会自动停机，杜绝意外发生；</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16、可以通过云平台控制机器打印，可监控打印以及手机操作停止打印；</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17、机械定位精度：Z轴0.0025mm、X/Y轴0.011mm</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18、打印模型精度：±0.1；</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19、机器自带LED灯带，方便在夜间查看打印状态；</w:t>
            </w:r>
            <w:r>
              <w:rPr>
                <w:rStyle w:val="87"/>
                <w:rFonts w:hint="eastAsia" w:ascii="仿宋" w:hAnsi="仿宋" w:eastAsia="仿宋" w:cs="仿宋"/>
                <w:sz w:val="24"/>
                <w:szCs w:val="24"/>
                <w:lang w:val="en-US" w:eastAsia="zh-CN" w:bidi="ar"/>
              </w:rPr>
              <w:br w:type="textWrapping"/>
            </w:r>
            <w:r>
              <w:rPr>
                <w:rStyle w:val="87"/>
                <w:rFonts w:hint="eastAsia" w:ascii="仿宋" w:hAnsi="仿宋" w:eastAsia="仿宋" w:cs="仿宋"/>
                <w:sz w:val="24"/>
                <w:szCs w:val="24"/>
                <w:lang w:val="en-US" w:eastAsia="zh-CN" w:bidi="ar"/>
              </w:rPr>
              <w:t>20、采用亚克力透明的门，并且前门可开启，既有安全保护的作用，又方便观察打印过程；</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b/>
                <w:i w:val="0"/>
                <w:color w:val="000000"/>
                <w:kern w:val="0"/>
                <w:sz w:val="24"/>
                <w:szCs w:val="24"/>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358140</wp:posOffset>
                  </wp:positionH>
                  <wp:positionV relativeFrom="paragraph">
                    <wp:posOffset>99060</wp:posOffset>
                  </wp:positionV>
                  <wp:extent cx="1622425" cy="1500505"/>
                  <wp:effectExtent l="0" t="0" r="8890" b="0"/>
                  <wp:wrapNone/>
                  <wp:docPr id="44" name="图片_1"/>
                  <wp:cNvGraphicFramePr/>
                  <a:graphic xmlns:a="http://schemas.openxmlformats.org/drawingml/2006/main">
                    <a:graphicData uri="http://schemas.openxmlformats.org/drawingml/2006/picture">
                      <pic:pic xmlns:pic="http://schemas.openxmlformats.org/drawingml/2006/picture">
                        <pic:nvPicPr>
                          <pic:cNvPr id="44" name="图片_1"/>
                          <pic:cNvPicPr/>
                        </pic:nvPicPr>
                        <pic:blipFill>
                          <a:blip r:embed="rId48"/>
                          <a:stretch>
                            <a:fillRect/>
                          </a:stretch>
                        </pic:blipFill>
                        <pic:spPr>
                          <a:xfrm>
                            <a:off x="0" y="0"/>
                            <a:ext cx="1622425" cy="150050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1" w:type="dxa"/>
            <w:tcBorders>
              <w:top w:val="nil"/>
              <w:left w:val="single" w:color="000000" w:sz="4" w:space="0"/>
              <w:bottom w:val="single" w:color="000000" w:sz="4" w:space="0"/>
              <w:right w:val="nil"/>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2489"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3D打印耗材</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PLA1.75环保打印材料，</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有多种颜色选择</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PLA主材，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含量高于95%</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打印丝净重（不含料盘）1000g±2%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丝径（mm）：1.75±0.02（每米抽检）</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且1.75±0.10（全检）</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收卷均匀，无自缠绕情况发生</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卷</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w:t>
            </w:r>
          </w:p>
        </w:tc>
        <w:tc>
          <w:tcPr>
            <w:tcW w:w="1631" w:type="dxa"/>
            <w:tcBorders>
              <w:top w:val="nil"/>
              <w:left w:val="single" w:color="000000" w:sz="4" w:space="0"/>
              <w:bottom w:val="single" w:color="000000" w:sz="4" w:space="0"/>
              <w:right w:val="nil"/>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396240</wp:posOffset>
                  </wp:positionH>
                  <wp:positionV relativeFrom="paragraph">
                    <wp:posOffset>335280</wp:posOffset>
                  </wp:positionV>
                  <wp:extent cx="1318260" cy="617220"/>
                  <wp:effectExtent l="0" t="0" r="7620" b="7620"/>
                  <wp:wrapNone/>
                  <wp:docPr id="45" name="图片_5"/>
                  <wp:cNvGraphicFramePr/>
                  <a:graphic xmlns:a="http://schemas.openxmlformats.org/drawingml/2006/main">
                    <a:graphicData uri="http://schemas.openxmlformats.org/drawingml/2006/picture">
                      <pic:pic xmlns:pic="http://schemas.openxmlformats.org/drawingml/2006/picture">
                        <pic:nvPicPr>
                          <pic:cNvPr id="45" name="图片_5"/>
                          <pic:cNvPicPr/>
                        </pic:nvPicPr>
                        <pic:blipFill>
                          <a:blip r:embed="rId49"/>
                          <a:stretch>
                            <a:fillRect/>
                          </a:stretch>
                        </pic:blipFill>
                        <pic:spPr>
                          <a:xfrm>
                            <a:off x="0" y="0"/>
                            <a:ext cx="1318260" cy="6172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964"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青少年3D创新设计软件</w:t>
            </w:r>
          </w:p>
        </w:tc>
        <w:tc>
          <w:tcPr>
            <w:tcW w:w="4634"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支持导入2D图片建模、文字建模、自定义绘制图形建模等多种建模方式；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支持操作系统自带全部字体的3D文字建模，并自动支持用户安装在操作系统下的扩展字体；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支持对导入图片的距离测量、对齐、复制、旋转、镜像、缩放等操作功能；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支持照片、图片、文字一键式3D透光浮雕建模技术。独有回转体曲面浮雕生成技术；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★支持单张2D照片自动合成3D人像功能，合成时间少于90秒。支持交互式3D人像变形设计，支持五官、表情、年龄、配饰、角色、发型、肤色等多种交互式快速设计功能；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支持积木堆叠式建模，10种以上基础模块形状，自由度更高。支持材质颜色，自带常用材质基础模块；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超过10个大类，逾700件各类高质量3D打印模型，支持实时3D预览；</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支持参数化积木建模，可数字化定义积木形状、尺寸，并进行组合建模；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支持自有定义工作平面，绘制简易草图，支持基于草图的剪切、拉伸、旋转等高级建模功能；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支持导入图片进行建模，支持文字输入建模；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支持3D模型的缩放、旋转、坐标变换、删除、复制、叠加复制、镜像、阵列、对齐、布尔运算以及取消布尔运算；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支持对工作平面的修改以及还原；</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支持3D数字雕刻建模，自由塑形，适用于设计3D艺术模型；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支持常用的雕刻功能：笔刷、膨胀、扭曲、平滑、抹平、夹捏、皱褶、拖拉以及涂绘等；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支持内置球体、方块、圆柱、圆环等常用雕刻基础模型，也可从外部导入STL/OBJ模型作为雕刻基础模型；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支持雕刻功能可以设置半径大小，可以添加对称约束；涂绘功能可以自由选择颜色；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内置至少八种以上的常用材质球，可以导入图片自定义材质球；</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全参数化编程交互方式的3D模型设计，支持2D图形（内置包含圆、椭圆、矩形、正多边形、2D函数等常用图形）、3D模型（内置包含球体、长方体、圆柱/圆台/圆锥、正棱柱/正棱台/正棱锥、圆环、圆管、齿轮、3D函数等常用模型）、2D/3D文字、2D/3D函数、布尔运算、凸壳处理、平移与缩放、镜像与旋转变换、2D图形的平直与扭曲等多种拉伸造型以及旋转造型、数学运算与函数、逻辑与循环控制、自定义变量和模块等参数化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软件内置各模块使用视频案例，可直接打开播放；</w:t>
            </w:r>
          </w:p>
        </w:tc>
        <w:tc>
          <w:tcPr>
            <w:tcW w:w="65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1" w:type="dxa"/>
            <w:tcBorders>
              <w:top w:val="nil"/>
              <w:left w:val="single" w:color="000000" w:sz="4" w:space="0"/>
              <w:bottom w:val="single" w:color="000000" w:sz="4" w:space="0"/>
              <w:right w:val="nil"/>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1564"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964"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课程配套</w:t>
            </w:r>
          </w:p>
        </w:tc>
        <w:tc>
          <w:tcPr>
            <w:tcW w:w="4634"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课程名称：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共分为：1.操作界面 2.3D 打印“订制”个性浮雕照片 3.挤牙膏神器 4.3D 打印盛蛋器 5.3D 打印牙刷架 6.旋转陀螺等不少于六个大章节，32节小课。</w:t>
            </w:r>
          </w:p>
        </w:tc>
        <w:tc>
          <w:tcPr>
            <w:tcW w:w="65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nil"/>
              <w:left w:val="single" w:color="000000" w:sz="4" w:space="0"/>
              <w:bottom w:val="single" w:color="000000" w:sz="4" w:space="0"/>
              <w:right w:val="nil"/>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639" w:hRule="atLeast"/>
        </w:trPr>
        <w:tc>
          <w:tcPr>
            <w:tcW w:w="6074" w:type="dxa"/>
            <w:gridSpan w:val="3"/>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无人机</w:t>
            </w:r>
          </w:p>
        </w:tc>
        <w:tc>
          <w:tcPr>
            <w:tcW w:w="65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78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163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4647"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编程无人机</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1.套件以DIY形式展现，碳纤机身，具有培养动手、动脑的能力；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★2.基于Scratch2.0在线图形化编程；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3.具有气压计定高功能；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4.具有桨叶保护罩；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5.失控保护机制，机身翻转桨叶停转；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★6.锂电池容量≥600mAh，电池过放保护机制，低电压报警缓慢降落，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★7.具有可编程蓝灯4个，可编程彩灯（9种颜色）；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★8.电子系统：STM32F103(MCU)、MPU6050(6轴传感器）、NRF24L01(2.4G遥控）、Atmega328P(Arduino编程）；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9.动力系统：720空心杯电机，75mm桨叶；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10.人机交互：LED状态指示、蜂鸣器；</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472440</wp:posOffset>
                  </wp:positionH>
                  <wp:positionV relativeFrom="paragraph">
                    <wp:posOffset>739140</wp:posOffset>
                  </wp:positionV>
                  <wp:extent cx="960120" cy="746760"/>
                  <wp:effectExtent l="0" t="0" r="0" b="0"/>
                  <wp:wrapNone/>
                  <wp:docPr id="46" name="图片_37"/>
                  <wp:cNvGraphicFramePr/>
                  <a:graphic xmlns:a="http://schemas.openxmlformats.org/drawingml/2006/main">
                    <a:graphicData uri="http://schemas.openxmlformats.org/drawingml/2006/picture">
                      <pic:pic xmlns:pic="http://schemas.openxmlformats.org/drawingml/2006/picture">
                        <pic:nvPicPr>
                          <pic:cNvPr id="46" name="图片_37"/>
                          <pic:cNvPicPr/>
                        </pic:nvPicPr>
                        <pic:blipFill>
                          <a:blip r:embed="rId50"/>
                          <a:stretch>
                            <a:fillRect/>
                          </a:stretch>
                        </pic:blipFill>
                        <pic:spPr>
                          <a:xfrm>
                            <a:off x="0" y="0"/>
                            <a:ext cx="960120" cy="7467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7114"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穿越机</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一款室内空心杯竞速穿越机，为室内FPV竞赛、特技飞行、学校科技节现场活动竞演多用途的飞行器。拥有第一人视角飞行功能，配备定高功能，适合中小学竞赛。</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★1.四轴飞行器尺寸：8.3*8.3*4.35cm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2.盒子尺寸：30*19.5*9.5cm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3.陀螺仪：6轴（悬停）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4.遥控器频率：2.4G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★5.电池：3.7V 220mAh 35C</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6.电机：615有刷（17000KV）61000rpm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7.飞行距离：70m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8.飞行时间：约5-6分钟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★9.FPV摄像头：1000TVL 1/3 CMOS FPV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10.图传：5.8G/40CH/25mW</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11.工作电压：3V-5.5V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12.电流：200-340mA</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13.视角：120°FOV H170°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14.信号系统：NTSC/PAL</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★15.具有定高功能，飞行操作简单</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16.重量：20g(不含电池)</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17.充电器：USB充电线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18.配备FPV视频眼镜</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247015</wp:posOffset>
                  </wp:positionH>
                  <wp:positionV relativeFrom="paragraph">
                    <wp:posOffset>923925</wp:posOffset>
                  </wp:positionV>
                  <wp:extent cx="769620" cy="762000"/>
                  <wp:effectExtent l="0" t="0" r="7620" b="0"/>
                  <wp:wrapNone/>
                  <wp:docPr id="47" name="图片_38"/>
                  <wp:cNvGraphicFramePr/>
                  <a:graphic xmlns:a="http://schemas.openxmlformats.org/drawingml/2006/main">
                    <a:graphicData uri="http://schemas.openxmlformats.org/drawingml/2006/picture">
                      <pic:pic xmlns:pic="http://schemas.openxmlformats.org/drawingml/2006/picture">
                        <pic:nvPicPr>
                          <pic:cNvPr id="47" name="图片_38"/>
                          <pic:cNvPicPr/>
                        </pic:nvPicPr>
                        <pic:blipFill>
                          <a:blip r:embed="rId51"/>
                          <a:stretch>
                            <a:fillRect/>
                          </a:stretch>
                        </pic:blipFill>
                        <pic:spPr>
                          <a:xfrm>
                            <a:off x="0" y="0"/>
                            <a:ext cx="769620" cy="7620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497"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积木无人机</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乐高积木无人机，通过遥控控制，可实现360度翻滚特技动作，学习无人机整机结构和原理，激发孩子们的创客思维，在动手中找到学习的乐趣。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功能介绍：</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★1.DIY积木拼装，融入STEAM教育理念，动脑又益智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★2.配备塑料夹子，可拓展战车/水艇</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3.3D一键翻滚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4.一键起飞/降落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5.桨叶保护罩</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★6.配备无人机课程教材书（9章节）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技术参数：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1.频率： 2.4G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2.飞行时间：6分钟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3.充电时间：30分钟</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4.遥控距离：30米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5.陀螺仪： 6轴</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6.产品电池：3.7V 600mAh/锂电池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7.机身重量：80g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8.产品尺寸：≥17.5*17.5*4.9CM</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46</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169545</wp:posOffset>
                  </wp:positionH>
                  <wp:positionV relativeFrom="paragraph">
                    <wp:posOffset>864235</wp:posOffset>
                  </wp:positionV>
                  <wp:extent cx="1051560" cy="746760"/>
                  <wp:effectExtent l="0" t="0" r="0" b="0"/>
                  <wp:wrapNone/>
                  <wp:docPr id="48" name="图片_39"/>
                  <wp:cNvGraphicFramePr/>
                  <a:graphic xmlns:a="http://schemas.openxmlformats.org/drawingml/2006/main">
                    <a:graphicData uri="http://schemas.openxmlformats.org/drawingml/2006/picture">
                      <pic:pic xmlns:pic="http://schemas.openxmlformats.org/drawingml/2006/picture">
                        <pic:nvPicPr>
                          <pic:cNvPr id="48" name="图片_39"/>
                          <pic:cNvPicPr/>
                        </pic:nvPicPr>
                        <pic:blipFill>
                          <a:blip r:embed="rId52"/>
                          <a:stretch>
                            <a:fillRect/>
                          </a:stretch>
                        </pic:blipFill>
                        <pic:spPr>
                          <a:xfrm>
                            <a:off x="0" y="0"/>
                            <a:ext cx="1051560" cy="7467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3038"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飞行模拟器</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1.百种模型可选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2.固定翼/直升机/多旋翼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3.各种场景训练模式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技术参数：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1.USB插头线长:1米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2.接口类型:标准USB插头</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3.供电方式:USB直接供电,无需电池</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46</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609600</wp:posOffset>
                  </wp:positionH>
                  <wp:positionV relativeFrom="paragraph">
                    <wp:posOffset>365760</wp:posOffset>
                  </wp:positionV>
                  <wp:extent cx="815340" cy="777240"/>
                  <wp:effectExtent l="0" t="0" r="7620" b="0"/>
                  <wp:wrapNone/>
                  <wp:docPr id="49" name="图片_40"/>
                  <wp:cNvGraphicFramePr/>
                  <a:graphic xmlns:a="http://schemas.openxmlformats.org/drawingml/2006/main">
                    <a:graphicData uri="http://schemas.openxmlformats.org/drawingml/2006/picture">
                      <pic:pic xmlns:pic="http://schemas.openxmlformats.org/drawingml/2006/picture">
                        <pic:nvPicPr>
                          <pic:cNvPr id="49" name="图片_40"/>
                          <pic:cNvPicPr/>
                        </pic:nvPicPr>
                        <pic:blipFill>
                          <a:blip r:embed="rId53"/>
                          <a:stretch>
                            <a:fillRect/>
                          </a:stretch>
                        </pic:blipFill>
                        <pic:spPr>
                          <a:xfrm>
                            <a:off x="0" y="0"/>
                            <a:ext cx="815340" cy="7772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7"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防护网</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1.网孔：3cm，网绳：6mm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2.机械编制，涤纶低弹丝</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3.承重500KG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4.总计56㎡</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5.高度增加</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388620</wp:posOffset>
                  </wp:positionH>
                  <wp:positionV relativeFrom="paragraph">
                    <wp:posOffset>106680</wp:posOffset>
                  </wp:positionV>
                  <wp:extent cx="1402080" cy="685800"/>
                  <wp:effectExtent l="0" t="0" r="0" b="0"/>
                  <wp:wrapNone/>
                  <wp:docPr id="50" name="图片_41"/>
                  <wp:cNvGraphicFramePr/>
                  <a:graphic xmlns:a="http://schemas.openxmlformats.org/drawingml/2006/main">
                    <a:graphicData uri="http://schemas.openxmlformats.org/drawingml/2006/picture">
                      <pic:pic xmlns:pic="http://schemas.openxmlformats.org/drawingml/2006/picture">
                        <pic:nvPicPr>
                          <pic:cNvPr id="50" name="图片_41"/>
                          <pic:cNvPicPr/>
                        </pic:nvPicPr>
                        <pic:blipFill>
                          <a:blip r:embed="rId54"/>
                          <a:stretch>
                            <a:fillRect/>
                          </a:stretch>
                        </pic:blipFill>
                        <pic:spPr>
                          <a:xfrm>
                            <a:off x="0" y="0"/>
                            <a:ext cx="1402080" cy="6858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489"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场地支撑架</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1.场地尺寸 4*4*2.5M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2.热镀锌方管桁架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3.横截面:20*20cm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4.孔径：10cm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5.方管规格：25*25mm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6.里外热镀锌处理，防腐，加厚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7.安装方式：多孔位自由组装，简单方便</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138430</wp:posOffset>
                  </wp:positionH>
                  <wp:positionV relativeFrom="paragraph">
                    <wp:posOffset>356235</wp:posOffset>
                  </wp:positionV>
                  <wp:extent cx="944880" cy="762635"/>
                  <wp:effectExtent l="0" t="0" r="0" b="14605"/>
                  <wp:wrapNone/>
                  <wp:docPr id="51" name="图片_42"/>
                  <wp:cNvGraphicFramePr/>
                  <a:graphic xmlns:a="http://schemas.openxmlformats.org/drawingml/2006/main">
                    <a:graphicData uri="http://schemas.openxmlformats.org/drawingml/2006/picture">
                      <pic:pic xmlns:pic="http://schemas.openxmlformats.org/drawingml/2006/picture">
                        <pic:nvPicPr>
                          <pic:cNvPr id="51" name="图片_42"/>
                          <pic:cNvPicPr/>
                        </pic:nvPicPr>
                        <pic:blipFill>
                          <a:blip r:embed="rId55"/>
                          <a:stretch>
                            <a:fillRect/>
                          </a:stretch>
                        </pic:blipFill>
                        <pic:spPr>
                          <a:xfrm>
                            <a:off x="0" y="0"/>
                            <a:ext cx="944880" cy="7626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06"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停机坪</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停机坪直径：20cm</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332105</wp:posOffset>
                  </wp:positionH>
                  <wp:positionV relativeFrom="paragraph">
                    <wp:posOffset>64135</wp:posOffset>
                  </wp:positionV>
                  <wp:extent cx="762000" cy="662940"/>
                  <wp:effectExtent l="0" t="0" r="0" b="7620"/>
                  <wp:wrapNone/>
                  <wp:docPr id="52" name="图片_30"/>
                  <wp:cNvGraphicFramePr/>
                  <a:graphic xmlns:a="http://schemas.openxmlformats.org/drawingml/2006/main">
                    <a:graphicData uri="http://schemas.openxmlformats.org/drawingml/2006/picture">
                      <pic:pic xmlns:pic="http://schemas.openxmlformats.org/drawingml/2006/picture">
                        <pic:nvPicPr>
                          <pic:cNvPr id="52" name="图片_30"/>
                          <pic:cNvPicPr/>
                        </pic:nvPicPr>
                        <pic:blipFill>
                          <a:blip r:embed="rId56"/>
                          <a:stretch>
                            <a:fillRect/>
                          </a:stretch>
                        </pic:blipFill>
                        <pic:spPr>
                          <a:xfrm>
                            <a:off x="0" y="0"/>
                            <a:ext cx="762000" cy="6629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75"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训练圈</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圆圈直径：65cm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配置：1个圆环1个底座</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325120</wp:posOffset>
                  </wp:positionH>
                  <wp:positionV relativeFrom="paragraph">
                    <wp:posOffset>136525</wp:posOffset>
                  </wp:positionV>
                  <wp:extent cx="769620" cy="1181100"/>
                  <wp:effectExtent l="0" t="0" r="0" b="0"/>
                  <wp:wrapNone/>
                  <wp:docPr id="53" name="图片_3"/>
                  <wp:cNvGraphicFramePr/>
                  <a:graphic xmlns:a="http://schemas.openxmlformats.org/drawingml/2006/main">
                    <a:graphicData uri="http://schemas.openxmlformats.org/drawingml/2006/picture">
                      <pic:pic xmlns:pic="http://schemas.openxmlformats.org/drawingml/2006/picture">
                        <pic:nvPicPr>
                          <pic:cNvPr id="53" name="图片_3"/>
                          <pic:cNvPicPr/>
                        </pic:nvPicPr>
                        <pic:blipFill>
                          <a:blip r:embed="rId57"/>
                          <a:stretch>
                            <a:fillRect/>
                          </a:stretch>
                        </pic:blipFill>
                        <pic:spPr>
                          <a:xfrm>
                            <a:off x="0" y="0"/>
                            <a:ext cx="769620" cy="11811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39"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室内刀旗</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高度：130cm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110g经遍布</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267970</wp:posOffset>
                  </wp:positionH>
                  <wp:positionV relativeFrom="paragraph">
                    <wp:posOffset>269875</wp:posOffset>
                  </wp:positionV>
                  <wp:extent cx="632460" cy="769620"/>
                  <wp:effectExtent l="0" t="0" r="7620" b="7620"/>
                  <wp:wrapNone/>
                  <wp:docPr id="54" name="图片_15"/>
                  <wp:cNvGraphicFramePr/>
                  <a:graphic xmlns:a="http://schemas.openxmlformats.org/drawingml/2006/main">
                    <a:graphicData uri="http://schemas.openxmlformats.org/drawingml/2006/picture">
                      <pic:pic xmlns:pic="http://schemas.openxmlformats.org/drawingml/2006/picture">
                        <pic:nvPicPr>
                          <pic:cNvPr id="54" name="图片_15"/>
                          <pic:cNvPicPr/>
                        </pic:nvPicPr>
                        <pic:blipFill>
                          <a:blip r:embed="rId58"/>
                          <a:stretch>
                            <a:fillRect/>
                          </a:stretch>
                        </pic:blipFill>
                        <pic:spPr>
                          <a:xfrm>
                            <a:off x="0" y="0"/>
                            <a:ext cx="632460" cy="7696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39"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室内拱门</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高度：40cm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长度：60cm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110g经遍布</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243840</wp:posOffset>
                  </wp:positionH>
                  <wp:positionV relativeFrom="paragraph">
                    <wp:posOffset>83820</wp:posOffset>
                  </wp:positionV>
                  <wp:extent cx="975360" cy="731520"/>
                  <wp:effectExtent l="0" t="0" r="0" b="0"/>
                  <wp:wrapNone/>
                  <wp:docPr id="55" name="图片_14"/>
                  <wp:cNvGraphicFramePr/>
                  <a:graphic xmlns:a="http://schemas.openxmlformats.org/drawingml/2006/main">
                    <a:graphicData uri="http://schemas.openxmlformats.org/drawingml/2006/picture">
                      <pic:pic xmlns:pic="http://schemas.openxmlformats.org/drawingml/2006/picture">
                        <pic:nvPicPr>
                          <pic:cNvPr id="55" name="图片_14"/>
                          <pic:cNvPicPr/>
                        </pic:nvPicPr>
                        <pic:blipFill>
                          <a:blip r:embed="rId59"/>
                          <a:stretch>
                            <a:fillRect/>
                          </a:stretch>
                        </pic:blipFill>
                        <pic:spPr>
                          <a:xfrm>
                            <a:off x="0" y="0"/>
                            <a:ext cx="975360" cy="7315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80"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电池防护袋</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多功能电池防爆袋</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356870</wp:posOffset>
                  </wp:positionH>
                  <wp:positionV relativeFrom="paragraph">
                    <wp:posOffset>-85725</wp:posOffset>
                  </wp:positionV>
                  <wp:extent cx="723900" cy="830580"/>
                  <wp:effectExtent l="0" t="0" r="7620" b="7620"/>
                  <wp:wrapNone/>
                  <wp:docPr id="56" name="图片_29"/>
                  <wp:cNvGraphicFramePr/>
                  <a:graphic xmlns:a="http://schemas.openxmlformats.org/drawingml/2006/main">
                    <a:graphicData uri="http://schemas.openxmlformats.org/drawingml/2006/picture">
                      <pic:pic xmlns:pic="http://schemas.openxmlformats.org/drawingml/2006/picture">
                        <pic:nvPicPr>
                          <pic:cNvPr id="56" name="图片_29"/>
                          <pic:cNvPicPr/>
                        </pic:nvPicPr>
                        <pic:blipFill>
                          <a:blip r:embed="rId60"/>
                          <a:stretch>
                            <a:fillRect/>
                          </a:stretch>
                        </pic:blipFill>
                        <pic:spPr>
                          <a:xfrm>
                            <a:off x="0" y="0"/>
                            <a:ext cx="723900" cy="8305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256"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维修工具箱</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功能介绍：</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数显万用表，32种螺丝批，美工刀，剥线钳，电烙铁，尖嘴镊子，数显测电笔及多种五金工具套装</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213360</wp:posOffset>
                  </wp:positionH>
                  <wp:positionV relativeFrom="paragraph">
                    <wp:posOffset>67945</wp:posOffset>
                  </wp:positionV>
                  <wp:extent cx="845820" cy="480060"/>
                  <wp:effectExtent l="0" t="0" r="7620" b="7620"/>
                  <wp:wrapNone/>
                  <wp:docPr id="57" name="图片_27"/>
                  <wp:cNvGraphicFramePr/>
                  <a:graphic xmlns:a="http://schemas.openxmlformats.org/drawingml/2006/main">
                    <a:graphicData uri="http://schemas.openxmlformats.org/drawingml/2006/picture">
                      <pic:pic xmlns:pic="http://schemas.openxmlformats.org/drawingml/2006/picture">
                        <pic:nvPicPr>
                          <pic:cNvPr id="57" name="图片_27"/>
                          <pic:cNvPicPr/>
                        </pic:nvPicPr>
                        <pic:blipFill>
                          <a:blip r:embed="rId61"/>
                          <a:stretch>
                            <a:fillRect/>
                          </a:stretch>
                        </pic:blipFill>
                        <pic:spPr>
                          <a:xfrm>
                            <a:off x="0" y="0"/>
                            <a:ext cx="845820" cy="4800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189"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充电器1</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功能介绍：</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★1.六个独立端口同时使用。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★2.每一路可连接不同类型电池。</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3.思路独立充电电流。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★4.六路独立数字LED展示电流和容量。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5.可通过LED和声音反馈充电情况。</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6.电流可调整范围0.1-1A。</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★7.支持AC/DC电源输入。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★8.短路保护，输入过流保护，电池反接保护及DC输入电压保护。</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技术参数：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★输入电压 AC 100-240V 或者 DC 7.0V-17.0V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★充电功率 Max.4.35W X 6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充电电流 （0.1-1.0A ）X 6</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★电池类型 LiPo/LiHV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★电池节数 1Cell</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指示方式 LCD+LED方式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★支持端口 MICRO,MX,JST,mCPX</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204470</wp:posOffset>
                  </wp:positionH>
                  <wp:positionV relativeFrom="paragraph">
                    <wp:posOffset>1131570</wp:posOffset>
                  </wp:positionV>
                  <wp:extent cx="937260" cy="739140"/>
                  <wp:effectExtent l="0" t="0" r="7620" b="7620"/>
                  <wp:wrapNone/>
                  <wp:docPr id="58" name="图片_49"/>
                  <wp:cNvGraphicFramePr/>
                  <a:graphic xmlns:a="http://schemas.openxmlformats.org/drawingml/2006/main">
                    <a:graphicData uri="http://schemas.openxmlformats.org/drawingml/2006/picture">
                      <pic:pic xmlns:pic="http://schemas.openxmlformats.org/drawingml/2006/picture">
                        <pic:nvPicPr>
                          <pic:cNvPr id="58" name="图片_49"/>
                          <pic:cNvPicPr/>
                        </pic:nvPicPr>
                        <pic:blipFill>
                          <a:blip r:embed="rId62"/>
                          <a:stretch>
                            <a:fillRect/>
                          </a:stretch>
                        </pic:blipFill>
                        <pic:spPr>
                          <a:xfrm>
                            <a:off x="0" y="0"/>
                            <a:ext cx="937260" cy="7391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7422" w:hRule="atLeast"/>
        </w:trPr>
        <w:tc>
          <w:tcPr>
            <w:tcW w:w="476" w:type="dxa"/>
            <w:tcBorders>
              <w:top w:val="single" w:color="000000" w:sz="4" w:space="0"/>
              <w:left w:val="single" w:color="000000" w:sz="8"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充电器2</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功能介绍：</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★1.IPS阳光屏幕，感光自动调节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2.全中文操作界面,一键飞梭设置,简单,直观,快捷</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★3.内置感光器,根据环境自动调节显示亮度,外场充电更加方便.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★4.三合一充电，支持家用220V电压.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★5.一次可充6块电池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输入电压： DC 7-32V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★最大输入电流： 12A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输出电压： 0-30V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★充电电流： 0.1-8.0A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放电电流： 0.1-3.0A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★最大充电功率： 200W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★最大放电功率： 5W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平衡电流： 0.8A/cell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平衡串数： 2-6S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颜色： 灰色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★支持电池类型： LiFe/Lilon/LiPo/LiHv (1-6S) NiMH/Cd (1-16S)  Pb (1-12S)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显示器类型： 2.4〃320×240 IPS LCD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使用温度： 0-40°C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存储温度： -20-60°C </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31" w:type="dxa"/>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146050</wp:posOffset>
                  </wp:positionH>
                  <wp:positionV relativeFrom="paragraph">
                    <wp:posOffset>902970</wp:posOffset>
                  </wp:positionV>
                  <wp:extent cx="838200" cy="754380"/>
                  <wp:effectExtent l="0" t="0" r="0" b="7620"/>
                  <wp:wrapNone/>
                  <wp:docPr id="59" name="图片_20_SpCnt_1"/>
                  <wp:cNvGraphicFramePr/>
                  <a:graphic xmlns:a="http://schemas.openxmlformats.org/drawingml/2006/main">
                    <a:graphicData uri="http://schemas.openxmlformats.org/drawingml/2006/picture">
                      <pic:pic xmlns:pic="http://schemas.openxmlformats.org/drawingml/2006/picture">
                        <pic:nvPicPr>
                          <pic:cNvPr id="59" name="图片_20_SpCnt_1"/>
                          <pic:cNvPicPr/>
                        </pic:nvPicPr>
                        <pic:blipFill>
                          <a:blip r:embed="rId63"/>
                          <a:stretch>
                            <a:fillRect/>
                          </a:stretch>
                        </pic:blipFill>
                        <pic:spPr>
                          <a:xfrm>
                            <a:off x="0" y="0"/>
                            <a:ext cx="838200" cy="7543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39" w:hRule="atLeast"/>
        </w:trPr>
        <w:tc>
          <w:tcPr>
            <w:tcW w:w="6074" w:type="dxa"/>
            <w:gridSpan w:val="3"/>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机器人</w:t>
            </w:r>
          </w:p>
        </w:tc>
        <w:tc>
          <w:tcPr>
            <w:tcW w:w="65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78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163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90"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机器人套装</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课程专为小学教学设计，包含包括行为规范篇、安全教育篇、互动学习篇、趣味编程篇，用场景应用和体验互动的教育方式，更加容易让低年龄段孩子接受，丰富孩子对未来科技的无限遐想，为人工智能编程教育打下良好基础。</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1、体型参数：尺寸346mm*224mm*118mm；重量1.54kg；材质为铝合金和PC/ABS塑胶。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★2、核心配置：群体控制数量 ≥50；内置至少两种步态，行走速度不小于10厘米每秒，经调试后不小于15厘米每秒；支持侧翻滚、大鹏展翅等高难度动作，支持舞蹈、足球、拳击等动作。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★3、控制器：处理器采用STM32-F103，搭载1G储存卡，支持无线通信手柄，支持MPU6050姿态检测，带有16路过载保护，防夹手设计；★4、控制方法：蓝牙Bluetooth 4.0，支持2.4G群控。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★5、语音交互：支持联网对话功能，联网环境下支持个性语音情绪、百科知识问答，支持语音控制机器人跳舞等功能。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6、按键与端口 ：内置USB和充电接口，电源键在机器人背部。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7、LED灯 ：头部LED灯、胸部LED灯、按键LED灯。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★8、传感器：内置触摸传感器，对外界触碰有反应，内置陀螺仪，机器人摔倒后可自行站立。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9、电池/续航：7.4V，容量2200mAH，持续运行时间不低于60分钟，充电时可使用。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10、兼容平台：移动端支持Android和iOS系统；PC端支持图形化动作编程。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★11、可使用手柄远程遥控和群控，遥控距离约15米。尺寸为157mm*101mm*62mm，2.4G无线规格，可自行修改信道。1.3寸蓝字OLED显示屏，按键包含2个摇杆、16个按键。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★12、PC端使用简化版软件，支持可视化、图形化编程。可通过软件自定义编辑机器人动作，完成快走、滚翻、单脚站立、倒立、俯卧撑等任务。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★13、手机端使用控制APP和编程APP。控制APP支持手机遥控机器人运动和为机器人配置网络交互；编程APP支持Blockly积木编程。 </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FF0000"/>
                <w:sz w:val="24"/>
                <w:szCs w:val="24"/>
                <w:u w:val="none"/>
              </w:rPr>
            </w:pPr>
            <w:r>
              <w:rPr>
                <w:rFonts w:hint="eastAsia" w:ascii="仿宋" w:hAnsi="仿宋" w:eastAsia="仿宋" w:cs="仿宋"/>
                <w:i w:val="0"/>
                <w:color w:val="FF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624840</wp:posOffset>
                  </wp:positionH>
                  <wp:positionV relativeFrom="paragraph">
                    <wp:posOffset>365760</wp:posOffset>
                  </wp:positionV>
                  <wp:extent cx="739140" cy="845185"/>
                  <wp:effectExtent l="0" t="0" r="7620" b="8255"/>
                  <wp:wrapNone/>
                  <wp:docPr id="60" name="图片_6"/>
                  <wp:cNvGraphicFramePr/>
                  <a:graphic xmlns:a="http://schemas.openxmlformats.org/drawingml/2006/main">
                    <a:graphicData uri="http://schemas.openxmlformats.org/drawingml/2006/picture">
                      <pic:pic xmlns:pic="http://schemas.openxmlformats.org/drawingml/2006/picture">
                        <pic:nvPicPr>
                          <pic:cNvPr id="60" name="图片_6"/>
                          <pic:cNvPicPr/>
                        </pic:nvPicPr>
                        <pic:blipFill>
                          <a:blip r:embed="rId64"/>
                          <a:stretch>
                            <a:fillRect/>
                          </a:stretch>
                        </pic:blipFill>
                        <pic:spPr>
                          <a:xfrm>
                            <a:off x="0" y="0"/>
                            <a:ext cx="739140" cy="845185"/>
                          </a:xfrm>
                          <a:prstGeom prst="rect">
                            <a:avLst/>
                          </a:prstGeom>
                          <a:noFill/>
                          <a:ln>
                            <a:noFill/>
                          </a:ln>
                        </pic:spPr>
                      </pic:pic>
                    </a:graphicData>
                  </a:graphic>
                </wp:anchor>
              </w:drawing>
            </w:r>
            <w:r>
              <w:rPr>
                <w:rFonts w:hint="eastAsia" w:ascii="仿宋" w:hAnsi="仿宋" w:eastAsia="仿宋" w:cs="仿宋"/>
                <w:i w:val="0"/>
                <w:color w:val="FF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693420</wp:posOffset>
                  </wp:positionH>
                  <wp:positionV relativeFrom="paragraph">
                    <wp:posOffset>1744980</wp:posOffset>
                  </wp:positionV>
                  <wp:extent cx="594360" cy="381000"/>
                  <wp:effectExtent l="0" t="0" r="0" b="0"/>
                  <wp:wrapNone/>
                  <wp:docPr id="61" name="图片_2"/>
                  <wp:cNvGraphicFramePr/>
                  <a:graphic xmlns:a="http://schemas.openxmlformats.org/drawingml/2006/main">
                    <a:graphicData uri="http://schemas.openxmlformats.org/drawingml/2006/picture">
                      <pic:pic xmlns:pic="http://schemas.openxmlformats.org/drawingml/2006/picture">
                        <pic:nvPicPr>
                          <pic:cNvPr id="61" name="图片_2"/>
                          <pic:cNvPicPr/>
                        </pic:nvPicPr>
                        <pic:blipFill>
                          <a:blip r:embed="rId65"/>
                          <a:stretch>
                            <a:fillRect/>
                          </a:stretch>
                        </pic:blipFill>
                        <pic:spPr>
                          <a:xfrm>
                            <a:off x="0" y="0"/>
                            <a:ext cx="594360" cy="381000"/>
                          </a:xfrm>
                          <a:prstGeom prst="rect">
                            <a:avLst/>
                          </a:prstGeom>
                          <a:noFill/>
                          <a:ln>
                            <a:noFill/>
                          </a:ln>
                        </pic:spPr>
                      </pic:pic>
                    </a:graphicData>
                  </a:graphic>
                </wp:anchor>
              </w:drawing>
            </w:r>
            <w:r>
              <w:rPr>
                <w:rFonts w:hint="eastAsia" w:ascii="仿宋" w:hAnsi="仿宋" w:eastAsia="仿宋" w:cs="仿宋"/>
                <w:i w:val="0"/>
                <w:color w:val="FF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723900</wp:posOffset>
                  </wp:positionH>
                  <wp:positionV relativeFrom="paragraph">
                    <wp:posOffset>2529840</wp:posOffset>
                  </wp:positionV>
                  <wp:extent cx="571500" cy="312420"/>
                  <wp:effectExtent l="0" t="0" r="7620" b="7620"/>
                  <wp:wrapNone/>
                  <wp:docPr id="62" name="图片_8"/>
                  <wp:cNvGraphicFramePr/>
                  <a:graphic xmlns:a="http://schemas.openxmlformats.org/drawingml/2006/main">
                    <a:graphicData uri="http://schemas.openxmlformats.org/drawingml/2006/picture">
                      <pic:pic xmlns:pic="http://schemas.openxmlformats.org/drawingml/2006/picture">
                        <pic:nvPicPr>
                          <pic:cNvPr id="62" name="图片_8"/>
                          <pic:cNvPicPr/>
                        </pic:nvPicPr>
                        <pic:blipFill>
                          <a:blip r:embed="rId66"/>
                          <a:stretch>
                            <a:fillRect/>
                          </a:stretch>
                        </pic:blipFill>
                        <pic:spPr>
                          <a:xfrm>
                            <a:off x="0" y="0"/>
                            <a:ext cx="571500" cy="312420"/>
                          </a:xfrm>
                          <a:prstGeom prst="rect">
                            <a:avLst/>
                          </a:prstGeom>
                          <a:noFill/>
                          <a:ln>
                            <a:noFill/>
                          </a:ln>
                        </pic:spPr>
                      </pic:pic>
                    </a:graphicData>
                  </a:graphic>
                </wp:anchor>
              </w:drawing>
            </w:r>
            <w:r>
              <w:rPr>
                <w:rFonts w:hint="eastAsia" w:ascii="仿宋" w:hAnsi="仿宋" w:eastAsia="仿宋" w:cs="仿宋"/>
                <w:i w:val="0"/>
                <w:color w:val="FF0000"/>
                <w:kern w:val="0"/>
                <w:sz w:val="24"/>
                <w:szCs w:val="24"/>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205740</wp:posOffset>
                  </wp:positionH>
                  <wp:positionV relativeFrom="paragraph">
                    <wp:posOffset>2956560</wp:posOffset>
                  </wp:positionV>
                  <wp:extent cx="1546860" cy="1043940"/>
                  <wp:effectExtent l="0" t="0" r="0" b="0"/>
                  <wp:wrapNone/>
                  <wp:docPr id="63" name="图片_13"/>
                  <wp:cNvGraphicFramePr/>
                  <a:graphic xmlns:a="http://schemas.openxmlformats.org/drawingml/2006/main">
                    <a:graphicData uri="http://schemas.openxmlformats.org/drawingml/2006/picture">
                      <pic:pic xmlns:pic="http://schemas.openxmlformats.org/drawingml/2006/picture">
                        <pic:nvPicPr>
                          <pic:cNvPr id="63" name="图片_13"/>
                          <pic:cNvPicPr/>
                        </pic:nvPicPr>
                        <pic:blipFill>
                          <a:blip r:embed="rId67"/>
                          <a:stretch>
                            <a:fillRect/>
                          </a:stretch>
                        </pic:blipFill>
                        <pic:spPr>
                          <a:xfrm>
                            <a:off x="0" y="0"/>
                            <a:ext cx="1546860" cy="10439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75" w:hRule="atLeast"/>
        </w:trPr>
        <w:tc>
          <w:tcPr>
            <w:tcW w:w="6074" w:type="dxa"/>
            <w:gridSpan w:val="3"/>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电脑</w:t>
            </w:r>
          </w:p>
        </w:tc>
        <w:tc>
          <w:tcPr>
            <w:tcW w:w="65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78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163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90"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27</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一体式电脑</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主板：intel i5-4590+4G-DDR3+128G固态硬盘+500G 机械硬盘，一键开关，21.5寸友达全视角液晶屏 分辨率：1920*1080 .  电源适配器，白色塑料壳 ，五金底座，智能温控风扇，2.0USB*2+3.0 USB*4     intel 双频wifi +音响+有线键鼠  整机工厂保修1年， 工厂拥有3C证书,能效证书。</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578485</wp:posOffset>
                  </wp:positionH>
                  <wp:positionV relativeFrom="paragraph">
                    <wp:posOffset>304800</wp:posOffset>
                  </wp:positionV>
                  <wp:extent cx="1128395" cy="845820"/>
                  <wp:effectExtent l="0" t="0" r="14605" b="7620"/>
                  <wp:wrapNone/>
                  <wp:docPr id="64" name="Picture_1283"/>
                  <wp:cNvGraphicFramePr/>
                  <a:graphic xmlns:a="http://schemas.openxmlformats.org/drawingml/2006/main">
                    <a:graphicData uri="http://schemas.openxmlformats.org/drawingml/2006/picture">
                      <pic:pic xmlns:pic="http://schemas.openxmlformats.org/drawingml/2006/picture">
                        <pic:nvPicPr>
                          <pic:cNvPr id="64" name="Picture_1283"/>
                          <pic:cNvPicPr/>
                        </pic:nvPicPr>
                        <pic:blipFill>
                          <a:blip r:embed="rId68"/>
                          <a:stretch>
                            <a:fillRect/>
                          </a:stretch>
                        </pic:blipFill>
                        <pic:spPr>
                          <a:xfrm>
                            <a:off x="0" y="0"/>
                            <a:ext cx="1128395" cy="8458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39" w:hRule="atLeast"/>
        </w:trPr>
        <w:tc>
          <w:tcPr>
            <w:tcW w:w="6074" w:type="dxa"/>
            <w:gridSpan w:val="3"/>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多媒体触摸一体机</w:t>
            </w:r>
          </w:p>
        </w:tc>
        <w:tc>
          <w:tcPr>
            <w:tcW w:w="65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78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1631" w:type="dxa"/>
            <w:tcBorders>
              <w:top w:val="single" w:color="000000" w:sz="4" w:space="0"/>
              <w:left w:val="single" w:color="000000" w:sz="4" w:space="0"/>
              <w:bottom w:val="single" w:color="000000" w:sz="4" w:space="0"/>
              <w:right w:val="nil"/>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90"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28</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lang w:val="en-US" w:eastAsia="zh-CN"/>
              </w:rPr>
            </w:pPr>
            <w:r>
              <w:rPr>
                <w:rFonts w:hint="eastAsia" w:ascii="仿宋" w:hAnsi="仿宋" w:eastAsia="仿宋" w:cs="仿宋"/>
                <w:b/>
                <w:i w:val="0"/>
                <w:color w:val="000000"/>
                <w:sz w:val="24"/>
                <w:szCs w:val="24"/>
                <w:u w:val="none"/>
                <w:lang w:val="en-US" w:eastAsia="zh-CN"/>
              </w:rPr>
              <w:t>大屏</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numPr>
                <w:ilvl w:val="0"/>
                <w:numId w:val="19"/>
              </w:numPr>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整机结构要求：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1、显示尺寸：≥65英寸,采用LED背光源A规屏</w:t>
            </w:r>
          </w:p>
          <w:p>
            <w:pPr>
              <w:keepNext w:val="0"/>
              <w:keepLines w:val="0"/>
              <w:widowControl/>
              <w:numPr>
                <w:ilvl w:val="0"/>
                <w:numId w:val="0"/>
              </w:numPr>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2、显示比例：16:9；可视角度：≥178度。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3、整机采用铝合金外框（不接受非金属材质结构面框），边角采用圆弧设计，表面无尖锐边缘或突起，后散热设计，背面具备安全散热孔。</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4、整机具有防撞防划防眩光钢化玻璃，硬度达到7级或以上，透光率≥95%，以保护液晶显示屏的安全。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5、整机开关键可设置为电视开关、电脑开关、节能待机三键合一，在节能待机状态下可节约能耗90%或以上。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整机前置物理按键≥8个，可实现一键节能待机，一键关闭/开启电脑，一键进Android主页，一键调整音量加减，一键调出功能菜单，一键调出信号源，一键关闭/开启电视电脑；为了保证触摸失灵情况下以上功能正常使用，必须采取物理按键方式实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7、★整机前置接口≥6个，且必须有HDMI、VGA、Audio、PC-USB3.0、TV-USB2.0、TOUCH USB（为方便外接设备，不接受用侧边VGA、HDMI代替前置接口）。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8、输入接口（不含前置）：HDMI≥1、VGA≥1、AUDIO≥1、YPbPr≥1、AV≥2、RF≥1、Mic≥1、RS232≥1、USB≥2、TOUCH USB≥1；输出接口：SPDIF≥1、VGA≥1、AV≥1、earphone≥1。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9、整机两侧边框无丝印图标快捷键,防止老师误碰,影响教学活动,方便后期升级维护。</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二、触摸系统要求：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1、支持安卓系统以及windows系统下免安装驱动，支持十点同时书写。</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2、嵌入式红外触摸感应书写，支持≥2mm的任何非透明物体在屏幕上直接书写。</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3、整机摸有效识别高度小于3 mm,，触摸物体距离玻璃外表面高度低于3 mm时，触摸屏识别为点击操作，保证触摸精准。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三、功能要求: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1、嵌入式安卓（Android）5.1或以上系统,支持在安卓系统下能够实现白板书写、Office软件使用、媒体播放、网页浏览等功能。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2、在嵌入式白板或批注状态下，需具有拳头或手掌手势识别板擦功能，且能够实现根据接触面积识别板擦的大小。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3、整机具有温度监控保护功能，可实时监测整机温度值，并可在主页上显示温度情况，能够根据温度变化显示不同的颜色以提示用户温度情况。</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4、遥控器具备电视遥控功能和电脑键盘常用的F1-F12功能键、Windows等快捷按键，可实现一键开启白板软件、PPT上下翻页、一键锁定/解锁触摸及实体按键、一键黑屏、一键截屏、一键冻结屏、一键查看温度等功能。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5、在嵌入式安卓操作系统下，能对TV多媒体USB所读取到的课件文件进行自动归类，可快速分类查找文档、音乐、视频、图片等文件，检索后可直接在界面中打开。</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6、具备单独听功能，在黑屏的状态下，可以正常输出音频内容。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7、当信号源切换后，切换后的信号源状态如果切断或处于无信号状态下，信号源可自动返回上一通道。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8、当整机处于无信号状态时，支持五分钟无操作自动关机。当整机处于有信号状态下，支持五分钟无操作自动节能，轻敲屏幕即可唤醒。</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9、整机支持信号源通道重新命名功能且命名后通道切换正常，方便老师识别。</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10、定时开关机，整机可以设定（每天、周一至周五、周一至周六、周六至周日、仅周日、仅一次等）不同开关机时段，根据不同的教学场景来设定不同时段的开关机时间，可实现最大程度的节能环保。</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11、★具备4个或以上信源通道画面预览，其显示画面可设置任意通道的预览画面，点击预览画面即可进入设置的信号源通道。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12、★产品外接电脑时，可自动识别信号源，并且可供用户5秒选择“是/否”切换输入信号源画面，不接受强制切换。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13、★整机必须具有自定义密码方式，不接受无密码方式触摸解锁，以有效保护老师教学内容。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14、整机侧拉菜单具有一键系统更新升级以及一键恢复出厂设置功能，方便系统维护更新。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15、★整机具有双触控菜单，通过手势从屏幕右侧调出具有通用设置、声音设置、图像设置、智能设置、网络设置等，通过屏幕下方任意位置调出具有返回、菜单、白板、全通道批注、截图、自定义键等功能操作，以满足教学常态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16、★整机在任意通道下调出智能菜单设置，包括：智能识别、节能开关、感光、护眼、智能返回、无信号待机、定时开关机等操作，方便老师教学。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17、★整机须具有设置菜单栏显示时间，触摸菜单调出后，可设置5S、10S、15S、20S、25S显示后可自动隐藏，无须手动隐藏。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18、★整机在任意通道下，可通过下方任意位置调出安卓主页以及软件运行任务，以保证安卓系统最佳运行状态。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四、内置电脑配置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1、电脑主板H110或以上，CPU不低于Intel  Core I5，主频≥3.0 Hz，内存≥4G，硬盘≥500G。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2、模块化OPS主机采用插拔式结构，内部Inter标准80pin接口，无任何外接电源线和信号线，方便检测维护。</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3、输入：USB接口≥6，其中USB3.0接口≥2；输出：HDMI≥1，VGA≥1，RS232≥1，RJ45≥1，且须具有WI-FI模块，蓝牙。                                                            </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381000</wp:posOffset>
                  </wp:positionH>
                  <wp:positionV relativeFrom="paragraph">
                    <wp:posOffset>1379220</wp:posOffset>
                  </wp:positionV>
                  <wp:extent cx="1440180" cy="807720"/>
                  <wp:effectExtent l="0" t="0" r="7620" b="0"/>
                  <wp:wrapNone/>
                  <wp:docPr id="65" name="图片_12"/>
                  <wp:cNvGraphicFramePr/>
                  <a:graphic xmlns:a="http://schemas.openxmlformats.org/drawingml/2006/main">
                    <a:graphicData uri="http://schemas.openxmlformats.org/drawingml/2006/picture">
                      <pic:pic xmlns:pic="http://schemas.openxmlformats.org/drawingml/2006/picture">
                        <pic:nvPicPr>
                          <pic:cNvPr id="65" name="图片_12"/>
                          <pic:cNvPicPr/>
                        </pic:nvPicPr>
                        <pic:blipFill>
                          <a:blip r:embed="rId69"/>
                          <a:stretch>
                            <a:fillRect/>
                          </a:stretch>
                        </pic:blipFill>
                        <pic:spPr>
                          <a:xfrm>
                            <a:off x="0" y="0"/>
                            <a:ext cx="1440180" cy="8077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5957"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29</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lang w:val="en-US" w:eastAsia="zh-CN"/>
              </w:rPr>
            </w:pPr>
            <w:r>
              <w:rPr>
                <w:rFonts w:hint="eastAsia" w:ascii="仿宋" w:hAnsi="仿宋" w:eastAsia="仿宋" w:cs="仿宋"/>
                <w:b/>
                <w:i w:val="0"/>
                <w:color w:val="000000"/>
                <w:sz w:val="24"/>
                <w:szCs w:val="24"/>
                <w:u w:val="none"/>
                <w:lang w:val="en-US" w:eastAsia="zh-CN"/>
              </w:rPr>
              <w:t>软件和资源</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（1）多点触控电子白板软件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1、支持点击打开软件图标即可使用，无需通过账号、扫描二维码等方式登录打开，避免影响老师教学。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2、工具栏采用扁平化带中文标识图标方式，易于识别，便于操作，分类清晰。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3、兼容Windows多点触摸协议，支持多人同时书写与擦除，书写轨迹流畅平滑。</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提供普通笔，排笔，软笔，纹理笔，荧光笔，智能笔，激光笔，魔术笔等多种功能书写笔，纹理笔可提供不少于十二种不同纹理图案以满足老师批注不同层次重点，魔术笔提供不少于十二种包括爱心、星星、月亮、动植物等图案增加教学趣味性，并提供同一界面中不同粗细，不同色彩，线形的设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5、软件能将书写内容保存为多个页面，并可通过漫游功能实现页面无边界扩展，可对页面进行增加，删除等编辑操作。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6、软件可控制展台捕获的动态图，可对展台图像拍照、录制、设置分辨率及调节焦距。</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7、提供直线、椭圆、圆形、矩形、三角形、多边形等形状用于绘图。</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8、提供数学画板功能，支持任意的平面和立体几何图形，函数的绘制，支持自定义函数参数和常数,支持三视图和透视图预览显示效果。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9、白板具有自定义密码锁定屏幕，保护教学内容不被破坏。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10、多屏书写：提供不少于三个背景模板，不少于分三屏书写，须同时具有边写边擦功能。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11、支持文本及全屏手写识别功能，可在页面上任意位置实现全屏手写识别功能，支持草书和模糊识别。</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12、提供屏幕锁、字幕播报、聚光灯、遮幕、闹钟、录制、计算器、放大镜、直尺，三角尺，圆规、量角器等常用教具。</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13、在软件文档中可直接打开PPT进行播放,提供PPT批注、擦除、翻页、预览、黑屏、同步播放音频、一键切换等功能,且可将标注内容直接保存到PPT文件中，不改变PPT格式。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（2）单机版教学资源软件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1、★单机点播，无需网络支持，包含了语文、数学、英语、物理、化学学科动漫教学课件，不小于18G。整个软件包含：课堂所需教学内容、课外所需内容、电子书籍、网络课堂等内容。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2、“课堂所需教学内容”根据教学大纲的要求，以教材内容为主体，具备“课本设置”功能对该栏目显示的课本进行年级、科目、版本等进行个性化设置。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3、“课外所需内容”包括了语文、数学、英语三个重要科目的基础学习资源，提供了科学的学习方法指导。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4、“电子书籍”提供多媒体学习的平台，包括故事、文学、益智、百科等形式的电子书，老师能够对各类中的电子书籍进行添加、删除等操作，实现文件的自我管理。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（3）无线互动教学系统</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1.软件使用环境要求必须在局域网环境下，可完全脱离英特网，并可用一般路由器、WiFi热点即可实现。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2.★软件需多语言支持，方便外教教师使用，支持的语言至少为：中文、英文、</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3.可通过移动设备远程控制电子白板、一体机、电脑等，实现鼠标移动、单击、双击、左右键等功能；也可打开文件并远端直接编辑文件。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无需连线，无需网络的情况下，教师即可在自己的平板上直接录制微课，做到“随时、随地”录微课；微课内容需包括课件内容、原笔迹板书、教师讲解视频、教师讲解语音。课件需支持视频、图片、pdf等数字媒体文件。微课格式需要为标准的流媒体格式，如mp4、flv等，方便网络传输、观看。微课录制完毕，可以一键回看，以便确认微课录制效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5.教师可以一键将课堂教学内容录制成标准的视频文件，包括黑板板书、大屏图像、课堂实况、教师语音等；方便学生课后复习及未能即时听课的学生听课使用。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6.★教师可以在移动设备上直接批注大屏内容，需支持视频动态批注。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7.★教师可将移动设备上PPT的文件直接在大屏上打开，无需拷贝文件至大屏电脑，并全屏播放，也可在移动设备端关闭全屏播放及关闭PPT文件。 教师可以通过手势左右滑动控制PPT上下翻页，也可以通过按键控制PPT上下翻页；移动设备端需有当前PPT全部页面的缩略图显示，大屏上不显示，教师可以通过选择缩略图页面快速将大屏PPT翻页至指定页面。PPT页面可以配合画笔功能，做到随时标注讲解；播放PPT时，无需退出PPT即穿插可播放音视频文件，方便教师讲课。PPT页面可以通过截图方式截取重点至画板中讲解，并可保存为课堂笔记。PPT页面如遇文字较小，可以配合放大镜功能，做到多级别放大，方便后排学生观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需具有移动展台功能，教师可方便将课本、试卷等实物通过移动设备拍照上传至大屏讲解，并需支持在移动端通过手势控制缩放、旋转、移动、剪切、标注、擦除等操作。且需要支持按键旋转、放大、缩小，简单易用，方便教师操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9.可以通过移动设备摄像头随时分享直播学生做题过程及实验情景，分享过程中，可选择是否录制。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10.可轻松播放移动设备上的所有教学文件，包括ppt、word、pdf、图片、音频、视频等，并可通过移动设备端控制播放，包括全屏、快进、快退、停止等。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需支持电子白板功能，具备铅笔、荧光笔、激光笔、魔法笔、排刷、图案刷等多种书写笔模式。需提供三角形、正方形、圆形、椭圆、多边形、平行线、箭头线、虚线等图形绘图工具。需可插入图片、PPT、word等文件进行讲解，并可直接保存为图片、pdf等文件。支持手势漫游、手势擦除、手势缩放等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12.可以将移动设备的界面无线投屏至大屏，移动设备所有操作都可在大屏上显示。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13.可将移动设备端的文件无线上传电脑端指定文件夹内，也可将电脑端文件下载至移动设备端指定文件夹。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14.需支持鼠标指针大小、形状可选择设置，并可自定义鼠标形状，解决后排学生经常看不清鼠标指针的问题。</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15.具备基本辅助工具，包括荧光笔、聚光灯、放大镜等，荧光笔颜色、聚光灯大小及放大镜倍数通过移动设备端轻松可调。</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16.移动设备端软件可扫描二维码自动下载，并自动提示新版本升级或自动检查升级至最新版。</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17.移动设备端需支持Android、win8/10等平台。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（4）网络版教学资源软件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1、具备网络资源、校本资源、个人资源库，网络资源根据学段、科目、年级、教材版本分类呈现，方便检索查阅资源。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2、通用素材：分栏目展示各种背景透明的素材,提供多种检索方式，方便用户查阅所需的素材。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3、具备微课管理模块：主要分为上传微课、看过的微课、我的微课以及收藏的微课四个模块。用户可以通过这四个模块对自己的微课进行上传、编辑、收藏、删除等相关操作。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4、具有仿真实验室，且能够明确分类实验目的、实验器材、实验步骤及注意事项。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5、我的资源库：用户可以上传资源到“我的资源库”。</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854"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lang w:val="en-US" w:eastAsia="zh-CN"/>
              </w:rPr>
            </w:pPr>
            <w:r>
              <w:rPr>
                <w:rFonts w:hint="eastAsia" w:ascii="仿宋" w:hAnsi="仿宋" w:eastAsia="仿宋" w:cs="仿宋"/>
                <w:b/>
                <w:i w:val="0"/>
                <w:color w:val="000000"/>
                <w:sz w:val="24"/>
                <w:szCs w:val="24"/>
                <w:u w:val="none"/>
                <w:lang w:val="en-US" w:eastAsia="zh-CN"/>
              </w:rPr>
              <w:t>配件</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单套班班通所需电源线、网线、模块、面板、水晶头、线管线槽等</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批</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819"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31</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lang w:val="en-US" w:eastAsia="zh-CN"/>
              </w:rPr>
            </w:pPr>
            <w:r>
              <w:rPr>
                <w:rFonts w:hint="eastAsia" w:ascii="仿宋" w:hAnsi="仿宋" w:eastAsia="仿宋" w:cs="仿宋"/>
                <w:b/>
                <w:i w:val="0"/>
                <w:color w:val="000000"/>
                <w:sz w:val="24"/>
                <w:szCs w:val="24"/>
                <w:u w:val="none"/>
                <w:lang w:val="en-US" w:eastAsia="zh-CN"/>
              </w:rPr>
              <w:t>安装调试</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含：1个网点，1个电源点，班班通设备安装调试</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项</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639" w:hRule="atLeast"/>
        </w:trPr>
        <w:tc>
          <w:tcPr>
            <w:tcW w:w="6074" w:type="dxa"/>
            <w:gridSpan w:val="3"/>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创客比赛套装</w:t>
            </w:r>
          </w:p>
        </w:tc>
        <w:tc>
          <w:tcPr>
            <w:tcW w:w="65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78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1631"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7422"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32</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人工智能车教学套装</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学生通过搭建智能车并使用相关技术进行技能展示和探索交流，检验了青少年对于人工智能技术及知识的理解掌握程度，培养了学生综合运用机械工程技术和电子信息技术的能力，激发青少年对于人工智能领域的兴趣，扩展学生的知识面，达到脑力与动手能力的双重培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产品构成：支持安卓平台使用的操控软件，丰富的电子模块，易于组装的模块化结构件，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产品尺寸：长度295mm*宽度140mm*高度100mm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 外壳材料：ABS塑胶；底盘材料：铝合金</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 配套配件：3个电子模块保护壳、4个电机卡扣安装外壳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 摄像头：200万像素、1600*1200分辨率、60°视场角</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 主控板：Taiduino 2代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 主控扩展板接口：开关、充电接口、Micro USB串口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7. 计算板：1.4GHz 四核 64位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 电机：12V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 语音模块：5V、SD卡储存音频、串口通讯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 电池：12V、3000mah</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11.编程软件：Arduino，Mixly，Python</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*该套装可参加创客比赛</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288925</wp:posOffset>
                  </wp:positionH>
                  <wp:positionV relativeFrom="paragraph">
                    <wp:posOffset>868045</wp:posOffset>
                  </wp:positionV>
                  <wp:extent cx="1265555" cy="640715"/>
                  <wp:effectExtent l="0" t="0" r="0" b="0"/>
                  <wp:wrapNone/>
                  <wp:docPr id="66" name="图片_6_SpCnt_1"/>
                  <wp:cNvGraphicFramePr/>
                  <a:graphic xmlns:a="http://schemas.openxmlformats.org/drawingml/2006/main">
                    <a:graphicData uri="http://schemas.openxmlformats.org/drawingml/2006/picture">
                      <pic:pic xmlns:pic="http://schemas.openxmlformats.org/drawingml/2006/picture">
                        <pic:nvPicPr>
                          <pic:cNvPr id="66" name="图片_6_SpCnt_1"/>
                          <pic:cNvPicPr/>
                        </pic:nvPicPr>
                        <pic:blipFill>
                          <a:blip r:embed="rId70"/>
                          <a:stretch>
                            <a:fillRect/>
                          </a:stretch>
                        </pic:blipFill>
                        <pic:spPr>
                          <a:xfrm>
                            <a:off x="0" y="0"/>
                            <a:ext cx="1265555" cy="64071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69"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33</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人工智能车活动场地套件</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top"/>
          </w:tcPr>
          <w:p>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用于参加创客比赛、调试活动场地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 包含竞赛活动场地中任务区域模型套件，分别为城市享游区3个世界著名建筑立牌；物流管家区3个模型识别块，3张识别色卡；通行守护区挡板模型；互联泊车区3张钛迈罗立牌；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 包含智能车行驶路线赛道拼接EVA模块，共计27块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 包含可收纳活动专用场地图一张，尺寸约5*5米</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594360</wp:posOffset>
                  </wp:positionH>
                  <wp:positionV relativeFrom="paragraph">
                    <wp:posOffset>160020</wp:posOffset>
                  </wp:positionV>
                  <wp:extent cx="899160" cy="655320"/>
                  <wp:effectExtent l="0" t="0" r="0" b="0"/>
                  <wp:wrapNone/>
                  <wp:docPr id="67" name="图片_7"/>
                  <wp:cNvGraphicFramePr/>
                  <a:graphic xmlns:a="http://schemas.openxmlformats.org/drawingml/2006/main">
                    <a:graphicData uri="http://schemas.openxmlformats.org/drawingml/2006/picture">
                      <pic:pic xmlns:pic="http://schemas.openxmlformats.org/drawingml/2006/picture">
                        <pic:nvPicPr>
                          <pic:cNvPr id="67" name="图片_7"/>
                          <pic:cNvPicPr/>
                        </pic:nvPicPr>
                        <pic:blipFill>
                          <a:blip r:embed="rId71"/>
                          <a:stretch>
                            <a:fillRect/>
                          </a:stretch>
                        </pic:blipFill>
                        <pic:spPr>
                          <a:xfrm>
                            <a:off x="0" y="0"/>
                            <a:ext cx="899160" cy="6553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3044"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34</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人工智能车比赛定制箱</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top"/>
          </w:tcPr>
          <w:p>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用于参加参赛作品携带。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产品尺寸：长度358mm*宽度284mm*高度168mm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2. 内部尺寸：327.5*228.6*155mm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 材质：PP合金</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 重量：2KG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 箱盖/箱底：45/110mm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 工作温度：-40—100度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 防水等级：IP67</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556260</wp:posOffset>
                  </wp:positionH>
                  <wp:positionV relativeFrom="paragraph">
                    <wp:posOffset>205740</wp:posOffset>
                  </wp:positionV>
                  <wp:extent cx="1226820" cy="624840"/>
                  <wp:effectExtent l="0" t="0" r="7620" b="0"/>
                  <wp:wrapNone/>
                  <wp:docPr id="68" name="图片_8_SpCnt_1"/>
                  <wp:cNvGraphicFramePr/>
                  <a:graphic xmlns:a="http://schemas.openxmlformats.org/drawingml/2006/main">
                    <a:graphicData uri="http://schemas.openxmlformats.org/drawingml/2006/picture">
                      <pic:pic xmlns:pic="http://schemas.openxmlformats.org/drawingml/2006/picture">
                        <pic:nvPicPr>
                          <pic:cNvPr id="68" name="图片_8_SpCnt_1"/>
                          <pic:cNvPicPr/>
                        </pic:nvPicPr>
                        <pic:blipFill>
                          <a:blip r:embed="rId72"/>
                          <a:stretch>
                            <a:fillRect/>
                          </a:stretch>
                        </pic:blipFill>
                        <pic:spPr>
                          <a:xfrm>
                            <a:off x="0" y="0"/>
                            <a:ext cx="1226820" cy="6248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8039"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35</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创客比赛器材包</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产品参数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产品形态：无官方形态，支持用户DIY；零件材质：ABS,ABS+PC, PC,POM, 硅胶；零件数量，≥600pcs ；产品净重：1.35kg；产品毛重：2.54kg；包装尺寸：418*318*109(mm)；卡通箱尺寸：440*350*465(mm)；装箱数：4pcs</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硬件参数：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整机：工作电压，DC7.4V；工作电流，0.5A-2A；工作温度，-5°C-60°C；</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主芯片：处理器，ARM-Cortex-M4 32-bit processor, 64 MHz；内存，32Mbit；通信，UART&amp;BLE；</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外围接口：充电端口，USB*1，开关端口，3PIN*1，电机&amp;舵机&amp;传感器端口，3PIN*8；</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电池：电池类型，锂电池，电压：7.4V；</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舵机：数量，6pcs，输出扭矩：4kg.cm，工作电压：6.5-9.6V，工作电流，80-200mA；堵转电流：1700mA；转速：0.1sec/60°；精度：空载1/3°带载1°；寿命：150H</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电机：数量：4pcs，工作电压：7.4V DC (6~10V DC)，空载电流：≤180mA；堵转电流：≤1.5A，输出扭矩：≥2kgf.cm，空载转速：140±10% RPM；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红外传感器：数量：1pcs，工作电压：6.8~9.6V，功率：≈1.5W，红外波长：940nm，红外测距：2cm~15cm，接口：3pin插座，工作温度：-15℃~45℃，重量 ：7.2g，外观尺寸 ：30mm*30mm*12mm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每两组组赛队需要4个器材包</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373380</wp:posOffset>
                  </wp:positionH>
                  <wp:positionV relativeFrom="paragraph">
                    <wp:posOffset>1280160</wp:posOffset>
                  </wp:positionV>
                  <wp:extent cx="1470660" cy="815340"/>
                  <wp:effectExtent l="0" t="0" r="0" b="7620"/>
                  <wp:wrapNone/>
                  <wp:docPr id="69" name="图片_1_SpCnt_1"/>
                  <wp:cNvGraphicFramePr/>
                  <a:graphic xmlns:a="http://schemas.openxmlformats.org/drawingml/2006/main">
                    <a:graphicData uri="http://schemas.openxmlformats.org/drawingml/2006/picture">
                      <pic:pic xmlns:pic="http://schemas.openxmlformats.org/drawingml/2006/picture">
                        <pic:nvPicPr>
                          <pic:cNvPr id="69" name="图片_1_SpCnt_1"/>
                          <pic:cNvPicPr/>
                        </pic:nvPicPr>
                        <pic:blipFill>
                          <a:blip r:embed="rId73"/>
                          <a:stretch>
                            <a:fillRect/>
                          </a:stretch>
                        </pic:blipFill>
                        <pic:spPr>
                          <a:xfrm>
                            <a:off x="0" y="0"/>
                            <a:ext cx="1470660" cy="8153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797" w:hRule="atLeast"/>
        </w:trPr>
        <w:tc>
          <w:tcPr>
            <w:tcW w:w="476" w:type="dxa"/>
            <w:tcBorders>
              <w:top w:val="single" w:color="000000" w:sz="4" w:space="0"/>
              <w:left w:val="single" w:color="000000" w:sz="4" w:space="0"/>
              <w:bottom w:val="nil"/>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36</w:t>
            </w:r>
          </w:p>
        </w:tc>
        <w:tc>
          <w:tcPr>
            <w:tcW w:w="964" w:type="dxa"/>
            <w:tcBorders>
              <w:top w:val="single" w:color="000000" w:sz="4" w:space="0"/>
              <w:left w:val="single" w:color="000000" w:sz="4" w:space="0"/>
              <w:bottom w:val="nil"/>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创客场地包</w:t>
            </w:r>
          </w:p>
        </w:tc>
        <w:tc>
          <w:tcPr>
            <w:tcW w:w="4634" w:type="dxa"/>
            <w:tcBorders>
              <w:top w:val="single" w:color="000000" w:sz="4" w:space="0"/>
              <w:left w:val="single" w:color="000000" w:sz="4" w:space="0"/>
              <w:bottom w:val="nil"/>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场地组件：ABS、铝合金（含围栏、球门回收区等，模块化设计，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支持不同尺寸场地的拓展）；</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场地图纸：写真，2422mm*1203mm（单独圆形纸筒包装）；</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比赛道具：EVA方块，塑胶足球（紫、橙、粉三色EVA方块、比赛足球）；</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其他零件：ABS、尼龙基材等（含子母扣双面胶、安装扣等）</w:t>
            </w:r>
          </w:p>
        </w:tc>
        <w:tc>
          <w:tcPr>
            <w:tcW w:w="651" w:type="dxa"/>
            <w:tcBorders>
              <w:top w:val="single" w:color="000000" w:sz="4" w:space="0"/>
              <w:left w:val="single" w:color="000000" w:sz="4" w:space="0"/>
              <w:bottom w:val="nil"/>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781" w:type="dxa"/>
            <w:tcBorders>
              <w:top w:val="single" w:color="000000" w:sz="4" w:space="0"/>
              <w:left w:val="single" w:color="000000" w:sz="4" w:space="0"/>
              <w:bottom w:val="nil"/>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1" w:type="dxa"/>
            <w:tcBorders>
              <w:top w:val="single" w:color="000000" w:sz="4" w:space="0"/>
              <w:left w:val="single" w:color="000000" w:sz="4" w:space="0"/>
              <w:bottom w:val="nil"/>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31750</wp:posOffset>
                  </wp:positionH>
                  <wp:positionV relativeFrom="paragraph">
                    <wp:posOffset>253365</wp:posOffset>
                  </wp:positionV>
                  <wp:extent cx="1181100" cy="1192530"/>
                  <wp:effectExtent l="0" t="0" r="7620" b="11430"/>
                  <wp:wrapNone/>
                  <wp:docPr id="70" name="图片_3_SpCnt_1"/>
                  <wp:cNvGraphicFramePr/>
                  <a:graphic xmlns:a="http://schemas.openxmlformats.org/drawingml/2006/main">
                    <a:graphicData uri="http://schemas.openxmlformats.org/drawingml/2006/picture">
                      <pic:pic xmlns:pic="http://schemas.openxmlformats.org/drawingml/2006/picture">
                        <pic:nvPicPr>
                          <pic:cNvPr id="70" name="图片_3_SpCnt_1"/>
                          <pic:cNvPicPr/>
                        </pic:nvPicPr>
                        <pic:blipFill>
                          <a:blip r:embed="rId74"/>
                          <a:stretch>
                            <a:fillRect/>
                          </a:stretch>
                        </pic:blipFill>
                        <pic:spPr>
                          <a:xfrm>
                            <a:off x="0" y="0"/>
                            <a:ext cx="1181100" cy="11925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39" w:hRule="atLeast"/>
        </w:trPr>
        <w:tc>
          <w:tcPr>
            <w:tcW w:w="6074"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桌椅</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 w:hAnsi="仿宋" w:eastAsia="仿宋" w:cs="仿宋"/>
                <w:b/>
                <w:i w:val="0"/>
                <w:color w:val="000000"/>
                <w:sz w:val="24"/>
                <w:szCs w:val="24"/>
                <w:u w:val="none"/>
              </w:rPr>
            </w:pPr>
          </w:p>
        </w:tc>
      </w:tr>
      <w:tr>
        <w:tblPrEx>
          <w:tblCellMar>
            <w:top w:w="0" w:type="dxa"/>
            <w:left w:w="0" w:type="dxa"/>
            <w:bottom w:w="0" w:type="dxa"/>
            <w:right w:w="0" w:type="dxa"/>
          </w:tblCellMar>
        </w:tblPrEx>
        <w:trPr>
          <w:trHeight w:val="1872"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37</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桌子</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bottom"/>
          </w:tcPr>
          <w:p>
            <w:pPr>
              <w:keepNext w:val="0"/>
              <w:keepLines w:val="0"/>
              <w:widowControl/>
              <w:suppressLineNumbers w:val="0"/>
              <w:jc w:val="left"/>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1、规格:1200*2000，高度750mm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2、材质：桌面采用选用三聚氰胺浸渍胶膜纸饰面，硬度高，耐磨、耐热性好，表面平滑光洁，容易维护清洗。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基材：E0级刨花板。 封边：3mm厚PVC同色封边.</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1574" w:hRule="atLeast"/>
        </w:trPr>
        <w:tc>
          <w:tcPr>
            <w:tcW w:w="4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38</w:t>
            </w:r>
          </w:p>
        </w:tc>
        <w:tc>
          <w:tcPr>
            <w:tcW w:w="96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椅子</w:t>
            </w:r>
          </w:p>
        </w:tc>
        <w:tc>
          <w:tcPr>
            <w:tcW w:w="46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bottom"/>
          </w:tcPr>
          <w:p>
            <w:pPr>
              <w:keepNext w:val="0"/>
              <w:keepLines w:val="0"/>
              <w:widowControl/>
              <w:suppressLineNumbers w:val="0"/>
              <w:jc w:val="left"/>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1、规格:450*450高度400mm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2、材质：桌面采用选用三聚氰胺浸渍胶膜纸饰面，硬度高，耐磨、耐热性好，表面平滑光洁，容易维护清洗。基材：E0级刨花板。 封边：3mm厚PVC同色封边.</w:t>
            </w:r>
          </w:p>
        </w:tc>
        <w:tc>
          <w:tcPr>
            <w:tcW w:w="6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78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49</w:t>
            </w:r>
          </w:p>
        </w:tc>
        <w:tc>
          <w:tcPr>
            <w:tcW w:w="16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bl>
    <w:p/>
    <w:p/>
    <w:p/>
    <w:p/>
    <w:p/>
    <w:p/>
    <w:p/>
    <w:p/>
    <w:p/>
    <w:p/>
    <w:p/>
    <w:p/>
    <w:p/>
    <w:p/>
    <w:p/>
    <w:p/>
    <w:p/>
    <w:p/>
    <w:p/>
    <w:p/>
    <w:p/>
    <w:tbl>
      <w:tblPr>
        <w:tblStyle w:val="2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3"/>
        <w:gridCol w:w="1188"/>
        <w:gridCol w:w="4464"/>
        <w:gridCol w:w="5"/>
        <w:gridCol w:w="468"/>
        <w:gridCol w:w="5"/>
        <w:gridCol w:w="461"/>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9039" w:type="dxa"/>
            <w:gridSpan w:val="8"/>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r>
              <w:rPr>
                <w:rFonts w:hint="eastAsia" w:ascii="宋体" w:hAnsi="宋体" w:eastAsia="宋体" w:cs="宋体"/>
                <w:b/>
                <w:i w:val="0"/>
                <w:color w:val="000000"/>
                <w:kern w:val="0"/>
                <w:sz w:val="28"/>
                <w:szCs w:val="28"/>
                <w:u w:val="none"/>
                <w:lang w:val="en-US" w:eastAsia="zh-CN" w:bidi="ar"/>
              </w:rPr>
              <w:t>中学创客教室配备设备清单及规格参数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7254" w:type="dxa"/>
            <w:gridSpan w:val="7"/>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创客教学基础套装</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5"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可编程电子积木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教育版</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 用于STEAM创客教育、机器人编程、人工智能应用授课使用，为课堂PBL项目式学习及造物、普及创客基础素养；采用一体式外壳结构即模块保护外壳，便于创客空间团队授课使用、或电脑室直接使用；内置常用传感器及丰富的机构件，便于学习官方课程案例，及创造造物使用。塑料结构件种类繁多，包含了销连接、齿连接、轴连接等多种连接方式；超过79种，不低于590个零件。包含特色的电容触摸等特殊传感器，供学习复杂传感器编程及体感操控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1、配套Scratch图形化编程软件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①.针对中小学生课堂编程，基于开源图形化编程软件Scratch2.0深度拓展研发出Scrtach编程软件、增加了兼容电子模块板块，大大增加了课堂编程的丰富性及趣味性。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②.可同时接入多个主控设备，通过扫描选择任意一个进行编程，并提供传感器模块可实现实时获取硬件接入。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③.支持蓝牙无线远程连接，USB数据线连接等多种编程连接方式。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双重模式，Scratch联机编程与Arduino离线模式同时支持；Arduino模式下，图形模块能同步生产Arduino代码指令。</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④、支持Windoes、Linux、Mac、树莓派等多种系统平台。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⑤、内置人工智能语音识别系统，在联网环境下可编程实现语音控制。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2、套装尺寸：长宽高尺寸不超过370*280*110mm。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3、电子模块及配件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电子积木至少25个：控制器×1、电机×2、遥控×1、超声波×1、触碰开关×1、按键×1、旋钮×1、摇杆×1、温湿度传感器×1、光敏传感器×1、红外循迹传感器×1、电容触摸×1、红外避障传感器×1、声音传感器×1、音乐蜂鸣器×1、直流电机控制器×1、LED灯×1、RGB全彩灯×1、四位数码管×1、红外收发器×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②.电子积木外壳使用ABS环保塑料，使用不同颜色外壳标记，模块功能分类，色彩清新，安全耐用。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③.配件至少11个：电子积木数据线×6、充电/数据线×1、电源适配器×1、说明书/教材手册×1、拆件器A×1、蓝牙×1。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乐高件至少590个：销8种142个、板9中64个、轴10中72个、齿6种20个、洞梁16种93个、洞砖5种24个、轴套2种36个、砖块4种46个、光面瓦片2中36个、科技连接器8种30个、异型结构件6种13个、轮毂轮胎各一种2个、万向轮1个。</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⑥.包含纸质循迹地图一张、纸质大转盘一个。</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4、课程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包含纯软件、软硬件交互、硬件搭建等课程至少40例。课程中配置相应的PBL项目式教学至少2例。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5、主控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①、基于Arduino328深度开发、主频16MHz；</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②、内置蓝牙模块，支持蓝牙、串口双连接方式；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③、支持在线编程以及离线烧录双模式；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④、内置1400mA大容量电池，可重复使用；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⑤、包含6个统一的MiniUSB易插拔功能扩展接口，所有功能模块采用统一的5线MiniUSB接口与主控设备连接，每个接口都包含数字、模拟、PWM和I2C功能；可连接任意模块。</w:t>
            </w:r>
          </w:p>
          <w:p>
            <w:pPr>
              <w:keepNext w:val="0"/>
              <w:keepLines w:val="0"/>
              <w:widowControl/>
              <w:numPr>
                <w:ilvl w:val="0"/>
                <w:numId w:val="20"/>
              </w:numPr>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远程灯光控制系统</w:t>
            </w:r>
          </w:p>
          <w:p>
            <w:pPr>
              <w:keepNext w:val="0"/>
              <w:keepLines w:val="0"/>
              <w:widowControl/>
              <w:numPr>
                <w:ilvl w:val="0"/>
                <w:numId w:val="0"/>
              </w:numPr>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由主控器、2.4G无线模块、四位按键模块、RGB全彩灯模块、miniUSB连接线构成构成，组成两个物联网系统。主控器可以在不借助外设设备的情况下与笔记本电脑进行蓝牙连接。两个主控器分别连接一个2.4G无线模块，实现主控通过两个2.4G无线模块建立通讯通道，并进行远程无线通讯。将一个四位按键模块与其中一个主控连接，一个RGB全彩灯模块与另外一个主控连接，实现四位按键模块“1”“2”“3”“4”四个按键，分别远程无线控制另外一个与主控相连接的RGB全彩灯“1”“2”“3”号灯珠亮灯；其中，按键1按下，1号全彩灯亮红灯；按键2按下，2号全彩灯亮绿灯；按键3按下，3号全彩灯亮蓝灯；按键4按下，全彩灯闪烁。</w:t>
            </w:r>
            <w:r>
              <w:rPr>
                <w:rFonts w:hint="eastAsia" w:ascii="仿宋" w:hAnsi="仿宋" w:eastAsia="仿宋" w:cs="仿宋"/>
                <w:i w:val="0"/>
                <w:color w:val="000000"/>
                <w:kern w:val="0"/>
                <w:sz w:val="24"/>
                <w:szCs w:val="24"/>
                <w:u w:val="none"/>
                <w:lang w:val="en-US" w:eastAsia="zh-CN" w:bidi="ar"/>
              </w:rPr>
              <w:br w:type="textWrapping"/>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46</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160020</wp:posOffset>
                  </wp:positionH>
                  <wp:positionV relativeFrom="paragraph">
                    <wp:posOffset>853440</wp:posOffset>
                  </wp:positionV>
                  <wp:extent cx="1504315" cy="723900"/>
                  <wp:effectExtent l="0" t="0" r="4445" b="7620"/>
                  <wp:wrapNone/>
                  <wp:docPr id="71" name="图片_30"/>
                  <wp:cNvGraphicFramePr/>
                  <a:graphic xmlns:a="http://schemas.openxmlformats.org/drawingml/2006/main">
                    <a:graphicData uri="http://schemas.openxmlformats.org/drawingml/2006/picture">
                      <pic:pic xmlns:pic="http://schemas.openxmlformats.org/drawingml/2006/picture">
                        <pic:nvPicPr>
                          <pic:cNvPr id="71" name="图片_30"/>
                          <pic:cNvPicPr/>
                        </pic:nvPicPr>
                        <pic:blipFill>
                          <a:blip r:embed="rId75"/>
                          <a:stretch>
                            <a:fillRect/>
                          </a:stretch>
                        </pic:blipFill>
                        <pic:spPr>
                          <a:xfrm>
                            <a:off x="0" y="0"/>
                            <a:ext cx="1504315" cy="723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8"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可编程电子积木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月球探险套装</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用于大班授课，普及创客基础素养，主题动力拓展套件。以研究学习动力输出为目的、包含丰富的造物结构案例。内置配套传感器及结构件、便于学习官方案例课程及造物使用。一体式外壳结构，便于收纳。超过58种，不低于590个零件。包含包括陀螺仪、电容触摸传感器、射频读卡器在内的多种特殊传感器，用于动力输出学习。</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1、配套Scratch图形化编程软件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①.针对中小学生课堂编程，基于开源图形化编程软件Scratch2.0深度拓展研发出Scrtach编程软件、增加了兼容电子模块板块，大大增加了课堂编程的丰富性及趣味性。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②.可同时接入多个主控设备，通过扫描选择任意一个进行编程，并提供传感器模块可实现实时获取硬件接入。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③.支持蓝牙无线远程连接，USB数据线连接等多种编程连接方式。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双重模式，Scratch联机编程与Arduino离线模式同时支持；Arduino模式下，图形模块能同步生产Arduino代码指令。</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④、支持Windoes、Linux、Mac、树莓派等多种系统平台。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⑤、内置人工智能语音识别系统，在联网环境下可编程实现语音控制。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2、套装尺寸：长宽高尺寸不超过390*290*190mm。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3、电子模块及配件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电子积木至少23个：控制器×1、电机×2、遥控×1、超声波×1、红外收发×1、红外遥控×1、反射光传感器×1、射频读卡器×1、RFID卡片×5、电容触摸传感器×1、陀螺仪×1、实时时钟×1、直流电机控制器×1、RGB全彩灯×1、伺服电机控制器×1、大型伺服电机×2、四位数码管×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②.电子积木外壳使用ABS环保塑料，使用不同颜色外壳标记，模块功能分类，色彩清新，安全耐用。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③.配件至少11个：电子积木数据线×6、充电/数据线×1、电源适配器×1、说明书/教材手册×1、拆件器A×1、蓝牙×1。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④.乐高件至少590个：销7种166个、轴10中118个、齿5种30个、洞梁15种154个、轴套2种40个、砖块1种40个、科技连接器8种64个、异型结构件6种22个、轮毂轮胎各一种4个、万向轮1个、滑轮1种4个。</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4、课程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包含软硬件交互、硬件搭建等课程至少24例，可搭建不少于24个创意作品。课程中配置相应的PBL项目式教学至少2例。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5、主控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①、基于Arduino328深度开发、主频16MHz；</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②、内置蓝牙模块，支持蓝牙、串口双连接方式；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③、支持在线编程以及离线烧录双模式；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④、内置1400mA大容量电池，可重复使用；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⑤、包含6个统一的MiniUSB易插拔功能扩展接口，所有功能模块采用统一的5线MiniUSB接口与主控设备连接，每个接口都包含数字、模拟、PWM和I2C功能；可连接任意模块。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6、伺服电机控制器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①、伺服电机控制器包含4个伺服电机接口，可同时操控4个伺服电机；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②、通过水晶头连接线连接，可用基于Scratch的图形化编程程序控制；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③、内置1400hA锂电池，可重复使用，负责伺服电机工作供电，保证动力充足；</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144145</wp:posOffset>
                  </wp:positionH>
                  <wp:positionV relativeFrom="paragraph">
                    <wp:posOffset>243840</wp:posOffset>
                  </wp:positionV>
                  <wp:extent cx="1257935" cy="952500"/>
                  <wp:effectExtent l="0" t="0" r="6985" b="0"/>
                  <wp:wrapNone/>
                  <wp:docPr id="72" name="图片_20"/>
                  <wp:cNvGraphicFramePr/>
                  <a:graphic xmlns:a="http://schemas.openxmlformats.org/drawingml/2006/main">
                    <a:graphicData uri="http://schemas.openxmlformats.org/drawingml/2006/picture">
                      <pic:pic xmlns:pic="http://schemas.openxmlformats.org/drawingml/2006/picture">
                        <pic:nvPicPr>
                          <pic:cNvPr id="72" name="图片_20"/>
                          <pic:cNvPicPr/>
                        </pic:nvPicPr>
                        <pic:blipFill>
                          <a:blip r:embed="rId76"/>
                          <a:stretch>
                            <a:fillRect/>
                          </a:stretch>
                        </pic:blipFill>
                        <pic:spPr>
                          <a:xfrm>
                            <a:off x="0" y="0"/>
                            <a:ext cx="125793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6"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图形化编程软件</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1、交互式中文图形化编程软件，兼容麻省理工scratch官方版本；</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2、同时支持交互式可编程创客基础设备包、交互式可编程创客基础设备包等多种硬件编程；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3、支持同时接入多个硬件主控设备，通过扫描选择任意一个进行编程，并提供传感器控制模块可实时获取硬件接入的传感器信息及状态；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4、支持蓝牙无线远程连接，USB数据线连接等多种编程连接方式；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5、支持Scratch联机编程和Arduino代码上传两种编程模式；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6、Arduino模式能实现图形模块与Arduino指令的转换；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7、Arduino模式支撑蓝牙无线上传代码功能；                                                                                          8、支持Windows、Linux、Mac、树莓派等多种系统平台；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9、提供产品制造商授权书。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10、配备物联网模块、以及语音控制语音识别                                                                     </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46</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3"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平台及课程资源包</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用于STEAM创客教育、机器人编程、人工智能应用授课使用，为课堂PBL项目式学习及造物、普及创客基础素养提供配套的编程平台及丰富的课程资源。主要包含：Scratch编程平台*1、视频教学课程*12、基础班课程资源包*1、高级版课程资源包*1、教育版课程资源包*1、等级考试课程资源包*1、月球探险课程资源包*1、动力主题拓展课程包*1、物联网主题拓展课程包*1。包含供应商售后流程文档、常用电子模块介绍文档、售后故障排查文档、以及客服部门联系方式。为保障教学质量做出有力支持。</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175260</wp:posOffset>
                  </wp:positionH>
                  <wp:positionV relativeFrom="paragraph">
                    <wp:posOffset>160020</wp:posOffset>
                  </wp:positionV>
                  <wp:extent cx="1473835" cy="739140"/>
                  <wp:effectExtent l="0" t="0" r="4445" b="7620"/>
                  <wp:wrapNone/>
                  <wp:docPr id="73" name="图片_4"/>
                  <wp:cNvGraphicFramePr/>
                  <a:graphic xmlns:a="http://schemas.openxmlformats.org/drawingml/2006/main">
                    <a:graphicData uri="http://schemas.openxmlformats.org/drawingml/2006/picture">
                      <pic:pic xmlns:pic="http://schemas.openxmlformats.org/drawingml/2006/picture">
                        <pic:nvPicPr>
                          <pic:cNvPr id="73" name="图片_4"/>
                          <pic:cNvPicPr/>
                        </pic:nvPicPr>
                        <pic:blipFill>
                          <a:blip r:embed="rId77"/>
                          <a:stretch>
                            <a:fillRect/>
                          </a:stretch>
                        </pic:blipFill>
                        <pic:spPr>
                          <a:xfrm>
                            <a:off x="0" y="0"/>
                            <a:ext cx="1473835" cy="739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6320" w:type="dxa"/>
            <w:gridSpan w:val="4"/>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创客拓展配件包</w:t>
            </w:r>
          </w:p>
        </w:tc>
        <w:tc>
          <w:tcPr>
            <w:tcW w:w="473" w:type="dxa"/>
            <w:gridSpan w:val="2"/>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c>
          <w:tcPr>
            <w:tcW w:w="461" w:type="dxa"/>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c>
          <w:tcPr>
            <w:tcW w:w="1785" w:type="dxa"/>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4"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可编程电子积木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传感器配件包</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用于STEAM创客教育、机器人编程、人工智能应用开源传感器备用包，为课堂PBL项目式学习及造物、智能制造提供传感器以备创作或临时应急使用。一体式包装，便于收纳管理。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1、配套Scratch图形化编程软件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①.针对中小学生课堂编程，基于开源图形化编程软件Scratch2.0深度拓展研发出Scrtach编程软件、增加了兼容电子模块板块，大大增加了课堂编程的丰富性及趣味性。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②.可同时接入多个主控设备，通过扫描选择任意一个进行编程，并提供传感器模块可实现实时获取硬件接入。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③.支持蓝牙无线远程连接，USB数据线连接等多种编程连接方式。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双重模式，Scratch联机编程与Arduino离线模式同时支持；Arduino模式下，图形模块能同步生产Arduino代码指令。</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④、支持Windoes、Linux、Mac、树莓派等多种系统平台。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⑤、内置人工智能语音识别系统，在联网环境下可编程实现语音控制。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2、套装尺寸：长宽高尺寸不超过260*200*80mm。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3、电子模块及配件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电子积木至少25个：控制器×1、电机×2、遥控×1、超声波×1、触碰开关×1、按键×1、旋钮×1、摇杆×1、温湿度传感器×1、光敏传感器×1、红外循迹传感器×1、陀螺仪×1、红外避障传感器×1、声音传感器×1、音乐蜂鸣器×1、直流电机控制器×1、LED灯×1、RGB全彩灯×1、四位数码管×1、红外收发器×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②.电子积木外壳使用ABS环保塑料，使用不同颜色外壳标记，模块功能分类，色彩清新，安全耐用。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③.配件至少8个：电子积木数据线×6、充电/数据线×1、电源适配器×1。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4、主控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①、基于Arduino328深度开发、主频16MHz；</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②、内置蓝牙模块，支持蓝牙、串口双连接方式；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③、支持在线编程以及离线烧录双模式；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④、内置1400mA大容量电池，可重复使用；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⑤、包含6个统一的MiniUSB易插拔功能扩展接口，所有功能模块采用统一的5线MiniUSB接口与主控设备连接，每个接口都包含数字、模拟、PWM和I2C功能；可连接任意模块。</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160020</wp:posOffset>
                  </wp:positionH>
                  <wp:positionV relativeFrom="paragraph">
                    <wp:posOffset>487680</wp:posOffset>
                  </wp:positionV>
                  <wp:extent cx="1264920" cy="906780"/>
                  <wp:effectExtent l="0" t="0" r="0" b="0"/>
                  <wp:wrapNone/>
                  <wp:docPr id="74" name="图片_8"/>
                  <wp:cNvGraphicFramePr/>
                  <a:graphic xmlns:a="http://schemas.openxmlformats.org/drawingml/2006/main">
                    <a:graphicData uri="http://schemas.openxmlformats.org/drawingml/2006/picture">
                      <pic:pic xmlns:pic="http://schemas.openxmlformats.org/drawingml/2006/picture">
                        <pic:nvPicPr>
                          <pic:cNvPr id="74" name="图片_8"/>
                          <pic:cNvPicPr/>
                        </pic:nvPicPr>
                        <pic:blipFill>
                          <a:blip r:embed="rId78"/>
                          <a:stretch>
                            <a:fillRect/>
                          </a:stretch>
                        </pic:blipFill>
                        <pic:spPr>
                          <a:xfrm>
                            <a:off x="0" y="0"/>
                            <a:ext cx="1264920" cy="9067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4"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可编程电子积木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结构件配件包</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用于STEAM创客教育、机器人编程、人工智能应用开源传感器备用包，为课堂PBL项目式学习及造物、智能制造提供结构件以备创作或临时应急使用。一体式包装，便于收纳管理。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1、套装尺寸：长宽高尺寸不超过250*190*100mm。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2、内含物：包含销8种142个、板9中64个、轴10中72个、齿6种20个、洞梁16种93个、洞砖5种24个、轴套2种36个、砖块4种46个、光面瓦片2中36个、科技连接器8种30个、异型结构件6种13个、轮毂轮胎各一种2个、万向轮1个.</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694815" cy="899160"/>
                  <wp:effectExtent l="0" t="0" r="12065" b="0"/>
                  <wp:wrapNone/>
                  <wp:docPr id="75" name="图片_11"/>
                  <wp:cNvGraphicFramePr/>
                  <a:graphic xmlns:a="http://schemas.openxmlformats.org/drawingml/2006/main">
                    <a:graphicData uri="http://schemas.openxmlformats.org/drawingml/2006/picture">
                      <pic:pic xmlns:pic="http://schemas.openxmlformats.org/drawingml/2006/picture">
                        <pic:nvPicPr>
                          <pic:cNvPr id="75" name="图片_11"/>
                          <pic:cNvPicPr/>
                        </pic:nvPicPr>
                        <pic:blipFill>
                          <a:blip r:embed="rId79"/>
                          <a:stretch>
                            <a:fillRect/>
                          </a:stretch>
                        </pic:blipFill>
                        <pic:spPr>
                          <a:xfrm>
                            <a:off x="0" y="0"/>
                            <a:ext cx="1694815" cy="899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5"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可编程电子积木动力主题拓展包</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用于STEAM创客教育、机器人编程、人工智能应用动力主题拓展包，为课堂PBL项目式学习及造物、智能制造提供传感器。该主题拓展包专注于动力课程学习、与常规授课套件结合使用，一体式包装，便于收纳管理。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1、配套Scratch图形化编程软件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①.针对中小学生课堂编程，基于开源图形化编程软件Scratch2.0深度拓展研发出Scrtach编程软件、增加了兼容电子模块板块，大大增加了课堂编程的丰富性及趣味性。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②.可同时接入多个主控设备，通过扫描选择任意一个进行编程，并提供传感器模块可实现实时获取硬件接入。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③.支持蓝牙无线远程连接，USB数据线连接等多种编程连接方式。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双重模式，Scratch联机编程与Arduino离线模式同时支持；Arduino模式下，图形模块能同步生产Arduino代码指令。</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④、支持Windoes、Linux、Mac、树莓派等多种系统平台。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⑤、内置人工智能语音识别系统，在联网环境下可编程实现语音控制。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2、套装尺寸：长宽高尺寸不超过250*190*80mm。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3、电子模块及配件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①.电子积木至少6个：控制器×1、反射光传感器×2、伺服电机控制器×1、大型私服电机×2。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②.电子积木外壳使用ABS环保塑料，使用不同颜色外壳标记，模块功能分类，色彩清新，安全耐用。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③.配件至少10个：电子积木数据线×6、充电/数据线×1、电源适配器×1、伺服电机连接线×2。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4、课程：包含动力主体课程12课时。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5、主控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①、基于Arduino328深度开发、主频16MHz；</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②、内置蓝牙模块，支持蓝牙、串口双连接方式；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③、支持在线编程以及离线烧录双模式；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④、内置1400mA大容量电池，可重复使用；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⑤、包含6个统一的MiniUSB易插拔功能扩展接口，所有功能模块采用统一的5线MiniUSB接口与主控设备连接，每个接口都包含数字、模拟、PWM和I2C功能；可连接任意模块。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6、伺服电机控制器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①、伺服电机控制器包含4个伺服电机接口，可同时操控4个伺服电机；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②、通过水晶头连接线连接，可用基于Scratch的图形化编程程序控制；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③、内置1400hA锂电池，可重复使用，负责伺服电机工作供电，保证动力充足；</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22860</wp:posOffset>
                  </wp:positionH>
                  <wp:positionV relativeFrom="paragraph">
                    <wp:posOffset>144145</wp:posOffset>
                  </wp:positionV>
                  <wp:extent cx="1641475" cy="1120775"/>
                  <wp:effectExtent l="0" t="0" r="0" b="0"/>
                  <wp:wrapNone/>
                  <wp:docPr id="76" name="图片_21"/>
                  <wp:cNvGraphicFramePr/>
                  <a:graphic xmlns:a="http://schemas.openxmlformats.org/drawingml/2006/main">
                    <a:graphicData uri="http://schemas.openxmlformats.org/drawingml/2006/picture">
                      <pic:pic xmlns:pic="http://schemas.openxmlformats.org/drawingml/2006/picture">
                        <pic:nvPicPr>
                          <pic:cNvPr id="76" name="图片_21"/>
                          <pic:cNvPicPr/>
                        </pic:nvPicPr>
                        <pic:blipFill>
                          <a:blip r:embed="rId80"/>
                          <a:stretch>
                            <a:fillRect/>
                          </a:stretch>
                        </pic:blipFill>
                        <pic:spPr>
                          <a:xfrm>
                            <a:off x="0" y="0"/>
                            <a:ext cx="1641475" cy="1120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可编程电子积木物联网主题拓展包</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用于STEAM创客教育、机器人编程、人工智能应用动力主题拓展包，为课堂PBL项目式学习及造物、智能制造提供传感器。主题拓展包专注于物联网课程学习、与常规授课套件结合使用，一体式包装，便于收纳管理。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1、配套图形化编程软件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①.针对中小学生课堂编程，基于开源图形化编程软件Scratch2.0深度拓展研发出编程软件、增加了兼容电子模块板块，大大增加了课堂编程的丰富性及趣味性。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②.可同时接入多个主控设备，通过扫描选择任意一个进行编程，并提供传感器模块可实现实时获取硬件接入。</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③.支持蓝牙无线远程连接，USB数据线连接等多种编程连接方式。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双重模式，Scratch联机编程与Arduino离线模式同时支持；Arduino模式下，图形模块能同步生产Arduino代码指令。</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④、支持Windoes、Linux、Mac、树莓派等多种系统平台。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⑤、内置人工智能语音识别系统，在联网环境下可编程实现语音控制。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2、套装尺寸：长宽高尺寸不超过250*190*80mm。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3、电子模块及配件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①.电子积木至少11个：控制器×1、2.4G无线模块×2、电容触摸传感器×1、温湿度传感器×1、LED灯×4、RGB全彩灯×2。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②.电子积木外壳使用ABS环保塑料，使用不同颜色外壳标记，模块功能分类，色彩清新，安全耐用。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③.配件至少8个：电子积木数据线×6、充电/数据线×1、电源适配器×1。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4、课程：包含物联网学习课程18课时。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5、主控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①、基于Arduino328深度开发、主频16MHz；</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②、内置蓝牙模块，支持蓝牙、串口双连接方式；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③、支持在线编程以及离线烧录双模式；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④、内置1400mA大容量电池，可重复使用；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⑤、包含6个统一的MiniUSB易插拔功能扩展接口，所有功能模块采用统一的5线MiniUSB接口与主控设备连接，每个接口都包含数字、模拟、PWM和I2C功能；可连接任意模块。</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224790</wp:posOffset>
                  </wp:positionH>
                  <wp:positionV relativeFrom="paragraph">
                    <wp:posOffset>1863090</wp:posOffset>
                  </wp:positionV>
                  <wp:extent cx="1135380" cy="1699260"/>
                  <wp:effectExtent l="0" t="0" r="7620" b="7620"/>
                  <wp:wrapNone/>
                  <wp:docPr id="77" name="图片_1"/>
                  <wp:cNvGraphicFramePr/>
                  <a:graphic xmlns:a="http://schemas.openxmlformats.org/drawingml/2006/main">
                    <a:graphicData uri="http://schemas.openxmlformats.org/drawingml/2006/picture">
                      <pic:pic xmlns:pic="http://schemas.openxmlformats.org/drawingml/2006/picture">
                        <pic:nvPicPr>
                          <pic:cNvPr id="77" name="图片_1"/>
                          <pic:cNvPicPr/>
                        </pic:nvPicPr>
                        <pic:blipFill>
                          <a:blip r:embed="rId81"/>
                          <a:stretch>
                            <a:fillRect/>
                          </a:stretch>
                        </pic:blipFill>
                        <pic:spPr>
                          <a:xfrm>
                            <a:off x="0" y="0"/>
                            <a:ext cx="1135380" cy="169926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15240</wp:posOffset>
                  </wp:positionH>
                  <wp:positionV relativeFrom="paragraph">
                    <wp:posOffset>800100</wp:posOffset>
                  </wp:positionV>
                  <wp:extent cx="1626235" cy="914400"/>
                  <wp:effectExtent l="0" t="0" r="4445" b="0"/>
                  <wp:wrapNone/>
                  <wp:docPr id="78" name="图片_29"/>
                  <wp:cNvGraphicFramePr/>
                  <a:graphic xmlns:a="http://schemas.openxmlformats.org/drawingml/2006/main">
                    <a:graphicData uri="http://schemas.openxmlformats.org/drawingml/2006/picture">
                      <pic:pic xmlns:pic="http://schemas.openxmlformats.org/drawingml/2006/picture">
                        <pic:nvPicPr>
                          <pic:cNvPr id="78" name="图片_29"/>
                          <pic:cNvPicPr/>
                        </pic:nvPicPr>
                        <pic:blipFill>
                          <a:blip r:embed="rId82"/>
                          <a:stretch>
                            <a:fillRect/>
                          </a:stretch>
                        </pic:blipFill>
                        <pic:spPr>
                          <a:xfrm>
                            <a:off x="0" y="0"/>
                            <a:ext cx="1626235" cy="9144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4"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1188"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创客Steam编程配套教材，包含了"动画与互动"、"传感器世界"、"Arduino编程"三个章节，每章节5~7课不等，课程排布由简入繁，包含了：进入Scratch的世界、飞舞的蝴蝶、神奇的魔法师、迷宫游戏、计算的乐趣、画梅花、贪吃的小老鼠、控制LED灯、交通灯、电子温度计、音乐贺卡、噪声测试仪、植物补光灯、疯狂弹球、游戏手柄、进入Arduino的世界、智能声光控灯、抢答器、呼救车警报在内的20个课程</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本</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6320" w:type="dxa"/>
            <w:gridSpan w:val="4"/>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7950835</wp:posOffset>
                  </wp:positionH>
                  <wp:positionV relativeFrom="paragraph">
                    <wp:posOffset>238760</wp:posOffset>
                  </wp:positionV>
                  <wp:extent cx="975360" cy="937260"/>
                  <wp:effectExtent l="0" t="0" r="0" b="7620"/>
                  <wp:wrapNone/>
                  <wp:docPr id="79" name="图片_1_SpCnt_1"/>
                  <wp:cNvGraphicFramePr/>
                  <a:graphic xmlns:a="http://schemas.openxmlformats.org/drawingml/2006/main">
                    <a:graphicData uri="http://schemas.openxmlformats.org/drawingml/2006/picture">
                      <pic:pic xmlns:pic="http://schemas.openxmlformats.org/drawingml/2006/picture">
                        <pic:nvPicPr>
                          <pic:cNvPr id="79" name="图片_1_SpCnt_1"/>
                          <pic:cNvPicPr/>
                        </pic:nvPicPr>
                        <pic:blipFill>
                          <a:blip r:embed="rId83"/>
                          <a:stretch>
                            <a:fillRect/>
                          </a:stretch>
                        </pic:blipFill>
                        <pic:spPr>
                          <a:xfrm>
                            <a:off x="0" y="0"/>
                            <a:ext cx="975360" cy="937260"/>
                          </a:xfrm>
                          <a:prstGeom prst="rect">
                            <a:avLst/>
                          </a:prstGeom>
                          <a:noFill/>
                          <a:ln>
                            <a:noFill/>
                          </a:ln>
                        </pic:spPr>
                      </pic:pic>
                    </a:graphicData>
                  </a:graphic>
                </wp:anchor>
              </w:drawing>
            </w:r>
            <w:r>
              <w:rPr>
                <w:rFonts w:hint="eastAsia" w:ascii="仿宋" w:hAnsi="仿宋" w:eastAsia="仿宋" w:cs="仿宋"/>
                <w:b/>
                <w:i w:val="0"/>
                <w:color w:val="000000"/>
                <w:kern w:val="0"/>
                <w:sz w:val="24"/>
                <w:szCs w:val="24"/>
                <w:u w:val="none"/>
                <w:lang w:val="en-US" w:eastAsia="zh-CN" w:bidi="ar"/>
              </w:rPr>
              <w:t>3D打印</w:t>
            </w:r>
          </w:p>
        </w:tc>
        <w:tc>
          <w:tcPr>
            <w:tcW w:w="473" w:type="dxa"/>
            <w:gridSpan w:val="2"/>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bdr w:val="single" w:color="000000" w:sz="4" w:space="0"/>
                <w:lang w:val="en-US" w:eastAsia="zh-CN" w:bidi="ar"/>
              </w:rPr>
            </w:pPr>
          </w:p>
        </w:tc>
        <w:tc>
          <w:tcPr>
            <w:tcW w:w="461" w:type="dxa"/>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bdr w:val="single" w:color="000000" w:sz="4" w:space="0"/>
                <w:lang w:val="en-US" w:eastAsia="zh-CN" w:bidi="ar"/>
              </w:rPr>
            </w:pPr>
          </w:p>
        </w:tc>
        <w:tc>
          <w:tcPr>
            <w:tcW w:w="1785" w:type="dxa"/>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3D打印机</w:t>
            </w:r>
          </w:p>
        </w:tc>
        <w:tc>
          <w:tcPr>
            <w:tcW w:w="4464" w:type="dxa"/>
            <w:noWrap w:val="0"/>
            <w:tcMar>
              <w:top w:w="12" w:type="dxa"/>
              <w:left w:w="12" w:type="dxa"/>
              <w:right w:w="12" w:type="dxa"/>
            </w:tcMar>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1、打印尺寸：≥228*228*258mm（长*宽*高）,设备尺寸：≤400*400*475mm；</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2、打印的材料：支持市面主流的FDM打印耗材，如PLA、TPU、ABS、碳纤维等；</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3、打印机喷嘴：</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3.1、采用纯铜材质喷嘴，内壁光滑，能有效减少机器堵头情况的发生；</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3.2、机器出厂标配0.4mm喷嘴，可更换其他大小尺寸的喷嘴，如0.2、0.3、0.6等型号喷嘴，满足各类打印需求。</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4、打印速度：≤200mm/s，采用的是上市公司提供的优质步进电机，保证在高速打印的情况不丢步，性能可靠，让模型在快速以及高质量的情况的完美打印；</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5、机身结构：</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5.1机身采用的是2mm全钢板无缝焊机工艺，机身采用的是2mm全钢板无缝焊机工艺，机壳钣金,磨砂喷漆工艺，防止爆漆。（机身采用全钢结构，更加稳固，可有效降低机器打印时的震动与共振，使打印精度更高）；</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5.2、领先的十字架的打印结构设计也保证了打印的稳定性，在打印高的模型的时候不容易出现晃动；</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5.3、采用日本进口光轴，光轴精度可以达到0.1mm，硬件上面就保证了高质量的打印；</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5.4、采用同步带，耐磨性优于普通的皮带50%,提高了机器的使用寿命；</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5.5、近端送料，可以打印TPU等软料耗材；</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6、主板采用进口超静音TMC驱动，打印时声音小于50分贝，不影响课堂使用环境；</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7、操作界面：</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7.1、3.5英寸触摸屏让操作更加的顺手灵敏，让使用更加方便，同时也能实现中英文语言切换，满足各人群的需求。</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7.2、3.5寸彩色的操作界面让机器不死板，符合现代人的审美观；</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8、打印连接方式：支持U盘或SD卡脱机打印（不连电脑）和联机打印（连电脑），以及WiFi连接控制。脱机打印可让一台电脑对应多台打印机，满足教学的需求，避免需要多台电脑造成不必要的浪费；</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9、设备能实现打印完自动关机，在打印完成后自动给主板断电，实现安全打印；</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10、机器采用内置“明纬”电源，安全可靠为机器提供能量，实现长时间打印无压力，安全打印。</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11、喷嘴快拆、喷头快拆（模块化设计，便携拆装，有利于快速拆装机器）；</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12、一体式加热热床，热床最高可加热至110℃，可以打印ABS等特殊耗材；</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13、具有断料检测的功能，在机器缺料的情况下自动停止打印，人为的续接耗材上去的情况下可以继续之前的模型打印，让模型不浪费；</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14、断电续打：打印过程中断电后，不借助外部电源，在不拔卡等人为干扰机器的情况下，来电后可继续打印；</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15、加热异常保护：智能监控，若发生加热异常，机器会自动停机，杜绝意外发生；</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16、可以通过云平台控制机器打印，可监控打印以及手机操作停止打印；</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17、机械定位精度：Z轴0.0025mm、X/Y轴0.011mm</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18、打印模型精度：±0.1；</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19、机器自带LED灯带，方便在夜间查看打印状态；</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20、采用亚克力透明的门，并且前门可开启，既有安全保护的作用，又方便观察打印过程；</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4"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3D打印耗材</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PLA1.75环保打印材料，</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有多种颜色选择</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PLA主材，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含量高于95%</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打印丝净重（不含料盘）1000g±2%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丝径（mm）：1.75±0.02（每米抽检）</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且1.75±0.10（全检）</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收卷均匀，无自缠绕情况发生</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卷</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91440</wp:posOffset>
                  </wp:positionH>
                  <wp:positionV relativeFrom="paragraph">
                    <wp:posOffset>136525</wp:posOffset>
                  </wp:positionV>
                  <wp:extent cx="1318260" cy="617855"/>
                  <wp:effectExtent l="0" t="0" r="7620" b="6985"/>
                  <wp:wrapNone/>
                  <wp:docPr id="80" name="图片_5"/>
                  <wp:cNvGraphicFramePr/>
                  <a:graphic xmlns:a="http://schemas.openxmlformats.org/drawingml/2006/main">
                    <a:graphicData uri="http://schemas.openxmlformats.org/drawingml/2006/picture">
                      <pic:pic xmlns:pic="http://schemas.openxmlformats.org/drawingml/2006/picture">
                        <pic:nvPicPr>
                          <pic:cNvPr id="80" name="图片_5"/>
                          <pic:cNvPicPr/>
                        </pic:nvPicPr>
                        <pic:blipFill>
                          <a:blip r:embed="rId84"/>
                          <a:stretch>
                            <a:fillRect/>
                          </a:stretch>
                        </pic:blipFill>
                        <pic:spPr>
                          <a:xfrm>
                            <a:off x="0" y="0"/>
                            <a:ext cx="1318260" cy="6178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2"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青少年3D创新设计软件</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支持导入2D图片建模、文字建模、自定义绘制图形建模等多种建模方式；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支持操作系统自带全部字体的3D文字建模，并自动支持用户安装在操作系统下的扩展字体；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支持对导入图片的距离测量、对齐、复制、旋转、镜像、缩放等操作功能；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支持照片、图片、文字一键式3D透光浮雕建模技术。独有回转体曲面浮雕生成技术；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★支持单张2D照片自动合成3D人像功能，合成时间少于90秒。支持交互式3D人像变形设计，支持五官、表情、年龄、配饰、角色、发型、肤色等多种交互式快速设计功能；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支持积木堆叠式建模，10种以上基础模块形状，自由度更高。支持材质颜色，自带常用材质基础模块；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超过10个大类，逾700件各类高质量3D打印模型，支持实时3D预览；</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支持参数化积木建模，可数字化定义积木形状、尺寸，并进行组合建模；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支持自有定义工作平面，绘制简易草图，支持基于草图的剪切、拉伸、旋转等高级建模功能；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支持导入图片进行建模，支持文字输入建模；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支持3D模型的缩放、旋转、坐标变换、删除、复制、叠加复制、镜像、阵列、对齐、布尔运算以及取消布尔运算；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支持对工作平面的修改以及还原；</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支持3D数字雕刻建模，自由塑形，适用于设计3D艺术模型；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支持常用的雕刻功能：笔刷、膨胀、扭曲、平滑、抹平、夹捏、皱褶、拖拉以及涂绘等；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支持内置球体、方块、圆柱、圆环等常用雕刻基础模型，也可从外部导入STL/OBJ模型作为雕刻基础模型；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支持雕刻功能可以设置半径大小，可以添加对称约束；涂绘功能可以自由选择颜色；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内置至少八种以上的常用材质球，可以导入图片自定义材质球；</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支持全参数化编程交互方式的3D模型设计，支持2D图形（内置包含圆、椭圆、矩形、正多边形、2D函数等常用图形）、3D模型（内置包含球体、长方体、圆柱/圆台/圆锥、正棱柱/正棱台/正棱锥、圆环、圆管、齿轮、3D函数等常用模型）、2D/3D文字、2D/3D函数、布尔运算、凸壳处理、平移与缩放、镜像与旋转变换、2D图形的平直与扭曲等多种拉伸造型以及旋转造型、数学运算与函数、逻辑与循环控制、自定义变量和模块等参数化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软件内置各模块使用视频案例，可直接打开播放；</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785" w:type="dxa"/>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3"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课程配套</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课程名称：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共分为：1.操作界面 2.3D 打印“订制”个性浮雕照片 3.挤牙膏神器 4.3D 打印盛蛋器 5.3D 打印牙刷架 6.旋转陀螺等不少于六个大章节，32节小课。</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7254" w:type="dxa"/>
            <w:gridSpan w:val="7"/>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机器人</w:t>
            </w:r>
          </w:p>
        </w:tc>
        <w:tc>
          <w:tcPr>
            <w:tcW w:w="1785" w:type="dxa"/>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机器人套装</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课程专为小学教学设计，包含包括行为规范篇、安全教育篇、互动学习篇、趣味编程篇，用场景应用和体验互动的教育方式，更加容易让低年龄段孩子接受，丰富孩子对未来科技的无限遐想，为人工智能编程教育打下良好基础。</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1、体型参数：尺寸346mm*224mm*118mm；重量1.54kg；材质为铝合金和PC/ABS塑胶。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★2、核心配置：群体控制数量 ≥50；内置至少两种步态，行走速度不小于10厘米每秒，经调试后不小于15厘米每秒；支持侧翻滚、大鹏展翅等高难度动作，支持舞蹈、足球、拳击等动作。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★3、控制器：处理器采用STM32-F103，搭载1G储存卡，支持无线通信手柄，支持MPU6050姿态检测，带有16路过载保护，防夹手设计；★4、控制方法：蓝牙Bluetooth 4.0，支持2.4G群控。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★5、语音交互：支持联网对话功能，联网环境下支持个性语音情绪、百科知识问答，支持语音控制机器人跳舞等功能。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6、按键与端口 ：内置USB和充电接口，电源键在机器人背部。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7、LED灯 ：头部LED灯、胸部LED灯、按键LED灯。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★8、传感器：内置触摸传感器，对外界触碰有反应，内置陀螺仪，机器人摔倒后可自行站立。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9、电池/续航：7.4V，容量2200mAH，持续运行时间不低于60分钟，充电时可使用。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10、兼容平台：移动端支持Android和iOS系统；PC端支持图形化动作编程。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★11、可使用手柄远程遥控和群控，遥控距离约15米。尺寸为157mm*101mm*62mm，2.4G无线规格，可自行修改信道。1.3寸蓝字OLED显示屏，按键包含2个摇杆、16个按键。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★12、PC端使用简化版软件，支持可视化、图形化编程。可通过软件自定义编辑机器人动作，完成快走、滚翻、单脚站立、倒立、俯卧撑等任务。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★13、手机端使用控制APP和编程APP。控制APP支持手机遥控机器人运动和为机器人配置网络交互；编程APP支持Blockly积木编程。 </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FF0000"/>
                <w:sz w:val="24"/>
                <w:szCs w:val="24"/>
                <w:u w:val="none"/>
              </w:rPr>
            </w:pPr>
            <w:r>
              <w:rPr>
                <w:rFonts w:hint="eastAsia" w:ascii="仿宋" w:hAnsi="仿宋" w:eastAsia="仿宋" w:cs="仿宋"/>
                <w:i w:val="0"/>
                <w:color w:val="FF0000"/>
                <w:kern w:val="0"/>
                <w:sz w:val="24"/>
                <w:szCs w:val="24"/>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480060</wp:posOffset>
                  </wp:positionH>
                  <wp:positionV relativeFrom="paragraph">
                    <wp:posOffset>426720</wp:posOffset>
                  </wp:positionV>
                  <wp:extent cx="746760" cy="845185"/>
                  <wp:effectExtent l="0" t="0" r="0" b="8255"/>
                  <wp:wrapNone/>
                  <wp:docPr id="81" name="图片_6"/>
                  <wp:cNvGraphicFramePr/>
                  <a:graphic xmlns:a="http://schemas.openxmlformats.org/drawingml/2006/main">
                    <a:graphicData uri="http://schemas.openxmlformats.org/drawingml/2006/picture">
                      <pic:pic xmlns:pic="http://schemas.openxmlformats.org/drawingml/2006/picture">
                        <pic:nvPicPr>
                          <pic:cNvPr id="81" name="图片_6"/>
                          <pic:cNvPicPr/>
                        </pic:nvPicPr>
                        <pic:blipFill>
                          <a:blip r:embed="rId85"/>
                          <a:stretch>
                            <a:fillRect/>
                          </a:stretch>
                        </pic:blipFill>
                        <pic:spPr>
                          <a:xfrm>
                            <a:off x="0" y="0"/>
                            <a:ext cx="746760" cy="845185"/>
                          </a:xfrm>
                          <a:prstGeom prst="rect">
                            <a:avLst/>
                          </a:prstGeom>
                          <a:noFill/>
                          <a:ln>
                            <a:noFill/>
                          </a:ln>
                        </pic:spPr>
                      </pic:pic>
                    </a:graphicData>
                  </a:graphic>
                </wp:anchor>
              </w:drawing>
            </w:r>
            <w:r>
              <w:rPr>
                <w:rFonts w:hint="eastAsia" w:ascii="仿宋" w:hAnsi="仿宋" w:eastAsia="仿宋" w:cs="仿宋"/>
                <w:i w:val="0"/>
                <w:color w:val="FF0000"/>
                <w:kern w:val="0"/>
                <w:sz w:val="24"/>
                <w:szCs w:val="24"/>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495300</wp:posOffset>
                  </wp:positionH>
                  <wp:positionV relativeFrom="paragraph">
                    <wp:posOffset>2880360</wp:posOffset>
                  </wp:positionV>
                  <wp:extent cx="563880" cy="312420"/>
                  <wp:effectExtent l="0" t="0" r="0" b="7620"/>
                  <wp:wrapNone/>
                  <wp:docPr id="82" name="图片_8_SpCnt_1"/>
                  <wp:cNvGraphicFramePr/>
                  <a:graphic xmlns:a="http://schemas.openxmlformats.org/drawingml/2006/main">
                    <a:graphicData uri="http://schemas.openxmlformats.org/drawingml/2006/picture">
                      <pic:pic xmlns:pic="http://schemas.openxmlformats.org/drawingml/2006/picture">
                        <pic:nvPicPr>
                          <pic:cNvPr id="82" name="图片_8_SpCnt_1"/>
                          <pic:cNvPicPr/>
                        </pic:nvPicPr>
                        <pic:blipFill>
                          <a:blip r:embed="rId86"/>
                          <a:stretch>
                            <a:fillRect/>
                          </a:stretch>
                        </pic:blipFill>
                        <pic:spPr>
                          <a:xfrm>
                            <a:off x="0" y="0"/>
                            <a:ext cx="563880" cy="312420"/>
                          </a:xfrm>
                          <a:prstGeom prst="rect">
                            <a:avLst/>
                          </a:prstGeom>
                          <a:noFill/>
                          <a:ln>
                            <a:noFill/>
                          </a:ln>
                        </pic:spPr>
                      </pic:pic>
                    </a:graphicData>
                  </a:graphic>
                </wp:anchor>
              </w:drawing>
            </w:r>
            <w:r>
              <w:rPr>
                <w:rFonts w:hint="eastAsia" w:ascii="仿宋" w:hAnsi="仿宋" w:eastAsia="仿宋" w:cs="仿宋"/>
                <w:i w:val="0"/>
                <w:color w:val="FF0000"/>
                <w:kern w:val="0"/>
                <w:sz w:val="24"/>
                <w:szCs w:val="24"/>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541020</wp:posOffset>
                  </wp:positionH>
                  <wp:positionV relativeFrom="paragraph">
                    <wp:posOffset>1836420</wp:posOffset>
                  </wp:positionV>
                  <wp:extent cx="594360" cy="381000"/>
                  <wp:effectExtent l="0" t="0" r="0" b="0"/>
                  <wp:wrapNone/>
                  <wp:docPr id="83" name="图片_9"/>
                  <wp:cNvGraphicFramePr/>
                  <a:graphic xmlns:a="http://schemas.openxmlformats.org/drawingml/2006/main">
                    <a:graphicData uri="http://schemas.openxmlformats.org/drawingml/2006/picture">
                      <pic:pic xmlns:pic="http://schemas.openxmlformats.org/drawingml/2006/picture">
                        <pic:nvPicPr>
                          <pic:cNvPr id="83" name="图片_9"/>
                          <pic:cNvPicPr/>
                        </pic:nvPicPr>
                        <pic:blipFill>
                          <a:blip r:embed="rId87"/>
                          <a:stretch>
                            <a:fillRect/>
                          </a:stretch>
                        </pic:blipFill>
                        <pic:spPr>
                          <a:xfrm>
                            <a:off x="0" y="0"/>
                            <a:ext cx="594360" cy="381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atLeast"/>
        </w:trPr>
        <w:tc>
          <w:tcPr>
            <w:tcW w:w="6320" w:type="dxa"/>
            <w:gridSpan w:val="4"/>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电脑</w:t>
            </w:r>
          </w:p>
        </w:tc>
        <w:tc>
          <w:tcPr>
            <w:tcW w:w="473" w:type="dxa"/>
            <w:gridSpan w:val="2"/>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c>
          <w:tcPr>
            <w:tcW w:w="461" w:type="dxa"/>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c>
          <w:tcPr>
            <w:tcW w:w="1785" w:type="dxa"/>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3"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一体式电脑</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主板：intel i5-4590+4G-DDR3+128G固态硬盘+500G 机械硬盘，一键开关，21.5寸友达全视角液晶屏 分辨率：1920*1080 .  电源适配器，白色塑料壳 ，五金底座，智能温控风扇，2.0USB*2+3.0 USB*4     intel 双频wifi +音响+有线键鼠  整机工厂保修1年， 工厂拥有3C证书,能效证书。</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182880</wp:posOffset>
                  </wp:positionH>
                  <wp:positionV relativeFrom="paragraph">
                    <wp:posOffset>30480</wp:posOffset>
                  </wp:positionV>
                  <wp:extent cx="1127760" cy="837565"/>
                  <wp:effectExtent l="0" t="0" r="0" b="635"/>
                  <wp:wrapNone/>
                  <wp:docPr id="84" name="Picture_1283"/>
                  <wp:cNvGraphicFramePr/>
                  <a:graphic xmlns:a="http://schemas.openxmlformats.org/drawingml/2006/main">
                    <a:graphicData uri="http://schemas.openxmlformats.org/drawingml/2006/picture">
                      <pic:pic xmlns:pic="http://schemas.openxmlformats.org/drawingml/2006/picture">
                        <pic:nvPicPr>
                          <pic:cNvPr id="84" name="Picture_1283"/>
                          <pic:cNvPicPr/>
                        </pic:nvPicPr>
                        <pic:blipFill>
                          <a:blip r:embed="rId88"/>
                          <a:stretch>
                            <a:fillRect/>
                          </a:stretch>
                        </pic:blipFill>
                        <pic:spPr>
                          <a:xfrm>
                            <a:off x="0" y="0"/>
                            <a:ext cx="1127760" cy="8375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8"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1188" w:type="dxa"/>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sz w:val="24"/>
                <w:szCs w:val="24"/>
                <w:u w:val="none"/>
                <w:lang w:val="en-US" w:eastAsia="zh-CN"/>
              </w:rPr>
              <w:t>大屏</w:t>
            </w:r>
          </w:p>
        </w:tc>
        <w:tc>
          <w:tcPr>
            <w:tcW w:w="4464" w:type="dxa"/>
            <w:noWrap w:val="0"/>
            <w:tcMar>
              <w:top w:w="12" w:type="dxa"/>
              <w:left w:w="12" w:type="dxa"/>
              <w:right w:w="12" w:type="dxa"/>
            </w:tcMar>
            <w:vAlign w:val="center"/>
          </w:tcPr>
          <w:p>
            <w:pPr>
              <w:keepNext w:val="0"/>
              <w:keepLines w:val="0"/>
              <w:widowControl/>
              <w:numPr>
                <w:ilvl w:val="0"/>
                <w:numId w:val="21"/>
              </w:numPr>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整机结构要求：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1、显示尺寸：≥65英寸,采用LED背光源A规屏。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2、显示比例：16:9；可视角度：≥178度。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3、整机采用铝合金外框（不接受非金属材质结构面框），边角采用圆弧设计，表面无尖锐边缘或突起，后散热设计，背面具备安全散热孔。</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4、整机具有防撞防划防眩光钢化玻璃，硬度达到7级或以上，透光率≥95%，以保护液晶显示屏的安全。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5、整机开关键可设置为电视开关、电脑开关、节能待机三键合一，在节能待机状态下可节约能耗90%或以上。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整机前置物理按键≥8个，可实现一键节能待机，一键关闭/开启电脑，一键进Android主页，一键调整音量加减，一键调出功能菜单，一键调出信号源，一键关闭/开启电视电脑；为了保证触摸失灵情况下以上功能正常使用，必须采取物理按键方式实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7、★整机前置接口≥6个，且必须有HDMI、VGA、Audio、PC-USB3.0、TV-USB2.0、TOUCH USB（为方便外接设备，不接受用侧边VGA、HDMI代替前置接口）。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8、输入接口（不含前置）：HDMI≥1、VGA≥1、AUDIO≥1、YPbPr≥1、AV≥2、RF≥1、Mic≥1、RS232≥1、USB≥2、TOUCH USB≥1；输出接口：SPDIF≥1、VGA≥1、AV≥1、earphone≥1。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9、整机两侧边框无丝印图标快捷键,防止老师误碰,影响教学活动,方便后期升级维护。</w:t>
            </w:r>
          </w:p>
          <w:p>
            <w:pPr>
              <w:keepNext w:val="0"/>
              <w:keepLines w:val="0"/>
              <w:widowControl/>
              <w:numPr>
                <w:ilvl w:val="0"/>
                <w:numId w:val="0"/>
              </w:numPr>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二、触摸系统要求：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1、支持安卓系统以及windows系统下免安装驱动，支持十点同时书写。</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2、嵌入式红外触摸感应书写，支持≥2mm的任何非透明物体在屏幕上直接书写。</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3、整机摸有效识别高度小于3 mm,，触摸物体距离玻璃外表面高度低于3 mm时，触摸屏识别为点击操作，保证触摸精准。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三、功能要求: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1、嵌入式安卓（Android）5.1或以上系统,支持在安卓系统下能够实现白板书写、Office软件使用、媒体播放、网页浏览等功能。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2、在嵌入式白板或批注状态下，需具有拳头或手掌手势识别板擦功能，且能够实现根据接触面积识别板擦的大小。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3、整机具有温度监控保护功能，可实时监测整机温度值，并可在主页上显示温度情况，能够根据温度变化显示不同的颜色以提示用户温度情况。</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4、遥控器具备电视遥控功能和电脑键盘常用的F1-F12功能键、Windows等快捷按键，可实现一键开启白板软件、PPT上下翻页、一键锁定/解锁触摸及实体按键、一键黑屏、一键截屏、一键冻结屏、一键查看温度等功能。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5、在嵌入式安卓操作系统下，能对TV多媒体USB所读取到的课件文件进行自动归类，可快速分类查找文档、音乐、视频、图片等文件，检索后可直接在界面中打开。</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6、具备单独听功能，在黑屏的状态下，可以正常输出音频内容。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7、当信号源切换后，切换后的信号源状态如果切断或处于无信号状态下，信号源可自动返回上一通道。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8、当整机处于无信号状态时，支持五分钟无操作自动关机。当整机处于有信号状态下，支持五分钟无操作自动节能，轻敲屏幕即可唤醒。</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9、整机支持信号源通道重新命名功能且命名后通道切换正常，方便老师识别。</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10、定时开关机，整机可以设定（每天、周一至周五、周一至周六、周六至周日、仅周日、仅一次等）不同开关机时段，根据不同的教学场景来设定不同时段的开关机时间，可实现最大程度的节能环保。</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11、★具备4个或以上信源通道画面预览，其显示画面可设置任意通道的预览画面，点击预览画面即可进入设置的信号源通道。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12、★产品外接电脑时，可自动识别信号源，并且可供用户5秒选择“是/否”切换输入信号源画面，不接受强制切换。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13、★整机必须具有自定义密码方式，不接受无密码方式触摸解锁，以有效保护老师教学内容。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14、整机侧拉菜单具有一键系统更新升级以及一键恢复出厂设置功能，方便系统维护更新。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15、★整机具有双触控菜单，通过手势从屏幕右侧调出具有通用设置、声音设置、图像设置、智能设置、网络设置等，通过屏幕下方任意位置调出具有返回、菜单、白板、全通道批注、截图、自定义键等功能操作，以满足教学常态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16、★整机在任意通道下调出智能菜单设置，包括：智能识别、节能开关、感光、护眼、智能返回、无信号待机、定时开关机等操作，方便老师教学。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17、★整机须具有设置菜单栏显示时间，触摸菜单调出后，可设置5S、10S、15S、20S、25S显示后可自动隐藏，无须手动隐藏。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18、★整机在任意通道下，可通过下方任意位置调出安卓主页以及软件运行任务，以保证安卓系统最佳运行状态。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四、内置电脑配置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1、电脑主板H110或以上，CPU不低于Intel  Core I5，主频≥3.0 Hz，内存≥4G，硬盘≥500G。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2、模块化OPS主机采用插拔式结构，内部Inter标准80pin接口，无任何外接电源线和信号线，方便检测维护。</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3、输入：USB接口≥6，其中USB3.0接口≥2；输出：HDMI≥1，VGA≥1，RS232≥1，RJ45≥1，且须具有WI-FI模块，蓝牙。                                                            </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67945</wp:posOffset>
                  </wp:positionH>
                  <wp:positionV relativeFrom="paragraph">
                    <wp:posOffset>83820</wp:posOffset>
                  </wp:positionV>
                  <wp:extent cx="1611630" cy="807720"/>
                  <wp:effectExtent l="0" t="0" r="3810" b="0"/>
                  <wp:wrapNone/>
                  <wp:docPr id="85" name="图片_12"/>
                  <wp:cNvGraphicFramePr/>
                  <a:graphic xmlns:a="http://schemas.openxmlformats.org/drawingml/2006/main">
                    <a:graphicData uri="http://schemas.openxmlformats.org/drawingml/2006/picture">
                      <pic:pic xmlns:pic="http://schemas.openxmlformats.org/drawingml/2006/picture">
                        <pic:nvPicPr>
                          <pic:cNvPr id="85" name="图片_12"/>
                          <pic:cNvPicPr/>
                        </pic:nvPicPr>
                        <pic:blipFill>
                          <a:blip r:embed="rId89"/>
                          <a:stretch>
                            <a:fillRect/>
                          </a:stretch>
                        </pic:blipFill>
                        <pic:spPr>
                          <a:xfrm>
                            <a:off x="0" y="0"/>
                            <a:ext cx="1611630" cy="8077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2"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1188" w:type="dxa"/>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sz w:val="24"/>
                <w:szCs w:val="24"/>
                <w:u w:val="none"/>
                <w:lang w:val="en-US" w:eastAsia="zh-CN"/>
              </w:rPr>
              <w:t>软件和资源</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（1）多点触控电子白板软件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1、支持点击打开软件图标即可使用，无需通过账号、扫描二维码等方式登录打开，避免影响老师教学。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2、工具栏采用扁平化带中文标识图标方式，易于识别，便于操作，分类清晰。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3、兼容Windows多点触摸协议，支持多人同时书写与擦除，书写轨迹流畅平滑。</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提供普通笔，排笔，软笔，纹理笔，荧光笔，智能笔，激光笔，魔术笔等多种功能书写笔，纹理笔可提供不少于十二种不同纹理图案以满足老师批注不同层次重点，魔术笔提供不少于十二种包括爱心、星星、月亮、动植物等图案增加教学趣味性，并提供同一界面中不同粗细，不同色彩，线形的设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5、软件能将书写内容保存为多个页面，并可通过漫游功能实现页面无边界扩展，可对页面进行增加，删除等编辑操作。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6、软件可控制展台捕获的动态图，可对展台图像拍照、录制、设置分辨率及调节焦距。</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7、提供直线、椭圆、圆形、矩形、三角形、多边形等形状用于绘图。</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8、提供数学画板功能，支持任意的平面和立体几何图形，函数的绘制，支持自定义函数参数和常数,支持三视图和透视图预览显示效果。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9、白板具有自定义密码锁定屏幕，保护教学内容不被破坏。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10、多屏书写：提供不少于三个背景模板，不少于分三屏书写，须同时具有边写边擦功能。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11、支持文本及全屏手写识别功能，可在页面上任意位置实现全屏手写识别功能，支持草书和模糊识别。</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12、提供屏幕锁、字幕播报、聚光灯、遮幕、闹钟、录制、计算器、放大镜、直尺，三角尺，圆规、量角器等常用教具。</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13、在软件文档中可直接打开PPT进行播放,提供PPT批注、擦除、翻页、预览、黑屏、同步播放音频、一键切换等功能,且可将标注内容直接保存到PPT文件中，不改变PPT格式。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（2）单机版教学资源软件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1、★单机点播，无需网络支持，包含了语文、数学、英语、物理、化学学科动漫教学课件，不小于18G。整个软件包含：课堂所需教学内容、课外所需内容、电子书籍、网络课堂等内容。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2、“课堂所需教学内容”根据教学大纲的要求，以教材内容为主体，具备“课本设置”功能对该栏目显示的课本进行年级、科目、版本等进行个性化设置。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3、“课外所需内容”包括了语文、数学、英语三个重要科目的基础学习资源，提供了科学的学习方法指导。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4、“电子书籍”提供多媒体学习的平台，包括故事、文学、益智、百科等形式的电子书，老师能够对各类中的电子书籍进行添加、删除等操作，实现文件的自我管理。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（3）无线互动教学系统</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1.软件使用环境要求必须在局域网环境下，可完全脱离英特网，并可用一般路由器、WiFi热点即可实现。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2.★软件需多语言支持，方便外教教师使用，支持的语言至少为：中文、英文、</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3.可通过移动设备远程控制电子白板、一体机、电脑等，实现鼠标移动、单击、双击、左右键等功能；也可打开文件并远端直接编辑文件。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无需连线，无需网络的情况下，教师即可在自己的平板上直接录制微课，做到“随时、随地”录微课；微课内容需包括课件内容、原笔迹板书、教师讲解视频、教师讲解语音。课件需支持视频、图片、pdf等数字媒体文件。微课格式需要为标准的流媒体格式，如mp4、flv等，方便网络传输、观看。微课录制完毕，可以一键回看，以便确认微课录制效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5.教师可以一键将课堂教学内容录制成标准的视频文件，包括黑板板书、大屏图像、课堂实况、教师语音等；方便学生课后复习及未能即时听课的学生听课使用。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6.★教师可以在移动设备上直接批注大屏内容，需支持视频动态批注。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7.★教师可将移动设备上PPT的文件直接在大屏上打开，无需拷贝文件至大屏电脑，并全屏播放，也可在移动设备端关闭全屏播放及关闭PPT文件。 教师可以通过手势左右滑动控制PPT上下翻页，也可以通过按键控制PPT上下翻页；移动设备端需有当前PPT全部页面的缩略图显示，大屏上不显示，教师可以通过选择缩略图页面快速将大屏PPT翻页至指定页面。PPT页面可以配合画笔功能，做到随时标注讲解；播放PPT时，无需退出PPT即穿插可播放音视频文件，方便教师讲课。PPT页面可以通过截图方式截取重点至画板中讲解，并可保存为课堂笔记。PPT页面如遇文字较小，可以配合放大镜功能，做到多级别放大，方便后排学生观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需具有移动展台功能，教师可方便将课本、试卷等实物通过移动设备拍照上传至大屏讲解，并需支持在移动端通过手势控制缩放、旋转、移动、剪切、标注、擦除等操作。且需要支持按键旋转、放大、缩小，简单易用，方便教师操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9.可以通过移动设备摄像头随时分享直播学生做题过程及实验情景，分享过程中，可选择是否录制。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10.可轻松播放移动设备上的所有教学文件，包括ppt、word、pdf、图片、音频、视频等，并可通过移动设备端控制播放，包括全屏、快进、快退、停止等。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11.需支持电子白板功能，具备铅笔、荧光笔、激光笔、魔法笔、排刷、图案刷等多种书写笔模式。需提供三角形、正方形、圆形、椭圆、多边形、平行线、箭头线、虚线等图形绘图工具。需可插入图片、PPT、word等文件进行讲解，并可直接保存为图片、pdf等文件。支持手势漫游、手势擦除、手势缩放等功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12.可以将移动设备的界面无线投屏至大屏，移动设备所有操作都可在大屏上显示。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13.可将移动设备端的文件无线上传电脑端指定文件夹内，也可将电脑端文件下载至移动设备端指定文件夹。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14.需支持鼠标指针大小、形状可选择设置，并可自定义鼠标形状，解决后排学生经常看不清鼠标指针的问题。</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15.具备基本辅助工具，包括荧光笔、聚光灯、放大镜等，荧光笔颜色、聚光灯大小及放大镜倍数通过移动设备端轻松可调。</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16.移动设备端软件可扫描二维码自动下载，并自动提示新版本升级或自动检查升级至最新版。</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17.移动设备端需支持Android、win8/10等平台。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（4）网络版教学资源软件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1、具备网络资源、校本资源、个人资源库，网络资源根据学段、科目、年级、教材版本分类呈现，方便检索查阅资源。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2、通用素材：分栏目展示各种背景透明的素材,提供多种检索方式，方便用户查阅所需的素材。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3、具备微课管理模块：主要分为上传微课、看过的微课、我的微课以及收藏的微课四个模块。用户可以通过这四个模块对自己的微课进行上传、编辑、收藏、删除等相关操作。</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4、具有仿真实验室，且能够明确分类实验目的、实验器材、实验步骤及注意事项。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5、我的资源库：用户可以上传资源到“我的资源库”。</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4"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1188" w:type="dxa"/>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sz w:val="24"/>
                <w:szCs w:val="24"/>
                <w:u w:val="none"/>
                <w:lang w:val="en-US" w:eastAsia="zh-CN"/>
              </w:rPr>
              <w:t>配件</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单套班班通所需电源线、网线、模块、面板、水晶头、线管线槽等</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批</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5"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1188" w:type="dxa"/>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sz w:val="24"/>
                <w:szCs w:val="24"/>
                <w:u w:val="none"/>
                <w:lang w:val="en-US" w:eastAsia="zh-CN"/>
              </w:rPr>
              <w:t>安装调试</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含：1个网点，1个电源点，班班通设备安装调试</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项</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7254" w:type="dxa"/>
            <w:gridSpan w:val="7"/>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激光切割</w:t>
            </w:r>
          </w:p>
        </w:tc>
        <w:tc>
          <w:tcPr>
            <w:tcW w:w="1785" w:type="dxa"/>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8"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激光切割机</w:t>
            </w:r>
          </w:p>
        </w:tc>
        <w:tc>
          <w:tcPr>
            <w:tcW w:w="4464" w:type="dxa"/>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 工作台面尺寸（长*宽）：60*40cm；2. 外形尺寸(长*宽*高) ：115*100*130cm；3. 支架：115*100*80cm；4. 重量：120kg；5. 机身：钢架机构，采用CNC加工焊接；6. 机身孔位：全部采用不锈钢螺丝；7. 激光头：轻型、高分辨率激光头；8. 分辨率：1000DPI；9. 激光管：二氧化碳激光管，最新型带催化剂涂层，光斑小，光束稳定；10. 激光功率：60W；11. 激光管寿命：4000小时；12. 激光管架：可调节高度激光管架；13. 自动聚焦：普通聚焦；14. 红光定位：普通红光；15. 升降平台：电机式升降工作台120mm；16. 台面：标配经过氧化的高密度蜂窝台面（需选配）；17. 显示面板：液晶显示面板；18. 可视工作窗口：采用激光防护材料所制作的大幅面可视工作窗口和LED灯条照明功能，便于观察整个加工切割过程；19. 旋转夹具：可选配普通旋转夹具，圆形材料表面雕刻切割；20. 导轨：自行研发的H级全封闭内滑高速导轨；21. 聚焦镜：2"聚焦镜；22. 指示器：红光指示器；23. 最大加速度：8000mm/s²；24. 最大雕刻速度 ：12000mm/min，整机雕刻切割速度可以达到72000mm/min；25. 最大切割速度：400mm/s @1mm 木板 ；26. 内存 ：2G；27. 计算机接口：采用高速DSP数字控制，USB接口、U盘直读、脱机/联机使用；28. 支持软件：支持田岛刺绣软件、RELDRAW、PHOTOSHOP、AUTOCAD、GERBER等所有与Windows兼容的矢量绘图软件。支持BPM、PLT、AI、DST、DXF、SVG等文件格式；29. 图层设置：用户可在激光软件里设置多个图层，给每个图层设置不同速度和功率，一步实现多种不同效果；30. 激光控制系统： "采用专业的DSP激光控制系统；S型加减速控制软件技术，可连续快速曲线切割及最短路径选择，确保动作迅捷平稳。自动光衰补偿技术，使不同切割部位达到理想效果，大幅提升工作效率。“31. 飞行光路系统：采用采用聚焦镜片,反射镜片。节省了激光在空气传播中的热损耗，寿命长，切割稳定。32. 皮带传动系统 全封闭防尘皮带传动系统，切割精度更高、抖动更小，防尘防磨损，切口平滑、切面直。33. 运动控制系统：高速伺服马达；34. 驱动系统：定制型配套步进电机及 JMC 驱动；35. 水冷系统：内置水冷系统；36. 抽风系统：内置抽风系统；37. 气泵：内置气泵；38. 内置WIFI； 38. 安全防护功能：断水保护系统，急停系统，开盖保护系统。配备高温探测报警器、强制水冷保护系统；水温安全控制系统；温控自动报警系统；激光触碰保护系统；工作舱打开自动开盖保护功能；光路封闭工作模式；工作状态信号灯。39. 智能控制卡：提示机器状态，节能，降噪；40. 智能功能：智能路径优化、图层自动吹气控制、工时估算、位置调整；41. 安全规格 "符合国家安全等级标准。"42. 质保 "整机免费质保1年；导轨保修3年；激光管、激光器、抽风机、水泵、气泵、水箱、气管、水管、抽风机等外设部件保修6个月；合束镜、聚焦镜和反射镜不保修。</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台</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92075</wp:posOffset>
                  </wp:positionH>
                  <wp:positionV relativeFrom="paragraph">
                    <wp:posOffset>1111250</wp:posOffset>
                  </wp:positionV>
                  <wp:extent cx="1725295" cy="1043940"/>
                  <wp:effectExtent l="0" t="0" r="0" b="0"/>
                  <wp:wrapNone/>
                  <wp:docPr id="86" name="图片_5_SpCnt_1"/>
                  <wp:cNvGraphicFramePr/>
                  <a:graphic xmlns:a="http://schemas.openxmlformats.org/drawingml/2006/main">
                    <a:graphicData uri="http://schemas.openxmlformats.org/drawingml/2006/picture">
                      <pic:pic xmlns:pic="http://schemas.openxmlformats.org/drawingml/2006/picture">
                        <pic:nvPicPr>
                          <pic:cNvPr id="86" name="图片_5_SpCnt_1"/>
                          <pic:cNvPicPr/>
                        </pic:nvPicPr>
                        <pic:blipFill>
                          <a:blip r:embed="rId90"/>
                          <a:stretch>
                            <a:fillRect/>
                          </a:stretch>
                        </pic:blipFill>
                        <pic:spPr>
                          <a:xfrm>
                            <a:off x="0" y="0"/>
                            <a:ext cx="1725295" cy="1043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3"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耗材包</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 白色纸张*15、彩色纸张*15、彩色厚纸*10；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 木板45*30mm 30块；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 亚克力板45*30mm 10块；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 瓦楞纸45*30 20块；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 密度板45*30 15块；</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课程</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名称：激光STEAM课程（初中篇）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型号：初中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 总述：本课程尊重初中生的生理发展与生活常识，以安全高效的激光设备知识为引领，与核心素养培育目标相结合，参考初中教育阶段各课程标准要求学习和掌握的知识与技能，通过一系列丰富、有趣、实用的案例，培养初中生的设计“智”造能力，提升学生的创客素养，让他们学会使用木材等其他工具、零件、元器件制作出具有很强功能的发明制作。同时，课程也包涵了专业的设计美学知识与技能，让学生的作品更加具有美感。    本课程分两个学期，共32课时。第一学期通过学习GeoGebra作图软件和激光雕刻机的基本知识，传输设计美学的概念，鼓励初中生发挥创造力“探究”身边的“事物”。第二学期通过考察发现、动手实践、分组设计，使用木材、零件、元器件等进行发明创作。“自主”学习、深入发掘“事物”背后的知识和原理，最后在项目背景下完成特定主题的搭建，达成一种高阶学习。2. 课程结构：《激光STEAM课程 高中篇》包含“设计”、“结构“、“电子”三大板块。其中“结构”、“电子”占比达60%。3. 课程数量：包含14个教学案例与2个综合性练习项目。4. 课程内容板块：单节课的课程内容版块包含“教学目标”、“情境导入”、“教学内容”、“动手制作”、“教学评价”等内容。5. 教学用PPT：教学用PPT不少于15个。6. 包含课程教学内容，习题及评价量表等内容。7. 课程大纲：1份。为课程总体设计思路和架构解说。8. 设备安装与操作视频：不低于2个设备安装与操作视频。（培训用）9. GeoGebra软件安装与操作视频：GeoGebra软件软件安装包1份。10. GeoGebra软件使用指南1份。11. 不低于2个示范案例。（培训用）12. 激光切割软件介绍与操作指南视频：Rdworks激光切割软件安装包1份。</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13. Rdworks激光切割软件操作指南1份。不低于2个示范案例。（培训用）14. 目录: 第1课 汽车\第2课 江南建筑\第3课 花朵\第4课 孔雀\第5课 沙漏\第6课 滑轮\第7课 亭子\第8课 蘑菇\第9课 风车\第10课 相框\第11课 光控路灯\第12课 钢琴\第13课 温控水杯垫\第14课 摇尾巴的鱼\第15课 招财猫\第16课 智能房屋</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457200</wp:posOffset>
                  </wp:positionH>
                  <wp:positionV relativeFrom="paragraph">
                    <wp:posOffset>67945</wp:posOffset>
                  </wp:positionV>
                  <wp:extent cx="594360" cy="846455"/>
                  <wp:effectExtent l="0" t="0" r="0" b="6985"/>
                  <wp:wrapNone/>
                  <wp:docPr id="87" name="图片_15"/>
                  <wp:cNvGraphicFramePr/>
                  <a:graphic xmlns:a="http://schemas.openxmlformats.org/drawingml/2006/main">
                    <a:graphicData uri="http://schemas.openxmlformats.org/drawingml/2006/picture">
                      <pic:pic xmlns:pic="http://schemas.openxmlformats.org/drawingml/2006/picture">
                        <pic:nvPicPr>
                          <pic:cNvPr id="87" name="图片_15"/>
                          <pic:cNvPicPr/>
                        </pic:nvPicPr>
                        <pic:blipFill>
                          <a:blip r:embed="rId91"/>
                          <a:stretch>
                            <a:fillRect/>
                          </a:stretch>
                        </pic:blipFill>
                        <pic:spPr>
                          <a:xfrm>
                            <a:off x="0" y="0"/>
                            <a:ext cx="594360" cy="8464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4"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课程</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课程简介：本课程是以通俗易懂的传统文化知识为引领，与核心素养和激光雕刻技术相结合，引导学生通过自主探究和小组合作，将篆刻、活字印刷，版画及3D雕刻知识技术与现代激光雕刻技术相结合。本课程分4个主题，每个主题8个课时，共32课时。第一个主题是通过篆刻让学生了解到中国篆刻的起源与发展情况；第二个主题是活字印刷，让学生感受中国印刷术的魅力；第三个主题是版画，通过了解版画，可以充分感受激光雕刻技术与版画的完美结合。第四个主题是3D木雕，让学生领略传统工艺与新技术的结合，通过四个主题的深入，让学生能够感受中国传统文化，贴近激光雕刻技术。课程目标：1. 了解激光以及激光器的相关信息以及与生活的联系，了解篆刻，活字印刷，版画和3D雕刻的基本知识；2. 探索篆刻，活字印刷，版画和3D雕刻发展历史，著名人物，欣赏优秀的篆刻作品；3. 了解篆刻，活字印刷，版画和3D雕刻的工艺，分类，材料。以及对小篆，金文，隶书等古汉字有一定的认识；4. 学习GeoGebra的基本操作，如图形绘制，各种编辑工具使用等，利用GeoGebra绘制图形，利用激光设备制作印章，活字印刷（字胚），版画作品，3D模型；5. 通过小组合作的形式，经过发现问题，查阅资料，讨论方法，解决问题等提高学生探索与合作意识，引导学生形成良好的学习习惯和创造性思维；6. 组织学生进行作品展示，并且进行自我评价、小组评价、教师评价，有利于促进学生自我学习、自主发展、自我评价。</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7"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软件</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专业的激光控制系统；S型加减速控制软件技术，可连续快速曲线切割及最短路径选择，确保动作迅捷平稳。自动光衰补偿技术，使不同切割部位达到理想效果，大幅提升工作效率。用户可在激光软件里设置多个图层，给每个图层设置不同速度和功率，一步实现多种不同效果。支持田岛刺绣软件、CORELDRAW、PHOTOSHOP、AUTOCAD、GERBER等所有与Windows兼容的矢量绘图软件。支持BPM、PLT、AI、DST、DXF、SVG等文件格式。</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软件</w:t>
            </w:r>
          </w:p>
        </w:tc>
        <w:tc>
          <w:tcPr>
            <w:tcW w:w="4464" w:type="dxa"/>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该软件一款结合“几何”、“代数”与“微积分”的动态数学软件。可以在上面画点、向量、线段、直线、多边形、圆锥曲线，甚至是函数，事后您还可以改变它们的属性；另一方面来说，也可以直接输入方程和点坐标。该软件极大程度地保持了学生在数学和科学学科学习的应用性和连贯性。</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7254" w:type="dxa"/>
            <w:gridSpan w:val="7"/>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桌椅</w:t>
            </w:r>
          </w:p>
        </w:tc>
        <w:tc>
          <w:tcPr>
            <w:tcW w:w="1785" w:type="dxa"/>
            <w:shd w:val="clear" w:color="auto" w:fill="C0C0C0"/>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7"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27</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桌子</w:t>
            </w:r>
          </w:p>
        </w:tc>
        <w:tc>
          <w:tcPr>
            <w:tcW w:w="4464" w:type="dxa"/>
            <w:noWrap w:val="0"/>
            <w:tcMar>
              <w:top w:w="12" w:type="dxa"/>
              <w:left w:w="12" w:type="dxa"/>
              <w:right w:w="12" w:type="dxa"/>
            </w:tcMar>
            <w:vAlign w:val="bottom"/>
          </w:tcPr>
          <w:p>
            <w:pPr>
              <w:keepNext w:val="0"/>
              <w:keepLines w:val="0"/>
              <w:widowControl/>
              <w:suppressLineNumbers w:val="0"/>
              <w:jc w:val="left"/>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1、规格:1200*2000，高度750mm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2、材材：桌面采用选用三聚氰胺浸渍胶膜纸饰面，硬度高，耐磨、耐热性好，表面平滑光洁，容易维护清洗。</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基材：E0级刨花板。 封边：3mm厚PVC同色封边.</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5" w:hRule="atLeast"/>
        </w:trPr>
        <w:tc>
          <w:tcPr>
            <w:tcW w:w="663"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28</w:t>
            </w:r>
          </w:p>
        </w:tc>
        <w:tc>
          <w:tcPr>
            <w:tcW w:w="118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椅子</w:t>
            </w:r>
          </w:p>
        </w:tc>
        <w:tc>
          <w:tcPr>
            <w:tcW w:w="4464" w:type="dxa"/>
            <w:noWrap w:val="0"/>
            <w:tcMar>
              <w:top w:w="12" w:type="dxa"/>
              <w:left w:w="12" w:type="dxa"/>
              <w:right w:w="12" w:type="dxa"/>
            </w:tcMar>
            <w:vAlign w:val="bottom"/>
          </w:tcPr>
          <w:p>
            <w:pPr>
              <w:keepNext w:val="0"/>
              <w:keepLines w:val="0"/>
              <w:widowControl/>
              <w:suppressLineNumbers w:val="0"/>
              <w:jc w:val="left"/>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1、规格:450*450高度400mm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2、材材：桌面采用选用三聚氰胺浸渍胶膜纸饰面，硬度高，耐磨、耐热性好，表面平滑光洁，容易维护清洗。基材：E0级刨花板。 封边：3mm厚PVC同色封边.</w:t>
            </w:r>
          </w:p>
        </w:tc>
        <w:tc>
          <w:tcPr>
            <w:tcW w:w="473"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466"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49</w:t>
            </w:r>
          </w:p>
        </w:tc>
        <w:tc>
          <w:tcPr>
            <w:tcW w:w="1785" w:type="dxa"/>
            <w:noWrap w:val="0"/>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bl>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pStyle w:val="2"/>
        <w:rPr>
          <w:rFonts w:hint="eastAsia" w:ascii="宋体" w:hAnsi="宋体" w:eastAsia="宋体" w:cs="宋体"/>
          <w:b/>
          <w:bCs/>
          <w:sz w:val="24"/>
          <w:szCs w:val="24"/>
        </w:rPr>
      </w:pPr>
    </w:p>
    <w:p>
      <w:pPr>
        <w:pStyle w:val="2"/>
        <w:rPr>
          <w:rFonts w:hint="eastAsia"/>
        </w:rPr>
      </w:pPr>
    </w:p>
    <w:p>
      <w:pPr>
        <w:rPr>
          <w:rFonts w:hint="eastAsia"/>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b/>
          <w:bCs/>
          <w:sz w:val="24"/>
          <w:szCs w:val="24"/>
        </w:rPr>
        <w:t>其他要求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本项目投标报价为总包价，包含货物采购、包装、运输、装卸、备品备件、质保、第三方验收、税金等一切费用，如有招标文件中没有明确，而本项目必须的各种材料，均应包括在本项目中，采购人不再另行进行支付有关款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2、招标文件中所列产品参数为最低要求,投标产品不得低于最低要求，否则为无效投标。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采购单位将从中标人所供货物中抽取一定比例的货物，交由第三方进行质量检测验收，质量检测验收费用由中标人承担，但最高费用不超过投标总价的2%，投标报价中须包含该费用。</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4、</w:t>
      </w:r>
      <w:r>
        <w:rPr>
          <w:rFonts w:hint="eastAsia" w:ascii="Times New Roman" w:hAnsi="Times New Roman" w:cs="Times New Roman"/>
          <w:color w:val="auto"/>
          <w:sz w:val="24"/>
          <w:szCs w:val="24"/>
          <w:lang w:val="en-US" w:eastAsia="zh-CN"/>
        </w:rPr>
        <w:t>经验收合格付合同总价款的90%，剩余10%满一年无质量问题一次付清。付款方式（不响应者为无效投标）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、所有产品售后免费服务和保修期为一年，投标时投标人需提供售后服务承诺函。未提供的按照无效投标处理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6、一标包：计算机，二标包：交互智能平板，三标包：大屏为核心产品，核心产品提供相同品牌产品且通过资格审查、符合性审查的不同供应商参加同一合同项下投标的，按一家供应商计算，评审后得分最高的同品牌供应商获得中标人推荐资格；评审得分相同的，同品牌投标价格最低的获得中标人推荐资格，其他同品牌供应商不作为中标候选人。</w:t>
      </w:r>
    </w:p>
    <w:p>
      <w:pPr>
        <w:pStyle w:val="2"/>
        <w:rPr>
          <w:rFonts w:hint="default"/>
          <w:lang w:val="en-US"/>
        </w:rPr>
      </w:pPr>
    </w:p>
    <w:p>
      <w:pPr>
        <w:rPr>
          <w:sz w:val="24"/>
          <w:szCs w:val="24"/>
        </w:rPr>
      </w:pPr>
    </w:p>
    <w:p>
      <w:pPr>
        <w:bidi w:val="0"/>
        <w:rPr>
          <w:rFonts w:hint="eastAsia"/>
          <w:lang w:val="en-US" w:eastAsia="zh-CN"/>
        </w:rPr>
      </w:pPr>
    </w:p>
    <w:p>
      <w:pPr>
        <w:bidi w:val="0"/>
        <w:rPr>
          <w:rFonts w:hint="eastAsia"/>
        </w:rPr>
        <w:sectPr>
          <w:pgSz w:w="11906" w:h="16838"/>
          <w:pgMar w:top="2098" w:right="1474" w:bottom="1928" w:left="1587" w:header="851" w:footer="992" w:gutter="0"/>
          <w:pgNumType w:fmt="decimal"/>
          <w:cols w:space="0" w:num="1"/>
          <w:rtlGutter w:val="0"/>
          <w:docGrid w:type="lines" w:linePitch="315" w:charSpace="0"/>
        </w:sect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Pr>
        <w:numPr>
          <w:ilvl w:val="0"/>
          <w:numId w:val="23"/>
        </w:numPr>
        <w:autoSpaceDE w:val="0"/>
        <w:autoSpaceDN w:val="0"/>
        <w:adjustRightInd w:val="0"/>
        <w:spacing w:line="360" w:lineRule="auto"/>
        <w:ind w:right="-11"/>
        <w:jc w:val="cente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投标人须知前附表</w:t>
      </w:r>
    </w:p>
    <w:p>
      <w:pPr>
        <w:numPr>
          <w:ilvl w:val="0"/>
          <w:numId w:val="0"/>
        </w:numPr>
        <w:autoSpaceDE w:val="0"/>
        <w:autoSpaceDN w:val="0"/>
        <w:adjustRightInd w:val="0"/>
        <w:spacing w:line="360" w:lineRule="auto"/>
        <w:ind w:right="-11" w:rightChars="0"/>
        <w:jc w:val="left"/>
        <w:rPr>
          <w:rFonts w:cs="宋体" w:asciiTheme="majorEastAsia" w:hAnsiTheme="majorEastAsia" w:eastAsiaTheme="majorEastAsia"/>
          <w:b/>
          <w:kern w:val="0"/>
          <w:sz w:val="32"/>
          <w:szCs w:val="32"/>
        </w:rPr>
      </w:pPr>
      <w:r>
        <w:rPr>
          <w:rFonts w:hint="eastAsia" w:cs="微软雅黑"/>
          <w:b/>
          <w:color w:val="FF0000"/>
          <w:szCs w:val="21"/>
        </w:rPr>
        <w:t>招标文件中凡标有</w:t>
      </w:r>
      <w:r>
        <w:rPr>
          <w:rFonts w:hint="eastAsia" w:cs="微软雅黑" w:asciiTheme="minorEastAsia" w:hAnsiTheme="minorEastAsia"/>
          <w:b/>
          <w:color w:val="FF0000"/>
          <w:szCs w:val="21"/>
        </w:rPr>
        <w:t>★</w:t>
      </w:r>
      <w:r>
        <w:rPr>
          <w:rFonts w:hint="eastAsia" w:cs="微软雅黑"/>
          <w:b/>
          <w:color w:val="FF0000"/>
          <w:szCs w:val="21"/>
        </w:rPr>
        <w:t>条款均为实质性要求条款，投标文件须完全响应，未实质响应的，按照无效投标处理。</w:t>
      </w:r>
    </w:p>
    <w:tbl>
      <w:tblPr>
        <w:tblStyle w:val="25"/>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268"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813"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813" w:type="dxa"/>
          </w:tcPr>
          <w:p>
            <w:pPr>
              <w:autoSpaceDE w:val="0"/>
              <w:autoSpaceDN w:val="0"/>
              <w:adjustRightInd w:val="0"/>
              <w:spacing w:line="360" w:lineRule="auto"/>
              <w:jc w:val="left"/>
              <w:rPr>
                <w:rFonts w:hint="eastAsia" w:cs="仿宋_GB2312" w:asciiTheme="minorEastAsia" w:hAnsiTheme="minorEastAsia"/>
                <w:szCs w:val="21"/>
                <w:lang w:val="en-US" w:eastAsia="zh-CN"/>
              </w:rPr>
            </w:pPr>
            <w:r>
              <w:rPr>
                <w:rFonts w:hint="eastAsia" w:cs="仿宋_GB2312" w:asciiTheme="minorEastAsia" w:hAnsiTheme="minorEastAsia"/>
                <w:szCs w:val="21"/>
                <w:lang w:val="en-US" w:eastAsia="zh-CN"/>
              </w:rPr>
              <w:t>项目名称：长葛市学前教育教学设备购置项目</w:t>
            </w:r>
          </w:p>
          <w:p>
            <w:pPr>
              <w:autoSpaceDE w:val="0"/>
              <w:autoSpaceDN w:val="0"/>
              <w:adjustRightInd w:val="0"/>
              <w:spacing w:line="360" w:lineRule="auto"/>
              <w:jc w:val="left"/>
              <w:rPr>
                <w:rFonts w:hint="eastAsia" w:cs="仿宋_GB2312" w:asciiTheme="minorEastAsia" w:hAnsiTheme="minorEastAsia"/>
                <w:szCs w:val="21"/>
                <w:lang w:val="en-US" w:eastAsia="zh-CN"/>
              </w:rPr>
            </w:pPr>
            <w:r>
              <w:rPr>
                <w:rFonts w:hint="eastAsia" w:cs="仿宋_GB2312" w:asciiTheme="minorEastAsia" w:hAnsiTheme="minorEastAsia"/>
                <w:szCs w:val="21"/>
                <w:lang w:val="en-US" w:eastAsia="zh-CN"/>
              </w:rPr>
              <w:t>项目编号：长招采公字[2019]089号</w:t>
            </w:r>
          </w:p>
          <w:p>
            <w:pPr>
              <w:autoSpaceDE w:val="0"/>
              <w:autoSpaceDN w:val="0"/>
              <w:adjustRightInd w:val="0"/>
              <w:spacing w:line="360" w:lineRule="auto"/>
              <w:jc w:val="left"/>
              <w:rPr>
                <w:rFonts w:hint="eastAsia" w:cs="仿宋_GB2312" w:asciiTheme="minorEastAsia" w:hAnsiTheme="minorEastAsia" w:eastAsiaTheme="minorEastAsia"/>
                <w:kern w:val="2"/>
                <w:sz w:val="21"/>
                <w:szCs w:val="21"/>
                <w:lang w:val="en-US" w:eastAsia="zh-CN" w:bidi="ar-SA"/>
              </w:rPr>
            </w:pPr>
            <w:r>
              <w:rPr>
                <w:rFonts w:hint="eastAsia" w:cs="仿宋_GB2312" w:asciiTheme="minorEastAsia" w:hAnsiTheme="minorEastAsia"/>
                <w:szCs w:val="21"/>
                <w:lang w:val="en-US" w:eastAsia="zh-CN"/>
              </w:rPr>
              <w:t>项</w:t>
            </w:r>
            <w:r>
              <w:rPr>
                <w:rFonts w:hint="eastAsia" w:cs="仿宋_GB2312" w:asciiTheme="minorEastAsia" w:hAnsiTheme="minorEastAsia" w:eastAsiaTheme="minorEastAsia"/>
                <w:kern w:val="2"/>
                <w:sz w:val="21"/>
                <w:szCs w:val="21"/>
                <w:lang w:val="en-US" w:eastAsia="zh-CN" w:bidi="ar-SA"/>
              </w:rPr>
              <w:t>目内容：</w:t>
            </w:r>
            <w:r>
              <w:rPr>
                <w:rFonts w:hint="eastAsia" w:cs="仿宋_GB2312" w:asciiTheme="minorEastAsia" w:hAnsiTheme="minorEastAsia"/>
                <w:szCs w:val="21"/>
                <w:lang w:val="en-US" w:eastAsia="zh-CN"/>
              </w:rPr>
              <w:t>一标包：采购小学心理咨询室、中学心理咨询室、卫生保健室设备、中学体质检测室设备和小学体质检测室设备各一套；二标包：采购初中数字化历史专用教室配置和数字化地理创新实验室配置；三标包：采购中小学创客教室设备。</w:t>
            </w:r>
            <w:r>
              <w:rPr>
                <w:rFonts w:hint="eastAsia" w:cs="仿宋_GB2312" w:asciiTheme="minorEastAsia" w:hAnsiTheme="minorEastAsia" w:eastAsiaTheme="minorEastAsia"/>
                <w:color w:val="000000"/>
                <w:sz w:val="24"/>
                <w:szCs w:val="24"/>
                <w:shd w:val="clear" w:color="auto" w:fill="FFFFFF"/>
                <w:lang w:val="en-US" w:eastAsia="zh-CN"/>
              </w:rPr>
              <w:t>详细参数见采购文件。</w:t>
            </w:r>
          </w:p>
          <w:p>
            <w:pPr>
              <w:autoSpaceDE w:val="0"/>
              <w:autoSpaceDN w:val="0"/>
              <w:adjustRightInd w:val="0"/>
              <w:spacing w:line="360" w:lineRule="auto"/>
              <w:jc w:val="left"/>
              <w:rPr>
                <w:rFonts w:hint="default" w:cs="仿宋_GB2312" w:asciiTheme="minorEastAsia" w:hAnsiTheme="minorEastAsia"/>
                <w:szCs w:val="21"/>
                <w:lang w:val="en-US"/>
              </w:rPr>
            </w:pPr>
            <w:r>
              <w:rPr>
                <w:rFonts w:hint="eastAsia" w:cs="仿宋_GB2312" w:asciiTheme="minorEastAsia" w:hAnsiTheme="minorEastAsia" w:eastAsiaTheme="minorEastAsia"/>
                <w:kern w:val="2"/>
                <w:sz w:val="21"/>
                <w:szCs w:val="21"/>
                <w:lang w:val="en-US" w:eastAsia="zh-CN" w:bidi="ar-SA"/>
              </w:rPr>
              <w:t>项目地址：长葛市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813" w:type="dxa"/>
            <w:vAlign w:val="center"/>
          </w:tcPr>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采购人：长葛市教育体育局</w:t>
            </w:r>
          </w:p>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 xml:space="preserve">联系人：石科长                      </w:t>
            </w:r>
          </w:p>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 xml:space="preserve">联系电话：03746110256  </w:t>
            </w:r>
          </w:p>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地址：长葛市八七路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代理机构</w:t>
            </w:r>
          </w:p>
        </w:tc>
        <w:tc>
          <w:tcPr>
            <w:tcW w:w="6813" w:type="dxa"/>
            <w:vAlign w:val="center"/>
          </w:tcPr>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 xml:space="preserve">代理机构：山西文昌工程咨询有限公司 </w:t>
            </w:r>
          </w:p>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代理机构联系方式：张先生  13271279113</w:t>
            </w:r>
          </w:p>
          <w:p>
            <w:pPr>
              <w:autoSpaceDE w:val="0"/>
              <w:autoSpaceDN w:val="0"/>
              <w:adjustRightInd w:val="0"/>
              <w:spacing w:line="360" w:lineRule="auto"/>
              <w:jc w:val="left"/>
              <w:rPr>
                <w:rFonts w:hint="default"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代理机构地址：郑州市高新区冬青街7号B座1606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投标人资格</w:t>
            </w:r>
          </w:p>
        </w:tc>
        <w:tc>
          <w:tcPr>
            <w:tcW w:w="6813" w:type="dxa"/>
            <w:vAlign w:val="center"/>
          </w:tcPr>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一、</w:t>
            </w:r>
            <w:r>
              <w:rPr>
                <w:rFonts w:cs="宋体" w:asciiTheme="minorEastAsia" w:hAnsiTheme="minorEastAsia"/>
                <w:b/>
                <w:bCs/>
                <w:szCs w:val="21"/>
                <w:lang w:val="zh-CN"/>
              </w:rPr>
              <w:t>法人或者其他组织的营业执照等证明文件，自然人的身份证明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1、企业法人营业执照或营业执照。（企业投标提供）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2、事业单位法人证书。（事业单位投标提供）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3、执业许可证。（非企业专业服务机构投标提供）</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cs="宋体" w:asciiTheme="minorEastAsia" w:hAnsiTheme="minorEastAsia"/>
                <w:bCs/>
                <w:szCs w:val="21"/>
                <w:lang w:val="zh-CN"/>
              </w:rPr>
              <w:t>4、个体工</w:t>
            </w:r>
            <w:r>
              <w:rPr>
                <w:rFonts w:hint="eastAsia" w:cs="宋体" w:asciiTheme="minorEastAsia" w:hAnsiTheme="minorEastAsia"/>
                <w:bCs/>
                <w:szCs w:val="21"/>
                <w:highlight w:val="none"/>
                <w:lang w:val="zh-CN"/>
              </w:rPr>
              <w:t>商户营业执照。（个体工商户投标提供）</w:t>
            </w:r>
          </w:p>
          <w:p>
            <w:pPr>
              <w:autoSpaceDE w:val="0"/>
              <w:autoSpaceDN w:val="0"/>
              <w:adjustRightInd w:val="0"/>
              <w:spacing w:line="360" w:lineRule="auto"/>
              <w:jc w:val="left"/>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5、自然人身份证明。（自然人投标提供）</w:t>
            </w:r>
          </w:p>
          <w:p>
            <w:pPr>
              <w:autoSpaceDE w:val="0"/>
              <w:autoSpaceDN w:val="0"/>
              <w:adjustRightInd w:val="0"/>
              <w:spacing w:line="360" w:lineRule="auto"/>
              <w:jc w:val="left"/>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6、民办非企业单位登记证书。（民办非企业单位投标提供）</w:t>
            </w:r>
          </w:p>
          <w:p>
            <w:pPr>
              <w:autoSpaceDE w:val="0"/>
              <w:autoSpaceDN w:val="0"/>
              <w:adjustRightInd w:val="0"/>
              <w:spacing w:line="360" w:lineRule="auto"/>
              <w:jc w:val="left"/>
              <w:rPr>
                <w:rFonts w:cs="仿宋_GB2312" w:asciiTheme="minorEastAsia" w:hAnsiTheme="minorEastAsia"/>
                <w:b/>
                <w:szCs w:val="21"/>
                <w:highlight w:val="none"/>
              </w:rPr>
            </w:pPr>
            <w:r>
              <w:rPr>
                <w:rFonts w:hint="eastAsia" w:cs="仿宋_GB2312" w:asciiTheme="minorEastAsia" w:hAnsiTheme="minorEastAsia"/>
                <w:b/>
                <w:szCs w:val="21"/>
                <w:highlight w:val="none"/>
              </w:rPr>
              <w:t>二、财务状况报告相关材料</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（1）投标人是法人（法人包括企业法人、机关法人、事业单位法人和社会团体法人），提供本单位：</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①</w:t>
            </w:r>
            <w:r>
              <w:rPr>
                <w:rFonts w:hint="eastAsia" w:asciiTheme="minorEastAsia" w:hAnsiTheme="minorEastAsia"/>
                <w:bCs/>
                <w:szCs w:val="21"/>
                <w:highlight w:val="none"/>
                <w:lang w:val="en-US" w:eastAsia="zh-CN"/>
              </w:rPr>
              <w:t>2016年度、2017年度、</w:t>
            </w:r>
            <w:r>
              <w:rPr>
                <w:rFonts w:hint="eastAsia" w:asciiTheme="minorEastAsia" w:hAnsiTheme="minorEastAsia"/>
                <w:bCs/>
                <w:szCs w:val="21"/>
                <w:highlight w:val="none"/>
              </w:rPr>
              <w:t>2018年度经审计的财务报告，包括资产负债表、利润表、现金流量表、所有者权益变动表及其附注；</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②基本开户银行出具的资信证明；</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③财政部门认可的政府采购专业担保机构的证明文件和担保机构出具的投标担保函。</w:t>
            </w:r>
          </w:p>
          <w:p>
            <w:pPr>
              <w:spacing w:line="360" w:lineRule="auto"/>
              <w:rPr>
                <w:rFonts w:asciiTheme="minorEastAsia" w:hAnsiTheme="minorEastAsia"/>
                <w:bCs/>
                <w:szCs w:val="21"/>
                <w:highlight w:val="none"/>
              </w:rPr>
            </w:pPr>
            <w:r>
              <w:rPr>
                <w:rFonts w:hint="eastAsia" w:ascii="楷体" w:hAnsi="楷体" w:eastAsia="楷体" w:cs="仿宋_GB2312"/>
                <w:sz w:val="24"/>
                <w:szCs w:val="24"/>
                <w:highlight w:val="none"/>
                <w:lang w:val="zh-CN"/>
              </w:rPr>
              <w:t>注：仅需提供序号</w:t>
            </w:r>
            <w:r>
              <w:rPr>
                <w:rFonts w:hint="eastAsia" w:ascii="楷体" w:hAnsi="楷体" w:eastAsia="楷体"/>
                <w:color w:val="000000"/>
                <w:sz w:val="24"/>
                <w:szCs w:val="24"/>
                <w:highlight w:val="none"/>
              </w:rPr>
              <w:t>①～③其中之一即可。</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（2）投标人（其他组织和自然人）提供本单位：</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①</w:t>
            </w:r>
            <w:r>
              <w:rPr>
                <w:rFonts w:hint="eastAsia" w:asciiTheme="minorEastAsia" w:hAnsiTheme="minorEastAsia"/>
                <w:bCs/>
                <w:szCs w:val="21"/>
                <w:highlight w:val="none"/>
                <w:lang w:val="en-US" w:eastAsia="zh-CN"/>
              </w:rPr>
              <w:t>2016年度、2017年度、</w:t>
            </w:r>
            <w:r>
              <w:rPr>
                <w:rFonts w:hint="eastAsia" w:asciiTheme="minorEastAsia" w:hAnsiTheme="minorEastAsia"/>
                <w:bCs/>
                <w:szCs w:val="21"/>
                <w:highlight w:val="none"/>
              </w:rPr>
              <w:t>2018年度经审计的财务报告，包括资产负债表、利润表、现金流量表、所有者权益变动表及其附注；</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②银行出具的资信证明；</w:t>
            </w:r>
          </w:p>
          <w:p>
            <w:pPr>
              <w:spacing w:line="360" w:lineRule="auto"/>
              <w:rPr>
                <w:rFonts w:hint="eastAsia" w:asciiTheme="minorEastAsia" w:hAnsiTheme="minorEastAsia"/>
                <w:bCs/>
                <w:szCs w:val="21"/>
                <w:highlight w:val="none"/>
              </w:rPr>
            </w:pPr>
            <w:r>
              <w:rPr>
                <w:rFonts w:hint="eastAsia" w:asciiTheme="minorEastAsia" w:hAnsiTheme="minorEastAsia"/>
                <w:bCs/>
                <w:szCs w:val="21"/>
                <w:highlight w:val="none"/>
              </w:rPr>
              <w:t>③财政部门认可的政府采购专业担保机构的证明文件和担保机构出具的投标担保函。</w:t>
            </w:r>
          </w:p>
          <w:p>
            <w:pPr>
              <w:pStyle w:val="12"/>
            </w:pPr>
            <w:r>
              <w:rPr>
                <w:rFonts w:hint="eastAsia" w:ascii="Times New Roman" w:hAnsi="Times New Roman" w:cs="宋体"/>
                <w:szCs w:val="21"/>
                <w:lang w:bidi="ar"/>
              </w:rPr>
              <w:t>（新注册公司从注册交纳起计算，不足的视为满足</w:t>
            </w:r>
            <w:r>
              <w:rPr>
                <w:rFonts w:hint="eastAsia" w:ascii="Times New Roman" w:hAnsi="Times New Roman" w:cs="宋体"/>
                <w:szCs w:val="21"/>
                <w:lang w:val="en-US" w:eastAsia="zh-CN" w:bidi="ar"/>
              </w:rPr>
              <w:t>)</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ascii="楷体" w:hAnsi="楷体" w:eastAsia="楷体" w:cs="仿宋_GB2312"/>
                <w:sz w:val="24"/>
                <w:szCs w:val="24"/>
                <w:highlight w:val="none"/>
                <w:lang w:val="zh-CN"/>
              </w:rPr>
              <w:t>注：仅需提供序号</w:t>
            </w:r>
            <w:r>
              <w:rPr>
                <w:rFonts w:hint="eastAsia" w:ascii="楷体" w:hAnsi="楷体" w:eastAsia="楷体"/>
                <w:color w:val="000000"/>
                <w:sz w:val="24"/>
                <w:szCs w:val="24"/>
                <w:highlight w:val="none"/>
              </w:rPr>
              <w:t>①～③其中之一即可。</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cs="仿宋_GB2312" w:asciiTheme="minorEastAsia" w:hAnsiTheme="minorEastAsia"/>
                <w:b/>
                <w:szCs w:val="21"/>
                <w:highlight w:val="none"/>
              </w:rPr>
              <w:t>三、依法缴纳税收相关材料</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参加本次政府采购项目投标截止时间前六个月内任意一个月缴纳税收凭据。（依法免税的投标人，应提供相应文件证明依法免税）</w:t>
            </w:r>
          </w:p>
          <w:p>
            <w:pPr>
              <w:autoSpaceDE w:val="0"/>
              <w:autoSpaceDN w:val="0"/>
              <w:adjustRightInd w:val="0"/>
              <w:spacing w:line="360" w:lineRule="auto"/>
              <w:ind w:right="-11"/>
              <w:rPr>
                <w:rFonts w:hint="eastAsia" w:cs="仿宋_GB2312" w:asciiTheme="minorEastAsia" w:hAnsiTheme="minorEastAsia"/>
                <w:b/>
                <w:szCs w:val="21"/>
                <w:highlight w:val="none"/>
                <w:lang w:val="zh-CN"/>
              </w:rPr>
            </w:pPr>
            <w:r>
              <w:rPr>
                <w:rFonts w:hint="eastAsia" w:cs="仿宋_GB2312" w:asciiTheme="minorEastAsia" w:hAnsiTheme="minorEastAsia"/>
                <w:b/>
                <w:szCs w:val="21"/>
                <w:highlight w:val="none"/>
                <w:lang w:val="zh-CN"/>
              </w:rPr>
              <w:t>四、依法缴纳社会保障资金的证明材料</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参加本次政府采购项目投标截止时间前六个月内任意一个月缴纳社会保险凭据。（依法不需要缴纳社会保障资金的投标人，应提供相应文件证明依法不需要缴纳社会保障资金）</w:t>
            </w:r>
          </w:p>
          <w:p>
            <w:pPr>
              <w:autoSpaceDE w:val="0"/>
              <w:autoSpaceDN w:val="0"/>
              <w:adjustRightInd w:val="0"/>
              <w:spacing w:line="360" w:lineRule="auto"/>
              <w:ind w:right="-11"/>
              <w:rPr>
                <w:rFonts w:cs="宋体" w:asciiTheme="minorEastAsia" w:hAnsiTheme="minorEastAsia"/>
                <w:b/>
                <w:bCs/>
                <w:szCs w:val="21"/>
                <w:highlight w:val="none"/>
                <w:lang w:val="zh-CN"/>
              </w:rPr>
            </w:pPr>
            <w:r>
              <w:rPr>
                <w:rFonts w:hint="eastAsia" w:cs="宋体" w:asciiTheme="minorEastAsia" w:hAnsiTheme="minorEastAsia"/>
                <w:b/>
                <w:bCs/>
                <w:szCs w:val="21"/>
                <w:highlight w:val="none"/>
                <w:lang w:val="zh-CN"/>
              </w:rPr>
              <w:t>五、履行合同所必须的设备和专业技术能力的证明材料</w:t>
            </w:r>
          </w:p>
          <w:p>
            <w:pPr>
              <w:autoSpaceDE w:val="0"/>
              <w:autoSpaceDN w:val="0"/>
              <w:adjustRightInd w:val="0"/>
              <w:spacing w:line="360" w:lineRule="auto"/>
              <w:jc w:val="left"/>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①相关设备的购置发票、专业技术人员职称证书、用工合同等；</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②投标人具备履行合同所必须的设备和专业技术能力承诺函或声明（承诺函或声明格式自拟）。</w:t>
            </w:r>
          </w:p>
          <w:p>
            <w:pPr>
              <w:autoSpaceDE w:val="0"/>
              <w:autoSpaceDN w:val="0"/>
              <w:adjustRightInd w:val="0"/>
              <w:spacing w:line="360" w:lineRule="auto"/>
              <w:ind w:right="-11"/>
              <w:rPr>
                <w:rFonts w:ascii="楷体" w:hAnsi="楷体" w:eastAsia="楷体"/>
                <w:color w:val="000000"/>
                <w:sz w:val="24"/>
                <w:szCs w:val="24"/>
                <w:highlight w:val="none"/>
              </w:rPr>
            </w:pPr>
            <w:r>
              <w:rPr>
                <w:rFonts w:hint="eastAsia" w:ascii="楷体" w:hAnsi="楷体" w:eastAsia="楷体" w:cs="仿宋_GB2312"/>
                <w:sz w:val="24"/>
                <w:szCs w:val="24"/>
                <w:highlight w:val="none"/>
                <w:lang w:val="zh-CN"/>
              </w:rPr>
              <w:t>注：仅需提供序号</w:t>
            </w:r>
            <w:r>
              <w:rPr>
                <w:rFonts w:hint="eastAsia" w:ascii="楷体" w:hAnsi="楷体" w:eastAsia="楷体"/>
                <w:color w:val="000000"/>
                <w:sz w:val="24"/>
                <w:szCs w:val="24"/>
                <w:highlight w:val="none"/>
              </w:rPr>
              <w:t>①～②其中之一即可。</w:t>
            </w:r>
          </w:p>
          <w:p>
            <w:pPr>
              <w:autoSpaceDE w:val="0"/>
              <w:autoSpaceDN w:val="0"/>
              <w:adjustRightInd w:val="0"/>
              <w:spacing w:line="360" w:lineRule="auto"/>
              <w:ind w:right="-11"/>
              <w:rPr>
                <w:rFonts w:cs="宋体" w:asciiTheme="minorEastAsia" w:hAnsiTheme="minorEastAsia"/>
                <w:b/>
                <w:bCs/>
                <w:szCs w:val="21"/>
                <w:highlight w:val="none"/>
                <w:lang w:val="zh-CN"/>
              </w:rPr>
            </w:pPr>
            <w:r>
              <w:rPr>
                <w:rFonts w:hint="eastAsia" w:cs="宋体" w:asciiTheme="minorEastAsia" w:hAnsiTheme="minorEastAsia"/>
                <w:b/>
                <w:kern w:val="0"/>
                <w:szCs w:val="21"/>
                <w:highlight w:val="none"/>
              </w:rPr>
              <w:t>六、</w:t>
            </w:r>
            <w:r>
              <w:rPr>
                <w:rFonts w:cs="宋体" w:asciiTheme="minorEastAsia" w:hAnsiTheme="minorEastAsia"/>
                <w:b/>
                <w:bCs/>
                <w:szCs w:val="21"/>
                <w:highlight w:val="none"/>
                <w:lang w:val="zh-CN"/>
              </w:rPr>
              <w:t>参加政府采购活动前3年内在经营活动中没有重大违法记录的声明</w:t>
            </w:r>
          </w:p>
          <w:p>
            <w:pPr>
              <w:autoSpaceDE w:val="0"/>
              <w:autoSpaceDN w:val="0"/>
              <w:spacing w:line="360" w:lineRule="auto"/>
              <w:contextualSpacing/>
              <w:jc w:val="left"/>
              <w:rPr>
                <w:rFonts w:cs="宋体" w:asciiTheme="minorEastAsia" w:hAnsiTheme="minorEastAsia"/>
                <w:bCs/>
                <w:szCs w:val="21"/>
                <w:lang w:val="zh-CN"/>
              </w:rPr>
            </w:pPr>
            <w:r>
              <w:rPr>
                <w:rFonts w:hint="eastAsia" w:cs="宋体" w:asciiTheme="minorEastAsia" w:hAnsiTheme="minorEastAsia"/>
                <w:bCs/>
                <w:szCs w:val="21"/>
                <w:highlight w:val="none"/>
                <w:lang w:val="zh-CN"/>
              </w:rPr>
              <w:t>投标人“</w:t>
            </w:r>
            <w:r>
              <w:rPr>
                <w:rFonts w:cs="宋体" w:asciiTheme="minorEastAsia" w:hAnsiTheme="minorEastAsia"/>
                <w:bCs/>
                <w:szCs w:val="21"/>
                <w:highlight w:val="none"/>
                <w:lang w:val="zh-CN"/>
              </w:rPr>
              <w:t>参加政府采购活动前3年内在经营活动中没有重大违</w:t>
            </w:r>
            <w:r>
              <w:rPr>
                <w:rFonts w:cs="宋体" w:asciiTheme="minorEastAsia" w:hAnsiTheme="minorEastAsia"/>
                <w:bCs/>
                <w:szCs w:val="21"/>
                <w:lang w:val="zh-CN"/>
              </w:rPr>
              <w:t>法记录的书面声明</w:t>
            </w:r>
            <w:r>
              <w:rPr>
                <w:rFonts w:hint="eastAsia" w:cs="宋体" w:asciiTheme="minorEastAsia" w:hAnsiTheme="minorEastAsia"/>
                <w:bCs/>
                <w:szCs w:val="21"/>
                <w:lang w:val="zh-CN"/>
              </w:rPr>
              <w:t>”。 重大违法记录，是指投标人因违法经营受到刑事处罚或者责令停产停业、吊销许可证或者执照、较大数额罚款等行政处罚。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line="360" w:lineRule="auto"/>
              <w:ind w:right="0"/>
              <w:jc w:val="left"/>
              <w:textAlignment w:val="auto"/>
              <w:rPr>
                <w:rFonts w:cs="仿宋_GB2312" w:asciiTheme="minorEastAsia" w:hAnsiTheme="minorEastAsia"/>
                <w:b/>
                <w:color w:val="000000"/>
                <w:szCs w:val="21"/>
                <w:shd w:val="clear" w:color="auto" w:fill="FFFFFF"/>
              </w:rPr>
            </w:pPr>
            <w:r>
              <w:rPr>
                <w:rFonts w:hint="eastAsia" w:cs="仿宋_GB2312" w:asciiTheme="minorEastAsia" w:hAnsiTheme="minorEastAsia"/>
                <w:b/>
                <w:color w:val="000000"/>
                <w:szCs w:val="21"/>
                <w:shd w:val="clear" w:color="auto" w:fill="FFFFFF"/>
                <w:lang w:val="zh-CN"/>
              </w:rPr>
              <w:t>七、</w:t>
            </w:r>
            <w:r>
              <w:rPr>
                <w:rFonts w:cs="仿宋_GB2312" w:asciiTheme="minorEastAsia" w:hAnsiTheme="minorEastAsia"/>
                <w:b/>
                <w:color w:val="000000"/>
                <w:szCs w:val="21"/>
                <w:shd w:val="clear" w:color="auto" w:fill="FFFFFF"/>
              </w:rPr>
              <w:t>未被列入“信用中国”网站(www.creditchina.gov.cn)失信被执行人、重大税收违法案件当事人名单的投标人；</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中国政府采购网</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 xml:space="preserve"> (www.ccgp.gov.cn)政府采购严重违法失信行为记录名单的投标人</w:t>
            </w:r>
            <w:r>
              <w:rPr>
                <w:rFonts w:cs="仿宋_GB2312" w:asciiTheme="minorEastAsia" w:hAnsiTheme="minorEastAsia"/>
                <w:b/>
                <w:color w:val="000000"/>
                <w:szCs w:val="21"/>
                <w:shd w:val="clear" w:color="auto" w:fill="FFFFFF"/>
                <w:lang w:val="en-US" w:eastAsia="zh-CN"/>
              </w:rPr>
              <w:t>；“中国社会组织公共服务平台”网站（</w:t>
            </w:r>
            <w:r>
              <w:rPr>
                <w:rFonts w:hint="eastAsia" w:cs="仿宋_GB2312" w:asciiTheme="minorEastAsia" w:hAnsiTheme="minorEastAsia"/>
                <w:b/>
                <w:color w:val="000000"/>
                <w:szCs w:val="21"/>
                <w:shd w:val="clear" w:color="auto" w:fill="FFFFFF"/>
                <w:lang w:val="en-US" w:eastAsia="zh-CN"/>
              </w:rPr>
              <w:t>www.chinanpo.gov.cn）严重违法失信名单的投标人。</w:t>
            </w:r>
          </w:p>
          <w:p>
            <w:pPr>
              <w:autoSpaceDE w:val="0"/>
              <w:autoSpaceDN w:val="0"/>
              <w:spacing w:line="360" w:lineRule="auto"/>
              <w:contextualSpacing/>
              <w:jc w:val="left"/>
              <w:rPr>
                <w:rFonts w:cs="宋体" w:asciiTheme="minorEastAsia" w:hAnsiTheme="minorEastAsia"/>
                <w:kern w:val="0"/>
                <w:szCs w:val="21"/>
                <w:highlight w:val="none"/>
              </w:rPr>
            </w:pPr>
            <w:r>
              <w:rPr>
                <w:rFonts w:hint="eastAsia" w:cs="仿宋_GB2312" w:asciiTheme="minorEastAsia" w:hAnsiTheme="minorEastAsia"/>
                <w:b/>
                <w:color w:val="000000"/>
                <w:szCs w:val="21"/>
                <w:highlight w:val="none"/>
                <w:shd w:val="clear" w:color="auto" w:fill="FFFFFF"/>
              </w:rPr>
              <w:t>（</w:t>
            </w:r>
            <w:r>
              <w:rPr>
                <w:rFonts w:hint="eastAsia" w:cs="宋体" w:asciiTheme="minorEastAsia" w:hAnsiTheme="minorEastAsia"/>
                <w:kern w:val="0"/>
                <w:szCs w:val="21"/>
                <w:highlight w:val="none"/>
              </w:rPr>
              <w:t>联合体形式投标的，联合体成员存在不良信用记录，视同联合体存在不良信用记录）。</w:t>
            </w:r>
          </w:p>
          <w:p>
            <w:pPr>
              <w:spacing w:line="360" w:lineRule="auto"/>
              <w:rPr>
                <w:rFonts w:cs="宋体" w:asciiTheme="minorEastAsia" w:hAnsiTheme="minorEastAsia"/>
                <w:kern w:val="0"/>
                <w:szCs w:val="21"/>
                <w:highlight w:val="none"/>
              </w:rPr>
            </w:pPr>
            <w:r>
              <w:rPr>
                <w:rFonts w:hint="eastAsia" w:cs="宋体" w:asciiTheme="minorEastAsia" w:hAnsiTheme="minorEastAsia"/>
                <w:kern w:val="0"/>
                <w:szCs w:val="21"/>
                <w:highlight w:val="none"/>
              </w:rPr>
              <w:t>1、查询渠道：</w:t>
            </w:r>
          </w:p>
          <w:p>
            <w:pPr>
              <w:spacing w:line="360" w:lineRule="auto"/>
              <w:rPr>
                <w:rFonts w:cs="宋体" w:asciiTheme="minorEastAsia" w:hAnsiTheme="minorEastAsia"/>
                <w:kern w:val="0"/>
                <w:szCs w:val="21"/>
                <w:highlight w:val="none"/>
              </w:rPr>
            </w:pPr>
            <w:r>
              <w:rPr>
                <w:rFonts w:hint="eastAsia" w:cs="宋体" w:asciiTheme="minorEastAsia" w:hAnsiTheme="minorEastAsia"/>
                <w:kern w:val="0"/>
                <w:szCs w:val="21"/>
                <w:highlight w:val="none"/>
              </w:rPr>
              <w:t>①“信用中国”网站（</w:t>
            </w:r>
            <w:r>
              <w:rPr>
                <w:highlight w:val="none"/>
              </w:rPr>
              <w:fldChar w:fldCharType="begin"/>
            </w:r>
            <w:r>
              <w:rPr>
                <w:highlight w:val="none"/>
              </w:rPr>
              <w:instrText xml:space="preserve"> HYPERLINK "http://www.creditchina.gov.cn" </w:instrText>
            </w:r>
            <w:r>
              <w:rPr>
                <w:highlight w:val="none"/>
              </w:rPr>
              <w:fldChar w:fldCharType="separate"/>
            </w:r>
            <w:r>
              <w:rPr>
                <w:rFonts w:hint="eastAsia" w:cs="宋体"/>
                <w:kern w:val="0"/>
                <w:highlight w:val="none"/>
              </w:rPr>
              <w:t>www.creditchina.gov.cn</w:t>
            </w:r>
            <w:r>
              <w:rPr>
                <w:rFonts w:hint="eastAsia" w:cs="宋体"/>
                <w:kern w:val="0"/>
                <w:highlight w:val="none"/>
              </w:rPr>
              <w:fldChar w:fldCharType="end"/>
            </w:r>
            <w:r>
              <w:rPr>
                <w:rFonts w:hint="eastAsia" w:cs="宋体" w:asciiTheme="minorEastAsia" w:hAnsiTheme="minorEastAsia"/>
                <w:kern w:val="0"/>
                <w:szCs w:val="21"/>
                <w:highlight w:val="none"/>
              </w:rPr>
              <w:t>）</w:t>
            </w:r>
          </w:p>
          <w:p>
            <w:pPr>
              <w:spacing w:line="360" w:lineRule="auto"/>
              <w:rPr>
                <w:rFonts w:hint="eastAsia" w:cs="宋体" w:asciiTheme="minorEastAsia" w:hAnsiTheme="minorEastAsia"/>
                <w:kern w:val="0"/>
                <w:szCs w:val="21"/>
                <w:highlight w:val="none"/>
              </w:rPr>
            </w:pPr>
            <w:r>
              <w:rPr>
                <w:rFonts w:hint="eastAsia" w:cs="宋体" w:asciiTheme="minorEastAsia" w:hAnsiTheme="minorEastAsia"/>
                <w:kern w:val="0"/>
                <w:szCs w:val="21"/>
                <w:highlight w:val="none"/>
              </w:rPr>
              <w:t>②“中国政府采购网”（www.ccgp.gov.cn）</w:t>
            </w:r>
          </w:p>
          <w:p>
            <w:pPr>
              <w:spacing w:line="360" w:lineRule="auto"/>
              <w:rPr>
                <w:rFonts w:hint="eastAsia" w:cs="宋体" w:asciiTheme="minorEastAsia" w:hAnsiTheme="minorEastAsia" w:eastAsiaTheme="minorEastAsia"/>
                <w:kern w:val="0"/>
                <w:szCs w:val="21"/>
                <w:highlight w:val="none"/>
                <w:lang w:eastAsia="zh-CN"/>
              </w:rPr>
            </w:pPr>
            <w:r>
              <w:rPr>
                <w:rFonts w:hint="default" w:cs="宋体" w:asciiTheme="minorEastAsia" w:hAnsiTheme="minorEastAsia"/>
                <w:kern w:val="0"/>
                <w:szCs w:val="21"/>
                <w:highlight w:val="none"/>
                <w:lang w:val="en-US" w:eastAsia="zh-CN"/>
              </w:rPr>
              <w:t>③</w:t>
            </w:r>
            <w:r>
              <w:rPr>
                <w:rFonts w:hint="eastAsia" w:cs="宋体" w:asciiTheme="minorEastAsia" w:hAnsiTheme="minorEastAsia"/>
                <w:kern w:val="0"/>
                <w:szCs w:val="21"/>
                <w:highlight w:val="none"/>
                <w:lang w:val="en-US" w:eastAsia="zh-CN"/>
              </w:rPr>
              <w:t>“中国社会组织公共服务平台”（www.chinanpo.gov.cn）</w:t>
            </w:r>
            <w:r>
              <w:rPr>
                <w:rFonts w:hint="eastAsia" w:cs="宋体" w:asciiTheme="minorEastAsia" w:hAnsiTheme="minorEastAsia"/>
                <w:kern w:val="0"/>
                <w:szCs w:val="21"/>
              </w:rPr>
              <w:t>（仅查询社会组织）</w:t>
            </w:r>
            <w:r>
              <w:rPr>
                <w:rFonts w:hint="eastAsia" w:cs="宋体" w:asciiTheme="minorEastAsia" w:hAnsiTheme="minorEastAsia"/>
                <w:kern w:val="0"/>
                <w:szCs w:val="21"/>
                <w:lang w:eastAsia="zh-CN"/>
              </w:rPr>
              <w:t>。</w:t>
            </w:r>
          </w:p>
          <w:p>
            <w:pPr>
              <w:autoSpaceDE w:val="0"/>
              <w:autoSpaceDN w:val="0"/>
              <w:spacing w:line="360" w:lineRule="auto"/>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2、截止时间：同投标截止时间；</w:t>
            </w:r>
          </w:p>
          <w:p>
            <w:pPr>
              <w:autoSpaceDE w:val="0"/>
              <w:autoSpaceDN w:val="0"/>
              <w:spacing w:line="360" w:lineRule="auto"/>
              <w:contextualSpacing/>
              <w:rPr>
                <w:rFonts w:cs="宋体" w:asciiTheme="minorEastAsia" w:hAnsiTheme="minorEastAsia"/>
                <w:kern w:val="0"/>
                <w:szCs w:val="21"/>
                <w:highlight w:val="none"/>
              </w:rPr>
            </w:pPr>
            <w:r>
              <w:rPr>
                <w:rFonts w:hint="eastAsia" w:cs="宋体" w:asciiTheme="minorEastAsia" w:hAnsiTheme="minorEastAsia"/>
                <w:kern w:val="0"/>
                <w:szCs w:val="21"/>
              </w:rPr>
              <w:t>3、信用信息查询记录和证据留存具体方式：经采购人确认的查询结果网页截图作为查询记录和证据，与其他采</w:t>
            </w:r>
            <w:r>
              <w:rPr>
                <w:rFonts w:hint="eastAsia" w:cs="宋体" w:asciiTheme="minorEastAsia" w:hAnsiTheme="minorEastAsia"/>
                <w:kern w:val="0"/>
                <w:szCs w:val="21"/>
                <w:highlight w:val="none"/>
              </w:rPr>
              <w:t>购文件一并保存；</w:t>
            </w:r>
          </w:p>
          <w:p>
            <w:pPr>
              <w:autoSpaceDE w:val="0"/>
              <w:autoSpaceDN w:val="0"/>
              <w:spacing w:line="360" w:lineRule="auto"/>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4、信用信息的使用原则：经采购人认定的被列入失信被执行人、重大税收违法案件当事人名单、政府采购严重违法失信行为记录名单</w:t>
            </w:r>
            <w:r>
              <w:rPr>
                <w:rFonts w:hint="eastAsia" w:cs="宋体" w:asciiTheme="minorEastAsia" w:hAnsiTheme="minorEastAsia"/>
                <w:kern w:val="0"/>
                <w:szCs w:val="21"/>
                <w:highlight w:val="none"/>
                <w:lang w:eastAsia="zh-CN"/>
              </w:rPr>
              <w:t>、</w:t>
            </w:r>
            <w:r>
              <w:rPr>
                <w:rFonts w:hint="eastAsia" w:cs="宋体" w:asciiTheme="minorEastAsia" w:hAnsiTheme="minorEastAsia"/>
                <w:kern w:val="0"/>
                <w:szCs w:val="21"/>
                <w:highlight w:val="none"/>
                <w:lang w:val="en-US" w:eastAsia="zh-CN"/>
              </w:rPr>
              <w:t>严重违法失信名单</w:t>
            </w:r>
            <w:r>
              <w:rPr>
                <w:rFonts w:hint="eastAsia" w:cs="宋体" w:asciiTheme="minorEastAsia" w:hAnsiTheme="minorEastAsia"/>
                <w:kern w:val="0"/>
                <w:szCs w:val="21"/>
                <w:highlight w:val="none"/>
              </w:rPr>
              <w:t>的投标人，将拒绝其参与本次政府采购活动。</w:t>
            </w:r>
          </w:p>
          <w:p>
            <w:pPr>
              <w:autoSpaceDE w:val="0"/>
              <w:autoSpaceDN w:val="0"/>
              <w:spacing w:line="360" w:lineRule="auto"/>
              <w:contextualSpacing/>
              <w:rPr>
                <w:rFonts w:cs="仿宋_GB2312" w:asciiTheme="minorEastAsia" w:hAnsiTheme="minorEastAsia"/>
                <w:szCs w:val="21"/>
              </w:rPr>
            </w:pPr>
            <w:r>
              <w:rPr>
                <w:rFonts w:hint="eastAsia" w:cs="宋体" w:asciiTheme="minorEastAsia" w:hAnsiTheme="minorEastAsia"/>
                <w:kern w:val="0"/>
                <w:szCs w:val="21"/>
                <w:highlight w:val="none"/>
              </w:rPr>
              <w:t>5、</w:t>
            </w:r>
            <w:r>
              <w:rPr>
                <w:rFonts w:hint="eastAsia" w:asciiTheme="minorHAnsi" w:hAnsiTheme="minorHAnsi" w:eastAsiaTheme="minorEastAsia" w:cstheme="minorBidi"/>
                <w:kern w:val="2"/>
                <w:sz w:val="21"/>
                <w:szCs w:val="22"/>
                <w:lang w:val="en-US" w:eastAsia="zh-CN" w:bidi="ar-SA"/>
              </w:rPr>
              <w:t>供应商无须提供信用记录查询结果网页截屏，投标人不良信用记录以采购人在开标现场查询结果为准，采购人查询之后，网站信息发生的任何变更不再作为评审依据，投标人自行提供的与网站信息不一致的其他证明材料亦不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联合体投标</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最高限价</w:t>
            </w:r>
          </w:p>
        </w:tc>
        <w:tc>
          <w:tcPr>
            <w:tcW w:w="6813"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left"/>
              <w:rPr>
                <w:rFonts w:cs="宋体" w:asciiTheme="minorEastAsia" w:hAnsiTheme="minorEastAsia"/>
                <w:bCs/>
                <w:szCs w:val="21"/>
                <w:lang w:val="zh-CN"/>
              </w:rPr>
            </w:pPr>
            <w:r>
              <w:rPr>
                <w:rFonts w:hint="eastAsia" w:cs="宋体" w:asciiTheme="minorEastAsia" w:hAnsiTheme="minorEastAsia" w:eastAsiaTheme="minorEastAsia"/>
                <w:bCs/>
                <w:kern w:val="2"/>
                <w:sz w:val="21"/>
                <w:szCs w:val="21"/>
                <w:lang w:val="en-US" w:eastAsia="zh-CN" w:bidi="ar-SA"/>
              </w:rPr>
              <w:t>一标</w:t>
            </w:r>
            <w:r>
              <w:rPr>
                <w:rFonts w:hint="eastAsia" w:cs="宋体" w:asciiTheme="minorEastAsia" w:hAnsiTheme="minorEastAsia"/>
                <w:bCs/>
                <w:kern w:val="2"/>
                <w:sz w:val="21"/>
                <w:szCs w:val="21"/>
                <w:lang w:val="en-US" w:eastAsia="zh-CN" w:bidi="ar-SA"/>
              </w:rPr>
              <w:t>包</w:t>
            </w:r>
            <w:r>
              <w:rPr>
                <w:rFonts w:hint="eastAsia" w:cs="宋体" w:asciiTheme="minorEastAsia" w:hAnsiTheme="minorEastAsia" w:eastAsiaTheme="minorEastAsia"/>
                <w:bCs/>
                <w:kern w:val="2"/>
                <w:sz w:val="21"/>
                <w:szCs w:val="21"/>
                <w:lang w:val="en-US" w:eastAsia="zh-CN" w:bidi="ar-SA"/>
              </w:rPr>
              <w:t>：400000元，二标</w:t>
            </w:r>
            <w:r>
              <w:rPr>
                <w:rFonts w:hint="eastAsia" w:cs="宋体" w:asciiTheme="minorEastAsia" w:hAnsiTheme="minorEastAsia"/>
                <w:bCs/>
                <w:kern w:val="2"/>
                <w:sz w:val="21"/>
                <w:szCs w:val="21"/>
                <w:lang w:val="en-US" w:eastAsia="zh-CN" w:bidi="ar-SA"/>
              </w:rPr>
              <w:t>包</w:t>
            </w:r>
            <w:r>
              <w:rPr>
                <w:rFonts w:hint="eastAsia" w:cs="宋体" w:asciiTheme="minorEastAsia" w:hAnsiTheme="minorEastAsia" w:eastAsiaTheme="minorEastAsia"/>
                <w:bCs/>
                <w:kern w:val="2"/>
                <w:sz w:val="21"/>
                <w:szCs w:val="21"/>
                <w:lang w:val="en-US" w:eastAsia="zh-CN" w:bidi="ar-SA"/>
              </w:rPr>
              <w:t>：1000000元，三标</w:t>
            </w:r>
            <w:r>
              <w:rPr>
                <w:rFonts w:hint="eastAsia" w:cs="宋体" w:asciiTheme="minorEastAsia" w:hAnsiTheme="minorEastAsia"/>
                <w:bCs/>
                <w:kern w:val="2"/>
                <w:sz w:val="21"/>
                <w:szCs w:val="21"/>
                <w:lang w:val="en-US" w:eastAsia="zh-CN" w:bidi="ar-SA"/>
              </w:rPr>
              <w:t>包</w:t>
            </w:r>
            <w:r>
              <w:rPr>
                <w:rFonts w:hint="eastAsia" w:cs="宋体" w:asciiTheme="minorEastAsia" w:hAnsiTheme="minorEastAsia" w:eastAsiaTheme="minorEastAsia"/>
                <w:bCs/>
                <w:kern w:val="2"/>
                <w:sz w:val="21"/>
                <w:szCs w:val="21"/>
                <w:lang w:val="en-US" w:eastAsia="zh-CN" w:bidi="ar-SA"/>
              </w:rPr>
              <w:t>：1000000元</w:t>
            </w:r>
            <w:r>
              <w:rPr>
                <w:rFonts w:hint="eastAsia" w:cs="宋体" w:asciiTheme="minorEastAsia" w:hAnsiTheme="minorEastAsia"/>
                <w:bCs/>
                <w:kern w:val="2"/>
                <w:sz w:val="21"/>
                <w:szCs w:val="21"/>
                <w:lang w:val="en-US" w:eastAsia="zh-CN" w:bidi="ar-SA"/>
              </w:rPr>
              <w:t>。</w:t>
            </w:r>
            <w:r>
              <w:rPr>
                <w:rFonts w:hint="eastAsia" w:cs="宋体" w:asciiTheme="minorEastAsia" w:hAnsiTheme="minorEastAsia" w:eastAsiaTheme="minorEastAsia"/>
                <w:bCs/>
                <w:kern w:val="2"/>
                <w:sz w:val="21"/>
                <w:szCs w:val="21"/>
                <w:lang w:val="zh-CN" w:eastAsia="zh-CN" w:bidi="ar-SA"/>
              </w:rPr>
              <w:t>超出最高限价的投标无效。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 w:val="13"/>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不组织</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开标前答疑会</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不召开</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813" w:type="dxa"/>
            <w:vAlign w:val="center"/>
          </w:tcPr>
          <w:p>
            <w:pPr>
              <w:autoSpaceDE w:val="0"/>
              <w:autoSpaceDN w:val="0"/>
              <w:adjustRightInd w:val="0"/>
              <w:spacing w:line="276" w:lineRule="auto"/>
              <w:rPr>
                <w:rFonts w:asciiTheme="minorEastAsia" w:hAnsiTheme="minorEastAsia"/>
                <w:szCs w:val="21"/>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投标有效期</w:t>
            </w:r>
          </w:p>
        </w:tc>
        <w:tc>
          <w:tcPr>
            <w:tcW w:w="6813" w:type="dxa"/>
            <w:vAlign w:val="center"/>
          </w:tcPr>
          <w:p>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rPr>
              <w:t>60天（自</w:t>
            </w:r>
            <w:r>
              <w:rPr>
                <w:rFonts w:hint="eastAsia" w:cs="宋体" w:asciiTheme="minorEastAsia" w:hAnsiTheme="minorEastAsia"/>
                <w:kern w:val="0"/>
                <w:szCs w:val="21"/>
              </w:rPr>
              <w:t>提交投标文件的截止之日起算</w:t>
            </w:r>
            <w:r>
              <w:rPr>
                <w:rFonts w:hint="eastAsia" w:cs="仿宋_GB2312" w:asciiTheme="minorEastAsia" w:hAnsiTheme="minorEastAsia"/>
                <w:szCs w:val="21"/>
              </w:rPr>
              <w:t>）</w:t>
            </w:r>
          </w:p>
          <w:p>
            <w:pPr>
              <w:autoSpaceDE w:val="0"/>
              <w:autoSpaceDN w:val="0"/>
              <w:adjustRightInd w:val="0"/>
              <w:spacing w:line="360" w:lineRule="auto"/>
              <w:rPr>
                <w:rFonts w:cs="仿宋_GB2312" w:asciiTheme="minorEastAsia" w:hAnsiTheme="minorEastAsia"/>
                <w:szCs w:val="21"/>
              </w:rPr>
            </w:pPr>
            <w:r>
              <w:rPr>
                <w:rFonts w:cs="仿宋_GB2312" w:asciiTheme="minorEastAsia" w:hAnsiTheme="minorEastAsia"/>
                <w:szCs w:val="21"/>
                <w:lang w:val="zh-CN"/>
              </w:rPr>
              <w:t>中标</w:t>
            </w:r>
            <w:r>
              <w:rPr>
                <w:rFonts w:hint="eastAsia" w:cs="仿宋_GB2312" w:asciiTheme="minorEastAsia" w:hAnsiTheme="minorEastAsia"/>
                <w:szCs w:val="21"/>
                <w:lang w:val="zh-CN"/>
              </w:rPr>
              <w:t>人投标</w:t>
            </w:r>
            <w:r>
              <w:rPr>
                <w:rFonts w:cs="仿宋_GB2312" w:asciiTheme="minorEastAsia" w:hAnsiTheme="minorEastAsia"/>
                <w:szCs w:val="21"/>
                <w:lang w:val="zh-CN"/>
              </w:rPr>
              <w:t>有效期延</w:t>
            </w:r>
            <w:r>
              <w:rPr>
                <w:rFonts w:hint="eastAsia" w:cs="仿宋_GB2312" w:asciiTheme="minorEastAsia" w:hAnsiTheme="minorEastAsia"/>
                <w:szCs w:val="21"/>
                <w:lang w:val="zh-CN"/>
              </w:rPr>
              <w:t>至合同</w:t>
            </w:r>
            <w:r>
              <w:rPr>
                <w:rFonts w:cs="仿宋_GB2312" w:asciiTheme="minorEastAsia" w:hAnsiTheme="minorEastAsia"/>
                <w:szCs w:val="21"/>
                <w:lang w:val="zh-CN"/>
              </w:rPr>
              <w:t>验收之日</w:t>
            </w:r>
            <w:r>
              <w:rPr>
                <w:rFonts w:hint="eastAsia" w:cs="仿宋_GB2312" w:asciiTheme="minorEastAsia" w:hAnsiTheme="minorEastAsia"/>
                <w:szCs w:val="21"/>
                <w:lang w:val="zh-CN"/>
              </w:rPr>
              <w:t>，</w:t>
            </w:r>
            <w:r>
              <w:rPr>
                <w:rFonts w:hint="eastAsia" w:cs="宋体" w:asciiTheme="minorEastAsia" w:hAnsiTheme="minorEastAsia"/>
                <w:kern w:val="0"/>
                <w:szCs w:val="21"/>
              </w:rPr>
              <w:t>中标人全部合同义务履行完毕为止。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268" w:type="dxa"/>
            <w:vAlign w:val="center"/>
          </w:tcPr>
          <w:p>
            <w:pPr>
              <w:autoSpaceDE w:val="0"/>
              <w:autoSpaceDN w:val="0"/>
              <w:adjustRightInd w:val="0"/>
              <w:spacing w:line="360" w:lineRule="auto"/>
              <w:rPr>
                <w:rFonts w:cs="仿宋_GB2312" w:asciiTheme="minorEastAsia" w:hAnsiTheme="minorEastAsia"/>
                <w:szCs w:val="21"/>
              </w:rPr>
            </w:pPr>
            <w:r>
              <w:rPr>
                <w:rFonts w:cs="宋体" w:asciiTheme="minorEastAsia" w:hAnsiTheme="minorEastAsia"/>
                <w:bCs/>
                <w:szCs w:val="21"/>
                <w:lang w:val="zh-CN"/>
              </w:rPr>
              <w:t>中标人将本项目非主体、非关键性工作分包</w:t>
            </w:r>
          </w:p>
        </w:tc>
        <w:tc>
          <w:tcPr>
            <w:tcW w:w="6813" w:type="dxa"/>
            <w:vAlign w:val="center"/>
          </w:tcPr>
          <w:p>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投标截止及开标时间</w:t>
            </w:r>
          </w:p>
        </w:tc>
        <w:tc>
          <w:tcPr>
            <w:tcW w:w="6813" w:type="dxa"/>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ascii="宋体" w:hAnsi="宋体" w:eastAsia="宋体" w:cs="仿宋_GB2312"/>
                <w:color w:val="auto"/>
                <w:kern w:val="2"/>
                <w:sz w:val="24"/>
                <w:szCs w:val="24"/>
                <w:lang w:val="en-US" w:eastAsia="zh-CN" w:bidi="ar-SA"/>
              </w:rPr>
              <w:t>2020</w:t>
            </w:r>
            <w:r>
              <w:rPr>
                <w:rFonts w:hint="eastAsia" w:ascii="宋体" w:hAnsi="宋体" w:eastAsia="宋体" w:cs="仿宋_GB2312"/>
                <w:color w:val="auto"/>
                <w:kern w:val="2"/>
                <w:sz w:val="24"/>
                <w:szCs w:val="24"/>
                <w:lang w:val="zh-CN" w:eastAsia="zh-CN" w:bidi="ar-SA"/>
              </w:rPr>
              <w:t>年</w:t>
            </w:r>
            <w:r>
              <w:rPr>
                <w:rFonts w:hint="eastAsia" w:ascii="宋体" w:hAnsi="宋体" w:eastAsia="宋体" w:cs="仿宋_GB2312"/>
                <w:color w:val="auto"/>
                <w:kern w:val="2"/>
                <w:sz w:val="24"/>
                <w:szCs w:val="24"/>
                <w:lang w:val="en-US" w:eastAsia="zh-CN" w:bidi="ar-SA"/>
              </w:rPr>
              <w:t>3</w:t>
            </w:r>
            <w:r>
              <w:rPr>
                <w:rFonts w:hint="eastAsia" w:ascii="宋体" w:hAnsi="宋体" w:eastAsia="宋体" w:cs="仿宋_GB2312"/>
                <w:color w:val="auto"/>
                <w:kern w:val="2"/>
                <w:sz w:val="24"/>
                <w:szCs w:val="24"/>
                <w:lang w:val="zh-CN" w:eastAsia="zh-CN" w:bidi="ar-SA"/>
              </w:rPr>
              <w:t>月</w:t>
            </w:r>
            <w:r>
              <w:rPr>
                <w:rFonts w:hint="eastAsia" w:ascii="宋体" w:hAnsi="宋体" w:eastAsia="宋体" w:cs="仿宋_GB2312"/>
                <w:color w:val="auto"/>
                <w:kern w:val="2"/>
                <w:sz w:val="24"/>
                <w:szCs w:val="24"/>
                <w:lang w:val="en-US" w:eastAsia="zh-CN" w:bidi="ar-SA"/>
              </w:rPr>
              <w:t>27</w:t>
            </w:r>
            <w:r>
              <w:rPr>
                <w:rFonts w:hint="eastAsia" w:ascii="宋体" w:hAnsi="宋体" w:eastAsia="宋体" w:cs="仿宋_GB2312"/>
                <w:color w:val="auto"/>
                <w:kern w:val="2"/>
                <w:sz w:val="24"/>
                <w:szCs w:val="24"/>
                <w:lang w:val="zh-CN" w:eastAsia="zh-CN" w:bidi="ar-SA"/>
              </w:rPr>
              <w:t>日</w:t>
            </w:r>
            <w:r>
              <w:rPr>
                <w:rFonts w:hint="eastAsia" w:ascii="宋体" w:hAnsi="宋体" w:eastAsia="宋体" w:cs="仿宋_GB2312"/>
                <w:color w:val="auto"/>
                <w:kern w:val="2"/>
                <w:sz w:val="24"/>
                <w:szCs w:val="24"/>
                <w:lang w:val="en-US" w:eastAsia="zh-CN" w:bidi="ar-SA"/>
              </w:rPr>
              <w:t>09</w:t>
            </w:r>
            <w:r>
              <w:rPr>
                <w:rFonts w:hint="eastAsia" w:ascii="宋体" w:hAnsi="宋体" w:eastAsia="宋体" w:cs="仿宋_GB2312"/>
                <w:color w:val="auto"/>
                <w:kern w:val="2"/>
                <w:sz w:val="24"/>
                <w:szCs w:val="24"/>
                <w:lang w:val="zh-CN" w:eastAsia="zh-CN" w:bidi="ar-SA"/>
              </w:rPr>
              <w:t>时</w:t>
            </w:r>
            <w:r>
              <w:rPr>
                <w:rFonts w:hint="eastAsia" w:ascii="宋体" w:hAnsi="宋体" w:eastAsia="宋体" w:cs="仿宋_GB2312"/>
                <w:color w:val="auto"/>
                <w:kern w:val="2"/>
                <w:sz w:val="24"/>
                <w:szCs w:val="24"/>
                <w:lang w:val="en-US" w:eastAsia="zh-CN" w:bidi="ar-SA"/>
              </w:rPr>
              <w:t>00</w:t>
            </w:r>
            <w:r>
              <w:rPr>
                <w:rFonts w:hint="eastAsia" w:ascii="宋体" w:hAnsi="宋体" w:eastAsia="宋体" w:cs="仿宋_GB2312"/>
                <w:color w:val="auto"/>
                <w:kern w:val="2"/>
                <w:sz w:val="24"/>
                <w:szCs w:val="24"/>
                <w:lang w:val="zh-CN" w:eastAsia="zh-CN" w:bidi="ar-SA"/>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递交投标文件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及开标地点</w:t>
            </w:r>
          </w:p>
        </w:tc>
        <w:tc>
          <w:tcPr>
            <w:tcW w:w="6813" w:type="dxa"/>
            <w:vAlign w:val="center"/>
          </w:tcPr>
          <w:p>
            <w:pPr>
              <w:pStyle w:val="23"/>
              <w:widowControl/>
              <w:shd w:val="clear" w:color="auto" w:fill="FFFFFF"/>
              <w:spacing w:line="360" w:lineRule="auto"/>
              <w:contextualSpacing/>
              <w:jc w:val="left"/>
              <w:rPr>
                <w:rFonts w:cs="宋体" w:asciiTheme="minorEastAsia" w:hAnsiTheme="minorEastAsia"/>
                <w:bCs/>
                <w:color w:val="auto"/>
                <w:szCs w:val="21"/>
                <w:lang w:val="zh-CN"/>
              </w:rPr>
            </w:pPr>
            <w:r>
              <w:rPr>
                <w:rFonts w:hint="eastAsia" w:cs="宋体" w:asciiTheme="minorEastAsia" w:hAnsiTheme="minorEastAsia"/>
                <w:bCs/>
                <w:color w:val="auto"/>
                <w:szCs w:val="21"/>
                <w:lang w:val="zh-CN"/>
              </w:rPr>
              <w:t>长葛市公共资源交易中心开标</w:t>
            </w:r>
            <w:r>
              <w:rPr>
                <w:rFonts w:hint="eastAsia" w:cs="宋体" w:asciiTheme="minorEastAsia" w:hAnsiTheme="minorEastAsia"/>
                <w:bCs/>
                <w:color w:val="auto"/>
                <w:szCs w:val="21"/>
                <w:u w:val="none"/>
                <w:lang w:val="en-US" w:eastAsia="zh-CN"/>
              </w:rPr>
              <w:t>二</w:t>
            </w:r>
            <w:r>
              <w:rPr>
                <w:rFonts w:hint="eastAsia" w:cs="宋体" w:asciiTheme="minorEastAsia" w:hAnsiTheme="minorEastAsia"/>
                <w:bCs/>
                <w:color w:val="auto"/>
                <w:szCs w:val="21"/>
                <w:lang w:val="zh-CN"/>
              </w:rPr>
              <w:t>室</w:t>
            </w:r>
            <w:r>
              <w:rPr>
                <w:rFonts w:hint="eastAsia" w:ascii="宋体" w:hAnsi="宋体" w:cs="仿宋_GB2312"/>
                <w:color w:val="auto"/>
              </w:rPr>
              <w:t>（长葛市葛天大道东段商务区6#楼</w:t>
            </w:r>
            <w:r>
              <w:rPr>
                <w:rFonts w:hint="eastAsia" w:ascii="宋体" w:hAnsi="宋体" w:cs="仿宋_GB2312"/>
                <w:color w:val="auto"/>
                <w:lang w:val="en-US" w:eastAsia="zh-CN"/>
              </w:rPr>
              <w:t>4</w:t>
            </w:r>
            <w:r>
              <w:rPr>
                <w:rFonts w:hint="eastAsia" w:ascii="宋体" w:hAnsi="宋体" w:cs="仿宋_GB2312"/>
                <w:color w:val="auto"/>
              </w:rPr>
              <w:t>楼</w:t>
            </w:r>
            <w:r>
              <w:rPr>
                <w:rFonts w:hint="eastAsia" w:ascii="宋体" w:hAnsi="宋体" w:cs="仿宋_GB2312"/>
                <w:color w:val="auto"/>
                <w:lang w:val="en-US" w:eastAsia="zh-CN"/>
              </w:rPr>
              <w:t>409</w:t>
            </w:r>
            <w:r>
              <w:rPr>
                <w:rFonts w:hint="eastAsia" w:ascii="宋体" w:hAnsi="宋体" w:cs="仿宋_GB2312"/>
                <w:color w:val="auto"/>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投标保证金</w:t>
            </w:r>
          </w:p>
        </w:tc>
        <w:tc>
          <w:tcPr>
            <w:tcW w:w="6813" w:type="dxa"/>
            <w:vAlign w:val="center"/>
          </w:tcPr>
          <w:p>
            <w:pPr>
              <w:tabs>
                <w:tab w:val="left" w:pos="1260"/>
              </w:tabs>
              <w:autoSpaceDE w:val="0"/>
              <w:autoSpaceDN w:val="0"/>
              <w:spacing w:line="360" w:lineRule="auto"/>
              <w:contextualSpacing/>
              <w:rPr>
                <w:rFonts w:hint="eastAsia" w:cs="仿宋_GB2312" w:asciiTheme="minorEastAsia" w:hAnsiTheme="minorEastAsia" w:eastAsiaTheme="minorEastAsia"/>
                <w:szCs w:val="21"/>
                <w:lang w:val="zh-CN" w:eastAsia="zh-CN"/>
              </w:rPr>
            </w:pPr>
            <w:r>
              <w:rPr>
                <w:rFonts w:hint="eastAsia" w:cs="仿宋_GB2312" w:asciiTheme="minorEastAsia" w:hAnsiTheme="minorEastAsia"/>
                <w:szCs w:val="21"/>
                <w:lang w:eastAsia="zh-CN"/>
              </w:rPr>
              <w:t>按照河南省《</w:t>
            </w:r>
            <w:r>
              <w:rPr>
                <w:rFonts w:hint="eastAsia" w:cs="仿宋_GB2312" w:asciiTheme="minorEastAsia" w:hAnsiTheme="minorEastAsia"/>
                <w:szCs w:val="21"/>
              </w:rPr>
              <w:t>关于优化政府采购营商环境有关问题的通知</w:t>
            </w:r>
            <w:r>
              <w:rPr>
                <w:rFonts w:hint="eastAsia" w:cs="仿宋_GB2312" w:asciiTheme="minorEastAsia" w:hAnsiTheme="minorEastAsia"/>
                <w:szCs w:val="21"/>
                <w:lang w:eastAsia="zh-CN"/>
              </w:rPr>
              <w:t>》（豫财购（</w:t>
            </w:r>
            <w:r>
              <w:rPr>
                <w:rFonts w:hint="eastAsia" w:cs="仿宋_GB2312" w:asciiTheme="minorEastAsia" w:hAnsiTheme="minorEastAsia"/>
                <w:szCs w:val="21"/>
                <w:lang w:val="en-US" w:eastAsia="zh-CN"/>
              </w:rPr>
              <w:t>2019</w:t>
            </w:r>
            <w:r>
              <w:rPr>
                <w:rFonts w:hint="eastAsia" w:cs="仿宋_GB2312" w:asciiTheme="minorEastAsia" w:hAnsiTheme="minorEastAsia"/>
                <w:szCs w:val="21"/>
                <w:lang w:eastAsia="zh-CN"/>
              </w:rPr>
              <w:t>）</w:t>
            </w:r>
            <w:r>
              <w:rPr>
                <w:rFonts w:hint="eastAsia" w:cs="仿宋_GB2312" w:asciiTheme="minorEastAsia" w:hAnsiTheme="minorEastAsia"/>
                <w:szCs w:val="21"/>
                <w:lang w:val="en-US" w:eastAsia="zh-CN"/>
              </w:rPr>
              <w:t>4号文</w:t>
            </w:r>
            <w:r>
              <w:rPr>
                <w:rFonts w:hint="eastAsia" w:cs="仿宋_GB2312" w:asciiTheme="minorEastAsia" w:hAnsiTheme="minorEastAsia"/>
                <w:szCs w:val="21"/>
                <w:lang w:eastAsia="zh-CN"/>
              </w:rPr>
              <w:t>）的要求，不收取保证金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813" w:type="dxa"/>
            <w:tcBorders>
              <w:top w:val="single" w:color="auto" w:sz="4" w:space="0"/>
            </w:tcBorders>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color w:val="000000"/>
                <w:szCs w:val="21"/>
              </w:rPr>
              <w:t>招标公告、中标公告、变更（更正）公告、现场勘察答复等相关信息同时在以下网站发布：《河南省政府采购网》、《全国公共资源交易平台（河南省·许昌市）》、《</w:t>
            </w:r>
            <w:r>
              <w:rPr>
                <w:rFonts w:hint="eastAsia" w:ascii="宋体" w:hAnsi="宋体" w:cs="宋体"/>
                <w:color w:val="000000"/>
                <w:szCs w:val="21"/>
              </w:rPr>
              <w:t>长葛市人民政府门户网站</w:t>
            </w:r>
            <w:r>
              <w:rPr>
                <w:rFonts w:hint="eastAsia" w:cs="宋体" w:asciiTheme="minorEastAsia" w:hAnsiTheme="minor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招标文件时间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投标截止时间15日前（</w:t>
            </w:r>
            <w:r>
              <w:rPr>
                <w:rFonts w:hint="eastAsia" w:cs="仿宋_GB2312" w:asciiTheme="minorEastAsia" w:hAnsiTheme="minorEastAsia"/>
                <w:szCs w:val="21"/>
                <w:lang w:val="zh-CN"/>
              </w:rPr>
              <w:t>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投标人对采购文件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招标公告期满之日起七个工作日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投标文件份数</w:t>
            </w:r>
          </w:p>
        </w:tc>
        <w:tc>
          <w:tcPr>
            <w:tcW w:w="6813" w:type="dxa"/>
            <w:vAlign w:val="center"/>
          </w:tcPr>
          <w:p>
            <w:pPr>
              <w:autoSpaceDE w:val="0"/>
              <w:autoSpaceDN w:val="0"/>
              <w:adjustRightInd w:val="0"/>
              <w:spacing w:line="360" w:lineRule="auto"/>
              <w:rPr>
                <w:rFonts w:cs="宋体" w:asciiTheme="minorEastAsia" w:hAnsiTheme="minorEastAsia"/>
                <w:color w:val="000000"/>
                <w:szCs w:val="21"/>
              </w:rPr>
            </w:pPr>
            <w:r>
              <w:rPr>
                <w:rFonts w:ascii="新宋体" w:hAnsi="新宋体" w:eastAsia="新宋体"/>
                <w:b/>
                <w:szCs w:val="21"/>
              </w:rPr>
              <w:fldChar w:fldCharType="begin"/>
            </w:r>
            <w:r>
              <w:rPr>
                <w:rFonts w:ascii="新宋体" w:hAnsi="新宋体" w:eastAsia="新宋体"/>
                <w:b/>
                <w:szCs w:val="21"/>
              </w:rPr>
              <w:instrText xml:space="preserve"> </w:instrText>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电子投标文件：成功上传至《全国公共资源交易平台（河南省·许昌市）》公共资源交易系统加密电子投标文件1份</w:t>
            </w:r>
            <w:r>
              <w:rPr>
                <w:rFonts w:hint="eastAsia" w:hAnsi="宋体" w:cs="宋体"/>
                <w:szCs w:val="21"/>
                <w:lang w:val="zh-CN"/>
              </w:rPr>
              <w:t>（文件格式为： XXX公司XXX项目编号.file）。</w:t>
            </w:r>
            <w:r>
              <w:rPr>
                <w:rFonts w:hint="eastAsia" w:ascii="新宋体" w:hAnsi="新宋体" w:eastAsia="新宋体"/>
                <w:szCs w:val="21"/>
              </w:rPr>
              <w:t>使用电子介质存储的备份文件1份（文件格式为：名称为“备份”的文件夹）。</w:t>
            </w:r>
          </w:p>
          <w:p>
            <w:pPr>
              <w:autoSpaceDE w:val="0"/>
              <w:autoSpaceDN w:val="0"/>
              <w:adjustRightInd w:val="0"/>
              <w:spacing w:line="360" w:lineRule="auto"/>
              <w:rPr>
                <w:rFonts w:ascii="新宋体" w:hAnsi="新宋体" w:eastAsia="新宋体"/>
                <w:szCs w:val="21"/>
              </w:rPr>
            </w:pPr>
            <w:r>
              <w:rPr>
                <w:rFonts w:ascii="新宋体" w:hAnsi="新宋体" w:eastAsia="新宋体"/>
                <w:b/>
                <w:szCs w:val="21"/>
              </w:rPr>
              <w:fldChar w:fldCharType="begin"/>
            </w:r>
            <w:r>
              <w:rPr>
                <w:rFonts w:ascii="新宋体" w:hAnsi="新宋体" w:eastAsia="新宋体"/>
                <w:b/>
                <w:szCs w:val="21"/>
              </w:rPr>
              <w:instrText xml:space="preserve"> </w:instrText>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纸质投标文件：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w:t>
            </w:r>
            <w:r>
              <w:rPr>
                <w:rFonts w:hint="eastAsia" w:cs="仿宋_GB2312" w:asciiTheme="minorEastAsia" w:hAnsiTheme="minorEastAsia"/>
                <w:szCs w:val="21"/>
                <w:u w:val="none"/>
              </w:rPr>
              <w:t>副本一份</w:t>
            </w:r>
            <w:r>
              <w:rPr>
                <w:rFonts w:hint="eastAsia" w:cs="仿宋_GB2312" w:asciiTheme="minorEastAsia" w:hAnsiTheme="minorEastAsia"/>
                <w:szCs w:val="21"/>
              </w:rPr>
              <w:t>。使用</w:t>
            </w:r>
            <w:r>
              <w:rPr>
                <w:rFonts w:hint="eastAsia" w:ascii="新宋体" w:hAnsi="新宋体" w:eastAsia="新宋体"/>
                <w:szCs w:val="21"/>
              </w:rPr>
              <w:t>格式为“投标文件（供打印）.PDF”的文件</w:t>
            </w:r>
          </w:p>
          <w:p>
            <w:pPr>
              <w:autoSpaceDE w:val="0"/>
              <w:autoSpaceDN w:val="0"/>
              <w:adjustRightInd w:val="0"/>
              <w:spacing w:line="360" w:lineRule="auto"/>
              <w:rPr>
                <w:rFonts w:cs="宋体" w:asciiTheme="minorEastAsia" w:hAnsiTheme="minorEastAsia"/>
                <w:bCs/>
                <w:szCs w:val="21"/>
                <w:highlight w:val="lightGray"/>
                <w:lang w:val="zh-CN"/>
              </w:rPr>
            </w:pPr>
            <w:r>
              <w:rPr>
                <w:rFonts w:hint="eastAsia" w:ascii="新宋体" w:hAnsi="新宋体" w:eastAsia="新宋体"/>
                <w:szCs w:val="21"/>
              </w:rPr>
              <w:t>电子投标文件和纸质投标文件的内容、格式、水印码、签章应一致。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投标文件的</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813" w:type="dxa"/>
            <w:vAlign w:val="center"/>
          </w:tcPr>
          <w:p>
            <w:pPr>
              <w:autoSpaceDE w:val="0"/>
              <w:autoSpaceDN w:val="0"/>
              <w:adjustRightInd w:val="0"/>
              <w:spacing w:line="420" w:lineRule="exact"/>
              <w:rPr>
                <w:rFonts w:ascii="新宋体" w:hAnsi="新宋体" w:eastAsia="新宋体"/>
                <w:szCs w:val="21"/>
                <w:highlight w:val="none"/>
              </w:rPr>
            </w:pPr>
            <w:r>
              <w:rPr>
                <w:rFonts w:ascii="新宋体" w:hAnsi="新宋体" w:eastAsia="新宋体"/>
                <w:b/>
                <w:szCs w:val="21"/>
                <w:highlight w:val="none"/>
              </w:rPr>
              <w:fldChar w:fldCharType="begin"/>
            </w:r>
            <w:r>
              <w:rPr>
                <w:rFonts w:ascii="新宋体" w:hAnsi="新宋体" w:eastAsia="新宋体"/>
                <w:b/>
                <w:szCs w:val="21"/>
                <w:highlight w:val="none"/>
              </w:rPr>
              <w:instrText xml:space="preserve"> </w:instrText>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电子投标文件：按招标文件要求加盖投标人电子印章和法人电子印章。</w:t>
            </w:r>
          </w:p>
          <w:p>
            <w:pPr>
              <w:autoSpaceDE w:val="0"/>
              <w:autoSpaceDN w:val="0"/>
              <w:adjustRightInd w:val="0"/>
              <w:spacing w:line="420" w:lineRule="exact"/>
              <w:rPr>
                <w:rFonts w:cs="仿宋_GB2312" w:asciiTheme="minorEastAsia" w:hAnsiTheme="minorEastAsia"/>
                <w:szCs w:val="21"/>
                <w:highlight w:val="none"/>
              </w:rPr>
            </w:pPr>
            <w:r>
              <w:rPr>
                <w:rFonts w:ascii="新宋体" w:hAnsi="新宋体" w:eastAsia="新宋体"/>
                <w:b/>
                <w:szCs w:val="21"/>
                <w:highlight w:val="none"/>
              </w:rPr>
              <w:fldChar w:fldCharType="begin"/>
            </w:r>
            <w:r>
              <w:rPr>
                <w:rFonts w:ascii="新宋体" w:hAnsi="新宋体" w:eastAsia="新宋体"/>
                <w:b/>
                <w:szCs w:val="21"/>
                <w:highlight w:val="none"/>
              </w:rPr>
              <w:instrText xml:space="preserve"> </w:instrText>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纸质投标文件：投标文件封面加盖投标人公章（投标文件是指投标人电子投标文件制作完成后生成的后缀名为</w:t>
            </w:r>
            <w:r>
              <w:rPr>
                <w:rFonts w:hint="eastAsia" w:hAnsi="宋体"/>
                <w:color w:val="000000"/>
                <w:szCs w:val="21"/>
                <w:highlight w:val="none"/>
              </w:rPr>
              <w:t>“.PDF”的文件</w:t>
            </w:r>
            <w:r>
              <w:rPr>
                <w:rFonts w:hint="eastAsia" w:ascii="新宋体" w:hAnsi="新宋体" w:eastAsia="新宋体"/>
                <w:szCs w:val="21"/>
                <w:highlight w:val="none"/>
              </w:rPr>
              <w:t>打印的纸质投标文件）。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评标委员会组建</w:t>
            </w:r>
          </w:p>
        </w:tc>
        <w:tc>
          <w:tcPr>
            <w:tcW w:w="6813" w:type="dxa"/>
            <w:vAlign w:val="center"/>
          </w:tcPr>
          <w:p>
            <w:pPr>
              <w:autoSpaceDE w:val="0"/>
              <w:autoSpaceDN w:val="0"/>
              <w:adjustRightInd w:val="0"/>
              <w:spacing w:line="360" w:lineRule="auto"/>
              <w:rPr>
                <w:rFonts w:cs="仿宋_GB2312" w:asciiTheme="minorEastAsia" w:hAnsiTheme="minorEastAsia"/>
                <w:szCs w:val="21"/>
                <w:highlight w:val="none"/>
                <w:lang w:val="zh-CN"/>
              </w:rPr>
            </w:pPr>
            <w:r>
              <w:rPr>
                <w:rFonts w:ascii="新宋体" w:hAnsi="新宋体" w:eastAsia="新宋体"/>
                <w:b/>
                <w:szCs w:val="21"/>
                <w:highlight w:val="none"/>
              </w:rPr>
              <w:fldChar w:fldCharType="begin"/>
            </w:r>
            <w:r>
              <w:rPr>
                <w:rFonts w:ascii="新宋体" w:hAnsi="新宋体" w:eastAsia="新宋体"/>
                <w:b/>
                <w:szCs w:val="21"/>
                <w:highlight w:val="none"/>
              </w:rPr>
              <w:instrText xml:space="preserve"> </w:instrText>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cs="仿宋_GB2312" w:asciiTheme="minorEastAsia" w:hAnsiTheme="minorEastAsia"/>
                <w:szCs w:val="21"/>
                <w:highlight w:val="none"/>
                <w:lang w:val="zh-CN"/>
              </w:rPr>
              <w:t>由采购人代表</w:t>
            </w:r>
            <w:r>
              <w:rPr>
                <w:rFonts w:hint="eastAsia" w:cs="仿宋_GB2312" w:asciiTheme="minorEastAsia" w:hAnsiTheme="minorEastAsia"/>
                <w:szCs w:val="21"/>
                <w:highlight w:val="none"/>
                <w:lang w:val="en-US" w:eastAsia="zh-CN"/>
              </w:rPr>
              <w:t>1人</w:t>
            </w:r>
            <w:r>
              <w:rPr>
                <w:rFonts w:hint="eastAsia" w:cs="仿宋_GB2312" w:asciiTheme="minorEastAsia" w:hAnsiTheme="minorEastAsia"/>
                <w:szCs w:val="21"/>
                <w:highlight w:val="none"/>
                <w:lang w:val="zh-CN"/>
              </w:rPr>
              <w:t>和评审专家</w:t>
            </w:r>
            <w:r>
              <w:rPr>
                <w:rFonts w:hint="eastAsia" w:cs="仿宋_GB2312" w:asciiTheme="minorEastAsia" w:hAnsiTheme="minorEastAsia"/>
                <w:szCs w:val="21"/>
                <w:highlight w:val="none"/>
                <w:lang w:val="en-US" w:eastAsia="zh-CN"/>
              </w:rPr>
              <w:t>4人</w:t>
            </w:r>
            <w:r>
              <w:rPr>
                <w:rFonts w:hint="eastAsia" w:cs="仿宋_GB2312" w:asciiTheme="minorEastAsia" w:hAnsiTheme="minorEastAsia"/>
                <w:szCs w:val="21"/>
                <w:highlight w:val="none"/>
                <w:lang w:val="zh-CN"/>
              </w:rPr>
              <w:t>组成，其中评审专家的人数不少于评标委员会成员总数的三分之二。评审专家从政府采购评审专家库中随机抽取。</w:t>
            </w:r>
          </w:p>
          <w:p>
            <w:pPr>
              <w:autoSpaceDE w:val="0"/>
              <w:autoSpaceDN w:val="0"/>
              <w:adjustRightInd w:val="0"/>
              <w:spacing w:line="360" w:lineRule="auto"/>
              <w:rPr>
                <w:rFonts w:cs="宋体" w:asciiTheme="minorEastAsia" w:hAnsiTheme="minorEastAsia"/>
                <w:bCs/>
                <w:szCs w:val="21"/>
                <w:highlight w:val="none"/>
                <w:lang w:val="zh-CN"/>
              </w:rPr>
            </w:pPr>
            <w:r>
              <w:rPr>
                <w:rFonts w:hint="eastAsia" w:cs="仿宋_GB2312" w:asciiTheme="minorEastAsia" w:hAnsiTheme="minorEastAsia"/>
                <w:szCs w:val="21"/>
                <w:highlight w:val="none"/>
                <w:lang w:val="zh-CN"/>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21</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仿宋_GB2312" w:asciiTheme="minorEastAsia" w:hAnsiTheme="minorEastAsia"/>
                <w:szCs w:val="21"/>
              </w:rPr>
              <w:t>评标方法</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综合评分法</w:t>
            </w:r>
            <w:r>
              <w:rPr>
                <w:rFonts w:hint="eastAsia" w:cs="宋体" w:asciiTheme="minorEastAsia" w:hAnsiTheme="minorEastAsia"/>
                <w:color w:val="000000"/>
                <w:kern w:val="0"/>
                <w:szCs w:val="21"/>
                <w:lang w:val="zh-CN"/>
              </w:rPr>
              <w:t xml:space="preserve">  </w:t>
            </w:r>
            <w:r>
              <w:rPr>
                <w:rFonts w:hint="eastAsia" w:cs="宋体" w:asciiTheme="minorEastAsia" w:hAnsiTheme="minorEastAsia"/>
                <w:b/>
                <w:bCs/>
                <w:szCs w:val="21"/>
                <w:lang w:val="zh-CN"/>
              </w:rPr>
              <w:t>□</w:t>
            </w:r>
            <w:r>
              <w:rPr>
                <w:rFonts w:hint="eastAsia" w:cs="仿宋_GB2312" w:asciiTheme="minorEastAsia" w:hAnsiTheme="minorEastAsia"/>
                <w:szCs w:val="21"/>
                <w:lang w:val="zh-CN"/>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268" w:type="dxa"/>
            <w:vAlign w:val="center"/>
          </w:tcPr>
          <w:p>
            <w:pPr>
              <w:autoSpaceDE w:val="0"/>
              <w:autoSpaceDN w:val="0"/>
              <w:adjustRightInd w:val="0"/>
              <w:spacing w:line="360" w:lineRule="auto"/>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招标人代表及监督人员出席开标会议</w:t>
            </w:r>
          </w:p>
        </w:tc>
        <w:tc>
          <w:tcPr>
            <w:tcW w:w="6813" w:type="dxa"/>
            <w:vAlign w:val="center"/>
          </w:tcPr>
          <w:p>
            <w:pPr>
              <w:autoSpaceDE w:val="0"/>
              <w:autoSpaceDN w:val="0"/>
              <w:adjustRightInd w:val="0"/>
              <w:spacing w:line="360" w:lineRule="auto"/>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采购人单位委派代表参加开标会议，或者作为采购人代表进入资格审查小组的，或者作为采购人代表进入评审委员会的，须向采购代理机构出具由采购人法定代表人签字并加盖单位公章的有明确授权事项的授权函。</w:t>
            </w:r>
          </w:p>
          <w:p>
            <w:pPr>
              <w:autoSpaceDE w:val="0"/>
              <w:autoSpaceDN w:val="0"/>
              <w:adjustRightInd w:val="0"/>
              <w:spacing w:line="360" w:lineRule="auto"/>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除授权代表外，采购人单位委派纪检监察人员对评审过程实施监督的，须进入长葛市公共资源交易中心监控大厅，并向招标代理机构出具授权函，且不得超过2人。纪检监察人员对评审工作实施监督，并签字登记备案、备查，监督人员应切实履行监督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268" w:type="dxa"/>
            <w:vAlign w:val="center"/>
          </w:tcPr>
          <w:p>
            <w:pPr>
              <w:autoSpaceDE w:val="0"/>
              <w:autoSpaceDN w:val="0"/>
              <w:adjustRightInd w:val="0"/>
              <w:spacing w:line="360" w:lineRule="auto"/>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履约担保</w:t>
            </w:r>
          </w:p>
        </w:tc>
        <w:tc>
          <w:tcPr>
            <w:tcW w:w="6813" w:type="dxa"/>
            <w:vAlign w:val="center"/>
          </w:tcPr>
          <w:p>
            <w:pPr>
              <w:autoSpaceDE w:val="0"/>
              <w:autoSpaceDN w:val="0"/>
              <w:adjustRightInd w:val="0"/>
              <w:spacing w:line="360" w:lineRule="auto"/>
              <w:rPr>
                <w:rFonts w:hint="eastAsia"/>
                <w:lang w:val="zh-CN"/>
              </w:rPr>
            </w:pPr>
            <w:r>
              <w:rPr>
                <w:rFonts w:hint="eastAsia"/>
                <w:lang w:val="zh-CN"/>
              </w:rPr>
              <w:t>开户行：河南长葛农村商业银行股份有限公司营业部</w:t>
            </w:r>
          </w:p>
          <w:p>
            <w:pPr>
              <w:autoSpaceDE w:val="0"/>
              <w:autoSpaceDN w:val="0"/>
              <w:adjustRightInd w:val="0"/>
              <w:spacing w:line="360" w:lineRule="auto"/>
              <w:rPr>
                <w:rFonts w:hint="eastAsia"/>
                <w:lang w:val="zh-CN"/>
              </w:rPr>
            </w:pPr>
            <w:r>
              <w:rPr>
                <w:rFonts w:hint="eastAsia"/>
                <w:lang w:val="zh-CN"/>
              </w:rPr>
              <w:t>户  名：长葛市公共资源交易中心</w:t>
            </w:r>
          </w:p>
          <w:p>
            <w:pPr>
              <w:autoSpaceDE w:val="0"/>
              <w:autoSpaceDN w:val="0"/>
              <w:adjustRightInd w:val="0"/>
              <w:spacing w:line="360" w:lineRule="auto"/>
              <w:rPr>
                <w:rFonts w:hint="eastAsia"/>
                <w:lang w:val="zh-CN"/>
              </w:rPr>
            </w:pPr>
            <w:r>
              <w:rPr>
                <w:rFonts w:hint="eastAsia"/>
                <w:lang w:val="zh-CN"/>
              </w:rPr>
              <w:t>账  号：13201001800000552</w:t>
            </w:r>
          </w:p>
          <w:p>
            <w:pPr>
              <w:autoSpaceDE w:val="0"/>
              <w:autoSpaceDN w:val="0"/>
              <w:adjustRightInd w:val="0"/>
              <w:spacing w:line="360" w:lineRule="auto"/>
              <w:rPr>
                <w:rFonts w:hint="eastAsia"/>
                <w:lang w:val="zh-CN"/>
              </w:rPr>
            </w:pPr>
            <w:r>
              <w:rPr>
                <w:rFonts w:hint="eastAsia"/>
                <w:lang w:val="zh-CN"/>
              </w:rPr>
              <w:t>履约</w:t>
            </w:r>
            <w:r>
              <w:rPr>
                <w:rFonts w:hint="eastAsia"/>
                <w:lang w:val="zh-CN" w:eastAsia="zh-CN"/>
              </w:rPr>
              <w:t>担保</w:t>
            </w:r>
            <w:r>
              <w:rPr>
                <w:rFonts w:hint="eastAsia"/>
                <w:lang w:val="zh-CN"/>
              </w:rPr>
              <w:t>的金额：中标金额的10%。</w:t>
            </w:r>
          </w:p>
          <w:p>
            <w:pPr>
              <w:autoSpaceDE w:val="0"/>
              <w:autoSpaceDN w:val="0"/>
              <w:adjustRightInd w:val="0"/>
              <w:spacing w:line="360" w:lineRule="auto"/>
              <w:rPr>
                <w:rFonts w:hint="eastAsia"/>
                <w:u w:val="single"/>
                <w:lang w:eastAsia="zh-CN"/>
              </w:rPr>
            </w:pPr>
            <w:r>
              <w:rPr>
                <w:rFonts w:hint="eastAsia"/>
                <w:lang w:eastAsia="zh-CN"/>
              </w:rPr>
              <w:t>供应商在汇款时备注部分说明，此为</w:t>
            </w:r>
            <w:r>
              <w:rPr>
                <w:rFonts w:hint="eastAsia"/>
              </w:rPr>
              <w:t>项目编号</w:t>
            </w:r>
            <w:r>
              <w:rPr>
                <w:rFonts w:hint="eastAsia"/>
                <w:u w:val="single"/>
              </w:rPr>
              <w:t>：</w:t>
            </w:r>
            <w:r>
              <w:rPr>
                <w:rFonts w:hint="eastAsia" w:cs="仿宋_GB2312" w:asciiTheme="minorEastAsia" w:hAnsiTheme="minorEastAsia"/>
                <w:szCs w:val="21"/>
                <w:u w:val="single"/>
                <w:lang w:val="en-US" w:eastAsia="zh-CN"/>
              </w:rPr>
              <w:t>长招采公字[2019]089号</w:t>
            </w:r>
            <w:r>
              <w:rPr>
                <w:rFonts w:hint="eastAsia"/>
                <w:u w:val="single"/>
                <w:lang w:eastAsia="zh-CN"/>
              </w:rPr>
              <w:t>的履约担保。</w:t>
            </w:r>
          </w:p>
          <w:p>
            <w:pPr>
              <w:pStyle w:val="24"/>
              <w:ind w:left="0" w:leftChars="0" w:firstLine="0" w:firstLineChars="0"/>
              <w:rPr>
                <w:rFonts w:hint="eastAsia"/>
                <w:lang w:val="zh-CN" w:eastAsia="zh-CN"/>
              </w:rPr>
            </w:pPr>
            <w:r>
              <w:rPr>
                <w:rFonts w:hint="eastAsia" w:asciiTheme="minorHAnsi" w:hAnsiTheme="minorHAnsi" w:eastAsiaTheme="minorEastAsia" w:cstheme="minorBidi"/>
                <w:kern w:val="2"/>
                <w:sz w:val="21"/>
                <w:szCs w:val="22"/>
                <w:lang w:val="en-US" w:eastAsia="zh-CN" w:bidi="ar-SA"/>
              </w:rPr>
              <w:t>中标供应商无正当理由不与招标人订立合同，在签订合同时向招标人提出附加条件或者不按照招标文件要求提交履约担保的，取消其中标资格。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813" w:type="dxa"/>
            <w:vAlign w:val="center"/>
          </w:tcPr>
          <w:p>
            <w:pPr>
              <w:autoSpaceDE w:val="0"/>
              <w:autoSpaceDN w:val="0"/>
              <w:spacing w:line="360" w:lineRule="auto"/>
              <w:contextualSpacing/>
              <w:rPr>
                <w:rFonts w:cs="宋体" w:asciiTheme="minorEastAsia" w:hAnsiTheme="minorEastAsia"/>
                <w:bCs/>
                <w:szCs w:val="21"/>
                <w:lang w:val="zh-CN"/>
              </w:rPr>
            </w:pPr>
            <w:r>
              <w:rPr>
                <w:rFonts w:hint="eastAsia" w:ascii="宋体" w:hAnsi="宋体" w:eastAsia="宋体" w:cs="宋体"/>
                <w:lang w:val="zh-CN" w:bidi="ar-SA"/>
              </w:rPr>
              <w:t>代理服务费由中标供应商支付，按照中标价格的</w:t>
            </w:r>
            <w:r>
              <w:rPr>
                <w:rFonts w:hint="eastAsia" w:ascii="新宋体" w:hAnsi="新宋体" w:eastAsia="新宋体"/>
                <w:szCs w:val="21"/>
              </w:rPr>
              <w:t>1.5 %</w:t>
            </w:r>
            <w:r>
              <w:rPr>
                <w:rFonts w:hint="eastAsia" w:ascii="新宋体" w:hAnsi="新宋体" w:eastAsia="新宋体"/>
                <w:szCs w:val="21"/>
                <w:lang w:eastAsia="zh-CN"/>
              </w:rPr>
              <w:t>支付</w:t>
            </w:r>
            <w:r>
              <w:rPr>
                <w:rFonts w:hint="eastAsia" w:ascii="宋体" w:hAnsi="宋体" w:eastAsia="宋体" w:cs="宋体"/>
                <w:lang w:val="zh-CN" w:bidi="ar-SA"/>
              </w:rPr>
              <w:t>。中标通知书发出前，以现金或转账形式交纳。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中标人需提交</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的资料</w:t>
            </w:r>
          </w:p>
        </w:tc>
        <w:tc>
          <w:tcPr>
            <w:tcW w:w="6813" w:type="dxa"/>
            <w:vAlign w:val="center"/>
          </w:tcPr>
          <w:p>
            <w:pPr>
              <w:autoSpaceDE w:val="0"/>
              <w:autoSpaceDN w:val="0"/>
              <w:adjustRightInd w:val="0"/>
              <w:spacing w:line="360" w:lineRule="auto"/>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中标人在接到中标通知时，须</w:t>
            </w:r>
            <w:r>
              <w:rPr>
                <w:rFonts w:hint="eastAsia" w:ascii="新宋体" w:hAnsi="新宋体" w:eastAsia="新宋体"/>
                <w:szCs w:val="21"/>
                <w:highlight w:val="none"/>
              </w:rPr>
              <w:t>向</w:t>
            </w:r>
            <w:r>
              <w:rPr>
                <w:rFonts w:hint="eastAsia" w:ascii="新宋体" w:hAnsi="新宋体" w:eastAsia="新宋体"/>
                <w:szCs w:val="21"/>
                <w:highlight w:val="none"/>
                <w:lang w:eastAsia="zh-CN"/>
              </w:rPr>
              <w:t>代理机构</w:t>
            </w:r>
            <w:r>
              <w:rPr>
                <w:rFonts w:hint="eastAsia" w:ascii="新宋体" w:hAnsi="新宋体" w:eastAsia="新宋体"/>
                <w:szCs w:val="21"/>
                <w:highlight w:val="none"/>
              </w:rPr>
              <w:t>发</w:t>
            </w:r>
            <w:r>
              <w:rPr>
                <w:rFonts w:hint="eastAsia" w:cs="宋体" w:asciiTheme="minorEastAsia" w:hAnsiTheme="minorEastAsia"/>
                <w:bCs/>
                <w:szCs w:val="21"/>
                <w:highlight w:val="none"/>
                <w:lang w:val="zh-CN"/>
              </w:rPr>
              <w:t>送投标报价及分项报价一览表（包含主要中标标的的名称、规格型号、数量、单价、服务要求等）电子文档，并同时通知代理机构。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813" w:type="dxa"/>
            <w:vAlign w:val="center"/>
          </w:tcPr>
          <w:p>
            <w:pPr>
              <w:autoSpaceDE w:val="0"/>
              <w:autoSpaceDN w:val="0"/>
              <w:adjustRightInd w:val="0"/>
              <w:spacing w:line="360" w:lineRule="auto"/>
              <w:contextualSpacing/>
              <w:rPr>
                <w:rFonts w:hAnsi="宋体" w:cs="宋体"/>
                <w:szCs w:val="21"/>
                <w:lang w:val="zh-CN"/>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投标人投标时须提供加密电子投标文件、备份文件（使用电子介质存储）、纸质投标文件。投标人资质、业绩、荣誉及相关人员证明材料等资料原件开标现场不再提供（本招标文件第六章另有要求提供原件的除外）。</w:t>
            </w:r>
          </w:p>
          <w:p>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□否。投标人投标时须提供纸质投标文件。投标人资质、业绩、荣誉及相关人员证明材料等资料原件根据招标文件要求提供。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hint="eastAsia" w:cs="黑体" w:asciiTheme="minorEastAsia" w:hAnsiTheme="minorEastAsia"/>
                <w:szCs w:val="21"/>
              </w:rPr>
            </w:pPr>
            <w:r>
              <w:rPr>
                <w:rFonts w:hint="eastAsia" w:cs="黑体" w:asciiTheme="minorEastAsia" w:hAnsiTheme="minorEastAsia"/>
                <w:szCs w:val="21"/>
              </w:rPr>
              <w:t>27</w:t>
            </w:r>
          </w:p>
        </w:tc>
        <w:tc>
          <w:tcPr>
            <w:tcW w:w="2268" w:type="dxa"/>
            <w:vAlign w:val="center"/>
          </w:tcPr>
          <w:p>
            <w:pPr>
              <w:autoSpaceDE w:val="0"/>
              <w:autoSpaceDN w:val="0"/>
              <w:adjustRightInd w:val="0"/>
              <w:spacing w:line="360" w:lineRule="auto"/>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特别提示</w:t>
            </w:r>
          </w:p>
        </w:tc>
        <w:tc>
          <w:tcPr>
            <w:tcW w:w="6813" w:type="dxa"/>
            <w:vAlign w:val="center"/>
          </w:tcPr>
          <w:p>
            <w:pPr>
              <w:autoSpaceDE w:val="0"/>
              <w:autoSpaceDN w:val="0"/>
              <w:adjustRightInd w:val="0"/>
              <w:spacing w:line="360" w:lineRule="auto"/>
              <w:contextualSpacing/>
              <w:rPr>
                <w:rFonts w:ascii="ˎ̥" w:hAnsi="ˎ̥"/>
                <w:highlight w:val="none"/>
              </w:rPr>
            </w:pPr>
            <w:r>
              <w:rPr>
                <w:rFonts w:hint="eastAsia" w:ascii="ˎ̥" w:hAnsi="ˎ̥"/>
                <w:highlight w:val="none"/>
              </w:rPr>
              <w:t>按照《关于推进全流程电子化交易和在线监管工作有关问题的通知》（许公管办[2019]3号）规定：</w:t>
            </w:r>
          </w:p>
          <w:p>
            <w:pPr>
              <w:autoSpaceDE w:val="0"/>
              <w:autoSpaceDN w:val="0"/>
              <w:adjustRightInd w:val="0"/>
              <w:spacing w:line="360" w:lineRule="auto"/>
              <w:contextualSpacing/>
              <w:rPr>
                <w:rFonts w:ascii="ˎ̥" w:hAnsi="ˎ̥"/>
                <w:highlight w:val="none"/>
              </w:rPr>
            </w:pPr>
            <w:r>
              <w:rPr>
                <w:rFonts w:hint="eastAsia" w:ascii="ˎ̥" w:hAnsi="ˎ̥"/>
                <w:highlight w:val="none"/>
              </w:rPr>
              <w:t>不同供应商电子投标文件制作硬件特征码（网卡MAC地址、CPU序号、硬盘序列号等）</w:t>
            </w:r>
            <w:r>
              <w:rPr>
                <w:rFonts w:hint="eastAsia" w:ascii="ˎ̥" w:hAnsi="ˎ̥"/>
                <w:highlight w:val="none"/>
                <w:lang w:eastAsia="zh-CN"/>
              </w:rPr>
              <w:t>均一致</w:t>
            </w:r>
            <w:r>
              <w:rPr>
                <w:rFonts w:hint="eastAsia" w:ascii="ˎ̥" w:hAnsi="ˎ̥"/>
                <w:highlight w:val="none"/>
              </w:rPr>
              <w:t>时，视为‘</w:t>
            </w:r>
            <w:r>
              <w:rPr>
                <w:rFonts w:ascii="ˎ̥" w:hAnsi="ˎ̥"/>
                <w:highlight w:val="none"/>
              </w:rPr>
              <w:t>不同</w:t>
            </w:r>
            <w:r>
              <w:rPr>
                <w:rFonts w:hint="eastAsia" w:ascii="ˎ̥" w:hAnsi="ˎ̥"/>
                <w:highlight w:val="none"/>
              </w:rPr>
              <w:t>投标人的投标</w:t>
            </w:r>
            <w:r>
              <w:rPr>
                <w:rFonts w:ascii="ˎ̥" w:hAnsi="ˎ̥"/>
                <w:highlight w:val="none"/>
              </w:rPr>
              <w:t>文件由同一单位或者个人编制</w:t>
            </w:r>
            <w:r>
              <w:rPr>
                <w:rFonts w:hint="eastAsia" w:ascii="ˎ̥" w:hAnsi="ˎ̥"/>
                <w:highlight w:val="none"/>
              </w:rPr>
              <w:t>’或‘</w:t>
            </w:r>
            <w:r>
              <w:rPr>
                <w:rFonts w:ascii="ˎ̥" w:hAnsi="ˎ̥"/>
                <w:highlight w:val="none"/>
              </w:rPr>
              <w:t>不同</w:t>
            </w:r>
            <w:r>
              <w:rPr>
                <w:rFonts w:hint="eastAsia" w:ascii="ˎ̥" w:hAnsi="ˎ̥"/>
                <w:highlight w:val="none"/>
              </w:rPr>
              <w:t>投标人</w:t>
            </w:r>
            <w:r>
              <w:rPr>
                <w:rFonts w:ascii="ˎ̥" w:hAnsi="ˎ̥"/>
                <w:highlight w:val="none"/>
              </w:rPr>
              <w:t>委托同一单位或者个人办理</w:t>
            </w:r>
            <w:r>
              <w:rPr>
                <w:rFonts w:hint="eastAsia" w:ascii="ˎ̥" w:hAnsi="ˎ̥"/>
                <w:highlight w:val="none"/>
              </w:rPr>
              <w:t>响应</w:t>
            </w:r>
            <w:r>
              <w:rPr>
                <w:rFonts w:ascii="ˎ̥" w:hAnsi="ˎ̥"/>
                <w:highlight w:val="none"/>
              </w:rPr>
              <w:t>事宜</w:t>
            </w:r>
            <w:r>
              <w:rPr>
                <w:rFonts w:hint="eastAsia" w:ascii="ˎ̥" w:hAnsi="ˎ̥"/>
                <w:highlight w:val="none"/>
              </w:rPr>
              <w:t>’，其投标无效。</w:t>
            </w:r>
          </w:p>
          <w:p>
            <w:pPr>
              <w:autoSpaceDE w:val="0"/>
              <w:autoSpaceDN w:val="0"/>
              <w:adjustRightInd w:val="0"/>
              <w:spacing w:line="360" w:lineRule="auto"/>
              <w:contextualSpacing/>
              <w:rPr>
                <w:rFonts w:hint="eastAsia" w:hAnsi="宋体" w:cs="宋体"/>
                <w:szCs w:val="21"/>
                <w:highlight w:val="none"/>
                <w:lang w:val="zh-CN"/>
              </w:rPr>
            </w:pPr>
            <w:r>
              <w:rPr>
                <w:rFonts w:hint="eastAsia" w:ascii="ˎ̥" w:hAnsi="ˎ̥"/>
                <w:highlight w:val="none"/>
              </w:rPr>
              <w:t>评审专家应严格按照要求查看“硬件特征码” 相关信息并进行评审，在评审报告中显示“不同投标人电子投标文件制作硬件特征码”是否</w:t>
            </w:r>
            <w:r>
              <w:rPr>
                <w:rFonts w:hint="eastAsia" w:ascii="ˎ̥" w:hAnsi="ˎ̥"/>
                <w:highlight w:val="none"/>
                <w:lang w:eastAsia="zh-CN"/>
              </w:rPr>
              <w:t>均一致</w:t>
            </w:r>
            <w:r>
              <w:rPr>
                <w:rFonts w:hint="eastAsia" w:ascii="ˎ̥" w:hAnsi="ˎ̥"/>
                <w:highlight w:val="none"/>
              </w:rPr>
              <w:t>的分析及判定结果。</w:t>
            </w:r>
          </w:p>
        </w:tc>
      </w:tr>
    </w:tbl>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投标人须知</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tabs>
          <w:tab w:val="left" w:pos="1260"/>
        </w:tabs>
        <w:autoSpaceDE w:val="0"/>
        <w:autoSpaceDN w:val="0"/>
        <w:adjustRightInd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一、概念释义</w:t>
      </w: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适用范围</w:t>
      </w:r>
    </w:p>
    <w:p>
      <w:pPr>
        <w:pStyle w:val="43"/>
        <w:numPr>
          <w:ilvl w:val="0"/>
          <w:numId w:val="2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本招标文件仅适用于本次“投标邀请”中所述采购项目。</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本招标文件解释权属于“投标邀请”所述的采购人。</w:t>
      </w:r>
    </w:p>
    <w:p>
      <w:pPr>
        <w:pStyle w:val="43"/>
        <w:autoSpaceDE w:val="0"/>
        <w:autoSpaceDN w:val="0"/>
        <w:spacing w:line="360" w:lineRule="auto"/>
        <w:ind w:left="780"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定义</w:t>
      </w:r>
    </w:p>
    <w:p>
      <w:pPr>
        <w:pStyle w:val="43"/>
        <w:numPr>
          <w:ilvl w:val="0"/>
          <w:numId w:val="2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“采购项目”：“投标人须知前附表”中所述的采购项目。</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“招标人”：“投标人须知前附表”中所述的组织本次招标的代理机构和采购人。</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“采购人”：是指依法进行政府采购的国家机关、事业单位、团体组织。采购人名称、     地址、电话、联系人见“投标人须知前附表”。</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“代理机构”：接受采购人委托，代理采购项目的采购代理机构。代理机构名称、地址、 电话、联系人见“投标人须知前附表”。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采购代理机构及其分支机构不得在所代理的采购项目中投标或者代理投标，不得为所代理的采购项目的投标人参加本项目提供投标咨询。</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“潜在投标人”指符合《中华人民共和国政府采购法》及相关法律法规和本招标文件的各项规定，且按照本项目招标公告及招标文件规定的方式获取招标文件的法人、其他组 织或者自然人。</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w:t>
      </w:r>
      <w:r>
        <w:rPr>
          <w:rFonts w:cs="宋体" w:asciiTheme="minorEastAsia" w:hAnsiTheme="minorEastAsia"/>
          <w:kern w:val="0"/>
          <w:szCs w:val="21"/>
        </w:rPr>
        <w:t>关于政府采购进口产品管理有关问题的通知</w:t>
      </w:r>
      <w:r>
        <w:rPr>
          <w:rFonts w:hint="eastAsia" w:cs="宋体" w:asciiTheme="minorEastAsia" w:hAnsiTheme="minorEastAsia"/>
          <w:kern w:val="0"/>
          <w:szCs w:val="21"/>
        </w:rPr>
        <w:t>》(财库[2007]119号)、《关于政府采购进口产品管理有关问题的通知》（财办库［</w:t>
      </w:r>
      <w:r>
        <w:rPr>
          <w:rFonts w:cs="宋体" w:asciiTheme="minorEastAsia" w:hAnsiTheme="minorEastAsia"/>
          <w:kern w:val="0"/>
          <w:szCs w:val="21"/>
        </w:rPr>
        <w:t>2008</w:t>
      </w:r>
      <w:r>
        <w:rPr>
          <w:rFonts w:hint="eastAsia" w:cs="宋体" w:asciiTheme="minorEastAsia" w:hAnsiTheme="minorEastAsia"/>
          <w:kern w:val="0"/>
          <w:szCs w:val="21"/>
        </w:rPr>
        <w:t>］</w:t>
      </w:r>
      <w:r>
        <w:rPr>
          <w:rFonts w:cs="宋体" w:asciiTheme="minorEastAsia" w:hAnsiTheme="minorEastAsia"/>
          <w:kern w:val="0"/>
          <w:szCs w:val="21"/>
        </w:rPr>
        <w:t xml:space="preserve">248 </w:t>
      </w:r>
      <w:r>
        <w:rPr>
          <w:rFonts w:hint="eastAsia" w:cs="宋体" w:asciiTheme="minorEastAsia" w:hAnsiTheme="minorEastAsia"/>
          <w:kern w:val="0"/>
          <w:szCs w:val="21"/>
        </w:rPr>
        <w:t>号）。</w:t>
      </w:r>
    </w:p>
    <w:p>
      <w:pPr>
        <w:autoSpaceDE w:val="0"/>
        <w:autoSpaceDN w:val="0"/>
        <w:spacing w:line="360" w:lineRule="auto"/>
        <w:ind w:left="840" w:leftChars="400"/>
        <w:contextualSpacing/>
        <w:rPr>
          <w:rFonts w:cs="宋体" w:asciiTheme="minorEastAsia" w:hAnsiTheme="minorEastAsia"/>
          <w:kern w:val="0"/>
          <w:szCs w:val="21"/>
        </w:rPr>
      </w:pPr>
      <w:r>
        <w:rPr>
          <w:rFonts w:hint="eastAsia" w:cs="宋体" w:asciiTheme="minorEastAsia" w:hAnsiTheme="minorEastAsia"/>
          <w:kern w:val="0"/>
          <w:szCs w:val="21"/>
        </w:rPr>
        <w:t xml:space="preserve">2.7.1  </w:t>
      </w:r>
      <w:r>
        <w:rPr>
          <w:rFonts w:cs="宋体" w:asciiTheme="minorEastAsia" w:hAnsiTheme="minorEastAsia"/>
          <w:kern w:val="0"/>
          <w:szCs w:val="21"/>
        </w:rPr>
        <w:t>招标文件列明不允许或未列明允许进口产品参加投标的，均视为拒绝进口产品参加投标。</w:t>
      </w:r>
    </w:p>
    <w:p>
      <w:pPr>
        <w:autoSpaceDE w:val="0"/>
        <w:autoSpaceDN w:val="0"/>
        <w:spacing w:line="360" w:lineRule="auto"/>
        <w:ind w:left="943" w:leftChars="449"/>
        <w:contextualSpacing/>
        <w:rPr>
          <w:rFonts w:cs="宋体" w:asciiTheme="minorEastAsia" w:hAnsiTheme="minorEastAsia"/>
          <w:kern w:val="0"/>
          <w:szCs w:val="21"/>
        </w:rPr>
      </w:pPr>
      <w:r>
        <w:rPr>
          <w:rFonts w:hint="eastAsia" w:cs="宋体" w:asciiTheme="minorEastAsia" w:hAnsiTheme="minorEastAsia"/>
          <w:kern w:val="0"/>
          <w:szCs w:val="21"/>
        </w:rPr>
        <w:t xml:space="preserve">2.7.2  </w:t>
      </w:r>
      <w:r>
        <w:rPr>
          <w:rFonts w:cs="宋体" w:asciiTheme="minorEastAsia" w:hAnsiTheme="minorEastAsia"/>
          <w:kern w:val="0"/>
          <w:szCs w:val="21"/>
        </w:rPr>
        <w:t>如</w:t>
      </w:r>
      <w:r>
        <w:rPr>
          <w:rFonts w:hint="eastAsia" w:cs="宋体" w:asciiTheme="minorEastAsia" w:hAnsiTheme="minorEastAsia"/>
          <w:kern w:val="0"/>
          <w:szCs w:val="21"/>
        </w:rPr>
        <w:t>招标</w:t>
      </w:r>
      <w:r>
        <w:rPr>
          <w:rFonts w:cs="宋体" w:asciiTheme="minorEastAsia" w:hAnsiTheme="minorEastAsia"/>
          <w:kern w:val="0"/>
          <w:szCs w:val="21"/>
        </w:rPr>
        <w:t>文件中已说明，经财政部门审核同意，允许部分或全部产品采购进口产品，投标人既可提供本国产品，也可以提供进口产品。</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招标文件中凡标有“</w:t>
      </w:r>
      <w:r>
        <w:rPr>
          <w:rFonts w:hint="eastAsia" w:cs="宋体" w:asciiTheme="minorEastAsia" w:hAnsiTheme="minorEastAsia"/>
          <w:color w:val="FF0000"/>
          <w:kern w:val="0"/>
          <w:szCs w:val="21"/>
        </w:rPr>
        <w:t>★</w:t>
      </w:r>
      <w:r>
        <w:rPr>
          <w:rFonts w:hint="eastAsia" w:cs="宋体" w:asciiTheme="minorEastAsia" w:hAnsiTheme="minorEastAsia"/>
          <w:kern w:val="0"/>
          <w:szCs w:val="21"/>
        </w:rPr>
        <w:t>”的条款均系实质性要求条款。</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合格的投标人</w:t>
      </w:r>
    </w:p>
    <w:p>
      <w:pPr>
        <w:pStyle w:val="43"/>
        <w:numPr>
          <w:ilvl w:val="0"/>
          <w:numId w:val="2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在中华人民共和国境内注册，具有本项目生产、制造、供应或实施能力，符合、承认并承诺履行本招标文件各项规定的法人、其他组织或者自然人。</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符合本项目“投标邀请”和“投标人须知前附表”中规定的合格投标人所必须具备的条件。</w:t>
      </w:r>
    </w:p>
    <w:p>
      <w:pPr>
        <w:pStyle w:val="43"/>
        <w:numPr>
          <w:ilvl w:val="0"/>
          <w:numId w:val="0"/>
        </w:numPr>
        <w:autoSpaceDE w:val="0"/>
        <w:autoSpaceDN w:val="0"/>
        <w:spacing w:line="360" w:lineRule="auto"/>
        <w:ind w:left="420" w:leftChars="0"/>
        <w:contextualSpacing/>
        <w:rPr>
          <w:rFonts w:hint="eastAsia" w:cs="宋体" w:asciiTheme="minorEastAsia" w:hAnsiTheme="minorEastAsia"/>
          <w:kern w:val="0"/>
          <w:szCs w:val="21"/>
        </w:rPr>
      </w:pPr>
      <w:r>
        <w:rPr>
          <w:rFonts w:hint="eastAsia" w:cs="宋体" w:asciiTheme="minorEastAsia" w:hAnsiTheme="minorEastAsia"/>
          <w:kern w:val="0"/>
          <w:szCs w:val="21"/>
          <w:lang w:val="en-US" w:eastAsia="zh-CN"/>
        </w:rPr>
        <w:t xml:space="preserve">3.3  </w:t>
      </w:r>
      <w:r>
        <w:rPr>
          <w:rFonts w:hint="eastAsia" w:cs="宋体" w:asciiTheme="minorEastAsia" w:hAnsiTheme="minorEastAsia"/>
          <w:kern w:val="0"/>
          <w:szCs w:val="21"/>
        </w:rPr>
        <w:t>政府采购活动中查询及使用投标人信用记录的具体要求为：投标人未被列入失信被执行人、重大税收违法案件当事人名单、政府采购严重违法失信行为记录名单</w:t>
      </w:r>
      <w:r>
        <w:rPr>
          <w:rFonts w:hint="eastAsia" w:cs="宋体" w:asciiTheme="minorEastAsia" w:hAnsiTheme="minorEastAsia"/>
          <w:kern w:val="0"/>
          <w:szCs w:val="21"/>
          <w:lang w:eastAsia="zh-CN"/>
        </w:rPr>
        <w:t>、</w:t>
      </w:r>
      <w:r>
        <w:rPr>
          <w:rFonts w:hint="eastAsia" w:cs="宋体" w:asciiTheme="minorEastAsia" w:hAnsiTheme="minorEastAsia"/>
          <w:kern w:val="0"/>
          <w:szCs w:val="21"/>
          <w:lang w:val="en-US" w:eastAsia="zh-CN"/>
        </w:rPr>
        <w:t>严重违法失信名单。</w:t>
      </w:r>
      <w:r>
        <w:rPr>
          <w:rFonts w:hint="eastAsia" w:cs="宋体" w:asciiTheme="minorEastAsia" w:hAnsiTheme="minorEastAsia"/>
          <w:kern w:val="0"/>
          <w:szCs w:val="21"/>
        </w:rPr>
        <w:t>（联合体形式投标的，联合体成员存在不良信用记录，视同联合体存在不良信用记录）。</w:t>
      </w:r>
    </w:p>
    <w:p>
      <w:pPr>
        <w:pStyle w:val="43"/>
        <w:numPr>
          <w:ilvl w:val="0"/>
          <w:numId w:val="0"/>
        </w:numPr>
        <w:autoSpaceDE w:val="0"/>
        <w:autoSpaceDN w:val="0"/>
        <w:spacing w:line="360" w:lineRule="auto"/>
        <w:ind w:left="420" w:leftChars="0" w:firstLine="420" w:firstLineChars="200"/>
        <w:contextualSpacing/>
        <w:rPr>
          <w:rFonts w:hint="eastAsia" w:cs="宋体" w:asciiTheme="minorEastAsia" w:hAnsiTheme="minorEastAsia"/>
          <w:kern w:val="0"/>
          <w:szCs w:val="21"/>
        </w:rPr>
      </w:pPr>
      <w:r>
        <w:rPr>
          <w:rFonts w:hint="eastAsia" w:cs="宋体" w:asciiTheme="minorEastAsia" w:hAnsiTheme="minorEastAsia"/>
          <w:kern w:val="0"/>
          <w:szCs w:val="21"/>
          <w:lang w:val="en-US" w:eastAsia="zh-CN"/>
        </w:rPr>
        <w:t xml:space="preserve">  （1）查询渠道：“信用中国”网站（www.creditchina.gov.cn）、“中国政府采购网”（www.ccgp.gov.cn）、；“中国社会组织公共服务平台”网站（www.chinanpo.gov.cn）。</w:t>
      </w:r>
      <w:r>
        <w:rPr>
          <w:rFonts w:hint="eastAsia" w:cs="宋体" w:asciiTheme="minorEastAsia" w:hAnsiTheme="minorEastAsia"/>
          <w:kern w:val="0"/>
          <w:szCs w:val="21"/>
        </w:rPr>
        <w:t>；</w:t>
      </w:r>
    </w:p>
    <w:p>
      <w:pPr>
        <w:pStyle w:val="43"/>
        <w:numPr>
          <w:ilvl w:val="0"/>
          <w:numId w:val="0"/>
        </w:numPr>
        <w:autoSpaceDE w:val="0"/>
        <w:autoSpaceDN w:val="0"/>
        <w:spacing w:line="360" w:lineRule="auto"/>
        <w:ind w:left="420" w:leftChars="0" w:firstLine="630" w:firstLineChars="300"/>
        <w:contextualSpacing/>
        <w:rPr>
          <w:rFonts w:hint="eastAsia" w:cs="宋体" w:asciiTheme="minorEastAsia" w:hAnsiTheme="minorEastAsia"/>
          <w:kern w:val="0"/>
          <w:szCs w:val="21"/>
        </w:rPr>
      </w:pPr>
      <w:r>
        <w:rPr>
          <w:rFonts w:hint="eastAsia" w:cs="宋体" w:asciiTheme="minorEastAsia" w:hAnsiTheme="minorEastAsia"/>
          <w:kern w:val="0"/>
          <w:szCs w:val="21"/>
        </w:rPr>
        <w:t>（2）截止时间：同投标截止时间；</w:t>
      </w:r>
    </w:p>
    <w:p>
      <w:pPr>
        <w:pStyle w:val="43"/>
        <w:numPr>
          <w:ilvl w:val="0"/>
          <w:numId w:val="0"/>
        </w:numPr>
        <w:autoSpaceDE w:val="0"/>
        <w:autoSpaceDN w:val="0"/>
        <w:spacing w:line="360" w:lineRule="auto"/>
        <w:ind w:left="420" w:leftChars="0" w:firstLine="630" w:firstLineChars="300"/>
        <w:contextualSpacing/>
        <w:rPr>
          <w:rFonts w:hint="eastAsia" w:cs="宋体" w:asciiTheme="minorEastAsia" w:hAnsiTheme="minorEastAsia"/>
          <w:kern w:val="0"/>
          <w:szCs w:val="21"/>
        </w:rPr>
      </w:pPr>
      <w:r>
        <w:rPr>
          <w:rFonts w:hint="eastAsia" w:cs="宋体" w:asciiTheme="minorEastAsia" w:hAnsiTheme="minorEastAsia"/>
          <w:kern w:val="0"/>
          <w:szCs w:val="21"/>
        </w:rPr>
        <w:t>（3）信用信息查询记录和证据留存具体方式：经采购人确认的查询结果网页截图作为查询记录和证据，与其他采购文件一并保存；</w:t>
      </w:r>
    </w:p>
    <w:p>
      <w:pPr>
        <w:pStyle w:val="43"/>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（4）信用信息的使用原则：经采购人认定的被列入失信被执行人、重大税收违法案件当事人名单、政府采购严重违法失信行为记录名单的投标人，将拒绝其参与本次政府采购活动。</w:t>
      </w:r>
    </w:p>
    <w:p>
      <w:pPr>
        <w:pStyle w:val="43"/>
        <w:autoSpaceDE w:val="0"/>
        <w:autoSpaceDN w:val="0"/>
        <w:spacing w:line="360" w:lineRule="auto"/>
        <w:ind w:left="850" w:leftChars="405" w:firstLine="0"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rPr>
        <w:t>（5）</w:t>
      </w:r>
      <w:r>
        <w:rPr>
          <w:rFonts w:hint="eastAsia" w:asciiTheme="minorHAnsi" w:hAnsiTheme="minorHAnsi" w:eastAsiaTheme="minorEastAsia" w:cstheme="minorBidi"/>
          <w:kern w:val="2"/>
          <w:sz w:val="21"/>
          <w:szCs w:val="22"/>
          <w:lang w:val="en-US" w:eastAsia="zh-CN" w:bidi="ar-SA"/>
        </w:rPr>
        <w:t>供应商无须提供信用记录查询结果网页截屏，投标人不良信用记录以采购人在开标现场查询结果为准</w:t>
      </w:r>
      <w:r>
        <w:rPr>
          <w:rFonts w:hint="eastAsia" w:cs="宋体" w:asciiTheme="minorEastAsia" w:hAnsiTheme="minorEastAsia"/>
          <w:kern w:val="0"/>
          <w:szCs w:val="21"/>
        </w:rPr>
        <w:t>，采购人查询之后，网站信息发生的任何变更不再作为评审依据，投标人自行提供的与网站信息不一致的其他证明材料亦不作为评审依据。</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单位负责人为同一人或者存在直接控股、管理关系的不同供应商，不得同时参加本项目投标。违反规定的，相关投标均无效。</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为采购项目提供整体设计、规范编制或者项目管理、监理、检测等服务的供应商，不得再参加该采购项目的其他采购活动。</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“投标邀请”和“投标人须知前附表”规定接受联合体投标的，除应符合本章第</w:t>
      </w:r>
      <w:r>
        <w:rPr>
          <w:rFonts w:cs="宋体" w:asciiTheme="minorEastAsia" w:hAnsiTheme="minorEastAsia"/>
          <w:kern w:val="0"/>
          <w:szCs w:val="21"/>
          <w:highlight w:val="none"/>
        </w:rPr>
        <w:t>3.1</w:t>
      </w:r>
      <w:r>
        <w:rPr>
          <w:rFonts w:hint="eastAsia" w:cs="宋体" w:asciiTheme="minorEastAsia" w:hAnsiTheme="minorEastAsia"/>
          <w:kern w:val="0"/>
          <w:szCs w:val="21"/>
          <w:highlight w:val="none"/>
        </w:rPr>
        <w:t>项和3.2项要求外，还应遵守以下规定：</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（1）在投标文件中向采购人提交联合体协议书，明确联合体各方承担的工作和义务；</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（2）联合体中有同类资质的供应商按联合体分工承担相同工作的，应当按照资质等级较低的供应商确定资质等级；</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（3）招标人根据采购项目的特殊要求规定投标人特定条件的，联合体各方中至少应当有一方符合采购规定的特定条件。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（4）联合体各方不得再单独参加或者与其他供应商另外组成联合体参加同一合同项下的政府采购活动。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w:t>
      </w: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cs="宋体" w:asciiTheme="minorEastAsia" w:hAnsiTheme="minorEastAsia"/>
          <w:kern w:val="0"/>
          <w:szCs w:val="21"/>
        </w:rPr>
        <w:t>。</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合格的货物和服务</w:t>
      </w:r>
    </w:p>
    <w:p>
      <w:pPr>
        <w:pStyle w:val="43"/>
        <w:numPr>
          <w:ilvl w:val="0"/>
          <w:numId w:val="2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投标人所提供的服务应当没有侵犯任何第三方的知识产权、技术秘密等合法权利。</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如投标人所投产品被列入</w:t>
      </w:r>
      <w:r>
        <w:rPr>
          <w:rFonts w:cs="宋体" w:asciiTheme="minorEastAsia" w:hAnsiTheme="minorEastAsia"/>
          <w:kern w:val="0"/>
          <w:szCs w:val="21"/>
        </w:rPr>
        <w:t>《中华人民共和国实施强制性产品认证的产品目录》，</w:t>
      </w:r>
      <w:r>
        <w:rPr>
          <w:rFonts w:hint="eastAsia" w:cs="宋体" w:asciiTheme="minorEastAsia" w:hAnsiTheme="minorEastAsia"/>
          <w:kern w:val="0"/>
          <w:szCs w:val="21"/>
        </w:rPr>
        <w:t>则该产品应</w:t>
      </w:r>
      <w:r>
        <w:rPr>
          <w:rFonts w:cs="宋体" w:asciiTheme="minorEastAsia" w:hAnsiTheme="minorEastAsia"/>
          <w:kern w:val="0"/>
          <w:szCs w:val="21"/>
        </w:rPr>
        <w:t>具备国家认监委</w:t>
      </w:r>
      <w:r>
        <w:rPr>
          <w:rFonts w:hint="eastAsia" w:cs="宋体" w:asciiTheme="minorEastAsia" w:hAnsiTheme="minorEastAsia"/>
          <w:kern w:val="0"/>
          <w:szCs w:val="21"/>
        </w:rPr>
        <w:t>指定强制性产品认证机构</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《中国</w:t>
      </w:r>
      <w:r>
        <w:rPr>
          <w:rFonts w:hint="eastAsia" w:cs="宋体" w:asciiTheme="minorEastAsia" w:hAnsiTheme="minorEastAsia"/>
          <w:kern w:val="0"/>
          <w:szCs w:val="21"/>
        </w:rPr>
        <w:t>国家</w:t>
      </w:r>
      <w:r>
        <w:rPr>
          <w:rFonts w:cs="宋体" w:asciiTheme="minorEastAsia" w:hAnsiTheme="minorEastAsia"/>
          <w:kern w:val="0"/>
          <w:szCs w:val="21"/>
        </w:rPr>
        <w:t>强制</w:t>
      </w:r>
      <w:r>
        <w:rPr>
          <w:rFonts w:hint="eastAsia" w:cs="宋体" w:asciiTheme="minorEastAsia" w:hAnsiTheme="minorEastAsia"/>
          <w:kern w:val="0"/>
          <w:szCs w:val="21"/>
        </w:rPr>
        <w:t>性产品</w:t>
      </w:r>
      <w:r>
        <w:rPr>
          <w:rFonts w:cs="宋体" w:asciiTheme="minorEastAsia" w:hAnsiTheme="minorEastAsia"/>
          <w:kern w:val="0"/>
          <w:szCs w:val="21"/>
        </w:rPr>
        <w:t>认证</w:t>
      </w:r>
      <w:r>
        <w:rPr>
          <w:rFonts w:hint="eastAsia" w:cs="宋体" w:asciiTheme="minorEastAsia" w:hAnsiTheme="minorEastAsia"/>
          <w:kern w:val="0"/>
          <w:szCs w:val="21"/>
        </w:rPr>
        <w:t>证书</w:t>
      </w:r>
      <w:r>
        <w:rPr>
          <w:rFonts w:cs="宋体" w:asciiTheme="minorEastAsia" w:hAnsiTheme="minorEastAsia"/>
          <w:kern w:val="0"/>
          <w:szCs w:val="21"/>
        </w:rPr>
        <w:t>》（CCC 认证）。</w:t>
      </w:r>
      <w:r>
        <w:rPr>
          <w:rFonts w:hint="eastAsia" w:cs="宋体" w:asciiTheme="minorEastAsia" w:hAnsiTheme="minorEastAsia"/>
          <w:kern w:val="0"/>
          <w:szCs w:val="21"/>
        </w:rPr>
        <w:t>投标人</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投标人所投产品如被列入</w:t>
      </w:r>
      <w:r>
        <w:rPr>
          <w:rFonts w:cs="宋体" w:asciiTheme="minorEastAsia" w:hAnsiTheme="minorEastAsia"/>
          <w:kern w:val="0"/>
          <w:szCs w:val="21"/>
        </w:rPr>
        <w:t>《信息安全产品强制性认证目录》，</w:t>
      </w:r>
      <w:r>
        <w:rPr>
          <w:rFonts w:hint="eastAsia" w:cs="宋体" w:asciiTheme="minorEastAsia" w:hAnsiTheme="minorEastAsia"/>
          <w:kern w:val="0"/>
          <w:szCs w:val="21"/>
        </w:rPr>
        <w:t>则该产品应</w:t>
      </w:r>
      <w:r>
        <w:rPr>
          <w:rFonts w:cs="宋体" w:asciiTheme="minorEastAsia" w:hAnsiTheme="minorEastAsia"/>
          <w:kern w:val="0"/>
          <w:szCs w:val="21"/>
        </w:rPr>
        <w:t>具备</w:t>
      </w:r>
      <w:r>
        <w:rPr>
          <w:rFonts w:hint="eastAsia" w:cs="宋体" w:asciiTheme="minorEastAsia" w:hAnsiTheme="minorEastAsia"/>
          <w:kern w:val="0"/>
          <w:szCs w:val="21"/>
        </w:rPr>
        <w:t>中国信息安全认证中心</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Cs w:val="21"/>
        </w:rPr>
        <w:t>中国国家信息安全产品认证证书</w:t>
      </w:r>
      <w:r>
        <w:rPr>
          <w:rFonts w:hint="eastAsia" w:cs="宋体" w:asciiTheme="minorEastAsia" w:hAnsiTheme="minorEastAsia"/>
          <w:kern w:val="0"/>
          <w:szCs w:val="21"/>
        </w:rPr>
        <w:fldChar w:fldCharType="end"/>
      </w:r>
      <w:r>
        <w:rPr>
          <w:rFonts w:cs="宋体" w:asciiTheme="minorEastAsia" w:hAnsiTheme="minorEastAsia"/>
          <w:kern w:val="0"/>
          <w:szCs w:val="21"/>
        </w:rPr>
        <w:t>》。</w:t>
      </w:r>
      <w:r>
        <w:rPr>
          <w:rFonts w:hint="eastAsia" w:cs="宋体" w:asciiTheme="minorEastAsia" w:hAnsiTheme="minorEastAsia"/>
          <w:kern w:val="0"/>
          <w:szCs w:val="21"/>
        </w:rPr>
        <w:t>投标人</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投标费用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不论投标的结果如何，投标人均应自行承担所有与投标有关的全部费用，招标人在任何情况下均无义务和责任承担这些费用。</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pPr>
        <w:autoSpaceDE w:val="0"/>
        <w:autoSpaceDN w:val="0"/>
        <w:spacing w:line="360" w:lineRule="auto"/>
        <w:ind w:left="964"/>
        <w:contextualSpacing/>
        <w:rPr>
          <w:rFonts w:cs="宋体" w:asciiTheme="minorEastAsia" w:hAnsiTheme="minorEastAsia"/>
          <w:kern w:val="0"/>
          <w:szCs w:val="21"/>
          <w:highlight w:val="none"/>
        </w:rPr>
      </w:pPr>
      <w:r>
        <w:rPr>
          <w:rFonts w:hint="eastAsia" w:cs="宋体" w:asciiTheme="minorEastAsia" w:hAnsiTheme="minorEastAsia"/>
          <w:kern w:val="0"/>
          <w:szCs w:val="21"/>
        </w:rPr>
        <w:t>本采购项目需要公开的有关信息，包括招标公告、招标文件澄清或修改公告、中标公告以及延长投标截止时间等与招标活动有关的通知，招标人均将通过在《河南省政府采购网》、《全国公共资源交易平台（河南省·许昌市）》、《长葛市人民政府门户网站》公开发布。投标人在参与本采购项目招投标活动期</w:t>
      </w:r>
      <w:r>
        <w:rPr>
          <w:rFonts w:hint="eastAsia" w:cs="宋体" w:asciiTheme="minorEastAsia" w:hAnsiTheme="minorEastAsia"/>
          <w:kern w:val="0"/>
          <w:szCs w:val="21"/>
          <w:highlight w:val="none"/>
        </w:rPr>
        <w:t>间，请及时关注以上媒体上的相关信息，投标人因没有及时关注而未能如期获取相关信息，及因此所产生的一切后果和责任，由投标人自行承担，招标人在任何情况下均不对此承担任何责任。</w:t>
      </w:r>
    </w:p>
    <w:p>
      <w:pPr>
        <w:autoSpaceDE w:val="0"/>
        <w:autoSpaceDN w:val="0"/>
        <w:spacing w:line="360" w:lineRule="auto"/>
        <w:ind w:left="964"/>
        <w:contextualSpacing/>
        <w:rPr>
          <w:rFonts w:cs="宋体" w:asciiTheme="minorEastAsia" w:hAnsiTheme="minorEastAsia"/>
          <w:kern w:val="0"/>
          <w:szCs w:val="21"/>
          <w:highlight w:val="none"/>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highlight w:val="none"/>
        </w:rPr>
      </w:pPr>
      <w:r>
        <w:rPr>
          <w:rFonts w:hint="eastAsia" w:cs="宋体" w:asciiTheme="minorEastAsia" w:hAnsiTheme="minorEastAsia"/>
          <w:b/>
          <w:kern w:val="0"/>
          <w:szCs w:val="21"/>
          <w:highlight w:val="none"/>
        </w:rPr>
        <w:t>采购代理机构代理费用收取标准和方式</w:t>
      </w:r>
    </w:p>
    <w:p>
      <w:pPr>
        <w:pStyle w:val="43"/>
        <w:numPr>
          <w:ilvl w:val="0"/>
          <w:numId w:val="26"/>
        </w:numPr>
        <w:autoSpaceDE w:val="0"/>
        <w:autoSpaceDN w:val="0"/>
        <w:spacing w:line="360" w:lineRule="auto"/>
        <w:ind w:firstLineChars="0"/>
        <w:contextualSpacing/>
        <w:rPr>
          <w:rFonts w:ascii="宋体" w:hAnsi="宋体" w:cs="宋体"/>
          <w:kern w:val="0"/>
          <w:szCs w:val="21"/>
          <w:highlight w:val="none"/>
        </w:rPr>
      </w:pPr>
      <w:r>
        <w:rPr>
          <w:rFonts w:hint="eastAsia" w:ascii="宋体" w:hAnsi="宋体" w:cs="宋体"/>
          <w:kern w:val="0"/>
          <w:szCs w:val="21"/>
          <w:highlight w:val="none"/>
        </w:rPr>
        <w:t>收取标准：收取。详见投标人须知前附表。</w:t>
      </w:r>
    </w:p>
    <w:p>
      <w:pPr>
        <w:pStyle w:val="43"/>
        <w:numPr>
          <w:ilvl w:val="1"/>
          <w:numId w:val="24"/>
        </w:numPr>
        <w:autoSpaceDE w:val="0"/>
        <w:autoSpaceDN w:val="0"/>
        <w:spacing w:line="360" w:lineRule="auto"/>
        <w:ind w:firstLineChars="0"/>
        <w:contextualSpacing/>
        <w:rPr>
          <w:rFonts w:ascii="宋体" w:hAnsi="宋体" w:cs="宋体"/>
          <w:kern w:val="0"/>
          <w:szCs w:val="21"/>
        </w:rPr>
      </w:pPr>
      <w:r>
        <w:rPr>
          <w:rFonts w:hint="eastAsia" w:ascii="宋体" w:hAnsi="宋体" w:cs="宋体"/>
          <w:kern w:val="0"/>
          <w:szCs w:val="21"/>
          <w:highlight w:val="none"/>
        </w:rPr>
        <w:t>收取方式：</w:t>
      </w:r>
      <w:r>
        <w:rPr>
          <w:rFonts w:hint="eastAsia" w:ascii="宋体" w:hAnsi="宋体" w:cs="宋体"/>
          <w:kern w:val="0"/>
          <w:szCs w:val="21"/>
          <w:highlight w:val="none"/>
          <w:lang w:val="zh-CN"/>
        </w:rPr>
        <w:t>中标通知书发出前，以现金或转账形式交纳</w:t>
      </w:r>
      <w:r>
        <w:rPr>
          <w:rFonts w:hint="eastAsia" w:ascii="宋体" w:hAnsi="宋体" w:cs="宋体"/>
          <w:kern w:val="0"/>
          <w:szCs w:val="21"/>
          <w:highlight w:val="none"/>
        </w:rPr>
        <w:t>。</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本“投标人须知”的条款如与“投标邀请”、“项目需求”、“投标人须知前附表”和“资格审查与评标”就同一内容的表述不一致的，以“投标邀请”、“ 项目需求”、 “投标人须知前附表”和“资格审查与评标”中规定的内容为准。</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二、招标文件说明</w:t>
      </w: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招标文件构成</w:t>
      </w:r>
    </w:p>
    <w:p>
      <w:pPr>
        <w:pStyle w:val="43"/>
        <w:numPr>
          <w:ilvl w:val="0"/>
          <w:numId w:val="2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招标文件由以下部分组成：</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（1）投标邀请（招标公告）</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（2）项目需求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（3）投标人须知前附表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（4）投标人须知</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（6）资格审查与评标</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（7）合同条款及格式</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（8）投标文件有关格式</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（9）本项目招标文件的澄清、答复、修改、补充内容（如有的话）</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现场考察、开标前答疑会</w:t>
      </w:r>
    </w:p>
    <w:p>
      <w:pPr>
        <w:pStyle w:val="43"/>
        <w:numPr>
          <w:ilvl w:val="0"/>
          <w:numId w:val="2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招标人根据采购项目的具体情况，可以在招标文件公告期满后，组织已获取招标文件的潜在投标人现场考察或者召开开标前答疑会。</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招标人组织现场考察或者召开开标前答疑会的，所有投标人应按“投标人须知前附表”规定的时间、地点前往参加现场考察或者开标前答疑会。投标人如不参加，其风险由投标人自行承担，招标人不承担任何责任。</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招标人组织现场考察或者召开答疑会的，应当在招标文件中载明，或者在招标文件公告期满后在财政部门指定的政府采购信息发布媒体和《全国公共资源交易平台（河南省·许昌市）》发布更正公告。</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现场考察及参加开标前答疑会所发生的费用及一切责任由投标人自行承担。</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招标文件的澄清或修改</w:t>
      </w:r>
    </w:p>
    <w:p>
      <w:pPr>
        <w:pStyle w:val="43"/>
        <w:numPr>
          <w:ilvl w:val="0"/>
          <w:numId w:val="2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在投标截止期前，无论出于何种原因，招标人可主动地或在解答潜在投标人提出的澄清问题时对招标文件进行修改。</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招标人可以对已发出的招标文件进行必要的澄清或者修改。澄清或者修改的内容可能影响投标文件编制的，招标人将在投标截止时间</w:t>
      </w:r>
      <w:r>
        <w:rPr>
          <w:rFonts w:cs="宋体" w:asciiTheme="minorEastAsia" w:hAnsiTheme="minorEastAsia"/>
          <w:kern w:val="0"/>
          <w:szCs w:val="21"/>
        </w:rPr>
        <w:t>15</w:t>
      </w:r>
      <w:r>
        <w:rPr>
          <w:rFonts w:hint="eastAsia" w:cs="宋体" w:asciiTheme="minorEastAsia" w:hAnsiTheme="minorEastAsia"/>
          <w:kern w:val="0"/>
          <w:szCs w:val="21"/>
        </w:rPr>
        <w:t>日前，在财政部门指定的政府采购信息发布媒体和《全国公共资源交易平台（河南省·许昌市）》发布更正公告。</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澄清或修改公告的内容为招标文件的组成部分，并对投标人具有约束力。当招标文件与澄清或修改公告就同一内容的表述不一致时，以最后发出的文件内容为准。</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如果澄清或者修改发出的时间距规定的投标截止时间不足15日，招标人将顺延提交投标文件的截止时间。</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三、投标文件的编制</w:t>
      </w: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投标的语言及计量单位</w:t>
      </w:r>
    </w:p>
    <w:p>
      <w:pPr>
        <w:pStyle w:val="43"/>
        <w:numPr>
          <w:ilvl w:val="0"/>
          <w:numId w:val="2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投标人提交的投标文件以及投标人与招标人就有关投标事宜的所有来往书面文件均应使用中文。除签名、盖章、专用名称等特殊情形外，以中文以外的文字表述的投标文件视同未提供。</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投标计量单位，招标文件已有明确规定的，使用招标文件规定的计量单位；招标文件没有规定的，一律采用中华人民共和国法定计量单位。</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投标报价</w:t>
      </w:r>
      <w:r>
        <w:rPr>
          <w:rFonts w:cs="宋体" w:asciiTheme="minorEastAsia" w:hAnsiTheme="minorEastAsia"/>
          <w:b/>
          <w:kern w:val="0"/>
          <w:szCs w:val="21"/>
        </w:rPr>
        <w:t xml:space="preserve"> </w:t>
      </w:r>
    </w:p>
    <w:p>
      <w:pPr>
        <w:pStyle w:val="43"/>
        <w:numPr>
          <w:ilvl w:val="0"/>
          <w:numId w:val="2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本次招标项目的投标均以人民币为计算单位。</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采购人不得向投标人索要或者接受其给予的赠品、回扣或者与采购无关的其他商品、服务。</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投标人应对项目要求的全部内容进行报价，少报漏报将导致其投标为非实质性响应予以拒绝。</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本项目所涉及的运输、施工、安装、集成、调试、验收、备品和工具等费用均包含在投标报价中。</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本次招标不接受可选择或可调整的投标方案和报价，任何有选择的或可调整的投标方案和报价将被视为非实质性响应投标而作无效投标处理。</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最高限价，且不低于成本价。本次招标实行“最高限价（项目控制金额上限）”,投标人的投标报价高于最高限价（项目控制金额上限）的，该投标人的投标文件将被视为非实质性响应予以拒绝。</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最低报价不能作为中标的保证。</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投标有效期</w:t>
      </w:r>
    </w:p>
    <w:p>
      <w:pPr>
        <w:pStyle w:val="43"/>
        <w:numPr>
          <w:ilvl w:val="0"/>
          <w:numId w:val="2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投标有效期内投标人撤销投标文件的，</w:t>
      </w:r>
      <w:r>
        <w:rPr>
          <w:rFonts w:hint="eastAsia" w:cs="宋体" w:asciiTheme="minorEastAsia" w:hAnsiTheme="minorEastAsia"/>
          <w:kern w:val="0"/>
          <w:szCs w:val="21"/>
          <w:lang w:eastAsia="zh-CN"/>
        </w:rPr>
        <w:t>投标人将承担相应责任</w:t>
      </w:r>
      <w:r>
        <w:rPr>
          <w:rFonts w:hint="eastAsia" w:cs="宋体" w:asciiTheme="minorEastAsia" w:hAnsiTheme="minorEastAsia"/>
          <w:kern w:val="0"/>
          <w:szCs w:val="21"/>
        </w:rPr>
        <w:t>。</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同意延期的投标人在原投标有效期内应享之权利及应负之责任也相应延续。</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中标人的投标文件作为项目合同的附件，其有效期至中标人全部合同义务履行完毕为止。</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投标文件构成</w:t>
      </w:r>
    </w:p>
    <w:p>
      <w:pPr>
        <w:pStyle w:val="43"/>
        <w:numPr>
          <w:ilvl w:val="0"/>
          <w:numId w:val="2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投标文件的构成应符合法律法规及招标文件的要求。</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投标人应当按照招标文件的要求编制投标文件。投标文件应当对招标文件提出的要求和条件作出明确响应。</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投标文件由资格证明材料、符合性证明材料、其它材料等组成。</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rPr>
        <w:t>投标人根据招标文件的规定和采购项目的实际情</w:t>
      </w:r>
      <w:r>
        <w:rPr>
          <w:rFonts w:hint="eastAsia" w:cs="宋体" w:asciiTheme="minorEastAsia" w:hAnsiTheme="minorEastAsia"/>
          <w:kern w:val="0"/>
          <w:szCs w:val="21"/>
          <w:highlight w:val="none"/>
        </w:rPr>
        <w:t>况，拟在中标后将中标项目的非主体、非关键性工作分包的，应当在投标文件中载明分包承担主体，分包承担主体应当具备相应资质条件且不得再次分包。</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highlight w:val="none"/>
        </w:rPr>
        <w:t>投标人登录许昌公共资源交易系统下载“许昌投标文件制作系统SEARUN 最新版本”，按招标文件要求根据所投标段制作电子投标文件。 一个标段对应生成一个文件夹（xxxx项目xx标段）, 其中包含2个文件和1个文件夹。后缀名为“</w:t>
      </w:r>
      <w:r>
        <w:rPr>
          <w:rFonts w:cs="宋体" w:asciiTheme="minorEastAsia" w:hAnsiTheme="minorEastAsia"/>
          <w:kern w:val="0"/>
          <w:szCs w:val="21"/>
          <w:highlight w:val="none"/>
        </w:rPr>
        <w:t>.file</w:t>
      </w:r>
      <w:r>
        <w:rPr>
          <w:rFonts w:hint="eastAsia" w:cs="宋体" w:asciiTheme="minorEastAsia" w:hAnsiTheme="minorEastAsia"/>
          <w:kern w:val="0"/>
          <w:szCs w:val="21"/>
          <w:highlight w:val="none"/>
        </w:rPr>
        <w:t>”的文件用于电子投标使用，后缀名为“.PDF”的文件用于打印纸质投</w:t>
      </w:r>
      <w:r>
        <w:rPr>
          <w:rFonts w:hint="eastAsia" w:cs="宋体" w:asciiTheme="minorEastAsia" w:hAnsiTheme="minorEastAsia"/>
          <w:kern w:val="0"/>
          <w:szCs w:val="21"/>
        </w:rPr>
        <w:t>标文件，名称为“备份”的文件夹使用电子介质存储，供开标现场备用。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电子投标文件制作技术咨询：</w:t>
      </w:r>
      <w:r>
        <w:rPr>
          <w:rFonts w:hint="eastAsia" w:cs="宋体" w:asciiTheme="minorEastAsia" w:hAnsiTheme="minorEastAsia"/>
          <w:b/>
          <w:kern w:val="0"/>
          <w:szCs w:val="21"/>
        </w:rPr>
        <w:t>0374-2961598</w:t>
      </w:r>
      <w:r>
        <w:rPr>
          <w:rFonts w:hint="eastAsia" w:cs="宋体" w:asciiTheme="minorEastAsia" w:hAnsiTheme="minorEastAsia"/>
          <w:kern w:val="0"/>
          <w:szCs w:val="21"/>
        </w:rPr>
        <w:t>。</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投标文件格式</w:t>
      </w:r>
    </w:p>
    <w:p>
      <w:pPr>
        <w:pStyle w:val="43"/>
        <w:numPr>
          <w:ilvl w:val="0"/>
          <w:numId w:val="2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应参照招标文件第七部分（投标文件有关格式）的内容要求、编排顺序和格式要求，投标人应按照以上要求将投标文件编上唯一的连贯页码并以A4幅面装订成册，并在投标文件封面上注明：正本/副本、所投项目名称、项目编号、投标人名称、日期等字样。</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投标人应按招标文件提供的格式编写投标文件。招标文件未提供标准格式的投标人可自行拟定。</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投标保证金</w:t>
      </w:r>
    </w:p>
    <w:p>
      <w:pPr>
        <w:pStyle w:val="43"/>
        <w:numPr>
          <w:ilvl w:val="0"/>
          <w:numId w:val="0"/>
        </w:numPr>
        <w:autoSpaceDE w:val="0"/>
        <w:autoSpaceDN w:val="0"/>
        <w:spacing w:line="360" w:lineRule="auto"/>
        <w:ind w:left="420" w:leftChars="0"/>
        <w:contextualSpacing/>
        <w:rPr>
          <w:rFonts w:hint="eastAsia" w:cs="宋体" w:asciiTheme="minorEastAsia" w:hAnsiTheme="minorEastAsia"/>
          <w:kern w:val="0"/>
          <w:szCs w:val="21"/>
        </w:rPr>
      </w:pPr>
      <w:r>
        <w:rPr>
          <w:rFonts w:hint="eastAsia" w:cs="宋体" w:asciiTheme="minorEastAsia" w:hAnsiTheme="minorEastAsia"/>
          <w:kern w:val="0"/>
          <w:szCs w:val="21"/>
          <w:lang w:eastAsia="zh-CN"/>
        </w:rPr>
        <w:t>不收取</w:t>
      </w: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投标文件的数量和签署盖章</w:t>
      </w:r>
    </w:p>
    <w:p>
      <w:pPr>
        <w:pStyle w:val="43"/>
        <w:numPr>
          <w:ilvl w:val="0"/>
          <w:numId w:val="2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投标人应提交投标文件份数见“投标人须知前附表”。</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在招标文件中已明示需盖章及签名之处，电子投标文件应按招标文件要求加盖投标人电子印章和法人电子印章或授权代表电子印章。</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纸质投标文件是指投标人电子投标文件制作完成后生成的后缀名为“.PDF”的文件打印的投标文件。纸质投标文件正本和副本封面上应清楚标明</w:t>
      </w:r>
      <w:r>
        <w:rPr>
          <w:rFonts w:cs="宋体" w:asciiTheme="minorEastAsia" w:hAnsiTheme="minorEastAsia"/>
          <w:kern w:val="0"/>
          <w:szCs w:val="21"/>
        </w:rPr>
        <w:t>“</w:t>
      </w:r>
      <w:r>
        <w:rPr>
          <w:rFonts w:hint="eastAsia" w:cs="宋体" w:asciiTheme="minorEastAsia" w:hAnsiTheme="minorEastAsia"/>
          <w:kern w:val="0"/>
          <w:szCs w:val="21"/>
        </w:rPr>
        <w:t>正本</w:t>
      </w:r>
      <w:r>
        <w:rPr>
          <w:rFonts w:cs="宋体" w:asciiTheme="minorEastAsia" w:hAnsiTheme="minorEastAsia"/>
          <w:kern w:val="0"/>
          <w:szCs w:val="21"/>
        </w:rPr>
        <w:t>”</w:t>
      </w:r>
      <w:r>
        <w:rPr>
          <w:rFonts w:hint="eastAsia" w:cs="宋体" w:asciiTheme="minorEastAsia" w:hAnsiTheme="minorEastAsia"/>
          <w:kern w:val="0"/>
          <w:szCs w:val="21"/>
        </w:rPr>
        <w:t>或</w:t>
      </w:r>
      <w:r>
        <w:rPr>
          <w:rFonts w:cs="宋体" w:asciiTheme="minorEastAsia" w:hAnsiTheme="minorEastAsia"/>
          <w:kern w:val="0"/>
          <w:szCs w:val="21"/>
        </w:rPr>
        <w:t>“</w:t>
      </w:r>
      <w:r>
        <w:rPr>
          <w:rFonts w:hint="eastAsia" w:cs="宋体" w:asciiTheme="minorEastAsia" w:hAnsiTheme="minorEastAsia"/>
          <w:kern w:val="0"/>
          <w:szCs w:val="21"/>
        </w:rPr>
        <w:t>副本</w:t>
      </w:r>
      <w:r>
        <w:rPr>
          <w:rFonts w:cs="宋体" w:asciiTheme="minorEastAsia" w:hAnsiTheme="minorEastAsia"/>
          <w:kern w:val="0"/>
          <w:szCs w:val="21"/>
        </w:rPr>
        <w:t>”</w:t>
      </w:r>
      <w:r>
        <w:rPr>
          <w:rFonts w:hint="eastAsia" w:cs="宋体" w:asciiTheme="minorEastAsia" w:hAnsiTheme="minorEastAsia"/>
          <w:kern w:val="0"/>
          <w:szCs w:val="21"/>
        </w:rPr>
        <w:t>字样；一旦正本和副本内容不一致时，以正本为准。纸质投标文件的正本及所有副本的封面均须由投标人加盖投标人公章。</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纸质投标文件副本可以是纸质投标文件的正本复印而成。</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四、投标文件的递交</w:t>
      </w: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投标文件的密封</w:t>
      </w:r>
    </w:p>
    <w:p>
      <w:pPr>
        <w:pStyle w:val="43"/>
        <w:numPr>
          <w:ilvl w:val="0"/>
          <w:numId w:val="2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投标人应将纸质投标文件“正本”、“ 副本”密封包装。使用电子介质存储的投标文件单独密封包装，并随纸质投标文件一并提交。</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投标文件如果未按规定密封，招标人将拒绝接收。</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投标截止时间</w:t>
      </w:r>
    </w:p>
    <w:p>
      <w:pPr>
        <w:pStyle w:val="43"/>
        <w:numPr>
          <w:ilvl w:val="0"/>
          <w:numId w:val="2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投标人必须在“投标邀请”和“投标人须知前附表”中规定的投标截止时间前，将所有投标文件送达招标文件指定的开标地点。</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招标人收到投标文件后，应当如实记载投标文件的送达时间和密封情况，签收保存，并向投标人出具签收回执。任何单位和个人不得在开标前开启投标文件。</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迟交的投标文件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投标截止时间之后送达/上传的投标文件，招标人将拒绝接收。</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投标文件的修改和撤回</w:t>
      </w:r>
    </w:p>
    <w:p>
      <w:pPr>
        <w:pStyle w:val="43"/>
        <w:numPr>
          <w:ilvl w:val="0"/>
          <w:numId w:val="3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投标人在投标截止时间前，对所递交的纸质投标文件进行补充、修改或者撤回的，须书面通知招标人。</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投标人应当在投标截止时间前完成电子投标文件的提交，可以补充、修改或撤回。投标截止时间前未完成电子投标文件提交、取得“投标文件提交回执单”的，视为撤回投标文件。</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投标人补充、修改的内容并作为投标文件的组成部分。补充或修改应当按招标文件要求签署、盖章、密封、递交，并应注明“修改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投标人在递交纸质投标文件后，可以撤回其投标，但投标人必须在规定的投标截止时间前以书面形式告知招标人。</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投标人不得在投标有效期内撤销投标文件，否则</w:t>
      </w:r>
      <w:r>
        <w:rPr>
          <w:rFonts w:hint="eastAsia" w:cs="宋体" w:asciiTheme="minorEastAsia" w:hAnsiTheme="minorEastAsia"/>
          <w:kern w:val="0"/>
          <w:szCs w:val="21"/>
          <w:lang w:eastAsia="zh-CN"/>
        </w:rPr>
        <w:t>投标人将承担相应责任</w:t>
      </w:r>
      <w:r>
        <w:rPr>
          <w:rFonts w:hint="eastAsia" w:cs="宋体" w:asciiTheme="minorEastAsia" w:hAnsiTheme="minorEastAsia"/>
          <w:kern w:val="0"/>
          <w:szCs w:val="21"/>
        </w:rPr>
        <w:t>。</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除投标人须知前附表另有规定外，投标人所提交的电子投标文件、纸质投标文件及电子介质存储的备份文件不予退还。</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五、开标和评标</w:t>
      </w: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开标</w:t>
      </w:r>
    </w:p>
    <w:p>
      <w:pPr>
        <w:pStyle w:val="43"/>
        <w:numPr>
          <w:ilvl w:val="0"/>
          <w:numId w:val="3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招标人将按招标文件规定的时间和地点组织公开开标。开标由代理机构主持，邀请投标人参加。评标委员会成员不得参加开标活动。</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招标人应当对开标、评标现场活动进行全程录音录像。录音录像应当清晰可辨，音像资料作为采购文件一并存档。</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开标时，由投标人或者其推选的代表检查纸质投标文件和备份文件（使用电子介质存储）的密封情况；经确认无误后进行电子投标文件的解密。解密后宣布投标人名称、投标价格、修改和撤回投标的通知（如有的话）和招标文件规定的需要宣布的其他内容。</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（1）电子投标文件的解密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全流程电子化交易项目电子投标文件采用双重加密。解密需分标段进行两次解密。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投标人解密：投标人使用本单位CA数字证书远程或现场进行解密。需开标现场使用一体机进行解密的，请在代理机构引导下进行。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代理机构解密：代理机构</w:t>
      </w:r>
      <w:r>
        <w:rPr>
          <w:rFonts w:cs="宋体" w:asciiTheme="minorEastAsia" w:hAnsiTheme="minorEastAsia"/>
          <w:kern w:val="0"/>
          <w:szCs w:val="21"/>
        </w:rPr>
        <w:t>按</w:t>
      </w:r>
      <w:r>
        <w:rPr>
          <w:rFonts w:hint="eastAsia" w:cs="宋体" w:asciiTheme="minorEastAsia" w:hAnsiTheme="minorEastAsia"/>
          <w:kern w:val="0"/>
          <w:szCs w:val="21"/>
        </w:rPr>
        <w:t>电子</w:t>
      </w:r>
      <w:r>
        <w:rPr>
          <w:rFonts w:cs="宋体" w:asciiTheme="minorEastAsia" w:hAnsiTheme="minorEastAsia"/>
          <w:kern w:val="0"/>
          <w:szCs w:val="21"/>
        </w:rPr>
        <w:t>投标</w:t>
      </w:r>
      <w:r>
        <w:rPr>
          <w:rFonts w:hint="eastAsia" w:cs="宋体" w:asciiTheme="minorEastAsia" w:hAnsiTheme="minorEastAsia"/>
          <w:kern w:val="0"/>
          <w:szCs w:val="21"/>
        </w:rPr>
        <w:t>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电子投标文件解密异常情况处理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 xml:space="preserve"> 因投标人原因电子投标文件解密失败的，由系统技术人员协助投标人将备份文件（电子介质存储）导入系统。若备份文件（电子介质存储）无法导入系统或导入系统仍无法解密的，其投标将被拒绝。</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投标人不足3家的，不得开标。</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开标过程由采购代理机构负责记录，由参加开标的各投标人代表和相关工作人员签字确认后随采购文件一并存档。</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投标人未参加开标的，视同认可开标结果。</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开标结束后，采购人依法对投标人的资格进行审查。合格投标人不足3家的，不得评标。</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highlight w:val="none"/>
        </w:rPr>
      </w:pPr>
      <w:r>
        <w:rPr>
          <w:rFonts w:hint="eastAsia" w:cs="宋体" w:asciiTheme="minorEastAsia" w:hAnsiTheme="minorEastAsia"/>
          <w:b/>
          <w:kern w:val="0"/>
          <w:szCs w:val="21"/>
        </w:rPr>
        <w:t>评标委员会的组成</w:t>
      </w:r>
    </w:p>
    <w:p>
      <w:pPr>
        <w:pStyle w:val="43"/>
        <w:numPr>
          <w:ilvl w:val="0"/>
          <w:numId w:val="32"/>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招标人将依法组建评标委员会，评标委员会由采购人代表</w:t>
      </w:r>
      <w:r>
        <w:rPr>
          <w:rFonts w:hint="eastAsia" w:cs="宋体" w:asciiTheme="minorEastAsia" w:hAnsiTheme="minorEastAsia"/>
          <w:kern w:val="0"/>
          <w:szCs w:val="21"/>
          <w:highlight w:val="none"/>
          <w:lang w:val="en-US" w:eastAsia="zh-CN"/>
        </w:rPr>
        <w:t>1人</w:t>
      </w:r>
      <w:r>
        <w:rPr>
          <w:rFonts w:hint="eastAsia" w:cs="宋体" w:asciiTheme="minorEastAsia" w:hAnsiTheme="minorEastAsia"/>
          <w:kern w:val="0"/>
          <w:szCs w:val="21"/>
          <w:highlight w:val="none"/>
        </w:rPr>
        <w:t>和评审专家</w:t>
      </w:r>
      <w:r>
        <w:rPr>
          <w:rFonts w:hint="eastAsia" w:cs="宋体" w:asciiTheme="minorEastAsia" w:hAnsiTheme="minorEastAsia"/>
          <w:kern w:val="0"/>
          <w:szCs w:val="21"/>
          <w:highlight w:val="none"/>
          <w:lang w:val="en-US" w:eastAsia="zh-CN"/>
        </w:rPr>
        <w:t>4人</w:t>
      </w:r>
      <w:r>
        <w:rPr>
          <w:rFonts w:hint="eastAsia" w:cs="宋体" w:asciiTheme="minorEastAsia" w:hAnsiTheme="minorEastAsia"/>
          <w:kern w:val="0"/>
          <w:szCs w:val="21"/>
          <w:highlight w:val="none"/>
        </w:rPr>
        <w:t>组成，成员人数应当为5人以上单数，其中评审专家的人数不少于评标委员会成员总数的三分之二。评审专家依法从政府采购评审专家库中随机抽取。</w:t>
      </w:r>
    </w:p>
    <w:p>
      <w:pPr>
        <w:autoSpaceDE w:val="0"/>
        <w:autoSpaceDN w:val="0"/>
        <w:spacing w:line="360" w:lineRule="auto"/>
        <w:ind w:left="991" w:leftChars="202" w:hanging="567" w:hangingChars="27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26.1.1  招标人将依法组建评标委员会，评标委员会由评审专家组成，成员人数应当为5人以上单数。评审专家依法从政府采购评审专家库中随机抽取。</w:t>
      </w:r>
    </w:p>
    <w:p>
      <w:pPr>
        <w:autoSpaceDE w:val="0"/>
        <w:autoSpaceDN w:val="0"/>
        <w:spacing w:line="360" w:lineRule="auto"/>
        <w:ind w:left="426"/>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26.1.2  采购项目符合下列情形之一的，评标委员会成员人数应当为7人以上单数：</w:t>
      </w:r>
    </w:p>
    <w:p>
      <w:pPr>
        <w:autoSpaceDE w:val="0"/>
        <w:autoSpaceDN w:val="0"/>
        <w:spacing w:line="360" w:lineRule="auto"/>
        <w:ind w:left="964"/>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（1）采购预算金额在1000万元以上；</w:t>
      </w:r>
    </w:p>
    <w:p>
      <w:pPr>
        <w:autoSpaceDE w:val="0"/>
        <w:autoSpaceDN w:val="0"/>
        <w:spacing w:line="360" w:lineRule="auto"/>
        <w:ind w:left="964"/>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（2）技术复杂；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（3）社会影响较大。</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评审专家对本单位的采购项目只能作为采购人代表参与评标。采购代理机构工作人员不得参加由本机构代理的政府采购项目的评标。</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评审专家与投标人存在下列利害关系之一的,应当回避:</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（1）参加采购活动前三年内,与供应商存在劳动关系,或者担任过供应商的董事、监事,或者是供应商的控股股东或实际控制人；</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（2）与供应商的法定代表人或者负责人有夫妻、直系血亲、三代以内旁系血亲或者近姻亲关系；</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（3）与供应商有其他可能影响政府采购活动公平、公正进行的关系。</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评审专家发现本人与参加采购活动的供应商有利害关系的,应当主动提出回避。采购人或者代理机构发现评审专家与参加采购活动的供应商有利害关系的,应当要求其回避。</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采购人不得担任评标小组长。</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采购人可以在评标前说明项目背景和采购需求，说明内容不得含有歧视性、倾向性意见，不得超出招标文件所述范围。说明应当提交书面材料，并随采购文件一并存档。</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评标委员会成员名单在评标结果公告前应当保密。</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符合性审查</w:t>
      </w:r>
    </w:p>
    <w:p>
      <w:pPr>
        <w:pStyle w:val="43"/>
        <w:numPr>
          <w:ilvl w:val="0"/>
          <w:numId w:val="3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评标委员会依据有关法律法规和招标文件的规定，对符合资格的投标人的投标文件进行符合性审查，以确定其是否满足招标文件的实质性要求。</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审查、评价投标文件是否符合招标文件的商务、技术等实质性要求。</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可要求投标人对投标文件有关事项作出澄清或者说明。</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投标文件的澄清</w:t>
      </w:r>
    </w:p>
    <w:p>
      <w:pPr>
        <w:pStyle w:val="43"/>
        <w:numPr>
          <w:ilvl w:val="0"/>
          <w:numId w:val="3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对于投标文件中含义不明确、同类问题表述不一致或者有明显文字和计算错误的内容，评标委员会应当以书面形式要求投标人作出必要的澄清、说明或者补正。</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投标人的澄清、说明或者补正应当采用书面形式，并加盖公章，或者由法定代表人或其授权的代表签字。投标人的澄清、说明或者补正不得超出投标文件的范围或者改变投标文件的实质性内容。</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投标人的澄清文件是其投标文件的组成部分。</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投标文件报价出现前后不一致的修正</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（1）投标文件中开标一览表(报价表)内容与投标文件中相应内容不一致的，以开标一览表(报价表)为准；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（2）大写金额和小写金额不一致的，以大写金额为准；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 单价金额小数点或者百分比有明显错位的，以开标一览表的总价为准，并修改单价；</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 总价金额与按单价汇总金额不一致的，以单价金额计算结果为准。同时出现两种以上不一致的，按照前款规定的顺序修正。修正后的报价按照“投标人须知”28.2规定经投标人确认后产生约束力，投标人不确认的，其投标无效。</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投标无效情形</w:t>
      </w:r>
    </w:p>
    <w:p>
      <w:pPr>
        <w:pStyle w:val="43"/>
        <w:numPr>
          <w:ilvl w:val="0"/>
          <w:numId w:val="3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投标文件属下列情况之一的，按照无效投标处理：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 投标文件未按招标文件要求签署、盖章的；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val="en-US" w:eastAsia="zh-CN"/>
        </w:rPr>
        <w:t>2</w:t>
      </w:r>
      <w:r>
        <w:rPr>
          <w:rFonts w:hint="eastAsia" w:cs="宋体" w:asciiTheme="minorEastAsia" w:hAnsiTheme="minorEastAsia"/>
          <w:kern w:val="0"/>
          <w:szCs w:val="21"/>
        </w:rPr>
        <w:t>） 不具备招标文件中规定的资格要求的；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val="en-US" w:eastAsia="zh-CN"/>
        </w:rPr>
        <w:t>3</w:t>
      </w:r>
      <w:r>
        <w:rPr>
          <w:rFonts w:hint="eastAsia" w:cs="宋体" w:asciiTheme="minorEastAsia" w:hAnsiTheme="minorEastAsia"/>
          <w:kern w:val="0"/>
          <w:szCs w:val="21"/>
        </w:rPr>
        <w:t>） 报价超过招标文件中规定的预算金额或者最高限价的；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 xml:space="preserve">（5） </w:t>
      </w:r>
      <w:r>
        <w:rPr>
          <w:rFonts w:cs="宋体" w:asciiTheme="minorEastAsia" w:hAnsiTheme="minorEastAsia"/>
          <w:kern w:val="0"/>
          <w:szCs w:val="21"/>
        </w:rPr>
        <w:t>投标文件含有采购人不能接受的附加条件的</w:t>
      </w:r>
      <w:r>
        <w:rPr>
          <w:rFonts w:hint="eastAsia" w:cs="宋体" w:asciiTheme="minorEastAsia" w:hAnsiTheme="minorEastAsia"/>
          <w:kern w:val="0"/>
          <w:szCs w:val="21"/>
        </w:rPr>
        <w:t>。</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有下列情形之一的，视为投标人串通投标，其投标无效：</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不同投标人的投标文件由同一单位或者个人编制；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不同投标人委托同一单位或者个人办理投标事宜；</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 不同投标人的投标文件载明的项目管理成员或者联系人员为同一人；</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 不同投标人的投标文件异常一致或者投标报价呈规律性差异；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 不同投标人的投标文件相互混装；</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highlight w:val="none"/>
        </w:rPr>
      </w:pPr>
      <w:r>
        <w:rPr>
          <w:rFonts w:hint="eastAsia" w:ascii="ˎ̥" w:hAnsi="ˎ̥"/>
          <w:highlight w:val="none"/>
        </w:rPr>
        <w:t>按照《关于推进全流程电子化交易和在线监管工作有关问题的通知》（许公管办[2019]3号）规定，不同投标人电子投标文件制作硬件特征码（网卡MAC地址、CPU序号、硬盘序列号等）雷同时，视为‘</w:t>
      </w:r>
      <w:r>
        <w:rPr>
          <w:rFonts w:ascii="ˎ̥" w:hAnsi="ˎ̥"/>
          <w:highlight w:val="none"/>
        </w:rPr>
        <w:t>不同</w:t>
      </w:r>
      <w:r>
        <w:rPr>
          <w:rFonts w:hint="eastAsia" w:ascii="ˎ̥" w:hAnsi="ˎ̥"/>
          <w:highlight w:val="none"/>
        </w:rPr>
        <w:t>投标人</w:t>
      </w:r>
      <w:r>
        <w:rPr>
          <w:rFonts w:ascii="ˎ̥" w:hAnsi="ˎ̥"/>
          <w:highlight w:val="none"/>
        </w:rPr>
        <w:t>的</w:t>
      </w:r>
      <w:r>
        <w:rPr>
          <w:rFonts w:hint="eastAsia" w:ascii="ˎ̥" w:hAnsi="ˎ̥"/>
          <w:highlight w:val="none"/>
        </w:rPr>
        <w:t>投标</w:t>
      </w:r>
      <w:r>
        <w:rPr>
          <w:rFonts w:ascii="ˎ̥" w:hAnsi="ˎ̥"/>
          <w:highlight w:val="none"/>
        </w:rPr>
        <w:t>文件由同一单位或者个人编制</w:t>
      </w:r>
      <w:r>
        <w:rPr>
          <w:rFonts w:hint="eastAsia" w:ascii="ˎ̥" w:hAnsi="ˎ̥"/>
          <w:highlight w:val="none"/>
        </w:rPr>
        <w:t>’或‘</w:t>
      </w:r>
      <w:r>
        <w:rPr>
          <w:rFonts w:ascii="ˎ̥" w:hAnsi="ˎ̥"/>
          <w:highlight w:val="none"/>
        </w:rPr>
        <w:t>不同</w:t>
      </w:r>
      <w:r>
        <w:rPr>
          <w:rFonts w:hint="eastAsia" w:ascii="ˎ̥" w:hAnsi="ˎ̥"/>
          <w:highlight w:val="none"/>
        </w:rPr>
        <w:t>投标人</w:t>
      </w:r>
      <w:r>
        <w:rPr>
          <w:rFonts w:ascii="ˎ̥" w:hAnsi="ˎ̥"/>
          <w:highlight w:val="none"/>
        </w:rPr>
        <w:t>委托同一单位或者个人办理</w:t>
      </w:r>
      <w:r>
        <w:rPr>
          <w:rFonts w:hint="eastAsia" w:ascii="ˎ̥" w:hAnsi="ˎ̥"/>
          <w:highlight w:val="none"/>
        </w:rPr>
        <w:t>响应</w:t>
      </w:r>
      <w:r>
        <w:rPr>
          <w:rFonts w:ascii="ˎ̥" w:hAnsi="ˎ̥"/>
          <w:highlight w:val="none"/>
        </w:rPr>
        <w:t>事宜</w:t>
      </w:r>
      <w:r>
        <w:rPr>
          <w:rFonts w:hint="eastAsia" w:ascii="ˎ̥" w:hAnsi="ˎ̥"/>
          <w:highlight w:val="none"/>
        </w:rPr>
        <w:t>’，其投标无效。</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highlight w:val="none"/>
        </w:rPr>
      </w:pPr>
      <w:r>
        <w:rPr>
          <w:rFonts w:cs="宋体" w:asciiTheme="minorEastAsia" w:hAnsiTheme="minorEastAsia"/>
          <w:kern w:val="0"/>
          <w:szCs w:val="21"/>
          <w:highlight w:val="none"/>
        </w:rPr>
        <w:t>法律、法规和招标文件规定的其他无效情形。</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相同品牌投标人的认定</w:t>
      </w:r>
      <w:r>
        <w:rPr>
          <w:rFonts w:cs="仿宋_GB2312" w:asciiTheme="minorEastAsia" w:hAnsiTheme="minorEastAsia"/>
          <w:b/>
          <w:bCs/>
          <w:szCs w:val="21"/>
          <w:lang w:val="zh-CN"/>
        </w:rPr>
        <w:t>（服务类项目不适用本条款规定）</w:t>
      </w:r>
    </w:p>
    <w:p>
      <w:pPr>
        <w:pStyle w:val="43"/>
        <w:numPr>
          <w:ilvl w:val="0"/>
          <w:numId w:val="3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使用综合评分法的采购项目，</w:t>
      </w:r>
      <w:r>
        <w:rPr>
          <w:rFonts w:hint="eastAsia" w:cs="宋体" w:asciiTheme="minorEastAsia" w:hAnsiTheme="minorEastAsia"/>
          <w:kern w:val="0"/>
          <w:szCs w:val="21"/>
          <w:lang w:eastAsia="zh-CN"/>
        </w:rPr>
        <w:t>核心产品</w:t>
      </w:r>
      <w:r>
        <w:rPr>
          <w:rFonts w:hint="eastAsia" w:cs="宋体" w:asciiTheme="minorEastAsia" w:hAnsiTheme="minorEastAsia"/>
          <w:kern w:val="0"/>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投标文件的比较与评价</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评标委员会按照招标文件中规定的评标方法和标准，对符合性审查合格的投标文件进行商务和技术评估，综合比较与评价。</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评标方法、评标标准</w:t>
      </w:r>
    </w:p>
    <w:p>
      <w:pPr>
        <w:pStyle w:val="43"/>
        <w:numPr>
          <w:ilvl w:val="0"/>
          <w:numId w:val="3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评标方法分为最低评标价法和综合评分法。</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最低评标价法</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最低评标价法，是指投标文件满足招标文件全部实质性要求，且投标报价最低的投标人为中标候选人的评标方法。</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采用最低评标价法评标时，除了算术修正和落实政府采购政策需进行的价格扣除外，不能对投标人的投标价格进行任何调整。</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综合评分法，是指投标文件满足招标文件全部实质性要求，且按照评审因素的量化指标评审得分最高的投标人为中标候选人的评标方法。</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价格分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价格分采用低价优先法计算，即满足招标文件要求且投标价格最低的投标报价为评标基准价，其价格分为满分。其他投标人的价格分统一按照下列公式计算：</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投标报价得分=(评标基准价/投标报价)×100</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评标总得分=F1×A1+F2×A2+……+Fn×An</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F1、F2……Fn分别为各项评审因素的得分;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A1、A2、……An 分别为各项评审因素所占的权重(A1+A2+……+An=1)。</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评标过程中，不得去掉报价中的最高报价和最低报价。</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 因落实政府采购政策进行价格调整的，以调整后的价格计算评标基准价和投标报价。</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b/>
          <w:kern w:val="0"/>
          <w:szCs w:val="21"/>
        </w:rPr>
        <w:t>本次评标具体评标方法、评标标准见（第六章 资格审查与评标）</w:t>
      </w:r>
      <w:r>
        <w:rPr>
          <w:rFonts w:hint="eastAsia" w:cs="宋体" w:asciiTheme="minorEastAsia" w:hAnsiTheme="minorEastAsia"/>
          <w:kern w:val="0"/>
          <w:szCs w:val="21"/>
        </w:rPr>
        <w:t>。</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推荐中标候选人</w:t>
      </w:r>
    </w:p>
    <w:p>
      <w:pPr>
        <w:pStyle w:val="43"/>
        <w:numPr>
          <w:ilvl w:val="0"/>
          <w:numId w:val="3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采用最低评标价法的，评标结果按投标报价由低到高顺序排列。投标报价相同的并列。投标文件满足招标文件全部实质性要求且投标报价最低的投标人为排名第一的中标候选人。</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评审意见无效情形</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评标委员会及其成员有下列行为之一的，其评审意见无效：</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确定参与评标至评标结束前私自接触投标人；</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接受投标人提出的与投标文件不一致的澄清或者说明，《投标人须知》26条规定的情形除外；</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 违反评标纪律发表倾向性意见或者征询采购人的倾向性意见；</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 对需要专业判断的主观评审因素协商评分；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 在评标过程中擅离职守，影响评标程序正常进行的；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 记录、复制或者带走任何评标资料；</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 其他不遵守评标纪律的行为。</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保密</w:t>
      </w:r>
    </w:p>
    <w:p>
      <w:pPr>
        <w:pStyle w:val="43"/>
        <w:numPr>
          <w:ilvl w:val="0"/>
          <w:numId w:val="3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评审专家应当遵守评审工作纪律，不得泄露评审文件、评审情况和评审中获悉的商业秘密。</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采购人、采购代理机构应当采取必要措施，保证评标在严格保密的情况下进行。有关人员对评标情况以及在评标过程中获悉的国家秘密、商业秘密负有保密责任。</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六、定标和授予合同</w:t>
      </w: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确定中标人</w:t>
      </w:r>
    </w:p>
    <w:p>
      <w:pPr>
        <w:pStyle w:val="43"/>
        <w:numPr>
          <w:ilvl w:val="0"/>
          <w:numId w:val="3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采购人应当自收到评标报告之日起5个工作日内，在评标报告确定的中标候选人名单中按顺序确定中标人。中标候选人并列的，由采购人采取随机抽取的方式确定。</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采购人在收到评标报告5个工作日内未按评标报告推荐的中标候选人顺序确定中标人，又不能说明合法理由的，视同按评标报告推荐的顺序确定排名第一的中标候选人为中标人。</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中标公告、发出中标通知书</w:t>
      </w:r>
    </w:p>
    <w:p>
      <w:pPr>
        <w:pStyle w:val="43"/>
        <w:numPr>
          <w:ilvl w:val="0"/>
          <w:numId w:val="3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采购人确认中标人后，招标人在公告中标结果的同时，向中标人发出中标通知书。</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中标通知书发出后，采购人不得违法改变中标结果，中标人无正当理由不得放弃中标。</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中标人在接到中标通知时，须向代理机构发送投标报价及分项报价一览表（包含主要中标标的的名称、规格型号、数量、单价、服务要求等）电子文档，并同时通知代理机构联系人。</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pPr>
        <w:pStyle w:val="43"/>
        <w:numPr>
          <w:ilvl w:val="0"/>
          <w:numId w:val="3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供应商认为采购文件、采购过程和中标结果使自己的权益受到损害的，可以按照《政府采购质疑和投诉办法》（财政部令第94号）提出质疑。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对采购文件提出质疑的，</w:t>
      </w:r>
      <w:r>
        <w:rPr>
          <w:rFonts w:cs="宋体" w:asciiTheme="minorEastAsia" w:hAnsiTheme="minorEastAsia"/>
          <w:kern w:val="0"/>
          <w:szCs w:val="21"/>
        </w:rPr>
        <w:t>潜在</w:t>
      </w:r>
      <w:r>
        <w:rPr>
          <w:rFonts w:hint="eastAsia" w:cs="宋体" w:asciiTheme="minorEastAsia" w:hAnsiTheme="minorEastAsia"/>
          <w:kern w:val="0"/>
          <w:szCs w:val="21"/>
        </w:rPr>
        <w:t>投标人应</w:t>
      </w:r>
      <w:r>
        <w:rPr>
          <w:rFonts w:cs="宋体" w:asciiTheme="minorEastAsia" w:hAnsiTheme="minorEastAsia"/>
          <w:kern w:val="0"/>
          <w:szCs w:val="21"/>
        </w:rPr>
        <w:t>已依法获取采购文件</w:t>
      </w:r>
      <w:r>
        <w:rPr>
          <w:rFonts w:hint="eastAsia" w:cs="宋体" w:asciiTheme="minorEastAsia" w:hAnsiTheme="minorEastAsia"/>
          <w:kern w:val="0"/>
          <w:szCs w:val="21"/>
        </w:rPr>
        <w:t>，且应当在</w:t>
      </w:r>
      <w:r>
        <w:rPr>
          <w:rFonts w:cs="宋体" w:asciiTheme="minorEastAsia" w:hAnsiTheme="minorEastAsia"/>
          <w:kern w:val="0"/>
          <w:szCs w:val="21"/>
        </w:rPr>
        <w:t>获取采购文件或者采购文件公告期限届满之日起7个工作日内</w:t>
      </w:r>
      <w:r>
        <w:rPr>
          <w:rFonts w:hint="eastAsia" w:cs="宋体" w:asciiTheme="minorEastAsia" w:hAnsiTheme="minorEastAsia"/>
          <w:kern w:val="0"/>
          <w:szCs w:val="21"/>
        </w:rPr>
        <w:t>通过《全国公共资源交易平台（河南省·许昌市）》一次性提出，提出后联系招标公告中</w:t>
      </w:r>
      <w:r>
        <w:rPr>
          <w:rFonts w:hint="eastAsia" w:cs="宋体" w:asciiTheme="minorEastAsia" w:hAnsiTheme="minorEastAsia"/>
          <w:kern w:val="0"/>
          <w:szCs w:val="21"/>
          <w:lang w:eastAsia="zh-CN"/>
        </w:rPr>
        <w:t>招标代理</w:t>
      </w:r>
      <w:r>
        <w:rPr>
          <w:rFonts w:hint="eastAsia" w:cs="宋体" w:asciiTheme="minorEastAsia" w:hAnsiTheme="minorEastAsia"/>
          <w:kern w:val="0"/>
          <w:szCs w:val="21"/>
        </w:rPr>
        <w:t>机构联系人查看，并同时将符合《政府采购质疑和投诉办法》第十二条规定的纸质质疑函和必要的证明材料一式两份送采购单位，如未提出视为全面接受；</w:t>
      </w:r>
      <w:r>
        <w:rPr>
          <w:rFonts w:hint="eastAsia" w:cs="宋体" w:asciiTheme="minorEastAsia" w:hAnsiTheme="minorEastAsia"/>
          <w:kern w:val="0"/>
          <w:szCs w:val="21"/>
        </w:rPr>
        <w:br w:type="textWrapping"/>
      </w:r>
      <w:r>
        <w:rPr>
          <w:rFonts w:hint="eastAsia" w:cs="宋体" w:asciiTheme="minorEastAsia" w:hAnsiTheme="minorEastAsia"/>
          <w:kern w:val="0"/>
          <w:szCs w:val="21"/>
        </w:rPr>
        <w:t>（2） 对采购过程提出质疑的，为各采购程序环节结束之日起七个工作日内，以书面形式向采购人和采购代理机构一次性提出；</w:t>
      </w:r>
      <w:r>
        <w:rPr>
          <w:rFonts w:hint="eastAsia" w:cs="宋体" w:asciiTheme="minorEastAsia" w:hAnsiTheme="minorEastAsia"/>
          <w:kern w:val="0"/>
          <w:szCs w:val="21"/>
        </w:rPr>
        <w:br w:type="textWrapping"/>
      </w:r>
      <w:r>
        <w:rPr>
          <w:rFonts w:hint="eastAsia" w:cs="宋体" w:asciiTheme="minorEastAsia" w:hAnsiTheme="minorEastAsia"/>
          <w:kern w:val="0"/>
          <w:szCs w:val="21"/>
        </w:rPr>
        <w:t>（3） 对中标结果提出质疑的，为中标结果公告期限届满之日起七个工作日内，以书面形式向采购人和采购代理机构一次性提出。</w:t>
      </w:r>
    </w:p>
    <w:p>
      <w:pPr>
        <w:pStyle w:val="43"/>
        <w:numPr>
          <w:ilvl w:val="1"/>
          <w:numId w:val="24"/>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采购人、采购代理机构认为供应商质疑不成立，或者成立但未对中标结果构成影响的，继续开展采购活动；认为供应商质疑成立且影响或者可能影响中标结果的，按照下列情况处理：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 xml:space="preserve">（1） </w:t>
      </w:r>
      <w:r>
        <w:rPr>
          <w:rFonts w:cs="宋体" w:asciiTheme="minorEastAsia" w:hAnsiTheme="minorEastAsia"/>
          <w:kern w:val="0"/>
          <w:szCs w:val="21"/>
        </w:rPr>
        <w:t>对采购文件提出的质疑，依法通过澄清或者修改可以继续开展采购活动的，澄清或者修改采购文件后继续开展采购活动；否则应当修改采购文件后重新开展采购活动。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 xml:space="preserve">（2） </w:t>
      </w:r>
      <w:r>
        <w:rPr>
          <w:rFonts w:cs="宋体" w:asciiTheme="minorEastAsia" w:hAnsiTheme="minorEastAsia"/>
          <w:kern w:val="0"/>
          <w:szCs w:val="21"/>
        </w:rPr>
        <w:t>对采购过程、中标结果提出的质疑，合格供应商符合法定数量时，可以从合格的中标</w:t>
      </w:r>
      <w:r>
        <w:rPr>
          <w:rFonts w:hint="eastAsia" w:cs="宋体" w:asciiTheme="minorEastAsia" w:hAnsiTheme="minorEastAsia"/>
          <w:kern w:val="0"/>
          <w:szCs w:val="21"/>
        </w:rPr>
        <w:t>候选人</w:t>
      </w:r>
      <w:r>
        <w:rPr>
          <w:rFonts w:cs="宋体" w:asciiTheme="minorEastAsia" w:hAnsiTheme="minorEastAsia"/>
          <w:kern w:val="0"/>
          <w:szCs w:val="21"/>
        </w:rPr>
        <w:t>中另行确定中标供应商的，应当依法另行确定中标供应商；否则应当重新开展采购活动。</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采购人应当自中标通知书发出之日起30日内，按照招标文件和中标人投标文件的规定，与中标人签订书面合同。所签订的合同不得对招标文件确定的事项和中标人投标文件作实质性修改。</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2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w:t>
      </w:r>
      <w:r>
        <w:rPr>
          <w:rFonts w:hint="eastAsia" w:cs="宋体" w:asciiTheme="minorEastAsia" w:hAnsiTheme="minorEastAsia"/>
          <w:b/>
          <w:kern w:val="0"/>
          <w:szCs w:val="21"/>
          <w:lang w:eastAsia="zh-CN"/>
        </w:rPr>
        <w:t>担保</w:t>
      </w:r>
    </w:p>
    <w:p>
      <w:pPr>
        <w:spacing w:line="400" w:lineRule="exact"/>
        <w:ind w:firstLine="840" w:firstLineChars="400"/>
        <w:rPr>
          <w:rFonts w:hint="eastAsia" w:ascii="宋体" w:hAnsi="宋体"/>
          <w:szCs w:val="21"/>
        </w:rPr>
      </w:pPr>
      <w:r>
        <w:rPr>
          <w:rFonts w:hint="eastAsia" w:ascii="宋体" w:hAnsi="宋体"/>
          <w:szCs w:val="21"/>
        </w:rPr>
        <w:t>在签订合同前，中标人应按供应商“ 投标人须知前附表”提交履约</w:t>
      </w:r>
      <w:r>
        <w:rPr>
          <w:rFonts w:hint="eastAsia" w:ascii="宋体" w:hAnsi="宋体"/>
          <w:szCs w:val="21"/>
          <w:lang w:eastAsia="zh-CN"/>
        </w:rPr>
        <w:t>担保</w:t>
      </w:r>
      <w:r>
        <w:rPr>
          <w:rFonts w:hint="eastAsia" w:ascii="宋体" w:hAnsi="宋体"/>
          <w:szCs w:val="21"/>
        </w:rPr>
        <w:t>。</w:t>
      </w:r>
    </w:p>
    <w:p>
      <w:pPr>
        <w:spacing w:line="400" w:lineRule="exact"/>
        <w:rPr>
          <w:rFonts w:hint="eastAsia"/>
          <w:szCs w:val="21"/>
        </w:rPr>
      </w:pPr>
      <w:r>
        <w:rPr>
          <w:rFonts w:hint="eastAsia" w:ascii="宋体" w:hAnsi="宋体"/>
          <w:szCs w:val="21"/>
          <w:lang w:val="en-US" w:eastAsia="zh-CN"/>
        </w:rPr>
        <w:t xml:space="preserve">        </w:t>
      </w:r>
      <w:r>
        <w:rPr>
          <w:rFonts w:hint="eastAsia" w:ascii="宋体" w:hAnsi="宋体"/>
          <w:szCs w:val="21"/>
        </w:rPr>
        <w:t>中标人不能</w:t>
      </w:r>
      <w:r>
        <w:rPr>
          <w:rFonts w:hint="eastAsia" w:ascii="宋体" w:hAnsi="宋体"/>
          <w:szCs w:val="21"/>
          <w:lang w:eastAsia="zh-CN"/>
        </w:rPr>
        <w:t>按照</w:t>
      </w:r>
      <w:r>
        <w:rPr>
          <w:rFonts w:hint="eastAsia" w:ascii="宋体" w:hAnsi="宋体"/>
          <w:szCs w:val="21"/>
        </w:rPr>
        <w:t>“ 投标人须知前附表”提交履约</w:t>
      </w:r>
      <w:r>
        <w:rPr>
          <w:rFonts w:hint="eastAsia" w:ascii="宋体" w:hAnsi="宋体"/>
          <w:szCs w:val="21"/>
          <w:lang w:eastAsia="zh-CN"/>
        </w:rPr>
        <w:t>担保</w:t>
      </w:r>
      <w:r>
        <w:rPr>
          <w:rFonts w:hint="eastAsia" w:ascii="宋体" w:hAnsi="宋体"/>
          <w:szCs w:val="21"/>
        </w:rPr>
        <w:t>的，视为放弃中标，给采购人造成的损失的，中标人还应当予以赔偿。</w:t>
      </w:r>
    </w:p>
    <w:p>
      <w:pPr>
        <w:autoSpaceDE w:val="0"/>
        <w:autoSpaceDN w:val="0"/>
        <w:spacing w:line="360" w:lineRule="auto"/>
        <w:ind w:left="964"/>
        <w:contextualSpacing/>
        <w:rPr>
          <w:rFonts w:cs="宋体" w:asciiTheme="majorEastAsia" w:hAnsiTheme="majorEastAsia" w:eastAsiaTheme="majorEastAsia"/>
          <w:b/>
          <w:kern w:val="0"/>
          <w:sz w:val="36"/>
          <w:szCs w:val="36"/>
        </w:rPr>
      </w:pPr>
      <w:r>
        <w:rPr>
          <w:rFonts w:hint="eastAsia" w:ascii="宋体" w:hAnsi="宋体" w:eastAsia="宋体" w:cs="宋体"/>
          <w:color w:val="333333"/>
          <w:sz w:val="24"/>
          <w:szCs w:val="24"/>
        </w:rPr>
        <w:br w:type="textWrapping"/>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pStyle w:val="24"/>
        <w:rPr>
          <w:rFonts w:hint="eastAsia"/>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autoSpaceDE w:val="0"/>
        <w:autoSpaceDN w:val="0"/>
        <w:spacing w:line="360" w:lineRule="auto"/>
        <w:contextualSpacing/>
        <w:jc w:val="center"/>
        <w:rPr>
          <w:rFonts w:ascii="宋体" w:cs="宋体"/>
          <w:b/>
          <w:kern w:val="0"/>
          <w:sz w:val="32"/>
          <w:szCs w:val="32"/>
        </w:rPr>
      </w:pPr>
      <w:r>
        <w:rPr>
          <w:rFonts w:hint="eastAsia" w:ascii="宋体" w:hAnsi="宋体" w:cs="宋体"/>
          <w:b/>
          <w:kern w:val="0"/>
          <w:sz w:val="32"/>
          <w:szCs w:val="32"/>
        </w:rPr>
        <w:t>第五章</w:t>
      </w:r>
      <w:r>
        <w:rPr>
          <w:rFonts w:ascii="宋体" w:hAnsi="宋体" w:cs="宋体"/>
          <w:b/>
          <w:kern w:val="0"/>
          <w:sz w:val="32"/>
          <w:szCs w:val="32"/>
        </w:rPr>
        <w:t xml:space="preserve"> </w:t>
      </w:r>
      <w:r>
        <w:rPr>
          <w:rFonts w:hint="eastAsia" w:ascii="宋体" w:hAnsi="宋体" w:cs="宋体"/>
          <w:b/>
          <w:kern w:val="0"/>
          <w:sz w:val="32"/>
          <w:szCs w:val="32"/>
        </w:rPr>
        <w:t>政府采购政策功能</w:t>
      </w:r>
    </w:p>
    <w:p>
      <w:pPr>
        <w:jc w:val="center"/>
        <w:rPr>
          <w:rFonts w:ascii="宋体" w:cs="宋体"/>
          <w:b/>
          <w:kern w:val="0"/>
          <w:sz w:val="36"/>
          <w:szCs w:val="36"/>
        </w:rPr>
      </w:pPr>
    </w:p>
    <w:p>
      <w:pPr>
        <w:pStyle w:val="16"/>
        <w:spacing w:line="360" w:lineRule="auto"/>
        <w:ind w:firstLine="420" w:firstLineChars="200"/>
        <w:contextualSpacing/>
        <w:rPr>
          <w:rFonts w:ascii="宋体" w:cs="仿宋_GB2312"/>
          <w:sz w:val="21"/>
          <w:szCs w:val="21"/>
          <w:lang w:val="zh-CN"/>
        </w:rPr>
      </w:pPr>
      <w:r>
        <w:rPr>
          <w:rFonts w:hint="eastAsia" w:ascii="宋体" w:hAnsi="宋体" w:cs="仿宋_GB2312"/>
          <w:sz w:val="21"/>
          <w:szCs w:val="21"/>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pPr>
        <w:pStyle w:val="16"/>
        <w:spacing w:line="360" w:lineRule="auto"/>
        <w:ind w:firstLine="422" w:firstLineChars="200"/>
        <w:contextualSpacing/>
        <w:rPr>
          <w:rFonts w:ascii="宋体" w:cs="仿宋_GB2312"/>
          <w:b/>
          <w:sz w:val="21"/>
          <w:szCs w:val="21"/>
          <w:lang w:val="zh-CN"/>
        </w:rPr>
      </w:pPr>
      <w:r>
        <w:rPr>
          <w:rFonts w:hint="eastAsia" w:ascii="宋体" w:hAnsi="宋体" w:cs="仿宋_GB2312"/>
          <w:b/>
          <w:sz w:val="21"/>
          <w:szCs w:val="21"/>
          <w:lang w:val="zh-CN"/>
        </w:rPr>
        <w:t>一、节能能源、保护环境</w:t>
      </w:r>
    </w:p>
    <w:p>
      <w:pPr>
        <w:pStyle w:val="16"/>
        <w:spacing w:line="360" w:lineRule="auto"/>
        <w:ind w:firstLine="420" w:firstLineChars="200"/>
        <w:contextualSpacing/>
        <w:rPr>
          <w:rFonts w:ascii="宋体" w:cs="仿宋_GB2312"/>
          <w:sz w:val="21"/>
          <w:szCs w:val="21"/>
          <w:lang w:val="zh-CN"/>
        </w:rPr>
      </w:pPr>
      <w:r>
        <w:rPr>
          <w:rFonts w:hint="eastAsia" w:ascii="宋体" w:hAnsi="宋体" w:cs="仿宋_GB2312"/>
          <w:sz w:val="21"/>
          <w:szCs w:val="21"/>
          <w:lang w:val="zh-CN"/>
        </w:rPr>
        <w:t>按照《财政部、发展改革委、生态环境部、市场监管总局关于调整优化节能产品、环境标志产品政府采购执行机制的通知》（财库〔</w:t>
      </w:r>
      <w:r>
        <w:rPr>
          <w:rFonts w:ascii="宋体" w:hAnsi="宋体" w:cs="仿宋_GB2312"/>
          <w:sz w:val="21"/>
          <w:szCs w:val="21"/>
          <w:lang w:val="zh-CN"/>
        </w:rPr>
        <w:t>2019</w:t>
      </w:r>
      <w:r>
        <w:rPr>
          <w:rFonts w:hint="eastAsia" w:ascii="宋体" w:hAnsi="宋体" w:cs="仿宋_GB2312"/>
          <w:sz w:val="21"/>
          <w:szCs w:val="21"/>
          <w:lang w:val="zh-CN"/>
        </w:rPr>
        <w:t>〕</w:t>
      </w:r>
      <w:r>
        <w:rPr>
          <w:rFonts w:ascii="宋体" w:hAnsi="宋体" w:cs="仿宋_GB2312"/>
          <w:sz w:val="21"/>
          <w:szCs w:val="21"/>
          <w:lang w:val="zh-CN"/>
        </w:rPr>
        <w:t>9</w:t>
      </w:r>
      <w:r>
        <w:rPr>
          <w:rFonts w:hint="eastAsia" w:ascii="宋体" w:hAnsi="宋体" w:cs="仿宋_GB2312"/>
          <w:sz w:val="21"/>
          <w:szCs w:val="21"/>
          <w:lang w:val="zh-CN"/>
        </w:rPr>
        <w:t>号）和</w:t>
      </w:r>
      <w:r>
        <w:rPr>
          <w:rFonts w:hint="eastAsia" w:ascii="宋体" w:hAnsi="宋体" w:cs="仿宋_GB2312"/>
          <w:sz w:val="21"/>
          <w:szCs w:val="21"/>
        </w:rPr>
        <w:t>财政部、生态环境部</w:t>
      </w:r>
      <w:r>
        <w:rPr>
          <w:rFonts w:hint="eastAsia" w:ascii="宋体" w:hAnsi="宋体" w:cs="仿宋_GB2312"/>
          <w:sz w:val="21"/>
          <w:szCs w:val="21"/>
          <w:lang w:val="zh-CN"/>
        </w:rPr>
        <w:t>《关于印发环境标志产品政府采购品目清单的通知》</w:t>
      </w:r>
      <w:r>
        <w:rPr>
          <w:rFonts w:hint="eastAsia" w:ascii="宋体" w:hAnsi="宋体" w:cs="仿宋_GB2312"/>
          <w:sz w:val="21"/>
          <w:szCs w:val="21"/>
        </w:rPr>
        <w:t>（财库</w:t>
      </w:r>
      <w:r>
        <w:rPr>
          <w:rFonts w:ascii="宋体" w:hAnsi="宋体" w:cs="仿宋_GB2312"/>
          <w:sz w:val="21"/>
          <w:szCs w:val="21"/>
        </w:rPr>
        <w:t>[2019]18</w:t>
      </w:r>
      <w:r>
        <w:rPr>
          <w:rFonts w:hint="eastAsia" w:ascii="宋体" w:hAnsi="宋体" w:cs="仿宋_GB2312"/>
          <w:sz w:val="21"/>
          <w:szCs w:val="21"/>
        </w:rPr>
        <w:t>号）以及</w:t>
      </w:r>
      <w:r>
        <w:rPr>
          <w:rFonts w:hint="eastAsia" w:ascii="宋体" w:hAnsi="宋体" w:cs="仿宋_GB2312"/>
          <w:sz w:val="21"/>
          <w:szCs w:val="21"/>
          <w:lang w:val="zh-CN"/>
        </w:rPr>
        <w:t>财政部、发展改革委</w:t>
      </w:r>
      <w:r>
        <w:rPr>
          <w:rFonts w:hint="eastAsia" w:ascii="宋体" w:hAnsi="宋体" w:cs="仿宋_GB2312"/>
          <w:sz w:val="21"/>
          <w:szCs w:val="21"/>
        </w:rPr>
        <w:t>《关于印发节能产品政府采购品目清单的通知》（财库</w:t>
      </w:r>
      <w:r>
        <w:rPr>
          <w:rFonts w:ascii="宋体" w:hAnsi="宋体" w:cs="仿宋_GB2312"/>
          <w:sz w:val="21"/>
          <w:szCs w:val="21"/>
        </w:rPr>
        <w:t>[2019]19</w:t>
      </w:r>
      <w:r>
        <w:rPr>
          <w:rFonts w:hint="eastAsia" w:ascii="宋体" w:hAnsi="宋体" w:cs="仿宋_GB2312"/>
          <w:sz w:val="21"/>
          <w:szCs w:val="21"/>
        </w:rPr>
        <w:t>号）</w:t>
      </w:r>
      <w:r>
        <w:rPr>
          <w:rFonts w:hint="eastAsia" w:ascii="宋体" w:hAnsi="宋体" w:cs="仿宋_GB2312"/>
          <w:sz w:val="21"/>
          <w:szCs w:val="21"/>
          <w:lang w:val="zh-CN"/>
        </w:rPr>
        <w:t>，</w:t>
      </w:r>
      <w:r>
        <w:rPr>
          <w:rFonts w:hint="eastAsia" w:ascii="宋体" w:hAnsi="宋体" w:cs="仿宋_GB2312"/>
          <w:sz w:val="21"/>
          <w:szCs w:val="21"/>
        </w:rPr>
        <w:t>采购属于政府强</w:t>
      </w:r>
      <w:r>
        <w:rPr>
          <w:rFonts w:hint="eastAsia" w:ascii="宋体" w:hAnsi="宋体" w:cs="仿宋_GB2312"/>
          <w:sz w:val="21"/>
          <w:szCs w:val="21"/>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pPr>
        <w:pStyle w:val="16"/>
        <w:spacing w:line="360" w:lineRule="auto"/>
        <w:ind w:firstLine="422" w:firstLineChars="200"/>
        <w:contextualSpacing/>
        <w:rPr>
          <w:rFonts w:ascii="宋体" w:cs="仿宋_GB2312"/>
          <w:b/>
          <w:sz w:val="21"/>
          <w:szCs w:val="21"/>
          <w:lang w:val="zh-CN"/>
        </w:rPr>
      </w:pPr>
      <w:r>
        <w:rPr>
          <w:rFonts w:hint="eastAsia" w:ascii="宋体" w:hAnsi="宋体" w:cs="仿宋_GB2312"/>
          <w:b/>
          <w:sz w:val="21"/>
          <w:szCs w:val="21"/>
          <w:lang w:val="zh-CN"/>
        </w:rPr>
        <w:t>二、促进中小企业发展（不含民办非企业）</w:t>
      </w:r>
    </w:p>
    <w:p>
      <w:pPr>
        <w:topLinePunct/>
        <w:spacing w:line="360" w:lineRule="auto"/>
        <w:ind w:firstLine="420" w:firstLineChars="200"/>
        <w:contextualSpacing/>
        <w:rPr>
          <w:rFonts w:ascii="宋体" w:cs="仿宋_GB2312"/>
          <w:szCs w:val="21"/>
          <w:lang w:val="zh-CN"/>
        </w:rPr>
      </w:pPr>
      <w:r>
        <w:rPr>
          <w:rFonts w:ascii="宋体" w:hAnsi="宋体" w:cs="仿宋_GB2312"/>
          <w:szCs w:val="21"/>
          <w:lang w:val="zh-CN"/>
        </w:rPr>
        <w:t>1</w:t>
      </w:r>
      <w:r>
        <w:rPr>
          <w:rFonts w:hint="eastAsia" w:ascii="宋体" w:hAnsi="宋体" w:cs="仿宋_GB2312"/>
          <w:szCs w:val="21"/>
          <w:lang w:val="zh-CN"/>
        </w:rPr>
        <w:t>、根据财政部、工业和信息化部发布的《政府采购促进中小企业发展暂行办法》（财库</w:t>
      </w:r>
      <w:r>
        <w:rPr>
          <w:rFonts w:ascii="宋体" w:hAnsi="宋体" w:cs="仿宋_GB2312"/>
          <w:szCs w:val="21"/>
          <w:lang w:val="zh-CN"/>
        </w:rPr>
        <w:t>[2011]181</w:t>
      </w:r>
      <w:r>
        <w:rPr>
          <w:rFonts w:hint="eastAsia" w:ascii="宋体" w:hAnsi="宋体" w:cs="仿宋_GB2312"/>
          <w:szCs w:val="21"/>
          <w:lang w:val="zh-CN"/>
        </w:rPr>
        <w:t>号）规定，本项目为非专门面向中小企业采购的项目，对小型和微型企业产品的价格给予</w:t>
      </w:r>
      <w:r>
        <w:rPr>
          <w:rFonts w:ascii="宋体" w:hAnsi="宋体" w:cs="仿宋_GB2312"/>
          <w:szCs w:val="21"/>
          <w:lang w:val="zh-CN"/>
        </w:rPr>
        <w:t>6%-10%</w:t>
      </w:r>
      <w:r>
        <w:rPr>
          <w:rFonts w:hint="eastAsia" w:ascii="宋体" w:hAnsi="宋体" w:cs="仿宋_GB2312"/>
          <w:szCs w:val="21"/>
          <w:lang w:val="zh-CN"/>
        </w:rPr>
        <w:t>的扣除，用扣除后的价格参与评审。</w:t>
      </w:r>
    </w:p>
    <w:p>
      <w:pPr>
        <w:spacing w:line="360" w:lineRule="auto"/>
        <w:ind w:firstLine="420" w:firstLineChars="200"/>
        <w:contextualSpacing/>
        <w:rPr>
          <w:rFonts w:ascii="宋体" w:cs="仿宋_GB2312"/>
          <w:szCs w:val="21"/>
          <w:lang w:val="zh-CN"/>
        </w:rPr>
      </w:pPr>
      <w:r>
        <w:rPr>
          <w:rFonts w:ascii="宋体" w:hAnsi="宋体" w:cs="仿宋_GB2312"/>
          <w:szCs w:val="21"/>
          <w:lang w:val="zh-CN"/>
        </w:rPr>
        <w:t>2</w:t>
      </w:r>
      <w:r>
        <w:rPr>
          <w:rFonts w:hint="eastAsia" w:ascii="宋体" w:hAnsi="宋体" w:cs="仿宋_GB2312"/>
          <w:szCs w:val="21"/>
          <w:lang w:val="zh-CN"/>
        </w:rPr>
        <w:t>、如果本项目为非专门面向中小企业采购且接受联合体投标，联合协议中约定小型或微型企业的协议合同金额占到联合体协议合同总金额</w:t>
      </w:r>
      <w:r>
        <w:rPr>
          <w:rFonts w:ascii="宋体" w:hAnsi="宋体" w:cs="仿宋_GB2312"/>
          <w:szCs w:val="21"/>
          <w:lang w:val="zh-CN"/>
        </w:rPr>
        <w:t>30%</w:t>
      </w:r>
      <w:r>
        <w:rPr>
          <w:rFonts w:hint="eastAsia" w:ascii="宋体" w:hAnsi="宋体" w:cs="仿宋_GB2312"/>
          <w:szCs w:val="21"/>
          <w:lang w:val="zh-CN"/>
        </w:rPr>
        <w:t>以上的，给予联合体</w:t>
      </w:r>
      <w:r>
        <w:rPr>
          <w:rFonts w:ascii="宋体" w:hAnsi="宋体" w:cs="仿宋_GB2312"/>
          <w:szCs w:val="21"/>
          <w:lang w:val="zh-CN"/>
        </w:rPr>
        <w:t>2%-3%</w:t>
      </w:r>
      <w:r>
        <w:rPr>
          <w:rFonts w:hint="eastAsia" w:ascii="宋体" w:hAnsi="宋体" w:cs="仿宋_GB2312"/>
          <w:szCs w:val="21"/>
          <w:lang w:val="zh-CN"/>
        </w:rPr>
        <w:t>的价格扣除，用扣除后的价格参与评审。</w:t>
      </w:r>
    </w:p>
    <w:p>
      <w:pPr>
        <w:topLinePunct/>
        <w:spacing w:line="360" w:lineRule="auto"/>
        <w:ind w:firstLine="420" w:firstLineChars="200"/>
        <w:contextualSpacing/>
        <w:rPr>
          <w:rFonts w:ascii="宋体" w:cs="仿宋_GB2312"/>
          <w:szCs w:val="21"/>
          <w:lang w:val="zh-CN"/>
        </w:rPr>
      </w:pPr>
      <w:r>
        <w:rPr>
          <w:rFonts w:ascii="宋体" w:hAnsi="宋体" w:cs="仿宋_GB2312"/>
          <w:szCs w:val="21"/>
          <w:lang w:val="zh-CN"/>
        </w:rPr>
        <w:t>3</w:t>
      </w:r>
      <w:r>
        <w:rPr>
          <w:rFonts w:hint="eastAsia" w:ascii="宋体" w:hAnsi="宋体" w:cs="仿宋_GB2312"/>
          <w:szCs w:val="21"/>
          <w:lang w:val="zh-CN"/>
        </w:rPr>
        <w:t>、联合体各方均为小型或微型企业的，联合体视同为小型、微型企业。组成联合体的大中型企业或者其他自然人、法人或其他组织，与小型、微型企业之间不得存在投资关系。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20" w:firstLineChars="200"/>
        <w:contextualSpacing/>
        <w:rPr>
          <w:rFonts w:ascii="宋体" w:cs="仿宋_GB2312"/>
          <w:szCs w:val="21"/>
          <w:lang w:val="zh-CN"/>
        </w:rPr>
      </w:pPr>
      <w:r>
        <w:rPr>
          <w:rFonts w:ascii="宋体" w:hAnsi="宋体" w:cs="仿宋_GB2312"/>
          <w:szCs w:val="21"/>
          <w:lang w:val="zh-CN"/>
        </w:rPr>
        <w:t>4</w:t>
      </w:r>
      <w:r>
        <w:rPr>
          <w:rFonts w:hint="eastAsia" w:ascii="宋体" w:hAnsi="宋体" w:cs="仿宋_GB2312"/>
          <w:szCs w:val="21"/>
          <w:lang w:val="zh-CN"/>
        </w:rPr>
        <w:t>、中小企业投标应提供《中小企业声明函》，如为联合投标的，联合体各方需分别填写《中小企业声明函》。</w:t>
      </w:r>
    </w:p>
    <w:p>
      <w:pPr>
        <w:topLinePunct/>
        <w:spacing w:line="360" w:lineRule="auto"/>
        <w:ind w:firstLine="422" w:firstLineChars="200"/>
        <w:contextualSpacing/>
        <w:rPr>
          <w:rFonts w:ascii="宋体" w:cs="仿宋_GB2312"/>
          <w:b/>
          <w:szCs w:val="21"/>
          <w:lang w:val="zh-CN"/>
        </w:rPr>
      </w:pPr>
      <w:r>
        <w:rPr>
          <w:rFonts w:hint="eastAsia" w:ascii="宋体" w:hAnsi="宋体" w:cs="仿宋_GB2312"/>
          <w:b/>
          <w:szCs w:val="21"/>
          <w:lang w:val="zh-CN"/>
        </w:rPr>
        <w:t>三、支持监狱企业发展</w:t>
      </w:r>
    </w:p>
    <w:p>
      <w:pPr>
        <w:spacing w:line="360" w:lineRule="auto"/>
        <w:ind w:firstLine="420" w:firstLineChars="200"/>
        <w:contextualSpacing/>
        <w:rPr>
          <w:rFonts w:ascii="宋体" w:cs="仿宋_GB2312"/>
          <w:szCs w:val="21"/>
          <w:lang w:val="zh-CN"/>
        </w:rPr>
      </w:pPr>
      <w:r>
        <w:rPr>
          <w:rFonts w:hint="eastAsia" w:ascii="宋体" w:hAnsi="宋体" w:cs="仿宋_GB2312"/>
          <w:szCs w:val="21"/>
          <w:lang w:val="zh-CN"/>
        </w:rPr>
        <w:t>按照财政部、司法部发布的《关于政府采购支持监狱企业发展有关问题的通知》（</w:t>
      </w:r>
      <w:bookmarkStart w:id="25" w:name="OLE_LINK6"/>
      <w:r>
        <w:rPr>
          <w:rFonts w:hint="eastAsia" w:ascii="宋体" w:hAnsi="宋体" w:cs="仿宋_GB2312"/>
          <w:szCs w:val="21"/>
          <w:lang w:val="zh-CN"/>
        </w:rPr>
        <w:t>财库</w:t>
      </w:r>
      <w:r>
        <w:rPr>
          <w:rFonts w:ascii="宋体" w:hAnsi="宋体" w:cs="仿宋_GB2312"/>
          <w:szCs w:val="21"/>
          <w:lang w:val="zh-CN"/>
        </w:rPr>
        <w:t>[2014]68</w:t>
      </w:r>
      <w:r>
        <w:rPr>
          <w:rFonts w:hint="eastAsia" w:ascii="宋体" w:hAnsi="宋体" w:cs="仿宋_GB2312"/>
          <w:szCs w:val="21"/>
          <w:lang w:val="zh-CN"/>
        </w:rPr>
        <w:t>号</w:t>
      </w:r>
      <w:bookmarkEnd w:id="25"/>
      <w:r>
        <w:rPr>
          <w:rFonts w:hint="eastAsia" w:ascii="宋体" w:hAnsi="宋体" w:cs="仿宋_GB2312"/>
          <w:szCs w:val="21"/>
          <w:lang w:val="zh-CN"/>
        </w:rPr>
        <w:t>）规定，在政府采购活动中，监狱企业视同小型、微型企业，享受评审中价格扣除的政府采购政策，用扣除后的价格参与评审。监狱企业应当提供由省级以上监狱管理局、戒毒管理局</w:t>
      </w:r>
      <w:r>
        <w:rPr>
          <w:rFonts w:ascii="宋体" w:hAnsi="宋体" w:cs="仿宋_GB2312"/>
          <w:szCs w:val="21"/>
          <w:lang w:val="zh-CN"/>
        </w:rPr>
        <w:t>(</w:t>
      </w:r>
      <w:r>
        <w:rPr>
          <w:rFonts w:hint="eastAsia" w:ascii="宋体" w:hAnsi="宋体" w:cs="仿宋_GB2312"/>
          <w:szCs w:val="21"/>
          <w:lang w:val="zh-CN"/>
        </w:rPr>
        <w:t>含新疆生产建设兵团</w:t>
      </w:r>
      <w:r>
        <w:rPr>
          <w:rFonts w:ascii="宋体" w:hAnsi="宋体" w:cs="仿宋_GB2312"/>
          <w:szCs w:val="21"/>
          <w:lang w:val="zh-CN"/>
        </w:rPr>
        <w:t>)</w:t>
      </w:r>
      <w:r>
        <w:rPr>
          <w:rFonts w:hint="eastAsia" w:ascii="宋体" w:hAnsi="宋体" w:cs="仿宋_GB2312"/>
          <w:szCs w:val="21"/>
          <w:lang w:val="zh-CN"/>
        </w:rPr>
        <w:t>出具的属于监狱企业的证明文件。</w:t>
      </w:r>
    </w:p>
    <w:p>
      <w:pPr>
        <w:spacing w:line="360" w:lineRule="auto"/>
        <w:ind w:firstLine="422" w:firstLineChars="200"/>
        <w:contextualSpacing/>
        <w:rPr>
          <w:rFonts w:ascii="宋体" w:cs="仿宋_GB2312"/>
          <w:b/>
          <w:szCs w:val="21"/>
          <w:lang w:val="zh-CN"/>
        </w:rPr>
      </w:pPr>
      <w:r>
        <w:rPr>
          <w:rFonts w:hint="eastAsia" w:ascii="宋体" w:hAnsi="宋体" w:cs="仿宋_GB2312"/>
          <w:b/>
          <w:szCs w:val="21"/>
          <w:lang w:val="zh-CN"/>
        </w:rPr>
        <w:t>四、促进残疾人就业</w:t>
      </w:r>
    </w:p>
    <w:p>
      <w:pPr>
        <w:pStyle w:val="16"/>
        <w:spacing w:line="360" w:lineRule="auto"/>
        <w:ind w:firstLine="420" w:firstLineChars="200"/>
        <w:contextualSpacing/>
        <w:rPr>
          <w:rFonts w:ascii="宋体" w:cs="仿宋_GB2312"/>
          <w:sz w:val="21"/>
          <w:szCs w:val="21"/>
          <w:lang w:val="zh-CN"/>
        </w:rPr>
      </w:pPr>
      <w:r>
        <w:rPr>
          <w:rFonts w:ascii="宋体" w:hAnsi="宋体" w:cs="仿宋_GB2312"/>
          <w:sz w:val="21"/>
          <w:szCs w:val="21"/>
          <w:lang w:val="zh-CN"/>
        </w:rPr>
        <w:t>1</w:t>
      </w:r>
      <w:r>
        <w:rPr>
          <w:rFonts w:hint="eastAsia" w:ascii="宋体" w:hAnsi="宋体" w:cs="仿宋_GB2312"/>
          <w:sz w:val="21"/>
          <w:szCs w:val="21"/>
          <w:lang w:val="zh-CN"/>
        </w:rPr>
        <w:t>、按照财政部、民政部、中国残疾人联合会和残疾人发布的《三部门联合发布关于促进残疾人就业政府采购政策的通知》（财库</w:t>
      </w:r>
      <w:r>
        <w:rPr>
          <w:rFonts w:ascii="宋体" w:hAnsi="宋体" w:cs="仿宋_GB2312"/>
          <w:sz w:val="21"/>
          <w:szCs w:val="21"/>
          <w:lang w:val="zh-CN"/>
        </w:rPr>
        <w:t>[2017]141</w:t>
      </w:r>
      <w:r>
        <w:rPr>
          <w:rFonts w:hint="eastAsia" w:ascii="宋体" w:hAnsi="宋体" w:cs="仿宋_GB2312"/>
          <w:sz w:val="21"/>
          <w:szCs w:val="21"/>
          <w:lang w:val="zh-CN"/>
        </w:rPr>
        <w:t>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宋体" w:hAnsi="宋体"/>
          <w:color w:val="000000"/>
          <w:sz w:val="21"/>
          <w:szCs w:val="21"/>
        </w:rPr>
        <w:t>残疾人福利性单位属于小型、微型企业的，不重复享受政策。</w:t>
      </w:r>
    </w:p>
    <w:p>
      <w:pPr>
        <w:pStyle w:val="16"/>
        <w:spacing w:line="360" w:lineRule="auto"/>
        <w:ind w:firstLine="420" w:firstLineChars="200"/>
        <w:contextualSpacing/>
        <w:rPr>
          <w:rFonts w:ascii="宋体" w:cs="仿宋_GB2312"/>
          <w:sz w:val="21"/>
          <w:szCs w:val="21"/>
          <w:lang w:val="zh-CN"/>
        </w:rPr>
      </w:pPr>
      <w:r>
        <w:rPr>
          <w:rFonts w:ascii="宋体" w:hAnsi="宋体" w:cs="仿宋_GB2312"/>
          <w:sz w:val="21"/>
          <w:szCs w:val="21"/>
          <w:lang w:val="zh-CN"/>
        </w:rPr>
        <w:t>2</w:t>
      </w:r>
      <w:r>
        <w:rPr>
          <w:rFonts w:hint="eastAsia" w:ascii="宋体" w:hAnsi="宋体" w:cs="仿宋_GB2312"/>
          <w:sz w:val="21"/>
          <w:szCs w:val="21"/>
          <w:lang w:val="zh-CN"/>
        </w:rPr>
        <w:t>、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6"/>
        <w:spacing w:line="360" w:lineRule="auto"/>
        <w:ind w:firstLine="420" w:firstLineChars="200"/>
        <w:contextualSpacing/>
        <w:rPr>
          <w:rFonts w:ascii="宋体" w:cs="仿宋_GB2312"/>
          <w:szCs w:val="24"/>
          <w:lang w:val="zh-CN"/>
        </w:rPr>
      </w:pPr>
      <w:r>
        <w:rPr>
          <w:rFonts w:ascii="宋体" w:hAnsi="宋体" w:cs="仿宋_GB2312"/>
          <w:sz w:val="21"/>
          <w:szCs w:val="21"/>
          <w:lang w:val="zh-CN"/>
        </w:rPr>
        <w:t>3</w:t>
      </w:r>
      <w:r>
        <w:rPr>
          <w:rFonts w:hint="eastAsia" w:ascii="宋体" w:hAnsi="宋体" w:cs="仿宋_GB2312"/>
          <w:sz w:val="21"/>
          <w:szCs w:val="21"/>
          <w:lang w:val="zh-CN"/>
        </w:rPr>
        <w:t>、中标人为残疾人福利性单位的，招标人应当随中标结果同时公告其《残疾人福利性单位声明函》，接受社会监督。</w:t>
      </w:r>
    </w:p>
    <w:p>
      <w:pPr>
        <w:spacing w:line="360" w:lineRule="auto"/>
        <w:ind w:firstLine="422" w:firstLineChars="200"/>
        <w:contextualSpacing/>
        <w:rPr>
          <w:rFonts w:ascii="宋体" w:cs="仿宋_GB2312"/>
          <w:b/>
          <w:szCs w:val="21"/>
          <w:lang w:val="zh-CN"/>
        </w:rPr>
      </w:pPr>
      <w:r>
        <w:rPr>
          <w:rFonts w:hint="eastAsia" w:ascii="宋体" w:hAnsi="宋体" w:cs="仿宋_GB2312"/>
          <w:b/>
          <w:szCs w:val="21"/>
          <w:lang w:val="zh-CN"/>
        </w:rPr>
        <w:t>五、支持脱贫攻坚（物业服务采购）</w:t>
      </w:r>
    </w:p>
    <w:p>
      <w:pPr>
        <w:topLinePunct/>
        <w:spacing w:line="360" w:lineRule="auto"/>
        <w:ind w:firstLine="420" w:firstLineChars="200"/>
        <w:contextualSpacing/>
        <w:rPr>
          <w:rFonts w:hint="eastAsia" w:ascii="宋体" w:hAnsi="宋体" w:cs="仿宋_GB2312"/>
          <w:szCs w:val="21"/>
          <w:lang w:val="zh-CN"/>
        </w:rPr>
      </w:pPr>
      <w:r>
        <w:rPr>
          <w:rFonts w:ascii="宋体" w:hAnsi="宋体" w:cs="仿宋_GB2312"/>
          <w:szCs w:val="21"/>
          <w:lang w:val="zh-CN"/>
        </w:rPr>
        <w:t>1</w:t>
      </w:r>
      <w:r>
        <w:rPr>
          <w:rFonts w:hint="eastAsia" w:ascii="宋体" w:hAnsi="宋体" w:cs="仿宋_GB2312"/>
          <w:szCs w:val="21"/>
          <w:lang w:val="zh-CN"/>
        </w:rPr>
        <w:t>、根据《财政部国务院扶贫办关于运用政府采购政策支持脱贫攻坚的通知》财库〔</w:t>
      </w:r>
      <w:r>
        <w:rPr>
          <w:rFonts w:ascii="宋体" w:hAnsi="宋体" w:cs="仿宋_GB2312"/>
          <w:szCs w:val="21"/>
          <w:lang w:val="zh-CN"/>
        </w:rPr>
        <w:t>2019</w:t>
      </w:r>
      <w:r>
        <w:rPr>
          <w:rFonts w:hint="eastAsia" w:ascii="宋体" w:hAnsi="宋体" w:cs="仿宋_GB2312"/>
          <w:szCs w:val="21"/>
          <w:lang w:val="zh-CN"/>
        </w:rPr>
        <w:t>〕</w:t>
      </w:r>
      <w:r>
        <w:rPr>
          <w:rFonts w:ascii="宋体" w:hAnsi="宋体" w:cs="仿宋_GB2312"/>
          <w:szCs w:val="21"/>
          <w:lang w:val="zh-CN"/>
        </w:rPr>
        <w:t>27</w:t>
      </w:r>
      <w:r>
        <w:rPr>
          <w:rFonts w:hint="eastAsia" w:ascii="宋体" w:hAnsi="宋体" w:cs="仿宋_GB2312"/>
          <w:szCs w:val="21"/>
          <w:lang w:val="zh-CN"/>
        </w:rPr>
        <w:t>号有关要求，鼓励优先采购聘用建档立卡贫困人员物业公司提供的物业服务。各级预算单位使用财政性资金采购物业服务的，有条件的应当优先采购注册地在</w:t>
      </w:r>
      <w:r>
        <w:rPr>
          <w:rFonts w:ascii="宋体" w:hAnsi="宋体" w:cs="仿宋_GB2312"/>
          <w:szCs w:val="21"/>
          <w:lang w:val="zh-CN"/>
        </w:rPr>
        <w:t>832</w:t>
      </w:r>
      <w:r>
        <w:rPr>
          <w:rFonts w:hint="eastAsia" w:ascii="宋体" w:hAnsi="宋体" w:cs="仿宋_GB2312"/>
          <w:szCs w:val="21"/>
          <w:lang w:val="zh-CN"/>
        </w:rPr>
        <w:t>个国家级贫困县域内，且聘用建档立卡贫困人员物业公司提供的物业服务。</w:t>
      </w:r>
    </w:p>
    <w:p>
      <w:pPr>
        <w:topLinePunct/>
        <w:spacing w:line="360" w:lineRule="auto"/>
        <w:ind w:firstLine="420" w:firstLineChars="200"/>
        <w:contextualSpacing/>
        <w:rPr>
          <w:rFonts w:hint="eastAsia" w:ascii="宋体" w:hAnsi="宋体" w:cs="仿宋_GB2312"/>
          <w:szCs w:val="21"/>
          <w:lang w:val="zh-CN"/>
        </w:rPr>
      </w:pPr>
      <w:r>
        <w:rPr>
          <w:rFonts w:hint="eastAsia" w:ascii="宋体" w:hAnsi="宋体" w:cs="仿宋_GB2312"/>
          <w:szCs w:val="21"/>
          <w:lang w:val="zh-CN"/>
        </w:rPr>
        <w:t>2、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pPr>
        <w:pStyle w:val="16"/>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6"/>
        <w:spacing w:line="360" w:lineRule="auto"/>
        <w:contextualSpacing/>
        <w:jc w:val="both"/>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pPr>
        <w:pStyle w:val="16"/>
        <w:spacing w:line="360" w:lineRule="auto"/>
        <w:contextualSpacing/>
        <w:rPr>
          <w:rFonts w:cs="仿宋_GB2312" w:asciiTheme="minorEastAsia" w:hAnsiTheme="minorEastAsia"/>
          <w:lang w:val="zh-CN"/>
        </w:rPr>
      </w:pPr>
    </w:p>
    <w:p>
      <w:pPr>
        <w:pStyle w:val="16"/>
        <w:spacing w:line="360" w:lineRule="auto"/>
        <w:contextualSpacing/>
        <w:rPr>
          <w:rFonts w:asciiTheme="minorEastAsia" w:hAnsiTheme="minorEastAsia" w:eastAsiaTheme="minorEastAsia"/>
          <w:bCs/>
          <w:sz w:val="21"/>
          <w:szCs w:val="21"/>
          <w:highlight w:val="none"/>
        </w:rPr>
      </w:pPr>
      <w:r>
        <w:rPr>
          <w:rFonts w:cs="仿宋_GB2312" w:asciiTheme="minorEastAsia" w:hAnsiTheme="minorEastAsia" w:eastAsiaTheme="minorEastAsia"/>
          <w:b/>
          <w:sz w:val="21"/>
          <w:szCs w:val="21"/>
          <w:lang w:val="zh-CN"/>
        </w:rPr>
        <w:t>一、资格审查</w:t>
      </w:r>
    </w:p>
    <w:p>
      <w:pPr>
        <w:spacing w:line="360" w:lineRule="auto"/>
        <w:ind w:right="420" w:rightChars="200" w:firstLine="420" w:firstLineChars="200"/>
        <w:contextualSpacing/>
        <w:rPr>
          <w:rFonts w:asciiTheme="minorEastAsia" w:hAnsiTheme="minorEastAsia"/>
          <w:bCs/>
          <w:szCs w:val="21"/>
          <w:highlight w:val="none"/>
        </w:rPr>
      </w:pPr>
      <w:r>
        <w:rPr>
          <w:rFonts w:hint="eastAsia" w:asciiTheme="minorEastAsia" w:hAnsiTheme="minorEastAsia"/>
          <w:bCs/>
          <w:szCs w:val="21"/>
          <w:highlight w:val="none"/>
        </w:rPr>
        <w:t>（一）</w:t>
      </w:r>
      <w:r>
        <w:rPr>
          <w:rFonts w:asciiTheme="minorEastAsia" w:hAnsiTheme="minorEastAsia"/>
          <w:bCs/>
          <w:szCs w:val="21"/>
          <w:highlight w:val="none"/>
        </w:rPr>
        <w:t>开标结束后，</w:t>
      </w:r>
      <w:r>
        <w:rPr>
          <w:rFonts w:hint="eastAsia" w:asciiTheme="minorEastAsia" w:hAnsiTheme="minorEastAsia"/>
          <w:bCs/>
          <w:szCs w:val="21"/>
          <w:highlight w:val="none"/>
          <w:lang w:eastAsia="zh-CN"/>
        </w:rPr>
        <w:t>由</w:t>
      </w:r>
      <w:r>
        <w:rPr>
          <w:rFonts w:hint="eastAsia" w:asciiTheme="minorEastAsia" w:hAnsiTheme="minorEastAsia"/>
          <w:bCs/>
          <w:szCs w:val="21"/>
          <w:highlight w:val="none"/>
        </w:rPr>
        <w:t>采购人</w:t>
      </w:r>
      <w:r>
        <w:rPr>
          <w:rFonts w:hint="eastAsia" w:asciiTheme="minorEastAsia" w:hAnsiTheme="minorEastAsia"/>
          <w:bCs/>
          <w:szCs w:val="21"/>
          <w:highlight w:val="none"/>
          <w:lang w:eastAsia="zh-CN"/>
        </w:rPr>
        <w:t>代表</w:t>
      </w:r>
      <w:r>
        <w:rPr>
          <w:rFonts w:hint="eastAsia" w:asciiTheme="minorEastAsia" w:hAnsiTheme="minorEastAsia"/>
          <w:bCs/>
          <w:szCs w:val="21"/>
          <w:highlight w:val="none"/>
          <w:lang w:val="en-US" w:eastAsia="zh-CN"/>
        </w:rPr>
        <w:t>1人（需出具委托书）</w:t>
      </w:r>
      <w:r>
        <w:rPr>
          <w:rFonts w:hint="eastAsia" w:asciiTheme="minorEastAsia" w:hAnsiTheme="minorEastAsia"/>
          <w:bCs/>
          <w:szCs w:val="21"/>
          <w:highlight w:val="none"/>
        </w:rPr>
        <w:t>依法对投标人资格进行审查</w:t>
      </w:r>
      <w:r>
        <w:rPr>
          <w:rFonts w:asciiTheme="minorEastAsia" w:hAnsiTheme="minorEastAsia"/>
          <w:bCs/>
          <w:szCs w:val="21"/>
          <w:highlight w:val="none"/>
        </w:rPr>
        <w:t>。</w:t>
      </w:r>
      <w:r>
        <w:rPr>
          <w:rFonts w:hint="eastAsia" w:asciiTheme="minorEastAsia" w:hAnsiTheme="minorEastAsia"/>
          <w:bCs/>
          <w:szCs w:val="21"/>
          <w:highlight w:val="none"/>
        </w:rPr>
        <w:t>确定符合资格的投标人不少于3家的，将组织评标委员会进行评标。</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（三）资格审查中所涉及到的证书及材料，均须在电子投标文件中提供原件扫描件（或图片）。</w:t>
      </w:r>
    </w:p>
    <w:tbl>
      <w:tblPr>
        <w:tblStyle w:val="2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pPr>
              <w:spacing w:line="360" w:lineRule="auto"/>
              <w:rPr>
                <w:rFonts w:asciiTheme="minorEastAsia" w:hAnsiTheme="minorEastAsia"/>
                <w:b/>
                <w:szCs w:val="21"/>
              </w:rPr>
            </w:pPr>
            <w:r>
              <w:rPr>
                <w:rFonts w:hint="eastAsia" w:ascii="宋体" w:hAnsi="宋体" w:cs="微软雅黑"/>
                <w:bCs/>
                <w:szCs w:val="21"/>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法人或者其他组织的营业执照等证明文件，自然人的身份证明</w:t>
            </w:r>
          </w:p>
        </w:tc>
        <w:tc>
          <w:tcPr>
            <w:tcW w:w="5954" w:type="dxa"/>
            <w:vAlign w:val="center"/>
          </w:tcPr>
          <w:p>
            <w:pPr>
              <w:spacing w:line="360" w:lineRule="auto"/>
              <w:jc w:val="left"/>
              <w:rPr>
                <w:rFonts w:asciiTheme="minorEastAsia" w:hAnsiTheme="minorEastAsia"/>
                <w:bCs/>
                <w:szCs w:val="21"/>
              </w:rPr>
            </w:pPr>
            <w:r>
              <w:rPr>
                <w:rFonts w:hint="eastAsia" w:asciiTheme="minorEastAsia" w:hAnsiTheme="minorEastAsia"/>
                <w:bCs/>
                <w:szCs w:val="21"/>
              </w:rPr>
              <w:t>（1）企业法人营业执照或营业执照。（企业投标提供）</w:t>
            </w:r>
          </w:p>
          <w:p>
            <w:pPr>
              <w:spacing w:line="360" w:lineRule="auto"/>
              <w:jc w:val="left"/>
              <w:rPr>
                <w:rFonts w:asciiTheme="minorEastAsia" w:hAnsiTheme="minorEastAsia"/>
                <w:bCs/>
                <w:szCs w:val="21"/>
              </w:rPr>
            </w:pPr>
            <w:r>
              <w:rPr>
                <w:rFonts w:hint="eastAsia" w:asciiTheme="minorEastAsia" w:hAnsiTheme="minorEastAsia"/>
                <w:bCs/>
                <w:szCs w:val="21"/>
              </w:rPr>
              <w:t>（2）事业单位法人证书。（事业单位投标提供）</w:t>
            </w:r>
          </w:p>
          <w:p>
            <w:pPr>
              <w:spacing w:line="360" w:lineRule="auto"/>
              <w:jc w:val="left"/>
              <w:rPr>
                <w:rFonts w:asciiTheme="minorEastAsia" w:hAnsiTheme="minorEastAsia"/>
                <w:bCs/>
                <w:szCs w:val="21"/>
              </w:rPr>
            </w:pPr>
            <w:r>
              <w:rPr>
                <w:rFonts w:hint="eastAsia" w:asciiTheme="minorEastAsia" w:hAnsiTheme="minorEastAsia"/>
                <w:bCs/>
                <w:szCs w:val="21"/>
              </w:rPr>
              <w:t>（3）执业许可证。（非企业专业服务机构投标提供）</w:t>
            </w:r>
          </w:p>
          <w:p>
            <w:pPr>
              <w:spacing w:line="360" w:lineRule="auto"/>
              <w:jc w:val="left"/>
              <w:rPr>
                <w:rFonts w:asciiTheme="minorEastAsia" w:hAnsiTheme="minorEastAsia"/>
                <w:bCs/>
                <w:szCs w:val="21"/>
              </w:rPr>
            </w:pPr>
            <w:r>
              <w:rPr>
                <w:rFonts w:hint="eastAsia" w:asciiTheme="minorEastAsia" w:hAnsiTheme="minorEastAsia"/>
                <w:bCs/>
                <w:szCs w:val="21"/>
              </w:rPr>
              <w:t>（4）个体工商户营业执照。（个体工商户投标提供）</w:t>
            </w:r>
          </w:p>
          <w:p>
            <w:pPr>
              <w:spacing w:line="360" w:lineRule="auto"/>
              <w:jc w:val="left"/>
              <w:rPr>
                <w:rFonts w:asciiTheme="minorEastAsia" w:hAnsiTheme="minorEastAsia"/>
                <w:bCs/>
                <w:szCs w:val="21"/>
              </w:rPr>
            </w:pPr>
            <w:r>
              <w:rPr>
                <w:rFonts w:hint="eastAsia" w:asciiTheme="minorEastAsia" w:hAnsiTheme="minorEastAsia"/>
                <w:bCs/>
                <w:szCs w:val="21"/>
              </w:rPr>
              <w:t>（5）自然人身份证明。（自然人投标提供）</w:t>
            </w:r>
          </w:p>
          <w:p>
            <w:pPr>
              <w:spacing w:line="360" w:lineRule="auto"/>
              <w:jc w:val="left"/>
              <w:rPr>
                <w:rFonts w:asciiTheme="minorEastAsia" w:hAnsiTheme="minorEastAsia"/>
                <w:b/>
                <w:bCs/>
                <w:szCs w:val="21"/>
              </w:rPr>
            </w:pPr>
            <w:r>
              <w:rPr>
                <w:rFonts w:hint="eastAsia" w:asciiTheme="minorEastAsia" w:hAnsiTheme="minorEastAsia"/>
                <w:bCs/>
                <w:szCs w:val="21"/>
              </w:rPr>
              <w:t>（6）民办非企业单位登记证书。（民办非企业单位投标提供）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3</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财务状况报告相关材料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（1）投标人是法人（法人包括企业法人、机关法人、事业单位法人和社会团体法人），提供本单位：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w:t>
            </w:r>
            <w:r>
              <w:rPr>
                <w:rFonts w:hint="eastAsia" w:asciiTheme="minorEastAsia" w:hAnsiTheme="minorEastAsia"/>
                <w:bCs/>
                <w:szCs w:val="21"/>
                <w:lang w:val="en-US" w:eastAsia="zh-CN"/>
              </w:rPr>
              <w:t>2016年度、2017年度、</w:t>
            </w:r>
            <w:r>
              <w:rPr>
                <w:rFonts w:hint="eastAsia" w:asciiTheme="minorEastAsia" w:hAnsiTheme="minorEastAsia"/>
                <w:bCs/>
                <w:szCs w:val="21"/>
              </w:rPr>
              <w:t>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（2）投标人（其他组织和自然人）提供本单位：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w:t>
            </w:r>
            <w:r>
              <w:rPr>
                <w:rFonts w:hint="eastAsia" w:asciiTheme="minorEastAsia" w:hAnsiTheme="minorEastAsia"/>
                <w:bCs/>
                <w:szCs w:val="21"/>
                <w:lang w:val="en-US" w:eastAsia="zh-CN"/>
              </w:rPr>
              <w:t>2016年度、2017年度、</w:t>
            </w:r>
            <w:r>
              <w:rPr>
                <w:rFonts w:hint="eastAsia" w:asciiTheme="minorEastAsia" w:hAnsiTheme="minorEastAsia"/>
                <w:bCs/>
                <w:szCs w:val="21"/>
              </w:rPr>
              <w:t>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hint="eastAsia"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Times New Roman" w:hAnsi="Times New Roman" w:cs="宋体"/>
                <w:szCs w:val="21"/>
                <w:lang w:bidi="ar"/>
              </w:rPr>
              <w:t>（新注册公司从注册交纳起计算，不足的视为满足</w:t>
            </w:r>
            <w:r>
              <w:rPr>
                <w:rFonts w:hint="eastAsia" w:ascii="Times New Roman" w:hAnsi="Times New Roman" w:cs="宋体"/>
                <w:szCs w:val="21"/>
                <w:lang w:eastAsia="zh-CN" w:bidi="ar"/>
              </w:rPr>
              <w:t>）</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4</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依法缴纳税收相关材料</w:t>
            </w:r>
          </w:p>
        </w:tc>
        <w:tc>
          <w:tcPr>
            <w:tcW w:w="5954" w:type="dxa"/>
          </w:tcPr>
          <w:p>
            <w:pPr>
              <w:spacing w:line="360" w:lineRule="auto"/>
              <w:rPr>
                <w:rFonts w:asciiTheme="minorEastAsia" w:hAnsiTheme="minorEastAsia"/>
                <w:b/>
                <w:bCs/>
                <w:szCs w:val="21"/>
                <w:highlight w:val="none"/>
              </w:rPr>
            </w:pPr>
            <w:r>
              <w:rPr>
                <w:rFonts w:hint="eastAsia" w:ascii="宋体" w:hAnsi="宋体" w:cs="微软雅黑"/>
                <w:bCs/>
                <w:szCs w:val="21"/>
                <w:highlight w:val="none"/>
              </w:rPr>
              <w:t>投标人提供参加本次政府采购项目</w:t>
            </w:r>
            <w:r>
              <w:rPr>
                <w:rFonts w:hint="eastAsia" w:asciiTheme="minorEastAsia" w:hAnsiTheme="minorEastAsia"/>
                <w:bCs/>
                <w:szCs w:val="21"/>
                <w:highlight w:val="none"/>
              </w:rPr>
              <w:t>投标截止时间前六个月内任意一个月缴纳税收凭据。（依法免税的投标人，应提供相应文件证明依法免税）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5</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依法缴纳社会保障资金的证明材料</w:t>
            </w:r>
          </w:p>
        </w:tc>
        <w:tc>
          <w:tcPr>
            <w:tcW w:w="5954" w:type="dxa"/>
          </w:tcPr>
          <w:p>
            <w:pPr>
              <w:spacing w:line="360" w:lineRule="auto"/>
              <w:rPr>
                <w:rFonts w:asciiTheme="minorEastAsia" w:hAnsiTheme="minorEastAsia"/>
                <w:b/>
                <w:bCs/>
                <w:szCs w:val="21"/>
                <w:highlight w:val="none"/>
              </w:rPr>
            </w:pPr>
            <w:r>
              <w:rPr>
                <w:rFonts w:hint="eastAsia" w:ascii="宋体" w:hAnsi="宋体" w:cs="微软雅黑"/>
                <w:bCs/>
                <w:szCs w:val="21"/>
                <w:highlight w:val="none"/>
              </w:rPr>
              <w:t>投标人提供参加本次政府采购项目</w:t>
            </w:r>
            <w:r>
              <w:rPr>
                <w:rFonts w:hint="eastAsia" w:asciiTheme="minorEastAsia" w:hAnsiTheme="minorEastAsia"/>
                <w:bCs/>
                <w:szCs w:val="21"/>
                <w:highlight w:val="none"/>
              </w:rPr>
              <w:t>投标截止时间前六个月内任意一个月缴纳社会保险凭据。（依法不需要缴纳社会保障资金的投标人，应提供相应文件证明依法不需要缴纳社会保障资金）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6</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履行合同所必须的设备和专业技术能力的证明材料</w:t>
            </w:r>
          </w:p>
        </w:tc>
        <w:tc>
          <w:tcPr>
            <w:tcW w:w="5954" w:type="dxa"/>
          </w:tcPr>
          <w:p>
            <w:pPr>
              <w:spacing w:line="360" w:lineRule="auto"/>
              <w:rPr>
                <w:rFonts w:asciiTheme="minorEastAsia" w:hAnsiTheme="minorEastAsia"/>
                <w:bCs/>
                <w:szCs w:val="21"/>
                <w:highlight w:val="none"/>
              </w:rPr>
            </w:pPr>
            <w:r>
              <w:rPr>
                <w:rFonts w:hint="eastAsia" w:asciiTheme="minorEastAsia" w:hAnsiTheme="minorEastAsia"/>
                <w:bCs/>
                <w:szCs w:val="21"/>
                <w:highlight w:val="none"/>
              </w:rPr>
              <w:t>①与本项目投标相关设备的购置发票、专业技术人员职称证书、用工合同等；</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②投标人具备履行合同所必须的设备和专业技术能力承诺函或声明（承诺函或声明格式自拟）。</w:t>
            </w:r>
          </w:p>
          <w:p>
            <w:pPr>
              <w:spacing w:line="360" w:lineRule="auto"/>
              <w:rPr>
                <w:rFonts w:asciiTheme="minorEastAsia" w:hAnsiTheme="minorEastAsia"/>
                <w:b/>
                <w:bCs/>
                <w:szCs w:val="21"/>
                <w:highlight w:val="none"/>
              </w:rPr>
            </w:pPr>
            <w:r>
              <w:rPr>
                <w:rFonts w:hint="eastAsia" w:ascii="楷体" w:hAnsi="楷体" w:eastAsia="楷体" w:cs="仿宋_GB2312"/>
                <w:sz w:val="24"/>
                <w:szCs w:val="24"/>
                <w:highlight w:val="none"/>
                <w:lang w:val="zh-CN"/>
              </w:rPr>
              <w:t>注：仅需提供序号</w:t>
            </w:r>
            <w:r>
              <w:rPr>
                <w:rFonts w:hint="eastAsia" w:ascii="楷体" w:hAnsi="楷体" w:eastAsia="楷体"/>
                <w:color w:val="000000"/>
                <w:sz w:val="24"/>
                <w:szCs w:val="24"/>
                <w:highlight w:val="none"/>
              </w:rPr>
              <w:t>①～②其中之一即可。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7</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参加政府采购活动前3年内在经营活动中没有重大违法记录的声明</w:t>
            </w:r>
          </w:p>
        </w:tc>
        <w:tc>
          <w:tcPr>
            <w:tcW w:w="5954" w:type="dxa"/>
            <w:vAlign w:val="center"/>
          </w:tcPr>
          <w:p>
            <w:pPr>
              <w:spacing w:line="360" w:lineRule="auto"/>
              <w:jc w:val="left"/>
              <w:rPr>
                <w:rFonts w:asciiTheme="minorEastAsia" w:hAnsiTheme="minorEastAsia"/>
                <w:b/>
                <w:bCs/>
                <w:szCs w:val="21"/>
              </w:rPr>
            </w:pPr>
            <w:r>
              <w:rPr>
                <w:rFonts w:hint="eastAsia" w:ascii="宋体" w:hAnsi="宋体" w:cs="微软雅黑"/>
                <w:bCs/>
                <w:szCs w:val="21"/>
              </w:rPr>
              <w:t>按照招标文件提供格式填写。</w:t>
            </w:r>
            <w:r>
              <w:rPr>
                <w:rFonts w:hint="eastAsia" w:asciiTheme="minorEastAsia" w:hAnsiTheme="minorEastAsia"/>
                <w:bCs/>
                <w:szCs w:val="21"/>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8</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信用记录查询及使用</w:t>
            </w:r>
          </w:p>
        </w:tc>
        <w:tc>
          <w:tcPr>
            <w:tcW w:w="5954" w:type="dxa"/>
          </w:tcPr>
          <w:p>
            <w:pPr>
              <w:spacing w:line="360" w:lineRule="auto"/>
              <w:rPr>
                <w:rFonts w:asciiTheme="minorEastAsia" w:hAnsiTheme="minorEastAsia"/>
                <w:bCs/>
                <w:szCs w:val="21"/>
                <w:highlight w:val="none"/>
              </w:rPr>
            </w:pPr>
            <w:r>
              <w:rPr>
                <w:rFonts w:hint="eastAsia" w:asciiTheme="minorEastAsia" w:hAnsiTheme="minorEastAsia"/>
                <w:bCs/>
                <w:szCs w:val="21"/>
                <w:highlight w:val="none"/>
              </w:rPr>
              <w:t>政府采购活动中查询及使用投标人信用记录的具体要求为：投标人未被列入</w:t>
            </w:r>
            <w:r>
              <w:rPr>
                <w:rFonts w:asciiTheme="minorEastAsia" w:hAnsiTheme="minorEastAsia"/>
                <w:bCs/>
                <w:szCs w:val="21"/>
                <w:highlight w:val="none"/>
              </w:rPr>
              <w:t>“信用中国”网站</w:t>
            </w:r>
            <w:r>
              <w:rPr>
                <w:rFonts w:hint="eastAsia" w:asciiTheme="minorEastAsia" w:hAnsiTheme="minorEastAsia"/>
                <w:bCs/>
                <w:szCs w:val="21"/>
                <w:highlight w:val="none"/>
              </w:rPr>
              <w:t>失信被执行人、重大税收违法案件当事人名单、“</w:t>
            </w:r>
            <w:r>
              <w:rPr>
                <w:rFonts w:asciiTheme="minorEastAsia" w:hAnsiTheme="minorEastAsia"/>
                <w:bCs/>
                <w:szCs w:val="21"/>
                <w:highlight w:val="none"/>
              </w:rPr>
              <w:t>中国政府采购网</w:t>
            </w:r>
            <w:r>
              <w:rPr>
                <w:rFonts w:hint="eastAsia" w:asciiTheme="minorEastAsia" w:hAnsiTheme="minorEastAsia"/>
                <w:bCs/>
                <w:szCs w:val="21"/>
                <w:highlight w:val="none"/>
              </w:rPr>
              <w:t>”政府采购严重违法失信行为记录名单“中国社会组织公共服务平台”网站（</w:t>
            </w:r>
            <w:r>
              <w:rPr>
                <w:rFonts w:asciiTheme="minorEastAsia" w:hAnsiTheme="minorEastAsia"/>
                <w:bCs/>
                <w:szCs w:val="21"/>
                <w:highlight w:val="none"/>
              </w:rPr>
              <w:t>www.chinanpo.gov.cn</w:t>
            </w:r>
            <w:r>
              <w:rPr>
                <w:rFonts w:hint="eastAsia" w:asciiTheme="minorEastAsia" w:hAnsiTheme="minorEastAsia"/>
                <w:bCs/>
                <w:szCs w:val="21"/>
                <w:highlight w:val="none"/>
              </w:rPr>
              <w:t>）严重违法失信社会组织名单的投标</w:t>
            </w:r>
            <w:r>
              <w:rPr>
                <w:rFonts w:hint="eastAsia" w:cs="仿宋_GB2312" w:asciiTheme="minorEastAsia" w:hAnsiTheme="minorEastAsia"/>
                <w:szCs w:val="21"/>
              </w:rPr>
              <w:t>人</w:t>
            </w:r>
            <w:r>
              <w:rPr>
                <w:rFonts w:hint="eastAsia" w:cs="仿宋_GB2312" w:asciiTheme="minorEastAsia" w:hAnsiTheme="minorEastAsia"/>
                <w:b/>
                <w:szCs w:val="21"/>
              </w:rPr>
              <w:t>；</w:t>
            </w:r>
            <w:r>
              <w:rPr>
                <w:rFonts w:hint="eastAsia" w:asciiTheme="minorEastAsia" w:hAnsiTheme="minorEastAsia"/>
                <w:bCs/>
                <w:szCs w:val="21"/>
                <w:highlight w:val="none"/>
              </w:rPr>
              <w:t>（联合体形式投标的，联合体成员存在不良信用记录，视同联合体存在不良信用记录）。</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（1）查询渠道：</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①“信用中国”网站（</w:t>
            </w:r>
            <w:r>
              <w:rPr>
                <w:highlight w:val="none"/>
              </w:rPr>
              <w:fldChar w:fldCharType="begin"/>
            </w:r>
            <w:r>
              <w:rPr>
                <w:highlight w:val="none"/>
              </w:rPr>
              <w:instrText xml:space="preserve"> HYPERLINK "http://www.creditchina.gov.cn" </w:instrText>
            </w:r>
            <w:r>
              <w:rPr>
                <w:highlight w:val="none"/>
              </w:rPr>
              <w:fldChar w:fldCharType="separate"/>
            </w:r>
            <w:r>
              <w:rPr>
                <w:rStyle w:val="30"/>
                <w:rFonts w:hint="eastAsia" w:asciiTheme="minorEastAsia" w:hAnsiTheme="minorEastAsia"/>
                <w:bCs/>
                <w:szCs w:val="21"/>
                <w:highlight w:val="none"/>
              </w:rPr>
              <w:t>www.creditchina.gov.cn</w:t>
            </w:r>
            <w:r>
              <w:rPr>
                <w:rStyle w:val="30"/>
                <w:rFonts w:hint="eastAsia" w:asciiTheme="minorEastAsia" w:hAnsiTheme="minorEastAsia"/>
                <w:bCs/>
                <w:szCs w:val="21"/>
                <w:highlight w:val="none"/>
              </w:rPr>
              <w:fldChar w:fldCharType="end"/>
            </w:r>
            <w:r>
              <w:rPr>
                <w:rFonts w:hint="eastAsia" w:asciiTheme="minorEastAsia" w:hAnsiTheme="minorEastAsia"/>
                <w:bCs/>
                <w:szCs w:val="21"/>
                <w:highlight w:val="none"/>
              </w:rPr>
              <w:t>）</w:t>
            </w:r>
          </w:p>
          <w:p>
            <w:pPr>
              <w:spacing w:line="360" w:lineRule="auto"/>
              <w:rPr>
                <w:rFonts w:hint="eastAsia" w:asciiTheme="minorEastAsia" w:hAnsiTheme="minorEastAsia"/>
                <w:bCs/>
                <w:szCs w:val="21"/>
                <w:highlight w:val="none"/>
              </w:rPr>
            </w:pPr>
            <w:r>
              <w:rPr>
                <w:rFonts w:hint="eastAsia" w:asciiTheme="minorEastAsia" w:hAnsiTheme="minorEastAsia"/>
                <w:bCs/>
                <w:szCs w:val="21"/>
                <w:highlight w:val="none"/>
              </w:rPr>
              <w:t>②“中国政府采购网”（www.ccgp.gov.cn）</w:t>
            </w:r>
          </w:p>
          <w:p>
            <w:pPr>
              <w:spacing w:line="360" w:lineRule="auto"/>
            </w:pPr>
            <w:r>
              <w:rPr>
                <w:rFonts w:hint="eastAsia" w:asciiTheme="minorEastAsia" w:hAnsiTheme="minorEastAsia"/>
                <w:bCs/>
                <w:szCs w:val="21"/>
              </w:rPr>
              <w:t>③</w:t>
            </w:r>
            <w:r>
              <w:rPr>
                <w:rFonts w:hint="eastAsia" w:cs="仿宋_GB2312" w:asciiTheme="minorEastAsia" w:hAnsiTheme="minorEastAsia"/>
                <w:szCs w:val="21"/>
              </w:rPr>
              <w:t>“中国社会组织公共服务平台”网站（</w:t>
            </w:r>
            <w:r>
              <w:rPr>
                <w:rFonts w:cs="仿宋_GB2312" w:asciiTheme="minorEastAsia" w:hAnsiTheme="minorEastAsia"/>
                <w:szCs w:val="21"/>
              </w:rPr>
              <w:t>www.chinanpo.gov.cn</w:t>
            </w:r>
            <w:r>
              <w:rPr>
                <w:rFonts w:hint="eastAsia" w:cs="仿宋_GB2312" w:asciiTheme="minorEastAsia" w:hAnsiTheme="minorEastAsia"/>
                <w:szCs w:val="21"/>
              </w:rPr>
              <w:t>）（仅查询社会组织）</w:t>
            </w:r>
            <w:r>
              <w:rPr>
                <w:rFonts w:hint="eastAsia" w:asciiTheme="minorEastAsia" w:hAnsiTheme="minorEastAsia"/>
                <w:bCs/>
                <w:szCs w:val="21"/>
              </w:rPr>
              <w:t>；</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（2）截止时间：同投标截止时间；</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（3）信用信息查询记录和证据留存具体方式：经采购人确认的查询结果网页截图作为查询记录和证据，与其他采购文件一并保存；</w:t>
            </w:r>
          </w:p>
          <w:p>
            <w:pPr>
              <w:spacing w:line="360" w:lineRule="auto"/>
              <w:rPr>
                <w:rFonts w:hint="eastAsia" w:asciiTheme="minorEastAsia" w:hAnsiTheme="minorEastAsia"/>
                <w:bCs/>
                <w:szCs w:val="21"/>
                <w:highlight w:val="none"/>
              </w:rPr>
            </w:pPr>
            <w:r>
              <w:rPr>
                <w:rFonts w:hint="eastAsia" w:asciiTheme="minorEastAsia" w:hAnsiTheme="minorEastAsia"/>
                <w:bCs/>
                <w:szCs w:val="21"/>
                <w:highlight w:val="none"/>
              </w:rPr>
              <w:t>（4）信用信息的使用原则：经采购人认定的被列入失信被执行人、重大税收违法案件当事人名单、政府采购严重违法失信行为记录名单的投标人，严重违法失信企业名单（黑名单）、</w:t>
            </w:r>
            <w:r>
              <w:rPr>
                <w:rFonts w:hint="eastAsia" w:cs="仿宋_GB2312" w:asciiTheme="minorEastAsia" w:hAnsiTheme="minorEastAsia"/>
                <w:color w:val="000000"/>
                <w:szCs w:val="21"/>
                <w:highlight w:val="none"/>
              </w:rPr>
              <w:t>严重违法失信社会组织</w:t>
            </w:r>
            <w:r>
              <w:rPr>
                <w:rFonts w:hint="eastAsia" w:asciiTheme="minorEastAsia" w:hAnsiTheme="minorEastAsia"/>
                <w:bCs/>
                <w:szCs w:val="21"/>
                <w:highlight w:val="none"/>
              </w:rPr>
              <w:t>的投标人，将拒绝其参与本次政府采购活动。</w:t>
            </w:r>
          </w:p>
          <w:p>
            <w:pPr>
              <w:spacing w:line="360" w:lineRule="auto"/>
              <w:rPr>
                <w:rFonts w:asciiTheme="minorEastAsia" w:hAnsiTheme="minorEastAsia"/>
                <w:b/>
                <w:bCs/>
                <w:szCs w:val="21"/>
                <w:highlight w:val="none"/>
              </w:rPr>
            </w:pPr>
            <w:r>
              <w:rPr>
                <w:rFonts w:hint="eastAsia" w:asciiTheme="minorEastAsia" w:hAnsiTheme="minorEastAsia"/>
                <w:bCs/>
                <w:szCs w:val="21"/>
                <w:highlight w:val="none"/>
                <w:lang w:eastAsia="zh-CN"/>
              </w:rPr>
              <w:t>（</w:t>
            </w:r>
            <w:r>
              <w:rPr>
                <w:rFonts w:hint="eastAsia" w:asciiTheme="minorEastAsia" w:hAnsiTheme="minorEastAsia"/>
                <w:bCs/>
                <w:szCs w:val="21"/>
                <w:highlight w:val="none"/>
                <w:lang w:val="en-US" w:eastAsia="zh-CN"/>
              </w:rPr>
              <w:t>5</w:t>
            </w:r>
            <w:r>
              <w:rPr>
                <w:rFonts w:hint="eastAsia" w:asciiTheme="minorEastAsia" w:hAnsiTheme="minorEastAsia"/>
                <w:bCs/>
                <w:szCs w:val="21"/>
                <w:highlight w:val="none"/>
                <w:lang w:eastAsia="zh-CN"/>
              </w:rPr>
              <w:t>）</w:t>
            </w:r>
            <w:r>
              <w:rPr>
                <w:rFonts w:hint="eastAsia" w:asciiTheme="minorHAnsi" w:hAnsiTheme="minorHAnsi" w:eastAsiaTheme="minorEastAsia" w:cstheme="minorBidi"/>
                <w:kern w:val="2"/>
                <w:sz w:val="21"/>
                <w:szCs w:val="22"/>
                <w:lang w:val="en-US" w:eastAsia="zh-CN" w:bidi="ar-SA"/>
              </w:rPr>
              <w:t>供应商无须提供信用记录查询结果网页截屏，投标人不良信用记录以采购人在开标现场查询结果为准，采购人查询之后，网站信息发生的任何变更不再作为评审依据，投标人自行提供的与网站信息不一致的其他证明材料亦不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9</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szCs w:val="21"/>
              </w:rPr>
              <w:t>投标人须具备的特殊</w:t>
            </w:r>
          </w:p>
          <w:p>
            <w:pPr>
              <w:spacing w:line="360" w:lineRule="auto"/>
              <w:rPr>
                <w:rFonts w:asciiTheme="minorEastAsia" w:hAnsiTheme="minorEastAsia"/>
                <w:b/>
                <w:bCs/>
                <w:szCs w:val="21"/>
              </w:rPr>
            </w:pPr>
            <w:r>
              <w:rPr>
                <w:rFonts w:hint="eastAsia" w:asciiTheme="minorEastAsia" w:hAnsiTheme="minorEastAsia"/>
                <w:b/>
                <w:szCs w:val="21"/>
              </w:rPr>
              <w:t>资质证书</w:t>
            </w:r>
          </w:p>
        </w:tc>
        <w:tc>
          <w:tcPr>
            <w:tcW w:w="5954" w:type="dxa"/>
            <w:vAlign w:val="center"/>
          </w:tcPr>
          <w:p>
            <w:pPr>
              <w:spacing w:line="360" w:lineRule="auto"/>
              <w:rPr>
                <w:rFonts w:asciiTheme="minorEastAsia" w:hAnsiTheme="minorEastAsia"/>
                <w:b/>
                <w:bCs/>
                <w:szCs w:val="21"/>
              </w:rPr>
            </w:pPr>
            <w:r>
              <w:rPr>
                <w:rFonts w:hint="eastAsia" w:asciiTheme="minorEastAsia" w:hAnsiTheme="minorEastAsia"/>
                <w:b/>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hint="default" w:asciiTheme="minorEastAsia" w:hAnsiTheme="minorEastAsia" w:eastAsiaTheme="minorEastAsia"/>
                <w:b/>
                <w:bCs/>
                <w:szCs w:val="21"/>
                <w:lang w:val="en-US" w:eastAsia="zh-CN"/>
              </w:rPr>
            </w:pPr>
            <w:r>
              <w:rPr>
                <w:rFonts w:hint="eastAsia" w:asciiTheme="minorEastAsia" w:hAnsiTheme="minorEastAsia"/>
                <w:b/>
                <w:bCs/>
                <w:szCs w:val="21"/>
                <w:lang w:val="en-US" w:eastAsia="zh-CN"/>
              </w:rPr>
              <w:t>10</w:t>
            </w:r>
          </w:p>
        </w:tc>
        <w:tc>
          <w:tcPr>
            <w:tcW w:w="2410" w:type="dxa"/>
            <w:vAlign w:val="center"/>
          </w:tcPr>
          <w:p>
            <w:pPr>
              <w:spacing w:line="360" w:lineRule="auto"/>
              <w:rPr>
                <w:rFonts w:hint="eastAsia" w:asciiTheme="minorEastAsia" w:hAnsiTheme="minorEastAsia"/>
                <w:b/>
                <w:szCs w:val="21"/>
              </w:rPr>
            </w:pPr>
            <w:r>
              <w:rPr>
                <w:rFonts w:hint="eastAsia" w:ascii="宋体" w:hAnsi="宋体"/>
                <w:b/>
                <w:bCs/>
                <w:sz w:val="24"/>
                <w:szCs w:val="24"/>
                <w:lang w:eastAsia="zh-CN"/>
              </w:rPr>
              <w:t>投标承诺函</w:t>
            </w:r>
          </w:p>
        </w:tc>
        <w:tc>
          <w:tcPr>
            <w:tcW w:w="5954" w:type="dxa"/>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b/>
                <w:bCs/>
                <w:szCs w:val="21"/>
              </w:rPr>
            </w:pPr>
            <w:r>
              <w:rPr>
                <w:rFonts w:hint="eastAsia" w:ascii="宋体" w:hAnsi="宋体"/>
                <w:bCs/>
                <w:sz w:val="24"/>
                <w:szCs w:val="24"/>
              </w:rPr>
              <w:t>参考</w:t>
            </w:r>
            <w:r>
              <w:rPr>
                <w:rFonts w:hint="eastAsia" w:ascii="宋体" w:hAnsi="宋体"/>
                <w:bCs/>
                <w:sz w:val="24"/>
                <w:szCs w:val="24"/>
                <w:lang w:eastAsia="zh-CN"/>
              </w:rPr>
              <w:t>采购</w:t>
            </w:r>
            <w:r>
              <w:rPr>
                <w:rFonts w:hint="eastAsia" w:ascii="宋体" w:hAnsi="宋体"/>
                <w:bCs/>
                <w:sz w:val="24"/>
                <w:szCs w:val="24"/>
              </w:rPr>
              <w:t>文件第八章格式填写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hint="eastAsia" w:asciiTheme="minorEastAsia" w:hAnsiTheme="minorEastAsia" w:eastAsiaTheme="minorEastAsia"/>
                <w:b/>
                <w:bCs/>
                <w:szCs w:val="21"/>
                <w:lang w:eastAsia="zh-CN"/>
              </w:rPr>
            </w:pPr>
            <w:r>
              <w:rPr>
                <w:rFonts w:hint="eastAsia" w:asciiTheme="minorEastAsia" w:hAnsiTheme="minorEastAsia"/>
                <w:b/>
                <w:bCs/>
                <w:szCs w:val="21"/>
              </w:rPr>
              <w:t>1</w:t>
            </w:r>
            <w:r>
              <w:rPr>
                <w:rFonts w:hint="eastAsia" w:asciiTheme="minorEastAsia" w:hAnsiTheme="minorEastAsia"/>
                <w:b/>
                <w:bCs/>
                <w:szCs w:val="21"/>
                <w:lang w:val="en-US" w:eastAsia="zh-CN"/>
              </w:rPr>
              <w:t>1</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投标</w:t>
            </w:r>
            <w:r>
              <w:rPr>
                <w:rFonts w:hint="eastAsia" w:cs="仿宋_GB2312" w:asciiTheme="minorEastAsia" w:hAnsiTheme="minorEastAsia"/>
                <w:b/>
                <w:szCs w:val="21"/>
                <w:lang w:val="zh-CN"/>
              </w:rPr>
              <w:t>报价</w:t>
            </w:r>
          </w:p>
        </w:tc>
        <w:tc>
          <w:tcPr>
            <w:tcW w:w="5954" w:type="dxa"/>
          </w:tcPr>
          <w:p>
            <w:pPr>
              <w:spacing w:line="360" w:lineRule="auto"/>
              <w:rPr>
                <w:rFonts w:asciiTheme="minorEastAsia" w:hAnsiTheme="minorEastAsia"/>
                <w:b/>
                <w:bCs/>
                <w:szCs w:val="21"/>
              </w:rPr>
            </w:pPr>
            <w:r>
              <w:rPr>
                <w:rFonts w:hint="eastAsia" w:cs="仿宋_GB2312" w:asciiTheme="minorEastAsia" w:hAnsiTheme="minorEastAsia"/>
                <w:szCs w:val="21"/>
                <w:lang w:val="zh-CN"/>
              </w:rPr>
              <w:t>投标报价是否超出招标文件中规定的预算金额，超出预算金额的投标无效。如投标人须知前附表规定最高限价，则</w:t>
            </w:r>
            <w:r>
              <w:rPr>
                <w:rFonts w:hint="eastAsia" w:cs="宋体" w:asciiTheme="minorEastAsia" w:hAnsiTheme="minorEastAsia"/>
                <w:bCs/>
                <w:szCs w:val="21"/>
                <w:lang w:val="zh-CN"/>
              </w:rPr>
              <w:t>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hint="eastAsia" w:asciiTheme="minorEastAsia" w:hAnsiTheme="minorEastAsia" w:eastAsiaTheme="minorEastAsia"/>
                <w:b/>
                <w:szCs w:val="21"/>
                <w:lang w:eastAsia="zh-CN"/>
              </w:rPr>
            </w:pPr>
            <w:r>
              <w:rPr>
                <w:rFonts w:hint="eastAsia" w:asciiTheme="minorEastAsia" w:hAnsiTheme="minorEastAsia"/>
                <w:b/>
                <w:szCs w:val="21"/>
              </w:rPr>
              <w:t>1</w:t>
            </w:r>
            <w:r>
              <w:rPr>
                <w:rFonts w:hint="eastAsia" w:asciiTheme="minorEastAsia" w:hAnsiTheme="minorEastAsia"/>
                <w:b/>
                <w:szCs w:val="21"/>
                <w:lang w:val="en-US" w:eastAsia="zh-CN"/>
              </w:rPr>
              <w:t>2</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联合体协议</w:t>
            </w:r>
          </w:p>
        </w:tc>
        <w:tc>
          <w:tcPr>
            <w:tcW w:w="5954" w:type="dxa"/>
          </w:tcPr>
          <w:p>
            <w:pPr>
              <w:spacing w:line="360" w:lineRule="auto"/>
              <w:rPr>
                <w:rFonts w:asciiTheme="minorEastAsia" w:hAnsiTheme="minorEastAsia"/>
                <w:b/>
                <w:bCs/>
                <w:szCs w:val="21"/>
              </w:rPr>
            </w:pPr>
            <w:r>
              <w:rPr>
                <w:rFonts w:hint="eastAsia" w:asciiTheme="minorEastAsia" w:hAnsiTheme="minorEastAsia"/>
                <w:bCs/>
                <w:szCs w:val="21"/>
              </w:rPr>
              <w:t>招标文件接受联合体投标且投标人为联合体的，投标人应提供本协议；否则无须提供。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hint="eastAsia" w:asciiTheme="minorEastAsia" w:hAnsiTheme="minorEastAsia" w:eastAsiaTheme="minorEastAsia"/>
                <w:b/>
                <w:szCs w:val="21"/>
                <w:lang w:eastAsia="zh-CN"/>
              </w:rPr>
            </w:pPr>
            <w:r>
              <w:rPr>
                <w:rFonts w:hint="eastAsia" w:asciiTheme="minorEastAsia" w:hAnsiTheme="minorEastAsia"/>
                <w:b/>
                <w:szCs w:val="21"/>
              </w:rPr>
              <w:t>1</w:t>
            </w:r>
            <w:r>
              <w:rPr>
                <w:rFonts w:hint="eastAsia" w:asciiTheme="minorEastAsia" w:hAnsiTheme="minorEastAsia"/>
                <w:b/>
                <w:szCs w:val="21"/>
                <w:lang w:val="en-US" w:eastAsia="zh-CN"/>
              </w:rPr>
              <w:t>3</w:t>
            </w:r>
          </w:p>
        </w:tc>
        <w:tc>
          <w:tcPr>
            <w:tcW w:w="2410" w:type="dxa"/>
            <w:vAlign w:val="center"/>
          </w:tcPr>
          <w:p>
            <w:pPr>
              <w:spacing w:line="360" w:lineRule="auto"/>
              <w:contextualSpacing/>
              <w:rPr>
                <w:rFonts w:asciiTheme="minorEastAsia" w:hAnsiTheme="minorEastAsia"/>
                <w:b/>
                <w:szCs w:val="21"/>
              </w:rPr>
            </w:pPr>
            <w:r>
              <w:rPr>
                <w:rFonts w:hint="eastAsia" w:asciiTheme="minorEastAsia" w:hAnsiTheme="minorEastAsia"/>
                <w:b/>
                <w:szCs w:val="21"/>
              </w:rPr>
              <w:t>投标人身份证明及授权</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（1）法定代表人身份证明或提供法定代表人授权委托书及被授权人身份证明。（法人投标提供）</w:t>
            </w:r>
          </w:p>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（2）单位负责人身份证明或提供单位负责人授权委托书及被授权人身份证明。（非法人投标提供）</w:t>
            </w:r>
          </w:p>
          <w:p>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pPr>
              <w:spacing w:line="360" w:lineRule="auto"/>
              <w:rPr>
                <w:rFonts w:asciiTheme="minorEastAsia" w:hAnsiTheme="minorEastAsia"/>
                <w:b/>
                <w:sz w:val="24"/>
                <w:szCs w:val="24"/>
              </w:rPr>
            </w:pPr>
            <w:r>
              <w:rPr>
                <w:rFonts w:hint="eastAsia" w:ascii="楷体" w:hAnsi="楷体" w:eastAsia="楷体"/>
                <w:color w:val="000000"/>
                <w:sz w:val="24"/>
                <w:szCs w:val="24"/>
              </w:rPr>
              <w:t>①企业（银行、保险、石油石化、电力、电信等行业除外）、事业单位和社会团体投标人以法人身份参加投标的，法定代表人应与实际提交的“营业执照等证明文件”载明的一致。</w:t>
            </w:r>
          </w:p>
          <w:p>
            <w:pPr>
              <w:spacing w:line="360" w:lineRule="auto"/>
              <w:contextualSpacing/>
              <w:rPr>
                <w:rFonts w:ascii="楷体" w:hAnsi="楷体" w:eastAsia="楷体"/>
                <w:color w:val="000000"/>
                <w:sz w:val="24"/>
                <w:szCs w:val="24"/>
              </w:rPr>
            </w:pPr>
            <w:r>
              <w:rPr>
                <w:rFonts w:hint="eastAsia" w:ascii="楷体" w:hAnsi="楷体" w:eastAsia="楷体"/>
                <w:color w:val="000000"/>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contextualSpacing/>
              <w:rPr>
                <w:rFonts w:asciiTheme="minorEastAsia" w:hAnsiTheme="minorEastAsia"/>
                <w:b/>
                <w:szCs w:val="21"/>
              </w:rPr>
            </w:pPr>
            <w:r>
              <w:rPr>
                <w:rFonts w:hint="eastAsia" w:ascii="楷体" w:hAnsi="楷体" w:eastAsia="楷体"/>
                <w:color w:val="000000"/>
                <w:sz w:val="24"/>
                <w:szCs w:val="24"/>
              </w:rPr>
              <w:t>③</w:t>
            </w:r>
            <w:r>
              <w:rPr>
                <w:rFonts w:hint="eastAsia" w:ascii="楷体" w:hAnsi="楷体" w:eastAsia="楷体"/>
                <w:color w:val="000000"/>
                <w:kern w:val="0"/>
                <w:sz w:val="24"/>
                <w:szCs w:val="24"/>
              </w:rPr>
              <w:t>投标人为自然人的，无需填写法定代表人授权书。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hint="eastAsia" w:asciiTheme="minorEastAsia" w:hAnsiTheme="minorEastAsia" w:eastAsiaTheme="minorEastAsia"/>
                <w:b/>
                <w:szCs w:val="21"/>
                <w:lang w:eastAsia="zh-CN"/>
              </w:rPr>
            </w:pPr>
            <w:r>
              <w:rPr>
                <w:rFonts w:hint="eastAsia" w:asciiTheme="minorEastAsia" w:hAnsiTheme="minorEastAsia"/>
                <w:b/>
                <w:szCs w:val="21"/>
              </w:rPr>
              <w:t>1</w:t>
            </w:r>
            <w:r>
              <w:rPr>
                <w:rFonts w:hint="eastAsia" w:asciiTheme="minorEastAsia" w:hAnsiTheme="minorEastAsia"/>
                <w:b/>
                <w:szCs w:val="21"/>
                <w:lang w:val="en-US" w:eastAsia="zh-CN"/>
              </w:rPr>
              <w:t>4</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投标人提供与参加本项目投标的其他供应商之间，单位负责人不为同一人并且不存在直接控股、管理关系承诺函（承诺函格式自拟）。</w:t>
            </w:r>
          </w:p>
          <w:p>
            <w:pPr>
              <w:spacing w:line="360" w:lineRule="auto"/>
              <w:rPr>
                <w:rFonts w:cs="仿宋_GB2312" w:asciiTheme="minorEastAsia" w:hAnsiTheme="minorEastAsia"/>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hint="default" w:asciiTheme="minorEastAsia" w:hAnsiTheme="minorEastAsia" w:eastAsiaTheme="minorEastAsia"/>
                <w:b/>
                <w:szCs w:val="21"/>
                <w:lang w:val="en-US" w:eastAsia="zh-CN"/>
              </w:rPr>
            </w:pPr>
            <w:r>
              <w:rPr>
                <w:rFonts w:hint="eastAsia" w:asciiTheme="minorEastAsia" w:hAnsiTheme="minorEastAsia"/>
                <w:b/>
                <w:szCs w:val="21"/>
                <w:lang w:val="en-US" w:eastAsia="zh-CN"/>
              </w:rPr>
              <w:t>15</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为本项目提供整体设计、规范编制或者项目管理、监理、检测等服务的供应商不得参加本项目投标</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w:t>
            </w:r>
            <w:bookmarkStart w:id="26" w:name="baidusnap2"/>
            <w:bookmarkEnd w:id="26"/>
            <w:r>
              <w:rPr>
                <w:rFonts w:hint="eastAsia" w:cs="仿宋_GB2312" w:asciiTheme="minorEastAsia" w:hAnsiTheme="minorEastAsia"/>
                <w:szCs w:val="21"/>
                <w:lang w:val="zh-CN"/>
              </w:rPr>
              <w:t>提供未为本项目提供整体设计、</w:t>
            </w:r>
            <w:bookmarkStart w:id="27" w:name="baidusnap9"/>
            <w:bookmarkEnd w:id="27"/>
            <w:r>
              <w:rPr>
                <w:rFonts w:hint="eastAsia" w:cs="仿宋_GB2312" w:asciiTheme="minorEastAsia" w:hAnsiTheme="minorEastAsia"/>
                <w:szCs w:val="21"/>
                <w:lang w:val="zh-CN"/>
              </w:rPr>
              <w:t>规范编制或者项目管理、监理、检测等服务承诺函（承诺函格式自拟）。</w:t>
            </w:r>
          </w:p>
          <w:p>
            <w:pPr>
              <w:spacing w:line="360" w:lineRule="auto"/>
              <w:rPr>
                <w:rFonts w:asciiTheme="minorEastAsia" w:hAnsiTheme="minorEastAsia"/>
                <w:bCs/>
                <w:szCs w:val="21"/>
              </w:rPr>
            </w:pPr>
          </w:p>
        </w:tc>
      </w:tr>
    </w:tbl>
    <w:p>
      <w:pPr>
        <w:pStyle w:val="16"/>
        <w:spacing w:line="360" w:lineRule="auto"/>
        <w:ind w:firstLine="482" w:firstLineChars="200"/>
        <w:contextualSpacing/>
        <w:rPr>
          <w:rFonts w:cs="仿宋_GB2312" w:asciiTheme="minorEastAsia" w:hAnsiTheme="minorEastAsia" w:eastAsiaTheme="minorEastAsia"/>
          <w:b/>
          <w:szCs w:val="24"/>
          <w:lang w:val="zh-CN"/>
        </w:rPr>
      </w:pPr>
    </w:p>
    <w:p>
      <w:pPr>
        <w:pStyle w:val="16"/>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二、评标</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（一）评标方法</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本项目采用综合评分法。总分为100分。</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w:t>
      </w:r>
      <w:r>
        <w:rPr>
          <w:rFonts w:cs="仿宋_GB2312" w:asciiTheme="minorEastAsia" w:hAnsiTheme="minorEastAsia" w:eastAsiaTheme="minorEastAsia"/>
          <w:b/>
          <w:sz w:val="21"/>
          <w:szCs w:val="21"/>
          <w:lang w:val="zh-CN"/>
        </w:rPr>
        <w:t>评标委员会负责具体评标事务，并独立履行下列职责</w:t>
      </w:r>
    </w:p>
    <w:p>
      <w:pPr>
        <w:pStyle w:val="16"/>
        <w:spacing w:line="360" w:lineRule="auto"/>
        <w:ind w:firstLine="422" w:firstLineChars="200"/>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审查、评价投标文件是否符合招标文件的商务、技术等实质性要求；</w:t>
      </w:r>
    </w:p>
    <w:p>
      <w:pPr>
        <w:pStyle w:val="16"/>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评标委员会对符合资格的投标人的投标文件进行符合性审查，以确定其是否满足招标文件的商务、技术等实质性要求。</w:t>
      </w:r>
    </w:p>
    <w:p>
      <w:pPr>
        <w:pStyle w:val="16"/>
        <w:spacing w:line="360" w:lineRule="auto"/>
        <w:ind w:firstLine="420" w:firstLineChars="200"/>
        <w:contextualSpacing/>
        <w:jc w:val="left"/>
        <w:rPr>
          <w:rFonts w:cs="仿宋_GB2312" w:asciiTheme="minorEastAsia" w:hAnsiTheme="minorEastAsia"/>
          <w:sz w:val="21"/>
          <w:szCs w:val="21"/>
          <w:lang w:val="zh-CN"/>
        </w:rPr>
      </w:pPr>
      <w:r>
        <w:rPr>
          <w:rFonts w:hint="eastAsia" w:cs="仿宋_GB2312" w:asciiTheme="minorEastAsia" w:hAnsiTheme="minorEastAsia"/>
          <w:sz w:val="21"/>
          <w:szCs w:val="21"/>
          <w:lang w:val="zh-CN"/>
        </w:rPr>
        <w:t>注：符合性审查中所涉及到的证书及材料，均应在电子投标文件中提供原件扫描件（或图片）。</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2、</w:t>
      </w:r>
      <w:r>
        <w:rPr>
          <w:rFonts w:cs="仿宋_GB2312" w:asciiTheme="minorEastAsia" w:hAnsiTheme="minorEastAsia" w:eastAsiaTheme="minorEastAsia"/>
          <w:b/>
          <w:sz w:val="21"/>
          <w:szCs w:val="21"/>
          <w:lang w:val="zh-CN"/>
        </w:rPr>
        <w:t>要求投标人对投标文件有关事项作出澄清或者说明；</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对于投标文件中含义不明确、同类问题表述不一致或者有明显文字和计算错误的内容，评标委员会应当以书面形式要求投标人作出必要的澄清、说明或者补正。</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pPr>
        <w:pStyle w:val="16"/>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3、</w:t>
      </w:r>
      <w:r>
        <w:rPr>
          <w:rFonts w:cs="仿宋_GB2312" w:asciiTheme="minorEastAsia" w:hAnsiTheme="minorEastAsia" w:eastAsiaTheme="minorEastAsia"/>
          <w:b/>
          <w:sz w:val="21"/>
          <w:szCs w:val="21"/>
          <w:lang w:val="zh-CN"/>
        </w:rPr>
        <w:t>对投标文件进行比较和评价；</w:t>
      </w:r>
    </w:p>
    <w:p>
      <w:pPr>
        <w:pStyle w:val="16"/>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eastAsiaTheme="minorEastAsia"/>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hint="eastAsia" w:cs="仿宋_GB2312" w:asciiTheme="minorEastAsia" w:hAnsiTheme="minorEastAsia"/>
          <w:sz w:val="21"/>
          <w:szCs w:val="21"/>
          <w:lang w:val="zh-CN"/>
        </w:rPr>
        <w:t>评标过程中，不得去掉报价中的最高报价和最低报价。</w:t>
      </w:r>
    </w:p>
    <w:p>
      <w:pPr>
        <w:pStyle w:val="16"/>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sz w:val="21"/>
          <w:szCs w:val="21"/>
          <w:lang w:val="zh-CN"/>
        </w:rPr>
        <w:t>注：评标标准中所涉及到的证书及材料，均应在电子投标文件中提供原件扫描件（或图片）。</w:t>
      </w:r>
    </w:p>
    <w:p>
      <w:pPr>
        <w:pStyle w:val="16"/>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（1）价格分计算</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价格分采用低价优先法计算，即满足招标文件要求且投标价格最低的投标报价为评标基准价，其价格分为满分。因落实政府采购政策进行价格调整的，以调整后的价格计算评标基准价和投标报价。</w:t>
      </w:r>
    </w:p>
    <w:p>
      <w:pPr>
        <w:pStyle w:val="16"/>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如果本项目非专门面向中小企业采购，对小型和微型企业产品的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pPr>
        <w:spacing w:line="360" w:lineRule="auto"/>
        <w:ind w:firstLine="420" w:firstLineChars="200"/>
        <w:contextualSpacing/>
        <w:rPr>
          <w:rFonts w:hint="eastAsia" w:cs="仿宋_GB2312" w:asciiTheme="minorEastAsia" w:hAnsiTheme="minorEastAsia" w:eastAsiaTheme="minorEastAsia"/>
          <w:sz w:val="21"/>
          <w:szCs w:val="21"/>
          <w:highlight w:val="none"/>
          <w:lang w:val="zh-CN"/>
        </w:rPr>
      </w:pPr>
      <w:r>
        <w:rPr>
          <w:rFonts w:hint="eastAsia" w:cs="仿宋_GB2312" w:asciiTheme="minorEastAsia" w:hAnsiTheme="minorEastAsia" w:eastAsiaTheme="minorEastAsia"/>
          <w:sz w:val="21"/>
          <w:szCs w:val="21"/>
          <w:highlight w:val="none"/>
          <w:lang w:val="zh-CN"/>
        </w:rPr>
        <w:t>小型和微型企业不包含民办非企业单位。</w:t>
      </w:r>
    </w:p>
    <w:p>
      <w:pPr>
        <w:spacing w:line="360" w:lineRule="auto"/>
        <w:ind w:firstLine="420" w:firstLineChars="200"/>
        <w:contextualSpacing/>
        <w:rPr>
          <w:rFonts w:cs="仿宋_GB2312" w:asciiTheme="minorEastAsia" w:hAnsiTheme="minorEastAsia"/>
          <w:szCs w:val="21"/>
          <w:highlight w:val="none"/>
          <w:lang w:val="zh-CN"/>
        </w:rPr>
      </w:pPr>
      <w:r>
        <w:rPr>
          <w:rFonts w:hint="eastAsia" w:cs="仿宋_GB2312" w:asciiTheme="minorEastAsia" w:hAnsiTheme="minorEastAsia"/>
          <w:szCs w:val="21"/>
          <w:highlight w:val="none"/>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pPr>
        <w:pStyle w:val="16"/>
        <w:spacing w:line="360" w:lineRule="auto"/>
        <w:ind w:firstLine="420" w:firstLineChars="200"/>
        <w:contextualSpacing/>
        <w:rPr>
          <w:rFonts w:asciiTheme="minorEastAsia" w:hAnsiTheme="minorEastAsia" w:eastAsiaTheme="minorEastAsia"/>
          <w:color w:val="000000"/>
          <w:sz w:val="21"/>
          <w:szCs w:val="21"/>
        </w:rPr>
      </w:pPr>
      <w:r>
        <w:rPr>
          <w:rFonts w:hint="eastAsia" w:cs="仿宋_GB2312" w:asciiTheme="minorEastAsia" w:hAnsiTheme="minorEastAsia" w:eastAsiaTheme="minorEastAsia"/>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color w:val="000000"/>
          <w:sz w:val="21"/>
          <w:szCs w:val="21"/>
        </w:rPr>
        <w:t>残疾人福利性单位属于小型、微型企业的，不重复享受政策。</w:t>
      </w:r>
    </w:p>
    <w:p>
      <w:pPr>
        <w:spacing w:line="360" w:lineRule="auto"/>
        <w:ind w:firstLine="482" w:firstLineChars="200"/>
        <w:rPr>
          <w:rFonts w:hint="eastAsia" w:ascii="宋体" w:hAnsi="宋体" w:cs="仿宋_GB2312"/>
          <w:b/>
          <w:sz w:val="24"/>
          <w:highlight w:val="none"/>
          <w:lang w:val="zh-CN"/>
        </w:rPr>
      </w:pPr>
      <w:r>
        <w:rPr>
          <w:rFonts w:hint="eastAsia" w:ascii="宋体" w:hAnsi="宋体"/>
          <w:b/>
          <w:color w:val="000000"/>
          <w:sz w:val="24"/>
          <w:highlight w:val="none"/>
        </w:rPr>
        <w:t>（2）强制采购节能产品和优先采购节能产品、优先采购环保产品</w:t>
      </w:r>
    </w:p>
    <w:p>
      <w:pPr>
        <w:pStyle w:val="16"/>
        <w:spacing w:line="360" w:lineRule="auto"/>
        <w:ind w:firstLine="480" w:firstLineChars="200"/>
        <w:contextualSpacing/>
        <w:rPr>
          <w:rFonts w:hint="eastAsia" w:ascii="宋体" w:hAnsi="宋体" w:cs="仿宋_GB2312" w:eastAsiaTheme="minorEastAsia"/>
          <w:kern w:val="2"/>
          <w:sz w:val="21"/>
          <w:szCs w:val="21"/>
          <w:lang w:val="zh-CN" w:eastAsia="zh-CN" w:bidi="ar-SA"/>
        </w:rPr>
      </w:pPr>
      <w:r>
        <w:rPr>
          <w:rFonts w:hint="eastAsia" w:ascii="宋体" w:hAnsi="宋体" w:cs="仿宋_GB2312"/>
          <w:sz w:val="24"/>
          <w:highlight w:val="none"/>
          <w:lang w:val="zh-CN"/>
        </w:rPr>
        <w:t>1）</w:t>
      </w:r>
      <w:r>
        <w:rPr>
          <w:rFonts w:hint="eastAsia" w:ascii="宋体" w:hAnsi="宋体" w:cs="仿宋_GB2312" w:eastAsiaTheme="minorEastAsia"/>
          <w:kern w:val="2"/>
          <w:sz w:val="21"/>
          <w:szCs w:val="21"/>
          <w:lang w:val="zh-CN" w:eastAsia="zh-CN" w:bidi="ar-SA"/>
        </w:rPr>
        <w:t>根据《财政部 发展改革委 生态环境部 市场监管总局关于调整优化节能产品 环境标志产品政府采购执行机制的通知》（财库〔2019〕9号）规定， 采购人拟采购的产品属于节能产品政府采购品目清单中政府强制采购产品的，投标文件中</w:t>
      </w:r>
      <w:r>
        <w:rPr>
          <w:rFonts w:hint="eastAsia" w:ascii="宋体" w:hAnsi="宋体" w:cs="仿宋_GB2312" w:eastAsiaTheme="minorEastAsia"/>
          <w:kern w:val="2"/>
          <w:sz w:val="21"/>
          <w:szCs w:val="21"/>
          <w:lang w:val="en-US" w:eastAsia="zh-CN" w:bidi="ar-SA"/>
        </w:rPr>
        <w:t>需</w:t>
      </w:r>
      <w:r>
        <w:rPr>
          <w:rFonts w:hint="eastAsia" w:ascii="宋体" w:hAnsi="宋体" w:cs="仿宋_GB2312" w:eastAsiaTheme="minorEastAsia"/>
          <w:kern w:val="2"/>
          <w:sz w:val="21"/>
          <w:szCs w:val="21"/>
          <w:lang w:val="zh-CN" w:eastAsia="zh-CN" w:bidi="ar-SA"/>
        </w:rPr>
        <w:t>提供节能产品认证证书（有效期内）</w:t>
      </w:r>
      <w:r>
        <w:rPr>
          <w:rFonts w:hint="eastAsia" w:ascii="宋体" w:hAnsi="宋体" w:cs="仿宋_GB2312" w:eastAsiaTheme="minorEastAsia"/>
          <w:kern w:val="2"/>
          <w:sz w:val="21"/>
          <w:szCs w:val="21"/>
          <w:lang w:val="en-US" w:eastAsia="zh-CN" w:bidi="ar-SA"/>
        </w:rPr>
        <w:t>的</w:t>
      </w:r>
      <w:r>
        <w:rPr>
          <w:rFonts w:hint="eastAsia" w:ascii="宋体" w:hAnsi="宋体" w:cs="仿宋_GB2312" w:eastAsiaTheme="minorEastAsia"/>
          <w:kern w:val="2"/>
          <w:sz w:val="21"/>
          <w:szCs w:val="21"/>
          <w:lang w:val="zh-CN" w:eastAsia="zh-CN" w:bidi="ar-SA"/>
        </w:rPr>
        <w:t>扫描件，否则为无效投标。但品目清单中无对应细化分类或节能清单中的产品无法满足工作需要的，可在品目清单之外采购。</w:t>
      </w:r>
    </w:p>
    <w:p>
      <w:pPr>
        <w:spacing w:line="360" w:lineRule="auto"/>
        <w:ind w:firstLine="420" w:firstLineChars="200"/>
        <w:contextualSpacing/>
        <w:rPr>
          <w:rFonts w:hint="eastAsia" w:ascii="宋体" w:hAnsi="宋体" w:cs="仿宋_GB2312" w:eastAsiaTheme="minorEastAsia"/>
          <w:kern w:val="2"/>
          <w:sz w:val="21"/>
          <w:szCs w:val="21"/>
          <w:lang w:val="zh-CN" w:eastAsia="zh-CN" w:bidi="ar-SA"/>
        </w:rPr>
      </w:pPr>
      <w:r>
        <w:rPr>
          <w:rFonts w:hint="eastAsia" w:ascii="宋体" w:hAnsi="宋体" w:cs="仿宋_GB2312" w:eastAsiaTheme="minorEastAsia"/>
          <w:kern w:val="2"/>
          <w:sz w:val="21"/>
          <w:szCs w:val="21"/>
          <w:lang w:val="zh-CN" w:eastAsia="zh-CN" w:bidi="ar-SA"/>
        </w:rPr>
        <w:t>2）投标人所投其他产品若属于环境标志产品政府采购品目清单的，投标文件中提供节能产品认证证书（有效期内）</w:t>
      </w:r>
      <w:r>
        <w:rPr>
          <w:rFonts w:hint="eastAsia" w:ascii="宋体" w:hAnsi="宋体" w:cs="仿宋_GB2312" w:eastAsiaTheme="minorEastAsia"/>
          <w:kern w:val="2"/>
          <w:sz w:val="21"/>
          <w:szCs w:val="21"/>
          <w:lang w:val="en-US" w:eastAsia="zh-CN" w:bidi="ar-SA"/>
        </w:rPr>
        <w:t>的</w:t>
      </w:r>
      <w:r>
        <w:rPr>
          <w:rFonts w:hint="eastAsia" w:ascii="宋体" w:hAnsi="宋体" w:cs="仿宋_GB2312" w:eastAsiaTheme="minorEastAsia"/>
          <w:kern w:val="2"/>
          <w:sz w:val="21"/>
          <w:szCs w:val="21"/>
          <w:lang w:val="zh-CN" w:eastAsia="zh-CN" w:bidi="ar-SA"/>
        </w:rPr>
        <w:t>扫描件，评标委员会根据本项目评标标准予以判定并赋分。</w:t>
      </w:r>
    </w:p>
    <w:p>
      <w:pPr>
        <w:spacing w:line="360" w:lineRule="auto"/>
        <w:ind w:firstLine="420" w:firstLineChars="200"/>
        <w:contextualSpacing/>
        <w:rPr>
          <w:rFonts w:hint="eastAsia" w:ascii="宋体" w:hAnsi="宋体" w:cs="仿宋_GB2312" w:eastAsiaTheme="minorEastAsia"/>
          <w:kern w:val="2"/>
          <w:sz w:val="21"/>
          <w:szCs w:val="21"/>
          <w:lang w:val="zh-CN" w:eastAsia="zh-CN" w:bidi="ar-SA"/>
        </w:rPr>
      </w:pPr>
      <w:r>
        <w:rPr>
          <w:rFonts w:hint="eastAsia" w:ascii="宋体" w:hAnsi="宋体" w:cs="仿宋_GB2312" w:eastAsiaTheme="minorEastAsia"/>
          <w:kern w:val="2"/>
          <w:sz w:val="21"/>
          <w:szCs w:val="21"/>
          <w:lang w:val="en-US" w:eastAsia="zh-CN" w:bidi="ar-SA"/>
        </w:rPr>
        <w:t>3）</w:t>
      </w:r>
      <w:r>
        <w:rPr>
          <w:rFonts w:hint="eastAsia" w:ascii="宋体" w:hAnsi="宋体" w:cs="仿宋_GB2312" w:eastAsiaTheme="minorEastAsia"/>
          <w:kern w:val="2"/>
          <w:sz w:val="21"/>
          <w:szCs w:val="21"/>
          <w:lang w:val="zh-CN" w:eastAsia="zh-CN" w:bidi="ar-SA"/>
        </w:rPr>
        <w:t>投标人所投其他产品若属于节能产品政府采购品目清单中政府</w:t>
      </w:r>
      <w:r>
        <w:rPr>
          <w:rFonts w:hint="eastAsia" w:ascii="宋体" w:hAnsi="宋体" w:cs="仿宋_GB2312"/>
          <w:kern w:val="2"/>
          <w:sz w:val="21"/>
          <w:szCs w:val="21"/>
          <w:lang w:val="zh-CN" w:eastAsia="zh-CN" w:bidi="ar-SA"/>
        </w:rPr>
        <w:t>非</w:t>
      </w:r>
      <w:r>
        <w:rPr>
          <w:rFonts w:hint="eastAsia" w:ascii="宋体" w:hAnsi="宋体" w:cs="仿宋_GB2312" w:eastAsiaTheme="minorEastAsia"/>
          <w:kern w:val="2"/>
          <w:sz w:val="21"/>
          <w:szCs w:val="21"/>
          <w:lang w:val="zh-CN" w:eastAsia="zh-CN" w:bidi="ar-SA"/>
        </w:rPr>
        <w:t>强制采购产品</w:t>
      </w:r>
      <w:r>
        <w:rPr>
          <w:rFonts w:hint="eastAsia" w:ascii="宋体" w:hAnsi="宋体" w:cs="仿宋_GB2312"/>
          <w:kern w:val="2"/>
          <w:sz w:val="21"/>
          <w:szCs w:val="21"/>
          <w:lang w:val="zh-CN" w:eastAsia="zh-CN" w:bidi="ar-SA"/>
        </w:rPr>
        <w:t>的</w:t>
      </w:r>
      <w:r>
        <w:rPr>
          <w:rFonts w:hint="eastAsia" w:ascii="宋体" w:hAnsi="宋体" w:cs="仿宋_GB2312" w:eastAsiaTheme="minorEastAsia"/>
          <w:kern w:val="2"/>
          <w:sz w:val="21"/>
          <w:szCs w:val="21"/>
          <w:lang w:val="zh-CN" w:eastAsia="zh-CN" w:bidi="ar-SA"/>
        </w:rPr>
        <w:t>，投标文件中提供节能产品认证证书（有效期内）</w:t>
      </w:r>
      <w:r>
        <w:rPr>
          <w:rFonts w:hint="eastAsia" w:ascii="宋体" w:hAnsi="宋体" w:cs="仿宋_GB2312" w:eastAsiaTheme="minorEastAsia"/>
          <w:kern w:val="2"/>
          <w:sz w:val="21"/>
          <w:szCs w:val="21"/>
          <w:lang w:val="en-US" w:eastAsia="zh-CN" w:bidi="ar-SA"/>
        </w:rPr>
        <w:t>的</w:t>
      </w:r>
      <w:r>
        <w:rPr>
          <w:rFonts w:hint="eastAsia" w:ascii="宋体" w:hAnsi="宋体" w:cs="仿宋_GB2312" w:eastAsiaTheme="minorEastAsia"/>
          <w:kern w:val="2"/>
          <w:sz w:val="21"/>
          <w:szCs w:val="21"/>
          <w:lang w:val="zh-CN" w:eastAsia="zh-CN" w:bidi="ar-SA"/>
        </w:rPr>
        <w:t>扫描件，评标委员会根据本项目评标标准予以判定并赋分。</w:t>
      </w:r>
    </w:p>
    <w:p>
      <w:pPr>
        <w:pStyle w:val="16"/>
        <w:spacing w:line="360" w:lineRule="auto"/>
        <w:ind w:firstLine="200"/>
        <w:contextualSpacing/>
        <w:rPr>
          <w:rFonts w:cs="仿宋_GB2312" w:asciiTheme="minorEastAsia" w:hAnsiTheme="minorEastAsia" w:eastAsiaTheme="minorEastAsia"/>
          <w:b/>
          <w:sz w:val="21"/>
          <w:szCs w:val="21"/>
        </w:rPr>
      </w:pPr>
      <w:r>
        <w:rPr>
          <w:rFonts w:hint="eastAsia" w:asciiTheme="minorEastAsia" w:hAnsiTheme="minorEastAsia" w:eastAsiaTheme="minorEastAsia"/>
          <w:b/>
          <w:color w:val="000000"/>
          <w:sz w:val="21"/>
          <w:szCs w:val="21"/>
        </w:rPr>
        <w:t>（</w:t>
      </w:r>
      <w:r>
        <w:rPr>
          <w:rFonts w:hint="eastAsia" w:eastAsia="宋体" w:asciiTheme="minorEastAsia" w:hAnsiTheme="minorEastAsia"/>
          <w:b/>
          <w:color w:val="000000"/>
          <w:sz w:val="21"/>
          <w:szCs w:val="21"/>
          <w:lang w:val="en-US" w:eastAsia="zh-CN"/>
        </w:rPr>
        <w:t>3</w:t>
      </w:r>
      <w:r>
        <w:rPr>
          <w:rFonts w:hint="eastAsia" w:asciiTheme="minorEastAsia" w:hAnsiTheme="minorEastAsia" w:eastAsiaTheme="minorEastAsia"/>
          <w:b/>
          <w:color w:val="000000"/>
          <w:sz w:val="21"/>
          <w:szCs w:val="21"/>
        </w:rPr>
        <w:t>）</w:t>
      </w:r>
      <w:r>
        <w:rPr>
          <w:rFonts w:cs="仿宋_GB2312" w:asciiTheme="minorEastAsia" w:hAnsiTheme="minorEastAsia" w:eastAsiaTheme="minorEastAsia"/>
          <w:b/>
          <w:sz w:val="21"/>
          <w:szCs w:val="21"/>
        </w:rPr>
        <w:t>关于相同品牌产品（服务类项目不适用本条款规定）</w:t>
      </w:r>
    </w:p>
    <w:p>
      <w:pPr>
        <w:pStyle w:val="16"/>
        <w:spacing w:line="360" w:lineRule="auto"/>
        <w:ind w:firstLine="465"/>
        <w:contextualSpacing/>
        <w:jc w:val="left"/>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t>采用最低评标价法的，提供相同品牌产品的不同</w:t>
      </w:r>
      <w:r>
        <w:rPr>
          <w:rFonts w:hint="eastAsia" w:eastAsia="宋体" w:cs="仿宋_GB2312" w:asciiTheme="minorEastAsia" w:hAnsiTheme="minorEastAsia"/>
          <w:sz w:val="21"/>
          <w:szCs w:val="21"/>
          <w:lang w:eastAsia="zh-CN"/>
        </w:rPr>
        <w:t>供应商</w:t>
      </w:r>
      <w:r>
        <w:rPr>
          <w:rFonts w:cs="仿宋_GB2312" w:asciiTheme="minorEastAsia" w:hAnsiTheme="minorEastAsia" w:eastAsiaTheme="minorEastAsia"/>
          <w:sz w:val="21"/>
          <w:szCs w:val="21"/>
        </w:rPr>
        <w:t>参加同一合同项下投标的，以其中通过资格审查、符合性审查且报价最低的参加评标；报价相同的，由采购人或者采购人委托评标委员会</w:t>
      </w:r>
      <w:r>
        <w:rPr>
          <w:rFonts w:hint="eastAsia" w:cs="仿宋_GB2312" w:asciiTheme="minorEastAsia" w:hAnsiTheme="minorEastAsia" w:eastAsiaTheme="minorEastAsia"/>
          <w:sz w:val="21"/>
          <w:szCs w:val="21"/>
        </w:rPr>
        <w:t>采取随机抽取</w:t>
      </w:r>
      <w:r>
        <w:rPr>
          <w:rFonts w:cs="仿宋_GB2312" w:asciiTheme="minorEastAsia" w:hAnsiTheme="minorEastAsia" w:eastAsiaTheme="minorEastAsia"/>
          <w:sz w:val="21"/>
          <w:szCs w:val="21"/>
        </w:rPr>
        <w:t>方式确定一个参加评标的</w:t>
      </w:r>
      <w:r>
        <w:rPr>
          <w:rFonts w:hint="eastAsia" w:eastAsia="宋体" w:cs="仿宋_GB2312" w:asciiTheme="minorEastAsia" w:hAnsiTheme="minorEastAsia"/>
          <w:sz w:val="21"/>
          <w:szCs w:val="21"/>
          <w:lang w:eastAsia="zh-CN"/>
        </w:rPr>
        <w:t>供应商</w:t>
      </w:r>
      <w:r>
        <w:rPr>
          <w:rFonts w:cs="仿宋_GB2312" w:asciiTheme="minorEastAsia" w:hAnsiTheme="minorEastAsia" w:eastAsiaTheme="minorEastAsia"/>
          <w:sz w:val="21"/>
          <w:szCs w:val="21"/>
        </w:rPr>
        <w:t>，其他投标无效。</w:t>
      </w:r>
    </w:p>
    <w:p>
      <w:pPr>
        <w:pStyle w:val="16"/>
        <w:spacing w:line="360" w:lineRule="auto"/>
        <w:ind w:firstLine="465"/>
        <w:contextualSpacing/>
        <w:jc w:val="left"/>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t>采用综合评分法的，提供相同品牌产品</w:t>
      </w:r>
      <w:r>
        <w:rPr>
          <w:rFonts w:hint="eastAsia" w:cs="仿宋_GB2312" w:asciiTheme="minorEastAsia" w:hAnsiTheme="minorEastAsia" w:eastAsiaTheme="minorEastAsia"/>
          <w:sz w:val="21"/>
          <w:szCs w:val="21"/>
        </w:rPr>
        <w:t>（</w:t>
      </w:r>
      <w:r>
        <w:rPr>
          <w:rFonts w:cs="仿宋_GB2312" w:asciiTheme="minorEastAsia" w:hAnsiTheme="minorEastAsia" w:eastAsiaTheme="minorEastAsia"/>
          <w:sz w:val="21"/>
          <w:szCs w:val="21"/>
        </w:rPr>
        <w:t>非单一产品采购项目，多家</w:t>
      </w:r>
      <w:r>
        <w:rPr>
          <w:rFonts w:hint="eastAsia" w:eastAsia="宋体" w:cs="仿宋_GB2312" w:asciiTheme="minorEastAsia" w:hAnsiTheme="minorEastAsia"/>
          <w:sz w:val="21"/>
          <w:szCs w:val="21"/>
          <w:lang w:eastAsia="zh-CN"/>
        </w:rPr>
        <w:t>供应商</w:t>
      </w:r>
      <w:r>
        <w:rPr>
          <w:rFonts w:cs="仿宋_GB2312" w:asciiTheme="minorEastAsia" w:hAnsiTheme="minorEastAsia" w:eastAsiaTheme="minorEastAsia"/>
          <w:sz w:val="21"/>
          <w:szCs w:val="21"/>
        </w:rPr>
        <w:t>提供的核心产品品牌相同</w:t>
      </w:r>
      <w:r>
        <w:rPr>
          <w:rFonts w:hint="eastAsia" w:cs="仿宋_GB2312" w:asciiTheme="minorEastAsia" w:hAnsiTheme="minorEastAsia" w:eastAsiaTheme="minorEastAsia"/>
          <w:sz w:val="21"/>
          <w:szCs w:val="21"/>
        </w:rPr>
        <w:t>）</w:t>
      </w:r>
      <w:r>
        <w:rPr>
          <w:rFonts w:cs="仿宋_GB2312" w:asciiTheme="minorEastAsia" w:hAnsiTheme="minorEastAsia" w:eastAsiaTheme="minorEastAsia"/>
          <w:sz w:val="21"/>
          <w:szCs w:val="21"/>
        </w:rPr>
        <w:t>且通过资格审查、符合性审查的不同</w:t>
      </w:r>
      <w:r>
        <w:rPr>
          <w:rFonts w:hint="eastAsia" w:eastAsia="宋体" w:cs="仿宋_GB2312" w:asciiTheme="minorEastAsia" w:hAnsiTheme="minorEastAsia"/>
          <w:sz w:val="21"/>
          <w:szCs w:val="21"/>
          <w:lang w:eastAsia="zh-CN"/>
        </w:rPr>
        <w:t>供应商</w:t>
      </w:r>
      <w:r>
        <w:rPr>
          <w:rFonts w:cs="仿宋_GB2312" w:asciiTheme="minorEastAsia" w:hAnsiTheme="minorEastAsia" w:eastAsiaTheme="minorEastAsia"/>
          <w:sz w:val="21"/>
          <w:szCs w:val="21"/>
        </w:rPr>
        <w:t>参加同一合同项下投标的，按一家</w:t>
      </w:r>
      <w:r>
        <w:rPr>
          <w:rFonts w:hint="eastAsia" w:eastAsia="宋体" w:cs="仿宋_GB2312" w:asciiTheme="minorEastAsia" w:hAnsiTheme="minorEastAsia"/>
          <w:sz w:val="21"/>
          <w:szCs w:val="21"/>
          <w:lang w:eastAsia="zh-CN"/>
        </w:rPr>
        <w:t>供应商</w:t>
      </w:r>
      <w:r>
        <w:rPr>
          <w:rFonts w:cs="仿宋_GB2312" w:asciiTheme="minorEastAsia" w:hAnsiTheme="minorEastAsia" w:eastAsiaTheme="minorEastAsia"/>
          <w:sz w:val="21"/>
          <w:szCs w:val="21"/>
        </w:rPr>
        <w:t>计算，评审后得分最高的同品牌</w:t>
      </w:r>
      <w:r>
        <w:rPr>
          <w:rFonts w:hint="eastAsia" w:eastAsia="宋体" w:cs="仿宋_GB2312" w:asciiTheme="minorEastAsia" w:hAnsiTheme="minorEastAsia"/>
          <w:sz w:val="21"/>
          <w:szCs w:val="21"/>
          <w:lang w:eastAsia="zh-CN"/>
        </w:rPr>
        <w:t>供应商</w:t>
      </w:r>
      <w:r>
        <w:rPr>
          <w:rFonts w:cs="仿宋_GB2312" w:asciiTheme="minorEastAsia" w:hAnsiTheme="minorEastAsia" w:eastAsiaTheme="minorEastAsia"/>
          <w:sz w:val="21"/>
          <w:szCs w:val="21"/>
        </w:rPr>
        <w:t>作为中标候选人推荐；评审得分相同的，</w:t>
      </w:r>
      <w:r>
        <w:rPr>
          <w:rFonts w:hint="eastAsia" w:cs="仿宋_GB2312" w:asciiTheme="minorEastAsia" w:hAnsiTheme="minorEastAsia" w:eastAsiaTheme="minorEastAsia"/>
          <w:sz w:val="21"/>
          <w:szCs w:val="21"/>
        </w:rPr>
        <w:t>由采购人或者采购人委托评标委员会</w:t>
      </w:r>
      <w:r>
        <w:rPr>
          <w:rFonts w:cs="仿宋_GB2312" w:asciiTheme="minorEastAsia" w:hAnsiTheme="minorEastAsia" w:eastAsiaTheme="minorEastAsia"/>
          <w:sz w:val="21"/>
          <w:szCs w:val="21"/>
        </w:rPr>
        <w:t>采取随机抽取方式确定</w:t>
      </w:r>
      <w:r>
        <w:rPr>
          <w:rFonts w:hint="eastAsia" w:cs="仿宋_GB2312" w:asciiTheme="minorEastAsia" w:hAnsiTheme="minorEastAsia" w:eastAsiaTheme="minorEastAsia"/>
          <w:sz w:val="21"/>
          <w:szCs w:val="21"/>
        </w:rPr>
        <w:t>一个</w:t>
      </w:r>
      <w:r>
        <w:rPr>
          <w:rFonts w:hint="eastAsia" w:eastAsia="宋体" w:cs="仿宋_GB2312" w:asciiTheme="minorEastAsia" w:hAnsiTheme="minorEastAsia"/>
          <w:sz w:val="21"/>
          <w:szCs w:val="21"/>
          <w:lang w:eastAsia="zh-CN"/>
        </w:rPr>
        <w:t>供应商</w:t>
      </w:r>
      <w:r>
        <w:rPr>
          <w:rFonts w:hint="eastAsia" w:cs="仿宋_GB2312" w:asciiTheme="minorEastAsia" w:hAnsiTheme="minorEastAsia" w:eastAsiaTheme="minorEastAsia"/>
          <w:sz w:val="21"/>
          <w:szCs w:val="21"/>
        </w:rPr>
        <w:t>获得中标人推荐资格</w:t>
      </w:r>
      <w:r>
        <w:rPr>
          <w:rFonts w:cs="仿宋_GB2312" w:asciiTheme="minorEastAsia" w:hAnsiTheme="minorEastAsia" w:eastAsiaTheme="minorEastAsia"/>
          <w:sz w:val="21"/>
          <w:szCs w:val="21"/>
        </w:rPr>
        <w:t>，其他同品牌</w:t>
      </w:r>
      <w:r>
        <w:rPr>
          <w:rFonts w:hint="eastAsia" w:eastAsia="宋体" w:cs="仿宋_GB2312" w:asciiTheme="minorEastAsia" w:hAnsiTheme="minorEastAsia"/>
          <w:sz w:val="21"/>
          <w:szCs w:val="21"/>
          <w:lang w:eastAsia="zh-CN"/>
        </w:rPr>
        <w:t>供应商</w:t>
      </w:r>
      <w:r>
        <w:rPr>
          <w:rFonts w:cs="仿宋_GB2312" w:asciiTheme="minorEastAsia" w:hAnsiTheme="minorEastAsia" w:eastAsiaTheme="minorEastAsia"/>
          <w:sz w:val="21"/>
          <w:szCs w:val="21"/>
        </w:rPr>
        <w:t>不作为中标候选人。</w:t>
      </w:r>
    </w:p>
    <w:p>
      <w:pPr>
        <w:pStyle w:val="16"/>
        <w:spacing w:line="360" w:lineRule="auto"/>
        <w:ind w:firstLine="465"/>
        <w:contextualSpacing/>
        <w:jc w:val="left"/>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w:t>
      </w:r>
      <w:r>
        <w:rPr>
          <w:rFonts w:hint="eastAsia" w:eastAsia="宋体" w:cs="仿宋_GB2312" w:asciiTheme="minorEastAsia" w:hAnsiTheme="minorEastAsia"/>
          <w:b/>
          <w:sz w:val="21"/>
          <w:szCs w:val="21"/>
          <w:lang w:val="en-US" w:eastAsia="zh-CN"/>
        </w:rPr>
        <w:t>4</w:t>
      </w:r>
      <w:r>
        <w:rPr>
          <w:rFonts w:hint="eastAsia" w:cs="仿宋_GB2312" w:asciiTheme="minorEastAsia" w:hAnsiTheme="minorEastAsia" w:eastAsiaTheme="minorEastAsia"/>
          <w:b/>
          <w:sz w:val="21"/>
          <w:szCs w:val="21"/>
        </w:rPr>
        <w:t>）关于强制性产品认证</w:t>
      </w:r>
    </w:p>
    <w:p>
      <w:pPr>
        <w:spacing w:line="360" w:lineRule="auto"/>
        <w:ind w:firstLine="200"/>
        <w:contextualSpacing/>
        <w:rPr>
          <w:rFonts w:cs="宋体" w:asciiTheme="minorEastAsia" w:hAnsiTheme="minorEastAsia"/>
        </w:rPr>
      </w:pPr>
      <w:r>
        <w:rPr>
          <w:rFonts w:hint="eastAsia" w:cs="仿宋_GB2312" w:asciiTheme="minorEastAsia" w:hAnsiTheme="minorEastAsia"/>
        </w:rPr>
        <w:t>1）如</w:t>
      </w:r>
      <w:r>
        <w:rPr>
          <w:rFonts w:hint="eastAsia" w:eastAsia="宋体" w:cs="仿宋_GB2312" w:asciiTheme="minorEastAsia" w:hAnsiTheme="minorEastAsia"/>
          <w:lang w:eastAsia="zh-CN"/>
        </w:rPr>
        <w:t>供应商</w:t>
      </w:r>
      <w:r>
        <w:rPr>
          <w:rFonts w:hint="eastAsia" w:cs="仿宋_GB2312" w:asciiTheme="minorEastAsia" w:hAnsiTheme="minorEastAsia"/>
        </w:rPr>
        <w:t>所投产品属于“中国强制性产品认证”（3C认证）范围内,则必须承诺采用</w:t>
      </w:r>
      <w:r>
        <w:rPr>
          <w:rFonts w:cs="仿宋_GB2312" w:asciiTheme="minorEastAsia" w:hAnsiTheme="minorEastAsia"/>
        </w:rPr>
        <w:t>《中华人民共和国实施强制性产品认证的产品目录》</w:t>
      </w:r>
      <w:r>
        <w:rPr>
          <w:rFonts w:hint="eastAsia" w:cs="仿宋_GB2312" w:asciiTheme="minorEastAsia" w:hAnsiTheme="minorEastAsia"/>
        </w:rPr>
        <w:t>并在有效期内的产品，应在投标文件中提供“所投产品符合国家强制性要求承诺函”并加盖</w:t>
      </w:r>
      <w:r>
        <w:rPr>
          <w:rFonts w:hint="eastAsia" w:eastAsia="宋体" w:cs="仿宋_GB2312" w:asciiTheme="minorEastAsia" w:hAnsiTheme="minorEastAsia"/>
          <w:lang w:eastAsia="zh-CN"/>
        </w:rPr>
        <w:t>供应商</w:t>
      </w:r>
      <w:r>
        <w:rPr>
          <w:rFonts w:hint="eastAsia" w:cs="仿宋_GB2312" w:asciiTheme="minorEastAsia" w:hAnsiTheme="minorEastAsia"/>
        </w:rPr>
        <w:t>公章，否则将承担其投标被视为非实质性响应投标的风险。</w:t>
      </w:r>
    </w:p>
    <w:p>
      <w:pPr>
        <w:wordWrap w:val="0"/>
        <w:autoSpaceDE w:val="0"/>
        <w:autoSpaceDN w:val="0"/>
        <w:spacing w:line="360" w:lineRule="auto"/>
        <w:ind w:firstLine="200"/>
        <w:contextualSpacing/>
        <w:rPr>
          <w:rFonts w:cs="仿宋_GB2312" w:asciiTheme="minorEastAsia" w:hAnsiTheme="minorEastAsia"/>
        </w:rPr>
      </w:pPr>
      <w:r>
        <w:rPr>
          <w:rFonts w:hint="eastAsia" w:cs="宋体" w:asciiTheme="minorEastAsia" w:hAnsiTheme="minorEastAsia"/>
        </w:rPr>
        <w:t>2)</w:t>
      </w:r>
      <w:r>
        <w:rPr>
          <w:rFonts w:hint="eastAsia" w:eastAsia="宋体" w:cs="宋体" w:asciiTheme="minorEastAsia" w:hAnsiTheme="minorEastAsia"/>
          <w:lang w:eastAsia="zh-CN"/>
        </w:rPr>
        <w:t>供应商</w:t>
      </w:r>
      <w:r>
        <w:rPr>
          <w:rFonts w:hint="eastAsia" w:cs="宋体" w:asciiTheme="minorEastAsia" w:hAnsiTheme="minorEastAsia"/>
        </w:rPr>
        <w:t>所投产品如被列入</w:t>
      </w:r>
      <w:r>
        <w:rPr>
          <w:rFonts w:cs="宋体" w:asciiTheme="minorEastAsia" w:hAnsiTheme="minorEastAsia"/>
        </w:rPr>
        <w:t>《信息安全产品强制性认证目录》，</w:t>
      </w:r>
      <w:r>
        <w:rPr>
          <w:rFonts w:hint="eastAsia" w:cs="仿宋_GB2312" w:asciiTheme="minorEastAsia" w:hAnsiTheme="minorEastAsia"/>
        </w:rPr>
        <w:t>则投标文件中应根据本项目</w:t>
      </w:r>
      <w:r>
        <w:rPr>
          <w:rFonts w:hint="eastAsia" w:eastAsia="宋体" w:cs="仿宋_GB2312" w:asciiTheme="minorEastAsia" w:hAnsiTheme="minorEastAsia"/>
          <w:lang w:eastAsia="zh-CN"/>
        </w:rPr>
        <w:t>采购文件</w:t>
      </w:r>
      <w:r>
        <w:rPr>
          <w:rFonts w:hint="eastAsia" w:cs="仿宋_GB2312" w:asciiTheme="minorEastAsia" w:hAnsiTheme="minorEastAsia"/>
        </w:rPr>
        <w:t>“第二章 项目需求”</w:t>
      </w:r>
      <w:r>
        <w:rPr>
          <w:rFonts w:cs="仿宋_GB2312" w:asciiTheme="minorEastAsia" w:hAnsiTheme="minorEastAsia"/>
        </w:rPr>
        <w:t>提供</w:t>
      </w:r>
      <w:r>
        <w:rPr>
          <w:rFonts w:hint="eastAsia" w:cs="仿宋_GB2312" w:asciiTheme="minorEastAsia" w:hAnsiTheme="minorEastAsia"/>
        </w:rPr>
        <w:t>：</w:t>
      </w:r>
    </w:p>
    <w:p>
      <w:pPr>
        <w:wordWrap w:val="0"/>
        <w:autoSpaceDE w:val="0"/>
        <w:autoSpaceDN w:val="0"/>
        <w:spacing w:line="360" w:lineRule="auto"/>
        <w:ind w:firstLine="200"/>
        <w:contextualSpacing/>
        <w:rPr>
          <w:rFonts w:cs="宋体" w:asciiTheme="minorEastAsia" w:hAnsiTheme="minorEastAsia"/>
        </w:rPr>
      </w:pPr>
      <w:r>
        <w:rPr>
          <w:rFonts w:hint="eastAsia" w:cs="宋体" w:asciiTheme="minorEastAsia" w:hAnsiTheme="minorEastAsia"/>
        </w:rPr>
        <w:t>①中国信息安全认证中心官网（</w:t>
      </w:r>
      <w:r>
        <w:rPr>
          <w:rFonts w:cs="宋体" w:asciiTheme="minorEastAsia" w:hAnsiTheme="minorEastAsia"/>
        </w:rPr>
        <w:t>http://www.isccc.gov.cn/index.shtml</w:t>
      </w:r>
      <w:r>
        <w:rPr>
          <w:rFonts w:hint="eastAsia" w:cs="宋体" w:asciiTheme="minorEastAsia" w:hAnsiTheme="minorEastAsia"/>
        </w:rPr>
        <w:t>）产品查询结果截图并加盖</w:t>
      </w:r>
      <w:r>
        <w:rPr>
          <w:rFonts w:hint="eastAsia" w:eastAsia="宋体" w:cs="宋体" w:asciiTheme="minorEastAsia" w:hAnsiTheme="minorEastAsia"/>
          <w:lang w:eastAsia="zh-CN"/>
        </w:rPr>
        <w:t>供应商</w:t>
      </w:r>
      <w:r>
        <w:rPr>
          <w:rFonts w:hint="eastAsia" w:cs="宋体" w:asciiTheme="minorEastAsia" w:hAnsiTheme="minorEastAsia"/>
        </w:rPr>
        <w:t>公章；</w:t>
      </w:r>
    </w:p>
    <w:p>
      <w:pPr>
        <w:wordWrap w:val="0"/>
        <w:autoSpaceDE w:val="0"/>
        <w:autoSpaceDN w:val="0"/>
        <w:spacing w:line="360" w:lineRule="auto"/>
        <w:ind w:firstLine="200"/>
        <w:contextualSpacing/>
        <w:rPr>
          <w:rFonts w:cs="仿宋_GB2312" w:asciiTheme="minorEastAsia" w:hAnsiTheme="minorEastAsia"/>
        </w:rPr>
      </w:pPr>
      <w:r>
        <w:rPr>
          <w:rFonts w:hint="eastAsia" w:cs="宋体" w:asciiTheme="minorEastAsia" w:hAnsiTheme="minorEastAsia"/>
        </w:rPr>
        <w:t>②中国信息安全认证中心</w:t>
      </w:r>
      <w:r>
        <w:rPr>
          <w:rFonts w:hint="eastAsia" w:cs="仿宋_GB2312" w:asciiTheme="minorEastAsia" w:hAnsiTheme="minorEastAsia"/>
        </w:rPr>
        <w:t>颁发的《中国国家信息安全产品认证证书》加盖</w:t>
      </w:r>
      <w:r>
        <w:rPr>
          <w:rFonts w:hint="eastAsia" w:eastAsia="宋体" w:cs="仿宋_GB2312" w:asciiTheme="minorEastAsia" w:hAnsiTheme="minorEastAsia"/>
          <w:lang w:eastAsia="zh-CN"/>
        </w:rPr>
        <w:t>供应商</w:t>
      </w:r>
      <w:r>
        <w:rPr>
          <w:rFonts w:hint="eastAsia" w:cs="仿宋_GB2312" w:asciiTheme="minorEastAsia" w:hAnsiTheme="minorEastAsia"/>
        </w:rPr>
        <w:t>公章的原件扫描件（或图片）。</w:t>
      </w:r>
    </w:p>
    <w:p>
      <w:pPr>
        <w:spacing w:line="360" w:lineRule="auto"/>
        <w:ind w:firstLine="200"/>
        <w:contextualSpacing/>
        <w:rPr>
          <w:rFonts w:ascii="楷体" w:hAnsi="楷体" w:eastAsia="楷体"/>
          <w:color w:val="000000"/>
          <w:sz w:val="24"/>
          <w:szCs w:val="24"/>
        </w:rPr>
      </w:pPr>
      <w:r>
        <w:rPr>
          <w:rFonts w:hint="eastAsia" w:ascii="楷体" w:hAnsi="楷体" w:eastAsia="楷体" w:cs="仿宋_GB2312"/>
          <w:sz w:val="24"/>
          <w:szCs w:val="24"/>
        </w:rPr>
        <w:t>注：仅需提供序号</w:t>
      </w:r>
      <w:r>
        <w:rPr>
          <w:rFonts w:hint="eastAsia" w:ascii="楷体" w:hAnsi="楷体" w:eastAsia="楷体"/>
          <w:color w:val="000000"/>
          <w:sz w:val="24"/>
          <w:szCs w:val="24"/>
        </w:rPr>
        <w:t>①～②其中之一即可。</w:t>
      </w:r>
    </w:p>
    <w:p>
      <w:pPr>
        <w:spacing w:line="360" w:lineRule="auto"/>
        <w:ind w:firstLine="200"/>
        <w:contextualSpacing/>
        <w:rPr>
          <w:rFonts w:ascii="宋体" w:cs="仿宋_GB2312"/>
          <w:b/>
        </w:rPr>
      </w:pPr>
      <w:r>
        <w:rPr>
          <w:rFonts w:hint="eastAsia" w:ascii="宋体" w:hAnsi="宋体" w:cs="仿宋_GB2312"/>
          <w:b/>
        </w:rPr>
        <w:t>（</w:t>
      </w:r>
      <w:r>
        <w:rPr>
          <w:rFonts w:hint="eastAsia" w:ascii="宋体" w:hAnsi="宋体" w:eastAsia="宋体" w:cs="仿宋_GB2312"/>
          <w:b/>
          <w:lang w:val="en-US" w:eastAsia="zh-CN"/>
        </w:rPr>
        <w:t>5</w:t>
      </w:r>
      <w:r>
        <w:rPr>
          <w:rFonts w:hint="eastAsia" w:ascii="宋体" w:hAnsi="宋体" w:cs="仿宋_GB2312"/>
          <w:b/>
        </w:rPr>
        <w:t>）支持脱贫攻坚（物业服务采购）</w:t>
      </w:r>
    </w:p>
    <w:p>
      <w:pPr>
        <w:tabs>
          <w:tab w:val="left" w:pos="1260"/>
        </w:tabs>
        <w:autoSpaceDE w:val="0"/>
        <w:autoSpaceDN w:val="0"/>
        <w:spacing w:line="360" w:lineRule="auto"/>
        <w:ind w:firstLine="200"/>
        <w:contextualSpacing/>
        <w:rPr>
          <w:rFonts w:ascii="宋体" w:hAnsi="宋体" w:cs="仿宋_GB2312"/>
        </w:rPr>
      </w:pPr>
      <w:r>
        <w:rPr>
          <w:rFonts w:hint="eastAsia" w:ascii="宋体" w:hAnsi="宋体" w:cs="仿宋_GB2312"/>
        </w:rPr>
        <w:t>在物业项目中，对注册地在</w:t>
      </w:r>
      <w:r>
        <w:rPr>
          <w:rFonts w:ascii="宋体" w:hAnsi="宋体" w:cs="仿宋_GB2312"/>
        </w:rPr>
        <w:t>832</w:t>
      </w:r>
      <w:r>
        <w:rPr>
          <w:rFonts w:hint="eastAsia" w:ascii="宋体" w:hAnsi="宋体" w:cs="仿宋_GB2312"/>
        </w:rPr>
        <w:t>个国家级贫困县域内且聘用建档立卡贫困人员的物业公司，提供注册地证明材料、贫困县扶贫部门出具的聘用建档立卡贫困人员身份证明及社保材料（开标前</w:t>
      </w:r>
      <w:r>
        <w:rPr>
          <w:rFonts w:ascii="宋体" w:hAnsi="宋体" w:cs="仿宋_GB2312"/>
        </w:rPr>
        <w:t>12</w:t>
      </w:r>
      <w:r>
        <w:rPr>
          <w:rFonts w:hint="eastAsia" w:ascii="宋体" w:hAnsi="宋体" w:cs="仿宋_GB2312"/>
        </w:rPr>
        <w:t>个月内至少连续</w:t>
      </w:r>
      <w:r>
        <w:rPr>
          <w:rFonts w:ascii="宋体" w:hAnsi="宋体" w:cs="仿宋_GB2312"/>
        </w:rPr>
        <w:t>3</w:t>
      </w:r>
      <w:r>
        <w:rPr>
          <w:rFonts w:hint="eastAsia" w:ascii="宋体" w:hAnsi="宋体" w:cs="仿宋_GB2312"/>
        </w:rPr>
        <w:t>个月）的有效证明后，评标委员会根据本项目评标标准予以判定并赋分.</w:t>
      </w:r>
    </w:p>
    <w:p>
      <w:pPr>
        <w:tabs>
          <w:tab w:val="left" w:pos="1260"/>
        </w:tabs>
        <w:autoSpaceDE w:val="0"/>
        <w:autoSpaceDN w:val="0"/>
        <w:spacing w:line="360" w:lineRule="auto"/>
        <w:ind w:firstLine="200"/>
        <w:contextualSpacing/>
        <w:rPr>
          <w:rFonts w:cs="仿宋_GB2312" w:asciiTheme="minorEastAsia" w:hAnsiTheme="minorEastAsia"/>
          <w:b/>
        </w:rPr>
      </w:pPr>
      <w:r>
        <w:rPr>
          <w:rFonts w:hint="eastAsia" w:cs="仿宋_GB2312" w:asciiTheme="minorEastAsia" w:hAnsiTheme="minorEastAsia"/>
          <w:b/>
        </w:rPr>
        <w:t>（</w:t>
      </w:r>
      <w:r>
        <w:rPr>
          <w:rFonts w:hint="eastAsia" w:eastAsia="宋体" w:cs="仿宋_GB2312" w:asciiTheme="minorEastAsia" w:hAnsiTheme="minorEastAsia"/>
          <w:b/>
          <w:lang w:val="en-US" w:eastAsia="zh-CN"/>
        </w:rPr>
        <w:t>6</w:t>
      </w:r>
      <w:r>
        <w:rPr>
          <w:rFonts w:hint="eastAsia" w:cs="仿宋_GB2312" w:asciiTheme="minorEastAsia" w:hAnsiTheme="minorEastAsia"/>
          <w:b/>
        </w:rPr>
        <w:t>）投标无效情形</w:t>
      </w:r>
    </w:p>
    <w:p>
      <w:pPr>
        <w:tabs>
          <w:tab w:val="left" w:pos="1260"/>
        </w:tabs>
        <w:autoSpaceDE w:val="0"/>
        <w:autoSpaceDN w:val="0"/>
        <w:spacing w:line="360" w:lineRule="auto"/>
        <w:ind w:firstLine="200"/>
        <w:contextualSpacing/>
        <w:rPr>
          <w:rFonts w:cs="仿宋_GB2312" w:asciiTheme="minorEastAsia" w:hAnsiTheme="minorEastAsia"/>
        </w:rPr>
      </w:pPr>
      <w:r>
        <w:rPr>
          <w:rFonts w:hint="eastAsia" w:cs="仿宋_GB2312" w:asciiTheme="minorEastAsia" w:hAnsiTheme="minorEastAsia"/>
        </w:rPr>
        <w:t>1）</w:t>
      </w:r>
      <w:r>
        <w:rPr>
          <w:rFonts w:hint="eastAsia" w:eastAsia="宋体" w:cs="仿宋_GB2312" w:asciiTheme="minorEastAsia" w:hAnsiTheme="minorEastAsia"/>
          <w:lang w:eastAsia="zh-CN"/>
        </w:rPr>
        <w:t>供应商</w:t>
      </w:r>
      <w:r>
        <w:rPr>
          <w:rFonts w:hint="eastAsia" w:cs="仿宋_GB2312" w:asciiTheme="minorEastAsia" w:hAnsiTheme="minorEastAsia"/>
        </w:rPr>
        <w:t>应当遵循公平竞争的原则，不得恶意串通，不得妨碍其他</w:t>
      </w:r>
      <w:r>
        <w:rPr>
          <w:rFonts w:hint="eastAsia" w:eastAsia="宋体" w:cs="仿宋_GB2312" w:asciiTheme="minorEastAsia" w:hAnsiTheme="minorEastAsia"/>
          <w:lang w:eastAsia="zh-CN"/>
        </w:rPr>
        <w:t>供应商</w:t>
      </w:r>
      <w:r>
        <w:rPr>
          <w:rFonts w:hint="eastAsia" w:cs="仿宋_GB2312" w:asciiTheme="minorEastAsia" w:hAnsiTheme="minorEastAsia"/>
        </w:rPr>
        <w:t>的竞争行为，不得损害采购人或者其他</w:t>
      </w:r>
      <w:r>
        <w:rPr>
          <w:rFonts w:hint="eastAsia" w:eastAsia="宋体" w:cs="仿宋_GB2312" w:asciiTheme="minorEastAsia" w:hAnsiTheme="minorEastAsia"/>
          <w:lang w:eastAsia="zh-CN"/>
        </w:rPr>
        <w:t>供应商</w:t>
      </w:r>
      <w:r>
        <w:rPr>
          <w:rFonts w:hint="eastAsia" w:cs="仿宋_GB2312" w:asciiTheme="minorEastAsia" w:hAnsiTheme="minorEastAsia"/>
        </w:rPr>
        <w:t>的合法权益。在评标过程中发现</w:t>
      </w:r>
      <w:r>
        <w:rPr>
          <w:rFonts w:hint="eastAsia" w:eastAsia="宋体" w:cs="仿宋_GB2312" w:asciiTheme="minorEastAsia" w:hAnsiTheme="minorEastAsia"/>
          <w:lang w:eastAsia="zh-CN"/>
        </w:rPr>
        <w:t>供应商</w:t>
      </w:r>
      <w:r>
        <w:rPr>
          <w:rFonts w:hint="eastAsia" w:cs="仿宋_GB2312" w:asciiTheme="minorEastAsia" w:hAnsiTheme="minorEastAsia"/>
        </w:rPr>
        <w:t>有上述情形的，评标委员会应当认定其投标无效。</w:t>
      </w:r>
    </w:p>
    <w:p>
      <w:pPr>
        <w:tabs>
          <w:tab w:val="left" w:pos="1260"/>
        </w:tabs>
        <w:autoSpaceDE w:val="0"/>
        <w:autoSpaceDN w:val="0"/>
        <w:spacing w:line="360" w:lineRule="auto"/>
        <w:ind w:firstLine="200"/>
        <w:contextualSpacing/>
        <w:rPr>
          <w:rFonts w:cs="仿宋_GB2312" w:asciiTheme="minorEastAsia" w:hAnsiTheme="minorEastAsia"/>
        </w:rPr>
      </w:pPr>
      <w:r>
        <w:rPr>
          <w:rFonts w:hint="eastAsia" w:cs="仿宋_GB2312" w:asciiTheme="minorEastAsia" w:hAnsiTheme="minorEastAsia"/>
        </w:rPr>
        <w:t>2）符合性审查资料未按</w:t>
      </w:r>
      <w:r>
        <w:rPr>
          <w:rFonts w:hint="eastAsia" w:eastAsia="宋体" w:cs="仿宋_GB2312" w:asciiTheme="minorEastAsia" w:hAnsiTheme="minorEastAsia"/>
          <w:lang w:eastAsia="zh-CN"/>
        </w:rPr>
        <w:t>采购文件</w:t>
      </w:r>
      <w:r>
        <w:rPr>
          <w:rFonts w:hint="eastAsia" w:cs="仿宋_GB2312" w:asciiTheme="minorEastAsia" w:hAnsiTheme="minorEastAsia"/>
        </w:rPr>
        <w:t>要求签署、盖章的；</w:t>
      </w:r>
    </w:p>
    <w:p>
      <w:pPr>
        <w:tabs>
          <w:tab w:val="left" w:pos="1260"/>
        </w:tabs>
        <w:autoSpaceDE w:val="0"/>
        <w:autoSpaceDN w:val="0"/>
        <w:spacing w:line="360" w:lineRule="auto"/>
        <w:ind w:firstLine="200"/>
        <w:contextualSpacing/>
        <w:rPr>
          <w:rFonts w:cs="仿宋_GB2312" w:asciiTheme="minorEastAsia" w:hAnsiTheme="minorEastAsia"/>
        </w:rPr>
      </w:pPr>
      <w:r>
        <w:rPr>
          <w:rFonts w:hint="eastAsia" w:cs="仿宋_GB2312" w:asciiTheme="minorEastAsia" w:hAnsiTheme="minorEastAsia"/>
        </w:rPr>
        <w:t>3）有下列情形之一的，视为</w:t>
      </w:r>
      <w:r>
        <w:rPr>
          <w:rFonts w:hint="eastAsia" w:eastAsia="宋体" w:cs="仿宋_GB2312" w:asciiTheme="minorEastAsia" w:hAnsiTheme="minorEastAsia"/>
          <w:lang w:eastAsia="zh-CN"/>
        </w:rPr>
        <w:t>供应商</w:t>
      </w:r>
      <w:r>
        <w:rPr>
          <w:rFonts w:hint="eastAsia" w:cs="仿宋_GB2312" w:asciiTheme="minorEastAsia" w:hAnsiTheme="minorEastAsia"/>
        </w:rPr>
        <w:t>串通投标，其投标无效：</w:t>
      </w:r>
    </w:p>
    <w:p>
      <w:pPr>
        <w:tabs>
          <w:tab w:val="left" w:pos="1260"/>
        </w:tabs>
        <w:autoSpaceDE w:val="0"/>
        <w:autoSpaceDN w:val="0"/>
        <w:spacing w:line="360" w:lineRule="auto"/>
        <w:ind w:firstLine="200"/>
        <w:contextualSpacing/>
        <w:rPr>
          <w:rFonts w:cs="仿宋_GB2312" w:asciiTheme="minorEastAsia" w:hAnsiTheme="minorEastAsia"/>
        </w:rPr>
      </w:pPr>
      <w:r>
        <w:rPr>
          <w:rFonts w:hint="eastAsia" w:cs="仿宋_GB2312" w:asciiTheme="minorEastAsia" w:hAnsiTheme="minorEastAsia"/>
        </w:rPr>
        <w:t>a.不同</w:t>
      </w:r>
      <w:r>
        <w:rPr>
          <w:rFonts w:hint="eastAsia" w:eastAsia="宋体" w:cs="仿宋_GB2312" w:asciiTheme="minorEastAsia" w:hAnsiTheme="minorEastAsia"/>
          <w:lang w:eastAsia="zh-CN"/>
        </w:rPr>
        <w:t>供应商</w:t>
      </w:r>
      <w:r>
        <w:rPr>
          <w:rFonts w:hint="eastAsia" w:cs="仿宋_GB2312" w:asciiTheme="minorEastAsia" w:hAnsiTheme="minorEastAsia"/>
        </w:rPr>
        <w:t>的投标文件由同一单位或者个人编制；</w:t>
      </w:r>
    </w:p>
    <w:p>
      <w:pPr>
        <w:tabs>
          <w:tab w:val="left" w:pos="1260"/>
        </w:tabs>
        <w:autoSpaceDE w:val="0"/>
        <w:autoSpaceDN w:val="0"/>
        <w:spacing w:line="360" w:lineRule="auto"/>
        <w:ind w:firstLine="200"/>
        <w:contextualSpacing/>
        <w:rPr>
          <w:rFonts w:cs="仿宋_GB2312" w:asciiTheme="minorEastAsia" w:hAnsiTheme="minorEastAsia"/>
        </w:rPr>
      </w:pPr>
      <w:r>
        <w:rPr>
          <w:rFonts w:hint="eastAsia" w:cs="仿宋_GB2312" w:asciiTheme="minorEastAsia" w:hAnsiTheme="minorEastAsia"/>
        </w:rPr>
        <w:t>b.不同</w:t>
      </w:r>
      <w:r>
        <w:rPr>
          <w:rFonts w:hint="eastAsia" w:eastAsia="宋体" w:cs="仿宋_GB2312" w:asciiTheme="minorEastAsia" w:hAnsiTheme="minorEastAsia"/>
          <w:lang w:eastAsia="zh-CN"/>
        </w:rPr>
        <w:t>供应商</w:t>
      </w:r>
      <w:r>
        <w:rPr>
          <w:rFonts w:hint="eastAsia" w:cs="仿宋_GB2312" w:asciiTheme="minorEastAsia" w:hAnsiTheme="minorEastAsia"/>
        </w:rPr>
        <w:t>委托同一单位或者个人办理投标事宜；</w:t>
      </w:r>
    </w:p>
    <w:p>
      <w:pPr>
        <w:tabs>
          <w:tab w:val="left" w:pos="1260"/>
        </w:tabs>
        <w:autoSpaceDE w:val="0"/>
        <w:autoSpaceDN w:val="0"/>
        <w:spacing w:line="360" w:lineRule="auto"/>
        <w:ind w:firstLine="200"/>
        <w:contextualSpacing/>
        <w:rPr>
          <w:rFonts w:cs="仿宋_GB2312" w:asciiTheme="minorEastAsia" w:hAnsiTheme="minorEastAsia"/>
        </w:rPr>
      </w:pPr>
      <w:r>
        <w:rPr>
          <w:rFonts w:hint="eastAsia" w:cs="仿宋_GB2312" w:asciiTheme="minorEastAsia" w:hAnsiTheme="minorEastAsia"/>
        </w:rPr>
        <w:t>c.不同</w:t>
      </w:r>
      <w:r>
        <w:rPr>
          <w:rFonts w:hint="eastAsia" w:eastAsia="宋体" w:cs="仿宋_GB2312" w:asciiTheme="minorEastAsia" w:hAnsiTheme="minorEastAsia"/>
          <w:lang w:eastAsia="zh-CN"/>
        </w:rPr>
        <w:t>供应商</w:t>
      </w:r>
      <w:r>
        <w:rPr>
          <w:rFonts w:hint="eastAsia" w:cs="仿宋_GB2312" w:asciiTheme="minorEastAsia" w:hAnsiTheme="minorEastAsia"/>
        </w:rPr>
        <w:t>的投标文件载明的项目管理成员或者联系人员为同一人；</w:t>
      </w:r>
    </w:p>
    <w:p>
      <w:pPr>
        <w:tabs>
          <w:tab w:val="left" w:pos="1260"/>
        </w:tabs>
        <w:autoSpaceDE w:val="0"/>
        <w:autoSpaceDN w:val="0"/>
        <w:spacing w:line="360" w:lineRule="auto"/>
        <w:ind w:firstLine="200"/>
        <w:contextualSpacing/>
        <w:rPr>
          <w:rFonts w:cs="仿宋_GB2312" w:asciiTheme="minorEastAsia" w:hAnsiTheme="minorEastAsia"/>
        </w:rPr>
      </w:pPr>
      <w:r>
        <w:rPr>
          <w:rFonts w:hint="eastAsia" w:cs="仿宋_GB2312" w:asciiTheme="minorEastAsia" w:hAnsiTheme="minorEastAsia"/>
        </w:rPr>
        <w:t>d.不同</w:t>
      </w:r>
      <w:r>
        <w:rPr>
          <w:rFonts w:hint="eastAsia" w:eastAsia="宋体" w:cs="仿宋_GB2312" w:asciiTheme="minorEastAsia" w:hAnsiTheme="minorEastAsia"/>
          <w:lang w:eastAsia="zh-CN"/>
        </w:rPr>
        <w:t>供应商</w:t>
      </w:r>
      <w:r>
        <w:rPr>
          <w:rFonts w:hint="eastAsia" w:cs="仿宋_GB2312" w:asciiTheme="minorEastAsia" w:hAnsiTheme="minorEastAsia"/>
        </w:rPr>
        <w:t>的投标文件异常一致或者投标报价呈规律性差异；</w:t>
      </w:r>
    </w:p>
    <w:p>
      <w:pPr>
        <w:tabs>
          <w:tab w:val="left" w:pos="1260"/>
        </w:tabs>
        <w:autoSpaceDE w:val="0"/>
        <w:autoSpaceDN w:val="0"/>
        <w:spacing w:line="360" w:lineRule="auto"/>
        <w:ind w:firstLine="200"/>
        <w:contextualSpacing/>
        <w:rPr>
          <w:rFonts w:cs="仿宋_GB2312" w:asciiTheme="minorEastAsia" w:hAnsiTheme="minorEastAsia"/>
        </w:rPr>
      </w:pPr>
      <w:r>
        <w:rPr>
          <w:rFonts w:hint="eastAsia" w:cs="仿宋_GB2312" w:asciiTheme="minorEastAsia" w:hAnsiTheme="minorEastAsia"/>
        </w:rPr>
        <w:t>e.不同</w:t>
      </w:r>
      <w:r>
        <w:rPr>
          <w:rFonts w:hint="eastAsia" w:eastAsia="宋体" w:cs="仿宋_GB2312" w:asciiTheme="minorEastAsia" w:hAnsiTheme="minorEastAsia"/>
          <w:lang w:eastAsia="zh-CN"/>
        </w:rPr>
        <w:t>供应商</w:t>
      </w:r>
      <w:r>
        <w:rPr>
          <w:rFonts w:hint="eastAsia" w:cs="仿宋_GB2312" w:asciiTheme="minorEastAsia" w:hAnsiTheme="minorEastAsia"/>
        </w:rPr>
        <w:t>的投标文件相互混装；</w:t>
      </w:r>
    </w:p>
    <w:p>
      <w:pPr>
        <w:spacing w:line="360" w:lineRule="auto"/>
        <w:ind w:firstLine="200"/>
        <w:contextualSpacing/>
        <w:rPr>
          <w:rFonts w:cs="仿宋_GB2312" w:asciiTheme="minorEastAsia" w:hAnsiTheme="minorEastAsia"/>
        </w:rPr>
      </w:pPr>
      <w:r>
        <w:rPr>
          <w:rFonts w:hint="eastAsia" w:cs="仿宋_GB2312" w:asciiTheme="minorEastAsia" w:hAnsiTheme="minorEastAsia"/>
        </w:rPr>
        <w:t>4）评标委员会认为</w:t>
      </w:r>
      <w:r>
        <w:rPr>
          <w:rFonts w:hint="eastAsia" w:eastAsia="宋体" w:cs="仿宋_GB2312" w:asciiTheme="minorEastAsia" w:hAnsiTheme="minorEastAsia"/>
          <w:lang w:eastAsia="zh-CN"/>
        </w:rPr>
        <w:t>供应商</w:t>
      </w:r>
      <w:r>
        <w:rPr>
          <w:rFonts w:hint="eastAsia" w:cs="仿宋_GB2312" w:asciiTheme="minorEastAsia" w:hAnsiTheme="minorEastAsia"/>
        </w:rPr>
        <w:t>的报价明显低于其他通过符合性审查</w:t>
      </w:r>
      <w:r>
        <w:rPr>
          <w:rFonts w:hint="eastAsia" w:eastAsia="宋体" w:cs="仿宋_GB2312" w:asciiTheme="minorEastAsia" w:hAnsiTheme="minorEastAsia"/>
          <w:lang w:eastAsia="zh-CN"/>
        </w:rPr>
        <w:t>供应商</w:t>
      </w:r>
      <w:r>
        <w:rPr>
          <w:rFonts w:hint="eastAsia" w:cs="仿宋_GB2312" w:asciiTheme="minorEastAsia" w:hAnsiTheme="minorEastAsia"/>
        </w:rPr>
        <w:t>的报价，有可能影响产品质量或者不能诚信履约的，应当要求其在评标现场合理的时间内提供书面说明，必要时提交相关证明材料；</w:t>
      </w:r>
      <w:r>
        <w:rPr>
          <w:rFonts w:hint="eastAsia" w:eastAsia="宋体" w:cs="仿宋_GB2312" w:asciiTheme="minorEastAsia" w:hAnsiTheme="minorEastAsia"/>
          <w:lang w:eastAsia="zh-CN"/>
        </w:rPr>
        <w:t>供应商</w:t>
      </w:r>
      <w:r>
        <w:rPr>
          <w:rFonts w:hint="eastAsia" w:cs="仿宋_GB2312" w:asciiTheme="minorEastAsia" w:hAnsiTheme="minorEastAsia"/>
        </w:rPr>
        <w:t>不能证明其报价合理性的，评标委员会应当将其作为无效投标处理。</w:t>
      </w:r>
    </w:p>
    <w:p>
      <w:pPr>
        <w:tabs>
          <w:tab w:val="left" w:pos="1260"/>
        </w:tabs>
        <w:autoSpaceDE w:val="0"/>
        <w:autoSpaceDN w:val="0"/>
        <w:spacing w:line="360" w:lineRule="auto"/>
        <w:ind w:firstLine="200"/>
        <w:contextualSpacing/>
        <w:rPr>
          <w:rFonts w:cs="仿宋_GB2312" w:asciiTheme="minorEastAsia" w:hAnsiTheme="minorEastAsia"/>
          <w:b/>
        </w:rPr>
      </w:pPr>
      <w:r>
        <w:rPr>
          <w:rFonts w:hint="eastAsia" w:cs="仿宋_GB2312" w:asciiTheme="minorEastAsia" w:hAnsiTheme="minorEastAsia"/>
        </w:rPr>
        <w:t>5）</w:t>
      </w:r>
      <w:r>
        <w:rPr>
          <w:rFonts w:cs="仿宋_GB2312" w:asciiTheme="minorEastAsia" w:hAnsiTheme="minorEastAsia"/>
        </w:rPr>
        <w:t>法律、法规和</w:t>
      </w:r>
      <w:r>
        <w:rPr>
          <w:rFonts w:hint="eastAsia" w:eastAsia="宋体" w:cs="仿宋_GB2312" w:asciiTheme="minorEastAsia" w:hAnsiTheme="minorEastAsia"/>
          <w:lang w:eastAsia="zh-CN"/>
        </w:rPr>
        <w:t>采购文件</w:t>
      </w:r>
      <w:r>
        <w:rPr>
          <w:rFonts w:cs="仿宋_GB2312" w:asciiTheme="minorEastAsia" w:hAnsiTheme="minorEastAsia"/>
        </w:rPr>
        <w:t>规定的其他无效情形。</w:t>
      </w:r>
    </w:p>
    <w:p>
      <w:pPr>
        <w:pStyle w:val="16"/>
        <w:spacing w:line="360" w:lineRule="auto"/>
        <w:ind w:firstLine="422" w:firstLineChars="200"/>
        <w:contextualSpacing/>
        <w:rPr>
          <w:rFonts w:hint="eastAsia"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w:t>
      </w:r>
      <w:r>
        <w:rPr>
          <w:rFonts w:hint="eastAsia" w:cs="仿宋_GB2312" w:asciiTheme="minorEastAsia" w:hAnsiTheme="minorEastAsia" w:eastAsiaTheme="minorEastAsia"/>
          <w:b/>
          <w:sz w:val="21"/>
          <w:szCs w:val="21"/>
          <w:lang w:val="en-US" w:eastAsia="zh-CN"/>
        </w:rPr>
        <w:t>7</w:t>
      </w:r>
      <w:r>
        <w:rPr>
          <w:rFonts w:hint="eastAsia" w:cs="仿宋_GB2312" w:asciiTheme="minorEastAsia" w:hAnsiTheme="minorEastAsia" w:eastAsiaTheme="minorEastAsia"/>
          <w:b/>
          <w:sz w:val="21"/>
          <w:szCs w:val="21"/>
          <w:lang w:val="zh-CN"/>
        </w:rPr>
        <w:t>）评标标准</w:t>
      </w:r>
    </w:p>
    <w:tbl>
      <w:tblPr>
        <w:tblStyle w:val="25"/>
        <w:tblpPr w:leftFromText="180" w:rightFromText="180" w:vertAnchor="text" w:horzAnchor="page" w:tblpX="1773" w:tblpY="735"/>
        <w:tblOverlap w:val="never"/>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578"/>
        <w:gridCol w:w="6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trPr>
        <w:tc>
          <w:tcPr>
            <w:tcW w:w="2977" w:type="dxa"/>
            <w:gridSpan w:val="2"/>
            <w:vAlign w:val="center"/>
          </w:tcPr>
          <w:p>
            <w:pPr>
              <w:spacing w:line="360" w:lineRule="auto"/>
              <w:jc w:val="center"/>
              <w:rPr>
                <w:rFonts w:asciiTheme="minorEastAsia" w:hAnsiTheme="minorEastAsia"/>
                <w:color w:val="auto"/>
                <w:szCs w:val="21"/>
                <w:highlight w:val="none"/>
              </w:rPr>
            </w:pPr>
            <w:r>
              <w:rPr>
                <w:rFonts w:hint="eastAsia" w:asciiTheme="minorEastAsia" w:hAnsiTheme="minorEastAsia"/>
                <w:color w:val="auto"/>
                <w:szCs w:val="21"/>
                <w:highlight w:val="none"/>
              </w:rPr>
              <w:t>分值构成</w:t>
            </w:r>
          </w:p>
          <w:p>
            <w:pPr>
              <w:snapToGrid w:val="0"/>
              <w:spacing w:beforeLines="50"/>
              <w:jc w:val="center"/>
              <w:rPr>
                <w:rFonts w:ascii="宋体" w:hAnsi="宋体" w:cs="宋体"/>
                <w:b/>
                <w:color w:val="auto"/>
                <w:szCs w:val="21"/>
                <w:highlight w:val="none"/>
              </w:rPr>
            </w:pPr>
            <w:r>
              <w:rPr>
                <w:rFonts w:hint="eastAsia" w:asciiTheme="minorEastAsia" w:hAnsiTheme="minorEastAsia"/>
                <w:color w:val="auto"/>
                <w:szCs w:val="21"/>
                <w:highlight w:val="none"/>
              </w:rPr>
              <w:t>(总分100分)</w:t>
            </w:r>
          </w:p>
        </w:tc>
        <w:tc>
          <w:tcPr>
            <w:tcW w:w="6163" w:type="dxa"/>
            <w:vAlign w:val="center"/>
          </w:tcPr>
          <w:p>
            <w:pPr>
              <w:spacing w:line="360" w:lineRule="auto"/>
              <w:ind w:firstLine="420" w:firstLineChars="200"/>
              <w:rPr>
                <w:rFonts w:asciiTheme="minorEastAsia" w:hAnsiTheme="minorEastAsia"/>
                <w:color w:val="auto"/>
                <w:szCs w:val="21"/>
                <w:highlight w:val="none"/>
              </w:rPr>
            </w:pPr>
            <w:r>
              <w:rPr>
                <w:rFonts w:hint="eastAsia" w:asciiTheme="minorEastAsia" w:hAnsiTheme="minorEastAsia"/>
                <w:color w:val="auto"/>
                <w:szCs w:val="21"/>
                <w:highlight w:val="none"/>
              </w:rPr>
              <w:t>价格分值：</w:t>
            </w:r>
            <w:r>
              <w:rPr>
                <w:rFonts w:hint="eastAsia" w:asciiTheme="minorEastAsia" w:hAnsiTheme="minorEastAsia"/>
                <w:color w:val="auto"/>
                <w:szCs w:val="21"/>
                <w:highlight w:val="none"/>
                <w:u w:val="single"/>
                <w:lang w:val="en-US" w:eastAsia="zh-CN"/>
              </w:rPr>
              <w:t>40</w:t>
            </w:r>
            <w:r>
              <w:rPr>
                <w:rFonts w:hint="eastAsia" w:asciiTheme="minorEastAsia" w:hAnsiTheme="minorEastAsia"/>
                <w:color w:val="auto"/>
                <w:szCs w:val="21"/>
                <w:highlight w:val="none"/>
              </w:rPr>
              <w:t>分</w:t>
            </w:r>
          </w:p>
          <w:p>
            <w:pPr>
              <w:spacing w:line="360" w:lineRule="auto"/>
              <w:ind w:firstLine="420" w:firstLineChars="200"/>
              <w:rPr>
                <w:rFonts w:asciiTheme="minorEastAsia" w:hAnsiTheme="minorEastAsia"/>
                <w:color w:val="auto"/>
                <w:szCs w:val="21"/>
                <w:highlight w:val="none"/>
              </w:rPr>
            </w:pPr>
            <w:r>
              <w:rPr>
                <w:rFonts w:hint="eastAsia" w:asciiTheme="minorEastAsia" w:hAnsiTheme="minorEastAsia"/>
                <w:color w:val="auto"/>
                <w:szCs w:val="21"/>
                <w:highlight w:val="none"/>
              </w:rPr>
              <w:t>商务部分：</w:t>
            </w:r>
            <w:r>
              <w:rPr>
                <w:rFonts w:hint="eastAsia" w:asciiTheme="minorEastAsia" w:hAnsiTheme="minorEastAsia"/>
                <w:color w:val="auto"/>
                <w:szCs w:val="21"/>
                <w:highlight w:val="none"/>
                <w:u w:val="single"/>
                <w:lang w:val="en-US" w:eastAsia="zh-CN"/>
              </w:rPr>
              <w:t>40</w:t>
            </w:r>
            <w:r>
              <w:rPr>
                <w:rFonts w:hint="eastAsia" w:asciiTheme="minorEastAsia" w:hAnsiTheme="minorEastAsia"/>
                <w:color w:val="auto"/>
                <w:szCs w:val="21"/>
                <w:highlight w:val="none"/>
              </w:rPr>
              <w:t>分</w:t>
            </w:r>
          </w:p>
          <w:p>
            <w:pPr>
              <w:spacing w:beforeLines="50"/>
              <w:ind w:firstLine="420" w:firstLineChars="200"/>
              <w:rPr>
                <w:rFonts w:ascii="宋体" w:hAnsi="宋体" w:cs="宋体"/>
                <w:b/>
                <w:color w:val="auto"/>
                <w:szCs w:val="21"/>
                <w:highlight w:val="none"/>
              </w:rPr>
            </w:pPr>
            <w:r>
              <w:rPr>
                <w:rFonts w:hint="eastAsia" w:asciiTheme="minorEastAsia" w:hAnsiTheme="minorEastAsia"/>
                <w:color w:val="auto"/>
                <w:szCs w:val="21"/>
                <w:highlight w:val="none"/>
              </w:rPr>
              <w:t>技术部分：</w:t>
            </w:r>
            <w:r>
              <w:rPr>
                <w:rFonts w:hint="eastAsia" w:asciiTheme="minorEastAsia" w:hAnsiTheme="minorEastAsia"/>
                <w:color w:val="auto"/>
                <w:szCs w:val="21"/>
                <w:highlight w:val="none"/>
                <w:u w:val="single"/>
                <w:lang w:val="en-US" w:eastAsia="zh-CN"/>
              </w:rPr>
              <w:t>20</w:t>
            </w:r>
            <w:r>
              <w:rPr>
                <w:rFonts w:hint="eastAsia" w:asciiTheme="minorEastAsia" w:hAnsiTheme="minorEastAsia"/>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399" w:type="dxa"/>
            <w:vAlign w:val="center"/>
          </w:tcPr>
          <w:p>
            <w:pPr>
              <w:snapToGrid w:val="0"/>
              <w:spacing w:beforeLines="50"/>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评审项</w:t>
            </w:r>
          </w:p>
        </w:tc>
        <w:tc>
          <w:tcPr>
            <w:tcW w:w="1578" w:type="dxa"/>
            <w:vAlign w:val="center"/>
          </w:tcPr>
          <w:p>
            <w:pPr>
              <w:snapToGrid w:val="0"/>
              <w:spacing w:beforeLines="50"/>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评分因素</w:t>
            </w:r>
          </w:p>
        </w:tc>
        <w:tc>
          <w:tcPr>
            <w:tcW w:w="6163" w:type="dxa"/>
            <w:vAlign w:val="center"/>
          </w:tcPr>
          <w:p>
            <w:pPr>
              <w:snapToGrid w:val="0"/>
              <w:spacing w:beforeLines="50"/>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评</w:t>
            </w:r>
            <w:r>
              <w:rPr>
                <w:rFonts w:hint="eastAsia" w:ascii="宋体" w:hAnsi="宋体" w:cs="宋体"/>
                <w:b/>
                <w:color w:val="auto"/>
                <w:szCs w:val="21"/>
                <w:highlight w:val="none"/>
              </w:rPr>
              <w:t>标</w:t>
            </w:r>
            <w:r>
              <w:rPr>
                <w:rFonts w:hint="eastAsia" w:ascii="宋体" w:hAnsi="宋体" w:eastAsia="宋体" w:cs="宋体"/>
                <w:b/>
                <w:color w:val="auto"/>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5" w:hRule="atLeast"/>
        </w:trPr>
        <w:tc>
          <w:tcPr>
            <w:tcW w:w="13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2" w:right="0" w:hanging="4" w:hangingChars="2"/>
              <w:jc w:val="center"/>
              <w:rPr>
                <w:b w:val="0"/>
                <w:i w:val="0"/>
                <w:color w:val="auto"/>
                <w:highlight w:val="none"/>
              </w:rPr>
            </w:pPr>
            <w:r>
              <w:rPr>
                <w:rFonts w:hint="eastAsia" w:ascii="宋体" w:hAnsi="宋体" w:eastAsia="宋体" w:cs="宋体"/>
                <w:b w:val="0"/>
                <w:i w:val="0"/>
                <w:color w:val="auto"/>
                <w:kern w:val="2"/>
                <w:sz w:val="21"/>
                <w:szCs w:val="21"/>
                <w:highlight w:val="none"/>
                <w:u w:val="none"/>
                <w:lang w:val="en-US" w:eastAsia="zh-CN" w:bidi="ar"/>
              </w:rPr>
              <w:t>报价部分</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2" w:right="0" w:rightChars="0" w:hanging="4" w:hangingChars="2"/>
              <w:jc w:val="center"/>
              <w:rPr>
                <w:rFonts w:ascii="宋体" w:hAnsi="宋体" w:eastAsia="宋体" w:cs="宋体"/>
                <w:color w:val="auto"/>
                <w:szCs w:val="21"/>
                <w:highlight w:val="none"/>
              </w:rPr>
            </w:pPr>
            <w:r>
              <w:rPr>
                <w:rFonts w:hint="eastAsia" w:ascii="宋体" w:hAnsi="宋体" w:eastAsia="宋体" w:cs="宋体"/>
                <w:b w:val="0"/>
                <w:i w:val="0"/>
                <w:color w:val="auto"/>
                <w:kern w:val="2"/>
                <w:sz w:val="21"/>
                <w:szCs w:val="21"/>
                <w:highlight w:val="none"/>
                <w:u w:val="none"/>
                <w:lang w:val="en-US" w:eastAsia="zh-CN" w:bidi="ar"/>
              </w:rPr>
              <w:t>（</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cs="宋体"/>
                <w:b w:val="0"/>
                <w:i w:val="0"/>
                <w:color w:val="auto"/>
                <w:kern w:val="0"/>
                <w:sz w:val="21"/>
                <w:szCs w:val="21"/>
                <w:highlight w:val="none"/>
                <w:u w:val="single"/>
                <w:lang w:val="en-US" w:eastAsia="zh-CN" w:bidi="ar"/>
              </w:rPr>
              <w:t>40</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eastAsia="宋体" w:cs="宋体"/>
                <w:b w:val="0"/>
                <w:i w:val="0"/>
                <w:color w:val="auto"/>
                <w:kern w:val="2"/>
                <w:sz w:val="21"/>
                <w:szCs w:val="21"/>
                <w:highlight w:val="none"/>
                <w:u w:val="none"/>
                <w:lang w:val="en-US" w:eastAsia="zh-CN" w:bidi="ar"/>
              </w:rPr>
              <w:t>分）</w:t>
            </w:r>
          </w:p>
        </w:tc>
        <w:tc>
          <w:tcPr>
            <w:tcW w:w="157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right="0"/>
              <w:jc w:val="center"/>
              <w:rPr>
                <w:b w:val="0"/>
                <w:i w:val="0"/>
                <w:color w:val="auto"/>
                <w:highlight w:val="none"/>
              </w:rPr>
            </w:pPr>
            <w:r>
              <w:rPr>
                <w:rFonts w:hint="eastAsia" w:ascii="宋体" w:hAnsi="宋体" w:eastAsia="宋体" w:cs="宋体"/>
                <w:b w:val="0"/>
                <w:i w:val="0"/>
                <w:color w:val="auto"/>
                <w:kern w:val="2"/>
                <w:sz w:val="21"/>
                <w:szCs w:val="21"/>
                <w:highlight w:val="none"/>
                <w:u w:val="none"/>
                <w:lang w:val="en-US" w:eastAsia="zh-CN" w:bidi="ar"/>
              </w:rPr>
              <w:t>报价</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ascii="宋体" w:hAnsi="宋体" w:eastAsia="宋体" w:cs="宋体"/>
                <w:color w:val="auto"/>
                <w:szCs w:val="21"/>
                <w:highlight w:val="none"/>
              </w:rPr>
            </w:pPr>
            <w:r>
              <w:rPr>
                <w:rFonts w:hint="eastAsia" w:ascii="宋体" w:hAnsi="宋体" w:eastAsia="宋体" w:cs="宋体"/>
                <w:b w:val="0"/>
                <w:i w:val="0"/>
                <w:color w:val="auto"/>
                <w:kern w:val="2"/>
                <w:sz w:val="21"/>
                <w:szCs w:val="21"/>
                <w:highlight w:val="none"/>
                <w:u w:val="none"/>
                <w:lang w:val="en-US" w:eastAsia="zh-CN" w:bidi="ar"/>
              </w:rPr>
              <w:t>（</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cs="宋体"/>
                <w:b w:val="0"/>
                <w:i w:val="0"/>
                <w:color w:val="auto"/>
                <w:kern w:val="0"/>
                <w:sz w:val="21"/>
                <w:szCs w:val="21"/>
                <w:highlight w:val="none"/>
                <w:u w:val="single"/>
                <w:lang w:val="en-US" w:eastAsia="zh-CN" w:bidi="ar"/>
              </w:rPr>
              <w:t>40</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eastAsia="宋体" w:cs="宋体"/>
                <w:b w:val="0"/>
                <w:i w:val="0"/>
                <w:color w:val="auto"/>
                <w:kern w:val="2"/>
                <w:sz w:val="21"/>
                <w:szCs w:val="21"/>
                <w:highlight w:val="none"/>
                <w:u w:val="none"/>
                <w:lang w:val="en-US" w:eastAsia="zh-CN" w:bidi="ar"/>
              </w:rPr>
              <w:t>分）</w:t>
            </w:r>
          </w:p>
        </w:tc>
        <w:tc>
          <w:tcPr>
            <w:tcW w:w="6163" w:type="dxa"/>
            <w:vAlign w:val="center"/>
          </w:tcPr>
          <w:p>
            <w:pPr>
              <w:pStyle w:val="74"/>
              <w:spacing w:after="0"/>
              <w:rPr>
                <w:rFonts w:hint="eastAsia" w:ascii="宋体" w:hAnsi="宋体"/>
                <w:color w:val="auto"/>
                <w:highlight w:val="none"/>
              </w:rPr>
            </w:pPr>
            <w:r>
              <w:rPr>
                <w:rFonts w:hint="eastAsia" w:ascii="宋体" w:hAnsi="宋体"/>
                <w:color w:val="auto"/>
                <w:highlight w:val="none"/>
              </w:rPr>
              <w:t>有效供应商中投标价格最低的投标报价为评标基准价，其价格分为满分。</w:t>
            </w:r>
          </w:p>
          <w:p>
            <w:pPr>
              <w:pStyle w:val="74"/>
              <w:spacing w:after="0"/>
              <w:rPr>
                <w:rFonts w:hint="eastAsia" w:ascii="宋体" w:hAnsi="宋体"/>
                <w:color w:val="auto"/>
                <w:highlight w:val="none"/>
              </w:rPr>
            </w:pPr>
            <w:r>
              <w:rPr>
                <w:rFonts w:hint="eastAsia" w:ascii="宋体" w:hAnsi="宋体"/>
                <w:color w:val="auto"/>
                <w:highlight w:val="none"/>
              </w:rPr>
              <w:t>其他供应商的价格分统一按照下列公式计算：</w:t>
            </w:r>
          </w:p>
          <w:p>
            <w:pPr>
              <w:pStyle w:val="74"/>
              <w:spacing w:after="0"/>
              <w:rPr>
                <w:rFonts w:hint="eastAsia" w:ascii="宋体" w:hAnsi="宋体"/>
                <w:color w:val="auto"/>
                <w:highlight w:val="none"/>
              </w:rPr>
            </w:pPr>
            <w:r>
              <w:rPr>
                <w:rFonts w:hint="eastAsia" w:ascii="宋体" w:hAnsi="宋体"/>
                <w:color w:val="auto"/>
                <w:highlight w:val="none"/>
              </w:rPr>
              <w:t>投标报价得分=(评标基准价／投标报价)×</w:t>
            </w:r>
            <w:r>
              <w:rPr>
                <w:rFonts w:hint="eastAsia" w:ascii="宋体" w:hAnsi="宋体"/>
                <w:color w:val="auto"/>
                <w:highlight w:val="none"/>
                <w:lang w:val="en-US" w:eastAsia="zh-CN"/>
              </w:rPr>
              <w:t>4</w:t>
            </w:r>
            <w:r>
              <w:rPr>
                <w:rFonts w:hint="eastAsia" w:ascii="宋体" w:hAnsi="宋体"/>
                <w:color w:val="auto"/>
                <w:highlight w:val="none"/>
              </w:rPr>
              <w:t>0%×100。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rPr>
                <w:rFonts w:ascii="宋体" w:hAnsi="宋体" w:eastAsia="宋体" w:cs="宋体"/>
                <w:color w:val="auto"/>
                <w:szCs w:val="21"/>
                <w:highlight w:val="none"/>
              </w:rPr>
            </w:pPr>
            <w:r>
              <w:rPr>
                <w:rFonts w:hint="eastAsia" w:ascii="宋体" w:hAnsi="宋体"/>
                <w:color w:val="auto"/>
                <w:highlight w:val="none"/>
              </w:rPr>
              <w:t>注：分值计算保留小数点后两位，小数点后第三位“四舍五入”。</w:t>
            </w:r>
            <w:r>
              <w:rPr>
                <w:rFonts w:hint="eastAsia" w:ascii="宋体" w:hAnsi="宋体"/>
                <w:color w:val="auto"/>
                <w:highlight w:val="none"/>
              </w:rPr>
              <w:br w:type="textWrapping"/>
            </w:r>
            <w:r>
              <w:rPr>
                <w:rFonts w:hint="eastAsia" w:ascii="宋体" w:hAnsi="宋体"/>
                <w:color w:val="auto"/>
                <w:highlight w:val="none"/>
              </w:rPr>
              <w:t>有效供应商的有效投标报价为通过符合评审、不高于预算价的供应商报价。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trPr>
        <w:tc>
          <w:tcPr>
            <w:tcW w:w="1399" w:type="dxa"/>
            <w:vMerge w:val="restar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2" w:right="0" w:hanging="4" w:hangingChars="2"/>
              <w:jc w:val="center"/>
              <w:rPr>
                <w:b w:val="0"/>
                <w:i w:val="0"/>
                <w:color w:val="auto"/>
                <w:highlight w:val="none"/>
              </w:rPr>
            </w:pPr>
            <w:r>
              <w:rPr>
                <w:rFonts w:hint="eastAsia" w:ascii="宋体" w:hAnsi="宋体" w:eastAsia="宋体" w:cs="宋体"/>
                <w:b w:val="0"/>
                <w:i w:val="0"/>
                <w:color w:val="auto"/>
                <w:kern w:val="2"/>
                <w:sz w:val="21"/>
                <w:szCs w:val="21"/>
                <w:highlight w:val="none"/>
                <w:u w:val="none"/>
                <w:lang w:val="en-US" w:eastAsia="zh-CN" w:bidi="ar"/>
              </w:rPr>
              <w:t>商务部分</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2" w:right="0" w:rightChars="0" w:hanging="4" w:hangingChars="2"/>
              <w:jc w:val="center"/>
              <w:rPr>
                <w:rFonts w:ascii="宋体" w:hAnsi="宋体" w:eastAsia="宋体" w:cs="宋体"/>
                <w:color w:val="auto"/>
                <w:szCs w:val="21"/>
                <w:highlight w:val="none"/>
              </w:rPr>
            </w:pPr>
            <w:r>
              <w:rPr>
                <w:rFonts w:hint="eastAsia" w:ascii="宋体" w:hAnsi="宋体" w:eastAsia="宋体" w:cs="宋体"/>
                <w:b w:val="0"/>
                <w:i w:val="0"/>
                <w:color w:val="auto"/>
                <w:kern w:val="2"/>
                <w:sz w:val="21"/>
                <w:szCs w:val="21"/>
                <w:highlight w:val="none"/>
                <w:u w:val="none"/>
                <w:lang w:val="en-US" w:eastAsia="zh-CN" w:bidi="ar"/>
              </w:rPr>
              <w:t>（</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cs="宋体"/>
                <w:b w:val="0"/>
                <w:i w:val="0"/>
                <w:color w:val="auto"/>
                <w:kern w:val="0"/>
                <w:sz w:val="21"/>
                <w:szCs w:val="21"/>
                <w:highlight w:val="none"/>
                <w:u w:val="single"/>
                <w:lang w:val="en-US" w:eastAsia="zh-CN" w:bidi="ar"/>
              </w:rPr>
              <w:t>40</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eastAsia="宋体" w:cs="宋体"/>
                <w:b w:val="0"/>
                <w:i w:val="0"/>
                <w:color w:val="auto"/>
                <w:kern w:val="2"/>
                <w:sz w:val="21"/>
                <w:szCs w:val="21"/>
                <w:highlight w:val="none"/>
                <w:u w:val="none"/>
                <w:lang w:val="en-US" w:eastAsia="zh-CN" w:bidi="ar"/>
              </w:rPr>
              <w:t>分）</w:t>
            </w:r>
          </w:p>
        </w:tc>
        <w:tc>
          <w:tcPr>
            <w:tcW w:w="157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right="0"/>
              <w:jc w:val="center"/>
              <w:rPr>
                <w:b w:val="0"/>
                <w:i w:val="0"/>
                <w:color w:val="auto"/>
                <w:highlight w:val="none"/>
              </w:rPr>
            </w:pPr>
            <w:r>
              <w:rPr>
                <w:rFonts w:hint="eastAsia" w:ascii="宋体" w:hAnsi="宋体" w:eastAsia="宋体" w:cs="Times New Roman"/>
                <w:b w:val="0"/>
                <w:i w:val="0"/>
                <w:color w:val="auto"/>
                <w:kern w:val="2"/>
                <w:sz w:val="21"/>
                <w:szCs w:val="21"/>
                <w:highlight w:val="none"/>
                <w:u w:val="none"/>
                <w:lang w:val="en-US" w:eastAsia="zh-CN" w:bidi="ar"/>
              </w:rPr>
              <w:t>业绩</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ascii="宋体" w:hAnsi="宋体" w:eastAsia="宋体" w:cs="Times New Roman"/>
                <w:color w:val="auto"/>
                <w:szCs w:val="21"/>
                <w:highlight w:val="none"/>
              </w:rPr>
            </w:pPr>
            <w:r>
              <w:rPr>
                <w:rFonts w:hint="eastAsia" w:ascii="宋体" w:hAnsi="宋体" w:eastAsia="宋体" w:cs="Times New Roman"/>
                <w:b w:val="0"/>
                <w:i w:val="0"/>
                <w:color w:val="auto"/>
                <w:kern w:val="2"/>
                <w:sz w:val="21"/>
                <w:szCs w:val="21"/>
                <w:highlight w:val="none"/>
                <w:u w:val="none"/>
                <w:lang w:val="en-US" w:eastAsia="zh-CN" w:bidi="ar"/>
              </w:rPr>
              <w:t>（</w:t>
            </w:r>
            <w:r>
              <w:rPr>
                <w:rFonts w:hint="eastAsia" w:ascii="宋体" w:hAnsi="宋体" w:cs="宋体"/>
                <w:b w:val="0"/>
                <w:i w:val="0"/>
                <w:color w:val="auto"/>
                <w:kern w:val="0"/>
                <w:sz w:val="21"/>
                <w:szCs w:val="21"/>
                <w:highlight w:val="none"/>
                <w:u w:val="single"/>
                <w:lang w:val="en-US" w:eastAsia="zh-CN" w:bidi="ar"/>
              </w:rPr>
              <w:t>6</w:t>
            </w:r>
            <w:r>
              <w:rPr>
                <w:rFonts w:hint="eastAsia" w:ascii="宋体" w:hAnsi="宋体" w:eastAsia="宋体" w:cs="Times New Roman"/>
                <w:b w:val="0"/>
                <w:i w:val="0"/>
                <w:color w:val="auto"/>
                <w:kern w:val="2"/>
                <w:sz w:val="21"/>
                <w:szCs w:val="21"/>
                <w:highlight w:val="none"/>
                <w:u w:val="none"/>
                <w:lang w:val="en-US" w:eastAsia="zh-CN" w:bidi="ar"/>
              </w:rPr>
              <w:t>分）</w:t>
            </w:r>
          </w:p>
        </w:tc>
        <w:tc>
          <w:tcPr>
            <w:tcW w:w="6163"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Times New Roman"/>
                <w:b w:val="0"/>
                <w:i w:val="0"/>
                <w:color w:val="000000"/>
                <w:kern w:val="2"/>
                <w:sz w:val="21"/>
                <w:szCs w:val="21"/>
                <w:highlight w:val="none"/>
                <w:u w:val="none"/>
                <w:lang w:val="zh-CN" w:eastAsia="zh-CN" w:bidi="ar"/>
              </w:rPr>
            </w:pPr>
            <w:r>
              <w:rPr>
                <w:rFonts w:hint="eastAsia" w:ascii="宋体" w:hAnsi="宋体" w:cs="宋体"/>
                <w:szCs w:val="21"/>
                <w:highlight w:val="none"/>
              </w:rPr>
              <w:t>提供201</w:t>
            </w:r>
            <w:r>
              <w:rPr>
                <w:rFonts w:hint="eastAsia" w:ascii="宋体" w:hAnsi="宋体" w:cs="宋体"/>
                <w:szCs w:val="21"/>
                <w:highlight w:val="none"/>
                <w:lang w:val="en-US" w:eastAsia="zh-CN"/>
              </w:rPr>
              <w:t>7</w:t>
            </w:r>
            <w:r>
              <w:rPr>
                <w:rFonts w:hint="eastAsia" w:ascii="宋体" w:hAnsi="宋体" w:cs="宋体"/>
                <w:szCs w:val="21"/>
                <w:highlight w:val="none"/>
              </w:rPr>
              <w:t>年以来</w:t>
            </w:r>
            <w:r>
              <w:rPr>
                <w:rFonts w:hint="eastAsia" w:ascii="宋体" w:hAnsi="宋体" w:cs="宋体"/>
                <w:szCs w:val="21"/>
                <w:highlight w:val="none"/>
                <w:lang w:eastAsia="zh-CN"/>
              </w:rPr>
              <w:t>类似产品业绩</w:t>
            </w:r>
            <w:r>
              <w:rPr>
                <w:rFonts w:hint="eastAsia" w:ascii="宋体" w:hAnsi="宋体" w:cs="宋体"/>
                <w:szCs w:val="21"/>
                <w:highlight w:val="none"/>
                <w:lang w:val="en-US" w:eastAsia="zh-CN"/>
              </w:rPr>
              <w:t>的</w:t>
            </w:r>
            <w:r>
              <w:rPr>
                <w:rFonts w:hint="default" w:ascii="宋体" w:hAnsi="宋体" w:cs="宋体"/>
                <w:szCs w:val="21"/>
                <w:highlight w:val="none"/>
                <w:lang w:val="en-US"/>
              </w:rPr>
              <w:t>得</w:t>
            </w:r>
            <w:r>
              <w:rPr>
                <w:rFonts w:hint="eastAsia" w:ascii="宋体" w:hAnsi="宋体" w:cs="宋体"/>
                <w:szCs w:val="21"/>
                <w:highlight w:val="none"/>
                <w:lang w:val="en-US" w:eastAsia="zh-CN"/>
              </w:rPr>
              <w:t>2</w:t>
            </w:r>
            <w:r>
              <w:rPr>
                <w:rFonts w:hint="default" w:ascii="宋体" w:hAnsi="宋体" w:cs="宋体"/>
                <w:szCs w:val="21"/>
                <w:highlight w:val="none"/>
                <w:lang w:val="en-US"/>
              </w:rPr>
              <w:t>分；</w:t>
            </w:r>
            <w:r>
              <w:rPr>
                <w:rFonts w:hint="eastAsia" w:ascii="宋体" w:hAnsi="宋体" w:cs="宋体"/>
                <w:szCs w:val="21"/>
                <w:highlight w:val="none"/>
                <w:lang w:val="en-US" w:eastAsia="zh-CN"/>
              </w:rPr>
              <w:t>最高</w:t>
            </w:r>
            <w:r>
              <w:rPr>
                <w:rFonts w:hint="default" w:ascii="宋体" w:hAnsi="宋体" w:cs="宋体"/>
                <w:szCs w:val="21"/>
                <w:highlight w:val="none"/>
                <w:lang w:val="en-US"/>
              </w:rPr>
              <w:t>得</w:t>
            </w:r>
            <w:r>
              <w:rPr>
                <w:rFonts w:hint="eastAsia" w:ascii="宋体" w:hAnsi="宋体" w:cs="宋体"/>
                <w:szCs w:val="21"/>
                <w:highlight w:val="none"/>
                <w:lang w:val="en-US" w:eastAsia="zh-CN"/>
              </w:rPr>
              <w:t>6</w:t>
            </w:r>
            <w:r>
              <w:rPr>
                <w:rFonts w:hint="default" w:ascii="宋体" w:hAnsi="宋体" w:cs="宋体"/>
                <w:szCs w:val="21"/>
                <w:highlight w:val="none"/>
                <w:lang w:val="en-US"/>
              </w:rPr>
              <w:t>分</w:t>
            </w:r>
            <w:r>
              <w:rPr>
                <w:rFonts w:hint="eastAsia" w:ascii="宋体" w:hAnsi="宋体" w:cs="宋体"/>
                <w:szCs w:val="21"/>
                <w:highlight w:val="none"/>
              </w:rPr>
              <w:t>（以合同签订时间为准）</w:t>
            </w:r>
            <w:r>
              <w:rPr>
                <w:rFonts w:hint="eastAsia" w:ascii="宋体" w:hAnsi="宋体" w:eastAsia="宋体" w:cs="宋体"/>
                <w:kern w:val="0"/>
                <w:sz w:val="21"/>
                <w:szCs w:val="21"/>
                <w:highlight w:val="none"/>
              </w:rPr>
              <w:t>（开标时提供法定媒介中标(成交)公示网页截图、合同、中标通知书</w:t>
            </w:r>
            <w:r>
              <w:rPr>
                <w:rFonts w:hint="eastAsia" w:ascii="Times New Roman" w:hAnsi="Times New Roman"/>
                <w:highlight w:val="none"/>
              </w:rPr>
              <w:t>电子扫描件</w:t>
            </w:r>
            <w:r>
              <w:rPr>
                <w:rFonts w:hint="eastAsia" w:ascii="宋体" w:hAnsi="宋体" w:cs="宋体"/>
                <w:highlight w:val="none"/>
              </w:rPr>
              <w:t>，三者缺一不计分</w:t>
            </w:r>
            <w:r>
              <w:rPr>
                <w:rFonts w:hint="eastAsia" w:ascii="宋体" w:hAnsi="宋体" w:eastAsia="宋体" w:cs="宋体"/>
                <w:kern w:val="0"/>
                <w:sz w:val="21"/>
                <w:szCs w:val="21"/>
                <w:highlight w:val="none"/>
                <w:lang w:eastAsia="zh-CN"/>
              </w:rPr>
              <w:t>）</w:t>
            </w:r>
            <w:r>
              <w:rPr>
                <w:rFonts w:hint="eastAsia" w:ascii="宋体" w:hAnsi="宋体" w:cs="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pPr>
              <w:rPr>
                <w:rFonts w:ascii="宋体" w:hAnsi="宋体" w:eastAsia="宋体" w:cs="宋体"/>
                <w:color w:val="auto"/>
                <w:szCs w:val="21"/>
                <w:highlight w:val="none"/>
              </w:rPr>
            </w:pPr>
          </w:p>
        </w:tc>
        <w:tc>
          <w:tcPr>
            <w:tcW w:w="157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hint="eastAsia" w:ascii="宋体" w:hAnsi="宋体" w:eastAsia="宋体" w:cs="Times New Roman"/>
                <w:b w:val="0"/>
                <w:i w:val="0"/>
                <w:color w:val="auto"/>
                <w:kern w:val="2"/>
                <w:sz w:val="21"/>
                <w:szCs w:val="21"/>
                <w:highlight w:val="none"/>
                <w:u w:val="none"/>
                <w:lang w:val="en-US" w:eastAsia="zh-CN" w:bidi="ar"/>
              </w:rPr>
            </w:pPr>
            <w:r>
              <w:rPr>
                <w:rFonts w:hint="eastAsia" w:ascii="宋体" w:hAnsi="宋体" w:eastAsia="宋体" w:cs="Times New Roman"/>
                <w:b w:val="0"/>
                <w:i w:val="0"/>
                <w:color w:val="auto"/>
                <w:kern w:val="2"/>
                <w:sz w:val="21"/>
                <w:szCs w:val="21"/>
                <w:highlight w:val="none"/>
                <w:u w:val="none"/>
                <w:lang w:val="en-US" w:eastAsia="zh-CN" w:bidi="ar"/>
              </w:rPr>
              <w:t>企业荣誉</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ascii="宋体" w:hAnsi="宋体" w:eastAsia="宋体" w:cs="Times New Roman"/>
                <w:color w:val="auto"/>
                <w:szCs w:val="21"/>
                <w:highlight w:val="none"/>
              </w:rPr>
            </w:pPr>
            <w:r>
              <w:rPr>
                <w:rFonts w:hint="eastAsia" w:ascii="宋体" w:hAnsi="宋体" w:eastAsia="宋体" w:cs="Times New Roman"/>
                <w:b w:val="0"/>
                <w:i w:val="0"/>
                <w:color w:val="auto"/>
                <w:kern w:val="2"/>
                <w:sz w:val="21"/>
                <w:szCs w:val="21"/>
                <w:highlight w:val="none"/>
                <w:u w:val="none"/>
                <w:lang w:val="en-US" w:eastAsia="zh-CN" w:bidi="ar"/>
              </w:rPr>
              <w:t>（</w:t>
            </w:r>
            <w:r>
              <w:rPr>
                <w:rFonts w:hint="eastAsia" w:ascii="宋体" w:hAnsi="宋体" w:eastAsia="宋体" w:cs="宋体"/>
                <w:b w:val="0"/>
                <w:i w:val="0"/>
                <w:color w:val="auto"/>
                <w:kern w:val="0"/>
                <w:sz w:val="21"/>
                <w:szCs w:val="21"/>
                <w:highlight w:val="none"/>
                <w:u w:val="single"/>
                <w:lang w:val="en-US" w:eastAsia="zh-CN" w:bidi="ar"/>
              </w:rPr>
              <w:t>11</w:t>
            </w:r>
            <w:r>
              <w:rPr>
                <w:rFonts w:hint="eastAsia" w:ascii="宋体" w:hAnsi="宋体" w:eastAsia="宋体" w:cs="Times New Roman"/>
                <w:b w:val="0"/>
                <w:i w:val="0"/>
                <w:color w:val="auto"/>
                <w:kern w:val="2"/>
                <w:sz w:val="21"/>
                <w:szCs w:val="21"/>
                <w:highlight w:val="none"/>
                <w:u w:val="none"/>
                <w:lang w:val="en-US" w:eastAsia="zh-CN" w:bidi="ar"/>
              </w:rPr>
              <w:t>分）</w:t>
            </w:r>
          </w:p>
        </w:tc>
        <w:tc>
          <w:tcPr>
            <w:tcW w:w="6163" w:type="dxa"/>
            <w:vAlign w:val="center"/>
          </w:tcPr>
          <w:p>
            <w:pPr>
              <w:pStyle w:val="10"/>
              <w:keepNext w:val="0"/>
              <w:keepLines w:val="0"/>
              <w:pageBreakBefore w:val="0"/>
              <w:widowControl w:val="0"/>
              <w:kinsoku/>
              <w:wordWrap/>
              <w:overflowPunct/>
              <w:topLinePunct w:val="0"/>
              <w:autoSpaceDE/>
              <w:autoSpaceDN/>
              <w:bidi w:val="0"/>
              <w:spacing w:line="360" w:lineRule="auto"/>
              <w:ind w:left="315" w:hanging="315" w:hangingChars="150"/>
              <w:textAlignment w:val="auto"/>
              <w:rPr>
                <w:rFonts w:hint="eastAsia" w:ascii="宋体" w:hAnsi="宋体" w:cs="宋体" w:eastAsiaTheme="minorEastAsia"/>
                <w:kern w:val="2"/>
                <w:sz w:val="21"/>
                <w:szCs w:val="21"/>
                <w:highlight w:val="none"/>
                <w:lang w:val="en-US" w:eastAsia="zh-CN" w:bidi="ar-SA"/>
              </w:rPr>
            </w:pPr>
            <w:r>
              <w:rPr>
                <w:rFonts w:hint="eastAsia" w:ascii="宋体" w:hAnsi="宋体" w:cs="宋体" w:eastAsiaTheme="minorEastAsia"/>
                <w:kern w:val="2"/>
                <w:sz w:val="21"/>
                <w:szCs w:val="21"/>
                <w:highlight w:val="none"/>
                <w:lang w:val="en-US" w:eastAsia="zh-CN" w:bidi="ar-SA"/>
              </w:rPr>
              <w:t>1、投标人提供省级及以上守合同重信用企业证书，得3分；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eastAsiaTheme="minorEastAsia"/>
                <w:kern w:val="2"/>
                <w:sz w:val="21"/>
                <w:szCs w:val="21"/>
                <w:highlight w:val="none"/>
                <w:lang w:val="en-US" w:eastAsia="zh-CN" w:bidi="ar-SA"/>
              </w:rPr>
            </w:pPr>
            <w:r>
              <w:rPr>
                <w:rFonts w:hint="eastAsia" w:ascii="宋体" w:hAnsi="宋体" w:cs="宋体" w:eastAsiaTheme="minorEastAsia"/>
                <w:kern w:val="2"/>
                <w:sz w:val="21"/>
                <w:szCs w:val="21"/>
                <w:highlight w:val="none"/>
                <w:lang w:val="en-US" w:eastAsia="zh-CN" w:bidi="ar-SA"/>
              </w:rPr>
              <w:t>2、投标人</w:t>
            </w:r>
            <w:r>
              <w:rPr>
                <w:rFonts w:hint="eastAsia" w:ascii="宋体" w:hAnsi="宋体" w:cs="宋体"/>
                <w:kern w:val="2"/>
                <w:sz w:val="21"/>
                <w:szCs w:val="21"/>
                <w:highlight w:val="none"/>
                <w:lang w:val="en-US" w:eastAsia="zh-CN" w:bidi="ar-SA"/>
              </w:rPr>
              <w:t>信用</w:t>
            </w:r>
            <w:r>
              <w:rPr>
                <w:rFonts w:hint="eastAsia" w:ascii="宋体" w:hAnsi="宋体" w:cs="宋体" w:eastAsiaTheme="minorEastAsia"/>
                <w:kern w:val="2"/>
                <w:sz w:val="21"/>
                <w:szCs w:val="21"/>
                <w:highlight w:val="none"/>
                <w:lang w:val="en-US" w:eastAsia="zh-CN" w:bidi="ar-SA"/>
              </w:rPr>
              <w:t>等级评为AAA级</w:t>
            </w:r>
            <w:r>
              <w:rPr>
                <w:rFonts w:hint="eastAsia" w:ascii="宋体" w:hAnsi="宋体" w:cs="宋体"/>
                <w:kern w:val="2"/>
                <w:sz w:val="21"/>
                <w:szCs w:val="21"/>
                <w:highlight w:val="none"/>
                <w:lang w:val="en-US" w:eastAsia="zh-CN" w:bidi="ar-SA"/>
              </w:rPr>
              <w:t>的得3分，AA级的得1分；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eastAsiaTheme="minorEastAsia"/>
                <w:kern w:val="2"/>
                <w:sz w:val="21"/>
                <w:szCs w:val="21"/>
                <w:highlight w:val="none"/>
                <w:lang w:val="en-US" w:eastAsia="zh-CN" w:bidi="ar-SA"/>
              </w:rPr>
            </w:pPr>
            <w:r>
              <w:rPr>
                <w:rFonts w:hint="eastAsia" w:ascii="宋体" w:hAnsi="宋体" w:cs="宋体" w:eastAsiaTheme="minorEastAsia"/>
                <w:kern w:val="2"/>
                <w:sz w:val="21"/>
                <w:szCs w:val="21"/>
                <w:highlight w:val="none"/>
                <w:lang w:val="en-US" w:eastAsia="zh-CN" w:bidi="ar-SA"/>
              </w:rPr>
              <w:t>3、投标人通过质量管理体系认证证书（ISO9001），得</w:t>
            </w:r>
            <w:r>
              <w:rPr>
                <w:rFonts w:hint="eastAsia" w:ascii="宋体" w:hAnsi="宋体" w:cs="宋体"/>
                <w:kern w:val="2"/>
                <w:sz w:val="21"/>
                <w:szCs w:val="21"/>
                <w:highlight w:val="none"/>
                <w:lang w:val="en-US" w:eastAsia="zh-CN" w:bidi="ar-SA"/>
              </w:rPr>
              <w:t>1</w:t>
            </w:r>
            <w:r>
              <w:rPr>
                <w:rFonts w:hint="eastAsia" w:ascii="宋体" w:hAnsi="宋体" w:cs="宋体" w:eastAsiaTheme="minorEastAsia"/>
                <w:kern w:val="2"/>
                <w:sz w:val="21"/>
                <w:szCs w:val="21"/>
                <w:highlight w:val="none"/>
                <w:lang w:val="en-US" w:eastAsia="zh-CN" w:bidi="ar-SA"/>
              </w:rPr>
              <w:t>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eastAsiaTheme="minorEastAsia"/>
                <w:kern w:val="2"/>
                <w:sz w:val="21"/>
                <w:szCs w:val="21"/>
                <w:highlight w:val="none"/>
                <w:lang w:val="en-US" w:eastAsia="zh-CN" w:bidi="ar-SA"/>
              </w:rPr>
            </w:pPr>
            <w:r>
              <w:rPr>
                <w:rFonts w:hint="eastAsia" w:ascii="宋体" w:hAnsi="宋体" w:cs="宋体"/>
                <w:kern w:val="2"/>
                <w:sz w:val="21"/>
                <w:szCs w:val="21"/>
                <w:highlight w:val="none"/>
                <w:lang w:val="en-US" w:eastAsia="zh-CN" w:bidi="ar-SA"/>
              </w:rPr>
              <w:t>4</w:t>
            </w:r>
            <w:r>
              <w:rPr>
                <w:rFonts w:hint="eastAsia" w:ascii="宋体" w:hAnsi="宋体" w:cs="宋体" w:eastAsiaTheme="minorEastAsia"/>
                <w:kern w:val="2"/>
                <w:sz w:val="21"/>
                <w:szCs w:val="21"/>
                <w:highlight w:val="none"/>
                <w:lang w:val="en-US" w:eastAsia="zh-CN" w:bidi="ar-SA"/>
              </w:rPr>
              <w:t>、投标人通过环境管理体系认证证书（ISO14001），得</w:t>
            </w:r>
            <w:r>
              <w:rPr>
                <w:rFonts w:hint="eastAsia" w:ascii="宋体" w:hAnsi="宋体" w:cs="宋体"/>
                <w:kern w:val="2"/>
                <w:sz w:val="21"/>
                <w:szCs w:val="21"/>
                <w:highlight w:val="none"/>
                <w:lang w:val="en-US" w:eastAsia="zh-CN" w:bidi="ar-SA"/>
              </w:rPr>
              <w:t>1</w:t>
            </w:r>
            <w:r>
              <w:rPr>
                <w:rFonts w:hint="eastAsia" w:ascii="宋体" w:hAnsi="宋体" w:cs="宋体" w:eastAsiaTheme="minorEastAsia"/>
                <w:kern w:val="2"/>
                <w:sz w:val="21"/>
                <w:szCs w:val="21"/>
                <w:highlight w:val="none"/>
                <w:lang w:val="en-US" w:eastAsia="zh-CN" w:bidi="ar-SA"/>
              </w:rPr>
              <w:t>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eastAsiaTheme="minorEastAsia"/>
                <w:kern w:val="2"/>
                <w:sz w:val="21"/>
                <w:szCs w:val="21"/>
                <w:highlight w:val="none"/>
                <w:lang w:val="en-US" w:eastAsia="zh-CN" w:bidi="ar-SA"/>
              </w:rPr>
            </w:pPr>
            <w:r>
              <w:rPr>
                <w:rFonts w:hint="eastAsia" w:ascii="宋体" w:hAnsi="宋体" w:cs="宋体"/>
                <w:kern w:val="2"/>
                <w:sz w:val="21"/>
                <w:szCs w:val="21"/>
                <w:highlight w:val="none"/>
                <w:lang w:val="en-US" w:eastAsia="zh-CN" w:bidi="ar-SA"/>
              </w:rPr>
              <w:t>5</w:t>
            </w:r>
            <w:r>
              <w:rPr>
                <w:rFonts w:hint="eastAsia" w:ascii="宋体" w:hAnsi="宋体" w:cs="宋体" w:eastAsiaTheme="minorEastAsia"/>
                <w:kern w:val="2"/>
                <w:sz w:val="21"/>
                <w:szCs w:val="21"/>
                <w:highlight w:val="none"/>
                <w:lang w:val="en-US" w:eastAsia="zh-CN" w:bidi="ar-SA"/>
              </w:rPr>
              <w:t>、投标人通过职业健康安全管理体系认证证书（OHSAS18001），得</w:t>
            </w:r>
            <w:r>
              <w:rPr>
                <w:rFonts w:hint="eastAsia" w:ascii="宋体" w:hAnsi="宋体" w:cs="宋体"/>
                <w:kern w:val="2"/>
                <w:sz w:val="21"/>
                <w:szCs w:val="21"/>
                <w:highlight w:val="none"/>
                <w:lang w:val="en-US" w:eastAsia="zh-CN" w:bidi="ar-SA"/>
              </w:rPr>
              <w:t>1</w:t>
            </w:r>
            <w:r>
              <w:rPr>
                <w:rFonts w:hint="eastAsia" w:ascii="宋体" w:hAnsi="宋体" w:cs="宋体" w:eastAsiaTheme="minorEastAsia"/>
                <w:kern w:val="2"/>
                <w:sz w:val="21"/>
                <w:szCs w:val="21"/>
                <w:highlight w:val="none"/>
                <w:lang w:val="en-US" w:eastAsia="zh-CN" w:bidi="ar-SA"/>
              </w:rPr>
              <w:t>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highlight w:val="none"/>
                <w:lang w:val="zh-CN" w:eastAsia="zh-CN"/>
              </w:rPr>
            </w:pPr>
            <w:r>
              <w:rPr>
                <w:rFonts w:hint="eastAsia" w:ascii="宋体" w:hAnsi="宋体" w:cs="宋体"/>
                <w:kern w:val="2"/>
                <w:sz w:val="21"/>
                <w:szCs w:val="21"/>
                <w:highlight w:val="none"/>
                <w:lang w:val="en-US" w:eastAsia="zh-CN" w:bidi="ar-SA"/>
              </w:rPr>
              <w:t>6</w:t>
            </w:r>
            <w:r>
              <w:rPr>
                <w:rFonts w:hint="eastAsia" w:ascii="宋体" w:hAnsi="宋体" w:cs="宋体" w:eastAsiaTheme="minorEastAsia"/>
                <w:kern w:val="2"/>
                <w:sz w:val="21"/>
                <w:szCs w:val="21"/>
                <w:highlight w:val="none"/>
                <w:lang w:val="en-US" w:eastAsia="zh-CN" w:bidi="ar-SA"/>
              </w:rPr>
              <w:t>、</w:t>
            </w:r>
            <w:r>
              <w:rPr>
                <w:rFonts w:hint="default" w:ascii="宋体" w:hAnsi="宋体" w:cs="宋体" w:eastAsiaTheme="minorEastAsia"/>
                <w:kern w:val="2"/>
                <w:sz w:val="21"/>
                <w:szCs w:val="21"/>
                <w:highlight w:val="none"/>
                <w:lang w:val="en-US" w:eastAsia="zh-CN" w:bidi="ar-SA"/>
              </w:rPr>
              <w:t>投标人</w:t>
            </w:r>
            <w:r>
              <w:rPr>
                <w:rFonts w:hint="eastAsia" w:ascii="宋体" w:hAnsi="宋体" w:cs="宋体"/>
                <w:kern w:val="2"/>
                <w:sz w:val="21"/>
                <w:szCs w:val="21"/>
                <w:highlight w:val="none"/>
                <w:lang w:val="en-US" w:eastAsia="zh-CN" w:bidi="ar-SA"/>
              </w:rPr>
              <w:t>提供有</w:t>
            </w:r>
            <w:r>
              <w:rPr>
                <w:rFonts w:hint="default" w:ascii="宋体" w:hAnsi="宋体" w:cs="宋体" w:eastAsiaTheme="minorEastAsia"/>
                <w:kern w:val="2"/>
                <w:sz w:val="21"/>
                <w:szCs w:val="21"/>
                <w:highlight w:val="none"/>
                <w:lang w:val="en-US" w:eastAsia="zh-CN" w:bidi="ar-SA"/>
              </w:rPr>
              <w:t>2019年度中国教育装备行业协会会员证书</w:t>
            </w:r>
            <w:r>
              <w:rPr>
                <w:rFonts w:hint="eastAsia" w:ascii="宋体" w:hAnsi="宋体" w:cs="宋体"/>
                <w:kern w:val="2"/>
                <w:sz w:val="21"/>
                <w:szCs w:val="21"/>
                <w:highlight w:val="none"/>
                <w:lang w:val="en-US" w:eastAsia="zh-CN" w:bidi="ar-SA"/>
              </w:rPr>
              <w:t>的得2分。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99" w:type="dxa"/>
            <w:vMerge w:val="continue"/>
            <w:vAlign w:val="center"/>
          </w:tcPr>
          <w:p>
            <w:pPr>
              <w:rPr>
                <w:rFonts w:ascii="宋体" w:hAnsi="宋体" w:eastAsia="宋体" w:cs="宋体"/>
                <w:color w:val="auto"/>
                <w:szCs w:val="21"/>
                <w:highlight w:val="none"/>
              </w:rPr>
            </w:pPr>
          </w:p>
        </w:tc>
        <w:tc>
          <w:tcPr>
            <w:tcW w:w="1578" w:type="dxa"/>
            <w:vAlign w:val="center"/>
          </w:tcPr>
          <w:p>
            <w:pPr>
              <w:pStyle w:val="12"/>
              <w:ind w:left="420" w:leftChars="100" w:hanging="210" w:hangingChars="100"/>
              <w:rPr>
                <w:rFonts w:hint="eastAsia"/>
                <w:highlight w:val="none"/>
                <w:lang w:val="en-US" w:eastAsia="zh-CN"/>
              </w:rPr>
            </w:pPr>
            <w:r>
              <w:rPr>
                <w:rFonts w:hint="eastAsia" w:ascii="宋体" w:hAnsi="宋体" w:eastAsia="宋体" w:cs="Times New Roman"/>
                <w:b w:val="0"/>
                <w:i w:val="0"/>
                <w:color w:val="auto"/>
                <w:kern w:val="2"/>
                <w:sz w:val="21"/>
                <w:szCs w:val="21"/>
                <w:highlight w:val="none"/>
                <w:u w:val="none"/>
                <w:lang w:val="en-US" w:eastAsia="zh-CN" w:bidi="ar"/>
              </w:rPr>
              <w:t>产品证书（</w:t>
            </w:r>
            <w:r>
              <w:rPr>
                <w:rFonts w:hint="eastAsia" w:ascii="宋体" w:hAnsi="宋体" w:eastAsia="宋体" w:cs="Times New Roman"/>
                <w:b w:val="0"/>
                <w:i w:val="0"/>
                <w:color w:val="auto"/>
                <w:kern w:val="2"/>
                <w:sz w:val="21"/>
                <w:szCs w:val="21"/>
                <w:highlight w:val="none"/>
                <w:u w:val="single"/>
                <w:lang w:val="en-US" w:eastAsia="zh-CN" w:bidi="ar"/>
              </w:rPr>
              <w:t>16分</w:t>
            </w:r>
            <w:r>
              <w:rPr>
                <w:rFonts w:hint="eastAsia" w:ascii="宋体" w:hAnsi="宋体" w:eastAsia="宋体" w:cs="Times New Roman"/>
                <w:b w:val="0"/>
                <w:i w:val="0"/>
                <w:color w:val="auto"/>
                <w:kern w:val="2"/>
                <w:sz w:val="21"/>
                <w:szCs w:val="21"/>
                <w:highlight w:val="none"/>
                <w:u w:val="none"/>
                <w:lang w:val="en-US" w:eastAsia="zh-CN" w:bidi="ar"/>
              </w:rPr>
              <w:t>）</w:t>
            </w:r>
          </w:p>
        </w:tc>
        <w:tc>
          <w:tcPr>
            <w:tcW w:w="6163" w:type="dxa"/>
            <w:vAlign w:val="center"/>
          </w:tcPr>
          <w:p>
            <w:pPr>
              <w:keepNext w:val="0"/>
              <w:keepLines w:val="0"/>
              <w:pageBreakBefore w:val="0"/>
              <w:widowControl w:val="0"/>
              <w:numPr>
                <w:ilvl w:val="0"/>
                <w:numId w:val="36"/>
              </w:numPr>
              <w:kinsoku/>
              <w:wordWrap/>
              <w:overflowPunct/>
              <w:topLinePunct w:val="0"/>
              <w:autoSpaceDE/>
              <w:autoSpaceDN/>
              <w:bidi w:val="0"/>
              <w:adjustRightInd w:val="0"/>
              <w:snapToGrid w:val="0"/>
              <w:spacing w:line="360" w:lineRule="auto"/>
              <w:textAlignment w:val="auto"/>
              <w:rPr>
                <w:rFonts w:hint="eastAsia"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投标人所投产品具有国家版权局出具的视频作品登记证书的每提供一份得1分，最高得4分。</w:t>
            </w:r>
          </w:p>
          <w:p>
            <w:pPr>
              <w:keepNext w:val="0"/>
              <w:keepLines w:val="0"/>
              <w:pageBreakBefore w:val="0"/>
              <w:widowControl w:val="0"/>
              <w:numPr>
                <w:ilvl w:val="0"/>
                <w:numId w:val="36"/>
              </w:numPr>
              <w:kinsoku/>
              <w:wordWrap/>
              <w:overflowPunct/>
              <w:topLinePunct w:val="0"/>
              <w:autoSpaceDE/>
              <w:autoSpaceDN/>
              <w:bidi w:val="0"/>
              <w:adjustRightInd w:val="0"/>
              <w:snapToGrid w:val="0"/>
              <w:spacing w:line="360" w:lineRule="auto"/>
              <w:textAlignment w:val="auto"/>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投标人所投产品具有</w:t>
            </w:r>
            <w:r>
              <w:rPr>
                <w:rFonts w:hint="eastAsia"/>
                <w:lang w:val="en-US" w:eastAsia="zh-CN"/>
              </w:rPr>
              <w:t>软件著作权登记证书</w:t>
            </w:r>
            <w:r>
              <w:rPr>
                <w:rFonts w:hint="eastAsia" w:ascii="宋体" w:hAnsi="宋体" w:cs="宋体"/>
                <w:kern w:val="2"/>
                <w:sz w:val="21"/>
                <w:szCs w:val="21"/>
                <w:highlight w:val="none"/>
                <w:lang w:val="en-US" w:eastAsia="zh-CN" w:bidi="ar-SA"/>
              </w:rPr>
              <w:t>的，每有一个的得2分，最高得6分。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s="宋体"/>
                <w:szCs w:val="21"/>
                <w:highlight w:val="none"/>
              </w:rPr>
            </w:pPr>
            <w:r>
              <w:rPr>
                <w:rFonts w:hint="eastAsia" w:ascii="宋体" w:hAnsi="宋体" w:cs="宋体"/>
                <w:kern w:val="2"/>
                <w:sz w:val="21"/>
                <w:szCs w:val="21"/>
                <w:highlight w:val="none"/>
                <w:lang w:val="en-US" w:eastAsia="zh-CN" w:bidi="ar-SA"/>
              </w:rPr>
              <w:t>3、提供所投产品符合参数要求的检测报告每提供一份得得2分，最高得6分；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399" w:type="dxa"/>
            <w:vMerge w:val="continue"/>
            <w:vAlign w:val="center"/>
          </w:tcPr>
          <w:p>
            <w:pPr>
              <w:rPr>
                <w:rFonts w:ascii="宋体" w:hAnsi="宋体" w:eastAsia="宋体" w:cs="宋体"/>
                <w:color w:val="auto"/>
                <w:szCs w:val="21"/>
                <w:highlight w:val="none"/>
              </w:rPr>
            </w:pPr>
          </w:p>
        </w:tc>
        <w:tc>
          <w:tcPr>
            <w:tcW w:w="1578" w:type="dxa"/>
            <w:vAlign w:val="center"/>
          </w:tcPr>
          <w:p>
            <w:pPr>
              <w:pStyle w:val="12"/>
              <w:ind w:left="420" w:leftChars="100" w:hanging="210" w:hangingChars="100"/>
              <w:rPr>
                <w:rFonts w:hint="eastAsia" w:ascii="宋体" w:hAnsi="宋体" w:eastAsia="宋体" w:cs="Times New Roman"/>
                <w:b w:val="0"/>
                <w:i w:val="0"/>
                <w:color w:val="auto"/>
                <w:kern w:val="2"/>
                <w:sz w:val="21"/>
                <w:szCs w:val="21"/>
                <w:highlight w:val="none"/>
                <w:u w:val="none"/>
                <w:lang w:val="en-US" w:eastAsia="zh-CN" w:bidi="ar"/>
              </w:rPr>
            </w:pPr>
            <w:r>
              <w:rPr>
                <w:rFonts w:hint="eastAsia" w:ascii="宋体" w:hAnsi="宋体"/>
                <w:kern w:val="0"/>
                <w:szCs w:val="21"/>
                <w:highlight w:val="none"/>
                <w:lang w:eastAsia="zh-CN"/>
              </w:rPr>
              <w:t>施工及售后（</w:t>
            </w:r>
            <w:r>
              <w:rPr>
                <w:rFonts w:hint="eastAsia" w:ascii="宋体" w:hAnsi="宋体"/>
                <w:kern w:val="0"/>
                <w:szCs w:val="21"/>
                <w:highlight w:val="none"/>
                <w:lang w:val="en-US" w:eastAsia="zh-CN"/>
              </w:rPr>
              <w:t>7分</w:t>
            </w:r>
            <w:r>
              <w:rPr>
                <w:rFonts w:hint="eastAsia" w:ascii="宋体" w:hAnsi="宋体"/>
                <w:kern w:val="0"/>
                <w:szCs w:val="21"/>
                <w:highlight w:val="none"/>
                <w:lang w:eastAsia="zh-CN"/>
              </w:rPr>
              <w:t>）</w:t>
            </w:r>
          </w:p>
        </w:tc>
        <w:tc>
          <w:tcPr>
            <w:tcW w:w="6163" w:type="dxa"/>
            <w:vAlign w:val="center"/>
          </w:tcPr>
          <w:p>
            <w:pPr>
              <w:pStyle w:val="43"/>
              <w:numPr>
                <w:ilvl w:val="0"/>
                <w:numId w:val="0"/>
              </w:numPr>
              <w:rPr>
                <w:rFonts w:hint="eastAsia" w:ascii="宋体" w:hAnsi="宋体" w:cs="宋体" w:eastAsiaTheme="minorEastAsia"/>
                <w:kern w:val="2"/>
                <w:sz w:val="21"/>
                <w:szCs w:val="21"/>
                <w:highlight w:val="none"/>
                <w:lang w:val="en-US" w:eastAsia="zh-CN" w:bidi="ar-SA"/>
              </w:rPr>
            </w:pPr>
            <w:r>
              <w:rPr>
                <w:rFonts w:hint="eastAsia" w:ascii="宋体" w:hAnsi="宋体" w:cs="宋体" w:eastAsiaTheme="minorEastAsia"/>
                <w:kern w:val="2"/>
                <w:sz w:val="21"/>
                <w:szCs w:val="21"/>
                <w:highlight w:val="none"/>
                <w:lang w:val="en-US" w:eastAsia="zh-CN" w:bidi="ar-SA"/>
              </w:rPr>
              <w:t>1、根据投标人售后服务方案承诺完善、详细、与本项目的实际切合度高，可行性强，实质性优于招标文件要求的得5 分;售后服务方案承诺完善、满足招标文件要求的得3 分;售后服务方案承诺完善、基本满足招标文件要求的得2分，未提供的或不能满足招标文件要求的本项不得分。</w:t>
            </w:r>
          </w:p>
          <w:p>
            <w:pPr>
              <w:pStyle w:val="43"/>
              <w:numPr>
                <w:ilvl w:val="0"/>
                <w:numId w:val="0"/>
              </w:numPr>
              <w:rPr>
                <w:rFonts w:hint="default" w:eastAsiaTheme="minorEastAsia"/>
                <w:highlight w:val="none"/>
                <w:lang w:val="en-US" w:eastAsia="zh-CN"/>
              </w:rPr>
            </w:pPr>
            <w:r>
              <w:rPr>
                <w:rFonts w:hint="eastAsia" w:ascii="宋体" w:hAnsi="宋体" w:cs="宋体" w:eastAsiaTheme="minorEastAsia"/>
                <w:kern w:val="2"/>
                <w:sz w:val="21"/>
                <w:szCs w:val="21"/>
                <w:highlight w:val="none"/>
                <w:lang w:val="en-US" w:eastAsia="zh-CN" w:bidi="ar-SA"/>
              </w:rPr>
              <w:t>2、供应商须提供至少满足所投项目的质保承诺书，高于所投标</w:t>
            </w:r>
            <w:r>
              <w:rPr>
                <w:rFonts w:hint="eastAsia" w:ascii="宋体" w:hAnsi="宋体" w:cs="宋体"/>
                <w:kern w:val="2"/>
                <w:sz w:val="21"/>
                <w:szCs w:val="21"/>
                <w:highlight w:val="none"/>
                <w:lang w:val="en-US" w:eastAsia="zh-CN" w:bidi="ar-SA"/>
              </w:rPr>
              <w:t>包</w:t>
            </w:r>
            <w:r>
              <w:rPr>
                <w:rFonts w:hint="eastAsia" w:ascii="宋体" w:hAnsi="宋体" w:cs="宋体" w:eastAsiaTheme="minorEastAsia"/>
                <w:kern w:val="2"/>
                <w:sz w:val="21"/>
                <w:szCs w:val="21"/>
                <w:highlight w:val="none"/>
                <w:lang w:val="en-US" w:eastAsia="zh-CN" w:bidi="ar-SA"/>
              </w:rPr>
              <w:t>中要求保期的，每高一年得1分，最多得2分。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1399" w:type="dxa"/>
            <w:tcBorders>
              <w:right w:val="single" w:color="auto" w:sz="4" w:space="0"/>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right="0"/>
              <w:jc w:val="center"/>
              <w:rPr>
                <w:b w:val="0"/>
                <w:i w:val="0"/>
                <w:highlight w:val="none"/>
              </w:rPr>
            </w:pPr>
            <w:r>
              <w:rPr>
                <w:rFonts w:hint="eastAsia" w:ascii="宋体" w:hAnsi="宋体" w:eastAsia="宋体" w:cs="宋体"/>
                <w:b w:val="0"/>
                <w:i w:val="0"/>
                <w:color w:val="000000"/>
                <w:kern w:val="2"/>
                <w:sz w:val="21"/>
                <w:szCs w:val="21"/>
                <w:highlight w:val="none"/>
                <w:u w:val="none"/>
                <w:lang w:val="en-US" w:eastAsia="zh-CN" w:bidi="ar"/>
              </w:rPr>
              <w:t>技术部分</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ascii="宋体" w:hAnsi="宋体" w:eastAsia="宋体" w:cs="宋体"/>
                <w:szCs w:val="21"/>
                <w:highlight w:val="none"/>
              </w:rPr>
            </w:pPr>
            <w:r>
              <w:rPr>
                <w:rFonts w:hint="eastAsia"/>
                <w:highlight w:val="none"/>
                <w:lang w:val="en-US" w:eastAsia="zh-CN"/>
              </w:rPr>
              <w:t>（20分）</w:t>
            </w:r>
          </w:p>
        </w:tc>
        <w:tc>
          <w:tcPr>
            <w:tcW w:w="7741" w:type="dxa"/>
            <w:gridSpan w:val="2"/>
            <w:tcBorders>
              <w:right w:val="single" w:color="auto" w:sz="4" w:space="0"/>
            </w:tcBorders>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rPr>
                <w:rFonts w:hint="eastAsia"/>
                <w:lang w:val="zh-CN" w:eastAsia="zh-CN"/>
              </w:rPr>
            </w:pPr>
            <w:r>
              <w:rPr>
                <w:rFonts w:hint="eastAsia"/>
                <w:lang w:val="zh-CN" w:eastAsia="zh-CN"/>
              </w:rPr>
              <w:t>评标委员会将根据招标文件要求供应商提供的主要设备技术证明等文件，判断所投设备是否满足招标文件要求，若提供的货物技术证明文件与招标文件的技术要求有负偏差，则该条技术指标不满足。凡对技术资料采用弄虚作假的，即废除该供应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rPr>
                <w:rFonts w:hint="eastAsia"/>
                <w:lang w:val="zh-CN" w:eastAsia="zh-CN"/>
              </w:rPr>
            </w:pPr>
            <w:r>
              <w:rPr>
                <w:rFonts w:hint="eastAsia"/>
                <w:lang w:val="en-US" w:eastAsia="zh-CN"/>
              </w:rPr>
              <w:t>(1)</w:t>
            </w:r>
            <w:r>
              <w:rPr>
                <w:rFonts w:hint="eastAsia"/>
                <w:lang w:val="zh-CN" w:eastAsia="zh-CN"/>
              </w:rPr>
              <w:t>完全满足招标文件要求的得基本分</w:t>
            </w:r>
            <w:r>
              <w:rPr>
                <w:rFonts w:hint="eastAsia"/>
                <w:lang w:val="en-US" w:eastAsia="zh-CN"/>
              </w:rPr>
              <w:t>15分；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rPr>
                <w:rFonts w:hint="eastAsia"/>
                <w:lang w:val="zh-CN" w:eastAsia="zh-CN"/>
              </w:rPr>
            </w:pPr>
            <w:r>
              <w:rPr>
                <w:rFonts w:hint="eastAsia"/>
                <w:lang w:val="en-US" w:eastAsia="zh-CN"/>
              </w:rPr>
              <w:t>(2)</w:t>
            </w:r>
            <w:r>
              <w:rPr>
                <w:rFonts w:hint="eastAsia"/>
                <w:lang w:val="zh-CN" w:eastAsia="zh-CN"/>
              </w:rPr>
              <w:t>投标货物的技术指标或功能每有一条（标注</w:t>
            </w:r>
            <w:r>
              <w:rPr>
                <w:rFonts w:hint="eastAsia"/>
                <w:lang w:val="en-US" w:eastAsia="zh-CN"/>
              </w:rPr>
              <w:t>★</w:t>
            </w:r>
            <w:r>
              <w:rPr>
                <w:rFonts w:hint="eastAsia"/>
                <w:lang w:val="zh-CN" w:eastAsia="zh-CN"/>
              </w:rPr>
              <w:t>星号产品）技术指标或功能优于招标文件要求的加</w:t>
            </w:r>
            <w:r>
              <w:rPr>
                <w:rFonts w:hint="eastAsia"/>
                <w:lang w:val="en-US" w:eastAsia="zh-CN"/>
              </w:rPr>
              <w:t>1分，最高加5分</w:t>
            </w:r>
            <w:r>
              <w:rPr>
                <w:rFonts w:hint="eastAsia"/>
                <w:lang w:val="zh-CN" w:eastAsia="zh-CN"/>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rPr>
                <w:rFonts w:hint="eastAsia"/>
                <w:lang w:val="zh-CN" w:eastAsia="zh-CN"/>
              </w:rPr>
            </w:pPr>
            <w:r>
              <w:rPr>
                <w:rFonts w:hint="eastAsia"/>
                <w:lang w:val="en-US" w:eastAsia="zh-CN"/>
              </w:rPr>
              <w:t>(3)</w:t>
            </w:r>
            <w:r>
              <w:rPr>
                <w:rFonts w:hint="eastAsia"/>
                <w:lang w:val="zh-CN" w:eastAsia="zh-CN"/>
              </w:rPr>
              <w:t>投标货物的技术指标或功能（标注</w:t>
            </w:r>
            <w:r>
              <w:rPr>
                <w:rFonts w:hint="eastAsia"/>
                <w:lang w:val="en-US" w:eastAsia="zh-CN"/>
              </w:rPr>
              <w:t>★</w:t>
            </w:r>
            <w:r>
              <w:rPr>
                <w:rFonts w:hint="eastAsia"/>
                <w:lang w:val="zh-CN" w:eastAsia="zh-CN"/>
              </w:rPr>
              <w:t>星号产品）有一条不能满足招标文件要求的，按照废标处理。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rPr>
                <w:rFonts w:hint="eastAsia"/>
                <w:lang w:val="zh-CN" w:eastAsia="zh-CN"/>
              </w:rPr>
            </w:pPr>
            <w:r>
              <w:rPr>
                <w:rFonts w:hint="eastAsia"/>
                <w:lang w:val="en-US" w:eastAsia="zh-CN"/>
              </w:rPr>
              <w:t>(4)</w:t>
            </w:r>
            <w:r>
              <w:rPr>
                <w:rFonts w:hint="eastAsia"/>
                <w:lang w:val="zh-CN" w:eastAsia="zh-CN"/>
              </w:rPr>
              <w:t>投标货物的技术指标或功能每有一条（非标注</w:t>
            </w:r>
            <w:r>
              <w:rPr>
                <w:rFonts w:hint="eastAsia"/>
                <w:lang w:val="en-US" w:eastAsia="zh-CN"/>
              </w:rPr>
              <w:t>★</w:t>
            </w:r>
            <w:r>
              <w:rPr>
                <w:rFonts w:hint="eastAsia"/>
                <w:lang w:val="zh-CN" w:eastAsia="zh-CN"/>
              </w:rPr>
              <w:t>星号产品）技术指标或功能不满足的在基本分的基础上扣</w:t>
            </w:r>
            <w:r>
              <w:rPr>
                <w:rFonts w:hint="eastAsia"/>
                <w:lang w:val="en-US" w:eastAsia="zh-CN"/>
              </w:rPr>
              <w:t>3</w:t>
            </w:r>
            <w:r>
              <w:rPr>
                <w:rFonts w:hint="eastAsia"/>
                <w:lang w:val="zh-CN" w:eastAsia="zh-CN"/>
              </w:rPr>
              <w:t>分，超过五项不能满足的按照废标处理。</w:t>
            </w:r>
          </w:p>
          <w:p>
            <w:pPr>
              <w:snapToGrid w:val="0"/>
              <w:spacing w:line="360" w:lineRule="auto"/>
              <w:textAlignment w:val="baseline"/>
              <w:rPr>
                <w:rFonts w:hint="eastAsia"/>
                <w:lang w:val="en-US" w:eastAsia="zh-CN"/>
              </w:rPr>
            </w:pPr>
            <w:r>
              <w:rPr>
                <w:rFonts w:hint="eastAsia"/>
                <w:lang w:val="zh-CN" w:eastAsia="zh-CN"/>
              </w:rPr>
              <w:t>(</w:t>
            </w:r>
            <w:r>
              <w:rPr>
                <w:rFonts w:hint="eastAsia"/>
                <w:lang w:val="en-US" w:eastAsia="zh-CN"/>
              </w:rPr>
              <w:t>5</w:t>
            </w:r>
            <w:r>
              <w:rPr>
                <w:rFonts w:hint="eastAsia"/>
                <w:lang w:val="zh-CN" w:eastAsia="zh-CN"/>
              </w:rPr>
              <w:t>)对于同一个扣分事项不重复扣分。</w:t>
            </w:r>
            <w:bookmarkStart w:id="33" w:name="_GoBack"/>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9140" w:type="dxa"/>
            <w:gridSpan w:val="3"/>
            <w:tcBorders>
              <w:right w:val="single" w:color="auto" w:sz="4" w:space="0"/>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rPr>
                <w:rFonts w:hint="eastAsia"/>
                <w:highlight w:val="none"/>
                <w:lang w:val="en-US" w:eastAsia="zh-CN"/>
              </w:rPr>
            </w:pPr>
            <w:r>
              <w:rPr>
                <w:rFonts w:hint="eastAsia" w:ascii="宋体" w:hAnsi="宋体" w:cs="仿宋_GB2312"/>
                <w:sz w:val="21"/>
                <w:szCs w:val="21"/>
                <w:highlight w:val="none"/>
                <w:lang w:val="zh-CN"/>
              </w:rPr>
              <w:t>注：评标标准中所涉及到的证书及材料不需提供原件，均应在电子投标文件中提供原件扫描件（或图片）。</w:t>
            </w:r>
          </w:p>
        </w:tc>
      </w:tr>
    </w:tbl>
    <w:p>
      <w:pPr>
        <w:spacing w:line="360" w:lineRule="auto"/>
        <w:rPr>
          <w:rFonts w:cs="仿宋_GB2312" w:asciiTheme="minorEastAsia" w:hAnsiTheme="minorEastAsia"/>
          <w:b/>
          <w:szCs w:val="21"/>
          <w:lang w:val="zh-CN"/>
        </w:rPr>
      </w:pPr>
    </w:p>
    <w:p>
      <w:pPr>
        <w:pStyle w:val="2"/>
        <w:rPr>
          <w:rFonts w:hint="eastAsia"/>
          <w:lang w:val="zh-CN"/>
        </w:rPr>
      </w:pPr>
    </w:p>
    <w:p>
      <w:pPr>
        <w:spacing w:line="360" w:lineRule="auto"/>
        <w:ind w:firstLine="422" w:firstLineChars="200"/>
        <w:rPr>
          <w:rFonts w:hint="eastAsia" w:cs="仿宋_GB2312" w:asciiTheme="minorEastAsia" w:hAnsiTheme="minorEastAsia"/>
          <w:b/>
          <w:szCs w:val="21"/>
          <w:lang w:val="zh-CN"/>
        </w:rPr>
      </w:pPr>
    </w:p>
    <w:p>
      <w:pPr>
        <w:spacing w:line="360" w:lineRule="auto"/>
        <w:ind w:firstLine="422" w:firstLineChars="200"/>
        <w:rPr>
          <w:rFonts w:cs="仿宋_GB2312" w:asciiTheme="minorEastAsia" w:hAnsiTheme="minorEastAsia"/>
          <w:b/>
          <w:szCs w:val="21"/>
          <w:lang w:val="zh-CN"/>
        </w:rPr>
      </w:pPr>
      <w:r>
        <w:rPr>
          <w:rFonts w:hint="eastAsia" w:cs="仿宋_GB2312" w:asciiTheme="minorEastAsia" w:hAnsiTheme="minorEastAsia"/>
          <w:b/>
          <w:szCs w:val="21"/>
          <w:lang w:val="zh-CN"/>
        </w:rPr>
        <w:t>其中：价格分计算（落实政府采购政策价格调整部分）</w:t>
      </w:r>
    </w:p>
    <w:tbl>
      <w:tblPr>
        <w:tblStyle w:val="25"/>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序号</w:t>
            </w:r>
          </w:p>
        </w:tc>
        <w:tc>
          <w:tcPr>
            <w:tcW w:w="2823" w:type="dxa"/>
            <w:vAlign w:val="center"/>
          </w:tcPr>
          <w:p>
            <w:pPr>
              <w:jc w:val="center"/>
              <w:rPr>
                <w:rFonts w:ascii="宋体" w:hAnsi="宋体"/>
                <w:b/>
                <w:color w:val="000000"/>
                <w:szCs w:val="21"/>
                <w:lang w:val="en-GB"/>
              </w:rPr>
            </w:pPr>
            <w:r>
              <w:rPr>
                <w:rFonts w:hint="eastAsia" w:ascii="宋体" w:hAnsi="宋体"/>
                <w:b/>
                <w:color w:val="000000"/>
                <w:szCs w:val="21"/>
                <w:lang w:val="en-GB"/>
              </w:rPr>
              <w:t>情形</w:t>
            </w:r>
          </w:p>
        </w:tc>
        <w:tc>
          <w:tcPr>
            <w:tcW w:w="2552" w:type="dxa"/>
            <w:vAlign w:val="center"/>
          </w:tcPr>
          <w:p>
            <w:pPr>
              <w:jc w:val="center"/>
              <w:rPr>
                <w:rFonts w:ascii="宋体" w:hAnsi="宋体"/>
                <w:b/>
                <w:color w:val="000000"/>
                <w:szCs w:val="21"/>
                <w:lang w:val="en-GB"/>
              </w:rPr>
            </w:pPr>
            <w:r>
              <w:rPr>
                <w:rFonts w:hint="eastAsia" w:ascii="宋体" w:hAnsi="宋体"/>
                <w:b/>
                <w:color w:val="000000"/>
                <w:szCs w:val="21"/>
              </w:rPr>
              <w:t>价格扣除</w:t>
            </w:r>
            <w:r>
              <w:rPr>
                <w:rFonts w:hint="eastAsia" w:ascii="宋体" w:hAnsi="宋体"/>
                <w:b/>
                <w:color w:val="000000"/>
                <w:szCs w:val="21"/>
                <w:lang w:val="en-GB"/>
              </w:rPr>
              <w:t>比例</w:t>
            </w:r>
          </w:p>
        </w:tc>
        <w:tc>
          <w:tcPr>
            <w:tcW w:w="2835" w:type="dxa"/>
            <w:vAlign w:val="center"/>
          </w:tcPr>
          <w:p>
            <w:pPr>
              <w:jc w:val="center"/>
              <w:rPr>
                <w:rFonts w:ascii="宋体" w:hAnsi="宋体"/>
                <w:b/>
                <w:color w:val="000000"/>
                <w:szCs w:val="21"/>
                <w:lang w:val="en-GB"/>
              </w:rPr>
            </w:pPr>
            <w:r>
              <w:rPr>
                <w:rFonts w:hint="eastAsia" w:ascii="宋体" w:hAnsi="宋体"/>
                <w:b/>
                <w:color w:val="000000"/>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1</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非联合体投标人</w:t>
            </w:r>
          </w:p>
        </w:tc>
        <w:tc>
          <w:tcPr>
            <w:tcW w:w="2552" w:type="dxa"/>
            <w:vAlign w:val="center"/>
          </w:tcPr>
          <w:p>
            <w:pPr>
              <w:jc w:val="center"/>
              <w:rPr>
                <w:rFonts w:ascii="宋体" w:hAnsi="宋体"/>
                <w:b/>
                <w:szCs w:val="21"/>
                <w:lang w:val="en-GB"/>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tc>
        <w:tc>
          <w:tcPr>
            <w:tcW w:w="2835" w:type="dxa"/>
            <w:vMerge w:val="restart"/>
            <w:shd w:val="clear" w:color="auto" w:fill="auto"/>
            <w:vAlign w:val="center"/>
          </w:tcPr>
          <w:p>
            <w:pPr>
              <w:jc w:val="center"/>
              <w:rPr>
                <w:color w:val="000000"/>
                <w:szCs w:val="21"/>
                <w:lang w:val="en-GB"/>
              </w:rPr>
            </w:pPr>
            <w:r>
              <w:rPr>
                <w:rFonts w:hint="eastAsia"/>
                <w:color w:val="000000"/>
                <w:szCs w:val="21"/>
                <w:lang w:val="en-GB"/>
              </w:rPr>
              <w:t>评标价格＝投标报价—</w:t>
            </w:r>
            <w:r>
              <w:rPr>
                <w:rFonts w:hint="eastAsia"/>
                <w:color w:val="000000"/>
                <w:szCs w:val="21"/>
              </w:rPr>
              <w:t>小型和微型企业产品的价格</w:t>
            </w:r>
            <w:r>
              <w:rPr>
                <w:rFonts w:hint="eastAsia" w:ascii="宋体" w:hAnsi="宋体"/>
                <w:color w:val="000000"/>
                <w:szCs w:val="21"/>
                <w:lang w:val="en-GB"/>
              </w:rPr>
              <w:t>×</w:t>
            </w:r>
            <w:r>
              <w:rPr>
                <w:rFonts w:hint="eastAsia"/>
                <w:color w:val="000000"/>
                <w:szCs w:val="21"/>
                <w:lang w:val="en-GB"/>
              </w:rPr>
              <w:t>6%</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2</w:t>
            </w:r>
          </w:p>
        </w:tc>
        <w:tc>
          <w:tcPr>
            <w:tcW w:w="2823" w:type="dxa"/>
            <w:vAlign w:val="center"/>
          </w:tcPr>
          <w:p>
            <w:pPr>
              <w:jc w:val="center"/>
              <w:rPr>
                <w:rFonts w:ascii="宋体" w:hAnsi="宋体"/>
                <w:b/>
                <w:color w:val="000000"/>
                <w:szCs w:val="21"/>
              </w:rPr>
            </w:pPr>
            <w:r>
              <w:rPr>
                <w:rFonts w:hint="eastAsia" w:ascii="宋体" w:hAnsi="宋体"/>
                <w:color w:val="000000"/>
                <w:szCs w:val="21"/>
                <w:lang w:val="en-GB"/>
              </w:rPr>
              <w:t>联合体各方均为小型、微型企业</w:t>
            </w:r>
          </w:p>
        </w:tc>
        <w:tc>
          <w:tcPr>
            <w:tcW w:w="2552" w:type="dxa"/>
            <w:vAlign w:val="center"/>
          </w:tcPr>
          <w:p>
            <w:pPr>
              <w:jc w:val="center"/>
              <w:rPr>
                <w:rFonts w:ascii="宋体" w:hAnsi="宋体"/>
                <w:szCs w:val="21"/>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p>
            <w:pPr>
              <w:jc w:val="center"/>
              <w:rPr>
                <w:rFonts w:ascii="宋体" w:hAnsi="宋体"/>
                <w:b/>
                <w:szCs w:val="21"/>
                <w:lang w:val="en-GB"/>
              </w:rPr>
            </w:pPr>
            <w:r>
              <w:rPr>
                <w:rFonts w:hint="eastAsia" w:ascii="宋体" w:hAnsi="宋体"/>
                <w:szCs w:val="21"/>
              </w:rPr>
              <w:t>（不再享受序号3的价格折扣）</w:t>
            </w:r>
          </w:p>
        </w:tc>
        <w:tc>
          <w:tcPr>
            <w:tcW w:w="2835" w:type="dxa"/>
            <w:vMerge w:val="continue"/>
            <w:shd w:val="clear" w:color="auto" w:fill="auto"/>
          </w:tcPr>
          <w:p>
            <w:pPr>
              <w:rPr>
                <w:rFonts w:ascii="宋体" w:hAnsi="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3</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联合体一方为小型、微型企业且小型、微型企业协议合同金额占联合体协议合同总金额30%以上的</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对联合体总金额扣除</w:t>
            </w:r>
          </w:p>
          <w:p>
            <w:pPr>
              <w:jc w:val="center"/>
              <w:rPr>
                <w:rFonts w:ascii="宋体" w:hAnsi="宋体"/>
                <w:b/>
                <w:szCs w:val="21"/>
                <w:lang w:val="en-GB"/>
              </w:rPr>
            </w:pPr>
            <w:r>
              <w:rPr>
                <w:rFonts w:hint="eastAsia" w:ascii="宋体" w:hAnsi="宋体"/>
                <w:szCs w:val="21"/>
                <w:u w:val="single"/>
              </w:rPr>
              <w:t xml:space="preserve"> </w:t>
            </w:r>
            <w:r>
              <w:rPr>
                <w:rFonts w:ascii="宋体" w:hAnsi="宋体"/>
                <w:szCs w:val="21"/>
                <w:u w:val="single"/>
              </w:rPr>
              <w:t>2</w:t>
            </w:r>
            <w:r>
              <w:rPr>
                <w:rFonts w:hint="eastAsia" w:ascii="宋体" w:hAnsi="宋体"/>
                <w:szCs w:val="21"/>
                <w:u w:val="single"/>
              </w:rPr>
              <w:t xml:space="preserve"> </w:t>
            </w:r>
            <w:r>
              <w:rPr>
                <w:rFonts w:hint="eastAsia" w:ascii="宋体" w:hAnsi="宋体"/>
                <w:szCs w:val="21"/>
              </w:rPr>
              <w:t>%</w:t>
            </w:r>
          </w:p>
        </w:tc>
        <w:tc>
          <w:tcPr>
            <w:tcW w:w="2835" w:type="dxa"/>
            <w:shd w:val="clear" w:color="auto" w:fill="auto"/>
            <w:vAlign w:val="center"/>
          </w:tcPr>
          <w:p>
            <w:pPr>
              <w:jc w:val="center"/>
              <w:rPr>
                <w:rFonts w:ascii="宋体" w:hAnsi="宋体"/>
                <w:color w:val="FF0000"/>
                <w:szCs w:val="21"/>
                <w:u w:val="single"/>
              </w:rPr>
            </w:pPr>
            <w:r>
              <w:rPr>
                <w:rFonts w:hint="eastAsia" w:ascii="宋体" w:hAnsi="宋体"/>
                <w:color w:val="000000"/>
                <w:szCs w:val="21"/>
                <w:lang w:val="en-GB"/>
              </w:rPr>
              <w:t>评标价格＝投标报价×</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u w:val="single"/>
                <w14:textFill>
                  <w14:solidFill>
                    <w14:schemeClr w14:val="tx1"/>
                  </w14:solidFill>
                </w14:textFill>
              </w:rPr>
              <w:t>2</w:t>
            </w:r>
            <w:r>
              <w:rPr>
                <w:rFonts w:hint="eastAsia" w:ascii="宋体" w:hAnsi="宋体"/>
                <w:color w:val="000000" w:themeColor="text1"/>
                <w:szCs w:val="21"/>
                <w:u w:val="single"/>
                <w14:textFill>
                  <w14:solidFill>
                    <w14:schemeClr w14:val="tx1"/>
                  </w14:solidFill>
                </w14:textFill>
              </w:rPr>
              <w:t>%)</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4</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监狱企业</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对监狱企业产品价格扣除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rFonts w:ascii="宋体" w:hAnsi="宋体"/>
                <w:color w:val="000000"/>
                <w:szCs w:val="21"/>
                <w:lang w:val="en-GB"/>
              </w:rPr>
            </w:pPr>
            <w:r>
              <w:rPr>
                <w:rFonts w:hint="eastAsia"/>
                <w:color w:val="000000"/>
                <w:szCs w:val="21"/>
                <w:lang w:val="en-GB"/>
              </w:rPr>
              <w:t>评标价格＝投标报价—</w:t>
            </w:r>
            <w:r>
              <w:rPr>
                <w:rFonts w:hint="eastAsia"/>
                <w:color w:val="000000"/>
                <w:szCs w:val="21"/>
              </w:rPr>
              <w:t>监狱企业产品的价格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5</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残疾人福利性单位</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对残疾人福利性单位产品价格扣除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color w:val="000000"/>
                <w:szCs w:val="21"/>
                <w:lang w:val="en-GB"/>
              </w:rPr>
            </w:pPr>
            <w:r>
              <w:rPr>
                <w:rFonts w:hint="eastAsia"/>
                <w:color w:val="000000"/>
                <w:szCs w:val="21"/>
                <w:lang w:val="en-GB"/>
              </w:rPr>
              <w:t>评标价格＝投标报价—</w:t>
            </w:r>
            <w:r>
              <w:rPr>
                <w:rFonts w:hint="eastAsia"/>
                <w:color w:val="000000"/>
                <w:szCs w:val="21"/>
              </w:rPr>
              <w:t>残疾人福利性单位产品的价格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8931" w:type="dxa"/>
            <w:gridSpan w:val="4"/>
            <w:vAlign w:val="center"/>
          </w:tcPr>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2、</w:t>
            </w:r>
            <w:r>
              <w:rPr>
                <w:rFonts w:cs="仿宋_GB2312" w:asciiTheme="minorEastAsia" w:hAnsiTheme="minorEastAsia"/>
                <w:szCs w:val="21"/>
                <w:lang w:val="zh-CN"/>
              </w:rPr>
              <w:t>经评标委员会</w:t>
            </w:r>
            <w:r>
              <w:rPr>
                <w:rFonts w:hint="eastAsia" w:cs="仿宋_GB2312" w:asciiTheme="minorEastAsia" w:hAnsiTheme="minorEastAsia"/>
                <w:szCs w:val="21"/>
                <w:lang w:val="zh-CN"/>
              </w:rPr>
              <w:t>审查、评价</w:t>
            </w:r>
            <w:r>
              <w:rPr>
                <w:rFonts w:cs="仿宋_GB2312" w:asciiTheme="minorEastAsia" w:hAnsiTheme="minorEastAsia"/>
                <w:szCs w:val="21"/>
                <w:lang w:val="zh-CN"/>
              </w:rPr>
              <w:t>，</w:t>
            </w:r>
            <w:r>
              <w:rPr>
                <w:rFonts w:hint="eastAsia" w:cs="仿宋_GB2312" w:asciiTheme="minorEastAsia" w:hAnsiTheme="minorEastAsia"/>
                <w:szCs w:val="21"/>
                <w:lang w:val="zh-CN"/>
              </w:rPr>
              <w:t>投标文件符合</w:t>
            </w:r>
            <w:r>
              <w:rPr>
                <w:rFonts w:cs="仿宋_GB2312" w:asciiTheme="minorEastAsia" w:hAnsiTheme="minorEastAsia"/>
                <w:szCs w:val="21"/>
                <w:lang w:val="zh-CN"/>
              </w:rPr>
              <w:t>招标文件</w:t>
            </w:r>
            <w:r>
              <w:rPr>
                <w:rFonts w:hint="eastAsia" w:cs="仿宋_GB2312" w:asciiTheme="minorEastAsia" w:hAnsiTheme="minorEastAsia"/>
                <w:szCs w:val="21"/>
                <w:lang w:val="zh-CN"/>
              </w:rPr>
              <w:t>实质性</w:t>
            </w:r>
            <w:r>
              <w:rPr>
                <w:rFonts w:cs="仿宋_GB2312" w:asciiTheme="minorEastAsia" w:hAnsiTheme="minorEastAsia"/>
                <w:szCs w:val="21"/>
                <w:lang w:val="zh-CN"/>
              </w:rPr>
              <w:t>要求且</w:t>
            </w:r>
            <w:r>
              <w:rPr>
                <w:rFonts w:hint="eastAsia" w:cs="仿宋_GB2312" w:asciiTheme="minorEastAsia" w:hAnsiTheme="minorEastAsia"/>
                <w:szCs w:val="21"/>
                <w:lang w:val="zh-CN"/>
              </w:rPr>
              <w:t>进行了政策性价格扣除后，</w:t>
            </w:r>
            <w:r>
              <w:rPr>
                <w:rFonts w:cs="仿宋_GB2312" w:asciiTheme="minorEastAsia" w:hAnsiTheme="minorEastAsia"/>
                <w:szCs w:val="21"/>
                <w:lang w:val="zh-CN"/>
              </w:rPr>
              <w:t>以</w:t>
            </w:r>
            <w:r>
              <w:rPr>
                <w:rFonts w:hint="eastAsia" w:cs="仿宋_GB2312" w:asciiTheme="minorEastAsia" w:hAnsiTheme="minorEastAsia"/>
                <w:szCs w:val="21"/>
                <w:lang w:val="zh-CN"/>
              </w:rPr>
              <w:t>评标价格的</w:t>
            </w:r>
            <w:r>
              <w:rPr>
                <w:rFonts w:cs="仿宋_GB2312" w:asciiTheme="minorEastAsia" w:hAnsiTheme="minorEastAsia"/>
                <w:szCs w:val="21"/>
                <w:lang w:val="zh-CN"/>
              </w:rPr>
              <w:t>最低价者定为评标基准价，其价格分为满分。其他投标人的价格分统一按下列公式</w:t>
            </w:r>
            <w:r>
              <w:rPr>
                <w:rFonts w:hint="eastAsia" w:cs="仿宋_GB2312" w:asciiTheme="minorEastAsia" w:hAnsiTheme="minorEastAsia"/>
                <w:szCs w:val="21"/>
                <w:lang w:val="zh-CN"/>
              </w:rPr>
              <w:t>计算</w:t>
            </w:r>
            <w:r>
              <w:rPr>
                <w:rFonts w:cs="仿宋_GB2312" w:asciiTheme="minorEastAsia" w:hAnsiTheme="minorEastAsia"/>
                <w:szCs w:val="21"/>
                <w:lang w:val="zh-CN"/>
              </w:rPr>
              <w:t>。即：</w:t>
            </w:r>
          </w:p>
          <w:p>
            <w:pPr>
              <w:widowControl/>
              <w:adjustRightInd w:val="0"/>
              <w:spacing w:line="360" w:lineRule="auto"/>
              <w:ind w:left="-88" w:leftChars="-42" w:firstLine="449" w:firstLineChars="214"/>
              <w:jc w:val="left"/>
              <w:rPr>
                <w:rFonts w:cs="仿宋_GB2312" w:asciiTheme="minorEastAsia" w:hAnsiTheme="minorEastAsia"/>
                <w:szCs w:val="21"/>
                <w:lang w:val="zh-CN"/>
              </w:rPr>
            </w:pPr>
            <w:r>
              <w:rPr>
                <w:rFonts w:cs="仿宋_GB2312" w:asciiTheme="minorEastAsia" w:hAnsiTheme="minorEastAsia"/>
                <w:szCs w:val="21"/>
                <w:lang w:val="zh-CN"/>
              </w:rPr>
              <w:t>评标基准价</w:t>
            </w:r>
            <w:r>
              <w:rPr>
                <w:rFonts w:hint="eastAsia" w:cs="仿宋_GB2312" w:asciiTheme="minorEastAsia" w:hAnsiTheme="minorEastAsia"/>
                <w:szCs w:val="21"/>
                <w:lang w:val="zh-CN"/>
              </w:rPr>
              <w:t>=评标价格的最低价</w:t>
            </w:r>
          </w:p>
          <w:p>
            <w:pPr>
              <w:adjustRightInd w:val="0"/>
              <w:spacing w:line="360" w:lineRule="auto"/>
              <w:ind w:left="-88" w:leftChars="-42" w:firstLine="449" w:firstLineChars="214"/>
              <w:jc w:val="left"/>
              <w:rPr>
                <w:rFonts w:cs="仿宋_GB2312" w:asciiTheme="minorEastAsia" w:hAnsiTheme="minorEastAsia"/>
                <w:szCs w:val="21"/>
                <w:lang w:val="zh-CN"/>
              </w:rPr>
            </w:pPr>
            <w:r>
              <w:rPr>
                <w:rFonts w:cs="仿宋_GB2312" w:asciiTheme="minorEastAsia" w:hAnsiTheme="minorEastAsia"/>
                <w:szCs w:val="21"/>
                <w:lang w:val="zh-CN"/>
              </w:rPr>
              <w:t>其他投标报价得分</w:t>
            </w:r>
            <w:r>
              <w:rPr>
                <w:rFonts w:hint="eastAsia" w:cs="仿宋_GB2312" w:asciiTheme="minorEastAsia" w:hAnsiTheme="minorEastAsia"/>
                <w:szCs w:val="21"/>
                <w:lang w:val="zh-CN"/>
              </w:rPr>
              <w:t>=（</w:t>
            </w:r>
            <w:r>
              <w:rPr>
                <w:rFonts w:cs="仿宋_GB2312" w:asciiTheme="minorEastAsia" w:hAnsiTheme="minorEastAsia"/>
                <w:szCs w:val="21"/>
                <w:lang w:val="zh-CN"/>
              </w:rPr>
              <w:t>评标基准价</w:t>
            </w:r>
            <w:r>
              <w:rPr>
                <w:rFonts w:hint="eastAsia" w:cs="仿宋_GB2312" w:asciiTheme="minorEastAsia" w:hAnsiTheme="minorEastAsia"/>
                <w:szCs w:val="21"/>
                <w:lang w:val="zh-CN"/>
              </w:rPr>
              <w:t>/评标价格）</w:t>
            </w:r>
            <w:r>
              <w:rPr>
                <w:rFonts w:cs="仿宋_GB2312" w:asciiTheme="minorEastAsia" w:hAnsiTheme="minorEastAsia"/>
                <w:szCs w:val="21"/>
                <w:lang w:val="zh-CN"/>
              </w:rPr>
              <w:t>×</w:t>
            </w:r>
            <w:r>
              <w:rPr>
                <w:rFonts w:hint="eastAsia" w:cs="仿宋_GB2312" w:asciiTheme="minorEastAsia" w:hAnsiTheme="minorEastAsia"/>
                <w:szCs w:val="21"/>
                <w:lang w:val="zh-CN"/>
              </w:rPr>
              <w:t>评标标准中价格分值</w:t>
            </w:r>
          </w:p>
        </w:tc>
      </w:tr>
    </w:tbl>
    <w:p>
      <w:pPr>
        <w:spacing w:line="360" w:lineRule="auto"/>
        <w:rPr>
          <w:rFonts w:ascii="宋体" w:hAnsi="宋体"/>
          <w:bCs/>
          <w:color w:val="auto"/>
          <w:szCs w:val="21"/>
          <w:lang w:val="en-GB"/>
        </w:rPr>
      </w:pPr>
      <w:r>
        <w:rPr>
          <w:rFonts w:hint="eastAsia" w:ascii="宋体" w:hAnsi="宋体"/>
          <w:bCs/>
          <w:color w:val="auto"/>
          <w:szCs w:val="21"/>
          <w:lang w:val="en-GB"/>
        </w:rPr>
        <w:t>备注：</w:t>
      </w:r>
    </w:p>
    <w:p>
      <w:pPr>
        <w:spacing w:line="360" w:lineRule="auto"/>
        <w:ind w:firstLine="420" w:firstLineChars="200"/>
        <w:rPr>
          <w:rFonts w:ascii="宋体" w:hAnsi="宋体"/>
          <w:bCs/>
          <w:color w:val="auto"/>
          <w:szCs w:val="21"/>
          <w:lang w:val="en-GB"/>
        </w:rPr>
      </w:pPr>
      <w:r>
        <w:rPr>
          <w:rFonts w:hint="eastAsia" w:ascii="宋体" w:hAnsi="宋体"/>
          <w:bCs/>
          <w:color w:val="auto"/>
          <w:szCs w:val="21"/>
          <w:lang w:val="en-GB"/>
        </w:rPr>
        <w:t>a、不接受联合体投标的项目，本表中第2项、第3项情形不适用。</w:t>
      </w:r>
    </w:p>
    <w:p>
      <w:pPr>
        <w:spacing w:line="360" w:lineRule="auto"/>
        <w:ind w:firstLine="420" w:firstLineChars="200"/>
        <w:rPr>
          <w:rFonts w:ascii="宋体" w:hAnsi="宋体"/>
          <w:bCs/>
          <w:color w:val="auto"/>
          <w:szCs w:val="21"/>
          <w:highlight w:val="none"/>
          <w:lang w:val="en-GB"/>
        </w:rPr>
      </w:pPr>
      <w:r>
        <w:rPr>
          <w:rFonts w:hint="eastAsia" w:ascii="宋体" w:hAnsi="宋体"/>
          <w:bCs/>
          <w:color w:val="auto"/>
          <w:szCs w:val="21"/>
          <w:lang w:val="en-GB"/>
        </w:rPr>
        <w:t>b、小型</w:t>
      </w:r>
      <w:r>
        <w:rPr>
          <w:rFonts w:hint="eastAsia" w:ascii="宋体" w:hAnsi="宋体"/>
          <w:bCs/>
          <w:color w:val="auto"/>
          <w:szCs w:val="21"/>
          <w:highlight w:val="none"/>
          <w:lang w:val="en-GB"/>
        </w:rPr>
        <w:t>和微型企业产品包括货物及其提供的服务与工程。</w:t>
      </w:r>
    </w:p>
    <w:p>
      <w:pPr>
        <w:spacing w:line="360" w:lineRule="auto"/>
        <w:ind w:firstLine="420" w:firstLineChars="200"/>
        <w:rPr>
          <w:rFonts w:ascii="宋体" w:hAnsi="宋体"/>
          <w:bCs/>
          <w:color w:val="auto"/>
          <w:szCs w:val="21"/>
          <w:highlight w:val="none"/>
          <w:lang w:val="en-GB"/>
        </w:rPr>
      </w:pPr>
      <w:r>
        <w:rPr>
          <w:rFonts w:hint="eastAsia" w:ascii="宋体" w:hAnsi="宋体"/>
          <w:bCs/>
          <w:color w:val="auto"/>
          <w:szCs w:val="21"/>
          <w:highlight w:val="none"/>
          <w:lang w:val="en-GB"/>
        </w:rPr>
        <w:t>c、中小企业、残疾人福利性单位提供其他企业制造的货物的，则该货物的制造商也必须为上述企业，否则不能享受价格优惠。</w:t>
      </w:r>
    </w:p>
    <w:p>
      <w:pPr>
        <w:spacing w:line="360" w:lineRule="auto"/>
        <w:ind w:firstLine="420" w:firstLineChars="200"/>
        <w:rPr>
          <w:rFonts w:ascii="宋体" w:hAnsi="宋体"/>
          <w:bCs/>
          <w:color w:val="auto"/>
          <w:szCs w:val="21"/>
          <w:highlight w:val="none"/>
          <w:lang w:val="en-GB"/>
        </w:rPr>
      </w:pPr>
      <w:r>
        <w:rPr>
          <w:rFonts w:hint="eastAsia" w:ascii="宋体" w:hAnsi="宋体"/>
          <w:bCs/>
          <w:color w:val="auto"/>
          <w:szCs w:val="21"/>
          <w:highlight w:val="none"/>
          <w:lang w:val="en-GB"/>
        </w:rPr>
        <w:t>d、残疾人福利性单位属于小型、微型企业的，不重复享受政策。</w:t>
      </w:r>
    </w:p>
    <w:p>
      <w:pPr>
        <w:spacing w:line="360" w:lineRule="auto"/>
        <w:ind w:firstLine="420" w:firstLineChars="200"/>
        <w:rPr>
          <w:rFonts w:ascii="宋体" w:hAnsi="宋体"/>
          <w:bCs/>
          <w:color w:val="auto"/>
          <w:szCs w:val="21"/>
          <w:highlight w:val="none"/>
          <w:lang w:val="en-GB"/>
        </w:rPr>
      </w:pPr>
      <w:r>
        <w:rPr>
          <w:rFonts w:ascii="宋体" w:hAnsi="宋体"/>
          <w:bCs/>
          <w:color w:val="auto"/>
          <w:szCs w:val="21"/>
          <w:highlight w:val="none"/>
          <w:lang w:val="en-GB"/>
        </w:rPr>
        <w:t>E</w:t>
      </w:r>
      <w:r>
        <w:rPr>
          <w:rFonts w:hint="eastAsia" w:ascii="宋体" w:hAnsi="宋体"/>
          <w:bCs/>
          <w:color w:val="auto"/>
          <w:szCs w:val="21"/>
          <w:highlight w:val="none"/>
          <w:lang w:val="en-GB"/>
        </w:rPr>
        <w:t>、小型和微型企业不包括民办非企业单位。</w:t>
      </w:r>
    </w:p>
    <w:p>
      <w:pPr>
        <w:pStyle w:val="16"/>
        <w:spacing w:line="360" w:lineRule="auto"/>
        <w:ind w:firstLine="422"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b/>
          <w:sz w:val="21"/>
          <w:szCs w:val="21"/>
          <w:lang w:val="zh-CN"/>
        </w:rPr>
        <w:t>（7）</w:t>
      </w:r>
      <w:r>
        <w:rPr>
          <w:rFonts w:cs="仿宋_GB2312" w:asciiTheme="minorEastAsia" w:hAnsiTheme="minorEastAsia" w:eastAsiaTheme="minorEastAsia"/>
          <w:b/>
          <w:sz w:val="21"/>
          <w:szCs w:val="21"/>
          <w:lang w:val="zh-CN"/>
        </w:rPr>
        <w:t>评标结果汇总完成后，除下列情形外，任何人不得修改评标结果：</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1） </w:t>
      </w:r>
      <w:r>
        <w:rPr>
          <w:rFonts w:cs="仿宋_GB2312" w:asciiTheme="minorEastAsia" w:hAnsiTheme="minorEastAsia"/>
          <w:szCs w:val="21"/>
          <w:lang w:val="zh-CN"/>
        </w:rPr>
        <w:t>分值汇总计算错误的；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2） </w:t>
      </w:r>
      <w:r>
        <w:rPr>
          <w:rFonts w:cs="仿宋_GB2312" w:asciiTheme="minorEastAsia" w:hAnsiTheme="minorEastAsia"/>
          <w:szCs w:val="21"/>
          <w:lang w:val="zh-CN"/>
        </w:rPr>
        <w:t>分项评分超出评分标准范围的；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3） </w:t>
      </w:r>
      <w:r>
        <w:rPr>
          <w:rFonts w:cs="仿宋_GB2312" w:asciiTheme="minorEastAsia" w:hAnsiTheme="minorEastAsia"/>
          <w:szCs w:val="21"/>
          <w:lang w:val="zh-CN"/>
        </w:rPr>
        <w:t>评标委员会成员对客观评审因素评分不一致的；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4） </w:t>
      </w:r>
      <w:r>
        <w:rPr>
          <w:rFonts w:cs="仿宋_GB2312" w:asciiTheme="minorEastAsia" w:hAnsiTheme="minorEastAsia"/>
          <w:szCs w:val="21"/>
          <w:lang w:val="zh-CN"/>
        </w:rPr>
        <w:t>经评标委员会认定评分畸高、畸低的。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tabs>
          <w:tab w:val="left" w:pos="1260"/>
        </w:tabs>
        <w:autoSpaceDE w:val="0"/>
        <w:autoSpaceDN w:val="0"/>
        <w:spacing w:line="360" w:lineRule="auto"/>
        <w:ind w:firstLine="420" w:firstLineChars="200"/>
        <w:contextualSpacing/>
        <w:rPr>
          <w:rFonts w:cs="仿宋_GB2312" w:asciiTheme="minorEastAsia" w:hAnsiTheme="minorEastAsia"/>
          <w:szCs w:val="21"/>
          <w:highlight w:val="none"/>
          <w:lang w:val="zh-CN"/>
        </w:rPr>
      </w:pPr>
      <w:r>
        <w:rPr>
          <w:rFonts w:cs="仿宋_GB2312" w:asciiTheme="minorEastAsia" w:hAnsiTheme="minorEastAsia"/>
          <w:szCs w:val="21"/>
          <w:lang w:val="zh-CN"/>
        </w:rPr>
        <w:t>投标人对本条第一款情形提出质疑的，采购人或者采购代理机构可以组织原评标委员会进行</w:t>
      </w:r>
      <w:r>
        <w:rPr>
          <w:rFonts w:cs="仿宋_GB2312" w:asciiTheme="minorEastAsia" w:hAnsiTheme="minorEastAsia"/>
          <w:szCs w:val="21"/>
          <w:highlight w:val="none"/>
          <w:lang w:val="zh-CN"/>
        </w:rPr>
        <w:t>重新评审，重新评审改变评标结果的，应当书面报告本级财政部门。</w:t>
      </w:r>
    </w:p>
    <w:p>
      <w:pPr>
        <w:tabs>
          <w:tab w:val="left" w:pos="1260"/>
        </w:tabs>
        <w:autoSpaceDE w:val="0"/>
        <w:autoSpaceDN w:val="0"/>
        <w:spacing w:line="360" w:lineRule="auto"/>
        <w:ind w:firstLine="420" w:firstLineChars="200"/>
        <w:contextualSpacing/>
        <w:rPr>
          <w:rFonts w:cs="仿宋_GB2312" w:asciiTheme="minorEastAsia" w:hAnsiTheme="minorEastAsia"/>
          <w:szCs w:val="21"/>
          <w:highlight w:val="none"/>
          <w:lang w:val="zh-CN"/>
        </w:rPr>
      </w:pPr>
      <w:r>
        <w:rPr>
          <w:rFonts w:hint="eastAsia"/>
        </w:rPr>
        <w:t>分数汇总时，将各评委对某一投标人评分的算术平均值作为该投标人的最终得分。计分过程取至小数点后两位，最终得分按四舍五入取至小数点后两位。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得分、投标报价、投标文件得分都相同的由评标委员会集体商议决定排序。</w:t>
      </w:r>
    </w:p>
    <w:p>
      <w:pPr>
        <w:wordWrap w:val="0"/>
        <w:spacing w:line="360" w:lineRule="auto"/>
        <w:ind w:firstLine="422" w:firstLineChars="200"/>
        <w:contextualSpacing/>
        <w:rPr>
          <w:rFonts w:cs="仿宋_GB2312" w:asciiTheme="minorEastAsia" w:hAnsiTheme="minorEastAsia"/>
          <w:szCs w:val="21"/>
          <w:highlight w:val="none"/>
          <w:lang w:val="zh-CN"/>
        </w:rPr>
      </w:pPr>
      <w:r>
        <w:rPr>
          <w:rFonts w:hint="eastAsia" w:cs="仿宋_GB2312" w:asciiTheme="minorEastAsia" w:hAnsiTheme="minorEastAsia"/>
          <w:b/>
          <w:bCs/>
          <w:szCs w:val="21"/>
          <w:highlight w:val="none"/>
          <w:lang w:val="zh-CN"/>
        </w:rPr>
        <w:t>（8）按照《关于推进全流程电子化交易和在线监管工作有关问题的通知》（许公管办[2019]3号）规定：</w:t>
      </w:r>
      <w:r>
        <w:rPr>
          <w:rFonts w:hint="eastAsia" w:cs="仿宋_GB2312" w:asciiTheme="minorEastAsia" w:hAnsiTheme="minorEastAsia"/>
          <w:szCs w:val="21"/>
          <w:highlight w:val="none"/>
          <w:lang w:val="zh-CN"/>
        </w:rPr>
        <w:t>评标专家应严格按照要求查看“硬件特征码”相关信息并进行评审，在评审报告中显示“不同投标人电子投标文件制作硬件特征码”是否均一致的分析及判定结果。</w:t>
      </w:r>
    </w:p>
    <w:p>
      <w:pPr>
        <w:tabs>
          <w:tab w:val="left" w:pos="1260"/>
        </w:tabs>
        <w:autoSpaceDE w:val="0"/>
        <w:autoSpaceDN w:val="0"/>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w:t>
      </w:r>
      <w:r>
        <w:rPr>
          <w:rFonts w:hint="eastAsia" w:cs="仿宋_GB2312" w:asciiTheme="minorEastAsia" w:hAnsiTheme="minorEastAsia"/>
          <w:b/>
          <w:szCs w:val="21"/>
          <w:lang w:val="en-US" w:eastAsia="zh-CN"/>
        </w:rPr>
        <w:t>9</w:t>
      </w:r>
      <w:r>
        <w:rPr>
          <w:rFonts w:hint="eastAsia" w:cs="仿宋_GB2312" w:asciiTheme="minorEastAsia" w:hAnsiTheme="minorEastAsia"/>
          <w:b/>
          <w:szCs w:val="21"/>
          <w:lang w:val="zh-CN"/>
        </w:rPr>
        <w:t>）</w:t>
      </w:r>
      <w:r>
        <w:rPr>
          <w:rFonts w:cs="仿宋_GB2312" w:asciiTheme="minorEastAsia" w:hAnsiTheme="minorEastAsia"/>
          <w:b/>
          <w:szCs w:val="21"/>
          <w:lang w:val="zh-CN"/>
        </w:rPr>
        <w:t>评标委员会</w:t>
      </w:r>
      <w:r>
        <w:rPr>
          <w:rFonts w:hint="eastAsia" w:cs="仿宋_GB2312" w:asciiTheme="minorEastAsia" w:hAnsiTheme="minorEastAsia"/>
          <w:b/>
          <w:szCs w:val="21"/>
          <w:lang w:val="zh-CN"/>
        </w:rPr>
        <w:t>争议处理</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评标委员会成员对需要共同认定的事项存在争议的，应当按照少数服从多数的原则作出结论。持不同意见的评标委员会成员应当在评标报告上签署不同意见及理由，否则视为同意评标报告。</w:t>
      </w:r>
    </w:p>
    <w:p>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4、</w:t>
      </w:r>
      <w:r>
        <w:rPr>
          <w:rFonts w:cs="仿宋_GB2312" w:asciiTheme="minorEastAsia" w:hAnsiTheme="minorEastAsia"/>
          <w:b/>
          <w:szCs w:val="21"/>
          <w:lang w:val="zh-CN"/>
        </w:rPr>
        <w:t>确定中标候选人名单，以及根据采购人委托直接确定中标人</w:t>
      </w:r>
      <w:r>
        <w:rPr>
          <w:rFonts w:hint="eastAsia" w:cs="仿宋_GB2312" w:asciiTheme="minorEastAsia" w:hAnsiTheme="minorEastAsia"/>
          <w:b/>
          <w:szCs w:val="21"/>
          <w:lang w:val="zh-CN"/>
        </w:rPr>
        <w:t>。</w:t>
      </w: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highlight w:val="none"/>
        </w:rPr>
      </w:pPr>
    </w:p>
    <w:p>
      <w:pPr>
        <w:pStyle w:val="2"/>
        <w:rPr>
          <w:rFonts w:hint="eastAsia" w:cs="宋体" w:asciiTheme="majorEastAsia" w:hAnsiTheme="majorEastAsia" w:eastAsiaTheme="majorEastAsia"/>
          <w:b/>
          <w:kern w:val="0"/>
          <w:sz w:val="32"/>
          <w:szCs w:val="32"/>
          <w:highlight w:val="none"/>
        </w:rPr>
      </w:pPr>
    </w:p>
    <w:p>
      <w:pPr>
        <w:rPr>
          <w:rFonts w:hint="eastAsia" w:cs="宋体" w:asciiTheme="majorEastAsia" w:hAnsiTheme="majorEastAsia" w:eastAsiaTheme="majorEastAsia"/>
          <w:b/>
          <w:kern w:val="0"/>
          <w:sz w:val="32"/>
          <w:szCs w:val="32"/>
          <w:highlight w:val="none"/>
        </w:rPr>
      </w:pPr>
    </w:p>
    <w:p>
      <w:pPr>
        <w:pStyle w:val="2"/>
        <w:rPr>
          <w:rFonts w:hint="eastAsia"/>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第七章 合同条款及格式</w:t>
      </w:r>
    </w:p>
    <w:p>
      <w:pPr>
        <w:pStyle w:val="16"/>
        <w:spacing w:line="360" w:lineRule="auto"/>
        <w:contextualSpacing/>
        <w:jc w:val="center"/>
        <w:rPr>
          <w:rFonts w:cs="宋体" w:asciiTheme="majorEastAsia" w:hAnsiTheme="majorEastAsia" w:eastAsiaTheme="majorEastAsia"/>
          <w:b/>
          <w:kern w:val="0"/>
          <w:sz w:val="36"/>
          <w:szCs w:val="36"/>
          <w:highlight w:val="none"/>
        </w:rPr>
      </w:pPr>
    </w:p>
    <w:p>
      <w:pPr>
        <w:spacing w:line="360" w:lineRule="auto"/>
        <w:jc w:val="center"/>
        <w:rPr>
          <w:rFonts w:ascii="宋体" w:hAnsi="宋体" w:cs="微软雅黑"/>
          <w:b/>
          <w:bCs/>
          <w:szCs w:val="21"/>
          <w:highlight w:val="none"/>
        </w:rPr>
      </w:pPr>
      <w:r>
        <w:rPr>
          <w:rFonts w:hint="eastAsia" w:ascii="宋体" w:hAnsi="宋体" w:cs="微软雅黑"/>
          <w:b/>
          <w:bCs/>
          <w:szCs w:val="21"/>
          <w:highlight w:val="none"/>
        </w:rPr>
        <w:t>（此合同仅供参考。以最终采购人与中标人签定的合同条款为准进行公示，</w:t>
      </w:r>
    </w:p>
    <w:p>
      <w:pPr>
        <w:spacing w:line="360" w:lineRule="auto"/>
        <w:jc w:val="center"/>
        <w:rPr>
          <w:rFonts w:ascii="宋体" w:hAnsi="宋体" w:cs="微软雅黑"/>
          <w:b/>
          <w:bCs/>
          <w:szCs w:val="21"/>
          <w:highlight w:val="none"/>
        </w:rPr>
      </w:pPr>
      <w:r>
        <w:rPr>
          <w:rFonts w:hint="eastAsia" w:ascii="宋体" w:hAnsi="宋体" w:cs="微软雅黑"/>
          <w:b/>
          <w:bCs/>
          <w:szCs w:val="21"/>
          <w:highlight w:val="none"/>
        </w:rPr>
        <w:t>最终签定合同的主要条款不能与招标文件有冲突）</w:t>
      </w:r>
    </w:p>
    <w:p>
      <w:pPr>
        <w:pStyle w:val="23"/>
        <w:spacing w:before="75" w:after="75" w:line="360" w:lineRule="auto"/>
        <w:rPr>
          <w:rFonts w:hint="eastAsia" w:ascii="宋体" w:hAnsi="宋体" w:eastAsia="微软雅黑"/>
          <w:color w:val="000000"/>
          <w:highlight w:val="none"/>
          <w:u w:val="single"/>
        </w:rPr>
      </w:pP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甲方：</w:t>
      </w:r>
      <w:r>
        <w:rPr>
          <w:rFonts w:asciiTheme="minorEastAsia" w:hAnsiTheme="minorEastAsia" w:eastAsiaTheme="minorEastAsia"/>
          <w:color w:val="000000"/>
          <w:sz w:val="21"/>
          <w:szCs w:val="21"/>
          <w:highlight w:val="none"/>
          <w:u w:val="single"/>
        </w:rPr>
        <w:t>（采购人全称）</w:t>
      </w: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乙方：</w:t>
      </w:r>
      <w:r>
        <w:rPr>
          <w:rFonts w:asciiTheme="minorEastAsia" w:hAnsiTheme="minorEastAsia" w:eastAsiaTheme="minorEastAsia"/>
          <w:color w:val="000000"/>
          <w:sz w:val="21"/>
          <w:szCs w:val="21"/>
          <w:highlight w:val="none"/>
          <w:u w:val="single"/>
        </w:rPr>
        <w:t>（中标人全称）</w:t>
      </w:r>
    </w:p>
    <w:p>
      <w:pPr>
        <w:pStyle w:val="23"/>
        <w:spacing w:before="75" w:after="75"/>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根据招标编号为</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的</w:t>
      </w:r>
      <w:r>
        <w:rPr>
          <w:rFonts w:asciiTheme="minorEastAsia" w:hAnsiTheme="minorEastAsia" w:eastAsiaTheme="minorEastAsia"/>
          <w:color w:val="000000"/>
          <w:sz w:val="21"/>
          <w:szCs w:val="21"/>
          <w:highlight w:val="none"/>
          <w:u w:val="single"/>
        </w:rPr>
        <w:t>（填写“项目名称”）</w:t>
      </w:r>
      <w:r>
        <w:rPr>
          <w:rFonts w:asciiTheme="minorEastAsia" w:hAnsiTheme="minorEastAsia" w:eastAsiaTheme="minorEastAsia"/>
          <w:color w:val="000000"/>
          <w:sz w:val="21"/>
          <w:szCs w:val="21"/>
          <w:highlight w:val="none"/>
        </w:rPr>
        <w:t>项目（以下简称：“本项目”）的招标结果，乙方为中标人。现经甲乙双方友好协商，就以下事项达成一致并签订本合同：</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1、下列合同文件是构成本合同不可分割的部分：</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1.1合同条款；</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1.2招标文件、乙方的投标文件；</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1.3其他文件或材料：□无。□</w:t>
      </w:r>
      <w:r>
        <w:rPr>
          <w:rFonts w:asciiTheme="minorEastAsia" w:hAnsiTheme="minorEastAsia" w:eastAsiaTheme="minorEastAsia"/>
          <w:color w:val="000000"/>
          <w:sz w:val="21"/>
          <w:szCs w:val="21"/>
          <w:highlight w:val="none"/>
          <w:u w:val="single"/>
        </w:rPr>
        <w:t>（按照实际情况编制填写需要增加的内容）</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2、合同标的</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3、合同总金额</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3.1合同总金额为人民币大写：</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元（￥</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4、合同标的交付时间、地点和条件</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4.1交付时间：</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4.2交付地点：</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4.3交付条件：</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5、合同标的应符合招标文件、乙方投标文件的规定或约定，具体如下：</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6、验收</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6.1验收应按照招标文件、乙方投标文件的规定或约定进行，具体如下：</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6.2本项目是否邀请其他投标人参与验收：</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□不邀请。□邀请，具体如下：</w:t>
      </w:r>
      <w:r>
        <w:rPr>
          <w:rFonts w:asciiTheme="minorEastAsia" w:hAnsiTheme="minorEastAsia" w:eastAsiaTheme="minorEastAsia"/>
          <w:color w:val="000000"/>
          <w:sz w:val="21"/>
          <w:szCs w:val="21"/>
          <w:highlight w:val="none"/>
          <w:u w:val="single"/>
        </w:rPr>
        <w:t>（按照招标文件规定填写）</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7、合同款项的支付应按照招标文件的规定进行，具体如下：</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（按照实际情况编制填写，可以是表格或文字描述，包括一次性支付或分期支付等）</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8、履约保证金</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□无。□有，具体如下：</w:t>
      </w:r>
      <w:r>
        <w:rPr>
          <w:rFonts w:asciiTheme="minorEastAsia" w:hAnsiTheme="minorEastAsia" w:eastAsiaTheme="minorEastAsia"/>
          <w:color w:val="000000"/>
          <w:sz w:val="21"/>
          <w:szCs w:val="21"/>
          <w:highlight w:val="none"/>
          <w:u w:val="single"/>
        </w:rPr>
        <w:t>（按照招标文件规定填写）</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9、合同有效期</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10、违约责任</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11、知识产权</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11.2若乙方提供的采购标的不符合国家知识产权法律、法规的规定或被有关主管机关认定为假冒伪劣品，则乙方中标资格将被取消；甲方还将按照有关法律、法规和规章的规定进行处理，具体如下：</w:t>
      </w:r>
      <w:r>
        <w:rPr>
          <w:rFonts w:asciiTheme="minorEastAsia" w:hAnsiTheme="minorEastAsia" w:eastAsiaTheme="minorEastAsia"/>
          <w:color w:val="000000"/>
          <w:sz w:val="21"/>
          <w:szCs w:val="21"/>
          <w:highlight w:val="none"/>
          <w:u w:val="single"/>
        </w:rPr>
        <w:t>（按照实际情况编制填写）</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12、解决争议的方法</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12.1甲、乙双方协商解决。</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12.2若协商解决不成，则通过下列途径之一解决：</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□提交仲裁委员会仲裁，具体如下：</w:t>
      </w:r>
      <w:r>
        <w:rPr>
          <w:rFonts w:asciiTheme="minorEastAsia" w:hAnsiTheme="minorEastAsia" w:eastAsiaTheme="minorEastAsia"/>
          <w:color w:val="000000"/>
          <w:sz w:val="21"/>
          <w:szCs w:val="21"/>
          <w:highlight w:val="none"/>
          <w:u w:val="single"/>
        </w:rPr>
        <w:t>（按照实际情况编制填写）</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□向人民法院提起诉讼，具体如下：</w:t>
      </w:r>
      <w:r>
        <w:rPr>
          <w:rFonts w:asciiTheme="minorEastAsia" w:hAnsiTheme="minorEastAsia" w:eastAsiaTheme="minorEastAsia"/>
          <w:color w:val="000000"/>
          <w:sz w:val="21"/>
          <w:szCs w:val="21"/>
          <w:highlight w:val="none"/>
          <w:u w:val="single"/>
        </w:rPr>
        <w:t>（按照实际情况编制填写）</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13、不可抗力</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13.2本合同中的不可抗力指不能预见、不能避免、不能克服的客观情况，包括但不限于：自然灾害如地震、台风、洪水、火灾及政府行为、法律规定或其适用的变化或其他任何无法预见、避免或控制的事件。</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14、合同条款</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（按照实际情况编制填写。招标文件第五章已有规定的，双方均不得变更或调整；招标文件第五章未作规定的，双方可通过友好协商进行约定）</w:t>
      </w:r>
      <w:r>
        <w:rPr>
          <w:rFonts w:asciiTheme="minorEastAsia" w:hAnsiTheme="minorEastAsia" w:eastAsiaTheme="minorEastAsia"/>
          <w:color w:val="000000"/>
          <w:sz w:val="21"/>
          <w:szCs w:val="21"/>
          <w:highlight w:val="none"/>
        </w:rPr>
        <w:t>。</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15、其他约定</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15.1合同文件与本合同具有同等法律效力。</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15.2本合同未尽事宜，双方可另行补充。</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15.3合同生效：自签订之日起生效。</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15.4本合同一式</w:t>
      </w:r>
      <w:r>
        <w:rPr>
          <w:rFonts w:asciiTheme="minorEastAsia" w:hAnsiTheme="minorEastAsia" w:eastAsiaTheme="minorEastAsia"/>
          <w:color w:val="000000"/>
          <w:sz w:val="21"/>
          <w:szCs w:val="21"/>
          <w:highlight w:val="none"/>
          <w:u w:val="single"/>
        </w:rPr>
        <w:t>（填写具体份数）</w:t>
      </w:r>
      <w:r>
        <w:rPr>
          <w:rFonts w:asciiTheme="minorEastAsia" w:hAnsiTheme="minorEastAsia" w:eastAsiaTheme="minorEastAsia"/>
          <w:color w:val="000000"/>
          <w:sz w:val="21"/>
          <w:szCs w:val="21"/>
          <w:highlight w:val="none"/>
        </w:rPr>
        <w:t>份，经双方授权代表签字并盖章后生效。甲方、乙方各执</w:t>
      </w:r>
      <w:r>
        <w:rPr>
          <w:rFonts w:asciiTheme="minorEastAsia" w:hAnsiTheme="minorEastAsia" w:eastAsiaTheme="minorEastAsia"/>
          <w:color w:val="000000"/>
          <w:sz w:val="21"/>
          <w:szCs w:val="21"/>
          <w:highlight w:val="none"/>
          <w:u w:val="single"/>
        </w:rPr>
        <w:t>（填写具体份数）</w:t>
      </w:r>
      <w:r>
        <w:rPr>
          <w:rFonts w:asciiTheme="minorEastAsia" w:hAnsiTheme="minorEastAsia" w:eastAsiaTheme="minorEastAsia"/>
          <w:color w:val="000000"/>
          <w:sz w:val="21"/>
          <w:szCs w:val="21"/>
          <w:highlight w:val="none"/>
        </w:rPr>
        <w:t>份，送</w:t>
      </w:r>
      <w:r>
        <w:rPr>
          <w:rFonts w:asciiTheme="minorEastAsia" w:hAnsiTheme="minorEastAsia" w:eastAsiaTheme="minorEastAsia"/>
          <w:color w:val="000000"/>
          <w:sz w:val="21"/>
          <w:szCs w:val="21"/>
          <w:highlight w:val="none"/>
          <w:u w:val="single"/>
        </w:rPr>
        <w:t>（填写需要备案的监管部门的全称）</w:t>
      </w:r>
      <w:r>
        <w:rPr>
          <w:rFonts w:asciiTheme="minorEastAsia" w:hAnsiTheme="minorEastAsia" w:eastAsiaTheme="minorEastAsia"/>
          <w:color w:val="000000"/>
          <w:sz w:val="21"/>
          <w:szCs w:val="21"/>
          <w:highlight w:val="none"/>
        </w:rPr>
        <w:t>备案</w:t>
      </w:r>
      <w:r>
        <w:rPr>
          <w:rFonts w:asciiTheme="minorEastAsia" w:hAnsiTheme="minorEastAsia" w:eastAsiaTheme="minorEastAsia"/>
          <w:color w:val="000000"/>
          <w:sz w:val="21"/>
          <w:szCs w:val="21"/>
          <w:highlight w:val="none"/>
          <w:u w:val="single"/>
        </w:rPr>
        <w:t>（填写具体份数）</w:t>
      </w:r>
      <w:r>
        <w:rPr>
          <w:rFonts w:asciiTheme="minorEastAsia" w:hAnsiTheme="minorEastAsia" w:eastAsiaTheme="minorEastAsia"/>
          <w:color w:val="000000"/>
          <w:sz w:val="21"/>
          <w:szCs w:val="21"/>
          <w:highlight w:val="none"/>
        </w:rPr>
        <w:t>份，具有同等效力。</w:t>
      </w:r>
    </w:p>
    <w:p>
      <w:pPr>
        <w:pStyle w:val="23"/>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15.5其他：□无。□</w:t>
      </w:r>
      <w:r>
        <w:rPr>
          <w:rFonts w:asciiTheme="minorEastAsia" w:hAnsiTheme="minorEastAsia" w:eastAsiaTheme="minorEastAsia"/>
          <w:color w:val="000000"/>
          <w:sz w:val="21"/>
          <w:szCs w:val="21"/>
          <w:highlight w:val="none"/>
          <w:u w:val="single"/>
        </w:rPr>
        <w:t>（按照实际情况编制填写需要增加的内容）</w:t>
      </w:r>
      <w:r>
        <w:rPr>
          <w:rFonts w:asciiTheme="minorEastAsia" w:hAnsiTheme="minorEastAsia" w:eastAsiaTheme="minorEastAsia"/>
          <w:color w:val="000000"/>
          <w:sz w:val="21"/>
          <w:szCs w:val="21"/>
          <w:highlight w:val="none"/>
        </w:rPr>
        <w:t>。</w:t>
      </w:r>
    </w:p>
    <w:p>
      <w:pPr>
        <w:pStyle w:val="23"/>
        <w:spacing w:before="75" w:after="75"/>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3"/>
        <w:spacing w:before="75" w:after="75"/>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甲方：                        乙方：</w:t>
      </w: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住所：                        住所：</w:t>
      </w:r>
    </w:p>
    <w:p>
      <w:pPr>
        <w:pStyle w:val="23"/>
        <w:spacing w:before="75" w:after="75" w:line="360" w:lineRule="auto"/>
        <w:rPr>
          <w:rFonts w:asciiTheme="minorEastAsia" w:hAnsiTheme="minorEastAsia" w:eastAsiaTheme="minorEastAsia"/>
          <w:color w:val="000000"/>
          <w:sz w:val="21"/>
          <w:szCs w:val="21"/>
          <w:highlight w:val="none"/>
        </w:rPr>
      </w:pPr>
      <w:r>
        <w:rPr>
          <w:rFonts w:hint="eastAsia" w:asciiTheme="minorEastAsia" w:hAnsiTheme="minorEastAsia" w:eastAsiaTheme="minorEastAsia"/>
          <w:color w:val="000000"/>
          <w:sz w:val="21"/>
          <w:szCs w:val="21"/>
          <w:highlight w:val="none"/>
        </w:rPr>
        <w:t>法定代表人（</w:t>
      </w:r>
      <w:r>
        <w:rPr>
          <w:rFonts w:asciiTheme="minorEastAsia" w:hAnsiTheme="minorEastAsia" w:eastAsiaTheme="minorEastAsia"/>
          <w:color w:val="000000"/>
          <w:sz w:val="21"/>
          <w:szCs w:val="21"/>
          <w:highlight w:val="none"/>
        </w:rPr>
        <w:t>单位负责人</w:t>
      </w:r>
      <w:r>
        <w:rPr>
          <w:rFonts w:hint="eastAsia" w:asciiTheme="minorEastAsia" w:hAnsiTheme="minorEastAsia" w:eastAsiaTheme="minorEastAsia"/>
          <w:color w:val="000000"/>
          <w:sz w:val="21"/>
          <w:szCs w:val="21"/>
          <w:highlight w:val="none"/>
        </w:rPr>
        <w:t>）</w:t>
      </w:r>
      <w:r>
        <w:rPr>
          <w:rFonts w:asciiTheme="minorEastAsia" w:hAnsiTheme="minorEastAsia" w:eastAsiaTheme="minorEastAsia"/>
          <w:color w:val="000000"/>
          <w:sz w:val="21"/>
          <w:szCs w:val="21"/>
          <w:highlight w:val="none"/>
        </w:rPr>
        <w:t>：              </w:t>
      </w:r>
      <w:r>
        <w:rPr>
          <w:rFonts w:hint="eastAsia" w:asciiTheme="minorEastAsia" w:hAnsiTheme="minorEastAsia" w:eastAsiaTheme="minorEastAsia"/>
          <w:color w:val="000000"/>
          <w:sz w:val="21"/>
          <w:szCs w:val="21"/>
          <w:highlight w:val="none"/>
        </w:rPr>
        <w:t>法定代表人（</w:t>
      </w:r>
      <w:r>
        <w:rPr>
          <w:rFonts w:asciiTheme="minorEastAsia" w:hAnsiTheme="minorEastAsia" w:eastAsiaTheme="minorEastAsia"/>
          <w:color w:val="000000"/>
          <w:sz w:val="21"/>
          <w:szCs w:val="21"/>
          <w:highlight w:val="none"/>
        </w:rPr>
        <w:t>单位负责人</w:t>
      </w:r>
      <w:r>
        <w:rPr>
          <w:rFonts w:hint="eastAsia" w:asciiTheme="minorEastAsia" w:hAnsiTheme="minorEastAsia" w:eastAsiaTheme="minorEastAsia"/>
          <w:color w:val="000000"/>
          <w:sz w:val="21"/>
          <w:szCs w:val="21"/>
          <w:highlight w:val="none"/>
        </w:rPr>
        <w:t>）</w:t>
      </w:r>
      <w:r>
        <w:rPr>
          <w:rFonts w:asciiTheme="minorEastAsia" w:hAnsiTheme="minorEastAsia" w:eastAsiaTheme="minorEastAsia"/>
          <w:color w:val="000000"/>
          <w:sz w:val="21"/>
          <w:szCs w:val="21"/>
          <w:highlight w:val="none"/>
        </w:rPr>
        <w:t>：</w:t>
      </w: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联系方法：                      联系方法：</w:t>
      </w: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开户银行：                      开户银行：</w:t>
      </w: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账号：                        账号：</w:t>
      </w: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3"/>
        <w:spacing w:before="75" w:after="75"/>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签订地点：</w:t>
      </w:r>
      <w:r>
        <w:rPr>
          <w:rFonts w:asciiTheme="minorEastAsia" w:hAnsiTheme="minorEastAsia" w:eastAsiaTheme="minorEastAsia"/>
          <w:color w:val="000000"/>
          <w:sz w:val="21"/>
          <w:szCs w:val="21"/>
          <w:highlight w:val="none"/>
          <w:u w:val="single"/>
        </w:rPr>
        <w:t>                </w:t>
      </w:r>
    </w:p>
    <w:p>
      <w:pPr>
        <w:pStyle w:val="23"/>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签订日期：</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年</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月</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日</w:t>
      </w: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highlight w:val="none"/>
        </w:rPr>
      </w:pPr>
    </w:p>
    <w:p>
      <w:pPr>
        <w:pStyle w:val="16"/>
        <w:spacing w:line="360" w:lineRule="auto"/>
        <w:contextualSpacing/>
        <w:jc w:val="center"/>
        <w:rPr>
          <w:rFonts w:cs="宋体" w:asciiTheme="majorEastAsia" w:hAnsiTheme="majorEastAsia" w:eastAsiaTheme="majorEastAsia"/>
          <w:b/>
          <w:kern w:val="0"/>
          <w:sz w:val="36"/>
          <w:szCs w:val="36"/>
          <w:highlight w:val="none"/>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pStyle w:val="16"/>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第八章 投标文件有关格式</w:t>
      </w:r>
    </w:p>
    <w:p>
      <w:pPr>
        <w:autoSpaceDE w:val="0"/>
        <w:autoSpaceDN w:val="0"/>
        <w:adjustRightInd w:val="0"/>
        <w:spacing w:line="700" w:lineRule="exact"/>
        <w:ind w:firstLine="551"/>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2"/>
          <w:szCs w:val="32"/>
        </w:rPr>
        <w:t>（如涉及本项目的提供）</w:t>
      </w:r>
    </w:p>
    <w:p>
      <w:pPr>
        <w:autoSpaceDE w:val="0"/>
        <w:autoSpaceDN w:val="0"/>
        <w:adjustRightInd w:val="0"/>
        <w:spacing w:line="700" w:lineRule="exact"/>
        <w:ind w:firstLine="551"/>
        <w:jc w:val="center"/>
        <w:rPr>
          <w:rFonts w:cs="黑体" w:asciiTheme="minorEastAsia" w:hAnsiTheme="minorEastAsia"/>
          <w:b/>
          <w:bCs/>
          <w:sz w:val="44"/>
          <w:szCs w:val="44"/>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pStyle w:val="12"/>
        <w:rPr>
          <w:rFonts w:cs="黑体" w:asciiTheme="minorEastAsia" w:hAnsiTheme="minorEastAsia"/>
          <w:b/>
          <w:bCs/>
          <w:sz w:val="44"/>
          <w:szCs w:val="44"/>
          <w:lang w:val="zh-CN"/>
        </w:rPr>
      </w:pPr>
    </w:p>
    <w:p>
      <w:pPr>
        <w:pStyle w:val="12"/>
        <w:rPr>
          <w:rFonts w:cs="黑体" w:asciiTheme="minorEastAsia" w:hAnsiTheme="minorEastAsia"/>
          <w:b/>
          <w:bCs/>
          <w:sz w:val="44"/>
          <w:szCs w:val="44"/>
          <w:lang w:val="zh-CN"/>
        </w:rPr>
      </w:pPr>
    </w:p>
    <w:p>
      <w:pPr>
        <w:pStyle w:val="54"/>
        <w:numPr>
          <w:ilvl w:val="0"/>
          <w:numId w:val="0"/>
        </w:numPr>
        <w:tabs>
          <w:tab w:val="left" w:pos="660"/>
        </w:tabs>
        <w:snapToGrid w:val="0"/>
        <w:spacing w:before="0" w:line="400" w:lineRule="exact"/>
        <w:rPr>
          <w:rFonts w:cs="黑体"/>
          <w:color w:val="auto"/>
          <w:kern w:val="2"/>
          <w:sz w:val="28"/>
          <w:szCs w:val="28"/>
          <w:lang w:val="zh-CN"/>
        </w:rPr>
      </w:pPr>
      <w:r>
        <w:rPr>
          <w:rFonts w:hint="eastAsia" w:cs="黑体"/>
          <w:color w:val="auto"/>
          <w:kern w:val="2"/>
          <w:sz w:val="28"/>
          <w:szCs w:val="28"/>
          <w:lang w:val="zh-CN"/>
        </w:rPr>
        <w:t>一、供应商应答索引表</w:t>
      </w:r>
    </w:p>
    <w:tbl>
      <w:tblPr>
        <w:tblStyle w:val="25"/>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709"/>
        <w:gridCol w:w="284"/>
        <w:gridCol w:w="1984"/>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gridSpan w:val="4"/>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供应商应答</w:t>
            </w:r>
          </w:p>
          <w:p>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gridSpan w:val="4"/>
            <w:noWrap w:val="0"/>
            <w:vAlign w:val="center"/>
          </w:tcPr>
          <w:p>
            <w:pPr>
              <w:pStyle w:val="16"/>
              <w:kinsoku w:val="0"/>
              <w:overflowPunct w:val="0"/>
              <w:autoSpaceDE w:val="0"/>
              <w:autoSpaceDN w:val="0"/>
              <w:spacing w:line="320" w:lineRule="exact"/>
              <w:rPr>
                <w:rFonts w:hAnsi="宋体" w:eastAsia="宋体" w:cs="微软雅黑"/>
                <w:b w:val="0"/>
                <w:bCs/>
                <w:sz w:val="21"/>
              </w:rPr>
            </w:pPr>
            <w:r>
              <w:rPr>
                <w:rFonts w:hint="eastAsia" w:hAnsi="宋体" w:eastAsia="宋体" w:cs="Courier New"/>
                <w:b w:val="0"/>
                <w:bCs/>
                <w:sz w:val="21"/>
              </w:rPr>
              <w:t>供应商应答索引表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gridSpan w:val="4"/>
            <w:noWrap w:val="0"/>
            <w:vAlign w:val="center"/>
          </w:tcPr>
          <w:p>
            <w:pPr>
              <w:pStyle w:val="16"/>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sz w:val="21"/>
              </w:rPr>
              <w:t>报价一览表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gridSpan w:val="4"/>
            <w:noWrap w:val="0"/>
            <w:vAlign w:val="center"/>
          </w:tcPr>
          <w:p>
            <w:pPr>
              <w:pStyle w:val="16"/>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sz w:val="21"/>
              </w:rPr>
              <w:t>投标函</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gridSpan w:val="4"/>
            <w:noWrap w:val="0"/>
            <w:vAlign w:val="center"/>
          </w:tcPr>
          <w:p>
            <w:pPr>
              <w:pStyle w:val="16"/>
              <w:kinsoku w:val="0"/>
              <w:overflowPunct w:val="0"/>
              <w:autoSpaceDE w:val="0"/>
              <w:autoSpaceDN w:val="0"/>
              <w:spacing w:line="320" w:lineRule="exact"/>
              <w:rPr>
                <w:rFonts w:hAnsi="宋体" w:eastAsia="宋体" w:cs="Courier New"/>
                <w:b w:val="0"/>
                <w:bCs/>
                <w:sz w:val="21"/>
              </w:rPr>
            </w:pPr>
            <w:r>
              <w:rPr>
                <w:rFonts w:hint="eastAsia" w:hAnsi="宋体" w:eastAsia="宋体" w:cs="宋体"/>
                <w:b w:val="0"/>
                <w:bCs/>
                <w:kern w:val="2"/>
                <w:sz w:val="21"/>
                <w:lang w:val="zh-CN"/>
              </w:rPr>
              <w:t>法定代表人（单位负责人）</w:t>
            </w:r>
            <w:r>
              <w:rPr>
                <w:rFonts w:hAnsi="宋体" w:eastAsia="宋体" w:cs="宋体"/>
                <w:b w:val="0"/>
                <w:bCs/>
                <w:kern w:val="2"/>
                <w:sz w:val="21"/>
                <w:lang w:val="zh-CN"/>
              </w:rPr>
              <w:t>资</w:t>
            </w:r>
            <w:r>
              <w:rPr>
                <w:rFonts w:hint="eastAsia" w:hAnsi="宋体" w:eastAsia="宋体" w:cs="宋体"/>
                <w:b w:val="0"/>
                <w:bCs/>
                <w:kern w:val="2"/>
                <w:sz w:val="21"/>
                <w:lang w:val="zh-CN"/>
              </w:rPr>
              <w:t>格</w:t>
            </w:r>
            <w:r>
              <w:rPr>
                <w:rFonts w:hAnsi="宋体" w:eastAsia="宋体" w:cs="宋体"/>
                <w:b w:val="0"/>
                <w:bCs/>
                <w:kern w:val="2"/>
                <w:sz w:val="21"/>
                <w:lang w:val="zh-CN"/>
              </w:rPr>
              <w:t>证</w:t>
            </w:r>
            <w:r>
              <w:rPr>
                <w:rFonts w:hint="eastAsia" w:hAnsi="宋体" w:eastAsia="宋体" w:cs="宋体"/>
                <w:b w:val="0"/>
                <w:bCs/>
                <w:kern w:val="2"/>
                <w:sz w:val="21"/>
                <w:lang w:val="zh-CN"/>
              </w:rPr>
              <w:t>明</w:t>
            </w:r>
            <w:r>
              <w:rPr>
                <w:rFonts w:hAnsi="宋体" w:eastAsia="宋体" w:cs="宋体"/>
                <w:b w:val="0"/>
                <w:bCs/>
                <w:kern w:val="2"/>
                <w:sz w:val="21"/>
                <w:lang w:val="zh-CN"/>
              </w:rPr>
              <w:t>书</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gridSpan w:val="4"/>
            <w:noWrap w:val="0"/>
            <w:vAlign w:val="center"/>
          </w:tcPr>
          <w:p>
            <w:pPr>
              <w:pStyle w:val="16"/>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sz w:val="21"/>
              </w:rPr>
              <w:t>法定代表人（单位负责人）授权书</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gridSpan w:val="4"/>
            <w:noWrap w:val="0"/>
            <w:vAlign w:val="center"/>
          </w:tcPr>
          <w:p>
            <w:pPr>
              <w:pStyle w:val="16"/>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sz w:val="21"/>
              </w:rPr>
              <w:t>营业执照等证明</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3751" w:type="dxa"/>
            <w:gridSpan w:val="4"/>
            <w:noWrap w:val="0"/>
            <w:vAlign w:val="center"/>
          </w:tcPr>
          <w:p>
            <w:pPr>
              <w:pStyle w:val="16"/>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kern w:val="2"/>
                <w:sz w:val="21"/>
              </w:rPr>
              <w:t>依法纳税凭据复印件</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restart"/>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774" w:type="dxa"/>
            <w:vMerge w:val="restart"/>
            <w:tcBorders>
              <w:right w:val="single" w:color="auto" w:sz="4" w:space="0"/>
            </w:tcBorders>
            <w:noWrap w:val="0"/>
            <w:vAlign w:val="center"/>
          </w:tcPr>
          <w:p>
            <w:pPr>
              <w:snapToGrid w:val="0"/>
              <w:spacing w:line="400" w:lineRule="exact"/>
              <w:jc w:val="center"/>
              <w:rPr>
                <w:rFonts w:ascii="宋体" w:hAnsi="宋体" w:cs="微软雅黑"/>
                <w:szCs w:val="21"/>
              </w:rPr>
            </w:pPr>
            <w:r>
              <w:rPr>
                <w:rFonts w:hint="eastAsia" w:ascii="宋体" w:hAnsi="宋体" w:cs="微软雅黑"/>
                <w:szCs w:val="21"/>
              </w:rPr>
              <w:t>财务状况报告</w:t>
            </w:r>
          </w:p>
        </w:tc>
        <w:tc>
          <w:tcPr>
            <w:tcW w:w="709" w:type="dxa"/>
            <w:vMerge w:val="restart"/>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经审计财务报告</w:t>
            </w: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资产负债表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709" w:type="dxa"/>
            <w:vMerge w:val="continue"/>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利润表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709" w:type="dxa"/>
            <w:vMerge w:val="continue"/>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现金流量表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709" w:type="dxa"/>
            <w:vMerge w:val="continue"/>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所有者权益变动表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709" w:type="dxa"/>
            <w:vMerge w:val="continue"/>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附注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基本开户银行资信证明</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银行资信证明</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政府采购投标担保函</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gridSpan w:val="4"/>
            <w:noWrap w:val="0"/>
            <w:vAlign w:val="center"/>
          </w:tcPr>
          <w:p>
            <w:pPr>
              <w:snapToGrid w:val="0"/>
              <w:spacing w:line="400" w:lineRule="exact"/>
              <w:rPr>
                <w:rFonts w:ascii="宋体" w:hAnsi="宋体" w:cs="微软雅黑"/>
                <w:szCs w:val="21"/>
              </w:rPr>
            </w:pPr>
            <w:r>
              <w:rPr>
                <w:rFonts w:hint="eastAsia" w:ascii="宋体" w:hAnsi="宋体"/>
                <w:bCs/>
                <w:szCs w:val="21"/>
              </w:rPr>
              <w:t>依法缴纳社会保险凭据复印件</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restart"/>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774" w:type="dxa"/>
            <w:vMerge w:val="restart"/>
            <w:tcBorders>
              <w:right w:val="single" w:color="auto" w:sz="6" w:space="0"/>
            </w:tcBorders>
            <w:noWrap w:val="0"/>
            <w:vAlign w:val="center"/>
          </w:tcPr>
          <w:p>
            <w:pPr>
              <w:snapToGrid w:val="0"/>
              <w:spacing w:line="400" w:lineRule="exact"/>
              <w:jc w:val="center"/>
              <w:rPr>
                <w:rFonts w:ascii="宋体" w:hAnsi="宋体" w:cs="微软雅黑"/>
                <w:szCs w:val="21"/>
              </w:rPr>
            </w:pPr>
            <w:r>
              <w:rPr>
                <w:rFonts w:hint="eastAsia" w:ascii="宋体" w:hAnsi="宋体" w:cs="微软雅黑"/>
                <w:szCs w:val="21"/>
              </w:rPr>
              <w:t>履行合同能力</w:t>
            </w:r>
          </w:p>
        </w:tc>
        <w:tc>
          <w:tcPr>
            <w:tcW w:w="709" w:type="dxa"/>
            <w:vMerge w:val="restart"/>
            <w:tcBorders>
              <w:left w:val="single" w:color="auto" w:sz="6" w:space="0"/>
              <w:right w:val="single" w:color="auto" w:sz="6" w:space="0"/>
            </w:tcBorders>
            <w:noWrap w:val="0"/>
            <w:vAlign w:val="center"/>
          </w:tcPr>
          <w:p>
            <w:pPr>
              <w:snapToGrid w:val="0"/>
              <w:spacing w:line="400" w:lineRule="exact"/>
              <w:jc w:val="left"/>
              <w:rPr>
                <w:rFonts w:ascii="宋体" w:hAnsi="宋体" w:cs="微软雅黑"/>
                <w:szCs w:val="21"/>
              </w:rPr>
            </w:pPr>
            <w:r>
              <w:rPr>
                <w:rFonts w:hint="eastAsia" w:ascii="宋体" w:hAnsi="宋体" w:cs="微软雅黑"/>
                <w:szCs w:val="21"/>
              </w:rPr>
              <w:t>证明材料</w:t>
            </w: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设备购置发票</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noWrap w:val="0"/>
            <w:vAlign w:val="center"/>
          </w:tcPr>
          <w:p>
            <w:pPr>
              <w:pStyle w:val="16"/>
              <w:kinsoku w:val="0"/>
              <w:overflowPunct w:val="0"/>
              <w:autoSpaceDE w:val="0"/>
              <w:autoSpaceDN w:val="0"/>
              <w:spacing w:line="320" w:lineRule="exact"/>
              <w:rPr>
                <w:rFonts w:hAnsi="宋体" w:cs="微软雅黑"/>
                <w:bCs/>
                <w:sz w:val="21"/>
              </w:rPr>
            </w:pPr>
          </w:p>
        </w:tc>
        <w:tc>
          <w:tcPr>
            <w:tcW w:w="709" w:type="dxa"/>
            <w:vMerge w:val="continue"/>
            <w:tcBorders>
              <w:left w:val="single" w:color="auto" w:sz="6" w:space="0"/>
              <w:right w:val="single" w:color="auto" w:sz="6" w:space="0"/>
            </w:tcBorders>
            <w:noWrap w:val="0"/>
            <w:vAlign w:val="center"/>
          </w:tcPr>
          <w:p>
            <w:pPr>
              <w:pStyle w:val="16"/>
              <w:kinsoku w:val="0"/>
              <w:overflowPunct w:val="0"/>
              <w:autoSpaceDE w:val="0"/>
              <w:autoSpaceDN w:val="0"/>
              <w:spacing w:line="320" w:lineRule="exact"/>
              <w:rPr>
                <w:rFonts w:hAnsi="宋体" w:cs="微软雅黑"/>
                <w:bCs/>
                <w:sz w:val="21"/>
              </w:rPr>
            </w:pPr>
          </w:p>
        </w:tc>
        <w:tc>
          <w:tcPr>
            <w:tcW w:w="2268" w:type="dxa"/>
            <w:gridSpan w:val="2"/>
            <w:tcBorders>
              <w:left w:val="single" w:color="auto" w:sz="6" w:space="0"/>
            </w:tcBorders>
            <w:noWrap w:val="0"/>
            <w:vAlign w:val="center"/>
          </w:tcPr>
          <w:p>
            <w:pPr>
              <w:pStyle w:val="16"/>
              <w:kinsoku w:val="0"/>
              <w:overflowPunct w:val="0"/>
              <w:autoSpaceDE w:val="0"/>
              <w:autoSpaceDN w:val="0"/>
              <w:spacing w:line="320" w:lineRule="exact"/>
              <w:rPr>
                <w:rFonts w:hAnsi="宋体" w:eastAsia="宋体" w:cs="微软雅黑"/>
                <w:b w:val="0"/>
                <w:sz w:val="21"/>
              </w:rPr>
            </w:pPr>
            <w:r>
              <w:rPr>
                <w:rFonts w:hint="eastAsia" w:hAnsi="宋体" w:eastAsia="宋体" w:cs="微软雅黑"/>
                <w:b w:val="0"/>
                <w:sz w:val="21"/>
              </w:rPr>
              <w:t>技术人员职称证书</w:t>
            </w:r>
          </w:p>
        </w:tc>
        <w:tc>
          <w:tcPr>
            <w:tcW w:w="1559" w:type="dxa"/>
            <w:noWrap w:val="0"/>
            <w:vAlign w:val="center"/>
          </w:tcPr>
          <w:p>
            <w:pPr>
              <w:pStyle w:val="16"/>
              <w:rPr>
                <w:rFonts w:cs="Courier New"/>
                <w:kern w:val="2"/>
                <w:sz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pStyle w:val="16"/>
              <w:kinsoku w:val="0"/>
              <w:overflowPunct w:val="0"/>
              <w:autoSpaceDE w:val="0"/>
              <w:autoSpaceDN w:val="0"/>
              <w:spacing w:line="320" w:lineRule="exact"/>
              <w:rPr>
                <w:rFonts w:hAnsi="宋体" w:cs="微软雅黑"/>
                <w:bCs/>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noWrap w:val="0"/>
            <w:vAlign w:val="center"/>
          </w:tcPr>
          <w:p>
            <w:pPr>
              <w:pStyle w:val="16"/>
              <w:kinsoku w:val="0"/>
              <w:overflowPunct w:val="0"/>
              <w:autoSpaceDE w:val="0"/>
              <w:autoSpaceDN w:val="0"/>
              <w:spacing w:line="320" w:lineRule="exact"/>
              <w:rPr>
                <w:rFonts w:hAnsi="宋体" w:cs="微软雅黑"/>
                <w:bCs/>
                <w:sz w:val="21"/>
              </w:rPr>
            </w:pPr>
          </w:p>
        </w:tc>
        <w:tc>
          <w:tcPr>
            <w:tcW w:w="709" w:type="dxa"/>
            <w:vMerge w:val="continue"/>
            <w:tcBorders>
              <w:left w:val="single" w:color="auto" w:sz="6" w:space="0"/>
              <w:right w:val="single" w:color="auto" w:sz="6" w:space="0"/>
            </w:tcBorders>
            <w:noWrap w:val="0"/>
            <w:vAlign w:val="center"/>
          </w:tcPr>
          <w:p>
            <w:pPr>
              <w:pStyle w:val="16"/>
              <w:kinsoku w:val="0"/>
              <w:overflowPunct w:val="0"/>
              <w:autoSpaceDE w:val="0"/>
              <w:autoSpaceDN w:val="0"/>
              <w:spacing w:line="320" w:lineRule="exact"/>
              <w:rPr>
                <w:rFonts w:hAnsi="宋体" w:cs="微软雅黑"/>
                <w:bCs/>
                <w:sz w:val="21"/>
              </w:rPr>
            </w:pPr>
          </w:p>
        </w:tc>
        <w:tc>
          <w:tcPr>
            <w:tcW w:w="2268" w:type="dxa"/>
            <w:gridSpan w:val="2"/>
            <w:tcBorders>
              <w:left w:val="single" w:color="auto" w:sz="6" w:space="0"/>
            </w:tcBorders>
            <w:noWrap w:val="0"/>
            <w:vAlign w:val="center"/>
          </w:tcPr>
          <w:p>
            <w:pPr>
              <w:pStyle w:val="16"/>
              <w:kinsoku w:val="0"/>
              <w:overflowPunct w:val="0"/>
              <w:autoSpaceDE w:val="0"/>
              <w:autoSpaceDN w:val="0"/>
              <w:spacing w:line="320" w:lineRule="exact"/>
              <w:rPr>
                <w:rFonts w:hAnsi="宋体" w:eastAsia="宋体" w:cs="微软雅黑"/>
                <w:b w:val="0"/>
                <w:sz w:val="21"/>
              </w:rPr>
            </w:pPr>
            <w:r>
              <w:rPr>
                <w:rFonts w:hint="eastAsia" w:hAnsi="宋体" w:eastAsia="宋体" w:cs="微软雅黑"/>
                <w:b w:val="0"/>
                <w:sz w:val="21"/>
              </w:rPr>
              <w:t>用工合同</w:t>
            </w:r>
          </w:p>
        </w:tc>
        <w:tc>
          <w:tcPr>
            <w:tcW w:w="1559" w:type="dxa"/>
            <w:noWrap w:val="0"/>
            <w:vAlign w:val="center"/>
          </w:tcPr>
          <w:p>
            <w:pPr>
              <w:pStyle w:val="16"/>
              <w:rPr>
                <w:rFonts w:cs="Courier New"/>
                <w:kern w:val="2"/>
                <w:sz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pStyle w:val="16"/>
              <w:kinsoku w:val="0"/>
              <w:overflowPunct w:val="0"/>
              <w:autoSpaceDE w:val="0"/>
              <w:autoSpaceDN w:val="0"/>
              <w:spacing w:line="320" w:lineRule="exact"/>
              <w:rPr>
                <w:rFonts w:hAnsi="宋体" w:cs="微软雅黑"/>
                <w:bCs/>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noWrap w:val="0"/>
            <w:vAlign w:val="center"/>
          </w:tcPr>
          <w:p>
            <w:pPr>
              <w:numPr>
                <w:ilvl w:val="0"/>
                <w:numId w:val="37"/>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noWrap w:val="0"/>
            <w:vAlign w:val="center"/>
          </w:tcPr>
          <w:p>
            <w:pPr>
              <w:pStyle w:val="16"/>
              <w:kinsoku w:val="0"/>
              <w:overflowPunct w:val="0"/>
              <w:autoSpaceDE w:val="0"/>
              <w:autoSpaceDN w:val="0"/>
              <w:spacing w:line="320" w:lineRule="exact"/>
              <w:rPr>
                <w:rFonts w:hAnsi="宋体" w:cs="微软雅黑"/>
                <w:bCs/>
                <w:sz w:val="21"/>
              </w:rPr>
            </w:pPr>
          </w:p>
        </w:tc>
        <w:tc>
          <w:tcPr>
            <w:tcW w:w="2977" w:type="dxa"/>
            <w:gridSpan w:val="3"/>
            <w:tcBorders>
              <w:left w:val="single" w:color="auto" w:sz="6" w:space="0"/>
            </w:tcBorders>
            <w:noWrap w:val="0"/>
            <w:vAlign w:val="center"/>
          </w:tcPr>
          <w:p>
            <w:pPr>
              <w:pStyle w:val="16"/>
              <w:kinsoku w:val="0"/>
              <w:overflowPunct w:val="0"/>
              <w:autoSpaceDE w:val="0"/>
              <w:autoSpaceDN w:val="0"/>
              <w:spacing w:line="320" w:lineRule="exact"/>
              <w:rPr>
                <w:rFonts w:hAnsi="宋体" w:eastAsia="宋体" w:cs="微软雅黑"/>
                <w:b w:val="0"/>
                <w:sz w:val="21"/>
              </w:rPr>
            </w:pPr>
            <w:r>
              <w:rPr>
                <w:rFonts w:hint="eastAsia" w:hAnsi="宋体" w:eastAsia="宋体" w:cs="Courier New"/>
                <w:b w:val="0"/>
                <w:kern w:val="2"/>
                <w:sz w:val="21"/>
              </w:rPr>
              <w:t>供应商相关承诺函或声明</w:t>
            </w:r>
          </w:p>
        </w:tc>
        <w:tc>
          <w:tcPr>
            <w:tcW w:w="1559" w:type="dxa"/>
            <w:noWrap w:val="0"/>
            <w:vAlign w:val="center"/>
          </w:tcPr>
          <w:p>
            <w:pPr>
              <w:pStyle w:val="16"/>
              <w:rPr>
                <w:rFonts w:cs="Courier New"/>
                <w:kern w:val="2"/>
                <w:sz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gridSpan w:val="4"/>
            <w:noWrap w:val="0"/>
            <w:vAlign w:val="center"/>
          </w:tcPr>
          <w:p>
            <w:pPr>
              <w:pStyle w:val="16"/>
              <w:kinsoku w:val="0"/>
              <w:overflowPunct w:val="0"/>
              <w:autoSpaceDE w:val="0"/>
              <w:autoSpaceDN w:val="0"/>
              <w:spacing w:line="320" w:lineRule="exact"/>
              <w:rPr>
                <w:rFonts w:hAnsi="宋体" w:eastAsia="宋体" w:cs="微软雅黑"/>
                <w:b w:val="0"/>
                <w:sz w:val="21"/>
              </w:rPr>
            </w:pPr>
            <w:r>
              <w:rPr>
                <w:rFonts w:hint="eastAsia" w:hAnsi="宋体" w:eastAsia="宋体" w:cs="Courier New"/>
                <w:b w:val="0"/>
                <w:sz w:val="21"/>
              </w:rPr>
              <w:t>没有重大违法记录的声明</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gridSpan w:val="4"/>
            <w:noWrap w:val="0"/>
            <w:vAlign w:val="center"/>
          </w:tcPr>
          <w:p>
            <w:pPr>
              <w:pStyle w:val="16"/>
              <w:kinsoku w:val="0"/>
              <w:overflowPunct w:val="0"/>
              <w:autoSpaceDE w:val="0"/>
              <w:autoSpaceDN w:val="0"/>
              <w:spacing w:line="320" w:lineRule="exact"/>
              <w:rPr>
                <w:rFonts w:hAnsi="宋体" w:eastAsia="宋体" w:cs="Courier New"/>
                <w:b w:val="0"/>
                <w:sz w:val="21"/>
              </w:rPr>
            </w:pPr>
            <w:r>
              <w:rPr>
                <w:rFonts w:hint="eastAsia" w:hAnsi="宋体" w:eastAsia="宋体" w:cs="微软雅黑"/>
                <w:b w:val="0"/>
                <w:bCs/>
                <w:sz w:val="21"/>
              </w:rPr>
              <w:t>供应商须具备的特殊资质证书</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gridSpan w:val="4"/>
            <w:noWrap w:val="0"/>
            <w:vAlign w:val="center"/>
          </w:tcPr>
          <w:p>
            <w:pPr>
              <w:pStyle w:val="16"/>
              <w:kinsoku w:val="0"/>
              <w:overflowPunct w:val="0"/>
              <w:autoSpaceDE w:val="0"/>
              <w:autoSpaceDN w:val="0"/>
              <w:spacing w:line="320" w:lineRule="exact"/>
              <w:rPr>
                <w:rFonts w:hAnsi="宋体" w:eastAsia="宋体" w:cs="微软雅黑"/>
                <w:b w:val="0"/>
                <w:sz w:val="21"/>
              </w:rPr>
            </w:pPr>
            <w:r>
              <w:rPr>
                <w:rFonts w:hint="eastAsia" w:hAnsi="宋体" w:eastAsia="宋体" w:cs="宋体"/>
                <w:b w:val="0"/>
                <w:kern w:val="2"/>
                <w:sz w:val="21"/>
                <w:lang w:val="zh-CN"/>
              </w:rPr>
              <w:t>投标承诺函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bCs/>
                <w:szCs w:val="21"/>
                <w:lang w:val="zh-CN"/>
              </w:rPr>
            </w:pPr>
            <w:r>
              <w:rPr>
                <w:rFonts w:hint="eastAsia" w:ascii="宋体" w:hAnsi="宋体" w:cs="宋体"/>
                <w:bCs/>
                <w:szCs w:val="21"/>
                <w:lang w:val="zh-CN"/>
              </w:rPr>
              <w:t>14</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联合体协议</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bCs/>
                <w:szCs w:val="21"/>
                <w:lang w:val="zh-CN"/>
              </w:rPr>
            </w:pPr>
            <w:r>
              <w:rPr>
                <w:rFonts w:hint="eastAsia" w:ascii="宋体" w:hAnsi="宋体" w:cs="宋体"/>
                <w:bCs/>
                <w:szCs w:val="21"/>
                <w:lang w:val="zh-CN"/>
              </w:rPr>
              <w:t>15</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供应商与参加本项目投标的其他供应商之间，单位负责人不为同一人并且不存在直接控股、管理关系承诺函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16</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供应商未为本项目提供整体设计、规范编制或者项目管理、监理、检测等服务承诺函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gridSpan w:val="4"/>
            <w:tcBorders>
              <w:top w:val="double" w:color="auto" w:sz="4" w:space="0"/>
            </w:tcBorders>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投标分项报价表</w:t>
            </w:r>
          </w:p>
        </w:tc>
        <w:tc>
          <w:tcPr>
            <w:tcW w:w="1559" w:type="dxa"/>
            <w:tcBorders>
              <w:top w:val="double" w:color="auto" w:sz="4" w:space="0"/>
            </w:tcBorders>
            <w:noWrap w:val="0"/>
            <w:vAlign w:val="center"/>
          </w:tcPr>
          <w:p>
            <w:pPr>
              <w:jc w:val="center"/>
              <w:rPr>
                <w:szCs w:val="21"/>
              </w:rPr>
            </w:pPr>
          </w:p>
        </w:tc>
        <w:tc>
          <w:tcPr>
            <w:tcW w:w="1560" w:type="dxa"/>
            <w:tcBorders>
              <w:top w:val="double" w:color="auto" w:sz="4" w:space="0"/>
            </w:tcBorders>
            <w:noWrap w:val="0"/>
            <w:vAlign w:val="center"/>
          </w:tcPr>
          <w:p>
            <w:pPr>
              <w:snapToGrid w:val="0"/>
              <w:spacing w:line="400" w:lineRule="exact"/>
              <w:rPr>
                <w:rFonts w:ascii="宋体" w:hAnsi="宋体" w:cs="微软雅黑"/>
                <w:szCs w:val="21"/>
              </w:rPr>
            </w:pPr>
          </w:p>
        </w:tc>
        <w:tc>
          <w:tcPr>
            <w:tcW w:w="2018" w:type="dxa"/>
            <w:tcBorders>
              <w:top w:val="double" w:color="auto" w:sz="4" w:space="0"/>
            </w:tcBorders>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技术规格偏离表</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技术方案（演出方案）</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服务方案</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业绩情况表</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政府强制采购节能产品品目清单情况</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优先采购节能产品政府采购品目清单情况</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24</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优先采购环境标志产品政府采购品目清单情况</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25</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中小企业声明函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26</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残疾人福利性单位声明函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27</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监狱企业证明文件</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28</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CCC强制性产品认证</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468" w:type="dxa"/>
            <w:vMerge w:val="restart"/>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29</w:t>
            </w:r>
          </w:p>
        </w:tc>
        <w:tc>
          <w:tcPr>
            <w:tcW w:w="1767" w:type="dxa"/>
            <w:gridSpan w:val="3"/>
            <w:vMerge w:val="restart"/>
            <w:noWrap w:val="0"/>
            <w:vAlign w:val="center"/>
          </w:tcPr>
          <w:p>
            <w:pPr>
              <w:rPr>
                <w:rFonts w:hint="eastAsia"/>
              </w:rPr>
            </w:pPr>
            <w:r>
              <w:rPr>
                <w:rFonts w:ascii="宋体" w:hAnsi="宋体" w:cs="宋体"/>
                <w:kern w:val="0"/>
                <w:szCs w:val="21"/>
              </w:rPr>
              <w:t>信息安全产品强制性认证</w:t>
            </w:r>
          </w:p>
        </w:tc>
        <w:tc>
          <w:tcPr>
            <w:tcW w:w="1984" w:type="dxa"/>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认证机构颁发的认证证书</w:t>
            </w:r>
          </w:p>
        </w:tc>
        <w:tc>
          <w:tcPr>
            <w:tcW w:w="1559" w:type="dxa"/>
            <w:vMerge w:val="restart"/>
            <w:noWrap w:val="0"/>
            <w:vAlign w:val="center"/>
          </w:tcPr>
          <w:p>
            <w:pPr>
              <w:jc w:val="center"/>
              <w:rPr>
                <w:szCs w:val="21"/>
              </w:rPr>
            </w:pPr>
          </w:p>
        </w:tc>
        <w:tc>
          <w:tcPr>
            <w:tcW w:w="1560" w:type="dxa"/>
            <w:vMerge w:val="restart"/>
            <w:tcBorders>
              <w:top w:val="single" w:color="auto" w:sz="4" w:space="0"/>
            </w:tcBorders>
            <w:noWrap w:val="0"/>
            <w:vAlign w:val="center"/>
          </w:tcPr>
          <w:p>
            <w:pPr>
              <w:snapToGrid w:val="0"/>
              <w:spacing w:line="400" w:lineRule="exact"/>
              <w:rPr>
                <w:rFonts w:ascii="宋体" w:hAnsi="宋体" w:cs="微软雅黑"/>
                <w:szCs w:val="21"/>
              </w:rPr>
            </w:pPr>
          </w:p>
        </w:tc>
        <w:tc>
          <w:tcPr>
            <w:tcW w:w="2018" w:type="dxa"/>
            <w:vMerge w:val="restart"/>
            <w:tcBorders>
              <w:top w:val="single" w:color="auto" w:sz="4" w:space="0"/>
            </w:tcBorders>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468" w:type="dxa"/>
            <w:vMerge w:val="continue"/>
            <w:noWrap w:val="0"/>
            <w:vAlign w:val="center"/>
          </w:tcPr>
          <w:p>
            <w:pPr>
              <w:adjustRightInd w:val="0"/>
              <w:snapToGrid w:val="0"/>
              <w:spacing w:line="400" w:lineRule="exact"/>
              <w:jc w:val="center"/>
              <w:textAlignment w:val="baseline"/>
              <w:rPr>
                <w:rFonts w:hint="eastAsia" w:ascii="宋体" w:hAnsi="宋体" w:cs="微软雅黑"/>
                <w:szCs w:val="21"/>
              </w:rPr>
            </w:pPr>
          </w:p>
        </w:tc>
        <w:tc>
          <w:tcPr>
            <w:tcW w:w="1767" w:type="dxa"/>
            <w:gridSpan w:val="3"/>
            <w:vMerge w:val="continue"/>
            <w:noWrap w:val="0"/>
            <w:vAlign w:val="center"/>
          </w:tcPr>
          <w:p>
            <w:pPr>
              <w:rPr>
                <w:rFonts w:ascii="宋体" w:hAnsi="宋体" w:cs="宋体"/>
                <w:kern w:val="0"/>
                <w:szCs w:val="21"/>
              </w:rPr>
            </w:pPr>
          </w:p>
        </w:tc>
        <w:tc>
          <w:tcPr>
            <w:tcW w:w="1984" w:type="dxa"/>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中国信息安全认证中心官网产品查询结果截图</w:t>
            </w:r>
          </w:p>
        </w:tc>
        <w:tc>
          <w:tcPr>
            <w:tcW w:w="1559" w:type="dxa"/>
            <w:vMerge w:val="continue"/>
            <w:noWrap w:val="0"/>
            <w:vAlign w:val="center"/>
          </w:tcPr>
          <w:p>
            <w:pPr>
              <w:jc w:val="center"/>
              <w:rPr>
                <w:szCs w:val="21"/>
              </w:rPr>
            </w:pPr>
          </w:p>
        </w:tc>
        <w:tc>
          <w:tcPr>
            <w:tcW w:w="1560" w:type="dxa"/>
            <w:vMerge w:val="continue"/>
            <w:noWrap w:val="0"/>
            <w:vAlign w:val="center"/>
          </w:tcPr>
          <w:p>
            <w:pPr>
              <w:snapToGrid w:val="0"/>
              <w:spacing w:line="400" w:lineRule="exact"/>
              <w:rPr>
                <w:rFonts w:ascii="宋体" w:hAnsi="宋体" w:cs="微软雅黑"/>
                <w:szCs w:val="21"/>
              </w:rPr>
            </w:pPr>
          </w:p>
        </w:tc>
        <w:tc>
          <w:tcPr>
            <w:tcW w:w="2018" w:type="dxa"/>
            <w:vMerge w:val="continue"/>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30</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国家级贫困县域注册地证明材料</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31</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扶贫部门出具的聘用建档立卡贫困人员身份证明</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32</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建档立卡贫困人员社保材料</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33</w:t>
            </w:r>
          </w:p>
        </w:tc>
        <w:tc>
          <w:tcPr>
            <w:tcW w:w="3751" w:type="dxa"/>
            <w:gridSpan w:val="4"/>
            <w:noWrap w:val="0"/>
            <w:vAlign w:val="center"/>
          </w:tcPr>
          <w:p>
            <w:pPr>
              <w:pStyle w:val="16"/>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其它资料</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bl>
    <w:p>
      <w:pPr>
        <w:tabs>
          <w:tab w:val="left" w:pos="1260"/>
        </w:tabs>
        <w:autoSpaceDE w:val="0"/>
        <w:autoSpaceDN w:val="0"/>
        <w:adjustRightInd w:val="0"/>
        <w:spacing w:line="360" w:lineRule="auto"/>
        <w:ind w:left="420" w:leftChars="-1" w:hanging="422" w:hangingChars="176"/>
        <w:contextualSpacing/>
        <w:rPr>
          <w:rFonts w:ascii="楷体" w:hAnsi="楷体" w:eastAsia="楷体"/>
          <w:sz w:val="24"/>
          <w:szCs w:val="24"/>
        </w:rPr>
      </w:pPr>
      <w:r>
        <w:rPr>
          <w:rFonts w:hint="eastAsia" w:ascii="楷体" w:hAnsi="楷体" w:eastAsia="楷体"/>
          <w:color w:val="000000"/>
          <w:sz w:val="24"/>
          <w:szCs w:val="24"/>
        </w:rPr>
        <w:t>注：</w:t>
      </w:r>
      <w:r>
        <w:rPr>
          <w:rFonts w:hint="eastAsia" w:ascii="楷体" w:hAnsi="楷体" w:eastAsia="楷体"/>
          <w:sz w:val="24"/>
          <w:szCs w:val="24"/>
        </w:rPr>
        <w:t>①本表序号8请按照本</w:t>
      </w:r>
      <w:r>
        <w:rPr>
          <w:rFonts w:hint="eastAsia" w:ascii="楷体" w:hAnsi="楷体" w:eastAsia="楷体"/>
          <w:sz w:val="24"/>
          <w:szCs w:val="24"/>
          <w:lang w:eastAsia="zh-CN"/>
        </w:rPr>
        <w:t>采购</w:t>
      </w:r>
      <w:r>
        <w:rPr>
          <w:rFonts w:hint="eastAsia" w:ascii="楷体" w:hAnsi="楷体" w:eastAsia="楷体"/>
          <w:sz w:val="24"/>
          <w:szCs w:val="24"/>
        </w:rPr>
        <w:t>文件 “第六章资格审查与评标”资格审查表中序号3要求，根据所提供经审计财务报告、基本开户银行资信证明、银行资信证明、政府采购投标担保函情况填写其中一项即可。</w:t>
      </w:r>
    </w:p>
    <w:p>
      <w:pPr>
        <w:tabs>
          <w:tab w:val="left" w:pos="1260"/>
        </w:tabs>
        <w:autoSpaceDE w:val="0"/>
        <w:autoSpaceDN w:val="0"/>
        <w:adjustRightInd w:val="0"/>
        <w:spacing w:line="360" w:lineRule="auto"/>
        <w:ind w:left="424" w:leftChars="202"/>
        <w:contextualSpacing/>
        <w:rPr>
          <w:rFonts w:ascii="楷体" w:hAnsi="楷体" w:eastAsia="楷体"/>
          <w:sz w:val="24"/>
          <w:szCs w:val="24"/>
        </w:rPr>
      </w:pPr>
      <w:r>
        <w:rPr>
          <w:rFonts w:hint="eastAsia" w:ascii="楷体" w:hAnsi="楷体" w:eastAsia="楷体"/>
          <w:sz w:val="24"/>
          <w:szCs w:val="24"/>
        </w:rPr>
        <w:t>②本表序号10请按照本</w:t>
      </w:r>
      <w:r>
        <w:rPr>
          <w:rFonts w:hint="eastAsia" w:ascii="楷体" w:hAnsi="楷体" w:eastAsia="楷体"/>
          <w:sz w:val="24"/>
          <w:szCs w:val="24"/>
          <w:lang w:eastAsia="zh-CN"/>
        </w:rPr>
        <w:t>采购</w:t>
      </w:r>
      <w:r>
        <w:rPr>
          <w:rFonts w:hint="eastAsia" w:ascii="楷体" w:hAnsi="楷体" w:eastAsia="楷体"/>
          <w:sz w:val="24"/>
          <w:szCs w:val="24"/>
        </w:rPr>
        <w:t>文件 “第六章资格审查与评标”资格审查表中序号6要求提供，根据所提供证明材料或承诺函（声明）情况填写其中一项即可。</w:t>
      </w:r>
    </w:p>
    <w:p>
      <w:pPr>
        <w:tabs>
          <w:tab w:val="left" w:pos="1260"/>
        </w:tabs>
        <w:autoSpaceDE w:val="0"/>
        <w:autoSpaceDN w:val="0"/>
        <w:adjustRightInd w:val="0"/>
        <w:spacing w:line="360" w:lineRule="auto"/>
        <w:ind w:left="424" w:leftChars="202"/>
        <w:contextualSpacing/>
        <w:rPr>
          <w:rFonts w:ascii="楷体" w:hAnsi="楷体" w:eastAsia="楷体"/>
          <w:sz w:val="24"/>
          <w:szCs w:val="24"/>
        </w:rPr>
      </w:pPr>
      <w:r>
        <w:rPr>
          <w:rFonts w:hint="eastAsia" w:ascii="楷体" w:hAnsi="楷体" w:eastAsia="楷体"/>
          <w:sz w:val="24"/>
          <w:szCs w:val="24"/>
        </w:rPr>
        <w:t>③本表序号29请根据所投产品提供证书或截图情况填写其中一项即可。</w:t>
      </w:r>
    </w:p>
    <w:p>
      <w:pPr>
        <w:tabs>
          <w:tab w:val="left" w:pos="1260"/>
        </w:tabs>
        <w:autoSpaceDE w:val="0"/>
        <w:autoSpaceDN w:val="0"/>
        <w:adjustRightInd w:val="0"/>
        <w:spacing w:line="360" w:lineRule="auto"/>
        <w:ind w:left="424" w:leftChars="202"/>
        <w:contextualSpacing/>
        <w:rPr>
          <w:rFonts w:ascii="楷体" w:hAnsi="楷体" w:eastAsia="楷体"/>
          <w:sz w:val="24"/>
          <w:szCs w:val="24"/>
        </w:rPr>
      </w:pPr>
      <w:r>
        <w:rPr>
          <w:rFonts w:ascii="楷体" w:hAnsi="楷体" w:eastAsia="楷体"/>
          <w:sz w:val="24"/>
          <w:szCs w:val="24"/>
        </w:rPr>
        <w:fldChar w:fldCharType="begin"/>
      </w:r>
      <w:r>
        <w:rPr>
          <w:rFonts w:hint="eastAsia" w:ascii="楷体" w:hAnsi="楷体" w:eastAsia="楷体"/>
          <w:sz w:val="24"/>
          <w:szCs w:val="24"/>
        </w:rPr>
        <w:instrText xml:space="preserve">= 4 \* GB3</w:instrText>
      </w:r>
      <w:r>
        <w:rPr>
          <w:rFonts w:ascii="楷体" w:hAnsi="楷体" w:eastAsia="楷体"/>
          <w:sz w:val="24"/>
          <w:szCs w:val="24"/>
        </w:rPr>
        <w:fldChar w:fldCharType="separate"/>
      </w:r>
      <w:r>
        <w:rPr>
          <w:rFonts w:hint="eastAsia" w:ascii="楷体" w:hAnsi="楷体" w:eastAsia="楷体"/>
          <w:sz w:val="24"/>
          <w:szCs w:val="24"/>
        </w:rPr>
        <w:t>④</w:t>
      </w:r>
      <w:r>
        <w:rPr>
          <w:rFonts w:ascii="楷体" w:hAnsi="楷体" w:eastAsia="楷体"/>
          <w:sz w:val="24"/>
          <w:szCs w:val="24"/>
        </w:rPr>
        <w:fldChar w:fldCharType="end"/>
      </w:r>
      <w:r>
        <w:rPr>
          <w:rFonts w:hint="eastAsia" w:ascii="楷体" w:hAnsi="楷体" w:eastAsia="楷体"/>
          <w:sz w:val="24"/>
          <w:szCs w:val="24"/>
        </w:rPr>
        <w:t>本表序号30-32仅适用于物业项目。</w:t>
      </w: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both"/>
        <w:rPr>
          <w:rFonts w:hint="eastAsia" w:asciiTheme="majorEastAsia" w:hAnsiTheme="majorEastAsia" w:eastAsiaTheme="majorEastAsia"/>
          <w:b/>
          <w:snapToGrid w:val="0"/>
          <w:kern w:val="0"/>
          <w:sz w:val="28"/>
          <w:szCs w:val="28"/>
        </w:rPr>
      </w:pPr>
    </w:p>
    <w:p>
      <w:pPr>
        <w:pStyle w:val="16"/>
        <w:spacing w:line="360" w:lineRule="auto"/>
        <w:jc w:val="both"/>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hint="eastAsia"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w:t>
      </w:r>
      <w:r>
        <w:rPr>
          <w:rFonts w:hint="eastAsia" w:asciiTheme="majorEastAsia" w:hAnsiTheme="majorEastAsia" w:eastAsiaTheme="majorEastAsia"/>
          <w:b/>
          <w:snapToGrid w:val="0"/>
          <w:kern w:val="0"/>
          <w:szCs w:val="24"/>
        </w:rPr>
        <w:t>开标一览表</w:t>
      </w:r>
    </w:p>
    <w:p>
      <w:pPr>
        <w:pStyle w:val="16"/>
        <w:spacing w:line="360" w:lineRule="auto"/>
        <w:jc w:val="center"/>
        <w:rPr>
          <w:rFonts w:asciiTheme="majorEastAsia" w:hAnsiTheme="majorEastAsia" w:eastAsiaTheme="majorEastAsia"/>
          <w:b/>
          <w:snapToGrid w:val="0"/>
          <w:kern w:val="0"/>
          <w:szCs w:val="24"/>
        </w:rPr>
      </w:pPr>
    </w:p>
    <w:p>
      <w:pPr>
        <w:pStyle w:val="16"/>
        <w:spacing w:line="360" w:lineRule="auto"/>
        <w:jc w:val="center"/>
        <w:rPr>
          <w:rFonts w:asciiTheme="majorEastAsia" w:hAnsiTheme="majorEastAsia" w:eastAsiaTheme="majorEastAsia"/>
          <w:b/>
          <w:snapToGrid w:val="0"/>
          <w:kern w:val="0"/>
          <w:sz w:val="28"/>
          <w:szCs w:val="28"/>
        </w:rPr>
      </w:pPr>
    </w:p>
    <w:p>
      <w:pPr>
        <w:pStyle w:val="16"/>
        <w:spacing w:line="360" w:lineRule="auto"/>
        <w:jc w:val="center"/>
        <w:rPr>
          <w:rFonts w:asciiTheme="majorEastAsia" w:hAnsiTheme="majorEastAsia" w:eastAsiaTheme="majorEastAsia"/>
          <w:b/>
          <w:snapToGrid w:val="0"/>
          <w:kern w:val="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pacing w:line="360" w:lineRule="auto"/>
        <w:contextualSpacing/>
        <w:rPr>
          <w:rFonts w:asciiTheme="minorEastAsia" w:hAnsiTheme="minorEastAsia"/>
          <w:color w:val="000000"/>
          <w:szCs w:val="21"/>
        </w:rPr>
      </w:pPr>
      <w:r>
        <w:rPr>
          <w:rFonts w:hint="eastAsia" w:asciiTheme="minorEastAsia" w:hAnsiTheme="minorEastAsia"/>
          <w:color w:val="000000"/>
          <w:szCs w:val="21"/>
        </w:rPr>
        <w:t xml:space="preserve">项目名称：                                                      </w:t>
      </w:r>
      <w:r>
        <w:rPr>
          <w:rFonts w:hint="eastAsia" w:cs="Arial" w:asciiTheme="minorEastAsia" w:hAnsiTheme="minorEastAsia"/>
          <w:szCs w:val="21"/>
        </w:rPr>
        <w:t>单位：元（人民币）</w:t>
      </w:r>
    </w:p>
    <w:tbl>
      <w:tblPr>
        <w:tblStyle w:val="25"/>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标包</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r>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bl>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lang w:val="zh-CN"/>
        </w:rPr>
        <w:t>投标人名称：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投标人法定代表人（单位负责人）或授权代表签字：</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日期：</w:t>
      </w:r>
      <w:r>
        <w:rPr>
          <w:rFonts w:cs="宋体" w:asciiTheme="minorEastAsia" w:hAnsiTheme="minorEastAsia"/>
          <w:szCs w:val="21"/>
          <w:highlight w:val="none"/>
          <w:lang w:val="zh-CN"/>
        </w:rPr>
        <w:t xml:space="preserve">    </w:t>
      </w:r>
      <w:r>
        <w:rPr>
          <w:rFonts w:hint="eastAsia" w:cs="宋体" w:asciiTheme="minorEastAsia" w:hAnsiTheme="minorEastAsia"/>
          <w:szCs w:val="21"/>
          <w:highlight w:val="none"/>
          <w:lang w:val="zh-CN"/>
        </w:rPr>
        <w:t>年</w:t>
      </w:r>
      <w:r>
        <w:rPr>
          <w:rFonts w:cs="宋体" w:asciiTheme="minorEastAsia" w:hAnsiTheme="minorEastAsia"/>
          <w:szCs w:val="21"/>
          <w:highlight w:val="none"/>
          <w:lang w:val="zh-CN"/>
        </w:rPr>
        <w:t xml:space="preserve">    </w:t>
      </w:r>
      <w:r>
        <w:rPr>
          <w:rFonts w:hint="eastAsia" w:cs="宋体" w:asciiTheme="minorEastAsia" w:hAnsiTheme="minorEastAsia"/>
          <w:szCs w:val="21"/>
          <w:highlight w:val="none"/>
          <w:lang w:val="zh-CN"/>
        </w:rPr>
        <w:t>月</w:t>
      </w:r>
      <w:r>
        <w:rPr>
          <w:rFonts w:cs="宋体" w:asciiTheme="minorEastAsia" w:hAnsiTheme="minorEastAsia"/>
          <w:szCs w:val="21"/>
          <w:highlight w:val="none"/>
          <w:lang w:val="zh-CN"/>
        </w:rPr>
        <w:t xml:space="preserve">    </w:t>
      </w:r>
      <w:r>
        <w:rPr>
          <w:rFonts w:hint="eastAsia" w:cs="宋体" w:asciiTheme="minorEastAsia" w:hAnsiTheme="minorEastAsia"/>
          <w:szCs w:val="21"/>
          <w:highlight w:val="none"/>
          <w:lang w:val="zh-CN"/>
        </w:rPr>
        <w:t>日</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注：1、交付日期指完成该项目的最终时间（日历天）。</w:t>
      </w: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lang w:val="zh-CN"/>
        </w:rPr>
        <w:t>2、如招标公告明确项目交付日期以年为单位，本表应填写完成该项目的年限。</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三、资格审查证明材料</w:t>
      </w: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pStyle w:val="2"/>
        <w:rPr>
          <w:rFonts w:hint="eastAsia" w:asciiTheme="majorEastAsia" w:hAnsiTheme="majorEastAsia" w:eastAsiaTheme="majorEastAsia"/>
          <w:b/>
          <w:snapToGrid w:val="0"/>
          <w:kern w:val="0"/>
          <w:szCs w:val="24"/>
        </w:rPr>
      </w:pPr>
    </w:p>
    <w:p>
      <w:pPr>
        <w:rPr>
          <w:rFonts w:hint="eastAsia"/>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w:t>
      </w:r>
      <w:r>
        <w:rPr>
          <w:rFonts w:hint="eastAsia" w:asciiTheme="majorEastAsia" w:hAnsiTheme="majorEastAsia" w:eastAsiaTheme="majorEastAsia"/>
          <w:b/>
          <w:snapToGrid w:val="0"/>
          <w:kern w:val="0"/>
          <w:szCs w:val="24"/>
          <w:lang w:val="en-US" w:eastAsia="zh-CN"/>
        </w:rPr>
        <w:t xml:space="preserve">                                 </w:t>
      </w:r>
      <w:r>
        <w:rPr>
          <w:rFonts w:hint="eastAsia" w:asciiTheme="majorEastAsia" w:hAnsiTheme="majorEastAsia" w:eastAsiaTheme="majorEastAsia"/>
          <w:b/>
          <w:snapToGrid w:val="0"/>
          <w:kern w:val="0"/>
          <w:szCs w:val="24"/>
        </w:rPr>
        <w:t>投 标 函</w:t>
      </w:r>
    </w:p>
    <w:p>
      <w:pPr>
        <w:adjustRightInd w:val="0"/>
        <w:spacing w:line="360" w:lineRule="auto"/>
        <w:contextualSpacing/>
        <w:rPr>
          <w:rFonts w:asciiTheme="minorEastAsia" w:hAnsiTheme="minorEastAsia"/>
          <w:b/>
          <w:snapToGrid w:val="0"/>
          <w:kern w:val="0"/>
          <w:szCs w:val="21"/>
        </w:rPr>
      </w:pPr>
      <w:r>
        <w:rPr>
          <w:rFonts w:hint="eastAsia" w:asciiTheme="majorEastAsia" w:hAnsiTheme="majorEastAsia" w:eastAsiaTheme="majorEastAsia"/>
          <w:b/>
          <w:snapToGrid w:val="0"/>
          <w:kern w:val="0"/>
          <w:szCs w:val="24"/>
        </w:rPr>
        <w:t xml:space="preserve"> </w:t>
      </w:r>
      <w:r>
        <w:rPr>
          <w:rFonts w:hint="eastAsia" w:asciiTheme="minorEastAsia" w:hAnsiTheme="minorEastAsia"/>
          <w:snapToGrid w:val="0"/>
          <w:kern w:val="0"/>
          <w:szCs w:val="21"/>
        </w:rPr>
        <w:t>致：</w:t>
      </w:r>
      <w:r>
        <w:rPr>
          <w:rFonts w:hint="eastAsia" w:asciiTheme="minorEastAsia" w:hAnsiTheme="minorEastAsia"/>
          <w:b/>
          <w:snapToGrid w:val="0"/>
          <w:kern w:val="0"/>
          <w:szCs w:val="21"/>
        </w:rPr>
        <w:t>（采购人）</w:t>
      </w:r>
    </w:p>
    <w:p>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_（项目名称、招标编号）采购的招标公告及投标邀请，_______（姓名和职务）被正式授权并代表投标人</w:t>
      </w:r>
      <w:r>
        <w:rPr>
          <w:rFonts w:hint="eastAsia" w:asciiTheme="minorEastAsia" w:hAnsiTheme="minorEastAsia"/>
          <w:snapToGrid w:val="0"/>
          <w:kern w:val="0"/>
          <w:szCs w:val="21"/>
          <w:u w:val="single"/>
        </w:rPr>
        <w:t xml:space="preserve">         </w:t>
      </w:r>
      <w:r>
        <w:rPr>
          <w:rFonts w:hint="eastAsia" w:asciiTheme="minorEastAsia" w:hAnsiTheme="minorEastAsia"/>
          <w:snapToGrid w:val="0"/>
          <w:kern w:val="0"/>
          <w:szCs w:val="21"/>
        </w:rPr>
        <w:t>（投标人名称、地址）提交。</w:t>
      </w:r>
    </w:p>
    <w:p>
      <w:pPr>
        <w:pStyle w:val="16"/>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w:t>
      </w:r>
      <w:r>
        <w:rPr>
          <w:rFonts w:asciiTheme="minorEastAsia" w:hAnsiTheme="minorEastAsia" w:eastAsiaTheme="minorEastAsia"/>
          <w:snapToGrid w:val="0"/>
          <w:kern w:val="0"/>
          <w:sz w:val="21"/>
          <w:szCs w:val="21"/>
          <w:u w:val="single"/>
        </w:rPr>
        <w:t xml:space="preserve">  </w:t>
      </w:r>
      <w:r>
        <w:rPr>
          <w:rFonts w:hint="eastAsia" w:asciiTheme="minorEastAsia" w:hAnsiTheme="minorEastAsia" w:eastAsiaTheme="minorEastAsia"/>
          <w:snapToGrid w:val="0"/>
          <w:kern w:val="0"/>
          <w:sz w:val="21"/>
          <w:szCs w:val="21"/>
          <w:u w:val="single"/>
        </w:rPr>
        <w:t xml:space="preserve">           </w:t>
      </w:r>
      <w:r>
        <w:rPr>
          <w:rFonts w:asciiTheme="minorEastAsia" w:hAnsiTheme="minorEastAsia" w:eastAsiaTheme="minorEastAsia"/>
          <w:snapToGrid w:val="0"/>
          <w:kern w:val="0"/>
          <w:sz w:val="21"/>
          <w:szCs w:val="21"/>
          <w:u w:val="single"/>
        </w:rPr>
        <w:t xml:space="preserve">  </w:t>
      </w:r>
      <w:r>
        <w:rPr>
          <w:rFonts w:hint="eastAsia" w:asciiTheme="minorEastAsia" w:hAnsiTheme="minorEastAsia" w:eastAsiaTheme="minorEastAsia"/>
          <w:snapToGrid w:val="0"/>
          <w:kern w:val="0"/>
          <w:sz w:val="21"/>
          <w:szCs w:val="21"/>
        </w:rPr>
        <w:t>（项目名称、招标编号）招标文件的全部内容。</w:t>
      </w:r>
    </w:p>
    <w:p>
      <w:pPr>
        <w:pStyle w:val="16"/>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Theme="minorEastAsia" w:hAnsiTheme="minorEastAsia" w:eastAsiaTheme="minorEastAsia"/>
          <w:sz w:val="21"/>
          <w:szCs w:val="21"/>
        </w:rPr>
        <w:t>已完全理解并接受招标文件的各项规定和要求及资金支付规定，对招标文件的合理性、合法性不再有异议。</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snapToGrid w:val="0"/>
          <w:kern w:val="0"/>
          <w:szCs w:val="21"/>
          <w:u w:val="single"/>
        </w:rPr>
        <w:t xml:space="preserve">     </w:t>
      </w:r>
      <w:r>
        <w:rPr>
          <w:rFonts w:hint="eastAsia" w:asciiTheme="minorEastAsia" w:hAnsiTheme="minorEastAsia"/>
          <w:i w:val="0"/>
          <w:iCs w:val="0"/>
          <w:snapToGrid w:val="0"/>
          <w:kern w:val="0"/>
          <w:szCs w:val="21"/>
          <w:u w:val="single"/>
        </w:rPr>
        <w:t xml:space="preserve"> (投标人名称)     </w:t>
      </w:r>
      <w:r>
        <w:rPr>
          <w:rFonts w:hint="eastAsia" w:asciiTheme="minorEastAsia" w:hAnsiTheme="minorEastAsia"/>
          <w:i w:val="0"/>
          <w:iCs w:val="0"/>
          <w:snapToGrid w:val="0"/>
          <w:kern w:val="0"/>
          <w:szCs w:val="21"/>
        </w:rPr>
        <w:t>作为投标人正式授权</w:t>
      </w:r>
      <w:r>
        <w:rPr>
          <w:rFonts w:hint="eastAsia" w:asciiTheme="minorEastAsia" w:hAnsiTheme="minorEastAsia"/>
          <w:i w:val="0"/>
          <w:iCs w:val="0"/>
          <w:snapToGrid w:val="0"/>
          <w:kern w:val="0"/>
          <w:szCs w:val="21"/>
          <w:u w:val="single"/>
        </w:rPr>
        <w:t xml:space="preserve">     (授权代表全名, 职务)  </w:t>
      </w:r>
      <w:r>
        <w:rPr>
          <w:rFonts w:hint="eastAsia" w:asciiTheme="minorEastAsia" w:hAnsiTheme="minorEastAsia"/>
          <w:i/>
          <w:snapToGrid w:val="0"/>
          <w:kern w:val="0"/>
          <w:szCs w:val="21"/>
          <w:u w:val="single"/>
        </w:rPr>
        <w:t xml:space="preserve">     </w:t>
      </w:r>
      <w:r>
        <w:rPr>
          <w:rFonts w:hint="eastAsia" w:asciiTheme="minorEastAsia" w:hAnsiTheme="minorEastAsia"/>
          <w:snapToGrid w:val="0"/>
          <w:kern w:val="0"/>
          <w:szCs w:val="21"/>
        </w:rPr>
        <w:t>代表我方全权处理有关本投标的一切事宜。</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snapToGrid w:val="0"/>
          <w:kern w:val="0"/>
          <w:szCs w:val="21"/>
        </w:rPr>
        <w:t>在此提交的投标文件，正本一份</w:t>
      </w:r>
      <w:r>
        <w:rPr>
          <w:rFonts w:hint="eastAsia" w:cs="Courier New" w:asciiTheme="minorEastAsia" w:hAnsiTheme="minorEastAsia"/>
          <w:szCs w:val="21"/>
        </w:rPr>
        <w:t>，副本</w:t>
      </w:r>
      <w:r>
        <w:rPr>
          <w:rFonts w:hint="eastAsia" w:cs="Courier New" w:asciiTheme="minorEastAsia" w:hAnsiTheme="minorEastAsia"/>
          <w:szCs w:val="21"/>
          <w:lang w:eastAsia="zh-CN"/>
        </w:rPr>
        <w:t>一</w:t>
      </w:r>
      <w:r>
        <w:rPr>
          <w:rFonts w:hint="eastAsia" w:cs="Courier New" w:asciiTheme="minorEastAsia" w:hAnsiTheme="minorEastAsia"/>
          <w:szCs w:val="21"/>
        </w:rPr>
        <w:t>份。</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我方已完全明白招标文件的所有条款要求，并申明如下：</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一、按招标文件提供的全部货物与相关服务的投标总价详见《开标一览表》。</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二、本投标文件的有效期为投标截止时间起</w:t>
      </w:r>
      <w:r>
        <w:rPr>
          <w:rFonts w:hint="eastAsia" w:cs="Courier New" w:asciiTheme="minorEastAsia" w:hAnsiTheme="minorEastAsia"/>
          <w:szCs w:val="21"/>
          <w:u w:val="single"/>
        </w:rPr>
        <w:t xml:space="preserve">  </w:t>
      </w:r>
      <w:r>
        <w:rPr>
          <w:rFonts w:hint="eastAsia" w:cs="Courier New" w:asciiTheme="minorEastAsia" w:hAnsiTheme="minorEastAsia"/>
          <w:szCs w:val="21"/>
          <w:u w:val="single"/>
          <w:lang w:val="en-US" w:eastAsia="zh-CN"/>
        </w:rPr>
        <w:t xml:space="preserve">  </w:t>
      </w:r>
      <w:r>
        <w:rPr>
          <w:rFonts w:hint="eastAsia" w:cs="Courier New" w:asciiTheme="minorEastAsia" w:hAnsiTheme="minorEastAsia"/>
          <w:szCs w:val="21"/>
          <w:u w:val="single"/>
        </w:rPr>
        <w:t xml:space="preserve"> </w:t>
      </w:r>
      <w:r>
        <w:rPr>
          <w:rFonts w:hint="eastAsia" w:cs="Courier New" w:asciiTheme="minorEastAsia" w:hAnsiTheme="minorEastAsia"/>
          <w:szCs w:val="21"/>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三、我方明白并同意，在规定的开标日之后，投标有效期之内撤销投标的，则贵方将不予退还投标保证金。</w:t>
      </w:r>
    </w:p>
    <w:p>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四、我方同意按照贵方可能提出的要求而提供与投标有关的任何其它数据、信息或资料。</w:t>
      </w:r>
    </w:p>
    <w:p>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五、我方理解贵方不一定接受最低投标价或任何贵方可能收到的投标。</w:t>
      </w:r>
    </w:p>
    <w:p>
      <w:pPr>
        <w:pStyle w:val="23"/>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六、我方如果中标，将保证履行招标文件及其澄清、修改文件（如果有）中的全部责任和义务，按质、按量、按期完成《项目需求》及《合同书》中的全部任务。</w:t>
      </w:r>
    </w:p>
    <w:p>
      <w:pPr>
        <w:pStyle w:val="23"/>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pPr>
        <w:pStyle w:val="16"/>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八、我方投标报价已包含应向知识产权所有权人支付的所有相关税费，并保证采购人在中国使用我方提供的货物时，如有第三方提出侵犯其知识产权主张的，责任由我方承担。 </w:t>
      </w:r>
    </w:p>
    <w:p>
      <w:pPr>
        <w:pStyle w:val="16"/>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九、我方具备《政府采购法》第二十二条规定的条件；承诺如下：</w:t>
      </w:r>
    </w:p>
    <w:p>
      <w:pPr>
        <w:pStyle w:val="16"/>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我方已依法缴纳了各项税费及社会保险费用，如有需要，可随时向采购人提供近三个月内的相关缴费证明，以便核查。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以上内容如有虚假或与事实不符的，评审委员会可将</w:t>
      </w:r>
      <w:r>
        <w:rPr>
          <w:rFonts w:hint="eastAsia" w:cs="Arial" w:asciiTheme="minorEastAsia" w:hAnsiTheme="minorEastAsia"/>
          <w:szCs w:val="21"/>
        </w:rPr>
        <w:t>我方做无效投标处理，我方愿意承担相应的法律责任。</w:t>
      </w:r>
    </w:p>
    <w:p>
      <w:pPr>
        <w:pStyle w:val="16"/>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pPr>
        <w:pStyle w:val="16"/>
        <w:adjustRightInd w:val="0"/>
        <w:spacing w:line="360" w:lineRule="auto"/>
        <w:ind w:firstLine="420" w:firstLineChars="200"/>
        <w:contextualSpacing/>
        <w:rPr>
          <w:rFonts w:asciiTheme="minorEastAsia" w:hAnsiTheme="minorEastAsia" w:eastAsiaTheme="minorEastAsia"/>
          <w:sz w:val="21"/>
          <w:szCs w:val="21"/>
          <w:highlight w:val="none"/>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我方对在本函及投标文</w:t>
      </w:r>
      <w:r>
        <w:rPr>
          <w:rFonts w:hint="eastAsia" w:asciiTheme="minorEastAsia" w:hAnsiTheme="minorEastAsia" w:eastAsiaTheme="minorEastAsia"/>
          <w:sz w:val="21"/>
          <w:szCs w:val="21"/>
          <w:highlight w:val="none"/>
        </w:rPr>
        <w:t>件中所作的所有承诺承担法律责任。</w:t>
      </w:r>
    </w:p>
    <w:p>
      <w:pPr>
        <w:pStyle w:val="16"/>
        <w:adjustRightInd w:val="0"/>
        <w:snapToGrid w:val="0"/>
        <w:spacing w:line="360" w:lineRule="auto"/>
        <w:rPr>
          <w:rFonts w:asciiTheme="minorEastAsia" w:hAnsiTheme="minorEastAsia" w:eastAsiaTheme="minorEastAsia"/>
          <w:sz w:val="21"/>
          <w:szCs w:val="21"/>
          <w:highlight w:val="none"/>
        </w:rPr>
      </w:pPr>
    </w:p>
    <w:p>
      <w:pPr>
        <w:pStyle w:val="16"/>
        <w:adjustRightInd w:val="0"/>
        <w:snapToGrid w:val="0"/>
        <w:spacing w:line="360" w:lineRule="auto"/>
        <w:rPr>
          <w:rFonts w:asciiTheme="minorEastAsia" w:hAnsiTheme="minorEastAsia" w:eastAsiaTheme="minorEastAsia"/>
          <w:sz w:val="21"/>
          <w:szCs w:val="21"/>
          <w:highlight w:val="none"/>
        </w:rPr>
      </w:pPr>
    </w:p>
    <w:p>
      <w:pPr>
        <w:pStyle w:val="16"/>
        <w:adjustRightInd w:val="0"/>
        <w:snapToGrid w:val="0"/>
        <w:spacing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所有与本招标有关的一切正式往来请寄：</w:t>
      </w: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rPr>
        <w:t>地    址：</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  邮政编码：</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w:t>
      </w: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rPr>
        <w:t>电    话：</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  传    真：</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w:t>
      </w:r>
    </w:p>
    <w:p>
      <w:pPr>
        <w:adjustRightInd w:val="0"/>
        <w:snapToGrid w:val="0"/>
        <w:spacing w:line="360" w:lineRule="auto"/>
        <w:rPr>
          <w:rFonts w:cs="宋体" w:asciiTheme="minorEastAsia" w:hAnsiTheme="minorEastAsia"/>
          <w:szCs w:val="21"/>
          <w:highlight w:val="none"/>
          <w:u w:val="single"/>
        </w:rPr>
      </w:pPr>
      <w:r>
        <w:rPr>
          <w:rFonts w:hint="eastAsia" w:cs="宋体" w:asciiTheme="minorEastAsia" w:hAnsiTheme="minorEastAsia"/>
          <w:szCs w:val="21"/>
          <w:highlight w:val="none"/>
        </w:rPr>
        <w:t>投标人代表姓名：</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  职    务：</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w:t>
      </w:r>
    </w:p>
    <w:p>
      <w:pPr>
        <w:adjustRightInd w:val="0"/>
        <w:snapToGrid w:val="0"/>
        <w:spacing w:line="360" w:lineRule="auto"/>
        <w:rPr>
          <w:rFonts w:cs="宋体" w:asciiTheme="minorEastAsia" w:hAnsiTheme="minorEastAsia"/>
          <w:szCs w:val="21"/>
          <w:highlight w:val="none"/>
          <w:u w:val="single"/>
        </w:rPr>
      </w:pPr>
    </w:p>
    <w:p>
      <w:pPr>
        <w:adjustRightInd w:val="0"/>
        <w:snapToGrid w:val="0"/>
        <w:spacing w:line="360" w:lineRule="auto"/>
        <w:rPr>
          <w:rFonts w:cs="宋体" w:asciiTheme="minorEastAsia" w:hAnsiTheme="minorEastAsia"/>
          <w:szCs w:val="21"/>
          <w:highlight w:val="none"/>
          <w:u w:val="single"/>
        </w:rPr>
      </w:pP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rPr>
        <w:t>投标人法定代表人（单位负责人）或法定代表人（单位负责人）授权代表签字或盖章：</w:t>
      </w:r>
      <w:r>
        <w:rPr>
          <w:rFonts w:hint="eastAsia" w:cs="宋体" w:asciiTheme="minorEastAsia" w:hAnsiTheme="minorEastAsia"/>
          <w:szCs w:val="21"/>
          <w:highlight w:val="none"/>
          <w:u w:val="single"/>
        </w:rPr>
        <w:t xml:space="preserve">         </w:t>
      </w: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rPr>
        <w:t>投标人名称（盖章）：</w:t>
      </w:r>
      <w:r>
        <w:rPr>
          <w:rFonts w:hint="eastAsia" w:cs="宋体" w:asciiTheme="minorEastAsia" w:hAnsiTheme="minorEastAsia"/>
          <w:szCs w:val="21"/>
          <w:highlight w:val="none"/>
          <w:u w:val="single"/>
        </w:rPr>
        <w:t xml:space="preserve">                   </w:t>
      </w:r>
    </w:p>
    <w:p>
      <w:pPr>
        <w:adjustRightInd w:val="0"/>
        <w:snapToGrid w:val="0"/>
        <w:spacing w:line="360" w:lineRule="auto"/>
        <w:ind w:firstLine="4305" w:firstLineChars="2050"/>
        <w:rPr>
          <w:rFonts w:cs="宋体" w:asciiTheme="minorEastAsia" w:hAnsiTheme="minorEastAsia"/>
          <w:szCs w:val="21"/>
          <w:highlight w:val="none"/>
        </w:rPr>
      </w:pPr>
    </w:p>
    <w:p>
      <w:pPr>
        <w:adjustRightInd w:val="0"/>
        <w:snapToGrid w:val="0"/>
        <w:spacing w:line="360" w:lineRule="auto"/>
        <w:ind w:firstLine="4305" w:firstLineChars="2050"/>
        <w:rPr>
          <w:rFonts w:cs="宋体" w:asciiTheme="minorEastAsia" w:hAnsiTheme="minorEastAsia"/>
          <w:szCs w:val="21"/>
          <w:highlight w:val="none"/>
        </w:rPr>
      </w:pPr>
    </w:p>
    <w:p>
      <w:pPr>
        <w:adjustRightInd w:val="0"/>
        <w:snapToGrid w:val="0"/>
        <w:spacing w:line="360" w:lineRule="auto"/>
        <w:ind w:firstLine="4305" w:firstLineChars="2050"/>
        <w:rPr>
          <w:rFonts w:cs="宋体" w:asciiTheme="minorEastAsia" w:hAnsiTheme="minorEastAsia"/>
          <w:szCs w:val="21"/>
          <w:highlight w:val="none"/>
        </w:rPr>
      </w:pPr>
    </w:p>
    <w:p>
      <w:pPr>
        <w:adjustRightInd w:val="0"/>
        <w:snapToGrid w:val="0"/>
        <w:spacing w:line="360" w:lineRule="auto"/>
        <w:ind w:firstLine="4305" w:firstLineChars="2050"/>
        <w:rPr>
          <w:rFonts w:hint="eastAsia" w:asciiTheme="majorEastAsia" w:hAnsiTheme="majorEastAsia" w:eastAsiaTheme="majorEastAsia"/>
          <w:b/>
          <w:bCs/>
          <w:color w:val="000000"/>
          <w:sz w:val="24"/>
          <w:szCs w:val="24"/>
          <w:highlight w:val="none"/>
        </w:rPr>
      </w:pPr>
      <w:r>
        <w:rPr>
          <w:rFonts w:hint="eastAsia" w:cs="宋体" w:asciiTheme="minorEastAsia" w:hAnsiTheme="minorEastAsia"/>
          <w:szCs w:val="21"/>
          <w:highlight w:val="none"/>
        </w:rPr>
        <w:t>日期：    年    月    日</w:t>
      </w:r>
    </w:p>
    <w:p>
      <w:pPr>
        <w:spacing w:line="480" w:lineRule="exact"/>
        <w:jc w:val="center"/>
        <w:rPr>
          <w:rFonts w:hint="eastAsia" w:asciiTheme="majorEastAsia" w:hAnsiTheme="majorEastAsia" w:eastAsiaTheme="majorEastAsia"/>
          <w:b/>
          <w:bCs/>
          <w:color w:val="000000"/>
          <w:sz w:val="24"/>
          <w:szCs w:val="24"/>
          <w:highlight w:val="none"/>
        </w:rPr>
      </w:pPr>
    </w:p>
    <w:p>
      <w:pPr>
        <w:spacing w:line="480" w:lineRule="exact"/>
        <w:jc w:val="center"/>
        <w:rPr>
          <w:rFonts w:hint="eastAsia" w:asciiTheme="majorEastAsia" w:hAnsiTheme="majorEastAsia" w:eastAsiaTheme="majorEastAsia"/>
          <w:b/>
          <w:bCs/>
          <w:color w:val="000000"/>
          <w:sz w:val="24"/>
          <w:szCs w:val="24"/>
          <w:highlight w:val="none"/>
        </w:rPr>
      </w:pPr>
    </w:p>
    <w:p>
      <w:pPr>
        <w:spacing w:line="480" w:lineRule="exact"/>
        <w:jc w:val="center"/>
        <w:rPr>
          <w:rFonts w:hint="eastAsia" w:asciiTheme="majorEastAsia" w:hAnsiTheme="majorEastAsia" w:eastAsiaTheme="majorEastAsia"/>
          <w:b/>
          <w:bCs/>
          <w:color w:val="000000"/>
          <w:sz w:val="24"/>
          <w:szCs w:val="24"/>
          <w:highlight w:val="none"/>
        </w:rPr>
      </w:pPr>
    </w:p>
    <w:p>
      <w:pPr>
        <w:spacing w:line="480" w:lineRule="exact"/>
        <w:jc w:val="center"/>
        <w:rPr>
          <w:rFonts w:asciiTheme="majorEastAsia" w:hAnsiTheme="majorEastAsia" w:eastAsiaTheme="majorEastAsia"/>
          <w:b/>
          <w:bCs/>
          <w:color w:val="000000"/>
          <w:sz w:val="24"/>
          <w:szCs w:val="24"/>
          <w:highlight w:val="none"/>
        </w:rPr>
      </w:pPr>
      <w:r>
        <w:rPr>
          <w:rFonts w:hint="eastAsia" w:asciiTheme="majorEastAsia" w:hAnsiTheme="majorEastAsia" w:eastAsiaTheme="majorEastAsia"/>
          <w:b/>
          <w:bCs/>
          <w:color w:val="000000"/>
          <w:sz w:val="24"/>
          <w:szCs w:val="24"/>
          <w:highlight w:val="none"/>
        </w:rPr>
        <w:t>3.2 法定代表人（单位负责人）</w:t>
      </w:r>
      <w:r>
        <w:rPr>
          <w:rFonts w:asciiTheme="majorEastAsia" w:hAnsiTheme="majorEastAsia" w:eastAsiaTheme="majorEastAsia"/>
          <w:b/>
          <w:bCs/>
          <w:color w:val="000000"/>
          <w:sz w:val="24"/>
          <w:szCs w:val="24"/>
          <w:highlight w:val="none"/>
        </w:rPr>
        <w:t>资</w:t>
      </w:r>
      <w:r>
        <w:rPr>
          <w:rFonts w:hint="eastAsia" w:asciiTheme="majorEastAsia" w:hAnsiTheme="majorEastAsia" w:eastAsiaTheme="majorEastAsia"/>
          <w:b/>
          <w:bCs/>
          <w:color w:val="000000"/>
          <w:sz w:val="24"/>
          <w:szCs w:val="24"/>
          <w:highlight w:val="none"/>
        </w:rPr>
        <w:t>格</w:t>
      </w:r>
      <w:r>
        <w:rPr>
          <w:rFonts w:asciiTheme="majorEastAsia" w:hAnsiTheme="majorEastAsia" w:eastAsiaTheme="majorEastAsia"/>
          <w:b/>
          <w:bCs/>
          <w:color w:val="000000"/>
          <w:sz w:val="24"/>
          <w:szCs w:val="24"/>
          <w:highlight w:val="none"/>
        </w:rPr>
        <w:t>证</w:t>
      </w:r>
      <w:r>
        <w:rPr>
          <w:rFonts w:hint="eastAsia" w:asciiTheme="majorEastAsia" w:hAnsiTheme="majorEastAsia" w:eastAsiaTheme="majorEastAsia"/>
          <w:b/>
          <w:bCs/>
          <w:color w:val="000000"/>
          <w:sz w:val="24"/>
          <w:szCs w:val="24"/>
          <w:highlight w:val="none"/>
        </w:rPr>
        <w:t>明</w:t>
      </w:r>
      <w:r>
        <w:rPr>
          <w:rFonts w:asciiTheme="majorEastAsia" w:hAnsiTheme="majorEastAsia" w:eastAsiaTheme="majorEastAsia"/>
          <w:b/>
          <w:bCs/>
          <w:color w:val="000000"/>
          <w:sz w:val="24"/>
          <w:szCs w:val="24"/>
          <w:highlight w:val="none"/>
        </w:rPr>
        <w:t>书</w:t>
      </w:r>
    </w:p>
    <w:p>
      <w:pPr>
        <w:autoSpaceDE w:val="0"/>
        <w:autoSpaceDN w:val="0"/>
        <w:adjustRightInd w:val="0"/>
        <w:spacing w:line="480" w:lineRule="auto"/>
        <w:ind w:firstLine="616" w:firstLineChars="257"/>
        <w:rPr>
          <w:rFonts w:ascii="宋体" w:hAnsi="宋体"/>
          <w:color w:val="000000"/>
          <w:sz w:val="24"/>
          <w:szCs w:val="24"/>
          <w:highlight w:val="none"/>
        </w:rPr>
      </w:pPr>
    </w:p>
    <w:p>
      <w:pPr>
        <w:pStyle w:val="45"/>
        <w:spacing w:line="480" w:lineRule="auto"/>
        <w:ind w:firstLine="472" w:firstLineChars="225"/>
        <w:jc w:val="left"/>
        <w:rPr>
          <w:rFonts w:asciiTheme="minorEastAsia" w:hAnsiTheme="minorEastAsia"/>
          <w:color w:val="000000"/>
          <w:sz w:val="21"/>
          <w:szCs w:val="21"/>
          <w:highlight w:val="none"/>
        </w:rPr>
      </w:pPr>
      <w:r>
        <w:rPr>
          <w:rFonts w:asciiTheme="minorEastAsia" w:hAnsiTheme="minorEastAsia"/>
          <w:color w:val="000000"/>
          <w:sz w:val="21"/>
          <w:szCs w:val="21"/>
          <w:highlight w:val="none"/>
        </w:rPr>
        <w:t>单</w:t>
      </w:r>
      <w:r>
        <w:rPr>
          <w:rFonts w:hint="eastAsia" w:asciiTheme="minorEastAsia" w:hAnsiTheme="minorEastAsia"/>
          <w:color w:val="000000"/>
          <w:sz w:val="21"/>
          <w:szCs w:val="21"/>
          <w:highlight w:val="none"/>
        </w:rPr>
        <w:t>位名</w:t>
      </w:r>
      <w:r>
        <w:rPr>
          <w:rFonts w:asciiTheme="minorEastAsia" w:hAnsiTheme="minorEastAsia"/>
          <w:color w:val="000000"/>
          <w:sz w:val="21"/>
          <w:szCs w:val="21"/>
          <w:highlight w:val="none"/>
        </w:rPr>
        <w:t>称</w:t>
      </w:r>
      <w:r>
        <w:rPr>
          <w:rFonts w:hint="eastAsia" w:asciiTheme="minorEastAsia" w:hAnsiTheme="minorEastAsia"/>
          <w:color w:val="000000"/>
          <w:sz w:val="21"/>
          <w:szCs w:val="21"/>
          <w:highlight w:val="none"/>
        </w:rPr>
        <w:t>：</w:t>
      </w:r>
    </w:p>
    <w:p>
      <w:pPr>
        <w:pStyle w:val="45"/>
        <w:spacing w:line="480" w:lineRule="auto"/>
        <w:ind w:firstLine="472" w:firstLineChars="225"/>
        <w:jc w:val="left"/>
        <w:rPr>
          <w:rFonts w:asciiTheme="minorEastAsia" w:hAnsiTheme="minorEastAsia"/>
          <w:color w:val="000000"/>
          <w:sz w:val="21"/>
          <w:szCs w:val="21"/>
          <w:highlight w:val="none"/>
        </w:rPr>
      </w:pPr>
      <w:r>
        <w:rPr>
          <w:rFonts w:hint="eastAsia" w:asciiTheme="minorEastAsia" w:hAnsiTheme="minorEastAsia"/>
          <w:color w:val="000000"/>
          <w:sz w:val="21"/>
          <w:szCs w:val="21"/>
          <w:highlight w:val="none"/>
        </w:rPr>
        <w:t>地址：</w:t>
      </w:r>
    </w:p>
    <w:p>
      <w:pPr>
        <w:pStyle w:val="45"/>
        <w:spacing w:line="480" w:lineRule="auto"/>
        <w:ind w:firstLine="472" w:firstLineChars="225"/>
        <w:jc w:val="left"/>
        <w:rPr>
          <w:rFonts w:asciiTheme="minorEastAsia" w:hAnsiTheme="minorEastAsia"/>
          <w:color w:val="000000"/>
          <w:sz w:val="21"/>
          <w:szCs w:val="21"/>
          <w:highlight w:val="none"/>
        </w:rPr>
      </w:pPr>
      <w:r>
        <w:rPr>
          <w:rFonts w:hint="eastAsia" w:asciiTheme="minorEastAsia" w:hAnsiTheme="minorEastAsia"/>
          <w:color w:val="000000"/>
          <w:sz w:val="21"/>
          <w:szCs w:val="21"/>
          <w:highlight w:val="none"/>
        </w:rPr>
        <w:t>姓名：       性</w:t>
      </w:r>
      <w:r>
        <w:rPr>
          <w:rFonts w:asciiTheme="minorEastAsia" w:hAnsiTheme="minorEastAsia"/>
          <w:color w:val="000000"/>
          <w:sz w:val="21"/>
          <w:szCs w:val="21"/>
          <w:highlight w:val="none"/>
        </w:rPr>
        <w:t>别</w:t>
      </w:r>
      <w:r>
        <w:rPr>
          <w:rFonts w:hint="eastAsia" w:asciiTheme="minorEastAsia" w:hAnsiTheme="minorEastAsia"/>
          <w:color w:val="000000"/>
          <w:sz w:val="21"/>
          <w:szCs w:val="21"/>
          <w:highlight w:val="none"/>
        </w:rPr>
        <w:t>：     年</w:t>
      </w:r>
      <w:r>
        <w:rPr>
          <w:rFonts w:asciiTheme="minorEastAsia" w:hAnsiTheme="minorEastAsia"/>
          <w:color w:val="000000"/>
          <w:sz w:val="21"/>
          <w:szCs w:val="21"/>
          <w:highlight w:val="none"/>
        </w:rPr>
        <w:t>龄</w:t>
      </w:r>
      <w:r>
        <w:rPr>
          <w:rFonts w:hint="eastAsia" w:asciiTheme="minorEastAsia" w:hAnsiTheme="minorEastAsia"/>
          <w:color w:val="000000"/>
          <w:sz w:val="21"/>
          <w:szCs w:val="21"/>
          <w:highlight w:val="none"/>
        </w:rPr>
        <w:t>：</w:t>
      </w:r>
      <w:r>
        <w:rPr>
          <w:rFonts w:asciiTheme="minorEastAsia" w:hAnsiTheme="minorEastAsia"/>
          <w:color w:val="000000"/>
          <w:sz w:val="21"/>
          <w:szCs w:val="21"/>
          <w:highlight w:val="none"/>
        </w:rPr>
        <w:t xml:space="preserve">     职务</w:t>
      </w:r>
      <w:r>
        <w:rPr>
          <w:rFonts w:hint="eastAsia" w:asciiTheme="minorEastAsia" w:hAnsiTheme="minorEastAsia"/>
          <w:color w:val="000000"/>
          <w:sz w:val="21"/>
          <w:szCs w:val="21"/>
          <w:highlight w:val="none"/>
        </w:rPr>
        <w:t xml:space="preserve">：        </w:t>
      </w:r>
    </w:p>
    <w:p>
      <w:pPr>
        <w:pStyle w:val="45"/>
        <w:spacing w:line="480" w:lineRule="auto"/>
        <w:ind w:firstLine="472" w:firstLineChars="225"/>
        <w:jc w:val="left"/>
        <w:rPr>
          <w:rFonts w:asciiTheme="minorEastAsia" w:hAnsiTheme="minorEastAsia"/>
          <w:color w:val="000000"/>
          <w:sz w:val="21"/>
          <w:szCs w:val="21"/>
          <w:highlight w:val="none"/>
        </w:rPr>
      </w:pPr>
      <w:r>
        <w:rPr>
          <w:rFonts w:hint="eastAsia" w:asciiTheme="minorEastAsia" w:hAnsiTheme="minorEastAsia"/>
          <w:color w:val="000000"/>
          <w:sz w:val="21"/>
          <w:szCs w:val="21"/>
          <w:highlight w:val="none"/>
        </w:rPr>
        <w:t>本人系</w:t>
      </w:r>
      <w:r>
        <w:rPr>
          <w:rFonts w:hint="eastAsia" w:asciiTheme="minorEastAsia" w:hAnsiTheme="minorEastAsia"/>
          <w:color w:val="000000"/>
          <w:sz w:val="21"/>
          <w:szCs w:val="21"/>
          <w:highlight w:val="none"/>
          <w:u w:val="single"/>
        </w:rPr>
        <w:t xml:space="preserve">  </w:t>
      </w:r>
      <w:r>
        <w:rPr>
          <w:rFonts w:hint="eastAsia" w:asciiTheme="minorEastAsia" w:hAnsiTheme="minorEastAsia"/>
          <w:i/>
          <w:snapToGrid w:val="0"/>
          <w:sz w:val="21"/>
          <w:szCs w:val="21"/>
          <w:highlight w:val="none"/>
          <w:u w:val="single"/>
        </w:rPr>
        <w:t>投</w:t>
      </w:r>
      <w:r>
        <w:rPr>
          <w:rFonts w:asciiTheme="minorEastAsia" w:hAnsiTheme="minorEastAsia"/>
          <w:i/>
          <w:snapToGrid w:val="0"/>
          <w:sz w:val="21"/>
          <w:szCs w:val="21"/>
          <w:highlight w:val="none"/>
          <w:u w:val="single"/>
        </w:rPr>
        <w:t>标</w:t>
      </w:r>
      <w:r>
        <w:rPr>
          <w:rFonts w:hint="eastAsia" w:asciiTheme="minorEastAsia" w:hAnsiTheme="minorEastAsia"/>
          <w:i/>
          <w:snapToGrid w:val="0"/>
          <w:sz w:val="21"/>
          <w:szCs w:val="21"/>
          <w:highlight w:val="none"/>
          <w:u w:val="single"/>
        </w:rPr>
        <w:t>人名</w:t>
      </w:r>
      <w:r>
        <w:rPr>
          <w:rFonts w:asciiTheme="minorEastAsia" w:hAnsiTheme="minorEastAsia"/>
          <w:i/>
          <w:snapToGrid w:val="0"/>
          <w:sz w:val="21"/>
          <w:szCs w:val="21"/>
          <w:highlight w:val="none"/>
          <w:u w:val="single"/>
        </w:rPr>
        <w:t>称</w:t>
      </w:r>
      <w:r>
        <w:rPr>
          <w:rFonts w:hint="eastAsia" w:asciiTheme="minorEastAsia" w:hAnsiTheme="minorEastAsia"/>
          <w:i/>
          <w:snapToGrid w:val="0"/>
          <w:sz w:val="21"/>
          <w:szCs w:val="21"/>
          <w:highlight w:val="none"/>
          <w:u w:val="single"/>
        </w:rPr>
        <w:t xml:space="preserve">  </w:t>
      </w:r>
      <w:r>
        <w:rPr>
          <w:rFonts w:hint="eastAsia" w:asciiTheme="minorEastAsia" w:hAnsiTheme="minorEastAsia"/>
          <w:color w:val="000000"/>
          <w:sz w:val="21"/>
          <w:szCs w:val="21"/>
          <w:highlight w:val="none"/>
        </w:rPr>
        <w:t>的法定代表人（单位负责人）。就</w:t>
      </w:r>
      <w:r>
        <w:rPr>
          <w:rFonts w:asciiTheme="minorEastAsia" w:hAnsiTheme="minorEastAsia"/>
          <w:color w:val="000000"/>
          <w:sz w:val="21"/>
          <w:szCs w:val="21"/>
          <w:highlight w:val="none"/>
        </w:rPr>
        <w:t>参</w:t>
      </w:r>
      <w:r>
        <w:rPr>
          <w:rFonts w:hint="eastAsia" w:asciiTheme="minorEastAsia" w:hAnsiTheme="minorEastAsia"/>
          <w:color w:val="000000"/>
          <w:sz w:val="21"/>
          <w:szCs w:val="21"/>
          <w:highlight w:val="none"/>
        </w:rPr>
        <w:t>加贵方招</w:t>
      </w:r>
      <w:r>
        <w:rPr>
          <w:rFonts w:asciiTheme="minorEastAsia" w:hAnsiTheme="minorEastAsia"/>
          <w:color w:val="000000"/>
          <w:sz w:val="21"/>
          <w:szCs w:val="21"/>
          <w:highlight w:val="none"/>
        </w:rPr>
        <w:t>标编号为</w:t>
      </w:r>
      <w:r>
        <w:rPr>
          <w:rFonts w:hint="eastAsia" w:asciiTheme="minorEastAsia" w:hAnsiTheme="minorEastAsia"/>
          <w:color w:val="000000"/>
          <w:sz w:val="21"/>
          <w:szCs w:val="21"/>
          <w:highlight w:val="none"/>
          <w:u w:val="single"/>
        </w:rPr>
        <w:t xml:space="preserve">  </w:t>
      </w:r>
      <w:r>
        <w:rPr>
          <w:rFonts w:asciiTheme="minorEastAsia" w:hAnsiTheme="minorEastAsia"/>
          <w:i/>
          <w:color w:val="000000"/>
          <w:sz w:val="21"/>
          <w:szCs w:val="21"/>
          <w:highlight w:val="none"/>
          <w:u w:val="single"/>
        </w:rPr>
        <w:t>项目编号</w:t>
      </w:r>
      <w:r>
        <w:rPr>
          <w:rFonts w:hint="eastAsia" w:asciiTheme="minorEastAsia" w:hAnsiTheme="minorEastAsia"/>
          <w:i/>
          <w:color w:val="000000"/>
          <w:sz w:val="21"/>
          <w:szCs w:val="21"/>
          <w:highlight w:val="none"/>
          <w:u w:val="single"/>
        </w:rPr>
        <w:t xml:space="preserve"> </w:t>
      </w:r>
      <w:r>
        <w:rPr>
          <w:rFonts w:hint="eastAsia" w:asciiTheme="minorEastAsia" w:hAnsiTheme="minorEastAsia"/>
          <w:color w:val="000000"/>
          <w:sz w:val="21"/>
          <w:szCs w:val="21"/>
          <w:highlight w:val="none"/>
          <w:u w:val="single"/>
        </w:rPr>
        <w:t xml:space="preserve">  </w:t>
      </w:r>
      <w:r>
        <w:rPr>
          <w:rFonts w:hint="eastAsia" w:asciiTheme="minorEastAsia" w:hAnsiTheme="minorEastAsia"/>
          <w:color w:val="000000"/>
          <w:sz w:val="21"/>
          <w:szCs w:val="21"/>
          <w:highlight w:val="none"/>
        </w:rPr>
        <w:t>的</w:t>
      </w:r>
      <w:r>
        <w:rPr>
          <w:rFonts w:hint="eastAsia" w:asciiTheme="minorEastAsia" w:hAnsiTheme="minorEastAsia"/>
          <w:color w:val="000000"/>
          <w:sz w:val="21"/>
          <w:szCs w:val="21"/>
          <w:highlight w:val="none"/>
          <w:u w:val="single"/>
        </w:rPr>
        <w:t xml:space="preserve">  </w:t>
      </w:r>
      <w:r>
        <w:rPr>
          <w:rFonts w:asciiTheme="minorEastAsia" w:hAnsiTheme="minorEastAsia"/>
          <w:i/>
          <w:color w:val="000000"/>
          <w:sz w:val="21"/>
          <w:szCs w:val="21"/>
          <w:highlight w:val="none"/>
          <w:u w:val="single"/>
        </w:rPr>
        <w:t>项目</w:t>
      </w:r>
      <w:r>
        <w:rPr>
          <w:rFonts w:hint="eastAsia" w:asciiTheme="minorEastAsia" w:hAnsiTheme="minorEastAsia"/>
          <w:i/>
          <w:color w:val="000000"/>
          <w:sz w:val="21"/>
          <w:szCs w:val="21"/>
          <w:highlight w:val="none"/>
          <w:u w:val="single"/>
        </w:rPr>
        <w:t>名</w:t>
      </w:r>
      <w:r>
        <w:rPr>
          <w:rFonts w:asciiTheme="minorEastAsia" w:hAnsiTheme="minorEastAsia"/>
          <w:i/>
          <w:color w:val="000000"/>
          <w:sz w:val="21"/>
          <w:szCs w:val="21"/>
          <w:highlight w:val="none"/>
          <w:u w:val="single"/>
        </w:rPr>
        <w:t>称</w:t>
      </w:r>
      <w:r>
        <w:rPr>
          <w:rFonts w:hint="eastAsia" w:asciiTheme="minorEastAsia" w:hAnsiTheme="minorEastAsia"/>
          <w:i/>
          <w:color w:val="000000"/>
          <w:sz w:val="21"/>
          <w:szCs w:val="21"/>
          <w:highlight w:val="none"/>
          <w:u w:val="single"/>
        </w:rPr>
        <w:t xml:space="preserve"> </w:t>
      </w:r>
      <w:r>
        <w:rPr>
          <w:rFonts w:hint="eastAsia" w:asciiTheme="minorEastAsia" w:hAnsiTheme="minorEastAsia"/>
          <w:color w:val="000000"/>
          <w:sz w:val="21"/>
          <w:szCs w:val="21"/>
          <w:highlight w:val="none"/>
          <w:u w:val="single"/>
        </w:rPr>
        <w:t xml:space="preserve">   </w:t>
      </w:r>
      <w:r>
        <w:rPr>
          <w:rFonts w:hint="eastAsia" w:asciiTheme="minorEastAsia" w:hAnsiTheme="minorEastAsia"/>
          <w:color w:val="000000"/>
          <w:sz w:val="21"/>
          <w:szCs w:val="21"/>
          <w:highlight w:val="none"/>
        </w:rPr>
        <w:t>公</w:t>
      </w:r>
      <w:r>
        <w:rPr>
          <w:rFonts w:asciiTheme="minorEastAsia" w:hAnsiTheme="minorEastAsia"/>
          <w:color w:val="000000"/>
          <w:sz w:val="21"/>
          <w:szCs w:val="21"/>
          <w:highlight w:val="none"/>
        </w:rPr>
        <w:t>开</w:t>
      </w:r>
      <w:r>
        <w:rPr>
          <w:rFonts w:hint="eastAsia" w:asciiTheme="minorEastAsia" w:hAnsiTheme="minorEastAsia"/>
          <w:color w:val="000000"/>
          <w:sz w:val="21"/>
          <w:szCs w:val="21"/>
          <w:highlight w:val="none"/>
        </w:rPr>
        <w:t>招</w:t>
      </w:r>
      <w:r>
        <w:rPr>
          <w:rFonts w:asciiTheme="minorEastAsia" w:hAnsiTheme="minorEastAsia"/>
          <w:color w:val="000000"/>
          <w:sz w:val="21"/>
          <w:szCs w:val="21"/>
          <w:highlight w:val="none"/>
        </w:rPr>
        <w:t>标项目</w:t>
      </w:r>
      <w:r>
        <w:rPr>
          <w:rFonts w:hint="eastAsia" w:asciiTheme="minorEastAsia" w:hAnsiTheme="minorEastAsia"/>
          <w:color w:val="000000"/>
          <w:sz w:val="21"/>
          <w:szCs w:val="21"/>
          <w:highlight w:val="none"/>
        </w:rPr>
        <w:t>的投</w:t>
      </w:r>
      <w:r>
        <w:rPr>
          <w:rFonts w:asciiTheme="minorEastAsia" w:hAnsiTheme="minorEastAsia"/>
          <w:color w:val="000000"/>
          <w:sz w:val="21"/>
          <w:szCs w:val="21"/>
          <w:highlight w:val="none"/>
        </w:rPr>
        <w:t>标报价</w:t>
      </w:r>
      <w:r>
        <w:rPr>
          <w:rFonts w:hint="eastAsia" w:asciiTheme="minorEastAsia" w:hAnsiTheme="minorEastAsia"/>
          <w:color w:val="000000"/>
          <w:sz w:val="21"/>
          <w:szCs w:val="21"/>
          <w:highlight w:val="none"/>
        </w:rPr>
        <w:t>，</w:t>
      </w:r>
      <w:r>
        <w:rPr>
          <w:rFonts w:asciiTheme="minorEastAsia" w:hAnsiTheme="minorEastAsia"/>
          <w:color w:val="000000"/>
          <w:sz w:val="21"/>
          <w:szCs w:val="21"/>
          <w:highlight w:val="none"/>
        </w:rPr>
        <w:t>签</w:t>
      </w:r>
      <w:r>
        <w:rPr>
          <w:rFonts w:hint="eastAsia" w:asciiTheme="minorEastAsia" w:hAnsiTheme="minorEastAsia"/>
          <w:color w:val="000000"/>
          <w:sz w:val="21"/>
          <w:szCs w:val="21"/>
          <w:highlight w:val="none"/>
        </w:rPr>
        <w:t>署上</w:t>
      </w:r>
      <w:r>
        <w:rPr>
          <w:rFonts w:asciiTheme="minorEastAsia" w:hAnsiTheme="minorEastAsia"/>
          <w:color w:val="000000"/>
          <w:sz w:val="21"/>
          <w:szCs w:val="21"/>
          <w:highlight w:val="none"/>
        </w:rPr>
        <w:t>述项目</w:t>
      </w:r>
      <w:r>
        <w:rPr>
          <w:rFonts w:hint="eastAsia" w:asciiTheme="minorEastAsia" w:hAnsiTheme="minorEastAsia"/>
          <w:color w:val="000000"/>
          <w:sz w:val="21"/>
          <w:szCs w:val="21"/>
          <w:highlight w:val="none"/>
        </w:rPr>
        <w:t>的投</w:t>
      </w:r>
      <w:r>
        <w:rPr>
          <w:rFonts w:asciiTheme="minorEastAsia" w:hAnsiTheme="minorEastAsia"/>
          <w:color w:val="000000"/>
          <w:sz w:val="21"/>
          <w:szCs w:val="21"/>
          <w:highlight w:val="none"/>
        </w:rPr>
        <w:t>标</w:t>
      </w:r>
      <w:r>
        <w:rPr>
          <w:rFonts w:hint="eastAsia" w:asciiTheme="minorEastAsia" w:hAnsiTheme="minorEastAsia"/>
          <w:color w:val="000000"/>
          <w:sz w:val="21"/>
          <w:szCs w:val="21"/>
          <w:highlight w:val="none"/>
        </w:rPr>
        <w:t>文件及合同的</w:t>
      </w:r>
      <w:r>
        <w:rPr>
          <w:rFonts w:asciiTheme="minorEastAsia" w:hAnsiTheme="minorEastAsia"/>
          <w:color w:val="000000"/>
          <w:sz w:val="21"/>
          <w:szCs w:val="21"/>
          <w:highlight w:val="none"/>
        </w:rPr>
        <w:t>执</w:t>
      </w:r>
      <w:r>
        <w:rPr>
          <w:rFonts w:hint="eastAsia" w:asciiTheme="minorEastAsia" w:hAnsiTheme="minorEastAsia"/>
          <w:color w:val="000000"/>
          <w:sz w:val="21"/>
          <w:szCs w:val="21"/>
          <w:highlight w:val="none"/>
        </w:rPr>
        <w:t>行、完成、服</w:t>
      </w:r>
      <w:r>
        <w:rPr>
          <w:rFonts w:asciiTheme="minorEastAsia" w:hAnsiTheme="minorEastAsia"/>
          <w:color w:val="000000"/>
          <w:sz w:val="21"/>
          <w:szCs w:val="21"/>
          <w:highlight w:val="none"/>
        </w:rPr>
        <w:t>务</w:t>
      </w:r>
      <w:r>
        <w:rPr>
          <w:rFonts w:hint="eastAsia" w:asciiTheme="minorEastAsia" w:hAnsiTheme="minorEastAsia"/>
          <w:color w:val="000000"/>
          <w:sz w:val="21"/>
          <w:szCs w:val="21"/>
          <w:highlight w:val="none"/>
        </w:rPr>
        <w:t>和保修，</w:t>
      </w:r>
      <w:r>
        <w:rPr>
          <w:rFonts w:asciiTheme="minorEastAsia" w:hAnsiTheme="minorEastAsia"/>
          <w:color w:val="000000"/>
          <w:sz w:val="21"/>
          <w:szCs w:val="21"/>
          <w:highlight w:val="none"/>
        </w:rPr>
        <w:t>签</w:t>
      </w:r>
      <w:r>
        <w:rPr>
          <w:rFonts w:hint="eastAsia" w:asciiTheme="minorEastAsia" w:hAnsiTheme="minorEastAsia"/>
          <w:color w:val="000000"/>
          <w:sz w:val="21"/>
          <w:szCs w:val="21"/>
          <w:highlight w:val="none"/>
        </w:rPr>
        <w:t>署合同和</w:t>
      </w:r>
      <w:r>
        <w:rPr>
          <w:rFonts w:asciiTheme="minorEastAsia" w:hAnsiTheme="minorEastAsia"/>
          <w:color w:val="000000"/>
          <w:sz w:val="21"/>
          <w:szCs w:val="21"/>
          <w:highlight w:val="none"/>
        </w:rPr>
        <w:t>处</w:t>
      </w:r>
      <w:r>
        <w:rPr>
          <w:rFonts w:hint="eastAsia" w:asciiTheme="minorEastAsia" w:hAnsiTheme="minorEastAsia"/>
          <w:color w:val="000000"/>
          <w:sz w:val="21"/>
          <w:szCs w:val="21"/>
          <w:highlight w:val="none"/>
        </w:rPr>
        <w:t>理与之有</w:t>
      </w:r>
      <w:r>
        <w:rPr>
          <w:rFonts w:asciiTheme="minorEastAsia" w:hAnsiTheme="minorEastAsia"/>
          <w:color w:val="000000"/>
          <w:sz w:val="21"/>
          <w:szCs w:val="21"/>
          <w:highlight w:val="none"/>
        </w:rPr>
        <w:t>关的</w:t>
      </w:r>
      <w:r>
        <w:rPr>
          <w:rFonts w:hint="eastAsia" w:asciiTheme="minorEastAsia" w:hAnsiTheme="minorEastAsia"/>
          <w:color w:val="000000"/>
          <w:sz w:val="21"/>
          <w:szCs w:val="21"/>
          <w:highlight w:val="none"/>
        </w:rPr>
        <w:t>一切事</w:t>
      </w:r>
      <w:r>
        <w:rPr>
          <w:rFonts w:asciiTheme="minorEastAsia" w:hAnsiTheme="minorEastAsia"/>
          <w:color w:val="000000"/>
          <w:sz w:val="21"/>
          <w:szCs w:val="21"/>
          <w:highlight w:val="none"/>
        </w:rPr>
        <w:t>务</w:t>
      </w:r>
      <w:r>
        <w:rPr>
          <w:rFonts w:hint="eastAsia" w:asciiTheme="minorEastAsia" w:hAnsiTheme="minorEastAsia"/>
          <w:color w:val="000000"/>
          <w:sz w:val="21"/>
          <w:szCs w:val="21"/>
          <w:highlight w:val="none"/>
        </w:rPr>
        <w:t>。</w:t>
      </w:r>
    </w:p>
    <w:p>
      <w:pPr>
        <w:pStyle w:val="45"/>
        <w:spacing w:line="480" w:lineRule="auto"/>
        <w:ind w:firstLine="472" w:firstLineChars="225"/>
        <w:jc w:val="left"/>
        <w:rPr>
          <w:rFonts w:asciiTheme="minorEastAsia" w:hAnsiTheme="minorEastAsia"/>
          <w:color w:val="000000"/>
          <w:sz w:val="21"/>
          <w:szCs w:val="21"/>
          <w:highlight w:val="none"/>
        </w:rPr>
      </w:pPr>
      <w:r>
        <w:rPr>
          <w:rFonts w:hint="eastAsia" w:asciiTheme="minorEastAsia" w:hAnsiTheme="minorEastAsia"/>
          <w:color w:val="000000"/>
          <w:sz w:val="21"/>
          <w:szCs w:val="21"/>
          <w:highlight w:val="none"/>
        </w:rPr>
        <w:t>特此</w:t>
      </w:r>
      <w:r>
        <w:rPr>
          <w:rFonts w:asciiTheme="minorEastAsia" w:hAnsiTheme="minorEastAsia"/>
          <w:color w:val="000000"/>
          <w:sz w:val="21"/>
          <w:szCs w:val="21"/>
          <w:highlight w:val="none"/>
        </w:rPr>
        <w:t>证</w:t>
      </w:r>
      <w:r>
        <w:rPr>
          <w:rFonts w:hint="eastAsia" w:asciiTheme="minorEastAsia" w:hAnsiTheme="minorEastAsia"/>
          <w:color w:val="000000"/>
          <w:sz w:val="21"/>
          <w:szCs w:val="21"/>
          <w:highlight w:val="none"/>
        </w:rPr>
        <w:t>明。</w:t>
      </w:r>
    </w:p>
    <w:p>
      <w:pPr>
        <w:pStyle w:val="45"/>
        <w:spacing w:line="480" w:lineRule="auto"/>
        <w:ind w:firstLine="472" w:firstLineChars="225"/>
        <w:jc w:val="left"/>
        <w:rPr>
          <w:rFonts w:asciiTheme="minorEastAsia" w:hAnsiTheme="minorEastAsia"/>
          <w:color w:val="000000"/>
          <w:sz w:val="21"/>
          <w:szCs w:val="21"/>
          <w:highlight w:val="none"/>
        </w:rPr>
      </w:pPr>
    </w:p>
    <w:p>
      <w:pPr>
        <w:pStyle w:val="45"/>
        <w:spacing w:line="480" w:lineRule="auto"/>
        <w:ind w:firstLine="472" w:firstLineChars="225"/>
        <w:jc w:val="left"/>
        <w:rPr>
          <w:rFonts w:asciiTheme="minorEastAsia" w:hAnsiTheme="minorEastAsia"/>
          <w:color w:val="000000"/>
          <w:sz w:val="21"/>
          <w:szCs w:val="21"/>
          <w:highlight w:val="none"/>
        </w:rPr>
      </w:pPr>
    </w:p>
    <w:p>
      <w:pPr>
        <w:pStyle w:val="45"/>
        <w:spacing w:line="480" w:lineRule="auto"/>
        <w:ind w:left="-538" w:leftChars="-256" w:firstLine="539" w:firstLineChars="257"/>
        <w:jc w:val="center"/>
        <w:rPr>
          <w:rFonts w:asciiTheme="minorEastAsia" w:hAnsiTheme="minorEastAsia"/>
          <w:bCs/>
          <w:color w:val="000000"/>
          <w:sz w:val="21"/>
          <w:szCs w:val="21"/>
          <w:highlight w:val="none"/>
        </w:rPr>
      </w:pPr>
      <w:r>
        <w:rPr>
          <w:rFonts w:hint="eastAsia" w:asciiTheme="minorEastAsia" w:hAnsiTheme="minorEastAsia"/>
          <w:bCs/>
          <w:color w:val="000000"/>
          <w:sz w:val="21"/>
          <w:szCs w:val="21"/>
          <w:highlight w:val="none"/>
        </w:rPr>
        <w:t>【此</w:t>
      </w:r>
      <w:r>
        <w:rPr>
          <w:rFonts w:asciiTheme="minorEastAsia" w:hAnsiTheme="minorEastAsia"/>
          <w:bCs/>
          <w:color w:val="000000"/>
          <w:sz w:val="21"/>
          <w:szCs w:val="21"/>
          <w:highlight w:val="none"/>
        </w:rPr>
        <w:t>处请</w:t>
      </w:r>
      <w:r>
        <w:rPr>
          <w:rFonts w:hint="eastAsia" w:asciiTheme="minorEastAsia" w:hAnsiTheme="minorEastAsia"/>
          <w:bCs/>
          <w:color w:val="000000"/>
          <w:sz w:val="21"/>
          <w:szCs w:val="21"/>
          <w:highlight w:val="none"/>
        </w:rPr>
        <w:t>粘</w:t>
      </w:r>
      <w:r>
        <w:rPr>
          <w:rFonts w:asciiTheme="minorEastAsia" w:hAnsiTheme="minorEastAsia"/>
          <w:bCs/>
          <w:color w:val="000000"/>
          <w:sz w:val="21"/>
          <w:szCs w:val="21"/>
          <w:highlight w:val="none"/>
        </w:rPr>
        <w:t>贴</w:t>
      </w:r>
      <w:r>
        <w:rPr>
          <w:rFonts w:hint="eastAsia" w:asciiTheme="minorEastAsia" w:hAnsiTheme="minorEastAsia"/>
          <w:bCs/>
          <w:color w:val="000000"/>
          <w:sz w:val="21"/>
          <w:szCs w:val="21"/>
          <w:highlight w:val="none"/>
        </w:rPr>
        <w:t>法定代表人（单位负责人）身份</w:t>
      </w:r>
      <w:r>
        <w:rPr>
          <w:rFonts w:asciiTheme="minorEastAsia" w:hAnsiTheme="minorEastAsia"/>
          <w:bCs/>
          <w:color w:val="000000"/>
          <w:sz w:val="21"/>
          <w:szCs w:val="21"/>
          <w:highlight w:val="none"/>
        </w:rPr>
        <w:t>证复</w:t>
      </w:r>
      <w:r>
        <w:rPr>
          <w:rFonts w:hint="eastAsia" w:asciiTheme="minorEastAsia" w:hAnsiTheme="minorEastAsia"/>
          <w:bCs/>
          <w:color w:val="000000"/>
          <w:sz w:val="21"/>
          <w:szCs w:val="21"/>
          <w:highlight w:val="none"/>
        </w:rPr>
        <w:t>印件，需清晰反映身份证有效期限】</w:t>
      </w:r>
    </w:p>
    <w:p>
      <w:pPr>
        <w:pStyle w:val="45"/>
        <w:spacing w:line="480" w:lineRule="auto"/>
        <w:ind w:left="-538" w:leftChars="-256" w:firstLine="539" w:firstLineChars="257"/>
        <w:jc w:val="center"/>
        <w:rPr>
          <w:rFonts w:asciiTheme="minorEastAsia" w:hAnsiTheme="minorEastAsia"/>
          <w:bCs/>
          <w:color w:val="000000"/>
          <w:sz w:val="21"/>
          <w:szCs w:val="21"/>
          <w:highlight w:val="none"/>
        </w:rPr>
      </w:pPr>
    </w:p>
    <w:p>
      <w:pPr>
        <w:autoSpaceDE w:val="0"/>
        <w:autoSpaceDN w:val="0"/>
        <w:adjustRightInd w:val="0"/>
        <w:spacing w:line="360" w:lineRule="auto"/>
        <w:ind w:right="-11"/>
        <w:rPr>
          <w:rFonts w:cs="宋体" w:asciiTheme="minorEastAsia" w:hAnsiTheme="minorEastAsia"/>
          <w:szCs w:val="21"/>
          <w:highlight w:val="none"/>
          <w:lang w:val="zh-CN"/>
        </w:rPr>
      </w:pPr>
    </w:p>
    <w:p>
      <w:pPr>
        <w:autoSpaceDE w:val="0"/>
        <w:autoSpaceDN w:val="0"/>
        <w:adjustRightInd w:val="0"/>
        <w:spacing w:line="360" w:lineRule="auto"/>
        <w:ind w:right="-11"/>
        <w:rPr>
          <w:rFonts w:cs="宋体" w:asciiTheme="minorEastAsia" w:hAnsiTheme="minorEastAsia"/>
          <w:szCs w:val="21"/>
          <w:highlight w:val="none"/>
          <w:lang w:val="zh-CN"/>
        </w:rPr>
      </w:pPr>
    </w:p>
    <w:p>
      <w:pPr>
        <w:autoSpaceDE w:val="0"/>
        <w:autoSpaceDN w:val="0"/>
        <w:adjustRightInd w:val="0"/>
        <w:spacing w:line="360" w:lineRule="auto"/>
        <w:ind w:right="-11"/>
        <w:rPr>
          <w:rFonts w:cs="宋体" w:asciiTheme="minorEastAsia" w:hAnsiTheme="minorEastAsia"/>
          <w:szCs w:val="21"/>
          <w:highlight w:val="none"/>
          <w:lang w:val="zh-CN"/>
        </w:rPr>
      </w:pPr>
    </w:p>
    <w:p>
      <w:pPr>
        <w:spacing w:line="480" w:lineRule="auto"/>
        <w:ind w:firstLine="3937" w:firstLineChars="1875"/>
        <w:rPr>
          <w:rFonts w:cs="Arial" w:asciiTheme="minorEastAsia" w:hAnsiTheme="minorEastAsia"/>
          <w:color w:val="000000"/>
          <w:szCs w:val="21"/>
          <w:highlight w:val="none"/>
          <w:u w:val="single"/>
        </w:rPr>
      </w:pPr>
      <w:r>
        <w:rPr>
          <w:rFonts w:hint="eastAsia" w:cs="Arial" w:asciiTheme="minorEastAsia" w:hAnsiTheme="minorEastAsia"/>
          <w:color w:val="000000"/>
          <w:szCs w:val="21"/>
          <w:highlight w:val="none"/>
        </w:rPr>
        <w:t>投标人名称（并加盖公章）：</w:t>
      </w:r>
    </w:p>
    <w:p>
      <w:pPr>
        <w:pStyle w:val="48"/>
        <w:spacing w:before="60" w:line="480" w:lineRule="auto"/>
        <w:ind w:firstLine="3937" w:firstLineChars="1875"/>
        <w:rPr>
          <w:rFonts w:cs="Arial" w:asciiTheme="minorEastAsia" w:hAnsiTheme="minorEastAsia" w:eastAsiaTheme="minorEastAsia"/>
          <w:color w:val="000000"/>
          <w:sz w:val="21"/>
          <w:szCs w:val="21"/>
          <w:highlight w:val="none"/>
        </w:rPr>
      </w:pPr>
      <w:r>
        <w:rPr>
          <w:rFonts w:hint="eastAsia" w:cs="Arial" w:asciiTheme="minorEastAsia" w:hAnsiTheme="minorEastAsia" w:eastAsiaTheme="minorEastAsia"/>
          <w:color w:val="000000"/>
          <w:sz w:val="21"/>
          <w:szCs w:val="21"/>
          <w:highlight w:val="none"/>
        </w:rPr>
        <w:t>签署日期：   年   月  日</w:t>
      </w:r>
    </w:p>
    <w:p>
      <w:pPr>
        <w:pStyle w:val="47"/>
        <w:spacing w:line="480" w:lineRule="auto"/>
        <w:rPr>
          <w:rFonts w:cs="Arial" w:asciiTheme="minorEastAsia" w:hAnsiTheme="minorEastAsia"/>
          <w:color w:val="000000"/>
          <w:sz w:val="21"/>
          <w:szCs w:val="21"/>
          <w:highlight w:val="none"/>
        </w:rPr>
      </w:pPr>
    </w:p>
    <w:p>
      <w:pPr>
        <w:rPr>
          <w:szCs w:val="21"/>
          <w:highlight w:val="none"/>
        </w:rPr>
      </w:pPr>
    </w:p>
    <w:p>
      <w:pPr>
        <w:spacing w:line="320" w:lineRule="exact"/>
        <w:ind w:firstLine="420" w:firstLineChars="200"/>
        <w:rPr>
          <w:rFonts w:asciiTheme="minorEastAsia" w:hAnsiTheme="minorEastAsia"/>
          <w:bCs/>
          <w:color w:val="000000"/>
          <w:kern w:val="12"/>
          <w:szCs w:val="21"/>
          <w:highlight w:val="none"/>
        </w:rPr>
      </w:pPr>
      <w:r>
        <w:rPr>
          <w:rFonts w:hint="eastAsia" w:asciiTheme="minorEastAsia" w:hAnsiTheme="minorEastAsia"/>
          <w:bCs/>
          <w:color w:val="000000"/>
          <w:kern w:val="12"/>
          <w:szCs w:val="21"/>
          <w:highlight w:val="none"/>
        </w:rPr>
        <w:t>说明：法定代表人（单位负责人）</w:t>
      </w:r>
      <w:r>
        <w:rPr>
          <w:rFonts w:asciiTheme="minorEastAsia" w:hAnsiTheme="minorEastAsia"/>
          <w:bCs/>
          <w:color w:val="000000"/>
          <w:kern w:val="12"/>
          <w:szCs w:val="21"/>
          <w:highlight w:val="none"/>
        </w:rPr>
        <w:t>参</w:t>
      </w:r>
      <w:r>
        <w:rPr>
          <w:rFonts w:hint="eastAsia" w:asciiTheme="minorEastAsia" w:hAnsiTheme="minorEastAsia"/>
          <w:bCs/>
          <w:color w:val="000000"/>
          <w:kern w:val="12"/>
          <w:szCs w:val="21"/>
          <w:highlight w:val="none"/>
        </w:rPr>
        <w:t>加本招</w:t>
      </w:r>
      <w:r>
        <w:rPr>
          <w:rFonts w:asciiTheme="minorEastAsia" w:hAnsiTheme="minorEastAsia"/>
          <w:bCs/>
          <w:color w:val="000000"/>
          <w:kern w:val="12"/>
          <w:szCs w:val="21"/>
          <w:highlight w:val="none"/>
        </w:rPr>
        <w:t>标项目</w:t>
      </w:r>
      <w:r>
        <w:rPr>
          <w:rFonts w:hint="eastAsia" w:asciiTheme="minorEastAsia" w:hAnsiTheme="minorEastAsia"/>
          <w:bCs/>
          <w:color w:val="000000"/>
          <w:kern w:val="12"/>
          <w:szCs w:val="21"/>
          <w:highlight w:val="none"/>
        </w:rPr>
        <w:t>投</w:t>
      </w:r>
      <w:r>
        <w:rPr>
          <w:rFonts w:asciiTheme="minorEastAsia" w:hAnsiTheme="minorEastAsia"/>
          <w:bCs/>
          <w:color w:val="000000"/>
          <w:kern w:val="12"/>
          <w:szCs w:val="21"/>
          <w:highlight w:val="none"/>
        </w:rPr>
        <w:t>标</w:t>
      </w:r>
      <w:r>
        <w:rPr>
          <w:rFonts w:hint="eastAsia" w:asciiTheme="minorEastAsia" w:hAnsiTheme="minorEastAsia"/>
          <w:bCs/>
          <w:color w:val="000000"/>
          <w:kern w:val="12"/>
          <w:szCs w:val="21"/>
          <w:highlight w:val="none"/>
        </w:rPr>
        <w:t>的，</w:t>
      </w:r>
      <w:r>
        <w:rPr>
          <w:rFonts w:asciiTheme="minorEastAsia" w:hAnsiTheme="minorEastAsia"/>
          <w:bCs/>
          <w:color w:val="000000"/>
          <w:kern w:val="12"/>
          <w:szCs w:val="21"/>
          <w:highlight w:val="none"/>
        </w:rPr>
        <w:t>仅须</w:t>
      </w:r>
      <w:r>
        <w:rPr>
          <w:rFonts w:hint="eastAsia" w:asciiTheme="minorEastAsia" w:hAnsiTheme="minorEastAsia"/>
          <w:bCs/>
          <w:color w:val="000000"/>
          <w:kern w:val="12"/>
          <w:szCs w:val="21"/>
          <w:highlight w:val="none"/>
        </w:rPr>
        <w:t>出具此</w:t>
      </w:r>
      <w:r>
        <w:rPr>
          <w:rFonts w:asciiTheme="minorEastAsia" w:hAnsiTheme="minorEastAsia"/>
          <w:bCs/>
          <w:color w:val="000000"/>
          <w:kern w:val="12"/>
          <w:szCs w:val="21"/>
          <w:highlight w:val="none"/>
        </w:rPr>
        <w:t>证</w:t>
      </w:r>
      <w:r>
        <w:rPr>
          <w:rFonts w:hint="eastAsia" w:asciiTheme="minorEastAsia" w:hAnsiTheme="minorEastAsia"/>
          <w:bCs/>
          <w:color w:val="000000"/>
          <w:kern w:val="12"/>
          <w:szCs w:val="21"/>
          <w:highlight w:val="none"/>
        </w:rPr>
        <w:t>明</w:t>
      </w:r>
      <w:r>
        <w:rPr>
          <w:rFonts w:asciiTheme="minorEastAsia" w:hAnsiTheme="minorEastAsia"/>
          <w:bCs/>
          <w:color w:val="000000"/>
          <w:kern w:val="12"/>
          <w:szCs w:val="21"/>
          <w:highlight w:val="none"/>
        </w:rPr>
        <w:t>书</w:t>
      </w:r>
      <w:r>
        <w:rPr>
          <w:rFonts w:hint="eastAsia" w:asciiTheme="minorEastAsia" w:hAnsiTheme="minorEastAsia"/>
          <w:bCs/>
          <w:color w:val="000000"/>
          <w:kern w:val="12"/>
          <w:szCs w:val="21"/>
          <w:highlight w:val="none"/>
        </w:rPr>
        <w:t>。</w:t>
      </w:r>
    </w:p>
    <w:p>
      <w:pPr>
        <w:spacing w:line="480" w:lineRule="exact"/>
        <w:jc w:val="center"/>
        <w:rPr>
          <w:rFonts w:ascii="宋体" w:hAnsi="宋体"/>
          <w:b/>
          <w:bCs/>
          <w:color w:val="000000"/>
          <w:sz w:val="36"/>
          <w:szCs w:val="36"/>
          <w:highlight w:val="none"/>
        </w:rPr>
      </w:pPr>
    </w:p>
    <w:p>
      <w:pPr>
        <w:spacing w:line="480" w:lineRule="exact"/>
        <w:jc w:val="center"/>
        <w:rPr>
          <w:rFonts w:ascii="宋体" w:hAnsi="宋体"/>
          <w:b/>
          <w:bCs/>
          <w:color w:val="000000"/>
          <w:sz w:val="24"/>
          <w:szCs w:val="24"/>
          <w:highlight w:val="none"/>
        </w:rPr>
      </w:pPr>
      <w:r>
        <w:rPr>
          <w:rFonts w:hint="eastAsia" w:ascii="宋体" w:hAnsi="宋体"/>
          <w:b/>
          <w:bCs/>
          <w:color w:val="000000"/>
          <w:sz w:val="24"/>
          <w:szCs w:val="24"/>
          <w:highlight w:val="none"/>
        </w:rPr>
        <w:t>3.3 法定代表人（单位负责人）授权书</w:t>
      </w:r>
    </w:p>
    <w:p>
      <w:pPr>
        <w:spacing w:line="480" w:lineRule="exact"/>
        <w:jc w:val="center"/>
        <w:rPr>
          <w:rFonts w:ascii="宋体" w:hAnsi="宋体"/>
          <w:b/>
          <w:bCs/>
          <w:color w:val="000000"/>
          <w:sz w:val="36"/>
          <w:szCs w:val="36"/>
          <w:highlight w:val="none"/>
        </w:rPr>
      </w:pPr>
    </w:p>
    <w:p>
      <w:pPr>
        <w:adjustRightInd w:val="0"/>
        <w:spacing w:line="360" w:lineRule="auto"/>
        <w:ind w:firstLine="441" w:firstLineChars="210"/>
        <w:contextualSpacing/>
        <w:rPr>
          <w:rFonts w:cs="Arial" w:asciiTheme="minorEastAsia" w:hAnsiTheme="minorEastAsia"/>
          <w:szCs w:val="21"/>
          <w:highlight w:val="none"/>
        </w:rPr>
      </w:pPr>
      <w:r>
        <w:rPr>
          <w:rFonts w:hint="eastAsia" w:asciiTheme="minorEastAsia" w:hAnsiTheme="minorEastAsia"/>
          <w:szCs w:val="21"/>
          <w:highlight w:val="none"/>
        </w:rPr>
        <w:t xml:space="preserve"> </w:t>
      </w:r>
      <w:r>
        <w:rPr>
          <w:rFonts w:hint="eastAsia" w:cs="Arial" w:asciiTheme="minorEastAsia" w:hAnsiTheme="minorEastAsia"/>
          <w:szCs w:val="21"/>
          <w:highlight w:val="none"/>
        </w:rPr>
        <w:t>本人</w:t>
      </w:r>
      <w:r>
        <w:rPr>
          <w:rFonts w:hint="eastAsia" w:cs="Arial" w:asciiTheme="minorEastAsia" w:hAnsiTheme="minorEastAsia"/>
          <w:szCs w:val="21"/>
          <w:highlight w:val="none"/>
          <w:u w:val="single"/>
        </w:rPr>
        <w:t xml:space="preserve">　 </w:t>
      </w:r>
      <w:r>
        <w:rPr>
          <w:rFonts w:hint="eastAsia" w:asciiTheme="minorEastAsia" w:hAnsiTheme="minorEastAsia"/>
          <w:i/>
          <w:snapToGrid w:val="0"/>
          <w:szCs w:val="21"/>
          <w:highlight w:val="none"/>
          <w:u w:val="single"/>
        </w:rPr>
        <w:t>法人姓名</w:t>
      </w:r>
      <w:r>
        <w:rPr>
          <w:rFonts w:hint="eastAsia" w:cs="Arial" w:asciiTheme="minorEastAsia" w:hAnsiTheme="minorEastAsia"/>
          <w:szCs w:val="21"/>
          <w:highlight w:val="none"/>
          <w:u w:val="single"/>
        </w:rPr>
        <w:t xml:space="preserve">  </w:t>
      </w:r>
      <w:r>
        <w:rPr>
          <w:rFonts w:hint="eastAsia" w:cs="Arial" w:asciiTheme="minorEastAsia" w:hAnsiTheme="minorEastAsia"/>
          <w:szCs w:val="21"/>
          <w:highlight w:val="none"/>
        </w:rPr>
        <w:t>系</w:t>
      </w:r>
      <w:r>
        <w:rPr>
          <w:rFonts w:hint="eastAsia" w:cs="Arial" w:asciiTheme="minorEastAsia" w:hAnsiTheme="minorEastAsia"/>
          <w:szCs w:val="21"/>
          <w:highlight w:val="none"/>
          <w:u w:val="single"/>
        </w:rPr>
        <w:t>　</w:t>
      </w:r>
      <w:r>
        <w:rPr>
          <w:rFonts w:hint="eastAsia" w:asciiTheme="minorEastAsia" w:hAnsiTheme="minorEastAsia"/>
          <w:i/>
          <w:snapToGrid w:val="0"/>
          <w:szCs w:val="21"/>
          <w:highlight w:val="none"/>
          <w:u w:val="single"/>
        </w:rPr>
        <w:t xml:space="preserve">投标人名称  </w:t>
      </w:r>
      <w:r>
        <w:rPr>
          <w:rFonts w:hint="eastAsia" w:cs="Arial" w:asciiTheme="minorEastAsia" w:hAnsiTheme="minorEastAsia"/>
          <w:szCs w:val="21"/>
          <w:highlight w:val="none"/>
          <w:u w:val="single"/>
        </w:rPr>
        <w:t xml:space="preserve"> </w:t>
      </w:r>
      <w:r>
        <w:rPr>
          <w:rFonts w:hint="eastAsia" w:cs="Arial" w:asciiTheme="minorEastAsia" w:hAnsiTheme="minorEastAsia"/>
          <w:szCs w:val="21"/>
          <w:highlight w:val="none"/>
        </w:rPr>
        <w:t>的法定代表人（单位负责人），现委托</w:t>
      </w:r>
      <w:r>
        <w:rPr>
          <w:rFonts w:hint="eastAsia" w:cs="Arial" w:asciiTheme="minorEastAsia" w:hAnsiTheme="minorEastAsia"/>
          <w:szCs w:val="21"/>
          <w:highlight w:val="none"/>
          <w:u w:val="single"/>
        </w:rPr>
        <w:t xml:space="preserve">　 </w:t>
      </w:r>
      <w:r>
        <w:rPr>
          <w:rFonts w:hint="eastAsia" w:asciiTheme="minorEastAsia" w:hAnsiTheme="minorEastAsia"/>
          <w:i/>
          <w:snapToGrid w:val="0"/>
          <w:szCs w:val="21"/>
          <w:highlight w:val="none"/>
          <w:u w:val="single"/>
        </w:rPr>
        <w:t>姓名，职务</w:t>
      </w:r>
      <w:r>
        <w:rPr>
          <w:rFonts w:hint="eastAsia" w:cs="Arial" w:asciiTheme="minorEastAsia" w:hAnsiTheme="minorEastAsia"/>
          <w:szCs w:val="21"/>
          <w:highlight w:val="none"/>
          <w:u w:val="single"/>
        </w:rPr>
        <w:t xml:space="preserve">    </w:t>
      </w:r>
      <w:r>
        <w:rPr>
          <w:rFonts w:hint="eastAsia" w:cs="Arial" w:asciiTheme="minorEastAsia" w:hAnsiTheme="minorEastAsia"/>
          <w:szCs w:val="21"/>
          <w:highlight w:val="none"/>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441" w:firstLineChars="210"/>
        <w:contextualSpacing/>
        <w:rPr>
          <w:rFonts w:cs="Arial" w:asciiTheme="minorEastAsia" w:hAnsiTheme="minorEastAsia"/>
          <w:szCs w:val="21"/>
          <w:highlight w:val="none"/>
        </w:rPr>
      </w:pPr>
      <w:r>
        <w:rPr>
          <w:rFonts w:hint="eastAsia" w:cs="Arial" w:asciiTheme="minorEastAsia" w:hAnsiTheme="minorEastAsia"/>
          <w:szCs w:val="21"/>
          <w:highlight w:val="none"/>
        </w:rPr>
        <w:t>我方对被授权人的签名事项负全部责任。</w:t>
      </w:r>
    </w:p>
    <w:p>
      <w:pPr>
        <w:adjustRightInd w:val="0"/>
        <w:spacing w:line="360" w:lineRule="auto"/>
        <w:ind w:firstLine="441" w:firstLineChars="210"/>
        <w:contextualSpacing/>
        <w:rPr>
          <w:rFonts w:cs="Arial" w:asciiTheme="minorEastAsia" w:hAnsiTheme="minorEastAsia"/>
          <w:szCs w:val="21"/>
          <w:highlight w:val="none"/>
        </w:rPr>
      </w:pPr>
      <w:r>
        <w:rPr>
          <w:rFonts w:hint="eastAsia" w:cs="Arial" w:asciiTheme="minorEastAsia" w:hAnsiTheme="minorEastAsia"/>
          <w:szCs w:val="21"/>
          <w:highlight w:val="none"/>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pPr>
        <w:adjustRightInd w:val="0"/>
        <w:spacing w:line="360" w:lineRule="auto"/>
        <w:ind w:firstLine="441" w:firstLineChars="210"/>
        <w:contextualSpacing/>
        <w:rPr>
          <w:rFonts w:cs="Arial" w:asciiTheme="minorEastAsia" w:hAnsiTheme="minorEastAsia"/>
          <w:szCs w:val="21"/>
          <w:highlight w:val="none"/>
        </w:rPr>
      </w:pPr>
      <w:r>
        <w:rPr>
          <w:rFonts w:hint="eastAsia" w:cs="Arial" w:asciiTheme="minorEastAsia" w:hAnsiTheme="minorEastAsia"/>
          <w:szCs w:val="21"/>
          <w:highlight w:val="none"/>
        </w:rPr>
        <w:t>被授权人无转委托权，特此委托。</w:t>
      </w:r>
    </w:p>
    <w:p>
      <w:pPr>
        <w:spacing w:line="480" w:lineRule="auto"/>
        <w:ind w:firstLine="420" w:firstLineChars="200"/>
        <w:rPr>
          <w:rFonts w:asciiTheme="minorEastAsia" w:hAnsiTheme="minorEastAsia"/>
          <w:szCs w:val="21"/>
          <w:highlight w:val="none"/>
        </w:rPr>
      </w:pPr>
      <w:r>
        <w:rPr>
          <w:rFonts w:hint="eastAsia" w:asciiTheme="minorEastAsia" w:hAnsiTheme="minorEastAsia"/>
          <w:szCs w:val="21"/>
          <w:highlight w:val="none"/>
        </w:rPr>
        <w:t xml:space="preserve">投标人名称： </w:t>
      </w:r>
      <w:r>
        <w:rPr>
          <w:rFonts w:hint="eastAsia" w:asciiTheme="minorEastAsia" w:hAnsiTheme="minorEastAsia"/>
          <w:szCs w:val="21"/>
          <w:highlight w:val="none"/>
          <w:u w:val="single"/>
        </w:rPr>
        <w:t xml:space="preserve">       （全称）       </w:t>
      </w:r>
      <w:r>
        <w:rPr>
          <w:rFonts w:hint="eastAsia" w:asciiTheme="minorEastAsia" w:hAnsiTheme="minorEastAsia"/>
          <w:szCs w:val="21"/>
          <w:highlight w:val="none"/>
        </w:rPr>
        <w:t xml:space="preserve"> （盖单位公章）</w:t>
      </w:r>
    </w:p>
    <w:p>
      <w:pPr>
        <w:spacing w:line="480" w:lineRule="auto"/>
        <w:ind w:firstLine="420" w:firstLineChars="200"/>
        <w:rPr>
          <w:rFonts w:asciiTheme="minorEastAsia" w:hAnsiTheme="minorEastAsia"/>
          <w:szCs w:val="21"/>
          <w:highlight w:val="none"/>
        </w:rPr>
      </w:pPr>
      <w:r>
        <w:rPr>
          <w:rFonts w:hint="eastAsia" w:asciiTheme="minorEastAsia" w:hAnsiTheme="minorEastAsia"/>
          <w:szCs w:val="21"/>
          <w:highlight w:val="none"/>
        </w:rPr>
        <w:t xml:space="preserve">法定代表人（单位负责人）： </w:t>
      </w:r>
      <w:r>
        <w:rPr>
          <w:rFonts w:hint="eastAsia" w:asciiTheme="minorEastAsia" w:hAnsiTheme="minorEastAsia"/>
          <w:szCs w:val="21"/>
          <w:highlight w:val="none"/>
          <w:u w:val="single"/>
        </w:rPr>
        <w:t xml:space="preserve">            </w:t>
      </w:r>
      <w:r>
        <w:rPr>
          <w:rFonts w:hint="eastAsia" w:asciiTheme="minorEastAsia" w:hAnsiTheme="minorEastAsia"/>
          <w:szCs w:val="21"/>
          <w:highlight w:val="none"/>
        </w:rPr>
        <w:t xml:space="preserve"> （签字或加盖名章）</w:t>
      </w:r>
    </w:p>
    <w:p>
      <w:pPr>
        <w:spacing w:line="480" w:lineRule="auto"/>
        <w:ind w:firstLine="420" w:firstLineChars="200"/>
        <w:rPr>
          <w:rFonts w:asciiTheme="minorEastAsia" w:hAnsiTheme="minorEastAsia"/>
          <w:szCs w:val="21"/>
          <w:highlight w:val="none"/>
        </w:rPr>
      </w:pPr>
      <w:r>
        <w:rPr>
          <w:rFonts w:hint="eastAsia" w:asciiTheme="minorEastAsia" w:hAnsiTheme="minorEastAsia"/>
          <w:szCs w:val="21"/>
          <w:highlight w:val="none"/>
        </w:rPr>
        <w:t xml:space="preserve">法定代表人（单位负责人）授权代表： </w:t>
      </w:r>
      <w:r>
        <w:rPr>
          <w:rFonts w:hint="eastAsia" w:asciiTheme="minorEastAsia" w:hAnsiTheme="minorEastAsia"/>
          <w:szCs w:val="21"/>
          <w:highlight w:val="none"/>
          <w:u w:val="single"/>
        </w:rPr>
        <w:t xml:space="preserve">         </w:t>
      </w:r>
      <w:r>
        <w:rPr>
          <w:rFonts w:hint="eastAsia" w:asciiTheme="minorEastAsia" w:hAnsiTheme="minorEastAsia"/>
          <w:szCs w:val="21"/>
          <w:highlight w:val="none"/>
        </w:rPr>
        <w:t xml:space="preserve"> （签字或加盖名章）</w:t>
      </w:r>
    </w:p>
    <w:tbl>
      <w:tblPr>
        <w:tblStyle w:val="25"/>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Theme="minorEastAsia" w:hAnsiTheme="minorEastAsia"/>
                <w:szCs w:val="21"/>
                <w:highlight w:val="none"/>
              </w:rPr>
            </w:pPr>
            <w:r>
              <w:rPr>
                <w:rFonts w:hint="eastAsia" w:asciiTheme="minorEastAsia" w:hAnsiTheme="minorEastAsia"/>
                <w:szCs w:val="21"/>
                <w:highlight w:val="none"/>
              </w:rPr>
              <w:t>法定代表人（单位负责人）身份证（正面）</w:t>
            </w:r>
          </w:p>
        </w:tc>
        <w:tc>
          <w:tcPr>
            <w:tcW w:w="4485" w:type="dxa"/>
            <w:gridSpan w:val="2"/>
            <w:vAlign w:val="center"/>
          </w:tcPr>
          <w:p>
            <w:pPr>
              <w:jc w:val="center"/>
              <w:rPr>
                <w:rFonts w:asciiTheme="minorEastAsia" w:hAnsiTheme="minorEastAsia"/>
                <w:szCs w:val="21"/>
                <w:highlight w:val="none"/>
              </w:rPr>
            </w:pPr>
            <w:r>
              <w:rPr>
                <w:rFonts w:hint="eastAsia" w:asciiTheme="minorEastAsia" w:hAnsiTheme="minorEastAsia"/>
                <w:szCs w:val="21"/>
                <w:highlight w:val="none"/>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szCs w:val="21"/>
                <w:highlight w:val="none"/>
              </w:rPr>
            </w:pPr>
            <w:bookmarkStart w:id="28" w:name="_资格证明文件"/>
            <w:bookmarkEnd w:id="28"/>
            <w:bookmarkStart w:id="29" w:name="_Toc364329026"/>
            <w:r>
              <w:rPr>
                <w:rFonts w:hint="eastAsia" w:asciiTheme="minorEastAsia" w:hAnsiTheme="minorEastAsia"/>
                <w:szCs w:val="21"/>
                <w:highlight w:val="none"/>
              </w:rPr>
              <w:t>法定代表人（单位负责人）授权代表身份证</w:t>
            </w:r>
          </w:p>
          <w:p>
            <w:pPr>
              <w:jc w:val="center"/>
              <w:rPr>
                <w:rFonts w:asciiTheme="minorEastAsia" w:hAnsiTheme="minorEastAsia"/>
                <w:szCs w:val="21"/>
                <w:highlight w:val="none"/>
              </w:rPr>
            </w:pPr>
            <w:r>
              <w:rPr>
                <w:rFonts w:hint="eastAsia" w:asciiTheme="minorEastAsia" w:hAnsiTheme="minorEastAsia"/>
                <w:szCs w:val="21"/>
                <w:highlight w:val="none"/>
              </w:rPr>
              <w:t>（正面）</w:t>
            </w:r>
            <w:bookmarkEnd w:id="29"/>
          </w:p>
        </w:tc>
        <w:tc>
          <w:tcPr>
            <w:tcW w:w="4492" w:type="dxa"/>
            <w:gridSpan w:val="2"/>
            <w:vAlign w:val="center"/>
          </w:tcPr>
          <w:p>
            <w:pPr>
              <w:jc w:val="center"/>
              <w:rPr>
                <w:rFonts w:asciiTheme="minorEastAsia" w:hAnsiTheme="minorEastAsia"/>
                <w:szCs w:val="21"/>
                <w:highlight w:val="none"/>
              </w:rPr>
            </w:pPr>
            <w:bookmarkStart w:id="30" w:name="_Toc364329027"/>
            <w:r>
              <w:rPr>
                <w:rFonts w:hint="eastAsia" w:asciiTheme="minorEastAsia" w:hAnsiTheme="minorEastAsia"/>
                <w:szCs w:val="21"/>
                <w:highlight w:val="none"/>
              </w:rPr>
              <w:t>法定代表人（单位负责人）授权代表身份证</w:t>
            </w:r>
          </w:p>
          <w:p>
            <w:pPr>
              <w:jc w:val="center"/>
              <w:rPr>
                <w:rFonts w:asciiTheme="minorEastAsia" w:hAnsiTheme="minorEastAsia"/>
                <w:szCs w:val="21"/>
                <w:highlight w:val="none"/>
              </w:rPr>
            </w:pPr>
            <w:r>
              <w:rPr>
                <w:rFonts w:hint="eastAsia" w:asciiTheme="minorEastAsia" w:hAnsiTheme="minorEastAsia"/>
                <w:szCs w:val="21"/>
                <w:highlight w:val="none"/>
              </w:rPr>
              <w:t>（反面）</w:t>
            </w:r>
            <w:bookmarkEnd w:id="30"/>
          </w:p>
        </w:tc>
      </w:tr>
    </w:tbl>
    <w:p>
      <w:pPr>
        <w:spacing w:line="320" w:lineRule="exact"/>
        <w:ind w:left="2" w:firstLine="357" w:firstLineChars="149"/>
        <w:rPr>
          <w:rFonts w:cs="Courier New" w:asciiTheme="minorEastAsia" w:hAnsiTheme="minorEastAsia"/>
          <w:sz w:val="24"/>
          <w:szCs w:val="24"/>
          <w:highlight w:val="none"/>
        </w:rPr>
      </w:pPr>
    </w:p>
    <w:p>
      <w:pPr>
        <w:widowControl/>
        <w:spacing w:before="100" w:beforeAutospacing="1" w:after="100" w:afterAutospacing="1" w:line="360" w:lineRule="auto"/>
        <w:jc w:val="center"/>
        <w:rPr>
          <w:rFonts w:ascii="宋体" w:hAnsi="宋体"/>
          <w:b/>
          <w:bCs/>
          <w:color w:val="000000"/>
          <w:sz w:val="24"/>
          <w:szCs w:val="24"/>
          <w:highlight w:val="none"/>
        </w:rPr>
      </w:pPr>
      <w:r>
        <w:rPr>
          <w:rFonts w:hint="eastAsia" w:ascii="宋体" w:hAnsi="宋体"/>
          <w:b/>
          <w:bCs/>
          <w:color w:val="000000"/>
          <w:sz w:val="24"/>
          <w:szCs w:val="24"/>
          <w:highlight w:val="none"/>
        </w:rPr>
        <w:t>3.4 没有重大违法记录的声明</w:t>
      </w:r>
    </w:p>
    <w:p>
      <w:pPr>
        <w:spacing w:beforeLines="50" w:afterLines="50"/>
        <w:jc w:val="center"/>
        <w:rPr>
          <w:rFonts w:ascii="宋体" w:hAnsi="宋体" w:cs="Arial"/>
          <w:color w:val="000000"/>
          <w:kern w:val="0"/>
          <w:sz w:val="28"/>
          <w:szCs w:val="28"/>
          <w:highlight w:val="none"/>
        </w:rPr>
      </w:pPr>
      <w:r>
        <w:rPr>
          <w:rFonts w:hint="eastAsia" w:ascii="宋体" w:hAnsi="宋体" w:cs="Arial"/>
          <w:color w:val="000000"/>
          <w:kern w:val="0"/>
          <w:sz w:val="28"/>
          <w:szCs w:val="28"/>
          <w:highlight w:val="none"/>
        </w:rPr>
        <w:t>声　   明</w:t>
      </w:r>
    </w:p>
    <w:p>
      <w:pPr>
        <w:spacing w:beforeLines="50" w:afterLines="50" w:line="360" w:lineRule="auto"/>
        <w:ind w:firstLine="420" w:firstLineChars="200"/>
        <w:rPr>
          <w:rFonts w:cs="宋体" w:asciiTheme="minorEastAsia" w:hAnsiTheme="minorEastAsia"/>
          <w:szCs w:val="21"/>
          <w:highlight w:val="none"/>
          <w:lang w:val="zh-CN"/>
        </w:rPr>
      </w:pPr>
      <w:r>
        <w:rPr>
          <w:rFonts w:hint="eastAsia" w:cs="宋体" w:asciiTheme="minorEastAsia" w:hAnsiTheme="minorEastAsia"/>
          <w:szCs w:val="21"/>
          <w:highlight w:val="none"/>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ind w:firstLine="420" w:firstLineChars="200"/>
        <w:rPr>
          <w:rFonts w:cs="宋体" w:asciiTheme="minorEastAsia" w:hAnsiTheme="minorEastAsia"/>
          <w:szCs w:val="21"/>
          <w:highlight w:val="none"/>
          <w:lang w:val="zh-CN"/>
        </w:rPr>
      </w:pPr>
      <w:r>
        <w:rPr>
          <w:rFonts w:hint="eastAsia" w:cs="宋体" w:asciiTheme="minorEastAsia" w:hAnsiTheme="minorEastAsia"/>
          <w:szCs w:val="21"/>
          <w:highlight w:val="none"/>
          <w:lang w:val="zh-CN"/>
        </w:rPr>
        <w:t>特此声明。</w:t>
      </w:r>
    </w:p>
    <w:p>
      <w:pPr>
        <w:spacing w:beforeLines="50" w:afterLines="50" w:line="360" w:lineRule="auto"/>
        <w:ind w:firstLine="420" w:firstLineChars="200"/>
        <w:rPr>
          <w:rFonts w:cs="宋体" w:asciiTheme="minorEastAsia" w:hAnsiTheme="minorEastAsia"/>
          <w:szCs w:val="21"/>
          <w:highlight w:val="none"/>
          <w:lang w:val="zh-CN"/>
        </w:rPr>
      </w:pPr>
      <w:r>
        <w:rPr>
          <w:rFonts w:hint="eastAsia" w:cs="宋体" w:asciiTheme="minorEastAsia" w:hAnsiTheme="minorEastAsia"/>
          <w:szCs w:val="21"/>
          <w:highlight w:val="none"/>
          <w:lang w:val="zh-CN"/>
        </w:rPr>
        <w:t>本公司对上述声明的真实性负责。如有虚假，将依法承担相应责任。</w:t>
      </w:r>
    </w:p>
    <w:p>
      <w:pPr>
        <w:spacing w:beforeLines="50" w:afterLines="50" w:line="360" w:lineRule="auto"/>
        <w:ind w:firstLine="495" w:firstLineChars="236"/>
        <w:rPr>
          <w:rFonts w:cs="宋体" w:asciiTheme="minorEastAsia" w:hAnsiTheme="minorEastAsia"/>
          <w:szCs w:val="21"/>
          <w:highlight w:val="none"/>
          <w:lang w:val="zh-CN"/>
        </w:rPr>
      </w:pPr>
    </w:p>
    <w:p>
      <w:pPr>
        <w:spacing w:beforeLines="50" w:afterLines="50" w:line="360" w:lineRule="auto"/>
        <w:ind w:right="420" w:firstLine="4800" w:firstLineChars="2286"/>
        <w:rPr>
          <w:rFonts w:cs="宋体" w:asciiTheme="minorEastAsia" w:hAnsiTheme="minorEastAsia"/>
          <w:szCs w:val="21"/>
          <w:highlight w:val="none"/>
          <w:lang w:val="zh-CN"/>
        </w:rPr>
      </w:pPr>
      <w:r>
        <w:rPr>
          <w:rFonts w:hint="eastAsia" w:cs="宋体" w:asciiTheme="minorEastAsia" w:hAnsiTheme="minorEastAsia"/>
          <w:szCs w:val="21"/>
          <w:highlight w:val="none"/>
          <w:lang w:val="zh-CN"/>
        </w:rPr>
        <w:t>单位名称（盖章）：</w:t>
      </w:r>
    </w:p>
    <w:p>
      <w:pPr>
        <w:spacing w:beforeLines="50" w:afterLines="50" w:line="360" w:lineRule="auto"/>
        <w:ind w:right="420" w:firstLine="4800" w:firstLineChars="2286"/>
        <w:rPr>
          <w:rFonts w:cs="宋体" w:asciiTheme="minorEastAsia" w:hAnsiTheme="minorEastAsia"/>
          <w:szCs w:val="21"/>
          <w:highlight w:val="none"/>
          <w:lang w:val="zh-CN"/>
        </w:rPr>
      </w:pPr>
      <w:r>
        <w:rPr>
          <w:rFonts w:hint="eastAsia" w:cs="宋体" w:asciiTheme="minorEastAsia" w:hAnsiTheme="minorEastAsia"/>
          <w:szCs w:val="21"/>
          <w:highlight w:val="none"/>
          <w:lang w:val="zh-CN"/>
        </w:rPr>
        <w:t xml:space="preserve">日    期：     </w:t>
      </w:r>
      <w:r>
        <w:rPr>
          <w:rFonts w:hint="eastAsia" w:cs="宋体" w:asciiTheme="minorEastAsia" w:hAnsiTheme="minorEastAsia"/>
          <w:szCs w:val="21"/>
          <w:highlight w:val="none"/>
        </w:rPr>
        <w:t>年    月    日</w:t>
      </w:r>
    </w:p>
    <w:p>
      <w:pPr>
        <w:spacing w:beforeLines="50" w:afterLines="50" w:line="360" w:lineRule="auto"/>
        <w:ind w:right="420" w:firstLine="5486" w:firstLineChars="2286"/>
        <w:rPr>
          <w:rFonts w:cs="宋体" w:asciiTheme="minorEastAsia" w:hAnsiTheme="minorEastAsia"/>
          <w:sz w:val="24"/>
          <w:szCs w:val="24"/>
          <w:highlight w:val="none"/>
          <w:lang w:val="zh-CN"/>
        </w:rPr>
      </w:pPr>
    </w:p>
    <w:p>
      <w:pPr>
        <w:spacing w:beforeLines="50" w:afterLines="50" w:line="360" w:lineRule="auto"/>
        <w:ind w:right="420" w:firstLine="5486" w:firstLineChars="2286"/>
        <w:rPr>
          <w:rFonts w:cs="宋体" w:asciiTheme="minorEastAsia" w:hAnsiTheme="minorEastAsia"/>
          <w:sz w:val="24"/>
          <w:szCs w:val="24"/>
          <w:highlight w:val="none"/>
          <w:lang w:val="zh-CN"/>
        </w:rPr>
      </w:pPr>
    </w:p>
    <w:p>
      <w:pPr>
        <w:spacing w:beforeLines="50" w:afterLines="50" w:line="360" w:lineRule="auto"/>
        <w:ind w:right="420" w:firstLine="5486" w:firstLineChars="2286"/>
        <w:rPr>
          <w:rFonts w:cs="宋体" w:asciiTheme="minorEastAsia" w:hAnsiTheme="minorEastAsia"/>
          <w:sz w:val="24"/>
          <w:szCs w:val="24"/>
          <w:highlight w:val="none"/>
          <w:lang w:val="zh-CN"/>
        </w:rPr>
      </w:pPr>
    </w:p>
    <w:p>
      <w:pPr>
        <w:widowControl/>
        <w:spacing w:before="100" w:beforeAutospacing="1" w:after="100" w:afterAutospacing="1" w:line="360" w:lineRule="auto"/>
        <w:jc w:val="center"/>
        <w:rPr>
          <w:rFonts w:hint="eastAsia" w:ascii="宋体" w:hAnsi="宋体"/>
          <w:b/>
          <w:bCs/>
          <w:color w:val="000000"/>
          <w:sz w:val="24"/>
          <w:szCs w:val="24"/>
          <w:highlight w:val="none"/>
          <w:lang w:val="zh-CN"/>
        </w:rPr>
      </w:pPr>
    </w:p>
    <w:p>
      <w:pPr>
        <w:widowControl/>
        <w:spacing w:before="100" w:beforeAutospacing="1" w:after="100" w:afterAutospacing="1" w:line="360" w:lineRule="auto"/>
        <w:jc w:val="center"/>
        <w:rPr>
          <w:rFonts w:hint="eastAsia" w:ascii="宋体" w:hAnsi="宋体"/>
          <w:b/>
          <w:bCs/>
          <w:color w:val="000000"/>
          <w:sz w:val="24"/>
          <w:szCs w:val="24"/>
          <w:highlight w:val="none"/>
          <w:lang w:val="zh-CN"/>
        </w:rPr>
      </w:pPr>
    </w:p>
    <w:p>
      <w:pPr>
        <w:widowControl/>
        <w:spacing w:before="100" w:beforeAutospacing="1" w:after="100" w:afterAutospacing="1" w:line="360" w:lineRule="auto"/>
        <w:jc w:val="center"/>
        <w:rPr>
          <w:rFonts w:hint="eastAsia" w:ascii="宋体" w:hAnsi="宋体"/>
          <w:b/>
          <w:bCs/>
          <w:color w:val="000000"/>
          <w:sz w:val="24"/>
          <w:szCs w:val="24"/>
          <w:highlight w:val="none"/>
          <w:lang w:val="zh-CN"/>
        </w:rPr>
      </w:pPr>
    </w:p>
    <w:p>
      <w:pPr>
        <w:pStyle w:val="24"/>
        <w:rPr>
          <w:rFonts w:hint="eastAsia" w:ascii="宋体" w:hAnsi="宋体"/>
          <w:b/>
          <w:bCs/>
          <w:color w:val="000000"/>
          <w:sz w:val="24"/>
          <w:szCs w:val="24"/>
          <w:highlight w:val="none"/>
          <w:lang w:val="zh-CN"/>
        </w:rPr>
      </w:pPr>
    </w:p>
    <w:p>
      <w:pPr>
        <w:pStyle w:val="24"/>
        <w:rPr>
          <w:rFonts w:hint="eastAsia" w:ascii="宋体" w:hAnsi="宋体"/>
          <w:b/>
          <w:bCs/>
          <w:color w:val="000000"/>
          <w:sz w:val="24"/>
          <w:szCs w:val="24"/>
          <w:highlight w:val="none"/>
          <w:lang w:val="zh-CN"/>
        </w:rPr>
      </w:pPr>
    </w:p>
    <w:p>
      <w:pPr>
        <w:pStyle w:val="24"/>
        <w:rPr>
          <w:rFonts w:hint="eastAsia" w:ascii="宋体" w:hAnsi="宋体"/>
          <w:b/>
          <w:bCs/>
          <w:color w:val="000000"/>
          <w:sz w:val="24"/>
          <w:szCs w:val="24"/>
          <w:highlight w:val="none"/>
          <w:lang w:val="zh-CN"/>
        </w:rPr>
      </w:pPr>
    </w:p>
    <w:p>
      <w:pPr>
        <w:rPr>
          <w:rFonts w:hint="eastAsia" w:ascii="宋体" w:hAnsi="宋体"/>
          <w:b/>
          <w:bCs/>
          <w:color w:val="000000"/>
          <w:sz w:val="24"/>
          <w:szCs w:val="24"/>
          <w:highlight w:val="none"/>
          <w:lang w:val="zh-CN"/>
        </w:rPr>
      </w:pPr>
    </w:p>
    <w:p>
      <w:pPr>
        <w:pStyle w:val="2"/>
        <w:rPr>
          <w:rFonts w:hint="eastAsia"/>
          <w:lang w:val="zh-CN"/>
        </w:rPr>
      </w:pPr>
    </w:p>
    <w:p>
      <w:pPr>
        <w:autoSpaceDE w:val="0"/>
        <w:autoSpaceDN w:val="0"/>
        <w:adjustRightInd w:val="0"/>
        <w:spacing w:line="360" w:lineRule="auto"/>
        <w:jc w:val="center"/>
        <w:outlineLvl w:val="0"/>
        <w:rPr>
          <w:rFonts w:hint="eastAsia" w:ascii="宋体" w:hAnsi="宋体"/>
          <w:b/>
          <w:bCs/>
          <w:sz w:val="24"/>
        </w:rPr>
      </w:pPr>
      <w:r>
        <w:rPr>
          <w:rFonts w:hint="eastAsia" w:ascii="宋体" w:hAnsi="宋体"/>
          <w:b/>
          <w:bCs/>
          <w:sz w:val="24"/>
        </w:rPr>
        <w:t>3.5 投标承诺函</w:t>
      </w:r>
    </w:p>
    <w:p>
      <w:pPr>
        <w:spacing w:line="360" w:lineRule="auto"/>
        <w:rPr>
          <w:rFonts w:hint="eastAsia" w:ascii="宋体" w:hAnsi="宋体"/>
          <w:sz w:val="24"/>
        </w:rPr>
      </w:pPr>
      <w:r>
        <w:rPr>
          <w:rFonts w:hint="eastAsia" w:ascii="宋体" w:hAnsi="宋体"/>
          <w:sz w:val="24"/>
        </w:rPr>
        <w:t>本企业郑重承诺：</w:t>
      </w:r>
    </w:p>
    <w:p>
      <w:pPr>
        <w:spacing w:line="360" w:lineRule="auto"/>
        <w:ind w:firstLine="480" w:firstLineChars="200"/>
        <w:rPr>
          <w:rFonts w:hint="eastAsia" w:ascii="宋体" w:hAnsi="宋体"/>
          <w:sz w:val="24"/>
        </w:rPr>
      </w:pPr>
      <w:r>
        <w:rPr>
          <w:rFonts w:hint="eastAsia" w:ascii="宋体" w:hAnsi="宋体"/>
          <w:sz w:val="24"/>
        </w:rPr>
        <w:t>一、将遵循公开、公平、公正和诚实信用的原则参加</w:t>
      </w:r>
      <w:r>
        <w:rPr>
          <w:rFonts w:ascii="宋体" w:hAnsi="宋体"/>
          <w:sz w:val="24"/>
          <w:u w:val="single"/>
        </w:rPr>
        <w:t>(</w:t>
      </w:r>
      <w:r>
        <w:rPr>
          <w:rFonts w:hint="eastAsia" w:ascii="宋体" w:hAnsi="宋体"/>
          <w:sz w:val="24"/>
          <w:u w:val="single"/>
        </w:rPr>
        <w:t>具体政府采购项目名称）</w:t>
      </w:r>
      <w:r>
        <w:rPr>
          <w:rFonts w:hint="eastAsia" w:ascii="宋体" w:hAnsi="宋体"/>
          <w:sz w:val="24"/>
        </w:rPr>
        <w:t>的投标；</w:t>
      </w:r>
    </w:p>
    <w:p>
      <w:pPr>
        <w:spacing w:line="360" w:lineRule="auto"/>
        <w:ind w:firstLine="480" w:firstLineChars="200"/>
        <w:rPr>
          <w:rFonts w:hint="eastAsia" w:ascii="宋体" w:hAnsi="宋体"/>
          <w:sz w:val="24"/>
        </w:rPr>
      </w:pPr>
      <w:r>
        <w:rPr>
          <w:rFonts w:hint="eastAsia" w:ascii="宋体" w:hAnsi="宋体"/>
          <w:sz w:val="24"/>
        </w:rPr>
        <w:t>二、本次投标所提供的一切材料都是真实、有效、合法的；</w:t>
      </w:r>
    </w:p>
    <w:p>
      <w:pPr>
        <w:spacing w:line="360" w:lineRule="auto"/>
        <w:ind w:firstLine="480" w:firstLineChars="200"/>
        <w:rPr>
          <w:rFonts w:hint="eastAsia" w:ascii="宋体" w:hAnsi="宋体"/>
          <w:sz w:val="24"/>
        </w:rPr>
      </w:pPr>
      <w:r>
        <w:rPr>
          <w:rFonts w:hint="eastAsia" w:ascii="宋体" w:hAnsi="宋体"/>
          <w:sz w:val="24"/>
        </w:rPr>
        <w:t>三、不与其他投标人相互串通投标报价，不排挤其他投标人的公平竞争，不损害采购人或其他投标人的合法权益；</w:t>
      </w:r>
    </w:p>
    <w:p>
      <w:pPr>
        <w:spacing w:line="360" w:lineRule="auto"/>
        <w:ind w:firstLine="480" w:firstLineChars="200"/>
        <w:rPr>
          <w:rFonts w:hint="eastAsia" w:ascii="宋体" w:hAnsi="宋体"/>
          <w:sz w:val="24"/>
        </w:rPr>
      </w:pPr>
      <w:r>
        <w:rPr>
          <w:rFonts w:hint="eastAsia" w:ascii="宋体" w:hAnsi="宋体"/>
          <w:sz w:val="24"/>
        </w:rPr>
        <w:t>四、不与采购人或采购</w:t>
      </w:r>
      <w:r>
        <w:rPr>
          <w:rFonts w:hint="eastAsia" w:ascii="宋体" w:hAnsi="宋体"/>
          <w:sz w:val="24"/>
          <w:lang w:eastAsia="zh-CN"/>
        </w:rPr>
        <w:t>代理</w:t>
      </w:r>
      <w:r>
        <w:rPr>
          <w:rFonts w:hint="eastAsia" w:ascii="宋体" w:hAnsi="宋体"/>
          <w:sz w:val="24"/>
        </w:rPr>
        <w:t>机构串通投标，不损害国家利益、社会公共利益或者他人的合法权益；</w:t>
      </w:r>
    </w:p>
    <w:p>
      <w:pPr>
        <w:spacing w:line="360" w:lineRule="auto"/>
        <w:ind w:firstLine="480" w:firstLineChars="200"/>
        <w:rPr>
          <w:rFonts w:hint="eastAsia" w:ascii="宋体" w:hAnsi="宋体"/>
          <w:sz w:val="24"/>
        </w:rPr>
      </w:pPr>
      <w:r>
        <w:rPr>
          <w:rFonts w:hint="eastAsia" w:ascii="宋体" w:hAnsi="宋体"/>
          <w:sz w:val="24"/>
        </w:rPr>
        <w:t>五、不向采购人或者评标委员会成员行贿以牟取中标；</w:t>
      </w:r>
    </w:p>
    <w:p>
      <w:pPr>
        <w:spacing w:line="360" w:lineRule="auto"/>
        <w:ind w:firstLine="480" w:firstLineChars="200"/>
        <w:rPr>
          <w:rFonts w:hint="eastAsia" w:ascii="宋体" w:hAnsi="宋体"/>
          <w:sz w:val="24"/>
        </w:rPr>
      </w:pPr>
      <w:r>
        <w:rPr>
          <w:rFonts w:hint="eastAsia" w:ascii="宋体" w:hAnsi="宋体"/>
          <w:sz w:val="24"/>
        </w:rPr>
        <w:t>六、不以他人名义投标或者以其他方式弄虚作假，骗取中标；</w:t>
      </w:r>
    </w:p>
    <w:p>
      <w:pPr>
        <w:spacing w:line="360" w:lineRule="auto"/>
        <w:ind w:firstLine="480" w:firstLineChars="200"/>
        <w:rPr>
          <w:rFonts w:hint="eastAsia" w:ascii="宋体" w:hAnsi="宋体"/>
          <w:sz w:val="24"/>
        </w:rPr>
      </w:pPr>
      <w:r>
        <w:rPr>
          <w:rFonts w:hint="eastAsia" w:ascii="宋体" w:hAnsi="宋体"/>
          <w:sz w:val="24"/>
        </w:rPr>
        <w:t>七、不扰乱长葛市政府采购市场秩序；</w:t>
      </w:r>
    </w:p>
    <w:p>
      <w:pPr>
        <w:spacing w:line="360" w:lineRule="auto"/>
        <w:ind w:firstLine="480" w:firstLineChars="200"/>
        <w:rPr>
          <w:rFonts w:hint="eastAsia" w:ascii="宋体" w:hAnsi="宋体"/>
          <w:sz w:val="24"/>
        </w:rPr>
      </w:pPr>
      <w:r>
        <w:rPr>
          <w:rFonts w:hint="eastAsia" w:ascii="宋体" w:hAnsi="宋体"/>
          <w:sz w:val="24"/>
        </w:rPr>
        <w:t>八、不在开标后进行虚假恶意投诉；</w:t>
      </w:r>
    </w:p>
    <w:p>
      <w:pPr>
        <w:spacing w:line="360" w:lineRule="auto"/>
        <w:ind w:firstLine="480" w:firstLineChars="200"/>
        <w:rPr>
          <w:rFonts w:hint="eastAsia" w:ascii="宋体" w:hAnsi="宋体"/>
          <w:sz w:val="24"/>
        </w:rPr>
      </w:pPr>
      <w:r>
        <w:rPr>
          <w:rFonts w:hint="eastAsia" w:ascii="宋体" w:hAnsi="宋体"/>
          <w:sz w:val="24"/>
        </w:rPr>
        <w:t>九、中标后不得将招标文件规定不予转包、分包的项目转包、分包于他人。</w:t>
      </w:r>
    </w:p>
    <w:p>
      <w:pPr>
        <w:spacing w:line="360" w:lineRule="auto"/>
        <w:ind w:firstLine="480" w:firstLineChars="200"/>
        <w:rPr>
          <w:rFonts w:ascii="宋体" w:hAnsi="宋体" w:cs="宋体"/>
          <w:sz w:val="24"/>
          <w:szCs w:val="21"/>
          <w:lang w:val="zh-CN"/>
        </w:rPr>
      </w:pPr>
      <w:r>
        <w:rPr>
          <w:rFonts w:hint="eastAsia" w:ascii="宋体" w:hAnsi="宋体" w:cs="宋体"/>
          <w:sz w:val="24"/>
          <w:szCs w:val="21"/>
          <w:lang w:val="zh-CN"/>
        </w:rPr>
        <w:t>本公司若有违反本承诺内容的行为，愿意承担法律责任，包括：愿意接受相关行政主管部门作出的处罚，愿意接受长葛市政府采购监督管理办公室作出的罚没履约保证金或者现金处罚、限制交易和停止交易等市场准入与清出的处理。</w:t>
      </w:r>
    </w:p>
    <w:p>
      <w:pPr>
        <w:spacing w:before="156" w:beforeLines="50" w:after="156" w:afterLines="50" w:line="360" w:lineRule="auto"/>
        <w:ind w:firstLine="480" w:firstLineChars="200"/>
        <w:rPr>
          <w:rFonts w:ascii="宋体" w:hAnsi="宋体" w:cs="宋体"/>
          <w:sz w:val="24"/>
          <w:szCs w:val="21"/>
          <w:lang w:val="zh-CN"/>
        </w:rPr>
      </w:pPr>
    </w:p>
    <w:p>
      <w:pPr>
        <w:spacing w:before="156" w:beforeLines="50" w:after="156" w:afterLines="50" w:line="360" w:lineRule="auto"/>
        <w:ind w:firstLine="3360" w:firstLineChars="1400"/>
        <w:rPr>
          <w:rFonts w:hint="eastAsia" w:ascii="宋体" w:hAnsi="宋体" w:cs="宋体"/>
          <w:sz w:val="24"/>
          <w:szCs w:val="21"/>
          <w:lang w:val="zh-CN"/>
        </w:rPr>
      </w:pPr>
      <w:r>
        <w:rPr>
          <w:rFonts w:hint="eastAsia" w:ascii="宋体" w:hAnsi="宋体" w:cs="宋体"/>
          <w:sz w:val="24"/>
          <w:szCs w:val="21"/>
          <w:lang w:val="zh-CN"/>
        </w:rPr>
        <w:t>法定代表人或者被委托人（签字</w:t>
      </w:r>
      <w:r>
        <w:rPr>
          <w:rFonts w:ascii="宋体" w:hAnsi="宋体" w:cs="宋体"/>
          <w:sz w:val="24"/>
          <w:szCs w:val="21"/>
          <w:lang w:val="zh-CN"/>
        </w:rPr>
        <w:t>)</w:t>
      </w:r>
      <w:r>
        <w:rPr>
          <w:rFonts w:hint="eastAsia" w:ascii="宋体" w:hAnsi="宋体" w:cs="宋体"/>
          <w:sz w:val="24"/>
          <w:szCs w:val="21"/>
          <w:lang w:val="zh-CN"/>
        </w:rPr>
        <w:t>：</w:t>
      </w:r>
    </w:p>
    <w:p>
      <w:pPr>
        <w:spacing w:before="156" w:beforeLines="50" w:after="156" w:afterLines="50" w:line="360" w:lineRule="auto"/>
        <w:ind w:firstLine="3360" w:firstLineChars="1400"/>
        <w:rPr>
          <w:rFonts w:hint="eastAsia" w:ascii="宋体" w:hAnsi="宋体" w:cs="宋体"/>
          <w:sz w:val="24"/>
          <w:szCs w:val="21"/>
          <w:lang w:val="zh-CN"/>
        </w:rPr>
      </w:pPr>
      <w:r>
        <w:rPr>
          <w:rFonts w:hint="eastAsia" w:ascii="宋体" w:hAnsi="宋体" w:cs="宋体"/>
          <w:sz w:val="24"/>
          <w:szCs w:val="21"/>
          <w:lang w:val="zh-CN"/>
        </w:rPr>
        <w:t>投标人名称</w:t>
      </w:r>
      <w:r>
        <w:rPr>
          <w:rFonts w:ascii="宋体" w:hAnsi="宋体" w:cs="宋体"/>
          <w:sz w:val="24"/>
          <w:szCs w:val="21"/>
          <w:lang w:val="zh-CN"/>
        </w:rPr>
        <w:t>(</w:t>
      </w:r>
      <w:r>
        <w:rPr>
          <w:rFonts w:hint="eastAsia" w:ascii="宋体" w:hAnsi="宋体" w:cs="宋体"/>
          <w:sz w:val="24"/>
          <w:szCs w:val="21"/>
          <w:lang w:val="zh-CN"/>
        </w:rPr>
        <w:t>盖章</w:t>
      </w:r>
      <w:r>
        <w:rPr>
          <w:rFonts w:ascii="宋体" w:hAnsi="宋体" w:cs="宋体"/>
          <w:sz w:val="24"/>
          <w:szCs w:val="21"/>
          <w:lang w:val="zh-CN"/>
        </w:rPr>
        <w:t>)</w:t>
      </w:r>
      <w:r>
        <w:rPr>
          <w:rFonts w:hint="eastAsia" w:ascii="宋体" w:hAnsi="宋体" w:cs="宋体"/>
          <w:sz w:val="24"/>
          <w:szCs w:val="21"/>
          <w:lang w:val="zh-CN"/>
        </w:rPr>
        <w:t>：</w:t>
      </w:r>
    </w:p>
    <w:p>
      <w:pPr>
        <w:spacing w:before="156" w:beforeLines="50" w:after="156" w:afterLines="50" w:line="360" w:lineRule="auto"/>
        <w:ind w:firstLine="3360" w:firstLineChars="1400"/>
        <w:rPr>
          <w:rFonts w:ascii="宋体" w:hAnsi="宋体" w:cs="宋体"/>
          <w:sz w:val="24"/>
          <w:szCs w:val="21"/>
          <w:lang w:val="zh-CN"/>
        </w:rPr>
      </w:pPr>
      <w:r>
        <w:rPr>
          <w:rFonts w:hint="eastAsia" w:ascii="宋体" w:hAnsi="宋体" w:cs="宋体"/>
          <w:sz w:val="24"/>
          <w:szCs w:val="21"/>
          <w:lang w:val="zh-CN"/>
        </w:rPr>
        <w:t>年</w:t>
      </w:r>
      <w:r>
        <w:rPr>
          <w:rFonts w:ascii="宋体" w:hAnsi="宋体" w:cs="宋体"/>
          <w:sz w:val="24"/>
          <w:szCs w:val="21"/>
          <w:lang w:val="zh-CN"/>
        </w:rPr>
        <w:t xml:space="preserve">  </w:t>
      </w:r>
      <w:r>
        <w:rPr>
          <w:rFonts w:hint="eastAsia" w:ascii="宋体" w:hAnsi="宋体" w:cs="宋体"/>
          <w:sz w:val="24"/>
          <w:szCs w:val="21"/>
          <w:lang w:val="zh-CN"/>
        </w:rPr>
        <w:t>月</w:t>
      </w:r>
      <w:r>
        <w:rPr>
          <w:rFonts w:ascii="宋体" w:hAnsi="宋体" w:cs="宋体"/>
          <w:sz w:val="24"/>
          <w:szCs w:val="21"/>
          <w:lang w:val="zh-CN"/>
        </w:rPr>
        <w:t xml:space="preserve">  </w:t>
      </w:r>
      <w:r>
        <w:rPr>
          <w:rFonts w:hint="eastAsia" w:ascii="宋体" w:hAnsi="宋体" w:cs="宋体"/>
          <w:sz w:val="24"/>
          <w:szCs w:val="21"/>
          <w:lang w:val="zh-CN"/>
        </w:rPr>
        <w:t>日</w:t>
      </w:r>
    </w:p>
    <w:p>
      <w:pPr>
        <w:spacing w:beforeLines="50" w:afterLines="50" w:line="360" w:lineRule="auto"/>
        <w:ind w:firstLine="420" w:firstLineChars="200"/>
        <w:rPr>
          <w:rFonts w:hint="eastAsia" w:cs="宋体" w:asciiTheme="minorEastAsia" w:hAnsiTheme="minorEastAsia"/>
          <w:szCs w:val="21"/>
          <w:highlight w:val="none"/>
          <w:lang w:val="zh-CN"/>
        </w:rPr>
      </w:pPr>
    </w:p>
    <w:p>
      <w:pPr>
        <w:spacing w:beforeLines="50" w:afterLines="50" w:line="360" w:lineRule="auto"/>
        <w:ind w:firstLine="420" w:firstLineChars="200"/>
        <w:rPr>
          <w:rFonts w:hint="eastAsia" w:cs="宋体" w:asciiTheme="minorEastAsia" w:hAnsiTheme="minorEastAsia"/>
          <w:szCs w:val="21"/>
          <w:highlight w:val="none"/>
          <w:lang w:val="zh-CN"/>
        </w:rPr>
      </w:pPr>
    </w:p>
    <w:p>
      <w:pPr>
        <w:autoSpaceDE w:val="0"/>
        <w:autoSpaceDN w:val="0"/>
        <w:adjustRightInd w:val="0"/>
        <w:spacing w:line="360" w:lineRule="auto"/>
        <w:ind w:right="-11"/>
        <w:rPr>
          <w:rFonts w:ascii="宋体" w:cs="宋体"/>
          <w:szCs w:val="21"/>
          <w:highlight w:val="none"/>
          <w:lang w:val="zh-CN"/>
        </w:rPr>
      </w:pPr>
    </w:p>
    <w:p>
      <w:pPr>
        <w:autoSpaceDE w:val="0"/>
        <w:autoSpaceDN w:val="0"/>
        <w:adjustRightInd w:val="0"/>
        <w:spacing w:line="360" w:lineRule="auto"/>
        <w:outlineLvl w:val="0"/>
        <w:rPr>
          <w:rFonts w:ascii="宋体" w:cs="宋体"/>
          <w:sz w:val="24"/>
          <w:highlight w:val="none"/>
          <w:lang w:val="zh-CN"/>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 xml:space="preserve">3.6 其他资格证书或材料 </w:t>
      </w:r>
    </w:p>
    <w:p>
      <w:pPr>
        <w:autoSpaceDE w:val="0"/>
        <w:autoSpaceDN w:val="0"/>
        <w:adjustRightInd w:val="0"/>
        <w:spacing w:line="360" w:lineRule="auto"/>
        <w:jc w:val="center"/>
        <w:outlineLvl w:val="0"/>
        <w:rPr>
          <w:rFonts w:hAnsi="宋体" w:eastAsia="宋体"/>
          <w:b/>
          <w:snapToGrid w:val="0"/>
          <w:kern w:val="0"/>
          <w:sz w:val="36"/>
          <w:szCs w:val="36"/>
          <w:highlight w:val="none"/>
        </w:rPr>
      </w:pPr>
    </w:p>
    <w:p>
      <w:pPr>
        <w:autoSpaceDE w:val="0"/>
        <w:autoSpaceDN w:val="0"/>
        <w:adjustRightInd w:val="0"/>
        <w:spacing w:line="360" w:lineRule="auto"/>
        <w:jc w:val="center"/>
        <w:rPr>
          <w:rFonts w:cs="黑体" w:asciiTheme="minorEastAsia" w:hAnsiTheme="minorEastAsia"/>
          <w:b/>
          <w:bCs/>
          <w:sz w:val="44"/>
          <w:szCs w:val="44"/>
          <w:highlight w:val="none"/>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四、符合性审查证明材料</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rPr>
        <w:t>4.1 投</w:t>
      </w:r>
      <w:r>
        <w:rPr>
          <w:rFonts w:hint="eastAsia" w:ascii="宋体" w:hAnsi="宋体"/>
          <w:b/>
          <w:bCs/>
          <w:color w:val="000000"/>
          <w:sz w:val="24"/>
          <w:szCs w:val="24"/>
          <w:highlight w:val="none"/>
        </w:rPr>
        <w:t>标分项报价表（货物类项目）</w:t>
      </w:r>
    </w:p>
    <w:p>
      <w:pPr>
        <w:autoSpaceDE w:val="0"/>
        <w:autoSpaceDN w:val="0"/>
        <w:adjustRightInd w:val="0"/>
        <w:spacing w:line="360" w:lineRule="auto"/>
        <w:jc w:val="center"/>
        <w:outlineLvl w:val="0"/>
        <w:rPr>
          <w:rFonts w:ascii="宋体" w:hAnsi="宋体"/>
          <w:b/>
          <w:bCs/>
          <w:color w:val="000000"/>
          <w:sz w:val="24"/>
          <w:szCs w:val="24"/>
          <w:highlight w:val="none"/>
        </w:rPr>
      </w:pPr>
    </w:p>
    <w:p>
      <w:pPr>
        <w:spacing w:before="50" w:afterLines="50" w:line="360" w:lineRule="auto"/>
        <w:contextualSpacing/>
        <w:jc w:val="left"/>
        <w:rPr>
          <w:rFonts w:asciiTheme="minorEastAsia" w:hAnsiTheme="minorEastAsia"/>
          <w:color w:val="000000"/>
          <w:szCs w:val="21"/>
          <w:highlight w:val="none"/>
        </w:rPr>
      </w:pPr>
      <w:r>
        <w:rPr>
          <w:rFonts w:hint="eastAsia" w:asciiTheme="minorEastAsia" w:hAnsiTheme="minorEastAsia"/>
          <w:color w:val="000000"/>
          <w:szCs w:val="21"/>
          <w:highlight w:val="none"/>
        </w:rPr>
        <w:t>项目编号：</w:t>
      </w:r>
    </w:p>
    <w:p>
      <w:pPr>
        <w:autoSpaceDE w:val="0"/>
        <w:autoSpaceDN w:val="0"/>
        <w:adjustRightInd w:val="0"/>
        <w:spacing w:line="360" w:lineRule="auto"/>
        <w:outlineLvl w:val="0"/>
        <w:rPr>
          <w:rFonts w:hAnsi="宋体" w:eastAsia="宋体"/>
          <w:b/>
          <w:snapToGrid w:val="0"/>
          <w:kern w:val="0"/>
          <w:szCs w:val="21"/>
          <w:highlight w:val="none"/>
        </w:rPr>
      </w:pPr>
      <w:r>
        <w:rPr>
          <w:rFonts w:hint="eastAsia" w:asciiTheme="minorEastAsia" w:hAnsiTheme="minorEastAsia"/>
          <w:color w:val="000000"/>
          <w:szCs w:val="21"/>
          <w:highlight w:val="none"/>
        </w:rPr>
        <w:t xml:space="preserve">项目名称：   </w:t>
      </w:r>
    </w:p>
    <w:tbl>
      <w:tblPr>
        <w:tblStyle w:val="25"/>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280" w:lineRule="exact"/>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名</w:t>
            </w:r>
            <w:r>
              <w:rPr>
                <w:rFonts w:cs="宋体" w:asciiTheme="minorEastAsia" w:hAnsiTheme="minorEastAsia"/>
                <w:b/>
                <w:szCs w:val="21"/>
                <w:highlight w:val="none"/>
                <w:lang w:val="zh-CN"/>
              </w:rPr>
              <w:t xml:space="preserve"> </w:t>
            </w:r>
            <w:r>
              <w:rPr>
                <w:rFonts w:hint="eastAsia" w:cs="宋体" w:asciiTheme="minorEastAsia" w:hAnsiTheme="minorEastAsia"/>
                <w:b/>
                <w:szCs w:val="21"/>
                <w:highlight w:val="none"/>
                <w:lang w:val="zh-CN"/>
              </w:rPr>
              <w:t>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技术</w:t>
            </w:r>
          </w:p>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单</w:t>
            </w:r>
            <w:r>
              <w:rPr>
                <w:rFonts w:cs="宋体" w:asciiTheme="minorEastAsia" w:hAnsiTheme="minorEastAsia"/>
                <w:b/>
                <w:szCs w:val="21"/>
                <w:highlight w:val="none"/>
                <w:lang w:val="zh-CN"/>
              </w:rPr>
              <w:t xml:space="preserve"> </w:t>
            </w:r>
            <w:r>
              <w:rPr>
                <w:rFonts w:hint="eastAsia" w:cs="宋体" w:asciiTheme="minorEastAsia" w:hAnsiTheme="minorEastAsia"/>
                <w:b/>
                <w:szCs w:val="21"/>
                <w:highlight w:val="none"/>
                <w:lang w:val="zh-CN"/>
              </w:rPr>
              <w:t>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数</w:t>
            </w:r>
            <w:r>
              <w:rPr>
                <w:rFonts w:cs="宋体" w:asciiTheme="minorEastAsia" w:hAnsiTheme="minorEastAsia"/>
                <w:b/>
                <w:szCs w:val="21"/>
                <w:highlight w:val="none"/>
                <w:lang w:val="zh-CN"/>
              </w:rPr>
              <w:t xml:space="preserve"> </w:t>
            </w:r>
            <w:r>
              <w:rPr>
                <w:rFonts w:hint="eastAsia" w:cs="宋体" w:asciiTheme="minorEastAsia" w:hAnsiTheme="minorEastAsia"/>
                <w:b/>
                <w:szCs w:val="21"/>
                <w:highlight w:val="none"/>
                <w:lang w:val="zh-CN"/>
              </w:rPr>
              <w:t>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产地及</w:t>
            </w:r>
          </w:p>
          <w:p>
            <w:pPr>
              <w:autoSpaceDE w:val="0"/>
              <w:autoSpaceDN w:val="0"/>
              <w:adjustRightInd w:val="0"/>
              <w:spacing w:line="360" w:lineRule="auto"/>
              <w:ind w:left="120" w:hanging="120"/>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厂家</w:t>
            </w: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highlight w:val="none"/>
              </w:rPr>
            </w:pPr>
            <w:r>
              <w:rPr>
                <w:rFonts w:hint="eastAsia" w:asciiTheme="minorEastAsia" w:hAnsiTheme="minorEastAsia"/>
                <w:szCs w:val="21"/>
                <w:highlight w:val="none"/>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highlight w:val="none"/>
              </w:rPr>
            </w:pPr>
            <w:r>
              <w:rPr>
                <w:rFonts w:hint="eastAsia" w:asciiTheme="minorEastAsia" w:hAnsiTheme="minorEastAsia"/>
                <w:szCs w:val="21"/>
                <w:highlight w:val="none"/>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r>
      <w:tr>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Theme="minorEastAsia" w:hAnsiTheme="minorEastAsia"/>
                <w:szCs w:val="21"/>
                <w:highlight w:val="none"/>
              </w:rPr>
            </w:pPr>
            <w:r>
              <w:rPr>
                <w:rFonts w:hint="eastAsia" w:cs="宋体" w:asciiTheme="minorEastAsia" w:hAnsiTheme="minorEastAsia"/>
                <w:szCs w:val="21"/>
                <w:highlight w:val="none"/>
                <w:lang w:val="zh-CN"/>
              </w:rPr>
              <w:t>合</w:t>
            </w:r>
            <w:r>
              <w:rPr>
                <w:rFonts w:asciiTheme="minorEastAsia" w:hAnsiTheme="minorEastAsia"/>
                <w:szCs w:val="21"/>
                <w:highlight w:val="none"/>
              </w:rPr>
              <w:t xml:space="preserve">  </w:t>
            </w:r>
            <w:r>
              <w:rPr>
                <w:rFonts w:hint="eastAsia" w:cs="宋体" w:asciiTheme="minorEastAsia" w:hAnsiTheme="minorEastAsia"/>
                <w:szCs w:val="21"/>
                <w:highlight w:val="none"/>
                <w:lang w:val="zh-CN"/>
              </w:rPr>
              <w:t>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cs="宋体" w:asciiTheme="minorEastAsia" w:hAnsiTheme="minorEastAsia"/>
                <w:szCs w:val="21"/>
                <w:highlight w:val="none"/>
                <w:lang w:val="zh-CN"/>
              </w:rPr>
            </w:pPr>
            <w:r>
              <w:rPr>
                <w:rFonts w:hint="eastAsia" w:cs="宋体" w:asciiTheme="minorEastAsia" w:hAnsiTheme="minorEastAsia"/>
                <w:szCs w:val="21"/>
                <w:highlight w:val="none"/>
                <w:lang w:val="zh-CN"/>
              </w:rPr>
              <w:t>大写：　　　　　　</w:t>
            </w:r>
            <w:r>
              <w:rPr>
                <w:rFonts w:asciiTheme="minorEastAsia" w:hAnsiTheme="minorEastAsia"/>
                <w:szCs w:val="21"/>
                <w:highlight w:val="none"/>
              </w:rPr>
              <w:t xml:space="preserve">              </w:t>
            </w:r>
            <w:r>
              <w:rPr>
                <w:rFonts w:hint="eastAsia" w:cs="宋体" w:asciiTheme="minorEastAsia" w:hAnsiTheme="minorEastAsia"/>
                <w:szCs w:val="21"/>
                <w:highlight w:val="none"/>
                <w:lang w:val="zh-CN"/>
              </w:rPr>
              <w:t>小写：</w:t>
            </w:r>
          </w:p>
        </w:tc>
      </w:tr>
    </w:tbl>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投标人（公章）：</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投标人法定代表人（单位负责人）或授权代表签字：</w:t>
      </w:r>
    </w:p>
    <w:p>
      <w:pPr>
        <w:autoSpaceDE w:val="0"/>
        <w:autoSpaceDN w:val="0"/>
        <w:adjustRightInd w:val="0"/>
        <w:spacing w:line="480" w:lineRule="auto"/>
        <w:rPr>
          <w:rFonts w:cs="宋体" w:asciiTheme="minorEastAsia" w:hAnsiTheme="minorEastAsia"/>
          <w:sz w:val="24"/>
          <w:szCs w:val="24"/>
          <w:highlight w:val="none"/>
          <w:lang w:val="zh-CN"/>
        </w:rPr>
      </w:pPr>
    </w:p>
    <w:p>
      <w:pPr>
        <w:pStyle w:val="3"/>
        <w:numPr>
          <w:ilvl w:val="0"/>
          <w:numId w:val="0"/>
        </w:numPr>
        <w:rPr>
          <w:lang w:val="zh-CN"/>
        </w:rPr>
      </w:pPr>
    </w:p>
    <w:p>
      <w:pPr>
        <w:pStyle w:val="3"/>
        <w:numPr>
          <w:ilvl w:val="0"/>
          <w:numId w:val="0"/>
        </w:numPr>
        <w:rPr>
          <w:lang w:val="zh-CN"/>
        </w:rPr>
      </w:pPr>
    </w:p>
    <w:p>
      <w:pPr>
        <w:rPr>
          <w:lang w:val="zh-CN"/>
        </w:rPr>
      </w:pPr>
    </w:p>
    <w:p>
      <w:pPr>
        <w:spacing w:line="300" w:lineRule="exact"/>
        <w:rPr>
          <w:rFonts w:asciiTheme="minorEastAsia" w:hAnsiTheme="minorEastAsia"/>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4.2 技术规格偏离表（货物类项目）</w:t>
      </w:r>
    </w:p>
    <w:p>
      <w:pPr>
        <w:spacing w:before="50" w:afterLines="50" w:line="360" w:lineRule="auto"/>
        <w:contextualSpacing/>
        <w:jc w:val="left"/>
        <w:rPr>
          <w:rFonts w:asciiTheme="minorEastAsia" w:hAnsiTheme="minorEastAsia"/>
          <w:color w:val="000000"/>
          <w:szCs w:val="21"/>
          <w:highlight w:val="none"/>
        </w:rPr>
      </w:pPr>
      <w:r>
        <w:rPr>
          <w:rFonts w:hint="eastAsia" w:asciiTheme="minorEastAsia" w:hAnsiTheme="minorEastAsia"/>
          <w:color w:val="000000"/>
          <w:szCs w:val="21"/>
          <w:highlight w:val="none"/>
        </w:rPr>
        <w:t>项目编号：</w:t>
      </w:r>
    </w:p>
    <w:p>
      <w:pPr>
        <w:autoSpaceDE w:val="0"/>
        <w:autoSpaceDN w:val="0"/>
        <w:adjustRightInd w:val="0"/>
        <w:spacing w:line="360" w:lineRule="auto"/>
        <w:outlineLvl w:val="0"/>
        <w:rPr>
          <w:rFonts w:hAnsi="宋体" w:eastAsia="宋体"/>
          <w:b/>
          <w:snapToGrid w:val="0"/>
          <w:kern w:val="0"/>
          <w:szCs w:val="21"/>
          <w:highlight w:val="none"/>
        </w:rPr>
      </w:pPr>
      <w:r>
        <w:rPr>
          <w:rFonts w:hint="eastAsia" w:asciiTheme="minorEastAsia" w:hAnsiTheme="minorEastAsia"/>
          <w:color w:val="000000"/>
          <w:szCs w:val="21"/>
          <w:highlight w:val="none"/>
        </w:rPr>
        <w:t xml:space="preserve">项目名称：   </w:t>
      </w:r>
    </w:p>
    <w:tbl>
      <w:tblPr>
        <w:tblStyle w:val="25"/>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货物服务</w:t>
            </w:r>
          </w:p>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招标文件</w:t>
            </w:r>
          </w:p>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投标技术</w:t>
            </w:r>
          </w:p>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偏离</w:t>
            </w:r>
          </w:p>
          <w:p>
            <w:pPr>
              <w:jc w:val="center"/>
              <w:rPr>
                <w:rFonts w:ascii="宋体" w:hAnsi="宋体" w:eastAsia="宋体" w:cs="宋体"/>
                <w:b/>
                <w:bCs/>
                <w:szCs w:val="21"/>
                <w:highlight w:val="none"/>
              </w:rPr>
            </w:pPr>
            <w:r>
              <w:rPr>
                <w:rFonts w:hint="eastAsia" w:ascii="宋体" w:hAnsi="宋体" w:eastAsia="宋体" w:cs="宋体"/>
                <w:b/>
                <w:bCs/>
                <w:szCs w:val="21"/>
                <w:highlight w:val="none"/>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偏离内容</w:t>
            </w:r>
          </w:p>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说明</w:t>
            </w: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highlight w:val="none"/>
              </w:rPr>
            </w:pPr>
            <w:r>
              <w:rPr>
                <w:rFonts w:hint="eastAsia" w:asciiTheme="minorEastAsia" w:hAnsiTheme="minorEastAsia"/>
                <w:bCs/>
                <w:szCs w:val="21"/>
                <w:highlight w:val="none"/>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highlight w:val="none"/>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highlight w:val="none"/>
              </w:rPr>
            </w:pPr>
            <w:r>
              <w:rPr>
                <w:rFonts w:hint="eastAsia" w:asciiTheme="minorEastAsia" w:hAnsiTheme="minorEastAsia"/>
                <w:szCs w:val="21"/>
                <w:highlight w:val="none"/>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highlight w:val="none"/>
              </w:rPr>
            </w:pPr>
          </w:p>
        </w:tc>
      </w:tr>
    </w:tbl>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投标人（公章）：</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投标人法定代表人（单位负责人）或授权代表签字：</w:t>
      </w:r>
      <w:r>
        <w:rPr>
          <w:rFonts w:cs="宋体" w:asciiTheme="minorEastAsia" w:hAnsiTheme="minorEastAsia"/>
          <w:szCs w:val="21"/>
          <w:highlight w:val="none"/>
          <w:lang w:val="zh-CN"/>
        </w:rPr>
        <w:t xml:space="preserve"> </w:t>
      </w:r>
    </w:p>
    <w:p>
      <w:pPr>
        <w:autoSpaceDE w:val="0"/>
        <w:autoSpaceDN w:val="0"/>
        <w:adjustRightInd w:val="0"/>
        <w:spacing w:line="480" w:lineRule="auto"/>
        <w:rPr>
          <w:rFonts w:cs="宋体" w:asciiTheme="minorEastAsia" w:hAnsiTheme="minorEastAsia"/>
          <w:szCs w:val="21"/>
          <w:highlight w:val="none"/>
          <w:lang w:val="zh-CN"/>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4.3 技术方案（实施方案）</w:t>
      </w:r>
    </w:p>
    <w:p>
      <w:pPr>
        <w:snapToGrid w:val="0"/>
        <w:spacing w:line="360" w:lineRule="auto"/>
        <w:jc w:val="center"/>
        <w:rPr>
          <w:rFonts w:hAnsi="宋体" w:eastAsia="宋体"/>
          <w:b/>
          <w:snapToGrid w:val="0"/>
          <w:kern w:val="0"/>
          <w:sz w:val="36"/>
          <w:szCs w:val="36"/>
          <w:highlight w:val="none"/>
        </w:rPr>
      </w:pPr>
    </w:p>
    <w:p>
      <w:pPr>
        <w:autoSpaceDE w:val="0"/>
        <w:autoSpaceDN w:val="0"/>
        <w:adjustRightInd w:val="0"/>
        <w:spacing w:line="360" w:lineRule="auto"/>
        <w:jc w:val="center"/>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（投标人根据招标文件要求自行编制）</w:t>
      </w:r>
    </w:p>
    <w:p>
      <w:pPr>
        <w:snapToGrid w:val="0"/>
        <w:spacing w:line="360" w:lineRule="auto"/>
        <w:jc w:val="center"/>
        <w:rPr>
          <w:rFonts w:hAnsi="宋体" w:eastAsia="宋体"/>
          <w:b/>
          <w:snapToGrid w:val="0"/>
          <w:kern w:val="0"/>
          <w:sz w:val="36"/>
          <w:szCs w:val="36"/>
          <w:highlight w:val="none"/>
        </w:rPr>
      </w:pPr>
    </w:p>
    <w:p>
      <w:pPr>
        <w:snapToGrid w:val="0"/>
        <w:spacing w:line="360" w:lineRule="auto"/>
        <w:jc w:val="center"/>
        <w:rPr>
          <w:rFonts w:hAnsi="宋体" w:eastAsia="宋体"/>
          <w:b/>
          <w:snapToGrid w:val="0"/>
          <w:kern w:val="0"/>
          <w:sz w:val="36"/>
          <w:szCs w:val="36"/>
          <w:highlight w:val="none"/>
        </w:rPr>
      </w:pPr>
    </w:p>
    <w:p>
      <w:pPr>
        <w:snapToGrid w:val="0"/>
        <w:spacing w:line="360" w:lineRule="auto"/>
        <w:jc w:val="center"/>
        <w:rPr>
          <w:rFonts w:hAnsi="宋体" w:eastAsia="宋体"/>
          <w:b/>
          <w:snapToGrid w:val="0"/>
          <w:kern w:val="0"/>
          <w:sz w:val="36"/>
          <w:szCs w:val="36"/>
          <w:highlight w:val="none"/>
        </w:rPr>
      </w:pPr>
    </w:p>
    <w:p>
      <w:pPr>
        <w:pStyle w:val="24"/>
      </w:pPr>
    </w:p>
    <w:p>
      <w:pPr>
        <w:snapToGrid w:val="0"/>
        <w:spacing w:line="360" w:lineRule="auto"/>
        <w:jc w:val="center"/>
        <w:rPr>
          <w:rFonts w:hAnsi="宋体" w:eastAsia="宋体"/>
          <w:b/>
          <w:snapToGrid w:val="0"/>
          <w:kern w:val="0"/>
          <w:sz w:val="36"/>
          <w:szCs w:val="36"/>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4.4 业绩情况表</w:t>
      </w:r>
    </w:p>
    <w:p>
      <w:pPr>
        <w:autoSpaceDE w:val="0"/>
        <w:autoSpaceDN w:val="0"/>
        <w:adjustRightInd w:val="0"/>
        <w:spacing w:line="360" w:lineRule="auto"/>
        <w:jc w:val="center"/>
        <w:outlineLvl w:val="0"/>
        <w:rPr>
          <w:rFonts w:ascii="宋体" w:hAnsi="宋体"/>
          <w:b/>
          <w:bCs/>
          <w:color w:val="000000"/>
          <w:sz w:val="28"/>
          <w:szCs w:val="28"/>
          <w:highlight w:val="none"/>
        </w:rPr>
      </w:pPr>
    </w:p>
    <w:p>
      <w:pPr>
        <w:spacing w:before="50" w:afterLines="50" w:line="360" w:lineRule="auto"/>
        <w:contextualSpacing/>
        <w:jc w:val="left"/>
        <w:rPr>
          <w:rFonts w:asciiTheme="minorEastAsia" w:hAnsiTheme="minorEastAsia"/>
          <w:color w:val="000000"/>
          <w:szCs w:val="21"/>
          <w:highlight w:val="none"/>
        </w:rPr>
      </w:pPr>
      <w:r>
        <w:rPr>
          <w:rFonts w:hint="eastAsia" w:asciiTheme="minorEastAsia" w:hAnsiTheme="minorEastAsia"/>
          <w:color w:val="000000"/>
          <w:szCs w:val="21"/>
          <w:highlight w:val="none"/>
        </w:rPr>
        <w:t>项目编号：</w:t>
      </w:r>
    </w:p>
    <w:p>
      <w:pPr>
        <w:snapToGrid w:val="0"/>
        <w:spacing w:line="360" w:lineRule="auto"/>
        <w:rPr>
          <w:rFonts w:hAnsi="宋体" w:eastAsia="宋体"/>
          <w:b/>
          <w:snapToGrid w:val="0"/>
          <w:kern w:val="0"/>
          <w:szCs w:val="21"/>
          <w:highlight w:val="none"/>
        </w:rPr>
      </w:pPr>
      <w:r>
        <w:rPr>
          <w:rFonts w:hint="eastAsia" w:asciiTheme="minorEastAsia" w:hAnsiTheme="minorEastAsia"/>
          <w:color w:val="000000"/>
          <w:szCs w:val="21"/>
          <w:highlight w:val="none"/>
        </w:rPr>
        <w:t xml:space="preserve">项目名称：   </w:t>
      </w:r>
    </w:p>
    <w:tbl>
      <w:tblPr>
        <w:tblStyle w:val="25"/>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pPr>
              <w:pStyle w:val="9"/>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序号</w:t>
            </w:r>
          </w:p>
        </w:tc>
        <w:tc>
          <w:tcPr>
            <w:tcW w:w="1808" w:type="dxa"/>
            <w:shd w:val="clear" w:color="auto" w:fill="F3F3F3"/>
            <w:vAlign w:val="center"/>
          </w:tcPr>
          <w:p>
            <w:pPr>
              <w:pStyle w:val="9"/>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客户单位名称</w:t>
            </w:r>
          </w:p>
        </w:tc>
        <w:tc>
          <w:tcPr>
            <w:tcW w:w="3579" w:type="dxa"/>
            <w:shd w:val="clear" w:color="auto" w:fill="F3F3F3"/>
            <w:vAlign w:val="center"/>
          </w:tcPr>
          <w:p>
            <w:pPr>
              <w:pStyle w:val="9"/>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项目名称及主要内容</w:t>
            </w:r>
          </w:p>
        </w:tc>
        <w:tc>
          <w:tcPr>
            <w:tcW w:w="1440" w:type="dxa"/>
            <w:shd w:val="clear" w:color="auto" w:fill="F3F3F3"/>
            <w:vAlign w:val="center"/>
          </w:tcPr>
          <w:p>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合同金额</w:t>
            </w:r>
          </w:p>
          <w:p>
            <w:pPr>
              <w:pStyle w:val="9"/>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（万元）</w:t>
            </w:r>
          </w:p>
        </w:tc>
        <w:tc>
          <w:tcPr>
            <w:tcW w:w="1706" w:type="dxa"/>
            <w:shd w:val="clear" w:color="auto" w:fill="F3F3F3"/>
            <w:vAlign w:val="center"/>
          </w:tcPr>
          <w:p>
            <w:pPr>
              <w:pStyle w:val="9"/>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宋体"/>
                <w:sz w:val="21"/>
                <w:szCs w:val="21"/>
                <w:highlight w:val="none"/>
              </w:rPr>
            </w:pPr>
            <w:r>
              <w:rPr>
                <w:rFonts w:ascii="宋体" w:hAnsi="宋体" w:eastAsia="宋体" w:cs="宋体"/>
                <w:sz w:val="21"/>
                <w:szCs w:val="21"/>
                <w:highlight w:val="none"/>
              </w:rPr>
              <w:t>1</w:t>
            </w:r>
          </w:p>
        </w:tc>
        <w:tc>
          <w:tcPr>
            <w:tcW w:w="1808" w:type="dxa"/>
            <w:vAlign w:val="center"/>
          </w:tcPr>
          <w:p>
            <w:pPr>
              <w:pStyle w:val="9"/>
              <w:spacing w:line="360" w:lineRule="auto"/>
              <w:rPr>
                <w:rFonts w:ascii="宋体" w:hAnsi="宋体" w:eastAsia="宋体" w:cs="Times New Roman"/>
                <w:sz w:val="21"/>
                <w:szCs w:val="21"/>
                <w:highlight w:val="none"/>
              </w:rPr>
            </w:pPr>
          </w:p>
        </w:tc>
        <w:tc>
          <w:tcPr>
            <w:tcW w:w="3579" w:type="dxa"/>
            <w:vAlign w:val="center"/>
          </w:tcPr>
          <w:p>
            <w:pPr>
              <w:pStyle w:val="9"/>
              <w:spacing w:line="360" w:lineRule="auto"/>
              <w:rPr>
                <w:rFonts w:ascii="宋体" w:hAnsi="宋体" w:eastAsia="宋体" w:cs="Times New Roman"/>
                <w:sz w:val="21"/>
                <w:szCs w:val="21"/>
                <w:highlight w:val="none"/>
              </w:rPr>
            </w:pPr>
          </w:p>
        </w:tc>
        <w:tc>
          <w:tcPr>
            <w:tcW w:w="1440" w:type="dxa"/>
            <w:vAlign w:val="center"/>
          </w:tcPr>
          <w:p>
            <w:pPr>
              <w:pStyle w:val="9"/>
              <w:spacing w:line="360" w:lineRule="auto"/>
              <w:rPr>
                <w:rFonts w:ascii="宋体" w:hAnsi="宋体" w:eastAsia="宋体" w:cs="Times New Roman"/>
                <w:sz w:val="21"/>
                <w:szCs w:val="21"/>
                <w:highlight w:val="none"/>
              </w:rPr>
            </w:pPr>
          </w:p>
        </w:tc>
        <w:tc>
          <w:tcPr>
            <w:tcW w:w="1706" w:type="dxa"/>
            <w:vAlign w:val="center"/>
          </w:tcPr>
          <w:p>
            <w:pPr>
              <w:pStyle w:val="9"/>
              <w:spacing w:line="360" w:lineRule="auto"/>
              <w:rPr>
                <w:rFonts w:ascii="宋体" w:hAnsi="宋体"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宋体"/>
                <w:sz w:val="21"/>
                <w:szCs w:val="21"/>
                <w:highlight w:val="none"/>
              </w:rPr>
            </w:pPr>
            <w:r>
              <w:rPr>
                <w:rFonts w:ascii="宋体" w:hAnsi="宋体" w:eastAsia="宋体" w:cs="宋体"/>
                <w:sz w:val="21"/>
                <w:szCs w:val="21"/>
                <w:highlight w:val="none"/>
              </w:rPr>
              <w:t>2</w:t>
            </w:r>
          </w:p>
        </w:tc>
        <w:tc>
          <w:tcPr>
            <w:tcW w:w="1808" w:type="dxa"/>
            <w:vAlign w:val="center"/>
          </w:tcPr>
          <w:p>
            <w:pPr>
              <w:pStyle w:val="9"/>
              <w:spacing w:line="360" w:lineRule="auto"/>
              <w:rPr>
                <w:rFonts w:ascii="宋体" w:hAnsi="宋体" w:eastAsia="宋体" w:cs="Times New Roman"/>
                <w:sz w:val="21"/>
                <w:szCs w:val="21"/>
                <w:highlight w:val="none"/>
              </w:rPr>
            </w:pPr>
          </w:p>
        </w:tc>
        <w:tc>
          <w:tcPr>
            <w:tcW w:w="3579" w:type="dxa"/>
            <w:vAlign w:val="center"/>
          </w:tcPr>
          <w:p>
            <w:pPr>
              <w:pStyle w:val="9"/>
              <w:spacing w:line="360" w:lineRule="auto"/>
              <w:rPr>
                <w:rFonts w:ascii="宋体" w:hAnsi="宋体" w:eastAsia="宋体" w:cs="Times New Roman"/>
                <w:sz w:val="21"/>
                <w:szCs w:val="21"/>
                <w:highlight w:val="none"/>
              </w:rPr>
            </w:pPr>
          </w:p>
        </w:tc>
        <w:tc>
          <w:tcPr>
            <w:tcW w:w="1440" w:type="dxa"/>
            <w:vAlign w:val="center"/>
          </w:tcPr>
          <w:p>
            <w:pPr>
              <w:pStyle w:val="9"/>
              <w:spacing w:line="360" w:lineRule="auto"/>
              <w:rPr>
                <w:rFonts w:ascii="宋体" w:hAnsi="宋体" w:eastAsia="宋体" w:cs="Times New Roman"/>
                <w:sz w:val="21"/>
                <w:szCs w:val="21"/>
                <w:highlight w:val="none"/>
              </w:rPr>
            </w:pPr>
          </w:p>
        </w:tc>
        <w:tc>
          <w:tcPr>
            <w:tcW w:w="1706" w:type="dxa"/>
            <w:vAlign w:val="center"/>
          </w:tcPr>
          <w:p>
            <w:pPr>
              <w:pStyle w:val="9"/>
              <w:spacing w:line="360" w:lineRule="auto"/>
              <w:rPr>
                <w:rFonts w:ascii="宋体" w:hAnsi="宋体"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宋体"/>
                <w:sz w:val="21"/>
                <w:szCs w:val="21"/>
                <w:highlight w:val="none"/>
              </w:rPr>
            </w:pPr>
            <w:r>
              <w:rPr>
                <w:rFonts w:ascii="宋体" w:hAnsi="宋体" w:eastAsia="宋体" w:cs="宋体"/>
                <w:sz w:val="21"/>
                <w:szCs w:val="21"/>
                <w:highlight w:val="none"/>
              </w:rPr>
              <w:t>3</w:t>
            </w:r>
          </w:p>
        </w:tc>
        <w:tc>
          <w:tcPr>
            <w:tcW w:w="1808" w:type="dxa"/>
            <w:vAlign w:val="center"/>
          </w:tcPr>
          <w:p>
            <w:pPr>
              <w:pStyle w:val="9"/>
              <w:spacing w:line="360" w:lineRule="auto"/>
              <w:rPr>
                <w:rFonts w:ascii="宋体" w:hAnsi="宋体" w:eastAsia="宋体" w:cs="Times New Roman"/>
                <w:sz w:val="21"/>
                <w:szCs w:val="21"/>
                <w:highlight w:val="none"/>
              </w:rPr>
            </w:pPr>
          </w:p>
        </w:tc>
        <w:tc>
          <w:tcPr>
            <w:tcW w:w="3579" w:type="dxa"/>
            <w:vAlign w:val="center"/>
          </w:tcPr>
          <w:p>
            <w:pPr>
              <w:pStyle w:val="9"/>
              <w:spacing w:line="360" w:lineRule="auto"/>
              <w:rPr>
                <w:rFonts w:ascii="宋体" w:hAnsi="宋体" w:eastAsia="宋体" w:cs="Times New Roman"/>
                <w:sz w:val="21"/>
                <w:szCs w:val="21"/>
                <w:highlight w:val="none"/>
              </w:rPr>
            </w:pPr>
          </w:p>
        </w:tc>
        <w:tc>
          <w:tcPr>
            <w:tcW w:w="1440" w:type="dxa"/>
            <w:vAlign w:val="center"/>
          </w:tcPr>
          <w:p>
            <w:pPr>
              <w:pStyle w:val="9"/>
              <w:spacing w:line="360" w:lineRule="auto"/>
              <w:rPr>
                <w:rFonts w:ascii="宋体" w:hAnsi="宋体" w:eastAsia="宋体" w:cs="Times New Roman"/>
                <w:sz w:val="21"/>
                <w:szCs w:val="21"/>
                <w:highlight w:val="none"/>
              </w:rPr>
            </w:pPr>
          </w:p>
        </w:tc>
        <w:tc>
          <w:tcPr>
            <w:tcW w:w="1706" w:type="dxa"/>
            <w:vAlign w:val="center"/>
          </w:tcPr>
          <w:p>
            <w:pPr>
              <w:pStyle w:val="9"/>
              <w:spacing w:line="360" w:lineRule="auto"/>
              <w:rPr>
                <w:rFonts w:ascii="宋体" w:hAnsi="宋体"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宋体"/>
                <w:sz w:val="21"/>
                <w:szCs w:val="21"/>
                <w:highlight w:val="none"/>
              </w:rPr>
            </w:pPr>
            <w:r>
              <w:rPr>
                <w:rFonts w:ascii="宋体" w:hAnsi="宋体" w:eastAsia="宋体" w:cs="宋体"/>
                <w:sz w:val="21"/>
                <w:szCs w:val="21"/>
                <w:highlight w:val="none"/>
              </w:rPr>
              <w:t>4</w:t>
            </w:r>
          </w:p>
        </w:tc>
        <w:tc>
          <w:tcPr>
            <w:tcW w:w="1808" w:type="dxa"/>
            <w:vAlign w:val="center"/>
          </w:tcPr>
          <w:p>
            <w:pPr>
              <w:rPr>
                <w:rFonts w:ascii="宋体"/>
                <w:szCs w:val="21"/>
                <w:highlight w:val="none"/>
              </w:rPr>
            </w:pPr>
          </w:p>
        </w:tc>
        <w:tc>
          <w:tcPr>
            <w:tcW w:w="3579" w:type="dxa"/>
            <w:vAlign w:val="center"/>
          </w:tcPr>
          <w:p>
            <w:pPr>
              <w:rPr>
                <w:rFonts w:ascii="宋体"/>
                <w:szCs w:val="21"/>
                <w:highlight w:val="none"/>
              </w:rPr>
            </w:pPr>
          </w:p>
        </w:tc>
        <w:tc>
          <w:tcPr>
            <w:tcW w:w="1440" w:type="dxa"/>
            <w:vAlign w:val="center"/>
          </w:tcPr>
          <w:p>
            <w:pPr>
              <w:rPr>
                <w:rFonts w:ascii="宋体"/>
                <w:szCs w:val="21"/>
                <w:highlight w:val="none"/>
              </w:rPr>
            </w:pPr>
          </w:p>
        </w:tc>
        <w:tc>
          <w:tcPr>
            <w:tcW w:w="1706" w:type="dxa"/>
            <w:vAlign w:val="center"/>
          </w:tcPr>
          <w:p>
            <w:pPr>
              <w:rPr>
                <w:rFonts w:asci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Times New Roman"/>
                <w:sz w:val="21"/>
                <w:szCs w:val="21"/>
                <w:highlight w:val="none"/>
              </w:rPr>
            </w:pPr>
            <w:r>
              <w:rPr>
                <w:rFonts w:hint="eastAsia" w:ascii="宋体" w:hAnsi="宋体" w:eastAsia="宋体" w:cs="宋体"/>
                <w:sz w:val="21"/>
                <w:szCs w:val="21"/>
                <w:highlight w:val="none"/>
              </w:rPr>
              <w:t>……</w:t>
            </w:r>
          </w:p>
        </w:tc>
        <w:tc>
          <w:tcPr>
            <w:tcW w:w="1808" w:type="dxa"/>
            <w:vAlign w:val="center"/>
          </w:tcPr>
          <w:p>
            <w:pPr>
              <w:rPr>
                <w:rFonts w:ascii="宋体"/>
                <w:szCs w:val="21"/>
                <w:highlight w:val="none"/>
              </w:rPr>
            </w:pPr>
          </w:p>
        </w:tc>
        <w:tc>
          <w:tcPr>
            <w:tcW w:w="3579" w:type="dxa"/>
            <w:vAlign w:val="center"/>
          </w:tcPr>
          <w:p>
            <w:pPr>
              <w:rPr>
                <w:rFonts w:ascii="宋体"/>
                <w:szCs w:val="21"/>
                <w:highlight w:val="none"/>
              </w:rPr>
            </w:pPr>
          </w:p>
        </w:tc>
        <w:tc>
          <w:tcPr>
            <w:tcW w:w="1440" w:type="dxa"/>
            <w:vAlign w:val="center"/>
          </w:tcPr>
          <w:p>
            <w:pPr>
              <w:rPr>
                <w:rFonts w:ascii="宋体"/>
                <w:szCs w:val="21"/>
                <w:highlight w:val="none"/>
              </w:rPr>
            </w:pPr>
          </w:p>
        </w:tc>
        <w:tc>
          <w:tcPr>
            <w:tcW w:w="1706" w:type="dxa"/>
            <w:vAlign w:val="center"/>
          </w:tcPr>
          <w:p>
            <w:pPr>
              <w:rPr>
                <w:rFonts w:ascii="宋体"/>
                <w:szCs w:val="21"/>
                <w:highlight w:val="none"/>
              </w:rPr>
            </w:pPr>
          </w:p>
        </w:tc>
      </w:tr>
    </w:tbl>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投标人（公章）：</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投标人法定代表人（单位负责人）或授权代表签字：</w:t>
      </w:r>
      <w:r>
        <w:rPr>
          <w:rFonts w:cs="宋体" w:asciiTheme="minorEastAsia" w:hAnsiTheme="minorEastAsia"/>
          <w:szCs w:val="21"/>
          <w:highlight w:val="none"/>
          <w:lang w:val="zh-CN"/>
        </w:rPr>
        <w:t xml:space="preserve"> </w:t>
      </w:r>
    </w:p>
    <w:p>
      <w:pPr>
        <w:autoSpaceDE w:val="0"/>
        <w:autoSpaceDN w:val="0"/>
        <w:adjustRightInd w:val="0"/>
        <w:spacing w:line="480" w:lineRule="auto"/>
        <w:rPr>
          <w:rFonts w:cs="宋体" w:asciiTheme="minorEastAsia" w:hAnsiTheme="minorEastAsia"/>
          <w:sz w:val="24"/>
          <w:szCs w:val="24"/>
          <w:highlight w:val="none"/>
          <w:lang w:val="zh-CN"/>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pStyle w:val="24"/>
        <w:rPr>
          <w:rFonts w:hint="eastAsia"/>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4.5 售后服务方案</w:t>
      </w:r>
    </w:p>
    <w:p>
      <w:pPr>
        <w:autoSpaceDE w:val="0"/>
        <w:autoSpaceDN w:val="0"/>
        <w:adjustRightInd w:val="0"/>
        <w:spacing w:line="360" w:lineRule="auto"/>
        <w:jc w:val="center"/>
        <w:outlineLvl w:val="0"/>
        <w:rPr>
          <w:rFonts w:ascii="宋体" w:hAnsi="宋体"/>
          <w:b/>
          <w:bCs/>
          <w:color w:val="000000"/>
          <w:sz w:val="36"/>
          <w:szCs w:val="36"/>
          <w:highlight w:val="none"/>
        </w:rPr>
      </w:pPr>
    </w:p>
    <w:p>
      <w:pPr>
        <w:autoSpaceDE w:val="0"/>
        <w:autoSpaceDN w:val="0"/>
        <w:adjustRightInd w:val="0"/>
        <w:spacing w:line="360" w:lineRule="auto"/>
        <w:jc w:val="center"/>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（投标人根据招标文件要求自行编制）</w:t>
      </w:r>
    </w:p>
    <w:p>
      <w:pPr>
        <w:autoSpaceDE w:val="0"/>
        <w:autoSpaceDN w:val="0"/>
        <w:adjustRightInd w:val="0"/>
        <w:spacing w:line="360" w:lineRule="auto"/>
        <w:jc w:val="center"/>
        <w:outlineLvl w:val="0"/>
        <w:rPr>
          <w:rFonts w:ascii="宋体" w:hAnsi="宋体"/>
          <w:b/>
          <w:bCs/>
          <w:color w:val="000000"/>
          <w:sz w:val="36"/>
          <w:szCs w:val="36"/>
          <w:highlight w:val="none"/>
        </w:rPr>
      </w:pPr>
    </w:p>
    <w:p>
      <w:pPr>
        <w:autoSpaceDE w:val="0"/>
        <w:autoSpaceDN w:val="0"/>
        <w:adjustRightInd w:val="0"/>
        <w:spacing w:line="360" w:lineRule="auto"/>
        <w:jc w:val="center"/>
        <w:outlineLvl w:val="0"/>
        <w:rPr>
          <w:rFonts w:ascii="宋体" w:hAnsi="宋体"/>
          <w:b/>
          <w:bCs/>
          <w:color w:val="000000"/>
          <w:sz w:val="36"/>
          <w:szCs w:val="36"/>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4.6 中小企业声明函</w:t>
      </w:r>
    </w:p>
    <w:p>
      <w:pPr>
        <w:spacing w:line="360" w:lineRule="auto"/>
        <w:jc w:val="center"/>
        <w:rPr>
          <w:rFonts w:ascii="宋体" w:hAnsi="宋体"/>
          <w:b/>
          <w:bCs/>
          <w:color w:val="000000"/>
          <w:szCs w:val="21"/>
          <w:highlight w:val="none"/>
        </w:rPr>
      </w:pPr>
    </w:p>
    <w:p>
      <w:pPr>
        <w:widowControl/>
        <w:spacing w:before="100" w:beforeAutospacing="1" w:after="100" w:afterAutospacing="1" w:line="360" w:lineRule="auto"/>
        <w:ind w:firstLine="420"/>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本公司郑重声明，根据《政府采购促进中小企业发展暂行办法》（财库[2011]181号）的规定，本公司为______（请填写：中型、小型、微型）企业。即，本公司同时满足以下条件：</w:t>
      </w:r>
      <w:r>
        <w:rPr>
          <w:rFonts w:hint="eastAsia" w:ascii="宋体" w:hAnsi="宋体" w:cs="Arial"/>
          <w:color w:val="000000"/>
          <w:kern w:val="0"/>
          <w:szCs w:val="21"/>
          <w:highlight w:val="none"/>
        </w:rPr>
        <w:br w:type="textWrapping"/>
      </w:r>
      <w:r>
        <w:rPr>
          <w:rFonts w:hint="eastAsia" w:ascii="宋体" w:hAnsi="宋体" w:cs="Arial"/>
          <w:color w:val="000000"/>
          <w:kern w:val="0"/>
          <w:szCs w:val="21"/>
          <w:highlight w:val="none"/>
        </w:rPr>
        <w:t>　　根据《工业和信息化部、国家统计局、国家发展和改革委员会、财政部关于印发中小企业划型标准规定的通知》（工信部联企业[2011]300号）规定的划分标准，</w:t>
      </w:r>
      <w:r>
        <w:rPr>
          <w:rFonts w:hint="eastAsia"/>
          <w:color w:val="000000"/>
          <w:szCs w:val="21"/>
          <w:highlight w:val="none"/>
        </w:rPr>
        <w:t>按照《国家统计局关于印发统计上大中小微型企业划分办法的通知》（国统字</w:t>
      </w:r>
      <w:r>
        <w:rPr>
          <w:color w:val="000000"/>
          <w:szCs w:val="21"/>
          <w:highlight w:val="none"/>
        </w:rPr>
        <w:t>[2011] 75</w:t>
      </w:r>
      <w:r>
        <w:rPr>
          <w:rFonts w:hint="eastAsia"/>
          <w:color w:val="000000"/>
          <w:szCs w:val="21"/>
          <w:highlight w:val="none"/>
        </w:rPr>
        <w:t>号）规定，本公司所属行业为</w:t>
      </w:r>
      <w:r>
        <w:rPr>
          <w:color w:val="000000"/>
          <w:szCs w:val="21"/>
          <w:highlight w:val="none"/>
        </w:rPr>
        <w:t>______</w:t>
      </w:r>
      <w:r>
        <w:rPr>
          <w:rFonts w:hint="eastAsia"/>
          <w:color w:val="000000"/>
          <w:szCs w:val="21"/>
          <w:highlight w:val="none"/>
        </w:rPr>
        <w:t>，截至上一财年末，公司资产总额</w:t>
      </w:r>
      <w:r>
        <w:rPr>
          <w:color w:val="000000"/>
          <w:szCs w:val="21"/>
          <w:highlight w:val="none"/>
        </w:rPr>
        <w:t>______</w:t>
      </w:r>
      <w:r>
        <w:rPr>
          <w:rFonts w:hint="eastAsia"/>
          <w:color w:val="000000"/>
          <w:szCs w:val="21"/>
          <w:highlight w:val="none"/>
        </w:rPr>
        <w:t>万元，营业收入</w:t>
      </w:r>
      <w:r>
        <w:rPr>
          <w:color w:val="000000"/>
          <w:szCs w:val="21"/>
          <w:highlight w:val="none"/>
        </w:rPr>
        <w:t>______</w:t>
      </w:r>
      <w:r>
        <w:rPr>
          <w:rFonts w:hint="eastAsia"/>
          <w:color w:val="000000"/>
          <w:szCs w:val="21"/>
          <w:highlight w:val="none"/>
        </w:rPr>
        <w:t>万元，从业人员</w:t>
      </w:r>
      <w:r>
        <w:rPr>
          <w:color w:val="000000"/>
          <w:szCs w:val="21"/>
          <w:highlight w:val="none"/>
        </w:rPr>
        <w:t>______</w:t>
      </w:r>
      <w:r>
        <w:rPr>
          <w:rFonts w:hint="eastAsia"/>
          <w:color w:val="000000"/>
          <w:szCs w:val="21"/>
          <w:highlight w:val="none"/>
        </w:rPr>
        <w:t>人，</w:t>
      </w:r>
      <w:r>
        <w:rPr>
          <w:rFonts w:hint="eastAsia" w:ascii="宋体" w:hAnsi="宋体" w:cs="Arial"/>
          <w:color w:val="000000"/>
          <w:kern w:val="0"/>
          <w:szCs w:val="21"/>
          <w:highlight w:val="none"/>
        </w:rPr>
        <w:t>本公司为______（请填写：中型、小型、微型）企业。　　</w:t>
      </w:r>
    </w:p>
    <w:p>
      <w:pPr>
        <w:widowControl/>
        <w:spacing w:before="100" w:beforeAutospacing="1" w:after="100" w:afterAutospacing="1" w:line="360" w:lineRule="auto"/>
        <w:ind w:firstLine="420"/>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color w:val="000000"/>
          <w:kern w:val="0"/>
          <w:szCs w:val="21"/>
          <w:highlight w:val="none"/>
        </w:rPr>
      </w:pPr>
    </w:p>
    <w:p>
      <w:pPr>
        <w:widowControl/>
        <w:spacing w:before="100" w:beforeAutospacing="1" w:after="100" w:afterAutospacing="1" w:line="360" w:lineRule="auto"/>
        <w:ind w:left="3885" w:leftChars="1850"/>
        <w:jc w:val="left"/>
        <w:rPr>
          <w:rFonts w:ascii="宋体" w:hAnsi="宋体" w:cs="Arial"/>
          <w:color w:val="000000"/>
          <w:kern w:val="0"/>
          <w:szCs w:val="21"/>
          <w:highlight w:val="none"/>
        </w:rPr>
      </w:pPr>
    </w:p>
    <w:p>
      <w:pPr>
        <w:widowControl/>
        <w:spacing w:before="100" w:beforeAutospacing="1" w:after="100" w:afterAutospacing="1" w:line="360" w:lineRule="auto"/>
        <w:ind w:left="3885" w:leftChars="1850"/>
        <w:jc w:val="left"/>
        <w:rPr>
          <w:rFonts w:ascii="宋体" w:hAnsi="宋体" w:cs="Arial"/>
          <w:color w:val="000000"/>
          <w:kern w:val="0"/>
          <w:szCs w:val="21"/>
          <w:highlight w:val="none"/>
        </w:rPr>
      </w:pPr>
      <w:r>
        <w:rPr>
          <w:rFonts w:hint="eastAsia" w:ascii="宋体" w:hAnsi="宋体" w:cs="Arial"/>
          <w:color w:val="000000"/>
          <w:kern w:val="0"/>
          <w:szCs w:val="21"/>
          <w:highlight w:val="none"/>
        </w:rPr>
        <w:t>企业名称（盖章）：　　　　　　　　　</w:t>
      </w:r>
      <w:r>
        <w:rPr>
          <w:rFonts w:hint="eastAsia" w:ascii="宋体" w:hAnsi="宋体" w:cs="Arial"/>
          <w:color w:val="000000"/>
          <w:kern w:val="0"/>
          <w:szCs w:val="21"/>
          <w:highlight w:val="none"/>
        </w:rPr>
        <w:br w:type="textWrapping"/>
      </w:r>
      <w:r>
        <w:rPr>
          <w:rFonts w:hint="eastAsia" w:ascii="宋体" w:hAnsi="宋体" w:cs="Arial"/>
          <w:color w:val="000000"/>
          <w:kern w:val="0"/>
          <w:szCs w:val="21"/>
          <w:highlight w:val="none"/>
        </w:rPr>
        <w:t xml:space="preserve">日　  期：      </w:t>
      </w:r>
      <w:r>
        <w:rPr>
          <w:rFonts w:hint="eastAsia" w:cs="宋体" w:asciiTheme="minorEastAsia" w:hAnsiTheme="minorEastAsia"/>
          <w:szCs w:val="21"/>
          <w:highlight w:val="none"/>
        </w:rPr>
        <w:t>年    月    日</w:t>
      </w:r>
    </w:p>
    <w:p>
      <w:pPr>
        <w:widowControl/>
        <w:spacing w:before="100" w:beforeAutospacing="1" w:after="100" w:afterAutospacing="1" w:line="360" w:lineRule="auto"/>
        <w:contextualSpacing/>
        <w:jc w:val="left"/>
        <w:rPr>
          <w:rFonts w:ascii="宋体" w:hAnsi="宋体"/>
          <w:color w:val="000000"/>
          <w:szCs w:val="21"/>
          <w:highlight w:val="none"/>
        </w:rPr>
      </w:pPr>
      <w:r>
        <w:rPr>
          <w:rFonts w:hint="eastAsia" w:ascii="宋体" w:hAnsi="宋体"/>
          <w:color w:val="000000"/>
          <w:szCs w:val="21"/>
          <w:highlight w:val="none"/>
        </w:rPr>
        <w:t>说明：</w:t>
      </w:r>
    </w:p>
    <w:p>
      <w:pPr>
        <w:widowControl/>
        <w:spacing w:before="100" w:beforeAutospacing="1" w:after="100" w:afterAutospacing="1" w:line="360" w:lineRule="auto"/>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2、如投标人为联合投标的，联合投标人需分别填写上述《中小企业声明函》。</w:t>
      </w:r>
    </w:p>
    <w:p>
      <w:pPr>
        <w:widowControl/>
        <w:spacing w:before="100" w:beforeAutospacing="1" w:after="100" w:afterAutospacing="1" w:line="360" w:lineRule="auto"/>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3、小型和微型企业不包括民办非企业。</w:t>
      </w:r>
    </w:p>
    <w:p>
      <w:pPr>
        <w:autoSpaceDE w:val="0"/>
        <w:autoSpaceDN w:val="0"/>
        <w:adjustRightInd w:val="0"/>
        <w:spacing w:line="360" w:lineRule="auto"/>
        <w:jc w:val="center"/>
        <w:outlineLvl w:val="0"/>
        <w:rPr>
          <w:rFonts w:hint="eastAsia" w:ascii="宋体" w:hAnsi="宋体"/>
          <w:b/>
          <w:bCs/>
          <w:color w:val="000000"/>
          <w:sz w:val="24"/>
          <w:szCs w:val="24"/>
          <w:highlight w:val="none"/>
        </w:rPr>
      </w:pPr>
      <w:bookmarkStart w:id="31" w:name="OLE_LINK14"/>
      <w:bookmarkStart w:id="32" w:name="OLE_LINK13"/>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4.7 残疾人福利性单位声明函</w:t>
      </w:r>
    </w:p>
    <w:bookmarkEnd w:id="31"/>
    <w:bookmarkEnd w:id="32"/>
    <w:p>
      <w:pPr>
        <w:spacing w:line="360" w:lineRule="auto"/>
        <w:rPr>
          <w:rFonts w:ascii="宋体" w:hAnsi="宋体"/>
          <w:szCs w:val="21"/>
          <w:highlight w:val="none"/>
        </w:rPr>
      </w:pPr>
    </w:p>
    <w:p>
      <w:pPr>
        <w:spacing w:line="360" w:lineRule="auto"/>
        <w:ind w:firstLine="420" w:firstLineChars="200"/>
        <w:rPr>
          <w:rFonts w:ascii="宋体" w:hAnsi="宋体"/>
          <w:szCs w:val="21"/>
          <w:highlight w:val="none"/>
        </w:rPr>
      </w:pPr>
      <w:r>
        <w:rPr>
          <w:rFonts w:hint="eastAsia" w:ascii="宋体" w:hAnsi="宋体"/>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Cs w:val="21"/>
          <w:highlight w:val="none"/>
          <w:u w:val="single"/>
        </w:rPr>
        <w:t xml:space="preserve">        </w:t>
      </w:r>
      <w:r>
        <w:rPr>
          <w:rFonts w:hint="eastAsia" w:ascii="宋体" w:hAnsi="宋体"/>
          <w:szCs w:val="21"/>
          <w:highlight w:val="none"/>
        </w:rPr>
        <w:t>单位的</w:t>
      </w:r>
      <w:r>
        <w:rPr>
          <w:rFonts w:hint="eastAsia" w:ascii="宋体" w:hAnsi="宋体"/>
          <w:szCs w:val="21"/>
          <w:highlight w:val="none"/>
          <w:u w:val="single"/>
        </w:rPr>
        <w:t xml:space="preserve">           </w:t>
      </w:r>
      <w:r>
        <w:rPr>
          <w:rFonts w:hint="eastAsia" w:ascii="宋体" w:hAnsi="宋体"/>
          <w:szCs w:val="21"/>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szCs w:val="21"/>
          <w:highlight w:val="none"/>
        </w:rPr>
      </w:pPr>
      <w:r>
        <w:rPr>
          <w:rFonts w:hint="eastAsia" w:ascii="宋体" w:hAnsi="宋体"/>
          <w:szCs w:val="21"/>
          <w:highlight w:val="none"/>
        </w:rPr>
        <w:t>本单位对上述声明的真实性负责。如有虚假，将依法承担相应责任。</w:t>
      </w:r>
    </w:p>
    <w:p>
      <w:pPr>
        <w:spacing w:line="360" w:lineRule="auto"/>
        <w:rPr>
          <w:rFonts w:ascii="宋体" w:hAnsi="宋体"/>
          <w:szCs w:val="21"/>
          <w:highlight w:val="none"/>
        </w:rPr>
      </w:pPr>
    </w:p>
    <w:p>
      <w:pPr>
        <w:spacing w:line="360" w:lineRule="auto"/>
        <w:rPr>
          <w:rFonts w:ascii="宋体" w:hAnsi="宋体"/>
          <w:szCs w:val="21"/>
          <w:highlight w:val="none"/>
        </w:rPr>
      </w:pPr>
    </w:p>
    <w:p>
      <w:pPr>
        <w:spacing w:line="360" w:lineRule="auto"/>
        <w:rPr>
          <w:rFonts w:ascii="宋体" w:hAnsi="宋体"/>
          <w:szCs w:val="21"/>
          <w:highlight w:val="none"/>
        </w:rPr>
      </w:pPr>
      <w:r>
        <w:rPr>
          <w:rFonts w:hint="eastAsia" w:ascii="宋体" w:hAnsi="宋体"/>
          <w:szCs w:val="21"/>
          <w:highlight w:val="none"/>
        </w:rPr>
        <w:t xml:space="preserve">                                    单位名称（盖章）：</w:t>
      </w:r>
    </w:p>
    <w:p>
      <w:pPr>
        <w:spacing w:line="360" w:lineRule="auto"/>
        <w:rPr>
          <w:rFonts w:ascii="宋体" w:hAnsi="宋体"/>
          <w:szCs w:val="21"/>
          <w:highlight w:val="none"/>
        </w:rPr>
      </w:pPr>
      <w:r>
        <w:rPr>
          <w:rFonts w:hint="eastAsia" w:ascii="宋体" w:hAnsi="宋体"/>
          <w:szCs w:val="21"/>
          <w:highlight w:val="none"/>
        </w:rPr>
        <w:t xml:space="preserve">                                    日    期：      </w:t>
      </w:r>
      <w:r>
        <w:rPr>
          <w:rFonts w:hint="eastAsia" w:cs="宋体" w:asciiTheme="minorEastAsia" w:hAnsiTheme="minorEastAsia"/>
          <w:szCs w:val="21"/>
          <w:highlight w:val="none"/>
        </w:rPr>
        <w:t>年    月    日</w:t>
      </w:r>
    </w:p>
    <w:p>
      <w:pPr>
        <w:rPr>
          <w:highlight w:val="none"/>
        </w:rPr>
      </w:pPr>
    </w:p>
    <w:p>
      <w:pPr>
        <w:rPr>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 xml:space="preserve">4.8 所投产品符合国家强制性要求承诺函 </w:t>
      </w:r>
    </w:p>
    <w:p>
      <w:pPr>
        <w:autoSpaceDE w:val="0"/>
        <w:autoSpaceDN w:val="0"/>
        <w:adjustRightInd w:val="0"/>
        <w:spacing w:line="360" w:lineRule="auto"/>
        <w:jc w:val="center"/>
        <w:outlineLvl w:val="0"/>
        <w:rPr>
          <w:rFonts w:ascii="宋体" w:hAnsi="宋体"/>
          <w:b/>
          <w:bCs/>
          <w:color w:val="000000"/>
          <w:sz w:val="28"/>
          <w:szCs w:val="28"/>
          <w:highlight w:val="none"/>
        </w:rPr>
      </w:pPr>
    </w:p>
    <w:p>
      <w:pPr>
        <w:spacing w:line="360" w:lineRule="auto"/>
        <w:jc w:val="center"/>
        <w:rPr>
          <w:rFonts w:ascii="宋体" w:hAnsi="宋体" w:cs="Arial"/>
          <w:color w:val="000000"/>
          <w:kern w:val="0"/>
          <w:szCs w:val="21"/>
          <w:highlight w:val="none"/>
        </w:rPr>
      </w:pPr>
      <w:r>
        <w:rPr>
          <w:rFonts w:hint="eastAsia" w:ascii="宋体" w:hAnsi="宋体" w:cs="Arial"/>
          <w:color w:val="000000"/>
          <w:kern w:val="0"/>
          <w:szCs w:val="21"/>
          <w:highlight w:val="none"/>
        </w:rPr>
        <w:t>投标人所投产品涉及国家有属强制性规定的，须承诺其所投产品符合国家强制性要求（如CCC认证，格式自拟）</w:t>
      </w:r>
    </w:p>
    <w:p>
      <w:pPr>
        <w:widowControl/>
        <w:spacing w:before="100" w:beforeAutospacing="1" w:after="100" w:afterAutospacing="1" w:line="360" w:lineRule="auto"/>
        <w:jc w:val="center"/>
        <w:rPr>
          <w:rFonts w:ascii="宋体" w:hAnsi="宋体"/>
          <w:b/>
          <w:bCs/>
          <w:color w:val="000000"/>
          <w:sz w:val="36"/>
          <w:szCs w:val="36"/>
          <w:highlight w:val="none"/>
        </w:rPr>
      </w:pPr>
    </w:p>
    <w:p>
      <w:pPr>
        <w:widowControl/>
        <w:spacing w:before="100" w:beforeAutospacing="1" w:after="100" w:afterAutospacing="1" w:line="360" w:lineRule="auto"/>
        <w:jc w:val="center"/>
        <w:rPr>
          <w:rFonts w:ascii="宋体" w:hAnsi="宋体"/>
          <w:b/>
          <w:bCs/>
          <w:color w:val="000000"/>
          <w:sz w:val="36"/>
          <w:szCs w:val="36"/>
          <w:highlight w:val="none"/>
        </w:rPr>
      </w:pPr>
    </w:p>
    <w:p>
      <w:pPr>
        <w:rPr>
          <w:highlight w:val="none"/>
        </w:rPr>
      </w:pPr>
    </w:p>
    <w:p>
      <w:pPr>
        <w:rPr>
          <w:highlight w:val="none"/>
        </w:rPr>
      </w:pPr>
    </w:p>
    <w:p>
      <w:pPr>
        <w:autoSpaceDE w:val="0"/>
        <w:autoSpaceDN w:val="0"/>
        <w:adjustRightInd w:val="0"/>
        <w:spacing w:line="360" w:lineRule="auto"/>
        <w:jc w:val="center"/>
        <w:rPr>
          <w:rFonts w:cs="黑体" w:asciiTheme="minorEastAsia" w:hAnsiTheme="minorEastAsia"/>
          <w:b/>
          <w:bCs/>
          <w:sz w:val="28"/>
          <w:szCs w:val="28"/>
          <w:highlight w:val="none"/>
          <w:lang w:val="zh-CN"/>
        </w:rPr>
      </w:pPr>
      <w:r>
        <w:rPr>
          <w:rFonts w:hint="eastAsia" w:cs="黑体" w:asciiTheme="minorEastAsia" w:hAnsiTheme="minorEastAsia"/>
          <w:b/>
          <w:bCs/>
          <w:sz w:val="28"/>
          <w:szCs w:val="28"/>
          <w:highlight w:val="none"/>
          <w:lang w:val="zh-CN"/>
        </w:rPr>
        <w:t>五、</w:t>
      </w:r>
      <w:r>
        <w:rPr>
          <w:rFonts w:cs="黑体" w:asciiTheme="minorEastAsia" w:hAnsiTheme="minorEastAsia"/>
          <w:b/>
          <w:bCs/>
          <w:sz w:val="28"/>
          <w:szCs w:val="28"/>
          <w:highlight w:val="none"/>
          <w:lang w:val="zh-CN"/>
        </w:rPr>
        <w:t>其他资料（若有）</w:t>
      </w:r>
    </w:p>
    <w:p>
      <w:pPr>
        <w:rPr>
          <w:highlight w:val="none"/>
        </w:rPr>
      </w:pPr>
    </w:p>
    <w:p>
      <w:pPr>
        <w:rPr>
          <w:highlight w:val="none"/>
        </w:rPr>
      </w:pPr>
    </w:p>
    <w:p>
      <w:pPr>
        <w:rPr>
          <w:highlight w:val="none"/>
        </w:rPr>
      </w:pPr>
    </w:p>
    <w:p>
      <w:pPr>
        <w:spacing w:line="360" w:lineRule="auto"/>
        <w:jc w:val="center"/>
        <w:rPr>
          <w:rFonts w:ascii="宋体" w:hAnsi="宋体"/>
          <w:b/>
          <w:bCs/>
          <w:color w:val="000000"/>
          <w:sz w:val="28"/>
          <w:szCs w:val="28"/>
          <w:highlight w:val="none"/>
        </w:rPr>
      </w:pPr>
      <w:r>
        <w:rPr>
          <w:rFonts w:ascii="宋体" w:hAnsi="宋体"/>
          <w:b/>
          <w:bCs/>
          <w:color w:val="000000"/>
          <w:sz w:val="28"/>
          <w:szCs w:val="28"/>
          <w:highlight w:val="none"/>
        </w:rPr>
        <w:t>除招标文件另有规定外，投标人认为需要提交的其他证明材料或资料加盖投标人的单位公章后应在此项下提交。</w:t>
      </w:r>
    </w:p>
    <w:p>
      <w:pPr>
        <w:spacing w:line="360" w:lineRule="auto"/>
        <w:jc w:val="center"/>
        <w:rPr>
          <w:rFonts w:ascii="宋体" w:hAnsi="宋体"/>
          <w:b/>
          <w:bCs/>
          <w:color w:val="000000"/>
          <w:sz w:val="28"/>
          <w:szCs w:val="28"/>
          <w:highlight w:val="none"/>
        </w:rPr>
      </w:pPr>
      <w:r>
        <w:rPr>
          <w:rFonts w:ascii="宋体" w:hAnsi="宋体"/>
          <w:b/>
          <w:bCs/>
          <w:color w:val="000000"/>
          <w:sz w:val="28"/>
          <w:szCs w:val="28"/>
          <w:highlight w:val="none"/>
        </w:rPr>
        <w:t> </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
    <w:sectPr>
      <w:pgSz w:w="11906" w:h="16838"/>
      <w:pgMar w:top="2098" w:right="1474" w:bottom="1928" w:left="1587" w:header="851" w:footer="992"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简隶书">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BESEhnrgEAAEwD&#10;AAAOAAAAAAAAAAEAIAAAAB4BAABkcnMvZTJvRG9jLnhtbFBLBQYAAAAABgAGAFkBAAA+BQAAAAA=&#10;">
              <v:fill on="f" focussize="0,0"/>
              <v:stroke on="f"/>
              <v:imagedata o:title=""/>
              <o:lock v:ext="edit" aspectratio="f"/>
              <v:textbox inset="0mm,0mm,0mm,0mm" style="mso-fit-shape-to-text:t;">
                <w:txbxContent>
                  <w:p>
                    <w:pPr>
                      <w:pStyle w:val="1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Ps5vjrgEAAEsD&#10;AAAOAAAAAAAAAAEAIAAAAB4BAABkcnMvZTJvRG9jLnhtbFBLBQYAAAAABgAGAFkBAAA+BQAAAAA=&#10;">
              <v:fill on="f" focussize="0,0"/>
              <v:stroke on="f"/>
              <v:imagedata o:title=""/>
              <o:lock v:ext="edit" aspectratio="f"/>
              <v:textbox inset="0mm,0mm,0mm,0mm" style="mso-fit-shape-to-text:t;">
                <w:txbxContent>
                  <w:p>
                    <w:pPr>
                      <w:pStyle w:val="19"/>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rPr>
        <w:rFonts w:hint="eastAsia" w:eastAsiaTheme="minorEastAsia"/>
        <w:sz w:val="21"/>
        <w:szCs w:val="21"/>
        <w:lang w:val="en-US" w:eastAsia="zh-CN"/>
      </w:rPr>
    </w:pPr>
    <w:r>
      <w:rPr>
        <w:rFonts w:hint="eastAsia"/>
        <w:sz w:val="21"/>
        <w:szCs w:val="21"/>
        <w:lang w:val="en-US" w:eastAsia="zh-CN"/>
      </w:rPr>
      <w:t>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42BE81"/>
    <w:multiLevelType w:val="singleLevel"/>
    <w:tmpl w:val="9942BE81"/>
    <w:lvl w:ilvl="0" w:tentative="0">
      <w:start w:val="2"/>
      <w:numFmt w:val="chineseCounting"/>
      <w:suff w:val="nothing"/>
      <w:lvlText w:val="%1、"/>
      <w:lvlJc w:val="left"/>
      <w:rPr>
        <w:rFonts w:hint="eastAsia"/>
      </w:rPr>
    </w:lvl>
  </w:abstractNum>
  <w:abstractNum w:abstractNumId="1">
    <w:nsid w:val="CB290991"/>
    <w:multiLevelType w:val="singleLevel"/>
    <w:tmpl w:val="CB290991"/>
    <w:lvl w:ilvl="0" w:tentative="0">
      <w:start w:val="1"/>
      <w:numFmt w:val="chineseCounting"/>
      <w:suff w:val="nothing"/>
      <w:lvlText w:val="%1、"/>
      <w:lvlJc w:val="left"/>
      <w:rPr>
        <w:rFonts w:hint="eastAsia"/>
      </w:rPr>
    </w:lvl>
  </w:abstractNum>
  <w:abstractNum w:abstractNumId="2">
    <w:nsid w:val="DEB0F075"/>
    <w:multiLevelType w:val="singleLevel"/>
    <w:tmpl w:val="DEB0F075"/>
    <w:lvl w:ilvl="0" w:tentative="0">
      <w:start w:val="1"/>
      <w:numFmt w:val="decimal"/>
      <w:suff w:val="nothing"/>
      <w:lvlText w:val="%1、"/>
      <w:lvlJc w:val="left"/>
    </w:lvl>
  </w:abstractNum>
  <w:abstractNum w:abstractNumId="3">
    <w:nsid w:val="FF96D436"/>
    <w:multiLevelType w:val="singleLevel"/>
    <w:tmpl w:val="FF96D436"/>
    <w:lvl w:ilvl="0" w:tentative="0">
      <w:start w:val="1"/>
      <w:numFmt w:val="decimal"/>
      <w:suff w:val="nothing"/>
      <w:lvlText w:val="（%1）"/>
      <w:lvlJc w:val="left"/>
    </w:lvl>
  </w:abstractNum>
  <w:abstractNum w:abstractNumId="4">
    <w:nsid w:val="00000006"/>
    <w:multiLevelType w:val="multilevel"/>
    <w:tmpl w:val="00000006"/>
    <w:lvl w:ilvl="0" w:tentative="0">
      <w:start w:val="1"/>
      <w:numFmt w:val="chineseCountingThousand"/>
      <w:pStyle w:val="3"/>
      <w:suff w:val="nothing"/>
      <w:lvlText w:val="第%1部分"/>
      <w:lvlJc w:val="center"/>
      <w:pPr>
        <w:ind w:left="-288" w:firstLine="288"/>
      </w:pPr>
      <w:rPr>
        <w:rFonts w:hint="eastAsia"/>
        <w:sz w:val="28"/>
        <w:szCs w:val="28"/>
      </w:rPr>
    </w:lvl>
    <w:lvl w:ilvl="1" w:tentative="0">
      <w:start w:val="1"/>
      <w:numFmt w:val="chineseCountingThousand"/>
      <w:pStyle w:val="4"/>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6"/>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0000014"/>
    <w:multiLevelType w:val="multilevel"/>
    <w:tmpl w:val="00000014"/>
    <w:lvl w:ilvl="0" w:tentative="0">
      <w:start w:val="1"/>
      <w:numFmt w:val="decimal"/>
      <w:pStyle w:val="49"/>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04946305"/>
    <w:multiLevelType w:val="multilevel"/>
    <w:tmpl w:val="0494630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6986311"/>
    <w:multiLevelType w:val="singleLevel"/>
    <w:tmpl w:val="16986311"/>
    <w:lvl w:ilvl="0" w:tentative="0">
      <w:start w:val="3"/>
      <w:numFmt w:val="chineseCounting"/>
      <w:suff w:val="space"/>
      <w:lvlText w:val="第%1章"/>
      <w:lvlJc w:val="left"/>
      <w:rPr>
        <w:rFonts w:hint="eastAsia"/>
      </w:rPr>
    </w:lvl>
  </w:abstractNum>
  <w:abstractNum w:abstractNumId="9">
    <w:nsid w:val="1752E5EC"/>
    <w:multiLevelType w:val="singleLevel"/>
    <w:tmpl w:val="1752E5EC"/>
    <w:lvl w:ilvl="0" w:tentative="0">
      <w:start w:val="1"/>
      <w:numFmt w:val="decimal"/>
      <w:suff w:val="nothing"/>
      <w:lvlText w:val="（%1）"/>
      <w:lvlJc w:val="left"/>
    </w:lvl>
  </w:abstractNum>
  <w:abstractNum w:abstractNumId="10">
    <w:nsid w:val="18EA743F"/>
    <w:multiLevelType w:val="multilevel"/>
    <w:tmpl w:val="18EA743F"/>
    <w:lvl w:ilvl="0" w:tentative="0">
      <w:start w:val="26"/>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C536185"/>
    <w:multiLevelType w:val="multilevel"/>
    <w:tmpl w:val="1C536185"/>
    <w:lvl w:ilvl="0" w:tentative="0">
      <w:start w:val="1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D311DEE"/>
    <w:multiLevelType w:val="multilevel"/>
    <w:tmpl w:val="1D311DEE"/>
    <w:lvl w:ilvl="0" w:tentative="0">
      <w:start w:val="30"/>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5">
    <w:nsid w:val="29A72160"/>
    <w:multiLevelType w:val="multilevel"/>
    <w:tmpl w:val="29A72160"/>
    <w:lvl w:ilvl="0" w:tentative="0">
      <w:start w:val="1"/>
      <w:numFmt w:val="japaneseCounting"/>
      <w:lvlText w:val="%1、"/>
      <w:lvlJc w:val="left"/>
      <w:pPr>
        <w:ind w:left="562" w:hanging="4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6">
    <w:nsid w:val="35703775"/>
    <w:multiLevelType w:val="multilevel"/>
    <w:tmpl w:val="35703775"/>
    <w:lvl w:ilvl="0" w:tentative="0">
      <w:start w:val="7"/>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6801D37"/>
    <w:multiLevelType w:val="multilevel"/>
    <w:tmpl w:val="36801D3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68D0E93"/>
    <w:multiLevelType w:val="multilevel"/>
    <w:tmpl w:val="368D0E9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735288C"/>
    <w:multiLevelType w:val="multilevel"/>
    <w:tmpl w:val="3735288C"/>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95C5269"/>
    <w:multiLevelType w:val="singleLevel"/>
    <w:tmpl w:val="395C5269"/>
    <w:lvl w:ilvl="0" w:tentative="0">
      <w:start w:val="1"/>
      <w:numFmt w:val="chineseCounting"/>
      <w:suff w:val="nothing"/>
      <w:lvlText w:val="%1、"/>
      <w:lvlJc w:val="left"/>
      <w:rPr>
        <w:rFonts w:hint="eastAsia"/>
      </w:rPr>
    </w:lvl>
  </w:abstractNum>
  <w:abstractNum w:abstractNumId="21">
    <w:nsid w:val="39A414E2"/>
    <w:multiLevelType w:val="multilevel"/>
    <w:tmpl w:val="39A414E2"/>
    <w:lvl w:ilvl="0" w:tentative="0">
      <w:start w:val="36"/>
      <w:numFmt w:val="decimal"/>
      <w:lvlText w:val="%1.1 "/>
      <w:lvlJc w:val="left"/>
      <w:pPr>
        <w:ind w:left="964" w:hanging="544"/>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F0A2C70"/>
    <w:multiLevelType w:val="multilevel"/>
    <w:tmpl w:val="3F0A2C70"/>
    <w:lvl w:ilvl="0" w:tentative="0">
      <w:start w:val="2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73301E4"/>
    <w:multiLevelType w:val="singleLevel"/>
    <w:tmpl w:val="473301E4"/>
    <w:lvl w:ilvl="0" w:tentative="0">
      <w:start w:val="1"/>
      <w:numFmt w:val="chineseCounting"/>
      <w:suff w:val="nothing"/>
      <w:lvlText w:val="%1、"/>
      <w:lvlJc w:val="left"/>
      <w:rPr>
        <w:rFonts w:hint="eastAsia"/>
      </w:rPr>
    </w:lvl>
  </w:abstractNum>
  <w:abstractNum w:abstractNumId="24">
    <w:nsid w:val="47A71C51"/>
    <w:multiLevelType w:val="multilevel"/>
    <w:tmpl w:val="47A71C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DAEE194"/>
    <w:multiLevelType w:val="singleLevel"/>
    <w:tmpl w:val="4DAEE194"/>
    <w:lvl w:ilvl="0" w:tentative="0">
      <w:start w:val="1"/>
      <w:numFmt w:val="decimal"/>
      <w:suff w:val="nothing"/>
      <w:lvlText w:val="%1、"/>
      <w:lvlJc w:val="left"/>
    </w:lvl>
  </w:abstractNum>
  <w:abstractNum w:abstractNumId="26">
    <w:nsid w:val="4F5405FD"/>
    <w:multiLevelType w:val="multilevel"/>
    <w:tmpl w:val="4F5405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F7BA8A2"/>
    <w:multiLevelType w:val="singleLevel"/>
    <w:tmpl w:val="4F7BA8A2"/>
    <w:lvl w:ilvl="0" w:tentative="0">
      <w:start w:val="1"/>
      <w:numFmt w:val="decimal"/>
      <w:suff w:val="space"/>
      <w:lvlText w:val="%1."/>
      <w:lvlJc w:val="left"/>
    </w:lvl>
  </w:abstractNum>
  <w:abstractNum w:abstractNumId="28">
    <w:nsid w:val="563B5F73"/>
    <w:multiLevelType w:val="multilevel"/>
    <w:tmpl w:val="563B5F73"/>
    <w:lvl w:ilvl="0" w:tentative="0">
      <w:start w:val="3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7BB66CA"/>
    <w:multiLevelType w:val="multilevel"/>
    <w:tmpl w:val="57BB66C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9F817E8"/>
    <w:multiLevelType w:val="singleLevel"/>
    <w:tmpl w:val="59F817E8"/>
    <w:lvl w:ilvl="0" w:tentative="0">
      <w:start w:val="1"/>
      <w:numFmt w:val="chineseCounting"/>
      <w:pStyle w:val="54"/>
      <w:suff w:val="nothing"/>
      <w:lvlText w:val="%1、"/>
      <w:lvlJc w:val="left"/>
    </w:lvl>
  </w:abstractNum>
  <w:abstractNum w:abstractNumId="31">
    <w:nsid w:val="62DE18EC"/>
    <w:multiLevelType w:val="singleLevel"/>
    <w:tmpl w:val="62DE18EC"/>
    <w:lvl w:ilvl="0" w:tentative="0">
      <w:start w:val="2"/>
      <w:numFmt w:val="decimal"/>
      <w:lvlText w:val="%1."/>
      <w:lvlJc w:val="left"/>
      <w:pPr>
        <w:tabs>
          <w:tab w:val="left" w:pos="312"/>
        </w:tabs>
      </w:pPr>
    </w:lvl>
  </w:abstractNum>
  <w:abstractNum w:abstractNumId="32">
    <w:nsid w:val="6922B244"/>
    <w:multiLevelType w:val="singleLevel"/>
    <w:tmpl w:val="6922B244"/>
    <w:lvl w:ilvl="0" w:tentative="0">
      <w:start w:val="6"/>
      <w:numFmt w:val="decimal"/>
      <w:suff w:val="nothing"/>
      <w:lvlText w:val="%1、"/>
      <w:lvlJc w:val="left"/>
    </w:lvl>
  </w:abstractNum>
  <w:abstractNum w:abstractNumId="33">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72C53A37"/>
    <w:multiLevelType w:val="multilevel"/>
    <w:tmpl w:val="72C53A37"/>
    <w:lvl w:ilvl="0" w:tentative="0">
      <w:start w:val="24"/>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B3910BC"/>
    <w:multiLevelType w:val="multilevel"/>
    <w:tmpl w:val="7B3910BC"/>
    <w:lvl w:ilvl="0" w:tentative="0">
      <w:start w:val="1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B6D5F48"/>
    <w:multiLevelType w:val="multilevel"/>
    <w:tmpl w:val="7B6D5F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30"/>
  </w:num>
  <w:num w:numId="4">
    <w:abstractNumId w:val="27"/>
  </w:num>
  <w:num w:numId="5">
    <w:abstractNumId w:val="29"/>
  </w:num>
  <w:num w:numId="6">
    <w:abstractNumId w:val="0"/>
  </w:num>
  <w:num w:numId="7">
    <w:abstractNumId w:val="24"/>
  </w:num>
  <w:num w:numId="8">
    <w:abstractNumId w:val="17"/>
  </w:num>
  <w:num w:numId="9">
    <w:abstractNumId w:val="19"/>
  </w:num>
  <w:num w:numId="10">
    <w:abstractNumId w:val="26"/>
  </w:num>
  <w:num w:numId="11">
    <w:abstractNumId w:val="6"/>
  </w:num>
  <w:num w:numId="12">
    <w:abstractNumId w:val="36"/>
  </w:num>
  <w:num w:numId="13">
    <w:abstractNumId w:val="18"/>
  </w:num>
  <w:num w:numId="14">
    <w:abstractNumId w:val="15"/>
  </w:num>
  <w:num w:numId="15">
    <w:abstractNumId w:val="9"/>
  </w:num>
  <w:num w:numId="16">
    <w:abstractNumId w:val="31"/>
  </w:num>
  <w:num w:numId="17">
    <w:abstractNumId w:val="3"/>
  </w:num>
  <w:num w:numId="18">
    <w:abstractNumId w:val="23"/>
  </w:num>
  <w:num w:numId="19">
    <w:abstractNumId w:val="1"/>
  </w:num>
  <w:num w:numId="20">
    <w:abstractNumId w:val="32"/>
  </w:num>
  <w:num w:numId="21">
    <w:abstractNumId w:val="20"/>
  </w:num>
  <w:num w:numId="22">
    <w:abstractNumId w:val="25"/>
  </w:num>
  <w:num w:numId="23">
    <w:abstractNumId w:val="8"/>
  </w:num>
  <w:num w:numId="24">
    <w:abstractNumId w:val="14"/>
  </w:num>
  <w:num w:numId="25">
    <w:abstractNumId w:val="33"/>
  </w:num>
  <w:num w:numId="26">
    <w:abstractNumId w:val="16"/>
  </w:num>
  <w:num w:numId="27">
    <w:abstractNumId w:val="11"/>
  </w:num>
  <w:num w:numId="28">
    <w:abstractNumId w:val="12"/>
  </w:num>
  <w:num w:numId="29">
    <w:abstractNumId w:val="35"/>
  </w:num>
  <w:num w:numId="30">
    <w:abstractNumId w:val="22"/>
  </w:num>
  <w:num w:numId="31">
    <w:abstractNumId w:val="34"/>
  </w:num>
  <w:num w:numId="32">
    <w:abstractNumId w:val="10"/>
  </w:num>
  <w:num w:numId="33">
    <w:abstractNumId w:val="13"/>
  </w:num>
  <w:num w:numId="34">
    <w:abstractNumId w:val="28"/>
  </w:num>
  <w:num w:numId="35">
    <w:abstractNumId w:val="21"/>
  </w:num>
  <w:num w:numId="36">
    <w:abstractNumId w:val="2"/>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27E"/>
    <w:rsid w:val="000038EC"/>
    <w:rsid w:val="000125D2"/>
    <w:rsid w:val="00013E96"/>
    <w:rsid w:val="00014754"/>
    <w:rsid w:val="000249DA"/>
    <w:rsid w:val="00025C44"/>
    <w:rsid w:val="00026B40"/>
    <w:rsid w:val="0003728F"/>
    <w:rsid w:val="00045650"/>
    <w:rsid w:val="00060E86"/>
    <w:rsid w:val="00067481"/>
    <w:rsid w:val="00067C9C"/>
    <w:rsid w:val="00081595"/>
    <w:rsid w:val="00097CA0"/>
    <w:rsid w:val="000B2B07"/>
    <w:rsid w:val="000B6E5D"/>
    <w:rsid w:val="000B6E76"/>
    <w:rsid w:val="000B79DF"/>
    <w:rsid w:val="000C2361"/>
    <w:rsid w:val="000F6AA6"/>
    <w:rsid w:val="000F6F3D"/>
    <w:rsid w:val="00101AC4"/>
    <w:rsid w:val="00102513"/>
    <w:rsid w:val="00103ABF"/>
    <w:rsid w:val="0010660D"/>
    <w:rsid w:val="001123D9"/>
    <w:rsid w:val="00113131"/>
    <w:rsid w:val="001140FC"/>
    <w:rsid w:val="00114E94"/>
    <w:rsid w:val="0011673D"/>
    <w:rsid w:val="0012175D"/>
    <w:rsid w:val="001263E7"/>
    <w:rsid w:val="00143550"/>
    <w:rsid w:val="00143C31"/>
    <w:rsid w:val="001465A0"/>
    <w:rsid w:val="00151793"/>
    <w:rsid w:val="00152568"/>
    <w:rsid w:val="00152C02"/>
    <w:rsid w:val="00156F50"/>
    <w:rsid w:val="00160FC6"/>
    <w:rsid w:val="00166719"/>
    <w:rsid w:val="001736A6"/>
    <w:rsid w:val="00175DBF"/>
    <w:rsid w:val="0018527E"/>
    <w:rsid w:val="0018653E"/>
    <w:rsid w:val="001939DC"/>
    <w:rsid w:val="001953F2"/>
    <w:rsid w:val="00196B62"/>
    <w:rsid w:val="00197C55"/>
    <w:rsid w:val="001A0890"/>
    <w:rsid w:val="001A1DC2"/>
    <w:rsid w:val="001A4069"/>
    <w:rsid w:val="001B12D4"/>
    <w:rsid w:val="001B2E60"/>
    <w:rsid w:val="001B3117"/>
    <w:rsid w:val="001B451E"/>
    <w:rsid w:val="001C010D"/>
    <w:rsid w:val="001C7312"/>
    <w:rsid w:val="001D1685"/>
    <w:rsid w:val="001D2B18"/>
    <w:rsid w:val="001E1429"/>
    <w:rsid w:val="001E7708"/>
    <w:rsid w:val="00203E42"/>
    <w:rsid w:val="00204DF9"/>
    <w:rsid w:val="002175E7"/>
    <w:rsid w:val="0022188F"/>
    <w:rsid w:val="002241AC"/>
    <w:rsid w:val="0022663A"/>
    <w:rsid w:val="002305CC"/>
    <w:rsid w:val="00232D74"/>
    <w:rsid w:val="002341FC"/>
    <w:rsid w:val="002360FC"/>
    <w:rsid w:val="002422B9"/>
    <w:rsid w:val="00242F51"/>
    <w:rsid w:val="00243093"/>
    <w:rsid w:val="00251F15"/>
    <w:rsid w:val="00262239"/>
    <w:rsid w:val="00263892"/>
    <w:rsid w:val="00267A4C"/>
    <w:rsid w:val="002747B6"/>
    <w:rsid w:val="00282278"/>
    <w:rsid w:val="002848F9"/>
    <w:rsid w:val="00285974"/>
    <w:rsid w:val="0028685B"/>
    <w:rsid w:val="00291DE1"/>
    <w:rsid w:val="00295A12"/>
    <w:rsid w:val="00295CC4"/>
    <w:rsid w:val="002961F2"/>
    <w:rsid w:val="002A14BE"/>
    <w:rsid w:val="002A1EBF"/>
    <w:rsid w:val="002A3C1F"/>
    <w:rsid w:val="002A7C95"/>
    <w:rsid w:val="002B48A2"/>
    <w:rsid w:val="002B6A4F"/>
    <w:rsid w:val="002C5C3E"/>
    <w:rsid w:val="002D7820"/>
    <w:rsid w:val="002E24AC"/>
    <w:rsid w:val="002E27B1"/>
    <w:rsid w:val="002E4A9B"/>
    <w:rsid w:val="002E6A56"/>
    <w:rsid w:val="002F079F"/>
    <w:rsid w:val="002F7B84"/>
    <w:rsid w:val="003004BB"/>
    <w:rsid w:val="00302EC5"/>
    <w:rsid w:val="00321D34"/>
    <w:rsid w:val="0032405E"/>
    <w:rsid w:val="00331995"/>
    <w:rsid w:val="003342D8"/>
    <w:rsid w:val="0033506B"/>
    <w:rsid w:val="00342089"/>
    <w:rsid w:val="00352DF4"/>
    <w:rsid w:val="0035369D"/>
    <w:rsid w:val="00360545"/>
    <w:rsid w:val="0036152C"/>
    <w:rsid w:val="003639CB"/>
    <w:rsid w:val="0036447A"/>
    <w:rsid w:val="00371295"/>
    <w:rsid w:val="003726CA"/>
    <w:rsid w:val="00377AC4"/>
    <w:rsid w:val="00380522"/>
    <w:rsid w:val="00391A94"/>
    <w:rsid w:val="0039370D"/>
    <w:rsid w:val="003971D7"/>
    <w:rsid w:val="00397CD6"/>
    <w:rsid w:val="003A5CBF"/>
    <w:rsid w:val="003B0247"/>
    <w:rsid w:val="003B0702"/>
    <w:rsid w:val="003B11BC"/>
    <w:rsid w:val="003B2E92"/>
    <w:rsid w:val="003B5A23"/>
    <w:rsid w:val="003C2FDE"/>
    <w:rsid w:val="003D0F3B"/>
    <w:rsid w:val="003D5312"/>
    <w:rsid w:val="003E4753"/>
    <w:rsid w:val="003E4965"/>
    <w:rsid w:val="003E6C8B"/>
    <w:rsid w:val="003E6CF1"/>
    <w:rsid w:val="003F0BA6"/>
    <w:rsid w:val="003F1CEA"/>
    <w:rsid w:val="003F66D3"/>
    <w:rsid w:val="003F7748"/>
    <w:rsid w:val="00400BED"/>
    <w:rsid w:val="00401C65"/>
    <w:rsid w:val="0041133C"/>
    <w:rsid w:val="00417D50"/>
    <w:rsid w:val="00421FCC"/>
    <w:rsid w:val="0042208C"/>
    <w:rsid w:val="00425C9E"/>
    <w:rsid w:val="00426F5F"/>
    <w:rsid w:val="00431C09"/>
    <w:rsid w:val="0043273F"/>
    <w:rsid w:val="00432BA9"/>
    <w:rsid w:val="00435C50"/>
    <w:rsid w:val="00444404"/>
    <w:rsid w:val="004458B3"/>
    <w:rsid w:val="00450FD5"/>
    <w:rsid w:val="0045454F"/>
    <w:rsid w:val="004552DD"/>
    <w:rsid w:val="004555BF"/>
    <w:rsid w:val="00455D39"/>
    <w:rsid w:val="00456AAA"/>
    <w:rsid w:val="00466052"/>
    <w:rsid w:val="00471DCF"/>
    <w:rsid w:val="0047255E"/>
    <w:rsid w:val="00473A3B"/>
    <w:rsid w:val="00475D6F"/>
    <w:rsid w:val="004836C1"/>
    <w:rsid w:val="00490B4A"/>
    <w:rsid w:val="0049409E"/>
    <w:rsid w:val="004960A0"/>
    <w:rsid w:val="004A37B2"/>
    <w:rsid w:val="004B0A88"/>
    <w:rsid w:val="004B5C96"/>
    <w:rsid w:val="004C0D4D"/>
    <w:rsid w:val="004C0F8F"/>
    <w:rsid w:val="004C41D8"/>
    <w:rsid w:val="004C526D"/>
    <w:rsid w:val="004C5E01"/>
    <w:rsid w:val="004C7600"/>
    <w:rsid w:val="004D3D55"/>
    <w:rsid w:val="004D749D"/>
    <w:rsid w:val="004E671C"/>
    <w:rsid w:val="005001C4"/>
    <w:rsid w:val="00503567"/>
    <w:rsid w:val="00506310"/>
    <w:rsid w:val="00506E21"/>
    <w:rsid w:val="00510B29"/>
    <w:rsid w:val="00511187"/>
    <w:rsid w:val="00515CD7"/>
    <w:rsid w:val="005223E7"/>
    <w:rsid w:val="005242A0"/>
    <w:rsid w:val="005242FC"/>
    <w:rsid w:val="00543774"/>
    <w:rsid w:val="0054495A"/>
    <w:rsid w:val="00551D04"/>
    <w:rsid w:val="005637E2"/>
    <w:rsid w:val="00566E94"/>
    <w:rsid w:val="0057125E"/>
    <w:rsid w:val="005723F8"/>
    <w:rsid w:val="00580FBF"/>
    <w:rsid w:val="00583761"/>
    <w:rsid w:val="00583EAF"/>
    <w:rsid w:val="00584158"/>
    <w:rsid w:val="00585056"/>
    <w:rsid w:val="00585C8D"/>
    <w:rsid w:val="00586484"/>
    <w:rsid w:val="005930FB"/>
    <w:rsid w:val="005978CC"/>
    <w:rsid w:val="005A0F07"/>
    <w:rsid w:val="005B1360"/>
    <w:rsid w:val="005D0BBF"/>
    <w:rsid w:val="005D1822"/>
    <w:rsid w:val="005D209E"/>
    <w:rsid w:val="005D2AF1"/>
    <w:rsid w:val="005E0C2F"/>
    <w:rsid w:val="005E25D4"/>
    <w:rsid w:val="005E7603"/>
    <w:rsid w:val="005F34DE"/>
    <w:rsid w:val="005F6C34"/>
    <w:rsid w:val="006042BA"/>
    <w:rsid w:val="006121F2"/>
    <w:rsid w:val="006127ED"/>
    <w:rsid w:val="00615A1B"/>
    <w:rsid w:val="006203D4"/>
    <w:rsid w:val="006251F5"/>
    <w:rsid w:val="00625517"/>
    <w:rsid w:val="00636AAD"/>
    <w:rsid w:val="006433A7"/>
    <w:rsid w:val="0065716D"/>
    <w:rsid w:val="00662CA9"/>
    <w:rsid w:val="00671430"/>
    <w:rsid w:val="006754C2"/>
    <w:rsid w:val="0067638E"/>
    <w:rsid w:val="00691754"/>
    <w:rsid w:val="00691B6F"/>
    <w:rsid w:val="00694142"/>
    <w:rsid w:val="006A2213"/>
    <w:rsid w:val="006A5B8C"/>
    <w:rsid w:val="006B26D6"/>
    <w:rsid w:val="006B32D1"/>
    <w:rsid w:val="006B32F9"/>
    <w:rsid w:val="006B3DF8"/>
    <w:rsid w:val="006C1A4B"/>
    <w:rsid w:val="006C667F"/>
    <w:rsid w:val="006F1A4D"/>
    <w:rsid w:val="006F3204"/>
    <w:rsid w:val="007024F0"/>
    <w:rsid w:val="00703F21"/>
    <w:rsid w:val="00705ACE"/>
    <w:rsid w:val="00706B75"/>
    <w:rsid w:val="00724B2F"/>
    <w:rsid w:val="00740DAA"/>
    <w:rsid w:val="00752433"/>
    <w:rsid w:val="00756D00"/>
    <w:rsid w:val="00762E7D"/>
    <w:rsid w:val="0076566E"/>
    <w:rsid w:val="0077354D"/>
    <w:rsid w:val="00786F9A"/>
    <w:rsid w:val="00787606"/>
    <w:rsid w:val="00787A46"/>
    <w:rsid w:val="00792FB0"/>
    <w:rsid w:val="00796F1C"/>
    <w:rsid w:val="007A4155"/>
    <w:rsid w:val="007B6124"/>
    <w:rsid w:val="007B7A09"/>
    <w:rsid w:val="007E357B"/>
    <w:rsid w:val="007E740A"/>
    <w:rsid w:val="007F13CB"/>
    <w:rsid w:val="007F44E2"/>
    <w:rsid w:val="007F6DB4"/>
    <w:rsid w:val="0080116A"/>
    <w:rsid w:val="00806097"/>
    <w:rsid w:val="00806FD5"/>
    <w:rsid w:val="00810C37"/>
    <w:rsid w:val="00827965"/>
    <w:rsid w:val="00835185"/>
    <w:rsid w:val="008369F7"/>
    <w:rsid w:val="008377F7"/>
    <w:rsid w:val="00841C21"/>
    <w:rsid w:val="00845722"/>
    <w:rsid w:val="00845D07"/>
    <w:rsid w:val="008510DF"/>
    <w:rsid w:val="00855460"/>
    <w:rsid w:val="00861CAB"/>
    <w:rsid w:val="008666E2"/>
    <w:rsid w:val="0086689E"/>
    <w:rsid w:val="0087124E"/>
    <w:rsid w:val="00872C10"/>
    <w:rsid w:val="00876080"/>
    <w:rsid w:val="00876D6C"/>
    <w:rsid w:val="00882348"/>
    <w:rsid w:val="0088695D"/>
    <w:rsid w:val="00886A07"/>
    <w:rsid w:val="00890CE6"/>
    <w:rsid w:val="00897127"/>
    <w:rsid w:val="008A0159"/>
    <w:rsid w:val="008A7802"/>
    <w:rsid w:val="008A7B49"/>
    <w:rsid w:val="008B0AEE"/>
    <w:rsid w:val="008B112D"/>
    <w:rsid w:val="008B257C"/>
    <w:rsid w:val="008C1570"/>
    <w:rsid w:val="008C241B"/>
    <w:rsid w:val="008C5D40"/>
    <w:rsid w:val="008C6249"/>
    <w:rsid w:val="008C76D6"/>
    <w:rsid w:val="008D35B9"/>
    <w:rsid w:val="008D5EDA"/>
    <w:rsid w:val="008E0EEF"/>
    <w:rsid w:val="008E7E3F"/>
    <w:rsid w:val="008F09BC"/>
    <w:rsid w:val="008F25FB"/>
    <w:rsid w:val="008F4C40"/>
    <w:rsid w:val="0091007A"/>
    <w:rsid w:val="00915BCF"/>
    <w:rsid w:val="00923CEE"/>
    <w:rsid w:val="00925A0C"/>
    <w:rsid w:val="009273FE"/>
    <w:rsid w:val="00927E5E"/>
    <w:rsid w:val="009311AA"/>
    <w:rsid w:val="0093675B"/>
    <w:rsid w:val="009403C6"/>
    <w:rsid w:val="0094061B"/>
    <w:rsid w:val="0094177B"/>
    <w:rsid w:val="00947024"/>
    <w:rsid w:val="00947F70"/>
    <w:rsid w:val="00953751"/>
    <w:rsid w:val="0095480A"/>
    <w:rsid w:val="00960075"/>
    <w:rsid w:val="009608CD"/>
    <w:rsid w:val="00964419"/>
    <w:rsid w:val="009713EB"/>
    <w:rsid w:val="00972EDF"/>
    <w:rsid w:val="00983579"/>
    <w:rsid w:val="009847B2"/>
    <w:rsid w:val="00984FB9"/>
    <w:rsid w:val="009920C5"/>
    <w:rsid w:val="00993A5B"/>
    <w:rsid w:val="009A08E1"/>
    <w:rsid w:val="009A1751"/>
    <w:rsid w:val="009A5651"/>
    <w:rsid w:val="009A5B5A"/>
    <w:rsid w:val="009A711C"/>
    <w:rsid w:val="009C12AB"/>
    <w:rsid w:val="009D396E"/>
    <w:rsid w:val="009D5249"/>
    <w:rsid w:val="009D595D"/>
    <w:rsid w:val="009D7666"/>
    <w:rsid w:val="009D7F16"/>
    <w:rsid w:val="009E431F"/>
    <w:rsid w:val="009E65C7"/>
    <w:rsid w:val="009E6953"/>
    <w:rsid w:val="009E72B5"/>
    <w:rsid w:val="009F1C7D"/>
    <w:rsid w:val="00A046FE"/>
    <w:rsid w:val="00A150CE"/>
    <w:rsid w:val="00A16ABE"/>
    <w:rsid w:val="00A21B54"/>
    <w:rsid w:val="00A22BFC"/>
    <w:rsid w:val="00A313F0"/>
    <w:rsid w:val="00A34147"/>
    <w:rsid w:val="00A36041"/>
    <w:rsid w:val="00A37065"/>
    <w:rsid w:val="00A43668"/>
    <w:rsid w:val="00A44311"/>
    <w:rsid w:val="00A45162"/>
    <w:rsid w:val="00A563C1"/>
    <w:rsid w:val="00A60BAA"/>
    <w:rsid w:val="00A6470C"/>
    <w:rsid w:val="00A660D7"/>
    <w:rsid w:val="00A66E23"/>
    <w:rsid w:val="00A719D3"/>
    <w:rsid w:val="00A75F45"/>
    <w:rsid w:val="00A82ECD"/>
    <w:rsid w:val="00A92F80"/>
    <w:rsid w:val="00A9585A"/>
    <w:rsid w:val="00A9655D"/>
    <w:rsid w:val="00AA263A"/>
    <w:rsid w:val="00AA3BA5"/>
    <w:rsid w:val="00AA7436"/>
    <w:rsid w:val="00AB31CF"/>
    <w:rsid w:val="00AB7E1C"/>
    <w:rsid w:val="00AC4AA2"/>
    <w:rsid w:val="00AE3C24"/>
    <w:rsid w:val="00AF05E5"/>
    <w:rsid w:val="00B02855"/>
    <w:rsid w:val="00B02ECE"/>
    <w:rsid w:val="00B05341"/>
    <w:rsid w:val="00B0661B"/>
    <w:rsid w:val="00B10C59"/>
    <w:rsid w:val="00B2218F"/>
    <w:rsid w:val="00B3245E"/>
    <w:rsid w:val="00B37BD7"/>
    <w:rsid w:val="00B446B6"/>
    <w:rsid w:val="00B44784"/>
    <w:rsid w:val="00B572BC"/>
    <w:rsid w:val="00B63A0C"/>
    <w:rsid w:val="00B65650"/>
    <w:rsid w:val="00B67286"/>
    <w:rsid w:val="00B73AC4"/>
    <w:rsid w:val="00B7664A"/>
    <w:rsid w:val="00B804AD"/>
    <w:rsid w:val="00B82355"/>
    <w:rsid w:val="00B8591E"/>
    <w:rsid w:val="00B869CF"/>
    <w:rsid w:val="00B96B7F"/>
    <w:rsid w:val="00BC03F2"/>
    <w:rsid w:val="00BC4E22"/>
    <w:rsid w:val="00BC5968"/>
    <w:rsid w:val="00BC73D5"/>
    <w:rsid w:val="00BC79A3"/>
    <w:rsid w:val="00BD18DF"/>
    <w:rsid w:val="00BD4367"/>
    <w:rsid w:val="00BE0FAD"/>
    <w:rsid w:val="00BE3287"/>
    <w:rsid w:val="00BF28D6"/>
    <w:rsid w:val="00C035E9"/>
    <w:rsid w:val="00C2008A"/>
    <w:rsid w:val="00C2135E"/>
    <w:rsid w:val="00C2328C"/>
    <w:rsid w:val="00C24FFF"/>
    <w:rsid w:val="00C264A3"/>
    <w:rsid w:val="00C31673"/>
    <w:rsid w:val="00C34246"/>
    <w:rsid w:val="00C34BFA"/>
    <w:rsid w:val="00C3795C"/>
    <w:rsid w:val="00C37B84"/>
    <w:rsid w:val="00C42F15"/>
    <w:rsid w:val="00C4372D"/>
    <w:rsid w:val="00C47C6B"/>
    <w:rsid w:val="00C47DAB"/>
    <w:rsid w:val="00C505B8"/>
    <w:rsid w:val="00C7135F"/>
    <w:rsid w:val="00C87FE2"/>
    <w:rsid w:val="00C901F9"/>
    <w:rsid w:val="00C94030"/>
    <w:rsid w:val="00CA1263"/>
    <w:rsid w:val="00CC4E5F"/>
    <w:rsid w:val="00CC541D"/>
    <w:rsid w:val="00CC5D59"/>
    <w:rsid w:val="00CC73E0"/>
    <w:rsid w:val="00CD211C"/>
    <w:rsid w:val="00CD262E"/>
    <w:rsid w:val="00CD6588"/>
    <w:rsid w:val="00CD6AFC"/>
    <w:rsid w:val="00CD6FC3"/>
    <w:rsid w:val="00CD7313"/>
    <w:rsid w:val="00CD7EBA"/>
    <w:rsid w:val="00CE24B5"/>
    <w:rsid w:val="00CE315F"/>
    <w:rsid w:val="00CE61C0"/>
    <w:rsid w:val="00CE7AB6"/>
    <w:rsid w:val="00CF029E"/>
    <w:rsid w:val="00CF2B41"/>
    <w:rsid w:val="00CF35E7"/>
    <w:rsid w:val="00CF4451"/>
    <w:rsid w:val="00CF46CE"/>
    <w:rsid w:val="00CF5A21"/>
    <w:rsid w:val="00CF6C00"/>
    <w:rsid w:val="00D10639"/>
    <w:rsid w:val="00D1197B"/>
    <w:rsid w:val="00D1286B"/>
    <w:rsid w:val="00D1291D"/>
    <w:rsid w:val="00D26885"/>
    <w:rsid w:val="00D26E2A"/>
    <w:rsid w:val="00D271A8"/>
    <w:rsid w:val="00D27BE4"/>
    <w:rsid w:val="00D27EAA"/>
    <w:rsid w:val="00D34663"/>
    <w:rsid w:val="00D3745E"/>
    <w:rsid w:val="00D4115E"/>
    <w:rsid w:val="00D504B6"/>
    <w:rsid w:val="00D50F93"/>
    <w:rsid w:val="00D631A9"/>
    <w:rsid w:val="00D6584A"/>
    <w:rsid w:val="00D70BC8"/>
    <w:rsid w:val="00D7754C"/>
    <w:rsid w:val="00D916B7"/>
    <w:rsid w:val="00D91F02"/>
    <w:rsid w:val="00D93999"/>
    <w:rsid w:val="00D94533"/>
    <w:rsid w:val="00D96D5A"/>
    <w:rsid w:val="00DA2E14"/>
    <w:rsid w:val="00DA506C"/>
    <w:rsid w:val="00DA6E3D"/>
    <w:rsid w:val="00DB16B7"/>
    <w:rsid w:val="00DB18BC"/>
    <w:rsid w:val="00DB2A64"/>
    <w:rsid w:val="00DB3BD0"/>
    <w:rsid w:val="00DB4086"/>
    <w:rsid w:val="00DC0378"/>
    <w:rsid w:val="00DC198E"/>
    <w:rsid w:val="00DC23FE"/>
    <w:rsid w:val="00DC3EBE"/>
    <w:rsid w:val="00DC5A90"/>
    <w:rsid w:val="00DC6136"/>
    <w:rsid w:val="00DD1248"/>
    <w:rsid w:val="00DD1AC6"/>
    <w:rsid w:val="00DD2E40"/>
    <w:rsid w:val="00DD2FC3"/>
    <w:rsid w:val="00DD3C62"/>
    <w:rsid w:val="00DD646D"/>
    <w:rsid w:val="00DE5B90"/>
    <w:rsid w:val="00DF1B6D"/>
    <w:rsid w:val="00DF7176"/>
    <w:rsid w:val="00DF768C"/>
    <w:rsid w:val="00E04628"/>
    <w:rsid w:val="00E10512"/>
    <w:rsid w:val="00E20DC4"/>
    <w:rsid w:val="00E2238C"/>
    <w:rsid w:val="00E24ED0"/>
    <w:rsid w:val="00E25C54"/>
    <w:rsid w:val="00E32F7E"/>
    <w:rsid w:val="00E337C5"/>
    <w:rsid w:val="00E34DE5"/>
    <w:rsid w:val="00E441DC"/>
    <w:rsid w:val="00E46C37"/>
    <w:rsid w:val="00E51EC5"/>
    <w:rsid w:val="00E53D23"/>
    <w:rsid w:val="00E541ED"/>
    <w:rsid w:val="00E553BD"/>
    <w:rsid w:val="00E720F9"/>
    <w:rsid w:val="00E8521A"/>
    <w:rsid w:val="00E85AA3"/>
    <w:rsid w:val="00E85D65"/>
    <w:rsid w:val="00E86E90"/>
    <w:rsid w:val="00E968DE"/>
    <w:rsid w:val="00E97DE2"/>
    <w:rsid w:val="00EA7B33"/>
    <w:rsid w:val="00EB1668"/>
    <w:rsid w:val="00EB1BC1"/>
    <w:rsid w:val="00EC6530"/>
    <w:rsid w:val="00ED1FC0"/>
    <w:rsid w:val="00ED4CC0"/>
    <w:rsid w:val="00ED6D93"/>
    <w:rsid w:val="00EE37CF"/>
    <w:rsid w:val="00EE44B0"/>
    <w:rsid w:val="00EE5656"/>
    <w:rsid w:val="00EE71B5"/>
    <w:rsid w:val="00EF5686"/>
    <w:rsid w:val="00EF7FF8"/>
    <w:rsid w:val="00F00D41"/>
    <w:rsid w:val="00F06AA0"/>
    <w:rsid w:val="00F10C3E"/>
    <w:rsid w:val="00F164C3"/>
    <w:rsid w:val="00F17FA0"/>
    <w:rsid w:val="00F21BC6"/>
    <w:rsid w:val="00F24438"/>
    <w:rsid w:val="00F2455D"/>
    <w:rsid w:val="00F251A2"/>
    <w:rsid w:val="00F42638"/>
    <w:rsid w:val="00F54AB0"/>
    <w:rsid w:val="00F7295C"/>
    <w:rsid w:val="00F77444"/>
    <w:rsid w:val="00F82204"/>
    <w:rsid w:val="00F87C6A"/>
    <w:rsid w:val="00F91BB8"/>
    <w:rsid w:val="00F9327F"/>
    <w:rsid w:val="00F938DA"/>
    <w:rsid w:val="00F96C2B"/>
    <w:rsid w:val="00F97556"/>
    <w:rsid w:val="00FA580F"/>
    <w:rsid w:val="00FB0EC6"/>
    <w:rsid w:val="00FC2A56"/>
    <w:rsid w:val="00FC4586"/>
    <w:rsid w:val="00FC4608"/>
    <w:rsid w:val="00FC70C6"/>
    <w:rsid w:val="00FC7A5D"/>
    <w:rsid w:val="00FD018B"/>
    <w:rsid w:val="00FD53F7"/>
    <w:rsid w:val="00FD7F2E"/>
    <w:rsid w:val="00FE509A"/>
    <w:rsid w:val="00FE5DC3"/>
    <w:rsid w:val="00FF1177"/>
    <w:rsid w:val="00FF1CC3"/>
    <w:rsid w:val="00FF4CB4"/>
    <w:rsid w:val="00FF5143"/>
    <w:rsid w:val="00FF5683"/>
    <w:rsid w:val="01825D65"/>
    <w:rsid w:val="024D63D8"/>
    <w:rsid w:val="03EA15C2"/>
    <w:rsid w:val="05074704"/>
    <w:rsid w:val="057B354B"/>
    <w:rsid w:val="06063668"/>
    <w:rsid w:val="062A2FBF"/>
    <w:rsid w:val="06C90EA4"/>
    <w:rsid w:val="08D412D3"/>
    <w:rsid w:val="09A368EE"/>
    <w:rsid w:val="0A582101"/>
    <w:rsid w:val="10E64FA4"/>
    <w:rsid w:val="13464CFF"/>
    <w:rsid w:val="156C482A"/>
    <w:rsid w:val="17873035"/>
    <w:rsid w:val="17B353A0"/>
    <w:rsid w:val="1E8112E5"/>
    <w:rsid w:val="1EA31AA7"/>
    <w:rsid w:val="1EC1311C"/>
    <w:rsid w:val="1F1F47D2"/>
    <w:rsid w:val="203F2A24"/>
    <w:rsid w:val="208C1D93"/>
    <w:rsid w:val="21FD24F1"/>
    <w:rsid w:val="23007671"/>
    <w:rsid w:val="23BE10D0"/>
    <w:rsid w:val="2439372E"/>
    <w:rsid w:val="25B13ECB"/>
    <w:rsid w:val="25D57056"/>
    <w:rsid w:val="279B317D"/>
    <w:rsid w:val="28D35F51"/>
    <w:rsid w:val="2B5B3B51"/>
    <w:rsid w:val="2BA714D8"/>
    <w:rsid w:val="2C012EC5"/>
    <w:rsid w:val="2C635DC2"/>
    <w:rsid w:val="2CD75698"/>
    <w:rsid w:val="2EA73773"/>
    <w:rsid w:val="33813D07"/>
    <w:rsid w:val="33BC3DF7"/>
    <w:rsid w:val="33F73B97"/>
    <w:rsid w:val="35DB3970"/>
    <w:rsid w:val="36ED49BA"/>
    <w:rsid w:val="3C4B07BF"/>
    <w:rsid w:val="3C82028A"/>
    <w:rsid w:val="3F01064F"/>
    <w:rsid w:val="3F4848BC"/>
    <w:rsid w:val="404B2C3C"/>
    <w:rsid w:val="409750A3"/>
    <w:rsid w:val="421B1247"/>
    <w:rsid w:val="42D5675A"/>
    <w:rsid w:val="43296D4C"/>
    <w:rsid w:val="44707CD3"/>
    <w:rsid w:val="464A19B1"/>
    <w:rsid w:val="466E5A81"/>
    <w:rsid w:val="49A54327"/>
    <w:rsid w:val="4C1E4B6B"/>
    <w:rsid w:val="4C480673"/>
    <w:rsid w:val="4F004D7D"/>
    <w:rsid w:val="50AA04D1"/>
    <w:rsid w:val="537D225C"/>
    <w:rsid w:val="53BE2216"/>
    <w:rsid w:val="53FC735A"/>
    <w:rsid w:val="553523A8"/>
    <w:rsid w:val="5B1F0BB5"/>
    <w:rsid w:val="5C4B61DA"/>
    <w:rsid w:val="5CAE3B9E"/>
    <w:rsid w:val="5D73605D"/>
    <w:rsid w:val="5F842FAD"/>
    <w:rsid w:val="60607234"/>
    <w:rsid w:val="60DC2489"/>
    <w:rsid w:val="615D776E"/>
    <w:rsid w:val="62A27B5F"/>
    <w:rsid w:val="63250FF2"/>
    <w:rsid w:val="632D7F14"/>
    <w:rsid w:val="642B11B3"/>
    <w:rsid w:val="645F188D"/>
    <w:rsid w:val="65186307"/>
    <w:rsid w:val="66092B9F"/>
    <w:rsid w:val="665553D9"/>
    <w:rsid w:val="66620059"/>
    <w:rsid w:val="68D42E51"/>
    <w:rsid w:val="6A0B74A4"/>
    <w:rsid w:val="6A1D2A23"/>
    <w:rsid w:val="6A3D240C"/>
    <w:rsid w:val="6B9664C0"/>
    <w:rsid w:val="6C995C66"/>
    <w:rsid w:val="6EAB3F30"/>
    <w:rsid w:val="70371048"/>
    <w:rsid w:val="717E6595"/>
    <w:rsid w:val="72B26E4A"/>
    <w:rsid w:val="73E20523"/>
    <w:rsid w:val="757D07F4"/>
    <w:rsid w:val="768205BA"/>
    <w:rsid w:val="7731469C"/>
    <w:rsid w:val="7819078C"/>
    <w:rsid w:val="78735A1C"/>
    <w:rsid w:val="78E34033"/>
    <w:rsid w:val="7E540005"/>
    <w:rsid w:val="7E5A0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2"/>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4">
    <w:name w:val="heading 2"/>
    <w:basedOn w:val="1"/>
    <w:next w:val="1"/>
    <w:link w:val="33"/>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5">
    <w:name w:val="heading 3"/>
    <w:basedOn w:val="1"/>
    <w:next w:val="1"/>
    <w:link w:val="34"/>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6">
    <w:name w:val="heading 4"/>
    <w:basedOn w:val="1"/>
    <w:next w:val="1"/>
    <w:link w:val="35"/>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rPr>
      <w:rFonts w:ascii="Arial" w:hAnsi="Arial"/>
      <w:sz w:val="24"/>
      <w:szCs w:val="20"/>
    </w:rPr>
  </w:style>
  <w:style w:type="paragraph" w:styleId="7">
    <w:name w:val="table of authorities"/>
    <w:basedOn w:val="1"/>
    <w:next w:val="1"/>
    <w:qFormat/>
    <w:uiPriority w:val="0"/>
    <w:pPr>
      <w:ind w:left="420" w:leftChars="200"/>
    </w:pPr>
  </w:style>
  <w:style w:type="paragraph" w:styleId="8">
    <w:name w:val="Normal Indent"/>
    <w:basedOn w:val="1"/>
    <w:qFormat/>
    <w:uiPriority w:val="0"/>
    <w:pPr>
      <w:ind w:firstLine="425"/>
    </w:pPr>
    <w:rPr>
      <w:rFonts w:ascii="Times New Roman" w:hAnsi="Times New Roman" w:eastAsia="宋体" w:cs="Times New Roman"/>
      <w:szCs w:val="20"/>
    </w:rPr>
  </w:style>
  <w:style w:type="paragraph" w:styleId="9">
    <w:name w:val="caption"/>
    <w:basedOn w:val="1"/>
    <w:next w:val="1"/>
    <w:qFormat/>
    <w:uiPriority w:val="0"/>
    <w:rPr>
      <w:rFonts w:ascii="Arial" w:hAnsi="Arial" w:eastAsia="黑体" w:cs="Arial"/>
      <w:sz w:val="20"/>
      <w:szCs w:val="20"/>
    </w:rPr>
  </w:style>
  <w:style w:type="paragraph" w:styleId="10">
    <w:name w:val="annotation text"/>
    <w:basedOn w:val="1"/>
    <w:unhideWhenUsed/>
    <w:qFormat/>
    <w:uiPriority w:val="0"/>
    <w:pPr>
      <w:widowControl w:val="0"/>
      <w:jc w:val="left"/>
    </w:pPr>
    <w:rPr>
      <w:rFonts w:ascii="Calibri" w:hAnsi="Calibri" w:eastAsia="宋体" w:cs="Times New Roman"/>
      <w:sz w:val="20"/>
    </w:rPr>
  </w:style>
  <w:style w:type="paragraph" w:styleId="11">
    <w:name w:val="Body Text 3"/>
    <w:basedOn w:val="1"/>
    <w:link w:val="51"/>
    <w:qFormat/>
    <w:uiPriority w:val="0"/>
    <w:rPr>
      <w:rFonts w:ascii="Times New Roman" w:hAnsi="Times New Roman" w:eastAsia="宋体" w:cs="Times New Roman"/>
      <w:color w:val="FF0000"/>
      <w:sz w:val="24"/>
      <w:szCs w:val="24"/>
    </w:rPr>
  </w:style>
  <w:style w:type="paragraph" w:styleId="12">
    <w:name w:val="Body Text"/>
    <w:basedOn w:val="1"/>
    <w:link w:val="55"/>
    <w:semiHidden/>
    <w:unhideWhenUsed/>
    <w:qFormat/>
    <w:uiPriority w:val="99"/>
    <w:pPr>
      <w:spacing w:after="120"/>
    </w:pPr>
  </w:style>
  <w:style w:type="paragraph" w:styleId="13">
    <w:name w:val="Body Text Indent"/>
    <w:basedOn w:val="1"/>
    <w:link w:val="59"/>
    <w:qFormat/>
    <w:uiPriority w:val="0"/>
    <w:pPr>
      <w:adjustRightInd w:val="0"/>
      <w:spacing w:after="120" w:line="360" w:lineRule="atLeast"/>
      <w:ind w:left="420" w:leftChars="200"/>
      <w:jc w:val="left"/>
      <w:textAlignment w:val="baseline"/>
    </w:pPr>
    <w:rPr>
      <w:sz w:val="24"/>
    </w:rPr>
  </w:style>
  <w:style w:type="paragraph" w:styleId="14">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5">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6">
    <w:name w:val="Plain Text"/>
    <w:basedOn w:val="1"/>
    <w:link w:val="36"/>
    <w:qFormat/>
    <w:uiPriority w:val="0"/>
    <w:rPr>
      <w:rFonts w:eastAsia="宋体"/>
      <w:sz w:val="24"/>
    </w:rPr>
  </w:style>
  <w:style w:type="paragraph" w:styleId="17">
    <w:name w:val="Date"/>
    <w:basedOn w:val="1"/>
    <w:next w:val="1"/>
    <w:link w:val="37"/>
    <w:unhideWhenUsed/>
    <w:qFormat/>
    <w:uiPriority w:val="99"/>
    <w:pPr>
      <w:ind w:left="100" w:leftChars="2500"/>
    </w:pPr>
  </w:style>
  <w:style w:type="paragraph" w:styleId="18">
    <w:name w:val="Balloon Text"/>
    <w:basedOn w:val="1"/>
    <w:link w:val="61"/>
    <w:semiHidden/>
    <w:unhideWhenUsed/>
    <w:qFormat/>
    <w:uiPriority w:val="99"/>
    <w:rPr>
      <w:sz w:val="18"/>
      <w:szCs w:val="18"/>
    </w:rPr>
  </w:style>
  <w:style w:type="paragraph" w:styleId="19">
    <w:name w:val="footer"/>
    <w:basedOn w:val="1"/>
    <w:link w:val="38"/>
    <w:unhideWhenUsed/>
    <w:qFormat/>
    <w:uiPriority w:val="99"/>
    <w:pPr>
      <w:tabs>
        <w:tab w:val="center" w:pos="4153"/>
        <w:tab w:val="right" w:pos="8306"/>
      </w:tabs>
      <w:snapToGrid w:val="0"/>
      <w:jc w:val="left"/>
    </w:pPr>
    <w:rPr>
      <w:sz w:val="18"/>
      <w:szCs w:val="18"/>
    </w:rPr>
  </w:style>
  <w:style w:type="paragraph" w:styleId="20">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2">
    <w:name w:val="HTML Preformatted"/>
    <w:basedOn w:val="1"/>
    <w:link w:val="57"/>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3">
    <w:name w:val="Normal (Web)"/>
    <w:basedOn w:val="1"/>
    <w:qFormat/>
    <w:uiPriority w:val="99"/>
    <w:rPr>
      <w:rFonts w:ascii="Calibri" w:hAnsi="Calibri" w:eastAsia="宋体" w:cs="Times New Roman"/>
      <w:sz w:val="24"/>
      <w:szCs w:val="24"/>
    </w:rPr>
  </w:style>
  <w:style w:type="paragraph" w:styleId="24">
    <w:name w:val="Body Text First Indent"/>
    <w:basedOn w:val="12"/>
    <w:next w:val="1"/>
    <w:link w:val="56"/>
    <w:qFormat/>
    <w:uiPriority w:val="0"/>
    <w:pPr>
      <w:ind w:firstLine="420" w:firstLineChars="100"/>
    </w:pPr>
    <w:rPr>
      <w:rFonts w:ascii="宋体" w:hAnsi="Times New Roman" w:eastAsia="宋体" w:cs="Times New Roman"/>
      <w:kern w:val="0"/>
      <w:sz w:val="34"/>
      <w:szCs w:val="20"/>
    </w:rPr>
  </w:style>
  <w:style w:type="character" w:styleId="27">
    <w:name w:val="Strong"/>
    <w:basedOn w:val="26"/>
    <w:qFormat/>
    <w:uiPriority w:val="22"/>
    <w:rPr>
      <w:b/>
      <w:bCs/>
    </w:rPr>
  </w:style>
  <w:style w:type="character" w:styleId="28">
    <w:name w:val="FollowedHyperlink"/>
    <w:basedOn w:val="26"/>
    <w:semiHidden/>
    <w:unhideWhenUsed/>
    <w:qFormat/>
    <w:uiPriority w:val="99"/>
    <w:rPr>
      <w:color w:val="800080" w:themeColor="followedHyperlink"/>
      <w:u w:val="single"/>
      <w14:textFill>
        <w14:solidFill>
          <w14:schemeClr w14:val="folHlink"/>
        </w14:solidFill>
      </w14:textFill>
    </w:rPr>
  </w:style>
  <w:style w:type="character" w:styleId="29">
    <w:name w:val="Emphasis"/>
    <w:basedOn w:val="26"/>
    <w:qFormat/>
    <w:uiPriority w:val="20"/>
  </w:style>
  <w:style w:type="character" w:styleId="30">
    <w:name w:val="Hyperlink"/>
    <w:basedOn w:val="26"/>
    <w:unhideWhenUsed/>
    <w:qFormat/>
    <w:uiPriority w:val="99"/>
    <w:rPr>
      <w:color w:val="000000"/>
      <w:u w:val="none"/>
    </w:rPr>
  </w:style>
  <w:style w:type="character" w:styleId="31">
    <w:name w:val="annotation reference"/>
    <w:basedOn w:val="26"/>
    <w:unhideWhenUsed/>
    <w:qFormat/>
    <w:uiPriority w:val="0"/>
    <w:rPr>
      <w:sz w:val="21"/>
      <w:szCs w:val="21"/>
    </w:rPr>
  </w:style>
  <w:style w:type="character" w:customStyle="1" w:styleId="32">
    <w:name w:val="标题 1 Char"/>
    <w:basedOn w:val="26"/>
    <w:link w:val="3"/>
    <w:qFormat/>
    <w:uiPriority w:val="0"/>
    <w:rPr>
      <w:rFonts w:ascii="Calibri" w:hAnsi="Calibri" w:eastAsia="宋体" w:cs="Times New Roman"/>
      <w:b/>
      <w:bCs/>
      <w:kern w:val="44"/>
      <w:sz w:val="44"/>
      <w:szCs w:val="44"/>
    </w:rPr>
  </w:style>
  <w:style w:type="character" w:customStyle="1" w:styleId="33">
    <w:name w:val="标题 2 Char"/>
    <w:basedOn w:val="26"/>
    <w:link w:val="4"/>
    <w:qFormat/>
    <w:uiPriority w:val="0"/>
    <w:rPr>
      <w:rFonts w:ascii="Arial" w:hAnsi="Arial" w:eastAsia="黑体" w:cs="Times New Roman"/>
      <w:b/>
      <w:bCs/>
      <w:kern w:val="0"/>
      <w:sz w:val="32"/>
      <w:szCs w:val="32"/>
    </w:rPr>
  </w:style>
  <w:style w:type="character" w:customStyle="1" w:styleId="34">
    <w:name w:val="标题 3 Char"/>
    <w:basedOn w:val="26"/>
    <w:link w:val="5"/>
    <w:qFormat/>
    <w:uiPriority w:val="0"/>
    <w:rPr>
      <w:rFonts w:ascii="宋体" w:hAnsi="宋体" w:eastAsia="宋体" w:cs="Times New Roman"/>
      <w:b/>
      <w:color w:val="000000"/>
      <w:kern w:val="0"/>
      <w:sz w:val="24"/>
      <w:szCs w:val="20"/>
      <w:lang w:val="en-GB"/>
    </w:rPr>
  </w:style>
  <w:style w:type="character" w:customStyle="1" w:styleId="35">
    <w:name w:val="标题 4 Char"/>
    <w:basedOn w:val="26"/>
    <w:link w:val="6"/>
    <w:qFormat/>
    <w:uiPriority w:val="0"/>
    <w:rPr>
      <w:rFonts w:ascii="Arial" w:hAnsi="Arial" w:eastAsia="黑体" w:cs="Times New Roman"/>
      <w:b/>
      <w:bCs/>
      <w:kern w:val="0"/>
      <w:sz w:val="28"/>
      <w:szCs w:val="28"/>
    </w:rPr>
  </w:style>
  <w:style w:type="character" w:customStyle="1" w:styleId="36">
    <w:name w:val="纯文本 Char"/>
    <w:basedOn w:val="26"/>
    <w:link w:val="16"/>
    <w:qFormat/>
    <w:uiPriority w:val="0"/>
    <w:rPr>
      <w:rFonts w:eastAsia="宋体"/>
      <w:sz w:val="24"/>
    </w:rPr>
  </w:style>
  <w:style w:type="character" w:customStyle="1" w:styleId="37">
    <w:name w:val="日期 Char"/>
    <w:basedOn w:val="26"/>
    <w:link w:val="17"/>
    <w:qFormat/>
    <w:uiPriority w:val="99"/>
  </w:style>
  <w:style w:type="character" w:customStyle="1" w:styleId="38">
    <w:name w:val="页脚 Char"/>
    <w:basedOn w:val="26"/>
    <w:link w:val="19"/>
    <w:qFormat/>
    <w:uiPriority w:val="99"/>
    <w:rPr>
      <w:sz w:val="18"/>
      <w:szCs w:val="18"/>
    </w:rPr>
  </w:style>
  <w:style w:type="character" w:customStyle="1" w:styleId="39">
    <w:name w:val="页眉 Char"/>
    <w:basedOn w:val="26"/>
    <w:link w:val="20"/>
    <w:qFormat/>
    <w:uiPriority w:val="99"/>
    <w:rPr>
      <w:sz w:val="18"/>
      <w:szCs w:val="18"/>
    </w:rPr>
  </w:style>
  <w:style w:type="character" w:customStyle="1" w:styleId="40">
    <w:name w:val="纯文本 Char1"/>
    <w:qFormat/>
    <w:uiPriority w:val="0"/>
    <w:rPr>
      <w:rFonts w:eastAsia="宋体"/>
      <w:sz w:val="24"/>
    </w:rPr>
  </w:style>
  <w:style w:type="paragraph" w:customStyle="1" w:styleId="41">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2">
    <w:name w:val="列出段落1"/>
    <w:basedOn w:val="1"/>
    <w:qFormat/>
    <w:uiPriority w:val="34"/>
    <w:pPr>
      <w:ind w:firstLine="420" w:firstLineChars="200"/>
    </w:pPr>
  </w:style>
  <w:style w:type="paragraph" w:styleId="43">
    <w:name w:val="List Paragraph"/>
    <w:basedOn w:val="1"/>
    <w:unhideWhenUsed/>
    <w:qFormat/>
    <w:uiPriority w:val="99"/>
    <w:pPr>
      <w:ind w:firstLine="420" w:firstLineChars="200"/>
    </w:pPr>
  </w:style>
  <w:style w:type="character" w:customStyle="1" w:styleId="44">
    <w:name w:val="正文文本缩进 Char Char"/>
    <w:link w:val="45"/>
    <w:qFormat/>
    <w:uiPriority w:val="0"/>
    <w:rPr>
      <w:rFonts w:ascii="宋体"/>
      <w:sz w:val="24"/>
    </w:rPr>
  </w:style>
  <w:style w:type="paragraph" w:customStyle="1" w:styleId="45">
    <w:name w:val="正文文本缩进1"/>
    <w:basedOn w:val="1"/>
    <w:link w:val="44"/>
    <w:qFormat/>
    <w:uiPriority w:val="0"/>
    <w:pPr>
      <w:spacing w:line="360" w:lineRule="auto"/>
      <w:ind w:firstLine="480" w:firstLineChars="200"/>
    </w:pPr>
    <w:rPr>
      <w:rFonts w:ascii="宋体"/>
      <w:sz w:val="24"/>
    </w:rPr>
  </w:style>
  <w:style w:type="character" w:customStyle="1" w:styleId="46">
    <w:name w:val="日期 Char Char"/>
    <w:link w:val="47"/>
    <w:qFormat/>
    <w:uiPriority w:val="0"/>
    <w:rPr>
      <w:sz w:val="24"/>
    </w:rPr>
  </w:style>
  <w:style w:type="paragraph" w:customStyle="1" w:styleId="47">
    <w:name w:val="日期1"/>
    <w:basedOn w:val="1"/>
    <w:next w:val="1"/>
    <w:link w:val="46"/>
    <w:qFormat/>
    <w:uiPriority w:val="0"/>
    <w:rPr>
      <w:sz w:val="24"/>
    </w:rPr>
  </w:style>
  <w:style w:type="paragraph" w:customStyle="1" w:styleId="48">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49">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0">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1">
    <w:name w:val="正文文本 3 Char"/>
    <w:basedOn w:val="26"/>
    <w:link w:val="11"/>
    <w:qFormat/>
    <w:uiPriority w:val="0"/>
    <w:rPr>
      <w:rFonts w:ascii="Times New Roman" w:hAnsi="Times New Roman" w:eastAsia="宋体" w:cs="Times New Roman"/>
      <w:color w:val="FF0000"/>
      <w:sz w:val="24"/>
      <w:szCs w:val="24"/>
    </w:rPr>
  </w:style>
  <w:style w:type="character" w:customStyle="1" w:styleId="52">
    <w:name w:val="edittexttarea"/>
    <w:basedOn w:val="26"/>
    <w:qFormat/>
    <w:uiPriority w:val="0"/>
  </w:style>
  <w:style w:type="paragraph" w:customStyle="1" w:styleId="53">
    <w:name w:val="样式 标题 1 + 四号 居中 段前: 12 磅 段后: 12 磅 行距: 单倍行距"/>
    <w:basedOn w:val="3"/>
    <w:qFormat/>
    <w:uiPriority w:val="0"/>
    <w:pPr>
      <w:spacing w:before="240" w:after="240" w:line="240" w:lineRule="auto"/>
      <w:ind w:left="-288"/>
      <w:jc w:val="center"/>
    </w:pPr>
    <w:rPr>
      <w:rFonts w:cs="宋体"/>
      <w:sz w:val="28"/>
      <w:szCs w:val="20"/>
    </w:rPr>
  </w:style>
  <w:style w:type="paragraph" w:customStyle="1" w:styleId="54">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5">
    <w:name w:val="正文文本 Char"/>
    <w:basedOn w:val="26"/>
    <w:link w:val="12"/>
    <w:semiHidden/>
    <w:qFormat/>
    <w:uiPriority w:val="99"/>
  </w:style>
  <w:style w:type="character" w:customStyle="1" w:styleId="56">
    <w:name w:val="正文首行缩进 Char"/>
    <w:basedOn w:val="55"/>
    <w:link w:val="24"/>
    <w:qFormat/>
    <w:uiPriority w:val="0"/>
    <w:rPr>
      <w:rFonts w:ascii="宋体" w:hAnsi="Times New Roman" w:eastAsia="宋体" w:cs="Times New Roman"/>
      <w:kern w:val="0"/>
      <w:sz w:val="34"/>
      <w:szCs w:val="20"/>
    </w:rPr>
  </w:style>
  <w:style w:type="character" w:customStyle="1" w:styleId="57">
    <w:name w:val="HTML 预设格式 Char"/>
    <w:basedOn w:val="26"/>
    <w:link w:val="22"/>
    <w:semiHidden/>
    <w:qFormat/>
    <w:uiPriority w:val="99"/>
    <w:rPr>
      <w:rFonts w:ascii="宋体" w:hAnsi="宋体" w:eastAsia="宋体" w:cs="宋体"/>
      <w:kern w:val="0"/>
      <w:sz w:val="24"/>
      <w:szCs w:val="24"/>
    </w:rPr>
  </w:style>
  <w:style w:type="character" w:customStyle="1" w:styleId="58">
    <w:name w:val="正文文本缩进 Char"/>
    <w:link w:val="13"/>
    <w:qFormat/>
    <w:uiPriority w:val="0"/>
    <w:rPr>
      <w:sz w:val="24"/>
    </w:rPr>
  </w:style>
  <w:style w:type="character" w:customStyle="1" w:styleId="59">
    <w:name w:val="正文文本缩进 Char1"/>
    <w:basedOn w:val="26"/>
    <w:link w:val="13"/>
    <w:semiHidden/>
    <w:qFormat/>
    <w:uiPriority w:val="99"/>
  </w:style>
  <w:style w:type="character" w:styleId="60">
    <w:name w:val="Placeholder Text"/>
    <w:basedOn w:val="26"/>
    <w:semiHidden/>
    <w:qFormat/>
    <w:uiPriority w:val="99"/>
    <w:rPr>
      <w:color w:val="808080"/>
    </w:rPr>
  </w:style>
  <w:style w:type="character" w:customStyle="1" w:styleId="61">
    <w:name w:val="批注框文本 Char"/>
    <w:basedOn w:val="26"/>
    <w:link w:val="18"/>
    <w:semiHidden/>
    <w:qFormat/>
    <w:uiPriority w:val="99"/>
    <w:rPr>
      <w:sz w:val="18"/>
      <w:szCs w:val="18"/>
    </w:rPr>
  </w:style>
  <w:style w:type="character" w:customStyle="1" w:styleId="62">
    <w:name w:val="blue"/>
    <w:basedOn w:val="26"/>
    <w:qFormat/>
    <w:uiPriority w:val="0"/>
    <w:rPr>
      <w:color w:val="0371C6"/>
      <w:sz w:val="21"/>
      <w:szCs w:val="21"/>
    </w:rPr>
  </w:style>
  <w:style w:type="character" w:customStyle="1" w:styleId="63">
    <w:name w:val="green"/>
    <w:basedOn w:val="26"/>
    <w:qFormat/>
    <w:uiPriority w:val="0"/>
    <w:rPr>
      <w:color w:val="66AE00"/>
      <w:sz w:val="18"/>
      <w:szCs w:val="18"/>
    </w:rPr>
  </w:style>
  <w:style w:type="character" w:customStyle="1" w:styleId="64">
    <w:name w:val="green1"/>
    <w:basedOn w:val="26"/>
    <w:qFormat/>
    <w:uiPriority w:val="0"/>
    <w:rPr>
      <w:color w:val="66AE00"/>
      <w:sz w:val="18"/>
      <w:szCs w:val="18"/>
    </w:rPr>
  </w:style>
  <w:style w:type="character" w:customStyle="1" w:styleId="65">
    <w:name w:val="red"/>
    <w:basedOn w:val="26"/>
    <w:qFormat/>
    <w:uiPriority w:val="0"/>
    <w:rPr>
      <w:color w:val="FF0000"/>
      <w:sz w:val="18"/>
      <w:szCs w:val="18"/>
    </w:rPr>
  </w:style>
  <w:style w:type="character" w:customStyle="1" w:styleId="66">
    <w:name w:val="red1"/>
    <w:basedOn w:val="26"/>
    <w:qFormat/>
    <w:uiPriority w:val="0"/>
    <w:rPr>
      <w:color w:val="FF0000"/>
      <w:sz w:val="18"/>
      <w:szCs w:val="18"/>
    </w:rPr>
  </w:style>
  <w:style w:type="character" w:customStyle="1" w:styleId="67">
    <w:name w:val="red2"/>
    <w:basedOn w:val="26"/>
    <w:qFormat/>
    <w:uiPriority w:val="0"/>
    <w:rPr>
      <w:color w:val="CC0000"/>
    </w:rPr>
  </w:style>
  <w:style w:type="character" w:customStyle="1" w:styleId="68">
    <w:name w:val="red3"/>
    <w:basedOn w:val="26"/>
    <w:qFormat/>
    <w:uiPriority w:val="0"/>
    <w:rPr>
      <w:color w:val="FF0000"/>
    </w:rPr>
  </w:style>
  <w:style w:type="character" w:customStyle="1" w:styleId="69">
    <w:name w:val="hover25"/>
    <w:basedOn w:val="26"/>
    <w:qFormat/>
    <w:uiPriority w:val="0"/>
  </w:style>
  <w:style w:type="character" w:customStyle="1" w:styleId="70">
    <w:name w:val="gb-jt"/>
    <w:basedOn w:val="26"/>
    <w:qFormat/>
    <w:uiPriority w:val="0"/>
  </w:style>
  <w:style w:type="character" w:customStyle="1" w:styleId="71">
    <w:name w:val="right"/>
    <w:basedOn w:val="26"/>
    <w:qFormat/>
    <w:uiPriority w:val="0"/>
    <w:rPr>
      <w:color w:val="999999"/>
      <w:sz w:val="18"/>
      <w:szCs w:val="18"/>
    </w:rPr>
  </w:style>
  <w:style w:type="paragraph" w:customStyle="1" w:styleId="72">
    <w:name w:val="Table Paragraph"/>
    <w:basedOn w:val="1"/>
    <w:qFormat/>
    <w:uiPriority w:val="1"/>
  </w:style>
  <w:style w:type="character" w:customStyle="1" w:styleId="73">
    <w:name w:val="font22"/>
    <w:basedOn w:val="26"/>
    <w:qFormat/>
    <w:uiPriority w:val="0"/>
    <w:rPr>
      <w:rFonts w:hint="eastAsia" w:ascii="宋体" w:hAnsi="宋体" w:eastAsia="宋体" w:cs="宋体"/>
      <w:color w:val="000000"/>
      <w:sz w:val="22"/>
      <w:szCs w:val="22"/>
      <w:u w:val="none"/>
    </w:rPr>
  </w:style>
  <w:style w:type="paragraph" w:customStyle="1" w:styleId="74">
    <w:name w:val="p0"/>
    <w:basedOn w:val="1"/>
    <w:qFormat/>
    <w:uiPriority w:val="0"/>
    <w:pPr>
      <w:widowControl/>
    </w:pPr>
    <w:rPr>
      <w:rFonts w:ascii="Times New Roman" w:hAnsi="Times New Roman" w:eastAsia="宋体" w:cs="Times New Roman"/>
      <w:kern w:val="0"/>
      <w:szCs w:val="21"/>
    </w:rPr>
  </w:style>
  <w:style w:type="character" w:customStyle="1" w:styleId="75">
    <w:name w:val="font71"/>
    <w:basedOn w:val="26"/>
    <w:qFormat/>
    <w:uiPriority w:val="0"/>
    <w:rPr>
      <w:rFonts w:hint="eastAsia" w:ascii="宋体" w:hAnsi="宋体" w:eastAsia="宋体" w:cs="宋体"/>
      <w:color w:val="FF0000"/>
      <w:sz w:val="24"/>
      <w:szCs w:val="24"/>
      <w:u w:val="none"/>
    </w:rPr>
  </w:style>
  <w:style w:type="character" w:customStyle="1" w:styleId="76">
    <w:name w:val="font01"/>
    <w:basedOn w:val="26"/>
    <w:qFormat/>
    <w:uiPriority w:val="0"/>
    <w:rPr>
      <w:rFonts w:hint="eastAsia" w:ascii="宋体" w:hAnsi="宋体" w:eastAsia="宋体" w:cs="宋体"/>
      <w:b/>
      <w:color w:val="000000"/>
      <w:sz w:val="24"/>
      <w:szCs w:val="24"/>
      <w:u w:val="none"/>
    </w:rPr>
  </w:style>
  <w:style w:type="character" w:customStyle="1" w:styleId="77">
    <w:name w:val="hover"/>
    <w:basedOn w:val="26"/>
    <w:qFormat/>
    <w:uiPriority w:val="0"/>
  </w:style>
  <w:style w:type="character" w:customStyle="1" w:styleId="78">
    <w:name w:val="hover24"/>
    <w:basedOn w:val="26"/>
    <w:qFormat/>
    <w:uiPriority w:val="0"/>
  </w:style>
  <w:style w:type="character" w:customStyle="1" w:styleId="79">
    <w:name w:val="font21"/>
    <w:basedOn w:val="26"/>
    <w:qFormat/>
    <w:uiPriority w:val="0"/>
    <w:rPr>
      <w:rFonts w:hint="eastAsia" w:ascii="宋体" w:hAnsi="宋体" w:eastAsia="宋体" w:cs="宋体"/>
      <w:color w:val="000000"/>
      <w:sz w:val="18"/>
      <w:szCs w:val="18"/>
      <w:u w:val="none"/>
    </w:rPr>
  </w:style>
  <w:style w:type="character" w:customStyle="1" w:styleId="80">
    <w:name w:val="font11"/>
    <w:basedOn w:val="26"/>
    <w:qFormat/>
    <w:uiPriority w:val="0"/>
    <w:rPr>
      <w:rFonts w:hint="eastAsia" w:ascii="宋体" w:hAnsi="宋体" w:eastAsia="宋体" w:cs="宋体"/>
      <w:b/>
      <w:color w:val="000000"/>
      <w:sz w:val="18"/>
      <w:szCs w:val="18"/>
      <w:u w:val="none"/>
    </w:rPr>
  </w:style>
  <w:style w:type="character" w:customStyle="1" w:styleId="81">
    <w:name w:val="font51"/>
    <w:basedOn w:val="26"/>
    <w:qFormat/>
    <w:uiPriority w:val="0"/>
    <w:rPr>
      <w:rFonts w:hint="default" w:ascii="Times New Roman" w:hAnsi="Times New Roman" w:cs="Times New Roman"/>
      <w:color w:val="000000"/>
      <w:sz w:val="22"/>
      <w:szCs w:val="22"/>
      <w:u w:val="none"/>
    </w:rPr>
  </w:style>
  <w:style w:type="character" w:customStyle="1" w:styleId="82">
    <w:name w:val="font31"/>
    <w:basedOn w:val="26"/>
    <w:qFormat/>
    <w:uiPriority w:val="0"/>
    <w:rPr>
      <w:rFonts w:hint="eastAsia" w:ascii="宋体" w:hAnsi="宋体" w:eastAsia="宋体" w:cs="宋体"/>
      <w:b/>
      <w:color w:val="000000"/>
      <w:sz w:val="22"/>
      <w:szCs w:val="22"/>
      <w:u w:val="none"/>
    </w:rPr>
  </w:style>
  <w:style w:type="paragraph" w:customStyle="1" w:styleId="83">
    <w:name w:val="Char Char1"/>
    <w:basedOn w:val="1"/>
    <w:qFormat/>
    <w:uiPriority w:val="0"/>
    <w:pPr>
      <w:widowControl w:val="0"/>
    </w:pPr>
    <w:rPr>
      <w:rFonts w:eastAsia="宋体" w:cs="Times New Roman"/>
      <w:kern w:val="2"/>
    </w:rPr>
  </w:style>
  <w:style w:type="character" w:customStyle="1" w:styleId="84">
    <w:name w:val="font41"/>
    <w:basedOn w:val="26"/>
    <w:qFormat/>
    <w:uiPriority w:val="0"/>
    <w:rPr>
      <w:rFonts w:hint="eastAsia" w:ascii="宋体" w:hAnsi="宋体" w:eastAsia="宋体" w:cs="宋体"/>
      <w:b/>
      <w:color w:val="000000"/>
      <w:sz w:val="20"/>
      <w:szCs w:val="20"/>
      <w:u w:val="none"/>
    </w:rPr>
  </w:style>
  <w:style w:type="paragraph" w:customStyle="1" w:styleId="85">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character" w:customStyle="1" w:styleId="86">
    <w:name w:val="apple-converted-space"/>
    <w:basedOn w:val="26"/>
    <w:qFormat/>
    <w:uiPriority w:val="0"/>
  </w:style>
  <w:style w:type="character" w:customStyle="1" w:styleId="87">
    <w:name w:val="font151"/>
    <w:basedOn w:val="26"/>
    <w:qFormat/>
    <w:uiPriority w:val="0"/>
    <w:rPr>
      <w:rFonts w:hint="eastAsia" w:ascii="宋体" w:hAnsi="宋体" w:eastAsia="宋体" w:cs="宋体"/>
      <w:color w:val="000000"/>
      <w:sz w:val="22"/>
      <w:szCs w:val="22"/>
      <w:u w:val="none"/>
    </w:rPr>
  </w:style>
  <w:style w:type="paragraph" w:customStyle="1" w:styleId="8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89">
    <w:name w:val="No Spacing"/>
    <w:qFormat/>
    <w:uiPriority w:val="1"/>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2.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CE1233-BF9C-49C7-BB80-2A68CE5197EF}">
  <ds:schemaRefs/>
</ds:datastoreItem>
</file>

<file path=docProps/app.xml><?xml version="1.0" encoding="utf-8"?>
<Properties xmlns="http://schemas.openxmlformats.org/officeDocument/2006/extended-properties" xmlns:vt="http://schemas.openxmlformats.org/officeDocument/2006/docPropsVTypes">
  <Template>Normal</Template>
  <Pages>68</Pages>
  <Words>5599</Words>
  <Characters>31916</Characters>
  <Lines>265</Lines>
  <Paragraphs>74</Paragraphs>
  <TotalTime>0</TotalTime>
  <ScaleCrop>false</ScaleCrop>
  <LinksUpToDate>false</LinksUpToDate>
  <CharactersWithSpaces>37441</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2019-03-07T06:11:00Z</dcterms:created>
  <dc:creator>许昌市公共资源交易中心:孟莉</dc:creator>
  <cp:lastModifiedBy>湘湘小哥</cp:lastModifiedBy>
  <cp:lastPrinted>2020-03-02T00:13:00Z</cp:lastPrinted>
  <dcterms:modified xsi:type="dcterms:W3CDTF">2020-03-03T08:56:07Z</dcterms:modified>
  <cp:revision>545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