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color w:val="000000"/>
          <w:w w:val="90"/>
          <w:sz w:val="44"/>
          <w:szCs w:val="44"/>
        </w:rPr>
      </w:pPr>
      <w:r>
        <w:rPr>
          <w:rFonts w:hint="eastAsia" w:ascii="黑体" w:hAnsi="黑体" w:eastAsia="黑体" w:cs="黑体"/>
          <w:b/>
          <w:bCs/>
          <w:sz w:val="44"/>
          <w:szCs w:val="44"/>
          <w:lang w:eastAsia="zh-CN"/>
        </w:rPr>
        <w:t>禹州市高级中学教室空调购置安装项目</w:t>
      </w:r>
    </w:p>
    <w:p>
      <w:pPr>
        <w:jc w:val="center"/>
        <w:rPr>
          <w:rFonts w:hint="eastAsia" w:ascii="黑体" w:hAnsi="黑体" w:eastAsia="黑体" w:cs="黑体"/>
          <w:bCs/>
          <w:color w:val="000000"/>
          <w:w w:val="90"/>
          <w:sz w:val="72"/>
          <w:szCs w:val="72"/>
        </w:rPr>
      </w:pPr>
    </w:p>
    <w:p>
      <w:pPr>
        <w:pStyle w:val="2"/>
        <w:rPr>
          <w:rFonts w:hint="eastAsia"/>
        </w:rPr>
      </w:pPr>
    </w:p>
    <w:p>
      <w:pPr>
        <w:jc w:val="center"/>
        <w:rPr>
          <w:rFonts w:hint="eastAsia"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bookmarkStart w:id="9" w:name="_GoBack"/>
      <w:bookmarkEnd w:id="9"/>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采购单位：禹州市</w:t>
      </w:r>
      <w:r>
        <w:rPr>
          <w:rFonts w:hint="eastAsia" w:ascii="仿宋" w:hAnsi="仿宋" w:eastAsia="仿宋" w:cs="仿宋"/>
          <w:b/>
          <w:bCs/>
          <w:color w:val="000000"/>
          <w:sz w:val="32"/>
          <w:szCs w:val="32"/>
          <w:lang w:eastAsia="zh-CN"/>
        </w:rPr>
        <w:t>高级中学</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w:t>
      </w:r>
      <w:r>
        <w:rPr>
          <w:rFonts w:hint="eastAsia" w:ascii="仿宋" w:hAnsi="仿宋" w:eastAsia="仿宋" w:cs="仿宋"/>
          <w:b/>
          <w:bCs/>
          <w:color w:val="000000"/>
          <w:sz w:val="32"/>
          <w:szCs w:val="32"/>
          <w:lang w:val="en-US" w:eastAsia="zh-CN"/>
        </w:rPr>
        <w:t>20047</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二〇二〇年</w:t>
      </w:r>
      <w:r>
        <w:rPr>
          <w:rFonts w:hint="eastAsia" w:ascii="仿宋" w:hAnsi="仿宋" w:eastAsia="仿宋" w:cs="仿宋"/>
          <w:b/>
          <w:bCs/>
          <w:color w:val="000000"/>
          <w:sz w:val="36"/>
          <w:szCs w:val="36"/>
          <w:lang w:eastAsia="zh-CN"/>
        </w:rPr>
        <w:t>三</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rPr>
      </w:pPr>
    </w:p>
    <w:p>
      <w:pPr>
        <w:autoSpaceDE w:val="0"/>
        <w:autoSpaceDN w:val="0"/>
        <w:adjustRightInd w:val="0"/>
        <w:spacing w:line="700" w:lineRule="exact"/>
        <w:ind w:firstLine="3253" w:firstLineChars="900"/>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lang w:eastAsia="zh-CN"/>
        </w:rPr>
        <w:t>第一章</w:t>
      </w:r>
      <w:r>
        <w:rPr>
          <w:rFonts w:hint="eastAsia" w:ascii="宋体" w:hAnsi="宋体" w:cs="宋体"/>
          <w:b/>
          <w:color w:val="000000"/>
          <w:sz w:val="36"/>
          <w:szCs w:val="36"/>
          <w:shd w:val="clear" w:color="auto" w:fill="FFFFFF"/>
          <w:lang w:val="en-US" w:eastAsia="zh-CN"/>
        </w:rPr>
        <w:t xml:space="preserve">   </w:t>
      </w:r>
      <w:r>
        <w:rPr>
          <w:rFonts w:hint="eastAsia" w:ascii="宋体" w:hAnsi="宋体" w:cs="宋体"/>
          <w:b/>
          <w:color w:val="000000"/>
          <w:sz w:val="36"/>
          <w:szCs w:val="36"/>
          <w:shd w:val="clear" w:color="auto" w:fill="FFFFFF"/>
        </w:rPr>
        <w:t>投标邀请</w:t>
      </w:r>
    </w:p>
    <w:p>
      <w:pPr>
        <w:spacing w:line="600" w:lineRule="exact"/>
        <w:jc w:val="both"/>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禹州市高级中学教室空调购置安装项目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
      </w:pPr>
    </w:p>
    <w:p>
      <w:pPr>
        <w:spacing w:line="44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w:t>
      </w:r>
    </w:p>
    <w:p>
      <w:pPr>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禹州市政府采购中心受禹州市</w:t>
      </w:r>
      <w:r>
        <w:rPr>
          <w:rFonts w:hint="eastAsia" w:ascii="仿宋" w:hAnsi="仿宋" w:eastAsia="仿宋" w:cs="仿宋"/>
          <w:sz w:val="24"/>
          <w:szCs w:val="24"/>
          <w:lang w:eastAsia="zh-CN"/>
        </w:rPr>
        <w:t>高级中学</w:t>
      </w:r>
      <w:r>
        <w:rPr>
          <w:rFonts w:hint="eastAsia" w:ascii="仿宋" w:hAnsi="仿宋" w:eastAsia="仿宋" w:cs="仿宋"/>
          <w:sz w:val="24"/>
          <w:szCs w:val="24"/>
        </w:rPr>
        <w:t>的委托，就“禹州市高级中学教室空调购置安装项目”进行</w:t>
      </w:r>
      <w:r>
        <w:rPr>
          <w:rFonts w:hint="eastAsia" w:ascii="仿宋" w:hAnsi="仿宋" w:eastAsia="仿宋" w:cs="仿宋"/>
          <w:sz w:val="24"/>
          <w:szCs w:val="24"/>
          <w:lang w:eastAsia="zh-CN"/>
        </w:rPr>
        <w:t>公开招标</w:t>
      </w:r>
      <w:r>
        <w:rPr>
          <w:rFonts w:hint="eastAsia" w:ascii="仿宋" w:hAnsi="仿宋" w:eastAsia="仿宋" w:cs="仿宋"/>
          <w:sz w:val="24"/>
          <w:szCs w:val="24"/>
        </w:rPr>
        <w:t>，欢迎合格的投标人前来投标。</w:t>
      </w:r>
    </w:p>
    <w:p>
      <w:pPr>
        <w:widowControl/>
        <w:numPr>
          <w:ilvl w:val="0"/>
          <w:numId w:val="4"/>
        </w:numPr>
        <w:shd w:val="clear" w:color="auto" w:fill="FFFFFF"/>
        <w:spacing w:line="440" w:lineRule="exact"/>
        <w:ind w:firstLine="482"/>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numPr>
          <w:ilvl w:val="0"/>
          <w:numId w:val="5"/>
        </w:numPr>
        <w:shd w:val="clear" w:color="auto" w:fill="FFFFFF"/>
        <w:spacing w:line="440" w:lineRule="exact"/>
        <w:ind w:left="481" w:leftChars="0" w:firstLine="0" w:firstLineChars="0"/>
        <w:jc w:val="left"/>
        <w:rPr>
          <w:rFonts w:hint="eastAsia" w:ascii="仿宋" w:hAnsi="仿宋" w:eastAsia="仿宋" w:cs="仿宋"/>
          <w:sz w:val="24"/>
          <w:szCs w:val="24"/>
        </w:rPr>
      </w:pPr>
      <w:r>
        <w:rPr>
          <w:rFonts w:hint="eastAsia" w:ascii="仿宋" w:hAnsi="仿宋" w:eastAsia="仿宋" w:cs="仿宋"/>
          <w:sz w:val="24"/>
          <w:szCs w:val="24"/>
        </w:rPr>
        <w:t>采购人：禹州市</w:t>
      </w:r>
      <w:r>
        <w:rPr>
          <w:rFonts w:hint="eastAsia" w:ascii="仿宋" w:hAnsi="仿宋" w:eastAsia="仿宋" w:cs="仿宋"/>
          <w:sz w:val="24"/>
          <w:szCs w:val="24"/>
          <w:lang w:eastAsia="zh-CN"/>
        </w:rPr>
        <w:t>高级中学</w:t>
      </w:r>
    </w:p>
    <w:p>
      <w:pPr>
        <w:widowControl/>
        <w:numPr>
          <w:ilvl w:val="0"/>
          <w:numId w:val="0"/>
        </w:numPr>
        <w:shd w:val="clear" w:color="auto" w:fill="FFFFFF"/>
        <w:spacing w:line="440" w:lineRule="exact"/>
        <w:ind w:left="481" w:leftChars="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2、项目名称：禹州市高级中学教室空调购置安装项目</w:t>
      </w:r>
    </w:p>
    <w:p>
      <w:pPr>
        <w:widowControl/>
        <w:shd w:val="clear" w:color="auto" w:fill="FFFFFF"/>
        <w:tabs>
          <w:tab w:val="right" w:pos="8498"/>
        </w:tabs>
        <w:spacing w:line="440" w:lineRule="exact"/>
        <w:ind w:firstLine="482"/>
        <w:jc w:val="left"/>
        <w:rPr>
          <w:rFonts w:hint="eastAsia" w:ascii="仿宋" w:hAnsi="仿宋" w:eastAsia="仿宋" w:cs="仿宋"/>
          <w:sz w:val="24"/>
          <w:szCs w:val="24"/>
        </w:rPr>
      </w:pPr>
      <w:r>
        <w:rPr>
          <w:rFonts w:hint="eastAsia" w:ascii="仿宋" w:hAnsi="仿宋" w:eastAsia="仿宋" w:cs="仿宋"/>
          <w:color w:val="000000"/>
          <w:kern w:val="0"/>
          <w:sz w:val="24"/>
          <w:szCs w:val="24"/>
        </w:rPr>
        <w:t>3、采购编号：</w:t>
      </w:r>
      <w:r>
        <w:rPr>
          <w:rFonts w:hint="eastAsia" w:ascii="仿宋" w:hAnsi="仿宋" w:eastAsia="仿宋" w:cs="仿宋"/>
          <w:sz w:val="24"/>
          <w:szCs w:val="24"/>
        </w:rPr>
        <w:t>YZCG-</w:t>
      </w:r>
      <w:r>
        <w:rPr>
          <w:rFonts w:hint="eastAsia" w:ascii="仿宋" w:hAnsi="仿宋" w:eastAsia="仿宋" w:cs="仿宋"/>
          <w:sz w:val="24"/>
          <w:szCs w:val="24"/>
          <w:lang w:val="en-US" w:eastAsia="zh-CN"/>
        </w:rPr>
        <w:t>G</w:t>
      </w:r>
      <w:r>
        <w:rPr>
          <w:rFonts w:hint="eastAsia" w:ascii="仿宋" w:hAnsi="仿宋" w:eastAsia="仿宋" w:cs="仿宋"/>
          <w:sz w:val="24"/>
          <w:szCs w:val="24"/>
        </w:rPr>
        <w:t>20</w:t>
      </w:r>
      <w:r>
        <w:rPr>
          <w:rFonts w:hint="eastAsia" w:ascii="仿宋" w:hAnsi="仿宋" w:eastAsia="仿宋" w:cs="仿宋"/>
          <w:sz w:val="24"/>
          <w:szCs w:val="24"/>
          <w:lang w:val="en-US" w:eastAsia="zh-CN"/>
        </w:rPr>
        <w:t>20047</w:t>
      </w:r>
      <w:r>
        <w:rPr>
          <w:rFonts w:hint="eastAsia" w:ascii="仿宋" w:hAnsi="仿宋" w:eastAsia="仿宋" w:cs="仿宋"/>
          <w:sz w:val="24"/>
          <w:szCs w:val="24"/>
        </w:rPr>
        <w:tab/>
      </w:r>
    </w:p>
    <w:p>
      <w:pPr>
        <w:widowControl/>
        <w:shd w:val="clear" w:color="auto" w:fill="FFFFFF"/>
        <w:spacing w:line="440" w:lineRule="exact"/>
        <w:ind w:firstLine="482"/>
        <w:jc w:val="left"/>
        <w:rPr>
          <w:rFonts w:hint="eastAsia" w:ascii="仿宋" w:hAnsi="仿宋" w:eastAsia="仿宋" w:cs="仿宋"/>
          <w:sz w:val="24"/>
          <w:szCs w:val="24"/>
        </w:rPr>
      </w:pPr>
      <w:r>
        <w:rPr>
          <w:rFonts w:hint="eastAsia" w:ascii="仿宋" w:hAnsi="仿宋" w:eastAsia="仿宋" w:cs="仿宋"/>
          <w:color w:val="000000"/>
          <w:kern w:val="0"/>
          <w:sz w:val="24"/>
          <w:szCs w:val="24"/>
        </w:rPr>
        <w:t>4、项目需求：</w:t>
      </w:r>
      <w:r>
        <w:rPr>
          <w:rFonts w:hint="eastAsia" w:ascii="仿宋" w:hAnsi="仿宋" w:eastAsia="仿宋" w:cs="仿宋"/>
          <w:color w:val="000000"/>
          <w:kern w:val="0"/>
          <w:sz w:val="24"/>
          <w:szCs w:val="24"/>
          <w:lang w:eastAsia="zh-CN"/>
        </w:rPr>
        <w:t>柜式空调</w:t>
      </w:r>
      <w:r>
        <w:rPr>
          <w:rFonts w:hint="eastAsia" w:ascii="仿宋" w:hAnsi="仿宋" w:eastAsia="仿宋" w:cs="仿宋"/>
          <w:color w:val="000000"/>
          <w:kern w:val="0"/>
          <w:sz w:val="24"/>
          <w:szCs w:val="24"/>
          <w:lang w:val="en-US" w:eastAsia="zh-CN"/>
        </w:rPr>
        <w:t xml:space="preserve">  360台</w:t>
      </w:r>
      <w:r>
        <w:rPr>
          <w:rFonts w:hint="eastAsia" w:ascii="仿宋" w:hAnsi="仿宋" w:eastAsia="仿宋" w:cs="仿宋"/>
          <w:sz w:val="24"/>
          <w:szCs w:val="24"/>
        </w:rPr>
        <w:t>（详见</w:t>
      </w:r>
      <w:r>
        <w:rPr>
          <w:rFonts w:hint="eastAsia" w:ascii="仿宋" w:hAnsi="仿宋" w:eastAsia="仿宋" w:cs="仿宋"/>
          <w:sz w:val="24"/>
          <w:szCs w:val="24"/>
          <w:lang w:eastAsia="zh-CN"/>
        </w:rPr>
        <w:t>招标</w:t>
      </w:r>
      <w:r>
        <w:rPr>
          <w:rFonts w:hint="eastAsia" w:ascii="仿宋" w:hAnsi="仿宋" w:eastAsia="仿宋" w:cs="仿宋"/>
          <w:sz w:val="24"/>
          <w:szCs w:val="24"/>
        </w:rPr>
        <w:t>文件）</w:t>
      </w:r>
    </w:p>
    <w:p>
      <w:pPr>
        <w:widowControl/>
        <w:shd w:val="clear" w:color="auto" w:fill="FFFFFF"/>
        <w:spacing w:line="440" w:lineRule="exact"/>
        <w:ind w:firstLine="482"/>
        <w:jc w:val="left"/>
        <w:rPr>
          <w:rFonts w:hint="eastAsia" w:ascii="仿宋" w:hAnsi="仿宋" w:eastAsia="仿宋" w:cs="仿宋"/>
          <w:sz w:val="24"/>
          <w:szCs w:val="24"/>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183.6</w:t>
      </w:r>
      <w:r>
        <w:rPr>
          <w:rFonts w:hint="eastAsia" w:ascii="仿宋" w:hAnsi="仿宋" w:eastAsia="仿宋" w:cs="仿宋"/>
          <w:sz w:val="24"/>
          <w:szCs w:val="24"/>
        </w:rPr>
        <w:t>万元</w:t>
      </w:r>
    </w:p>
    <w:p>
      <w:pPr>
        <w:widowControl/>
        <w:shd w:val="clear" w:color="auto" w:fill="FFFFFF"/>
        <w:spacing w:line="440" w:lineRule="exact"/>
        <w:ind w:firstLine="482"/>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6、最高限价：183.6万元</w:t>
      </w:r>
    </w:p>
    <w:p>
      <w:pPr>
        <w:widowControl/>
        <w:shd w:val="clear" w:color="auto" w:fill="FFFFFF"/>
        <w:spacing w:line="440" w:lineRule="exact"/>
        <w:ind w:firstLine="354" w:firstLineChars="147"/>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4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w:t>
      </w:r>
      <w:r>
        <w:rPr>
          <w:rFonts w:hint="eastAsia" w:ascii="仿宋" w:hAnsi="仿宋" w:eastAsia="仿宋" w:cs="仿宋"/>
          <w:color w:val="000000"/>
          <w:kern w:val="0"/>
          <w:sz w:val="24"/>
          <w:szCs w:val="24"/>
          <w:lang w:eastAsia="zh-CN"/>
        </w:rPr>
        <w:t>招标</w:t>
      </w:r>
      <w:r>
        <w:rPr>
          <w:rFonts w:hint="eastAsia" w:ascii="仿宋" w:hAnsi="仿宋" w:eastAsia="仿宋" w:cs="仿宋"/>
          <w:color w:val="000000"/>
          <w:kern w:val="0"/>
          <w:sz w:val="24"/>
          <w:szCs w:val="24"/>
        </w:rPr>
        <w:t>文件）</w:t>
      </w:r>
    </w:p>
    <w:p>
      <w:pPr>
        <w:widowControl/>
        <w:numPr>
          <w:ilvl w:val="0"/>
          <w:numId w:val="4"/>
        </w:numPr>
        <w:shd w:val="clear" w:color="auto" w:fill="FFFFFF"/>
        <w:spacing w:line="440" w:lineRule="exact"/>
        <w:ind w:firstLine="482"/>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供应商资格要求</w:t>
      </w:r>
    </w:p>
    <w:p>
      <w:pPr>
        <w:widowControl/>
        <w:numPr>
          <w:ilvl w:val="0"/>
          <w:numId w:val="6"/>
        </w:numPr>
        <w:shd w:val="clear" w:color="auto" w:fill="FFFFFF"/>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符合《政府采购法》第二十二条之规定，</w:t>
      </w:r>
      <w:r>
        <w:rPr>
          <w:rFonts w:hint="eastAsia" w:ascii="仿宋" w:hAnsi="仿宋" w:eastAsia="仿宋" w:cs="仿宋"/>
          <w:sz w:val="24"/>
          <w:szCs w:val="24"/>
          <w:lang w:eastAsia="zh-CN"/>
        </w:rPr>
        <w:t>具有</w:t>
      </w:r>
      <w:r>
        <w:rPr>
          <w:rFonts w:hint="eastAsia" w:ascii="仿宋" w:hAnsi="仿宋" w:eastAsia="仿宋" w:cs="仿宋"/>
          <w:sz w:val="24"/>
          <w:szCs w:val="24"/>
        </w:rPr>
        <w:t>相应的经营范围</w:t>
      </w:r>
      <w:r>
        <w:rPr>
          <w:rFonts w:hint="eastAsia" w:ascii="仿宋" w:hAnsi="仿宋" w:eastAsia="仿宋" w:cs="仿宋"/>
          <w:sz w:val="24"/>
          <w:szCs w:val="24"/>
          <w:lang w:eastAsia="zh-CN"/>
        </w:rPr>
        <w:t>（以营业执照为准）</w:t>
      </w:r>
      <w:r>
        <w:rPr>
          <w:rFonts w:hint="eastAsia" w:ascii="仿宋" w:hAnsi="仿宋" w:eastAsia="仿宋" w:cs="仿宋"/>
          <w:sz w:val="24"/>
          <w:szCs w:val="24"/>
        </w:rPr>
        <w:t>；</w:t>
      </w:r>
    </w:p>
    <w:p>
      <w:pPr>
        <w:numPr>
          <w:ilvl w:val="0"/>
          <w:numId w:val="6"/>
        </w:numPr>
        <w:spacing w:line="440" w:lineRule="exact"/>
        <w:ind w:left="0" w:leftChars="0"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被委托人须是本单位职工，须提供公司为本人缴纳社会保险证明</w:t>
      </w:r>
      <w:r>
        <w:rPr>
          <w:rFonts w:hint="eastAsia" w:ascii="仿宋" w:hAnsi="仿宋" w:eastAsia="仿宋" w:cs="仿宋"/>
          <w:sz w:val="24"/>
          <w:szCs w:val="24"/>
          <w:lang w:eastAsia="zh-CN"/>
        </w:rPr>
        <w:t>；</w:t>
      </w:r>
    </w:p>
    <w:p>
      <w:pPr>
        <w:numPr>
          <w:ilvl w:val="0"/>
          <w:numId w:val="0"/>
        </w:numPr>
        <w:spacing w:line="440" w:lineRule="exact"/>
        <w:ind w:firstLine="480" w:firstLineChars="200"/>
        <w:rPr>
          <w:rFonts w:hint="eastAsia" w:ascii="仿宋" w:hAnsi="仿宋" w:eastAsia="仿宋" w:cs="仿宋"/>
          <w:b/>
          <w:color w:val="000000"/>
          <w:kern w:val="0"/>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、本项目不接受联合体投标。</w:t>
      </w:r>
    </w:p>
    <w:p>
      <w:pPr>
        <w:widowControl/>
        <w:shd w:val="clear" w:color="auto" w:fill="FFFFFF"/>
        <w:spacing w:line="440" w:lineRule="exact"/>
        <w:ind w:firstLine="482"/>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四、获取</w:t>
      </w:r>
      <w:r>
        <w:rPr>
          <w:rFonts w:hint="eastAsia" w:ascii="仿宋" w:hAnsi="仿宋" w:eastAsia="仿宋" w:cs="仿宋"/>
          <w:b/>
          <w:color w:val="000000"/>
          <w:kern w:val="0"/>
          <w:sz w:val="24"/>
          <w:szCs w:val="24"/>
          <w:lang w:eastAsia="zh-CN"/>
        </w:rPr>
        <w:t>招标</w:t>
      </w:r>
      <w:r>
        <w:rPr>
          <w:rFonts w:hint="eastAsia" w:ascii="仿宋" w:hAnsi="仿宋" w:eastAsia="仿宋" w:cs="仿宋"/>
          <w:b/>
          <w:color w:val="000000"/>
          <w:kern w:val="0"/>
          <w:sz w:val="24"/>
          <w:szCs w:val="24"/>
        </w:rPr>
        <w:t>文件的方式、时间、地点</w:t>
      </w:r>
    </w:p>
    <w:p>
      <w:pPr>
        <w:wordWrap w:val="0"/>
        <w:topLinePunct/>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zh-CN"/>
        </w:rPr>
        <w:t>、持</w:t>
      </w:r>
      <w:r>
        <w:rPr>
          <w:rFonts w:hint="eastAsia" w:ascii="仿宋" w:hAnsi="仿宋" w:eastAsia="仿宋" w:cs="仿宋"/>
          <w:sz w:val="24"/>
          <w:szCs w:val="24"/>
        </w:rPr>
        <w:t>CA</w:t>
      </w:r>
      <w:r>
        <w:rPr>
          <w:rFonts w:hint="eastAsia" w:ascii="仿宋" w:hAnsi="仿宋" w:eastAsia="仿宋" w:cs="仿宋"/>
          <w:sz w:val="24"/>
          <w:szCs w:val="24"/>
          <w:lang w:val="zh-CN"/>
        </w:rPr>
        <w:t>数字认证证书</w:t>
      </w:r>
      <w:r>
        <w:rPr>
          <w:rFonts w:hint="eastAsia" w:ascii="仿宋" w:hAnsi="仿宋" w:eastAsia="仿宋" w:cs="仿宋"/>
          <w:sz w:val="24"/>
          <w:szCs w:val="24"/>
        </w:rPr>
        <w:t>，</w:t>
      </w:r>
      <w:r>
        <w:rPr>
          <w:rFonts w:hint="eastAsia" w:ascii="仿宋" w:hAnsi="仿宋" w:eastAsia="仿宋" w:cs="仿宋"/>
          <w:sz w:val="24"/>
          <w:szCs w:val="24"/>
          <w:lang w:val="zh-CN"/>
        </w:rPr>
        <w:t>登录</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"http://221.14.6.70:8088/ggzy/eps/public/RegistAllJcxx.html" </w:instrText>
      </w:r>
      <w:r>
        <w:rPr>
          <w:rFonts w:hint="eastAsia" w:ascii="仿宋" w:hAnsi="仿宋" w:eastAsia="仿宋" w:cs="仿宋"/>
          <w:sz w:val="24"/>
          <w:szCs w:val="24"/>
        </w:rPr>
        <w:fldChar w:fldCharType="separate"/>
      </w:r>
      <w:r>
        <w:rPr>
          <w:rFonts w:hint="eastAsia" w:ascii="仿宋" w:hAnsi="仿宋" w:eastAsia="仿宋" w:cs="仿宋"/>
          <w:sz w:val="24"/>
          <w:szCs w:val="24"/>
        </w:rPr>
        <w:t>http://221.14.6.70:8088/ggzy/eps/public/RegistAllJcxx.html</w:t>
      </w:r>
      <w:r>
        <w:rPr>
          <w:rFonts w:hint="eastAsia" w:ascii="仿宋" w:hAnsi="仿宋" w:eastAsia="仿宋" w:cs="仿宋"/>
          <w:sz w:val="24"/>
          <w:szCs w:val="24"/>
        </w:rPr>
        <w:fldChar w:fldCharType="end"/>
      </w:r>
      <w:r>
        <w:rPr>
          <w:rFonts w:hint="eastAsia" w:ascii="仿宋" w:hAnsi="仿宋" w:eastAsia="仿宋" w:cs="仿宋"/>
          <w:sz w:val="24"/>
          <w:szCs w:val="24"/>
          <w:lang w:val="zh-CN"/>
        </w:rPr>
        <w:t>进行免费注册登记</w:t>
      </w:r>
      <w:r>
        <w:rPr>
          <w:rFonts w:hint="eastAsia" w:ascii="仿宋" w:hAnsi="仿宋" w:eastAsia="仿宋" w:cs="仿宋"/>
          <w:sz w:val="24"/>
          <w:szCs w:val="24"/>
        </w:rPr>
        <w:t>（</w:t>
      </w:r>
      <w:r>
        <w:rPr>
          <w:rFonts w:hint="eastAsia" w:ascii="仿宋" w:hAnsi="仿宋" w:eastAsia="仿宋" w:cs="仿宋"/>
          <w:sz w:val="24"/>
          <w:szCs w:val="24"/>
          <w:lang w:val="zh-CN"/>
        </w:rPr>
        <w:t>详见全国公共资源交易平台</w:t>
      </w:r>
      <w:r>
        <w:rPr>
          <w:rFonts w:hint="eastAsia" w:ascii="仿宋" w:hAnsi="仿宋" w:eastAsia="仿宋" w:cs="仿宋"/>
          <w:sz w:val="24"/>
          <w:szCs w:val="24"/>
        </w:rPr>
        <w:t>（</w:t>
      </w:r>
      <w:r>
        <w:rPr>
          <w:rFonts w:hint="eastAsia" w:ascii="仿宋" w:hAnsi="仿宋" w:eastAsia="仿宋" w:cs="仿宋"/>
          <w:sz w:val="24"/>
          <w:szCs w:val="24"/>
          <w:lang w:val="zh-CN"/>
        </w:rPr>
        <w:t>河南省</w:t>
      </w:r>
      <w:r>
        <w:rPr>
          <w:rFonts w:hint="eastAsia" w:ascii="仿宋" w:hAnsi="仿宋" w:eastAsia="仿宋" w:cs="仿宋"/>
          <w:sz w:val="24"/>
          <w:szCs w:val="24"/>
        </w:rPr>
        <w:t>·</w:t>
      </w:r>
      <w:r>
        <w:rPr>
          <w:rFonts w:hint="eastAsia" w:ascii="仿宋" w:hAnsi="仿宋" w:eastAsia="仿宋" w:cs="仿宋"/>
          <w:sz w:val="24"/>
          <w:szCs w:val="24"/>
          <w:lang w:val="zh-CN"/>
        </w:rPr>
        <w:t>许昌市</w:t>
      </w:r>
      <w:r>
        <w:rPr>
          <w:rFonts w:hint="eastAsia" w:ascii="仿宋" w:hAnsi="仿宋" w:eastAsia="仿宋" w:cs="仿宋"/>
          <w:sz w:val="24"/>
          <w:szCs w:val="24"/>
        </w:rPr>
        <w:t>）“</w:t>
      </w:r>
      <w:r>
        <w:rPr>
          <w:rFonts w:hint="eastAsia" w:ascii="仿宋" w:hAnsi="仿宋" w:eastAsia="仿宋" w:cs="仿宋"/>
          <w:sz w:val="24"/>
          <w:szCs w:val="24"/>
          <w:lang w:val="zh-CN"/>
        </w:rPr>
        <w:t>常见问题解答</w:t>
      </w:r>
      <w:r>
        <w:rPr>
          <w:rFonts w:hint="eastAsia" w:ascii="仿宋" w:hAnsi="仿宋" w:eastAsia="仿宋" w:cs="仿宋"/>
          <w:sz w:val="24"/>
          <w:szCs w:val="24"/>
        </w:rPr>
        <w:t>-</w:t>
      </w:r>
      <w:r>
        <w:rPr>
          <w:rFonts w:hint="eastAsia" w:ascii="仿宋" w:hAnsi="仿宋" w:eastAsia="仿宋" w:cs="仿宋"/>
          <w:sz w:val="24"/>
          <w:szCs w:val="24"/>
          <w:lang w:val="zh-CN"/>
        </w:rPr>
        <w:t>诚信库网上注册相关资料下载</w:t>
      </w:r>
      <w:r>
        <w:rPr>
          <w:rFonts w:hint="eastAsia" w:ascii="仿宋" w:hAnsi="仿宋" w:eastAsia="仿宋" w:cs="仿宋"/>
          <w:sz w:val="24"/>
          <w:szCs w:val="24"/>
        </w:rPr>
        <w:t>”）；</w:t>
      </w:r>
    </w:p>
    <w:p>
      <w:pPr>
        <w:wordWrap w:val="0"/>
        <w:topLinePunct/>
        <w:autoSpaceDE w:val="0"/>
        <w:autoSpaceDN w:val="0"/>
        <w:adjustRightInd w:val="0"/>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zh-CN"/>
        </w:rPr>
        <w:t>、在投标截止时间前登录</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 </w:instrText>
      </w:r>
      <w:r>
        <w:rPr>
          <w:rFonts w:hint="eastAsia" w:ascii="仿宋" w:hAnsi="仿宋" w:eastAsia="仿宋" w:cs="仿宋"/>
          <w:sz w:val="24"/>
          <w:szCs w:val="24"/>
        </w:rPr>
        <w:fldChar w:fldCharType="separate"/>
      </w:r>
      <w:r>
        <w:rPr>
          <w:rFonts w:hint="eastAsia" w:ascii="仿宋" w:hAnsi="仿宋" w:eastAsia="仿宋" w:cs="仿宋"/>
          <w:sz w:val="24"/>
          <w:szCs w:val="24"/>
        </w:rPr>
        <w:t>http://g</w:t>
      </w:r>
      <w:r>
        <w:rPr>
          <w:rFonts w:hint="eastAsia" w:ascii="仿宋" w:hAnsi="仿宋" w:eastAsia="仿宋" w:cs="仿宋"/>
          <w:sz w:val="24"/>
          <w:szCs w:val="24"/>
        </w:rPr>
        <w:fldChar w:fldCharType="end"/>
      </w:r>
      <w:r>
        <w:rPr>
          <w:rFonts w:hint="eastAsia" w:ascii="仿宋" w:hAnsi="仿宋" w:eastAsia="仿宋" w:cs="仿宋"/>
          <w:sz w:val="24"/>
          <w:szCs w:val="24"/>
        </w:rPr>
        <w:t>gzy.xuchang.gov.cn，</w:t>
      </w:r>
      <w:r>
        <w:rPr>
          <w:rFonts w:hint="eastAsia" w:ascii="仿宋" w:hAnsi="仿宋" w:eastAsia="仿宋" w:cs="仿宋"/>
          <w:sz w:val="24"/>
          <w:szCs w:val="24"/>
          <w:lang w:val="zh-CN"/>
        </w:rPr>
        <w:t>自行下载招标文件</w:t>
      </w:r>
      <w:r>
        <w:rPr>
          <w:rFonts w:hint="eastAsia" w:ascii="仿宋" w:hAnsi="仿宋" w:eastAsia="仿宋" w:cs="仿宋"/>
          <w:sz w:val="24"/>
          <w:szCs w:val="24"/>
        </w:rPr>
        <w:t>（</w:t>
      </w:r>
      <w:r>
        <w:rPr>
          <w:rFonts w:hint="eastAsia" w:ascii="仿宋" w:hAnsi="仿宋" w:eastAsia="仿宋" w:cs="仿宋"/>
          <w:sz w:val="24"/>
          <w:szCs w:val="24"/>
          <w:lang w:val="zh-CN"/>
        </w:rPr>
        <w:t>详见全国公共资源交易平台</w:t>
      </w:r>
      <w:r>
        <w:rPr>
          <w:rFonts w:hint="eastAsia" w:ascii="仿宋" w:hAnsi="仿宋" w:eastAsia="仿宋" w:cs="仿宋"/>
          <w:sz w:val="24"/>
          <w:szCs w:val="24"/>
        </w:rPr>
        <w:t>（</w:t>
      </w:r>
      <w:r>
        <w:rPr>
          <w:rFonts w:hint="eastAsia" w:ascii="仿宋" w:hAnsi="仿宋" w:eastAsia="仿宋" w:cs="仿宋"/>
          <w:sz w:val="24"/>
          <w:szCs w:val="24"/>
          <w:lang w:val="zh-CN"/>
        </w:rPr>
        <w:t>河南省</w:t>
      </w:r>
      <w:r>
        <w:rPr>
          <w:rFonts w:hint="eastAsia" w:ascii="仿宋" w:hAnsi="仿宋" w:eastAsia="仿宋" w:cs="仿宋"/>
          <w:sz w:val="24"/>
          <w:szCs w:val="24"/>
        </w:rPr>
        <w:t>·</w:t>
      </w:r>
      <w:r>
        <w:rPr>
          <w:rFonts w:hint="eastAsia" w:ascii="仿宋" w:hAnsi="仿宋" w:eastAsia="仿宋" w:cs="仿宋"/>
          <w:sz w:val="24"/>
          <w:szCs w:val="24"/>
          <w:lang w:val="zh-CN"/>
        </w:rPr>
        <w:t>许昌市</w:t>
      </w:r>
      <w:r>
        <w:rPr>
          <w:rFonts w:hint="eastAsia" w:ascii="仿宋" w:hAnsi="仿宋" w:eastAsia="仿宋" w:cs="仿宋"/>
          <w:sz w:val="24"/>
          <w:szCs w:val="24"/>
        </w:rPr>
        <w:t>）“</w:t>
      </w:r>
      <w:r>
        <w:rPr>
          <w:rFonts w:hint="eastAsia" w:ascii="仿宋" w:hAnsi="仿宋" w:eastAsia="仿宋" w:cs="仿宋"/>
          <w:sz w:val="24"/>
          <w:szCs w:val="24"/>
          <w:lang w:val="zh-CN"/>
        </w:rPr>
        <w:t>常见问题解答</w:t>
      </w:r>
      <w:r>
        <w:rPr>
          <w:rFonts w:hint="eastAsia" w:ascii="仿宋" w:hAnsi="仿宋" w:eastAsia="仿宋" w:cs="仿宋"/>
          <w:sz w:val="24"/>
          <w:szCs w:val="24"/>
        </w:rPr>
        <w:t>-</w:t>
      </w:r>
      <w:r>
        <w:rPr>
          <w:rFonts w:hint="eastAsia" w:ascii="仿宋" w:hAnsi="仿宋" w:eastAsia="仿宋" w:cs="仿宋"/>
          <w:sz w:val="24"/>
          <w:szCs w:val="24"/>
          <w:lang w:val="zh-CN"/>
        </w:rPr>
        <w:t>交易系统操作手册</w:t>
      </w:r>
      <w:r>
        <w:rPr>
          <w:rFonts w:hint="eastAsia" w:ascii="仿宋" w:hAnsi="仿宋" w:eastAsia="仿宋" w:cs="仿宋"/>
          <w:sz w:val="24"/>
          <w:szCs w:val="24"/>
        </w:rPr>
        <w:t>”）</w:t>
      </w:r>
      <w:r>
        <w:rPr>
          <w:rFonts w:hint="eastAsia" w:ascii="仿宋" w:hAnsi="仿宋" w:eastAsia="仿宋" w:cs="仿宋"/>
          <w:sz w:val="24"/>
          <w:szCs w:val="24"/>
          <w:lang w:val="zh-CN"/>
        </w:rPr>
        <w:t>。</w:t>
      </w:r>
    </w:p>
    <w:p>
      <w:pPr>
        <w:spacing w:line="440" w:lineRule="exact"/>
        <w:rPr>
          <w:rFonts w:hint="eastAsia"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40" w:lineRule="exact"/>
        <w:ind w:firstLine="640"/>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招标</w:t>
      </w:r>
      <w:r>
        <w:rPr>
          <w:rFonts w:hint="eastAsia" w:ascii="仿宋" w:hAnsi="仿宋" w:eastAsia="仿宋" w:cs="仿宋"/>
          <w:sz w:val="24"/>
          <w:szCs w:val="24"/>
        </w:rPr>
        <w:t>文件每份售价人民币</w:t>
      </w:r>
      <w:r>
        <w:rPr>
          <w:rFonts w:hint="eastAsia" w:ascii="仿宋" w:hAnsi="仿宋" w:eastAsia="仿宋" w:cs="仿宋"/>
          <w:sz w:val="24"/>
          <w:szCs w:val="24"/>
          <w:lang w:val="en-US" w:eastAsia="zh-CN"/>
        </w:rPr>
        <w:t>5</w:t>
      </w:r>
      <w:r>
        <w:rPr>
          <w:rFonts w:hint="eastAsia" w:ascii="仿宋" w:hAnsi="仿宋" w:eastAsia="仿宋" w:cs="仿宋"/>
          <w:sz w:val="24"/>
          <w:szCs w:val="24"/>
        </w:rPr>
        <w:t>00元（</w:t>
      </w:r>
      <w:r>
        <w:rPr>
          <w:rFonts w:hint="eastAsia" w:ascii="仿宋" w:hAnsi="仿宋" w:eastAsia="仿宋" w:cs="仿宋"/>
          <w:sz w:val="24"/>
          <w:szCs w:val="24"/>
          <w:lang w:eastAsia="zh-CN"/>
        </w:rPr>
        <w:t>招标</w:t>
      </w:r>
      <w:r>
        <w:rPr>
          <w:rFonts w:hint="eastAsia" w:ascii="仿宋" w:hAnsi="仿宋" w:eastAsia="仿宋" w:cs="仿宋"/>
          <w:sz w:val="24"/>
          <w:szCs w:val="24"/>
        </w:rPr>
        <w:t>现场现金收取），于递交投标文件时缴纳给采购代理机构，售后不退。</w:t>
      </w:r>
    </w:p>
    <w:p>
      <w:pPr>
        <w:widowControl/>
        <w:shd w:val="clear" w:color="auto" w:fill="FFFFFF"/>
        <w:spacing w:line="44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w:t>
      </w:r>
      <w:r>
        <w:rPr>
          <w:rFonts w:hint="eastAsia" w:ascii="仿宋" w:hAnsi="仿宋" w:eastAsia="仿宋" w:cs="仿宋"/>
          <w:color w:val="000000"/>
          <w:kern w:val="0"/>
          <w:sz w:val="24"/>
          <w:szCs w:val="24"/>
          <w:lang w:eastAsia="zh-CN"/>
        </w:rPr>
        <w:t>投标</w:t>
      </w:r>
      <w:r>
        <w:rPr>
          <w:rFonts w:hint="eastAsia" w:ascii="仿宋" w:hAnsi="仿宋" w:eastAsia="仿宋" w:cs="仿宋"/>
          <w:color w:val="000000"/>
          <w:kern w:val="0"/>
          <w:sz w:val="24"/>
          <w:szCs w:val="24"/>
        </w:rPr>
        <w:t>截止时间、</w:t>
      </w:r>
      <w:r>
        <w:rPr>
          <w:rFonts w:hint="eastAsia" w:ascii="仿宋" w:hAnsi="仿宋" w:eastAsia="仿宋" w:cs="仿宋"/>
          <w:color w:val="000000"/>
          <w:kern w:val="0"/>
          <w:sz w:val="24"/>
          <w:szCs w:val="24"/>
          <w:lang w:eastAsia="zh-CN"/>
        </w:rPr>
        <w:t>开标</w:t>
      </w:r>
      <w:r>
        <w:rPr>
          <w:rFonts w:hint="eastAsia" w:ascii="仿宋" w:hAnsi="仿宋" w:eastAsia="仿宋" w:cs="仿宋"/>
          <w:color w:val="000000"/>
          <w:kern w:val="0"/>
          <w:sz w:val="24"/>
          <w:szCs w:val="24"/>
        </w:rPr>
        <w:t>时间及地点：</w:t>
      </w:r>
    </w:p>
    <w:p>
      <w:pPr>
        <w:widowControl/>
        <w:shd w:val="clear" w:color="auto" w:fill="FFFFFF"/>
        <w:spacing w:line="44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eastAsia="zh-CN"/>
        </w:rPr>
        <w:t>投标</w:t>
      </w:r>
      <w:r>
        <w:rPr>
          <w:rFonts w:hint="eastAsia" w:ascii="仿宋" w:hAnsi="仿宋" w:eastAsia="仿宋" w:cs="仿宋"/>
          <w:color w:val="000000"/>
          <w:kern w:val="0"/>
          <w:sz w:val="24"/>
          <w:szCs w:val="24"/>
        </w:rPr>
        <w:t>截止及</w:t>
      </w:r>
      <w:r>
        <w:rPr>
          <w:rFonts w:hint="eastAsia" w:ascii="仿宋" w:hAnsi="仿宋" w:eastAsia="仿宋" w:cs="仿宋"/>
          <w:color w:val="000000"/>
          <w:kern w:val="0"/>
          <w:sz w:val="24"/>
          <w:szCs w:val="24"/>
          <w:lang w:eastAsia="zh-CN"/>
        </w:rPr>
        <w:t>开标</w:t>
      </w:r>
      <w:r>
        <w:rPr>
          <w:rFonts w:hint="eastAsia" w:ascii="仿宋" w:hAnsi="仿宋" w:eastAsia="仿宋" w:cs="仿宋"/>
          <w:color w:val="000000"/>
          <w:kern w:val="0"/>
          <w:sz w:val="24"/>
          <w:szCs w:val="24"/>
        </w:rPr>
        <w:t>时间：20</w:t>
      </w:r>
      <w:r>
        <w:rPr>
          <w:rFonts w:hint="eastAsia" w:ascii="仿宋" w:hAnsi="仿宋" w:eastAsia="仿宋" w:cs="仿宋"/>
          <w:color w:val="000000"/>
          <w:kern w:val="0"/>
          <w:sz w:val="24"/>
          <w:szCs w:val="24"/>
          <w:lang w:val="en-US" w:eastAsia="zh-CN"/>
        </w:rPr>
        <w:t>20</w:t>
      </w:r>
      <w:r>
        <w:rPr>
          <w:rFonts w:hint="eastAsia" w:ascii="仿宋" w:hAnsi="仿宋" w:eastAsia="仿宋" w:cs="仿宋"/>
          <w:color w:val="000000"/>
          <w:kern w:val="0"/>
          <w:sz w:val="24"/>
          <w:szCs w:val="24"/>
        </w:rPr>
        <w:t xml:space="preserve">年 </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15</w:t>
      </w:r>
      <w:r>
        <w:rPr>
          <w:rFonts w:hint="eastAsia" w:ascii="仿宋" w:hAnsi="仿宋" w:eastAsia="仿宋" w:cs="仿宋"/>
          <w:color w:val="000000"/>
          <w:kern w:val="0"/>
          <w:sz w:val="24"/>
          <w:szCs w:val="24"/>
        </w:rPr>
        <w:t>日</w:t>
      </w:r>
      <w:r>
        <w:rPr>
          <w:rFonts w:hint="eastAsia" w:ascii="仿宋" w:hAnsi="仿宋" w:eastAsia="仿宋" w:cs="仿宋"/>
          <w:color w:val="000000"/>
          <w:kern w:val="0"/>
          <w:sz w:val="24"/>
          <w:szCs w:val="24"/>
          <w:lang w:val="en-US" w:eastAsia="zh-CN"/>
        </w:rPr>
        <w:t xml:space="preserve">9：00  </w:t>
      </w:r>
      <w:r>
        <w:rPr>
          <w:rFonts w:hint="eastAsia" w:ascii="仿宋" w:hAnsi="仿宋" w:eastAsia="仿宋" w:cs="仿宋"/>
          <w:color w:val="000000"/>
          <w:kern w:val="0"/>
          <w:sz w:val="24"/>
          <w:szCs w:val="24"/>
        </w:rPr>
        <w:t>（北京时间），逾期送达或不符合规定的投标文件不予接受。</w:t>
      </w:r>
    </w:p>
    <w:p>
      <w:pPr>
        <w:widowControl/>
        <w:shd w:val="clear" w:color="auto" w:fill="FFFFFF"/>
        <w:spacing w:line="44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eastAsia="zh-CN"/>
        </w:rPr>
        <w:t>开标</w:t>
      </w:r>
      <w:r>
        <w:rPr>
          <w:rFonts w:hint="eastAsia" w:ascii="仿宋" w:hAnsi="仿宋" w:eastAsia="仿宋" w:cs="仿宋"/>
          <w:color w:val="000000"/>
          <w:kern w:val="0"/>
          <w:sz w:val="24"/>
          <w:szCs w:val="24"/>
        </w:rPr>
        <w:t>地点：</w:t>
      </w:r>
      <w:r>
        <w:rPr>
          <w:rFonts w:hint="eastAsia" w:ascii="仿宋" w:hAnsi="仿宋" w:eastAsia="仿宋" w:cs="仿宋"/>
          <w:sz w:val="24"/>
          <w:szCs w:val="24"/>
        </w:rPr>
        <w:t>禹州市公共资源交易中心第</w:t>
      </w:r>
      <w:r>
        <w:rPr>
          <w:rFonts w:hint="eastAsia" w:ascii="仿宋" w:hAnsi="仿宋" w:eastAsia="仿宋" w:cs="仿宋"/>
          <w:sz w:val="24"/>
          <w:szCs w:val="24"/>
          <w:lang w:eastAsia="zh-CN"/>
        </w:rPr>
        <w:t>二</w:t>
      </w:r>
      <w:r>
        <w:rPr>
          <w:rFonts w:hint="eastAsia" w:ascii="仿宋" w:hAnsi="仿宋" w:eastAsia="仿宋" w:cs="仿宋"/>
          <w:sz w:val="24"/>
          <w:szCs w:val="24"/>
        </w:rPr>
        <w:t>开标室（禹州市</w:t>
      </w:r>
      <w:r>
        <w:rPr>
          <w:rFonts w:hint="eastAsia" w:ascii="仿宋" w:hAnsi="仿宋" w:eastAsia="仿宋" w:cs="仿宋"/>
          <w:color w:val="000000"/>
          <w:kern w:val="0"/>
          <w:sz w:val="24"/>
          <w:szCs w:val="24"/>
        </w:rPr>
        <w:t xml:space="preserve">行政服务中心楼9楼） </w:t>
      </w:r>
    </w:p>
    <w:p>
      <w:pPr>
        <w:spacing w:line="44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spacing w:line="44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spacing w:line="44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40" w:lineRule="exact"/>
        <w:ind w:firstLine="482" w:firstLineChars="200"/>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六、本次招标公告同时在《中国政府采购网》、《河南省政府采购网》、《全国公共资源交易平台（河南省·许昌市）》发布等。</w:t>
      </w:r>
    </w:p>
    <w:p>
      <w:pPr>
        <w:widowControl/>
        <w:shd w:val="clear" w:color="auto" w:fill="FFFFFF"/>
        <w:spacing w:line="440" w:lineRule="exact"/>
        <w:ind w:firstLine="641"/>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七、代理机构及采购单位地址、联系人、联系电话</w:t>
      </w:r>
    </w:p>
    <w:p>
      <w:pPr>
        <w:widowControl/>
        <w:shd w:val="clear" w:color="auto" w:fill="FFFFFF"/>
        <w:spacing w:line="44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4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地址：禹州市行政服务中心楼917房间</w:t>
      </w:r>
    </w:p>
    <w:p>
      <w:pPr>
        <w:widowControl/>
        <w:shd w:val="clear" w:color="auto" w:fill="FFFFFF"/>
        <w:spacing w:line="44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侯女士</w:t>
      </w:r>
      <w:r>
        <w:rPr>
          <w:rFonts w:hint="eastAsia" w:ascii="仿宋" w:hAnsi="仿宋" w:eastAsia="仿宋" w:cs="仿宋"/>
          <w:color w:val="000000"/>
          <w:kern w:val="0"/>
          <w:sz w:val="24"/>
          <w:szCs w:val="24"/>
        </w:rPr>
        <w:t xml:space="preserve">    联系电话：0374-2077111</w:t>
      </w:r>
    </w:p>
    <w:p>
      <w:pPr>
        <w:widowControl/>
        <w:numPr>
          <w:ilvl w:val="0"/>
          <w:numId w:val="7"/>
        </w:numPr>
        <w:shd w:val="clear" w:color="auto" w:fill="FFFFFF"/>
        <w:spacing w:line="44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采购单位：</w:t>
      </w:r>
      <w:r>
        <w:rPr>
          <w:rFonts w:hint="eastAsia" w:ascii="仿宋" w:hAnsi="仿宋" w:eastAsia="仿宋" w:cs="仿宋"/>
          <w:sz w:val="24"/>
          <w:szCs w:val="24"/>
        </w:rPr>
        <w:t>禹州市</w:t>
      </w:r>
      <w:r>
        <w:rPr>
          <w:rFonts w:hint="eastAsia" w:ascii="仿宋" w:hAnsi="仿宋" w:eastAsia="仿宋" w:cs="仿宋"/>
          <w:sz w:val="24"/>
          <w:szCs w:val="24"/>
          <w:lang w:eastAsia="zh-CN"/>
        </w:rPr>
        <w:t>高级中学</w:t>
      </w:r>
    </w:p>
    <w:p>
      <w:pPr>
        <w:widowControl/>
        <w:numPr>
          <w:ilvl w:val="0"/>
          <w:numId w:val="7"/>
        </w:numPr>
        <w:shd w:val="clear" w:color="auto" w:fill="FFFFFF"/>
        <w:spacing w:line="44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color w:val="000000"/>
          <w:kern w:val="0"/>
          <w:sz w:val="24"/>
          <w:szCs w:val="24"/>
          <w:lang w:eastAsia="zh-CN"/>
        </w:rPr>
        <w:t>禹州市学府南路</w:t>
      </w:r>
      <w:r>
        <w:rPr>
          <w:rFonts w:hint="eastAsia" w:ascii="仿宋" w:hAnsi="仿宋" w:eastAsia="仿宋" w:cs="仿宋"/>
          <w:color w:val="000000"/>
          <w:kern w:val="0"/>
          <w:sz w:val="24"/>
          <w:szCs w:val="24"/>
          <w:lang w:val="en-US" w:eastAsia="zh-CN"/>
        </w:rPr>
        <w:t xml:space="preserve"> </w:t>
      </w:r>
    </w:p>
    <w:p>
      <w:pPr>
        <w:widowControl/>
        <w:shd w:val="clear" w:color="auto" w:fill="FFFFFF"/>
        <w:spacing w:line="440" w:lineRule="exact"/>
        <w:ind w:firstLine="972" w:firstLineChars="405"/>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刘先生</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val="en-US" w:eastAsia="zh-CN"/>
        </w:rPr>
        <w:t>13839017668</w:t>
      </w:r>
    </w:p>
    <w:p>
      <w:pPr>
        <w:spacing w:line="400" w:lineRule="exact"/>
        <w:ind w:firstLine="480" w:firstLineChars="200"/>
        <w:jc w:val="left"/>
        <w:rPr>
          <w:rFonts w:ascii="仿宋" w:hAnsi="仿宋" w:eastAsia="仿宋" w:cs="仿宋_GB2312"/>
          <w:sz w:val="24"/>
          <w:szCs w:val="24"/>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r>
        <w:rPr>
          <w:rFonts w:hint="eastAsia" w:hAnsi="宋体"/>
          <w:b/>
          <w:color w:val="FF0000"/>
          <w:sz w:val="28"/>
          <w:szCs w:val="28"/>
        </w:rPr>
        <w:t>为认真贯彻落实国家和省市关于新型冠状病毒感染肺炎疫情防控重大部署，根据《豫疫情防指办（2020）41号》文件通知精神，除Ⅲ类县市区外，Ⅰ类、Ⅱ类县市区（包括省外）外地来禹投标企业须提供由本人居住地社区卫生服务中心开具的有效健康证明方可进入禹州市公共资源交易中心进行投标。</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4"/>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32"/>
          <w:rFonts w:hAnsi="宋体"/>
          <w:sz w:val="24"/>
          <w:szCs w:val="24"/>
        </w:rPr>
        <w:t>http://221.14.6.70:8088/ggzy/</w:t>
      </w:r>
      <w:r>
        <w:rPr>
          <w:rStyle w:val="32"/>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32"/>
          <w:rFonts w:hAnsi="宋体"/>
          <w:sz w:val="24"/>
          <w:szCs w:val="24"/>
        </w:rPr>
        <w:t>http://221.14.6.70:8088/ggzy/</w:t>
      </w:r>
      <w:r>
        <w:rPr>
          <w:rStyle w:val="32"/>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rPr>
          <w:rFonts w:cs="仿宋_GB2312" w:asciiTheme="minorEastAsia" w:hAnsiTheme="minorEastAsia"/>
          <w:color w:val="000000"/>
          <w:sz w:val="24"/>
          <w:szCs w:val="24"/>
        </w:rPr>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ind w:left="0" w:leftChars="0" w:firstLine="0" w:firstLineChars="0"/>
      </w:pPr>
    </w:p>
    <w:p>
      <w:pPr>
        <w:numPr>
          <w:ilvl w:val="0"/>
          <w:numId w:val="8"/>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新宋体" w:hAnsi="新宋体" w:eastAsia="新宋体" w:cs="新宋体"/>
          <w:b w:val="0"/>
          <w:bCs w:val="0"/>
          <w:sz w:val="24"/>
          <w:szCs w:val="24"/>
          <w:lang w:eastAsia="zh-CN"/>
        </w:rPr>
      </w:pPr>
      <w:r>
        <w:rPr>
          <w:rFonts w:hint="eastAsia" w:ascii="新宋体" w:hAnsi="新宋体" w:eastAsia="新宋体" w:cs="新宋体"/>
          <w:b/>
          <w:bCs/>
          <w:color w:val="000000"/>
          <w:kern w:val="0"/>
          <w:sz w:val="24"/>
          <w:szCs w:val="24"/>
          <w:lang w:eastAsia="zh-CN"/>
        </w:rPr>
        <w:t>一、</w:t>
      </w: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val="0"/>
          <w:bCs w:val="0"/>
          <w:color w:val="000000"/>
          <w:kern w:val="0"/>
          <w:sz w:val="24"/>
          <w:szCs w:val="24"/>
          <w:lang w:eastAsia="zh-CN"/>
        </w:rPr>
        <w:t>：控制教室体感温度，保证教育教学工作，满足中小学校空调设备的使用要求以及国家相关安全、环保、质量等要求。</w:t>
      </w:r>
    </w:p>
    <w:p>
      <w:pPr>
        <w:widowControl/>
        <w:shd w:val="clear" w:color="auto" w:fill="FFFFFF"/>
        <w:spacing w:line="360" w:lineRule="auto"/>
        <w:jc w:val="left"/>
        <w:rPr>
          <w:rFonts w:hint="eastAsia" w:ascii="新宋体" w:hAnsi="新宋体" w:eastAsia="新宋体" w:cs="新宋体"/>
          <w:b/>
          <w:bCs/>
          <w:kern w:val="0"/>
          <w:sz w:val="24"/>
          <w:szCs w:val="24"/>
          <w:lang w:val="zh-TW" w:eastAsia="zh-CN"/>
        </w:rPr>
      </w:pPr>
      <w:r>
        <w:rPr>
          <w:rFonts w:hint="eastAsia" w:ascii="新宋体" w:hAnsi="新宋体" w:eastAsia="新宋体" w:cs="新宋体"/>
          <w:b/>
          <w:bCs/>
          <w:kern w:val="0"/>
          <w:sz w:val="24"/>
          <w:szCs w:val="24"/>
          <w:lang w:val="zh-TW" w:eastAsia="zh-CN"/>
        </w:rPr>
        <w:t>二、</w:t>
      </w:r>
      <w:r>
        <w:rPr>
          <w:rFonts w:hint="eastAsia" w:ascii="新宋体" w:hAnsi="新宋体" w:eastAsia="新宋体" w:cs="新宋体"/>
          <w:b/>
          <w:bCs/>
          <w:kern w:val="0"/>
          <w:sz w:val="24"/>
          <w:szCs w:val="24"/>
          <w:lang w:val="zh-TW" w:eastAsia="zh-TW"/>
        </w:rPr>
        <w:t>采购清单</w:t>
      </w:r>
      <w:r>
        <w:rPr>
          <w:rFonts w:hint="eastAsia" w:ascii="新宋体" w:hAnsi="新宋体" w:eastAsia="新宋体" w:cs="新宋体"/>
          <w:b/>
          <w:bCs/>
          <w:kern w:val="0"/>
          <w:sz w:val="24"/>
          <w:szCs w:val="24"/>
          <w:lang w:val="zh-TW" w:eastAsia="zh-CN"/>
        </w:rPr>
        <w:t>：</w:t>
      </w:r>
    </w:p>
    <w:tbl>
      <w:tblPr>
        <w:tblStyle w:val="26"/>
        <w:tblW w:w="9080" w:type="dxa"/>
        <w:tblInd w:w="0" w:type="dxa"/>
        <w:tblLayout w:type="fixed"/>
        <w:tblCellMar>
          <w:top w:w="0" w:type="dxa"/>
          <w:left w:w="0" w:type="dxa"/>
          <w:bottom w:w="0" w:type="dxa"/>
          <w:right w:w="0" w:type="dxa"/>
        </w:tblCellMar>
      </w:tblPr>
      <w:tblGrid>
        <w:gridCol w:w="530"/>
        <w:gridCol w:w="1149"/>
        <w:gridCol w:w="5335"/>
        <w:gridCol w:w="593"/>
        <w:gridCol w:w="636"/>
        <w:gridCol w:w="837"/>
      </w:tblGrid>
      <w:tr>
        <w:tblPrEx>
          <w:tblLayout w:type="fixed"/>
          <w:tblCellMar>
            <w:top w:w="0" w:type="dxa"/>
            <w:left w:w="0" w:type="dxa"/>
            <w:bottom w:w="0" w:type="dxa"/>
            <w:right w:w="0" w:type="dxa"/>
          </w:tblCellMar>
        </w:tblPrEx>
        <w:trPr>
          <w:trHeight w:val="663"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序号</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货物名称</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技术规格及主要参数</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单位</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数量</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是否核心产品</w:t>
            </w:r>
          </w:p>
        </w:tc>
      </w:tr>
      <w:tr>
        <w:tblPrEx>
          <w:tblLayout w:type="fixed"/>
          <w:tblCellMar>
            <w:top w:w="0" w:type="dxa"/>
            <w:left w:w="0" w:type="dxa"/>
            <w:bottom w:w="0" w:type="dxa"/>
            <w:right w:w="0" w:type="dxa"/>
          </w:tblCellMar>
        </w:tblPrEx>
        <w:trPr>
          <w:trHeight w:val="2683"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立式柜机空调</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pPr>
            <w:r>
              <w:rPr>
                <w:rFonts w:hint="eastAsia"/>
              </w:rPr>
              <w:t>规格：3p变频</w:t>
            </w:r>
          </w:p>
          <w:p>
            <w:pPr>
              <w:widowControl/>
              <w:jc w:val="left"/>
              <w:textAlignment w:val="center"/>
            </w:pPr>
            <w:r>
              <w:rPr>
                <w:rFonts w:hint="eastAsia"/>
              </w:rPr>
              <w:t>内机颜色：</w:t>
            </w:r>
            <w:r>
              <w:rPr>
                <w:rFonts w:hint="eastAsia"/>
                <w:lang w:eastAsia="zh-CN"/>
              </w:rPr>
              <w:t>灰</w:t>
            </w:r>
            <w:r>
              <w:rPr>
                <w:rFonts w:hint="eastAsia"/>
              </w:rPr>
              <w:t>白色</w:t>
            </w:r>
          </w:p>
          <w:p>
            <w:pPr>
              <w:widowControl/>
              <w:jc w:val="left"/>
              <w:textAlignment w:val="center"/>
            </w:pPr>
            <w:r>
              <w:rPr>
                <w:rFonts w:hint="eastAsia"/>
              </w:rPr>
              <w:t>★额定制冷量：≥7200W</w:t>
            </w:r>
            <w:r>
              <w:rPr>
                <w:rFonts w:hint="eastAsia"/>
              </w:rPr>
              <w:br w:type="textWrapping"/>
            </w:r>
            <w:r>
              <w:rPr>
                <w:rFonts w:hint="eastAsia"/>
              </w:rPr>
              <w:t>★额定制热量：≥9000W</w:t>
            </w:r>
            <w:r>
              <w:rPr>
                <w:rFonts w:hint="eastAsia"/>
              </w:rPr>
              <w:br w:type="textWrapping"/>
            </w:r>
            <w:r>
              <w:rPr>
                <w:rFonts w:hint="eastAsia"/>
              </w:rPr>
              <w:t>★额定制冷功率：≤2650W</w:t>
            </w:r>
            <w:r>
              <w:rPr>
                <w:rFonts w:hint="eastAsia"/>
              </w:rPr>
              <w:br w:type="textWrapping"/>
            </w:r>
            <w:r>
              <w:rPr>
                <w:rFonts w:hint="eastAsia"/>
              </w:rPr>
              <w:t>★额定制热功率：≤3160W</w:t>
            </w:r>
            <w:r>
              <w:rPr>
                <w:rFonts w:hint="eastAsia"/>
              </w:rPr>
              <w:br w:type="textWrapping"/>
            </w:r>
            <w:r>
              <w:rPr>
                <w:rFonts w:hint="eastAsia"/>
              </w:rPr>
              <w:t>★室内机噪音：≤43dB</w:t>
            </w:r>
            <w:r>
              <w:rPr>
                <w:rFonts w:hint="eastAsia"/>
              </w:rPr>
              <w:br w:type="textWrapping"/>
            </w:r>
            <w:r>
              <w:rPr>
                <w:rFonts w:hint="eastAsia"/>
              </w:rPr>
              <w:t>★室外机噪音：≤55dB</w:t>
            </w:r>
            <w:r>
              <w:rPr>
                <w:rFonts w:hint="eastAsia"/>
              </w:rPr>
              <w:br w:type="textWrapping"/>
            </w:r>
            <w:r>
              <w:rPr>
                <w:rFonts w:hint="eastAsia"/>
              </w:rPr>
              <w:t>★循环风量：≥1200m3/h</w:t>
            </w:r>
            <w:r>
              <w:rPr>
                <w:rFonts w:hint="eastAsia"/>
              </w:rPr>
              <w:br w:type="textWrapping"/>
            </w:r>
            <w:r>
              <w:rPr>
                <w:rFonts w:hint="eastAsia"/>
              </w:rPr>
              <w:t>★电辅加热功率：≤2500W</w:t>
            </w:r>
          </w:p>
          <w:p>
            <w:pPr>
              <w:pStyle w:val="33"/>
            </w:pPr>
            <w:r>
              <w:rPr>
                <w:rFonts w:hint="eastAsia"/>
              </w:rPr>
              <w:t>室内机尺寸（mm）：505×300×1760 （偏差±50mm）</w:t>
            </w:r>
          </w:p>
          <w:p>
            <w:pPr>
              <w:jc w:val="left"/>
              <w:rPr>
                <w:rFonts w:hint="eastAsia"/>
              </w:rPr>
            </w:pPr>
            <w:r>
              <w:rPr>
                <w:rFonts w:hint="eastAsia"/>
              </w:rPr>
              <w:t>室外机尺寸（mm）：960×400×700（偏差±50mm）</w:t>
            </w:r>
          </w:p>
          <w:p>
            <w:pPr>
              <w:pStyle w:val="2"/>
              <w:ind w:left="0" w:leftChars="0" w:firstLine="0" w:firstLineChars="0"/>
              <w:rPr>
                <w:rFonts w:hint="eastAsia" w:ascii="仿宋" w:hAnsi="仿宋" w:eastAsia="仿宋" w:cs="仿宋_GB2312"/>
                <w:bCs/>
                <w:color w:val="FF0000"/>
                <w:sz w:val="28"/>
                <w:szCs w:val="28"/>
                <w:lang w:eastAsia="zh-CN"/>
              </w:rPr>
            </w:pPr>
            <w:r>
              <w:rPr>
                <w:rFonts w:hint="eastAsia" w:ascii="仿宋" w:hAnsi="仿宋" w:eastAsia="仿宋" w:cs="仿宋_GB2312"/>
                <w:bCs/>
                <w:color w:val="FF0000"/>
                <w:sz w:val="28"/>
                <w:szCs w:val="28"/>
                <w:lang w:eastAsia="zh-CN"/>
              </w:rPr>
              <w:t>注：</w:t>
            </w:r>
            <w:r>
              <w:rPr>
                <w:rFonts w:hint="eastAsia" w:ascii="仿宋" w:hAnsi="仿宋" w:eastAsia="仿宋" w:cs="仿宋_GB2312"/>
                <w:bCs/>
                <w:color w:val="FF0000"/>
                <w:sz w:val="28"/>
                <w:szCs w:val="28"/>
              </w:rPr>
              <w:t>需提供产品彩页或者官网截图</w:t>
            </w:r>
            <w:r>
              <w:rPr>
                <w:rFonts w:hint="eastAsia" w:ascii="仿宋" w:hAnsi="仿宋" w:eastAsia="仿宋" w:cs="仿宋_GB2312"/>
                <w:bCs/>
                <w:color w:val="FF0000"/>
                <w:sz w:val="28"/>
                <w:szCs w:val="28"/>
                <w:lang w:eastAsia="zh-CN"/>
              </w:rPr>
              <w:t>及能效检测报告。</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台</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306</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核心</w:t>
            </w:r>
          </w:p>
          <w:p>
            <w:pPr>
              <w:jc w:val="center"/>
              <w:rPr>
                <w:rFonts w:ascii="新宋体" w:hAnsi="新宋体" w:eastAsia="新宋体" w:cs="新宋体"/>
                <w:color w:val="000000"/>
                <w:sz w:val="24"/>
                <w:szCs w:val="24"/>
              </w:rPr>
            </w:pPr>
            <w:r>
              <w:rPr>
                <w:rFonts w:hint="eastAsia" w:ascii="新宋体" w:hAnsi="新宋体" w:eastAsia="新宋体" w:cs="新宋体"/>
                <w:color w:val="000000"/>
                <w:sz w:val="24"/>
                <w:szCs w:val="24"/>
              </w:rPr>
              <w:t>产品</w:t>
            </w:r>
          </w:p>
        </w:tc>
      </w:tr>
      <w:tr>
        <w:tblPrEx>
          <w:tblLayout w:type="fixed"/>
          <w:tblCellMar>
            <w:top w:w="0" w:type="dxa"/>
            <w:left w:w="0" w:type="dxa"/>
            <w:bottom w:w="0" w:type="dxa"/>
            <w:right w:w="0" w:type="dxa"/>
          </w:tblCellMar>
        </w:tblPrEx>
        <w:trPr>
          <w:trHeight w:val="1306" w:hRule="atLeast"/>
        </w:trPr>
        <w:tc>
          <w:tcPr>
            <w:tcW w:w="5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9</w:t>
            </w:r>
          </w:p>
        </w:tc>
        <w:tc>
          <w:tcPr>
            <w:tcW w:w="11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辅助材料</w:t>
            </w:r>
          </w:p>
        </w:tc>
        <w:tc>
          <w:tcPr>
            <w:tcW w:w="53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新宋体" w:hAnsi="新宋体" w:cs="新宋体"/>
                <w:color w:val="000000"/>
                <w:kern w:val="0"/>
                <w:sz w:val="24"/>
                <w:szCs w:val="24"/>
              </w:rPr>
            </w:pPr>
            <w:r>
              <w:rPr>
                <w:rFonts w:hint="eastAsia" w:ascii="宋体" w:hAnsi="宋体" w:cs="宋体"/>
                <w:color w:val="000000"/>
                <w:sz w:val="24"/>
                <w:szCs w:val="24"/>
              </w:rPr>
              <w:t>空调电源配置（三线布置，国标4㎡铜软，PVC线管优级）。外机安装位置有业主确定，需配置外机与内机连接加长铜管。电源定时控制系统（单个教室定时独立控制，集中配电箱安装）。冷凝水排水系统（优级PVC管，配置安装空调外机安装位置）等安装辅助材料。</w:t>
            </w:r>
          </w:p>
        </w:tc>
        <w:tc>
          <w:tcPr>
            <w:tcW w:w="5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批</w:t>
            </w:r>
          </w:p>
        </w:tc>
        <w:tc>
          <w:tcPr>
            <w:tcW w:w="6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bottom"/>
          </w:tcPr>
          <w:p>
            <w:pPr>
              <w:jc w:val="center"/>
              <w:rPr>
                <w:rFonts w:ascii="新宋体" w:hAnsi="新宋体" w:eastAsia="新宋体" w:cs="新宋体"/>
                <w:color w:val="000000"/>
                <w:sz w:val="24"/>
                <w:szCs w:val="24"/>
              </w:rPr>
            </w:pPr>
          </w:p>
        </w:tc>
      </w:tr>
    </w:tbl>
    <w:p>
      <w:pPr>
        <w:widowControl/>
        <w:shd w:val="clear" w:color="auto" w:fill="FFFFFF"/>
        <w:spacing w:line="360" w:lineRule="auto"/>
        <w:jc w:val="left"/>
        <w:rPr>
          <w:rFonts w:hint="eastAsia" w:ascii="仿宋_GB2312" w:hAnsi="仿宋_GB2312" w:eastAsia="仿宋_GB2312" w:cs="仿宋_GB2312"/>
          <w:sz w:val="28"/>
          <w:szCs w:val="28"/>
          <w:lang w:eastAsia="zh-CN"/>
        </w:rPr>
      </w:pPr>
    </w:p>
    <w:p>
      <w:pPr>
        <w:widowControl/>
        <w:shd w:val="clear" w:color="auto" w:fill="FFFFFF"/>
        <w:spacing w:line="360" w:lineRule="auto"/>
        <w:jc w:val="left"/>
        <w:rPr>
          <w:rFonts w:hint="eastAsia" w:ascii="新宋体" w:hAnsi="新宋体" w:eastAsia="新宋体" w:cs="新宋体"/>
          <w:b/>
          <w:bCs/>
          <w:kern w:val="0"/>
          <w:sz w:val="24"/>
          <w:szCs w:val="24"/>
          <w:lang w:val="zh-TW" w:eastAsia="zh-CN"/>
        </w:rPr>
      </w:pPr>
      <w:r>
        <w:rPr>
          <w:rFonts w:hint="eastAsia" w:ascii="仿宋_GB2312" w:hAnsi="仿宋_GB2312" w:eastAsia="仿宋_GB2312" w:cs="仿宋_GB2312"/>
          <w:sz w:val="28"/>
          <w:szCs w:val="28"/>
        </w:rPr>
        <w:drawing>
          <wp:inline distT="0" distB="0" distL="114300" distR="114300">
            <wp:extent cx="2476500" cy="6464300"/>
            <wp:effectExtent l="0" t="0" r="0" b="12700"/>
            <wp:docPr id="1" name="图片 1" descr="空调样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空调样机"/>
                    <pic:cNvPicPr>
                      <a:picLocks noChangeAspect="1"/>
                    </pic:cNvPicPr>
                  </pic:nvPicPr>
                  <pic:blipFill>
                    <a:blip r:embed="rId5" cstate="print"/>
                    <a:stretch>
                      <a:fillRect/>
                    </a:stretch>
                  </pic:blipFill>
                  <pic:spPr>
                    <a:xfrm>
                      <a:off x="0" y="0"/>
                      <a:ext cx="2476500" cy="6464300"/>
                    </a:xfrm>
                    <a:prstGeom prst="rect">
                      <a:avLst/>
                    </a:prstGeom>
                  </pic:spPr>
                </pic:pic>
              </a:graphicData>
            </a:graphic>
          </wp:inline>
        </w:drawing>
      </w:r>
    </w:p>
    <w:p>
      <w:pPr>
        <w:pStyle w:val="67"/>
        <w:widowControl/>
        <w:numPr>
          <w:ilvl w:val="0"/>
          <w:numId w:val="0"/>
        </w:numPr>
        <w:shd w:val="clear" w:color="auto" w:fill="FFFFFF"/>
        <w:spacing w:line="360" w:lineRule="auto"/>
        <w:ind w:leftChars="0"/>
        <w:jc w:val="left"/>
        <w:rPr>
          <w:rFonts w:hint="eastAsia" w:ascii="新宋体" w:hAnsi="新宋体" w:eastAsia="新宋体" w:cs="新宋体"/>
          <w:b/>
          <w:bCs/>
          <w:kern w:val="0"/>
          <w:sz w:val="24"/>
          <w:szCs w:val="24"/>
          <w:lang w:val="en-US" w:eastAsia="zh-CN"/>
        </w:rPr>
      </w:pPr>
      <w:r>
        <w:rPr>
          <w:rFonts w:hint="eastAsia" w:ascii="新宋体" w:hAnsi="新宋体" w:eastAsia="新宋体" w:cs="新宋体"/>
          <w:b/>
          <w:bCs/>
          <w:kern w:val="0"/>
          <w:sz w:val="24"/>
          <w:szCs w:val="24"/>
          <w:lang w:val="en-US" w:eastAsia="zh-CN"/>
        </w:rPr>
        <w:t>注：以上为柜式空调参考图样，以上技术要求为最低要求，投标商所投产品不得低于此要求，否则为无效投标。</w:t>
      </w:r>
    </w:p>
    <w:p>
      <w:pPr>
        <w:pStyle w:val="67"/>
        <w:widowControl/>
        <w:numPr>
          <w:ilvl w:val="0"/>
          <w:numId w:val="9"/>
        </w:numPr>
        <w:shd w:val="clear" w:color="auto" w:fill="FFFFFF"/>
        <w:spacing w:line="360" w:lineRule="auto"/>
        <w:ind w:firstLine="480" w:firstLineChars="200"/>
        <w:jc w:val="left"/>
        <w:rPr>
          <w:rFonts w:hint="eastAsia" w:ascii="新宋体" w:hAnsi="新宋体" w:eastAsia="新宋体" w:cs="新宋体"/>
          <w:color w:val="000000"/>
          <w:kern w:val="0"/>
          <w:sz w:val="24"/>
          <w:szCs w:val="24"/>
          <w:u w:color="000000"/>
          <w:lang w:val="en-US" w:eastAsia="zh-CN" w:bidi="ar-SA"/>
        </w:rPr>
      </w:pPr>
      <w:r>
        <w:rPr>
          <w:rFonts w:hint="eastAsia" w:ascii="新宋体" w:hAnsi="新宋体" w:eastAsia="新宋体" w:cs="新宋体"/>
          <w:color w:val="000000"/>
          <w:kern w:val="0"/>
          <w:sz w:val="24"/>
          <w:szCs w:val="24"/>
          <w:u w:color="000000"/>
          <w:lang w:val="zh-TW" w:eastAsia="zh-TW" w:bidi="ar-SA"/>
        </w:rPr>
        <w:t>采购标的执行标准</w:t>
      </w:r>
      <w:r>
        <w:rPr>
          <w:rFonts w:hint="eastAsia" w:ascii="新宋体" w:hAnsi="新宋体" w:eastAsia="新宋体" w:cs="新宋体"/>
          <w:color w:val="000000"/>
          <w:kern w:val="0"/>
          <w:sz w:val="24"/>
          <w:szCs w:val="24"/>
          <w:u w:color="000000"/>
          <w:lang w:val="en-US" w:eastAsia="zh-CN" w:bidi="ar-SA"/>
        </w:rPr>
        <w:t>:</w:t>
      </w:r>
    </w:p>
    <w:p>
      <w:pPr>
        <w:pStyle w:val="67"/>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1、强制性产品认证</w:t>
      </w:r>
    </w:p>
    <w:p>
      <w:pPr>
        <w:pStyle w:val="67"/>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67"/>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2、信息安全产品强制性认证</w:t>
      </w:r>
    </w:p>
    <w:p>
      <w:pPr>
        <w:pStyle w:val="67"/>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如投标人所投产品被列入《信息安全产品强制性认证目录》，投标人不能提供出此目录范畴外的替代品并须在投标文件中提供：</w:t>
      </w:r>
    </w:p>
    <w:p>
      <w:pPr>
        <w:pStyle w:val="67"/>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（1）中国信息安全认证中心官网(http://www.isccc.gov.cn/index.shtml)产品查询结果截图并加盖投标人公章；</w:t>
      </w:r>
    </w:p>
    <w:p>
      <w:pPr>
        <w:pStyle w:val="67"/>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（2）中国信息安全认证中心颁发的《中国国家信息安全产品认证证书》的原件扫描件(或图片)并加盖投标人公章。</w:t>
      </w:r>
    </w:p>
    <w:p>
      <w:pPr>
        <w:pStyle w:val="67"/>
        <w:widowControl/>
        <w:numPr>
          <w:ilvl w:val="0"/>
          <w:numId w:val="0"/>
        </w:numPr>
        <w:shd w:val="clear" w:color="auto" w:fill="FFFFFF"/>
        <w:spacing w:line="360" w:lineRule="auto"/>
        <w:ind w:left="640" w:leftChars="0"/>
        <w:jc w:val="left"/>
        <w:rPr>
          <w:rFonts w:hint="eastAsia"/>
          <w:lang w:val="en-US" w:eastAsia="zh-CN"/>
        </w:rPr>
      </w:pPr>
      <w:r>
        <w:rPr>
          <w:rFonts w:hint="eastAsia" w:ascii="新宋体" w:hAnsi="新宋体" w:eastAsia="新宋体" w:cs="新宋体"/>
          <w:color w:val="000000"/>
          <w:kern w:val="0"/>
          <w:sz w:val="24"/>
          <w:szCs w:val="24"/>
          <w:u w:color="000000"/>
          <w:lang w:val="zh-TW" w:eastAsia="zh-TW" w:bidi="ar-SA"/>
        </w:rPr>
        <w:t>注:仅需提供序号（1）~（2）其中之一即可。</w:t>
      </w:r>
    </w:p>
    <w:p>
      <w:pPr>
        <w:pStyle w:val="67"/>
        <w:widowControl/>
        <w:numPr>
          <w:ilvl w:val="0"/>
          <w:numId w:val="7"/>
        </w:numPr>
        <w:shd w:val="clear" w:color="auto" w:fill="FFFFFF"/>
        <w:spacing w:line="360" w:lineRule="auto"/>
        <w:ind w:left="0" w:leftChars="0" w:firstLine="641" w:firstLineChars="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服务标准、期限、效率等要求：</w:t>
      </w:r>
    </w:p>
    <w:p>
      <w:pPr>
        <w:pStyle w:val="67"/>
        <w:widowControl/>
        <w:numPr>
          <w:ilvl w:val="0"/>
          <w:numId w:val="0"/>
        </w:numPr>
        <w:shd w:val="clear" w:color="auto" w:fill="FFFFFF"/>
        <w:spacing w:line="360" w:lineRule="auto"/>
        <w:ind w:firstLine="480" w:firstLineChars="200"/>
        <w:jc w:val="left"/>
        <w:rPr>
          <w:rFonts w:hint="eastAsia" w:ascii="新宋体" w:hAnsi="新宋体" w:eastAsia="新宋体" w:cs="新宋体"/>
          <w:b w:val="0"/>
          <w:bCs w:val="0"/>
          <w:kern w:val="0"/>
          <w:sz w:val="24"/>
          <w:szCs w:val="24"/>
          <w:lang w:val="zh-TW" w:eastAsia="zh-TW"/>
        </w:rPr>
      </w:pPr>
      <w:r>
        <w:rPr>
          <w:rFonts w:hint="eastAsia" w:ascii="新宋体" w:hAnsi="新宋体" w:eastAsia="新宋体" w:cs="新宋体"/>
          <w:b w:val="0"/>
          <w:bCs w:val="0"/>
          <w:kern w:val="0"/>
          <w:sz w:val="24"/>
          <w:szCs w:val="24"/>
          <w:lang w:val="zh-TW" w:eastAsia="zh-TW"/>
        </w:rPr>
        <w:t>1、质保期要求：本项目的质量保证期不低于六年。（自验收合格之日起算）。</w:t>
      </w:r>
    </w:p>
    <w:p>
      <w:pPr>
        <w:pStyle w:val="67"/>
        <w:widowControl/>
        <w:numPr>
          <w:ilvl w:val="0"/>
          <w:numId w:val="0"/>
        </w:numPr>
        <w:shd w:val="clear" w:color="auto" w:fill="FFFFFF"/>
        <w:spacing w:line="360" w:lineRule="auto"/>
        <w:ind w:firstLine="480" w:firstLineChars="200"/>
        <w:jc w:val="left"/>
        <w:rPr>
          <w:rFonts w:hint="eastAsia" w:ascii="新宋体" w:hAnsi="新宋体" w:eastAsia="新宋体" w:cs="新宋体"/>
          <w:b w:val="0"/>
          <w:bCs w:val="0"/>
          <w:kern w:val="0"/>
          <w:sz w:val="24"/>
          <w:szCs w:val="24"/>
          <w:lang w:val="zh-TW" w:eastAsia="zh-TW"/>
        </w:rPr>
      </w:pPr>
      <w:r>
        <w:rPr>
          <w:rFonts w:hint="eastAsia" w:ascii="新宋体" w:hAnsi="新宋体" w:eastAsia="新宋体" w:cs="新宋体"/>
          <w:b w:val="0"/>
          <w:bCs w:val="0"/>
          <w:kern w:val="0"/>
          <w:sz w:val="24"/>
          <w:szCs w:val="24"/>
          <w:lang w:val="zh-TW" w:eastAsia="zh-TW"/>
        </w:rPr>
        <w:t>2、服务要求：质保期内，维保维修服务方式均为投标人上门服务，由此产生的一切费用均由投标人承担。在质保期结束后，投标人应提供终身维修服务，发生的相关费用由采购人承担。</w:t>
      </w:r>
    </w:p>
    <w:p>
      <w:pPr>
        <w:widowControl/>
        <w:shd w:val="clear" w:color="auto" w:fill="FFFFFF"/>
        <w:spacing w:line="360" w:lineRule="auto"/>
        <w:ind w:firstLine="600"/>
        <w:jc w:val="left"/>
        <w:rPr>
          <w:rFonts w:hint="eastAsia" w:ascii="新宋体" w:hAnsi="新宋体" w:eastAsia="新宋体" w:cs="新宋体"/>
          <w:b w:val="0"/>
          <w:bCs w:val="0"/>
          <w:color w:val="000000"/>
          <w:kern w:val="0"/>
          <w:sz w:val="24"/>
          <w:szCs w:val="24"/>
          <w:u w:color="000000"/>
          <w:lang w:val="zh-TW" w:eastAsia="zh-TW" w:bidi="ar-SA"/>
        </w:rPr>
      </w:pPr>
      <w:r>
        <w:rPr>
          <w:rFonts w:hint="eastAsia" w:ascii="新宋体" w:hAnsi="新宋体" w:eastAsia="新宋体" w:cs="新宋体"/>
          <w:b/>
          <w:bCs/>
          <w:kern w:val="0"/>
          <w:sz w:val="24"/>
          <w:szCs w:val="24"/>
          <w:lang w:val="zh-TW" w:eastAsia="zh-TW"/>
        </w:rPr>
        <w:t>（五）验收标准</w:t>
      </w:r>
      <w:r>
        <w:rPr>
          <w:rFonts w:hint="eastAsia" w:ascii="新宋体" w:hAnsi="新宋体" w:eastAsia="新宋体" w:cs="新宋体"/>
          <w:b/>
          <w:bCs/>
          <w:kern w:val="0"/>
          <w:sz w:val="24"/>
          <w:szCs w:val="24"/>
          <w:lang w:val="zh-TW" w:eastAsia="zh-CN"/>
        </w:rPr>
        <w:t>：</w:t>
      </w:r>
      <w:r>
        <w:rPr>
          <w:rFonts w:hint="eastAsia" w:ascii="新宋体" w:hAnsi="新宋体" w:eastAsia="新宋体" w:cs="新宋体"/>
          <w:b w:val="0"/>
          <w:bCs w:val="0"/>
          <w:color w:val="000000"/>
          <w:kern w:val="0"/>
          <w:sz w:val="24"/>
          <w:szCs w:val="24"/>
          <w:u w:color="000000"/>
          <w:lang w:val="zh-TW" w:eastAsia="zh-TW" w:bidi="ar-SA"/>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int="eastAsia" w:ascii="新宋体" w:hAnsi="新宋体" w:eastAsia="新宋体" w:cs="新宋体"/>
          <w:b w:val="0"/>
          <w:bCs w:val="0"/>
          <w:color w:val="000000"/>
          <w:kern w:val="0"/>
          <w:sz w:val="24"/>
          <w:szCs w:val="24"/>
          <w:u w:color="000000"/>
          <w:lang w:val="zh-TW" w:eastAsia="zh-TW" w:bidi="ar-SA"/>
        </w:rPr>
      </w:pPr>
      <w:r>
        <w:rPr>
          <w:rFonts w:hint="eastAsia" w:ascii="新宋体" w:hAnsi="新宋体" w:eastAsia="新宋体" w:cs="新宋体"/>
          <w:b w:val="0"/>
          <w:bCs w:val="0"/>
          <w:color w:val="000000"/>
          <w:kern w:val="0"/>
          <w:sz w:val="24"/>
          <w:szCs w:val="24"/>
          <w:u w:color="000000"/>
          <w:lang w:val="zh-TW" w:eastAsia="zh-TW" w:bidi="ar-SA"/>
        </w:rPr>
        <w:t>1、按照国家相关标准、行业标准、地方标准或者其他标准、规范验收；</w:t>
      </w:r>
    </w:p>
    <w:p>
      <w:pPr>
        <w:spacing w:line="360" w:lineRule="auto"/>
        <w:ind w:firstLine="481"/>
        <w:rPr>
          <w:rFonts w:hint="eastAsia" w:ascii="新宋体" w:hAnsi="新宋体" w:eastAsia="新宋体" w:cs="新宋体"/>
          <w:b w:val="0"/>
          <w:bCs w:val="0"/>
          <w:color w:val="000000"/>
          <w:kern w:val="0"/>
          <w:sz w:val="24"/>
          <w:szCs w:val="24"/>
          <w:u w:color="000000"/>
          <w:lang w:val="zh-TW" w:eastAsia="zh-CN" w:bidi="ar-SA"/>
        </w:rPr>
      </w:pPr>
      <w:r>
        <w:rPr>
          <w:rFonts w:hint="eastAsia" w:ascii="新宋体" w:hAnsi="新宋体" w:eastAsia="新宋体" w:cs="新宋体"/>
          <w:b w:val="0"/>
          <w:bCs w:val="0"/>
          <w:color w:val="000000"/>
          <w:kern w:val="0"/>
          <w:sz w:val="24"/>
          <w:szCs w:val="24"/>
          <w:u w:color="000000"/>
          <w:lang w:val="zh-TW" w:eastAsia="zh-TW" w:bidi="ar-SA"/>
        </w:rPr>
        <w:t>2、按照招标文件要求、投标文件响应和承诺验收</w:t>
      </w:r>
      <w:r>
        <w:rPr>
          <w:rFonts w:hint="eastAsia" w:ascii="新宋体" w:hAnsi="新宋体" w:eastAsia="新宋体" w:cs="新宋体"/>
          <w:b w:val="0"/>
          <w:bCs w:val="0"/>
          <w:color w:val="000000"/>
          <w:kern w:val="0"/>
          <w:sz w:val="24"/>
          <w:szCs w:val="24"/>
          <w:u w:color="000000"/>
          <w:lang w:val="zh-TW" w:eastAsia="zh-CN" w:bidi="ar-SA"/>
        </w:rPr>
        <w:t>。</w:t>
      </w:r>
    </w:p>
    <w:p>
      <w:pPr>
        <w:widowControl/>
        <w:shd w:val="clear" w:color="auto" w:fill="FFFFFF"/>
        <w:spacing w:line="360" w:lineRule="auto"/>
        <w:ind w:firstLine="482" w:firstLineChars="200"/>
        <w:contextualSpacing/>
        <w:jc w:val="left"/>
        <w:rPr>
          <w:rFonts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pStyle w:val="10"/>
        <w:spacing w:line="360" w:lineRule="auto"/>
        <w:ind w:left="239" w:leftChars="114" w:firstLine="240" w:firstLineChars="100"/>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1、供应商须明确所投产品的厂家、产地、品牌、型号、详细参数，否则为无效投标。</w:t>
      </w:r>
    </w:p>
    <w:p>
      <w:pPr>
        <w:pStyle w:val="10"/>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投标文件中须有详细的实施（技术）方案，否则为无效投标。</w:t>
      </w:r>
    </w:p>
    <w:p>
      <w:pPr>
        <w:spacing w:line="360" w:lineRule="auto"/>
        <w:ind w:firstLine="480" w:firstLineChars="2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zh-CN" w:eastAsia="zh-CN" w:bidi="ar-SA"/>
        </w:rPr>
        <w:t>3、设备必须符合国家质量检测标准和本招标文件规定标准的全新正品现货，供货时提供随货物《产品合格证》及其它相关质量证明文件。</w:t>
      </w:r>
    </w:p>
    <w:p>
      <w:pPr>
        <w:autoSpaceDE w:val="0"/>
        <w:autoSpaceDN w:val="0"/>
        <w:adjustRightInd w:val="0"/>
        <w:snapToGrid w:val="0"/>
        <w:spacing w:line="360" w:lineRule="auto"/>
        <w:ind w:firstLine="470" w:firstLineChars="196"/>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zh-CN" w:eastAsia="zh-CN" w:bidi="ar-SA"/>
        </w:rPr>
        <w:t>4、专利权：投标人应保证用户在使用该货物或其任何一部分时不受第三方提出侵犯其专利权、商标权和工业设计权等的起诉。</w:t>
      </w:r>
    </w:p>
    <w:p>
      <w:pPr>
        <w:autoSpaceDE w:val="0"/>
        <w:autoSpaceDN w:val="0"/>
        <w:adjustRightInd w:val="0"/>
        <w:snapToGrid w:val="0"/>
        <w:spacing w:line="360" w:lineRule="auto"/>
        <w:ind w:firstLine="468" w:firstLineChars="195"/>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zh-CN" w:eastAsia="zh-CN" w:bidi="ar-SA"/>
        </w:rPr>
        <w:t>5、投标人须明确维修点地址、负责人、联系人和联系电话，维修点具备什么样的维修能力等详细资料。</w:t>
      </w:r>
    </w:p>
    <w:p>
      <w:pPr>
        <w:wordWrap w:val="0"/>
        <w:topLinePunct/>
        <w:spacing w:line="360" w:lineRule="auto"/>
        <w:ind w:firstLine="480" w:firstLineChars="2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en-US" w:eastAsia="zh-CN" w:bidi="ar-SA"/>
        </w:rPr>
        <w:t>6</w:t>
      </w:r>
      <w:r>
        <w:rPr>
          <w:rFonts w:hint="eastAsia" w:ascii="新宋体" w:hAnsi="新宋体" w:eastAsia="新宋体" w:cs="新宋体"/>
          <w:kern w:val="2"/>
          <w:sz w:val="24"/>
          <w:szCs w:val="24"/>
          <w:lang w:val="zh-CN" w:eastAsia="zh-CN" w:bidi="ar-SA"/>
        </w:rPr>
        <w:t>、投标商必须由法定代表人或其授权代表参加开标会议，随时接受评标委员会询问，并予作出书面解答。</w:t>
      </w:r>
    </w:p>
    <w:p>
      <w:pPr>
        <w:pStyle w:val="2"/>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en-US" w:eastAsia="zh-CN" w:bidi="ar-SA"/>
        </w:rPr>
        <w:t>7、</w:t>
      </w:r>
      <w:r>
        <w:rPr>
          <w:rFonts w:hint="eastAsia" w:ascii="新宋体" w:hAnsi="新宋体" w:eastAsia="新宋体" w:cs="新宋体"/>
          <w:kern w:val="2"/>
          <w:sz w:val="24"/>
          <w:szCs w:val="24"/>
          <w:lang w:val="zh-CN" w:eastAsia="zh-CN" w:bidi="ar-SA"/>
        </w:rPr>
        <w:t>本项目为交钥匙工程（包括运输、安装调试、专业培训等一切费用）。由于乙方原因不按时交付使用，甲方将按合同金额每延期一天百分之一予以处罚。</w:t>
      </w:r>
    </w:p>
    <w:p>
      <w:pPr>
        <w:pStyle w:val="10"/>
        <w:spacing w:line="360" w:lineRule="auto"/>
        <w:ind w:firstLine="241" w:firstLineChars="100"/>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（七）付款方式：以签订合同为准。</w:t>
      </w:r>
    </w:p>
    <w:p>
      <w:pPr>
        <w:autoSpaceDE w:val="0"/>
        <w:autoSpaceDN w:val="0"/>
        <w:adjustRightInd w:val="0"/>
        <w:rPr>
          <w:rFonts w:ascii="新宋体" w:hAnsi="新宋体" w:eastAsia="新宋体" w:cs="新宋体"/>
          <w:b/>
          <w:kern w:val="0"/>
          <w:sz w:val="24"/>
          <w:szCs w:val="24"/>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hint="eastAsia" w:cs="宋体" w:asciiTheme="majorEastAsia" w:hAnsiTheme="majorEastAsia" w:eastAsiaTheme="majorEastAsia"/>
          <w:b/>
          <w:kern w:val="0"/>
          <w:sz w:val="36"/>
          <w:szCs w:val="36"/>
        </w:rPr>
      </w:pPr>
    </w:p>
    <w:p>
      <w:pPr>
        <w:autoSpaceDE w:val="0"/>
        <w:autoSpaceDN w:val="0"/>
        <w:adjustRightInd w:val="0"/>
        <w:ind w:firstLine="1807" w:firstLineChars="5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6"/>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numPr>
                <w:ilvl w:val="0"/>
                <w:numId w:val="0"/>
              </w:numPr>
              <w:shd w:val="clear" w:color="auto" w:fill="FFFFFF"/>
              <w:spacing w:line="440" w:lineRule="exact"/>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项目名称：禹州市高级中学教室空调购置安装项目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项目编号：YZCG-G20</w:t>
            </w:r>
            <w:r>
              <w:rPr>
                <w:rFonts w:hint="eastAsia" w:cs="仿宋_GB2312" w:asciiTheme="minorEastAsia" w:hAnsiTheme="minorEastAsia"/>
                <w:szCs w:val="21"/>
                <w:lang w:val="en-US" w:eastAsia="zh-CN"/>
              </w:rPr>
              <w:t>20047</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rPr>
              <w:t>工期：</w:t>
            </w:r>
            <w:r>
              <w:rPr>
                <w:rFonts w:hint="eastAsia" w:cs="仿宋_GB2312" w:asciiTheme="minorEastAsia" w:hAnsiTheme="minorEastAsia"/>
                <w:szCs w:val="21"/>
                <w:lang w:eastAsia="zh-CN"/>
              </w:rPr>
              <w:t>：合同签订后15天安装调试完毕，进入试运行。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lang w:eastAsia="zh-CN"/>
              </w:rPr>
            </w:pPr>
            <w:r>
              <w:rPr>
                <w:rFonts w:hint="eastAsia"/>
              </w:rPr>
              <w:t>名称：禹州市</w:t>
            </w:r>
            <w:r>
              <w:rPr>
                <w:rFonts w:hint="eastAsia"/>
                <w:lang w:eastAsia="zh-CN"/>
              </w:rPr>
              <w:t>高级中学</w:t>
            </w:r>
          </w:p>
          <w:p>
            <w:pPr>
              <w:widowControl/>
              <w:shd w:val="clear" w:color="auto" w:fill="FFFFFF"/>
              <w:spacing w:line="400" w:lineRule="exact"/>
              <w:jc w:val="left"/>
              <w:rPr>
                <w:rFonts w:hint="eastAsia"/>
                <w:lang w:eastAsia="zh-CN"/>
              </w:rPr>
            </w:pPr>
            <w:r>
              <w:rPr>
                <w:rFonts w:hint="eastAsia"/>
              </w:rPr>
              <w:t>地址：禹州市</w:t>
            </w:r>
            <w:r>
              <w:rPr>
                <w:rFonts w:hint="eastAsia"/>
                <w:lang w:eastAsia="zh-CN"/>
              </w:rPr>
              <w:t>学院路</w:t>
            </w:r>
          </w:p>
          <w:p>
            <w:pPr>
              <w:pStyle w:val="2"/>
              <w:ind w:left="0" w:leftChars="0" w:firstLine="0" w:firstLineChars="0"/>
              <w:rPr>
                <w:rFonts w:hint="default"/>
                <w:lang w:val="en-US" w:eastAsia="zh-CN"/>
              </w:rPr>
            </w:pPr>
            <w:r>
              <w:rPr>
                <w:rFonts w:hint="eastAsia"/>
                <w:lang w:val="en-US" w:eastAsia="zh-CN"/>
              </w:rPr>
              <w:t>联系人：刘先生  联系电话：13839017668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w:t>
            </w:r>
            <w:r>
              <w:rPr>
                <w:rFonts w:hint="eastAsia" w:cs="仿宋_GB2312" w:asciiTheme="minorEastAsia" w:hAnsiTheme="minorEastAsia"/>
                <w:sz w:val="24"/>
                <w:szCs w:val="24"/>
              </w:rPr>
              <w:t>女士   联系电话：0374-</w:t>
            </w:r>
            <w:r>
              <w:rPr>
                <w:rFonts w:hint="eastAsia" w:cs="仿宋_GB2312" w:asciiTheme="minorEastAsia" w:hAnsiTheme="minorEastAsia"/>
                <w:sz w:val="24"/>
                <w:szCs w:val="24"/>
                <w:lang w:val="en-US" w:eastAsia="zh-CN"/>
              </w:rPr>
              <w:t>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lang w:eastAsia="zh-CN"/>
              </w:rPr>
              <w:t>的供应商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4、信用信息的使用原则：经采购人认定的被列入失信被执行人、重大税收违法案件当事人名单、政府采购严重违法失信行为记录名单、严重违法失信社会组织名单的投标人，将拒绝其参与本次政府采购活动。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eastAsia" w:eastAsiaTheme="minorEastAsia"/>
                <w:lang w:val="en-US" w:eastAsia="zh-CN"/>
              </w:rPr>
            </w:pPr>
            <w:r>
              <w:rPr>
                <w:rFonts w:hint="eastAsia"/>
                <w:lang w:val="en-US" w:eastAsia="zh-CN"/>
              </w:rPr>
              <w:t>6、被委托人须是本单位职工，须提供公司为本人缴纳社会保险证明；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183.6万元，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w:t>
            </w:r>
            <w:r>
              <w:rPr>
                <w:rFonts w:hint="eastAsia" w:cs="宋体" w:asciiTheme="minorEastAsia" w:hAnsiTheme="minorEastAsia"/>
                <w:bCs/>
                <w:sz w:val="24"/>
                <w:szCs w:val="24"/>
                <w:lang w:val="en-US" w:eastAsia="zh-CN"/>
              </w:rPr>
              <w:t>20</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4</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lang w:val="en-US" w:eastAsia="zh-CN"/>
              </w:rPr>
              <w:t>3</w:t>
            </w:r>
            <w:r>
              <w:rPr>
                <w:rFonts w:hint="eastAsia" w:cs="宋体" w:asciiTheme="minorEastAsia" w:hAnsiTheme="minorEastAsia"/>
                <w:bCs/>
                <w:sz w:val="24"/>
                <w:szCs w:val="24"/>
              </w:rPr>
              <w:t>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33"/>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0"/>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3"/>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3"/>
        <w:numPr>
          <w:ilvl w:val="0"/>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3"/>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3"/>
        <w:autoSpaceDE w:val="0"/>
        <w:autoSpaceDN w:val="0"/>
        <w:spacing w:line="360" w:lineRule="auto"/>
        <w:ind w:left="780" w:firstLine="0" w:firstLineChars="0"/>
        <w:contextualSpacing/>
        <w:rPr>
          <w:rFonts w:cs="宋体" w:asciiTheme="minorEastAsia" w:hAnsiTheme="minorEastAsia"/>
          <w:kern w:val="0"/>
          <w:sz w:val="24"/>
          <w:szCs w:val="24"/>
        </w:rPr>
      </w:pPr>
    </w:p>
    <w:p>
      <w:pPr>
        <w:pStyle w:val="63"/>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3"/>
        <w:numPr>
          <w:ilvl w:val="0"/>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3"/>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3"/>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3"/>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3"/>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3"/>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3"/>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b/>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51"/>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autoSpaceDE w:val="0"/>
        <w:autoSpaceDN w:val="0"/>
        <w:spacing w:line="360" w:lineRule="auto"/>
        <w:ind w:firstLine="120" w:firstLineChars="50"/>
        <w:contextualSpacing/>
        <w:rPr>
          <w:rFonts w:hint="eastAsia"/>
          <w:sz w:val="24"/>
          <w:szCs w:val="24"/>
        </w:rPr>
      </w:pPr>
      <w:r>
        <w:rPr>
          <w:rFonts w:hint="eastAsia"/>
          <w:sz w:val="24"/>
          <w:szCs w:val="24"/>
        </w:rPr>
        <w:t>3.3按照财政部《关于在政府采购活动中查询及使用信用记录有关问题的通知》（财库〔2016〕125号）要求，政府采购活动中查询及使用供应商信用记录的具体要求为：供应商未被列入失信被执行人、重大税收违法案件当事人名单、政府采购严重违法失信行为记录名单、严重违法失信社会组织名单（联合体形式投标的，联合体成员存在不良信用记录，视同联合体存在不良信用记录）。</w:t>
      </w:r>
    </w:p>
    <w:p>
      <w:pPr>
        <w:autoSpaceDE w:val="0"/>
        <w:autoSpaceDN w:val="0"/>
        <w:spacing w:line="360" w:lineRule="auto"/>
        <w:ind w:firstLine="120" w:firstLineChars="50"/>
        <w:contextualSpacing/>
        <w:rPr>
          <w:rFonts w:hint="eastAsia"/>
          <w:sz w:val="24"/>
          <w:szCs w:val="24"/>
        </w:rPr>
      </w:pPr>
      <w:r>
        <w:rPr>
          <w:rFonts w:hint="eastAsia"/>
          <w:sz w:val="24"/>
          <w:szCs w:val="24"/>
        </w:rPr>
        <w:t>3.3.1  查询渠道：“信用中国”网站（www.creditchina.gov.cn）、“中国政府采购网”（www.ccgp.gov.cn）、“中国社会组织公共服务平台”网站（www.chinanpo.gov.cn）；</w:t>
      </w:r>
    </w:p>
    <w:p>
      <w:pPr>
        <w:autoSpaceDE w:val="0"/>
        <w:autoSpaceDN w:val="0"/>
        <w:spacing w:line="360" w:lineRule="auto"/>
        <w:ind w:firstLine="120" w:firstLineChars="50"/>
        <w:contextualSpacing/>
        <w:rPr>
          <w:rFonts w:hint="eastAsia"/>
          <w:sz w:val="24"/>
          <w:szCs w:val="24"/>
        </w:rPr>
      </w:pPr>
      <w:r>
        <w:rPr>
          <w:rFonts w:hint="eastAsia"/>
          <w:sz w:val="24"/>
          <w:szCs w:val="24"/>
        </w:rPr>
        <w:t>3.3.2  截止时间：同投标截止时间；</w:t>
      </w:r>
    </w:p>
    <w:p>
      <w:pPr>
        <w:autoSpaceDE w:val="0"/>
        <w:autoSpaceDN w:val="0"/>
        <w:spacing w:line="360" w:lineRule="auto"/>
        <w:ind w:firstLine="120" w:firstLineChars="50"/>
        <w:contextualSpacing/>
        <w:rPr>
          <w:rFonts w:hint="eastAsia"/>
          <w:sz w:val="24"/>
          <w:szCs w:val="24"/>
        </w:rPr>
      </w:pPr>
      <w:r>
        <w:rPr>
          <w:rFonts w:hint="eastAsia"/>
          <w:sz w:val="24"/>
          <w:szCs w:val="24"/>
        </w:rPr>
        <w:t>3.3.3  信用信息查询记录和证据留存具体方式：经采购人确认的查询结果网页截图作为查询记录和证据，与其他采购文件一并保存；</w:t>
      </w:r>
    </w:p>
    <w:p>
      <w:pPr>
        <w:autoSpaceDE w:val="0"/>
        <w:autoSpaceDN w:val="0"/>
        <w:spacing w:line="360" w:lineRule="auto"/>
        <w:ind w:firstLine="120" w:firstLineChars="50"/>
        <w:contextualSpacing/>
        <w:rPr>
          <w:rFonts w:hint="eastAsia"/>
          <w:sz w:val="24"/>
          <w:szCs w:val="24"/>
        </w:rPr>
      </w:pPr>
      <w:r>
        <w:rPr>
          <w:rFonts w:hint="eastAsia"/>
          <w:sz w:val="24"/>
          <w:szCs w:val="24"/>
        </w:rPr>
        <w:t>3.3.4  信用信息的使用原则：经采购人认定的被列入失信被执行人、重大税收违法案件当事人名单、政府采购严重违法失信行为记录名单、严重违法失信社会组织名单的供应商，将拒绝其参与本次政府采购活动。</w:t>
      </w:r>
    </w:p>
    <w:p>
      <w:pPr>
        <w:autoSpaceDE w:val="0"/>
        <w:autoSpaceDN w:val="0"/>
        <w:spacing w:line="360" w:lineRule="auto"/>
        <w:ind w:firstLine="120" w:firstLineChars="50"/>
        <w:contextualSpacing/>
        <w:rPr>
          <w:rFonts w:hint="eastAsia"/>
          <w:sz w:val="24"/>
          <w:szCs w:val="24"/>
        </w:rPr>
      </w:pPr>
      <w:r>
        <w:rPr>
          <w:rFonts w:hint="eastAsia"/>
          <w:sz w:val="24"/>
          <w:szCs w:val="24"/>
        </w:rPr>
        <w:t>3.3.5  供应商不良信用记录以采购人查询结果为准，采购人查询之后，网站信息发生的任何变更不再作为评审依据，供应商自行提供的与网站信息不一致的其他证明材料亦不作为评审依据。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3"/>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63"/>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3"/>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63"/>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63"/>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10"/>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4"/>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6"/>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6"/>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6"/>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6"/>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6"/>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6"/>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6"/>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6"/>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6"/>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6"/>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6"/>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contextualSpacing/>
        <w:rPr>
          <w:rFonts w:cs="宋体" w:asciiTheme="majorEastAsia" w:hAnsiTheme="majorEastAsia" w:eastAsiaTheme="majorEastAsia"/>
          <w:b/>
          <w:kern w:val="0"/>
          <w:sz w:val="36"/>
          <w:szCs w:val="36"/>
        </w:rPr>
      </w:pPr>
    </w:p>
    <w:p>
      <w:pPr>
        <w:pStyle w:val="16"/>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6"/>
        <w:spacing w:line="360" w:lineRule="auto"/>
        <w:contextualSpacing/>
        <w:rPr>
          <w:rFonts w:cs="仿宋_GB2312" w:asciiTheme="minorEastAsia" w:hAnsiTheme="minorEastAsia"/>
          <w:lang w:val="zh-CN"/>
        </w:rPr>
      </w:pPr>
    </w:p>
    <w:p>
      <w:pPr>
        <w:pStyle w:val="16"/>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6"/>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32"/>
                <w:rFonts w:hint="eastAsia" w:asciiTheme="minorEastAsia" w:hAnsiTheme="minorEastAsia"/>
                <w:bCs/>
                <w:szCs w:val="21"/>
              </w:rPr>
              <w:t>www.creditchina.gov.cn</w:t>
            </w:r>
            <w:r>
              <w:rPr>
                <w:rStyle w:val="32"/>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lang w:val="zh-CN"/>
              </w:rPr>
            </w:pPr>
            <w:r>
              <w:rPr>
                <w:rFonts w:hint="eastAsia"/>
                <w:lang w:val="zh-CN"/>
              </w:rPr>
              <w:t>（1）法定代表人身份证明或提供法定代表人授权委托书及被授权人身份证明和社保证明。（法人投标提供）</w:t>
            </w:r>
          </w:p>
          <w:p>
            <w:pPr>
              <w:spacing w:line="360" w:lineRule="auto"/>
              <w:rPr>
                <w:lang w:val="zh-CN"/>
              </w:rPr>
            </w:pPr>
            <w:r>
              <w:rPr>
                <w:rFonts w:hint="eastAsia"/>
                <w:lang w:val="zh-CN"/>
              </w:rPr>
              <w:t>（2）单位负责人身份证明或提供单位负责人授权委托书及被授权人身份证明和社保证明。（非法人投标提供）</w:t>
            </w:r>
          </w:p>
          <w:p>
            <w:pPr>
              <w:spacing w:line="360" w:lineRule="auto"/>
              <w:rPr>
                <w:lang w:val="zh-CN"/>
              </w:rPr>
            </w:pPr>
            <w:r>
              <w:rPr>
                <w:rFonts w:hint="eastAsia"/>
                <w:lang w:val="zh-CN"/>
              </w:rPr>
              <w:t>注：</w:t>
            </w:r>
          </w:p>
          <w:p>
            <w:pPr>
              <w:spacing w:line="360" w:lineRule="auto"/>
            </w:pPr>
            <w:r>
              <w:rPr>
                <w:rFonts w:hint="eastAsia"/>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pPr>
            <w:r>
              <w:rPr>
                <w:rFonts w:hint="eastAsia"/>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hint="eastAsia" w:eastAsiaTheme="minorEastAsia"/>
                <w:lang w:val="en-US" w:eastAsia="zh-CN"/>
              </w:rPr>
            </w:pPr>
            <w:r>
              <w:rPr>
                <w:rFonts w:hint="eastAsia"/>
              </w:rPr>
              <w:t>③投标人为自然人的，无需填写法定代表人授权书。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6"/>
        <w:spacing w:line="360" w:lineRule="auto"/>
        <w:contextualSpacing/>
        <w:rPr>
          <w:rFonts w:cs="仿宋_GB2312" w:asciiTheme="minorEastAsia" w:hAnsiTheme="minorEastAsia" w:eastAsiaTheme="minorEastAsia"/>
          <w:b/>
          <w:sz w:val="32"/>
          <w:szCs w:val="32"/>
          <w:lang w:val="zh-CN"/>
        </w:rPr>
      </w:pPr>
    </w:p>
    <w:p>
      <w:pPr>
        <w:pStyle w:val="16"/>
        <w:spacing w:line="360" w:lineRule="auto"/>
        <w:contextualSpacing/>
        <w:jc w:val="center"/>
        <w:rPr>
          <w:rFonts w:cs="仿宋_GB2312" w:asciiTheme="minorEastAsia" w:hAnsiTheme="minorEastAsia" w:eastAsiaTheme="minorEastAsia"/>
          <w:b/>
          <w:sz w:val="32"/>
          <w:szCs w:val="32"/>
          <w:lang w:val="zh-CN"/>
        </w:rPr>
      </w:pPr>
    </w:p>
    <w:p>
      <w:pPr>
        <w:pStyle w:val="16"/>
        <w:spacing w:line="360" w:lineRule="auto"/>
        <w:contextualSpacing/>
        <w:jc w:val="center"/>
        <w:rPr>
          <w:rFonts w:cs="仿宋_GB2312" w:asciiTheme="minorEastAsia" w:hAnsiTheme="minorEastAsia" w:eastAsiaTheme="minorEastAsia"/>
          <w:b/>
          <w:sz w:val="32"/>
          <w:szCs w:val="32"/>
          <w:lang w:val="zh-CN"/>
        </w:rPr>
      </w:pPr>
    </w:p>
    <w:p>
      <w:pPr>
        <w:pStyle w:val="16"/>
        <w:spacing w:line="360" w:lineRule="auto"/>
        <w:contextualSpacing/>
        <w:jc w:val="center"/>
        <w:rPr>
          <w:rFonts w:cs="仿宋_GB2312" w:asciiTheme="minorEastAsia" w:hAnsiTheme="minorEastAsia" w:eastAsiaTheme="minorEastAsia"/>
          <w:b/>
          <w:sz w:val="32"/>
          <w:szCs w:val="32"/>
          <w:lang w:val="zh-CN"/>
        </w:rPr>
      </w:pPr>
    </w:p>
    <w:p>
      <w:pPr>
        <w:pStyle w:val="16"/>
        <w:spacing w:line="360" w:lineRule="auto"/>
        <w:contextualSpacing/>
        <w:jc w:val="center"/>
        <w:rPr>
          <w:rFonts w:cs="仿宋_GB2312" w:asciiTheme="minorEastAsia" w:hAnsiTheme="minorEastAsia" w:eastAsiaTheme="minorEastAsia"/>
          <w:b/>
          <w:sz w:val="32"/>
          <w:szCs w:val="32"/>
          <w:lang w:val="zh-CN"/>
        </w:rPr>
      </w:pPr>
    </w:p>
    <w:p>
      <w:pPr>
        <w:pStyle w:val="16"/>
        <w:spacing w:line="360" w:lineRule="auto"/>
        <w:contextualSpacing/>
        <w:jc w:val="center"/>
        <w:rPr>
          <w:rFonts w:hint="eastAsia" w:cs="仿宋_GB2312" w:asciiTheme="minorEastAsia" w:hAnsiTheme="minorEastAsia" w:eastAsiaTheme="minorEastAsia"/>
          <w:b/>
          <w:sz w:val="32"/>
          <w:szCs w:val="32"/>
          <w:lang w:val="zh-CN"/>
        </w:rPr>
      </w:pPr>
    </w:p>
    <w:p>
      <w:pPr>
        <w:pStyle w:val="16"/>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6"/>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6"/>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6"/>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6"/>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6"/>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6"/>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6"/>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6"/>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6"/>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6"/>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6"/>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33"/>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 xml:space="preserve">   （5）评分标准</w:t>
      </w:r>
    </w:p>
    <w:tbl>
      <w:tblPr>
        <w:tblStyle w:val="26"/>
        <w:tblW w:w="8518" w:type="dxa"/>
        <w:tblInd w:w="0" w:type="dxa"/>
        <w:tblLayout w:type="fixed"/>
        <w:tblCellMar>
          <w:top w:w="0" w:type="dxa"/>
          <w:left w:w="0" w:type="dxa"/>
          <w:bottom w:w="0" w:type="dxa"/>
          <w:right w:w="0" w:type="dxa"/>
        </w:tblCellMar>
      </w:tblPr>
      <w:tblGrid>
        <w:gridCol w:w="1333"/>
        <w:gridCol w:w="1860"/>
        <w:gridCol w:w="795"/>
        <w:gridCol w:w="4530"/>
      </w:tblGrid>
      <w:tr>
        <w:tblPrEx>
          <w:tblLayout w:type="fixed"/>
          <w:tblCellMar>
            <w:top w:w="0" w:type="dxa"/>
            <w:left w:w="0" w:type="dxa"/>
            <w:bottom w:w="0" w:type="dxa"/>
            <w:right w:w="0" w:type="dxa"/>
          </w:tblCellMar>
        </w:tblPrEx>
        <w:trPr>
          <w:trHeight w:val="285" w:hRule="atLeast"/>
        </w:trPr>
        <w:tc>
          <w:tcPr>
            <w:tcW w:w="8518" w:type="dxa"/>
            <w:gridSpan w:val="4"/>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kern w:val="0"/>
                <w:sz w:val="24"/>
                <w:szCs w:val="24"/>
              </w:rPr>
            </w:pPr>
            <w:r>
              <w:rPr>
                <w:rFonts w:hint="eastAsia" w:ascii="宋体" w:hAnsi="宋体" w:cs="宋体"/>
                <w:kern w:val="0"/>
                <w:sz w:val="24"/>
                <w:szCs w:val="24"/>
              </w:rPr>
              <w:t xml:space="preserve">   报价分：50分         </w:t>
            </w:r>
          </w:p>
          <w:p>
            <w:pPr>
              <w:widowControl/>
              <w:jc w:val="center"/>
              <w:textAlignment w:val="center"/>
              <w:rPr>
                <w:rFonts w:hint="eastAsia" w:ascii="宋体" w:hAnsi="宋体" w:cs="宋体"/>
                <w:kern w:val="0"/>
                <w:sz w:val="24"/>
                <w:szCs w:val="24"/>
              </w:rPr>
            </w:pPr>
            <w:r>
              <w:rPr>
                <w:rFonts w:hint="eastAsia" w:ascii="宋体" w:hAnsi="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cs="宋体"/>
                <w:kern w:val="0"/>
                <w:sz w:val="24"/>
                <w:szCs w:val="24"/>
              </w:rPr>
              <w:t xml:space="preserve">商务部分：20分          </w:t>
            </w:r>
          </w:p>
          <w:p>
            <w:pPr>
              <w:widowControl/>
              <w:jc w:val="center"/>
              <w:textAlignment w:val="center"/>
              <w:rPr>
                <w:rFonts w:ascii="宋体" w:hAnsi="宋体" w:cs="宋体"/>
                <w:sz w:val="24"/>
                <w:szCs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技术部分30分</w:t>
            </w:r>
          </w:p>
        </w:tc>
      </w:tr>
      <w:tr>
        <w:tblPrEx>
          <w:tblLayout w:type="fixed"/>
          <w:tblCellMar>
            <w:top w:w="0" w:type="dxa"/>
            <w:left w:w="0" w:type="dxa"/>
            <w:bottom w:w="0" w:type="dxa"/>
            <w:right w:w="0" w:type="dxa"/>
          </w:tblCellMar>
        </w:tblPrEx>
        <w:trPr>
          <w:trHeight w:val="285" w:hRule="atLeast"/>
        </w:trPr>
        <w:tc>
          <w:tcPr>
            <w:tcW w:w="319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评审因素</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分值</w:t>
            </w:r>
          </w:p>
        </w:tc>
        <w:tc>
          <w:tcPr>
            <w:tcW w:w="4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评标标准说明</w:t>
            </w:r>
          </w:p>
        </w:tc>
      </w:tr>
      <w:tr>
        <w:tblPrEx>
          <w:tblLayout w:type="fixed"/>
          <w:tblCellMar>
            <w:top w:w="0" w:type="dxa"/>
            <w:left w:w="0" w:type="dxa"/>
            <w:bottom w:w="0" w:type="dxa"/>
            <w:right w:w="0" w:type="dxa"/>
          </w:tblCellMar>
        </w:tblPrEx>
        <w:trPr>
          <w:trHeight w:val="771" w:hRule="atLeast"/>
        </w:trPr>
        <w:tc>
          <w:tcPr>
            <w:tcW w:w="1333" w:type="dxa"/>
            <w:tcBorders>
              <w:top w:val="nil"/>
              <w:left w:val="single" w:color="auto" w:sz="4" w:space="0"/>
              <w:bottom w:val="single" w:color="auto"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报价</w:t>
            </w: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textAlignment w:val="center"/>
              <w:rPr>
                <w:rFonts w:ascii="宋体" w:hAnsi="宋体" w:cs="宋体"/>
                <w:sz w:val="24"/>
                <w:szCs w:val="24"/>
              </w:rPr>
            </w:pP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pStyle w:val="70"/>
              <w:rPr>
                <w:rFonts w:ascii="宋体" w:hAnsi="宋体"/>
              </w:rPr>
            </w:pPr>
            <w:r>
              <w:rPr>
                <w:rFonts w:hint="eastAsia" w:ascii="宋体" w:hAnsi="宋体"/>
              </w:rPr>
              <w:t>有效投标人中投标价格最低的投标报价为评标基准价，其价格分为满分。</w:t>
            </w:r>
          </w:p>
          <w:p>
            <w:pPr>
              <w:pStyle w:val="70"/>
              <w:rPr>
                <w:rFonts w:ascii="宋体" w:hAnsi="宋体"/>
              </w:rPr>
            </w:pPr>
            <w:r>
              <w:rPr>
                <w:rFonts w:hint="eastAsia" w:ascii="宋体" w:hAnsi="宋体"/>
              </w:rPr>
              <w:t>其他供应商的价格分统一按照下列公式计算：</w:t>
            </w:r>
          </w:p>
          <w:p>
            <w:pPr>
              <w:pStyle w:val="70"/>
              <w:rPr>
                <w:rFonts w:ascii="宋体" w:hAnsi="宋体"/>
              </w:rPr>
            </w:pPr>
            <w:r>
              <w:rPr>
                <w:rFonts w:hint="eastAsia" w:ascii="宋体" w:hAnsi="宋体"/>
              </w:rPr>
              <w:t>投标报价得分=(评标基准价／投标报价)×50</w:t>
            </w:r>
          </w:p>
          <w:p>
            <w:pPr>
              <w:widowControl/>
              <w:jc w:val="left"/>
              <w:textAlignment w:val="center"/>
              <w:rPr>
                <w:rFonts w:ascii="宋体" w:hAnsi="宋体" w:cs="宋体"/>
                <w:color w:val="000000"/>
                <w:sz w:val="22"/>
              </w:rPr>
            </w:pPr>
            <w:r>
              <w:rPr>
                <w:rFonts w:hint="eastAsia" w:ascii="宋体" w:hAnsi="宋体"/>
              </w:rPr>
              <w:t>注：分值计算保留小数点后两位，小数点后第三位“四舍五入”。</w:t>
            </w:r>
            <w:r>
              <w:rPr>
                <w:rFonts w:hint="eastAsia" w:ascii="宋体" w:hAnsi="宋体"/>
              </w:rPr>
              <w:br w:type="textWrapping"/>
            </w:r>
            <w:r>
              <w:rPr>
                <w:rFonts w:hint="eastAsia" w:ascii="宋体" w:hAnsi="宋体"/>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Layout w:type="fixed"/>
          <w:tblCellMar>
            <w:top w:w="0" w:type="dxa"/>
            <w:left w:w="0" w:type="dxa"/>
            <w:bottom w:w="0" w:type="dxa"/>
            <w:right w:w="0" w:type="dxa"/>
          </w:tblCellMar>
        </w:tblPrEx>
        <w:trPr>
          <w:trHeight w:val="1110" w:hRule="atLeast"/>
        </w:trPr>
        <w:tc>
          <w:tcPr>
            <w:tcW w:w="1333" w:type="dxa"/>
            <w:vMerge w:val="restar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商务部分</w:t>
            </w: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产品性能</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响应产品是全国质量检验稳定合格产品（3分），响应产品采用国际标准产品标志（2分），均需提供证书（复印件）。</w:t>
            </w:r>
          </w:p>
        </w:tc>
      </w:tr>
      <w:tr>
        <w:tblPrEx>
          <w:tblLayout w:type="fixed"/>
          <w:tblCellMar>
            <w:top w:w="0" w:type="dxa"/>
            <w:left w:w="0" w:type="dxa"/>
            <w:bottom w:w="0" w:type="dxa"/>
            <w:right w:w="0" w:type="dxa"/>
          </w:tblCellMar>
        </w:tblPrEx>
        <w:trPr>
          <w:trHeight w:val="540" w:hRule="atLeast"/>
        </w:trPr>
        <w:tc>
          <w:tcPr>
            <w:tcW w:w="1333" w:type="dxa"/>
            <w:vMerge w:val="continue"/>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sz w:val="24"/>
                <w:szCs w:val="24"/>
              </w:rPr>
            </w:pP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服务水平</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响应产品企业售后服务为全国售后服务五星级企业，提供证书（复印件）。</w:t>
            </w:r>
          </w:p>
        </w:tc>
      </w:tr>
      <w:tr>
        <w:tblPrEx>
          <w:tblLayout w:type="fixed"/>
          <w:tblCellMar>
            <w:top w:w="0" w:type="dxa"/>
            <w:left w:w="0" w:type="dxa"/>
            <w:bottom w:w="0" w:type="dxa"/>
            <w:right w:w="0" w:type="dxa"/>
          </w:tblCellMar>
        </w:tblPrEx>
        <w:trPr>
          <w:trHeight w:val="750" w:hRule="atLeast"/>
        </w:trPr>
        <w:tc>
          <w:tcPr>
            <w:tcW w:w="1333" w:type="dxa"/>
            <w:vMerge w:val="continue"/>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sz w:val="24"/>
                <w:szCs w:val="24"/>
              </w:rPr>
            </w:pP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产品生产工艺</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响应产品生产厂商为高级智能工厂，提供证书及评价报告；提供齐全者得5分，否则不得分；</w:t>
            </w:r>
          </w:p>
        </w:tc>
      </w:tr>
      <w:tr>
        <w:tblPrEx>
          <w:tblLayout w:type="fixed"/>
          <w:tblCellMar>
            <w:top w:w="0" w:type="dxa"/>
            <w:left w:w="0" w:type="dxa"/>
            <w:bottom w:w="0" w:type="dxa"/>
            <w:right w:w="0" w:type="dxa"/>
          </w:tblCellMar>
        </w:tblPrEx>
        <w:trPr>
          <w:trHeight w:val="1137" w:hRule="atLeast"/>
        </w:trPr>
        <w:tc>
          <w:tcPr>
            <w:tcW w:w="1333" w:type="dxa"/>
            <w:vMerge w:val="continue"/>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sz w:val="24"/>
                <w:szCs w:val="24"/>
              </w:rPr>
            </w:pP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供应商资质</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b/>
                <w:szCs w:val="21"/>
              </w:rPr>
              <w:t>提供投标人企业信用等级证书，信用等级为AAA级得5分，AA级得2分，无此项得0分；</w:t>
            </w:r>
          </w:p>
        </w:tc>
      </w:tr>
      <w:tr>
        <w:tblPrEx>
          <w:tblLayout w:type="fixed"/>
          <w:tblCellMar>
            <w:top w:w="0" w:type="dxa"/>
            <w:left w:w="0" w:type="dxa"/>
            <w:bottom w:w="0" w:type="dxa"/>
            <w:right w:w="0" w:type="dxa"/>
          </w:tblCellMar>
        </w:tblPrEx>
        <w:trPr>
          <w:trHeight w:val="540" w:hRule="atLeast"/>
        </w:trPr>
        <w:tc>
          <w:tcPr>
            <w:tcW w:w="1333" w:type="dxa"/>
            <w:vMerge w:val="restar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技术部分</w:t>
            </w: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投标文件响应性</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招标文件中带“★”的参数，优于此参数每项加2分，最高16分；</w:t>
            </w:r>
          </w:p>
        </w:tc>
      </w:tr>
      <w:tr>
        <w:tblPrEx>
          <w:tblLayout w:type="fixed"/>
          <w:tblCellMar>
            <w:top w:w="0" w:type="dxa"/>
            <w:left w:w="0" w:type="dxa"/>
            <w:bottom w:w="0" w:type="dxa"/>
            <w:right w:w="0" w:type="dxa"/>
          </w:tblCellMar>
        </w:tblPrEx>
        <w:trPr>
          <w:trHeight w:val="810" w:hRule="atLeast"/>
        </w:trPr>
        <w:tc>
          <w:tcPr>
            <w:tcW w:w="1333" w:type="dxa"/>
            <w:vMerge w:val="continue"/>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sz w:val="24"/>
                <w:szCs w:val="24"/>
              </w:rPr>
            </w:pP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施工方案</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需针对此项目制定出整体施工方案（包括对施工安全的要求、措施）；优：6-7分，良：3-5分，一般：1-2分。</w:t>
            </w:r>
          </w:p>
        </w:tc>
      </w:tr>
      <w:tr>
        <w:tblPrEx>
          <w:tblLayout w:type="fixed"/>
          <w:tblCellMar>
            <w:top w:w="0" w:type="dxa"/>
            <w:left w:w="0" w:type="dxa"/>
            <w:bottom w:w="0" w:type="dxa"/>
            <w:right w:w="0" w:type="dxa"/>
          </w:tblCellMar>
        </w:tblPrEx>
        <w:trPr>
          <w:trHeight w:val="810" w:hRule="atLeast"/>
        </w:trPr>
        <w:tc>
          <w:tcPr>
            <w:tcW w:w="1333" w:type="dxa"/>
            <w:vMerge w:val="continue"/>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sz w:val="24"/>
                <w:szCs w:val="24"/>
              </w:rPr>
            </w:pPr>
          </w:p>
        </w:tc>
        <w:tc>
          <w:tcPr>
            <w:tcW w:w="186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售后服务</w:t>
            </w:r>
          </w:p>
        </w:tc>
        <w:tc>
          <w:tcPr>
            <w:tcW w:w="79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45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售后服务体系健全，措施得力并能提供完善的技术支持和服务；优：6-7分，良：3-5分，一般：1-2分。</w:t>
            </w:r>
          </w:p>
        </w:tc>
      </w:tr>
    </w:tbl>
    <w:p>
      <w:pPr>
        <w:pStyle w:val="67"/>
        <w:shd w:val="clear" w:color="auto" w:fill="FFFFFF"/>
        <w:ind w:firstLine="480"/>
        <w:jc w:val="left"/>
        <w:rPr>
          <w:rFonts w:ascii="新宋体" w:hAnsi="新宋体" w:eastAsia="新宋体" w:cs="新宋体"/>
          <w:kern w:val="0"/>
          <w:sz w:val="24"/>
          <w:szCs w:val="24"/>
        </w:rPr>
      </w:pPr>
    </w:p>
    <w:p>
      <w:pPr>
        <w:pStyle w:val="33"/>
        <w:rPr>
          <w:rFonts w:hint="eastAsia" w:cs="仿宋_GB2312" w:asciiTheme="minorEastAsia" w:hAnsiTheme="minorEastAsia" w:eastAsiaTheme="minorEastAsia"/>
          <w:szCs w:val="21"/>
          <w:lang w:eastAsia="zh-CN"/>
        </w:rPr>
      </w:pPr>
      <w:r>
        <w:rPr>
          <w:rFonts w:hint="eastAsia" w:cs="仿宋_GB2312" w:asciiTheme="minorEastAsia" w:hAnsiTheme="minorEastAsia"/>
          <w:szCs w:val="21"/>
          <w:lang w:eastAsia="zh-CN"/>
        </w:rPr>
        <w:t>以上评分标准中证书资质均需提供网址备查。</w:t>
      </w: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6"/>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6"/>
        <w:spacing w:line="360" w:lineRule="auto"/>
        <w:contextualSpacing/>
        <w:jc w:val="both"/>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6"/>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6"/>
        <w:spacing w:line="360" w:lineRule="auto"/>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4"/>
        <w:ind w:left="0" w:leftChars="0" w:firstLine="0" w:firstLineChars="0"/>
        <w:rPr>
          <w:rFonts w:cs="黑体" w:asciiTheme="minorEastAsia" w:hAnsiTheme="minorEastAsia"/>
          <w:b/>
          <w:bCs/>
          <w:sz w:val="44"/>
          <w:szCs w:val="44"/>
          <w:lang w:val="zh-CN"/>
        </w:rPr>
      </w:pPr>
    </w:p>
    <w:p>
      <w:pPr>
        <w:pStyle w:val="56"/>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74185203"/>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6"/>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6"/>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6"/>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6"/>
        <w:spacing w:line="360" w:lineRule="auto"/>
        <w:jc w:val="center"/>
        <w:rPr>
          <w:rFonts w:hint="eastAsia" w:asciiTheme="majorEastAsia" w:hAnsiTheme="majorEastAsia" w:eastAsiaTheme="majorEastAsia"/>
          <w:b/>
          <w:snapToGrid w:val="0"/>
          <w:kern w:val="0"/>
          <w:sz w:val="28"/>
          <w:szCs w:val="28"/>
        </w:rPr>
      </w:pPr>
    </w:p>
    <w:p>
      <w:pPr>
        <w:pStyle w:val="16"/>
        <w:spacing w:line="360" w:lineRule="auto"/>
        <w:jc w:val="center"/>
        <w:rPr>
          <w:rFonts w:hint="eastAsia"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6"/>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6"/>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2530" w:firstLineChars="900"/>
        <w:jc w:val="both"/>
        <w:rPr>
          <w:rFonts w:hint="eastAsia" w:cs="黑体" w:asciiTheme="minorEastAsia" w:hAnsiTheme="minorEastAsia"/>
          <w:b/>
          <w:bCs/>
          <w:sz w:val="28"/>
          <w:szCs w:val="28"/>
          <w:lang w:val="zh-CN"/>
        </w:rPr>
      </w:pPr>
    </w:p>
    <w:p>
      <w:pPr>
        <w:autoSpaceDE w:val="0"/>
        <w:autoSpaceDN w:val="0"/>
        <w:adjustRightInd w:val="0"/>
        <w:spacing w:line="360" w:lineRule="auto"/>
        <w:ind w:firstLine="2530" w:firstLineChars="900"/>
        <w:jc w:val="both"/>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6"/>
        <w:spacing w:line="360" w:lineRule="auto"/>
        <w:rPr>
          <w:rFonts w:asciiTheme="majorEastAsia" w:hAnsiTheme="majorEastAsia" w:eastAsiaTheme="majorEastAsia"/>
          <w:b/>
          <w:snapToGrid w:val="0"/>
          <w:kern w:val="0"/>
          <w:szCs w:val="24"/>
        </w:rPr>
      </w:pPr>
    </w:p>
    <w:p>
      <w:pPr>
        <w:pStyle w:val="16"/>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6"/>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3"/>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7"/>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7"/>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50"/>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9"/>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6"/>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33"/>
        <w:rPr>
          <w:rFonts w:ascii="宋体" w:hAnsi="宋体"/>
          <w:b/>
          <w:bCs/>
          <w:color w:val="000000"/>
          <w:szCs w:val="24"/>
        </w:rPr>
      </w:pPr>
    </w:p>
    <w:p>
      <w:pPr>
        <w:pStyle w:val="33"/>
        <w:rPr>
          <w:rFonts w:ascii="宋体" w:hAnsi="宋体"/>
          <w:b/>
          <w:bCs/>
          <w:color w:val="000000"/>
          <w:szCs w:val="24"/>
        </w:rPr>
      </w:pPr>
    </w:p>
    <w:p>
      <w:pPr>
        <w:pStyle w:val="33"/>
        <w:rPr>
          <w:rFonts w:ascii="宋体" w:hAnsi="宋体"/>
          <w:b/>
          <w:bCs/>
          <w:color w:val="000000"/>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3"/>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3"/>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3"/>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3"/>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3"/>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3"/>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3"/>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3"/>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3"/>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3"/>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3"/>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3"/>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3"/>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3"/>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1968" w:firstLineChars="700"/>
        <w:jc w:val="both"/>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6"/>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6"/>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w:t>
            </w:r>
          </w:p>
          <w:p>
            <w:pPr>
              <w:pStyle w:val="8"/>
              <w:jc w:val="center"/>
              <w:rPr>
                <w:rFonts w:ascii="宋体" w:hAnsi="宋体" w:eastAsia="宋体" w:cs="宋体"/>
                <w:b/>
                <w:bCs/>
                <w:sz w:val="21"/>
                <w:szCs w:val="21"/>
              </w:rPr>
            </w:pPr>
            <w:r>
              <w:rPr>
                <w:rFonts w:hint="eastAsia" w:ascii="宋体" w:hAnsi="宋体" w:eastAsia="宋体" w:cs="宋体"/>
                <w:b/>
                <w:bCs/>
                <w:sz w:val="21"/>
                <w:szCs w:val="21"/>
              </w:rPr>
              <w:t>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4"/>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99552F"/>
    <w:multiLevelType w:val="singleLevel"/>
    <w:tmpl w:val="9499552F"/>
    <w:lvl w:ilvl="0" w:tentative="0">
      <w:start w:val="1"/>
      <w:numFmt w:val="decimal"/>
      <w:suff w:val="nothing"/>
      <w:lvlText w:val="%1、"/>
      <w:lvlJc w:val="left"/>
      <w:pPr>
        <w:ind w:left="481" w:leftChars="0" w:firstLine="0" w:firstLineChars="0"/>
      </w:pPr>
    </w:lvl>
  </w:abstractNum>
  <w:abstractNum w:abstractNumId="1">
    <w:nsid w:val="B336EA58"/>
    <w:multiLevelType w:val="singleLevel"/>
    <w:tmpl w:val="B336EA58"/>
    <w:lvl w:ilvl="0" w:tentative="0">
      <w:start w:val="2"/>
      <w:numFmt w:val="chineseCounting"/>
      <w:suff w:val="nothing"/>
      <w:lvlText w:val="（%1）"/>
      <w:lvlJc w:val="left"/>
      <w:rPr>
        <w:rFonts w:hint="eastAsia"/>
      </w:rPr>
    </w:lvl>
  </w:abstractNum>
  <w:abstractNum w:abstractNumId="2">
    <w:nsid w:val="E7B403A2"/>
    <w:multiLevelType w:val="singleLevel"/>
    <w:tmpl w:val="E7B403A2"/>
    <w:lvl w:ilvl="0" w:tentative="0">
      <w:start w:val="1"/>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6"/>
      <w:suff w:val="nothing"/>
      <w:lvlText w:val="%1、"/>
      <w:lvlJc w:val="left"/>
    </w:lvl>
  </w:abstractNum>
  <w:abstractNum w:abstractNumId="9">
    <w:nsid w:val="5A051E9E"/>
    <w:multiLevelType w:val="singleLevel"/>
    <w:tmpl w:val="5A051E9E"/>
    <w:lvl w:ilvl="0" w:tentative="0">
      <w:start w:val="1"/>
      <w:numFmt w:val="chineseCounting"/>
      <w:suff w:val="nothing"/>
      <w:lvlText w:val="%1、"/>
      <w:lvlJc w:val="left"/>
    </w:lvl>
  </w:abstractNum>
  <w:abstractNum w:abstractNumId="10">
    <w:nsid w:val="654E26F6"/>
    <w:multiLevelType w:val="singleLevel"/>
    <w:tmpl w:val="654E26F6"/>
    <w:lvl w:ilvl="0" w:tentative="0">
      <w:start w:val="1"/>
      <w:numFmt w:val="decimal"/>
      <w:suff w:val="nothing"/>
      <w:lvlText w:val="%1、"/>
      <w:lvlJc w:val="left"/>
    </w:lvl>
  </w:abstractNum>
  <w:abstractNum w:abstractNumId="11">
    <w:nsid w:val="65A5CFBA"/>
    <w:multiLevelType w:val="singleLevel"/>
    <w:tmpl w:val="65A5CFBA"/>
    <w:lvl w:ilvl="0" w:tentative="0">
      <w:start w:val="3"/>
      <w:numFmt w:val="chineseCounting"/>
      <w:lvlText w:val="(%1)"/>
      <w:lvlJc w:val="left"/>
      <w:pPr>
        <w:tabs>
          <w:tab w:val="left" w:pos="312"/>
        </w:tabs>
      </w:pPr>
      <w:rPr>
        <w:rFonts w:hint="eastAsia"/>
      </w:rPr>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4"/>
  </w:num>
  <w:num w:numId="3">
    <w:abstractNumId w:val="8"/>
  </w:num>
  <w:num w:numId="4">
    <w:abstractNumId w:val="9"/>
  </w:num>
  <w:num w:numId="5">
    <w:abstractNumId w:val="0"/>
  </w:num>
  <w:num w:numId="6">
    <w:abstractNumId w:val="10"/>
  </w:num>
  <w:num w:numId="7">
    <w:abstractNumId w:val="1"/>
  </w:num>
  <w:num w:numId="8">
    <w:abstractNumId w:val="7"/>
  </w:num>
  <w:num w:numId="9">
    <w:abstractNumId w:val="11"/>
  </w:num>
  <w:num w:numId="10">
    <w:abstractNumId w:val="2"/>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2CAB"/>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C37"/>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BC386B"/>
    <w:rsid w:val="027C7D92"/>
    <w:rsid w:val="02D4405B"/>
    <w:rsid w:val="02DA0BF5"/>
    <w:rsid w:val="032449BC"/>
    <w:rsid w:val="037217D3"/>
    <w:rsid w:val="03A87C38"/>
    <w:rsid w:val="03C54AE6"/>
    <w:rsid w:val="046A12DA"/>
    <w:rsid w:val="052468E4"/>
    <w:rsid w:val="067B2CDB"/>
    <w:rsid w:val="070A50EA"/>
    <w:rsid w:val="07732CDA"/>
    <w:rsid w:val="07DA78CD"/>
    <w:rsid w:val="080C2BBA"/>
    <w:rsid w:val="082F7AF9"/>
    <w:rsid w:val="08866B85"/>
    <w:rsid w:val="08C0181D"/>
    <w:rsid w:val="08FD5745"/>
    <w:rsid w:val="091E11E7"/>
    <w:rsid w:val="09834DFC"/>
    <w:rsid w:val="0A5E16AE"/>
    <w:rsid w:val="0A7C3AAF"/>
    <w:rsid w:val="0A997A60"/>
    <w:rsid w:val="0AB50907"/>
    <w:rsid w:val="0B01317F"/>
    <w:rsid w:val="0B9378DE"/>
    <w:rsid w:val="0BBD5765"/>
    <w:rsid w:val="0C1D2223"/>
    <w:rsid w:val="0C3D4298"/>
    <w:rsid w:val="0C9523A6"/>
    <w:rsid w:val="0CA67F00"/>
    <w:rsid w:val="0CAB7FE2"/>
    <w:rsid w:val="0CF46B6D"/>
    <w:rsid w:val="0D1C296A"/>
    <w:rsid w:val="0D403087"/>
    <w:rsid w:val="0E901938"/>
    <w:rsid w:val="0F485C64"/>
    <w:rsid w:val="0FD30C14"/>
    <w:rsid w:val="101B403B"/>
    <w:rsid w:val="10483DBD"/>
    <w:rsid w:val="10E862A7"/>
    <w:rsid w:val="110E6851"/>
    <w:rsid w:val="116D26CD"/>
    <w:rsid w:val="11843C2C"/>
    <w:rsid w:val="119F1D23"/>
    <w:rsid w:val="11C23651"/>
    <w:rsid w:val="11E13F76"/>
    <w:rsid w:val="123714C8"/>
    <w:rsid w:val="129267D1"/>
    <w:rsid w:val="12C422CE"/>
    <w:rsid w:val="13040A31"/>
    <w:rsid w:val="13903C42"/>
    <w:rsid w:val="13EB69AF"/>
    <w:rsid w:val="13EF7D11"/>
    <w:rsid w:val="14055C74"/>
    <w:rsid w:val="140778EB"/>
    <w:rsid w:val="151C769F"/>
    <w:rsid w:val="155C6126"/>
    <w:rsid w:val="158908A7"/>
    <w:rsid w:val="160E3E81"/>
    <w:rsid w:val="16EE4E99"/>
    <w:rsid w:val="171A4F3B"/>
    <w:rsid w:val="171E620C"/>
    <w:rsid w:val="175F012D"/>
    <w:rsid w:val="17843B5C"/>
    <w:rsid w:val="1795703F"/>
    <w:rsid w:val="17A87F25"/>
    <w:rsid w:val="17F27C17"/>
    <w:rsid w:val="183965F3"/>
    <w:rsid w:val="189035FD"/>
    <w:rsid w:val="18C769E5"/>
    <w:rsid w:val="18D55096"/>
    <w:rsid w:val="192D0B22"/>
    <w:rsid w:val="193114FC"/>
    <w:rsid w:val="198348D6"/>
    <w:rsid w:val="1A08396D"/>
    <w:rsid w:val="1A1A3129"/>
    <w:rsid w:val="1A6F2526"/>
    <w:rsid w:val="1A8C20F0"/>
    <w:rsid w:val="1AFBFFDD"/>
    <w:rsid w:val="1B1653FD"/>
    <w:rsid w:val="1B1E6C6E"/>
    <w:rsid w:val="1BE029BC"/>
    <w:rsid w:val="1BE369CF"/>
    <w:rsid w:val="1BFD0131"/>
    <w:rsid w:val="1C2D1536"/>
    <w:rsid w:val="1CCF2F1D"/>
    <w:rsid w:val="1CF87F0B"/>
    <w:rsid w:val="1CFB73D3"/>
    <w:rsid w:val="1D767D0D"/>
    <w:rsid w:val="1D8125A1"/>
    <w:rsid w:val="1DAA1CA6"/>
    <w:rsid w:val="1E386555"/>
    <w:rsid w:val="1E8E722F"/>
    <w:rsid w:val="1F8E45BB"/>
    <w:rsid w:val="1FE15514"/>
    <w:rsid w:val="1FF158F3"/>
    <w:rsid w:val="208614E5"/>
    <w:rsid w:val="209E5ECC"/>
    <w:rsid w:val="209F6468"/>
    <w:rsid w:val="2157706F"/>
    <w:rsid w:val="21DC7D3C"/>
    <w:rsid w:val="21DD4A96"/>
    <w:rsid w:val="21E30407"/>
    <w:rsid w:val="21E87614"/>
    <w:rsid w:val="2298317C"/>
    <w:rsid w:val="22CE29EE"/>
    <w:rsid w:val="24054295"/>
    <w:rsid w:val="242212EC"/>
    <w:rsid w:val="24D35795"/>
    <w:rsid w:val="24F94126"/>
    <w:rsid w:val="254B47A6"/>
    <w:rsid w:val="255E48CD"/>
    <w:rsid w:val="256043E1"/>
    <w:rsid w:val="26B87348"/>
    <w:rsid w:val="271F4B16"/>
    <w:rsid w:val="275038F3"/>
    <w:rsid w:val="27CB63E1"/>
    <w:rsid w:val="27CD14F5"/>
    <w:rsid w:val="28E96646"/>
    <w:rsid w:val="29081640"/>
    <w:rsid w:val="293C5FB1"/>
    <w:rsid w:val="297D754F"/>
    <w:rsid w:val="29A55E19"/>
    <w:rsid w:val="29E54FBF"/>
    <w:rsid w:val="29F9088B"/>
    <w:rsid w:val="29F94CB1"/>
    <w:rsid w:val="2A390310"/>
    <w:rsid w:val="2A553543"/>
    <w:rsid w:val="2A745111"/>
    <w:rsid w:val="2AEF791B"/>
    <w:rsid w:val="2AF87034"/>
    <w:rsid w:val="2B022C78"/>
    <w:rsid w:val="2C014C3B"/>
    <w:rsid w:val="2D3A50C1"/>
    <w:rsid w:val="2D4A693F"/>
    <w:rsid w:val="2E252DC4"/>
    <w:rsid w:val="2EE200E1"/>
    <w:rsid w:val="2F566BBD"/>
    <w:rsid w:val="2F650AED"/>
    <w:rsid w:val="2FFD3F6B"/>
    <w:rsid w:val="30EA79C7"/>
    <w:rsid w:val="30FD56B7"/>
    <w:rsid w:val="329E1B24"/>
    <w:rsid w:val="32BF12F4"/>
    <w:rsid w:val="33563CED"/>
    <w:rsid w:val="338A4286"/>
    <w:rsid w:val="347F0816"/>
    <w:rsid w:val="3495779B"/>
    <w:rsid w:val="34B644B7"/>
    <w:rsid w:val="34ED28D1"/>
    <w:rsid w:val="35046D44"/>
    <w:rsid w:val="36621D69"/>
    <w:rsid w:val="36841FFE"/>
    <w:rsid w:val="369A01A8"/>
    <w:rsid w:val="36B46A4A"/>
    <w:rsid w:val="36E65B38"/>
    <w:rsid w:val="37231BC0"/>
    <w:rsid w:val="374008ED"/>
    <w:rsid w:val="37561C08"/>
    <w:rsid w:val="375656B9"/>
    <w:rsid w:val="375B6549"/>
    <w:rsid w:val="37627558"/>
    <w:rsid w:val="37B91083"/>
    <w:rsid w:val="37D306D7"/>
    <w:rsid w:val="383F32BB"/>
    <w:rsid w:val="38600050"/>
    <w:rsid w:val="38A27B73"/>
    <w:rsid w:val="39734983"/>
    <w:rsid w:val="39FD28B4"/>
    <w:rsid w:val="3AC47AB6"/>
    <w:rsid w:val="3ADD0A2E"/>
    <w:rsid w:val="3B010D6D"/>
    <w:rsid w:val="3B4C7808"/>
    <w:rsid w:val="3B7A3E82"/>
    <w:rsid w:val="3B8D0CE8"/>
    <w:rsid w:val="3BA71EF1"/>
    <w:rsid w:val="3C1651F0"/>
    <w:rsid w:val="3C2006E5"/>
    <w:rsid w:val="3CB60762"/>
    <w:rsid w:val="3CBF1608"/>
    <w:rsid w:val="3CC749D9"/>
    <w:rsid w:val="3CFB31CE"/>
    <w:rsid w:val="3DCA2531"/>
    <w:rsid w:val="3DDA3322"/>
    <w:rsid w:val="3E3A26DB"/>
    <w:rsid w:val="3E8A0765"/>
    <w:rsid w:val="3EA20E92"/>
    <w:rsid w:val="3EF36E15"/>
    <w:rsid w:val="3F263B0E"/>
    <w:rsid w:val="3FB50222"/>
    <w:rsid w:val="3FDB4005"/>
    <w:rsid w:val="3FEC48EF"/>
    <w:rsid w:val="414D7438"/>
    <w:rsid w:val="41572B91"/>
    <w:rsid w:val="41A16B13"/>
    <w:rsid w:val="41D126B0"/>
    <w:rsid w:val="41EF3AE9"/>
    <w:rsid w:val="42065704"/>
    <w:rsid w:val="423A7A11"/>
    <w:rsid w:val="42566BAD"/>
    <w:rsid w:val="428968C5"/>
    <w:rsid w:val="430D37F8"/>
    <w:rsid w:val="43420F67"/>
    <w:rsid w:val="436A3287"/>
    <w:rsid w:val="43A30EC7"/>
    <w:rsid w:val="43AF27C5"/>
    <w:rsid w:val="443E3AC2"/>
    <w:rsid w:val="444225CD"/>
    <w:rsid w:val="444772BC"/>
    <w:rsid w:val="444A0A6A"/>
    <w:rsid w:val="444D773E"/>
    <w:rsid w:val="44972791"/>
    <w:rsid w:val="45217ABF"/>
    <w:rsid w:val="458D2A4C"/>
    <w:rsid w:val="459D509E"/>
    <w:rsid w:val="45A926DC"/>
    <w:rsid w:val="45FC4042"/>
    <w:rsid w:val="46041E03"/>
    <w:rsid w:val="46360210"/>
    <w:rsid w:val="47130682"/>
    <w:rsid w:val="475521A8"/>
    <w:rsid w:val="477C4489"/>
    <w:rsid w:val="477E79DB"/>
    <w:rsid w:val="47EC2F8F"/>
    <w:rsid w:val="48163D9E"/>
    <w:rsid w:val="48BB1E61"/>
    <w:rsid w:val="48D05818"/>
    <w:rsid w:val="48E44347"/>
    <w:rsid w:val="4AB4093D"/>
    <w:rsid w:val="4AE22F4C"/>
    <w:rsid w:val="4AF436C2"/>
    <w:rsid w:val="4B536EA5"/>
    <w:rsid w:val="4B957FC4"/>
    <w:rsid w:val="4BD04BAB"/>
    <w:rsid w:val="4C4E458C"/>
    <w:rsid w:val="4CA91082"/>
    <w:rsid w:val="4D1C4C00"/>
    <w:rsid w:val="4D3E056B"/>
    <w:rsid w:val="4D6D63A9"/>
    <w:rsid w:val="4E8A1C6C"/>
    <w:rsid w:val="4E8F0D2C"/>
    <w:rsid w:val="4E9D24DB"/>
    <w:rsid w:val="4EAC4ADD"/>
    <w:rsid w:val="4EB72836"/>
    <w:rsid w:val="4ED23FD5"/>
    <w:rsid w:val="4EE945C2"/>
    <w:rsid w:val="4EFB1FC3"/>
    <w:rsid w:val="4F3C1178"/>
    <w:rsid w:val="4F661CEB"/>
    <w:rsid w:val="4F874CB5"/>
    <w:rsid w:val="4FEB5C49"/>
    <w:rsid w:val="4FF123BD"/>
    <w:rsid w:val="527B1821"/>
    <w:rsid w:val="5310611D"/>
    <w:rsid w:val="53166D16"/>
    <w:rsid w:val="53276344"/>
    <w:rsid w:val="53293BFC"/>
    <w:rsid w:val="533D55CA"/>
    <w:rsid w:val="535D3032"/>
    <w:rsid w:val="53673EE3"/>
    <w:rsid w:val="53C97953"/>
    <w:rsid w:val="53E15B41"/>
    <w:rsid w:val="53F5577A"/>
    <w:rsid w:val="5590515E"/>
    <w:rsid w:val="55EF2276"/>
    <w:rsid w:val="562D2F69"/>
    <w:rsid w:val="565C29A5"/>
    <w:rsid w:val="56D519E7"/>
    <w:rsid w:val="5703196B"/>
    <w:rsid w:val="57140DA8"/>
    <w:rsid w:val="574A43AC"/>
    <w:rsid w:val="57FF2C3C"/>
    <w:rsid w:val="58077CBD"/>
    <w:rsid w:val="5812110B"/>
    <w:rsid w:val="582E1358"/>
    <w:rsid w:val="58323449"/>
    <w:rsid w:val="58FD658D"/>
    <w:rsid w:val="591E17FC"/>
    <w:rsid w:val="59454145"/>
    <w:rsid w:val="597A69A6"/>
    <w:rsid w:val="5A50619C"/>
    <w:rsid w:val="5AFA2E69"/>
    <w:rsid w:val="5B0C6CA4"/>
    <w:rsid w:val="5B590A61"/>
    <w:rsid w:val="5BCD4474"/>
    <w:rsid w:val="5CFD3C28"/>
    <w:rsid w:val="5D9D1276"/>
    <w:rsid w:val="5E2C7B65"/>
    <w:rsid w:val="5EB8046C"/>
    <w:rsid w:val="5EC23D91"/>
    <w:rsid w:val="5EEA6FD8"/>
    <w:rsid w:val="5EFE4414"/>
    <w:rsid w:val="5F5D3B89"/>
    <w:rsid w:val="5F91300B"/>
    <w:rsid w:val="5FBD74DE"/>
    <w:rsid w:val="601812B8"/>
    <w:rsid w:val="608416F1"/>
    <w:rsid w:val="60A539E5"/>
    <w:rsid w:val="60BD0412"/>
    <w:rsid w:val="616C5D6E"/>
    <w:rsid w:val="61775FA5"/>
    <w:rsid w:val="619B680C"/>
    <w:rsid w:val="625C5308"/>
    <w:rsid w:val="62E53998"/>
    <w:rsid w:val="63CB7258"/>
    <w:rsid w:val="64124C78"/>
    <w:rsid w:val="646A1844"/>
    <w:rsid w:val="646F4919"/>
    <w:rsid w:val="648D2FFF"/>
    <w:rsid w:val="64BD72D5"/>
    <w:rsid w:val="64E453C6"/>
    <w:rsid w:val="64FF1E06"/>
    <w:rsid w:val="65132A9C"/>
    <w:rsid w:val="653348F4"/>
    <w:rsid w:val="653820CD"/>
    <w:rsid w:val="656839C3"/>
    <w:rsid w:val="65725730"/>
    <w:rsid w:val="65B92974"/>
    <w:rsid w:val="65C80747"/>
    <w:rsid w:val="665D6AFD"/>
    <w:rsid w:val="66D20A72"/>
    <w:rsid w:val="67044E28"/>
    <w:rsid w:val="672B7704"/>
    <w:rsid w:val="674A7890"/>
    <w:rsid w:val="67A11357"/>
    <w:rsid w:val="68594ADA"/>
    <w:rsid w:val="68741D48"/>
    <w:rsid w:val="68843577"/>
    <w:rsid w:val="6974192C"/>
    <w:rsid w:val="6AB31C19"/>
    <w:rsid w:val="6B357A50"/>
    <w:rsid w:val="6B5B7DCB"/>
    <w:rsid w:val="6B930197"/>
    <w:rsid w:val="6BB95672"/>
    <w:rsid w:val="6C1E4AF0"/>
    <w:rsid w:val="6C4712E8"/>
    <w:rsid w:val="6C9C46AE"/>
    <w:rsid w:val="6CBD1903"/>
    <w:rsid w:val="6CE55F45"/>
    <w:rsid w:val="6CFE2CA7"/>
    <w:rsid w:val="6D15465F"/>
    <w:rsid w:val="6D4650CC"/>
    <w:rsid w:val="6D6121F0"/>
    <w:rsid w:val="6D8D5D8A"/>
    <w:rsid w:val="6DE87E82"/>
    <w:rsid w:val="6DFC3DF2"/>
    <w:rsid w:val="6E673C05"/>
    <w:rsid w:val="6E6F4DC3"/>
    <w:rsid w:val="6E7511ED"/>
    <w:rsid w:val="6E76180E"/>
    <w:rsid w:val="6E7B46D9"/>
    <w:rsid w:val="6EA321B1"/>
    <w:rsid w:val="6ED546F7"/>
    <w:rsid w:val="6EE51682"/>
    <w:rsid w:val="6EF25BF0"/>
    <w:rsid w:val="6F272507"/>
    <w:rsid w:val="6FF11A89"/>
    <w:rsid w:val="70117814"/>
    <w:rsid w:val="704A4E71"/>
    <w:rsid w:val="70602224"/>
    <w:rsid w:val="70C1699F"/>
    <w:rsid w:val="712A3EF9"/>
    <w:rsid w:val="7151172F"/>
    <w:rsid w:val="71617265"/>
    <w:rsid w:val="71C32A07"/>
    <w:rsid w:val="71E53350"/>
    <w:rsid w:val="720E5D3A"/>
    <w:rsid w:val="72254E2A"/>
    <w:rsid w:val="72E83FB1"/>
    <w:rsid w:val="72ED3426"/>
    <w:rsid w:val="73184127"/>
    <w:rsid w:val="73733509"/>
    <w:rsid w:val="737B1C80"/>
    <w:rsid w:val="73D40348"/>
    <w:rsid w:val="74235C83"/>
    <w:rsid w:val="74304EB5"/>
    <w:rsid w:val="747C77C3"/>
    <w:rsid w:val="74AB41BE"/>
    <w:rsid w:val="753E1785"/>
    <w:rsid w:val="755A041E"/>
    <w:rsid w:val="75EA3934"/>
    <w:rsid w:val="769F3760"/>
    <w:rsid w:val="76AF6448"/>
    <w:rsid w:val="77466BFE"/>
    <w:rsid w:val="774700AD"/>
    <w:rsid w:val="777E0158"/>
    <w:rsid w:val="78371F70"/>
    <w:rsid w:val="784471A7"/>
    <w:rsid w:val="78596E7A"/>
    <w:rsid w:val="788A0F31"/>
    <w:rsid w:val="78DE6336"/>
    <w:rsid w:val="78F56DD8"/>
    <w:rsid w:val="78FA033C"/>
    <w:rsid w:val="79373D17"/>
    <w:rsid w:val="7A2A6439"/>
    <w:rsid w:val="7A4F7BA5"/>
    <w:rsid w:val="7A77760E"/>
    <w:rsid w:val="7AC70899"/>
    <w:rsid w:val="7B3F7553"/>
    <w:rsid w:val="7B7986D1"/>
    <w:rsid w:val="7B877587"/>
    <w:rsid w:val="7BDA03EB"/>
    <w:rsid w:val="7C573C06"/>
    <w:rsid w:val="7DF42DE7"/>
    <w:rsid w:val="7E0F106D"/>
    <w:rsid w:val="7E4F5023"/>
    <w:rsid w:val="7EE52F06"/>
    <w:rsid w:val="7EFD7D9B"/>
    <w:rsid w:val="7F442CEC"/>
    <w:rsid w:val="7F7C60D3"/>
    <w:rsid w:val="7FE24976"/>
    <w:rsid w:val="7FF014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5"/>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6"/>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7"/>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8"/>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unhideWhenUsed/>
    <w:qFormat/>
    <w:uiPriority w:val="99"/>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53"/>
    <w:qFormat/>
    <w:uiPriority w:val="0"/>
    <w:rPr>
      <w:rFonts w:ascii="Times New Roman" w:hAnsi="Times New Roman" w:eastAsia="宋体" w:cs="Times New Roman"/>
      <w:color w:val="FF0000"/>
      <w:sz w:val="24"/>
      <w:szCs w:val="24"/>
    </w:rPr>
  </w:style>
  <w:style w:type="paragraph" w:styleId="10">
    <w:name w:val="Body Text"/>
    <w:basedOn w:val="1"/>
    <w:next w:val="11"/>
    <w:link w:val="57"/>
    <w:unhideWhenUsed/>
    <w:qFormat/>
    <w:uiPriority w:val="99"/>
    <w:pPr>
      <w:spacing w:after="120"/>
    </w:pPr>
  </w:style>
  <w:style w:type="paragraph" w:styleId="11">
    <w:name w:val="Body Text 2"/>
    <w:basedOn w:val="1"/>
    <w:qFormat/>
    <w:uiPriority w:val="0"/>
    <w:pPr>
      <w:widowControl/>
      <w:spacing w:before="100" w:beforeAutospacing="1" w:after="100" w:afterAutospacing="1"/>
      <w:jc w:val="left"/>
    </w:pPr>
    <w:rPr>
      <w:rFonts w:ascii="宋体" w:hAnsi="宋体"/>
      <w:kern w:val="0"/>
      <w:sz w:val="24"/>
    </w:rPr>
  </w:style>
  <w:style w:type="paragraph" w:styleId="12">
    <w:name w:val="Body Text Indent"/>
    <w:basedOn w:val="1"/>
    <w:next w:val="13"/>
    <w:qFormat/>
    <w:uiPriority w:val="0"/>
    <w:pPr>
      <w:spacing w:line="400" w:lineRule="exact"/>
      <w:ind w:left="630"/>
    </w:pPr>
    <w:rPr>
      <w:rFonts w:ascii="楷体_GB2312" w:eastAsia="宋体"/>
    </w:rPr>
  </w:style>
  <w:style w:type="paragraph" w:styleId="13">
    <w:name w:val="envelope return"/>
    <w:basedOn w:val="1"/>
    <w:unhideWhenUsed/>
    <w:qFormat/>
    <w:uiPriority w:val="99"/>
    <w:pPr>
      <w:snapToGrid w:val="0"/>
    </w:pPr>
    <w:rPr>
      <w:rFonts w:ascii="Arial" w:hAnsi="Arial"/>
    </w:rPr>
  </w:style>
  <w:style w:type="paragraph" w:styleId="14">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5">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6">
    <w:name w:val="Plain Text"/>
    <w:basedOn w:val="1"/>
    <w:link w:val="39"/>
    <w:qFormat/>
    <w:uiPriority w:val="0"/>
    <w:rPr>
      <w:rFonts w:eastAsia="宋体"/>
      <w:sz w:val="24"/>
    </w:rPr>
  </w:style>
  <w:style w:type="paragraph" w:styleId="17">
    <w:name w:val="Date"/>
    <w:basedOn w:val="1"/>
    <w:next w:val="1"/>
    <w:link w:val="40"/>
    <w:unhideWhenUsed/>
    <w:qFormat/>
    <w:uiPriority w:val="99"/>
    <w:pPr>
      <w:ind w:left="100" w:leftChars="2500"/>
    </w:pPr>
  </w:style>
  <w:style w:type="paragraph" w:styleId="18">
    <w:name w:val="footer"/>
    <w:basedOn w:val="1"/>
    <w:link w:val="41"/>
    <w:unhideWhenUsed/>
    <w:qFormat/>
    <w:uiPriority w:val="99"/>
    <w:pPr>
      <w:tabs>
        <w:tab w:val="center" w:pos="4153"/>
        <w:tab w:val="right" w:pos="8306"/>
      </w:tabs>
      <w:snapToGrid w:val="0"/>
      <w:jc w:val="left"/>
    </w:pPr>
    <w:rPr>
      <w:sz w:val="18"/>
      <w:szCs w:val="18"/>
    </w:rPr>
  </w:style>
  <w:style w:type="paragraph" w:styleId="19">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2">
    <w:name w:val="HTML Preformatted"/>
    <w:basedOn w:val="1"/>
    <w:link w:val="5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rPr>
      <w:rFonts w:ascii="Calibri" w:hAnsi="Calibri" w:eastAsia="宋体" w:cs="Times New Roman"/>
      <w:sz w:val="24"/>
      <w:szCs w:val="24"/>
    </w:rPr>
  </w:style>
  <w:style w:type="paragraph" w:styleId="24">
    <w:name w:val="Body Text First Indent"/>
    <w:basedOn w:val="10"/>
    <w:next w:val="25"/>
    <w:link w:val="58"/>
    <w:qFormat/>
    <w:uiPriority w:val="0"/>
    <w:pPr>
      <w:ind w:firstLine="420" w:firstLineChars="100"/>
    </w:pPr>
    <w:rPr>
      <w:rFonts w:ascii="宋体" w:hAnsi="Times New Roman" w:eastAsia="宋体" w:cs="Times New Roman"/>
      <w:kern w:val="0"/>
      <w:sz w:val="34"/>
      <w:szCs w:val="20"/>
    </w:rPr>
  </w:style>
  <w:style w:type="paragraph" w:styleId="25">
    <w:name w:val="Body Text First Indent 2"/>
    <w:basedOn w:val="12"/>
    <w:semiHidden/>
    <w:qFormat/>
    <w:uiPriority w:val="99"/>
    <w:pPr>
      <w:spacing w:after="120" w:line="240" w:lineRule="auto"/>
      <w:ind w:left="420" w:leftChars="200" w:firstLine="420" w:firstLineChars="200"/>
    </w:pPr>
    <w:rPr>
      <w:szCs w:val="24"/>
    </w:rPr>
  </w:style>
  <w:style w:type="table" w:styleId="27">
    <w:name w:val="Table Grid"/>
    <w:basedOn w:val="2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29">
    <w:name w:val="Strong"/>
    <w:basedOn w:val="28"/>
    <w:qFormat/>
    <w:uiPriority w:val="22"/>
    <w:rPr>
      <w:b/>
      <w:bCs/>
    </w:rPr>
  </w:style>
  <w:style w:type="character" w:styleId="30">
    <w:name w:val="FollowedHyperlink"/>
    <w:basedOn w:val="28"/>
    <w:unhideWhenUsed/>
    <w:qFormat/>
    <w:uiPriority w:val="99"/>
    <w:rPr>
      <w:color w:val="800080" w:themeColor="followedHyperlink"/>
      <w:u w:val="single"/>
    </w:rPr>
  </w:style>
  <w:style w:type="character" w:styleId="31">
    <w:name w:val="Emphasis"/>
    <w:basedOn w:val="28"/>
    <w:qFormat/>
    <w:uiPriority w:val="20"/>
    <w:rPr>
      <w:i/>
      <w:iCs/>
    </w:rPr>
  </w:style>
  <w:style w:type="character" w:styleId="32">
    <w:name w:val="Hyperlink"/>
    <w:basedOn w:val="28"/>
    <w:unhideWhenUsed/>
    <w:qFormat/>
    <w:uiPriority w:val="99"/>
    <w:rPr>
      <w:color w:val="0000FF"/>
      <w:u w:val="single"/>
    </w:rPr>
  </w:style>
  <w:style w:type="paragraph" w:customStyle="1" w:styleId="33">
    <w:name w:val="无间隔1"/>
    <w:basedOn w:val="1"/>
    <w:qFormat/>
    <w:uiPriority w:val="0"/>
    <w:pPr>
      <w:spacing w:line="400" w:lineRule="exact"/>
    </w:pPr>
    <w:rPr>
      <w:sz w:val="24"/>
    </w:rPr>
  </w:style>
  <w:style w:type="paragraph" w:customStyle="1" w:styleId="34">
    <w:name w:val="*正文"/>
    <w:basedOn w:val="1"/>
    <w:qFormat/>
    <w:uiPriority w:val="0"/>
    <w:pPr>
      <w:keepNext/>
      <w:keepLines/>
      <w:spacing w:line="360" w:lineRule="auto"/>
      <w:ind w:firstLine="200" w:firstLineChars="200"/>
    </w:pPr>
    <w:rPr>
      <w:rFonts w:ascii="宋体" w:hAnsi="宋体"/>
    </w:rPr>
  </w:style>
  <w:style w:type="character" w:customStyle="1" w:styleId="35">
    <w:name w:val="标题 1 字符"/>
    <w:basedOn w:val="28"/>
    <w:link w:val="3"/>
    <w:qFormat/>
    <w:uiPriority w:val="0"/>
    <w:rPr>
      <w:rFonts w:ascii="Calibri" w:hAnsi="Calibri" w:eastAsia="宋体" w:cs="Times New Roman"/>
      <w:b/>
      <w:bCs/>
      <w:kern w:val="44"/>
      <w:sz w:val="44"/>
      <w:szCs w:val="44"/>
    </w:rPr>
  </w:style>
  <w:style w:type="character" w:customStyle="1" w:styleId="36">
    <w:name w:val="标题 2 字符"/>
    <w:basedOn w:val="28"/>
    <w:link w:val="4"/>
    <w:qFormat/>
    <w:uiPriority w:val="0"/>
    <w:rPr>
      <w:rFonts w:ascii="Arial" w:hAnsi="Arial" w:eastAsia="黑体" w:cs="Times New Roman"/>
      <w:b/>
      <w:bCs/>
      <w:kern w:val="0"/>
      <w:sz w:val="32"/>
      <w:szCs w:val="32"/>
    </w:rPr>
  </w:style>
  <w:style w:type="character" w:customStyle="1" w:styleId="37">
    <w:name w:val="标题 3 字符"/>
    <w:basedOn w:val="28"/>
    <w:link w:val="5"/>
    <w:qFormat/>
    <w:uiPriority w:val="0"/>
    <w:rPr>
      <w:rFonts w:ascii="宋体" w:hAnsi="宋体" w:eastAsia="宋体" w:cs="Times New Roman"/>
      <w:b/>
      <w:color w:val="000000"/>
      <w:kern w:val="0"/>
      <w:sz w:val="24"/>
      <w:szCs w:val="20"/>
      <w:lang w:val="en-GB"/>
    </w:rPr>
  </w:style>
  <w:style w:type="character" w:customStyle="1" w:styleId="38">
    <w:name w:val="标题 4 字符"/>
    <w:basedOn w:val="28"/>
    <w:link w:val="6"/>
    <w:qFormat/>
    <w:uiPriority w:val="0"/>
    <w:rPr>
      <w:rFonts w:ascii="Arial" w:hAnsi="Arial" w:eastAsia="黑体" w:cs="Times New Roman"/>
      <w:b/>
      <w:bCs/>
      <w:kern w:val="0"/>
      <w:sz w:val="28"/>
      <w:szCs w:val="28"/>
    </w:rPr>
  </w:style>
  <w:style w:type="character" w:customStyle="1" w:styleId="39">
    <w:name w:val="纯文本 字符"/>
    <w:basedOn w:val="28"/>
    <w:link w:val="16"/>
    <w:qFormat/>
    <w:uiPriority w:val="0"/>
    <w:rPr>
      <w:rFonts w:eastAsia="宋体"/>
      <w:sz w:val="24"/>
    </w:rPr>
  </w:style>
  <w:style w:type="character" w:customStyle="1" w:styleId="40">
    <w:name w:val="日期 字符"/>
    <w:basedOn w:val="28"/>
    <w:link w:val="17"/>
    <w:qFormat/>
    <w:uiPriority w:val="99"/>
  </w:style>
  <w:style w:type="character" w:customStyle="1" w:styleId="41">
    <w:name w:val="页脚 字符"/>
    <w:basedOn w:val="28"/>
    <w:link w:val="18"/>
    <w:qFormat/>
    <w:uiPriority w:val="99"/>
    <w:rPr>
      <w:sz w:val="18"/>
      <w:szCs w:val="18"/>
    </w:rPr>
  </w:style>
  <w:style w:type="character" w:customStyle="1" w:styleId="42">
    <w:name w:val="页眉 字符"/>
    <w:basedOn w:val="28"/>
    <w:link w:val="19"/>
    <w:qFormat/>
    <w:uiPriority w:val="99"/>
    <w:rPr>
      <w:sz w:val="18"/>
      <w:szCs w:val="18"/>
    </w:rPr>
  </w:style>
  <w:style w:type="character" w:customStyle="1" w:styleId="43">
    <w:name w:val="纯文本 Char1"/>
    <w:qFormat/>
    <w:uiPriority w:val="0"/>
    <w:rPr>
      <w:rFonts w:eastAsia="宋体"/>
      <w:sz w:val="24"/>
    </w:rPr>
  </w:style>
  <w:style w:type="paragraph" w:customStyle="1" w:styleId="4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5">
    <w:name w:val="列出段落11"/>
    <w:basedOn w:val="1"/>
    <w:qFormat/>
    <w:uiPriority w:val="34"/>
    <w:pPr>
      <w:ind w:firstLine="420" w:firstLineChars="200"/>
    </w:pPr>
  </w:style>
  <w:style w:type="character" w:customStyle="1" w:styleId="46">
    <w:name w:val="正文文本缩进 Char Char"/>
    <w:link w:val="47"/>
    <w:qFormat/>
    <w:uiPriority w:val="0"/>
    <w:rPr>
      <w:rFonts w:ascii="宋体"/>
      <w:sz w:val="24"/>
    </w:rPr>
  </w:style>
  <w:style w:type="paragraph" w:customStyle="1" w:styleId="47">
    <w:name w:val="正文文本缩进1"/>
    <w:basedOn w:val="1"/>
    <w:link w:val="46"/>
    <w:qFormat/>
    <w:uiPriority w:val="0"/>
    <w:pPr>
      <w:spacing w:line="360" w:lineRule="auto"/>
      <w:ind w:firstLine="480" w:firstLineChars="200"/>
    </w:pPr>
    <w:rPr>
      <w:rFonts w:ascii="宋体"/>
      <w:sz w:val="24"/>
    </w:rPr>
  </w:style>
  <w:style w:type="character" w:customStyle="1" w:styleId="48">
    <w:name w:val="日期 Char Char"/>
    <w:link w:val="49"/>
    <w:qFormat/>
    <w:uiPriority w:val="0"/>
    <w:rPr>
      <w:sz w:val="24"/>
    </w:rPr>
  </w:style>
  <w:style w:type="paragraph" w:customStyle="1" w:styleId="49">
    <w:name w:val="日期1"/>
    <w:basedOn w:val="1"/>
    <w:next w:val="1"/>
    <w:link w:val="48"/>
    <w:qFormat/>
    <w:uiPriority w:val="0"/>
    <w:rPr>
      <w:sz w:val="24"/>
    </w:rPr>
  </w:style>
  <w:style w:type="paragraph" w:customStyle="1" w:styleId="5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3">
    <w:name w:val="正文文本 3 字符"/>
    <w:basedOn w:val="28"/>
    <w:link w:val="9"/>
    <w:qFormat/>
    <w:uiPriority w:val="0"/>
    <w:rPr>
      <w:rFonts w:ascii="Times New Roman" w:hAnsi="Times New Roman" w:eastAsia="宋体" w:cs="Times New Roman"/>
      <w:color w:val="FF0000"/>
      <w:sz w:val="24"/>
      <w:szCs w:val="24"/>
    </w:rPr>
  </w:style>
  <w:style w:type="character" w:customStyle="1" w:styleId="54">
    <w:name w:val="edittexttarea"/>
    <w:basedOn w:val="28"/>
    <w:qFormat/>
    <w:uiPriority w:val="0"/>
  </w:style>
  <w:style w:type="paragraph" w:customStyle="1" w:styleId="55">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6">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7">
    <w:name w:val="正文文本 字符"/>
    <w:basedOn w:val="28"/>
    <w:link w:val="10"/>
    <w:semiHidden/>
    <w:qFormat/>
    <w:uiPriority w:val="99"/>
  </w:style>
  <w:style w:type="character" w:customStyle="1" w:styleId="58">
    <w:name w:val="正文文本首行缩进 字符"/>
    <w:basedOn w:val="57"/>
    <w:link w:val="24"/>
    <w:qFormat/>
    <w:uiPriority w:val="0"/>
    <w:rPr>
      <w:rFonts w:ascii="宋体" w:hAnsi="Times New Roman" w:eastAsia="宋体" w:cs="Times New Roman"/>
      <w:kern w:val="0"/>
      <w:sz w:val="34"/>
      <w:szCs w:val="20"/>
    </w:rPr>
  </w:style>
  <w:style w:type="character" w:customStyle="1" w:styleId="59">
    <w:name w:val="HTML 预设格式 字符"/>
    <w:basedOn w:val="28"/>
    <w:link w:val="22"/>
    <w:semiHidden/>
    <w:qFormat/>
    <w:uiPriority w:val="99"/>
    <w:rPr>
      <w:rFonts w:ascii="宋体" w:hAnsi="宋体" w:eastAsia="宋体" w:cs="宋体"/>
      <w:kern w:val="0"/>
      <w:sz w:val="24"/>
      <w:szCs w:val="24"/>
    </w:rPr>
  </w:style>
  <w:style w:type="paragraph" w:customStyle="1" w:styleId="60">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61">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62">
    <w:name w:val="List Paragraph1"/>
    <w:basedOn w:val="1"/>
    <w:qFormat/>
    <w:uiPriority w:val="99"/>
    <w:pPr>
      <w:ind w:firstLine="420" w:firstLineChars="200"/>
    </w:pPr>
    <w:rPr>
      <w:rFonts w:ascii="Times New Roman" w:hAnsi="Times New Roman" w:eastAsia="宋体" w:cs="Times New Roman"/>
      <w:szCs w:val="24"/>
    </w:rPr>
  </w:style>
  <w:style w:type="paragraph" w:styleId="63">
    <w:name w:val="List Paragraph"/>
    <w:basedOn w:val="1"/>
    <w:unhideWhenUsed/>
    <w:qFormat/>
    <w:uiPriority w:val="99"/>
    <w:pPr>
      <w:ind w:firstLine="420" w:firstLineChars="200"/>
    </w:pPr>
  </w:style>
  <w:style w:type="character" w:customStyle="1" w:styleId="64">
    <w:name w:val="font01"/>
    <w:basedOn w:val="28"/>
    <w:qFormat/>
    <w:uiPriority w:val="0"/>
    <w:rPr>
      <w:rFonts w:hint="eastAsia" w:ascii="宋体" w:hAnsi="宋体" w:eastAsia="宋体" w:cs="宋体"/>
      <w:color w:val="000000"/>
      <w:sz w:val="22"/>
      <w:szCs w:val="22"/>
      <w:u w:val="none"/>
    </w:rPr>
  </w:style>
  <w:style w:type="character" w:customStyle="1" w:styleId="65">
    <w:name w:val="font21"/>
    <w:basedOn w:val="28"/>
    <w:qFormat/>
    <w:uiPriority w:val="0"/>
    <w:rPr>
      <w:rFonts w:hint="eastAsia" w:ascii="宋体" w:hAnsi="宋体" w:eastAsia="宋体" w:cs="宋体"/>
      <w:color w:val="000000"/>
      <w:sz w:val="28"/>
      <w:szCs w:val="28"/>
      <w:u w:val="none"/>
    </w:rPr>
  </w:style>
  <w:style w:type="character" w:customStyle="1" w:styleId="66">
    <w:name w:val="font11"/>
    <w:basedOn w:val="28"/>
    <w:qFormat/>
    <w:uiPriority w:val="0"/>
    <w:rPr>
      <w:rFonts w:ascii="Calibri" w:hAnsi="Calibri" w:cs="Calibri"/>
      <w:color w:val="000000"/>
      <w:sz w:val="28"/>
      <w:szCs w:val="28"/>
      <w:u w:val="none"/>
    </w:rPr>
  </w:style>
  <w:style w:type="paragraph" w:customStyle="1" w:styleId="67">
    <w:name w:val="正文 A"/>
    <w:next w:val="68"/>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8">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9">
    <w:name w:val="Table Normal"/>
    <w:qFormat/>
    <w:uiPriority w:val="0"/>
    <w:tblPr>
      <w:tblLayout w:type="fixed"/>
      <w:tblCellMar>
        <w:top w:w="0" w:type="dxa"/>
        <w:left w:w="0" w:type="dxa"/>
        <w:bottom w:w="0" w:type="dxa"/>
        <w:right w:w="0" w:type="dxa"/>
      </w:tblCellMar>
    </w:tblPr>
  </w:style>
  <w:style w:type="paragraph" w:customStyle="1" w:styleId="7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6</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2020-03-23T02:27:31Z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