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Cs/>
          <w:color w:val="000000"/>
          <w:w w:val="90"/>
          <w:sz w:val="72"/>
          <w:szCs w:val="72"/>
        </w:rPr>
      </w:pPr>
      <w:r>
        <w:rPr>
          <w:rFonts w:hint="eastAsia" w:ascii="黑体" w:hAnsi="黑体" w:eastAsia="黑体" w:cs="黑体"/>
          <w:b/>
          <w:bCs/>
          <w:sz w:val="44"/>
          <w:szCs w:val="44"/>
          <w:lang w:val="en-US" w:eastAsia="zh-CN"/>
        </w:rPr>
        <w:t>禹州市大气污染防治第三方专家咨询服务项目</w:t>
      </w:r>
    </w:p>
    <w:p>
      <w:pPr>
        <w:jc w:val="center"/>
        <w:rPr>
          <w:rFonts w:hint="eastAsia" w:ascii="黑体" w:hAnsi="黑体" w:eastAsia="黑体" w:cs="黑体"/>
          <w:bCs/>
          <w:color w:val="000000"/>
          <w:w w:val="90"/>
          <w:sz w:val="72"/>
          <w:szCs w:val="72"/>
        </w:rPr>
      </w:pPr>
    </w:p>
    <w:p>
      <w:pPr>
        <w:pStyle w:val="30"/>
        <w:rPr>
          <w:rFonts w:hint="eastAsia" w:ascii="黑体" w:hAnsi="黑体" w:eastAsia="黑体" w:cs="黑体"/>
          <w:bCs/>
          <w:color w:val="000000"/>
          <w:w w:val="90"/>
          <w:sz w:val="72"/>
          <w:szCs w:val="72"/>
        </w:rPr>
      </w:pPr>
    </w:p>
    <w:p>
      <w:pPr>
        <w:pStyle w:val="30"/>
        <w:rPr>
          <w:rFonts w:hint="eastAsia" w:ascii="黑体" w:hAnsi="黑体" w:eastAsia="黑体" w:cs="黑体"/>
          <w:bCs/>
          <w:color w:val="000000"/>
          <w:w w:val="90"/>
          <w:sz w:val="72"/>
          <w:szCs w:val="72"/>
        </w:rPr>
      </w:pPr>
    </w:p>
    <w:p>
      <w:pPr>
        <w:pStyle w:val="30"/>
        <w:rPr>
          <w:rFonts w:hint="eastAsia"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采购单位：禹州市</w:t>
      </w:r>
      <w:r>
        <w:rPr>
          <w:rFonts w:hint="eastAsia" w:ascii="仿宋" w:hAnsi="仿宋" w:eastAsia="仿宋" w:cs="仿宋"/>
          <w:b/>
          <w:bCs/>
          <w:color w:val="000000"/>
          <w:sz w:val="32"/>
          <w:szCs w:val="32"/>
          <w:lang w:eastAsia="zh-CN"/>
        </w:rPr>
        <w:t>环境保护</w:t>
      </w:r>
      <w:r>
        <w:rPr>
          <w:rFonts w:hint="eastAsia" w:ascii="仿宋" w:hAnsi="仿宋" w:eastAsia="仿宋" w:cs="仿宋"/>
          <w:b/>
          <w:bCs/>
          <w:color w:val="000000"/>
          <w:sz w:val="32"/>
          <w:szCs w:val="32"/>
        </w:rPr>
        <w:t>局</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w:t>
      </w:r>
      <w:r>
        <w:rPr>
          <w:rFonts w:hint="eastAsia" w:ascii="仿宋" w:hAnsi="仿宋" w:eastAsia="仿宋" w:cs="仿宋"/>
          <w:b/>
          <w:bCs/>
          <w:color w:val="000000"/>
          <w:sz w:val="32"/>
          <w:szCs w:val="32"/>
          <w:lang w:val="en-US" w:eastAsia="zh-CN"/>
        </w:rPr>
        <w:t>20037</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二〇二〇年</w:t>
      </w:r>
      <w:r>
        <w:rPr>
          <w:rFonts w:hint="eastAsia" w:ascii="仿宋" w:hAnsi="仿宋" w:eastAsia="仿宋" w:cs="仿宋"/>
          <w:b/>
          <w:bCs/>
          <w:color w:val="000000"/>
          <w:sz w:val="36"/>
          <w:szCs w:val="36"/>
          <w:lang w:eastAsia="zh-CN"/>
        </w:rPr>
        <w:t>三</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pStyle w:val="30"/>
      </w:pPr>
    </w:p>
    <w:p>
      <w:pPr>
        <w:pStyle w:val="30"/>
      </w:pPr>
    </w:p>
    <w:p>
      <w:pPr>
        <w:pStyle w:val="30"/>
      </w:pPr>
    </w:p>
    <w:p>
      <w:pPr>
        <w:pStyle w:val="21"/>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1"/>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lang w:eastAsia="zh-CN"/>
        </w:rPr>
      </w:pPr>
      <w:r>
        <w:rPr>
          <w:rFonts w:hint="eastAsia" w:ascii="黑体" w:hAnsi="黑体" w:eastAsia="黑体" w:cs="黑体"/>
          <w:b/>
          <w:bCs/>
          <w:sz w:val="36"/>
          <w:szCs w:val="36"/>
          <w:lang w:eastAsia="zh-CN"/>
        </w:rPr>
        <w:t>禹州市大气污染防治第三方专家咨询服务项目</w:t>
      </w:r>
    </w:p>
    <w:p>
      <w:pPr>
        <w:spacing w:line="600" w:lineRule="exact"/>
        <w:jc w:val="center"/>
        <w:rPr>
          <w:rFonts w:hint="eastAsia" w:ascii="黑体" w:hAnsi="黑体" w:eastAsia="黑体" w:cs="黑体"/>
          <w:b/>
          <w:bCs/>
          <w:sz w:val="36"/>
          <w:szCs w:val="36"/>
          <w:lang w:eastAsia="zh-CN"/>
        </w:rPr>
      </w:pPr>
      <w:r>
        <w:rPr>
          <w:rFonts w:hint="eastAsia" w:ascii="黑体" w:hAnsi="黑体" w:eastAsia="黑体" w:cs="黑体"/>
          <w:b/>
          <w:bCs/>
          <w:sz w:val="36"/>
          <w:szCs w:val="36"/>
        </w:rPr>
        <w:t xml:space="preserve">招    标   </w:t>
      </w:r>
      <w:r>
        <w:rPr>
          <w:rFonts w:hint="eastAsia" w:ascii="黑体" w:hAnsi="黑体" w:eastAsia="黑体" w:cs="黑体"/>
          <w:b/>
          <w:bCs/>
          <w:sz w:val="36"/>
          <w:szCs w:val="36"/>
          <w:lang w:eastAsia="zh-CN"/>
        </w:rPr>
        <w:t>邀</w:t>
      </w: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lang w:eastAsia="zh-CN"/>
        </w:rPr>
        <w:t>请</w:t>
      </w: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lang w:eastAsia="zh-CN"/>
        </w:rPr>
        <w:t>函</w:t>
      </w:r>
    </w:p>
    <w:p>
      <w:pPr>
        <w:pStyle w:val="21"/>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禹州市政府采购中心受禹州市</w:t>
      </w:r>
      <w:r>
        <w:rPr>
          <w:rFonts w:hint="eastAsia" w:ascii="仿宋" w:hAnsi="仿宋" w:eastAsia="仿宋" w:cs="仿宋"/>
          <w:sz w:val="32"/>
          <w:szCs w:val="32"/>
          <w:lang w:eastAsia="zh-CN"/>
        </w:rPr>
        <w:t>环境保护局</w:t>
      </w:r>
      <w:r>
        <w:rPr>
          <w:rFonts w:hint="eastAsia" w:ascii="仿宋" w:hAnsi="仿宋" w:eastAsia="仿宋" w:cs="仿宋"/>
          <w:sz w:val="32"/>
          <w:szCs w:val="32"/>
        </w:rPr>
        <w:t>的委托，就“</w:t>
      </w:r>
      <w:r>
        <w:rPr>
          <w:rFonts w:hint="eastAsia" w:ascii="仿宋" w:hAnsi="仿宋" w:eastAsia="仿宋" w:cs="仿宋"/>
          <w:sz w:val="32"/>
          <w:szCs w:val="32"/>
          <w:lang w:eastAsia="zh-CN"/>
        </w:rPr>
        <w:t>禹州市大气污染防治第三方专家咨询服务项目</w:t>
      </w:r>
      <w:r>
        <w:rPr>
          <w:rFonts w:hint="eastAsia" w:ascii="仿宋" w:hAnsi="仿宋" w:eastAsia="仿宋" w:cs="仿宋"/>
          <w:sz w:val="32"/>
          <w:szCs w:val="32"/>
        </w:rPr>
        <w:t>”进行公开招标，欢迎合格的投标人前来投标。</w:t>
      </w:r>
    </w:p>
    <w:p>
      <w:pPr>
        <w:pStyle w:val="61"/>
        <w:widowControl/>
        <w:numPr>
          <w:ilvl w:val="0"/>
          <w:numId w:val="5"/>
        </w:numPr>
        <w:shd w:val="clear" w:color="auto" w:fill="FFFFFF"/>
        <w:spacing w:line="400" w:lineRule="exact"/>
        <w:ind w:firstLineChars="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项目基本情况</w:t>
      </w:r>
    </w:p>
    <w:p>
      <w:pPr>
        <w:widowControl/>
        <w:shd w:val="clear" w:color="auto" w:fill="FFFFFF"/>
        <w:spacing w:line="400" w:lineRule="exact"/>
        <w:ind w:firstLine="160" w:firstLineChars="50"/>
        <w:jc w:val="left"/>
        <w:rPr>
          <w:rFonts w:ascii="仿宋" w:hAnsi="仿宋" w:eastAsia="仿宋" w:cs="仿宋"/>
          <w:sz w:val="32"/>
          <w:szCs w:val="32"/>
        </w:rPr>
      </w:pPr>
      <w:r>
        <w:rPr>
          <w:rFonts w:hint="eastAsia" w:ascii="仿宋" w:hAnsi="仿宋" w:eastAsia="仿宋" w:cs="仿宋"/>
          <w:sz w:val="32"/>
          <w:szCs w:val="32"/>
        </w:rPr>
        <w:t>1.采购人：禹州市</w:t>
      </w:r>
      <w:r>
        <w:rPr>
          <w:rFonts w:hint="eastAsia" w:ascii="仿宋" w:hAnsi="仿宋" w:eastAsia="仿宋" w:cs="仿宋"/>
          <w:sz w:val="32"/>
          <w:szCs w:val="32"/>
          <w:lang w:eastAsia="zh-CN"/>
        </w:rPr>
        <w:t>环境保护</w:t>
      </w:r>
      <w:r>
        <w:rPr>
          <w:rFonts w:hint="eastAsia" w:ascii="仿宋" w:hAnsi="仿宋" w:eastAsia="仿宋" w:cs="仿宋"/>
          <w:sz w:val="32"/>
          <w:szCs w:val="32"/>
        </w:rPr>
        <w:t>局</w:t>
      </w:r>
    </w:p>
    <w:p>
      <w:pPr>
        <w:spacing w:line="600" w:lineRule="exact"/>
        <w:ind w:firstLine="160" w:firstLineChars="50"/>
        <w:rPr>
          <w:rFonts w:hint="eastAsia" w:ascii="仿宋" w:hAnsi="仿宋" w:eastAsia="仿宋" w:cs="仿宋"/>
          <w:color w:val="000000"/>
          <w:kern w:val="0"/>
          <w:sz w:val="30"/>
          <w:szCs w:val="30"/>
        </w:rPr>
      </w:pPr>
      <w:r>
        <w:rPr>
          <w:rFonts w:hint="eastAsia" w:ascii="仿宋" w:hAnsi="仿宋" w:eastAsia="仿宋" w:cs="仿宋"/>
          <w:color w:val="000000"/>
          <w:kern w:val="0"/>
          <w:sz w:val="32"/>
          <w:szCs w:val="32"/>
        </w:rPr>
        <w:t>2.项目名称：</w:t>
      </w:r>
      <w:r>
        <w:rPr>
          <w:rFonts w:hint="eastAsia" w:ascii="仿宋" w:hAnsi="仿宋" w:eastAsia="仿宋" w:cs="仿宋"/>
          <w:color w:val="000000"/>
          <w:kern w:val="0"/>
          <w:sz w:val="30"/>
          <w:szCs w:val="30"/>
        </w:rPr>
        <w:t>禹州市大气污染防治第三方专家咨询服务项目</w:t>
      </w:r>
    </w:p>
    <w:p>
      <w:pPr>
        <w:spacing w:line="600" w:lineRule="exact"/>
        <w:ind w:firstLine="160" w:firstLineChars="50"/>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w:t>
      </w:r>
      <w:r>
        <w:rPr>
          <w:rFonts w:hint="eastAsia" w:ascii="仿宋" w:hAnsi="仿宋" w:eastAsia="仿宋" w:cs="仿宋"/>
          <w:sz w:val="32"/>
          <w:szCs w:val="32"/>
          <w:lang w:val="en-US" w:eastAsia="zh-CN"/>
        </w:rPr>
        <w:t>20038</w:t>
      </w:r>
    </w:p>
    <w:p>
      <w:pPr>
        <w:spacing w:line="600" w:lineRule="exact"/>
        <w:ind w:firstLine="160" w:firstLineChars="5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4、项目需求：</w:t>
      </w:r>
      <w:r>
        <w:rPr>
          <w:rFonts w:hint="eastAsia" w:ascii="仿宋" w:hAnsi="仿宋" w:eastAsia="仿宋" w:cs="仿宋"/>
          <w:color w:val="000000"/>
          <w:kern w:val="0"/>
          <w:sz w:val="32"/>
          <w:szCs w:val="32"/>
          <w:lang w:eastAsia="zh-CN"/>
        </w:rPr>
        <w:t>大气污染防治第三方专家咨询服务</w:t>
      </w:r>
      <w:r>
        <w:rPr>
          <w:rFonts w:hint="eastAsia" w:ascii="仿宋" w:hAnsi="仿宋" w:eastAsia="仿宋" w:cs="仿宋"/>
          <w:color w:val="000000"/>
          <w:kern w:val="0"/>
          <w:sz w:val="32"/>
          <w:szCs w:val="32"/>
        </w:rPr>
        <w:t>（详见招标文件）</w:t>
      </w:r>
    </w:p>
    <w:p>
      <w:pPr>
        <w:spacing w:line="600" w:lineRule="exact"/>
        <w:ind w:firstLine="160" w:firstLineChars="50"/>
        <w:rPr>
          <w:rFonts w:hint="eastAsia" w:ascii="仿宋" w:hAnsi="仿宋" w:eastAsia="仿宋" w:cs="仿宋"/>
          <w:sz w:val="32"/>
          <w:szCs w:val="32"/>
        </w:rPr>
      </w:pPr>
      <w:r>
        <w:rPr>
          <w:rFonts w:hint="eastAsia" w:ascii="仿宋" w:hAnsi="仿宋" w:eastAsia="仿宋" w:cs="仿宋"/>
          <w:color w:val="000000"/>
          <w:kern w:val="0"/>
          <w:sz w:val="32"/>
          <w:szCs w:val="32"/>
        </w:rPr>
        <w:t>5、采购预算：</w:t>
      </w:r>
      <w:r>
        <w:rPr>
          <w:rFonts w:hint="eastAsia" w:ascii="仿宋" w:hAnsi="仿宋" w:eastAsia="仿宋" w:cs="仿宋"/>
          <w:kern w:val="0"/>
          <w:sz w:val="32"/>
          <w:szCs w:val="32"/>
          <w:lang w:val="en-US" w:eastAsia="zh-CN"/>
        </w:rPr>
        <w:t>372万</w:t>
      </w:r>
      <w:r>
        <w:rPr>
          <w:rFonts w:hint="eastAsia" w:ascii="仿宋" w:hAnsi="仿宋" w:eastAsia="仿宋" w:cs="仿宋"/>
          <w:sz w:val="32"/>
          <w:szCs w:val="32"/>
        </w:rPr>
        <w:t>元</w:t>
      </w:r>
    </w:p>
    <w:p>
      <w:pPr>
        <w:spacing w:line="600" w:lineRule="exact"/>
        <w:ind w:firstLine="160" w:firstLineChars="50"/>
        <w:rPr>
          <w:rFonts w:ascii="仿宋" w:hAnsi="仿宋" w:eastAsia="仿宋" w:cs="仿宋"/>
          <w:sz w:val="32"/>
          <w:szCs w:val="32"/>
        </w:rPr>
      </w:pPr>
      <w:r>
        <w:rPr>
          <w:rFonts w:hint="eastAsia" w:ascii="仿宋" w:hAnsi="仿宋" w:eastAsia="仿宋" w:cs="仿宋"/>
          <w:sz w:val="32"/>
          <w:szCs w:val="32"/>
        </w:rPr>
        <w:t>6、采购限价：</w:t>
      </w:r>
      <w:r>
        <w:rPr>
          <w:rFonts w:hint="eastAsia" w:ascii="仿宋" w:hAnsi="仿宋" w:eastAsia="仿宋" w:cs="仿宋"/>
          <w:sz w:val="32"/>
          <w:szCs w:val="32"/>
          <w:lang w:val="en-US" w:eastAsia="zh-CN"/>
        </w:rPr>
        <w:t>372</w:t>
      </w:r>
      <w:r>
        <w:rPr>
          <w:rFonts w:hint="eastAsia" w:ascii="仿宋" w:hAnsi="仿宋" w:eastAsia="仿宋" w:cs="仿宋"/>
          <w:sz w:val="32"/>
          <w:szCs w:val="32"/>
        </w:rPr>
        <w:t>万元</w:t>
      </w:r>
    </w:p>
    <w:p>
      <w:pPr>
        <w:widowControl/>
        <w:shd w:val="clear" w:color="auto" w:fill="FFFFFF"/>
        <w:spacing w:line="400" w:lineRule="exact"/>
        <w:ind w:firstLine="472" w:firstLineChars="147"/>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widowControl/>
        <w:shd w:val="clear" w:color="auto" w:fill="FFFFFF"/>
        <w:spacing w:line="400" w:lineRule="exact"/>
        <w:ind w:left="482"/>
        <w:jc w:val="left"/>
        <w:rPr>
          <w:rFonts w:ascii="仿宋" w:hAnsi="仿宋" w:eastAsia="仿宋" w:cs="仿宋"/>
          <w:sz w:val="32"/>
          <w:szCs w:val="32"/>
        </w:rPr>
      </w:pPr>
      <w:r>
        <w:rPr>
          <w:rFonts w:hint="eastAsia" w:ascii="仿宋" w:hAnsi="仿宋" w:eastAsia="仿宋" w:cs="仿宋"/>
          <w:sz w:val="32"/>
          <w:szCs w:val="32"/>
        </w:rPr>
        <w:t>1、符合《政府采购法》第二十二条之规定</w:t>
      </w:r>
      <w:r>
        <w:rPr>
          <w:rFonts w:hint="eastAsia" w:ascii="仿宋" w:hAnsi="仿宋" w:eastAsia="仿宋" w:cs="仿宋"/>
          <w:sz w:val="32"/>
          <w:szCs w:val="32"/>
          <w:lang w:eastAsia="zh-CN"/>
        </w:rPr>
        <w:t>，具有独立法人资格及</w:t>
      </w:r>
      <w:r>
        <w:rPr>
          <w:rFonts w:hint="eastAsia" w:ascii="仿宋" w:hAnsi="仿宋" w:eastAsia="仿宋" w:cs="仿宋"/>
          <w:sz w:val="32"/>
          <w:szCs w:val="32"/>
        </w:rPr>
        <w:t>相应的经营范围（以营业执照为准）；</w:t>
      </w:r>
    </w:p>
    <w:p>
      <w:pPr>
        <w:spacing w:line="400" w:lineRule="exact"/>
        <w:ind w:left="319" w:leftChars="152" w:firstLine="160" w:firstLineChars="50"/>
        <w:rPr>
          <w:rFonts w:ascii="仿宋" w:hAnsi="仿宋" w:eastAsia="仿宋" w:cs="仿宋"/>
          <w:sz w:val="32"/>
          <w:szCs w:val="32"/>
        </w:rPr>
      </w:pPr>
      <w:r>
        <w:rPr>
          <w:rFonts w:hint="eastAsia" w:ascii="仿宋" w:hAnsi="仿宋" w:eastAsia="仿宋" w:cs="仿宋"/>
          <w:sz w:val="32"/>
          <w:szCs w:val="32"/>
        </w:rPr>
        <w:t>2、被委托人是须是本单位职工，须提供公司为本人缴纳社会保险证明；</w:t>
      </w:r>
    </w:p>
    <w:p>
      <w:pPr>
        <w:spacing w:line="40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3、本项目不接受联合体投标。</w:t>
      </w:r>
    </w:p>
    <w:p>
      <w:pPr>
        <w:keepNext w:val="0"/>
        <w:keepLines w:val="0"/>
        <w:pageBreakBefore w:val="0"/>
        <w:widowControl/>
        <w:shd w:val="clear" w:color="auto" w:fill="FFFFFF"/>
        <w:kinsoku/>
        <w:overflowPunct/>
        <w:bidi w:val="0"/>
        <w:spacing w:line="400" w:lineRule="exact"/>
        <w:ind w:firstLine="482"/>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四、获取</w:t>
      </w:r>
      <w:r>
        <w:rPr>
          <w:rFonts w:hint="eastAsia" w:ascii="黑体" w:hAnsi="黑体" w:eastAsia="黑体" w:cs="Arial"/>
          <w:b/>
          <w:color w:val="000000"/>
          <w:kern w:val="0"/>
          <w:sz w:val="32"/>
          <w:szCs w:val="32"/>
          <w:lang w:eastAsia="zh-CN"/>
        </w:rPr>
        <w:t>招标</w:t>
      </w:r>
      <w:r>
        <w:rPr>
          <w:rFonts w:ascii="黑体" w:hAnsi="黑体" w:eastAsia="黑体" w:cs="Arial"/>
          <w:b/>
          <w:color w:val="000000"/>
          <w:kern w:val="0"/>
          <w:sz w:val="32"/>
          <w:szCs w:val="32"/>
        </w:rPr>
        <w:t>文件的</w:t>
      </w:r>
      <w:r>
        <w:rPr>
          <w:rFonts w:hint="eastAsia" w:ascii="黑体" w:hAnsi="黑体" w:eastAsia="黑体" w:cs="Arial"/>
          <w:b/>
          <w:color w:val="000000"/>
          <w:kern w:val="0"/>
          <w:sz w:val="32"/>
          <w:szCs w:val="32"/>
        </w:rPr>
        <w:t>方式、时间、</w:t>
      </w:r>
      <w:r>
        <w:rPr>
          <w:rFonts w:ascii="黑体" w:hAnsi="黑体" w:eastAsia="黑体" w:cs="Arial"/>
          <w:b/>
          <w:color w:val="000000"/>
          <w:kern w:val="0"/>
          <w:sz w:val="32"/>
          <w:szCs w:val="32"/>
        </w:rPr>
        <w:t>地点</w:t>
      </w:r>
    </w:p>
    <w:p>
      <w:pPr>
        <w:keepNext w:val="0"/>
        <w:keepLines w:val="0"/>
        <w:pageBreakBefore w:val="0"/>
        <w:kinsoku/>
        <w:wordWrap w:val="0"/>
        <w:overflowPunct/>
        <w:topLinePunct/>
        <w:bidi w:val="0"/>
        <w:snapToGrid w:val="0"/>
        <w:spacing w:line="40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w:t>
      </w:r>
      <w:r>
        <w:rPr>
          <w:rFonts w:hint="eastAsia" w:ascii="仿宋" w:hAnsi="仿宋" w:eastAsia="仿宋" w:cs="宋体"/>
          <w:sz w:val="32"/>
          <w:szCs w:val="32"/>
          <w:lang w:val="zh-CN"/>
        </w:rPr>
        <w:t>、持</w:t>
      </w:r>
      <w:r>
        <w:rPr>
          <w:rFonts w:hint="eastAsia" w:ascii="仿宋" w:hAnsi="仿宋" w:eastAsia="仿宋" w:cs="宋体"/>
          <w:sz w:val="32"/>
          <w:szCs w:val="32"/>
        </w:rPr>
        <w:t>CA</w:t>
      </w:r>
      <w:r>
        <w:rPr>
          <w:rFonts w:hint="eastAsia" w:ascii="仿宋" w:hAnsi="仿宋" w:eastAsia="仿宋" w:cs="宋体"/>
          <w:sz w:val="32"/>
          <w:szCs w:val="32"/>
          <w:lang w:val="zh-CN"/>
        </w:rPr>
        <w:t>数字认证证书</w:t>
      </w:r>
      <w:r>
        <w:rPr>
          <w:rFonts w:hint="eastAsia" w:ascii="仿宋" w:hAnsi="仿宋" w:eastAsia="仿宋" w:cs="宋体"/>
          <w:sz w:val="32"/>
          <w:szCs w:val="32"/>
        </w:rPr>
        <w:t>，</w:t>
      </w:r>
      <w:r>
        <w:rPr>
          <w:rFonts w:hint="eastAsia" w:ascii="仿宋" w:hAnsi="仿宋" w:eastAsia="仿宋" w:cs="宋体"/>
          <w:sz w:val="32"/>
          <w:szCs w:val="32"/>
          <w:lang w:val="zh-CN"/>
        </w:rPr>
        <w:t>登录</w:t>
      </w:r>
      <w:r>
        <w:rPr>
          <w:sz w:val="32"/>
          <w:szCs w:val="32"/>
        </w:rPr>
        <w:fldChar w:fldCharType="begin"/>
      </w:r>
      <w:r>
        <w:rPr>
          <w:sz w:val="32"/>
          <w:szCs w:val="32"/>
        </w:rPr>
        <w:instrText xml:space="preserve"> HYPERLINK "http://221.14.6.70:8088/ggzy/eps/public/RegistAllJcxx.html" </w:instrText>
      </w:r>
      <w:r>
        <w:rPr>
          <w:sz w:val="32"/>
          <w:szCs w:val="32"/>
        </w:rPr>
        <w:fldChar w:fldCharType="separate"/>
      </w:r>
      <w:r>
        <w:rPr>
          <w:rFonts w:hint="eastAsia" w:ascii="仿宋" w:hAnsi="仿宋" w:eastAsia="仿宋" w:cs="宋体"/>
          <w:sz w:val="32"/>
          <w:szCs w:val="32"/>
        </w:rPr>
        <w:t>http://221.14.6.70:8088/ggzy/eps/public/RegistAllJcxx.html</w:t>
      </w:r>
      <w:r>
        <w:rPr>
          <w:rFonts w:hint="eastAsia" w:ascii="仿宋" w:hAnsi="仿宋" w:eastAsia="仿宋" w:cs="宋体"/>
          <w:sz w:val="32"/>
          <w:szCs w:val="32"/>
        </w:rPr>
        <w:fldChar w:fldCharType="end"/>
      </w:r>
      <w:r>
        <w:rPr>
          <w:rFonts w:hint="eastAsia" w:ascii="仿宋" w:hAnsi="仿宋" w:eastAsia="仿宋" w:cs="宋体"/>
          <w:sz w:val="32"/>
          <w:szCs w:val="32"/>
          <w:lang w:val="zh-CN"/>
        </w:rPr>
        <w:t>进行免费注册登记</w:t>
      </w:r>
      <w:r>
        <w:rPr>
          <w:rFonts w:hint="eastAsia" w:ascii="仿宋" w:hAnsi="仿宋" w:eastAsia="仿宋" w:cs="宋体"/>
          <w:sz w:val="32"/>
          <w:szCs w:val="32"/>
        </w:rPr>
        <w:t>（</w:t>
      </w:r>
      <w:r>
        <w:rPr>
          <w:rFonts w:hint="eastAsia" w:ascii="仿宋" w:hAnsi="仿宋" w:eastAsia="仿宋" w:cs="宋体"/>
          <w:sz w:val="32"/>
          <w:szCs w:val="32"/>
          <w:lang w:val="zh-CN"/>
        </w:rPr>
        <w:t>详见全国公共资源交易平台</w:t>
      </w:r>
      <w:r>
        <w:rPr>
          <w:rFonts w:hint="eastAsia" w:ascii="仿宋" w:hAnsi="仿宋" w:eastAsia="仿宋" w:cs="宋体"/>
          <w:sz w:val="32"/>
          <w:szCs w:val="32"/>
        </w:rPr>
        <w:t>（</w:t>
      </w:r>
      <w:r>
        <w:rPr>
          <w:rFonts w:hint="eastAsia" w:ascii="仿宋" w:hAnsi="仿宋" w:eastAsia="仿宋" w:cs="宋体"/>
          <w:sz w:val="32"/>
          <w:szCs w:val="32"/>
          <w:lang w:val="zh-CN"/>
        </w:rPr>
        <w:t>河南省</w:t>
      </w:r>
      <w:r>
        <w:rPr>
          <w:rFonts w:hint="eastAsia" w:ascii="仿宋" w:hAnsi="仿宋" w:eastAsia="仿宋" w:cs="宋体"/>
          <w:sz w:val="32"/>
          <w:szCs w:val="32"/>
        </w:rPr>
        <w:t>·</w:t>
      </w:r>
      <w:r>
        <w:rPr>
          <w:rFonts w:hint="eastAsia" w:ascii="仿宋" w:hAnsi="仿宋" w:eastAsia="仿宋" w:cs="宋体"/>
          <w:sz w:val="32"/>
          <w:szCs w:val="32"/>
          <w:lang w:val="zh-CN"/>
        </w:rPr>
        <w:t>许昌市</w:t>
      </w:r>
      <w:r>
        <w:rPr>
          <w:rFonts w:hint="eastAsia" w:ascii="仿宋" w:hAnsi="仿宋" w:eastAsia="仿宋" w:cs="宋体"/>
          <w:sz w:val="32"/>
          <w:szCs w:val="32"/>
        </w:rPr>
        <w:t>）“</w:t>
      </w:r>
      <w:r>
        <w:rPr>
          <w:rFonts w:hint="eastAsia" w:ascii="仿宋" w:hAnsi="仿宋" w:eastAsia="仿宋" w:cs="宋体"/>
          <w:sz w:val="32"/>
          <w:szCs w:val="32"/>
          <w:lang w:val="zh-CN"/>
        </w:rPr>
        <w:t>常见问题解答</w:t>
      </w:r>
      <w:r>
        <w:rPr>
          <w:rFonts w:hint="eastAsia" w:ascii="仿宋" w:hAnsi="仿宋" w:eastAsia="仿宋" w:cs="宋体"/>
          <w:sz w:val="32"/>
          <w:szCs w:val="32"/>
        </w:rPr>
        <w:t>-</w:t>
      </w:r>
      <w:r>
        <w:rPr>
          <w:rFonts w:hint="eastAsia" w:ascii="仿宋" w:hAnsi="仿宋" w:eastAsia="仿宋" w:cs="宋体"/>
          <w:sz w:val="32"/>
          <w:szCs w:val="32"/>
          <w:lang w:val="zh-CN"/>
        </w:rPr>
        <w:t>诚信库网上注册相关资料下载</w:t>
      </w:r>
      <w:r>
        <w:rPr>
          <w:rFonts w:hint="eastAsia" w:ascii="仿宋" w:hAnsi="仿宋" w:eastAsia="仿宋" w:cs="宋体"/>
          <w:sz w:val="32"/>
          <w:szCs w:val="32"/>
        </w:rPr>
        <w:t>”）；</w:t>
      </w:r>
    </w:p>
    <w:p>
      <w:pPr>
        <w:keepNext w:val="0"/>
        <w:keepLines w:val="0"/>
        <w:pageBreakBefore w:val="0"/>
        <w:kinsoku/>
        <w:wordWrap w:val="0"/>
        <w:overflowPunct/>
        <w:topLinePunct/>
        <w:autoSpaceDE w:val="0"/>
        <w:autoSpaceDN w:val="0"/>
        <w:bidi w:val="0"/>
        <w:adjustRightInd w:val="0"/>
        <w:snapToGrid w:val="0"/>
        <w:spacing w:line="400" w:lineRule="exact"/>
        <w:ind w:firstLine="640" w:firstLineChars="200"/>
        <w:textAlignment w:val="auto"/>
        <w:rPr>
          <w:rFonts w:ascii="楷体" w:hAnsi="楷体" w:eastAsia="楷体" w:cs="宋体"/>
          <w:sz w:val="32"/>
          <w:szCs w:val="32"/>
        </w:rPr>
      </w:pPr>
      <w:r>
        <w:rPr>
          <w:rFonts w:hint="eastAsia" w:ascii="仿宋" w:hAnsi="仿宋" w:eastAsia="仿宋" w:cs="宋体"/>
          <w:sz w:val="32"/>
          <w:szCs w:val="32"/>
        </w:rPr>
        <w:t>2</w:t>
      </w:r>
      <w:r>
        <w:rPr>
          <w:rFonts w:hint="eastAsia" w:ascii="仿宋" w:hAnsi="仿宋" w:eastAsia="仿宋" w:cs="宋体"/>
          <w:sz w:val="32"/>
          <w:szCs w:val="32"/>
          <w:lang w:val="zh-CN"/>
        </w:rPr>
        <w:t>、在投标截止时间前登录</w:t>
      </w:r>
      <w:r>
        <w:rPr>
          <w:sz w:val="32"/>
          <w:szCs w:val="32"/>
        </w:rPr>
        <w:fldChar w:fldCharType="begin"/>
      </w:r>
      <w:r>
        <w:rPr>
          <w:sz w:val="32"/>
          <w:szCs w:val="32"/>
        </w:rPr>
        <w:instrText xml:space="preserve"> HYPERLINK "http://221.14.6.70:8088/ggzy/" </w:instrText>
      </w:r>
      <w:r>
        <w:rPr>
          <w:sz w:val="32"/>
          <w:szCs w:val="32"/>
        </w:rPr>
        <w:fldChar w:fldCharType="separate"/>
      </w:r>
      <w:r>
        <w:rPr>
          <w:rFonts w:hint="eastAsia" w:ascii="仿宋" w:hAnsi="仿宋" w:eastAsia="仿宋" w:cs="宋体"/>
          <w:sz w:val="32"/>
          <w:szCs w:val="32"/>
        </w:rPr>
        <w:t>http://g</w:t>
      </w:r>
      <w:r>
        <w:rPr>
          <w:rFonts w:hint="eastAsia" w:ascii="仿宋" w:hAnsi="仿宋" w:eastAsia="仿宋" w:cs="宋体"/>
          <w:sz w:val="32"/>
          <w:szCs w:val="32"/>
        </w:rPr>
        <w:fldChar w:fldCharType="end"/>
      </w:r>
      <w:r>
        <w:rPr>
          <w:rFonts w:hint="eastAsia" w:ascii="仿宋" w:hAnsi="仿宋" w:eastAsia="仿宋" w:cs="宋体"/>
          <w:sz w:val="32"/>
          <w:szCs w:val="32"/>
        </w:rPr>
        <w:t>gzy.xuchang.gov.cn，</w:t>
      </w:r>
      <w:r>
        <w:rPr>
          <w:rFonts w:hint="eastAsia" w:ascii="仿宋" w:hAnsi="仿宋" w:eastAsia="仿宋" w:cs="宋体"/>
          <w:sz w:val="32"/>
          <w:szCs w:val="32"/>
          <w:lang w:val="zh-CN"/>
        </w:rPr>
        <w:t>自行下载招标文件</w:t>
      </w:r>
      <w:r>
        <w:rPr>
          <w:rFonts w:hint="eastAsia" w:ascii="仿宋" w:hAnsi="仿宋" w:eastAsia="仿宋" w:cs="宋体"/>
          <w:sz w:val="32"/>
          <w:szCs w:val="32"/>
        </w:rPr>
        <w:t>（</w:t>
      </w:r>
      <w:r>
        <w:rPr>
          <w:rFonts w:hint="eastAsia" w:ascii="仿宋" w:hAnsi="仿宋" w:eastAsia="仿宋" w:cs="宋体"/>
          <w:sz w:val="32"/>
          <w:szCs w:val="32"/>
          <w:lang w:val="zh-CN"/>
        </w:rPr>
        <w:t>详见全国公共资源交易平台</w:t>
      </w:r>
      <w:r>
        <w:rPr>
          <w:rFonts w:hint="eastAsia" w:ascii="仿宋" w:hAnsi="仿宋" w:eastAsia="仿宋" w:cs="宋体"/>
          <w:sz w:val="32"/>
          <w:szCs w:val="32"/>
        </w:rPr>
        <w:t>（</w:t>
      </w:r>
      <w:r>
        <w:rPr>
          <w:rFonts w:hint="eastAsia" w:ascii="仿宋" w:hAnsi="仿宋" w:eastAsia="仿宋" w:cs="宋体"/>
          <w:sz w:val="32"/>
          <w:szCs w:val="32"/>
          <w:lang w:val="zh-CN"/>
        </w:rPr>
        <w:t>河南省</w:t>
      </w:r>
      <w:r>
        <w:rPr>
          <w:rFonts w:hint="eastAsia" w:ascii="仿宋" w:hAnsi="仿宋" w:eastAsia="仿宋" w:cs="宋体"/>
          <w:sz w:val="32"/>
          <w:szCs w:val="32"/>
        </w:rPr>
        <w:t>·</w:t>
      </w:r>
      <w:r>
        <w:rPr>
          <w:rFonts w:hint="eastAsia" w:ascii="仿宋" w:hAnsi="仿宋" w:eastAsia="仿宋" w:cs="宋体"/>
          <w:sz w:val="32"/>
          <w:szCs w:val="32"/>
          <w:lang w:val="zh-CN"/>
        </w:rPr>
        <w:t>许昌市</w:t>
      </w:r>
      <w:r>
        <w:rPr>
          <w:rFonts w:hint="eastAsia" w:ascii="仿宋" w:hAnsi="仿宋" w:eastAsia="仿宋" w:cs="宋体"/>
          <w:sz w:val="32"/>
          <w:szCs w:val="32"/>
        </w:rPr>
        <w:t>）“</w:t>
      </w:r>
      <w:r>
        <w:rPr>
          <w:rFonts w:hint="eastAsia" w:ascii="仿宋" w:hAnsi="仿宋" w:eastAsia="仿宋" w:cs="宋体"/>
          <w:sz w:val="32"/>
          <w:szCs w:val="32"/>
          <w:lang w:val="zh-CN"/>
        </w:rPr>
        <w:t>常见问题解答</w:t>
      </w:r>
      <w:r>
        <w:rPr>
          <w:rFonts w:hint="eastAsia" w:ascii="仿宋" w:hAnsi="仿宋" w:eastAsia="仿宋" w:cs="宋体"/>
          <w:sz w:val="32"/>
          <w:szCs w:val="32"/>
        </w:rPr>
        <w:t>-</w:t>
      </w:r>
      <w:r>
        <w:rPr>
          <w:rFonts w:hint="eastAsia" w:ascii="仿宋" w:hAnsi="仿宋" w:eastAsia="仿宋" w:cs="宋体"/>
          <w:sz w:val="32"/>
          <w:szCs w:val="32"/>
          <w:lang w:val="zh-CN"/>
        </w:rPr>
        <w:t>交易系统操作手册</w:t>
      </w:r>
      <w:r>
        <w:rPr>
          <w:rFonts w:hint="eastAsia" w:ascii="仿宋" w:hAnsi="仿宋" w:eastAsia="仿宋" w:cs="宋体"/>
          <w:sz w:val="32"/>
          <w:szCs w:val="32"/>
        </w:rPr>
        <w:t>”）</w:t>
      </w:r>
      <w:r>
        <w:rPr>
          <w:rFonts w:hint="eastAsia" w:ascii="仿宋" w:hAnsi="仿宋" w:eastAsia="仿宋" w:cs="宋体"/>
          <w:sz w:val="32"/>
          <w:szCs w:val="32"/>
          <w:lang w:val="zh-CN"/>
        </w:rPr>
        <w:t>。</w:t>
      </w:r>
    </w:p>
    <w:p>
      <w:pPr>
        <w:keepNext w:val="0"/>
        <w:keepLines w:val="0"/>
        <w:pageBreakBefore w:val="0"/>
        <w:kinsoku/>
        <w:overflowPunct/>
        <w:bidi w:val="0"/>
        <w:spacing w:line="400" w:lineRule="exact"/>
        <w:textAlignment w:val="auto"/>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keepNext w:val="0"/>
        <w:keepLines w:val="0"/>
        <w:pageBreakBefore w:val="0"/>
        <w:kinsoku/>
        <w:overflowPunct/>
        <w:bidi w:val="0"/>
        <w:spacing w:line="400" w:lineRule="exact"/>
        <w:ind w:firstLine="640"/>
        <w:textAlignment w:val="auto"/>
        <w:rPr>
          <w:rFonts w:ascii="仿宋" w:hAnsi="仿宋" w:eastAsia="仿宋" w:cs="仿宋_GB2312"/>
          <w:sz w:val="32"/>
          <w:szCs w:val="32"/>
        </w:rPr>
      </w:pPr>
      <w:r>
        <w:rPr>
          <w:rFonts w:hint="eastAsia" w:ascii="仿宋" w:hAnsi="仿宋" w:eastAsia="仿宋" w:cs="仿宋_GB2312"/>
          <w:sz w:val="32"/>
          <w:szCs w:val="32"/>
        </w:rPr>
        <w:t>4、</w:t>
      </w:r>
      <w:r>
        <w:rPr>
          <w:rFonts w:hint="eastAsia" w:ascii="仿宋" w:hAnsi="仿宋" w:eastAsia="仿宋" w:cs="仿宋_GB2312"/>
          <w:sz w:val="32"/>
          <w:szCs w:val="32"/>
          <w:lang w:eastAsia="zh-CN"/>
        </w:rPr>
        <w:t>招标</w:t>
      </w:r>
      <w:r>
        <w:rPr>
          <w:rFonts w:hint="eastAsia" w:ascii="仿宋" w:hAnsi="仿宋" w:eastAsia="仿宋" w:cs="仿宋_GB2312"/>
          <w:sz w:val="32"/>
          <w:szCs w:val="32"/>
        </w:rPr>
        <w:t>文件每份售价人民币300元（现场现金收取），于递交投标文件时缴纳给采购代理机构，售后不退。</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ascii="黑体" w:hAnsi="黑体" w:eastAsia="黑体" w:cs="Arial"/>
          <w:color w:val="000000"/>
          <w:kern w:val="0"/>
          <w:sz w:val="32"/>
          <w:szCs w:val="32"/>
        </w:rPr>
      </w:pPr>
      <w:r>
        <w:rPr>
          <w:rFonts w:ascii="黑体" w:hAnsi="黑体" w:eastAsia="黑体" w:cs="Arial"/>
          <w:color w:val="000000"/>
          <w:kern w:val="0"/>
          <w:sz w:val="32"/>
          <w:szCs w:val="32"/>
        </w:rPr>
        <w:t>五、</w:t>
      </w:r>
      <w:r>
        <w:rPr>
          <w:rFonts w:hint="eastAsia" w:ascii="黑体" w:hAnsi="黑体" w:eastAsia="黑体" w:cs="Arial"/>
          <w:color w:val="000000"/>
          <w:kern w:val="0"/>
          <w:sz w:val="32"/>
          <w:szCs w:val="32"/>
          <w:lang w:eastAsia="zh-CN"/>
        </w:rPr>
        <w:t>投标</w:t>
      </w:r>
      <w:r>
        <w:rPr>
          <w:rFonts w:ascii="黑体" w:hAnsi="黑体" w:eastAsia="黑体" w:cs="Arial"/>
          <w:color w:val="000000"/>
          <w:kern w:val="0"/>
          <w:sz w:val="32"/>
          <w:szCs w:val="32"/>
        </w:rPr>
        <w:t>截止时间、</w:t>
      </w:r>
      <w:r>
        <w:rPr>
          <w:rFonts w:hint="eastAsia" w:ascii="黑体" w:hAnsi="黑体" w:eastAsia="黑体" w:cs="Arial"/>
          <w:color w:val="000000"/>
          <w:kern w:val="0"/>
          <w:sz w:val="32"/>
          <w:szCs w:val="32"/>
          <w:lang w:eastAsia="zh-CN"/>
        </w:rPr>
        <w:t>开标</w:t>
      </w:r>
      <w:r>
        <w:rPr>
          <w:rFonts w:ascii="黑体" w:hAnsi="黑体" w:eastAsia="黑体" w:cs="Arial"/>
          <w:color w:val="000000"/>
          <w:kern w:val="0"/>
          <w:sz w:val="32"/>
          <w:szCs w:val="32"/>
        </w:rPr>
        <w:t>时间及地点：</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ascii="仿宋" w:hAnsi="仿宋" w:eastAsia="仿宋" w:cs="Arial"/>
          <w:color w:val="000000"/>
          <w:kern w:val="0"/>
          <w:sz w:val="32"/>
          <w:szCs w:val="32"/>
        </w:rPr>
      </w:pPr>
      <w:r>
        <w:rPr>
          <w:rFonts w:hint="eastAsia" w:ascii="仿宋" w:hAnsi="仿宋" w:eastAsia="仿宋" w:cs="Arial"/>
          <w:color w:val="000000"/>
          <w:kern w:val="0"/>
          <w:sz w:val="32"/>
          <w:szCs w:val="32"/>
        </w:rPr>
        <w:t>1、</w:t>
      </w:r>
      <w:r>
        <w:rPr>
          <w:rFonts w:hint="eastAsia" w:ascii="仿宋" w:hAnsi="仿宋" w:eastAsia="仿宋" w:cs="Arial"/>
          <w:color w:val="000000"/>
          <w:kern w:val="0"/>
          <w:sz w:val="32"/>
          <w:szCs w:val="32"/>
          <w:lang w:eastAsia="zh-CN"/>
        </w:rPr>
        <w:t>投标</w:t>
      </w:r>
      <w:r>
        <w:rPr>
          <w:rFonts w:ascii="仿宋" w:hAnsi="仿宋" w:eastAsia="仿宋" w:cs="Arial"/>
          <w:color w:val="000000"/>
          <w:kern w:val="0"/>
          <w:sz w:val="32"/>
          <w:szCs w:val="32"/>
        </w:rPr>
        <w:t>截止及</w:t>
      </w:r>
      <w:r>
        <w:rPr>
          <w:rFonts w:hint="eastAsia" w:ascii="仿宋" w:hAnsi="仿宋" w:eastAsia="仿宋" w:cs="Arial"/>
          <w:color w:val="000000"/>
          <w:kern w:val="0"/>
          <w:sz w:val="32"/>
          <w:szCs w:val="32"/>
          <w:lang w:eastAsia="zh-CN"/>
        </w:rPr>
        <w:t>开标</w:t>
      </w:r>
      <w:r>
        <w:rPr>
          <w:rFonts w:ascii="仿宋" w:hAnsi="仿宋" w:eastAsia="仿宋" w:cs="Arial"/>
          <w:color w:val="000000"/>
          <w:kern w:val="0"/>
          <w:sz w:val="32"/>
          <w:szCs w:val="32"/>
        </w:rPr>
        <w:t>时间：</w:t>
      </w:r>
      <w:r>
        <w:rPr>
          <w:rFonts w:hint="eastAsia" w:ascii="仿宋" w:hAnsi="仿宋" w:eastAsia="仿宋" w:cs="Times New Roman"/>
          <w:color w:val="000000"/>
          <w:kern w:val="0"/>
          <w:sz w:val="32"/>
          <w:szCs w:val="32"/>
        </w:rPr>
        <w:t>20</w:t>
      </w:r>
      <w:r>
        <w:rPr>
          <w:rFonts w:hint="eastAsia" w:ascii="仿宋" w:hAnsi="仿宋" w:eastAsia="仿宋" w:cs="Times New Roman"/>
          <w:color w:val="000000"/>
          <w:kern w:val="0"/>
          <w:sz w:val="32"/>
          <w:szCs w:val="32"/>
          <w:lang w:val="en-US" w:eastAsia="zh-CN"/>
        </w:rPr>
        <w:t>20</w:t>
      </w:r>
      <w:r>
        <w:rPr>
          <w:rFonts w:ascii="仿宋" w:hAnsi="仿宋" w:eastAsia="仿宋" w:cs="Arial"/>
          <w:color w:val="000000"/>
          <w:kern w:val="0"/>
          <w:sz w:val="32"/>
          <w:szCs w:val="32"/>
        </w:rPr>
        <w:t>年</w:t>
      </w:r>
      <w:r>
        <w:rPr>
          <w:rFonts w:hint="eastAsia" w:ascii="仿宋" w:hAnsi="仿宋" w:eastAsia="仿宋" w:cs="Arial"/>
          <w:color w:val="000000"/>
          <w:kern w:val="0"/>
          <w:sz w:val="32"/>
          <w:szCs w:val="32"/>
        </w:rPr>
        <w:t xml:space="preserve"> </w:t>
      </w:r>
      <w:r>
        <w:rPr>
          <w:rFonts w:hint="eastAsia" w:ascii="仿宋" w:hAnsi="仿宋" w:eastAsia="仿宋" w:cs="Arial"/>
          <w:color w:val="000000"/>
          <w:kern w:val="0"/>
          <w:sz w:val="32"/>
          <w:szCs w:val="32"/>
          <w:lang w:val="en-US" w:eastAsia="zh-CN"/>
        </w:rPr>
        <w:t xml:space="preserve"> </w:t>
      </w:r>
      <w:r>
        <w:rPr>
          <w:rFonts w:ascii="仿宋" w:hAnsi="仿宋" w:eastAsia="仿宋" w:cs="Arial"/>
          <w:color w:val="000000"/>
          <w:kern w:val="0"/>
          <w:sz w:val="32"/>
          <w:szCs w:val="32"/>
        </w:rPr>
        <w:t>月</w:t>
      </w:r>
      <w:r>
        <w:rPr>
          <w:rFonts w:hint="eastAsia" w:ascii="仿宋" w:hAnsi="仿宋" w:eastAsia="仿宋" w:cs="Arial"/>
          <w:color w:val="000000"/>
          <w:kern w:val="0"/>
          <w:sz w:val="32"/>
          <w:szCs w:val="32"/>
          <w:lang w:val="en-US" w:eastAsia="zh-CN"/>
        </w:rPr>
        <w:t xml:space="preserve"> </w:t>
      </w:r>
      <w:r>
        <w:rPr>
          <w:rFonts w:ascii="仿宋" w:hAnsi="仿宋" w:eastAsia="仿宋" w:cs="Arial"/>
          <w:color w:val="000000"/>
          <w:kern w:val="0"/>
          <w:sz w:val="32"/>
          <w:szCs w:val="32"/>
        </w:rPr>
        <w:t>日</w:t>
      </w:r>
      <w:r>
        <w:rPr>
          <w:rFonts w:hint="eastAsia" w:ascii="仿宋" w:hAnsi="仿宋" w:eastAsia="仿宋" w:cs="Arial"/>
          <w:color w:val="000000"/>
          <w:kern w:val="0"/>
          <w:sz w:val="32"/>
          <w:szCs w:val="32"/>
          <w:lang w:val="en-US" w:eastAsia="zh-CN"/>
        </w:rPr>
        <w:t xml:space="preserve">  </w:t>
      </w:r>
      <w:r>
        <w:rPr>
          <w:rFonts w:ascii="仿宋" w:hAnsi="仿宋" w:eastAsia="仿宋" w:cs="Arial"/>
          <w:color w:val="000000"/>
          <w:kern w:val="0"/>
          <w:sz w:val="32"/>
          <w:szCs w:val="32"/>
        </w:rPr>
        <w:t>（北京时间），逾期送达或不符合规定的投标文件不予接受。</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ascii="仿宋" w:hAnsi="仿宋" w:eastAsia="仿宋" w:cs="Arial"/>
          <w:color w:val="000000"/>
          <w:kern w:val="0"/>
          <w:sz w:val="32"/>
          <w:szCs w:val="32"/>
        </w:rPr>
      </w:pPr>
      <w:r>
        <w:rPr>
          <w:rFonts w:hint="eastAsia" w:ascii="仿宋" w:hAnsi="仿宋" w:eastAsia="仿宋" w:cs="Arial"/>
          <w:color w:val="000000"/>
          <w:kern w:val="0"/>
          <w:sz w:val="32"/>
          <w:szCs w:val="32"/>
        </w:rPr>
        <w:t>2、</w:t>
      </w:r>
      <w:r>
        <w:rPr>
          <w:rFonts w:hint="eastAsia" w:ascii="仿宋" w:hAnsi="仿宋" w:eastAsia="仿宋" w:cs="Arial"/>
          <w:color w:val="000000"/>
          <w:kern w:val="0"/>
          <w:sz w:val="32"/>
          <w:szCs w:val="32"/>
          <w:lang w:eastAsia="zh-CN"/>
        </w:rPr>
        <w:t>开标</w:t>
      </w:r>
      <w:r>
        <w:rPr>
          <w:rFonts w:ascii="仿宋" w:hAnsi="仿宋" w:eastAsia="仿宋" w:cs="Arial"/>
          <w:color w:val="000000"/>
          <w:kern w:val="0"/>
          <w:sz w:val="32"/>
          <w:szCs w:val="32"/>
        </w:rPr>
        <w:t>地点：</w:t>
      </w:r>
      <w:r>
        <w:rPr>
          <w:rFonts w:hint="eastAsia" w:ascii="仿宋" w:hAnsi="仿宋" w:eastAsia="仿宋" w:cs="仿宋_GB2312"/>
          <w:sz w:val="32"/>
          <w:szCs w:val="32"/>
        </w:rPr>
        <w:t>禹州市公共资源交易中心第</w:t>
      </w:r>
      <w:r>
        <w:rPr>
          <w:rFonts w:hint="eastAsia" w:ascii="仿宋" w:hAnsi="仿宋" w:eastAsia="仿宋" w:cs="仿宋_GB2312"/>
          <w:sz w:val="32"/>
          <w:szCs w:val="32"/>
          <w:lang w:eastAsia="zh-CN"/>
        </w:rPr>
        <w:t>二</w:t>
      </w:r>
      <w:r>
        <w:rPr>
          <w:rFonts w:hint="eastAsia" w:ascii="仿宋" w:hAnsi="仿宋" w:eastAsia="仿宋" w:cs="仿宋_GB2312"/>
          <w:sz w:val="32"/>
          <w:szCs w:val="32"/>
        </w:rPr>
        <w:t>开标室（禹州市</w:t>
      </w:r>
      <w:r>
        <w:rPr>
          <w:rFonts w:hint="eastAsia" w:ascii="仿宋" w:hAnsi="仿宋" w:eastAsia="仿宋" w:cs="Arial"/>
          <w:color w:val="000000"/>
          <w:kern w:val="0"/>
          <w:sz w:val="32"/>
          <w:szCs w:val="32"/>
        </w:rPr>
        <w:t>行政服务中心楼9楼）</w:t>
      </w:r>
      <w:r>
        <w:rPr>
          <w:rFonts w:ascii="仿宋" w:hAnsi="仿宋" w:eastAsia="仿宋" w:cs="Arial"/>
          <w:color w:val="000000"/>
          <w:kern w:val="0"/>
          <w:sz w:val="32"/>
          <w:szCs w:val="32"/>
        </w:rPr>
        <w:t xml:space="preserve"> </w:t>
      </w:r>
    </w:p>
    <w:p>
      <w:pPr>
        <w:keepNext w:val="0"/>
        <w:keepLines w:val="0"/>
        <w:pageBreakBefore w:val="0"/>
        <w:kinsoku/>
        <w:overflowPunct/>
        <w:bidi w:val="0"/>
        <w:spacing w:line="40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keepNext w:val="0"/>
        <w:keepLines w:val="0"/>
        <w:pageBreakBefore w:val="0"/>
        <w:kinsoku/>
        <w:overflowPunct/>
        <w:bidi w:val="0"/>
        <w:spacing w:line="40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0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0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rPr>
        <w:t>六、本次招标公告同时在《中国政府采购网》、《河南省政府采购网》、《全国公共资源交易平台（河南省·许昌市）》发布等。</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侯女士</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 xml:space="preserve"> 联系电话：0374-2077111</w:t>
      </w:r>
    </w:p>
    <w:p>
      <w:pPr>
        <w:widowControl/>
        <w:shd w:val="clear" w:color="auto" w:fill="FFFFFF"/>
        <w:spacing w:line="400" w:lineRule="exact"/>
        <w:ind w:left="481"/>
        <w:jc w:val="left"/>
        <w:rPr>
          <w:rFonts w:ascii="仿宋" w:hAnsi="仿宋" w:eastAsia="仿宋" w:cs="仿宋"/>
          <w:sz w:val="32"/>
          <w:szCs w:val="32"/>
        </w:rPr>
      </w:pPr>
      <w:r>
        <w:rPr>
          <w:rFonts w:hint="eastAsia" w:ascii="仿宋" w:hAnsi="仿宋" w:eastAsia="仿宋" w:cs="仿宋"/>
          <w:color w:val="000000"/>
          <w:kern w:val="0"/>
          <w:sz w:val="32"/>
          <w:szCs w:val="32"/>
        </w:rPr>
        <w:t>（二）采购单位：</w:t>
      </w:r>
      <w:r>
        <w:rPr>
          <w:rFonts w:hint="eastAsia" w:ascii="仿宋" w:hAnsi="仿宋" w:eastAsia="仿宋" w:cs="仿宋"/>
          <w:sz w:val="32"/>
          <w:szCs w:val="32"/>
        </w:rPr>
        <w:t>禹州市</w:t>
      </w:r>
      <w:r>
        <w:rPr>
          <w:rFonts w:hint="eastAsia" w:ascii="仿宋" w:hAnsi="仿宋" w:eastAsia="仿宋" w:cs="仿宋"/>
          <w:sz w:val="32"/>
          <w:szCs w:val="32"/>
          <w:lang w:eastAsia="zh-CN"/>
        </w:rPr>
        <w:t>环境保护</w:t>
      </w:r>
      <w:r>
        <w:rPr>
          <w:rFonts w:hint="eastAsia" w:ascii="仿宋" w:hAnsi="仿宋" w:eastAsia="仿宋" w:cs="仿宋"/>
          <w:sz w:val="32"/>
          <w:szCs w:val="32"/>
        </w:rPr>
        <w:t>局</w:t>
      </w:r>
    </w:p>
    <w:p>
      <w:pPr>
        <w:widowControl/>
        <w:shd w:val="clear" w:color="auto" w:fill="FFFFFF"/>
        <w:spacing w:line="400" w:lineRule="exact"/>
        <w:ind w:firstLine="960" w:firstLineChars="30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地址：禹州市</w:t>
      </w:r>
      <w:r>
        <w:rPr>
          <w:rFonts w:hint="eastAsia" w:ascii="仿宋" w:hAnsi="仿宋" w:eastAsia="仿宋" w:cs="仿宋"/>
          <w:color w:val="000000"/>
          <w:kern w:val="0"/>
          <w:sz w:val="32"/>
          <w:szCs w:val="32"/>
          <w:lang w:eastAsia="zh-CN"/>
        </w:rPr>
        <w:t>创业大厦</w:t>
      </w:r>
    </w:p>
    <w:p>
      <w:pPr>
        <w:spacing w:line="400" w:lineRule="exact"/>
        <w:ind w:firstLine="640" w:firstLineChars="200"/>
        <w:rPr>
          <w:rFonts w:hint="default" w:ascii="仿宋" w:hAnsi="仿宋" w:eastAsia="仿宋" w:cs="仿宋"/>
          <w:sz w:val="32"/>
          <w:szCs w:val="32"/>
          <w:lang w:val="en-US"/>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梁</w:t>
      </w:r>
      <w:r>
        <w:rPr>
          <w:rFonts w:hint="eastAsia" w:ascii="仿宋" w:hAnsi="仿宋" w:eastAsia="仿宋" w:cs="仿宋"/>
          <w:color w:val="000000"/>
          <w:kern w:val="0"/>
          <w:sz w:val="32"/>
          <w:szCs w:val="32"/>
        </w:rPr>
        <w:t>先生   联系电话：</w:t>
      </w:r>
      <w:r>
        <w:rPr>
          <w:rFonts w:hint="eastAsia" w:ascii="仿宋" w:hAnsi="仿宋" w:eastAsia="仿宋" w:cs="仿宋"/>
          <w:color w:val="000000"/>
          <w:kern w:val="0"/>
          <w:sz w:val="32"/>
          <w:szCs w:val="32"/>
          <w:lang w:val="en-US" w:eastAsia="zh-CN"/>
        </w:rPr>
        <w:t>17839126378</w:t>
      </w:r>
    </w:p>
    <w:p>
      <w:pPr>
        <w:keepNext w:val="0"/>
        <w:keepLines w:val="0"/>
        <w:pageBreakBefore w:val="0"/>
        <w:kinsoku/>
        <w:overflowPunct/>
        <w:bidi w:val="0"/>
        <w:spacing w:line="440" w:lineRule="exact"/>
        <w:ind w:firstLine="2640" w:firstLineChars="11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 xml:space="preserve">         </w:t>
      </w:r>
    </w:p>
    <w:p>
      <w:pPr>
        <w:keepNext w:val="0"/>
        <w:keepLines w:val="0"/>
        <w:pageBreakBefore w:val="0"/>
        <w:kinsoku/>
        <w:overflowPunct/>
        <w:bidi w:val="0"/>
        <w:spacing w:line="440" w:lineRule="exact"/>
        <w:ind w:firstLine="2880" w:firstLineChars="1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 xml:space="preserve">                </w:t>
      </w:r>
    </w:p>
    <w:p>
      <w:pPr>
        <w:spacing w:line="360" w:lineRule="auto"/>
        <w:rPr>
          <w:rFonts w:hint="eastAsia" w:hAnsi="宋体"/>
          <w:b/>
          <w:sz w:val="32"/>
          <w:szCs w:val="32"/>
        </w:rPr>
      </w:pPr>
    </w:p>
    <w:p>
      <w:pPr>
        <w:spacing w:line="360" w:lineRule="auto"/>
        <w:rPr>
          <w:rFonts w:hint="eastAsia" w:hAnsi="宋体"/>
          <w:b/>
          <w:color w:val="FF0000"/>
          <w:sz w:val="28"/>
          <w:szCs w:val="28"/>
          <w:lang w:eastAsia="zh-CN"/>
        </w:rPr>
      </w:pPr>
      <w:r>
        <w:rPr>
          <w:rFonts w:hint="eastAsia" w:hAnsi="宋体"/>
          <w:b/>
          <w:sz w:val="32"/>
          <w:szCs w:val="32"/>
        </w:rPr>
        <w:t>温馨提示</w:t>
      </w:r>
      <w:r>
        <w:rPr>
          <w:rFonts w:hint="eastAsia" w:hAnsi="宋体"/>
          <w:b/>
          <w:sz w:val="28"/>
          <w:szCs w:val="28"/>
        </w:rPr>
        <w:t>：</w:t>
      </w:r>
      <w:r>
        <w:rPr>
          <w:rFonts w:hint="eastAsia" w:hAnsi="宋体"/>
          <w:b/>
          <w:color w:val="FF0000"/>
          <w:sz w:val="28"/>
          <w:szCs w:val="28"/>
        </w:rPr>
        <w:t>为认真贯彻落实国家和省市关于新型冠状病毒感染肺炎疫情防控重大部署，根据《豫疫情防指办（2020）41号》文件通知精神，除Ⅲ类县市区外，Ⅰ类、Ⅱ类县市区（包括省外）外地来禹投标企业须提供由本人居住地社区卫生服务中心开具的有效健康证明方可进入禹州市公共资源交易中心进行投标</w:t>
      </w:r>
      <w:r>
        <w:rPr>
          <w:rFonts w:hint="eastAsia" w:hAnsi="宋体"/>
          <w:b/>
          <w:color w:val="FF0000"/>
          <w:sz w:val="28"/>
          <w:szCs w:val="28"/>
          <w:lang w:eastAsia="zh-CN"/>
        </w:rPr>
        <w:t>。</w:t>
      </w:r>
    </w:p>
    <w:p>
      <w:pPr>
        <w:pStyle w:val="30"/>
        <w:rPr>
          <w:rFonts w:hint="eastAsia"/>
          <w:lang w:eastAsia="zh-CN"/>
        </w:rPr>
      </w:pP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2"/>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pStyle w:val="30"/>
      </w:pPr>
    </w:p>
    <w:p>
      <w:pPr>
        <w:pStyle w:val="30"/>
      </w:pPr>
    </w:p>
    <w:p>
      <w:pPr>
        <w:pStyle w:val="30"/>
      </w:pPr>
    </w:p>
    <w:p/>
    <w:p>
      <w:pPr>
        <w:numPr>
          <w:ilvl w:val="0"/>
          <w:numId w:val="6"/>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2"/>
        <w:rPr>
          <w:rFonts w:hint="eastAsia"/>
        </w:rPr>
      </w:pPr>
    </w:p>
    <w:p>
      <w:pPr>
        <w:widowControl/>
        <w:shd w:val="clear" w:color="auto" w:fill="FFFFFF"/>
        <w:spacing w:line="360" w:lineRule="auto"/>
        <w:ind w:firstLine="600"/>
        <w:jc w:val="left"/>
        <w:rPr>
          <w:rFonts w:hint="eastAsia" w:ascii="新宋体" w:hAnsi="新宋体" w:eastAsia="新宋体" w:cs="新宋体"/>
          <w:kern w:val="0"/>
          <w:sz w:val="24"/>
          <w:szCs w:val="24"/>
        </w:rPr>
      </w:pPr>
      <w:r>
        <w:rPr>
          <w:rFonts w:hint="eastAsia" w:ascii="新宋体" w:hAnsi="新宋体" w:eastAsia="新宋体" w:cs="新宋体"/>
          <w:b/>
          <w:bCs/>
          <w:color w:val="000000"/>
          <w:kern w:val="0"/>
          <w:sz w:val="24"/>
          <w:szCs w:val="24"/>
          <w:lang w:eastAsia="zh-CN"/>
        </w:rPr>
        <w:t>（二）</w:t>
      </w: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kern w:val="0"/>
          <w:sz w:val="24"/>
          <w:szCs w:val="24"/>
        </w:rPr>
        <w:t>实现功能：通过聘请专家团队，利用“河南省空气质量自动监控系统”、“智慧环保管理系统”，结合城市环境监管服务需要，提出管控建议，实现常态化服务。</w:t>
      </w:r>
    </w:p>
    <w:p>
      <w:pPr>
        <w:widowControl/>
        <w:shd w:val="clear" w:color="auto" w:fill="FFFFFF"/>
        <w:spacing w:line="360" w:lineRule="auto"/>
        <w:ind w:firstLine="60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具体目标：</w:t>
      </w:r>
    </w:p>
    <w:p>
      <w:pPr>
        <w:widowControl/>
        <w:shd w:val="clear" w:color="auto" w:fill="FFFFFF"/>
        <w:spacing w:line="360" w:lineRule="auto"/>
        <w:ind w:firstLine="60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1、全方位立体网格监控</w:t>
      </w:r>
    </w:p>
    <w:p>
      <w:pPr>
        <w:widowControl/>
        <w:shd w:val="clear" w:color="auto" w:fill="FFFFFF"/>
        <w:spacing w:line="360" w:lineRule="auto"/>
        <w:ind w:firstLine="60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整合评价点、对照点、背景点、监控点的数据，打破国控省控市控界限，通过不同类型的立体监测网格的建设和融合，实现对监测区域的全方位精准监控，消灭监测盲区，实时掌握区域内环境污染分布现状及空气质量变化趋势；</w:t>
      </w:r>
    </w:p>
    <w:p>
      <w:pPr>
        <w:widowControl/>
        <w:shd w:val="clear" w:color="auto" w:fill="FFFFFF"/>
        <w:spacing w:line="360" w:lineRule="auto"/>
        <w:ind w:firstLine="60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（2）建立不同网格间的联动关系，发现污染来源及扩散趋势，准确监控环境事件从产生到消失的全过程。</w:t>
      </w:r>
    </w:p>
    <w:p>
      <w:pPr>
        <w:widowControl/>
        <w:shd w:val="clear" w:color="auto" w:fill="FFFFFF"/>
        <w:spacing w:line="360" w:lineRule="auto"/>
        <w:ind w:firstLine="60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2、全面提高环境监管效率</w:t>
      </w:r>
    </w:p>
    <w:p>
      <w:pPr>
        <w:widowControl/>
        <w:shd w:val="clear" w:color="auto" w:fill="FFFFFF"/>
        <w:spacing w:line="360" w:lineRule="auto"/>
        <w:ind w:firstLine="60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（1）以实时、准确的环境监测数据作为管理基础，及时发现环境污染事件或突发问题，缩短环境异常事件的响应与处理时间，并可为监管提供定性定量的数据支撑；</w:t>
      </w:r>
    </w:p>
    <w:p>
      <w:pPr>
        <w:widowControl/>
        <w:shd w:val="clear" w:color="auto" w:fill="FFFFFF"/>
        <w:spacing w:line="360" w:lineRule="auto"/>
        <w:ind w:firstLine="60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2）打通监测与监管之间的通道，协助环保部门从传统“点对点”（执法人员对具体排污单位）的监测监管模式向“点对面”（执法人员掌握所有点位的污染状况）模式转变，提高了工作效率；打破以往环保部门单打独斗的局面，实现由单一部门治理向多部门协同治理、共同治理转变，履清分工、划分责任，在全地区构建大环保、大监管格局。</w:t>
      </w:r>
    </w:p>
    <w:p>
      <w:pPr>
        <w:widowControl/>
        <w:shd w:val="clear" w:color="auto" w:fill="FFFFFF"/>
        <w:spacing w:line="360" w:lineRule="auto"/>
        <w:ind w:firstLine="60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3、技术支持中长期防治规划</w:t>
      </w:r>
    </w:p>
    <w:p>
      <w:pPr>
        <w:widowControl/>
        <w:shd w:val="clear" w:color="auto" w:fill="FFFFFF"/>
        <w:spacing w:line="360" w:lineRule="auto"/>
        <w:ind w:firstLine="60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（1）利用大数据平台，结合气象数据、地理信息数据、多种环境质量模型，甑别影响区域空气质量的主要因素及其污染贡献率，实现靶向治理和更精准的专项引导；</w:t>
      </w:r>
    </w:p>
    <w:p>
      <w:pPr>
        <w:widowControl/>
        <w:shd w:val="clear" w:color="auto" w:fill="FFFFFF"/>
        <w:spacing w:line="360" w:lineRule="auto"/>
        <w:ind w:firstLine="600"/>
        <w:jc w:val="left"/>
        <w:rPr>
          <w:rFonts w:hint="eastAsia" w:ascii="新宋体" w:hAnsi="新宋体" w:eastAsia="新宋体" w:cs="新宋体"/>
          <w:b w:val="0"/>
          <w:bCs w:val="0"/>
          <w:color w:val="000000"/>
          <w:kern w:val="0"/>
          <w:sz w:val="24"/>
          <w:szCs w:val="24"/>
        </w:rPr>
      </w:pPr>
      <w:r>
        <w:rPr>
          <w:rFonts w:hint="eastAsia" w:ascii="新宋体" w:hAnsi="新宋体" w:eastAsia="新宋体" w:cs="新宋体"/>
          <w:kern w:val="0"/>
          <w:sz w:val="24"/>
          <w:szCs w:val="24"/>
        </w:rPr>
        <w:t>（2）通过中长期的连续监测，对短期管理手段和长期治理效果评价，为政府优化产业结构、推进产业转型升级、制定大气污染防治决策支持行动计划等提供科学依据。</w:t>
      </w:r>
    </w:p>
    <w:p>
      <w:pPr>
        <w:tabs>
          <w:tab w:val="left" w:pos="7230"/>
        </w:tabs>
        <w:ind w:firstLine="482" w:firstLineChars="200"/>
        <w:jc w:val="left"/>
        <w:rPr>
          <w:rFonts w:ascii="Times New Roman" w:hAnsi="Times New Roman" w:cs="Times New Roman"/>
          <w:sz w:val="28"/>
          <w:szCs w:val="28"/>
        </w:rPr>
      </w:pPr>
      <w:r>
        <w:rPr>
          <w:rFonts w:hint="eastAsia" w:ascii="新宋体" w:hAnsi="新宋体" w:eastAsia="新宋体" w:cs="新宋体"/>
          <w:b/>
          <w:bCs/>
          <w:color w:val="000000"/>
          <w:kern w:val="0"/>
          <w:sz w:val="24"/>
          <w:szCs w:val="24"/>
          <w:lang w:eastAsia="zh-CN"/>
        </w:rPr>
        <w:t>（二）</w:t>
      </w:r>
      <w:r>
        <w:rPr>
          <w:rFonts w:hint="eastAsia" w:ascii="新宋体" w:hAnsi="新宋体" w:eastAsia="新宋体" w:cs="新宋体"/>
          <w:b/>
          <w:bCs/>
          <w:color w:val="000000"/>
          <w:kern w:val="0"/>
          <w:sz w:val="24"/>
          <w:szCs w:val="24"/>
        </w:rPr>
        <w:t>采购</w:t>
      </w:r>
      <w:r>
        <w:rPr>
          <w:rFonts w:hint="eastAsia" w:ascii="新宋体" w:hAnsi="新宋体" w:eastAsia="新宋体" w:cs="新宋体"/>
          <w:b/>
          <w:bCs/>
          <w:color w:val="000000"/>
          <w:kern w:val="0"/>
          <w:sz w:val="24"/>
          <w:szCs w:val="24"/>
          <w:lang w:eastAsia="zh-CN"/>
        </w:rPr>
        <w:t>内容：</w:t>
      </w:r>
      <w:r>
        <w:rPr>
          <w:rFonts w:hint="eastAsia"/>
        </w:rPr>
        <w:t xml:space="preserve">  </w:t>
      </w:r>
      <w:r>
        <w:rPr>
          <w:rFonts w:ascii="Times New Roman" w:hAnsi="Times New Roman" w:cs="Times New Roman"/>
          <w:sz w:val="28"/>
          <w:szCs w:val="28"/>
        </w:rPr>
        <w:t>通过聘请专家团队，利用“河南省空气质量自动监控系统”、“智慧环保管理系统”，结合城市环境监管服务需要，提出管控建议，实现常态化服务。</w:t>
      </w:r>
      <w:r>
        <w:rPr>
          <w:rFonts w:hint="eastAsia" w:ascii="Times New Roman" w:hAnsi="Times New Roman" w:cs="Times New Roman"/>
          <w:sz w:val="28"/>
          <w:szCs w:val="28"/>
        </w:rPr>
        <w:t>专家</w:t>
      </w:r>
      <w:r>
        <w:rPr>
          <w:rFonts w:ascii="Times New Roman" w:hAnsi="Times New Roman" w:cs="Times New Roman"/>
          <w:sz w:val="28"/>
          <w:szCs w:val="28"/>
        </w:rPr>
        <w:t>团队配置</w:t>
      </w:r>
      <w:r>
        <w:rPr>
          <w:rFonts w:hint="eastAsia" w:ascii="Times New Roman" w:hAnsi="Times New Roman" w:cs="Times New Roman"/>
          <w:sz w:val="28"/>
          <w:szCs w:val="28"/>
        </w:rPr>
        <w:t>4-6人，车辆1-2辆，提供日常巡查、研判、分析等任务。</w:t>
      </w:r>
    </w:p>
    <w:p>
      <w:pPr>
        <w:tabs>
          <w:tab w:val="left" w:pos="7230"/>
        </w:tabs>
        <w:ind w:firstLine="562" w:firstLineChars="200"/>
        <w:jc w:val="left"/>
        <w:rPr>
          <w:rFonts w:ascii="宋体" w:hAnsi="宋体" w:cs="Times New Roman"/>
          <w:b/>
          <w:sz w:val="28"/>
          <w:szCs w:val="28"/>
        </w:rPr>
      </w:pPr>
      <w:r>
        <w:rPr>
          <w:rFonts w:ascii="宋体" w:hAnsi="宋体" w:cs="Times New Roman"/>
          <w:b/>
          <w:sz w:val="28"/>
          <w:szCs w:val="28"/>
        </w:rPr>
        <w:t>日常巡查</w:t>
      </w:r>
    </w:p>
    <w:p>
      <w:pPr>
        <w:tabs>
          <w:tab w:val="left" w:pos="7230"/>
        </w:tabs>
        <w:ind w:firstLine="560" w:firstLineChars="200"/>
        <w:jc w:val="left"/>
        <w:rPr>
          <w:rFonts w:ascii="Times New Roman" w:hAnsi="Times New Roman" w:cs="Times New Roman"/>
          <w:sz w:val="28"/>
          <w:szCs w:val="28"/>
        </w:rPr>
      </w:pPr>
      <w:r>
        <w:rPr>
          <w:rFonts w:ascii="Times New Roman" w:hAnsi="Times New Roman" w:cs="Times New Roman"/>
          <w:sz w:val="28"/>
          <w:szCs w:val="28"/>
        </w:rPr>
        <w:t>1、针对网格化监测系统推送的异常报警信息，派遣现场巡查人员对报警点位周边进行现场排查并对污染来源进行定位，并将现场照片及巡检记录上报，督促相关部门及责任人及时对污染事件进行处理，降低其对周边环境影响。</w:t>
      </w:r>
    </w:p>
    <w:p>
      <w:pPr>
        <w:tabs>
          <w:tab w:val="left" w:pos="7230"/>
        </w:tabs>
        <w:ind w:firstLine="560" w:firstLineChars="200"/>
        <w:jc w:val="left"/>
        <w:rPr>
          <w:rFonts w:ascii="Times New Roman" w:hAnsi="Times New Roman" w:cs="Times New Roman"/>
          <w:sz w:val="28"/>
          <w:szCs w:val="28"/>
        </w:rPr>
      </w:pPr>
      <w:r>
        <w:rPr>
          <w:rFonts w:ascii="Times New Roman" w:hAnsi="Times New Roman" w:cs="Times New Roman"/>
          <w:sz w:val="28"/>
          <w:szCs w:val="28"/>
        </w:rPr>
        <w:t>2、对城市省控、市控监测点周边2公里范围进行日常重点巡查，对市区主要道路、重点建筑工地、企业、垃圾焚烧、餐饮油烟等各类污染源进行调查取证并及时上报，协助进行相关现场督察及处理，并提交污染事件统计及处理报告。</w:t>
      </w:r>
      <w:bookmarkStart w:id="0" w:name="_Toc14857"/>
    </w:p>
    <w:p>
      <w:pPr>
        <w:tabs>
          <w:tab w:val="left" w:pos="7230"/>
        </w:tabs>
        <w:ind w:firstLine="562" w:firstLineChars="200"/>
        <w:jc w:val="left"/>
        <w:rPr>
          <w:rFonts w:ascii="宋体" w:hAnsi="宋体" w:cs="Times New Roman"/>
          <w:b/>
          <w:sz w:val="28"/>
          <w:szCs w:val="28"/>
        </w:rPr>
      </w:pPr>
      <w:r>
        <w:rPr>
          <w:rFonts w:ascii="宋体" w:hAnsi="宋体" w:cs="Times New Roman"/>
          <w:b/>
          <w:sz w:val="28"/>
          <w:szCs w:val="28"/>
        </w:rPr>
        <w:t>研判会议</w:t>
      </w:r>
      <w:bookmarkEnd w:id="0"/>
    </w:p>
    <w:p>
      <w:pPr>
        <w:tabs>
          <w:tab w:val="left" w:pos="7230"/>
        </w:tabs>
        <w:ind w:firstLine="560" w:firstLineChars="200"/>
        <w:jc w:val="left"/>
        <w:rPr>
          <w:rFonts w:ascii="Times New Roman" w:hAnsi="Times New Roman" w:cs="Times New Roman"/>
          <w:sz w:val="28"/>
          <w:szCs w:val="28"/>
        </w:rPr>
      </w:pPr>
      <w:r>
        <w:rPr>
          <w:rFonts w:ascii="Times New Roman" w:hAnsi="Times New Roman" w:cs="Times New Roman"/>
          <w:sz w:val="28"/>
          <w:szCs w:val="28"/>
        </w:rPr>
        <w:t>配合相关部门，实施“研判会商”的会议制度。利用省控、市控站、网格化数据对城市空气质量及变化规律进行研判，并提出管控建议。</w:t>
      </w:r>
    </w:p>
    <w:p>
      <w:pPr>
        <w:tabs>
          <w:tab w:val="left" w:pos="7230"/>
        </w:tabs>
        <w:ind w:firstLine="560" w:firstLineChars="200"/>
        <w:jc w:val="left"/>
        <w:rPr>
          <w:rFonts w:ascii="Times New Roman" w:hAnsi="Times New Roman" w:cs="Times New Roman"/>
          <w:sz w:val="28"/>
          <w:szCs w:val="28"/>
        </w:rPr>
      </w:pPr>
      <w:r>
        <w:rPr>
          <w:rFonts w:ascii="Times New Roman" w:hAnsi="Times New Roman" w:cs="Times New Roman"/>
          <w:sz w:val="28"/>
          <w:szCs w:val="28"/>
        </w:rPr>
        <w:t>在研判会议的基础上，根据环境监管需要，配合组织召开月度、季度、半年度以及年度城市大气污染防治会议及重污染天气重点管控等专项会议，并提供针对性分析报告及管控建议。</w:t>
      </w:r>
      <w:bookmarkStart w:id="1" w:name="_Toc7292"/>
      <w:bookmarkStart w:id="2" w:name="_Toc27245"/>
    </w:p>
    <w:p>
      <w:pPr>
        <w:tabs>
          <w:tab w:val="left" w:pos="7230"/>
        </w:tabs>
        <w:ind w:firstLine="562" w:firstLineChars="200"/>
        <w:jc w:val="left"/>
        <w:rPr>
          <w:rFonts w:ascii="宋体" w:hAnsi="宋体" w:cs="Times New Roman"/>
          <w:b/>
          <w:sz w:val="28"/>
          <w:szCs w:val="28"/>
        </w:rPr>
      </w:pPr>
      <w:r>
        <w:rPr>
          <w:rFonts w:ascii="宋体" w:hAnsi="宋体" w:cs="Times New Roman"/>
          <w:b/>
          <w:sz w:val="28"/>
          <w:szCs w:val="28"/>
        </w:rPr>
        <w:t>污染治理规划</w:t>
      </w:r>
      <w:bookmarkEnd w:id="1"/>
      <w:bookmarkEnd w:id="2"/>
    </w:p>
    <w:p>
      <w:pPr>
        <w:tabs>
          <w:tab w:val="left" w:pos="7230"/>
        </w:tabs>
        <w:ind w:firstLine="560" w:firstLineChars="200"/>
        <w:jc w:val="left"/>
        <w:rPr>
          <w:rFonts w:ascii="Times New Roman" w:hAnsi="Times New Roman" w:cs="Times New Roman"/>
          <w:sz w:val="28"/>
          <w:szCs w:val="28"/>
        </w:rPr>
      </w:pPr>
      <w:r>
        <w:rPr>
          <w:rFonts w:ascii="Times New Roman" w:hAnsi="Times New Roman" w:cs="Times New Roman"/>
          <w:sz w:val="28"/>
          <w:szCs w:val="28"/>
        </w:rPr>
        <w:t>结合201</w:t>
      </w:r>
      <w:r>
        <w:rPr>
          <w:rFonts w:hint="eastAsia" w:ascii="Times New Roman" w:hAnsi="Times New Roman" w:cs="Times New Roman"/>
          <w:sz w:val="28"/>
          <w:szCs w:val="28"/>
        </w:rPr>
        <w:t>9</w:t>
      </w:r>
      <w:r>
        <w:rPr>
          <w:rFonts w:ascii="Times New Roman" w:hAnsi="Times New Roman" w:cs="Times New Roman"/>
          <w:sz w:val="28"/>
          <w:szCs w:val="28"/>
        </w:rPr>
        <w:t>年度城市及周边城市空气质量综合指数及空气质量综合指数同比下降率情况，结合地理及气象条件，分析20</w:t>
      </w:r>
      <w:r>
        <w:rPr>
          <w:rFonts w:hint="eastAsia" w:ascii="Times New Roman" w:hAnsi="Times New Roman" w:cs="Times New Roman"/>
          <w:sz w:val="28"/>
          <w:szCs w:val="28"/>
        </w:rPr>
        <w:t>20</w:t>
      </w:r>
      <w:r>
        <w:rPr>
          <w:rFonts w:ascii="Times New Roman" w:hAnsi="Times New Roman" w:cs="Times New Roman"/>
          <w:sz w:val="28"/>
          <w:szCs w:val="28"/>
        </w:rPr>
        <w:t>年度城市污染变化趋势，并对系统建设完成后城市空气质量综合指数进行预判及评估。针对道路交通、燃煤、建筑烟尘、企业排放、生活污染等重点污染源制定相应管控任务及指标，以及重污染天气时各项的管控措施建议。</w:t>
      </w:r>
    </w:p>
    <w:p>
      <w:pPr>
        <w:tabs>
          <w:tab w:val="left" w:pos="7230"/>
        </w:tabs>
        <w:ind w:firstLine="560" w:firstLineChars="200"/>
        <w:jc w:val="left"/>
        <w:rPr>
          <w:rFonts w:ascii="Times New Roman" w:hAnsi="Times New Roman" w:cs="Times New Roman"/>
          <w:sz w:val="28"/>
          <w:szCs w:val="28"/>
        </w:rPr>
      </w:pPr>
      <w:r>
        <w:rPr>
          <w:rFonts w:ascii="Times New Roman" w:hAnsi="Times New Roman" w:cs="Times New Roman"/>
          <w:sz w:val="28"/>
          <w:szCs w:val="28"/>
        </w:rPr>
        <w:t>根据省下达的20</w:t>
      </w:r>
      <w:r>
        <w:rPr>
          <w:rFonts w:hint="eastAsia" w:ascii="Times New Roman" w:hAnsi="Times New Roman" w:cs="Times New Roman"/>
          <w:sz w:val="28"/>
          <w:szCs w:val="28"/>
        </w:rPr>
        <w:t>20</w:t>
      </w:r>
      <w:r>
        <w:rPr>
          <w:rFonts w:ascii="Times New Roman" w:hAnsi="Times New Roman" w:cs="Times New Roman"/>
          <w:sz w:val="28"/>
          <w:szCs w:val="28"/>
        </w:rPr>
        <w:t>年考核目标值，结合历史数据，进行月度目标值的计算，合理分解压力，确保顺利完成年度目标考核，减少生态扣款等。</w:t>
      </w:r>
    </w:p>
    <w:p>
      <w:pPr>
        <w:tabs>
          <w:tab w:val="left" w:pos="7230"/>
        </w:tabs>
        <w:ind w:firstLine="560" w:firstLineChars="200"/>
        <w:jc w:val="left"/>
        <w:rPr>
          <w:rFonts w:ascii="Times New Roman" w:hAnsi="Times New Roman" w:cs="Times New Roman"/>
          <w:sz w:val="28"/>
          <w:szCs w:val="28"/>
        </w:rPr>
      </w:pPr>
      <w:r>
        <w:rPr>
          <w:rFonts w:ascii="Times New Roman" w:hAnsi="Times New Roman" w:cs="Times New Roman"/>
          <w:sz w:val="28"/>
          <w:szCs w:val="28"/>
        </w:rPr>
        <w:t>同时，通过对区域月度综合指数及同比下降率进行计算，并与其他区域数据进行对比，分析排名情况、与其他区域的差距以及需首要控制的污染物，提出针对性的有效的管控建议。</w:t>
      </w:r>
      <w:bookmarkStart w:id="3" w:name="_Toc11108"/>
      <w:bookmarkStart w:id="4" w:name="_Toc25427"/>
    </w:p>
    <w:p>
      <w:pPr>
        <w:tabs>
          <w:tab w:val="left" w:pos="7230"/>
        </w:tabs>
        <w:ind w:firstLine="562" w:firstLineChars="200"/>
        <w:jc w:val="left"/>
        <w:rPr>
          <w:rFonts w:ascii="宋体" w:hAnsi="宋体" w:cs="Times New Roman"/>
          <w:b/>
          <w:sz w:val="28"/>
          <w:szCs w:val="28"/>
        </w:rPr>
      </w:pPr>
      <w:r>
        <w:rPr>
          <w:rFonts w:ascii="宋体" w:hAnsi="宋体" w:cs="Times New Roman"/>
          <w:b/>
          <w:sz w:val="28"/>
          <w:szCs w:val="28"/>
        </w:rPr>
        <w:t>大数据研判分析报告</w:t>
      </w:r>
      <w:bookmarkEnd w:id="3"/>
      <w:bookmarkEnd w:id="4"/>
    </w:p>
    <w:p>
      <w:pPr>
        <w:tabs>
          <w:tab w:val="left" w:pos="7230"/>
        </w:tabs>
        <w:ind w:firstLine="560" w:firstLineChars="200"/>
        <w:jc w:val="left"/>
        <w:rPr>
          <w:rFonts w:ascii="Times New Roman" w:hAnsi="Times New Roman" w:cs="Times New Roman"/>
          <w:sz w:val="28"/>
          <w:szCs w:val="28"/>
        </w:rPr>
      </w:pPr>
      <w:r>
        <w:rPr>
          <w:rFonts w:ascii="Times New Roman" w:hAnsi="Times New Roman" w:cs="Times New Roman"/>
          <w:sz w:val="28"/>
          <w:szCs w:val="28"/>
        </w:rPr>
        <w:t xml:space="preserve">利用省控空气质量、在线污染源、网格化系统、气象信息等多维数据进行整合，对城市环境空气质量进行研判并提供分析，具体报告如下： </w:t>
      </w:r>
      <w:bookmarkStart w:id="5" w:name="_Toc443"/>
    </w:p>
    <w:p>
      <w:pPr>
        <w:tabs>
          <w:tab w:val="left" w:pos="7230"/>
        </w:tabs>
        <w:jc w:val="left"/>
        <w:rPr>
          <w:rFonts w:ascii="Times New Roman" w:hAnsi="Times New Roman" w:cs="Times New Roman"/>
          <w:sz w:val="28"/>
          <w:szCs w:val="28"/>
        </w:rPr>
      </w:pPr>
      <w:r>
        <w:rPr>
          <w:rFonts w:hint="eastAsia" w:ascii="Times New Roman" w:hAnsi="Times New Roman" w:cs="Times New Roman"/>
          <w:sz w:val="28"/>
          <w:szCs w:val="28"/>
        </w:rPr>
        <w:t>1、</w:t>
      </w:r>
      <w:r>
        <w:rPr>
          <w:rFonts w:ascii="Times New Roman" w:hAnsi="Times New Roman" w:cs="Times New Roman"/>
          <w:sz w:val="28"/>
          <w:szCs w:val="28"/>
        </w:rPr>
        <w:t>常规分析报告</w:t>
      </w:r>
      <w:bookmarkEnd w:id="5"/>
    </w:p>
    <w:p>
      <w:pPr>
        <w:tabs>
          <w:tab w:val="left" w:pos="7230"/>
        </w:tabs>
        <w:ind w:firstLine="560" w:firstLineChars="200"/>
        <w:jc w:val="left"/>
        <w:rPr>
          <w:rFonts w:ascii="Times New Roman" w:hAnsi="Times New Roman" w:cs="Times New Roman"/>
          <w:sz w:val="28"/>
          <w:szCs w:val="28"/>
        </w:rPr>
      </w:pPr>
      <w:r>
        <w:rPr>
          <w:rFonts w:ascii="Times New Roman" w:hAnsi="Times New Roman" w:cs="Times New Roman"/>
          <w:sz w:val="28"/>
          <w:szCs w:val="28"/>
        </w:rPr>
        <w:t>日报（365期）：根据昨日禹州市及其他市县区环境空气质量浓度（含6因子浓度、AQI、空气质量级别类别），获得本市空气质量排名，分析禹州市当日空气质量污染物累计浓度（含6因子浓度、AQI、空气质量级别类别），对当日本市空气站点数据变化进行分析，对六因子污染浓度进行趋势分析及排名。结合未来3天气象条件进行未来三天的空气质量进行预测分析，并给出环境管理措施建议；</w:t>
      </w:r>
    </w:p>
    <w:p>
      <w:pPr>
        <w:tabs>
          <w:tab w:val="left" w:pos="7230"/>
        </w:tabs>
        <w:ind w:firstLine="560" w:firstLineChars="200"/>
        <w:jc w:val="left"/>
        <w:rPr>
          <w:rFonts w:ascii="Times New Roman" w:hAnsi="Times New Roman" w:cs="Times New Roman"/>
          <w:sz w:val="28"/>
          <w:szCs w:val="28"/>
        </w:rPr>
      </w:pPr>
      <w:r>
        <w:rPr>
          <w:rFonts w:ascii="Times New Roman" w:hAnsi="Times New Roman" w:cs="Times New Roman"/>
          <w:sz w:val="28"/>
          <w:szCs w:val="28"/>
        </w:rPr>
        <w:t>周报（52期）：分析本周禹州市环境空气质量浓度含6因子浓度、AQI、空气质量级别类别），获得本市排名信息，分析禹州市当周空气质量污染物累计浓度（含6因子浓度、AQI、空气质量级别类别），对六因子污染浓度进行趋势分析。对周巡检问题及处理情况汇总，及时对运维工作进行调整，对本周空气站点空气质量数据变化、异常数据及巡检问题和处理情况进行分析汇总，及时提出下一周管控措施和建议；</w:t>
      </w:r>
    </w:p>
    <w:p>
      <w:pPr>
        <w:tabs>
          <w:tab w:val="left" w:pos="7230"/>
        </w:tabs>
        <w:ind w:firstLine="560" w:firstLineChars="200"/>
        <w:jc w:val="left"/>
        <w:rPr>
          <w:rFonts w:ascii="Times New Roman" w:hAnsi="Times New Roman" w:cs="Times New Roman"/>
          <w:sz w:val="28"/>
          <w:szCs w:val="28"/>
        </w:rPr>
      </w:pPr>
      <w:r>
        <w:rPr>
          <w:rFonts w:ascii="Times New Roman" w:hAnsi="Times New Roman" w:cs="Times New Roman"/>
          <w:sz w:val="28"/>
          <w:szCs w:val="28"/>
        </w:rPr>
        <w:t>月报（12期）：对当月禹州市环境空气质量综合指数和排名情况进行分析汇总（含6因子浓度、AQI、空气质量级别类别），分析禹州市当月空气质量污染物累计浓度（含6因子浓度、AQI、空气质量级别类别），与其他市县区进行对比分析，对污染浓度进行趋势分析。总结当月空气站点数据变化、异常数据及污染过程分析，对巡检问题及处理情况进行月度汇总，分析禹州市各项指标目标的完成情况，及六项污染物月度同比及环比的比较情况，并提出下个月重点控制污染源及管控措施建议；</w:t>
      </w:r>
    </w:p>
    <w:p>
      <w:pPr>
        <w:tabs>
          <w:tab w:val="left" w:pos="7230"/>
        </w:tabs>
        <w:ind w:firstLine="560" w:firstLineChars="200"/>
        <w:jc w:val="left"/>
        <w:rPr>
          <w:rFonts w:ascii="Times New Roman" w:hAnsi="Times New Roman" w:cs="Times New Roman"/>
          <w:sz w:val="28"/>
          <w:szCs w:val="28"/>
        </w:rPr>
      </w:pPr>
      <w:r>
        <w:rPr>
          <w:rFonts w:ascii="Times New Roman" w:hAnsi="Times New Roman" w:cs="Times New Roman"/>
          <w:sz w:val="28"/>
          <w:szCs w:val="28"/>
        </w:rPr>
        <w:t>年报（1期）：分析当年禹州市环境空气质量累计状况（含6因子浓度、AQI、空气质量级别类别），分析禹州市当年空气质量累计状况（含6因子浓度、AQI、空气质量级别类别）与其他市县区进行差距分析，分析当年禹州市环境空气质量综合指数及排名情况，与其他城市进行差距分析，分析年度累计目标的完成情况，分析当年环境空气质量变化趋势及年度比较，分析禹州市各项指标目标的完成情况，综合整年本区环境空气质量数据，分析本市及其他市县区综合指数差距，对整年空气站点异常数据、网格化设备的数据变化情况及处理情况汇总分析，针对年度污染过程总结分析。</w:t>
      </w:r>
      <w:bookmarkStart w:id="6" w:name="_Toc32678"/>
    </w:p>
    <w:p>
      <w:pPr>
        <w:tabs>
          <w:tab w:val="left" w:pos="7230"/>
        </w:tabs>
        <w:jc w:val="left"/>
        <w:rPr>
          <w:rFonts w:ascii="Times New Roman" w:hAnsi="Times New Roman" w:cs="Times New Roman"/>
          <w:sz w:val="28"/>
          <w:szCs w:val="28"/>
        </w:rPr>
      </w:pPr>
      <w:r>
        <w:rPr>
          <w:rFonts w:hint="eastAsia" w:ascii="Times New Roman" w:hAnsi="Times New Roman" w:cs="Times New Roman"/>
          <w:sz w:val="28"/>
          <w:szCs w:val="28"/>
        </w:rPr>
        <w:t>2、根据需要提供污染分析专题报告等。</w:t>
      </w:r>
    </w:p>
    <w:p>
      <w:pPr>
        <w:tabs>
          <w:tab w:val="left" w:pos="7230"/>
        </w:tabs>
        <w:jc w:val="left"/>
        <w:rPr>
          <w:rFonts w:ascii="Times New Roman" w:hAnsi="Times New Roman" w:cs="Times New Roman"/>
          <w:sz w:val="28"/>
          <w:szCs w:val="28"/>
        </w:rPr>
      </w:pPr>
      <w:r>
        <w:rPr>
          <w:rFonts w:hint="eastAsia" w:ascii="Times New Roman" w:hAnsi="Times New Roman" w:cs="Times New Roman"/>
          <w:sz w:val="28"/>
          <w:szCs w:val="28"/>
        </w:rPr>
        <w:t>3、</w:t>
      </w:r>
      <w:r>
        <w:rPr>
          <w:rFonts w:ascii="Times New Roman" w:hAnsi="Times New Roman" w:cs="Times New Roman"/>
          <w:sz w:val="28"/>
          <w:szCs w:val="28"/>
        </w:rPr>
        <w:t>激光雷达走航车专项服务</w:t>
      </w:r>
      <w:bookmarkEnd w:id="6"/>
    </w:p>
    <w:p>
      <w:pPr>
        <w:tabs>
          <w:tab w:val="left" w:pos="7230"/>
        </w:tabs>
        <w:ind w:firstLine="420" w:firstLineChars="150"/>
        <w:jc w:val="left"/>
        <w:rPr>
          <w:rFonts w:ascii="Times New Roman" w:hAnsi="Times New Roman" w:cs="Times New Roman"/>
          <w:sz w:val="28"/>
          <w:szCs w:val="28"/>
        </w:rPr>
      </w:pPr>
      <w:r>
        <w:rPr>
          <w:rFonts w:ascii="Times New Roman" w:hAnsi="Times New Roman" w:cs="Times New Roman"/>
          <w:sz w:val="28"/>
          <w:szCs w:val="28"/>
        </w:rPr>
        <w:t>根据实际需要，进行不定时走航，定向观察污染物传输、环境质量演变，侧面监控污染物排放情况，为应急管控效果评估、重污染天气响应提供数据支持和科学依据。</w:t>
      </w:r>
      <w:bookmarkStart w:id="7" w:name="_Toc4999"/>
    </w:p>
    <w:p>
      <w:pPr>
        <w:tabs>
          <w:tab w:val="left" w:pos="7230"/>
        </w:tabs>
        <w:jc w:val="left"/>
        <w:rPr>
          <w:rFonts w:ascii="Times New Roman" w:hAnsi="Times New Roman" w:cs="Times New Roman"/>
          <w:sz w:val="28"/>
          <w:szCs w:val="28"/>
        </w:rPr>
      </w:pPr>
      <w:r>
        <w:rPr>
          <w:rFonts w:hint="eastAsia" w:ascii="Times New Roman" w:hAnsi="Times New Roman" w:cs="Times New Roman"/>
          <w:sz w:val="28"/>
          <w:szCs w:val="28"/>
        </w:rPr>
        <w:t>4、</w:t>
      </w:r>
      <w:r>
        <w:rPr>
          <w:rFonts w:ascii="Times New Roman" w:hAnsi="Times New Roman" w:cs="Times New Roman"/>
          <w:sz w:val="28"/>
          <w:szCs w:val="28"/>
        </w:rPr>
        <w:t>无人机污染源取证服务</w:t>
      </w:r>
      <w:bookmarkEnd w:id="7"/>
    </w:p>
    <w:p>
      <w:pPr>
        <w:tabs>
          <w:tab w:val="left" w:pos="7230"/>
        </w:tabs>
        <w:ind w:firstLine="420" w:firstLineChars="150"/>
        <w:jc w:val="left"/>
        <w:rPr>
          <w:rFonts w:ascii="Times New Roman" w:hAnsi="Times New Roman" w:cs="Times New Roman"/>
          <w:sz w:val="28"/>
          <w:szCs w:val="28"/>
        </w:rPr>
      </w:pPr>
      <w:r>
        <w:rPr>
          <w:rFonts w:ascii="Times New Roman" w:hAnsi="Times New Roman" w:cs="Times New Roman"/>
          <w:sz w:val="28"/>
          <w:szCs w:val="28"/>
        </w:rPr>
        <w:t>现场排查污染源人员利用无人机对疑似污染源，在无法靠近进行取证时，采取无人机进行空中拍照取证。</w:t>
      </w:r>
      <w:bookmarkStart w:id="8" w:name="_Toc9374"/>
    </w:p>
    <w:p>
      <w:pPr>
        <w:tabs>
          <w:tab w:val="left" w:pos="7230"/>
        </w:tabs>
        <w:jc w:val="left"/>
        <w:rPr>
          <w:rFonts w:ascii="Times New Roman" w:hAnsi="Times New Roman" w:cs="Times New Roman"/>
          <w:sz w:val="28"/>
          <w:szCs w:val="28"/>
        </w:rPr>
      </w:pPr>
      <w:r>
        <w:rPr>
          <w:rFonts w:hint="eastAsia" w:ascii="Times New Roman" w:hAnsi="Times New Roman" w:cs="Times New Roman"/>
          <w:sz w:val="28"/>
          <w:szCs w:val="28"/>
        </w:rPr>
        <w:t>5、</w:t>
      </w:r>
      <w:r>
        <w:rPr>
          <w:rFonts w:ascii="Times New Roman" w:hAnsi="Times New Roman" w:cs="Times New Roman"/>
          <w:sz w:val="28"/>
          <w:szCs w:val="28"/>
        </w:rPr>
        <w:t>预期目标</w:t>
      </w:r>
      <w:bookmarkEnd w:id="8"/>
    </w:p>
    <w:p>
      <w:pPr>
        <w:widowControl/>
        <w:shd w:val="clear" w:color="auto" w:fill="FFFFFF"/>
        <w:spacing w:line="360" w:lineRule="auto"/>
        <w:ind w:firstLine="707"/>
        <w:contextualSpacing/>
        <w:jc w:val="left"/>
        <w:rPr>
          <w:rFonts w:hint="eastAsia" w:ascii="新宋体" w:hAnsi="新宋体" w:eastAsia="新宋体" w:cs="新宋体"/>
          <w:b/>
          <w:bCs/>
          <w:color w:val="000000"/>
          <w:kern w:val="0"/>
          <w:sz w:val="24"/>
          <w:szCs w:val="24"/>
          <w:lang w:eastAsia="zh-CN"/>
        </w:rPr>
      </w:pPr>
      <w:r>
        <w:rPr>
          <w:rFonts w:ascii="Times New Roman" w:hAnsi="Times New Roman" w:cs="Times New Roman"/>
          <w:sz w:val="28"/>
          <w:szCs w:val="28"/>
        </w:rPr>
        <w:t>希望通过环境咨询服务项目，客观真实的分析禹州市环境空气质量现状和演变趋势，提供大气污染防治的治理和技术支持，进一步提高大气污染防治和监管执法实时化，精细化，科学化，实现对污染物的实时监测、精准排查、精细化管控，有的放矢的治理区域环境污染，并结合短期考核目标以及环境保护中长期规划，积极做好大气污染防治工作，持续有效改善空气质量、打赢蓝天保卫战、形成区域联防联控大气污染的长效机制。</w:t>
      </w:r>
      <w:r>
        <w:rPr>
          <w:rFonts w:hint="eastAsia" w:ascii="Times New Roman" w:hAnsi="Times New Roman" w:cs="Times New Roman"/>
          <w:sz w:val="28"/>
          <w:szCs w:val="28"/>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2" w:firstLineChars="200"/>
        <w:contextualSpacing/>
        <w:jc w:val="both"/>
        <w:textAlignment w:val="auto"/>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bCs/>
          <w:color w:val="000000"/>
          <w:kern w:val="0"/>
          <w:sz w:val="24"/>
          <w:szCs w:val="24"/>
          <w:lang w:val="en-US" w:eastAsia="zh-CN" w:bidi="ar-SA"/>
        </w:rPr>
        <w:t>（三）采购标的执行标准：</w:t>
      </w:r>
      <w:r>
        <w:rPr>
          <w:rFonts w:hint="eastAsia" w:ascii="新宋体" w:hAnsi="新宋体" w:eastAsia="新宋体" w:cs="新宋体"/>
          <w:b w:val="0"/>
          <w:bCs w:val="0"/>
          <w:color w:val="000000"/>
          <w:kern w:val="0"/>
          <w:sz w:val="24"/>
          <w:szCs w:val="24"/>
          <w:lang w:val="en-US" w:eastAsia="zh-CN" w:bidi="ar-SA"/>
        </w:rPr>
        <w:t>达到国家、行业、地方政府有关法律法规及技术规范要求，并通过有关部门审查。</w:t>
      </w:r>
    </w:p>
    <w:p>
      <w:pPr>
        <w:pStyle w:val="30"/>
        <w:keepNext w:val="0"/>
        <w:keepLines w:val="0"/>
        <w:pageBreakBefore w:val="0"/>
        <w:widowControl w:val="0"/>
        <w:kinsoku/>
        <w:overflowPunct/>
        <w:autoSpaceDE/>
        <w:autoSpaceDN/>
        <w:bidi w:val="0"/>
        <w:adjustRightInd/>
        <w:snapToGrid/>
        <w:spacing w:line="360" w:lineRule="auto"/>
        <w:ind w:firstLine="240" w:firstLineChars="100"/>
        <w:textAlignment w:val="auto"/>
        <w:rPr>
          <w:rFonts w:hint="eastAsia"/>
          <w:lang w:val="en-US" w:eastAsia="zh-CN"/>
        </w:rPr>
      </w:pPr>
      <w:r>
        <w:rPr>
          <w:rFonts w:hint="eastAsia"/>
          <w:lang w:val="en-US" w:eastAsia="zh-CN"/>
        </w:rPr>
        <w:t>（四）服务标准、期限、效果等要求</w:t>
      </w:r>
    </w:p>
    <w:p>
      <w:pPr>
        <w:pStyle w:val="30"/>
        <w:keepNext w:val="0"/>
        <w:keepLines w:val="0"/>
        <w:pageBreakBefore w:val="0"/>
        <w:widowControl w:val="0"/>
        <w:kinsoku/>
        <w:overflowPunct/>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服务标准：满足招标人要求并通过相关部门组织的综合考评考核和验收。</w:t>
      </w:r>
    </w:p>
    <w:p>
      <w:pPr>
        <w:pStyle w:val="30"/>
        <w:keepNext w:val="0"/>
        <w:keepLines w:val="0"/>
        <w:pageBreakBefore w:val="0"/>
        <w:widowControl w:val="0"/>
        <w:kinsoku/>
        <w:overflowPunct/>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服务期限：以合同为准。</w:t>
      </w:r>
    </w:p>
    <w:p>
      <w:pPr>
        <w:pStyle w:val="30"/>
        <w:keepNext w:val="0"/>
        <w:keepLines w:val="0"/>
        <w:pageBreakBefore w:val="0"/>
        <w:widowControl w:val="0"/>
        <w:kinsoku/>
        <w:overflowPunct/>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服务效率：以合同为准。</w:t>
      </w:r>
    </w:p>
    <w:p>
      <w:pPr>
        <w:keepNext w:val="0"/>
        <w:keepLines w:val="0"/>
        <w:pageBreakBefore w:val="0"/>
        <w:widowControl w:val="0"/>
        <w:kinsoku/>
        <w:wordWrap w:val="0"/>
        <w:overflowPunct/>
        <w:topLinePunct/>
        <w:autoSpaceDE/>
        <w:autoSpaceDN/>
        <w:bidi w:val="0"/>
        <w:adjustRightInd/>
        <w:snapToGrid/>
        <w:spacing w:line="360" w:lineRule="auto"/>
        <w:ind w:firstLine="723" w:firstLineChars="300"/>
        <w:textAlignment w:val="auto"/>
        <w:rPr>
          <w:rFonts w:hint="eastAsia" w:ascii="新宋体" w:hAnsi="新宋体" w:eastAsia="新宋体" w:cs="新宋体"/>
          <w:b/>
          <w:bCs/>
          <w:sz w:val="24"/>
          <w:lang w:val="zh-CN"/>
        </w:rPr>
      </w:pPr>
      <w:r>
        <w:rPr>
          <w:rFonts w:hint="eastAsia" w:ascii="新宋体" w:hAnsi="新宋体" w:eastAsia="新宋体" w:cs="新宋体"/>
          <w:b/>
          <w:bCs/>
          <w:sz w:val="24"/>
          <w:lang w:val="zh-CN"/>
        </w:rPr>
        <w:t>（</w:t>
      </w:r>
      <w:r>
        <w:rPr>
          <w:rFonts w:hint="eastAsia" w:ascii="新宋体" w:hAnsi="新宋体" w:eastAsia="新宋体" w:cs="新宋体"/>
          <w:b/>
          <w:bCs/>
          <w:sz w:val="24"/>
          <w:lang w:val="zh-CN" w:eastAsia="zh-CN"/>
        </w:rPr>
        <w:t>五</w:t>
      </w:r>
      <w:r>
        <w:rPr>
          <w:rFonts w:hint="eastAsia" w:ascii="新宋体" w:hAnsi="新宋体" w:eastAsia="新宋体" w:cs="新宋体"/>
          <w:b/>
          <w:bCs/>
          <w:sz w:val="24"/>
          <w:lang w:val="zh-CN"/>
        </w:rPr>
        <w:t>）采购标的的其他技术、服务等要求</w:t>
      </w:r>
    </w:p>
    <w:p>
      <w:pPr>
        <w:pStyle w:val="61"/>
        <w:wordWrap w:val="0"/>
        <w:topLinePunct/>
        <w:autoSpaceDE w:val="0"/>
        <w:autoSpaceDN w:val="0"/>
        <w:adjustRightInd w:val="0"/>
        <w:spacing w:line="360" w:lineRule="auto"/>
        <w:rPr>
          <w:rFonts w:hint="eastAsia" w:ascii="宋体" w:cs="宋体"/>
          <w:sz w:val="24"/>
          <w:lang w:val="zh-CN"/>
        </w:rPr>
      </w:pPr>
      <w:r>
        <w:rPr>
          <w:rFonts w:hint="eastAsia" w:ascii="宋体" w:cs="宋体"/>
          <w:sz w:val="24"/>
          <w:lang w:val="en-US" w:eastAsia="zh-CN"/>
        </w:rPr>
        <w:t>1、</w:t>
      </w:r>
      <w:r>
        <w:rPr>
          <w:rFonts w:hint="eastAsia" w:ascii="宋体" w:cs="宋体"/>
          <w:sz w:val="24"/>
          <w:lang w:val="zh-CN"/>
        </w:rPr>
        <w:t>投标人应就本项目完整投标，（报价含税费等综合费用），否则为无效投标。</w:t>
      </w:r>
    </w:p>
    <w:p>
      <w:pPr>
        <w:pStyle w:val="2"/>
        <w:keepNext w:val="0"/>
        <w:keepLines w:val="0"/>
        <w:pageBreakBefore w:val="0"/>
        <w:kinsoku/>
        <w:overflowPunct/>
        <w:bidi w:val="0"/>
        <w:snapToGrid/>
        <w:spacing w:line="360" w:lineRule="auto"/>
        <w:ind w:firstLine="480" w:firstLineChars="200"/>
        <w:rPr>
          <w:rFonts w:hint="eastAsia" w:ascii="宋体" w:cs="宋体"/>
          <w:sz w:val="24"/>
          <w:lang w:val="zh-CN"/>
        </w:rPr>
      </w:pPr>
      <w:r>
        <w:rPr>
          <w:rFonts w:hint="eastAsia" w:ascii="新宋体" w:hAnsi="新宋体" w:eastAsia="新宋体" w:cs="新宋体"/>
          <w:kern w:val="2"/>
          <w:sz w:val="24"/>
          <w:szCs w:val="22"/>
          <w:lang w:val="en-US" w:eastAsia="zh-CN" w:bidi="ar-SA"/>
        </w:rPr>
        <w:t>2.</w:t>
      </w:r>
      <w:r>
        <w:rPr>
          <w:rFonts w:hint="eastAsia" w:ascii="新宋体" w:hAnsi="新宋体" w:eastAsia="新宋体" w:cs="新宋体"/>
          <w:kern w:val="2"/>
          <w:sz w:val="24"/>
          <w:szCs w:val="22"/>
          <w:lang w:val="zh-CN" w:eastAsia="zh-CN" w:bidi="ar-SA"/>
        </w:rPr>
        <w:t>投标文件中须有详细的实施（技术）方案，否则为无效投标。</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en-US" w:eastAsia="zh-CN"/>
        </w:rPr>
        <w:t>3、</w:t>
      </w:r>
      <w:r>
        <w:rPr>
          <w:rFonts w:hint="eastAsia" w:ascii="新宋体" w:hAnsi="新宋体" w:eastAsia="新宋体" w:cs="新宋体"/>
          <w:sz w:val="24"/>
          <w:lang w:val="zh-CN"/>
        </w:rPr>
        <w:t>投标商必须由法定代表人或其授权代表参加开标会议，随时接受评标委员会询问，并予作出书面解答。</w:t>
      </w:r>
    </w:p>
    <w:p>
      <w:pPr>
        <w:keepNext w:val="0"/>
        <w:keepLines w:val="0"/>
        <w:pageBreakBefore w:val="0"/>
        <w:widowControl/>
        <w:shd w:val="clear" w:color="auto" w:fill="FFFFFF"/>
        <w:kinsoku/>
        <w:overflowPunct/>
        <w:bidi w:val="0"/>
        <w:snapToGrid/>
        <w:spacing w:line="360" w:lineRule="auto"/>
        <w:ind w:firstLine="482" w:firstLineChars="200"/>
        <w:contextualSpacing/>
        <w:jc w:val="left"/>
        <w:rPr>
          <w:rFonts w:hint="eastAsia" w:ascii="新宋体" w:hAnsi="新宋体" w:eastAsia="新宋体" w:cs="新宋体"/>
          <w:b w:val="0"/>
          <w:bCs/>
          <w:color w:val="000000"/>
          <w:kern w:val="0"/>
          <w:sz w:val="24"/>
          <w:szCs w:val="24"/>
          <w:lang w:val="zh-CN"/>
        </w:rPr>
      </w:pPr>
      <w:r>
        <w:rPr>
          <w:rFonts w:hint="eastAsia" w:ascii="新宋体" w:hAnsi="新宋体" w:eastAsia="新宋体" w:cs="新宋体"/>
          <w:b/>
          <w:color w:val="000000"/>
          <w:kern w:val="0"/>
          <w:sz w:val="24"/>
          <w:szCs w:val="24"/>
          <w:lang w:val="zh-CN"/>
        </w:rPr>
        <w:t>（六）验收标准：</w:t>
      </w:r>
      <w:r>
        <w:rPr>
          <w:rFonts w:hint="eastAsia" w:ascii="新宋体" w:hAnsi="新宋体" w:eastAsia="新宋体" w:cs="新宋体"/>
          <w:b w:val="0"/>
          <w:bCs/>
          <w:color w:val="000000"/>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widowControl/>
        <w:shd w:val="clear" w:color="auto" w:fill="FFFFFF"/>
        <w:kinsoku/>
        <w:overflowPunct/>
        <w:bidi w:val="0"/>
        <w:snapToGrid/>
        <w:spacing w:line="360" w:lineRule="auto"/>
        <w:ind w:firstLine="480" w:firstLineChars="200"/>
        <w:contextualSpacing/>
        <w:jc w:val="left"/>
        <w:rPr>
          <w:rFonts w:hint="eastAsia" w:ascii="新宋体" w:hAnsi="新宋体" w:eastAsia="新宋体" w:cs="新宋体"/>
          <w:b w:val="0"/>
          <w:bCs/>
          <w:color w:val="000000"/>
          <w:kern w:val="0"/>
          <w:sz w:val="24"/>
          <w:szCs w:val="24"/>
          <w:lang w:val="zh-CN"/>
        </w:rPr>
      </w:pPr>
      <w:r>
        <w:rPr>
          <w:rFonts w:hint="eastAsia" w:ascii="新宋体" w:hAnsi="新宋体" w:eastAsia="新宋体" w:cs="新宋体"/>
          <w:b w:val="0"/>
          <w:bCs/>
          <w:color w:val="000000"/>
          <w:kern w:val="0"/>
          <w:sz w:val="24"/>
          <w:szCs w:val="24"/>
          <w:lang w:val="zh-CN"/>
        </w:rPr>
        <w:t>1、按照国家相关标准、行业标准、地方标准或者其他标准、规范验收。</w:t>
      </w:r>
    </w:p>
    <w:p>
      <w:pPr>
        <w:keepNext w:val="0"/>
        <w:keepLines w:val="0"/>
        <w:pageBreakBefore w:val="0"/>
        <w:widowControl/>
        <w:shd w:val="clear" w:color="auto" w:fill="FFFFFF"/>
        <w:kinsoku/>
        <w:overflowPunct/>
        <w:bidi w:val="0"/>
        <w:snapToGrid/>
        <w:spacing w:line="360" w:lineRule="auto"/>
        <w:ind w:firstLine="480" w:firstLineChars="200"/>
        <w:contextualSpacing/>
        <w:jc w:val="left"/>
        <w:rPr>
          <w:rFonts w:hint="eastAsia" w:ascii="新宋体" w:hAnsi="新宋体" w:eastAsia="新宋体" w:cs="新宋体"/>
          <w:b w:val="0"/>
          <w:bCs/>
          <w:color w:val="000000"/>
          <w:kern w:val="0"/>
          <w:sz w:val="24"/>
          <w:szCs w:val="24"/>
          <w:lang w:val="zh-CN"/>
        </w:rPr>
      </w:pPr>
      <w:r>
        <w:rPr>
          <w:rFonts w:hint="eastAsia" w:ascii="新宋体" w:hAnsi="新宋体" w:eastAsia="新宋体" w:cs="新宋体"/>
          <w:b w:val="0"/>
          <w:bCs/>
          <w:color w:val="000000"/>
          <w:kern w:val="0"/>
          <w:sz w:val="24"/>
          <w:szCs w:val="24"/>
          <w:lang w:val="zh-CN"/>
        </w:rPr>
        <w:t>2、按照招标文件要求、投标文件响应和承诺验收。</w:t>
      </w:r>
    </w:p>
    <w:p>
      <w:pPr>
        <w:pStyle w:val="2"/>
        <w:keepNext w:val="0"/>
        <w:keepLines w:val="0"/>
        <w:pageBreakBefore w:val="0"/>
        <w:kinsoku/>
        <w:overflowPunct/>
        <w:bidi w:val="0"/>
        <w:snapToGrid/>
        <w:spacing w:line="360" w:lineRule="auto"/>
        <w:ind w:firstLine="241" w:firstLineChars="100"/>
        <w:rPr>
          <w:rFonts w:hint="eastAsia" w:ascii="新宋体" w:hAnsi="新宋体" w:eastAsia="新宋体" w:cs="新宋体"/>
          <w:b/>
          <w:color w:val="000000"/>
          <w:kern w:val="0"/>
          <w:sz w:val="24"/>
          <w:szCs w:val="24"/>
          <w:lang w:val="zh-CN" w:eastAsia="zh-CN" w:bidi="ar-SA"/>
        </w:rPr>
      </w:pPr>
      <w:r>
        <w:rPr>
          <w:rFonts w:hint="eastAsia" w:ascii="新宋体" w:hAnsi="新宋体" w:eastAsia="新宋体" w:cs="新宋体"/>
          <w:b/>
          <w:color w:val="000000"/>
          <w:kern w:val="0"/>
          <w:sz w:val="24"/>
          <w:szCs w:val="24"/>
          <w:lang w:val="zh-CN" w:eastAsia="zh-CN" w:bidi="ar-SA"/>
        </w:rPr>
        <w:t>（七）付款方式：以签订合同为准。</w:t>
      </w: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pStyle w:val="3"/>
        <w:numPr>
          <w:ilvl w:val="0"/>
          <w:numId w:val="0"/>
        </w:numPr>
        <w:rPr>
          <w:rFonts w:hint="eastAsia"/>
        </w:rPr>
      </w:pPr>
    </w:p>
    <w:p>
      <w:pPr>
        <w:rPr>
          <w:rFonts w:hint="eastAsia"/>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1446" w:firstLineChars="400"/>
        <w:rPr>
          <w:rFonts w:hint="eastAsia" w:cs="宋体" w:asciiTheme="majorEastAsia" w:hAnsiTheme="majorEastAsia" w:eastAsiaTheme="majorEastAsia"/>
          <w:b/>
          <w:kern w:val="0"/>
          <w:sz w:val="36"/>
          <w:szCs w:val="36"/>
        </w:rPr>
      </w:pPr>
    </w:p>
    <w:p>
      <w:pPr>
        <w:autoSpaceDE w:val="0"/>
        <w:autoSpaceDN w:val="0"/>
        <w:adjustRightInd w:val="0"/>
        <w:ind w:firstLine="1446" w:firstLineChars="400"/>
        <w:rPr>
          <w:rFonts w:hint="eastAsia" w:cs="宋体" w:asciiTheme="majorEastAsia" w:hAnsiTheme="majorEastAsia" w:eastAsiaTheme="majorEastAsia"/>
          <w:b/>
          <w:kern w:val="0"/>
          <w:sz w:val="36"/>
          <w:szCs w:val="36"/>
        </w:rPr>
      </w:pPr>
    </w:p>
    <w:p>
      <w:pPr>
        <w:autoSpaceDE w:val="0"/>
        <w:autoSpaceDN w:val="0"/>
        <w:adjustRightInd w:val="0"/>
        <w:ind w:firstLine="2530" w:firstLineChars="7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禹州市大气污染防治第三方专家咨询服务项目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YZCG-G2020038</w:t>
            </w:r>
          </w:p>
          <w:p>
            <w:pPr>
              <w:widowControl/>
              <w:shd w:val="clear" w:color="auto" w:fill="FFFFFF"/>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lang w:eastAsia="zh-CN"/>
              </w:rPr>
              <w:t>交付时间：以签订合同为准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widowControl/>
              <w:shd w:val="clear" w:color="auto" w:fill="FFFFFF"/>
              <w:spacing w:line="400" w:lineRule="exact"/>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名称：禹州市环境保护局</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Cs w:val="21"/>
                <w:lang w:eastAsia="zh-CN"/>
              </w:rPr>
              <w:t>地址：禹州市行政北路</w:t>
            </w:r>
          </w:p>
          <w:p>
            <w:pPr>
              <w:keepNext w:val="0"/>
              <w:keepLines w:val="0"/>
              <w:pageBreakBefore w:val="0"/>
              <w:widowControl/>
              <w:shd w:val="clear" w:color="auto" w:fill="FFFFFF"/>
              <w:kinsoku/>
              <w:overflowPunct/>
              <w:bidi w:val="0"/>
              <w:spacing w:line="400" w:lineRule="exact"/>
              <w:jc w:val="left"/>
              <w:textAlignment w:val="auto"/>
              <w:rPr>
                <w:rFonts w:hint="default" w:cs="仿宋_GB2312" w:asciiTheme="minorEastAsia" w:hAnsiTheme="minorEastAsia"/>
                <w:szCs w:val="21"/>
                <w:lang w:val="en-US" w:eastAsia="zh-CN"/>
              </w:rPr>
            </w:pPr>
            <w:r>
              <w:rPr>
                <w:rFonts w:hint="eastAsia" w:cs="仿宋_GB2312" w:asciiTheme="minorEastAsia" w:hAnsiTheme="minorEastAsia"/>
                <w:szCs w:val="21"/>
                <w:lang w:eastAsia="zh-CN"/>
              </w:rPr>
              <w:t>联系人：梁先生   联系电话：17839126378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 w:val="24"/>
                <w:szCs w:val="24"/>
              </w:rPr>
              <w:t>地址：</w:t>
            </w:r>
            <w:r>
              <w:rPr>
                <w:rFonts w:hint="eastAsia" w:cs="仿宋_GB2312" w:asciiTheme="minorEastAsia" w:hAnsiTheme="minorEastAsia"/>
                <w:szCs w:val="21"/>
                <w:lang w:eastAsia="zh-CN"/>
              </w:rPr>
              <w:t>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4、信用信息的使用原则：经采购人认定的被列入失信被执行人、重大税收违法案件当事人名单、政府采购严重违法失信行为记录名单、严重违法失信社会组织名单的投标人，将拒绝其参与本次政府采购活动。</w:t>
            </w:r>
          </w:p>
          <w:p>
            <w:pPr>
              <w:autoSpaceDE w:val="0"/>
              <w:autoSpaceDN w:val="0"/>
              <w:spacing w:line="360" w:lineRule="auto"/>
              <w:contextualSpacing/>
              <w:rPr>
                <w:rFonts w:hint="eastAsia"/>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hint="eastAsia"/>
                <w:lang w:val="en-US" w:eastAsia="zh-CN"/>
              </w:rPr>
            </w:pPr>
            <w:r>
              <w:rPr>
                <w:rFonts w:hint="eastAsia"/>
                <w:lang w:val="en-US" w:eastAsia="zh-CN"/>
              </w:rPr>
              <w:t>6</w:t>
            </w:r>
            <w:r>
              <w:rPr>
                <w:rFonts w:hint="eastAsia"/>
              </w:rPr>
              <w:t>、被委托</w:t>
            </w:r>
            <w:r>
              <w:rPr>
                <w:rFonts w:hint="eastAsia"/>
                <w:lang w:eastAsia="zh-CN"/>
              </w:rPr>
              <w:t>人</w:t>
            </w:r>
            <w:r>
              <w:rPr>
                <w:rFonts w:hint="eastAsia"/>
              </w:rPr>
              <w:t>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pStyle w:val="30"/>
              <w:rPr>
                <w:rFonts w:hint="default" w:ascii="新宋体" w:hAnsi="新宋体" w:eastAsia="新宋体" w:cs="新宋体"/>
                <w:bCs/>
                <w:sz w:val="24"/>
                <w:szCs w:val="24"/>
                <w:lang w:val="en-US" w:eastAsia="zh-CN"/>
              </w:rPr>
            </w:pPr>
            <w:r>
              <w:rPr>
                <w:rFonts w:hint="eastAsia" w:ascii="新宋体" w:hAnsi="新宋体" w:eastAsia="新宋体" w:cs="新宋体"/>
                <w:bCs/>
                <w:sz w:val="24"/>
                <w:szCs w:val="24"/>
                <w:lang w:val="en-US" w:eastAsia="zh-CN"/>
              </w:rPr>
              <w:t>372万元，超出最高限价者为无效标。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both"/>
              <w:rPr>
                <w:rFonts w:cs="宋体" w:asciiTheme="minorEastAsia" w:hAnsiTheme="minorEastAsia"/>
                <w:bCs/>
                <w:sz w:val="24"/>
                <w:szCs w:val="24"/>
                <w:lang w:val="zh-CN"/>
              </w:rPr>
            </w:pPr>
            <w:bookmarkStart w:id="18" w:name="_GoBack"/>
            <w:bookmarkEnd w:id="18"/>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w:t>
            </w:r>
            <w:r>
              <w:rPr>
                <w:rFonts w:hint="eastAsia" w:cs="宋体" w:asciiTheme="minorEastAsia" w:hAnsiTheme="minorEastAsia"/>
                <w:bCs/>
                <w:sz w:val="24"/>
                <w:szCs w:val="24"/>
                <w:lang w:val="en-US" w:eastAsia="zh-CN"/>
              </w:rPr>
              <w:t>20</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4</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 xml:space="preserve">  </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不收取投标保证金。</w:t>
            </w:r>
          </w:p>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2.</w:t>
            </w:r>
            <w:r>
              <w:rPr>
                <w:rFonts w:hint="eastAsia" w:cs="宋体" w:asciiTheme="minorEastAsia" w:hAnsiTheme="minorEastAsia"/>
                <w:bCs/>
                <w:sz w:val="24"/>
                <w:szCs w:val="24"/>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2</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7"/>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1"/>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1"/>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1"/>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1"/>
        <w:autoSpaceDE w:val="0"/>
        <w:autoSpaceDN w:val="0"/>
        <w:spacing w:line="360" w:lineRule="auto"/>
        <w:ind w:left="780" w:firstLine="0" w:firstLineChars="0"/>
        <w:contextualSpacing/>
        <w:rPr>
          <w:rFonts w:cs="宋体" w:asciiTheme="minorEastAsia" w:hAnsiTheme="minorEastAsia"/>
          <w:kern w:val="0"/>
          <w:sz w:val="24"/>
          <w:szCs w:val="24"/>
        </w:rPr>
      </w:pPr>
    </w:p>
    <w:p>
      <w:pPr>
        <w:pStyle w:val="61"/>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1"/>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1"/>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1"/>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1"/>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1"/>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1"/>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1"/>
        <w:numPr>
          <w:ilvl w:val="1"/>
          <w:numId w:val="8"/>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9"/>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1"/>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pStyle w:val="31"/>
        <w:rPr>
          <w:rFonts w:hint="eastAsia"/>
          <w:sz w:val="24"/>
          <w:szCs w:val="24"/>
        </w:rPr>
      </w:pPr>
      <w:r>
        <w:rPr>
          <w:rFonts w:hint="eastAsia"/>
          <w:sz w:val="24"/>
          <w:szCs w:val="24"/>
        </w:rPr>
        <w:t>（1）查询渠道：“信用中国”网站（www.creditchina.gov.cn）、“中国政府采购网”（www.ccgp.gov.cn）、“中国社会组织公共服务平台”网站（www.chinanpo.gov.cn）；</w:t>
      </w:r>
    </w:p>
    <w:p>
      <w:pPr>
        <w:pStyle w:val="31"/>
        <w:rPr>
          <w:rFonts w:hint="eastAsia"/>
          <w:sz w:val="24"/>
          <w:szCs w:val="24"/>
        </w:rPr>
      </w:pPr>
      <w:r>
        <w:rPr>
          <w:rFonts w:hint="eastAsia"/>
          <w:sz w:val="24"/>
          <w:szCs w:val="24"/>
        </w:rPr>
        <w:t>（2）截止时间：同投标截止时间；</w:t>
      </w:r>
    </w:p>
    <w:p>
      <w:pPr>
        <w:pStyle w:val="31"/>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1"/>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31"/>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1"/>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61"/>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1"/>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61"/>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61"/>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7"/>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1"/>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2"/>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lang w:val="en-US" w:eastAsia="zh-CN"/>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未按照招标文件的规定提供投标保承诺函的；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5"/>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5"/>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5"/>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5"/>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5"/>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5"/>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5"/>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5"/>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9" w:name="OLE_LINK6"/>
      <w:r>
        <w:rPr>
          <w:rFonts w:hint="eastAsia" w:cs="仿宋_GB2312" w:asciiTheme="minorEastAsia" w:hAnsiTheme="minorEastAsia"/>
          <w:sz w:val="24"/>
          <w:szCs w:val="24"/>
          <w:lang w:val="zh-CN"/>
        </w:rPr>
        <w:t>财库[2014]68号</w:t>
      </w:r>
      <w:bookmarkEnd w:id="9"/>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contextualSpacing/>
        <w:jc w:val="both"/>
        <w:rPr>
          <w:rFonts w:cs="宋体" w:asciiTheme="majorEastAsia" w:hAnsiTheme="majorEastAsia" w:eastAsiaTheme="majorEastAsia"/>
          <w:b/>
          <w:kern w:val="0"/>
          <w:sz w:val="36"/>
          <w:szCs w:val="36"/>
        </w:rPr>
      </w:pPr>
    </w:p>
    <w:p>
      <w:pPr>
        <w:pStyle w:val="15"/>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bCs/>
                <w:szCs w:val="21"/>
              </w:rPr>
              <w:t>www.creditchina.gov.cn</w:t>
            </w:r>
            <w:r>
              <w:rPr>
                <w:rStyle w:val="29"/>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keepNext w:val="0"/>
              <w:keepLines w:val="0"/>
              <w:pageBreakBefore w:val="0"/>
              <w:widowControl/>
              <w:shd w:val="clear" w:color="auto" w:fill="FFFFFF"/>
              <w:kinsoku/>
              <w:overflowPunct/>
              <w:bidi w:val="0"/>
              <w:spacing w:line="440" w:lineRule="exact"/>
              <w:jc w:val="left"/>
              <w:textAlignment w:val="auto"/>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10</w:t>
            </w:r>
          </w:p>
        </w:tc>
        <w:tc>
          <w:tcPr>
            <w:tcW w:w="2410" w:type="dxa"/>
            <w:vAlign w:val="center"/>
          </w:tcPr>
          <w:p>
            <w:pPr>
              <w:spacing w:line="360" w:lineRule="auto"/>
              <w:rPr>
                <w:rFonts w:hint="eastAsia" w:asciiTheme="minorEastAsia" w:hAnsiTheme="minorEastAsia" w:eastAsiaTheme="minorEastAsia"/>
                <w:b/>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b/>
                <w:bCs/>
                <w:szCs w:val="21"/>
                <w:lang w:eastAsia="zh-CN"/>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rPr>
              <w:t>1</w:t>
            </w:r>
            <w:r>
              <w:rPr>
                <w:rFonts w:hint="eastAsia" w:asciiTheme="minorEastAsia" w:hAnsiTheme="minorEastAsia"/>
                <w:b/>
                <w:bCs/>
                <w:szCs w:val="21"/>
                <w:lang w:val="en-US" w:eastAsia="zh-CN"/>
              </w:rPr>
              <w:t>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vAlign w:val="top"/>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5"/>
        <w:spacing w:line="360" w:lineRule="auto"/>
        <w:contextualSpacing/>
        <w:jc w:val="both"/>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5"/>
        <w:spacing w:line="360" w:lineRule="auto"/>
        <w:ind w:firstLine="420" w:firstLineChars="200"/>
        <w:contextualSpacing/>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zh-CN"/>
        </w:rPr>
        <w:t>本项目采用综合评分法。</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30"/>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（5）评分标准</w:t>
      </w:r>
    </w:p>
    <w:p>
      <w:pPr>
        <w:pStyle w:val="30"/>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w:t>
      </w:r>
    </w:p>
    <w:tbl>
      <w:tblPr>
        <w:tblStyle w:val="2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6"/>
        <w:gridCol w:w="6164"/>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0" w:hRule="atLeast"/>
        </w:trPr>
        <w:tc>
          <w:tcPr>
            <w:tcW w:w="211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分值构成</w:t>
            </w:r>
          </w:p>
          <w:p>
            <w:pPr>
              <w:widowControl/>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(总分100分)</w:t>
            </w:r>
          </w:p>
        </w:tc>
        <w:tc>
          <w:tcPr>
            <w:tcW w:w="716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jc w:val="center"/>
              <w:rPr>
                <w:rFonts w:hint="eastAsia" w:ascii="新宋体" w:hAnsi="新宋体" w:eastAsia="新宋体" w:cs="新宋体"/>
                <w:sz w:val="24"/>
                <w:szCs w:val="24"/>
              </w:rPr>
            </w:pPr>
            <w:r>
              <w:rPr>
                <w:rFonts w:hint="eastAsia" w:ascii="新宋体" w:hAnsi="新宋体" w:eastAsia="新宋体" w:cs="新宋体"/>
                <w:sz w:val="24"/>
                <w:szCs w:val="24"/>
              </w:rPr>
              <w:t>价格分值：      30分</w:t>
            </w:r>
          </w:p>
          <w:p>
            <w:pPr>
              <w:widowControl/>
              <w:spacing w:line="360" w:lineRule="auto"/>
              <w:ind w:firstLine="480"/>
              <w:jc w:val="center"/>
              <w:rPr>
                <w:rFonts w:hint="eastAsia" w:ascii="新宋体" w:hAnsi="新宋体" w:eastAsia="新宋体" w:cs="新宋体"/>
                <w:sz w:val="24"/>
                <w:szCs w:val="24"/>
              </w:rPr>
            </w:pPr>
            <w:r>
              <w:rPr>
                <w:rFonts w:hint="eastAsia" w:ascii="新宋体" w:hAnsi="新宋体" w:eastAsia="新宋体" w:cs="新宋体"/>
                <w:sz w:val="24"/>
                <w:szCs w:val="24"/>
              </w:rPr>
              <w:t>商务部分：      30分</w:t>
            </w:r>
          </w:p>
          <w:p>
            <w:pPr>
              <w:widowControl/>
              <w:spacing w:line="360" w:lineRule="auto"/>
              <w:ind w:firstLine="480"/>
              <w:jc w:val="center"/>
              <w:rPr>
                <w:rFonts w:hint="eastAsia" w:ascii="新宋体" w:hAnsi="新宋体" w:eastAsia="新宋体" w:cs="新宋体"/>
                <w:sz w:val="24"/>
                <w:szCs w:val="24"/>
              </w:rPr>
            </w:pPr>
            <w:r>
              <w:rPr>
                <w:rFonts w:hint="eastAsia" w:ascii="新宋体" w:hAnsi="新宋体" w:eastAsia="新宋体" w:cs="新宋体"/>
                <w:sz w:val="24"/>
                <w:szCs w:val="24"/>
              </w:rPr>
              <w:t>技术部分：      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285" w:type="dxa"/>
            <w:gridSpan w:val="4"/>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bCs/>
                <w:kern w:val="0"/>
                <w:sz w:val="24"/>
                <w:szCs w:val="24"/>
              </w:rPr>
              <w:t>一、价格部分（满分</w:t>
            </w:r>
            <w:r>
              <w:rPr>
                <w:rFonts w:hint="eastAsia" w:ascii="新宋体" w:hAnsi="新宋体" w:eastAsia="新宋体" w:cs="新宋体"/>
                <w:bCs/>
                <w:sz w:val="24"/>
                <w:szCs w:val="24"/>
              </w:rPr>
              <w:t>30</w:t>
            </w:r>
            <w:r>
              <w:rPr>
                <w:rFonts w:hint="eastAsia" w:ascii="新宋体" w:hAnsi="新宋体" w:eastAsia="新宋体" w:cs="新宋体"/>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bCs/>
                <w:kern w:val="0"/>
                <w:sz w:val="24"/>
                <w:szCs w:val="24"/>
              </w:rPr>
              <w:t>评分因素</w:t>
            </w:r>
          </w:p>
        </w:tc>
        <w:tc>
          <w:tcPr>
            <w:tcW w:w="6164" w:type="dxa"/>
            <w:tcBorders>
              <w:top w:val="single" w:color="auto" w:sz="4" w:space="0"/>
              <w:left w:val="single" w:color="auto" w:sz="4" w:space="0"/>
              <w:bottom w:val="single" w:color="auto" w:sz="4" w:space="0"/>
              <w:right w:val="single" w:color="auto" w:sz="4" w:space="0"/>
            </w:tcBorders>
            <w:noWrap/>
            <w:vAlign w:val="center"/>
          </w:tcPr>
          <w:p>
            <w:pPr>
              <w:widowControl/>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noWrap/>
            <w:vAlign w:val="center"/>
          </w:tcPr>
          <w:p>
            <w:pPr>
              <w:widowControl/>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trPr>
        <w:tc>
          <w:tcPr>
            <w:tcW w:w="211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投标报价</w:t>
            </w:r>
          </w:p>
          <w:p>
            <w:pPr>
              <w:widowControl/>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评分标准</w:t>
            </w:r>
          </w:p>
        </w:tc>
        <w:tc>
          <w:tcPr>
            <w:tcW w:w="6164"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12" w:lineRule="atLeast"/>
              <w:rPr>
                <w:rFonts w:hint="eastAsia" w:ascii="新宋体" w:hAnsi="新宋体" w:eastAsia="新宋体" w:cs="新宋体"/>
                <w:kern w:val="0"/>
                <w:sz w:val="24"/>
                <w:szCs w:val="24"/>
              </w:rPr>
            </w:pPr>
            <w:r>
              <w:rPr>
                <w:rFonts w:hint="eastAsia" w:ascii="新宋体" w:hAnsi="新宋体" w:eastAsia="新宋体" w:cs="新宋体"/>
                <w:sz w:val="24"/>
                <w:szCs w:val="24"/>
              </w:rPr>
              <w:t>投标报价得分采用低价优先法计算，即满足招标文件要求且投标价格最低的投标报价为评标基准价，其价格分为满分。其他投标人的价格分统一按照下列公式计算：投标报价得分=（评标基准价/投标报价）×30计算按四舍五入法则,保留小数点后两位。</w:t>
            </w:r>
          </w:p>
        </w:tc>
        <w:tc>
          <w:tcPr>
            <w:tcW w:w="1002" w:type="dxa"/>
            <w:tcBorders>
              <w:top w:val="single" w:color="auto" w:sz="4" w:space="0"/>
              <w:left w:val="single" w:color="auto" w:sz="4" w:space="0"/>
              <w:bottom w:val="single" w:color="auto" w:sz="4" w:space="0"/>
              <w:right w:val="single" w:color="auto" w:sz="4" w:space="0"/>
            </w:tcBorders>
            <w:noWrap/>
            <w:vAlign w:val="center"/>
          </w:tcPr>
          <w:p>
            <w:pPr>
              <w:widowControl/>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9285" w:type="dxa"/>
            <w:gridSpan w:val="4"/>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bCs/>
                <w:kern w:val="0"/>
                <w:sz w:val="24"/>
                <w:szCs w:val="24"/>
              </w:rPr>
              <w:t>二、商务部分（满分30分）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93" w:type="dxa"/>
            <w:tcBorders>
              <w:top w:val="single" w:color="auto" w:sz="4" w:space="0"/>
              <w:left w:val="single" w:color="auto" w:sz="4" w:space="0"/>
              <w:bottom w:val="single" w:color="auto" w:sz="4" w:space="0"/>
              <w:right w:val="single" w:color="auto" w:sz="4" w:space="0"/>
            </w:tcBorders>
            <w:noWrap/>
            <w:vAlign w:val="center"/>
          </w:tcPr>
          <w:p>
            <w:pPr>
              <w:widowControl/>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bCs/>
                <w:kern w:val="0"/>
                <w:sz w:val="24"/>
                <w:szCs w:val="24"/>
              </w:rPr>
              <w:t>评分因素</w:t>
            </w:r>
          </w:p>
        </w:tc>
        <w:tc>
          <w:tcPr>
            <w:tcW w:w="619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noWrap/>
            <w:vAlign w:val="center"/>
          </w:tcPr>
          <w:p>
            <w:pPr>
              <w:widowControl/>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2093" w:type="dxa"/>
            <w:tcBorders>
              <w:top w:val="single" w:color="auto" w:sz="4" w:space="0"/>
              <w:left w:val="single" w:color="auto" w:sz="4" w:space="0"/>
              <w:right w:val="single" w:color="auto" w:sz="4" w:space="0"/>
            </w:tcBorders>
            <w:noWrap/>
            <w:vAlign w:val="center"/>
          </w:tcPr>
          <w:p>
            <w:pPr>
              <w:widowControl/>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企业业绩</w:t>
            </w:r>
          </w:p>
        </w:tc>
        <w:tc>
          <w:tcPr>
            <w:tcW w:w="6190"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36" w:lineRule="auto"/>
              <w:rPr>
                <w:rFonts w:hint="eastAsia"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 xml:space="preserve">投标人提供自2016年1月1日以来完成的类似项目业绩，每提供一个业绩得5分。本项最高得分30分，不提供不得分。（提供中标通知书及合同，时间以合同签订时间为准）                                                                                                            </w:t>
            </w:r>
          </w:p>
          <w:p>
            <w:pPr>
              <w:snapToGrid w:val="0"/>
              <w:spacing w:line="336" w:lineRule="auto"/>
              <w:outlineLvl w:val="0"/>
              <w:rPr>
                <w:rFonts w:hint="eastAsia" w:ascii="新宋体" w:hAnsi="新宋体" w:eastAsia="新宋体" w:cs="新宋体"/>
                <w:b/>
                <w:color w:val="000000" w:themeColor="text1"/>
                <w:sz w:val="24"/>
                <w:szCs w:val="24"/>
              </w:rPr>
            </w:pPr>
            <w:r>
              <w:rPr>
                <w:rFonts w:hint="eastAsia" w:ascii="新宋体" w:hAnsi="新宋体" w:eastAsia="新宋体" w:cs="新宋体"/>
                <w:b/>
                <w:color w:val="000000" w:themeColor="text1"/>
                <w:sz w:val="24"/>
                <w:szCs w:val="24"/>
              </w:rPr>
              <w:t>注：投标人须提供完整的证明材料，未提供或提供不全的不得分。</w:t>
            </w:r>
          </w:p>
        </w:tc>
        <w:tc>
          <w:tcPr>
            <w:tcW w:w="1002" w:type="dxa"/>
            <w:tcBorders>
              <w:top w:val="single" w:color="auto" w:sz="4" w:space="0"/>
              <w:left w:val="single" w:color="auto" w:sz="4" w:space="0"/>
              <w:bottom w:val="single" w:color="auto" w:sz="4" w:space="0"/>
              <w:right w:val="single" w:color="auto" w:sz="4" w:space="0"/>
            </w:tcBorders>
            <w:noWrap/>
            <w:vAlign w:val="center"/>
          </w:tcPr>
          <w:p>
            <w:pPr>
              <w:widowControl/>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9285"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bCs/>
                <w:kern w:val="0"/>
                <w:sz w:val="24"/>
                <w:szCs w:val="24"/>
              </w:rPr>
              <w:t>三、技术部分（满分40分）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11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bCs/>
                <w:kern w:val="0"/>
                <w:sz w:val="24"/>
                <w:szCs w:val="24"/>
              </w:rPr>
              <w:t>评分因素</w:t>
            </w:r>
          </w:p>
        </w:tc>
        <w:tc>
          <w:tcPr>
            <w:tcW w:w="6164" w:type="dxa"/>
            <w:tcBorders>
              <w:top w:val="single" w:color="auto" w:sz="4" w:space="0"/>
              <w:left w:val="single" w:color="auto" w:sz="4" w:space="0"/>
              <w:bottom w:val="single" w:color="auto" w:sz="4" w:space="0"/>
              <w:right w:val="single" w:color="auto" w:sz="4" w:space="0"/>
            </w:tcBorders>
            <w:noWrap/>
            <w:vAlign w:val="center"/>
          </w:tcPr>
          <w:p>
            <w:pPr>
              <w:widowControl/>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noWrap/>
            <w:vAlign w:val="center"/>
          </w:tcPr>
          <w:p>
            <w:pPr>
              <w:widowControl/>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119" w:type="dxa"/>
            <w:gridSpan w:val="2"/>
            <w:vMerge w:val="restart"/>
            <w:tcBorders>
              <w:top w:val="single" w:color="auto" w:sz="4" w:space="0"/>
              <w:left w:val="single" w:color="auto" w:sz="4" w:space="0"/>
              <w:right w:val="single" w:color="auto" w:sz="4" w:space="0"/>
            </w:tcBorders>
            <w:noWrap/>
            <w:vAlign w:val="center"/>
          </w:tcPr>
          <w:p>
            <w:pPr>
              <w:widowControl/>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sz w:val="24"/>
                <w:szCs w:val="24"/>
              </w:rPr>
              <w:t>实施方案与措施</w:t>
            </w:r>
          </w:p>
        </w:tc>
        <w:tc>
          <w:tcPr>
            <w:tcW w:w="616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hint="eastAsia" w:ascii="新宋体" w:hAnsi="新宋体" w:eastAsia="新宋体" w:cs="新宋体"/>
                <w:kern w:val="0"/>
                <w:sz w:val="24"/>
                <w:szCs w:val="24"/>
              </w:rPr>
            </w:pPr>
            <w:r>
              <w:rPr>
                <w:rFonts w:hint="eastAsia" w:ascii="新宋体" w:hAnsi="新宋体" w:eastAsia="新宋体" w:cs="新宋体"/>
                <w:sz w:val="24"/>
                <w:szCs w:val="24"/>
              </w:rPr>
              <w:t>1.工作遵循规范和标准及编制依据：编制依据充分符合国家有关规定优质得8分，一般得4分。</w:t>
            </w:r>
          </w:p>
        </w:tc>
        <w:tc>
          <w:tcPr>
            <w:tcW w:w="100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119" w:type="dxa"/>
            <w:gridSpan w:val="2"/>
            <w:vMerge w:val="continue"/>
            <w:tcBorders>
              <w:top w:val="single" w:color="auto" w:sz="4" w:space="0"/>
              <w:left w:val="single" w:color="auto" w:sz="4" w:space="0"/>
              <w:right w:val="single" w:color="auto" w:sz="4" w:space="0"/>
            </w:tcBorders>
            <w:noWrap/>
            <w:vAlign w:val="center"/>
          </w:tcPr>
          <w:p>
            <w:pPr>
              <w:widowControl/>
              <w:spacing w:line="330" w:lineRule="atLeast"/>
              <w:jc w:val="center"/>
              <w:rPr>
                <w:rFonts w:hint="eastAsia" w:ascii="新宋体" w:hAnsi="新宋体" w:eastAsia="新宋体" w:cs="新宋体"/>
                <w:kern w:val="0"/>
                <w:sz w:val="24"/>
                <w:szCs w:val="24"/>
              </w:rPr>
            </w:pPr>
          </w:p>
        </w:tc>
        <w:tc>
          <w:tcPr>
            <w:tcW w:w="6164" w:type="dxa"/>
            <w:tcBorders>
              <w:top w:val="single" w:color="auto" w:sz="4" w:space="0"/>
              <w:left w:val="single" w:color="auto" w:sz="4" w:space="0"/>
              <w:bottom w:val="single" w:color="auto" w:sz="4" w:space="0"/>
              <w:right w:val="single" w:color="auto" w:sz="4" w:space="0"/>
            </w:tcBorders>
            <w:noWrap/>
            <w:vAlign w:val="center"/>
          </w:tcPr>
          <w:p>
            <w:pPr>
              <w:pStyle w:val="22"/>
              <w:ind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2.成果提交计划及保证措施：进度安排合理，成果提交计划满足业主要求，措施优质得8分，一般得4分。</w:t>
            </w:r>
          </w:p>
        </w:tc>
        <w:tc>
          <w:tcPr>
            <w:tcW w:w="100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gridSpan w:val="2"/>
            <w:vMerge w:val="continue"/>
            <w:tcBorders>
              <w:left w:val="single" w:color="auto" w:sz="4" w:space="0"/>
              <w:right w:val="single" w:color="auto" w:sz="4" w:space="0"/>
            </w:tcBorders>
            <w:noWrap/>
            <w:vAlign w:val="center"/>
          </w:tcPr>
          <w:p>
            <w:pPr>
              <w:widowControl/>
              <w:spacing w:line="330" w:lineRule="atLeast"/>
              <w:jc w:val="center"/>
              <w:rPr>
                <w:rFonts w:hint="eastAsia" w:ascii="新宋体" w:hAnsi="新宋体" w:eastAsia="新宋体" w:cs="新宋体"/>
                <w:kern w:val="0"/>
                <w:sz w:val="24"/>
                <w:szCs w:val="24"/>
              </w:rPr>
            </w:pPr>
          </w:p>
        </w:tc>
        <w:tc>
          <w:tcPr>
            <w:tcW w:w="6164" w:type="dxa"/>
            <w:tcBorders>
              <w:top w:val="single" w:color="auto" w:sz="4" w:space="0"/>
              <w:left w:val="single" w:color="auto" w:sz="4" w:space="0"/>
              <w:bottom w:val="single" w:color="auto" w:sz="4" w:space="0"/>
              <w:right w:val="single" w:color="auto" w:sz="4" w:space="0"/>
            </w:tcBorders>
            <w:noWrap/>
            <w:vAlign w:val="center"/>
          </w:tcPr>
          <w:p>
            <w:pPr>
              <w:pStyle w:val="22"/>
              <w:ind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3.提交的成果质量及保证措施：成果质量及保证措施具体、切实可行优质得8分，一般得4分。</w:t>
            </w:r>
          </w:p>
        </w:tc>
        <w:tc>
          <w:tcPr>
            <w:tcW w:w="1002" w:type="dxa"/>
            <w:tcBorders>
              <w:top w:val="single" w:color="auto" w:sz="4" w:space="0"/>
              <w:left w:val="single" w:color="auto" w:sz="4" w:space="0"/>
              <w:bottom w:val="single" w:color="auto" w:sz="4" w:space="0"/>
              <w:right w:val="single" w:color="auto" w:sz="4" w:space="0"/>
            </w:tcBorders>
            <w:noWrap/>
            <w:vAlign w:val="center"/>
          </w:tcPr>
          <w:p>
            <w:pPr>
              <w:widowControl/>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gridSpan w:val="2"/>
            <w:vMerge w:val="continue"/>
            <w:tcBorders>
              <w:left w:val="single" w:color="auto" w:sz="4" w:space="0"/>
              <w:right w:val="single" w:color="auto" w:sz="4" w:space="0"/>
            </w:tcBorders>
            <w:noWrap/>
            <w:vAlign w:val="center"/>
          </w:tcPr>
          <w:p>
            <w:pPr>
              <w:widowControl/>
              <w:spacing w:line="330" w:lineRule="atLeast"/>
              <w:jc w:val="center"/>
              <w:rPr>
                <w:rFonts w:hint="eastAsia" w:ascii="新宋体" w:hAnsi="新宋体" w:eastAsia="新宋体" w:cs="新宋体"/>
                <w:kern w:val="0"/>
                <w:sz w:val="24"/>
                <w:szCs w:val="24"/>
              </w:rPr>
            </w:pPr>
          </w:p>
        </w:tc>
        <w:tc>
          <w:tcPr>
            <w:tcW w:w="6164" w:type="dxa"/>
            <w:tcBorders>
              <w:top w:val="single" w:color="auto" w:sz="4" w:space="0"/>
              <w:left w:val="single" w:color="auto" w:sz="4" w:space="0"/>
              <w:bottom w:val="single" w:color="auto" w:sz="4" w:space="0"/>
              <w:right w:val="single" w:color="auto" w:sz="4" w:space="0"/>
            </w:tcBorders>
            <w:noWrap/>
            <w:vAlign w:val="center"/>
          </w:tcPr>
          <w:p>
            <w:pPr>
              <w:pStyle w:val="22"/>
              <w:ind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4.实施方案：项目编写方案科学、合理并切实可行优质得8分，一般得4分。</w:t>
            </w:r>
          </w:p>
        </w:tc>
        <w:tc>
          <w:tcPr>
            <w:tcW w:w="100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hint="eastAsia" w:ascii="新宋体" w:hAnsi="新宋体" w:eastAsia="新宋体" w:cs="新宋体"/>
                <w:sz w:val="24"/>
                <w:szCs w:val="24"/>
              </w:rPr>
            </w:pPr>
            <w:r>
              <w:rPr>
                <w:rFonts w:hint="eastAsia" w:ascii="新宋体" w:hAnsi="新宋体" w:eastAsia="新宋体" w:cs="新宋体"/>
                <w:kern w:val="0"/>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gridSpan w:val="2"/>
            <w:vMerge w:val="continue"/>
            <w:tcBorders>
              <w:left w:val="single" w:color="auto" w:sz="4" w:space="0"/>
              <w:bottom w:val="single" w:color="auto" w:sz="4" w:space="0"/>
              <w:right w:val="single" w:color="auto" w:sz="4" w:space="0"/>
            </w:tcBorders>
            <w:noWrap/>
            <w:vAlign w:val="center"/>
          </w:tcPr>
          <w:p>
            <w:pPr>
              <w:widowControl/>
              <w:spacing w:line="330" w:lineRule="atLeast"/>
              <w:jc w:val="center"/>
              <w:rPr>
                <w:rFonts w:hint="eastAsia" w:ascii="新宋体" w:hAnsi="新宋体" w:eastAsia="新宋体" w:cs="新宋体"/>
                <w:kern w:val="0"/>
                <w:sz w:val="24"/>
                <w:szCs w:val="24"/>
              </w:rPr>
            </w:pPr>
          </w:p>
        </w:tc>
        <w:tc>
          <w:tcPr>
            <w:tcW w:w="6164"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hint="eastAsia" w:ascii="新宋体" w:hAnsi="新宋体" w:eastAsia="新宋体" w:cs="新宋体"/>
                <w:sz w:val="24"/>
                <w:szCs w:val="24"/>
              </w:rPr>
            </w:pPr>
            <w:r>
              <w:rPr>
                <w:rFonts w:hint="eastAsia" w:ascii="新宋体" w:hAnsi="新宋体" w:eastAsia="新宋体" w:cs="新宋体"/>
                <w:sz w:val="24"/>
                <w:szCs w:val="24"/>
              </w:rPr>
              <w:t>5.项目实施难点、关键过程分析及对策：项目实施难点、关键过程分析及与之相应的合理化建议合理到位、切实可行优质得8分，一般得4分。</w:t>
            </w:r>
          </w:p>
        </w:tc>
        <w:tc>
          <w:tcPr>
            <w:tcW w:w="100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hint="eastAsia" w:ascii="新宋体" w:hAnsi="新宋体" w:eastAsia="新宋体" w:cs="新宋体"/>
                <w:sz w:val="24"/>
                <w:szCs w:val="24"/>
              </w:rPr>
            </w:pPr>
            <w:r>
              <w:rPr>
                <w:rFonts w:hint="eastAsia" w:ascii="新宋体" w:hAnsi="新宋体" w:eastAsia="新宋体" w:cs="新宋体"/>
                <w:kern w:val="0"/>
                <w:sz w:val="24"/>
                <w:szCs w:val="24"/>
              </w:rPr>
              <w:t>8分</w:t>
            </w:r>
          </w:p>
        </w:tc>
      </w:tr>
    </w:tbl>
    <w:p>
      <w:pPr>
        <w:pStyle w:val="30"/>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w:t>
      </w:r>
    </w:p>
    <w:p>
      <w:pPr>
        <w:pStyle w:val="30"/>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w:t>
      </w:r>
    </w:p>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bl>
    <w:p>
      <w:pPr>
        <w:pStyle w:val="30"/>
        <w:rPr>
          <w:rFonts w:hint="eastAsia" w:ascii="新宋体" w:hAnsi="新宋体" w:eastAsia="新宋体" w:cs="新宋体"/>
          <w:sz w:val="24"/>
          <w:szCs w:val="24"/>
          <w:lang w:val="en-US" w:eastAsia="zh-CN"/>
        </w:rPr>
      </w:pPr>
    </w:p>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vMerge w:val="restart"/>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2</w:t>
            </w:r>
          </w:p>
        </w:tc>
        <w:tc>
          <w:tcPr>
            <w:tcW w:w="2823" w:type="dxa"/>
            <w:vAlign w:val="center"/>
          </w:tcPr>
          <w:p>
            <w:pPr>
              <w:jc w:val="center"/>
              <w:rPr>
                <w:rFonts w:hint="eastAsia" w:ascii="新宋体" w:hAnsi="新宋体" w:eastAsia="新宋体" w:cs="新宋体"/>
                <w:b/>
                <w:color w:val="000000"/>
                <w:sz w:val="24"/>
                <w:szCs w:val="24"/>
              </w:rPr>
            </w:pPr>
            <w:r>
              <w:rPr>
                <w:rFonts w:hint="eastAsia" w:ascii="新宋体" w:hAnsi="新宋体" w:eastAsia="新宋体" w:cs="新宋体"/>
                <w:color w:val="000000"/>
                <w:sz w:val="24"/>
                <w:szCs w:val="24"/>
                <w:lang w:val="en-GB"/>
              </w:rPr>
              <w:t>联合体各方均为小型、微型企业</w:t>
            </w:r>
          </w:p>
        </w:tc>
        <w:tc>
          <w:tcPr>
            <w:tcW w:w="2552" w:type="dxa"/>
            <w:vAlign w:val="center"/>
          </w:tcPr>
          <w:p>
            <w:pPr>
              <w:jc w:val="center"/>
              <w:rPr>
                <w:rFonts w:hint="eastAsia" w:ascii="新宋体" w:hAnsi="新宋体" w:eastAsia="新宋体" w:cs="新宋体"/>
                <w:sz w:val="24"/>
                <w:szCs w:val="24"/>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rPr>
              <w:t>（不再享受序号3的价格折扣）</w:t>
            </w:r>
          </w:p>
        </w:tc>
        <w:tc>
          <w:tcPr>
            <w:tcW w:w="2835" w:type="dxa"/>
            <w:vMerge w:val="continue"/>
            <w:shd w:val="clear" w:color="auto" w:fill="auto"/>
          </w:tcPr>
          <w:p>
            <w:pPr>
              <w:rPr>
                <w:rFonts w:hint="eastAsia" w:ascii="新宋体" w:hAnsi="新宋体" w:eastAsia="新宋体" w:cs="新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3</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对联合体总金额扣除</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u w:val="single"/>
              </w:rPr>
              <w:t xml:space="preserve"> 2 </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FF0000"/>
                <w:sz w:val="24"/>
                <w:szCs w:val="24"/>
                <w:u w:val="single"/>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themeColor="text1"/>
                <w:sz w:val="24"/>
                <w:szCs w:val="24"/>
              </w:rPr>
              <w:t>(1-</w:t>
            </w:r>
            <w:r>
              <w:rPr>
                <w:rFonts w:hint="eastAsia" w:ascii="新宋体" w:hAnsi="新宋体" w:eastAsia="新宋体" w:cs="新宋体"/>
                <w:color w:val="000000" w:themeColor="text1"/>
                <w:sz w:val="24"/>
                <w:szCs w:val="24"/>
                <w:u w:val="single"/>
              </w:rPr>
              <w:t>2%)</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4</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监狱企业</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对监狱企业产品价格扣除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监狱企业产品的价格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5</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残疾人福利性单位</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对残疾人福利性单位产品价格扣除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残疾人福利性单位产品的价格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评标基准价=评标价格的最低价</w:t>
            </w:r>
          </w:p>
          <w:p>
            <w:pPr>
              <w:adjustRightInd w:val="0"/>
              <w:spacing w:line="360" w:lineRule="auto"/>
              <w:ind w:left="-88" w:leftChars="-42" w:firstLine="513" w:firstLineChars="214"/>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其他投标报价得分=（评标基准价/评标价格）×评标标准中价格分值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5"/>
        <w:spacing w:line="360" w:lineRule="auto"/>
        <w:ind w:firstLine="2530" w:firstLineChars="7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5"/>
        <w:spacing w:line="360" w:lineRule="auto"/>
        <w:contextualSpacing/>
        <w:jc w:val="both"/>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31"/>
        <w:rPr>
          <w:rFonts w:cs="黑体" w:asciiTheme="minorEastAsia" w:hAnsiTheme="minorEastAsia"/>
          <w:b/>
          <w:bCs/>
          <w:sz w:val="44"/>
          <w:szCs w:val="44"/>
          <w:lang w:val="zh-CN"/>
        </w:rPr>
      </w:pPr>
    </w:p>
    <w:p>
      <w:pPr>
        <w:pStyle w:val="31"/>
        <w:rPr>
          <w:rFonts w:cs="黑体" w:asciiTheme="minorEastAsia" w:hAnsiTheme="minorEastAsia"/>
          <w:b/>
          <w:bCs/>
          <w:sz w:val="44"/>
          <w:szCs w:val="44"/>
          <w:lang w:val="zh-CN"/>
        </w:rPr>
      </w:pPr>
    </w:p>
    <w:p>
      <w:pPr>
        <w:pStyle w:val="31"/>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0" w:name="_Toc186274126"/>
      <w:bookmarkStart w:id="11" w:name="_Toc174185203"/>
      <w:bookmarkStart w:id="12" w:name="_Toc184023138"/>
      <w:r>
        <w:rPr>
          <w:rFonts w:hint="eastAsia" w:cs="黑体" w:asciiTheme="minorEastAsia" w:hAnsiTheme="minorEastAsia" w:eastAsiaTheme="minorEastAsia"/>
          <w:color w:val="auto"/>
          <w:kern w:val="2"/>
          <w:sz w:val="28"/>
          <w:szCs w:val="28"/>
          <w:lang w:val="zh-CN"/>
        </w:rPr>
        <w:t>一、投标人应答索引表</w:t>
      </w:r>
      <w:bookmarkEnd w:id="10"/>
      <w:bookmarkEnd w:id="11"/>
      <w:bookmarkEnd w:id="12"/>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int="eastAsia" w:hAnsi="宋体" w:cs="微软雅黑" w:eastAsiaTheme="majorEastAsia"/>
                <w:bCs/>
                <w:kern w:val="0"/>
                <w:sz w:val="21"/>
                <w:szCs w:val="21"/>
                <w:lang w:val="en-US" w:eastAsia="zh-CN"/>
              </w:rPr>
            </w:pPr>
            <w:r>
              <w:rPr>
                <w:rFonts w:hint="eastAsia" w:asciiTheme="majorEastAsia" w:hAnsiTheme="majorEastAsia" w:eastAsiaTheme="majorEastAsia" w:cstheme="majorEastAsia"/>
                <w:bCs/>
                <w:sz w:val="21"/>
                <w:szCs w:val="21"/>
                <w:lang w:val="zh-CN"/>
              </w:rPr>
              <w:t>投标</w:t>
            </w:r>
            <w:r>
              <w:rPr>
                <w:rFonts w:hint="eastAsia" w:asciiTheme="majorEastAsia" w:hAnsiTheme="majorEastAsia" w:eastAsiaTheme="majorEastAsia" w:cstheme="majorEastAsia"/>
                <w:bCs/>
                <w:sz w:val="21"/>
                <w:szCs w:val="21"/>
                <w:lang w:val="zh-CN" w:eastAsia="zh-CN"/>
              </w:rPr>
              <w:t>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both"/>
        <w:rPr>
          <w:rFonts w:hint="eastAsia"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w:t>
      </w:r>
      <w:r>
        <w:rPr>
          <w:rFonts w:hint="eastAsia" w:cs="Courier New" w:asciiTheme="minorEastAsia" w:hAnsiTheme="minorEastAsia" w:eastAsiaTheme="minorEastAsia"/>
          <w:sz w:val="21"/>
          <w:szCs w:val="21"/>
          <w:lang w:eastAsia="zh-CN"/>
        </w:rPr>
        <w:t>履约</w:t>
      </w:r>
      <w:r>
        <w:rPr>
          <w:rFonts w:hint="eastAsia" w:cs="Courier New" w:asciiTheme="minorEastAsia" w:hAnsiTheme="minorEastAsia" w:eastAsiaTheme="minorEastAsia"/>
          <w:sz w:val="21"/>
          <w:szCs w:val="21"/>
        </w:rPr>
        <w:t>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13" w:name="_资格证明文件"/>
            <w:bookmarkEnd w:id="13"/>
            <w:bookmarkStart w:id="14"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4"/>
          </w:p>
        </w:tc>
        <w:tc>
          <w:tcPr>
            <w:tcW w:w="4492" w:type="dxa"/>
            <w:gridSpan w:val="2"/>
            <w:vAlign w:val="center"/>
          </w:tcPr>
          <w:p>
            <w:pPr>
              <w:jc w:val="center"/>
              <w:rPr>
                <w:rFonts w:asciiTheme="minorEastAsia" w:hAnsiTheme="minorEastAsia"/>
                <w:szCs w:val="21"/>
              </w:rPr>
            </w:pPr>
            <w:bookmarkStart w:id="15"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5"/>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30"/>
        <w:rPr>
          <w:rFonts w:hint="eastAsia" w:ascii="宋体" w:hAnsi="宋体"/>
          <w:b/>
          <w:bCs/>
          <w:color w:val="000000"/>
          <w:sz w:val="24"/>
          <w:szCs w:val="24"/>
        </w:rPr>
      </w:pPr>
    </w:p>
    <w:p>
      <w:pPr>
        <w:pStyle w:val="30"/>
        <w:rPr>
          <w:rFonts w:hint="eastAsia" w:ascii="宋体" w:hAnsi="宋体"/>
          <w:b/>
          <w:bCs/>
          <w:color w:val="000000"/>
          <w:sz w:val="24"/>
          <w:szCs w:val="24"/>
        </w:rPr>
      </w:pPr>
    </w:p>
    <w:p>
      <w:pPr>
        <w:pStyle w:val="3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5460" w:firstLineChars="26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w:t>
      </w:r>
      <w:r>
        <w:rPr>
          <w:rFonts w:hint="eastAsia" w:ascii="宋体" w:hAnsi="宋体"/>
          <w:b/>
          <w:bCs/>
          <w:color w:val="000000"/>
          <w:sz w:val="24"/>
          <w:szCs w:val="24"/>
        </w:rPr>
        <w:t xml:space="preserve">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2</w:t>
      </w:r>
      <w:r>
        <w:rPr>
          <w:rFonts w:hint="eastAsia" w:ascii="宋体" w:hAnsi="宋体"/>
          <w:b/>
          <w:bCs/>
          <w:color w:val="000000"/>
          <w:sz w:val="24"/>
          <w:szCs w:val="24"/>
        </w:rPr>
        <w:t>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3</w:t>
      </w:r>
      <w:r>
        <w:rPr>
          <w:rFonts w:hint="eastAsia" w:ascii="宋体" w:hAnsi="宋体"/>
          <w:b/>
          <w:bCs/>
          <w:color w:val="000000"/>
          <w:sz w:val="24"/>
          <w:szCs w:val="24"/>
        </w:rPr>
        <w:t xml:space="preserve"> 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16" w:name="OLE_LINK14"/>
      <w:bookmarkStart w:id="17" w:name="OLE_LINK13"/>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残疾人福利性单位声明函</w:t>
      </w:r>
    </w:p>
    <w:bookmarkEnd w:id="16"/>
    <w:bookmarkEnd w:id="17"/>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1"/>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简隶书">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54"/>
      <w:suff w:val="nothing"/>
      <w:lvlText w:val="%1、"/>
      <w:lvlJc w:val="left"/>
    </w:lvl>
  </w:abstractNum>
  <w:abstractNum w:abstractNumId="9">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8"/>
  </w:num>
  <w:num w:numId="4">
    <w:abstractNumId w:val="6"/>
  </w:num>
  <w:num w:numId="5">
    <w:abstractNumId w:val="3"/>
  </w:num>
  <w:num w:numId="6">
    <w:abstractNumId w:val="7"/>
  </w:num>
  <w:num w:numId="7">
    <w:abstractNumId w:val="0"/>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5EA"/>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EC3A13"/>
    <w:rsid w:val="027C7D92"/>
    <w:rsid w:val="02B4779D"/>
    <w:rsid w:val="032449BC"/>
    <w:rsid w:val="03480A0E"/>
    <w:rsid w:val="035B7C17"/>
    <w:rsid w:val="037217D3"/>
    <w:rsid w:val="03813929"/>
    <w:rsid w:val="03A87C38"/>
    <w:rsid w:val="03C54AE6"/>
    <w:rsid w:val="04AC3A15"/>
    <w:rsid w:val="06055098"/>
    <w:rsid w:val="0630250D"/>
    <w:rsid w:val="067B2CDB"/>
    <w:rsid w:val="07732CDA"/>
    <w:rsid w:val="07DA78CD"/>
    <w:rsid w:val="080C2BBA"/>
    <w:rsid w:val="08C0181D"/>
    <w:rsid w:val="08FD5745"/>
    <w:rsid w:val="0A3A482D"/>
    <w:rsid w:val="0A5E16AE"/>
    <w:rsid w:val="0A7C3AAF"/>
    <w:rsid w:val="0A997A60"/>
    <w:rsid w:val="0AB50907"/>
    <w:rsid w:val="0B01317F"/>
    <w:rsid w:val="0B505469"/>
    <w:rsid w:val="0BBD5765"/>
    <w:rsid w:val="0BEA24E4"/>
    <w:rsid w:val="0C1C3D54"/>
    <w:rsid w:val="0C1D2223"/>
    <w:rsid w:val="0C3D4298"/>
    <w:rsid w:val="0C9523A6"/>
    <w:rsid w:val="0CA67F00"/>
    <w:rsid w:val="0CAB7FE2"/>
    <w:rsid w:val="0CCD3572"/>
    <w:rsid w:val="0CF46B6D"/>
    <w:rsid w:val="0CF874BC"/>
    <w:rsid w:val="0D057A5F"/>
    <w:rsid w:val="0D403087"/>
    <w:rsid w:val="0DA22AE9"/>
    <w:rsid w:val="0DC65574"/>
    <w:rsid w:val="0E3648A2"/>
    <w:rsid w:val="0EF84FFA"/>
    <w:rsid w:val="0F485C64"/>
    <w:rsid w:val="0F7B5351"/>
    <w:rsid w:val="0FD30C14"/>
    <w:rsid w:val="101B403B"/>
    <w:rsid w:val="105D734C"/>
    <w:rsid w:val="110E6851"/>
    <w:rsid w:val="1139362B"/>
    <w:rsid w:val="116D26CD"/>
    <w:rsid w:val="11C23651"/>
    <w:rsid w:val="11E13F76"/>
    <w:rsid w:val="123143AC"/>
    <w:rsid w:val="129267D1"/>
    <w:rsid w:val="12C422CE"/>
    <w:rsid w:val="13903C42"/>
    <w:rsid w:val="13B159A7"/>
    <w:rsid w:val="13D62A9D"/>
    <w:rsid w:val="13EB69AF"/>
    <w:rsid w:val="13EF7D11"/>
    <w:rsid w:val="140778EB"/>
    <w:rsid w:val="15437E44"/>
    <w:rsid w:val="155C6126"/>
    <w:rsid w:val="155E38CF"/>
    <w:rsid w:val="158908A7"/>
    <w:rsid w:val="160E3E81"/>
    <w:rsid w:val="16EB2042"/>
    <w:rsid w:val="16EE4E99"/>
    <w:rsid w:val="17022AEF"/>
    <w:rsid w:val="171E620C"/>
    <w:rsid w:val="175F012D"/>
    <w:rsid w:val="17843B5C"/>
    <w:rsid w:val="17A87F25"/>
    <w:rsid w:val="17F27C17"/>
    <w:rsid w:val="183965F3"/>
    <w:rsid w:val="189035FD"/>
    <w:rsid w:val="18C769E5"/>
    <w:rsid w:val="18D55096"/>
    <w:rsid w:val="192D0B22"/>
    <w:rsid w:val="198348D6"/>
    <w:rsid w:val="1A08396D"/>
    <w:rsid w:val="1A1A3129"/>
    <w:rsid w:val="1AFBFFDD"/>
    <w:rsid w:val="1B1653FD"/>
    <w:rsid w:val="1B4B7B2E"/>
    <w:rsid w:val="1B7847FF"/>
    <w:rsid w:val="1BAE49D7"/>
    <w:rsid w:val="1C2D1536"/>
    <w:rsid w:val="1CCF2F1D"/>
    <w:rsid w:val="1CF87F0B"/>
    <w:rsid w:val="1CFB73D3"/>
    <w:rsid w:val="1D3B1EEC"/>
    <w:rsid w:val="1D767D0D"/>
    <w:rsid w:val="1E8E722F"/>
    <w:rsid w:val="1EF76DF1"/>
    <w:rsid w:val="1F8E45BB"/>
    <w:rsid w:val="1FE15514"/>
    <w:rsid w:val="1FF158F3"/>
    <w:rsid w:val="20611B1C"/>
    <w:rsid w:val="208614E5"/>
    <w:rsid w:val="21031FC5"/>
    <w:rsid w:val="213729F0"/>
    <w:rsid w:val="2157706F"/>
    <w:rsid w:val="21DC7D3C"/>
    <w:rsid w:val="21DD4A96"/>
    <w:rsid w:val="2298317C"/>
    <w:rsid w:val="22CE29EE"/>
    <w:rsid w:val="22E01AF5"/>
    <w:rsid w:val="24D35795"/>
    <w:rsid w:val="255E48CD"/>
    <w:rsid w:val="26B87348"/>
    <w:rsid w:val="26BD0C2F"/>
    <w:rsid w:val="26BD3B85"/>
    <w:rsid w:val="271F4B16"/>
    <w:rsid w:val="275038F3"/>
    <w:rsid w:val="27900DD5"/>
    <w:rsid w:val="27CD14F5"/>
    <w:rsid w:val="28E96646"/>
    <w:rsid w:val="28F2008A"/>
    <w:rsid w:val="293C5FB1"/>
    <w:rsid w:val="29A55E19"/>
    <w:rsid w:val="29EA34BC"/>
    <w:rsid w:val="29F94CB1"/>
    <w:rsid w:val="2A553543"/>
    <w:rsid w:val="2A745111"/>
    <w:rsid w:val="2AB1472A"/>
    <w:rsid w:val="2AE16287"/>
    <w:rsid w:val="2AF87034"/>
    <w:rsid w:val="2B022C78"/>
    <w:rsid w:val="2B9E6D70"/>
    <w:rsid w:val="2C014C3B"/>
    <w:rsid w:val="2C710B40"/>
    <w:rsid w:val="2CBF3D3E"/>
    <w:rsid w:val="2D3257AD"/>
    <w:rsid w:val="2D4A693F"/>
    <w:rsid w:val="2D7511B5"/>
    <w:rsid w:val="2E252DC4"/>
    <w:rsid w:val="2E4436BA"/>
    <w:rsid w:val="2EE200E1"/>
    <w:rsid w:val="2F566BBD"/>
    <w:rsid w:val="2F650AED"/>
    <w:rsid w:val="2FFD3F6B"/>
    <w:rsid w:val="30EA79C7"/>
    <w:rsid w:val="30FD56B7"/>
    <w:rsid w:val="329E1B24"/>
    <w:rsid w:val="32BF12F4"/>
    <w:rsid w:val="33563CED"/>
    <w:rsid w:val="336E4903"/>
    <w:rsid w:val="338A4286"/>
    <w:rsid w:val="347F0816"/>
    <w:rsid w:val="34B644B7"/>
    <w:rsid w:val="3519659B"/>
    <w:rsid w:val="35D905EB"/>
    <w:rsid w:val="35DF72FB"/>
    <w:rsid w:val="36B46A4A"/>
    <w:rsid w:val="36E65B38"/>
    <w:rsid w:val="36F866E5"/>
    <w:rsid w:val="375656B9"/>
    <w:rsid w:val="375B6549"/>
    <w:rsid w:val="37627558"/>
    <w:rsid w:val="37AC24EF"/>
    <w:rsid w:val="37B91083"/>
    <w:rsid w:val="383731D3"/>
    <w:rsid w:val="38C076BF"/>
    <w:rsid w:val="38ED1382"/>
    <w:rsid w:val="39FD28B4"/>
    <w:rsid w:val="3A332610"/>
    <w:rsid w:val="3A34267C"/>
    <w:rsid w:val="3A403E64"/>
    <w:rsid w:val="3AC47AB6"/>
    <w:rsid w:val="3ADD0A2E"/>
    <w:rsid w:val="3B4C7808"/>
    <w:rsid w:val="3B766492"/>
    <w:rsid w:val="3B7A3E82"/>
    <w:rsid w:val="3B8D0CE8"/>
    <w:rsid w:val="3BA71EF1"/>
    <w:rsid w:val="3C1651F0"/>
    <w:rsid w:val="3C2006E5"/>
    <w:rsid w:val="3C802D3E"/>
    <w:rsid w:val="3CBF1608"/>
    <w:rsid w:val="3CC749D9"/>
    <w:rsid w:val="3CFB31CE"/>
    <w:rsid w:val="3D3308D4"/>
    <w:rsid w:val="3DCA2531"/>
    <w:rsid w:val="3DDA3322"/>
    <w:rsid w:val="3E017946"/>
    <w:rsid w:val="3E3A26DB"/>
    <w:rsid w:val="3EA20E92"/>
    <w:rsid w:val="3F263B0E"/>
    <w:rsid w:val="3F3B4554"/>
    <w:rsid w:val="414D7438"/>
    <w:rsid w:val="41572B91"/>
    <w:rsid w:val="41A16B13"/>
    <w:rsid w:val="41EF3AE9"/>
    <w:rsid w:val="42065704"/>
    <w:rsid w:val="423A7A11"/>
    <w:rsid w:val="428968C5"/>
    <w:rsid w:val="430D37F8"/>
    <w:rsid w:val="433E5811"/>
    <w:rsid w:val="43420F67"/>
    <w:rsid w:val="43AF27C5"/>
    <w:rsid w:val="441A4676"/>
    <w:rsid w:val="443E3AC2"/>
    <w:rsid w:val="444772BC"/>
    <w:rsid w:val="444A0A6A"/>
    <w:rsid w:val="444D773E"/>
    <w:rsid w:val="44972791"/>
    <w:rsid w:val="458D2A4C"/>
    <w:rsid w:val="459D509E"/>
    <w:rsid w:val="45A926DC"/>
    <w:rsid w:val="45FC4042"/>
    <w:rsid w:val="46E81321"/>
    <w:rsid w:val="477C4489"/>
    <w:rsid w:val="477E79DB"/>
    <w:rsid w:val="47EC2F8F"/>
    <w:rsid w:val="48A74E72"/>
    <w:rsid w:val="48BB1E61"/>
    <w:rsid w:val="48E44347"/>
    <w:rsid w:val="4A0C70DA"/>
    <w:rsid w:val="4AB4093D"/>
    <w:rsid w:val="4AE22F4C"/>
    <w:rsid w:val="4B1F5184"/>
    <w:rsid w:val="4B536EA5"/>
    <w:rsid w:val="4BF03910"/>
    <w:rsid w:val="4CA91082"/>
    <w:rsid w:val="4D1C4C00"/>
    <w:rsid w:val="4E8F0D2C"/>
    <w:rsid w:val="4E9D24DB"/>
    <w:rsid w:val="4EAC4ADD"/>
    <w:rsid w:val="4EB72836"/>
    <w:rsid w:val="4ED23FD5"/>
    <w:rsid w:val="4EE945C2"/>
    <w:rsid w:val="4EF775A1"/>
    <w:rsid w:val="4EFB1FC3"/>
    <w:rsid w:val="4F2D1244"/>
    <w:rsid w:val="4F3C1178"/>
    <w:rsid w:val="4F4170F7"/>
    <w:rsid w:val="4F661CEB"/>
    <w:rsid w:val="4FEB5C49"/>
    <w:rsid w:val="505C6771"/>
    <w:rsid w:val="51260813"/>
    <w:rsid w:val="527B1821"/>
    <w:rsid w:val="5310611D"/>
    <w:rsid w:val="53276344"/>
    <w:rsid w:val="53293BFC"/>
    <w:rsid w:val="533D55CA"/>
    <w:rsid w:val="535D3032"/>
    <w:rsid w:val="53C97953"/>
    <w:rsid w:val="53DA095B"/>
    <w:rsid w:val="53F5577A"/>
    <w:rsid w:val="54EC2987"/>
    <w:rsid w:val="55026173"/>
    <w:rsid w:val="5590515E"/>
    <w:rsid w:val="55EF2276"/>
    <w:rsid w:val="562D2F69"/>
    <w:rsid w:val="5656263B"/>
    <w:rsid w:val="56563817"/>
    <w:rsid w:val="57024892"/>
    <w:rsid w:val="5703196B"/>
    <w:rsid w:val="57140DA8"/>
    <w:rsid w:val="574A43AC"/>
    <w:rsid w:val="58077CBD"/>
    <w:rsid w:val="5812110B"/>
    <w:rsid w:val="582E1358"/>
    <w:rsid w:val="58323449"/>
    <w:rsid w:val="58854954"/>
    <w:rsid w:val="589505A8"/>
    <w:rsid w:val="58D254DE"/>
    <w:rsid w:val="58FD658D"/>
    <w:rsid w:val="59454145"/>
    <w:rsid w:val="5A836AC3"/>
    <w:rsid w:val="5B0C6CA4"/>
    <w:rsid w:val="5B410FDE"/>
    <w:rsid w:val="5BCD4474"/>
    <w:rsid w:val="5BDD720D"/>
    <w:rsid w:val="5CE07F87"/>
    <w:rsid w:val="5CFD3C28"/>
    <w:rsid w:val="5E075123"/>
    <w:rsid w:val="5E2C7B65"/>
    <w:rsid w:val="5E8E1ADB"/>
    <w:rsid w:val="5EB8046C"/>
    <w:rsid w:val="5EC23D91"/>
    <w:rsid w:val="5EEA6FD8"/>
    <w:rsid w:val="5F5D3B89"/>
    <w:rsid w:val="5F91300B"/>
    <w:rsid w:val="5FBD74DE"/>
    <w:rsid w:val="601812B8"/>
    <w:rsid w:val="603F2634"/>
    <w:rsid w:val="6041372E"/>
    <w:rsid w:val="60BD0412"/>
    <w:rsid w:val="60C57DDF"/>
    <w:rsid w:val="616C5D6E"/>
    <w:rsid w:val="61775FA5"/>
    <w:rsid w:val="61943CA7"/>
    <w:rsid w:val="619B680C"/>
    <w:rsid w:val="62D364FA"/>
    <w:rsid w:val="62E53998"/>
    <w:rsid w:val="64124C78"/>
    <w:rsid w:val="648D2FFF"/>
    <w:rsid w:val="653348F4"/>
    <w:rsid w:val="656839C3"/>
    <w:rsid w:val="65725730"/>
    <w:rsid w:val="65B92974"/>
    <w:rsid w:val="65C80747"/>
    <w:rsid w:val="665D6AFD"/>
    <w:rsid w:val="66A00112"/>
    <w:rsid w:val="672B7704"/>
    <w:rsid w:val="673855F4"/>
    <w:rsid w:val="67716CE1"/>
    <w:rsid w:val="68594ADA"/>
    <w:rsid w:val="68741D48"/>
    <w:rsid w:val="693A6BDC"/>
    <w:rsid w:val="69FF0DA5"/>
    <w:rsid w:val="6A250A9F"/>
    <w:rsid w:val="6A7735B4"/>
    <w:rsid w:val="6AB31C19"/>
    <w:rsid w:val="6B357A50"/>
    <w:rsid w:val="6B5B7DCB"/>
    <w:rsid w:val="6B930197"/>
    <w:rsid w:val="6BB95672"/>
    <w:rsid w:val="6C1E4AF0"/>
    <w:rsid w:val="6C4712E8"/>
    <w:rsid w:val="6C9C46AE"/>
    <w:rsid w:val="6CE55F45"/>
    <w:rsid w:val="6D15465F"/>
    <w:rsid w:val="6D6121F0"/>
    <w:rsid w:val="6D8D5D8A"/>
    <w:rsid w:val="6DB31E54"/>
    <w:rsid w:val="6DD92BDD"/>
    <w:rsid w:val="6DE87E82"/>
    <w:rsid w:val="6DFC3DF2"/>
    <w:rsid w:val="6E673C05"/>
    <w:rsid w:val="6E6A634D"/>
    <w:rsid w:val="6E6F4DC3"/>
    <w:rsid w:val="6E7511ED"/>
    <w:rsid w:val="6E76180E"/>
    <w:rsid w:val="6ED546F7"/>
    <w:rsid w:val="6F272507"/>
    <w:rsid w:val="6F2F7205"/>
    <w:rsid w:val="6F992BAA"/>
    <w:rsid w:val="6FF11A89"/>
    <w:rsid w:val="70117814"/>
    <w:rsid w:val="70602224"/>
    <w:rsid w:val="70C1699F"/>
    <w:rsid w:val="711034C3"/>
    <w:rsid w:val="7151172F"/>
    <w:rsid w:val="71617265"/>
    <w:rsid w:val="71637D8F"/>
    <w:rsid w:val="719549A9"/>
    <w:rsid w:val="71C32A07"/>
    <w:rsid w:val="71E53350"/>
    <w:rsid w:val="720E5D3A"/>
    <w:rsid w:val="72254E2A"/>
    <w:rsid w:val="72580CA4"/>
    <w:rsid w:val="72ED3426"/>
    <w:rsid w:val="73184127"/>
    <w:rsid w:val="73555ECB"/>
    <w:rsid w:val="73733509"/>
    <w:rsid w:val="73D40348"/>
    <w:rsid w:val="74304EB5"/>
    <w:rsid w:val="74AB41BE"/>
    <w:rsid w:val="75EA3934"/>
    <w:rsid w:val="76AF6448"/>
    <w:rsid w:val="774700AD"/>
    <w:rsid w:val="777E0158"/>
    <w:rsid w:val="777F7752"/>
    <w:rsid w:val="77A5121A"/>
    <w:rsid w:val="78771340"/>
    <w:rsid w:val="788A0F31"/>
    <w:rsid w:val="78F56DD8"/>
    <w:rsid w:val="79373D17"/>
    <w:rsid w:val="7A77760E"/>
    <w:rsid w:val="7AC70899"/>
    <w:rsid w:val="7B3F7553"/>
    <w:rsid w:val="7B7986D1"/>
    <w:rsid w:val="7B877587"/>
    <w:rsid w:val="7D937E78"/>
    <w:rsid w:val="7E0F106D"/>
    <w:rsid w:val="7E747F79"/>
    <w:rsid w:val="7E813E2F"/>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55"/>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51"/>
    <w:qFormat/>
    <w:uiPriority w:val="0"/>
    <w:rPr>
      <w:rFonts w:ascii="Times New Roman" w:hAnsi="Times New Roman" w:eastAsia="宋体" w:cs="Times New Roman"/>
      <w:color w:val="FF0000"/>
      <w:sz w:val="24"/>
      <w:szCs w:val="24"/>
    </w:rPr>
  </w:style>
  <w:style w:type="paragraph" w:styleId="10">
    <w:name w:val="Body Text Indent"/>
    <w:basedOn w:val="1"/>
    <w:next w:val="11"/>
    <w:qFormat/>
    <w:uiPriority w:val="0"/>
    <w:pPr>
      <w:spacing w:line="400" w:lineRule="exact"/>
      <w:ind w:left="630"/>
    </w:pPr>
    <w:rPr>
      <w:rFonts w:ascii="楷体_GB2312" w:eastAsia="宋体"/>
      <w:sz w:val="21"/>
    </w:rPr>
  </w:style>
  <w:style w:type="paragraph" w:styleId="11">
    <w:name w:val="envelope return"/>
    <w:basedOn w:val="1"/>
    <w:semiHidden/>
    <w:unhideWhenUsed/>
    <w:qFormat/>
    <w:uiPriority w:val="99"/>
    <w:pPr>
      <w:snapToGrid w:val="0"/>
    </w:pPr>
    <w:rPr>
      <w:rFonts w:hint="eastAsia" w:ascii="Arial" w:hAnsi="Arial"/>
      <w:sz w:val="24"/>
    </w:rPr>
  </w:style>
  <w:style w:type="paragraph" w:styleId="12">
    <w:name w:val="HTML Address"/>
    <w:basedOn w:val="1"/>
    <w:qFormat/>
    <w:uiPriority w:val="0"/>
    <w:pPr>
      <w:widowControl/>
      <w:spacing w:before="100" w:beforeAutospacing="1" w:after="100" w:afterAutospacing="1"/>
      <w:jc w:val="left"/>
    </w:pPr>
    <w:rPr>
      <w:rFonts w:ascii="宋体" w:hAnsi="宋体" w:cs="宋体"/>
      <w:color w:val="333333"/>
      <w:kern w:val="0"/>
      <w:sz w:val="18"/>
      <w:szCs w:val="18"/>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7"/>
    <w:qFormat/>
    <w:uiPriority w:val="0"/>
    <w:rPr>
      <w:rFonts w:eastAsia="宋体"/>
      <w:sz w:val="24"/>
    </w:rPr>
  </w:style>
  <w:style w:type="paragraph" w:styleId="16">
    <w:name w:val="Date"/>
    <w:basedOn w:val="1"/>
    <w:next w:val="1"/>
    <w:link w:val="38"/>
    <w:unhideWhenUsed/>
    <w:qFormat/>
    <w:uiPriority w:val="99"/>
    <w:pPr>
      <w:ind w:left="100" w:leftChars="2500"/>
    </w:pPr>
  </w:style>
  <w:style w:type="paragraph" w:styleId="17">
    <w:name w:val="footer"/>
    <w:basedOn w:val="1"/>
    <w:link w:val="39"/>
    <w:unhideWhenUsed/>
    <w:qFormat/>
    <w:uiPriority w:val="99"/>
    <w:pPr>
      <w:tabs>
        <w:tab w:val="center" w:pos="4153"/>
        <w:tab w:val="right" w:pos="8306"/>
      </w:tabs>
      <w:snapToGrid w:val="0"/>
      <w:jc w:val="left"/>
    </w:pPr>
    <w:rPr>
      <w:sz w:val="18"/>
      <w:szCs w:val="18"/>
    </w:rPr>
  </w:style>
  <w:style w:type="paragraph" w:styleId="18">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2"/>
    <w:link w:val="56"/>
    <w:qFormat/>
    <w:uiPriority w:val="0"/>
    <w:pPr>
      <w:ind w:firstLine="420" w:firstLineChars="100"/>
    </w:pPr>
    <w:rPr>
      <w:rFonts w:ascii="宋体" w:hAnsi="Times New Roman" w:eastAsia="宋体" w:cs="Times New Roman"/>
      <w:kern w:val="0"/>
      <w:sz w:val="34"/>
      <w:szCs w:val="20"/>
    </w:rPr>
  </w:style>
  <w:style w:type="paragraph" w:styleId="23">
    <w:name w:val="Body Text First Indent 2"/>
    <w:basedOn w:val="10"/>
    <w:semiHidden/>
    <w:qFormat/>
    <w:uiPriority w:val="99"/>
    <w:pPr>
      <w:snapToGrid/>
      <w:spacing w:after="120" w:line="240" w:lineRule="auto"/>
      <w:ind w:left="420" w:leftChars="200" w:firstLine="420" w:firstLineChars="200"/>
    </w:pPr>
    <w:rPr>
      <w:sz w:val="21"/>
      <w:szCs w:val="24"/>
    </w:rPr>
  </w:style>
  <w:style w:type="character" w:styleId="26">
    <w:name w:val="Strong"/>
    <w:basedOn w:val="25"/>
    <w:qFormat/>
    <w:uiPriority w:val="22"/>
    <w:rPr>
      <w:b/>
      <w:bCs/>
    </w:rPr>
  </w:style>
  <w:style w:type="character" w:styleId="27">
    <w:name w:val="FollowedHyperlink"/>
    <w:basedOn w:val="25"/>
    <w:unhideWhenUsed/>
    <w:qFormat/>
    <w:uiPriority w:val="99"/>
    <w:rPr>
      <w:color w:val="800080" w:themeColor="followedHyperlink"/>
      <w:u w:val="single"/>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paragraph" w:customStyle="1" w:styleId="30">
    <w:name w:val="无间隔1"/>
    <w:basedOn w:val="1"/>
    <w:qFormat/>
    <w:uiPriority w:val="0"/>
    <w:pPr>
      <w:spacing w:line="400" w:lineRule="exact"/>
    </w:pPr>
    <w:rPr>
      <w:sz w:val="24"/>
    </w:rPr>
  </w:style>
  <w:style w:type="paragraph" w:customStyle="1" w:styleId="31">
    <w:name w:val="*正文"/>
    <w:basedOn w:val="1"/>
    <w:qFormat/>
    <w:uiPriority w:val="0"/>
    <w:pPr>
      <w:keepNext/>
      <w:keepLines/>
      <w:spacing w:line="360" w:lineRule="auto"/>
      <w:ind w:firstLine="200" w:firstLineChars="200"/>
    </w:pPr>
    <w:rPr>
      <w:rFonts w:ascii="宋体" w:hAnsi="宋体"/>
    </w:rPr>
  </w:style>
  <w:style w:type="paragraph" w:customStyle="1" w:styleId="32">
    <w:name w:val="列出段落1"/>
    <w:basedOn w:val="1"/>
    <w:unhideWhenUsed/>
    <w:qFormat/>
    <w:uiPriority w:val="99"/>
    <w:pPr>
      <w:ind w:firstLine="420" w:firstLineChars="200"/>
    </w:pPr>
  </w:style>
  <w:style w:type="character" w:customStyle="1" w:styleId="33">
    <w:name w:val="标题 1 Char"/>
    <w:basedOn w:val="25"/>
    <w:link w:val="3"/>
    <w:qFormat/>
    <w:uiPriority w:val="0"/>
    <w:rPr>
      <w:rFonts w:ascii="Calibri" w:hAnsi="Calibri" w:eastAsia="宋体" w:cs="Times New Roman"/>
      <w:b/>
      <w:bCs/>
      <w:kern w:val="44"/>
      <w:sz w:val="44"/>
      <w:szCs w:val="44"/>
    </w:rPr>
  </w:style>
  <w:style w:type="character" w:customStyle="1" w:styleId="34">
    <w:name w:val="标题 2 Char"/>
    <w:basedOn w:val="25"/>
    <w:link w:val="4"/>
    <w:qFormat/>
    <w:uiPriority w:val="0"/>
    <w:rPr>
      <w:rFonts w:ascii="Arial" w:hAnsi="Arial" w:eastAsia="黑体" w:cs="Times New Roman"/>
      <w:b/>
      <w:bCs/>
      <w:kern w:val="0"/>
      <w:sz w:val="32"/>
      <w:szCs w:val="32"/>
    </w:rPr>
  </w:style>
  <w:style w:type="character" w:customStyle="1" w:styleId="35">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6">
    <w:name w:val="标题 4 Char"/>
    <w:basedOn w:val="25"/>
    <w:link w:val="6"/>
    <w:qFormat/>
    <w:uiPriority w:val="0"/>
    <w:rPr>
      <w:rFonts w:ascii="Arial" w:hAnsi="Arial" w:eastAsia="黑体" w:cs="Times New Roman"/>
      <w:b/>
      <w:bCs/>
      <w:kern w:val="0"/>
      <w:sz w:val="28"/>
      <w:szCs w:val="28"/>
    </w:rPr>
  </w:style>
  <w:style w:type="character" w:customStyle="1" w:styleId="37">
    <w:name w:val="纯文本 Char"/>
    <w:basedOn w:val="25"/>
    <w:link w:val="15"/>
    <w:qFormat/>
    <w:uiPriority w:val="0"/>
    <w:rPr>
      <w:rFonts w:eastAsia="宋体"/>
      <w:sz w:val="24"/>
    </w:rPr>
  </w:style>
  <w:style w:type="character" w:customStyle="1" w:styleId="38">
    <w:name w:val="日期 Char"/>
    <w:basedOn w:val="25"/>
    <w:link w:val="16"/>
    <w:qFormat/>
    <w:uiPriority w:val="99"/>
  </w:style>
  <w:style w:type="character" w:customStyle="1" w:styleId="39">
    <w:name w:val="页脚 Char"/>
    <w:basedOn w:val="25"/>
    <w:link w:val="17"/>
    <w:qFormat/>
    <w:uiPriority w:val="99"/>
    <w:rPr>
      <w:sz w:val="18"/>
      <w:szCs w:val="18"/>
    </w:rPr>
  </w:style>
  <w:style w:type="character" w:customStyle="1" w:styleId="40">
    <w:name w:val="页眉 Char"/>
    <w:basedOn w:val="25"/>
    <w:link w:val="18"/>
    <w:qFormat/>
    <w:uiPriority w:val="99"/>
    <w:rPr>
      <w:sz w:val="18"/>
      <w:szCs w:val="18"/>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1"/>
    <w:basedOn w:val="1"/>
    <w:qFormat/>
    <w:uiPriority w:val="34"/>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正文文本 3 Char"/>
    <w:basedOn w:val="25"/>
    <w:link w:val="9"/>
    <w:qFormat/>
    <w:uiPriority w:val="0"/>
    <w:rPr>
      <w:rFonts w:ascii="Times New Roman" w:hAnsi="Times New Roman" w:eastAsia="宋体" w:cs="Times New Roman"/>
      <w:color w:val="FF0000"/>
      <w:sz w:val="24"/>
      <w:szCs w:val="24"/>
    </w:rPr>
  </w:style>
  <w:style w:type="character" w:customStyle="1" w:styleId="52">
    <w:name w:val="edittexttarea"/>
    <w:basedOn w:val="25"/>
    <w:qFormat/>
    <w:uiPriority w:val="0"/>
  </w:style>
  <w:style w:type="paragraph" w:customStyle="1" w:styleId="53">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 Char"/>
    <w:basedOn w:val="25"/>
    <w:link w:val="2"/>
    <w:semiHidden/>
    <w:qFormat/>
    <w:uiPriority w:val="99"/>
  </w:style>
  <w:style w:type="character" w:customStyle="1" w:styleId="56">
    <w:name w:val="正文首行缩进 Char"/>
    <w:basedOn w:val="55"/>
    <w:link w:val="22"/>
    <w:qFormat/>
    <w:uiPriority w:val="0"/>
    <w:rPr>
      <w:rFonts w:ascii="宋体" w:hAnsi="Times New Roman" w:eastAsia="宋体" w:cs="Times New Roman"/>
      <w:kern w:val="0"/>
      <w:sz w:val="34"/>
      <w:szCs w:val="20"/>
    </w:rPr>
  </w:style>
  <w:style w:type="character" w:customStyle="1" w:styleId="57">
    <w:name w:val="HTML 预设格式 Char"/>
    <w:basedOn w:val="25"/>
    <w:link w:val="20"/>
    <w:semiHidden/>
    <w:qFormat/>
    <w:uiPriority w:val="99"/>
    <w:rPr>
      <w:rFonts w:ascii="宋体" w:hAnsi="宋体" w:eastAsia="宋体" w:cs="宋体"/>
      <w:kern w:val="0"/>
      <w:sz w:val="24"/>
      <w:szCs w:val="24"/>
    </w:rPr>
  </w:style>
  <w:style w:type="paragraph" w:customStyle="1" w:styleId="58">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60">
    <w:name w:val="List Paragraph1"/>
    <w:basedOn w:val="1"/>
    <w:qFormat/>
    <w:uiPriority w:val="99"/>
    <w:pPr>
      <w:ind w:firstLine="420" w:firstLineChars="200"/>
    </w:pPr>
    <w:rPr>
      <w:rFonts w:ascii="Times New Roman" w:hAnsi="Times New Roman" w:eastAsia="宋体" w:cs="Times New Roman"/>
      <w:szCs w:val="24"/>
    </w:rPr>
  </w:style>
  <w:style w:type="paragraph" w:styleId="61">
    <w:name w:val="List Paragraph"/>
    <w:basedOn w:val="1"/>
    <w:unhideWhenUsed/>
    <w:qFormat/>
    <w:uiPriority w:val="99"/>
    <w:pPr>
      <w:ind w:firstLine="420" w:firstLineChars="200"/>
    </w:pPr>
  </w:style>
  <w:style w:type="character" w:customStyle="1" w:styleId="62">
    <w:name w:val="font01"/>
    <w:basedOn w:val="25"/>
    <w:qFormat/>
    <w:uiPriority w:val="0"/>
    <w:rPr>
      <w:rFonts w:hint="eastAsia" w:ascii="宋体" w:hAnsi="宋体" w:eastAsia="宋体" w:cs="宋体"/>
      <w:color w:val="000000"/>
      <w:sz w:val="22"/>
      <w:szCs w:val="22"/>
      <w:u w:val="none"/>
    </w:rPr>
  </w:style>
  <w:style w:type="character" w:customStyle="1" w:styleId="63">
    <w:name w:val="font21"/>
    <w:basedOn w:val="25"/>
    <w:qFormat/>
    <w:uiPriority w:val="0"/>
    <w:rPr>
      <w:rFonts w:hint="eastAsia" w:ascii="宋体" w:hAnsi="宋体" w:eastAsia="宋体" w:cs="宋体"/>
      <w:color w:val="000000"/>
      <w:sz w:val="28"/>
      <w:szCs w:val="28"/>
      <w:u w:val="none"/>
    </w:rPr>
  </w:style>
  <w:style w:type="character" w:customStyle="1" w:styleId="64">
    <w:name w:val="font11"/>
    <w:basedOn w:val="25"/>
    <w:qFormat/>
    <w:uiPriority w:val="0"/>
    <w:rPr>
      <w:rFonts w:ascii="Calibri" w:hAnsi="Calibri" w:cs="Calibri"/>
      <w:color w:val="000000"/>
      <w:sz w:val="28"/>
      <w:szCs w:val="28"/>
      <w:u w:val="none"/>
    </w:rPr>
  </w:style>
  <w:style w:type="paragraph" w:customStyle="1" w:styleId="65">
    <w:name w:val="p0"/>
    <w:basedOn w:val="1"/>
    <w:qFormat/>
    <w:uiPriority w:val="0"/>
    <w:pPr>
      <w:widowControl/>
    </w:pPr>
    <w:rPr>
      <w:kern w:val="0"/>
      <w:szCs w:val="21"/>
    </w:rPr>
  </w:style>
  <w:style w:type="paragraph" w:customStyle="1" w:styleId="66">
    <w:name w:val="USE 1"/>
    <w:basedOn w:val="1"/>
    <w:qFormat/>
    <w:uiPriority w:val="0"/>
    <w:pPr>
      <w:spacing w:line="200" w:lineRule="atLeast"/>
      <w:jc w:val="left"/>
    </w:pPr>
    <w:rPr>
      <w:rFonts w:ascii="宋体" w:hAnsi="宋体" w:eastAsia="宋体" w:cs="Times New Roman"/>
      <w:b/>
      <w:sz w:val="24"/>
      <w:szCs w:val="20"/>
    </w:rPr>
  </w:style>
  <w:style w:type="paragraph" w:customStyle="1" w:styleId="67">
    <w:name w:val="正文一"/>
    <w:basedOn w:val="61"/>
    <w:qFormat/>
    <w:uiPriority w:val="99"/>
    <w:pPr>
      <w:spacing w:line="600" w:lineRule="exact"/>
      <w:ind w:firstLine="200"/>
    </w:pPr>
    <w:rPr>
      <w:rFonts w:ascii="仿宋" w:hAnsi="仿宋" w:eastAsia="仿宋"/>
      <w:sz w:val="28"/>
      <w:szCs w:val="28"/>
    </w:rPr>
  </w:style>
  <w:style w:type="paragraph" w:customStyle="1" w:styleId="68">
    <w:name w:val="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33</TotalTime>
  <ScaleCrop>false</ScaleCrop>
  <LinksUpToDate>false</LinksUpToDate>
  <CharactersWithSpaces>43544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2020-03-12T09:55:15Z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