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长招采竞字[2019]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>175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号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>长葛市人民法院移动执行系统项目（二次）</w:t>
      </w:r>
    </w:p>
    <w:p>
      <w:pPr>
        <w:widowControl/>
        <w:shd w:val="clear" w:color="auto" w:fill="FFFFFF"/>
        <w:spacing w:line="360" w:lineRule="auto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长葛市人民法院移动执行系统项目（二次）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right="0" w:firstLine="321" w:firstLineChars="10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项目编号：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长招采竞字【2019】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175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开标日期：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2020年3月9日10:30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评标地点：长葛市公共资源交易中心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评审专家名单：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黄彩   杨增伟（业主代表）  胥会霞  随机抽取 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胥会霞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为谈判小组组长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三、成交信息：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（一）成交候选人（成交人）名称：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郑州华路天成信息技术有限公司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（二）地址：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郑州高新技术产业开发区长椿路 23 号 3 号楼 1 栋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（三）联系人：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曹晓东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联系电话：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0371-88812678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（四）成交金额：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195900元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大写：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壹拾玖万伍仟玖佰圆整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64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预算金额（采购最高限价）: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200000.00元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成交标的概况（附后）：主要成交标的的名称、服务要求等。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河南省政府采购网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全国公共资源交易平台（河南省.许昌市）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长葛市人民政府门户网站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采购人地址：长葛市葛天大道中段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联系人：段先生    联系电话：15603866109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b w:val="0"/>
          <w:i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    联系电话：0374-6189379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27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71367"/>
    <w:rsid w:val="058F2171"/>
    <w:rsid w:val="08714B32"/>
    <w:rsid w:val="266F701D"/>
    <w:rsid w:val="2B071367"/>
    <w:rsid w:val="44926C9C"/>
    <w:rsid w:val="5A096F45"/>
    <w:rsid w:val="7FE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hover25"/>
    <w:basedOn w:val="5"/>
    <w:qFormat/>
    <w:uiPriority w:val="0"/>
  </w:style>
  <w:style w:type="character" w:customStyle="1" w:styleId="10">
    <w:name w:val="right"/>
    <w:basedOn w:val="5"/>
    <w:qFormat/>
    <w:uiPriority w:val="0"/>
    <w:rPr>
      <w:color w:val="999999"/>
      <w:sz w:val="12"/>
      <w:szCs w:val="12"/>
    </w:rPr>
  </w:style>
  <w:style w:type="character" w:customStyle="1" w:styleId="11">
    <w:name w:val="blue"/>
    <w:basedOn w:val="5"/>
    <w:qFormat/>
    <w:uiPriority w:val="0"/>
    <w:rPr>
      <w:color w:val="0371C6"/>
      <w:sz w:val="14"/>
      <w:szCs w:val="14"/>
    </w:rPr>
  </w:style>
  <w:style w:type="character" w:customStyle="1" w:styleId="12">
    <w:name w:val="green"/>
    <w:basedOn w:val="5"/>
    <w:qFormat/>
    <w:uiPriority w:val="0"/>
    <w:rPr>
      <w:color w:val="66AE00"/>
      <w:sz w:val="12"/>
      <w:szCs w:val="12"/>
    </w:rPr>
  </w:style>
  <w:style w:type="character" w:customStyle="1" w:styleId="13">
    <w:name w:val="green1"/>
    <w:basedOn w:val="5"/>
    <w:qFormat/>
    <w:uiPriority w:val="0"/>
    <w:rPr>
      <w:color w:val="66AE00"/>
      <w:sz w:val="12"/>
      <w:szCs w:val="12"/>
    </w:rPr>
  </w:style>
  <w:style w:type="character" w:customStyle="1" w:styleId="14">
    <w:name w:val="red"/>
    <w:basedOn w:val="5"/>
    <w:qFormat/>
    <w:uiPriority w:val="0"/>
    <w:rPr>
      <w:color w:val="FF0000"/>
      <w:sz w:val="12"/>
      <w:szCs w:val="12"/>
    </w:rPr>
  </w:style>
  <w:style w:type="character" w:customStyle="1" w:styleId="15">
    <w:name w:val="red1"/>
    <w:basedOn w:val="5"/>
    <w:qFormat/>
    <w:uiPriority w:val="0"/>
    <w:rPr>
      <w:color w:val="FF0000"/>
      <w:sz w:val="12"/>
      <w:szCs w:val="12"/>
    </w:rPr>
  </w:style>
  <w:style w:type="character" w:customStyle="1" w:styleId="16">
    <w:name w:val="red2"/>
    <w:basedOn w:val="5"/>
    <w:qFormat/>
    <w:uiPriority w:val="0"/>
    <w:rPr>
      <w:color w:val="CC0000"/>
    </w:rPr>
  </w:style>
  <w:style w:type="character" w:customStyle="1" w:styleId="17">
    <w:name w:val="red3"/>
    <w:basedOn w:val="5"/>
    <w:qFormat/>
    <w:uiPriority w:val="0"/>
    <w:rPr>
      <w:color w:val="FF0000"/>
    </w:rPr>
  </w:style>
  <w:style w:type="character" w:customStyle="1" w:styleId="18">
    <w:name w:val="gb-j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2019-11-06T02:58:00Z</dcterms:created>
  <dc:creator>Administrator</dc:creator>
  <cp:lastModifiedBy>Administrator</cp:lastModifiedBy>
  <dcterms:modified xsi:type="dcterms:W3CDTF">2020-03-10T08:14:06Z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