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pStyle w:val="60"/>
        <w:shd w:val="clear" w:color="auto" w:fill="FFFFFF"/>
        <w:spacing w:line="360" w:lineRule="auto"/>
        <w:contextualSpacing/>
        <w:jc w:val="center"/>
        <w:rPr>
          <w:rFonts w:hint="default" w:asciiTheme="majorEastAsia" w:hAnsiTheme="majorEastAsia" w:eastAsiaTheme="majorEastAsia" w:cstheme="majorEastAsia"/>
          <w:b/>
          <w:bCs/>
          <w:color w:val="000000"/>
          <w:sz w:val="44"/>
          <w:szCs w:val="44"/>
          <w:lang w:val="en-US" w:eastAsia="zh-CN"/>
        </w:rPr>
      </w:pPr>
      <w:r>
        <w:rPr>
          <w:rFonts w:hint="eastAsia" w:asciiTheme="majorEastAsia" w:hAnsiTheme="majorEastAsia" w:eastAsiaTheme="majorEastAsia" w:cstheme="majorEastAsia"/>
          <w:b/>
          <w:bCs/>
          <w:color w:val="000000"/>
          <w:kern w:val="2"/>
          <w:sz w:val="44"/>
          <w:szCs w:val="44"/>
          <w:lang w:val="en-US" w:eastAsia="zh-CN" w:bidi="ar-SA"/>
        </w:rPr>
        <w:t>许昌市环境监控信息中心“县级环境水质自动站运行管理服务</w:t>
      </w:r>
      <w:r>
        <w:rPr>
          <w:rFonts w:hint="eastAsia" w:asciiTheme="majorEastAsia" w:hAnsiTheme="majorEastAsia" w:eastAsiaTheme="majorEastAsia" w:cstheme="majorEastAsia"/>
          <w:b/>
          <w:bCs/>
          <w:color w:val="000000"/>
          <w:sz w:val="44"/>
          <w:szCs w:val="44"/>
          <w:lang w:val="en-US" w:eastAsia="zh-CN"/>
        </w:rPr>
        <w:t>(不见面开标)</w:t>
      </w:r>
      <w:r>
        <w:rPr>
          <w:rFonts w:hint="eastAsia" w:asciiTheme="majorEastAsia" w:hAnsiTheme="majorEastAsia" w:eastAsiaTheme="majorEastAsia" w:cstheme="majorEastAsia"/>
          <w:b/>
          <w:bCs/>
          <w:color w:val="000000"/>
          <w:kern w:val="2"/>
          <w:sz w:val="44"/>
          <w:szCs w:val="44"/>
          <w:lang w:val="en-US" w:eastAsia="zh-CN" w:bidi="ar-SA"/>
        </w:rPr>
        <w:t>”</w:t>
      </w:r>
      <w:r>
        <w:rPr>
          <w:rFonts w:hint="eastAsia" w:asciiTheme="majorEastAsia" w:hAnsiTheme="majorEastAsia" w:eastAsiaTheme="majorEastAsia" w:cstheme="majorEastAsia"/>
          <w:b/>
          <w:bCs/>
          <w:color w:val="000000"/>
          <w:sz w:val="44"/>
          <w:szCs w:val="44"/>
        </w:rPr>
        <w:t>项目</w:t>
      </w:r>
      <w:bookmarkStart w:id="15" w:name="_GoBack"/>
      <w:bookmarkEnd w:id="15"/>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项目编号：ZFCG-G20</w:t>
      </w:r>
      <w:r>
        <w:rPr>
          <w:rFonts w:hint="eastAsia" w:asciiTheme="majorEastAsia" w:hAnsiTheme="majorEastAsia" w:eastAsiaTheme="majorEastAsia" w:cstheme="majorEastAsia"/>
          <w:b/>
          <w:bCs/>
          <w:color w:val="000000"/>
          <w:sz w:val="36"/>
          <w:szCs w:val="36"/>
          <w:lang w:eastAsia="zh-CN"/>
        </w:rPr>
        <w:t>20</w:t>
      </w:r>
      <w:r>
        <w:rPr>
          <w:rFonts w:hint="eastAsia" w:asciiTheme="majorEastAsia" w:hAnsiTheme="majorEastAsia" w:eastAsiaTheme="majorEastAsia" w:cstheme="majorEastAsia"/>
          <w:b/>
          <w:bCs/>
          <w:color w:val="000000"/>
          <w:sz w:val="36"/>
          <w:szCs w:val="36"/>
          <w:lang w:val="en-US" w:eastAsia="zh-CN"/>
        </w:rPr>
        <w:t>005</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w:t>
      </w:r>
      <w:r>
        <w:rPr>
          <w:rFonts w:hint="eastAsia" w:asciiTheme="majorEastAsia" w:hAnsiTheme="majorEastAsia" w:eastAsiaTheme="majorEastAsia" w:cstheme="majorEastAsia"/>
          <w:b/>
          <w:bCs/>
          <w:color w:val="000000"/>
          <w:sz w:val="36"/>
          <w:szCs w:val="36"/>
          <w:lang w:val="en-US" w:eastAsia="zh-CN"/>
        </w:rPr>
        <w:t>许昌市环境监控信息中心</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代理机构：许昌市政府采购服务中心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二〇二〇年</w:t>
      </w:r>
      <w:r>
        <w:rPr>
          <w:rFonts w:hint="eastAsia" w:asciiTheme="majorEastAsia" w:hAnsiTheme="majorEastAsia" w:eastAsiaTheme="majorEastAsia" w:cstheme="majorEastAsia"/>
          <w:b/>
          <w:bCs/>
          <w:color w:val="000000"/>
          <w:sz w:val="36"/>
          <w:szCs w:val="36"/>
          <w:lang w:eastAsia="zh-CN"/>
        </w:rPr>
        <w:t>三</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四</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1"/>
        <w:widowControl/>
        <w:shd w:val="clear" w:color="auto" w:fill="FFFFFF"/>
        <w:spacing w:line="360" w:lineRule="auto"/>
        <w:ind w:firstLine="420" w:firstLineChars="200"/>
        <w:contextualSpacing/>
        <w:jc w:val="left"/>
        <w:rPr>
          <w:color w:val="000000"/>
          <w:sz w:val="21"/>
          <w:szCs w:val="21"/>
          <w:shd w:val="clear" w:color="auto" w:fill="FFFFFF"/>
        </w:rPr>
      </w:pPr>
    </w:p>
    <w:p>
      <w:pPr>
        <w:pStyle w:val="21"/>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许昌市政府采购服务中心(以下简称采购中心) 受许昌市环境监控信息中心的委托，对“</w:t>
      </w:r>
      <w:r>
        <w:rPr>
          <w:rFonts w:hint="eastAsia"/>
          <w:color w:val="000000"/>
          <w:sz w:val="21"/>
          <w:szCs w:val="21"/>
          <w:shd w:val="clear" w:color="auto" w:fill="FFFFFF"/>
          <w:lang w:val="en-US" w:eastAsia="zh-CN"/>
        </w:rPr>
        <w:t>县级环境水质自动站运行管理服务</w:t>
      </w:r>
      <w:r>
        <w:rPr>
          <w:rFonts w:hint="eastAsia" w:cs="仿宋_GB2312" w:asciiTheme="minorEastAsia" w:hAnsiTheme="minorEastAsia" w:eastAsiaTheme="minorEastAsia"/>
          <w:color w:val="000000"/>
          <w:sz w:val="21"/>
          <w:szCs w:val="21"/>
          <w:shd w:val="clear" w:color="auto" w:fill="FFFFFF"/>
          <w:lang w:val="en-US" w:eastAsia="zh-CN"/>
        </w:rPr>
        <w:t>(不见面开标)</w:t>
      </w:r>
      <w:r>
        <w:rPr>
          <w:rFonts w:hint="eastAsia"/>
          <w:color w:val="000000"/>
          <w:sz w:val="21"/>
          <w:szCs w:val="21"/>
          <w:shd w:val="clear" w:color="auto" w:fill="FFFFFF"/>
        </w:rPr>
        <w:t>”项目进行公开招标。现邀请符合本招标文件规定条件的投标人前来投标。</w:t>
      </w:r>
    </w:p>
    <w:p>
      <w:pPr>
        <w:pStyle w:val="21"/>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60"/>
        <w:shd w:val="clear" w:color="auto" w:fill="FFFFFF"/>
        <w:spacing w:line="360" w:lineRule="auto"/>
        <w:ind w:firstLine="420" w:firstLineChars="200"/>
        <w:contextualSpacing/>
        <w:jc w:val="both"/>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w:t>
      </w:r>
      <w:r>
        <w:rPr>
          <w:rFonts w:hint="eastAsia" w:cs="仿宋_GB2312" w:asciiTheme="minorEastAsia" w:hAnsiTheme="minorEastAsia" w:eastAsiaTheme="minorEastAsia"/>
          <w:color w:val="000000"/>
          <w:sz w:val="21"/>
          <w:szCs w:val="21"/>
          <w:shd w:val="clear" w:color="auto" w:fill="FFFFFF"/>
          <w:lang w:val="en-US" w:eastAsia="zh-CN"/>
        </w:rPr>
        <w:t>县级环境水质自动站运行管理服务(不见面开标)</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（二）项目编号：ZFCG-G20</w:t>
      </w:r>
      <w:r>
        <w:rPr>
          <w:rFonts w:hint="eastAsia" w:cs="仿宋_GB2312" w:asciiTheme="minorEastAsia" w:hAnsiTheme="minorEastAsia" w:eastAsiaTheme="minorEastAsia"/>
          <w:color w:val="000000"/>
          <w:sz w:val="21"/>
          <w:szCs w:val="21"/>
          <w:shd w:val="clear" w:color="auto" w:fill="FFFFFF"/>
          <w:lang w:eastAsia="zh-CN"/>
        </w:rPr>
        <w:t>20</w:t>
      </w:r>
      <w:r>
        <w:rPr>
          <w:rFonts w:hint="eastAsia" w:cs="仿宋_GB2312" w:asciiTheme="minorEastAsia" w:hAnsiTheme="minorEastAsia" w:eastAsiaTheme="minorEastAsia"/>
          <w:color w:val="000000"/>
          <w:sz w:val="21"/>
          <w:szCs w:val="21"/>
          <w:shd w:val="clear" w:color="auto" w:fill="FFFFFF"/>
          <w:lang w:val="en-US" w:eastAsia="zh-CN"/>
        </w:rPr>
        <w:t>005</w:t>
      </w:r>
      <w:r>
        <w:rPr>
          <w:rFonts w:hint="eastAsia" w:cs="仿宋_GB2312" w:asciiTheme="minorEastAsia" w:hAnsiTheme="minorEastAsia" w:eastAsiaTheme="minorEastAsia"/>
          <w:color w:val="000000"/>
          <w:sz w:val="21"/>
          <w:szCs w:val="21"/>
          <w:shd w:val="clear" w:color="auto" w:fill="FFFFFF"/>
        </w:rPr>
        <w:t xml:space="preserve">号    </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（三）采购方式：公开招标                                                                                                                         </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val="en-US" w:eastAsia="zh-CN"/>
        </w:rPr>
      </w:pPr>
      <w:r>
        <w:rPr>
          <w:rFonts w:hint="eastAsia" w:cs="仿宋_GB2312" w:asciiTheme="minorEastAsia" w:hAnsiTheme="minorEastAsia" w:eastAsiaTheme="minorEastAsia"/>
          <w:color w:val="000000"/>
          <w:sz w:val="21"/>
          <w:szCs w:val="21"/>
          <w:shd w:val="clear" w:color="auto" w:fill="FFFFFF"/>
        </w:rPr>
        <w:t>（四）项目主要内容、数量及要求：</w:t>
      </w:r>
      <w:r>
        <w:rPr>
          <w:rFonts w:hint="eastAsia" w:cs="仿宋_GB2312" w:asciiTheme="minorEastAsia" w:hAnsiTheme="minorEastAsia" w:eastAsiaTheme="minorEastAsia"/>
          <w:color w:val="000000"/>
          <w:sz w:val="21"/>
          <w:szCs w:val="21"/>
          <w:shd w:val="clear" w:color="auto" w:fill="FFFFFF"/>
          <w:lang w:val="en-US" w:eastAsia="zh-CN"/>
        </w:rPr>
        <w:t>A包：23个县级环境水质自动站运行管理服务1年</w:t>
      </w:r>
    </w:p>
    <w:p>
      <w:pPr>
        <w:pStyle w:val="21"/>
        <w:widowControl/>
        <w:shd w:val="clear" w:color="auto" w:fill="FFFFFF"/>
        <w:spacing w:line="360" w:lineRule="auto"/>
        <w:ind w:firstLine="1050" w:firstLineChars="50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lang w:val="en-US" w:eastAsia="zh-CN"/>
        </w:rPr>
        <w:t>B包：第三方比对检测及防雷设施检测及26个小型水站运维服务1年</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w:t>
      </w:r>
      <w:r>
        <w:rPr>
          <w:rFonts w:hint="eastAsia" w:cs="仿宋_GB2312" w:asciiTheme="minorEastAsia" w:hAnsiTheme="minorEastAsia" w:eastAsiaTheme="minorEastAsia"/>
          <w:color w:val="000000"/>
          <w:sz w:val="21"/>
          <w:szCs w:val="21"/>
          <w:shd w:val="clear" w:color="auto" w:fill="FFFFFF"/>
          <w:lang w:val="en-US" w:eastAsia="zh-CN"/>
        </w:rPr>
        <w:t>A包：2646036元;B包：918850元</w:t>
      </w:r>
      <w:r>
        <w:rPr>
          <w:rFonts w:hint="eastAsia" w:cs="仿宋_GB2312" w:asciiTheme="minorEastAsia" w:hAnsiTheme="minorEastAsia" w:eastAsiaTheme="minorEastAsia"/>
          <w:color w:val="000000"/>
          <w:sz w:val="21"/>
          <w:szCs w:val="21"/>
          <w:shd w:val="clear" w:color="auto" w:fill="FFFFFF"/>
        </w:rPr>
        <w:t>。最高限价：</w:t>
      </w:r>
      <w:r>
        <w:rPr>
          <w:rFonts w:hint="eastAsia" w:cs="仿宋_GB2312" w:asciiTheme="minorEastAsia" w:hAnsiTheme="minorEastAsia" w:eastAsiaTheme="minorEastAsia"/>
          <w:color w:val="000000"/>
          <w:sz w:val="21"/>
          <w:szCs w:val="21"/>
          <w:shd w:val="clear" w:color="auto" w:fill="FFFFFF"/>
          <w:lang w:val="en-US" w:eastAsia="zh-CN"/>
        </w:rPr>
        <w:t>A包：2646036元;B包：918850元</w:t>
      </w:r>
      <w:r>
        <w:rPr>
          <w:rFonts w:hint="eastAsia" w:cs="仿宋_GB2312" w:asciiTheme="minorEastAsia" w:hAnsiTheme="minorEastAsia" w:eastAsiaTheme="minorEastAsia"/>
          <w:color w:val="000000"/>
          <w:sz w:val="21"/>
          <w:szCs w:val="21"/>
          <w:shd w:val="clear" w:color="auto" w:fill="FFFFFF"/>
        </w:rPr>
        <w:t>。</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（六）服务时间 ：</w:t>
      </w:r>
      <w:bookmarkStart w:id="0" w:name="交付日期"/>
      <w:r>
        <w:rPr>
          <w:rFonts w:hint="eastAsia" w:cs="仿宋_GB2312" w:asciiTheme="minorEastAsia" w:hAnsiTheme="minorEastAsia" w:eastAsiaTheme="minorEastAsia"/>
          <w:color w:val="000000"/>
          <w:sz w:val="21"/>
          <w:szCs w:val="21"/>
          <w:shd w:val="clear" w:color="auto" w:fill="FFFFFF"/>
        </w:rPr>
        <w:t>自合同生效之日起</w:t>
      </w:r>
      <w:bookmarkEnd w:id="0"/>
      <w:r>
        <w:rPr>
          <w:rFonts w:hint="eastAsia" w:cs="仿宋_GB2312" w:asciiTheme="minorEastAsia" w:hAnsiTheme="minorEastAsia" w:eastAsiaTheme="minorEastAsia"/>
          <w:color w:val="000000"/>
          <w:sz w:val="21"/>
          <w:szCs w:val="21"/>
          <w:shd w:val="clear" w:color="auto" w:fill="FFFFFF"/>
          <w:lang w:val="en-US" w:eastAsia="zh-CN"/>
        </w:rPr>
        <w:t>1年</w:t>
      </w:r>
      <w:r>
        <w:rPr>
          <w:rFonts w:hint="eastAsia" w:cs="仿宋_GB2312" w:asciiTheme="minorEastAsia" w:hAnsiTheme="minorEastAsia" w:eastAsiaTheme="minorEastAsia"/>
          <w:color w:val="000000"/>
          <w:sz w:val="21"/>
          <w:szCs w:val="21"/>
          <w:shd w:val="clear" w:color="auto" w:fill="FFFFFF"/>
        </w:rPr>
        <w:t>。</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（七）服务地点：</w:t>
      </w:r>
      <w:r>
        <w:rPr>
          <w:rFonts w:hint="eastAsia" w:cs="仿宋_GB2312" w:asciiTheme="minorEastAsia" w:hAnsiTheme="minorEastAsia" w:eastAsiaTheme="minorEastAsia"/>
          <w:color w:val="000000"/>
          <w:sz w:val="21"/>
          <w:szCs w:val="21"/>
          <w:shd w:val="clear" w:color="auto" w:fill="FFFFFF"/>
          <w:lang w:val="en-US" w:eastAsia="zh-CN"/>
        </w:rPr>
        <w:t>采购人指定许昌境内地点</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（八）进口产品：不允许。</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1"/>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(三)本次招标不接受联合体投标。</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1"/>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w:t>
      </w:r>
      <w:r>
        <w:rPr>
          <w:rFonts w:hint="eastAsia" w:cs="仿宋_GB2312" w:asciiTheme="minorEastAsia" w:hAnsiTheme="minorEastAsia" w:eastAsiaTheme="minorEastAsia"/>
          <w:color w:val="000000"/>
          <w:sz w:val="21"/>
          <w:szCs w:val="21"/>
          <w:lang w:val="en-US" w:eastAsia="zh-CN"/>
        </w:rPr>
        <w:t>20</w:t>
      </w:r>
      <w:r>
        <w:rPr>
          <w:rFonts w:hint="eastAsia" w:cs="仿宋_GB2312" w:asciiTheme="minorEastAsia" w:hAnsiTheme="minorEastAsia" w:eastAsiaTheme="minorEastAsia"/>
          <w:color w:val="000000"/>
          <w:sz w:val="21"/>
          <w:szCs w:val="21"/>
        </w:rPr>
        <w:t>年</w:t>
      </w:r>
      <w:r>
        <w:rPr>
          <w:rFonts w:hint="eastAsia" w:cs="仿宋_GB2312" w:asciiTheme="minorEastAsia" w:hAnsiTheme="minorEastAsia" w:eastAsiaTheme="minorEastAsia"/>
          <w:color w:val="000000"/>
          <w:sz w:val="21"/>
          <w:szCs w:val="21"/>
          <w:lang w:val="en-US" w:eastAsia="zh-CN"/>
        </w:rPr>
        <w:t>3</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lang w:val="en-US" w:eastAsia="zh-CN"/>
        </w:rPr>
        <w:t>12</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lang w:val="en-US" w:eastAsia="zh-CN"/>
        </w:rPr>
        <w:t>9</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lang w:val="en-US" w:eastAsia="zh-CN"/>
        </w:rPr>
        <w:t>00</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000000"/>
          <w:sz w:val="21"/>
          <w:szCs w:val="21"/>
        </w:rPr>
        <w:t>（二）开标地点：许昌市公共资源交易中心三楼开标</w:t>
      </w:r>
      <w:r>
        <w:rPr>
          <w:rFonts w:hint="eastAsia" w:cs="仿宋_GB2312" w:asciiTheme="minorEastAsia" w:hAnsiTheme="minorEastAsia" w:eastAsiaTheme="minorEastAsia"/>
          <w:color w:val="000000"/>
          <w:sz w:val="21"/>
          <w:szCs w:val="21"/>
          <w:lang w:eastAsia="zh-CN"/>
        </w:rPr>
        <w:t>四</w:t>
      </w:r>
      <w:r>
        <w:rPr>
          <w:rFonts w:hint="eastAsia" w:cs="仿宋_GB2312" w:asciiTheme="minorEastAsia" w:hAnsiTheme="minorEastAsia" w:eastAsiaTheme="minorEastAsia"/>
          <w:color w:val="000000"/>
          <w:sz w:val="21"/>
          <w:szCs w:val="21"/>
        </w:rPr>
        <w:t>室</w:t>
      </w:r>
      <w:r>
        <w:rPr>
          <w:rFonts w:hint="eastAsia" w:cs="仿宋_GB2312" w:asciiTheme="minorEastAsia" w:hAnsiTheme="minorEastAsia" w:eastAsiaTheme="minorEastAsia"/>
          <w:color w:val="auto"/>
          <w:sz w:val="21"/>
          <w:szCs w:val="21"/>
        </w:rPr>
        <w:t>。（</w:t>
      </w:r>
      <w:r>
        <w:rPr>
          <w:rFonts w:hint="eastAsia" w:cs="Arial" w:asciiTheme="minorEastAsia" w:hAnsiTheme="minorEastAsia" w:eastAsiaTheme="minorEastAsia"/>
          <w:b/>
          <w:color w:val="auto"/>
          <w:sz w:val="21"/>
          <w:szCs w:val="21"/>
        </w:rPr>
        <w:t>本项目采用远程不见面开标，投标人无须到现场</w:t>
      </w:r>
      <w:r>
        <w:rPr>
          <w:rFonts w:hint="eastAsia" w:cs="Arial" w:asciiTheme="minorEastAsia" w:hAnsiTheme="minorEastAsia" w:eastAsiaTheme="minorEastAsia"/>
          <w:color w:val="auto"/>
          <w:sz w:val="21"/>
          <w:szCs w:val="21"/>
        </w:rPr>
        <w:t>）</w:t>
      </w:r>
      <w:r>
        <w:rPr>
          <w:rFonts w:hint="eastAsia" w:cs="仿宋_GB2312" w:asciiTheme="minorEastAsia" w:hAnsiTheme="minorEastAsia" w:eastAsiaTheme="minorEastAsia"/>
          <w:color w:val="auto"/>
          <w:sz w:val="21"/>
          <w:szCs w:val="21"/>
        </w:rPr>
        <w:t>。</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（三） 本项目为全流程电子化交易项目，投标人须提交电子投标文件。</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1、加密电子投标文件</w:t>
      </w:r>
      <w:r>
        <w:rPr>
          <w:rFonts w:hint="eastAsia" w:cs="宋体" w:asciiTheme="minorEastAsia" w:hAnsiTheme="minorEastAsia"/>
          <w:color w:val="auto"/>
          <w:sz w:val="21"/>
          <w:szCs w:val="21"/>
        </w:rPr>
        <w:t>（</w:t>
      </w:r>
      <w:r>
        <w:rPr>
          <w:rFonts w:asciiTheme="minorEastAsia" w:hAnsiTheme="minorEastAsia" w:eastAsiaTheme="minorEastAsia"/>
          <w:color w:val="auto"/>
          <w:sz w:val="21"/>
          <w:szCs w:val="21"/>
        </w:rPr>
        <w:t>.file</w:t>
      </w:r>
      <w:r>
        <w:rPr>
          <w:rFonts w:hint="eastAsia" w:cs="宋体" w:asciiTheme="minorEastAsia" w:hAnsiTheme="minorEastAsia"/>
          <w:color w:val="auto"/>
          <w:sz w:val="21"/>
          <w:szCs w:val="21"/>
        </w:rPr>
        <w:t>格式）须</w:t>
      </w:r>
      <w:r>
        <w:rPr>
          <w:rFonts w:hint="eastAsia" w:cs="仿宋_GB2312" w:asciiTheme="minorEastAsia" w:hAnsiTheme="minorEastAsia" w:eastAsiaTheme="minorEastAsia"/>
          <w:color w:val="auto"/>
          <w:sz w:val="21"/>
          <w:szCs w:val="21"/>
        </w:rPr>
        <w:t>在投标截止时间（开标时间）前通过《全国公共资源交易平台(河南省</w:t>
      </w:r>
      <w:r>
        <w:rPr>
          <w:rFonts w:hint="eastAsia" w:ascii="MS Mincho" w:hAnsi="MS Mincho" w:eastAsia="MS Mincho" w:cs="MS Mincho"/>
          <w:color w:val="auto"/>
          <w:sz w:val="21"/>
          <w:szCs w:val="21"/>
        </w:rPr>
        <w:t>▪</w:t>
      </w:r>
      <w:r>
        <w:rPr>
          <w:rFonts w:hint="eastAsia" w:ascii="宋体" w:hAnsi="宋体" w:cs="宋体"/>
          <w:color w:val="auto"/>
          <w:sz w:val="21"/>
          <w:szCs w:val="21"/>
        </w:rPr>
        <w:t>许昌市</w:t>
      </w:r>
      <w:r>
        <w:rPr>
          <w:rFonts w:hint="eastAsia" w:cs="仿宋_GB2312" w:asciiTheme="minorEastAsia" w:hAnsiTheme="minorEastAsia" w:eastAsiaTheme="minorEastAsia"/>
          <w:color w:val="auto"/>
          <w:sz w:val="21"/>
          <w:szCs w:val="21"/>
        </w:rPr>
        <w:t>)》公共资源交易系统成功上传。</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2、开标时间前，投标人</w:t>
      </w:r>
      <w:r>
        <w:rPr>
          <w:rFonts w:hint="eastAsia" w:cs="仿宋_GB2312" w:asciiTheme="minorEastAsia" w:hAnsiTheme="minorEastAsia" w:eastAsiaTheme="minorEastAsia"/>
          <w:color w:val="auto"/>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Pr>
          <w:rFonts w:hint="eastAsia" w:cs="仿宋_GB2312" w:asciiTheme="minorEastAsia" w:hAnsiTheme="minorEastAsia" w:eastAsiaTheme="minorEastAsia"/>
          <w:color w:val="auto"/>
          <w:sz w:val="21"/>
          <w:szCs w:val="21"/>
        </w:rPr>
        <w:t>按照开标时间准时参加线上开标，进行远程解密、在线询问、电子签章等。</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adjustRightInd w:val="0"/>
        <w:spacing w:line="360" w:lineRule="auto"/>
        <w:ind w:firstLine="843" w:firstLineChars="400"/>
        <w:contextualSpacing/>
        <w:jc w:val="left"/>
        <w:rPr>
          <w:rFonts w:hint="eastAsia" w:ascii="宋体" w:hAnsi="宋体"/>
          <w:color w:val="auto"/>
          <w:szCs w:val="21"/>
        </w:rPr>
      </w:pPr>
      <w:r>
        <w:rPr>
          <w:rFonts w:hint="eastAsia" w:ascii="宋体" w:hAnsi="宋体"/>
          <w:b/>
          <w:szCs w:val="21"/>
        </w:rPr>
        <w:t>采购人</w:t>
      </w:r>
      <w:r>
        <w:rPr>
          <w:rFonts w:hint="eastAsia" w:ascii="宋体" w:hAnsi="宋体"/>
          <w:szCs w:val="21"/>
        </w:rPr>
        <w:t>：</w:t>
      </w:r>
      <w:r>
        <w:rPr>
          <w:rFonts w:hint="eastAsia" w:ascii="宋体" w:hAnsi="宋体"/>
          <w:color w:val="auto"/>
          <w:szCs w:val="21"/>
        </w:rPr>
        <w:t>许昌市环境监控信息中心</w:t>
      </w:r>
    </w:p>
    <w:p>
      <w:pPr>
        <w:adjustRightInd w:val="0"/>
        <w:spacing w:line="360" w:lineRule="auto"/>
        <w:ind w:firstLine="840" w:firstLineChars="400"/>
        <w:contextualSpacing/>
        <w:jc w:val="left"/>
        <w:rPr>
          <w:rFonts w:hint="eastAsia" w:ascii="宋体" w:hAnsi="宋体"/>
          <w:color w:val="auto"/>
          <w:szCs w:val="21"/>
        </w:rPr>
      </w:pPr>
      <w:r>
        <w:rPr>
          <w:rFonts w:hint="eastAsia" w:ascii="宋体" w:hAnsi="宋体"/>
          <w:color w:val="auto"/>
          <w:szCs w:val="21"/>
        </w:rPr>
        <w:t>地址：许昌市龙兴路创业中</w:t>
      </w:r>
      <w:r>
        <w:rPr>
          <w:rFonts w:hint="eastAsia" w:ascii="宋体" w:hAnsi="宋体"/>
          <w:color w:val="auto"/>
          <w:szCs w:val="21"/>
          <w:lang w:val="en-US" w:eastAsia="zh-CN"/>
        </w:rPr>
        <w:t>心</w:t>
      </w:r>
    </w:p>
    <w:p>
      <w:pPr>
        <w:adjustRightInd w:val="0"/>
        <w:spacing w:line="360" w:lineRule="auto"/>
        <w:ind w:firstLine="840" w:firstLineChars="400"/>
        <w:contextualSpacing/>
        <w:jc w:val="left"/>
        <w:rPr>
          <w:rFonts w:hint="eastAsia" w:ascii="宋体" w:hAnsi="宋体"/>
          <w:color w:val="auto"/>
          <w:szCs w:val="21"/>
        </w:rPr>
      </w:pPr>
      <w:r>
        <w:rPr>
          <w:rFonts w:hint="eastAsia" w:ascii="宋体" w:hAnsi="宋体"/>
          <w:color w:val="auto"/>
          <w:szCs w:val="21"/>
        </w:rPr>
        <w:t>联系人：</w:t>
      </w:r>
      <w:r>
        <w:rPr>
          <w:rFonts w:hint="eastAsia" w:ascii="宋体" w:hAnsi="宋体"/>
          <w:color w:val="auto"/>
          <w:szCs w:val="21"/>
          <w:lang w:val="en-US" w:eastAsia="zh-CN"/>
        </w:rPr>
        <w:t>王帅领</w:t>
      </w:r>
      <w:r>
        <w:rPr>
          <w:rFonts w:hint="eastAsia" w:ascii="宋体" w:hAnsi="宋体"/>
          <w:color w:val="auto"/>
          <w:szCs w:val="21"/>
        </w:rPr>
        <w:t xml:space="preserve">                   联系电话：0374-6069913</w:t>
      </w:r>
    </w:p>
    <w:p>
      <w:pPr>
        <w:adjustRightInd w:val="0"/>
        <w:spacing w:line="360" w:lineRule="auto"/>
        <w:ind w:firstLine="843" w:firstLineChars="400"/>
        <w:contextualSpacing/>
        <w:jc w:val="left"/>
        <w:rPr>
          <w:rFonts w:ascii="宋体" w:hAnsi="宋体"/>
          <w:color w:val="auto"/>
          <w:szCs w:val="21"/>
        </w:rPr>
      </w:pPr>
      <w:r>
        <w:rPr>
          <w:rFonts w:hint="eastAsia" w:ascii="宋体" w:hAnsi="宋体"/>
          <w:b/>
          <w:szCs w:val="21"/>
        </w:rPr>
        <w:t>集中采购机构</w:t>
      </w:r>
      <w:r>
        <w:rPr>
          <w:rFonts w:hint="eastAsia" w:ascii="宋体" w:hAnsi="宋体"/>
          <w:szCs w:val="21"/>
        </w:rPr>
        <w:t>：许昌市政</w:t>
      </w:r>
      <w:r>
        <w:rPr>
          <w:rFonts w:hint="eastAsia" w:ascii="宋体" w:hAnsi="宋体"/>
          <w:color w:val="auto"/>
          <w:szCs w:val="21"/>
        </w:rPr>
        <w:t xml:space="preserve">府采购服务中心 </w:t>
      </w:r>
    </w:p>
    <w:p>
      <w:pPr>
        <w:adjustRightInd w:val="0"/>
        <w:spacing w:line="360" w:lineRule="auto"/>
        <w:ind w:firstLine="840" w:firstLineChars="400"/>
        <w:contextualSpacing/>
        <w:jc w:val="left"/>
        <w:rPr>
          <w:rFonts w:ascii="宋体" w:hAnsi="宋体"/>
          <w:color w:val="auto"/>
          <w:szCs w:val="21"/>
        </w:rPr>
      </w:pPr>
      <w:r>
        <w:rPr>
          <w:rFonts w:hint="eastAsia" w:ascii="宋体" w:hAnsi="宋体"/>
          <w:color w:val="auto"/>
          <w:szCs w:val="21"/>
        </w:rPr>
        <w:t>地址：许昌市</w:t>
      </w:r>
      <w:r>
        <w:rPr>
          <w:rFonts w:cs="Arial" w:asciiTheme="minorEastAsia" w:hAnsiTheme="minorEastAsia"/>
          <w:color w:val="auto"/>
          <w:szCs w:val="21"/>
        </w:rPr>
        <w:t>龙兴路与竹林路交汇处</w:t>
      </w:r>
      <w:r>
        <w:rPr>
          <w:rFonts w:hint="eastAsia" w:cs="仿宋_GB2312" w:asciiTheme="minorEastAsia" w:hAnsiTheme="minorEastAsia"/>
          <w:color w:val="auto"/>
          <w:szCs w:val="21"/>
        </w:rPr>
        <w:t>创业服务中心C座</w:t>
      </w:r>
    </w:p>
    <w:p>
      <w:pPr>
        <w:adjustRightInd w:val="0"/>
        <w:spacing w:line="360" w:lineRule="auto"/>
        <w:ind w:firstLine="840" w:firstLineChars="400"/>
        <w:contextualSpacing/>
        <w:jc w:val="left"/>
        <w:rPr>
          <w:rFonts w:ascii="宋体" w:hAnsi="宋体"/>
          <w:szCs w:val="21"/>
        </w:rPr>
      </w:pPr>
      <w:r>
        <w:rPr>
          <w:rFonts w:hint="eastAsia" w:ascii="宋体" w:hAnsi="宋体"/>
          <w:szCs w:val="21"/>
        </w:rPr>
        <w:t>联系人：</w:t>
      </w:r>
      <w:r>
        <w:rPr>
          <w:rFonts w:hint="eastAsia" w:ascii="宋体" w:hAnsi="宋体"/>
          <w:szCs w:val="21"/>
          <w:lang w:eastAsia="zh-CN"/>
        </w:rPr>
        <w:t>杨女士</w:t>
      </w:r>
      <w:r>
        <w:rPr>
          <w:rFonts w:hint="eastAsia" w:ascii="宋体" w:hAnsi="宋体"/>
          <w:szCs w:val="21"/>
        </w:rPr>
        <w:t xml:space="preserve">                           联系电话：</w:t>
      </w:r>
      <w:bookmarkStart w:id="1" w:name="联系人电话"/>
      <w:r>
        <w:rPr>
          <w:rFonts w:ascii="宋体" w:hAnsi="宋体"/>
          <w:szCs w:val="21"/>
        </w:rPr>
        <w:t>0</w:t>
      </w:r>
      <w:bookmarkEnd w:id="1"/>
      <w:r>
        <w:rPr>
          <w:rFonts w:hint="eastAsia" w:ascii="宋体" w:hAnsi="宋体"/>
          <w:szCs w:val="21"/>
        </w:rPr>
        <w:t>374-</w:t>
      </w:r>
      <w:r>
        <w:rPr>
          <w:rFonts w:hint="eastAsia" w:ascii="宋体" w:hAnsi="宋体"/>
          <w:szCs w:val="21"/>
          <w:lang w:val="en-US" w:eastAsia="zh-CN"/>
        </w:rPr>
        <w:t>2962805</w:t>
      </w:r>
    </w:p>
    <w:p>
      <w:pPr>
        <w:adjustRightInd w:val="0"/>
        <w:spacing w:line="360" w:lineRule="auto"/>
        <w:ind w:firstLine="840" w:firstLineChars="400"/>
        <w:contextualSpacing/>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2"/>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1.</w:t>
      </w:r>
      <w:r>
        <w:rPr>
          <w:rFonts w:hint="eastAsia" w:hAnsi="宋体"/>
          <w:b/>
          <w:color w:val="auto"/>
          <w:szCs w:val="21"/>
        </w:rPr>
        <w:t>投标人应按招标文件规定编制、提交、解密电子投标文件。</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2</w:t>
      </w:r>
      <w:r>
        <w:rPr>
          <w:rFonts w:asciiTheme="minorEastAsia" w:hAnsiTheme="minorEastAsia"/>
          <w:b/>
          <w:color w:val="auto"/>
          <w:szCs w:val="21"/>
        </w:rPr>
        <w:t>.</w:t>
      </w:r>
      <w:r>
        <w:rPr>
          <w:rFonts w:hint="eastAsia" w:hAnsi="宋体"/>
          <w:b/>
          <w:color w:val="auto"/>
          <w:szCs w:val="21"/>
        </w:rPr>
        <w:t>电子文件下载、制作、提交期间和远程不见面开标（</w:t>
      </w:r>
      <w:r>
        <w:rPr>
          <w:rFonts w:hint="eastAsia" w:hAnsi="宋体"/>
          <w:color w:val="auto"/>
          <w:szCs w:val="21"/>
        </w:rPr>
        <w:t>电子投标文件的解密</w:t>
      </w:r>
      <w:r>
        <w:rPr>
          <w:rFonts w:hint="eastAsia" w:hAnsi="宋体"/>
          <w:b/>
          <w:color w:val="auto"/>
          <w:szCs w:val="21"/>
        </w:rPr>
        <w:t>）环节，投标人须使用同一个</w:t>
      </w:r>
      <w:r>
        <w:rPr>
          <w:rFonts w:hAnsi="宋体"/>
          <w:b/>
          <w:color w:val="auto"/>
          <w:szCs w:val="21"/>
        </w:rPr>
        <w:t>CA数字证书</w:t>
      </w:r>
      <w:r>
        <w:rPr>
          <w:rFonts w:hint="eastAsia" w:hAnsi="宋体"/>
          <w:b/>
          <w:color w:val="auto"/>
          <w:szCs w:val="21"/>
        </w:rPr>
        <w:t>（证书须在有效期内并可正常使用）</w:t>
      </w:r>
      <w:r>
        <w:rPr>
          <w:rFonts w:hAnsi="宋体"/>
          <w:b/>
          <w:color w:val="auto"/>
          <w:szCs w:val="21"/>
        </w:rPr>
        <w:t>。</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3</w:t>
      </w:r>
      <w:r>
        <w:rPr>
          <w:rFonts w:hint="eastAsia" w:asciiTheme="minorEastAsia" w:hAnsiTheme="minorEastAsia"/>
          <w:b/>
          <w:color w:val="auto"/>
          <w:szCs w:val="21"/>
        </w:rPr>
        <w:t>.</w:t>
      </w:r>
      <w:r>
        <w:rPr>
          <w:rFonts w:hint="eastAsia" w:hAnsi="宋体"/>
          <w:b/>
          <w:color w:val="auto"/>
          <w:szCs w:val="21"/>
        </w:rPr>
        <w:t>电子投标文件的制作</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.1</w:t>
      </w:r>
      <w:r>
        <w:rPr>
          <w:rFonts w:hint="eastAsia" w:hAnsi="宋体"/>
          <w:color w:val="auto"/>
          <w:szCs w:val="21"/>
        </w:rPr>
        <w:t xml:space="preserve"> 投标人登录《全国公共资源交易平台</w:t>
      </w:r>
      <w:r>
        <w:rPr>
          <w:rFonts w:hint="eastAsia" w:asciiTheme="majorEastAsia" w:hAnsiTheme="majorEastAsia" w:eastAsiaTheme="maj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8"/>
          <w:rFonts w:hAnsi="宋体"/>
          <w:color w:val="auto"/>
          <w:szCs w:val="21"/>
        </w:rPr>
        <w:t>http://221.14.6.70:8088/ggzy/</w:t>
      </w:r>
      <w:r>
        <w:rPr>
          <w:rStyle w:val="28"/>
          <w:rFonts w:hAnsi="宋体"/>
          <w:color w:val="auto"/>
          <w:szCs w:val="21"/>
        </w:rPr>
        <w:fldChar w:fldCharType="end"/>
      </w:r>
      <w:r>
        <w:rPr>
          <w:rFonts w:hint="eastAsia" w:hAnsi="宋体"/>
          <w:color w:val="auto"/>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电子投标文件的制作，参考《全国公共资源交易平台</w:t>
      </w:r>
      <w:r>
        <w:rPr>
          <w:rFonts w:hint="eastAsia" w:asciiTheme="minorEastAsia" w:hAnsiTheme="min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》公共资源交易系统——组件下载——交易系统操作手册（投标人、供应商）。</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w:t>
      </w:r>
      <w:r>
        <w:rPr>
          <w:rFonts w:asciiTheme="minorEastAsia" w:hAnsiTheme="minorEastAsia"/>
          <w:color w:val="auto"/>
          <w:szCs w:val="21"/>
        </w:rPr>
        <w:t>2</w:t>
      </w:r>
      <w:r>
        <w:rPr>
          <w:rFonts w:hint="eastAsia" w:hAnsi="宋体"/>
          <w:color w:val="auto"/>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3.3</w:t>
      </w:r>
      <w:r>
        <w:rPr>
          <w:rFonts w:hint="eastAsia" w:hAnsi="宋体"/>
          <w:color w:val="auto"/>
          <w:szCs w:val="21"/>
        </w:rPr>
        <w:t>投标人对同一项目多个标段进行投标的，应分别下载所投标段的招标文件，按标段制作电子投标文件，并</w:t>
      </w:r>
      <w:r>
        <w:rPr>
          <w:rFonts w:hAnsi="宋体"/>
          <w:color w:val="auto"/>
          <w:szCs w:val="21"/>
        </w:rPr>
        <w:t>按招标文件要求在相应位置加盖</w:t>
      </w:r>
      <w:r>
        <w:rPr>
          <w:rFonts w:hint="eastAsia" w:hAnsi="宋体"/>
          <w:color w:val="auto"/>
          <w:szCs w:val="21"/>
        </w:rPr>
        <w:t>投标人</w:t>
      </w:r>
      <w:r>
        <w:rPr>
          <w:rFonts w:hAnsi="宋体"/>
          <w:color w:val="auto"/>
          <w:szCs w:val="21"/>
        </w:rPr>
        <w:t>电子印章</w:t>
      </w:r>
      <w:r>
        <w:rPr>
          <w:rFonts w:hint="eastAsia" w:hAnsi="宋体"/>
          <w:color w:val="auto"/>
          <w:szCs w:val="21"/>
        </w:rPr>
        <w:t>和法人电子印章。</w:t>
      </w:r>
    </w:p>
    <w:p>
      <w:pPr>
        <w:tabs>
          <w:tab w:val="left" w:pos="7095"/>
        </w:tabs>
        <w:spacing w:line="360" w:lineRule="auto"/>
        <w:ind w:left="105" w:leftChars="50" w:firstLine="315" w:firstLineChars="150"/>
        <w:contextualSpacing/>
        <w:rPr>
          <w:rFonts w:hAnsi="宋体"/>
          <w:color w:val="auto"/>
          <w:szCs w:val="21"/>
        </w:rPr>
      </w:pPr>
      <w:r>
        <w:rPr>
          <w:rFonts w:hint="eastAsia" w:hAnsi="宋体"/>
          <w:color w:val="auto"/>
          <w:szCs w:val="21"/>
        </w:rPr>
        <w:t>一个标段对应生成一个文件夹（xxxx项目xx标段）,其中后缀名为“</w:t>
      </w:r>
      <w:r>
        <w:rPr>
          <w:rFonts w:hAnsi="宋体"/>
          <w:color w:val="auto"/>
          <w:szCs w:val="21"/>
        </w:rPr>
        <w:t>.file</w:t>
      </w:r>
      <w:r>
        <w:rPr>
          <w:rFonts w:hint="eastAsia" w:hAnsi="宋体"/>
          <w:color w:val="auto"/>
          <w:szCs w:val="21"/>
        </w:rPr>
        <w:t>”的文件用于电子投标使用。</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4</w:t>
      </w:r>
      <w:r>
        <w:rPr>
          <w:rFonts w:hint="eastAsia" w:asciiTheme="minorEastAsia" w:hAnsiTheme="minorEastAsia"/>
          <w:b/>
          <w:color w:val="auto"/>
          <w:szCs w:val="21"/>
        </w:rPr>
        <w:t>.加密</w:t>
      </w:r>
      <w:r>
        <w:rPr>
          <w:rFonts w:hint="eastAsia" w:hAnsi="宋体"/>
          <w:b/>
          <w:color w:val="auto"/>
          <w:szCs w:val="21"/>
        </w:rPr>
        <w:t>电子投标文件的提交</w:t>
      </w:r>
    </w:p>
    <w:p>
      <w:pPr>
        <w:tabs>
          <w:tab w:val="left" w:pos="7095"/>
        </w:tabs>
        <w:spacing w:line="360" w:lineRule="auto"/>
        <w:contextualSpacing/>
        <w:rPr>
          <w:rFonts w:hAnsi="宋体"/>
          <w:color w:val="auto"/>
          <w:szCs w:val="21"/>
        </w:rPr>
      </w:pPr>
      <w:r>
        <w:rPr>
          <w:rFonts w:hint="eastAsia" w:hAnsi="宋体"/>
          <w:color w:val="auto"/>
          <w:szCs w:val="21"/>
        </w:rPr>
        <w:t xml:space="preserve">    </w:t>
      </w:r>
      <w:r>
        <w:rPr>
          <w:rFonts w:asciiTheme="minorEastAsia" w:hAnsiTheme="minorEastAsia"/>
          <w:color w:val="auto"/>
          <w:szCs w:val="21"/>
        </w:rPr>
        <w:t>4</w:t>
      </w:r>
      <w:r>
        <w:rPr>
          <w:rFonts w:hint="eastAsia" w:asciiTheme="minorEastAsia" w:hAnsiTheme="minorEastAsia"/>
          <w:color w:val="auto"/>
          <w:szCs w:val="21"/>
        </w:rPr>
        <w:t>.1加密</w:t>
      </w:r>
      <w:r>
        <w:rPr>
          <w:rFonts w:hint="eastAsia" w:hAnsi="宋体"/>
          <w:color w:val="auto"/>
          <w:szCs w:val="21"/>
        </w:rPr>
        <w:t>电子投标文件应按规定在投标截止时间（开标时间）之前成功提交至《全国公共资源交易平台(河南省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8"/>
          <w:rFonts w:hAnsi="宋体"/>
          <w:color w:val="auto"/>
          <w:szCs w:val="21"/>
        </w:rPr>
        <w:t>http://221.14.6.70:8088/ggzy/</w:t>
      </w:r>
      <w:r>
        <w:rPr>
          <w:rStyle w:val="28"/>
          <w:rFonts w:hAnsi="宋体"/>
          <w:color w:val="auto"/>
          <w:szCs w:val="21"/>
        </w:rPr>
        <w:fldChar w:fldCharType="end"/>
      </w:r>
      <w:r>
        <w:rPr>
          <w:rFonts w:hint="eastAsia" w:hAnsi="宋体"/>
          <w:color w:val="auto"/>
          <w:szCs w:val="21"/>
        </w:rPr>
        <w:t>）。</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投标人应充分考虑并预留技术处理和上传数据所需时间。</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 xml:space="preserve">2 </w:t>
      </w:r>
      <w:r>
        <w:rPr>
          <w:rFonts w:hint="eastAsia" w:hAnsi="宋体"/>
          <w:color w:val="auto"/>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w:t>
      </w:r>
      <w:r>
        <w:rPr>
          <w:rFonts w:asciiTheme="minorEastAsia" w:hAnsiTheme="minorEastAsia"/>
          <w:color w:val="auto"/>
          <w:szCs w:val="21"/>
        </w:rPr>
        <w:t>3</w:t>
      </w:r>
      <w:r>
        <w:rPr>
          <w:rFonts w:hint="eastAsia" w:asciiTheme="minorEastAsia" w:hAnsiTheme="minorEastAsia"/>
          <w:color w:val="auto"/>
          <w:szCs w:val="21"/>
        </w:rPr>
        <w:t xml:space="preserve"> 加密</w:t>
      </w:r>
      <w:r>
        <w:rPr>
          <w:rFonts w:hint="eastAsia" w:hAnsi="宋体"/>
          <w:color w:val="auto"/>
          <w:szCs w:val="21"/>
        </w:rPr>
        <w:t>电子投标文件成功提交后，《全国公共资源交易平台(河南省</w:t>
      </w:r>
      <w:r>
        <w:rPr>
          <w:rFonts w:hint="eastAsia" w:ascii="MS Mincho" w:hAnsi="MS Mincho" w:cs="MS Mincho"/>
          <w:color w:val="auto"/>
          <w:szCs w:val="21"/>
        </w:rPr>
        <w:t>.</w:t>
      </w:r>
      <w:r>
        <w:rPr>
          <w:rFonts w:hint="eastAsia" w:ascii="宋体" w:hAnsi="宋体" w:eastAsia="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8"/>
          <w:rFonts w:hAnsi="宋体"/>
          <w:color w:val="auto"/>
          <w:szCs w:val="21"/>
        </w:rPr>
        <w:t>http://221.14.6.70:8088/ggzy/</w:t>
      </w:r>
      <w:r>
        <w:rPr>
          <w:rStyle w:val="28"/>
          <w:rFonts w:hAnsi="宋体"/>
          <w:color w:val="auto"/>
          <w:szCs w:val="21"/>
        </w:rPr>
        <w:fldChar w:fldCharType="end"/>
      </w:r>
      <w:r>
        <w:rPr>
          <w:rFonts w:hint="eastAsia" w:hAnsi="宋体"/>
          <w:color w:val="auto"/>
          <w:szCs w:val="21"/>
        </w:rPr>
        <w:t>）</w:t>
      </w:r>
      <w:r>
        <w:rPr>
          <w:rFonts w:hint="eastAsia" w:cs="仿宋_GB2312" w:asciiTheme="minorEastAsia" w:hAnsiTheme="minorEastAsia"/>
          <w:color w:val="auto"/>
          <w:szCs w:val="21"/>
        </w:rPr>
        <w:t>生成“投标文件提交回执单”。</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5.远程不见面开标（</w:t>
      </w:r>
      <w:r>
        <w:rPr>
          <w:rFonts w:hint="eastAsia" w:hAnsi="宋体"/>
          <w:b/>
          <w:color w:val="auto"/>
          <w:szCs w:val="21"/>
        </w:rPr>
        <w:t>电子投标文件的解密</w:t>
      </w:r>
      <w:r>
        <w:rPr>
          <w:rFonts w:hint="eastAsia" w:asciiTheme="minorEastAsia" w:hAnsiTheme="minorEastAsia"/>
          <w:b/>
          <w:color w:val="auto"/>
          <w:szCs w:val="21"/>
        </w:rPr>
        <w:t>）</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5</w:t>
      </w:r>
      <w:r>
        <w:rPr>
          <w:rFonts w:asciiTheme="minorEastAsia" w:hAnsiTheme="minorEastAsia"/>
          <w:color w:val="auto"/>
          <w:szCs w:val="21"/>
        </w:rPr>
        <w:t>.</w:t>
      </w:r>
      <w:r>
        <w:rPr>
          <w:rFonts w:hint="eastAsia" w:asciiTheme="minorEastAsia" w:hAnsiTheme="minorEastAsia"/>
          <w:color w:val="auto"/>
          <w:szCs w:val="21"/>
        </w:rPr>
        <w:t xml:space="preserve">1 </w:t>
      </w:r>
      <w:r>
        <w:rPr>
          <w:rFonts w:hint="eastAsia" w:hAnsi="宋体"/>
          <w:color w:val="auto"/>
          <w:szCs w:val="21"/>
        </w:rPr>
        <w:t>投标人应熟悉《许昌市不见面操作手册》，并提前设置不见面开标浏览器（设置流程详见《许昌市不见面操作手册》）。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 xml:space="preserve">5.2 </w:t>
      </w:r>
      <w:r>
        <w:rPr>
          <w:rFonts w:hint="eastAsia" w:hAnsi="宋体"/>
          <w:color w:val="auto"/>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5.</w:t>
      </w:r>
      <w:r>
        <w:rPr>
          <w:rFonts w:asciiTheme="minorEastAsia" w:hAnsiTheme="minorEastAsia"/>
          <w:color w:val="auto"/>
          <w:szCs w:val="21"/>
        </w:rPr>
        <w:t>3</w:t>
      </w:r>
      <w:r>
        <w:rPr>
          <w:rFonts w:hint="eastAsia" w:cs="仿宋_GB2312" w:asciiTheme="minorEastAsia" w:hAnsiTheme="minorEastAsia"/>
          <w:color w:val="auto"/>
          <w:szCs w:val="21"/>
        </w:rPr>
        <w:t>开标时间前投标人应登录本项目不见面开标大厅，按照招标文件确定的开标时间准时参加网上开标。</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5.4</w:t>
      </w:r>
      <w:r>
        <w:rPr>
          <w:rFonts w:hint="eastAsia" w:hAnsi="宋体"/>
          <w:color w:val="auto"/>
          <w:szCs w:val="21"/>
        </w:rPr>
        <w:t>投标人对开标过程和开标记录如有疑义，可在本项目不见面开标大厅“文字互动”对话框或“新增质疑”处在线提出询问。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auto"/>
          <w:szCs w:val="21"/>
        </w:rPr>
      </w:pPr>
      <w:r>
        <w:rPr>
          <w:rFonts w:hint="eastAsia" w:asciiTheme="minorEastAsia" w:hAnsiTheme="minorEastAsia"/>
          <w:color w:val="auto"/>
          <w:szCs w:val="21"/>
        </w:rPr>
        <w:t>5.5根据采购代理机构在“文字互动”对话框的通知，投标人选择功能栏“解密环节”按钮进行电子投标文件解密（投标人解密应自采购代理机构点击“开标”按钮后60分钟内完成）。投标人未解密或</w:t>
      </w:r>
      <w:r>
        <w:rPr>
          <w:rFonts w:hint="eastAsia" w:cs="宋体" w:asciiTheme="minorEastAsia" w:hAnsiTheme="minorEastAsia"/>
          <w:color w:val="auto"/>
          <w:kern w:val="0"/>
          <w:szCs w:val="21"/>
        </w:rPr>
        <w:t>因投标人原因解密失败的，其投标将被拒绝。</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5.6项目远程</w:t>
      </w:r>
      <w:r>
        <w:rPr>
          <w:rFonts w:hint="eastAsia" w:hAnsi="宋体"/>
          <w:color w:val="auto"/>
          <w:szCs w:val="21"/>
        </w:rPr>
        <w:t>不见面开标活动结束时，投标人应在《开标记录表》上进行电子签章。投标人未签章的，视同认可开标结果。</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6.</w:t>
      </w:r>
      <w:r>
        <w:rPr>
          <w:rFonts w:hint="eastAsia" w:hAnsi="宋体"/>
          <w:b/>
          <w:color w:val="auto"/>
          <w:szCs w:val="21"/>
        </w:rPr>
        <w:t>评标依据</w:t>
      </w:r>
    </w:p>
    <w:p>
      <w:pPr>
        <w:tabs>
          <w:tab w:val="left" w:pos="7095"/>
        </w:tabs>
        <w:spacing w:line="360" w:lineRule="auto"/>
        <w:ind w:firstLine="420" w:firstLineChars="200"/>
        <w:contextualSpacing/>
        <w:rPr>
          <w:rFonts w:hint="eastAsia" w:asciiTheme="minorEastAsia" w:hAnsiTheme="minorEastAsia"/>
          <w:color w:val="auto"/>
          <w:szCs w:val="21"/>
        </w:rPr>
      </w:pPr>
      <w:r>
        <w:rPr>
          <w:rFonts w:hint="eastAsia" w:asciiTheme="minorEastAsia" w:hAnsiTheme="minorEastAsia"/>
          <w:color w:val="auto"/>
          <w:szCs w:val="21"/>
        </w:rPr>
        <w:t>6.1全流程电子化交易（不见面开标）项目，评标委员会以成功上传、解密的电子投标文件为依据评审。</w:t>
      </w:r>
    </w:p>
    <w:p>
      <w:pPr>
        <w:tabs>
          <w:tab w:val="left" w:pos="7095"/>
        </w:tabs>
        <w:spacing w:line="360" w:lineRule="auto"/>
        <w:ind w:firstLine="420" w:firstLineChars="200"/>
        <w:contextualSpacing/>
        <w:rPr>
          <w:rFonts w:hint="eastAsia" w:asciiTheme="minorEastAsia" w:hAnsiTheme="minorEastAsia"/>
          <w:color w:val="auto"/>
          <w:szCs w:val="21"/>
        </w:rPr>
      </w:pPr>
      <w:r>
        <w:rPr>
          <w:rFonts w:hint="eastAsia" w:asciiTheme="minorEastAsia" w:hAnsiTheme="minorEastAsia"/>
          <w:color w:val="auto"/>
          <w:szCs w:val="21"/>
        </w:rPr>
        <w:t>6.2 评标期间，投标人应保持通讯手机畅通。评标委员会如要求投标人作出澄清、说明或者补正等，投标人应在评标委员会要求的评标期间合理的时间内通过电子邮件形式提供。</w:t>
      </w:r>
    </w:p>
    <w:p>
      <w:pPr>
        <w:tabs>
          <w:tab w:val="left" w:pos="7095"/>
        </w:tabs>
        <w:spacing w:line="360" w:lineRule="auto"/>
        <w:ind w:firstLine="420" w:firstLineChars="200"/>
        <w:contextualSpacing/>
        <w:rPr>
          <w:rFonts w:hint="eastAsia" w:asciiTheme="minorEastAsia" w:hAnsiTheme="minorEastAsia"/>
          <w:color w:val="auto"/>
          <w:szCs w:val="21"/>
        </w:rPr>
      </w:pPr>
      <w:r>
        <w:rPr>
          <w:rFonts w:hint="eastAsia" w:asciiTheme="minorEastAsia" w:hAnsiTheme="minorEastAsia"/>
          <w:color w:val="auto"/>
          <w:szCs w:val="21"/>
        </w:rPr>
        <w:t>投标人通过电子邮件提供的书面说明或相关证明材料应加盖公章，或者由法定代表人或其授权的代表签字。</w:t>
      </w: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一、采购清单</w:t>
      </w:r>
    </w:p>
    <w:p>
      <w:pPr>
        <w:widowControl/>
        <w:shd w:val="clear" w:color="auto" w:fill="FFFFFF"/>
        <w:spacing w:line="360" w:lineRule="auto"/>
        <w:ind w:firstLine="600"/>
        <w:jc w:val="left"/>
        <w:rPr>
          <w:rFonts w:hint="eastAsia" w:asciiTheme="minorEastAsia" w:hAnsiTheme="minorEastAsia" w:eastAsiaTheme="minorEastAsia" w:cstheme="minorEastAsia"/>
          <w:b/>
          <w:bCs/>
          <w:i w:val="0"/>
          <w:color w:val="000000"/>
          <w:kern w:val="0"/>
          <w:sz w:val="21"/>
          <w:szCs w:val="21"/>
          <w:u w:val="none"/>
          <w:shd w:val="clear" w:color="auto" w:fill="FFFFFF"/>
          <w:lang w:val="en-US" w:eastAsia="zh-CN" w:bidi="ar"/>
        </w:rPr>
      </w:pPr>
      <w:r>
        <w:rPr>
          <w:rFonts w:hint="eastAsia" w:asciiTheme="minorEastAsia" w:hAnsiTheme="minorEastAsia" w:eastAsiaTheme="minorEastAsia" w:cstheme="minorEastAsia"/>
          <w:b w:val="0"/>
          <w:i w:val="0"/>
          <w:color w:val="000000"/>
          <w:kern w:val="0"/>
          <w:sz w:val="21"/>
          <w:szCs w:val="21"/>
          <w:u w:val="none"/>
          <w:shd w:val="clear" w:color="auto" w:fill="FFFFFF"/>
          <w:lang w:val="en-US" w:eastAsia="zh-CN" w:bidi="ar"/>
        </w:rPr>
        <w:t>A包：23个县级环境水质自动站运行管理服务</w:t>
      </w:r>
    </w:p>
    <w:tbl>
      <w:tblPr>
        <w:tblStyle w:val="24"/>
        <w:tblW w:w="8737"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2995"/>
        <w:gridCol w:w="2067"/>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94"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序号</w:t>
            </w:r>
          </w:p>
        </w:tc>
        <w:tc>
          <w:tcPr>
            <w:tcW w:w="2995"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项目</w:t>
            </w:r>
          </w:p>
        </w:tc>
        <w:tc>
          <w:tcPr>
            <w:tcW w:w="2067"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服务年限</w:t>
            </w:r>
          </w:p>
        </w:tc>
        <w:tc>
          <w:tcPr>
            <w:tcW w:w="2681"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994"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1</w:t>
            </w:r>
          </w:p>
        </w:tc>
        <w:tc>
          <w:tcPr>
            <w:tcW w:w="2995"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运维人员工资</w:t>
            </w:r>
          </w:p>
        </w:tc>
        <w:tc>
          <w:tcPr>
            <w:tcW w:w="2067"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lang w:val="en-US" w:eastAsia="zh-CN"/>
              </w:rPr>
              <w:t>1</w:t>
            </w:r>
            <w:r>
              <w:rPr>
                <w:rFonts w:hint="eastAsia" w:asciiTheme="minorEastAsia" w:hAnsiTheme="minorEastAsia" w:eastAsiaTheme="minorEastAsia" w:cstheme="minorEastAsia"/>
                <w:kern w:val="0"/>
                <w:sz w:val="21"/>
                <w:szCs w:val="21"/>
                <w:shd w:val="clear" w:color="auto" w:fill="FFFFFF"/>
              </w:rPr>
              <w:t>年</w:t>
            </w:r>
          </w:p>
        </w:tc>
        <w:tc>
          <w:tcPr>
            <w:tcW w:w="2681" w:type="dxa"/>
            <w:vMerge w:val="restart"/>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详见运维服务要求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94"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2</w:t>
            </w:r>
          </w:p>
        </w:tc>
        <w:tc>
          <w:tcPr>
            <w:tcW w:w="2995"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车辆使用费</w:t>
            </w:r>
          </w:p>
        </w:tc>
        <w:tc>
          <w:tcPr>
            <w:tcW w:w="2067"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lang w:val="en-US" w:eastAsia="zh-CN"/>
              </w:rPr>
              <w:t>1</w:t>
            </w:r>
            <w:r>
              <w:rPr>
                <w:rFonts w:hint="eastAsia" w:asciiTheme="minorEastAsia" w:hAnsiTheme="minorEastAsia" w:eastAsiaTheme="minorEastAsia" w:cstheme="minorEastAsia"/>
                <w:kern w:val="0"/>
                <w:sz w:val="21"/>
                <w:szCs w:val="21"/>
                <w:shd w:val="clear" w:color="auto" w:fill="FFFFFF"/>
              </w:rPr>
              <w:t>年</w:t>
            </w:r>
          </w:p>
        </w:tc>
        <w:tc>
          <w:tcPr>
            <w:tcW w:w="2681" w:type="dxa"/>
            <w:vMerge w:val="continue"/>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94"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3</w:t>
            </w:r>
          </w:p>
        </w:tc>
        <w:tc>
          <w:tcPr>
            <w:tcW w:w="2995"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实验室设备费</w:t>
            </w:r>
          </w:p>
        </w:tc>
        <w:tc>
          <w:tcPr>
            <w:tcW w:w="2067"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lang w:val="en-US" w:eastAsia="zh-CN"/>
              </w:rPr>
              <w:t>1</w:t>
            </w:r>
            <w:r>
              <w:rPr>
                <w:rFonts w:hint="eastAsia" w:asciiTheme="minorEastAsia" w:hAnsiTheme="minorEastAsia" w:eastAsiaTheme="minorEastAsia" w:cstheme="minorEastAsia"/>
                <w:kern w:val="0"/>
                <w:sz w:val="21"/>
                <w:szCs w:val="21"/>
                <w:shd w:val="clear" w:color="auto" w:fill="FFFFFF"/>
              </w:rPr>
              <w:t>年</w:t>
            </w:r>
          </w:p>
        </w:tc>
        <w:tc>
          <w:tcPr>
            <w:tcW w:w="2681" w:type="dxa"/>
            <w:vMerge w:val="continue"/>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94"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4</w:t>
            </w:r>
          </w:p>
        </w:tc>
        <w:tc>
          <w:tcPr>
            <w:tcW w:w="2995"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仪器备品备件费</w:t>
            </w:r>
          </w:p>
        </w:tc>
        <w:tc>
          <w:tcPr>
            <w:tcW w:w="2067"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lang w:val="en-US" w:eastAsia="zh-CN"/>
              </w:rPr>
              <w:t>1</w:t>
            </w:r>
            <w:r>
              <w:rPr>
                <w:rFonts w:hint="eastAsia" w:asciiTheme="minorEastAsia" w:hAnsiTheme="minorEastAsia" w:eastAsiaTheme="minorEastAsia" w:cstheme="minorEastAsia"/>
                <w:kern w:val="0"/>
                <w:sz w:val="21"/>
                <w:szCs w:val="21"/>
                <w:shd w:val="clear" w:color="auto" w:fill="FFFFFF"/>
              </w:rPr>
              <w:t>年</w:t>
            </w:r>
          </w:p>
        </w:tc>
        <w:tc>
          <w:tcPr>
            <w:tcW w:w="2681" w:type="dxa"/>
            <w:vMerge w:val="continue"/>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94"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5</w:t>
            </w:r>
          </w:p>
        </w:tc>
        <w:tc>
          <w:tcPr>
            <w:tcW w:w="2995"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网络费</w:t>
            </w:r>
          </w:p>
        </w:tc>
        <w:tc>
          <w:tcPr>
            <w:tcW w:w="2067"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lang w:val="en-US" w:eastAsia="zh-CN"/>
              </w:rPr>
              <w:t>1</w:t>
            </w:r>
            <w:r>
              <w:rPr>
                <w:rFonts w:hint="eastAsia" w:asciiTheme="minorEastAsia" w:hAnsiTheme="minorEastAsia" w:eastAsiaTheme="minorEastAsia" w:cstheme="minorEastAsia"/>
                <w:kern w:val="0"/>
                <w:sz w:val="21"/>
                <w:szCs w:val="21"/>
                <w:shd w:val="clear" w:color="auto" w:fill="FFFFFF"/>
              </w:rPr>
              <w:t>年</w:t>
            </w:r>
          </w:p>
        </w:tc>
        <w:tc>
          <w:tcPr>
            <w:tcW w:w="2681" w:type="dxa"/>
            <w:vMerge w:val="continue"/>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94"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6</w:t>
            </w:r>
          </w:p>
        </w:tc>
        <w:tc>
          <w:tcPr>
            <w:tcW w:w="2995"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水电费</w:t>
            </w:r>
          </w:p>
        </w:tc>
        <w:tc>
          <w:tcPr>
            <w:tcW w:w="2067"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lang w:val="en-US" w:eastAsia="zh-CN"/>
              </w:rPr>
              <w:t>1</w:t>
            </w:r>
            <w:r>
              <w:rPr>
                <w:rFonts w:hint="eastAsia" w:asciiTheme="minorEastAsia" w:hAnsiTheme="minorEastAsia" w:eastAsiaTheme="minorEastAsia" w:cstheme="minorEastAsia"/>
                <w:kern w:val="0"/>
                <w:sz w:val="21"/>
                <w:szCs w:val="21"/>
                <w:shd w:val="clear" w:color="auto" w:fill="FFFFFF"/>
              </w:rPr>
              <w:t>年</w:t>
            </w:r>
          </w:p>
        </w:tc>
        <w:tc>
          <w:tcPr>
            <w:tcW w:w="2681" w:type="dxa"/>
            <w:vMerge w:val="continue"/>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94"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7</w:t>
            </w:r>
          </w:p>
        </w:tc>
        <w:tc>
          <w:tcPr>
            <w:tcW w:w="2995"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试剂费及其他</w:t>
            </w:r>
          </w:p>
        </w:tc>
        <w:tc>
          <w:tcPr>
            <w:tcW w:w="2067" w:type="dxa"/>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lang w:val="en-US" w:eastAsia="zh-CN"/>
              </w:rPr>
              <w:t>1</w:t>
            </w:r>
            <w:r>
              <w:rPr>
                <w:rFonts w:hint="eastAsia" w:asciiTheme="minorEastAsia" w:hAnsiTheme="minorEastAsia" w:eastAsiaTheme="minorEastAsia" w:cstheme="minorEastAsia"/>
                <w:kern w:val="0"/>
                <w:sz w:val="21"/>
                <w:szCs w:val="21"/>
                <w:shd w:val="clear" w:color="auto" w:fill="FFFFFF"/>
              </w:rPr>
              <w:t>年</w:t>
            </w:r>
          </w:p>
        </w:tc>
        <w:tc>
          <w:tcPr>
            <w:tcW w:w="2681" w:type="dxa"/>
            <w:vMerge w:val="continue"/>
            <w:noWrap w:val="0"/>
            <w:vAlign w:val="center"/>
          </w:tcPr>
          <w:p>
            <w:pPr>
              <w:pStyle w:val="15"/>
              <w:spacing w:line="360" w:lineRule="auto"/>
              <w:ind w:left="0" w:leftChars="0"/>
              <w:jc w:val="center"/>
              <w:rPr>
                <w:rFonts w:hint="eastAsia" w:asciiTheme="minorEastAsia" w:hAnsiTheme="minorEastAsia" w:eastAsiaTheme="minorEastAsia" w:cstheme="minorEastAsia"/>
                <w:kern w:val="0"/>
                <w:sz w:val="21"/>
                <w:szCs w:val="21"/>
                <w:shd w:val="clear" w:color="auto" w:fill="FFFFFF"/>
              </w:rPr>
            </w:pPr>
          </w:p>
        </w:tc>
      </w:tr>
    </w:tbl>
    <w:p>
      <w:pPr>
        <w:spacing w:line="360" w:lineRule="auto"/>
        <w:jc w:val="left"/>
        <w:rPr>
          <w:rFonts w:hint="eastAsia" w:asciiTheme="minorEastAsia" w:hAnsiTheme="minorEastAsia" w:eastAsiaTheme="minorEastAsia" w:cstheme="minorEastAsia"/>
          <w:b/>
          <w:kern w:val="0"/>
          <w:sz w:val="21"/>
          <w:szCs w:val="21"/>
          <w:shd w:val="clear" w:color="auto" w:fill="FFFFFF"/>
        </w:rPr>
      </w:pPr>
    </w:p>
    <w:tbl>
      <w:tblPr>
        <w:tblStyle w:val="23"/>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201"/>
        <w:gridCol w:w="1134"/>
        <w:gridCol w:w="1417"/>
        <w:gridCol w:w="3485"/>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序号</w:t>
            </w:r>
          </w:p>
        </w:tc>
        <w:tc>
          <w:tcPr>
            <w:tcW w:w="1201" w:type="dxa"/>
            <w:noWrap w:val="0"/>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所在县</w:t>
            </w:r>
            <w:r>
              <w:rPr>
                <w:rFonts w:hint="eastAsia" w:asciiTheme="minorEastAsia" w:hAnsiTheme="minorEastAsia" w:eastAsiaTheme="minorEastAsia" w:cstheme="minorEastAsia"/>
                <w:b/>
                <w:bCs/>
                <w:color w:val="000000"/>
                <w:kern w:val="0"/>
                <w:sz w:val="21"/>
                <w:szCs w:val="21"/>
              </w:rPr>
              <w:br w:type="textWrapping"/>
            </w:r>
            <w:r>
              <w:rPr>
                <w:rFonts w:hint="eastAsia" w:asciiTheme="minorEastAsia" w:hAnsiTheme="minorEastAsia" w:eastAsiaTheme="minorEastAsia" w:cstheme="minorEastAsia"/>
                <w:b/>
                <w:bCs/>
                <w:color w:val="000000"/>
                <w:kern w:val="0"/>
                <w:sz w:val="21"/>
                <w:szCs w:val="21"/>
              </w:rPr>
              <w:t>（市、区）</w:t>
            </w:r>
          </w:p>
        </w:tc>
        <w:tc>
          <w:tcPr>
            <w:tcW w:w="1134" w:type="dxa"/>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河流名称</w:t>
            </w:r>
          </w:p>
        </w:tc>
        <w:tc>
          <w:tcPr>
            <w:tcW w:w="1417" w:type="dxa"/>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断面名称</w:t>
            </w:r>
          </w:p>
        </w:tc>
        <w:tc>
          <w:tcPr>
            <w:tcW w:w="3485" w:type="dxa"/>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主要设备清单</w:t>
            </w:r>
          </w:p>
        </w:tc>
        <w:tc>
          <w:tcPr>
            <w:tcW w:w="771" w:type="dxa"/>
            <w:noWrap/>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服务</w:t>
            </w:r>
          </w:p>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长葛市</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清潩河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禄马桥</w:t>
            </w:r>
          </w:p>
        </w:tc>
        <w:tc>
          <w:tcPr>
            <w:tcW w:w="3485" w:type="dxa"/>
            <w:noWrap w:val="0"/>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氨氮、高锰酸盐指数、化学需氧量、总氮/总磷、五参数、留样器、质控仪、系统集成。</w:t>
            </w:r>
          </w:p>
        </w:tc>
        <w:tc>
          <w:tcPr>
            <w:tcW w:w="771" w:type="dxa"/>
            <w:vMerge w:val="restart"/>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w:t>
            </w:r>
            <w:r>
              <w:rPr>
                <w:rFonts w:hint="eastAsia" w:asciiTheme="minorEastAsia" w:hAnsiTheme="minorEastAsia" w:eastAsiaTheme="minorEastAsia" w:cstheme="minorEastAsia"/>
                <w:color w:val="000000"/>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长葛市</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饮马河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关庄</w:t>
            </w:r>
          </w:p>
        </w:tc>
        <w:tc>
          <w:tcPr>
            <w:tcW w:w="3485" w:type="dxa"/>
            <w:vMerge w:val="restart"/>
            <w:noWrap w:val="0"/>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氨氮、高锰酸盐指数、化学需氧量、总氮/总磷、五参数、留样器、质控仪、系统集成。</w:t>
            </w: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魏都区</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清潩河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橡胶一坝</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长葛市</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双洎河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董村镇张湾村</w:t>
            </w:r>
          </w:p>
        </w:tc>
        <w:tc>
          <w:tcPr>
            <w:tcW w:w="3485" w:type="dxa"/>
            <w:vMerge w:val="restart"/>
            <w:noWrap w:val="0"/>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氨氮、化学需氧量、总氮/总磷、五参数、留样器、质控仪、流速流量、系统集成。</w:t>
            </w: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长葛市</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清潩河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增福庙</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鄢陵县</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大浪沟</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马栏崔马桥</w:t>
            </w:r>
          </w:p>
        </w:tc>
        <w:tc>
          <w:tcPr>
            <w:tcW w:w="3485" w:type="dxa"/>
            <w:vMerge w:val="restart"/>
            <w:noWrap w:val="0"/>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氨氮、化学需氧量、总氮/总磷、五参数、留样器、质控仪、流速流量、系统集成。</w:t>
            </w: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长葛市</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小洪河</w:t>
            </w:r>
          </w:p>
        </w:tc>
        <w:tc>
          <w:tcPr>
            <w:tcW w:w="1417" w:type="dxa"/>
            <w:noWrap w:val="0"/>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京广铁路桥</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8</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襄城县</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颍河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化行闸</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9</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建安区</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小洪河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兰南高速桥</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鄢陵县</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清流河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南坞周桥闸</w:t>
            </w:r>
          </w:p>
        </w:tc>
        <w:tc>
          <w:tcPr>
            <w:tcW w:w="3485" w:type="dxa"/>
            <w:vMerge w:val="restart"/>
            <w:noWrap w:val="0"/>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氨氮、高锰酸盐指数、化学需氧量、总氮、总磷、五参数、留样器、质控仪、系统集成。</w:t>
            </w: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11</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禹州市</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颍河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化庄桥</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12</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襄城县</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颍汝干渠</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黄龙池闸</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13</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襄城县</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洋湖渠</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湛北姚庄村</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建安区</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清潩河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滹沱路桥</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魏都区</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运粮河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许由路桥</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16</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魏都区</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霸陵河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许由路桥</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17</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经开区</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霸陵河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赵河村桥</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18</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东城区</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饮马河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新兴路桥</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19</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东城区</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小洪河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地方铁路桥</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示范区</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饮马河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永昌路桥</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21</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示范区</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小洪河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高速公路桥</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22</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建安区</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小泥河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许昌石桥</w:t>
            </w:r>
          </w:p>
        </w:tc>
        <w:tc>
          <w:tcPr>
            <w:tcW w:w="3485" w:type="dxa"/>
            <w:vMerge w:val="restart"/>
            <w:noWrap w:val="0"/>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氨氮、化学需氧量、总氮/总磷、系统集成。</w:t>
            </w: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32"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23</w:t>
            </w:r>
          </w:p>
        </w:tc>
        <w:tc>
          <w:tcPr>
            <w:tcW w:w="1201"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东城区</w:t>
            </w:r>
          </w:p>
        </w:tc>
        <w:tc>
          <w:tcPr>
            <w:tcW w:w="1134"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清潩河</w:t>
            </w:r>
          </w:p>
        </w:tc>
        <w:tc>
          <w:tcPr>
            <w:tcW w:w="1417" w:type="dxa"/>
            <w:noWrap/>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许昌107国道桥</w:t>
            </w:r>
          </w:p>
        </w:tc>
        <w:tc>
          <w:tcPr>
            <w:tcW w:w="3485"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c>
          <w:tcPr>
            <w:tcW w:w="771" w:type="dxa"/>
            <w:vMerge w:val="continue"/>
            <w:noWrap w:val="0"/>
            <w:vAlign w:val="center"/>
          </w:tcPr>
          <w:p>
            <w:pPr>
              <w:widowControl/>
              <w:jc w:val="left"/>
              <w:rPr>
                <w:rFonts w:hint="eastAsia" w:asciiTheme="minorEastAsia" w:hAnsiTheme="minorEastAsia" w:eastAsiaTheme="minorEastAsia" w:cstheme="minorEastAsia"/>
                <w:color w:val="000000"/>
                <w:kern w:val="0"/>
                <w:sz w:val="21"/>
                <w:szCs w:val="21"/>
              </w:rPr>
            </w:pPr>
          </w:p>
        </w:tc>
      </w:tr>
    </w:tbl>
    <w:p>
      <w:pPr>
        <w:pStyle w:val="2"/>
        <w:numPr>
          <w:ilvl w:val="0"/>
          <w:numId w:val="0"/>
        </w:numPr>
        <w:spacing w:line="360" w:lineRule="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val="0"/>
          <w:bCs w:val="0"/>
          <w:kern w:val="2"/>
          <w:sz w:val="21"/>
          <w:szCs w:val="21"/>
          <w:lang w:val="en-US" w:eastAsia="zh-CN"/>
        </w:rPr>
        <w:t>1、</w:t>
      </w:r>
      <w:r>
        <w:rPr>
          <w:rFonts w:hint="eastAsia" w:asciiTheme="minorEastAsia" w:hAnsiTheme="minorEastAsia" w:eastAsiaTheme="minorEastAsia" w:cstheme="minorEastAsia"/>
          <w:kern w:val="0"/>
          <w:sz w:val="21"/>
          <w:szCs w:val="21"/>
        </w:rPr>
        <w:t>运维服务总体要求：</w:t>
      </w:r>
    </w:p>
    <w:p>
      <w:pPr>
        <w:spacing w:line="360" w:lineRule="auto"/>
        <w:ind w:firstLine="420" w:firstLineChars="200"/>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val="en-US" w:eastAsia="zh-CN"/>
        </w:rPr>
        <w:t>1</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kern w:val="0"/>
          <w:sz w:val="21"/>
          <w:szCs w:val="21"/>
        </w:rPr>
        <w:t>运维单位应提供详细的运维管理服务方案并提供完整的自动监测运维人员管理方案，提出解决稳定人员队伍的措施。根据《河南省地表水环境质量自动监测站运行管理办法》中规定，</w:t>
      </w:r>
      <w:r>
        <w:rPr>
          <w:rFonts w:hint="eastAsia" w:asciiTheme="minorEastAsia" w:hAnsiTheme="minorEastAsia" w:eastAsiaTheme="minorEastAsia" w:cstheme="minorEastAsia"/>
          <w:bCs/>
          <w:sz w:val="21"/>
          <w:szCs w:val="21"/>
        </w:rPr>
        <w:t>运维单位</w:t>
      </w:r>
      <w:r>
        <w:rPr>
          <w:rFonts w:hint="eastAsia" w:asciiTheme="minorEastAsia" w:hAnsiTheme="minorEastAsia" w:eastAsiaTheme="minorEastAsia" w:cstheme="minorEastAsia"/>
          <w:bCs/>
          <w:kern w:val="0"/>
          <w:sz w:val="21"/>
          <w:szCs w:val="21"/>
        </w:rPr>
        <w:t>所配备的运维人员需持有环保部门颁发的地表水环境自动监测系统运维上岗证。</w:t>
      </w:r>
    </w:p>
    <w:p>
      <w:pPr>
        <w:spacing w:line="360" w:lineRule="auto"/>
        <w:ind w:firstLine="420" w:firstLineChars="200"/>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val="en-US" w:eastAsia="zh-CN"/>
        </w:rPr>
        <w:t>2</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kern w:val="0"/>
          <w:sz w:val="21"/>
          <w:szCs w:val="21"/>
        </w:rPr>
        <w:t>运维单位应</w:t>
      </w:r>
      <w:r>
        <w:rPr>
          <w:rFonts w:hint="eastAsia" w:asciiTheme="minorEastAsia" w:hAnsiTheme="minorEastAsia" w:eastAsiaTheme="minorEastAsia" w:cstheme="minorEastAsia"/>
          <w:bCs/>
          <w:kern w:val="0"/>
          <w:sz w:val="21"/>
          <w:szCs w:val="21"/>
          <w:lang w:val="en-US" w:eastAsia="zh-CN"/>
        </w:rPr>
        <w:t>成立具备项目服务能力的组织机构，</w:t>
      </w:r>
      <w:r>
        <w:rPr>
          <w:rFonts w:hint="eastAsia" w:asciiTheme="minorEastAsia" w:hAnsiTheme="minorEastAsia" w:eastAsiaTheme="minorEastAsia" w:cstheme="minorEastAsia"/>
          <w:bCs/>
          <w:kern w:val="0"/>
          <w:sz w:val="21"/>
          <w:szCs w:val="21"/>
        </w:rPr>
        <w:t>负责本项目的整体运行，并保证充足备品备件</w:t>
      </w:r>
      <w:r>
        <w:rPr>
          <w:rFonts w:hint="eastAsia" w:asciiTheme="minorEastAsia" w:hAnsiTheme="minorEastAsia" w:eastAsiaTheme="minorEastAsia" w:cstheme="minorEastAsia"/>
          <w:bCs/>
          <w:kern w:val="0"/>
          <w:sz w:val="21"/>
          <w:szCs w:val="21"/>
          <w:lang w:val="en-US" w:eastAsia="zh-CN"/>
        </w:rPr>
        <w:t>等必要设备</w:t>
      </w:r>
      <w:r>
        <w:rPr>
          <w:rFonts w:hint="eastAsia" w:asciiTheme="minorEastAsia" w:hAnsiTheme="minorEastAsia" w:eastAsiaTheme="minorEastAsia" w:cstheme="minorEastAsia"/>
          <w:bCs/>
          <w:kern w:val="0"/>
          <w:sz w:val="21"/>
          <w:szCs w:val="21"/>
        </w:rPr>
        <w:t>，须在许昌地区配备水质自动站备机1套。</w:t>
      </w:r>
    </w:p>
    <w:p>
      <w:pPr>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kern w:val="0"/>
          <w:sz w:val="21"/>
          <w:szCs w:val="21"/>
          <w:highlight w:val="none"/>
        </w:rPr>
        <w:t>（</w:t>
      </w:r>
      <w:r>
        <w:rPr>
          <w:rFonts w:hint="eastAsia" w:asciiTheme="minorEastAsia" w:hAnsiTheme="minorEastAsia" w:eastAsiaTheme="minorEastAsia" w:cstheme="minorEastAsia"/>
          <w:bCs/>
          <w:color w:val="auto"/>
          <w:kern w:val="0"/>
          <w:sz w:val="21"/>
          <w:szCs w:val="21"/>
          <w:highlight w:val="none"/>
          <w:lang w:val="en-US" w:eastAsia="zh-CN"/>
        </w:rPr>
        <w:t>3</w:t>
      </w:r>
      <w:r>
        <w:rPr>
          <w:rFonts w:hint="eastAsia" w:asciiTheme="minorEastAsia" w:hAnsiTheme="minorEastAsia" w:eastAsiaTheme="minorEastAsia" w:cstheme="minorEastAsia"/>
          <w:bCs/>
          <w:color w:val="auto"/>
          <w:kern w:val="0"/>
          <w:sz w:val="21"/>
          <w:szCs w:val="21"/>
          <w:highlight w:val="none"/>
        </w:rPr>
        <w:t>）按照</w:t>
      </w:r>
      <w:r>
        <w:rPr>
          <w:rFonts w:hint="eastAsia" w:asciiTheme="minorEastAsia" w:hAnsiTheme="minorEastAsia" w:eastAsiaTheme="minorEastAsia" w:cstheme="minorEastAsia"/>
          <w:bCs/>
          <w:color w:val="auto"/>
          <w:kern w:val="0"/>
          <w:sz w:val="21"/>
          <w:szCs w:val="21"/>
          <w:highlight w:val="none"/>
          <w:lang w:val="en-US" w:eastAsia="zh-CN"/>
        </w:rPr>
        <w:t>河南省环保厅</w:t>
      </w:r>
      <w:r>
        <w:rPr>
          <w:rFonts w:hint="eastAsia" w:asciiTheme="minorEastAsia" w:hAnsiTheme="minorEastAsia" w:eastAsiaTheme="minorEastAsia" w:cstheme="minorEastAsia"/>
          <w:bCs/>
          <w:color w:val="auto"/>
          <w:kern w:val="0"/>
          <w:sz w:val="21"/>
          <w:szCs w:val="21"/>
          <w:highlight w:val="none"/>
          <w:lang w:eastAsia="zh-CN"/>
        </w:rPr>
        <w:t>《</w:t>
      </w:r>
      <w:r>
        <w:rPr>
          <w:rFonts w:hint="eastAsia" w:asciiTheme="minorEastAsia" w:hAnsiTheme="minorEastAsia" w:eastAsiaTheme="minorEastAsia" w:cstheme="minorEastAsia"/>
          <w:bCs/>
          <w:color w:val="auto"/>
          <w:kern w:val="0"/>
          <w:sz w:val="21"/>
          <w:szCs w:val="21"/>
          <w:highlight w:val="none"/>
          <w:lang w:val="en-US" w:eastAsia="zh-CN"/>
        </w:rPr>
        <w:t>关于印发河南省地表水环境质量自动监测站运行管理办法</w:t>
      </w:r>
      <w:r>
        <w:rPr>
          <w:rFonts w:hint="eastAsia" w:asciiTheme="minorEastAsia" w:hAnsiTheme="minorEastAsia" w:eastAsiaTheme="minorEastAsia" w:cstheme="minorEastAsia"/>
          <w:bCs/>
          <w:color w:val="auto"/>
          <w:kern w:val="0"/>
          <w:sz w:val="21"/>
          <w:szCs w:val="21"/>
          <w:highlight w:val="none"/>
          <w:lang w:eastAsia="zh-CN"/>
        </w:rPr>
        <w:t>》（</w:t>
      </w:r>
      <w:r>
        <w:rPr>
          <w:rFonts w:hint="eastAsia" w:asciiTheme="minorEastAsia" w:hAnsiTheme="minorEastAsia" w:eastAsiaTheme="minorEastAsia" w:cstheme="minorEastAsia"/>
          <w:bCs/>
          <w:color w:val="auto"/>
          <w:kern w:val="0"/>
          <w:sz w:val="21"/>
          <w:szCs w:val="21"/>
          <w:highlight w:val="none"/>
          <w:lang w:val="en-US" w:eastAsia="zh-CN"/>
        </w:rPr>
        <w:t>豫环文[2015]285号</w:t>
      </w:r>
      <w:r>
        <w:rPr>
          <w:rFonts w:hint="eastAsia" w:asciiTheme="minorEastAsia" w:hAnsiTheme="minorEastAsia" w:eastAsiaTheme="minorEastAsia" w:cstheme="minorEastAsia"/>
          <w:bCs/>
          <w:color w:val="auto"/>
          <w:kern w:val="0"/>
          <w:sz w:val="21"/>
          <w:szCs w:val="21"/>
          <w:highlight w:val="none"/>
          <w:lang w:eastAsia="zh-CN"/>
        </w:rPr>
        <w:t>）</w:t>
      </w:r>
      <w:r>
        <w:rPr>
          <w:rFonts w:hint="eastAsia" w:asciiTheme="minorEastAsia" w:hAnsiTheme="minorEastAsia" w:eastAsiaTheme="minorEastAsia" w:cstheme="minorEastAsia"/>
          <w:bCs/>
          <w:color w:val="auto"/>
          <w:kern w:val="0"/>
          <w:sz w:val="21"/>
          <w:szCs w:val="21"/>
          <w:highlight w:val="none"/>
        </w:rPr>
        <w:t>要求，</w:t>
      </w:r>
      <w:r>
        <w:rPr>
          <w:rFonts w:hint="eastAsia" w:asciiTheme="minorEastAsia" w:hAnsiTheme="minorEastAsia" w:eastAsiaTheme="minorEastAsia" w:cstheme="minorEastAsia"/>
          <w:color w:val="auto"/>
          <w:sz w:val="21"/>
          <w:szCs w:val="21"/>
          <w:highlight w:val="none"/>
        </w:rPr>
        <w:t>运维单位应保证配备的专业技术人员数量不低于运维点位数量的1/4；至少选派1－2名专职工作人员在许昌市环境监控信息中心进行水质自动站的运维管理，全部运维人员须进行培训上岗保持稳定，如确需进行调整，需经过</w:t>
      </w:r>
      <w:r>
        <w:rPr>
          <w:rFonts w:hint="eastAsia" w:asciiTheme="minorEastAsia" w:hAnsiTheme="minorEastAsia" w:eastAsiaTheme="minorEastAsia" w:cstheme="minorEastAsia"/>
          <w:color w:val="auto"/>
          <w:sz w:val="21"/>
          <w:szCs w:val="21"/>
          <w:highlight w:val="none"/>
          <w:lang w:eastAsia="zh-CN"/>
        </w:rPr>
        <w:t>采购人</w:t>
      </w:r>
      <w:r>
        <w:rPr>
          <w:rFonts w:hint="eastAsia" w:asciiTheme="minorEastAsia" w:hAnsiTheme="minorEastAsia" w:eastAsiaTheme="minorEastAsia" w:cstheme="minorEastAsia"/>
          <w:color w:val="auto"/>
          <w:sz w:val="21"/>
          <w:szCs w:val="21"/>
          <w:highlight w:val="none"/>
        </w:rPr>
        <w:t>批准。保证配备的专用巡检车辆数量不低于运维站点数量的1/7。</w:t>
      </w:r>
    </w:p>
    <w:p>
      <w:pPr>
        <w:spacing w:line="360" w:lineRule="auto"/>
        <w:ind w:firstLine="420" w:firstLineChars="200"/>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val="en-US" w:eastAsia="zh-CN"/>
        </w:rPr>
        <w:t>4</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kern w:val="0"/>
          <w:sz w:val="21"/>
          <w:szCs w:val="21"/>
        </w:rPr>
        <w:t>运维单位每天对水质自动站整个系统进行维护检查，通过宏观检查各仪器运行的状况。每周在现场观察系统运行一个完整的周期，检查整个系统运行状况。通过每日通过监控平台查看数据情况是否异常、每周到各水质自动站点巡查一次，确保仪器设备和系统处于正常的运行状况。</w:t>
      </w:r>
    </w:p>
    <w:p>
      <w:pPr>
        <w:spacing w:line="360" w:lineRule="auto"/>
        <w:ind w:firstLine="420" w:firstLineChars="200"/>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val="en-US" w:eastAsia="zh-CN"/>
        </w:rPr>
        <w:t>5</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kern w:val="0"/>
          <w:sz w:val="21"/>
          <w:szCs w:val="21"/>
        </w:rPr>
        <w:t>运维单位应为运维人员配备专用仪器维修工具（包括万用表、工具箱等）、便携式仪器（五参数仪器，分光光度计等，用于快速比对）。</w:t>
      </w:r>
    </w:p>
    <w:p>
      <w:pPr>
        <w:spacing w:line="360" w:lineRule="auto"/>
        <w:ind w:firstLine="420" w:firstLineChars="200"/>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val="en-US" w:eastAsia="zh-CN"/>
        </w:rPr>
        <w:t>6</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kern w:val="0"/>
          <w:sz w:val="21"/>
          <w:szCs w:val="21"/>
        </w:rPr>
        <w:t>运维单位保证仪器故障发生时间4小时内(8:00-22:00)或8小时内（22:00-8:00）赶到现场进行处理。对于一些易于排除的故障，维修时间不应超过12小时；对不易诊断和维修的仪器故障，若48小时内无法排除，安装备用仪器。</w:t>
      </w:r>
    </w:p>
    <w:p>
      <w:pPr>
        <w:spacing w:line="360" w:lineRule="auto"/>
        <w:ind w:firstLine="319" w:firstLineChars="152"/>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val="en-US" w:eastAsia="zh-CN"/>
        </w:rPr>
        <w:t>7</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kern w:val="0"/>
          <w:sz w:val="21"/>
          <w:szCs w:val="21"/>
        </w:rPr>
        <w:t>在运维及管理期间，运维单位应严格按照许昌市环境监控信息中心制订的操作规范和规章制度，对所管理的系统及仪器设备进行规范操作和精心维护及必要维修，保证系统及仪器设备的正常运行。</w:t>
      </w:r>
    </w:p>
    <w:p>
      <w:pPr>
        <w:spacing w:line="360" w:lineRule="auto"/>
        <w:ind w:firstLine="319" w:firstLineChars="152"/>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val="en-US" w:eastAsia="zh-CN"/>
        </w:rPr>
        <w:t>8</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kern w:val="0"/>
          <w:sz w:val="21"/>
          <w:szCs w:val="21"/>
        </w:rPr>
        <w:t>在委托运行管理及维修期间，运维单位必须遵守国家的有关法律、法规及</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"http://www.waizi.org.cn/doc/41439.html" \t "_blank" \o "总站水字〔2007〕182号《国家地表水自动监测站运行管理办法》全文"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kern w:val="0"/>
          <w:sz w:val="21"/>
          <w:szCs w:val="21"/>
        </w:rPr>
        <w:t>总站水字〔2007〕182号</w:t>
      </w:r>
      <w:r>
        <w:rPr>
          <w:rFonts w:hint="eastAsia" w:asciiTheme="minorEastAsia" w:hAnsiTheme="minorEastAsia" w:eastAsiaTheme="minorEastAsia" w:cstheme="minorEastAsia"/>
          <w:bCs/>
          <w:kern w:val="0"/>
          <w:sz w:val="21"/>
          <w:szCs w:val="21"/>
        </w:rPr>
        <w:fldChar w:fldCharType="end"/>
      </w:r>
      <w:r>
        <w:rPr>
          <w:rFonts w:hint="eastAsia" w:asciiTheme="minorEastAsia" w:hAnsiTheme="minorEastAsia" w:eastAsiaTheme="minorEastAsia" w:cstheme="minorEastAsia"/>
          <w:bCs/>
          <w:kern w:val="0"/>
          <w:sz w:val="21"/>
          <w:szCs w:val="21"/>
        </w:rPr>
        <w:t>文，国办发〔2015〕56号文等其他规定，本着为委托方负责的精神，依照规范，科学管理，使各仪表运行达到国家及行业颁布的技术标准和考核指标要求；使其真正发挥其效能和作用。受托方未经委托方许可，不得改变原有仪器设备、软件平台及集成系统等；必须负责保证数据准确可靠,发现数据有超标值或异常值出现时，应立即核查仪器、查明原因，负责数据24小时实时监控和超标数据或异常数据的报警发送工作。</w:t>
      </w:r>
    </w:p>
    <w:p>
      <w:pPr>
        <w:spacing w:line="360" w:lineRule="auto"/>
        <w:ind w:firstLine="319" w:firstLineChars="152"/>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val="en-US" w:eastAsia="zh-CN"/>
        </w:rPr>
        <w:t>9</w:t>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kern w:val="0"/>
          <w:sz w:val="21"/>
          <w:szCs w:val="21"/>
        </w:rPr>
        <w:t>因水位不足造成仪器无法取样分析，及时上报</w:t>
      </w:r>
      <w:r>
        <w:rPr>
          <w:rFonts w:hint="eastAsia" w:asciiTheme="minorEastAsia" w:hAnsiTheme="minorEastAsia" w:eastAsiaTheme="minorEastAsia" w:cstheme="minorEastAsia"/>
          <w:bCs/>
          <w:kern w:val="0"/>
          <w:sz w:val="21"/>
          <w:szCs w:val="21"/>
          <w:lang w:val="en-US" w:eastAsia="zh-CN"/>
        </w:rPr>
        <w:t>采购人</w:t>
      </w:r>
      <w:r>
        <w:rPr>
          <w:rFonts w:hint="eastAsia" w:asciiTheme="minorEastAsia" w:hAnsiTheme="minorEastAsia" w:eastAsiaTheme="minorEastAsia" w:cstheme="minorEastAsia"/>
          <w:bCs/>
          <w:kern w:val="0"/>
          <w:sz w:val="21"/>
          <w:szCs w:val="21"/>
        </w:rPr>
        <w:t>并提供解决方案。如遇自然断流时，须书面报告招标人备案。如遇到无法抗拒的自然灾害造成设备损坏无法监测时，由中标人委托有资质的第三方提供手工监测数据，手工监测不少于1次/天。</w:t>
      </w:r>
    </w:p>
    <w:p>
      <w:pPr>
        <w:spacing w:line="360" w:lineRule="auto"/>
        <w:ind w:firstLine="319" w:firstLineChars="152"/>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kern w:val="0"/>
          <w:sz w:val="21"/>
          <w:szCs w:val="21"/>
        </w:rPr>
        <w:t>运维时间：即自委托合同签订之日起。双方签订合同后即开始自动监测站管理交接工作。</w:t>
      </w:r>
    </w:p>
    <w:p>
      <w:pPr>
        <w:spacing w:line="360" w:lineRule="auto"/>
        <w:ind w:firstLine="319" w:firstLineChars="152"/>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kern w:val="0"/>
          <w:sz w:val="21"/>
          <w:szCs w:val="21"/>
          <w:lang w:val="en-US" w:eastAsia="zh-CN"/>
        </w:rPr>
        <w:t>11</w:t>
      </w:r>
      <w:r>
        <w:rPr>
          <w:rFonts w:hint="eastAsia" w:asciiTheme="minorEastAsia" w:hAnsiTheme="minorEastAsia" w:eastAsiaTheme="minorEastAsia" w:cstheme="minorEastAsia"/>
          <w:kern w:val="0"/>
          <w:sz w:val="21"/>
          <w:szCs w:val="21"/>
        </w:rPr>
        <w:t>）质量保证要求：根据总站水字[2007]182号文中要求，每周一次标准溶液检查测试，每月一次实际水样的实验室比对测试,比对内容包括常规五参数（水温、pH值、溶解氧、电导率、浊度）、COD、氨氮、高锰酸盐指数、总氮、总磷共10个参数，结果按规定上报。</w:t>
      </w:r>
    </w:p>
    <w:p>
      <w:pPr>
        <w:pStyle w:val="15"/>
        <w:spacing w:line="36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lang w:val="en-US" w:eastAsia="zh-CN"/>
        </w:rPr>
        <w:t>2</w:t>
      </w:r>
      <w:r>
        <w:rPr>
          <w:rFonts w:hint="eastAsia" w:asciiTheme="minorEastAsia" w:hAnsiTheme="minorEastAsia" w:eastAsiaTheme="minorEastAsia" w:cstheme="minorEastAsia"/>
          <w:b/>
          <w:bCs/>
          <w:kern w:val="0"/>
          <w:sz w:val="21"/>
          <w:szCs w:val="21"/>
        </w:rPr>
        <w:t>、</w:t>
      </w:r>
      <w:r>
        <w:rPr>
          <w:rFonts w:hint="eastAsia" w:asciiTheme="minorEastAsia" w:hAnsiTheme="minorEastAsia" w:eastAsiaTheme="minorEastAsia" w:cstheme="minorEastAsia"/>
          <w:kern w:val="0"/>
          <w:sz w:val="21"/>
          <w:szCs w:val="21"/>
        </w:rPr>
        <w:t xml:space="preserve"> </w:t>
      </w:r>
      <w:r>
        <w:rPr>
          <w:rFonts w:hint="eastAsia" w:asciiTheme="minorEastAsia" w:hAnsiTheme="minorEastAsia" w:eastAsiaTheme="minorEastAsia" w:cstheme="minorEastAsia"/>
          <w:b/>
          <w:bCs/>
          <w:kern w:val="0"/>
          <w:sz w:val="21"/>
          <w:szCs w:val="21"/>
        </w:rPr>
        <w:t>运维详细要求：</w:t>
      </w:r>
    </w:p>
    <w:p>
      <w:pPr>
        <w:spacing w:line="360" w:lineRule="auto"/>
        <w:ind w:firstLine="527" w:firstLineChars="25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 运行维护工作目标</w:t>
      </w:r>
    </w:p>
    <w:p>
      <w:pPr>
        <w:spacing w:line="360" w:lineRule="auto"/>
        <w:ind w:firstLine="527" w:firstLineChars="251"/>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①有效数据捕捉率：有效数据捕捉率是指上位机能调到的水站仪器分析得到的有效数据个数相对于仪器设备按照数据产生频率统计的数据总个数的百分比。有效数据捕捉率≥90％（以日考核，除外部停电或其他不可抗拒的原因外）。</w:t>
      </w:r>
    </w:p>
    <w:p>
      <w:pPr>
        <w:spacing w:line="360" w:lineRule="auto"/>
        <w:ind w:firstLine="319" w:firstLineChars="152"/>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②周报报送考核：</w:t>
      </w:r>
    </w:p>
    <w:p>
      <w:pPr>
        <w:spacing w:line="360" w:lineRule="auto"/>
        <w:ind w:firstLine="319" w:firstLineChars="152"/>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受托方应于每周一10点之前报送上周的水质周报。水质周报各项指标日均值的计算至少需要8个有效数据；周均值的计算至少需要5个有效日均值。</w:t>
      </w:r>
    </w:p>
    <w:p>
      <w:pPr>
        <w:spacing w:line="360" w:lineRule="auto"/>
        <w:ind w:firstLine="319" w:firstLineChars="152"/>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③数据质量：</w:t>
      </w:r>
    </w:p>
    <w:p>
      <w:pPr>
        <w:spacing w:line="360" w:lineRule="auto"/>
        <w:ind w:firstLine="319" w:firstLineChars="152"/>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要求受托方每月对自动监测仪器全参数进行一次比对工作，比对结果按月报监管单位。</w:t>
      </w:r>
    </w:p>
    <w:p>
      <w:pPr>
        <w:spacing w:line="360" w:lineRule="auto"/>
        <w:ind w:firstLine="319" w:firstLineChars="152"/>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④运行管理：</w:t>
      </w:r>
    </w:p>
    <w:p>
      <w:pPr>
        <w:spacing w:line="360" w:lineRule="auto"/>
        <w:ind w:firstLine="319" w:firstLineChars="152"/>
        <w:rPr>
          <w:rFonts w:hint="eastAsia" w:asciiTheme="minorEastAsia" w:hAnsiTheme="minorEastAsia" w:eastAsiaTheme="minorEastAsia" w:cstheme="minorEastAsia"/>
          <w:snapToGrid w:val="0"/>
          <w:sz w:val="21"/>
          <w:szCs w:val="21"/>
        </w:rPr>
      </w:pPr>
      <w:r>
        <w:rPr>
          <w:rFonts w:hint="eastAsia" w:asciiTheme="minorEastAsia" w:hAnsiTheme="minorEastAsia" w:eastAsiaTheme="minorEastAsia" w:cstheme="minorEastAsia"/>
          <w:snapToGrid w:val="0"/>
          <w:sz w:val="21"/>
          <w:szCs w:val="21"/>
        </w:rPr>
        <w:t>数据按照委托方的要求接入相关环保部门,接受属地环保部门的日常监管和质控考核，受托方应积极主动配合属地监管的环保部门做好运行管理工作。</w:t>
      </w:r>
    </w:p>
    <w:p>
      <w:pPr>
        <w:spacing w:line="360" w:lineRule="auto"/>
        <w:ind w:firstLine="318" w:firstLineChars="151"/>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 运维工作范围：</w:t>
      </w:r>
    </w:p>
    <w:p>
      <w:pPr>
        <w:spacing w:line="360" w:lineRule="auto"/>
        <w:ind w:firstLine="319" w:firstLineChars="15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sz w:val="21"/>
          <w:szCs w:val="21"/>
        </w:rPr>
        <w:t>每天对水质自动站整个系统进行维护检查，通过宏观检查各仪器运行的状况。每周在现场观察系统运行一个完整的周期，检查整个系统运行状况。通过每日监控、每周巡查，确保仪器设备和系统处于正常的运行状况。</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按照河南省环保厅《关于印发河南省地表水环境质量自动监测站运行管理办法》（豫环文〔2015〕285号）要求，做好运维管理工作，具体要求如下：</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（1）负责水站各系统的定期巡检、维护、后勤保障工作，包括水站管理、技术人员和车辆的调配，试剂的购置与更换，比对实验的保障等工作。做好防雷和供电设施等的年度检定工作，向</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报送年度防雷报告、变压器及线路检定报告。</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（2）负责水站的所有设备故障的现场维修工作，向</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报送故障排除情况报告。</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（3）负责选聘和管理水站现场看护人员，制定现场看护的相关规定，监督看护人员履行职责，保障水站的安全和环境卫生。每季度上报运行安全管理报告；对出现的事故应以书面报告形式上报</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（4）负责为水站运行看护人员提供人身意外伤害保险。</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（5）负责公开招、投标文件及合同中约定的其他相关工作。</w:t>
      </w:r>
    </w:p>
    <w:p>
      <w:pPr>
        <w:snapToGrid w:val="0"/>
        <w:spacing w:line="360" w:lineRule="auto"/>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（3）运行维护管理要求</w:t>
      </w:r>
    </w:p>
    <w:p>
      <w:pPr>
        <w:snapToGrid w:val="0"/>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水站实施“日监视、周巡检”的日常运行维护与管理制度。24小时通过数据平台进行数据监控，利用中心站远程监控软件调取水站实时监测数据，并对站点进行运行管理和巡视，保证前端水站与监控平台数据畅通，主要工作包括：</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（1）根据仪器监测数据判断仪器运行情况；</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（2）根据电源电压、站房温度、湿度等参数分析站房内部情况；</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（3）发现水站数据持续异常情况，应及时赶赴现场进行处理并填写有关情况记录，必要时现场采集实时水样和留样并委托有资质实验室进行分析。</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（4）每天上午10:00前，登录数据监控平台，对水站前一天的自动监测数据进行初步审核。</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每年制定巡检计划上报市环境监控中心，每月上报月度巡检报告，年底上报年度运维报告。</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 监控必须保持24小时不间断，保证前端水站与监控平台数据畅通。</w:t>
      </w:r>
    </w:p>
    <w:p>
      <w:pPr>
        <w:snapToGrid w:val="0"/>
        <w:spacing w:line="360" w:lineRule="auto"/>
        <w:ind w:firstLine="422" w:firstLineChars="20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3</w:t>
      </w:r>
      <w:r>
        <w:rPr>
          <w:rFonts w:hint="eastAsia" w:asciiTheme="minorEastAsia" w:hAnsiTheme="minorEastAsia" w:eastAsiaTheme="minorEastAsia" w:cstheme="minorEastAsia"/>
          <w:b/>
          <w:sz w:val="21"/>
          <w:szCs w:val="21"/>
        </w:rPr>
        <w:t>、水质自动监测站的运维管理内容</w:t>
      </w:r>
    </w:p>
    <w:p>
      <w:pPr>
        <w:snapToGrid w:val="0"/>
        <w:spacing w:line="360" w:lineRule="auto"/>
        <w:ind w:firstLine="632" w:firstLineChars="3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3</w:t>
      </w:r>
      <w:r>
        <w:rPr>
          <w:rFonts w:hint="eastAsia" w:asciiTheme="minorEastAsia" w:hAnsiTheme="minorEastAsia" w:eastAsiaTheme="minorEastAsia" w:cstheme="minorEastAsia"/>
          <w:b/>
          <w:sz w:val="21"/>
          <w:szCs w:val="21"/>
        </w:rPr>
        <w:t>.1 日监控的内容</w:t>
      </w:r>
    </w:p>
    <w:p>
      <w:pPr>
        <w:snapToGrid w:val="0"/>
        <w:spacing w:line="360" w:lineRule="auto"/>
        <w:ind w:left="40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.1.1 通过仪器监测数据判断仪器运行情况。</w:t>
      </w:r>
    </w:p>
    <w:p>
      <w:pPr>
        <w:snapToGrid w:val="0"/>
        <w:spacing w:line="360" w:lineRule="auto"/>
        <w:ind w:left="4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根据电源电压、站房温度、湿度等参数分析站房内部情况。</w:t>
      </w:r>
    </w:p>
    <w:p>
      <w:pPr>
        <w:snapToGrid w:val="0"/>
        <w:spacing w:line="360" w:lineRule="auto"/>
        <w:ind w:left="40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（1）远程对水站整个系统进行检查，如有系统报警，及时查找原因，排除故障并记录。</w:t>
      </w:r>
    </w:p>
    <w:p>
      <w:pPr>
        <w:snapToGrid w:val="0"/>
        <w:spacing w:line="360" w:lineRule="auto"/>
        <w:ind w:left="40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（2）与现场看站人员联系，询问前一天水站运行情况有无异常，有异常及时处理并记录。</w:t>
      </w:r>
    </w:p>
    <w:p>
      <w:pPr>
        <w:snapToGrid w:val="0"/>
        <w:spacing w:line="360" w:lineRule="auto"/>
        <w:ind w:left="400" w:firstLine="211" w:firstLineChars="1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3</w:t>
      </w:r>
      <w:r>
        <w:rPr>
          <w:rFonts w:hint="eastAsia" w:asciiTheme="minorEastAsia" w:hAnsiTheme="minorEastAsia" w:eastAsiaTheme="minorEastAsia" w:cstheme="minorEastAsia"/>
          <w:b/>
          <w:sz w:val="21"/>
          <w:szCs w:val="21"/>
        </w:rPr>
        <w:t>.2 周巡检主要内容</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每周应巡检水站至少一次，主要工作包括：</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采水系统、进水与配水系统、通讯系统、控制系统、集成、配电、各分析仪器、站房的安全和卫生的维护及现场填写运维质控记录，详见下表：</w:t>
      </w:r>
    </w:p>
    <w:tbl>
      <w:tblPr>
        <w:tblStyle w:val="23"/>
        <w:tblW w:w="8770" w:type="dxa"/>
        <w:jc w:val="center"/>
        <w:tblLayout w:type="fixed"/>
        <w:tblCellMar>
          <w:top w:w="0" w:type="dxa"/>
          <w:left w:w="108" w:type="dxa"/>
          <w:bottom w:w="0" w:type="dxa"/>
          <w:right w:w="108" w:type="dxa"/>
        </w:tblCellMar>
      </w:tblPr>
      <w:tblGrid>
        <w:gridCol w:w="672"/>
        <w:gridCol w:w="1276"/>
        <w:gridCol w:w="1850"/>
        <w:gridCol w:w="4972"/>
      </w:tblGrid>
      <w:tr>
        <w:tblPrEx>
          <w:tblCellMar>
            <w:top w:w="0" w:type="dxa"/>
            <w:left w:w="108" w:type="dxa"/>
            <w:bottom w:w="0" w:type="dxa"/>
            <w:right w:w="108" w:type="dxa"/>
          </w:tblCellMar>
        </w:tblPrEx>
        <w:trPr>
          <w:trHeight w:val="547" w:hRule="atLeast"/>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维护内容</w:t>
            </w:r>
          </w:p>
        </w:tc>
        <w:tc>
          <w:tcPr>
            <w:tcW w:w="1850" w:type="dxa"/>
            <w:tcBorders>
              <w:top w:val="single" w:color="auto" w:sz="8" w:space="0"/>
              <w:left w:val="nil"/>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维护周期及目标</w:t>
            </w:r>
          </w:p>
        </w:tc>
        <w:tc>
          <w:tcPr>
            <w:tcW w:w="4972" w:type="dxa"/>
            <w:tcBorders>
              <w:top w:val="single" w:color="auto" w:sz="8" w:space="0"/>
              <w:left w:val="nil"/>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维护要求</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采水系统</w:t>
            </w:r>
          </w:p>
        </w:tc>
        <w:tc>
          <w:tcPr>
            <w:tcW w:w="1850" w:type="dxa"/>
            <w:tcBorders>
              <w:top w:val="single" w:color="auto" w:sz="8" w:space="0"/>
              <w:left w:val="nil"/>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1周1次，根据不同水期，适当调整，保证采水系统正常运行</w:t>
            </w:r>
          </w:p>
        </w:tc>
        <w:tc>
          <w:tcPr>
            <w:tcW w:w="4972" w:type="dxa"/>
            <w:tcBorders>
              <w:top w:val="single" w:color="auto" w:sz="8" w:space="0"/>
              <w:left w:val="nil"/>
              <w:bottom w:val="single" w:color="auto" w:sz="8" w:space="0"/>
              <w:right w:val="single" w:color="auto" w:sz="8" w:space="0"/>
            </w:tcBorders>
            <w:noWrap w:val="0"/>
            <w:vAlign w:val="center"/>
          </w:tcPr>
          <w:p>
            <w:pPr>
              <w:numPr>
                <w:ilvl w:val="0"/>
                <w:numId w:val="5"/>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水泵应清洗过滤网。自吸泵应清洗采水头；潜水泵应清洗泵体、吊桶；检查采水浮船，清除四周杂物，检查警示标志的完整性。</w:t>
            </w:r>
          </w:p>
          <w:p>
            <w:pPr>
              <w:numPr>
                <w:ilvl w:val="0"/>
                <w:numId w:val="5"/>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检查取水管路是否出现弯折现象，是否畅通；清理管路周边杂物，在泥沙含量大或藻类密集的断面应视情况不定期进行清洗，每月至少一次；检查管路保温材料是否完好。</w:t>
            </w:r>
          </w:p>
          <w:p>
            <w:pPr>
              <w:numPr>
                <w:ilvl w:val="0"/>
                <w:numId w:val="5"/>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检查栈桥扶栏、桥板的安全性、警示标志的完整性。</w:t>
            </w:r>
          </w:p>
          <w:p>
            <w:pPr>
              <w:numPr>
                <w:ilvl w:val="0"/>
                <w:numId w:val="5"/>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冬季前应主要检查采水单元的采水泵工作是否正常，采水泵电源线、浮船警示灯电源线和采水管路是否老化，埋设是否裸露，保温材料是否损坏，如有老化、裸露和损坏情况应及时修复。</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进水与配水系统</w:t>
            </w:r>
          </w:p>
        </w:tc>
        <w:tc>
          <w:tcPr>
            <w:tcW w:w="1850" w:type="dxa"/>
            <w:tcBorders>
              <w:top w:val="single" w:color="auto" w:sz="8" w:space="0"/>
              <w:left w:val="nil"/>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1周1次，确保系统管路清洁，系统设备运行正常</w:t>
            </w:r>
          </w:p>
        </w:tc>
        <w:tc>
          <w:tcPr>
            <w:tcW w:w="4972" w:type="dxa"/>
            <w:tcBorders>
              <w:top w:val="single" w:color="auto" w:sz="8" w:space="0"/>
              <w:left w:val="nil"/>
              <w:bottom w:val="single" w:color="auto" w:sz="8" w:space="0"/>
              <w:right w:val="single" w:color="auto" w:sz="8"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1）及时检查气泵和清水增压泵工作情况；</w:t>
            </w:r>
          </w:p>
          <w:p>
            <w:pPr>
              <w:ind w:left="315"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2）每月至少对五参数测量池、沉淀池、测量杯、过滤器芯等进行清洗两次；</w:t>
            </w:r>
          </w:p>
          <w:p>
            <w:pPr>
              <w:ind w:left="315"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3）及时检查配水管路是否有滴漏现象并根据样品污染情况进行清洗；</w:t>
            </w:r>
          </w:p>
          <w:p>
            <w:pPr>
              <w:ind w:left="315"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4）及时检查配水管路中所有球阀，清除阀内杂物，清洗阀体，确保阀体洁净。</w:t>
            </w:r>
          </w:p>
          <w:p>
            <w:pPr>
              <w:ind w:left="315"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5）空气压缩机：每周检查气泵和清水增压泵工作状况，并对空气过滤器放水。</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电动球阀清洗检查</w:t>
            </w:r>
          </w:p>
        </w:tc>
        <w:tc>
          <w:tcPr>
            <w:tcW w:w="1850" w:type="dxa"/>
            <w:tcBorders>
              <w:top w:val="single" w:color="auto" w:sz="8" w:space="0"/>
              <w:left w:val="nil"/>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至少2</w:t>
            </w:r>
            <w:r>
              <w:rPr>
                <w:rFonts w:hint="eastAsia" w:asciiTheme="minorEastAsia" w:hAnsiTheme="minorEastAsia" w:eastAsiaTheme="minorEastAsia" w:cstheme="minorEastAsia"/>
                <w:sz w:val="21"/>
                <w:szCs w:val="21"/>
                <w:lang w:val="en-US" w:eastAsia="zh-CN"/>
              </w:rPr>
              <w:t>个</w:t>
            </w:r>
            <w:r>
              <w:rPr>
                <w:rFonts w:hint="eastAsia" w:asciiTheme="minorEastAsia" w:hAnsiTheme="minorEastAsia" w:eastAsiaTheme="minorEastAsia" w:cstheme="minorEastAsia"/>
                <w:sz w:val="21"/>
                <w:szCs w:val="21"/>
              </w:rPr>
              <w:t>月1次，确保清洗后电动球阀吸合自如，无堵塞和渗漏</w:t>
            </w:r>
          </w:p>
        </w:tc>
        <w:tc>
          <w:tcPr>
            <w:tcW w:w="4972" w:type="dxa"/>
            <w:tcBorders>
              <w:top w:val="single" w:color="auto" w:sz="8" w:space="0"/>
              <w:left w:val="nil"/>
              <w:bottom w:val="single" w:color="auto" w:sz="8" w:space="0"/>
              <w:right w:val="single" w:color="auto" w:sz="8" w:space="0"/>
            </w:tcBorders>
            <w:noWrap w:val="0"/>
            <w:vAlign w:val="center"/>
          </w:tcPr>
          <w:p>
            <w:pPr>
              <w:numPr>
                <w:ilvl w:val="0"/>
                <w:numId w:val="6"/>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将电动球阀手动拆下，用试管刷清洗后，将电动球阀装回管路。</w:t>
            </w:r>
          </w:p>
          <w:p>
            <w:pPr>
              <w:numPr>
                <w:ilvl w:val="0"/>
                <w:numId w:val="6"/>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开启组态单阀测试程序，单独控制阀门开关，检查阀门开关时间是否符合要求（10s以内）。</w:t>
            </w:r>
          </w:p>
          <w:p>
            <w:pPr>
              <w:numPr>
                <w:ilvl w:val="0"/>
                <w:numId w:val="6"/>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必要的情况替换电动球阀。</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单向阀清洗</w:t>
            </w:r>
          </w:p>
        </w:tc>
        <w:tc>
          <w:tcPr>
            <w:tcW w:w="1850" w:type="dxa"/>
            <w:tcBorders>
              <w:top w:val="single" w:color="auto" w:sz="8" w:space="0"/>
              <w:left w:val="nil"/>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至少2</w:t>
            </w:r>
            <w:r>
              <w:rPr>
                <w:rFonts w:hint="eastAsia" w:asciiTheme="minorEastAsia" w:hAnsiTheme="minorEastAsia" w:eastAsiaTheme="minorEastAsia" w:cstheme="minorEastAsia"/>
                <w:sz w:val="21"/>
                <w:szCs w:val="21"/>
                <w:lang w:val="en-US" w:eastAsia="zh-CN"/>
              </w:rPr>
              <w:t>个</w:t>
            </w:r>
            <w:r>
              <w:rPr>
                <w:rFonts w:hint="eastAsia" w:asciiTheme="minorEastAsia" w:hAnsiTheme="minorEastAsia" w:eastAsiaTheme="minorEastAsia" w:cstheme="minorEastAsia"/>
                <w:sz w:val="21"/>
                <w:szCs w:val="21"/>
              </w:rPr>
              <w:t>月1次，确保清洗后电动球阀吸合自如，无堵塞和渗漏</w:t>
            </w:r>
          </w:p>
        </w:tc>
        <w:tc>
          <w:tcPr>
            <w:tcW w:w="4972" w:type="dxa"/>
            <w:tcBorders>
              <w:top w:val="single" w:color="auto" w:sz="8" w:space="0"/>
              <w:left w:val="nil"/>
              <w:bottom w:val="single" w:color="auto" w:sz="8" w:space="0"/>
              <w:right w:val="single" w:color="auto" w:sz="8" w:space="0"/>
            </w:tcBorders>
            <w:noWrap w:val="0"/>
            <w:vAlign w:val="center"/>
          </w:tcPr>
          <w:p>
            <w:pPr>
              <w:numPr>
                <w:ilvl w:val="0"/>
                <w:numId w:val="7"/>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拆下单向阀，用试管刷清洗单向阀阀体及密封橡胶上附着的脏污物，检查密封性是否完好后，原样装回管路。</w:t>
            </w:r>
          </w:p>
          <w:p>
            <w:pPr>
              <w:numPr>
                <w:ilvl w:val="0"/>
                <w:numId w:val="7"/>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必要情况更换单向阀。</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清洗液位计</w:t>
            </w:r>
          </w:p>
        </w:tc>
        <w:tc>
          <w:tcPr>
            <w:tcW w:w="1850" w:type="dxa"/>
            <w:tcBorders>
              <w:top w:val="single" w:color="auto" w:sz="8" w:space="0"/>
              <w:left w:val="nil"/>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1周1次，确保液位计工作正常</w:t>
            </w:r>
          </w:p>
        </w:tc>
        <w:tc>
          <w:tcPr>
            <w:tcW w:w="4972" w:type="dxa"/>
            <w:tcBorders>
              <w:top w:val="single" w:color="auto" w:sz="8" w:space="0"/>
              <w:left w:val="nil"/>
              <w:bottom w:val="single" w:color="auto" w:sz="8" w:space="0"/>
              <w:right w:val="single" w:color="auto" w:sz="8" w:space="0"/>
            </w:tcBorders>
            <w:noWrap w:val="0"/>
            <w:vAlign w:val="center"/>
          </w:tcPr>
          <w:p>
            <w:pPr>
              <w:numPr>
                <w:ilvl w:val="0"/>
                <w:numId w:val="8"/>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将液位计拆下，用3%盐酸擦洗浮球和导杆，清除表面钙化物和污物。</w:t>
            </w:r>
          </w:p>
          <w:p>
            <w:pPr>
              <w:numPr>
                <w:ilvl w:val="0"/>
                <w:numId w:val="8"/>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原样装回液位计。</w:t>
            </w:r>
          </w:p>
          <w:p>
            <w:pPr>
              <w:numPr>
                <w:ilvl w:val="0"/>
                <w:numId w:val="8"/>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必要的情况更换新液位计。</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液位观察管清洗</w:t>
            </w:r>
          </w:p>
        </w:tc>
        <w:tc>
          <w:tcPr>
            <w:tcW w:w="1850" w:type="dxa"/>
            <w:tcBorders>
              <w:top w:val="single" w:color="auto" w:sz="8" w:space="0"/>
              <w:left w:val="nil"/>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1周1次，确保液位观察管清洗透明</w:t>
            </w:r>
          </w:p>
        </w:tc>
        <w:tc>
          <w:tcPr>
            <w:tcW w:w="4972" w:type="dxa"/>
            <w:tcBorders>
              <w:top w:val="single" w:color="auto" w:sz="8" w:space="0"/>
              <w:left w:val="nil"/>
              <w:bottom w:val="single" w:color="auto" w:sz="8" w:space="0"/>
              <w:right w:val="single" w:color="auto" w:sz="8" w:space="0"/>
            </w:tcBorders>
            <w:noWrap w:val="0"/>
            <w:vAlign w:val="center"/>
          </w:tcPr>
          <w:p>
            <w:pPr>
              <w:numPr>
                <w:ilvl w:val="0"/>
                <w:numId w:val="9"/>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拆下透明管清除脏污，用试管刷清洗干净。</w:t>
            </w:r>
          </w:p>
          <w:p>
            <w:pPr>
              <w:numPr>
                <w:ilvl w:val="0"/>
                <w:numId w:val="9"/>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拆卸部件原样装回。</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压力表测试</w:t>
            </w:r>
          </w:p>
        </w:tc>
        <w:tc>
          <w:tcPr>
            <w:tcW w:w="1850" w:type="dxa"/>
            <w:tcBorders>
              <w:top w:val="single" w:color="auto" w:sz="8" w:space="0"/>
              <w:left w:val="nil"/>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至少2</w:t>
            </w:r>
            <w:r>
              <w:rPr>
                <w:rFonts w:hint="eastAsia" w:asciiTheme="minorEastAsia" w:hAnsiTheme="minorEastAsia" w:eastAsiaTheme="minorEastAsia" w:cstheme="minorEastAsia"/>
                <w:sz w:val="21"/>
                <w:szCs w:val="21"/>
                <w:lang w:val="en-US" w:eastAsia="zh-CN"/>
              </w:rPr>
              <w:t>个</w:t>
            </w:r>
            <w:r>
              <w:rPr>
                <w:rFonts w:hint="eastAsia" w:asciiTheme="minorEastAsia" w:hAnsiTheme="minorEastAsia" w:eastAsiaTheme="minorEastAsia" w:cstheme="minorEastAsia"/>
                <w:sz w:val="21"/>
                <w:szCs w:val="21"/>
              </w:rPr>
              <w:t>月1次，确保清洗后压力表读数正常</w:t>
            </w:r>
          </w:p>
        </w:tc>
        <w:tc>
          <w:tcPr>
            <w:tcW w:w="4972" w:type="dxa"/>
            <w:tcBorders>
              <w:top w:val="single" w:color="auto" w:sz="8" w:space="0"/>
              <w:left w:val="nil"/>
              <w:bottom w:val="single" w:color="auto" w:sz="8" w:space="0"/>
              <w:right w:val="single" w:color="auto" w:sz="8" w:space="0"/>
            </w:tcBorders>
            <w:noWrap w:val="0"/>
            <w:vAlign w:val="center"/>
          </w:tcPr>
          <w:p>
            <w:pPr>
              <w:numPr>
                <w:ilvl w:val="0"/>
                <w:numId w:val="10"/>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拆下压力表表头，清洗清除压力导管内泥沙。</w:t>
            </w:r>
          </w:p>
          <w:p>
            <w:pPr>
              <w:numPr>
                <w:ilvl w:val="0"/>
                <w:numId w:val="10"/>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压缩空气吹脱表头内残留脏污。</w:t>
            </w:r>
          </w:p>
          <w:p>
            <w:pPr>
              <w:numPr>
                <w:ilvl w:val="0"/>
                <w:numId w:val="10"/>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调节空压机输出压力为0.6Mpa，输出气管连接到待测压力表，检查待测压力表显示是否和空压机一致，反应是否灵敏。</w:t>
            </w:r>
          </w:p>
          <w:p>
            <w:pPr>
              <w:numPr>
                <w:ilvl w:val="0"/>
                <w:numId w:val="10"/>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原样装回压力表，注意气密性。</w:t>
            </w:r>
          </w:p>
          <w:p>
            <w:pPr>
              <w:numPr>
                <w:ilvl w:val="0"/>
                <w:numId w:val="10"/>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必要情况更换压力表。</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取水系统综合测试</w:t>
            </w:r>
          </w:p>
        </w:tc>
        <w:tc>
          <w:tcPr>
            <w:tcW w:w="1850" w:type="dxa"/>
            <w:tcBorders>
              <w:top w:val="single" w:color="auto" w:sz="8" w:space="0"/>
              <w:left w:val="nil"/>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1周1次，确保系统取水正常</w:t>
            </w:r>
          </w:p>
        </w:tc>
        <w:tc>
          <w:tcPr>
            <w:tcW w:w="4972" w:type="dxa"/>
            <w:tcBorders>
              <w:top w:val="single" w:color="auto" w:sz="8" w:space="0"/>
              <w:left w:val="nil"/>
              <w:bottom w:val="single" w:color="auto" w:sz="8" w:space="0"/>
              <w:right w:val="single" w:color="auto" w:sz="8" w:space="0"/>
            </w:tcBorders>
            <w:noWrap w:val="0"/>
            <w:vAlign w:val="center"/>
          </w:tcPr>
          <w:p>
            <w:pPr>
              <w:numPr>
                <w:ilvl w:val="0"/>
                <w:numId w:val="11"/>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完成上述测试后复原所有阀门到正确位置。</w:t>
            </w:r>
          </w:p>
          <w:p>
            <w:pPr>
              <w:numPr>
                <w:ilvl w:val="0"/>
                <w:numId w:val="11"/>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检查各个接头是否松动，各个电动球阀接线是否完好。</w:t>
            </w:r>
          </w:p>
          <w:p>
            <w:pPr>
              <w:numPr>
                <w:ilvl w:val="0"/>
                <w:numId w:val="11"/>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检查无误情况下，系统复电，检查整个取水流程是否正常。</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工控机检查</w:t>
            </w:r>
          </w:p>
        </w:tc>
        <w:tc>
          <w:tcPr>
            <w:tcW w:w="1850" w:type="dxa"/>
            <w:tcBorders>
              <w:top w:val="single" w:color="auto" w:sz="8" w:space="0"/>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至少2</w:t>
            </w:r>
            <w:r>
              <w:rPr>
                <w:rFonts w:hint="eastAsia" w:asciiTheme="minorEastAsia" w:hAnsiTheme="minorEastAsia" w:eastAsiaTheme="minorEastAsia" w:cstheme="minorEastAsia"/>
                <w:sz w:val="21"/>
                <w:szCs w:val="21"/>
                <w:lang w:val="en-US" w:eastAsia="zh-CN"/>
              </w:rPr>
              <w:t>个</w:t>
            </w:r>
            <w:r>
              <w:rPr>
                <w:rFonts w:hint="eastAsia" w:asciiTheme="minorEastAsia" w:hAnsiTheme="minorEastAsia" w:eastAsiaTheme="minorEastAsia" w:cstheme="minorEastAsia"/>
                <w:sz w:val="21"/>
                <w:szCs w:val="21"/>
              </w:rPr>
              <w:t>月1次，确保工控机运行正常</w:t>
            </w:r>
          </w:p>
        </w:tc>
        <w:tc>
          <w:tcPr>
            <w:tcW w:w="4972" w:type="dxa"/>
            <w:tcBorders>
              <w:top w:val="single" w:color="auto" w:sz="8" w:space="0"/>
              <w:left w:val="nil"/>
              <w:bottom w:val="single" w:color="auto" w:sz="4" w:space="0"/>
              <w:right w:val="single" w:color="auto" w:sz="8" w:space="0"/>
            </w:tcBorders>
            <w:noWrap w:val="0"/>
            <w:vAlign w:val="center"/>
          </w:tcPr>
          <w:p>
            <w:pPr>
              <w:ind w:left="334" w:leftChars="9"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1）检查开机过程中硬件自检过程是否有异常数据传输和报警。</w:t>
            </w:r>
          </w:p>
          <w:p>
            <w:pPr>
              <w:ind w:left="334" w:leftChars="9"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2）强制切断电源后复电工控机是否可以自动启动，并运行windos系统、加载现场监控软件，串口连接是否正常。</w:t>
            </w:r>
          </w:p>
          <w:p>
            <w:pPr>
              <w:ind w:left="334" w:leftChars="9"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3）插入备份光盘，用ghost软件备份操作系统。将备份好的操作系统和分区D内的文件拷贝到备份移动硬盘上。</w:t>
            </w:r>
          </w:p>
          <w:p>
            <w:pPr>
              <w:pStyle w:val="39"/>
              <w:numPr>
                <w:ilvl w:val="0"/>
                <w:numId w:val="11"/>
              </w:numPr>
              <w:ind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断电后拆下工控机，打开后盖，用细毛刷清。</w:t>
            </w:r>
          </w:p>
          <w:p>
            <w:pPr>
              <w:ind w:left="334" w:leftChars="9"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5）除电源和主板上的灰尘，尤其注意cpu板、内存和各个串口卡上的灰尘清除。检查各个功能卡接口是否连接牢固。</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6）检查硬盘连接线是否松动。</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7）定期对杀毒软件升级，专机专用，禁止从事与工作无关的活动。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8）装回工控机重复1）、2）步骤。</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276" w:type="dxa"/>
            <w:tcBorders>
              <w:top w:val="single" w:color="auto" w:sz="8"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通讯检查</w:t>
            </w:r>
          </w:p>
        </w:tc>
        <w:tc>
          <w:tcPr>
            <w:tcW w:w="1850" w:type="dxa"/>
            <w:vMerge w:val="restart"/>
            <w:tcBorders>
              <w:top w:val="single" w:color="auto" w:sz="4" w:space="0"/>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1周1次，确保控制和数据上传通道畅通</w:t>
            </w:r>
          </w:p>
        </w:tc>
        <w:tc>
          <w:tcPr>
            <w:tcW w:w="4972" w:type="dxa"/>
            <w:tcBorders>
              <w:top w:val="single" w:color="auto" w:sz="4" w:space="0"/>
              <w:left w:val="nil"/>
              <w:bottom w:val="single" w:color="auto" w:sz="4" w:space="0"/>
              <w:right w:val="single" w:color="auto" w:sz="8" w:space="0"/>
            </w:tcBorders>
            <w:noWrap w:val="0"/>
            <w:vAlign w:val="center"/>
          </w:tcPr>
          <w:p>
            <w:pPr>
              <w:ind w:left="315"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1）确保工控机各个串口和可编辑逻辑控制器、数采仪、分析仪器连接一一对应正确且牢固。</w:t>
            </w:r>
          </w:p>
          <w:p>
            <w:pPr>
              <w:ind w:left="315"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2）通过现场监控软件测试工控与可编辑逻辑控制器及各个仪器之间是否连接正确。</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3）VPN网络设备检查，保证通讯畅通。</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4）视频监控设备检查，监控视角位置。</w:t>
            </w:r>
          </w:p>
        </w:tc>
      </w:tr>
      <w:tr>
        <w:tblPrEx>
          <w:tblCellMar>
            <w:top w:w="0" w:type="dxa"/>
            <w:left w:w="108" w:type="dxa"/>
            <w:bottom w:w="0" w:type="dxa"/>
            <w:right w:w="108" w:type="dxa"/>
          </w:tblCellMar>
        </w:tblPrEx>
        <w:trPr>
          <w:jc w:val="center"/>
        </w:trPr>
        <w:tc>
          <w:tcPr>
            <w:tcW w:w="672" w:type="dxa"/>
            <w:tcBorders>
              <w:top w:val="single" w:color="auto" w:sz="4"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1276" w:type="dxa"/>
            <w:tcBorders>
              <w:top w:val="single" w:color="auto" w:sz="4"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可编辑逻辑控制器检查</w:t>
            </w:r>
          </w:p>
        </w:tc>
        <w:tc>
          <w:tcPr>
            <w:tcW w:w="1850" w:type="dxa"/>
            <w:vMerge w:val="continue"/>
            <w:tcBorders>
              <w:top w:val="single" w:color="auto" w:sz="4" w:space="0"/>
              <w:left w:val="nil"/>
              <w:bottom w:val="single" w:color="auto" w:sz="8"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p>
        </w:tc>
        <w:tc>
          <w:tcPr>
            <w:tcW w:w="4972" w:type="dxa"/>
            <w:tcBorders>
              <w:top w:val="single" w:color="auto" w:sz="4" w:space="0"/>
              <w:left w:val="nil"/>
              <w:bottom w:val="single" w:color="auto" w:sz="8" w:space="0"/>
              <w:right w:val="single" w:color="auto" w:sz="8" w:space="0"/>
            </w:tcBorders>
            <w:noWrap w:val="0"/>
            <w:vAlign w:val="center"/>
          </w:tcPr>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1）检查可编辑逻辑控制器状态数据传输和报警灯，确保无数据传输和报警。</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2）确保取水过程中可编辑逻辑控制器上各个点输入输出状态正确。</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3）测量并确保可编辑逻辑控制器时钟电池电压正常。必要的情况更换电池。</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4）确保可编辑逻辑控制器串口模块连接牢固。</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1276" w:type="dxa"/>
            <w:tcBorders>
              <w:top w:val="single" w:color="auto" w:sz="8"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配电板清扫</w:t>
            </w:r>
          </w:p>
        </w:tc>
        <w:tc>
          <w:tcPr>
            <w:tcW w:w="1850" w:type="dxa"/>
            <w:vMerge w:val="continue"/>
            <w:tcBorders>
              <w:top w:val="nil"/>
              <w:left w:val="nil"/>
              <w:bottom w:val="single" w:color="auto" w:sz="4"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p>
        </w:tc>
        <w:tc>
          <w:tcPr>
            <w:tcW w:w="4972" w:type="dxa"/>
            <w:tcBorders>
              <w:top w:val="single" w:color="auto" w:sz="8" w:space="0"/>
              <w:left w:val="nil"/>
              <w:bottom w:val="single" w:color="auto" w:sz="4" w:space="0"/>
              <w:right w:val="single" w:color="auto" w:sz="8"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清扫配电板上各个元件上的灰尘等。</w:t>
            </w:r>
          </w:p>
        </w:tc>
      </w:tr>
      <w:tr>
        <w:tblPrEx>
          <w:tblCellMar>
            <w:top w:w="0" w:type="dxa"/>
            <w:left w:w="108" w:type="dxa"/>
            <w:bottom w:w="0" w:type="dxa"/>
            <w:right w:w="108" w:type="dxa"/>
          </w:tblCellMar>
        </w:tblPrEx>
        <w:trPr>
          <w:jc w:val="center"/>
        </w:trPr>
        <w:tc>
          <w:tcPr>
            <w:tcW w:w="672" w:type="dxa"/>
            <w:tcBorders>
              <w:top w:val="single" w:color="auto" w:sz="4"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1276" w:type="dxa"/>
            <w:tcBorders>
              <w:top w:val="single" w:color="auto" w:sz="4"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配电板状态检查</w:t>
            </w:r>
          </w:p>
        </w:tc>
        <w:tc>
          <w:tcPr>
            <w:tcW w:w="1850" w:type="dxa"/>
            <w:vMerge w:val="continue"/>
            <w:tcBorders>
              <w:top w:val="single" w:color="auto" w:sz="4" w:space="0"/>
              <w:left w:val="nil"/>
              <w:bottom w:val="single" w:color="auto" w:sz="8"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p>
        </w:tc>
        <w:tc>
          <w:tcPr>
            <w:tcW w:w="4972" w:type="dxa"/>
            <w:tcBorders>
              <w:top w:val="single" w:color="auto" w:sz="4" w:space="0"/>
              <w:left w:val="nil"/>
              <w:bottom w:val="single" w:color="auto" w:sz="8" w:space="0"/>
              <w:right w:val="single" w:color="auto" w:sz="8"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检查确保配电板上各个接线接头不松动，并清除锈蚀接头。确保各个接触器和继电器工作正常。</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接地检查</w:t>
            </w:r>
          </w:p>
        </w:tc>
        <w:tc>
          <w:tcPr>
            <w:tcW w:w="1850" w:type="dxa"/>
            <w:vMerge w:val="continue"/>
            <w:tcBorders>
              <w:top w:val="nil"/>
              <w:left w:val="nil"/>
              <w:bottom w:val="single" w:color="auto" w:sz="8"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p>
        </w:tc>
        <w:tc>
          <w:tcPr>
            <w:tcW w:w="4972" w:type="dxa"/>
            <w:tcBorders>
              <w:top w:val="single" w:color="auto" w:sz="8" w:space="0"/>
              <w:left w:val="nil"/>
              <w:bottom w:val="single" w:color="auto" w:sz="8" w:space="0"/>
              <w:right w:val="single" w:color="auto" w:sz="8"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确保各个机柜和用电器接地良好，尤其注意防雷保护器接地。</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1276" w:type="dxa"/>
            <w:tcBorders>
              <w:top w:val="single" w:color="auto" w:sz="8"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温湿度仪检查</w:t>
            </w:r>
          </w:p>
        </w:tc>
        <w:tc>
          <w:tcPr>
            <w:tcW w:w="1850" w:type="dxa"/>
            <w:vMerge w:val="continue"/>
            <w:tcBorders>
              <w:top w:val="nil"/>
              <w:left w:val="nil"/>
              <w:bottom w:val="single" w:color="auto" w:sz="4"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p>
        </w:tc>
        <w:tc>
          <w:tcPr>
            <w:tcW w:w="4972" w:type="dxa"/>
            <w:tcBorders>
              <w:top w:val="single" w:color="auto" w:sz="8" w:space="0"/>
              <w:left w:val="nil"/>
              <w:bottom w:val="single" w:color="auto" w:sz="4" w:space="0"/>
              <w:right w:val="single" w:color="auto" w:sz="8"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检查温湿度仪是否显示合理，保证温度探头反应灵敏。</w:t>
            </w:r>
          </w:p>
        </w:tc>
      </w:tr>
      <w:tr>
        <w:tblPrEx>
          <w:tblCellMar>
            <w:top w:w="0" w:type="dxa"/>
            <w:left w:w="108" w:type="dxa"/>
            <w:bottom w:w="0" w:type="dxa"/>
            <w:right w:w="108" w:type="dxa"/>
          </w:tblCellMar>
        </w:tblPrEx>
        <w:trPr>
          <w:jc w:val="center"/>
        </w:trPr>
        <w:tc>
          <w:tcPr>
            <w:tcW w:w="672" w:type="dxa"/>
            <w:tcBorders>
              <w:top w:val="single" w:color="auto" w:sz="4" w:space="0"/>
              <w:left w:val="single" w:color="auto" w:sz="8" w:space="0"/>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稳压电源清扫</w:t>
            </w:r>
          </w:p>
        </w:tc>
        <w:tc>
          <w:tcPr>
            <w:tcW w:w="1850" w:type="dxa"/>
            <w:vMerge w:val="continue"/>
            <w:tcBorders>
              <w:top w:val="single" w:color="auto" w:sz="4" w:space="0"/>
              <w:left w:val="nil"/>
              <w:bottom w:val="single" w:color="auto" w:sz="4"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p>
        </w:tc>
        <w:tc>
          <w:tcPr>
            <w:tcW w:w="4972" w:type="dxa"/>
            <w:tcBorders>
              <w:top w:val="single" w:color="auto" w:sz="4" w:space="0"/>
              <w:left w:val="nil"/>
              <w:bottom w:val="single" w:color="auto" w:sz="4" w:space="0"/>
              <w:right w:val="single" w:color="auto" w:sz="8" w:space="0"/>
            </w:tcBorders>
            <w:noWrap w:val="0"/>
            <w:vAlign w:val="center"/>
          </w:tcPr>
          <w:p>
            <w:pPr>
              <w:numPr>
                <w:ilvl w:val="0"/>
                <w:numId w:val="12"/>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断电情况下清扫稳压电源内的灰尘。</w:t>
            </w:r>
          </w:p>
          <w:p>
            <w:pPr>
              <w:numPr>
                <w:ilvl w:val="0"/>
                <w:numId w:val="12"/>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检查碳刷是否正常，磨损较多情况必须更换。</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上电测试，确保稳压源工作正常。</w:t>
            </w:r>
          </w:p>
        </w:tc>
      </w:tr>
      <w:tr>
        <w:tblPrEx>
          <w:tblCellMar>
            <w:top w:w="0" w:type="dxa"/>
            <w:left w:w="108" w:type="dxa"/>
            <w:bottom w:w="0" w:type="dxa"/>
            <w:right w:w="108" w:type="dxa"/>
          </w:tblCellMar>
        </w:tblPrEx>
        <w:trPr>
          <w:jc w:val="center"/>
        </w:trPr>
        <w:tc>
          <w:tcPr>
            <w:tcW w:w="672" w:type="dxa"/>
            <w:tcBorders>
              <w:top w:val="single" w:color="auto" w:sz="4"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p>
        </w:tc>
        <w:tc>
          <w:tcPr>
            <w:tcW w:w="1276" w:type="dxa"/>
            <w:tcBorders>
              <w:top w:val="single" w:color="auto" w:sz="4"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UPS检查清扫</w:t>
            </w:r>
          </w:p>
        </w:tc>
        <w:tc>
          <w:tcPr>
            <w:tcW w:w="1850" w:type="dxa"/>
            <w:vMerge w:val="continue"/>
            <w:tcBorders>
              <w:top w:val="single" w:color="auto" w:sz="4" w:space="0"/>
              <w:left w:val="nil"/>
              <w:bottom w:val="single" w:color="auto" w:sz="8"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p>
        </w:tc>
        <w:tc>
          <w:tcPr>
            <w:tcW w:w="4972" w:type="dxa"/>
            <w:tcBorders>
              <w:top w:val="single" w:color="auto" w:sz="4" w:space="0"/>
              <w:left w:val="nil"/>
              <w:bottom w:val="single" w:color="auto" w:sz="8" w:space="0"/>
              <w:right w:val="single" w:color="auto" w:sz="8" w:space="0"/>
            </w:tcBorders>
            <w:noWrap w:val="0"/>
            <w:vAlign w:val="center"/>
          </w:tcPr>
          <w:p>
            <w:pPr>
              <w:numPr>
                <w:ilvl w:val="0"/>
                <w:numId w:val="13"/>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断电情况下清扫UPS各个散热孔上的灰尘。</w:t>
            </w:r>
          </w:p>
          <w:p>
            <w:pPr>
              <w:numPr>
                <w:ilvl w:val="0"/>
                <w:numId w:val="0"/>
              </w:numPr>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检查确保UPS充放电正常。</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UPS电池箱清扫</w:t>
            </w:r>
          </w:p>
        </w:tc>
        <w:tc>
          <w:tcPr>
            <w:tcW w:w="1850" w:type="dxa"/>
            <w:vMerge w:val="continue"/>
            <w:tcBorders>
              <w:top w:val="nil"/>
              <w:left w:val="nil"/>
              <w:bottom w:val="single" w:color="auto" w:sz="8"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p>
        </w:tc>
        <w:tc>
          <w:tcPr>
            <w:tcW w:w="4972" w:type="dxa"/>
            <w:tcBorders>
              <w:top w:val="single" w:color="auto" w:sz="8" w:space="0"/>
              <w:left w:val="nil"/>
              <w:bottom w:val="single" w:color="auto" w:sz="8" w:space="0"/>
              <w:right w:val="single" w:color="auto" w:sz="8" w:space="0"/>
            </w:tcBorders>
            <w:noWrap w:val="0"/>
            <w:vAlign w:val="center"/>
          </w:tcPr>
          <w:p>
            <w:pPr>
              <w:numPr>
                <w:ilvl w:val="0"/>
                <w:numId w:val="14"/>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做好绝缘措施情况下清扫UPS电池箱内的灰尘。</w:t>
            </w:r>
          </w:p>
          <w:p>
            <w:pPr>
              <w:numPr>
                <w:ilvl w:val="0"/>
                <w:numId w:val="14"/>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确保箱内各个电池联线接触良好牢固。</w:t>
            </w:r>
          </w:p>
          <w:p>
            <w:pPr>
              <w:numPr>
                <w:ilvl w:val="0"/>
                <w:numId w:val="0"/>
              </w:numPr>
              <w:ind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确保各个电池无漏液，外观正常。</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机柜台面清扫及检查</w:t>
            </w:r>
          </w:p>
        </w:tc>
        <w:tc>
          <w:tcPr>
            <w:tcW w:w="1850" w:type="dxa"/>
            <w:vMerge w:val="continue"/>
            <w:tcBorders>
              <w:top w:val="nil"/>
              <w:left w:val="nil"/>
              <w:bottom w:val="single" w:color="auto" w:sz="8"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p>
        </w:tc>
        <w:tc>
          <w:tcPr>
            <w:tcW w:w="4972" w:type="dxa"/>
            <w:tcBorders>
              <w:top w:val="single" w:color="auto" w:sz="8" w:space="0"/>
              <w:left w:val="nil"/>
              <w:bottom w:val="single" w:color="auto" w:sz="8" w:space="0"/>
              <w:right w:val="single" w:color="auto" w:sz="8" w:space="0"/>
            </w:tcBorders>
            <w:noWrap w:val="0"/>
            <w:vAlign w:val="center"/>
          </w:tcPr>
          <w:p>
            <w:pPr>
              <w:numPr>
                <w:ilvl w:val="0"/>
                <w:numId w:val="15"/>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检查机柜台面及玻璃是否清洁。</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2）检查机柜各门是否关于完好。</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实验区清扫</w:t>
            </w:r>
          </w:p>
        </w:tc>
        <w:tc>
          <w:tcPr>
            <w:tcW w:w="1850" w:type="dxa"/>
            <w:tcBorders>
              <w:top w:val="single" w:color="auto" w:sz="8" w:space="0"/>
              <w:left w:val="nil"/>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1周1次，确保室内整齐清洁</w:t>
            </w:r>
          </w:p>
        </w:tc>
        <w:tc>
          <w:tcPr>
            <w:tcW w:w="4972" w:type="dxa"/>
            <w:tcBorders>
              <w:top w:val="single" w:color="auto" w:sz="8" w:space="0"/>
              <w:left w:val="nil"/>
              <w:bottom w:val="single" w:color="auto" w:sz="8" w:space="0"/>
              <w:right w:val="single" w:color="auto" w:sz="8" w:space="0"/>
            </w:tcBorders>
            <w:noWrap w:val="0"/>
            <w:vAlign w:val="center"/>
          </w:tcPr>
          <w:p>
            <w:pPr>
              <w:numPr>
                <w:ilvl w:val="0"/>
                <w:numId w:val="16"/>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保持实验区台面清洁。</w:t>
            </w:r>
          </w:p>
          <w:p>
            <w:pPr>
              <w:numPr>
                <w:ilvl w:val="0"/>
                <w:numId w:val="16"/>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保持仪器设备摆放征集。</w:t>
            </w:r>
          </w:p>
          <w:p>
            <w:pPr>
              <w:numPr>
                <w:ilvl w:val="0"/>
                <w:numId w:val="16"/>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按要求存储试剂。</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4）按要求处置废液。</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1276" w:type="dxa"/>
            <w:tcBorders>
              <w:top w:val="single" w:color="auto" w:sz="8" w:space="0"/>
              <w:left w:val="nil"/>
              <w:bottom w:val="single" w:color="auto" w:sz="8" w:space="0"/>
              <w:right w:val="single" w:color="auto" w:sz="4"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水质超标自动采样器</w:t>
            </w:r>
          </w:p>
        </w:tc>
        <w:tc>
          <w:tcPr>
            <w:tcW w:w="1850" w:type="dxa"/>
            <w:tcBorders>
              <w:top w:val="single" w:color="auto" w:sz="8" w:space="0"/>
              <w:left w:val="nil"/>
              <w:bottom w:val="single" w:color="auto" w:sz="8" w:space="0"/>
              <w:right w:val="single" w:color="auto" w:sz="8" w:space="0"/>
            </w:tcBorders>
            <w:noWrap w:val="0"/>
            <w:vAlign w:val="center"/>
          </w:tcPr>
          <w:p>
            <w:pPr>
              <w:ind w:left="36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1周1次，确保仪器稳定运行</w:t>
            </w:r>
          </w:p>
        </w:tc>
        <w:tc>
          <w:tcPr>
            <w:tcW w:w="4972" w:type="dxa"/>
            <w:tcBorders>
              <w:top w:val="single" w:color="auto" w:sz="8" w:space="0"/>
              <w:left w:val="nil"/>
              <w:bottom w:val="single" w:color="auto" w:sz="8" w:space="0"/>
              <w:right w:val="single" w:color="auto" w:sz="8" w:space="0"/>
            </w:tcBorders>
            <w:noWrap w:val="0"/>
            <w:vAlign w:val="center"/>
          </w:tcPr>
          <w:p>
            <w:pPr>
              <w:tabs>
                <w:tab w:val="left" w:pos="3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1）查看仪器状态参数，观察超标自动采样浓度及采样量是否与设定相符。</w:t>
            </w:r>
          </w:p>
          <w:p>
            <w:pPr>
              <w:tabs>
                <w:tab w:val="left" w:pos="3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2）清洗采样瓶，保持采样瓶洁净。</w:t>
            </w:r>
          </w:p>
          <w:p>
            <w:pPr>
              <w:tabs>
                <w:tab w:val="left" w:pos="3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3）有采样瓶自动密封功能的采样器检查采样瓶的自动密封功能是否完好。</w:t>
            </w:r>
          </w:p>
          <w:p>
            <w:pPr>
              <w:tabs>
                <w:tab w:val="left" w:pos="3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4）有门禁功能的采样器的检查门禁功能是否完好。</w:t>
            </w:r>
          </w:p>
          <w:p>
            <w:pPr>
              <w:tabs>
                <w:tab w:val="left" w:pos="3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5）检查采样器冷藏装置功能是否完好。</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1276" w:type="dxa"/>
            <w:tcBorders>
              <w:top w:val="single" w:color="auto" w:sz="8"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化学需氧量分析仪</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（TOC）</w:t>
            </w:r>
          </w:p>
        </w:tc>
        <w:tc>
          <w:tcPr>
            <w:tcW w:w="1850" w:type="dxa"/>
            <w:vMerge w:val="restart"/>
            <w:tcBorders>
              <w:top w:val="single" w:color="auto" w:sz="8" w:space="0"/>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1周1次，确保监测仪器所需试剂充足，管路、阀门处于正常状态，仪器电极无沾污，运行稳定，比对数据合格</w:t>
            </w:r>
          </w:p>
        </w:tc>
        <w:tc>
          <w:tcPr>
            <w:tcW w:w="4972" w:type="dxa"/>
            <w:tcBorders>
              <w:top w:val="single" w:color="auto" w:sz="8" w:space="0"/>
              <w:left w:val="nil"/>
              <w:bottom w:val="single" w:color="auto" w:sz="4" w:space="0"/>
              <w:right w:val="single" w:color="auto" w:sz="8"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1)对进样管路、反应室等进行清洁维护。</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2)经常检查氮气钢瓶气压，气压不足应及时更换；检查氮气钢瓶连接处、CO2吸收瓶等处的氮气气路。</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3)更换或补充盐酸溶液、稀释用水和标准液，按时更换CO2吸收器。</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4)检查加湿器、冷凝水容器、卤素洗涤器等的水位，及时添加蒸馏水。</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5)检查TOC内部校准曲线，每月一次，对不符合的曲线应及时更换。</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6）按照说明书定期更换耗材。</w:t>
            </w:r>
          </w:p>
        </w:tc>
      </w:tr>
      <w:tr>
        <w:tblPrEx>
          <w:tblCellMar>
            <w:top w:w="0" w:type="dxa"/>
            <w:left w:w="108" w:type="dxa"/>
            <w:bottom w:w="0" w:type="dxa"/>
            <w:right w:w="108" w:type="dxa"/>
          </w:tblCellMar>
        </w:tblPrEx>
        <w:trPr>
          <w:jc w:val="center"/>
        </w:trPr>
        <w:tc>
          <w:tcPr>
            <w:tcW w:w="672" w:type="dxa"/>
            <w:tcBorders>
              <w:top w:val="single" w:color="auto" w:sz="4" w:space="0"/>
              <w:left w:val="single" w:color="auto" w:sz="8" w:space="0"/>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化学需氧量分析仪</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（CODcr）</w:t>
            </w:r>
          </w:p>
        </w:tc>
        <w:tc>
          <w:tcPr>
            <w:tcW w:w="1850" w:type="dxa"/>
            <w:vMerge w:val="continue"/>
            <w:tcBorders>
              <w:top w:val="single" w:color="auto" w:sz="4" w:space="0"/>
              <w:left w:val="nil"/>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p>
        </w:tc>
        <w:tc>
          <w:tcPr>
            <w:tcW w:w="4972" w:type="dxa"/>
            <w:tcBorders>
              <w:top w:val="single" w:color="auto" w:sz="4" w:space="0"/>
              <w:left w:val="nil"/>
              <w:bottom w:val="single" w:color="auto" w:sz="4" w:space="0"/>
              <w:right w:val="single" w:color="auto" w:sz="8" w:space="0"/>
            </w:tcBorders>
            <w:noWrap w:val="0"/>
            <w:vAlign w:val="center"/>
          </w:tcPr>
          <w:p>
            <w:pPr>
              <w:numPr>
                <w:ilvl w:val="0"/>
                <w:numId w:val="17"/>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根据消解池加热功能是否正常。</w:t>
            </w:r>
          </w:p>
          <w:p>
            <w:pPr>
              <w:numPr>
                <w:ilvl w:val="0"/>
                <w:numId w:val="17"/>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检查反应槽是否清洁。</w:t>
            </w:r>
          </w:p>
          <w:p>
            <w:pPr>
              <w:numPr>
                <w:ilvl w:val="0"/>
                <w:numId w:val="17"/>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检查泵阀是否有漏液或腐蚀情况。</w:t>
            </w:r>
          </w:p>
          <w:p>
            <w:pPr>
              <w:numPr>
                <w:ilvl w:val="0"/>
                <w:numId w:val="17"/>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定期（每月）对仪器进行校正，并做好记录。</w:t>
            </w:r>
          </w:p>
          <w:p>
            <w:pPr>
              <w:numPr>
                <w:ilvl w:val="0"/>
                <w:numId w:val="17"/>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定期收集废液。</w:t>
            </w:r>
          </w:p>
        </w:tc>
      </w:tr>
      <w:tr>
        <w:tblPrEx>
          <w:tblCellMar>
            <w:top w:w="0" w:type="dxa"/>
            <w:left w:w="108" w:type="dxa"/>
            <w:bottom w:w="0" w:type="dxa"/>
            <w:right w:w="108" w:type="dxa"/>
          </w:tblCellMar>
        </w:tblPrEx>
        <w:trPr>
          <w:jc w:val="center"/>
        </w:trPr>
        <w:tc>
          <w:tcPr>
            <w:tcW w:w="672" w:type="dxa"/>
            <w:tcBorders>
              <w:top w:val="single" w:color="auto" w:sz="4" w:space="0"/>
              <w:left w:val="single" w:color="auto" w:sz="8" w:space="0"/>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氨氮分析仪</w:t>
            </w:r>
          </w:p>
        </w:tc>
        <w:tc>
          <w:tcPr>
            <w:tcW w:w="1850" w:type="dxa"/>
            <w:vMerge w:val="continue"/>
            <w:tcBorders>
              <w:top w:val="single" w:color="auto" w:sz="4" w:space="0"/>
              <w:left w:val="nil"/>
              <w:bottom w:val="single" w:color="auto" w:sz="4"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p>
        </w:tc>
        <w:tc>
          <w:tcPr>
            <w:tcW w:w="4972" w:type="dxa"/>
            <w:tcBorders>
              <w:top w:val="single" w:color="auto" w:sz="4" w:space="0"/>
              <w:left w:val="nil"/>
              <w:bottom w:val="single" w:color="auto" w:sz="4" w:space="0"/>
              <w:right w:val="single" w:color="auto" w:sz="8" w:space="0"/>
            </w:tcBorders>
            <w:noWrap w:val="0"/>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1）查看仪器校正结果和记录，保养电极、检查电极槽、清洗电极膜。</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2）每周检查管路，检查标液、清洗液和反应液液位、试剂是否变质，及时更换或填充试剂。</w:t>
            </w:r>
          </w:p>
          <w:p>
            <w:pPr>
              <w:jc w:val="lef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3）调节、清洗或更换蠕动泵管。</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4）按照说明书定期更换耗材。</w:t>
            </w:r>
          </w:p>
        </w:tc>
      </w:tr>
      <w:tr>
        <w:tblPrEx>
          <w:tblCellMar>
            <w:top w:w="0" w:type="dxa"/>
            <w:left w:w="108" w:type="dxa"/>
            <w:bottom w:w="0" w:type="dxa"/>
            <w:right w:w="108" w:type="dxa"/>
          </w:tblCellMar>
        </w:tblPrEx>
        <w:trPr>
          <w:jc w:val="center"/>
        </w:trPr>
        <w:tc>
          <w:tcPr>
            <w:tcW w:w="672" w:type="dxa"/>
            <w:tcBorders>
              <w:top w:val="single" w:color="auto" w:sz="4" w:space="0"/>
              <w:left w:val="single" w:color="auto" w:sz="8" w:space="0"/>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总磷总氮分析仪</w:t>
            </w:r>
          </w:p>
        </w:tc>
        <w:tc>
          <w:tcPr>
            <w:tcW w:w="1850" w:type="dxa"/>
            <w:vMerge w:val="continue"/>
            <w:tcBorders>
              <w:top w:val="single" w:color="auto" w:sz="4" w:space="0"/>
              <w:left w:val="nil"/>
              <w:bottom w:val="single" w:color="auto" w:sz="4"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p>
        </w:tc>
        <w:tc>
          <w:tcPr>
            <w:tcW w:w="4972" w:type="dxa"/>
            <w:tcBorders>
              <w:top w:val="single" w:color="auto" w:sz="4" w:space="0"/>
              <w:left w:val="nil"/>
              <w:bottom w:val="single" w:color="auto" w:sz="4" w:space="0"/>
              <w:right w:val="single" w:color="auto" w:sz="8" w:space="0"/>
            </w:tcBorders>
            <w:noWrap w:val="0"/>
            <w:vAlign w:val="center"/>
          </w:tcPr>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1)根据水质情况对测量杯、进样管路和八通阀进行清洁维护。</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2)定期（每月）对仪器进行量程校正，并做好记录。</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按照要求定期更换钼酸、过硫酸钾试剂和混合标液，观察氢氧化钠、盐酸、硫酸、超纯水等剩余量并注意更换，每两周更换1次抗坏血酸（发现变色需随时更换），定期更换进样注射器柱塞头、八通阀转子和蠕动泵等易损易耗备品备件。</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4)量程校正时注意校正曲线“零点”数据，如明显偏高应查找试剂和清洗水纯度等。</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5)每次巡检时注意仪器面板应显示为在线遥控状态。</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6)注意检查、更换打印纸。</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7）按照说明书定期更换耗材</w:t>
            </w:r>
          </w:p>
        </w:tc>
      </w:tr>
      <w:tr>
        <w:tblPrEx>
          <w:tblCellMar>
            <w:top w:w="0" w:type="dxa"/>
            <w:left w:w="108" w:type="dxa"/>
            <w:bottom w:w="0" w:type="dxa"/>
            <w:right w:w="108" w:type="dxa"/>
          </w:tblCellMar>
        </w:tblPrEx>
        <w:trPr>
          <w:jc w:val="center"/>
        </w:trPr>
        <w:tc>
          <w:tcPr>
            <w:tcW w:w="672" w:type="dxa"/>
            <w:tcBorders>
              <w:top w:val="single" w:color="auto" w:sz="4" w:space="0"/>
              <w:left w:val="single" w:color="auto" w:sz="8" w:space="0"/>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五参数分析仪</w:t>
            </w:r>
          </w:p>
        </w:tc>
        <w:tc>
          <w:tcPr>
            <w:tcW w:w="1850" w:type="dxa"/>
            <w:vMerge w:val="continue"/>
            <w:tcBorders>
              <w:top w:val="single" w:color="auto" w:sz="4" w:space="0"/>
              <w:left w:val="nil"/>
              <w:bottom w:val="single" w:color="auto" w:sz="4"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p>
        </w:tc>
        <w:tc>
          <w:tcPr>
            <w:tcW w:w="4972" w:type="dxa"/>
            <w:tcBorders>
              <w:top w:val="single" w:color="auto" w:sz="4" w:space="0"/>
              <w:left w:val="nil"/>
              <w:bottom w:val="single" w:color="auto" w:sz="4" w:space="0"/>
              <w:right w:val="single" w:color="auto" w:sz="8" w:space="0"/>
            </w:tcBorders>
            <w:noWrap w:val="0"/>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1）清洗五参数电极，视水质情况而定，每周至少1次；</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2）用化学法清洗电导率和浊度探头，每月1次；</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3）校正pH和溶解氧电极，每月至少1次。停机后复机，应重新校准。</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4）按照说明书定期更换耗材</w:t>
            </w:r>
          </w:p>
        </w:tc>
      </w:tr>
      <w:tr>
        <w:tblPrEx>
          <w:tblCellMar>
            <w:top w:w="0" w:type="dxa"/>
            <w:left w:w="108" w:type="dxa"/>
            <w:bottom w:w="0" w:type="dxa"/>
            <w:right w:w="108" w:type="dxa"/>
          </w:tblCellMar>
        </w:tblPrEx>
        <w:trPr>
          <w:jc w:val="center"/>
        </w:trPr>
        <w:tc>
          <w:tcPr>
            <w:tcW w:w="672" w:type="dxa"/>
            <w:tcBorders>
              <w:top w:val="single" w:color="auto" w:sz="4"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w:t>
            </w:r>
          </w:p>
        </w:tc>
        <w:tc>
          <w:tcPr>
            <w:tcW w:w="1276" w:type="dxa"/>
            <w:tcBorders>
              <w:top w:val="single" w:color="auto" w:sz="4"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高锰酸盐指数</w:t>
            </w:r>
          </w:p>
        </w:tc>
        <w:tc>
          <w:tcPr>
            <w:tcW w:w="1850" w:type="dxa"/>
            <w:tcBorders>
              <w:top w:val="single" w:color="auto" w:sz="4" w:space="0"/>
              <w:left w:val="nil"/>
              <w:bottom w:val="single" w:color="auto" w:sz="4"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p>
        </w:tc>
        <w:tc>
          <w:tcPr>
            <w:tcW w:w="4972" w:type="dxa"/>
            <w:tcBorders>
              <w:top w:val="single" w:color="auto" w:sz="4" w:space="0"/>
              <w:left w:val="nil"/>
              <w:bottom w:val="single" w:color="auto" w:sz="8" w:space="0"/>
              <w:right w:val="single" w:color="auto" w:sz="8" w:space="0"/>
            </w:tcBorders>
            <w:noWrap w:val="0"/>
            <w:vAlign w:val="center"/>
          </w:tcPr>
          <w:p>
            <w:pPr>
              <w:numPr>
                <w:ilvl w:val="0"/>
                <w:numId w:val="18"/>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检查反应槽是否清洁并定期清洗。</w:t>
            </w:r>
          </w:p>
          <w:p>
            <w:pPr>
              <w:numPr>
                <w:ilvl w:val="0"/>
                <w:numId w:val="18"/>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检查进样装置是否有漏液、漏气现象。</w:t>
            </w:r>
          </w:p>
          <w:p>
            <w:pPr>
              <w:numPr>
                <w:ilvl w:val="0"/>
                <w:numId w:val="18"/>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定期（每月）对仪器进行校正，并做好记录。</w:t>
            </w:r>
          </w:p>
          <w:p>
            <w:pPr>
              <w:numPr>
                <w:ilvl w:val="0"/>
                <w:numId w:val="18"/>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检查标液是否过期并定期更换。</w:t>
            </w:r>
          </w:p>
          <w:p>
            <w:pPr>
              <w:numPr>
                <w:ilvl w:val="0"/>
                <w:numId w:val="18"/>
              </w:num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检查纯水是否污染及缺失，定期更换及添加。</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4"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w:t>
            </w:r>
          </w:p>
        </w:tc>
        <w:tc>
          <w:tcPr>
            <w:tcW w:w="1276" w:type="dxa"/>
            <w:tcBorders>
              <w:top w:val="single" w:color="auto" w:sz="8" w:space="0"/>
              <w:left w:val="nil"/>
              <w:bottom w:val="single" w:color="auto" w:sz="4"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流速流量仪</w:t>
            </w:r>
          </w:p>
        </w:tc>
        <w:tc>
          <w:tcPr>
            <w:tcW w:w="1850" w:type="dxa"/>
            <w:tcBorders>
              <w:left w:val="nil"/>
              <w:bottom w:val="single" w:color="auto" w:sz="4"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1周1次</w:t>
            </w:r>
          </w:p>
        </w:tc>
        <w:tc>
          <w:tcPr>
            <w:tcW w:w="4972" w:type="dxa"/>
            <w:tcBorders>
              <w:top w:val="single" w:color="auto" w:sz="8" w:space="0"/>
              <w:left w:val="nil"/>
              <w:bottom w:val="single" w:color="auto" w:sz="4" w:space="0"/>
              <w:right w:val="single" w:color="auto" w:sz="8" w:space="0"/>
            </w:tcBorders>
            <w:noWrap w:val="0"/>
            <w:vAlign w:val="center"/>
          </w:tcPr>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按照说明书进行维护</w:t>
            </w:r>
          </w:p>
        </w:tc>
      </w:tr>
      <w:tr>
        <w:tblPrEx>
          <w:tblCellMar>
            <w:top w:w="0" w:type="dxa"/>
            <w:left w:w="108" w:type="dxa"/>
            <w:bottom w:w="0" w:type="dxa"/>
            <w:right w:w="108" w:type="dxa"/>
          </w:tblCellMar>
        </w:tblPrEx>
        <w:trPr>
          <w:jc w:val="center"/>
        </w:trPr>
        <w:tc>
          <w:tcPr>
            <w:tcW w:w="672" w:type="dxa"/>
            <w:tcBorders>
              <w:top w:val="single" w:color="auto" w:sz="4"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w:t>
            </w:r>
          </w:p>
        </w:tc>
        <w:tc>
          <w:tcPr>
            <w:tcW w:w="1276" w:type="dxa"/>
            <w:tcBorders>
              <w:top w:val="single" w:color="auto" w:sz="4"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质控系统</w:t>
            </w:r>
          </w:p>
        </w:tc>
        <w:tc>
          <w:tcPr>
            <w:tcW w:w="1850" w:type="dxa"/>
            <w:tcBorders>
              <w:top w:val="single" w:color="auto" w:sz="4" w:space="0"/>
              <w:left w:val="nil"/>
              <w:bottom w:val="single" w:color="auto" w:sz="4"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1周1次</w:t>
            </w:r>
          </w:p>
        </w:tc>
        <w:tc>
          <w:tcPr>
            <w:tcW w:w="4972" w:type="dxa"/>
            <w:tcBorders>
              <w:top w:val="single" w:color="auto" w:sz="4" w:space="0"/>
              <w:left w:val="nil"/>
              <w:bottom w:val="single" w:color="auto" w:sz="8" w:space="0"/>
              <w:right w:val="single" w:color="auto" w:sz="8" w:space="0"/>
            </w:tcBorders>
            <w:noWrap w:val="0"/>
            <w:vAlign w:val="center"/>
          </w:tcPr>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1）检查质控系统纯水是否需要添加。</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2）检查注射泵是否工作正常，有无漏液、漏气现象。</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3）检查母液是否过期。</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4）定期更换耗材及母液。</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站房</w:t>
            </w:r>
          </w:p>
        </w:tc>
        <w:tc>
          <w:tcPr>
            <w:tcW w:w="1850" w:type="dxa"/>
            <w:tcBorders>
              <w:top w:val="single" w:color="auto" w:sz="4" w:space="0"/>
              <w:left w:val="nil"/>
              <w:bottom w:val="single" w:color="auto" w:sz="4" w:space="0"/>
              <w:right w:val="single" w:color="auto" w:sz="8" w:space="0"/>
            </w:tcBorders>
            <w:noWrap w:val="0"/>
            <w:vAlign w:val="center"/>
          </w:tcPr>
          <w:p>
            <w:pPr>
              <w:widowControl/>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1周1次，确保水站站房安全及卫生</w:t>
            </w:r>
          </w:p>
        </w:tc>
        <w:tc>
          <w:tcPr>
            <w:tcW w:w="4972" w:type="dxa"/>
            <w:tcBorders>
              <w:top w:val="single" w:color="auto" w:sz="8" w:space="0"/>
              <w:left w:val="nil"/>
              <w:bottom w:val="single" w:color="auto" w:sz="8" w:space="0"/>
              <w:right w:val="single" w:color="auto" w:sz="8" w:space="0"/>
            </w:tcBorders>
            <w:noWrap w:val="0"/>
            <w:vAlign w:val="center"/>
          </w:tcPr>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1）巡查站房周边环境及供电、采配水、防雷、消防设施，确认水站电路系统、通讯线路是否正常，排除安全隐患。</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2）检查门禁及动环系统、视频系统是否工作正常。</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3）现场有看站人的看站人员每天打扫站房卫生，物品摆放整齐。</w:t>
            </w:r>
          </w:p>
        </w:tc>
      </w:tr>
      <w:tr>
        <w:tblPrEx>
          <w:tblCellMar>
            <w:top w:w="0" w:type="dxa"/>
            <w:left w:w="108" w:type="dxa"/>
            <w:bottom w:w="0" w:type="dxa"/>
            <w:right w:w="108" w:type="dxa"/>
          </w:tblCellMar>
        </w:tblPrEx>
        <w:trPr>
          <w:jc w:val="center"/>
        </w:trPr>
        <w:tc>
          <w:tcPr>
            <w:tcW w:w="672"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w:t>
            </w:r>
          </w:p>
        </w:tc>
        <w:tc>
          <w:tcPr>
            <w:tcW w:w="1276" w:type="dxa"/>
            <w:tcBorders>
              <w:top w:val="single" w:color="auto" w:sz="8" w:space="0"/>
              <w:left w:val="nil"/>
              <w:bottom w:val="single" w:color="auto" w:sz="8" w:space="0"/>
              <w:right w:val="single" w:color="auto" w:sz="4" w:space="0"/>
            </w:tcBorders>
            <w:noWrap w:val="0"/>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运维记录</w:t>
            </w:r>
          </w:p>
        </w:tc>
        <w:tc>
          <w:tcPr>
            <w:tcW w:w="1850" w:type="dxa"/>
            <w:tcBorders>
              <w:top w:val="single" w:color="auto" w:sz="4" w:space="0"/>
              <w:left w:val="nil"/>
              <w:bottom w:val="single" w:color="auto" w:sz="8" w:space="0"/>
              <w:right w:val="single" w:color="auto" w:sz="8" w:space="0"/>
            </w:tcBorders>
            <w:noWrap w:val="0"/>
            <w:vAlign w:val="center"/>
          </w:tcPr>
          <w:p>
            <w:pPr>
              <w:widowControl/>
              <w:ind w:firstLine="315" w:firstLineChars="15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1周1次</w:t>
            </w:r>
          </w:p>
        </w:tc>
        <w:tc>
          <w:tcPr>
            <w:tcW w:w="4972" w:type="dxa"/>
            <w:tcBorders>
              <w:top w:val="single" w:color="auto" w:sz="8" w:space="0"/>
              <w:left w:val="nil"/>
              <w:bottom w:val="single" w:color="auto" w:sz="8" w:space="0"/>
              <w:right w:val="single" w:color="auto" w:sz="8" w:space="0"/>
            </w:tcBorders>
            <w:noWrap w:val="0"/>
            <w:vAlign w:val="center"/>
          </w:tcPr>
          <w:p>
            <w:pPr>
              <w:ind w:left="239" w:leftChars="11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登录“河南省水质自动站运维质控管理系统”，现场填写水站运维管理、质控管理等相关记录、表格。</w:t>
            </w:r>
          </w:p>
        </w:tc>
      </w:tr>
    </w:tbl>
    <w:p>
      <w:pPr>
        <w:snapToGrid w:val="0"/>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3</w:t>
      </w:r>
      <w:r>
        <w:rPr>
          <w:rFonts w:hint="eastAsia" w:asciiTheme="minorEastAsia" w:hAnsiTheme="minorEastAsia" w:eastAsiaTheme="minorEastAsia" w:cstheme="minorEastAsia"/>
          <w:b/>
          <w:bCs/>
          <w:sz w:val="21"/>
          <w:szCs w:val="21"/>
        </w:rPr>
        <w:t>.3停机维护规定</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.3.1短时间停机（停机时间小于24小时）：一般关机即可，再次运行时仪器需重新校准。</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3.2长时间停机（连续停机时间超过24小时）：如果分析仪需要停机24小时或更长时间，一般需关闭分析仪器和进样阀，关闭电源。并用蒸馏水清洗分析仪器的蠕动泵以及试剂管路；清洗测量室并排空；对于测量电极，应取下并将电极头浸入保护液中存放。停机后应将停机申请传真到</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.3.3停机期间，开展全程序的手工采样，国标法分析COD、氨氮和总磷，每周2次；分析数据按要求上报</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。停机期间，每周进行停机维护。</w:t>
      </w: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3</w:t>
      </w:r>
      <w:r>
        <w:rPr>
          <w:rFonts w:hint="eastAsia" w:asciiTheme="minorEastAsia" w:hAnsiTheme="minorEastAsia" w:eastAsiaTheme="minorEastAsia" w:cstheme="minorEastAsia"/>
          <w:b/>
          <w:bCs/>
          <w:sz w:val="21"/>
          <w:szCs w:val="21"/>
        </w:rPr>
        <w:t>.4数据管理</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.4.1水质自动站运行指标要求：</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水站各分析仪器数据传输率不低于90%，数据有效率不低于90％（除去停水停电，性能测试及其他不可抗拒因素引起的故障）。</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.4.2保证在运营维护管理期内，数据误差符合检测项目性能指标要求。</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4.3采用间歇测定情况下（4小时/次），五参数自动分析仪、总磷水质自动分析仪、总氮水质自动分析仪、氨氮水质自动分析仪、化学需氧量自动分析仪、高锰酸盐指数水质自动分析仪等至少每天保证有4组有效数据。</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.4.4每天上午10:00前，登录“河南省水质监测系统”平台，对水站前一天的自动监测数据进行初步审核。发现异常数据时，对数据进行标记，查明原因，并做好相关记录。</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.4.5当确认水站仪器正常运行，而监测数据异常，且超出历史正常水平时( 上年度均值)，须2小时内报告</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，同时继续保证系统仪器正常运行，监测数据准确，传输畅通，并协助</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进行手工监测。</w:t>
      </w: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3</w:t>
      </w:r>
      <w:r>
        <w:rPr>
          <w:rFonts w:hint="eastAsia" w:asciiTheme="minorEastAsia" w:hAnsiTheme="minorEastAsia" w:eastAsiaTheme="minorEastAsia" w:cstheme="minorEastAsia"/>
          <w:b/>
          <w:bCs/>
          <w:sz w:val="21"/>
          <w:szCs w:val="21"/>
        </w:rPr>
        <w:t>.5故障排除</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bCs/>
          <w:sz w:val="21"/>
          <w:szCs w:val="21"/>
        </w:rPr>
        <w:t>.5.1</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发现水站系统故障时应及时排除，及时上报</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，并采取应急补救措施并填写有关情况记录。</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bCs/>
          <w:sz w:val="21"/>
          <w:szCs w:val="21"/>
        </w:rPr>
        <w:t>.5.2</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故障响应时间不超过4小时，一般故障排除时间不超过24小时，重大故障排除时间不超过48小时，如故障排除时间超过48小时，需提供备机或其他有效方式保证不间断的获取水站数据。</w:t>
      </w:r>
    </w:p>
    <w:p>
      <w:pPr>
        <w:pStyle w:val="10"/>
        <w:spacing w:line="360" w:lineRule="auto"/>
        <w:ind w:left="0" w:leftChars="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3</w:t>
      </w:r>
      <w:r>
        <w:rPr>
          <w:rFonts w:hint="eastAsia" w:asciiTheme="minorEastAsia" w:hAnsiTheme="minorEastAsia" w:eastAsiaTheme="minorEastAsia" w:cstheme="minorEastAsia"/>
          <w:b/>
          <w:sz w:val="21"/>
          <w:szCs w:val="21"/>
        </w:rPr>
        <w:t>.6运维记录表格</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认真、及时做好各类记录，每季度以书面形式报</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，书面报告作为运行维护考核依据之一，具体包括：</w:t>
      </w:r>
    </w:p>
    <w:p>
      <w:pPr>
        <w:spacing w:line="360" w:lineRule="auto"/>
        <w:ind w:firstLine="840" w:firstLineChars="4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（1）水站日远程巡视结果记录表；</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（2）日巡视异常数据记录表；</w:t>
      </w:r>
    </w:p>
    <w:p>
      <w:pPr>
        <w:spacing w:line="360" w:lineRule="auto"/>
        <w:ind w:firstLine="840" w:firstLineChars="4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（3）水站巡检记录表；</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（4）水站试剂更换记录表；</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（5）水站备品备件更换记录表；</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（6）故障处理情况表；</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（7）水站质控样核查结果记录表；</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（8）月度地表水水质自动监测数据统计表；</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3</w:t>
      </w:r>
      <w:r>
        <w:rPr>
          <w:rFonts w:hint="eastAsia" w:asciiTheme="minorEastAsia" w:hAnsiTheme="minorEastAsia" w:eastAsiaTheme="minorEastAsia" w:cstheme="minorEastAsia"/>
          <w:b/>
          <w:sz w:val="21"/>
          <w:szCs w:val="21"/>
        </w:rPr>
        <w:t>.7 人员及车辆要求</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.7.1</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人员</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（1）人员和交通工具的总体配置要求：每3-4个站点至少配置1名专业技术人员，每7个站点至少配置1辆</w:t>
      </w:r>
      <w:r>
        <w:rPr>
          <w:rFonts w:hint="eastAsia" w:asciiTheme="minorEastAsia" w:hAnsiTheme="minorEastAsia" w:eastAsiaTheme="minorEastAsia" w:cstheme="minorEastAsia"/>
          <w:sz w:val="21"/>
          <w:szCs w:val="21"/>
          <w:lang w:val="en-US" w:eastAsia="zh-CN"/>
        </w:rPr>
        <w:t>运维用</w:t>
      </w:r>
      <w:r>
        <w:rPr>
          <w:rFonts w:hint="eastAsia" w:asciiTheme="minorEastAsia" w:hAnsiTheme="minorEastAsia" w:eastAsiaTheme="minorEastAsia" w:cstheme="minorEastAsia"/>
          <w:sz w:val="21"/>
          <w:szCs w:val="21"/>
        </w:rPr>
        <w:t>车。</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（2）人员素质及能力：现场维护人员应至少2人1组（带重金属仪器的超级站应至少3人1组），其中带队人员应具有至少3年以上的现场维护经验，能及时发现和排除仪器故障。维护人员更换时应提前向</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报告并备案。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（3）人员分工：现场维护、系统软件维护和集成维护人员分工要明确。</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向</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提供1名常驻人员，配合</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开展水站监控运维相关工作。</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提供办公场所。</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.7.2现场看护人员</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（1）需要看站人员的站点</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选聘和管理水站现场看护人员，制定现场看护的相关规定，监督看护人员履行职责。</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（2）需要看站人员的站点</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为水站现场看护人员提供人身意外伤害保险。</w:t>
      </w:r>
    </w:p>
    <w:p>
      <w:pPr>
        <w:pStyle w:val="10"/>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3</w:t>
      </w:r>
      <w:r>
        <w:rPr>
          <w:rFonts w:hint="eastAsia" w:asciiTheme="minorEastAsia" w:hAnsiTheme="minorEastAsia" w:eastAsiaTheme="minorEastAsia" w:cstheme="minorEastAsia"/>
          <w:b/>
          <w:bCs/>
          <w:sz w:val="21"/>
          <w:szCs w:val="21"/>
        </w:rPr>
        <w:t>.8安全要求</w:t>
      </w:r>
    </w:p>
    <w:p>
      <w:pPr>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.8.1</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对水站站房及配套设施安全负责。负责水站看护人员安全教育、管理和培训，做好各水站安全防盗工作，保证门禁系统运行正常，确保水站财产安全。运维及看护人员需在</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备案，定期上报水站安全检查报告。</w:t>
      </w:r>
    </w:p>
    <w:p>
      <w:pPr>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.8.2</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根据安全用电相关规定，邀请供电部门对水站专用变压器进行防雷年检，并对变压器及电力线路安全性进行检查。</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（1）对于水站专用变压器，需聘请当地一位具有专业资质资格证并在有效期内的电工，作为专业操作人员定期维护。</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（2）对于电源防雷，应联系专业单位进行年度检测，保证站房电源配电箱（柜）中防雷空气开关正常及电源接地线接地良好</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.8.3</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应做好消防安全工作。</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水站应配备定温自动灭火器和手提式干粉灭火器，按照规定经常检查，确保保险装置没有损坏或遗失，压力表指针低于绿色区域时，应及时到消防部门进行维修和填充灭火剂，并保证在有效期内。</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 xml:space="preserve">.8.4 </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负责对站房漏水及栈桥保养的维护和维修。</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bCs/>
          <w:sz w:val="21"/>
          <w:szCs w:val="21"/>
        </w:rPr>
        <w:t>.8.5</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应做好站房防雷工作。</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每年联系有资质的检测部门在雷雨季节前对站房进行一次防雷检测，检查避雷带是否脱落，接地电阻是否合格等。对防雷设施不完善的，及时进行整改。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.8.6</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对仪器设备外壳和机柜接地情况进行检测，如不符合相关技术标准要求，及时整改到位，保证接地良好。</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.8.7</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应做好确保VPN数据传输设备、门禁系统、视频监控设施和光纤通讯线路等安全运行工作。</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.8.8</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应做好汛期采水系统安全工作。</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每年汛期，</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加强日常维护，做好系统的汛前准备、讯后恢复工作。做好水站的日常维护保养，根据防汛信息采取措施，在汛期前做好准备工作。定时联系站房看护人员，跟踪（及时）了解河水的变化情况，并制定异常情况处理预案。汛期前可根据情况将浮船等采水系统移至安全地方。防汛期间需要暂停水站运行的，须及时书面上报省环保厅后再实施。汛后及时恢复水站的正常运行。</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.8.9委托运营维护及管理的全部资产（包括全部产权和建筑物、设备、软件、配套设施、水质自动站和配套监控系统产生的各类数据信息及相关文档资料）属业主方所有。未经业主方同意，</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不得以任何方式对各类财产进行出售、抵押或转移；同时，在委托运营及管理期间，</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有责任保证上述全部资产的完整、安全并处于良好状态。</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.8.10 栈桥每年需进行安全检查和刷防锈漆进行防锈处理。完善补齐栈桥和浮船的警示标志。</w:t>
      </w: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4</w:t>
      </w:r>
      <w:r>
        <w:rPr>
          <w:rFonts w:hint="eastAsia" w:asciiTheme="minorEastAsia" w:hAnsiTheme="minorEastAsia" w:eastAsiaTheme="minorEastAsia" w:cstheme="minorEastAsia"/>
          <w:b/>
          <w:bCs/>
          <w:sz w:val="21"/>
          <w:szCs w:val="21"/>
        </w:rPr>
        <w:t>、运维质量管理与控制要求</w:t>
      </w:r>
    </w:p>
    <w:p>
      <w:pPr>
        <w:autoSpaceDE w:val="0"/>
        <w:autoSpaceDN w:val="0"/>
        <w:adjustRightInd w:val="0"/>
        <w:spacing w:line="360" w:lineRule="auto"/>
        <w:ind w:firstLine="211" w:firstLineChars="1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4</w:t>
      </w:r>
      <w:r>
        <w:rPr>
          <w:rFonts w:hint="eastAsia" w:asciiTheme="minorEastAsia" w:hAnsiTheme="minorEastAsia" w:eastAsiaTheme="minorEastAsia" w:cstheme="minorEastAsia"/>
          <w:b/>
          <w:bCs/>
          <w:sz w:val="21"/>
          <w:szCs w:val="21"/>
        </w:rPr>
        <w:t>.1 运维管理方针与目标</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.1.1 运行维护管理方针：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运行规范、反应及时、数据准确、管理有效。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.1.2 运行维护管理目标</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全面贯彻质量方针、建立符合国家标准且适合于</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监管—</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运维模式下的质量管理体系，提供及时、准确、有效的技术服务，不断提高水站的运行质量，确保水质自动站能够按照</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的技术要求，提供准确监测数据所必须达到的软、硬件环境，并达到以下指标：</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数据上传率达到90%以上（实际上传数据个数/应上传数据个数×100%。）；</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数据有效率达到90%以上（因子有效数据个数/上传数据个数×100%）；</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异常情况处理率100%。平均故障响应时间（∑故障排除时间 / 故障总次数）不超过4小时。（出现故障后，</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以任何方式通知</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必需在规定时间以内到达现场进行故障排除）。</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注：1.不可抗力（如雷电、洪水、旱灾，火灾、断流等）造成系统无法运行、数据的缺失不计入统计考核指标。</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2.突发事件（如偷盗、光纤故障，停电等）造成系统无法运行、数据的缺失不计入统计考核指标。</w:t>
      </w:r>
    </w:p>
    <w:p>
      <w:pPr>
        <w:adjustRightInd w:val="0"/>
        <w:snapToGrid w:val="0"/>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4</w:t>
      </w:r>
      <w:r>
        <w:rPr>
          <w:rFonts w:hint="eastAsia" w:asciiTheme="minorEastAsia" w:hAnsiTheme="minorEastAsia" w:eastAsiaTheme="minorEastAsia" w:cstheme="minorEastAsia"/>
          <w:b/>
          <w:bCs/>
          <w:sz w:val="21"/>
          <w:szCs w:val="21"/>
        </w:rPr>
        <w:t>.2 水站运行质量管理</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 xml:space="preserve">.2.1 </w:t>
      </w:r>
      <w:r>
        <w:rPr>
          <w:rFonts w:hint="eastAsia" w:asciiTheme="minorEastAsia" w:hAnsiTheme="minorEastAsia" w:eastAsiaTheme="minorEastAsia" w:cstheme="minorEastAsia"/>
          <w:bCs/>
          <w:sz w:val="21"/>
          <w:szCs w:val="21"/>
          <w:lang w:eastAsia="zh-CN"/>
        </w:rPr>
        <w:t>中标人</w:t>
      </w:r>
      <w:r>
        <w:rPr>
          <w:rFonts w:hint="eastAsia" w:asciiTheme="minorEastAsia" w:hAnsiTheme="minorEastAsia" w:eastAsiaTheme="minorEastAsia" w:cstheme="minorEastAsia"/>
          <w:sz w:val="21"/>
          <w:szCs w:val="21"/>
        </w:rPr>
        <w:t>定期对本单位开展地表水自动监测人员进行技术培训和技术指导，培训情况上报</w:t>
      </w:r>
      <w:r>
        <w:rPr>
          <w:rFonts w:hint="eastAsia" w:asciiTheme="minorEastAsia" w:hAnsiTheme="minorEastAsia" w:eastAsiaTheme="minorEastAsia" w:cstheme="minorEastAsia"/>
          <w:bCs/>
          <w:sz w:val="21"/>
          <w:szCs w:val="21"/>
          <w:lang w:eastAsia="zh-CN"/>
        </w:rPr>
        <w:t>采购人</w:t>
      </w:r>
      <w:r>
        <w:rPr>
          <w:rFonts w:hint="eastAsia" w:asciiTheme="minorEastAsia" w:hAnsiTheme="minorEastAsia" w:eastAsiaTheme="minorEastAsia" w:cstheme="minorEastAsia"/>
          <w:sz w:val="21"/>
          <w:szCs w:val="21"/>
        </w:rPr>
        <w:t>备案。</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.2.2</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质量管理人员负责履行省控水站日常运行的质量管理和技术要求，确保水站质量保证和控制措施落实到位，水站数据质量准确可靠；</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对省控水站质量管理工作进行监督。</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 xml:space="preserve">.2.3 </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负责开展运维合同内规定的其它质量控制要求。</w:t>
      </w:r>
    </w:p>
    <w:p>
      <w:pPr>
        <w:pStyle w:val="1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 xml:space="preserve">.2.4 </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应严格按照</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的要求，对水站实施“日监视、周巡检”的日常运行维护与管理。</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每日上、下午登录数据监控平台，对水站数据上传网络平台情况进行监视，确保水站运行正常；通过视频监控系统，观察水站室内、外实时状况或选择观看历史视频数据，判官是否有异常情况，并填写《水站运维值班日志》。</w:t>
      </w:r>
    </w:p>
    <w:p>
      <w:pPr>
        <w:pStyle w:val="1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（2）每周对水站至少进行一次现场巡检，对水站系统仪器设备进行现场质量控制，并通过工控机现场登录“河南省水质自动站运维质控管理系统”，按照要求认真填报水站相关情况。</w:t>
      </w:r>
    </w:p>
    <w:p>
      <w:pPr>
        <w:pStyle w:val="1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（3）非巡检时间，水站系统若有异常情况发生应及时远程或到现场解决。</w:t>
      </w:r>
    </w:p>
    <w:p>
      <w:pPr>
        <w:pStyle w:val="1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 xml:space="preserve">.2.5 </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应严格按照</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的要求，落实水站 “单周比对、双周核查”等质量管理措施。</w:t>
      </w:r>
    </w:p>
    <w:p>
      <w:pPr>
        <w:snapToGrid w:val="0"/>
        <w:spacing w:line="360" w:lineRule="auto"/>
        <w:ind w:firstLine="630" w:firstLineChars="3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每年度单周进行1次化学需氧量、氨氮、总磷的国家标准分析方法与自动监测的比对实验，自动监测数据与实验室同步分析实际水样测试数据进行比对，比对实验结果相对误差按照河南省水质自动监测数据有效性判定原则执行：</w:t>
      </w:r>
    </w:p>
    <w:p>
      <w:pPr>
        <w:snapToGrid w:val="0"/>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（1）当自动监测数据和实验室监测数据同时在Ⅲ类（即COD≤20mg/L,氨氮≤1.0mg/L，总磷≤0.2mg/L）以内时，不考虑允许相对误差，认为自动监测数据有效。</w:t>
      </w:r>
    </w:p>
    <w:p>
      <w:pPr>
        <w:snapToGrid w:val="0"/>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（2）当水质为Ⅳ类（即COD≤30mg/L,氨氮≤1.5mg/L，总磷≤0.3mg/L）时，允许相对误差为50%。</w:t>
      </w:r>
    </w:p>
    <w:p>
      <w:pPr>
        <w:snapToGrid w:val="0"/>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（3）当水质为Ⅴ类（即COD≤40mg/L,氨氮≤2mg/L，总磷≤0.4mg/L）时，允许相对误差为30%。</w:t>
      </w:r>
    </w:p>
    <w:p>
      <w:pPr>
        <w:snapToGrid w:val="0"/>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（4）当水质为劣Ⅴ类（即COD＞40mg/L,氨氮＞2mg/L，总磷＞0.4mg/L）时，允许相对误差为20%。</w:t>
      </w:r>
    </w:p>
    <w:p>
      <w:pPr>
        <w:snapToGrid w:val="0"/>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每年度双周对氨氮、总有机碳、总磷进行一次标准溶液核查；每月对pH值、电导率、重金属监测仪器做一次标准溶液核查；相对误差≤±10%、pH值≤±0.05个单位。</w:t>
      </w:r>
    </w:p>
    <w:p>
      <w:pPr>
        <w:snapToGrid w:val="0"/>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 xml:space="preserve">.2.6 </w:t>
      </w:r>
      <w:r>
        <w:rPr>
          <w:rFonts w:hint="eastAsia" w:asciiTheme="minorEastAsia" w:hAnsiTheme="minorEastAsia" w:eastAsiaTheme="minorEastAsia" w:cstheme="minorEastAsia"/>
          <w:bCs/>
          <w:sz w:val="21"/>
          <w:szCs w:val="21"/>
          <w:lang w:eastAsia="zh-CN"/>
        </w:rPr>
        <w:t>中标人</w:t>
      </w:r>
      <w:r>
        <w:rPr>
          <w:rFonts w:hint="eastAsia" w:asciiTheme="minorEastAsia" w:hAnsiTheme="minorEastAsia" w:eastAsiaTheme="minorEastAsia" w:cstheme="minorEastAsia"/>
          <w:sz w:val="21"/>
          <w:szCs w:val="21"/>
        </w:rPr>
        <w:t>每月对水温、pH、溶解氧、电导率等进行1次比对实验，自动监测结果与国家标准分析方法监测结果的相对误差≤±20%，pH值绝对误差≤±0.2个单位、</w:t>
      </w:r>
      <w:r>
        <w:rPr>
          <w:rFonts w:hint="eastAsia" w:asciiTheme="minorEastAsia" w:hAnsiTheme="minorEastAsia" w:eastAsiaTheme="minorEastAsia" w:cstheme="minorEastAsia"/>
          <w:kern w:val="0"/>
          <w:sz w:val="21"/>
          <w:szCs w:val="21"/>
        </w:rPr>
        <w:t>DO绝对误差</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kern w:val="0"/>
          <w:sz w:val="21"/>
          <w:szCs w:val="21"/>
        </w:rPr>
        <w:t>±0.5mg/L、</w:t>
      </w:r>
      <w:r>
        <w:rPr>
          <w:rFonts w:hint="eastAsia" w:asciiTheme="minorEastAsia" w:hAnsiTheme="minorEastAsia" w:eastAsiaTheme="minorEastAsia" w:cstheme="minorEastAsia"/>
          <w:sz w:val="21"/>
          <w:szCs w:val="21"/>
        </w:rPr>
        <w:t>水温绝对误差≤±0.5℃。</w:t>
      </w:r>
    </w:p>
    <w:p>
      <w:pPr>
        <w:snapToGrid w:val="0"/>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 xml:space="preserve">.2.7 </w:t>
      </w:r>
      <w:r>
        <w:rPr>
          <w:rFonts w:hint="eastAsia" w:asciiTheme="minorEastAsia" w:hAnsiTheme="minorEastAsia" w:eastAsiaTheme="minorEastAsia" w:cstheme="minorEastAsia"/>
          <w:bCs/>
          <w:sz w:val="21"/>
          <w:szCs w:val="21"/>
          <w:lang w:eastAsia="zh-CN"/>
        </w:rPr>
        <w:t>中标人</w:t>
      </w:r>
      <w:r>
        <w:rPr>
          <w:rFonts w:hint="eastAsia" w:asciiTheme="minorEastAsia" w:hAnsiTheme="minorEastAsia" w:eastAsiaTheme="minorEastAsia" w:cstheme="minorEastAsia"/>
          <w:sz w:val="21"/>
          <w:szCs w:val="21"/>
        </w:rPr>
        <w:t>每月对特殊项目</w:t>
      </w:r>
      <w:r>
        <w:rPr>
          <w:rFonts w:hint="eastAsia" w:asciiTheme="minorEastAsia" w:hAnsiTheme="minorEastAsia" w:eastAsiaTheme="minorEastAsia" w:cstheme="minorEastAsia"/>
          <w:bCs/>
          <w:sz w:val="21"/>
          <w:szCs w:val="21"/>
        </w:rPr>
        <w:t>重金属、氰化物、挥发性有机物</w:t>
      </w:r>
      <w:r>
        <w:rPr>
          <w:rFonts w:hint="eastAsia" w:asciiTheme="minorEastAsia" w:hAnsiTheme="minorEastAsia" w:eastAsiaTheme="minorEastAsia" w:cstheme="minorEastAsia"/>
          <w:sz w:val="21"/>
          <w:szCs w:val="21"/>
        </w:rPr>
        <w:t>等在线分析仪器进行1次比对实验，自动监测结果与国家标准分析方法监测结果的相对误差≤±20%。</w:t>
      </w:r>
    </w:p>
    <w:p>
      <w:pPr>
        <w:snapToGrid w:val="0"/>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 xml:space="preserve">.2.8 </w:t>
      </w:r>
      <w:r>
        <w:rPr>
          <w:rFonts w:hint="eastAsia" w:asciiTheme="minorEastAsia" w:hAnsiTheme="minorEastAsia" w:eastAsiaTheme="minorEastAsia" w:cstheme="minorEastAsia"/>
          <w:bCs/>
          <w:sz w:val="21"/>
          <w:szCs w:val="21"/>
          <w:lang w:eastAsia="zh-CN"/>
        </w:rPr>
        <w:t>中标人</w:t>
      </w:r>
      <w:r>
        <w:rPr>
          <w:rFonts w:hint="eastAsia" w:asciiTheme="minorEastAsia" w:hAnsiTheme="minorEastAsia" w:eastAsiaTheme="minorEastAsia" w:cstheme="minorEastAsia"/>
          <w:sz w:val="21"/>
          <w:szCs w:val="21"/>
        </w:rPr>
        <w:t>每个月对自动站监测仪器至少进行一次TOC、氨氮、总磷等分析仪器零点和量程校正，并校验TOC与化学需氧量的换算系数并编写《TOC-COD转换系数报告》。</w:t>
      </w:r>
    </w:p>
    <w:p>
      <w:pPr>
        <w:snapToGrid w:val="0"/>
        <w:spacing w:line="360" w:lineRule="auto"/>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 </w:t>
      </w:r>
      <w:r>
        <w:rPr>
          <w:rFonts w:hint="eastAsia" w:asciiTheme="minorEastAsia" w:hAnsiTheme="minorEastAsia" w:eastAsiaTheme="minorEastAsia" w:cstheme="minorEastAsia"/>
          <w:bCs/>
          <w:sz w:val="21"/>
          <w:szCs w:val="21"/>
          <w:lang w:eastAsia="zh-CN"/>
        </w:rPr>
        <w:t>中标人</w:t>
      </w:r>
      <w:r>
        <w:rPr>
          <w:rFonts w:hint="eastAsia" w:asciiTheme="minorEastAsia" w:hAnsiTheme="minorEastAsia" w:eastAsiaTheme="minorEastAsia" w:cstheme="minorEastAsia"/>
          <w:sz w:val="21"/>
          <w:szCs w:val="21"/>
        </w:rPr>
        <w:t>在枯水期、平水期和丰水期分别进行TOC-COD转换曲线的比对实验，根据实验结果计算TOC-COD转换曲线的换算系数。</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 </w:t>
      </w:r>
      <w:r>
        <w:rPr>
          <w:rFonts w:hint="eastAsia" w:asciiTheme="minorEastAsia" w:hAnsiTheme="minorEastAsia" w:eastAsiaTheme="minorEastAsia" w:cstheme="minorEastAsia"/>
          <w:bCs/>
          <w:sz w:val="21"/>
          <w:szCs w:val="21"/>
          <w:lang w:eastAsia="zh-CN"/>
        </w:rPr>
        <w:t>中标人</w:t>
      </w:r>
      <w:r>
        <w:rPr>
          <w:rFonts w:hint="eastAsia" w:asciiTheme="minorEastAsia" w:hAnsiTheme="minorEastAsia" w:eastAsiaTheme="minorEastAsia" w:cstheme="minorEastAsia"/>
          <w:sz w:val="21"/>
          <w:szCs w:val="21"/>
        </w:rPr>
        <w:t>总有机碳与化学需氧量进行转换系数的比对实验结果、转换系数的更改需经</w:t>
      </w:r>
      <w:r>
        <w:rPr>
          <w:rFonts w:hint="eastAsia" w:asciiTheme="minorEastAsia" w:hAnsiTheme="minorEastAsia" w:eastAsiaTheme="minorEastAsia" w:cstheme="minorEastAsia"/>
          <w:bCs/>
          <w:sz w:val="21"/>
          <w:szCs w:val="21"/>
          <w:lang w:eastAsia="zh-CN"/>
        </w:rPr>
        <w:t>采购人</w:t>
      </w:r>
      <w:r>
        <w:rPr>
          <w:rFonts w:hint="eastAsia" w:asciiTheme="minorEastAsia" w:hAnsiTheme="minorEastAsia" w:eastAsiaTheme="minorEastAsia" w:cstheme="minorEastAsia"/>
          <w:sz w:val="21"/>
          <w:szCs w:val="21"/>
        </w:rPr>
        <w:t>批准后实施。</w:t>
      </w:r>
    </w:p>
    <w:p>
      <w:pPr>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.2.9 在线监测仪器期间核查</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bCs/>
          <w:sz w:val="21"/>
          <w:szCs w:val="21"/>
          <w:lang w:eastAsia="zh-CN"/>
        </w:rPr>
        <w:t>中标人</w:t>
      </w:r>
      <w:r>
        <w:rPr>
          <w:rFonts w:hint="eastAsia" w:asciiTheme="minorEastAsia" w:hAnsiTheme="minorEastAsia" w:eastAsiaTheme="minorEastAsia" w:cstheme="minorEastAsia"/>
          <w:sz w:val="21"/>
          <w:szCs w:val="21"/>
        </w:rPr>
        <w:t>每半年对监测仪器进行1次期间核查。</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（2）每年进行1次检定或校准。</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 </w:t>
      </w:r>
      <w:r>
        <w:rPr>
          <w:rFonts w:hint="eastAsia" w:asciiTheme="minorEastAsia" w:hAnsiTheme="minorEastAsia" w:eastAsiaTheme="minorEastAsia" w:cstheme="minorEastAsia"/>
          <w:bCs/>
          <w:sz w:val="21"/>
          <w:szCs w:val="21"/>
          <w:lang w:eastAsia="zh-CN"/>
        </w:rPr>
        <w:t>中标人</w:t>
      </w:r>
      <w:r>
        <w:rPr>
          <w:rFonts w:hint="eastAsia" w:asciiTheme="minorEastAsia" w:hAnsiTheme="minorEastAsia" w:eastAsiaTheme="minorEastAsia" w:cstheme="minorEastAsia"/>
          <w:sz w:val="21"/>
          <w:szCs w:val="21"/>
        </w:rPr>
        <w:t>应定期维护仪器设备，在仪器发生故障时，能及时发现和维修，修复后及时仪器进行重新检定或校准，并进行仪器性能测试，确保监测仪器在正常状态下工作。</w:t>
      </w:r>
    </w:p>
    <w:p>
      <w:pPr>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.2.10 在线监测仪器性能测试</w:t>
      </w:r>
    </w:p>
    <w:p>
      <w:pPr>
        <w:snapToGrid w:val="0"/>
        <w:spacing w:line="360" w:lineRule="auto"/>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精密度：连续测定同一水样6次，测定结果相对标准偏差≤±10%；</w:t>
      </w:r>
    </w:p>
    <w:p>
      <w:pPr>
        <w:snapToGrid w:val="0"/>
        <w:spacing w:line="360" w:lineRule="auto"/>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（2）准确度：连续测定同一标准样品6次，测定结果相对误差≤±10%。</w:t>
      </w:r>
    </w:p>
    <w:p>
      <w:pPr>
        <w:snapToGrid w:val="0"/>
        <w:spacing w:line="360" w:lineRule="auto"/>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 xml:space="preserve">.2.11 </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每年对监测仪器进行1次3-5个浓度点的多点校准。</w:t>
      </w:r>
    </w:p>
    <w:p>
      <w:pPr>
        <w:snapToGrid w:val="0"/>
        <w:spacing w:line="360" w:lineRule="auto"/>
        <w:ind w:firstLine="211" w:firstLineChars="1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4</w:t>
      </w:r>
      <w:r>
        <w:rPr>
          <w:rFonts w:hint="eastAsia" w:asciiTheme="minorEastAsia" w:hAnsiTheme="minorEastAsia" w:eastAsiaTheme="minorEastAsia" w:cstheme="minorEastAsia"/>
          <w:b/>
          <w:bCs/>
          <w:sz w:val="21"/>
          <w:szCs w:val="21"/>
        </w:rPr>
        <w:t>.3 试剂质量要求</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水站所用试剂必须为分析纯或优级纯级别，且未失效；所用纯水或超纯水须达到相关技术要求。</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.3.1 标准溶液和试剂的配制按计量认证的要求进行；</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.3.2 标准贮备液在冷藏柜（4℃）中保存期限一般不得超过一年；</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.3.3 标准使用液在冷藏柜（4℃）中贮存期除有明确的规定外，一般不得超过三个月，或根据需要临用现配；</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.3.4 水站仪器所用试剂更换周期应根据试剂稳定性有所区别，一般不超过两星期，最长不得超过一个月，总磷总氮仪器所用抗坏血酸试剂必须每半月更换一次（发现变色需随时更换）。</w:t>
      </w:r>
    </w:p>
    <w:p>
      <w:pPr>
        <w:snapToGrid w:val="0"/>
        <w:spacing w:line="360" w:lineRule="auto"/>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4</w:t>
      </w:r>
      <w:r>
        <w:rPr>
          <w:rFonts w:hint="eastAsia" w:asciiTheme="minorEastAsia" w:hAnsiTheme="minorEastAsia" w:eastAsiaTheme="minorEastAsia" w:cstheme="minorEastAsia"/>
          <w:b/>
          <w:bCs/>
          <w:sz w:val="21"/>
          <w:szCs w:val="21"/>
        </w:rPr>
        <w:t>.4 质量控制监督检查</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.4.1</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对</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运维水站的运行情况、自动监测数据质量进行定期或不定期的专项检查。</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 xml:space="preserve">.4.2 </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对</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运维水站实施现场质量管理检查与现场质控考核的飞行巡检。</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 xml:space="preserve">.4.3 </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对</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不定期进行能力验证考核。</w:t>
      </w:r>
    </w:p>
    <w:p>
      <w:pPr>
        <w:adjustRightInd w:val="0"/>
        <w:snapToGrid w:val="0"/>
        <w:spacing w:line="360" w:lineRule="auto"/>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4</w:t>
      </w:r>
      <w:r>
        <w:rPr>
          <w:rFonts w:hint="eastAsia" w:asciiTheme="minorEastAsia" w:hAnsiTheme="minorEastAsia" w:eastAsiaTheme="minorEastAsia" w:cstheme="minorEastAsia"/>
          <w:b/>
          <w:bCs/>
          <w:sz w:val="21"/>
          <w:szCs w:val="21"/>
        </w:rPr>
        <w:t>.5 水站运行异常情况报告</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.5.1 发生下列情况导致水站不能正常运行的，</w:t>
      </w:r>
      <w:r>
        <w:rPr>
          <w:rFonts w:hint="eastAsia" w:asciiTheme="minorEastAsia" w:hAnsiTheme="minorEastAsia" w:eastAsiaTheme="minorEastAsia" w:cstheme="minorEastAsia"/>
          <w:b/>
          <w:bCs/>
          <w:sz w:val="21"/>
          <w:szCs w:val="21"/>
          <w:lang w:eastAsia="zh-CN"/>
        </w:rPr>
        <w:t>中标人</w:t>
      </w:r>
      <w:r>
        <w:rPr>
          <w:rFonts w:hint="eastAsia" w:asciiTheme="minorEastAsia" w:hAnsiTheme="minorEastAsia" w:eastAsiaTheme="minorEastAsia" w:cstheme="minorEastAsia"/>
          <w:sz w:val="21"/>
          <w:szCs w:val="21"/>
        </w:rPr>
        <w:t>应及时向</w:t>
      </w:r>
      <w:r>
        <w:rPr>
          <w:rFonts w:hint="eastAsia" w:asciiTheme="minorEastAsia" w:hAnsiTheme="minorEastAsia" w:eastAsiaTheme="minorEastAsia" w:cstheme="minorEastAsia"/>
          <w:b/>
          <w:bCs/>
          <w:sz w:val="21"/>
          <w:szCs w:val="21"/>
          <w:lang w:eastAsia="zh-CN"/>
        </w:rPr>
        <w:t>采购人</w:t>
      </w:r>
      <w:r>
        <w:rPr>
          <w:rFonts w:hint="eastAsia" w:asciiTheme="minorEastAsia" w:hAnsiTheme="minorEastAsia" w:eastAsiaTheme="minorEastAsia" w:cstheme="minorEastAsia"/>
          <w:sz w:val="21"/>
          <w:szCs w:val="21"/>
        </w:rPr>
        <w:t>报告并采取相应措施;</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（1）水站当地进行建设施工，水站在短期内无法运行的。</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（2）水站当地供电系统发生故障，影响水质报告发布的。</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（3）取水河段断流、河槽改道无法取水或水深低于50厘米影响取水水质的。</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（4）水站系统发生故障，在短时间内不能恢复的。</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（5）水站上游人为采取措施，阻断来水，影响水质监测的。</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.5.2 水质自动站出现系统或仪器故障，导致连续超过48h没有自动监测数据时，</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须提供备机。</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.5.3因客观原因导致水质自动站停电，整周无自动监测数据时，</w:t>
      </w:r>
      <w:r>
        <w:rPr>
          <w:rFonts w:hint="eastAsia" w:asciiTheme="minorEastAsia" w:hAnsiTheme="minorEastAsia" w:eastAsiaTheme="minorEastAsia" w:cstheme="minorEastAsia"/>
          <w:b/>
          <w:bCs/>
          <w:sz w:val="21"/>
          <w:szCs w:val="21"/>
          <w:lang w:eastAsia="zh-CN"/>
        </w:rPr>
        <w:t>中标人</w:t>
      </w:r>
      <w:r>
        <w:rPr>
          <w:rFonts w:hint="eastAsia" w:asciiTheme="minorEastAsia" w:hAnsiTheme="minorEastAsia" w:eastAsiaTheme="minorEastAsia" w:cstheme="minorEastAsia"/>
          <w:sz w:val="21"/>
          <w:szCs w:val="21"/>
        </w:rPr>
        <w:t>每周必须委托有资质的自动监测断面下游城市的环境监测站或第三方环境监测机构进行至少一次实验室分析测试。</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.5.4在线分析仪器及水站各系统备品备件、易耗品按照仪器说明书进行定时更换和随坏随换。</w:t>
      </w:r>
    </w:p>
    <w:p>
      <w:pPr>
        <w:snapToGrid w:val="0"/>
        <w:spacing w:after="156" w:afterLines="50" w:line="360" w:lineRule="auto"/>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4</w:t>
      </w:r>
      <w:r>
        <w:rPr>
          <w:rFonts w:hint="eastAsia" w:asciiTheme="minorEastAsia" w:hAnsiTheme="minorEastAsia" w:eastAsiaTheme="minorEastAsia" w:cstheme="minorEastAsia"/>
          <w:b/>
          <w:bCs/>
          <w:sz w:val="21"/>
          <w:szCs w:val="21"/>
        </w:rPr>
        <w:t>.6 水站运维质量技术档案管理</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 xml:space="preserve">.6.1 </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建立水站运维技术人员动态档案，同时报送</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 xml:space="preserve">.6.2 </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每月一次将水站监测相关数据备份，每季度结束将水站监测相关数据刻盘，归档保存。</w:t>
      </w:r>
    </w:p>
    <w:p>
      <w:pPr>
        <w:snapToGrid w:val="0"/>
        <w:spacing w:after="156" w:afterLines="50" w:line="360" w:lineRule="auto"/>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val="en-US" w:eastAsia="zh-CN"/>
        </w:rPr>
        <w:t>4</w:t>
      </w:r>
      <w:r>
        <w:rPr>
          <w:rFonts w:hint="eastAsia" w:asciiTheme="minorEastAsia" w:hAnsiTheme="minorEastAsia" w:eastAsiaTheme="minorEastAsia" w:cstheme="minorEastAsia"/>
          <w:b/>
          <w:bCs/>
          <w:sz w:val="21"/>
          <w:szCs w:val="21"/>
        </w:rPr>
        <w:t>.7 水站运维质量控制计划和报告</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 xml:space="preserve">.7.1  </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应按</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要求认真编写水站运维质量控制计划和报告，并建立水站质控管理档案。</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.7.2 按照要求编写水站运维年度质量保证工作计划并报送</w:t>
      </w:r>
      <w:r>
        <w:rPr>
          <w:rFonts w:hint="eastAsia" w:asciiTheme="minorEastAsia" w:hAnsiTheme="minorEastAsia" w:eastAsiaTheme="minorEastAsia" w:cstheme="minorEastAsia"/>
          <w:sz w:val="21"/>
          <w:szCs w:val="21"/>
          <w:lang w:eastAsia="zh-CN"/>
        </w:rPr>
        <w:t>采购人</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 xml:space="preserve"> 每月结束三个工作日内编写、报送水站运维质量保证工作月报和自查报告。</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 xml:space="preserve"> 每季度结束五个工作日内编写、报送水站运维质量保证工作季报。</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 xml:space="preserve"> 半年结束五个工作日内编写、报送一次水站运维质量保证工作总结。</w:t>
      </w:r>
    </w:p>
    <w:p>
      <w:pPr>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每年度结束前15日，编写、报送当年度水站运维质量保证工作总结。包括年度质量保证工作计划、各项质控措施实施情况的记录，水站日常数据检查处理情况、标液及试剂配制情况、每周巡检情况、仪器维修校正情况、标准溶液的核查结果、能力验证与质控考核、比对实验的结果、TOC-COD转换曲线检查结果、自动监测系统日常运行情况等记录和年度质量保证工作总结。</w:t>
      </w:r>
    </w:p>
    <w:p>
      <w:pPr>
        <w:spacing w:after="156" w:afterLines="50"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eastAsia="zh-CN"/>
        </w:rPr>
        <w:t>5</w:t>
      </w:r>
      <w:r>
        <w:rPr>
          <w:rFonts w:hint="eastAsia" w:asciiTheme="minorEastAsia" w:hAnsiTheme="minorEastAsia" w:eastAsiaTheme="minorEastAsia" w:cstheme="minorEastAsia"/>
          <w:b/>
          <w:bCs/>
          <w:sz w:val="21"/>
          <w:szCs w:val="21"/>
        </w:rPr>
        <w:t>、运维工作要求</w:t>
      </w:r>
    </w:p>
    <w:p>
      <w:pPr>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.1 根据环保部</w:t>
      </w:r>
      <w:r>
        <w:rPr>
          <w:rFonts w:hint="eastAsia" w:asciiTheme="minorEastAsia" w:hAnsiTheme="minorEastAsia" w:eastAsiaTheme="minorEastAsia" w:cstheme="minorEastAsia"/>
          <w:kern w:val="0"/>
          <w:sz w:val="21"/>
          <w:szCs w:val="21"/>
        </w:rPr>
        <w:t>《“十三五”环境监测质量管理工作方案》、</w:t>
      </w:r>
      <w:r>
        <w:rPr>
          <w:rFonts w:hint="eastAsia" w:asciiTheme="minorEastAsia" w:hAnsiTheme="minorEastAsia" w:eastAsiaTheme="minorEastAsia" w:cstheme="minorEastAsia"/>
          <w:sz w:val="21"/>
          <w:szCs w:val="21"/>
        </w:rPr>
        <w:t>《环境监测数据弄虚作假行为判定及处理办法》相关规定，环境监测机构与运维机构及其负责人对监测数据真实性和准确性负责。</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水站自动监测数据质量由</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负责。</w:t>
      </w:r>
    </w:p>
    <w:p>
      <w:pPr>
        <w:pStyle w:val="38"/>
        <w:spacing w:line="360" w:lineRule="auto"/>
        <w:ind w:firstLine="420" w:firstLineChars="200"/>
        <w:rPr>
          <w:rFonts w:hint="eastAsia" w:asciiTheme="minorEastAsia" w:hAnsiTheme="minorEastAsia" w:eastAsiaTheme="minorEastAsia" w:cstheme="minorEastAsia"/>
          <w:sz w:val="21"/>
          <w:szCs w:val="21"/>
        </w:rPr>
      </w:pPr>
    </w:p>
    <w:p>
      <w:pPr>
        <w:autoSpaceDE w:val="0"/>
        <w:autoSpaceDN w:val="0"/>
        <w:adjustRightInd w:val="0"/>
        <w:snapToGrid w:val="0"/>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5.2</w:t>
      </w:r>
      <w:r>
        <w:rPr>
          <w:rFonts w:hint="eastAsia" w:asciiTheme="minorEastAsia" w:hAnsiTheme="minorEastAsia" w:eastAsiaTheme="minorEastAsia" w:cstheme="minorEastAsia"/>
          <w:sz w:val="21"/>
          <w:szCs w:val="21"/>
        </w:rPr>
        <w:t xml:space="preserve"> 水站交接程序 </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在合同生效前</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 xml:space="preserve">应与采购人共同对水质自动监测系统的系统运行情况，仪器运行情况，数据采集情况进行实际考察，并且做好备案。 </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5.2</w:t>
      </w:r>
      <w:r>
        <w:rPr>
          <w:rFonts w:hint="eastAsia" w:asciiTheme="minorEastAsia" w:hAnsiTheme="minorEastAsia" w:eastAsiaTheme="minorEastAsia" w:cstheme="minorEastAsia"/>
          <w:sz w:val="21"/>
          <w:szCs w:val="21"/>
        </w:rPr>
        <w:t xml:space="preserve">.1 交接要求 交接包括站房主体和仪器设备等整个站点的交接： </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（1）站房主体符合规范要求，站房供电、通讯系统正常，防雷设备完好。 </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（2）各监测仪器、辅助设备与站点设备清单保持不变，数据采集和传输系统完好、运行正常。</w:t>
      </w:r>
    </w:p>
    <w:p>
      <w:pPr>
        <w:keepNext/>
        <w:keepLines/>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（3）当年的运行维护记录完整，各类证书有效。</w:t>
      </w:r>
    </w:p>
    <w:p>
      <w:pPr>
        <w:keepNext/>
        <w:keepLines/>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应组织人员、车辆，在10个工作日内完成站点交接工作。</w:t>
      </w:r>
    </w:p>
    <w:p>
      <w:pPr>
        <w:widowControl/>
        <w:shd w:val="clear" w:color="auto" w:fill="FFFFFF"/>
        <w:spacing w:line="360" w:lineRule="auto"/>
        <w:ind w:firstLine="600"/>
        <w:jc w:val="left"/>
        <w:rPr>
          <w:rFonts w:hint="eastAsia" w:asciiTheme="minorEastAsia" w:hAnsiTheme="minorEastAsia" w:eastAsiaTheme="minorEastAsia" w:cstheme="minorEastAsia"/>
          <w:b/>
          <w:bCs/>
          <w:i w:val="0"/>
          <w:color w:val="000000"/>
          <w:kern w:val="0"/>
          <w:sz w:val="21"/>
          <w:szCs w:val="21"/>
          <w:u w:val="none"/>
          <w:shd w:val="clear" w:color="auto" w:fill="FFFFFF"/>
          <w:lang w:val="en-US" w:eastAsia="zh-CN" w:bidi="ar"/>
        </w:rPr>
      </w:pPr>
    </w:p>
    <w:p>
      <w:pPr>
        <w:widowControl/>
        <w:shd w:val="clear" w:color="auto" w:fill="FFFFFF"/>
        <w:spacing w:line="360" w:lineRule="auto"/>
        <w:ind w:firstLine="600"/>
        <w:jc w:val="left"/>
        <w:rPr>
          <w:rFonts w:hint="eastAsia" w:asciiTheme="minorEastAsia" w:hAnsiTheme="minorEastAsia" w:eastAsiaTheme="minorEastAsia" w:cstheme="minorEastAsia"/>
          <w:b/>
          <w:bCs/>
          <w:i w:val="0"/>
          <w:color w:val="000000"/>
          <w:kern w:val="0"/>
          <w:sz w:val="21"/>
          <w:szCs w:val="21"/>
          <w:u w:val="none"/>
          <w:shd w:val="clear" w:color="auto" w:fill="FFFFFF"/>
          <w:lang w:val="en-US" w:eastAsia="zh-CN" w:bidi="ar"/>
        </w:rPr>
      </w:pPr>
    </w:p>
    <w:p>
      <w:pPr>
        <w:widowControl/>
        <w:shd w:val="clear" w:color="auto" w:fill="FFFFFF"/>
        <w:spacing w:line="360" w:lineRule="auto"/>
        <w:ind w:firstLine="600"/>
        <w:jc w:val="left"/>
        <w:rPr>
          <w:rFonts w:hint="eastAsia" w:asciiTheme="minorEastAsia" w:hAnsiTheme="minorEastAsia" w:eastAsiaTheme="minorEastAsia" w:cstheme="minorEastAsia"/>
          <w:b/>
          <w:bCs/>
          <w:i w:val="0"/>
          <w:color w:val="000000"/>
          <w:kern w:val="0"/>
          <w:sz w:val="21"/>
          <w:szCs w:val="21"/>
          <w:u w:val="none"/>
          <w:shd w:val="clear" w:color="auto" w:fill="FFFFFF"/>
          <w:lang w:val="en-US" w:eastAsia="zh-CN" w:bidi="ar"/>
        </w:rPr>
      </w:pPr>
      <w:r>
        <w:rPr>
          <w:rFonts w:hint="eastAsia" w:asciiTheme="minorEastAsia" w:hAnsiTheme="minorEastAsia" w:eastAsiaTheme="minorEastAsia" w:cstheme="minorEastAsia"/>
          <w:b/>
          <w:bCs/>
          <w:i w:val="0"/>
          <w:color w:val="000000"/>
          <w:kern w:val="0"/>
          <w:sz w:val="21"/>
          <w:szCs w:val="21"/>
          <w:u w:val="none"/>
          <w:shd w:val="clear" w:color="auto" w:fill="FFFFFF"/>
          <w:lang w:val="en-US" w:eastAsia="zh-CN" w:bidi="ar"/>
        </w:rPr>
        <w:t>B包：第三方比对检测及防雷设施检测及26个小型水站运维服务</w:t>
      </w:r>
    </w:p>
    <w:tbl>
      <w:tblPr>
        <w:tblStyle w:val="24"/>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7"/>
        <w:gridCol w:w="2415"/>
        <w:gridCol w:w="1005"/>
        <w:gridCol w:w="3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37" w:type="dxa"/>
            <w:noWrap w:val="0"/>
            <w:vAlign w:val="center"/>
          </w:tcPr>
          <w:p>
            <w:pPr>
              <w:pStyle w:val="15"/>
              <w:spacing w:line="24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序号</w:t>
            </w:r>
          </w:p>
        </w:tc>
        <w:tc>
          <w:tcPr>
            <w:tcW w:w="2415" w:type="dxa"/>
            <w:noWrap w:val="0"/>
            <w:vAlign w:val="center"/>
          </w:tcPr>
          <w:p>
            <w:pPr>
              <w:pStyle w:val="15"/>
              <w:spacing w:line="24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项目</w:t>
            </w:r>
          </w:p>
        </w:tc>
        <w:tc>
          <w:tcPr>
            <w:tcW w:w="1005" w:type="dxa"/>
            <w:noWrap w:val="0"/>
            <w:vAlign w:val="center"/>
          </w:tcPr>
          <w:p>
            <w:pPr>
              <w:pStyle w:val="15"/>
              <w:spacing w:line="24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服务年限</w:t>
            </w:r>
          </w:p>
        </w:tc>
        <w:tc>
          <w:tcPr>
            <w:tcW w:w="3945" w:type="dxa"/>
            <w:noWrap w:val="0"/>
            <w:vAlign w:val="center"/>
          </w:tcPr>
          <w:p>
            <w:pPr>
              <w:pStyle w:val="15"/>
              <w:spacing w:line="24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37" w:type="dxa"/>
            <w:noWrap w:val="0"/>
            <w:vAlign w:val="center"/>
          </w:tcPr>
          <w:p>
            <w:pPr>
              <w:pStyle w:val="15"/>
              <w:spacing w:line="24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1</w:t>
            </w:r>
          </w:p>
        </w:tc>
        <w:tc>
          <w:tcPr>
            <w:tcW w:w="2415" w:type="dxa"/>
            <w:noWrap w:val="0"/>
            <w:vAlign w:val="center"/>
          </w:tcPr>
          <w:p>
            <w:pPr>
              <w:pStyle w:val="15"/>
              <w:spacing w:line="24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26个小型水站运维</w:t>
            </w:r>
          </w:p>
        </w:tc>
        <w:tc>
          <w:tcPr>
            <w:tcW w:w="1005" w:type="dxa"/>
            <w:noWrap w:val="0"/>
            <w:vAlign w:val="center"/>
          </w:tcPr>
          <w:p>
            <w:pPr>
              <w:pStyle w:val="15"/>
              <w:spacing w:line="24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lang w:val="en-US" w:eastAsia="zh-CN"/>
              </w:rPr>
              <w:t>1</w:t>
            </w:r>
            <w:r>
              <w:rPr>
                <w:rFonts w:hint="eastAsia" w:asciiTheme="minorEastAsia" w:hAnsiTheme="minorEastAsia" w:eastAsiaTheme="minorEastAsia" w:cstheme="minorEastAsia"/>
                <w:kern w:val="0"/>
                <w:sz w:val="21"/>
                <w:szCs w:val="21"/>
                <w:shd w:val="clear" w:color="auto" w:fill="FFFFFF"/>
              </w:rPr>
              <w:t>年</w:t>
            </w:r>
          </w:p>
        </w:tc>
        <w:tc>
          <w:tcPr>
            <w:tcW w:w="3945" w:type="dxa"/>
            <w:noWrap w:val="0"/>
            <w:vAlign w:val="center"/>
          </w:tcPr>
          <w:p>
            <w:pPr>
              <w:pStyle w:val="15"/>
              <w:spacing w:line="24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包含运维人员工资、车辆、实验室、试剂费、耗材、备品备件、网络费、水电费等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37" w:type="dxa"/>
            <w:noWrap w:val="0"/>
            <w:vAlign w:val="center"/>
          </w:tcPr>
          <w:p>
            <w:pPr>
              <w:pStyle w:val="15"/>
              <w:spacing w:line="24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2</w:t>
            </w:r>
          </w:p>
        </w:tc>
        <w:tc>
          <w:tcPr>
            <w:tcW w:w="2415" w:type="dxa"/>
            <w:noWrap w:val="0"/>
            <w:vAlign w:val="center"/>
          </w:tcPr>
          <w:p>
            <w:pPr>
              <w:pStyle w:val="15"/>
              <w:spacing w:line="24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23个县级自动站站房防雷设施年检验费</w:t>
            </w:r>
          </w:p>
        </w:tc>
        <w:tc>
          <w:tcPr>
            <w:tcW w:w="1005" w:type="dxa"/>
            <w:noWrap w:val="0"/>
            <w:vAlign w:val="center"/>
          </w:tcPr>
          <w:p>
            <w:pPr>
              <w:pStyle w:val="15"/>
              <w:spacing w:line="24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lang w:val="en-US" w:eastAsia="zh-CN"/>
              </w:rPr>
              <w:t>1</w:t>
            </w:r>
            <w:r>
              <w:rPr>
                <w:rFonts w:hint="eastAsia" w:asciiTheme="minorEastAsia" w:hAnsiTheme="minorEastAsia" w:eastAsiaTheme="minorEastAsia" w:cstheme="minorEastAsia"/>
                <w:kern w:val="0"/>
                <w:sz w:val="21"/>
                <w:szCs w:val="21"/>
                <w:shd w:val="clear" w:color="auto" w:fill="FFFFFF"/>
              </w:rPr>
              <w:t>年</w:t>
            </w:r>
          </w:p>
        </w:tc>
        <w:tc>
          <w:tcPr>
            <w:tcW w:w="3945" w:type="dxa"/>
            <w:noWrap w:val="0"/>
            <w:vAlign w:val="center"/>
          </w:tcPr>
          <w:p>
            <w:pPr>
              <w:pStyle w:val="15"/>
              <w:spacing w:line="240" w:lineRule="auto"/>
              <w:ind w:left="0" w:leftChars="0"/>
              <w:jc w:val="center"/>
              <w:rPr>
                <w:rFonts w:hint="eastAsia" w:asciiTheme="minorEastAsia" w:hAnsiTheme="minorEastAsia" w:eastAsiaTheme="minorEastAsia" w:cstheme="minorEastAsia"/>
                <w:kern w:val="0"/>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737" w:type="dxa"/>
            <w:noWrap w:val="0"/>
            <w:vAlign w:val="center"/>
          </w:tcPr>
          <w:p>
            <w:pPr>
              <w:pStyle w:val="15"/>
              <w:spacing w:line="24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rPr>
              <w:t>3</w:t>
            </w:r>
          </w:p>
        </w:tc>
        <w:tc>
          <w:tcPr>
            <w:tcW w:w="2415" w:type="dxa"/>
            <w:noWrap w:val="0"/>
            <w:vAlign w:val="center"/>
          </w:tcPr>
          <w:p>
            <w:pPr>
              <w:pStyle w:val="15"/>
              <w:spacing w:line="24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bCs/>
                <w:kern w:val="0"/>
                <w:sz w:val="21"/>
                <w:szCs w:val="21"/>
                <w:shd w:val="clear" w:color="auto" w:fill="FFFFFF"/>
              </w:rPr>
              <w:t>23个县级自动站的第三方比对服务</w:t>
            </w:r>
          </w:p>
        </w:tc>
        <w:tc>
          <w:tcPr>
            <w:tcW w:w="1005" w:type="dxa"/>
            <w:noWrap w:val="0"/>
            <w:vAlign w:val="center"/>
          </w:tcPr>
          <w:p>
            <w:pPr>
              <w:pStyle w:val="15"/>
              <w:spacing w:line="240" w:lineRule="auto"/>
              <w:ind w:left="0" w:leftChars="0"/>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kern w:val="0"/>
                <w:sz w:val="21"/>
                <w:szCs w:val="21"/>
                <w:shd w:val="clear" w:color="auto" w:fill="FFFFFF"/>
                <w:lang w:val="en-US" w:eastAsia="zh-CN"/>
              </w:rPr>
              <w:t>1</w:t>
            </w:r>
            <w:r>
              <w:rPr>
                <w:rFonts w:hint="eastAsia" w:asciiTheme="minorEastAsia" w:hAnsiTheme="minorEastAsia" w:eastAsiaTheme="minorEastAsia" w:cstheme="minorEastAsia"/>
                <w:kern w:val="0"/>
                <w:sz w:val="21"/>
                <w:szCs w:val="21"/>
                <w:shd w:val="clear" w:color="auto" w:fill="FFFFFF"/>
              </w:rPr>
              <w:t>年</w:t>
            </w:r>
          </w:p>
        </w:tc>
        <w:tc>
          <w:tcPr>
            <w:tcW w:w="3945" w:type="dxa"/>
            <w:noWrap w:val="0"/>
            <w:vAlign w:val="center"/>
          </w:tcPr>
          <w:p>
            <w:pPr>
              <w:pStyle w:val="15"/>
              <w:spacing w:line="240" w:lineRule="auto"/>
              <w:ind w:left="0" w:leftChars="0" w:firstLine="420" w:firstLineChars="200"/>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bCs/>
                <w:kern w:val="0"/>
                <w:sz w:val="21"/>
                <w:szCs w:val="21"/>
                <w:shd w:val="clear" w:color="auto" w:fill="FFFFFF"/>
              </w:rPr>
              <w:t>一月两次</w:t>
            </w:r>
            <w:r>
              <w:rPr>
                <w:rFonts w:hint="eastAsia" w:asciiTheme="minorEastAsia" w:hAnsiTheme="minorEastAsia" w:eastAsiaTheme="minorEastAsia" w:cstheme="minorEastAsia"/>
                <w:kern w:val="0"/>
                <w:sz w:val="21"/>
                <w:szCs w:val="21"/>
              </w:rPr>
              <w:t>对自动监测仪器全参数进行一次比对工作</w:t>
            </w:r>
            <w:r>
              <w:rPr>
                <w:rFonts w:hint="eastAsia" w:asciiTheme="minorEastAsia" w:hAnsiTheme="minorEastAsia" w:eastAsiaTheme="minorEastAsia" w:cstheme="minorEastAsia"/>
                <w:bCs/>
                <w:kern w:val="0"/>
                <w:sz w:val="21"/>
                <w:szCs w:val="21"/>
                <w:shd w:val="clear" w:color="auto" w:fill="FFFFFF"/>
              </w:rPr>
              <w:t>，每次每站比对</w:t>
            </w:r>
            <w:r>
              <w:rPr>
                <w:rFonts w:hint="eastAsia" w:asciiTheme="minorEastAsia" w:hAnsiTheme="minorEastAsia" w:eastAsiaTheme="minorEastAsia" w:cstheme="minorEastAsia"/>
                <w:kern w:val="0"/>
                <w:sz w:val="21"/>
                <w:szCs w:val="21"/>
              </w:rPr>
              <w:t>内容包括常规五参数（水温、pH值、溶解氧、电导率、浊度）、氨氮、高锰酸盐指数、总氮、总磷共9个参数，其中常规五参数为现场测试项目；氨氮、高锰酸盐指数、总磷、总氮等4项为实验室测试项目。比对结果按月报监管单位，根据总站水字[2007]182号文中要求进行。</w:t>
            </w:r>
          </w:p>
        </w:tc>
      </w:tr>
    </w:tbl>
    <w:p>
      <w:pPr>
        <w:keepNext/>
        <w:keepLines/>
        <w:snapToGrid w:val="0"/>
        <w:spacing w:line="360" w:lineRule="auto"/>
        <w:rPr>
          <w:rFonts w:hint="eastAsia" w:asciiTheme="minorEastAsia" w:hAnsiTheme="minorEastAsia" w:eastAsiaTheme="minorEastAsia" w:cstheme="minorEastAsia"/>
          <w:b/>
          <w:bCs/>
          <w:sz w:val="21"/>
          <w:szCs w:val="21"/>
          <w:lang w:val="en-US" w:eastAsia="zh-CN"/>
        </w:rPr>
      </w:pPr>
    </w:p>
    <w:p>
      <w:pPr>
        <w:numPr>
          <w:ilvl w:val="0"/>
          <w:numId w:val="19"/>
        </w:numPr>
        <w:snapToGrid w:val="0"/>
        <w:spacing w:line="360" w:lineRule="auto"/>
        <w:ind w:firstLine="422" w:firstLineChars="200"/>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运维服务内容</w:t>
      </w:r>
    </w:p>
    <w:p>
      <w:pPr>
        <w:numPr>
          <w:ilvl w:val="0"/>
          <w:numId w:val="0"/>
        </w:numPr>
        <w:snapToGrid w:val="0"/>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结合河南省环保厅《关于印发河南省地表水环境质量自动监测站运行管理办法》（豫环文〔2015〕285号）要求，做好运维管理工作，具体</w:t>
      </w:r>
      <w:r>
        <w:rPr>
          <w:rFonts w:hint="eastAsia" w:asciiTheme="minorEastAsia" w:hAnsiTheme="minorEastAsia" w:eastAsiaTheme="minorEastAsia" w:cstheme="minorEastAsia"/>
          <w:sz w:val="21"/>
          <w:szCs w:val="21"/>
          <w:lang w:val="en-US" w:eastAsia="zh-CN"/>
        </w:rPr>
        <w:t>内容</w:t>
      </w:r>
      <w:r>
        <w:rPr>
          <w:rFonts w:hint="eastAsia" w:asciiTheme="minorEastAsia" w:hAnsiTheme="minorEastAsia" w:eastAsiaTheme="minorEastAsia" w:cstheme="minorEastAsia"/>
          <w:sz w:val="21"/>
          <w:szCs w:val="21"/>
        </w:rPr>
        <w:t>如下：</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（1）负责小型水站各系统的定期巡检、维护、后勤保障工作，包括小型水站管理、技术人员和车辆的调配。</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（2）比对实验的保障等工作，每月比对报告以书面报告形式上报</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（3）做好防雷和供电设施等的年度检定工作，向</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报送年度防雷报告、变压器及线路检定报告。</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（4）负责为水站运行看护人员提供人身意外伤害保险。</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（5）负责公开招、投标文件及合同中约定的其他相关工作。</w:t>
      </w:r>
    </w:p>
    <w:p>
      <w:pPr>
        <w:snapToGrid w:val="0"/>
        <w:spacing w:line="360" w:lineRule="auto"/>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2、运行维护管理总体要求</w:t>
      </w:r>
    </w:p>
    <w:p>
      <w:pPr>
        <w:snapToGrid w:val="0"/>
        <w:spacing w:line="360" w:lineRule="auto"/>
        <w:ind w:firstLine="630" w:firstLineChars="300"/>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对小型水站实施“日监视、周巡检”的日常运行维护与管理制度。24小时通过数据平台进行数据监控，保证前端小型水站与监控平台数据畅通，主要工作包括：</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（1）根据仪器监测数据判断仪器运行情况；</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（2）发现水站数据持续异常情况，应及时赶赴现场进行处理并填写有关情况记录，必要时现场采集实时水样和留样并委托有资质实验室进行分析。</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每年制定巡检计划上报市环境监控中心，每月上报月度巡检报告，年底上报年度运维报告。</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监控必须保持24小时不间断，保证前端水站与监控平台数据畅通。</w:t>
      </w:r>
    </w:p>
    <w:p>
      <w:pPr>
        <w:snapToGrid w:val="0"/>
        <w:spacing w:line="360" w:lineRule="auto"/>
        <w:ind w:firstLine="422" w:firstLineChars="20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w:t>
      </w:r>
      <w:bookmarkStart w:id="2" w:name="_Hlk25660139"/>
      <w:r>
        <w:rPr>
          <w:rFonts w:hint="eastAsia" w:asciiTheme="minorEastAsia" w:hAnsiTheme="minorEastAsia" w:eastAsiaTheme="minorEastAsia" w:cstheme="minorEastAsia"/>
          <w:b/>
          <w:sz w:val="21"/>
          <w:szCs w:val="21"/>
        </w:rPr>
        <w:t>水质自动监测站的运维管理</w:t>
      </w:r>
      <w:r>
        <w:rPr>
          <w:rFonts w:hint="eastAsia" w:asciiTheme="minorEastAsia" w:hAnsiTheme="minorEastAsia" w:eastAsiaTheme="minorEastAsia" w:cstheme="minorEastAsia"/>
          <w:b/>
          <w:sz w:val="21"/>
          <w:szCs w:val="21"/>
          <w:lang w:val="en-US" w:eastAsia="zh-CN"/>
        </w:rPr>
        <w:t>详细</w:t>
      </w:r>
      <w:r>
        <w:rPr>
          <w:rFonts w:hint="eastAsia" w:asciiTheme="minorEastAsia" w:hAnsiTheme="minorEastAsia" w:eastAsiaTheme="minorEastAsia" w:cstheme="minorEastAsia"/>
          <w:b/>
          <w:sz w:val="21"/>
          <w:szCs w:val="21"/>
        </w:rPr>
        <w:t>内容</w:t>
      </w:r>
    </w:p>
    <w:p>
      <w:pPr>
        <w:snapToGrid w:val="0"/>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 日监控的内容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天至少上午和下午两次通过运维监管软件远程查看小型水站运行数据，分析水质监测和系统状态数据，对站点运行情况进行远程诊断和运行管理，如发现数据有持续异常情况，立即前往现场进行排查。日常远程巡检工作内容主要包括：</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（1）通过运维监管软件的远程连接情况、现场数据的传输情况来判断系统数据采集与传输的情况；</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（2）根据小型水站的状态参数，如：电源电压判断站房的供电、和运行环境情况，保证仪器在适应的环境中运行；</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（3）根据系统的状态参数，如管路压力数据判断水泵的运行情况，及时进行水泵检查；</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（4）根据仪器分析数据判断监测断面的水质情况，并综合各个水质参数判断仪器的运行情况；</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在查看数据时，如果发现运行数据有持续异常值出现时，技术服务人员将在2h内前往现场进行调查，查明原因并尽快排除；先对仪器的运行情况进行检查，若确定为仪器故障时，应对异常数据做好标识，并及时排除仪器故障。</w:t>
      </w:r>
    </w:p>
    <w:p>
      <w:pPr>
        <w:snapToGrid w:val="0"/>
        <w:spacing w:line="360" w:lineRule="auto"/>
        <w:ind w:left="400"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 周巡检主要内容</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每周应巡检小型水站至少一次，主要工作包括：</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采水系统、进水与配水系统、通讯系统、控制系统、集成、配电、各分析仪器、站房的安全和卫生的维护及现场填写运维质控记录，详细如下：</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（1）检查小型水站电路系统是否正常，接地线路是否可靠，排水排气装置工作是否正常；查看分析仪器及辅助设备的运行状态和主要技术参数，判断运行是否正常。</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（2）检查采配水单元是否正常，如采水浮筒或采水浮球固定情况，潜水泵或自吸泵运行情况等；定期清洗采配水系统，包括采水头、泵体、阀门、管路等，对于无法清洗干净的及时更换；</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（3）检查系统运行状态，检查上传至平台数据和现场数据的一致性，检查仪器与系统的通讯线路是否正常；</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（4）检查保温措施，检查水泵及气泵固定情况，避免仪器振动，并及时更换耗材；</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（5）检查防雷设施是否可靠，机柜是否有漏水现象，机柜内外的其他设施是否有损坏，如遇到以上问题及时处理，保证水站系统安全运行。在封冻期来临前做好采水管路和机柜保温等维护工作；</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（6）保持机柜内外及各仪器干净整洁，避免日光直射各类分析仪器。</w:t>
      </w:r>
    </w:p>
    <w:p>
      <w:pPr>
        <w:snapToGrid w:val="0"/>
        <w:spacing w:line="360" w:lineRule="auto"/>
        <w:ind w:left="400"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 月巡检主要内容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在做好日常监视与巡检工作的同时，每月还对部分仪器进行检查及清洗，并处理故障和隐患。</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4" w:type="dxa"/>
            <w:noWrap w:val="0"/>
            <w:vAlign w:val="center"/>
          </w:tcPr>
          <w:p>
            <w:pPr>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34" w:type="dxa"/>
            <w:noWrap w:val="0"/>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1、五参数：pH电极用酸液清洗维护，检查电极是否钝化，必要时进行更换，补充DO电极电解液。检查电极表面是否清洁，对仪器管路进行保养、清洁。检查泵、管、接头是否有渗漏，必要时更换。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4" w:type="dxa"/>
            <w:noWrap w:val="0"/>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采水系统：检查取水口，清除采水设备四周杂物；根据管路压力判断水泵运行情况，检查自吸泵储水罐中是否有水，检查电机后面风叶转动是否灵活、均匀并清除异物；清洗电动球阀和电磁阀；清洗维护采水管路防止漏水和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4" w:type="dxa"/>
            <w:noWrap w:val="0"/>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配水与进水系统：检查配水管路工作情况，根据样品污染情况进行清洗；检查气泵工作状况，根据其使用情况进行维护。至少三次空气吹洗或者水洗，以便达到良好清淤效果；在不影响系统运行的前提下采用手动方式开关几次配水管路中的所有手动球阀和电磁阀，清除阀内杂物，防止损坏阀体；通过管道的压力变送器检查各水泵是否能达到原设计供水量、供水压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4" w:type="dxa"/>
            <w:noWrap w:val="0"/>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控制系统：检查外接电源是否符合技术要求，即电压220V±10%，接地电阻&lt;5欧姆（零、地电压&lt;5V），突发异常情况须及时排查；检查数据库软件是否运行正常，记录数据是否与系统的设置一致，并进行备份；检查信号传输是否正常，通过启动控制信号检查控制件是否动作正常；对数据传输网络设备进行检查维护以保障数据传输的稳定；对太阳能充电板、逆变器进行进行测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4" w:type="dxa"/>
            <w:noWrap w:val="0"/>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5、辅助系统：检查空气压缩机是否测试正常；检查防雷设备的接口是否稳固。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34" w:type="dxa"/>
            <w:noWrap w:val="0"/>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至少进行一次质控核查。每月用国家认可的质控样（或按规定方法配制的标准溶液）对自动分析仪进行一次标样溶液核查，质控样（或标准溶液）测定的相对误差应不大于标准值的±10%，若不符合，应重新绘制校准曲线，并记录结果。</w:t>
            </w:r>
          </w:p>
        </w:tc>
      </w:tr>
    </w:tbl>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备注说明：</w:t>
      </w:r>
    </w:p>
    <w:p>
      <w:pPr>
        <w:spacing w:line="360" w:lineRule="auto"/>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除标注每月一次保养，其它项每个季度进行一次系统维护保养。</w:t>
      </w:r>
    </w:p>
    <w:p>
      <w:pPr>
        <w:spacing w:line="360" w:lineRule="auto"/>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系统设备维护保养。</w:t>
      </w:r>
    </w:p>
    <w:p>
      <w:pPr>
        <w:spacing w:line="360" w:lineRule="auto"/>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对系统定期维护保养。</w:t>
      </w:r>
    </w:p>
    <w:p>
      <w:pPr>
        <w:spacing w:line="360" w:lineRule="auto"/>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应认真做好系统运行状况和维修、维护、保养详细记录。</w:t>
      </w:r>
    </w:p>
    <w:p>
      <w:pPr>
        <w:spacing w:line="360" w:lineRule="auto"/>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未经许可操作人员不得随意修改系统软件设置量程。</w:t>
      </w:r>
    </w:p>
    <w:p>
      <w:pPr>
        <w:spacing w:line="360" w:lineRule="auto"/>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不得安装其它软件或使用无关的软盘和移动存储设备，避免病毒的感染。</w:t>
      </w:r>
    </w:p>
    <w:p>
      <w:pPr>
        <w:snapToGrid w:val="0"/>
        <w:spacing w:line="360" w:lineRule="auto"/>
        <w:ind w:left="400"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 年巡检主要内容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每年对水站机柜内各仪器及系统主要零部件进行维护维修或更换，以提前发现问题，并按要求更换备件；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504" w:type="dxa"/>
            <w:noWrap w:val="0"/>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8504" w:type="dxa"/>
            <w:noWrap w:val="0"/>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1、五参数：更换DO电极传感器膜盖，更换DO电极溶解氧膜，更换pH电极传感器模块。有必要时更换五参数电极。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504" w:type="dxa"/>
            <w:noWrap w:val="0"/>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2、采水系统：维护维修或更换取水泵。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504" w:type="dxa"/>
            <w:noWrap w:val="0"/>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3、配水与进水系统：维护维修或更换各类泵、球阀和过滤装置等。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504" w:type="dxa"/>
            <w:noWrap w:val="0"/>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4、控制系统：维护维修或更换继电器和传感器等。清除设备表面灰尘，防止设备表面的灰尘的静电影响设备使用。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8504" w:type="dxa"/>
            <w:noWrap w:val="0"/>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5、辅助系统：进行全面的清洗；对辅件进行必要的维修和更换；检查维护稳压电源和继电器。</w:t>
            </w:r>
          </w:p>
        </w:tc>
      </w:tr>
    </w:tbl>
    <w:p>
      <w:pPr>
        <w:snapToGrid w:val="0"/>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3.3停机维护规定</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3.3.1短时间停机（停机时间小于24小时）：一般关机即可，再次运行时仪器需重新校准。</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3.3.2长时间停机（连续停机时间超过24小时）：如果分析仪需要停机24小时或更长时间，对于测量电极，应取下并将电极头浸入保护液中存放。停机后应将停机申请传真到</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w:t>
      </w: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3.4数据管理</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3.4.1 保证在运营维护管理期内，数据误差符合检测项目性能指标要求。</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3.4.2 每天上午10:00前，登录“水环境决策”平台，对水站前一天的自动监测数据进行初步审核。发现异常数据时，对数据进行标记，查明原因，并做好相关记录。</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3.4.3当确认水站仪器正常运行，而监测数据异常，且超出历史正常水平时( 上年度均值)，须2小时内报告</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，同时继续保证系统仪器正常运行，监测数据准确，传输畅通，并协助</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 xml:space="preserve">进行手工监测。 </w:t>
      </w:r>
    </w:p>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3.5故障排除</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3.5.1</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发现水站系统故障时应及时排除，及时上报</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，并采取应急补救措施并填写有关情况记录。</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3.5.2</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故障响应时间不超过4小时，一般故障排除时间不超过24小时，重大故障排除时间不超过48小时，如故障排除时间超过48小时，需提供备机或其他有效方式保证不间断的获取水站数据。</w:t>
      </w:r>
    </w:p>
    <w:p>
      <w:pPr>
        <w:pStyle w:val="10"/>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3.6运维记录表格</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认真、及时做好各类记录，每季度以书面形式报</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，书面报告作为运行维护考核依据之一，具体包括：</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（1）日巡视异常数据记录表；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（2）小型水站巡检记录表；</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（3）小型水站备品备件更换记录表；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（4）故障处理情况表；</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（5）小型水站质控样核查结果记录表；    </w:t>
      </w:r>
    </w:p>
    <w:p>
      <w:pPr>
        <w:spacing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3.7 人员及车辆要求</w:t>
      </w:r>
    </w:p>
    <w:p>
      <w:pPr>
        <w:spacing w:line="360" w:lineRule="auto"/>
        <w:ind w:firstLine="420" w:firstLineChars="200"/>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3.7.1</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人员</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（1）人员分工：现场维护、系统软件维护和集成维护人员分工要明确。</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向</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提供1名常驻人员，配合</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开展水站监控运维相关工作。</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提供办公场所。</w:t>
      </w:r>
    </w:p>
    <w:p>
      <w:pPr>
        <w:pStyle w:val="10"/>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3.8安全要求</w:t>
      </w:r>
    </w:p>
    <w:p>
      <w:pPr>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3.8.1</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对小型水站及配套设施安全负责。</w:t>
      </w:r>
    </w:p>
    <w:p>
      <w:pPr>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3.8.2</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根据安全用电相关规定，邀请供电部门对水站专用变压器进行防雷年检，并对变压器及电力线路安全性进行检查。</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对于电源防雷，应联系专业单位进行年度检测，保证站房电源配电箱（柜）中防雷空气开关正常及电源接地线接地良好</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3.8.3 </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负责对机柜漏水及浮漂保养的维护和维修。</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3.8.4</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应做好站房防雷工作。</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每年联系有资质的检测部门在雷雨季节前对站房进行一次防雷检测，检查避雷带是否脱落，接地电阻是否合格等。对防雷设施不完善的，及时进行整改。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3.8.5</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对仪器设备外壳和机柜接地情况进行检测，如不符合相关技术标准要求，及时整改到位，保证接地良好。</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3.8.6</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应做好确保数据传输设备等安全运行工作。</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3.8.7</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应做好汛期采水系统安全工作。</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每年汛期，</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加强日常维护，做好系统的汛前准备、讯后恢复工作。做好水站的日常维护保养，根据防汛信息采取措施，在汛期前做好准备工作。定时联系站房看护人员，跟踪（及时）了解河水的变化情况，并制定异常情况处理预案。汛期前可根据情况将浮船等采水系统移至安全地方。防汛期间需要暂停水站运行的，须及时书面上报省环保厅后再实施。汛后及时恢复水站的正常运行。</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3.8.8委托运营维护及管理的全部资产（包括全部产权和建筑物、设备、软件、配套设施、水质自动站和配套监控系统产生的各类数据信息及相关文档资料）属业主方所有。未经业主方同意，</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不得以任何方式对各类财产进行出售、抵押或转移；同时，在委托运营及管理期间，</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有责任保证上述全部资产的完整、安全并处于良好状态。</w:t>
      </w:r>
    </w:p>
    <w:bookmarkEnd w:id="2"/>
    <w:p>
      <w:pPr>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4、运维质量管理与控制要求</w:t>
      </w:r>
    </w:p>
    <w:p>
      <w:pPr>
        <w:autoSpaceDE w:val="0"/>
        <w:autoSpaceDN w:val="0"/>
        <w:adjustRightInd w:val="0"/>
        <w:spacing w:line="360" w:lineRule="auto"/>
        <w:ind w:firstLine="211" w:firstLineChars="1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4.1 运维管理方针与目标</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4.1.1 运行维护管理方针：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运行规范、反应及时、数据准确、管理有效。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4.1.2 运行维护管理目标</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全面贯彻质量方针、建立符合国家标准且适合于</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监管—</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运维模式下的质量管理体系，提供及时、准确、有效的技术服务，不断提高水站的运行质量，确保水质自动站能够按照</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的技术要求，提供准确监测数据所必须达到的软、硬件环境，并达到异常情况处理率100%。（出现故障后，</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以任何方式通知</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必需在规定时间以内到达现场进行故障排除）。</w:t>
      </w:r>
    </w:p>
    <w:p>
      <w:pPr>
        <w:spacing w:line="360" w:lineRule="auto"/>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注：</w:t>
      </w:r>
      <w:r>
        <w:rPr>
          <w:rFonts w:hint="eastAsia" w:asciiTheme="minorEastAsia" w:hAnsiTheme="minorEastAsia" w:eastAsiaTheme="minorEastAsia" w:cstheme="minorEastAsia"/>
          <w:sz w:val="21"/>
          <w:szCs w:val="21"/>
        </w:rPr>
        <w:t>不可抗力（如雷电、洪水、旱灾，火灾、断流等）造成系统无法运行、数据的缺失不计入统计考核指标。</w:t>
      </w:r>
    </w:p>
    <w:p>
      <w:pPr>
        <w:adjustRightInd w:val="0"/>
        <w:snapToGrid w:val="0"/>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4.2 水站运行质量管理</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4.2.1 </w:t>
      </w:r>
      <w:r>
        <w:rPr>
          <w:rFonts w:hint="eastAsia" w:asciiTheme="minorEastAsia" w:hAnsiTheme="minorEastAsia" w:eastAsiaTheme="minorEastAsia" w:cstheme="minorEastAsia"/>
          <w:bCs/>
          <w:sz w:val="21"/>
          <w:szCs w:val="21"/>
          <w:lang w:eastAsia="zh-CN"/>
        </w:rPr>
        <w:t>中标人</w:t>
      </w:r>
      <w:r>
        <w:rPr>
          <w:rFonts w:hint="eastAsia" w:asciiTheme="minorEastAsia" w:hAnsiTheme="minorEastAsia" w:eastAsiaTheme="minorEastAsia" w:cstheme="minorEastAsia"/>
          <w:sz w:val="21"/>
          <w:szCs w:val="21"/>
        </w:rPr>
        <w:t>定期对本单位开展地表水自动监测人员进行技术培训和技术指导，培训情况上报</w:t>
      </w:r>
      <w:r>
        <w:rPr>
          <w:rFonts w:hint="eastAsia" w:asciiTheme="minorEastAsia" w:hAnsiTheme="minorEastAsia" w:eastAsiaTheme="minorEastAsia" w:cstheme="minorEastAsia"/>
          <w:bCs/>
          <w:sz w:val="21"/>
          <w:szCs w:val="21"/>
          <w:lang w:eastAsia="zh-CN"/>
        </w:rPr>
        <w:t>采购人</w:t>
      </w:r>
      <w:r>
        <w:rPr>
          <w:rFonts w:hint="eastAsia" w:asciiTheme="minorEastAsia" w:hAnsiTheme="minorEastAsia" w:eastAsiaTheme="minorEastAsia" w:cstheme="minorEastAsia"/>
          <w:sz w:val="21"/>
          <w:szCs w:val="21"/>
        </w:rPr>
        <w:t>备案。</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4.2.2 </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负责开展运维合同内规定的其它质量控制要求。</w:t>
      </w:r>
    </w:p>
    <w:p>
      <w:pPr>
        <w:pStyle w:val="1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4.2.3</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应严格按照</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的要求，对水站实施“日监视、周巡检”的日常运行维护与管理。</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每日上、下午登录数据监控平台，对水站数据上传网络平台情况进行监视，确保水站运行正常；通过视频监控系统，观察水站室内、外实时状况或选择观看历史视频数据，判官是否有异常情况，并填写《水站运维值班日志》。</w:t>
      </w:r>
    </w:p>
    <w:p>
      <w:pPr>
        <w:pStyle w:val="1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（2）每周对水站至少进行一次现场巡检，对水站系统仪器设备进行现场质量控制，并通过工控机现场登录“河南省水质自动站运维质控管理系统”，按照要求认真填报水站相关情况。</w:t>
      </w:r>
    </w:p>
    <w:p>
      <w:pPr>
        <w:pStyle w:val="1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（3）非巡检时间，水站系统若有异常情况发生应及时远程或到现场解决。</w:t>
      </w:r>
    </w:p>
    <w:p>
      <w:pPr>
        <w:snapToGrid w:val="0"/>
        <w:spacing w:line="360" w:lineRule="auto"/>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4.2.4 在线监测仪器期间核查</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bCs/>
          <w:sz w:val="21"/>
          <w:szCs w:val="21"/>
          <w:lang w:eastAsia="zh-CN"/>
        </w:rPr>
        <w:t>中标人</w:t>
      </w:r>
      <w:r>
        <w:rPr>
          <w:rFonts w:hint="eastAsia" w:asciiTheme="minorEastAsia" w:hAnsiTheme="minorEastAsia" w:eastAsiaTheme="minorEastAsia" w:cstheme="minorEastAsia"/>
          <w:sz w:val="21"/>
          <w:szCs w:val="21"/>
        </w:rPr>
        <w:t>每半年对监测仪器进行1次期间核查。</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（2）每年进行1次检定或校准。</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 </w:t>
      </w:r>
      <w:r>
        <w:rPr>
          <w:rFonts w:hint="eastAsia" w:asciiTheme="minorEastAsia" w:hAnsiTheme="minorEastAsia" w:eastAsiaTheme="minorEastAsia" w:cstheme="minorEastAsia"/>
          <w:bCs/>
          <w:sz w:val="21"/>
          <w:szCs w:val="21"/>
          <w:lang w:eastAsia="zh-CN"/>
        </w:rPr>
        <w:t>中标人</w:t>
      </w:r>
      <w:r>
        <w:rPr>
          <w:rFonts w:hint="eastAsia" w:asciiTheme="minorEastAsia" w:hAnsiTheme="minorEastAsia" w:eastAsiaTheme="minorEastAsia" w:cstheme="minorEastAsia"/>
          <w:sz w:val="21"/>
          <w:szCs w:val="21"/>
        </w:rPr>
        <w:t>应定期维护仪器设备，在仪器发生故障时，能及时发现和维修，修复后及时仪器进行重新检定或校准，并进行仪器性能测试，确保监测仪器在正常状态下工作。</w:t>
      </w:r>
    </w:p>
    <w:p>
      <w:pPr>
        <w:snapToGrid w:val="0"/>
        <w:spacing w:line="360" w:lineRule="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4.3 质量控制监督检查</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4.3.1</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对</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运维水站的运行情况、自动监测数据质量进行定期或不定期的专项检查。</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4.3.2 </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对</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运维水站实施现场质量管理检查与现场质控考核的飞行巡检。</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4.3.3 </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对</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不定期进行能力验证考核。</w:t>
      </w:r>
    </w:p>
    <w:p>
      <w:pPr>
        <w:adjustRightInd w:val="0"/>
        <w:snapToGrid w:val="0"/>
        <w:spacing w:line="360" w:lineRule="auto"/>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4.4 水站运行异常情况报告</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4.4.1 发生下列情况导致水站不能正常运行的，</w:t>
      </w:r>
      <w:r>
        <w:rPr>
          <w:rFonts w:hint="eastAsia" w:asciiTheme="minorEastAsia" w:hAnsiTheme="minorEastAsia" w:eastAsiaTheme="minorEastAsia" w:cstheme="minorEastAsia"/>
          <w:b/>
          <w:bCs/>
          <w:sz w:val="21"/>
          <w:szCs w:val="21"/>
          <w:lang w:eastAsia="zh-CN"/>
        </w:rPr>
        <w:t>中标人</w:t>
      </w:r>
      <w:r>
        <w:rPr>
          <w:rFonts w:hint="eastAsia" w:asciiTheme="minorEastAsia" w:hAnsiTheme="minorEastAsia" w:eastAsiaTheme="minorEastAsia" w:cstheme="minorEastAsia"/>
          <w:sz w:val="21"/>
          <w:szCs w:val="21"/>
        </w:rPr>
        <w:t>应及时向</w:t>
      </w:r>
      <w:r>
        <w:rPr>
          <w:rFonts w:hint="eastAsia" w:asciiTheme="minorEastAsia" w:hAnsiTheme="minorEastAsia" w:eastAsiaTheme="minorEastAsia" w:cstheme="minorEastAsia"/>
          <w:b/>
          <w:bCs/>
          <w:sz w:val="21"/>
          <w:szCs w:val="21"/>
          <w:lang w:eastAsia="zh-CN"/>
        </w:rPr>
        <w:t>采购人</w:t>
      </w:r>
      <w:r>
        <w:rPr>
          <w:rFonts w:hint="eastAsia" w:asciiTheme="minorEastAsia" w:hAnsiTheme="minorEastAsia" w:eastAsiaTheme="minorEastAsia" w:cstheme="minorEastAsia"/>
          <w:sz w:val="21"/>
          <w:szCs w:val="21"/>
        </w:rPr>
        <w:t>报告并采取相应措施;</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（1）水站当地进行建设施工，水站在短期内无法运行的。</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（2）水站当地供电系统发生故障，影响水质报告发布的。</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（3）取水河段断流、河槽改道无法取水或水深低于50厘米影响取水水质的。</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（4）水站系统发生故障，在短时间内不能恢复的。</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（5）水站上游人为采取措施，阻断来水，影响水质监测的。</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4.4.2 水质自动站出现系统或仪器故障，导致连续超过48h没有自动监测数据时，</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须提供备机。</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4.4.3因客观原因导致水质自动站停电，整周无自动监测数据时，</w:t>
      </w:r>
      <w:r>
        <w:rPr>
          <w:rFonts w:hint="eastAsia" w:asciiTheme="minorEastAsia" w:hAnsiTheme="minorEastAsia" w:eastAsiaTheme="minorEastAsia" w:cstheme="minorEastAsia"/>
          <w:b/>
          <w:bCs/>
          <w:sz w:val="21"/>
          <w:szCs w:val="21"/>
          <w:lang w:eastAsia="zh-CN"/>
        </w:rPr>
        <w:t>中标人</w:t>
      </w:r>
      <w:r>
        <w:rPr>
          <w:rFonts w:hint="eastAsia" w:asciiTheme="minorEastAsia" w:hAnsiTheme="minorEastAsia" w:eastAsiaTheme="minorEastAsia" w:cstheme="minorEastAsia"/>
          <w:sz w:val="21"/>
          <w:szCs w:val="21"/>
        </w:rPr>
        <w:t>每周必须委托有资质的自动监测断面下游城市的环境监测站或第三方环境监测机构进行至少一次实验室分析测试。</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4.4.4在线分析仪器及水站各系统备品备件、易耗品按照仪器说明书进行定时更换和随坏随换。</w:t>
      </w:r>
    </w:p>
    <w:p>
      <w:pPr>
        <w:snapToGrid w:val="0"/>
        <w:spacing w:after="156" w:afterLines="50" w:line="360" w:lineRule="auto"/>
        <w:ind w:firstLine="422" w:firstLineChars="200"/>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4.5 水站运维质量技术档案管理</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4.5.1 </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建立水站运维技术人员动态档案，同时报送</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4.5.2 </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每月一次将水站监测相关数据备份，每季度结束将水站监测相关数据刻盘，归档保存。</w:t>
      </w:r>
    </w:p>
    <w:p>
      <w:pPr>
        <w:snapToGrid w:val="0"/>
        <w:spacing w:after="156" w:afterLines="50" w:line="360" w:lineRule="auto"/>
        <w:ind w:firstLine="42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4.6 水站运维质量控制计划和报告</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4.6.1  </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应按</w:t>
      </w:r>
      <w:r>
        <w:rPr>
          <w:rFonts w:hint="eastAsia" w:asciiTheme="minorEastAsia" w:hAnsiTheme="minorEastAsia" w:eastAsiaTheme="minorEastAsia" w:cstheme="minorEastAsia"/>
          <w:sz w:val="21"/>
          <w:szCs w:val="21"/>
          <w:lang w:eastAsia="zh-CN"/>
        </w:rPr>
        <w:t>采购人</w:t>
      </w:r>
      <w:r>
        <w:rPr>
          <w:rFonts w:hint="eastAsia" w:asciiTheme="minorEastAsia" w:hAnsiTheme="minorEastAsia" w:eastAsiaTheme="minorEastAsia" w:cstheme="minorEastAsia"/>
          <w:sz w:val="21"/>
          <w:szCs w:val="21"/>
        </w:rPr>
        <w:t>要求认真编写水站运维质量控制计划和报告，并建立水站质控管理档案。</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4.6.2 按照要求编写水站运维年度质量保证工作计划并报送</w:t>
      </w:r>
      <w:r>
        <w:rPr>
          <w:rFonts w:hint="eastAsia" w:asciiTheme="minorEastAsia" w:hAnsiTheme="minorEastAsia" w:eastAsiaTheme="minorEastAsia" w:cstheme="minorEastAsia"/>
          <w:sz w:val="21"/>
          <w:szCs w:val="21"/>
          <w:lang w:eastAsia="zh-CN"/>
        </w:rPr>
        <w:t>采购人</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4.6.3 每月结束三个工作日内编写、报送水站运维质量保证工作月报和自查报告。</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4.6.4 每季度结束五个工作日内编写、报送水站运维质量保证工作季报。</w:t>
      </w:r>
    </w:p>
    <w:p>
      <w:pPr>
        <w:snapToGrid w:val="0"/>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4.6.5 半年结束五个工作日内编写、报送一次水站运维质量保证工作总结。</w:t>
      </w:r>
    </w:p>
    <w:p>
      <w:pPr>
        <w:spacing w:after="156" w:afterLines="50"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4.6.6 每年度结束前15日，编写、报送当年度水站运维质量保证工作总结。包括年度质量保证工作计划、各项质控措施实施情况的记录，水站日常数据检查处理情况、标液及试剂配制情况、每周巡检情况、仪器维修校正情况、标准溶液的核查结果、能力验证与质控考核、比对实验的结果、TOC-COD转换曲线检查结果、自动监测系统日常运行情况等记录和年度质量保证工作总结。</w:t>
      </w:r>
    </w:p>
    <w:p>
      <w:pPr>
        <w:spacing w:after="156" w:afterLines="50" w:line="360" w:lineRule="auto"/>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5、运维工作要求</w:t>
      </w:r>
    </w:p>
    <w:p>
      <w:pPr>
        <w:spacing w:after="156" w:afterLines="50"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5.1 根据环保部</w:t>
      </w:r>
      <w:r>
        <w:rPr>
          <w:rFonts w:hint="eastAsia" w:asciiTheme="minorEastAsia" w:hAnsiTheme="minorEastAsia" w:eastAsiaTheme="minorEastAsia" w:cstheme="minorEastAsia"/>
          <w:kern w:val="0"/>
          <w:sz w:val="21"/>
          <w:szCs w:val="21"/>
          <w:highlight w:val="none"/>
        </w:rPr>
        <w:t>《“十三五”环境监测质量管理工作方案》、</w:t>
      </w:r>
      <w:r>
        <w:rPr>
          <w:rFonts w:hint="eastAsia" w:asciiTheme="minorEastAsia" w:hAnsiTheme="minorEastAsia" w:eastAsiaTheme="minorEastAsia" w:cstheme="minorEastAsia"/>
          <w:sz w:val="21"/>
          <w:szCs w:val="21"/>
          <w:highlight w:val="none"/>
        </w:rPr>
        <w:t>《环境监测数据弄虚作假行为判定及处理办法》相关规定，环境监测机构与运维机构及其负责人对监测数据真实性和准确性负责。</w:t>
      </w:r>
      <w:r>
        <w:rPr>
          <w:rFonts w:hint="eastAsia" w:asciiTheme="minorEastAsia" w:hAnsiTheme="minorEastAsia" w:eastAsiaTheme="minorEastAsia" w:cstheme="minorEastAsia"/>
          <w:sz w:val="21"/>
          <w:szCs w:val="21"/>
          <w:highlight w:val="none"/>
          <w:lang w:eastAsia="zh-CN"/>
        </w:rPr>
        <w:t>采购人</w:t>
      </w:r>
      <w:r>
        <w:rPr>
          <w:rFonts w:hint="eastAsia" w:asciiTheme="minorEastAsia" w:hAnsiTheme="minorEastAsia" w:eastAsiaTheme="minorEastAsia" w:cstheme="minorEastAsia"/>
          <w:sz w:val="21"/>
          <w:szCs w:val="21"/>
          <w:highlight w:val="none"/>
        </w:rPr>
        <w:t>水站自动监测数据质量由</w:t>
      </w:r>
      <w:r>
        <w:rPr>
          <w:rFonts w:hint="eastAsia" w:asciiTheme="minorEastAsia" w:hAnsiTheme="minorEastAsia" w:eastAsiaTheme="minorEastAsia" w:cstheme="minorEastAsia"/>
          <w:sz w:val="21"/>
          <w:szCs w:val="21"/>
          <w:highlight w:val="none"/>
          <w:lang w:eastAsia="zh-CN"/>
        </w:rPr>
        <w:t>中标人</w:t>
      </w:r>
      <w:r>
        <w:rPr>
          <w:rFonts w:hint="eastAsia" w:asciiTheme="minorEastAsia" w:hAnsiTheme="minorEastAsia" w:eastAsiaTheme="minorEastAsia" w:cstheme="minorEastAsia"/>
          <w:sz w:val="21"/>
          <w:szCs w:val="21"/>
          <w:highlight w:val="none"/>
        </w:rPr>
        <w:t>负责。</w:t>
      </w:r>
    </w:p>
    <w:p>
      <w:pPr>
        <w:autoSpaceDE w:val="0"/>
        <w:autoSpaceDN w:val="0"/>
        <w:adjustRightInd w:val="0"/>
        <w:snapToGrid w:val="0"/>
        <w:spacing w:line="36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val="en-US" w:eastAsia="zh-CN"/>
        </w:rPr>
        <w:t xml:space="preserve">2 </w:t>
      </w:r>
      <w:r>
        <w:rPr>
          <w:rFonts w:hint="eastAsia" w:asciiTheme="minorEastAsia" w:hAnsiTheme="minorEastAsia" w:eastAsiaTheme="minorEastAsia" w:cstheme="minorEastAsia"/>
          <w:sz w:val="21"/>
          <w:szCs w:val="21"/>
        </w:rPr>
        <w:t xml:space="preserve">水站交接程序 </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在合同生效前</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 xml:space="preserve">应与采购人共同对水质自动监测系统的系统运行情况，仪器运行情况，数据采集情况进行实际考察，并且做好备案。 </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（1）站房主体符合规范要求，站房供电、通讯系统正常，防雷设备完好。 </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（2）各监测仪器、辅助设备与站点设备清单保持不变，数据采集和传输系统完好、运行正常。</w:t>
      </w:r>
    </w:p>
    <w:p>
      <w:pPr>
        <w:keepNext/>
        <w:keepLines/>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（3）当年的运行维护记录完整，各类证书有效。</w:t>
      </w:r>
    </w:p>
    <w:p>
      <w:pPr>
        <w:keepNext/>
        <w:keepLines/>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中标人</w:t>
      </w:r>
      <w:r>
        <w:rPr>
          <w:rFonts w:hint="eastAsia" w:asciiTheme="minorEastAsia" w:hAnsiTheme="minorEastAsia" w:eastAsiaTheme="minorEastAsia" w:cstheme="minorEastAsia"/>
          <w:sz w:val="21"/>
          <w:szCs w:val="21"/>
        </w:rPr>
        <w:t>应组织人员、车辆，在10个工作日内完成站点交接工作。</w:t>
      </w:r>
    </w:p>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二、采购标的执行标准</w:t>
      </w:r>
    </w:p>
    <w:p>
      <w:pPr>
        <w:wordWrap w:val="0"/>
        <w:topLinePunct/>
        <w:spacing w:line="360" w:lineRule="auto"/>
        <w:ind w:firstLine="480" w:firstLineChars="200"/>
        <w:rPr>
          <w:rFonts w:hint="eastAsia" w:ascii="宋体" w:cs="宋体"/>
          <w:sz w:val="24"/>
          <w:lang w:val="zh-CN" w:eastAsia="zh-CN"/>
        </w:rPr>
      </w:pPr>
      <w:r>
        <w:rPr>
          <w:rFonts w:hint="eastAsia" w:ascii="宋体" w:cs="宋体"/>
          <w:sz w:val="24"/>
          <w:lang w:val="zh-CN" w:eastAsia="zh-CN"/>
        </w:rPr>
        <w:t>《国家地表水自动监测站运行管理办法》</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《河南省地表水环境质量自动监测站运行管理办法》</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《河南省地表水环境质量自动监测站运行管理实施细则》</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《河南省地表水环境质量自动监测站质量管理规定》</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《河南省地表水环境质量自动监测站运维管理考核办法》</w:t>
      </w:r>
    </w:p>
    <w:p>
      <w:pPr>
        <w:wordWrap w:val="0"/>
        <w:topLinePunct/>
        <w:spacing w:line="360" w:lineRule="auto"/>
        <w:ind w:firstLine="480" w:firstLineChars="200"/>
        <w:rPr>
          <w:rFonts w:hint="eastAsia" w:ascii="宋体" w:cs="宋体"/>
          <w:sz w:val="24"/>
          <w:lang w:val="en-US" w:eastAsia="zh-CN"/>
        </w:rPr>
      </w:pPr>
      <w:r>
        <w:rPr>
          <w:rFonts w:hint="eastAsia" w:ascii="宋体" w:cs="宋体"/>
          <w:sz w:val="24"/>
          <w:lang w:val="en-US" w:eastAsia="zh-CN"/>
        </w:rPr>
        <w:t>其他需执行的国家相关标准、行业标准、地方标准或者其他标准、规范；</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三、采购标的的其他技术、服务等要求</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1、投标人应就每包完整投标，</w:t>
      </w:r>
      <w:r>
        <w:rPr>
          <w:rFonts w:hint="eastAsia" w:ascii="宋体" w:cs="宋体"/>
          <w:b/>
          <w:sz w:val="24"/>
          <w:lang w:val="zh-CN"/>
        </w:rPr>
        <w:t>否则为无效投标。</w:t>
      </w:r>
    </w:p>
    <w:p>
      <w:pPr>
        <w:wordWrap w:val="0"/>
        <w:topLinePunct/>
        <w:spacing w:line="360" w:lineRule="auto"/>
        <w:ind w:firstLine="480" w:firstLineChars="200"/>
        <w:rPr>
          <w:rFonts w:ascii="宋体" w:cs="宋体"/>
          <w:sz w:val="24"/>
          <w:lang w:val="zh-CN"/>
        </w:rPr>
      </w:pPr>
      <w:r>
        <w:rPr>
          <w:rFonts w:hint="eastAsia" w:ascii="宋体" w:cs="宋体"/>
          <w:sz w:val="24"/>
          <w:lang w:val="en-US" w:eastAsia="zh-CN"/>
        </w:rPr>
        <w:t>2</w:t>
      </w:r>
      <w:r>
        <w:rPr>
          <w:rFonts w:hint="eastAsia" w:ascii="宋体" w:cs="宋体"/>
          <w:sz w:val="24"/>
          <w:lang w:val="zh-CN"/>
        </w:rPr>
        <w:t>、所投产品必须符合国家质量检测标准和本招标文件规定标准的全新正品现货。</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3</w:t>
      </w:r>
      <w:r>
        <w:rPr>
          <w:rFonts w:hint="eastAsia" w:ascii="宋体" w:cs="宋体"/>
          <w:sz w:val="24"/>
          <w:lang w:val="zh-CN"/>
        </w:rPr>
        <w:t>、本项目为交钥匙工程。</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四、验收标准</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2、按照招标文件要求、投标文件响应和承诺验收；</w:t>
      </w:r>
    </w:p>
    <w:p>
      <w:pPr>
        <w:widowControl/>
        <w:shd w:val="clear" w:color="auto" w:fill="FFFFFF"/>
        <w:spacing w:line="360" w:lineRule="auto"/>
        <w:ind w:firstLine="480" w:firstLineChars="20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en-US" w:eastAsia="zh-CN"/>
        </w:rPr>
        <w:t>3、按照国家相关标准、行业标准、地方标准或者其他标准、规范验收；</w:t>
      </w:r>
    </w:p>
    <w:p>
      <w:pPr>
        <w:widowControl/>
        <w:shd w:val="clear" w:color="auto" w:fill="FFFFFF"/>
        <w:spacing w:line="360" w:lineRule="auto"/>
        <w:ind w:firstLine="482" w:firstLineChars="200"/>
        <w:contextualSpacing/>
        <w:jc w:val="left"/>
        <w:rPr>
          <w:rFonts w:hint="eastAsia"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eastAsia="zh-CN"/>
        </w:rPr>
        <w:t>五</w:t>
      </w:r>
      <w:r>
        <w:rPr>
          <w:rFonts w:hint="eastAsia" w:cs="宋体" w:asciiTheme="minorEastAsia" w:hAnsiTheme="minorEastAsia"/>
          <w:b/>
          <w:color w:val="000000"/>
          <w:kern w:val="0"/>
          <w:sz w:val="24"/>
          <w:szCs w:val="24"/>
          <w:lang w:val="zh-CN"/>
        </w:rPr>
        <w:t>、本项目预算金额</w:t>
      </w:r>
      <w:r>
        <w:rPr>
          <w:rFonts w:hint="eastAsia" w:cs="宋体" w:asciiTheme="minorEastAsia" w:hAnsiTheme="minorEastAsia"/>
          <w:b/>
          <w:color w:val="000000"/>
          <w:kern w:val="0"/>
          <w:sz w:val="24"/>
          <w:szCs w:val="24"/>
          <w:lang w:val="en-US" w:eastAsia="zh-CN"/>
        </w:rPr>
        <w:t> A包：2646036元;B包：918850</w:t>
      </w:r>
      <w:r>
        <w:rPr>
          <w:rFonts w:hint="eastAsia" w:cs="宋体" w:asciiTheme="minorEastAsia" w:hAnsiTheme="minorEastAsia"/>
          <w:b/>
          <w:color w:val="000000"/>
          <w:kern w:val="0"/>
          <w:sz w:val="24"/>
          <w:szCs w:val="24"/>
          <w:lang w:val="zh-CN"/>
        </w:rPr>
        <w:t>元。最高限价</w:t>
      </w:r>
      <w:r>
        <w:rPr>
          <w:rFonts w:hint="eastAsia" w:cs="宋体" w:asciiTheme="minorEastAsia" w:hAnsiTheme="minorEastAsia"/>
          <w:b/>
          <w:color w:val="000000"/>
          <w:kern w:val="0"/>
          <w:sz w:val="24"/>
          <w:szCs w:val="24"/>
          <w:lang w:val="en-US" w:eastAsia="zh-CN"/>
        </w:rPr>
        <w:t> A包：2646036元;B包：918850元</w:t>
      </w:r>
      <w:r>
        <w:rPr>
          <w:rFonts w:hint="eastAsia" w:cs="宋体" w:asciiTheme="minorEastAsia" w:hAnsiTheme="minorEastAsia"/>
          <w:b/>
          <w:color w:val="000000"/>
          <w:kern w:val="0"/>
          <w:sz w:val="24"/>
          <w:szCs w:val="24"/>
          <w:lang w:val="zh-CN"/>
        </w:rPr>
        <w:t>。超出最高限价的投标无效。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六、资金支付</w:t>
      </w:r>
    </w:p>
    <w:p>
      <w:pPr>
        <w:widowControl/>
        <w:shd w:val="clear" w:color="auto" w:fill="FFFFFF"/>
        <w:spacing w:line="360" w:lineRule="auto"/>
        <w:ind w:firstLine="480" w:firstLineChars="200"/>
        <w:contextualSpacing/>
        <w:jc w:val="left"/>
        <w:rPr>
          <w:rFonts w:hint="eastAsia"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zh-CN"/>
        </w:rPr>
        <w:t>1、支付方式：</w:t>
      </w:r>
      <w:r>
        <w:rPr>
          <w:rFonts w:hint="eastAsia" w:cs="宋体" w:asciiTheme="minorEastAsia" w:hAnsiTheme="minorEastAsia"/>
          <w:color w:val="000000"/>
          <w:kern w:val="0"/>
          <w:sz w:val="24"/>
          <w:szCs w:val="24"/>
          <w:lang w:val="zh-CN" w:eastAsia="zh-CN"/>
        </w:rPr>
        <w:t>银行转账</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2、支付时间及条件：</w:t>
      </w:r>
      <w:r>
        <w:rPr>
          <w:rFonts w:hint="eastAsia" w:cs="宋体" w:asciiTheme="minorEastAsia" w:hAnsiTheme="minorEastAsia"/>
          <w:color w:val="000000"/>
          <w:kern w:val="0"/>
          <w:sz w:val="24"/>
          <w:szCs w:val="24"/>
          <w:lang w:val="en-US" w:eastAsia="zh-CN"/>
        </w:rPr>
        <w:t>按照月度考评，半年为一个结算周期，结算后于10个工作日内付结算金额总价款的95%，剩余5%至下个结算周期一次付清。</w:t>
      </w: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vAlign w:val="top"/>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val="en-US" w:eastAsia="zh-CN"/>
              </w:rPr>
              <w:t>县级环境水质自动站运行管理服务</w:t>
            </w:r>
            <w:r>
              <w:rPr>
                <w:rFonts w:hint="eastAsia" w:cs="仿宋_GB2312" w:asciiTheme="minorEastAsia" w:hAnsiTheme="minorEastAsia" w:eastAsiaTheme="minorEastAsia"/>
                <w:color w:val="000000"/>
                <w:sz w:val="21"/>
                <w:szCs w:val="21"/>
                <w:shd w:val="clear" w:color="auto" w:fill="FFFFFF"/>
                <w:lang w:val="en-US" w:eastAsia="zh-CN"/>
              </w:rPr>
              <w:t>(不见面开标)</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项目编号：ZFCG-G20</w:t>
            </w:r>
            <w:r>
              <w:rPr>
                <w:rFonts w:hint="eastAsia" w:cs="仿宋_GB2312" w:asciiTheme="minorEastAsia" w:hAnsiTheme="minorEastAsia"/>
                <w:szCs w:val="21"/>
                <w:lang w:eastAsia="zh-CN"/>
              </w:rPr>
              <w:t>20</w:t>
            </w:r>
            <w:r>
              <w:rPr>
                <w:rFonts w:hint="eastAsia" w:cs="仿宋_GB2312" w:asciiTheme="minorEastAsia" w:hAnsiTheme="minorEastAsia"/>
                <w:szCs w:val="21"/>
                <w:lang w:val="en-US" w:eastAsia="zh-CN"/>
              </w:rPr>
              <w:t>005</w:t>
            </w:r>
            <w:r>
              <w:rPr>
                <w:rFonts w:hint="eastAsia" w:cs="仿宋_GB2312" w:asciiTheme="minorEastAsia" w:hAnsiTheme="minorEastAsia"/>
                <w:szCs w:val="21"/>
              </w:rPr>
              <w:t>号</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rPr>
              <w:t>项目内容：</w:t>
            </w:r>
            <w:r>
              <w:rPr>
                <w:rFonts w:hint="eastAsia" w:cs="仿宋_GB2312" w:asciiTheme="minorEastAsia" w:hAnsiTheme="minorEastAsia"/>
                <w:szCs w:val="21"/>
                <w:lang w:val="en-US" w:eastAsia="zh-CN"/>
              </w:rPr>
              <w:t>A包：23个县级环境水质自动站运行管理服务1年</w:t>
            </w:r>
          </w:p>
          <w:p>
            <w:pPr>
              <w:autoSpaceDE w:val="0"/>
              <w:autoSpaceDN w:val="0"/>
              <w:adjustRightInd w:val="0"/>
              <w:spacing w:line="360" w:lineRule="auto"/>
              <w:jc w:val="left"/>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B包：第三方比对检测及防雷设施检测及26个小型水站运维服务1年</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w:t>
            </w:r>
            <w:r>
              <w:rPr>
                <w:rFonts w:hint="eastAsia" w:cs="仿宋_GB2312" w:asciiTheme="minorEastAsia" w:hAnsiTheme="minorEastAsia"/>
                <w:szCs w:val="21"/>
                <w:lang w:val="en-US" w:eastAsia="zh-CN"/>
              </w:rPr>
              <w:t>采购人指定许昌境内地点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名称：许昌市环境监控信息中心</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地址：许昌市龙兴路创业中</w:t>
            </w:r>
            <w:r>
              <w:rPr>
                <w:rFonts w:hint="eastAsia" w:cs="仿宋_GB2312" w:asciiTheme="minorEastAsia" w:hAnsiTheme="minorEastAsia"/>
                <w:szCs w:val="21"/>
                <w:lang w:val="en-US" w:eastAsia="zh-CN"/>
              </w:rPr>
              <w:t>心</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val="en-US" w:eastAsia="zh-CN"/>
              </w:rPr>
              <w:t>王帅领</w:t>
            </w:r>
            <w:r>
              <w:rPr>
                <w:rFonts w:hint="eastAsia" w:cs="仿宋_GB2312" w:asciiTheme="minorEastAsia" w:hAnsiTheme="minorEastAsia"/>
                <w:szCs w:val="21"/>
              </w:rPr>
              <w:t xml:space="preserve">                  电话：0374-6069913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名称：许昌市政府采购服务中心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地址：许昌市龙兴路与竹林路交汇处创业服务中心C座</w:t>
            </w:r>
          </w:p>
          <w:p>
            <w:pPr>
              <w:autoSpaceDE w:val="0"/>
              <w:autoSpaceDN w:val="0"/>
              <w:adjustRightInd w:val="0"/>
              <w:spacing w:line="360" w:lineRule="auto"/>
              <w:jc w:val="left"/>
              <w:rPr>
                <w:rFonts w:cs="仿宋_GB2312" w:asciiTheme="minorEastAsia" w:hAnsiTheme="minorEastAsia"/>
                <w:color w:val="auto"/>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杨女士</w:t>
            </w:r>
            <w:r>
              <w:rPr>
                <w:rFonts w:hint="eastAsia" w:cs="仿宋_GB2312" w:asciiTheme="minorEastAsia" w:hAnsiTheme="minorEastAsia"/>
                <w:szCs w:val="21"/>
              </w:rPr>
              <w:t xml:space="preserve">                    电话：0374-</w:t>
            </w:r>
            <w:r>
              <w:rPr>
                <w:rFonts w:hint="eastAsia" w:cs="仿宋_GB2312" w:asciiTheme="minorEastAsia" w:hAnsiTheme="minorEastAsia"/>
                <w:szCs w:val="21"/>
                <w:lang w:val="en-US" w:eastAsia="zh-CN"/>
              </w:rPr>
              <w:t>2962805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bCs/>
                <w:color w:val="auto"/>
                <w:szCs w:val="21"/>
                <w:lang w:val="zh-CN"/>
              </w:rPr>
              <w:t>一、</w:t>
            </w:r>
            <w:r>
              <w:rPr>
                <w:rFonts w:cs="宋体" w:asciiTheme="minorEastAsia" w:hAnsiTheme="minorEastAsia"/>
                <w:b/>
                <w:bCs/>
                <w:color w:val="auto"/>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color w:val="auto"/>
                <w:szCs w:val="21"/>
                <w:lang w:val="zh-CN"/>
              </w:rPr>
            </w:pPr>
            <w:r>
              <w:rPr>
                <w:rFonts w:hint="eastAsia" w:cs="宋体" w:asciiTheme="minorEastAsia" w:hAnsiTheme="minorEastAsia"/>
                <w:bCs/>
                <w:color w:val="auto"/>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color w:val="auto"/>
                <w:szCs w:val="21"/>
                <w:lang w:val="zh-CN"/>
              </w:rPr>
            </w:pPr>
            <w:r>
              <w:rPr>
                <w:rFonts w:hint="eastAsia" w:cs="宋体" w:asciiTheme="minorEastAsia" w:hAnsiTheme="minorEastAsia"/>
                <w:bCs/>
                <w:color w:val="auto"/>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color w:val="auto"/>
                <w:szCs w:val="21"/>
              </w:rPr>
            </w:pPr>
            <w:r>
              <w:rPr>
                <w:rFonts w:hint="eastAsia" w:cs="仿宋_GB2312" w:asciiTheme="minorEastAsia" w:hAnsiTheme="minorEastAsia"/>
                <w:b/>
                <w:color w:val="auto"/>
                <w:szCs w:val="21"/>
              </w:rPr>
              <w:t>二、财务状况报告相关材料</w:t>
            </w:r>
          </w:p>
          <w:p>
            <w:pPr>
              <w:spacing w:line="360" w:lineRule="auto"/>
              <w:rPr>
                <w:rFonts w:asciiTheme="minorEastAsia" w:hAnsiTheme="minorEastAsia"/>
                <w:bCs/>
                <w:color w:val="auto"/>
                <w:szCs w:val="21"/>
              </w:rPr>
            </w:pPr>
            <w:r>
              <w:rPr>
                <w:rFonts w:hint="eastAsia" w:asciiTheme="minorEastAsia" w:hAnsiTheme="minorEastAsia"/>
                <w:bCs/>
                <w:color w:val="auto"/>
                <w:szCs w:val="21"/>
              </w:rPr>
              <w:t>1、投标人是法人（法人包括企业法人、机关法人、事业单位法人和社会团体法人），提供本单位：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②基本开户银行出具的资信证明；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spacing w:line="360" w:lineRule="auto"/>
              <w:rPr>
                <w:rFonts w:asciiTheme="minorEastAsia" w:hAnsiTheme="minorEastAsia"/>
                <w:bCs/>
                <w:color w:val="auto"/>
                <w:szCs w:val="21"/>
              </w:rPr>
            </w:pPr>
            <w:r>
              <w:rPr>
                <w:rFonts w:hint="eastAsia" w:asciiTheme="minorEastAsia" w:hAnsiTheme="minorEastAsia"/>
                <w:bCs/>
                <w:color w:val="auto"/>
                <w:szCs w:val="21"/>
              </w:rPr>
              <w:t>2、投标人（其他组织和自然人）提供本单位：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仿宋_GB2312" w:asciiTheme="minorEastAsia" w:hAnsiTheme="minorEastAsia"/>
                <w:b/>
                <w:color w:val="auto"/>
                <w:szCs w:val="21"/>
              </w:rPr>
              <w:t>三、依法缴纳税收相关材料</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bCs/>
                <w:color w:val="auto"/>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bCs/>
                <w:color w:val="auto"/>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color w:val="auto"/>
                <w:szCs w:val="21"/>
                <w:lang w:val="zh-CN"/>
              </w:rPr>
            </w:pPr>
            <w:r>
              <w:rPr>
                <w:rFonts w:hint="eastAsia" w:cs="宋体" w:asciiTheme="minorEastAsia" w:hAnsiTheme="minorEastAsia"/>
                <w:bCs/>
                <w:color w:val="auto"/>
                <w:szCs w:val="21"/>
                <w:lang w:val="zh-CN"/>
              </w:rPr>
              <w:t>1、相关设备的购置发票、专业技术人员职称证书、用工合同等；</w:t>
            </w:r>
          </w:p>
          <w:p>
            <w:pPr>
              <w:spacing w:line="360" w:lineRule="auto"/>
              <w:rPr>
                <w:rFonts w:asciiTheme="minorEastAsia" w:hAnsiTheme="minorEastAsia"/>
                <w:bCs/>
                <w:color w:val="auto"/>
                <w:szCs w:val="21"/>
              </w:rPr>
            </w:pPr>
            <w:r>
              <w:rPr>
                <w:rFonts w:hint="eastAsia" w:asciiTheme="minorEastAsia" w:hAnsiTheme="minorEastAsia"/>
                <w:bCs/>
                <w:color w:val="auto"/>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auto"/>
                <w:sz w:val="24"/>
                <w:szCs w:val="24"/>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1～2其中之一即可。</w:t>
            </w:r>
          </w:p>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color w:val="auto"/>
                <w:kern w:val="0"/>
                <w:szCs w:val="21"/>
              </w:rPr>
              <w:t>六、</w:t>
            </w:r>
            <w:r>
              <w:rPr>
                <w:rFonts w:cs="宋体" w:asciiTheme="minorEastAsia" w:hAnsiTheme="minorEastAsia"/>
                <w:b/>
                <w:bCs/>
                <w:color w:val="auto"/>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投标人“</w:t>
            </w:r>
            <w:r>
              <w:rPr>
                <w:rFonts w:cs="宋体" w:asciiTheme="minorEastAsia" w:hAnsiTheme="minorEastAsia"/>
                <w:bCs/>
                <w:color w:val="auto"/>
                <w:szCs w:val="21"/>
                <w:lang w:val="zh-CN"/>
              </w:rPr>
              <w:t>参加政府采购活动前3年内在经营活动中没有重大违法记录的书面声明</w:t>
            </w:r>
            <w:r>
              <w:rPr>
                <w:rFonts w:hint="eastAsia" w:cs="宋体" w:asciiTheme="minorEastAsia" w:hAnsiTheme="minorEastAsia"/>
                <w:bCs/>
                <w:color w:val="auto"/>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color w:val="auto"/>
                <w:kern w:val="0"/>
                <w:szCs w:val="21"/>
              </w:rPr>
            </w:pPr>
            <w:r>
              <w:rPr>
                <w:rFonts w:hint="eastAsia" w:cs="宋体" w:asciiTheme="minorEastAsia" w:hAnsiTheme="minorEastAsia"/>
                <w:b/>
                <w:bCs/>
                <w:color w:val="auto"/>
                <w:szCs w:val="21"/>
                <w:lang w:val="zh-CN"/>
              </w:rPr>
              <w:t>七、</w:t>
            </w:r>
            <w:r>
              <w:rPr>
                <w:rFonts w:cs="仿宋_GB2312" w:asciiTheme="minorEastAsia" w:hAnsiTheme="minorEastAsia"/>
                <w:b/>
                <w:color w:val="auto"/>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auto"/>
                <w:szCs w:val="21"/>
                <w:shd w:val="clear" w:color="auto" w:fill="FFFFFF"/>
              </w:rPr>
              <w:t>“</w:t>
            </w:r>
            <w:r>
              <w:rPr>
                <w:rFonts w:cs="仿宋_GB2312" w:asciiTheme="minorEastAsia" w:hAnsiTheme="minorEastAsia"/>
                <w:b/>
                <w:color w:val="auto"/>
                <w:szCs w:val="21"/>
                <w:shd w:val="clear" w:color="auto" w:fill="FFFFFF"/>
              </w:rPr>
              <w:t>中国政府采购网</w:t>
            </w:r>
            <w:r>
              <w:rPr>
                <w:rFonts w:hint="eastAsia" w:cs="仿宋_GB2312" w:asciiTheme="minorEastAsia" w:hAnsiTheme="minorEastAsia"/>
                <w:b/>
                <w:color w:val="auto"/>
                <w:szCs w:val="21"/>
                <w:shd w:val="clear" w:color="auto" w:fill="FFFFFF"/>
              </w:rPr>
              <w:t>”</w:t>
            </w:r>
            <w:r>
              <w:rPr>
                <w:rFonts w:cs="仿宋_GB2312" w:asciiTheme="minorEastAsia" w:hAnsiTheme="minorEastAsia"/>
                <w:b/>
                <w:color w:val="auto"/>
                <w:szCs w:val="21"/>
                <w:shd w:val="clear" w:color="auto" w:fill="FFFFFF"/>
              </w:rPr>
              <w:t xml:space="preserve"> (www.ccgp.gov.cn)政府采购严重违法失信行为记录名单的投标人</w:t>
            </w:r>
            <w:r>
              <w:rPr>
                <w:rFonts w:hint="eastAsia" w:cs="宋体" w:asciiTheme="minorEastAsia" w:hAnsiTheme="minorEastAsia"/>
                <w:b/>
                <w:bCs/>
                <w:color w:val="auto"/>
                <w:szCs w:val="21"/>
                <w:lang w:val="zh-CN"/>
              </w:rPr>
              <w:t>；</w:t>
            </w:r>
            <w:r>
              <w:rPr>
                <w:rFonts w:hint="eastAsia" w:cs="仿宋_GB2312" w:asciiTheme="minorEastAsia" w:hAnsiTheme="minorEastAsia"/>
                <w:b/>
                <w:color w:val="auto"/>
                <w:szCs w:val="21"/>
                <w:shd w:val="clear" w:color="auto" w:fill="FFFFFF"/>
              </w:rPr>
              <w:t xml:space="preserve"> “中国社会组织公共服务平台”网站（</w:t>
            </w:r>
            <w:r>
              <w:rPr>
                <w:rFonts w:cs="仿宋_GB2312" w:asciiTheme="minorEastAsia" w:hAnsiTheme="minorEastAsia"/>
                <w:b/>
                <w:color w:val="auto"/>
                <w:szCs w:val="21"/>
                <w:shd w:val="clear" w:color="auto" w:fill="FFFFFF"/>
              </w:rPr>
              <w:t>www.chinanpo.gov.cn</w:t>
            </w:r>
            <w:r>
              <w:rPr>
                <w:rFonts w:hint="eastAsia" w:cs="仿宋_GB2312" w:asciiTheme="minorEastAsia" w:hAnsiTheme="minorEastAsia"/>
                <w:b/>
                <w:color w:val="auto"/>
                <w:szCs w:val="21"/>
                <w:shd w:val="clear" w:color="auto" w:fill="FFFFFF"/>
              </w:rPr>
              <w:t>）严重违法失信社会组织名单的投标人（</w:t>
            </w:r>
            <w:r>
              <w:rPr>
                <w:rFonts w:hint="eastAsia" w:cs="宋体" w:asciiTheme="minorEastAsia" w:hAnsiTheme="minorEastAsia"/>
                <w:color w:val="auto"/>
                <w:kern w:val="0"/>
                <w:szCs w:val="21"/>
              </w:rPr>
              <w:t>联合体形式投标的，联合体成员存在不良信用记录，视同联合体存在不良信用记录）。</w:t>
            </w:r>
          </w:p>
          <w:p>
            <w:pPr>
              <w:spacing w:line="360" w:lineRule="auto"/>
              <w:rPr>
                <w:rFonts w:cs="宋体" w:asciiTheme="minorEastAsia" w:hAnsiTheme="minorEastAsia"/>
                <w:color w:val="auto"/>
                <w:kern w:val="0"/>
                <w:szCs w:val="21"/>
              </w:rPr>
            </w:pPr>
            <w:r>
              <w:rPr>
                <w:rFonts w:hint="eastAsia" w:cs="宋体" w:asciiTheme="minorEastAsia" w:hAnsiTheme="minorEastAsia"/>
                <w:color w:val="auto"/>
                <w:kern w:val="0"/>
                <w:szCs w:val="21"/>
              </w:rPr>
              <w:t>1、查询渠道：</w:t>
            </w:r>
          </w:p>
          <w:p>
            <w:pPr>
              <w:spacing w:line="360" w:lineRule="auto"/>
              <w:rPr>
                <w:rFonts w:cs="宋体" w:asciiTheme="minorEastAsia" w:hAnsiTheme="minorEastAsia"/>
                <w:color w:val="auto"/>
                <w:kern w:val="0"/>
                <w:szCs w:val="21"/>
              </w:rPr>
            </w:pPr>
            <w:r>
              <w:rPr>
                <w:rFonts w:hint="eastAsia" w:cs="宋体" w:asciiTheme="minorEastAsia" w:hAnsiTheme="minorEastAsia"/>
                <w:color w:val="auto"/>
                <w:kern w:val="0"/>
                <w:szCs w:val="21"/>
              </w:rPr>
              <w:t>①“信用中国”网站（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cs="宋体"/>
                <w:color w:val="auto"/>
                <w:kern w:val="0"/>
              </w:rPr>
              <w:t>www.creditchina.gov.cn</w:t>
            </w:r>
            <w:r>
              <w:rPr>
                <w:rFonts w:hint="eastAsia" w:cs="宋体"/>
                <w:color w:val="auto"/>
                <w:kern w:val="0"/>
              </w:rPr>
              <w:fldChar w:fldCharType="end"/>
            </w:r>
            <w:r>
              <w:rPr>
                <w:rFonts w:hint="eastAsia" w:cs="宋体" w:asciiTheme="minorEastAsia" w:hAnsiTheme="minorEastAsia"/>
                <w:color w:val="auto"/>
                <w:kern w:val="0"/>
                <w:szCs w:val="21"/>
              </w:rPr>
              <w:t>）</w:t>
            </w:r>
          </w:p>
          <w:p>
            <w:pPr>
              <w:spacing w:line="360" w:lineRule="auto"/>
              <w:rPr>
                <w:rFonts w:cs="宋体" w:asciiTheme="minorEastAsia" w:hAnsiTheme="minorEastAsia"/>
                <w:color w:val="auto"/>
                <w:kern w:val="0"/>
                <w:szCs w:val="21"/>
              </w:rPr>
            </w:pPr>
            <w:r>
              <w:rPr>
                <w:rFonts w:hint="eastAsia" w:cs="宋体" w:asciiTheme="minorEastAsia" w:hAnsiTheme="minorEastAsia"/>
                <w:color w:val="auto"/>
                <w:kern w:val="0"/>
                <w:szCs w:val="21"/>
              </w:rPr>
              <w:t>②“中国政府采购网”（www.ccgp.gov.cn）</w:t>
            </w:r>
          </w:p>
          <w:p>
            <w:pPr>
              <w:spacing w:line="360" w:lineRule="auto"/>
              <w:rPr>
                <w:rFonts w:cs="宋体" w:asciiTheme="minorEastAsia" w:hAnsiTheme="minorEastAsia"/>
                <w:color w:val="auto"/>
                <w:kern w:val="0"/>
                <w:szCs w:val="21"/>
              </w:rPr>
            </w:pPr>
            <w:r>
              <w:rPr>
                <w:rFonts w:hint="eastAsia" w:cs="宋体" w:asciiTheme="minorEastAsia" w:hAnsiTheme="minorEastAsia"/>
                <w:color w:val="auto"/>
                <w:kern w:val="0"/>
                <w:szCs w:val="21"/>
              </w:rPr>
              <w:t>③“中国社会组织公共服务平台”网站（</w:t>
            </w:r>
            <w:r>
              <w:rPr>
                <w:rFonts w:cs="宋体" w:asciiTheme="minorEastAsia" w:hAnsiTheme="minorEastAsia"/>
                <w:color w:val="auto"/>
                <w:kern w:val="0"/>
                <w:szCs w:val="21"/>
              </w:rPr>
              <w:t>www.chinanpo.gov.cn</w:t>
            </w:r>
            <w:r>
              <w:rPr>
                <w:rFonts w:hint="eastAsia" w:cs="宋体" w:asciiTheme="minorEastAsia" w:hAnsiTheme="minorEastAsia"/>
                <w:color w:val="auto"/>
                <w:kern w:val="0"/>
                <w:szCs w:val="21"/>
              </w:rPr>
              <w:t>）（仅查询社会组织）；</w:t>
            </w:r>
          </w:p>
          <w:p>
            <w:pPr>
              <w:autoSpaceDE w:val="0"/>
              <w:autoSpaceDN w:val="0"/>
              <w:spacing w:line="360" w:lineRule="auto"/>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2、截止时间：同投标截止时间；</w:t>
            </w:r>
          </w:p>
          <w:p>
            <w:pPr>
              <w:autoSpaceDE w:val="0"/>
              <w:autoSpaceDN w:val="0"/>
              <w:spacing w:line="360" w:lineRule="auto"/>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4、信用信息的使用原则：经采购人认定的被列入失信被执行人、重大税收违法案件当事人名单、</w:t>
            </w:r>
            <w:r>
              <w:rPr>
                <w:rFonts w:cs="仿宋_GB2312" w:asciiTheme="minorEastAsia" w:hAnsiTheme="minorEastAsia"/>
                <w:color w:val="auto"/>
                <w:szCs w:val="21"/>
                <w:shd w:val="clear" w:color="auto" w:fill="FFFFFF"/>
              </w:rPr>
              <w:t>政府采购严重违法失信行为记录名单</w:t>
            </w:r>
            <w:r>
              <w:rPr>
                <w:rFonts w:hint="eastAsia" w:cs="仿宋_GB2312" w:asciiTheme="minorEastAsia" w:hAnsiTheme="minorEastAsia"/>
                <w:color w:val="auto"/>
                <w:szCs w:val="21"/>
                <w:shd w:val="clear" w:color="auto" w:fill="FFFFFF"/>
              </w:rPr>
              <w:t>、</w:t>
            </w:r>
            <w:r>
              <w:rPr>
                <w:rFonts w:hint="eastAsia" w:cs="宋体" w:asciiTheme="minorEastAsia" w:hAnsiTheme="minorEastAsia"/>
                <w:color w:val="auto"/>
                <w:kern w:val="0"/>
                <w:szCs w:val="21"/>
              </w:rPr>
              <w:t>严重违法失信社会组织名单的投标人，将拒绝其参与本次政府采购活动。</w:t>
            </w:r>
          </w:p>
          <w:p>
            <w:pPr>
              <w:autoSpaceDE w:val="0"/>
              <w:autoSpaceDN w:val="0"/>
              <w:spacing w:line="360" w:lineRule="auto"/>
              <w:contextualSpacing/>
              <w:rPr>
                <w:rFonts w:cs="仿宋_GB2312" w:asciiTheme="minorEastAsia" w:hAnsiTheme="minorEastAsia"/>
                <w:color w:val="auto"/>
                <w:szCs w:val="21"/>
              </w:rPr>
            </w:pPr>
            <w:r>
              <w:rPr>
                <w:rFonts w:hint="eastAsia" w:cs="宋体" w:asciiTheme="minorEastAsia" w:hAnsiTheme="minorEastAsia"/>
                <w:color w:val="auto"/>
                <w:kern w:val="0"/>
                <w:szCs w:val="21"/>
              </w:rPr>
              <w:t>5、投标人无须提供</w:t>
            </w:r>
            <w:r>
              <w:rPr>
                <w:rFonts w:hint="eastAsia" w:ascii="宋体" w:hAnsi="宋体" w:cs="微软雅黑"/>
                <w:bCs/>
                <w:color w:val="auto"/>
                <w:szCs w:val="21"/>
              </w:rPr>
              <w:t>信用记录查询结果网页截屏。</w:t>
            </w:r>
            <w:r>
              <w:rPr>
                <w:rFonts w:hint="eastAsia" w:cs="宋体" w:asciiTheme="minorEastAsia" w:hAnsiTheme="minorEastAsia"/>
                <w:color w:val="auto"/>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kern w:val="0"/>
                <w:szCs w:val="21"/>
                <w:lang w:val="en-US" w:eastAsia="zh-CN"/>
              </w:rPr>
              <w:t>A包：2646036元;B包：918850元</w:t>
            </w:r>
            <w:r>
              <w:rPr>
                <w:rFonts w:hint="eastAsia" w:cs="宋体" w:asciiTheme="minorEastAsia" w:hAnsiTheme="minorEastAsia"/>
                <w:kern w:val="0"/>
                <w:szCs w:val="21"/>
                <w:lang w:val="zh-CN"/>
              </w:rPr>
              <w:t>，</w:t>
            </w:r>
            <w:r>
              <w:rPr>
                <w:rFonts w:hint="eastAsia" w:cs="宋体" w:asciiTheme="minorEastAsia" w:hAnsiTheme="minorEastAsia"/>
                <w:bCs/>
                <w:szCs w:val="21"/>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2020</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3</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12</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00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color w:val="auto"/>
                <w:szCs w:val="21"/>
              </w:rPr>
            </w:pPr>
            <w:r>
              <w:rPr>
                <w:rFonts w:hint="eastAsia" w:cs="黑体" w:asciiTheme="minorEastAsia" w:hAnsiTheme="minorEastAsia"/>
                <w:color w:val="auto"/>
                <w:szCs w:val="21"/>
              </w:rPr>
              <w:t>开标地点</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仿宋_GB2312" w:asciiTheme="minorEastAsia" w:hAnsiTheme="minorEastAsia"/>
                <w:color w:val="auto"/>
                <w:szCs w:val="21"/>
              </w:rPr>
              <w:t>许昌市公共资源交易中心</w:t>
            </w:r>
            <w:r>
              <w:rPr>
                <w:rFonts w:hint="eastAsia" w:cs="仿宋_GB2312" w:asciiTheme="minorEastAsia" w:hAnsiTheme="minorEastAsia"/>
                <w:color w:val="auto"/>
                <w:szCs w:val="21"/>
                <w:u w:val="none"/>
              </w:rPr>
              <w:t>三楼开标</w:t>
            </w:r>
            <w:r>
              <w:rPr>
                <w:rFonts w:hint="eastAsia" w:cs="仿宋_GB2312" w:asciiTheme="minorEastAsia" w:hAnsiTheme="minorEastAsia"/>
                <w:color w:val="auto"/>
                <w:szCs w:val="21"/>
                <w:u w:val="none"/>
                <w:lang w:eastAsia="zh-CN"/>
              </w:rPr>
              <w:t>四</w:t>
            </w:r>
            <w:r>
              <w:rPr>
                <w:rFonts w:hint="eastAsia" w:cs="仿宋_GB2312" w:asciiTheme="minorEastAsia" w:hAnsiTheme="minorEastAsia"/>
                <w:color w:val="auto"/>
                <w:szCs w:val="21"/>
                <w:u w:val="none"/>
              </w:rPr>
              <w:t>室</w:t>
            </w:r>
            <w:r>
              <w:rPr>
                <w:rFonts w:hint="eastAsia" w:cs="仿宋_GB2312" w:asciiTheme="minorEastAsia" w:hAnsiTheme="minorEastAsia"/>
                <w:color w:val="auto"/>
                <w:szCs w:val="21"/>
              </w:rPr>
              <w:t>（</w:t>
            </w:r>
            <w:r>
              <w:rPr>
                <w:rFonts w:hint="eastAsia" w:cs="Arial" w:asciiTheme="minorEastAsia" w:hAnsiTheme="minorEastAsia"/>
                <w:b/>
                <w:color w:val="auto"/>
                <w:szCs w:val="21"/>
              </w:rPr>
              <w:t>本项目采用远程不见面开标，投标人无须到交易中心现场</w:t>
            </w:r>
            <w:r>
              <w:rPr>
                <w:rFonts w:hint="eastAsia" w:cs="Arial" w:asciiTheme="minorEastAsia" w:hAnsiTheme="minorEastAsia"/>
                <w:color w:val="auto"/>
                <w:szCs w:val="21"/>
              </w:rPr>
              <w:t>）</w:t>
            </w:r>
            <w:r>
              <w:rPr>
                <w:rFonts w:hint="eastAsia" w:cs="仿宋_GB2312" w:asciiTheme="minorEastAsia" w:hAnsi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color w:val="auto"/>
                <w:szCs w:val="21"/>
                <w:lang w:val="zh-CN"/>
              </w:rPr>
            </w:pPr>
            <w:r>
              <w:rPr>
                <w:rFonts w:hint="eastAsia" w:cs="宋体" w:asciiTheme="minorEastAsia" w:hAnsiTheme="minorEastAsia"/>
                <w:color w:val="auto"/>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auto"/>
                <w:szCs w:val="21"/>
              </w:rPr>
            </w:pPr>
            <w:r>
              <w:rPr>
                <w:rFonts w:ascii="新宋体" w:hAnsi="新宋体" w:eastAsia="新宋体"/>
                <w:b/>
                <w:color w:val="auto"/>
                <w:szCs w:val="21"/>
              </w:rPr>
              <w:fldChar w:fldCharType="begin"/>
            </w:r>
            <w:r>
              <w:rPr>
                <w:rFonts w:ascii="新宋体" w:hAnsi="新宋体" w:eastAsia="新宋体"/>
                <w:b/>
                <w:color w:val="auto"/>
                <w:szCs w:val="21"/>
              </w:rPr>
              <w:instrText xml:space="preserve"> </w:instrText>
            </w:r>
            <w:r>
              <w:rPr>
                <w:rFonts w:hint="eastAsia" w:ascii="新宋体" w:hAnsi="新宋体" w:eastAsia="新宋体"/>
                <w:b/>
                <w:color w:val="auto"/>
                <w:szCs w:val="21"/>
              </w:rPr>
              <w:instrText xml:space="preserve">eq \o\ac(□,√)</w:instrText>
            </w:r>
            <w:r>
              <w:rPr>
                <w:rFonts w:ascii="新宋体" w:hAnsi="新宋体" w:eastAsia="新宋体"/>
                <w:b/>
                <w:color w:val="auto"/>
                <w:szCs w:val="21"/>
              </w:rPr>
              <w:fldChar w:fldCharType="end"/>
            </w:r>
            <w:r>
              <w:rPr>
                <w:rFonts w:hint="eastAsia" w:ascii="新宋体" w:hAnsi="新宋体" w:eastAsia="新宋体"/>
                <w:color w:val="auto"/>
                <w:szCs w:val="21"/>
              </w:rPr>
              <w:t>电子投标文件：成功上传至《全国公共资源交易平台（河南省·许昌市）》公共资源交易系统加密电子投标文件1份</w:t>
            </w:r>
            <w:r>
              <w:rPr>
                <w:rFonts w:hint="eastAsia" w:hAnsi="宋体" w:cs="宋体"/>
                <w:color w:val="auto"/>
                <w:szCs w:val="21"/>
                <w:lang w:val="zh-CN"/>
              </w:rPr>
              <w:t>（文件格式为： XXX公司XXX项目编号.file）。</w:t>
            </w:r>
          </w:p>
          <w:p>
            <w:pPr>
              <w:autoSpaceDE w:val="0"/>
              <w:autoSpaceDN w:val="0"/>
              <w:adjustRightInd w:val="0"/>
              <w:spacing w:line="360" w:lineRule="auto"/>
              <w:rPr>
                <w:rFonts w:ascii="新宋体" w:hAnsi="新宋体" w:eastAsia="新宋体"/>
                <w:color w:val="auto"/>
                <w:szCs w:val="21"/>
              </w:rPr>
            </w:pPr>
            <w:r>
              <w:rPr>
                <w:rFonts w:hint="eastAsia" w:cs="宋体" w:asciiTheme="minorEastAsia" w:hAnsiTheme="minorEastAsia"/>
                <w:b/>
                <w:bCs/>
                <w:color w:val="auto"/>
                <w:szCs w:val="21"/>
                <w:lang w:val="zh-CN"/>
              </w:rPr>
              <w:t>□</w:t>
            </w:r>
            <w:r>
              <w:rPr>
                <w:rFonts w:hint="eastAsia" w:ascii="新宋体" w:hAnsi="新宋体" w:eastAsia="新宋体"/>
                <w:color w:val="auto"/>
                <w:szCs w:val="21"/>
              </w:rPr>
              <w:t>纸质投标文件：</w:t>
            </w:r>
            <w:r>
              <w:rPr>
                <w:rFonts w:hint="eastAsia" w:cs="仿宋_GB2312" w:asciiTheme="minorEastAsia" w:hAnsiTheme="minorEastAsia"/>
                <w:color w:val="auto"/>
                <w:szCs w:val="21"/>
              </w:rPr>
              <w:t>正本</w:t>
            </w:r>
            <w:r>
              <w:rPr>
                <w:rFonts w:hint="eastAsia" w:cs="仿宋_GB2312" w:asciiTheme="minorEastAsia" w:hAnsiTheme="minorEastAsia"/>
                <w:b/>
                <w:color w:val="auto"/>
                <w:szCs w:val="21"/>
              </w:rPr>
              <w:t>一</w:t>
            </w:r>
            <w:r>
              <w:rPr>
                <w:rFonts w:hint="eastAsia" w:cs="仿宋_GB2312" w:asciiTheme="minorEastAsia" w:hAnsiTheme="minorEastAsia"/>
                <w:color w:val="auto"/>
                <w:szCs w:val="21"/>
              </w:rPr>
              <w:t>份，副本</w:t>
            </w:r>
            <w:r>
              <w:rPr>
                <w:rFonts w:hint="eastAsia" w:cs="仿宋_GB2312" w:asciiTheme="minorEastAsia" w:hAnsiTheme="minorEastAsia"/>
                <w:color w:val="auto"/>
                <w:szCs w:val="21"/>
                <w:u w:val="single"/>
              </w:rPr>
              <w:t xml:space="preserve"> 一 </w:t>
            </w:r>
            <w:r>
              <w:rPr>
                <w:rFonts w:hint="eastAsia" w:cs="仿宋_GB2312" w:asciiTheme="minorEastAsia" w:hAnsiTheme="minorEastAsia"/>
                <w:color w:val="auto"/>
                <w:szCs w:val="21"/>
              </w:rPr>
              <w:t>份。使用</w:t>
            </w:r>
            <w:r>
              <w:rPr>
                <w:rFonts w:hint="eastAsia" w:ascii="新宋体" w:hAnsi="新宋体" w:eastAsia="新宋体"/>
                <w:color w:val="auto"/>
                <w:szCs w:val="21"/>
              </w:rPr>
              <w:t>格式为“投标文件（供打印）.PDF”的文件。</w:t>
            </w:r>
          </w:p>
          <w:p>
            <w:pPr>
              <w:autoSpaceDE w:val="0"/>
              <w:autoSpaceDN w:val="0"/>
              <w:adjustRightInd w:val="0"/>
              <w:spacing w:line="360" w:lineRule="auto"/>
              <w:rPr>
                <w:rFonts w:cs="宋体" w:asciiTheme="minorEastAsia" w:hAnsiTheme="minorEastAsia"/>
                <w:bCs/>
                <w:color w:val="auto"/>
                <w:szCs w:val="21"/>
                <w:highlight w:val="lightGray"/>
                <w:lang w:val="zh-CN"/>
              </w:rPr>
            </w:pPr>
            <w:r>
              <w:rPr>
                <w:rFonts w:hint="eastAsia" w:ascii="新宋体" w:hAnsi="新宋体" w:eastAsia="新宋体"/>
                <w:color w:val="auto"/>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中标人需提交</w:t>
            </w:r>
          </w:p>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中标人在接到中标通知时，须</w:t>
            </w:r>
            <w:r>
              <w:rPr>
                <w:rFonts w:hint="eastAsia" w:ascii="新宋体" w:hAnsi="新宋体" w:eastAsia="新宋体"/>
                <w:color w:val="auto"/>
                <w:szCs w:val="21"/>
              </w:rPr>
              <w:t>向许昌市公共资源交易中心交易见证科发</w:t>
            </w:r>
            <w:r>
              <w:rPr>
                <w:rFonts w:hint="eastAsia" w:cs="宋体" w:asciiTheme="minorEastAsia" w:hAnsiTheme="minorEastAsia"/>
                <w:bCs/>
                <w:color w:val="auto"/>
                <w:szCs w:val="21"/>
                <w:lang w:val="zh-CN"/>
              </w:rPr>
              <w:t xml:space="preserve">送投标报价及分项报价一览表（包含主要中标标的的名称、规格型号、数量、单价、服务要求等）电子文档，并同时电话告知交易见证科。联系电话：0374-2968027；邮箱：jzb2968027@163.com。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宋体" w:asciiTheme="minorEastAsia" w:hAnsiTheme="minorEastAsia"/>
                <w:bCs/>
                <w:color w:val="auto"/>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color w:val="auto"/>
                <w:szCs w:val="21"/>
                <w:lang w:val="zh-CN"/>
              </w:rPr>
            </w:pP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是。</w:t>
            </w:r>
            <w:r>
              <w:rPr>
                <w:rFonts w:hint="eastAsia" w:hAnsi="宋体" w:cs="宋体"/>
                <w:color w:val="auto"/>
                <w:szCs w:val="21"/>
                <w:lang w:val="zh-CN"/>
              </w:rPr>
              <w:t>投标人投标时须成功上传、解密电子投标文件。投标人资质、业绩、荣誉及相关人员证明材料等资料原件不再提交（本招标文件第六章另有要求提供原件的除外）。</w:t>
            </w:r>
          </w:p>
          <w:p>
            <w:pPr>
              <w:autoSpaceDE w:val="0"/>
              <w:autoSpaceDN w:val="0"/>
              <w:adjustRightInd w:val="0"/>
              <w:spacing w:line="360" w:lineRule="auto"/>
              <w:contextualSpacing/>
              <w:rPr>
                <w:rFonts w:cs="宋体" w:asciiTheme="minorEastAsia" w:hAnsiTheme="minorEastAsia"/>
                <w:bCs/>
                <w:color w:val="auto"/>
                <w:szCs w:val="21"/>
                <w:lang w:val="zh-CN"/>
              </w:rPr>
            </w:pPr>
            <w:r>
              <w:rPr>
                <w:rFonts w:hint="eastAsia" w:hAnsi="宋体" w:cs="宋体"/>
                <w:color w:val="auto"/>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0"/>
        <w:numPr>
          <w:ilvl w:val="0"/>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40"/>
        <w:autoSpaceDE w:val="0"/>
        <w:autoSpaceDN w:val="0"/>
        <w:spacing w:line="360" w:lineRule="auto"/>
        <w:ind w:left="780"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0"/>
        <w:numPr>
          <w:ilvl w:val="0"/>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40"/>
        <w:numPr>
          <w:ilvl w:val="0"/>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。并查询</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0"/>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40"/>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40"/>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40"/>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3.3.5  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0"/>
        <w:numPr>
          <w:ilvl w:val="0"/>
          <w:numId w:val="2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3" w:name="baidusnap0"/>
      <w:bookmarkEnd w:id="3"/>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40"/>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本项目不收取代理费用。详见投标人须知前附表。</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40"/>
        <w:numPr>
          <w:ilvl w:val="0"/>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40"/>
        <w:numPr>
          <w:ilvl w:val="0"/>
          <w:numId w:val="2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40"/>
        <w:numPr>
          <w:ilvl w:val="0"/>
          <w:numId w:val="2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40"/>
        <w:numPr>
          <w:ilvl w:val="0"/>
          <w:numId w:val="2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40"/>
        <w:numPr>
          <w:ilvl w:val="0"/>
          <w:numId w:val="2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40"/>
        <w:numPr>
          <w:ilvl w:val="0"/>
          <w:numId w:val="2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40"/>
        <w:numPr>
          <w:ilvl w:val="0"/>
          <w:numId w:val="2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40"/>
        <w:numPr>
          <w:ilvl w:val="1"/>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w:t>
      </w:r>
      <w:r>
        <w:rPr>
          <w:rFonts w:hint="eastAsia" w:cs="宋体" w:asciiTheme="minorEastAsia" w:hAnsiTheme="minorEastAsia"/>
          <w:color w:val="auto"/>
          <w:kern w:val="0"/>
          <w:szCs w:val="21"/>
        </w:rPr>
        <w:t>响应。</w:t>
      </w:r>
    </w:p>
    <w:p>
      <w:pPr>
        <w:pStyle w:val="40"/>
        <w:numPr>
          <w:ilvl w:val="1"/>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投标文件由资格证明材料、符合性证明材料、其它材料等组成。</w:t>
      </w:r>
    </w:p>
    <w:p>
      <w:pPr>
        <w:pStyle w:val="40"/>
        <w:numPr>
          <w:ilvl w:val="1"/>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40"/>
        <w:numPr>
          <w:ilvl w:val="1"/>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cs="宋体" w:asciiTheme="minorEastAsia" w:hAnsiTheme="minorEastAsia"/>
          <w:color w:val="auto"/>
          <w:kern w:val="0"/>
          <w:szCs w:val="21"/>
        </w:rPr>
        <w:t>.file</w:t>
      </w:r>
      <w:r>
        <w:rPr>
          <w:rFonts w:hint="eastAsia" w:cs="宋体" w:asciiTheme="minorEastAsia" w:hAnsiTheme="minorEastAsia"/>
          <w:color w:val="auto"/>
          <w:kern w:val="0"/>
          <w:szCs w:val="21"/>
        </w:rPr>
        <w:t>”的文件用于电子投标使用。</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电子投标文件制作技术咨询：</w:t>
      </w:r>
      <w:r>
        <w:rPr>
          <w:rFonts w:hint="eastAsia" w:cs="宋体" w:asciiTheme="minorEastAsia" w:hAnsiTheme="minorEastAsia"/>
          <w:b/>
          <w:color w:val="auto"/>
          <w:kern w:val="0"/>
          <w:szCs w:val="21"/>
        </w:rPr>
        <w:t>0374-2961598</w:t>
      </w:r>
      <w:r>
        <w:rPr>
          <w:rFonts w:hint="eastAsia" w:cs="宋体" w:asciiTheme="minorEastAsia" w:hAnsiTheme="minorEastAsia"/>
          <w:color w:val="auto"/>
          <w:kern w:val="0"/>
          <w:szCs w:val="21"/>
        </w:rPr>
        <w:t>。</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投标文件格式</w:t>
      </w:r>
    </w:p>
    <w:p>
      <w:pPr>
        <w:pStyle w:val="40"/>
        <w:numPr>
          <w:ilvl w:val="0"/>
          <w:numId w:val="24"/>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应参照招标文件第八部分（投标文件有关格式）的内容要求、编排顺序和格式要求，投标人应按照以上要求以A4幅将投标文件编上唯一的连贯页码，并在投标文件封面上注明：所投项目名称、项目编号、投标人名称、日期等字样。</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color w:val="auto"/>
          <w:kern w:val="0"/>
          <w:szCs w:val="21"/>
        </w:rPr>
        <w:t>投标人应按招标文件提供的格式编写投标文件。招标文件未提供标准格式的投</w:t>
      </w:r>
      <w:r>
        <w:rPr>
          <w:rFonts w:hint="eastAsia" w:cs="宋体" w:asciiTheme="minorEastAsia" w:hAnsiTheme="minorEastAsia"/>
          <w:kern w:val="0"/>
          <w:szCs w:val="21"/>
        </w:rPr>
        <w:t>标人可自行拟定。</w:t>
      </w:r>
    </w:p>
    <w:p>
      <w:pPr>
        <w:autoSpaceDE w:val="0"/>
        <w:autoSpaceDN w:val="0"/>
        <w:spacing w:line="360" w:lineRule="auto"/>
        <w:ind w:left="42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40"/>
        <w:numPr>
          <w:ilvl w:val="0"/>
          <w:numId w:val="2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40"/>
        <w:numPr>
          <w:ilvl w:val="0"/>
          <w:numId w:val="24"/>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kern w:val="0"/>
          <w:szCs w:val="21"/>
        </w:rPr>
        <w:t>投标人应提交投标</w:t>
      </w:r>
      <w:r>
        <w:rPr>
          <w:rFonts w:hint="eastAsia" w:cs="宋体" w:asciiTheme="minorEastAsia" w:hAnsiTheme="minorEastAsia"/>
          <w:color w:val="auto"/>
          <w:kern w:val="0"/>
          <w:szCs w:val="21"/>
        </w:rPr>
        <w:t>文件份数见“投标人须知前附表”。</w:t>
      </w:r>
    </w:p>
    <w:p>
      <w:pPr>
        <w:pStyle w:val="40"/>
        <w:numPr>
          <w:ilvl w:val="1"/>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四、投标文件的提交</w:t>
      </w:r>
    </w:p>
    <w:p>
      <w:pPr>
        <w:pStyle w:val="40"/>
        <w:numPr>
          <w:ilvl w:val="0"/>
          <w:numId w:val="20"/>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投标截止时间</w:t>
      </w:r>
    </w:p>
    <w:p>
      <w:pPr>
        <w:pStyle w:val="40"/>
        <w:numPr>
          <w:ilvl w:val="0"/>
          <w:numId w:val="24"/>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投标人必须在“投标邀请”和“投标人须知前附表”中规定的投标截止时间前，将</w:t>
      </w:r>
      <w:r>
        <w:rPr>
          <w:rFonts w:hint="eastAsia" w:cs="仿宋_GB2312" w:asciiTheme="minorEastAsia" w:hAnsiTheme="minorEastAsia"/>
          <w:color w:val="auto"/>
          <w:szCs w:val="21"/>
        </w:rPr>
        <w:t>加密电子投标文件</w:t>
      </w:r>
      <w:r>
        <w:rPr>
          <w:rFonts w:hint="eastAsia" w:cs="宋体" w:asciiTheme="minorEastAsia" w:hAnsiTheme="minorEastAsia"/>
          <w:color w:val="auto"/>
          <w:szCs w:val="21"/>
        </w:rPr>
        <w:t>（</w:t>
      </w:r>
      <w:r>
        <w:rPr>
          <w:rFonts w:asciiTheme="minorEastAsia" w:hAnsiTheme="minorEastAsia"/>
          <w:color w:val="auto"/>
          <w:szCs w:val="21"/>
        </w:rPr>
        <w:t>.file</w:t>
      </w:r>
      <w:r>
        <w:rPr>
          <w:rFonts w:hint="eastAsia" w:cs="宋体" w:asciiTheme="minorEastAsia" w:hAnsiTheme="minorEastAsia"/>
          <w:color w:val="auto"/>
          <w:szCs w:val="21"/>
        </w:rPr>
        <w:t>格式）</w:t>
      </w:r>
      <w:r>
        <w:rPr>
          <w:rFonts w:hint="eastAsia" w:cs="仿宋_GB2312" w:asciiTheme="minorEastAsia" w:hAnsiTheme="minorEastAsia"/>
          <w:color w:val="auto"/>
          <w:szCs w:val="21"/>
        </w:rPr>
        <w:t>通过《全国公共资源交易平台(河南省</w:t>
      </w:r>
      <w:r>
        <w:rPr>
          <w:rFonts w:hint="eastAsia" w:ascii="MS Mincho" w:hAnsi="MS Mincho" w:eastAsia="MS Mincho" w:cs="MS Mincho"/>
          <w:color w:val="auto"/>
          <w:szCs w:val="21"/>
        </w:rPr>
        <w:t>▪</w:t>
      </w:r>
      <w:r>
        <w:rPr>
          <w:rFonts w:hint="eastAsia" w:ascii="宋体" w:hAnsi="宋体" w:cs="宋体"/>
          <w:color w:val="auto"/>
          <w:szCs w:val="21"/>
        </w:rPr>
        <w:t>许昌市</w:t>
      </w:r>
      <w:r>
        <w:rPr>
          <w:rFonts w:hint="eastAsia" w:cs="仿宋_GB2312" w:asciiTheme="minorEastAsia" w:hAnsiTheme="minorEastAsia"/>
          <w:color w:val="auto"/>
          <w:szCs w:val="21"/>
        </w:rPr>
        <w:t>)》公共资源交易系统成功上传。</w:t>
      </w:r>
    </w:p>
    <w:p>
      <w:pPr>
        <w:pStyle w:val="40"/>
        <w:numPr>
          <w:ilvl w:val="1"/>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提交投标文件。</w:t>
      </w:r>
    </w:p>
    <w:p>
      <w:pPr>
        <w:pStyle w:val="40"/>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迟交的投标文件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投标截止时间之后上传的投标文件，招标人将拒绝接收。</w:t>
      </w:r>
    </w:p>
    <w:p>
      <w:pPr>
        <w:autoSpaceDE w:val="0"/>
        <w:autoSpaceDN w:val="0"/>
        <w:spacing w:line="360" w:lineRule="auto"/>
        <w:ind w:left="964"/>
        <w:contextualSpacing/>
        <w:rPr>
          <w:rFonts w:cs="宋体" w:asciiTheme="minorEastAsia" w:hAnsiTheme="minorEastAsia"/>
          <w:color w:val="auto"/>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投标文件的修改和撤回</w:t>
      </w:r>
    </w:p>
    <w:p>
      <w:pPr>
        <w:pStyle w:val="40"/>
        <w:numPr>
          <w:ilvl w:val="0"/>
          <w:numId w:val="25"/>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投标人在投标截止时间前，对投标文件进行补充、修改或者撤回的，须书面通知招标人。</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投标人应当在投标截止时间前完成电子投标文件的提交，可以补充、修改或撤回。投标截止时间前未完成电子投标文件提交的，视为撤回投标文件。</w:t>
      </w:r>
    </w:p>
    <w:p>
      <w:pPr>
        <w:pStyle w:val="40"/>
        <w:numPr>
          <w:ilvl w:val="1"/>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投标人补充、修改的内容并作为投标文件的组成部分。补充或修改应当按招标文件要求签署、盖章、提交，并应注明“修改</w:t>
      </w:r>
      <w:r>
        <w:rPr>
          <w:rFonts w:cs="宋体" w:asciiTheme="minorEastAsia" w:hAnsiTheme="minorEastAsia"/>
          <w:color w:val="auto"/>
          <w:kern w:val="0"/>
          <w:szCs w:val="21"/>
        </w:rPr>
        <w:t>”</w:t>
      </w:r>
      <w:r>
        <w:rPr>
          <w:rFonts w:hint="eastAsia" w:cs="宋体" w:asciiTheme="minorEastAsia" w:hAnsiTheme="minorEastAsia"/>
          <w:color w:val="auto"/>
          <w:kern w:val="0"/>
          <w:szCs w:val="21"/>
        </w:rPr>
        <w:t>或“补充</w:t>
      </w:r>
      <w:r>
        <w:rPr>
          <w:rFonts w:cs="宋体" w:asciiTheme="minorEastAsia" w:hAnsiTheme="minorEastAsia"/>
          <w:color w:val="auto"/>
          <w:kern w:val="0"/>
          <w:szCs w:val="21"/>
        </w:rPr>
        <w:t>”</w:t>
      </w:r>
      <w:r>
        <w:rPr>
          <w:rFonts w:hint="eastAsia" w:cs="宋体" w:asciiTheme="minorEastAsia" w:hAnsiTheme="minorEastAsia"/>
          <w:color w:val="auto"/>
          <w:kern w:val="0"/>
          <w:szCs w:val="21"/>
        </w:rPr>
        <w:t>字样。</w:t>
      </w:r>
    </w:p>
    <w:p>
      <w:pPr>
        <w:pStyle w:val="40"/>
        <w:numPr>
          <w:ilvl w:val="1"/>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投标人在提交投标文件后，可以撤回其投标，但投标人必须在规定的投标截止时间前以书面形式告知招标人。</w:t>
      </w:r>
    </w:p>
    <w:p>
      <w:pPr>
        <w:pStyle w:val="40"/>
        <w:numPr>
          <w:ilvl w:val="1"/>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color w:val="auto"/>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除投标人须知前附表另有规定外，投标人所提交的电子投标文件不予退还。</w:t>
      </w:r>
    </w:p>
    <w:p>
      <w:pPr>
        <w:autoSpaceDE w:val="0"/>
        <w:autoSpaceDN w:val="0"/>
        <w:spacing w:line="360" w:lineRule="auto"/>
        <w:contextualSpacing/>
        <w:rPr>
          <w:rFonts w:cs="宋体" w:asciiTheme="minorEastAsia" w:hAnsiTheme="minorEastAsia"/>
          <w:color w:val="auto"/>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40"/>
        <w:numPr>
          <w:ilvl w:val="0"/>
          <w:numId w:val="26"/>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招标人将按招标文件规定的时间和地点组织远程不见面开标。开标由代理机构主持，投标人无须到现场。评标委员会成员不得参加开标活动。</w:t>
      </w:r>
    </w:p>
    <w:p>
      <w:pPr>
        <w:pStyle w:val="40"/>
        <w:numPr>
          <w:ilvl w:val="1"/>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招标人应当对开标、评标现场活动进行全程录音录像。录音录像应当清晰可辨，音像资料作为采购文件一并存档。</w:t>
      </w:r>
    </w:p>
    <w:p>
      <w:pPr>
        <w:pStyle w:val="40"/>
        <w:numPr>
          <w:ilvl w:val="1"/>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开标时，由代理机构开通远程不见面开标大厅及开启“文字互动”等功能；投标人、代理机构进行电子投标文件的解密。解密后</w:t>
      </w:r>
      <w:r>
        <w:rPr>
          <w:rFonts w:hint="eastAsia" w:asciiTheme="minorEastAsia" w:hAnsiTheme="minorEastAsia"/>
          <w:color w:val="auto"/>
          <w:szCs w:val="21"/>
        </w:rPr>
        <w:t>投标人选择功能栏“开标记录”按钮可查看</w:t>
      </w:r>
      <w:r>
        <w:rPr>
          <w:rFonts w:hint="eastAsia" w:cs="宋体" w:asciiTheme="minorEastAsia" w:hAnsiTheme="minorEastAsia"/>
          <w:color w:val="auto"/>
          <w:kern w:val="0"/>
          <w:szCs w:val="21"/>
        </w:rPr>
        <w:t>投标人名称、投标价格、修改和撤回投标的通知（如有的话）和招标文件规定的需要宣布的其他内容。</w:t>
      </w:r>
    </w:p>
    <w:p>
      <w:pPr>
        <w:autoSpaceDE w:val="0"/>
        <w:autoSpaceDN w:val="0"/>
        <w:spacing w:line="360" w:lineRule="auto"/>
        <w:ind w:left="1841" w:leftChars="471" w:hanging="852" w:hangingChars="406"/>
        <w:contextualSpacing/>
        <w:rPr>
          <w:rFonts w:hint="eastAsia" w:cs="宋体" w:asciiTheme="minorEastAsia" w:hAnsiTheme="minorEastAsia"/>
          <w:kern w:val="0"/>
          <w:szCs w:val="21"/>
        </w:rPr>
      </w:pPr>
      <w:r>
        <w:rPr>
          <w:rFonts w:hint="eastAsia" w:cs="宋体" w:asciiTheme="minorEastAsia" w:hAnsiTheme="minorEastAsia"/>
          <w:kern w:val="0"/>
          <w:szCs w:val="21"/>
        </w:rPr>
        <w:t>2</w:t>
      </w:r>
      <w:r>
        <w:rPr>
          <w:rFonts w:hint="eastAsia" w:cs="宋体" w:asciiTheme="minorEastAsia" w:hAnsiTheme="minorEastAsia"/>
          <w:kern w:val="0"/>
          <w:szCs w:val="21"/>
          <w:lang w:val="en-US" w:eastAsia="zh-CN"/>
        </w:rPr>
        <w:t>3</w:t>
      </w:r>
      <w:r>
        <w:rPr>
          <w:rFonts w:hint="eastAsia" w:cs="宋体" w:asciiTheme="minorEastAsia" w:hAnsiTheme="minorEastAsia"/>
          <w:kern w:val="0"/>
          <w:szCs w:val="21"/>
        </w:rPr>
        <w:t>.3.1  电子投标文件的解密。全流程电子化交易项目电子投标文件采用双重加密。</w:t>
      </w:r>
    </w:p>
    <w:p>
      <w:pPr>
        <w:autoSpaceDE w:val="0"/>
        <w:autoSpaceDN w:val="0"/>
        <w:spacing w:line="360" w:lineRule="auto"/>
        <w:ind w:left="1841" w:leftChars="471" w:hanging="852" w:hangingChars="406"/>
        <w:contextualSpacing/>
        <w:rPr>
          <w:rFonts w:cs="宋体" w:asciiTheme="minorEastAsia" w:hAnsiTheme="minorEastAsia"/>
          <w:color w:val="auto"/>
          <w:kern w:val="0"/>
          <w:szCs w:val="21"/>
        </w:rPr>
      </w:pPr>
      <w:r>
        <w:rPr>
          <w:rFonts w:hint="eastAsia" w:cs="宋体" w:asciiTheme="minorEastAsia" w:hAnsiTheme="minorEastAsia"/>
          <w:kern w:val="0"/>
          <w:szCs w:val="21"/>
        </w:rPr>
        <w:t>解密需分标段进</w:t>
      </w:r>
      <w:r>
        <w:rPr>
          <w:rFonts w:hint="eastAsia" w:cs="宋体" w:asciiTheme="minorEastAsia" w:hAnsiTheme="minorEastAsia"/>
          <w:color w:val="auto"/>
          <w:kern w:val="0"/>
          <w:szCs w:val="21"/>
        </w:rPr>
        <w:t>行两次解密。</w:t>
      </w:r>
    </w:p>
    <w:p>
      <w:pPr>
        <w:autoSpaceDE w:val="0"/>
        <w:autoSpaceDN w:val="0"/>
        <w:spacing w:line="360" w:lineRule="auto"/>
        <w:ind w:firstLine="1050" w:firstLineChars="500"/>
        <w:contextualSpacing/>
        <w:jc w:val="left"/>
        <w:rPr>
          <w:rFonts w:cs="宋体" w:asciiTheme="minorEastAsia" w:hAnsiTheme="minorEastAsia"/>
          <w:color w:val="auto"/>
          <w:kern w:val="0"/>
          <w:szCs w:val="21"/>
        </w:rPr>
      </w:pPr>
      <w:r>
        <w:rPr>
          <w:rFonts w:hint="eastAsia" w:cs="宋体" w:asciiTheme="minorEastAsia" w:hAnsiTheme="minorEastAsia"/>
          <w:color w:val="auto"/>
          <w:kern w:val="0"/>
          <w:szCs w:val="21"/>
        </w:rPr>
        <w:t>2</w:t>
      </w:r>
      <w:r>
        <w:rPr>
          <w:rFonts w:hint="eastAsia" w:cs="宋体" w:asciiTheme="minorEastAsia" w:hAnsiTheme="minorEastAsia"/>
          <w:color w:val="auto"/>
          <w:kern w:val="0"/>
          <w:szCs w:val="21"/>
          <w:lang w:val="en-US" w:eastAsia="zh-CN"/>
        </w:rPr>
        <w:t>3</w:t>
      </w:r>
      <w:r>
        <w:rPr>
          <w:rFonts w:hint="eastAsia" w:cs="宋体" w:asciiTheme="minorEastAsia" w:hAnsiTheme="minorEastAsia"/>
          <w:color w:val="auto"/>
          <w:kern w:val="0"/>
          <w:szCs w:val="21"/>
        </w:rPr>
        <w:t>.3.1.1  投标人解密：投标人使用本单位CA数字证书远程进行解密。</w:t>
      </w:r>
    </w:p>
    <w:p>
      <w:pPr>
        <w:autoSpaceDE w:val="0"/>
        <w:autoSpaceDN w:val="0"/>
        <w:spacing w:line="360" w:lineRule="auto"/>
        <w:ind w:firstLine="1050" w:firstLineChars="5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w:t>
      </w:r>
      <w:r>
        <w:rPr>
          <w:rFonts w:hint="eastAsia" w:cs="宋体" w:asciiTheme="minorEastAsia" w:hAnsiTheme="minorEastAsia"/>
          <w:color w:val="auto"/>
          <w:kern w:val="0"/>
          <w:szCs w:val="21"/>
          <w:lang w:val="en-US" w:eastAsia="zh-CN"/>
        </w:rPr>
        <w:t>3</w:t>
      </w:r>
      <w:r>
        <w:rPr>
          <w:rFonts w:hint="eastAsia" w:cs="宋体" w:asciiTheme="minorEastAsia" w:hAnsiTheme="minorEastAsia"/>
          <w:color w:val="auto"/>
          <w:kern w:val="0"/>
          <w:szCs w:val="21"/>
        </w:rPr>
        <w:t>.3.1.2  代理机构解密：代理机构</w:t>
      </w:r>
      <w:r>
        <w:rPr>
          <w:rFonts w:cs="宋体" w:asciiTheme="minorEastAsia" w:hAnsiTheme="minorEastAsia"/>
          <w:color w:val="auto"/>
          <w:kern w:val="0"/>
          <w:szCs w:val="21"/>
        </w:rPr>
        <w:t>按</w:t>
      </w:r>
      <w:r>
        <w:rPr>
          <w:rFonts w:hint="eastAsia" w:cs="宋体" w:asciiTheme="minorEastAsia" w:hAnsiTheme="minorEastAsia"/>
          <w:color w:val="auto"/>
          <w:kern w:val="0"/>
          <w:szCs w:val="21"/>
        </w:rPr>
        <w:t>电子</w:t>
      </w:r>
      <w:r>
        <w:rPr>
          <w:rFonts w:cs="宋体" w:asciiTheme="minorEastAsia" w:hAnsiTheme="minorEastAsia"/>
          <w:color w:val="auto"/>
          <w:kern w:val="0"/>
          <w:szCs w:val="21"/>
        </w:rPr>
        <w:t>投标</w:t>
      </w:r>
      <w:r>
        <w:rPr>
          <w:rFonts w:hint="eastAsia" w:cs="宋体" w:asciiTheme="minorEastAsia" w:hAnsiTheme="minorEastAsia"/>
          <w:color w:val="auto"/>
          <w:kern w:val="0"/>
          <w:szCs w:val="21"/>
        </w:rPr>
        <w:t>文件到达交易系统</w:t>
      </w:r>
      <w:r>
        <w:rPr>
          <w:rFonts w:cs="宋体" w:asciiTheme="minorEastAsia" w:hAnsiTheme="minorEastAsia"/>
          <w:color w:val="auto"/>
          <w:kern w:val="0"/>
          <w:szCs w:val="21"/>
        </w:rPr>
        <w:t>的先后顺序</w:t>
      </w:r>
      <w:r>
        <w:rPr>
          <w:rFonts w:hint="eastAsia" w:cs="宋体" w:asciiTheme="minorEastAsia" w:hAnsiTheme="minorEastAsia"/>
          <w:color w:val="auto"/>
          <w:kern w:val="0"/>
          <w:szCs w:val="21"/>
        </w:rPr>
        <w:t>，使用本单位CA数字证书进行再次解密。</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w:t>
      </w:r>
      <w:r>
        <w:rPr>
          <w:rFonts w:hint="eastAsia" w:cs="宋体" w:asciiTheme="minorEastAsia" w:hAnsiTheme="minorEastAsia"/>
          <w:color w:val="auto"/>
          <w:kern w:val="0"/>
          <w:szCs w:val="21"/>
          <w:lang w:val="en-US" w:eastAsia="zh-CN"/>
        </w:rPr>
        <w:t>3</w:t>
      </w:r>
      <w:r>
        <w:rPr>
          <w:rFonts w:hint="eastAsia" w:cs="宋体" w:asciiTheme="minorEastAsia" w:hAnsiTheme="minorEastAsia"/>
          <w:color w:val="auto"/>
          <w:kern w:val="0"/>
          <w:szCs w:val="21"/>
        </w:rPr>
        <w:t>.3.2   电子投标文件解密异常情况处理</w:t>
      </w:r>
    </w:p>
    <w:p>
      <w:pPr>
        <w:autoSpaceDE w:val="0"/>
        <w:autoSpaceDN w:val="0"/>
        <w:spacing w:line="360" w:lineRule="auto"/>
        <w:ind w:firstLine="1050" w:firstLineChars="5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w:t>
      </w:r>
      <w:r>
        <w:rPr>
          <w:rFonts w:hint="eastAsia" w:cs="宋体" w:asciiTheme="minorEastAsia" w:hAnsiTheme="minorEastAsia"/>
          <w:color w:val="auto"/>
          <w:kern w:val="0"/>
          <w:szCs w:val="21"/>
          <w:lang w:val="en-US" w:eastAsia="zh-CN"/>
        </w:rPr>
        <w:t>3</w:t>
      </w:r>
      <w:r>
        <w:rPr>
          <w:rFonts w:hint="eastAsia" w:cs="宋体" w:asciiTheme="minorEastAsia" w:hAnsiTheme="minorEastAsia"/>
          <w:color w:val="auto"/>
          <w:kern w:val="0"/>
          <w:szCs w:val="21"/>
        </w:rPr>
        <w:t>.3.2.1  因投标人原因电子投标文件解密失败的，其投标将被拒绝。</w:t>
      </w:r>
    </w:p>
    <w:p>
      <w:pPr>
        <w:pStyle w:val="40"/>
        <w:numPr>
          <w:ilvl w:val="1"/>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投标人不足3家的，不得开标。</w:t>
      </w:r>
    </w:p>
    <w:p>
      <w:pPr>
        <w:pStyle w:val="40"/>
        <w:numPr>
          <w:ilvl w:val="1"/>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开标过程由采购代理机构负责记录，</w:t>
      </w:r>
      <w:r>
        <w:rPr>
          <w:rFonts w:hint="eastAsia" w:hAnsi="宋体"/>
          <w:color w:val="auto"/>
          <w:szCs w:val="21"/>
        </w:rPr>
        <w:t>《开标记录表》经投标人进行电子签章、</w:t>
      </w:r>
      <w:r>
        <w:rPr>
          <w:rFonts w:hint="eastAsia" w:cs="宋体" w:asciiTheme="minorEastAsia" w:hAnsiTheme="minorEastAsia"/>
          <w:color w:val="auto"/>
          <w:kern w:val="0"/>
          <w:szCs w:val="21"/>
        </w:rPr>
        <w:t>由参加开标相关工作人员签字确认后随采购文件一并存档。</w:t>
      </w:r>
      <w:r>
        <w:rPr>
          <w:rFonts w:hint="eastAsia" w:hAnsi="宋体"/>
          <w:color w:val="auto"/>
          <w:szCs w:val="21"/>
        </w:rPr>
        <w:t>投标人未电子签章的，视同认可开标结果。</w:t>
      </w:r>
    </w:p>
    <w:p>
      <w:pPr>
        <w:pStyle w:val="40"/>
        <w:numPr>
          <w:ilvl w:val="1"/>
          <w:numId w:val="20"/>
        </w:numPr>
        <w:autoSpaceDE w:val="0"/>
        <w:autoSpaceDN w:val="0"/>
        <w:spacing w:line="360" w:lineRule="auto"/>
        <w:ind w:firstLineChars="0"/>
        <w:contextualSpacing/>
        <w:rPr>
          <w:rFonts w:cs="宋体" w:asciiTheme="minorEastAsia" w:hAnsiTheme="minorEastAsia"/>
          <w:color w:val="auto"/>
          <w:kern w:val="0"/>
          <w:szCs w:val="21"/>
        </w:rPr>
      </w:pPr>
      <w:r>
        <w:rPr>
          <w:rFonts w:hint="eastAsia" w:hAnsi="宋体"/>
          <w:color w:val="auto"/>
          <w:szCs w:val="21"/>
        </w:rPr>
        <w:t>投标人对开标过程和开标记录如有疑义，</w:t>
      </w:r>
      <w:r>
        <w:rPr>
          <w:rFonts w:hint="eastAsia" w:cs="宋体" w:asciiTheme="minorEastAsia" w:hAnsiTheme="minorEastAsia"/>
          <w:color w:val="auto"/>
          <w:kern w:val="0"/>
          <w:szCs w:val="21"/>
        </w:rPr>
        <w:t>以及认为采购人、采购代理机构相关工作人员有需要回避的情形的，</w:t>
      </w:r>
      <w:r>
        <w:rPr>
          <w:rFonts w:hint="eastAsia" w:hAnsi="宋体"/>
          <w:color w:val="auto"/>
          <w:szCs w:val="21"/>
        </w:rPr>
        <w:t>应在不见面开标大厅“文字互动”对话框或“新增质疑”处在线提出询问</w:t>
      </w:r>
      <w:r>
        <w:rPr>
          <w:rFonts w:hint="eastAsia" w:cs="宋体" w:asciiTheme="minorEastAsia" w:hAnsiTheme="minorEastAsia"/>
          <w:color w:val="auto"/>
          <w:kern w:val="0"/>
          <w:szCs w:val="21"/>
        </w:rPr>
        <w:t>或者回避申请。采购人、采购代理机构对投标人代表提出的询问或者回避申请应当及时处理。</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color w:val="auto"/>
          <w:kern w:val="0"/>
          <w:szCs w:val="21"/>
        </w:rPr>
        <w:t>投标人未参加开标的，视同</w:t>
      </w:r>
      <w:r>
        <w:rPr>
          <w:rFonts w:hint="eastAsia" w:cs="宋体" w:asciiTheme="minorEastAsia" w:hAnsiTheme="minorEastAsia"/>
          <w:kern w:val="0"/>
          <w:szCs w:val="21"/>
        </w:rPr>
        <w:t>认可开标结果。</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25.1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25.1.1  招标人将依法组建评标委员会，评标委员会由评审专家组成，成员人数应当为5人以上单数。评审专家依法从政府采购评审专家库中随机抽取。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kern w:val="0"/>
          <w:szCs w:val="21"/>
        </w:rPr>
      </w:pPr>
      <w:r>
        <w:rPr>
          <w:rFonts w:hint="eastAsia" w:cs="宋体" w:asciiTheme="minorEastAsia" w:hAnsiTheme="minorEastAsia"/>
          <w:kern w:val="0"/>
          <w:szCs w:val="21"/>
        </w:rPr>
        <w:t>25.1.2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25.1.2.1  采购预算金额在1000万元以上；</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25.1.2.2  技术复杂；</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25.1.2.3  社会影响较大。</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25.3.1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25.3.2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25.3.3  与供应商有其他可能影响政府采购活动公平、公正进行的关系。</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40"/>
        <w:numPr>
          <w:ilvl w:val="0"/>
          <w:numId w:val="2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40"/>
        <w:numPr>
          <w:ilvl w:val="0"/>
          <w:numId w:val="2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28.1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28.2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28.3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28.4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29.1投标文件属下列情况之一的，按照无效投标处理：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29.1.1  未按照招标文件的规定提交投标承诺函的；</w:t>
      </w:r>
      <w:r>
        <w:rPr>
          <w:rFonts w:cs="宋体" w:asciiTheme="minorEastAsia" w:hAnsiTheme="minorEastAsia"/>
          <w:kern w:val="0"/>
          <w:szCs w:val="21"/>
        </w:rPr>
        <w:t xml:space="preserve">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29.1.5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29.2.5   不同投标人的投标文件相互混装。</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按照《关于推进全流程电子化交易和在线监管工作有关问题的通知》（许公管办[2019]3号）规定，不同投标人电子投标文件制作硬件特征码（网卡MAC地址、CPU序号、硬盘序列号）均一致时，视为‘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40"/>
        <w:numPr>
          <w:ilvl w:val="0"/>
          <w:numId w:val="2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32.1评标方法分为最低评标价法和综合评分法。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32.1.1  最低评标价法</w:t>
      </w:r>
    </w:p>
    <w:p>
      <w:pPr>
        <w:autoSpaceDE w:val="0"/>
        <w:autoSpaceDN w:val="0"/>
        <w:spacing w:line="360" w:lineRule="auto"/>
        <w:ind w:left="2975" w:leftChars="878" w:hanging="1131" w:hangingChars="539"/>
        <w:contextualSpacing/>
        <w:rPr>
          <w:rFonts w:cs="宋体" w:asciiTheme="minorEastAsia" w:hAnsiTheme="minorEastAsia"/>
          <w:kern w:val="0"/>
          <w:szCs w:val="21"/>
        </w:rPr>
      </w:pPr>
      <w:r>
        <w:rPr>
          <w:rFonts w:hint="eastAsia" w:cs="宋体" w:asciiTheme="minorEastAsia" w:hAnsiTheme="minorEastAsia"/>
          <w:kern w:val="0"/>
          <w:szCs w:val="21"/>
        </w:rPr>
        <w:t>32.1.1.2   最低评标价法，是指投标文件满足招标文件全部实质性要求，且投标报价最低的投标人为中标候选人的评标方法。</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32.1.1.2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32.1.2  综合评分法，是指投标文件满足招标文件全部实质性要求，且按照评审因素的量化指标评审得分最高的投标人为中标候选人的评标方法。</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32.2.1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32.2.2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32.2.3  因落实政府采购政策进行价格调整的，以调整后的价格计算评标基准价和投标报价。</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40"/>
        <w:numPr>
          <w:ilvl w:val="0"/>
          <w:numId w:val="2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40"/>
        <w:numPr>
          <w:ilvl w:val="1"/>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2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34.1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34.2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34.3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34.4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34.5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34.6  记录、复制或者带走任何评标资料；</w:t>
      </w:r>
    </w:p>
    <w:p>
      <w:pPr>
        <w:pStyle w:val="40"/>
        <w:numPr>
          <w:ilvl w:val="1"/>
          <w:numId w:val="3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40"/>
        <w:numPr>
          <w:ilvl w:val="0"/>
          <w:numId w:val="3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40"/>
        <w:numPr>
          <w:ilvl w:val="1"/>
          <w:numId w:val="31"/>
        </w:numPr>
        <w:autoSpaceDE w:val="0"/>
        <w:autoSpaceDN w:val="0"/>
        <w:spacing w:line="360" w:lineRule="auto"/>
        <w:ind w:left="964"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 xml:space="preserve"> 评审专家应当遵守评审工作纪律，不得泄露评审文件、评审情况和评审中获悉的商业秘密。</w:t>
      </w:r>
    </w:p>
    <w:p>
      <w:pPr>
        <w:pStyle w:val="40"/>
        <w:numPr>
          <w:ilvl w:val="1"/>
          <w:numId w:val="31"/>
        </w:numPr>
        <w:autoSpaceDE w:val="0"/>
        <w:autoSpaceDN w:val="0"/>
        <w:spacing w:line="360" w:lineRule="auto"/>
        <w:ind w:left="964"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40"/>
        <w:numPr>
          <w:ilvl w:val="0"/>
          <w:numId w:val="31"/>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autoSpaceDE w:val="0"/>
        <w:autoSpaceDN w:val="0"/>
        <w:spacing w:line="360" w:lineRule="auto"/>
        <w:ind w:firstLine="420" w:firstLineChars="200"/>
        <w:contextualSpacing/>
        <w:rPr>
          <w:rFonts w:hint="eastAsia" w:cs="宋体" w:asciiTheme="minorEastAsia" w:hAnsiTheme="minorEastAsia"/>
          <w:kern w:val="0"/>
          <w:szCs w:val="21"/>
        </w:rPr>
      </w:pPr>
      <w:r>
        <w:rPr>
          <w:rFonts w:hint="eastAsia" w:cs="宋体" w:asciiTheme="minorEastAsia" w:hAnsiTheme="minorEastAsia"/>
          <w:kern w:val="0"/>
          <w:szCs w:val="21"/>
        </w:rPr>
        <w:t>36.1  采购人应当自收到评标报告之日起5个工作日内，在评标报告确定的中标候选人名单中按顺序确定中标人。中标候选人并列的，由采购人采取随机抽取的方式确定。</w:t>
      </w:r>
    </w:p>
    <w:p>
      <w:pPr>
        <w:pStyle w:val="40"/>
        <w:numPr>
          <w:ilvl w:val="1"/>
          <w:numId w:val="3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采购人在收到评标报告5个工作日内未按评标报告推荐的中标候选人顺序确定中标人，又不能说明合法理由的，视同按评标报告推荐的顺序确定排名第一的中标候选人为中标人。</w:t>
      </w:r>
    </w:p>
    <w:p>
      <w:pPr>
        <w:pStyle w:val="40"/>
        <w:autoSpaceDE w:val="0"/>
        <w:autoSpaceDN w:val="0"/>
        <w:spacing w:line="360" w:lineRule="auto"/>
        <w:ind w:left="964" w:firstLine="0" w:firstLineChars="0"/>
        <w:contextualSpacing/>
        <w:rPr>
          <w:rFonts w:cs="宋体" w:asciiTheme="minorEastAsia" w:hAnsiTheme="minorEastAsia"/>
          <w:kern w:val="0"/>
          <w:szCs w:val="21"/>
        </w:rPr>
      </w:pPr>
    </w:p>
    <w:p>
      <w:pPr>
        <w:pStyle w:val="40"/>
        <w:numPr>
          <w:ilvl w:val="0"/>
          <w:numId w:val="3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37.1采购人确认中标人后，招标人在公告中标结果的同时，向中标人发出中标通知书。</w:t>
      </w:r>
    </w:p>
    <w:p>
      <w:pPr>
        <w:pStyle w:val="40"/>
        <w:numPr>
          <w:ilvl w:val="1"/>
          <w:numId w:val="3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40"/>
        <w:numPr>
          <w:ilvl w:val="1"/>
          <w:numId w:val="3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40"/>
        <w:numPr>
          <w:ilvl w:val="0"/>
          <w:numId w:val="3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38.1供应商认为采购文件、采购过程和中标结果使自己的权益受到损害的，可以按照《政府采购质疑和投诉办法》（财政部令第94号）提出质疑。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38.1.1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38.1.2  对采购过程提出质疑的，为各采购程序环节结束之日起七个工作日  内，以书面形式向采购人和采购代理机构一次性提出；</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38.1.3  对中标结果提出质疑的，为中标结果公告期限届满之日起七个工作日内，以书面形式向采购人和采购代理机构一次性提出。</w:t>
      </w:r>
    </w:p>
    <w:p>
      <w:pPr>
        <w:pStyle w:val="40"/>
        <w:numPr>
          <w:ilvl w:val="1"/>
          <w:numId w:val="3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38.2.1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38.2.2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0"/>
        <w:numPr>
          <w:ilvl w:val="0"/>
          <w:numId w:val="3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40"/>
        <w:numPr>
          <w:ilvl w:val="0"/>
          <w:numId w:val="3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p>
    <w:p>
      <w:pPr>
        <w:autoSpaceDE w:val="0"/>
        <w:autoSpaceDN w:val="0"/>
        <w:spacing w:line="360" w:lineRule="auto"/>
        <w:ind w:left="964" w:firstLine="1446" w:firstLineChars="450"/>
        <w:contextualSpacing/>
        <w:jc w:val="left"/>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等政府采购政策。</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4" w:name="OLE_LINK6"/>
      <w:r>
        <w:rPr>
          <w:rFonts w:hint="eastAsia" w:cs="仿宋_GB2312" w:asciiTheme="minorEastAsia" w:hAnsiTheme="minorEastAsia"/>
          <w:szCs w:val="21"/>
          <w:lang w:val="zh-CN"/>
        </w:rPr>
        <w:t>财库[2014]68号</w:t>
      </w:r>
      <w:bookmarkEnd w:id="4"/>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失信被执行人、重大税收违法案件当事人名单的投标人、“</w:t>
            </w:r>
            <w:r>
              <w:rPr>
                <w:rFonts w:asciiTheme="minorEastAsia" w:hAnsiTheme="minorEastAsia"/>
                <w:bCs/>
                <w:szCs w:val="21"/>
              </w:rPr>
              <w:t>中国政府采购网</w:t>
            </w:r>
            <w:r>
              <w:rPr>
                <w:rFonts w:hint="eastAsia" w:asciiTheme="minorEastAsia" w:hAnsiTheme="minorEastAsia"/>
                <w:bCs/>
                <w:szCs w:val="21"/>
              </w:rPr>
              <w:t>”政府采购严重违法失信行为记录名单的投标人、</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color w:val="FF0000"/>
                <w:szCs w:val="21"/>
              </w:rPr>
            </w:pPr>
            <w:r>
              <w:rPr>
                <w:rFonts w:hint="eastAsia" w:asciiTheme="minorEastAsia" w:hAnsiTheme="minorEastAsia"/>
                <w:bCs/>
                <w:szCs w:val="21"/>
              </w:rPr>
              <w:t>（4）信用信息的使用原则：</w:t>
            </w:r>
            <w:r>
              <w:rPr>
                <w:rFonts w:hint="eastAsia" w:cs="宋体" w:asciiTheme="minorEastAsia" w:hAnsiTheme="minorEastAsia"/>
                <w:kern w:val="0"/>
                <w:szCs w:val="21"/>
              </w:rPr>
              <w:t>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spacing w:line="360" w:lineRule="auto"/>
              <w:rPr>
                <w:rFonts w:asciiTheme="minorEastAsia" w:hAnsiTheme="minorEastAsia"/>
                <w:b/>
                <w:bCs/>
                <w:szCs w:val="21"/>
              </w:rPr>
            </w:pPr>
            <w:r>
              <w:rPr>
                <w:rFonts w:hint="eastAsia" w:cs="宋体" w:asciiTheme="minorEastAsia" w:hAnsiTheme="minorEastAsia"/>
                <w:kern w:val="0"/>
                <w:szCs w:val="21"/>
              </w:rPr>
              <w:t>（5）投标人无须提供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5" w:name="baidusnap2"/>
            <w:bookmarkEnd w:id="5"/>
            <w:r>
              <w:rPr>
                <w:rFonts w:hint="eastAsia" w:cs="仿宋_GB2312" w:asciiTheme="minorEastAsia" w:hAnsiTheme="minorEastAsia"/>
                <w:szCs w:val="21"/>
                <w:lang w:val="zh-CN"/>
              </w:rPr>
              <w:t>提供未为本项目提供整体设计、</w:t>
            </w:r>
            <w:bookmarkStart w:id="6" w:name="baidusnap9"/>
            <w:bookmarkEnd w:id="6"/>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w:t>
      </w:r>
      <w:r>
        <w:rPr>
          <w:rFonts w:cs="仿宋_GB2312" w:asciiTheme="minorEastAsia" w:hAnsiTheme="minorEastAsia" w:eastAsiaTheme="minorEastAsia"/>
          <w:color w:val="auto"/>
          <w:sz w:val="21"/>
          <w:szCs w:val="21"/>
          <w:lang w:val="zh-CN"/>
        </w:rPr>
        <w:t>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auto"/>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asciiTheme="minorEastAsia" w:hAnsiTheme="minorEastAsia" w:eastAsiaTheme="minorEastAsia"/>
          <w:b/>
          <w:color w:val="auto"/>
          <w:sz w:val="21"/>
          <w:szCs w:val="21"/>
        </w:rPr>
        <w:t>（2）</w:t>
      </w:r>
      <w:r>
        <w:rPr>
          <w:rFonts w:cs="仿宋_GB2312" w:asciiTheme="minorEastAsia" w:hAnsiTheme="minorEastAsia" w:eastAsiaTheme="minorEastAsia"/>
          <w:b/>
          <w:color w:val="auto"/>
          <w:sz w:val="21"/>
          <w:szCs w:val="21"/>
          <w:lang w:val="zh-CN"/>
        </w:rPr>
        <w:t>关于相同品牌产品</w:t>
      </w:r>
      <w:r>
        <w:rPr>
          <w:rFonts w:cs="仿宋_GB2312" w:asciiTheme="minorEastAsia" w:hAnsiTheme="minorEastAsia" w:eastAsiaTheme="minorEastAsia"/>
          <w:b/>
          <w:bCs/>
          <w:color w:val="auto"/>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color w:val="auto"/>
          <w:sz w:val="21"/>
          <w:szCs w:val="21"/>
          <w:lang w:val="zh-CN"/>
        </w:rPr>
        <w:t>采用最低评标价法的，提供相同品</w:t>
      </w:r>
      <w:r>
        <w:rPr>
          <w:rFonts w:cs="仿宋_GB2312" w:asciiTheme="minorEastAsia" w:hAnsiTheme="minorEastAsia" w:eastAsiaTheme="minorEastAsia"/>
          <w:sz w:val="21"/>
          <w:szCs w:val="21"/>
          <w:lang w:val="zh-CN"/>
        </w:rPr>
        <w:t>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hint="eastAsia" w:cs="仿宋_GB2312" w:asciiTheme="minorEastAsia" w:hAnsiTheme="minorEastAsia" w:eastAsiaTheme="minorEastAsia"/>
          <w:b/>
          <w:sz w:val="21"/>
          <w:szCs w:val="21"/>
          <w:lang w:val="en-US" w:eastAsia="zh-CN"/>
        </w:rPr>
      </w:pPr>
      <w:r>
        <w:rPr>
          <w:rFonts w:hint="eastAsia" w:cs="仿宋_GB2312" w:asciiTheme="minorEastAsia" w:hAnsiTheme="minorEastAsia" w:eastAsiaTheme="minorEastAsia"/>
          <w:b/>
          <w:sz w:val="21"/>
          <w:szCs w:val="21"/>
          <w:lang w:val="zh-CN"/>
        </w:rPr>
        <w:t>（7）评标标准</w:t>
      </w:r>
      <w:r>
        <w:rPr>
          <w:rFonts w:hint="eastAsia" w:cs="仿宋_GB2312" w:asciiTheme="minorEastAsia" w:hAnsiTheme="minorEastAsia" w:eastAsiaTheme="minorEastAsia"/>
          <w:b/>
          <w:sz w:val="21"/>
          <w:szCs w:val="21"/>
          <w:lang w:val="en-US" w:eastAsia="zh-CN"/>
        </w:rPr>
        <w:t>A包</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6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2944" w:type="dxa"/>
            <w:gridSpan w:val="2"/>
            <w:vAlign w:val="center"/>
          </w:tcPr>
          <w:p>
            <w:pPr>
              <w:spacing w:line="360" w:lineRule="auto"/>
              <w:jc w:val="center"/>
              <w:rPr>
                <w:rFonts w:asciiTheme="minorEastAsia" w:hAnsiTheme="minorEastAsia"/>
                <w:szCs w:val="21"/>
              </w:rPr>
            </w:pPr>
            <w:r>
              <w:rPr>
                <w:rFonts w:hint="eastAsia" w:asciiTheme="minorEastAsia" w:hAnsiTheme="minorEastAsia"/>
                <w:szCs w:val="21"/>
              </w:rPr>
              <w:t>分值构成</w:t>
            </w:r>
          </w:p>
          <w:p>
            <w:pPr>
              <w:snapToGrid w:val="0"/>
              <w:spacing w:beforeLines="50"/>
              <w:jc w:val="center"/>
              <w:rPr>
                <w:rFonts w:ascii="宋体" w:hAnsi="宋体" w:cs="宋体"/>
                <w:b/>
                <w:szCs w:val="21"/>
              </w:rPr>
            </w:pPr>
            <w:r>
              <w:rPr>
                <w:rFonts w:hint="eastAsia" w:asciiTheme="minorEastAsia" w:hAnsiTheme="minorEastAsia"/>
                <w:szCs w:val="21"/>
              </w:rPr>
              <w:t>(总分100分)</w:t>
            </w:r>
          </w:p>
        </w:tc>
        <w:tc>
          <w:tcPr>
            <w:tcW w:w="6095" w:type="dxa"/>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价格分值：</w:t>
            </w:r>
            <w:r>
              <w:rPr>
                <w:rFonts w:hint="eastAsia" w:asciiTheme="minorEastAsia" w:hAnsiTheme="minorEastAsia"/>
                <w:color w:val="FF0000"/>
                <w:szCs w:val="21"/>
                <w:u w:val="single"/>
                <w:lang w:val="en-US" w:eastAsia="zh-CN"/>
              </w:rPr>
              <w:t>20</w:t>
            </w:r>
            <w:r>
              <w:rPr>
                <w:rFonts w:hint="eastAsia" w:asciiTheme="minorEastAsia" w:hAnsiTheme="minorEastAsia"/>
                <w:szCs w:val="21"/>
              </w:rPr>
              <w:t>分</w:t>
            </w:r>
          </w:p>
          <w:p>
            <w:pPr>
              <w:spacing w:line="360" w:lineRule="auto"/>
              <w:ind w:firstLine="420" w:firstLineChars="200"/>
              <w:rPr>
                <w:rFonts w:asciiTheme="minorEastAsia" w:hAnsiTheme="minorEastAsia"/>
                <w:szCs w:val="21"/>
              </w:rPr>
            </w:pPr>
            <w:r>
              <w:rPr>
                <w:rFonts w:hint="eastAsia" w:asciiTheme="minorEastAsia" w:hAnsiTheme="minorEastAsia"/>
                <w:szCs w:val="21"/>
              </w:rPr>
              <w:t>商务部分：</w:t>
            </w:r>
            <w:r>
              <w:rPr>
                <w:rFonts w:hint="eastAsia" w:asciiTheme="minorEastAsia" w:hAnsiTheme="minorEastAsia"/>
                <w:color w:val="FF0000"/>
                <w:szCs w:val="21"/>
                <w:u w:val="single"/>
                <w:lang w:val="en-US" w:eastAsia="zh-CN"/>
              </w:rPr>
              <w:t>35</w:t>
            </w:r>
            <w:r>
              <w:rPr>
                <w:rFonts w:hint="eastAsia" w:asciiTheme="minorEastAsia" w:hAnsiTheme="minorEastAsia"/>
                <w:szCs w:val="21"/>
              </w:rPr>
              <w:t>分</w:t>
            </w:r>
          </w:p>
          <w:p>
            <w:pPr>
              <w:spacing w:beforeLines="50"/>
              <w:ind w:firstLine="420" w:firstLineChars="200"/>
              <w:rPr>
                <w:rFonts w:asciiTheme="minorEastAsia" w:hAnsiTheme="minorEastAsia"/>
                <w:szCs w:val="21"/>
              </w:rPr>
            </w:pPr>
            <w:r>
              <w:rPr>
                <w:rFonts w:hint="eastAsia" w:asciiTheme="minorEastAsia" w:hAnsiTheme="minorEastAsia"/>
                <w:szCs w:val="21"/>
              </w:rPr>
              <w:t>技术部分：</w:t>
            </w:r>
            <w:r>
              <w:rPr>
                <w:rFonts w:hint="eastAsia" w:asciiTheme="minorEastAsia" w:hAnsiTheme="minorEastAsia"/>
                <w:color w:val="FF0000"/>
                <w:szCs w:val="21"/>
                <w:u w:val="single"/>
                <w:lang w:val="en-US" w:eastAsia="zh-CN"/>
              </w:rPr>
              <w:t>35</w:t>
            </w:r>
            <w:r>
              <w:rPr>
                <w:rFonts w:hint="eastAsia" w:asciiTheme="minorEastAsia" w:hAnsiTheme="minorEastAsia"/>
                <w:szCs w:val="21"/>
              </w:rPr>
              <w:t>分</w:t>
            </w:r>
          </w:p>
          <w:p>
            <w:pPr>
              <w:spacing w:beforeLines="50"/>
              <w:ind w:firstLine="420" w:firstLineChars="200"/>
              <w:rPr>
                <w:rFonts w:ascii="宋体" w:hAnsi="宋体" w:cs="宋体"/>
                <w:b/>
                <w:szCs w:val="21"/>
              </w:rPr>
            </w:pPr>
            <w:r>
              <w:rPr>
                <w:rFonts w:hint="eastAsia" w:asciiTheme="minorEastAsia" w:hAnsiTheme="minorEastAsia"/>
                <w:szCs w:val="21"/>
              </w:rPr>
              <w:t>服务部分：</w:t>
            </w:r>
            <w:r>
              <w:rPr>
                <w:rFonts w:hint="eastAsia" w:asciiTheme="minorEastAsia" w:hAnsiTheme="minorEastAsia"/>
                <w:color w:val="FF0000"/>
                <w:szCs w:val="21"/>
                <w:u w:val="single"/>
                <w:lang w:val="en-US" w:eastAsia="zh-CN"/>
              </w:rPr>
              <w:t>10</w:t>
            </w:r>
            <w:r>
              <w:rPr>
                <w:rFonts w:hint="eastAsia" w:asciiTheme="minorEastAsia" w:hAnsi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84"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评审项</w:t>
            </w:r>
          </w:p>
        </w:tc>
        <w:tc>
          <w:tcPr>
            <w:tcW w:w="1560"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评分因素</w:t>
            </w:r>
          </w:p>
        </w:tc>
        <w:tc>
          <w:tcPr>
            <w:tcW w:w="6095"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w:t>
            </w:r>
            <w:r>
              <w:rPr>
                <w:rFonts w:hint="eastAsia" w:ascii="宋体" w:hAnsi="宋体" w:cs="宋体"/>
                <w:b/>
                <w:szCs w:val="21"/>
              </w:rPr>
              <w:t>标</w:t>
            </w:r>
            <w:r>
              <w:rPr>
                <w:rFonts w:hint="eastAsia" w:ascii="宋体" w:hAnsi="宋体" w:eastAsia="宋体" w:cs="宋体"/>
                <w:b/>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1384" w:type="dxa"/>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报价部分</w:t>
            </w:r>
          </w:p>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20</w:t>
            </w:r>
            <w:r>
              <w:rPr>
                <w:rFonts w:hint="eastAsia" w:ascii="宋体" w:hAnsi="宋体" w:eastAsia="宋体" w:cs="宋体"/>
                <w:szCs w:val="21"/>
              </w:rPr>
              <w:t>分）</w:t>
            </w:r>
          </w:p>
        </w:tc>
        <w:tc>
          <w:tcPr>
            <w:tcW w:w="1560" w:type="dxa"/>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报价</w:t>
            </w:r>
          </w:p>
          <w:p>
            <w:pPr>
              <w:snapToGrid w:val="0"/>
              <w:spacing w:beforeLines="50"/>
              <w:jc w:val="center"/>
              <w:rPr>
                <w:rFonts w:ascii="宋体" w:hAnsi="宋体" w:eastAsia="宋体" w:cs="宋体"/>
                <w:szCs w:val="21"/>
              </w:rPr>
            </w:pPr>
            <w:r>
              <w:rPr>
                <w:rFonts w:hint="eastAsia" w:ascii="宋体" w:hAnsi="宋体" w:eastAsia="宋体" w:cs="宋体"/>
                <w:color w:val="auto"/>
                <w:szCs w:val="21"/>
              </w:rPr>
              <w:t>（</w:t>
            </w:r>
            <w:r>
              <w:rPr>
                <w:rFonts w:hint="eastAsia" w:eastAsia="宋体" w:asciiTheme="minorEastAsia" w:hAnsiTheme="minorEastAsia"/>
                <w:color w:val="auto"/>
                <w:szCs w:val="21"/>
                <w:u w:val="none"/>
                <w:lang w:val="en-US" w:eastAsia="zh-CN"/>
              </w:rPr>
              <w:t>20</w:t>
            </w:r>
            <w:r>
              <w:rPr>
                <w:rFonts w:hint="eastAsia" w:ascii="宋体" w:hAnsi="宋体" w:eastAsia="宋体" w:cs="宋体"/>
                <w:color w:val="auto"/>
                <w:szCs w:val="21"/>
                <w:u w:val="none"/>
              </w:rPr>
              <w:t>分</w:t>
            </w:r>
            <w:r>
              <w:rPr>
                <w:rFonts w:hint="eastAsia" w:ascii="宋体" w:hAnsi="宋体" w:eastAsia="宋体" w:cs="宋体"/>
                <w:szCs w:val="21"/>
                <w:u w:val="none"/>
              </w:rPr>
              <w:t>）</w:t>
            </w:r>
          </w:p>
        </w:tc>
        <w:tc>
          <w:tcPr>
            <w:tcW w:w="6095" w:type="dxa"/>
            <w:vAlign w:val="center"/>
          </w:tcPr>
          <w:p>
            <w:pPr>
              <w:spacing w:line="360" w:lineRule="auto"/>
              <w:rPr>
                <w:rFonts w:asciiTheme="minorEastAsia" w:hAnsiTheme="minorEastAsia"/>
                <w:szCs w:val="21"/>
              </w:rPr>
            </w:pPr>
            <w:r>
              <w:rPr>
                <w:rFonts w:hint="eastAsia" w:asciiTheme="minorEastAsia" w:hAnsiTheme="minorEastAsia"/>
                <w:szCs w:val="21"/>
              </w:rPr>
              <w:t>评标基准价：满足招标文件要求的有效投标报价中，最低的投标报价为评标基准价。</w:t>
            </w:r>
          </w:p>
          <w:p>
            <w:pPr>
              <w:widowControl/>
              <w:spacing w:beforeLines="50"/>
              <w:rPr>
                <w:rFonts w:hint="default" w:ascii="宋体" w:hAnsi="宋体" w:cs="宋体" w:eastAsiaTheme="minorEastAsia"/>
                <w:szCs w:val="21"/>
                <w:lang w:val="en-US" w:eastAsia="zh-CN"/>
              </w:rPr>
            </w:pPr>
            <w:r>
              <w:rPr>
                <w:rFonts w:hint="eastAsia" w:asciiTheme="minorEastAsia" w:hAnsiTheme="minorEastAsia"/>
                <w:szCs w:val="21"/>
              </w:rPr>
              <w:t>投标报价得分=（评标基准价/投标报价）×</w:t>
            </w:r>
            <w:r>
              <w:rPr>
                <w:rFonts w:hint="eastAsia" w:asciiTheme="minorEastAsia" w:hAnsiTheme="minorEastAsia"/>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restart"/>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商务部分</w:t>
            </w:r>
          </w:p>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35</w:t>
            </w:r>
            <w:r>
              <w:rPr>
                <w:rFonts w:hint="eastAsia" w:ascii="宋体" w:hAnsi="宋体" w:eastAsia="宋体" w:cs="宋体"/>
                <w:szCs w:val="21"/>
              </w:rPr>
              <w:t>分）</w:t>
            </w:r>
          </w:p>
        </w:tc>
        <w:tc>
          <w:tcPr>
            <w:tcW w:w="1560" w:type="dxa"/>
            <w:vAlign w:val="center"/>
          </w:tcPr>
          <w:p>
            <w:pPr>
              <w:spacing w:line="360" w:lineRule="auto"/>
              <w:jc w:val="center"/>
              <w:rPr>
                <w:rFonts w:hint="eastAsia" w:asciiTheme="minorEastAsia" w:hAnsiTheme="minorEastAsia"/>
                <w:szCs w:val="21"/>
              </w:rPr>
            </w:pPr>
            <w:r>
              <w:rPr>
                <w:rFonts w:hint="eastAsia" w:asciiTheme="minorEastAsia" w:hAnsiTheme="minorEastAsia"/>
                <w:szCs w:val="21"/>
              </w:rPr>
              <w:t>业绩</w:t>
            </w:r>
          </w:p>
          <w:p>
            <w:pPr>
              <w:spacing w:line="360" w:lineRule="auto"/>
              <w:jc w:val="center"/>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val="en-US" w:eastAsia="zh-CN"/>
              </w:rPr>
              <w:t>11</w:t>
            </w:r>
            <w:r>
              <w:rPr>
                <w:rFonts w:hint="eastAsia" w:asciiTheme="minorEastAsia" w:hAnsiTheme="minorEastAsia"/>
                <w:szCs w:val="21"/>
              </w:rPr>
              <w:t>分）</w:t>
            </w:r>
          </w:p>
        </w:tc>
        <w:tc>
          <w:tcPr>
            <w:tcW w:w="6095" w:type="dxa"/>
            <w:vAlign w:val="center"/>
          </w:tcPr>
          <w:p>
            <w:pPr>
              <w:spacing w:line="360" w:lineRule="auto"/>
              <w:rPr>
                <w:rFonts w:hint="eastAsia" w:asciiTheme="minorEastAsia" w:hAnsiTheme="minorEastAsia"/>
                <w:szCs w:val="21"/>
              </w:rPr>
            </w:pPr>
            <w:r>
              <w:rPr>
                <w:rFonts w:hint="eastAsia" w:asciiTheme="minorEastAsia" w:hAnsiTheme="minorEastAsia"/>
                <w:szCs w:val="21"/>
                <w:lang w:val="en-US" w:eastAsia="zh-CN"/>
              </w:rPr>
              <w:t>1.</w:t>
            </w:r>
            <w:r>
              <w:rPr>
                <w:rFonts w:hint="eastAsia" w:asciiTheme="minorEastAsia" w:hAnsiTheme="minorEastAsia"/>
                <w:szCs w:val="21"/>
              </w:rPr>
              <w:t>投标人自2016年1月1日以来的类似项目业绩，每份业绩（包括中标通知书、合同、验收证书三项齐全的）得3分，最高</w:t>
            </w:r>
            <w:r>
              <w:rPr>
                <w:rFonts w:hint="eastAsia" w:asciiTheme="minorEastAsia" w:hAnsiTheme="minorEastAsia"/>
                <w:szCs w:val="21"/>
                <w:lang w:val="en-US" w:eastAsia="zh-CN"/>
              </w:rPr>
              <w:t>6</w:t>
            </w:r>
            <w:r>
              <w:rPr>
                <w:rFonts w:hint="eastAsia" w:asciiTheme="minorEastAsia" w:hAnsiTheme="minorEastAsia"/>
                <w:szCs w:val="21"/>
              </w:rPr>
              <w:t>分。</w:t>
            </w:r>
          </w:p>
          <w:p>
            <w:pPr>
              <w:spacing w:line="360" w:lineRule="auto"/>
              <w:rPr>
                <w:rFonts w:hint="eastAsia" w:asciiTheme="minorEastAsia" w:hAnsiTheme="minorEastAsia"/>
                <w:szCs w:val="21"/>
              </w:rPr>
            </w:pPr>
            <w:r>
              <w:rPr>
                <w:rFonts w:hint="eastAsia" w:asciiTheme="minorEastAsia" w:hAnsiTheme="minorEastAsia"/>
                <w:szCs w:val="21"/>
              </w:rPr>
              <w:t>备注：类似项目是指中华人民共和国境内的地表水自动连续监测项目（不含生活污水类、工业废水类）或者地表水监测运维项目（不含生活污水类、工业废水类）</w:t>
            </w:r>
          </w:p>
          <w:p>
            <w:pPr>
              <w:spacing w:line="360" w:lineRule="auto"/>
              <w:rPr>
                <w:rFonts w:hint="eastAsia" w:asciiTheme="minorEastAsia" w:hAnsiTheme="minorEastAsia"/>
                <w:szCs w:val="21"/>
                <w:lang w:val="zh-CN"/>
              </w:rPr>
            </w:pPr>
            <w:r>
              <w:rPr>
                <w:rFonts w:hint="eastAsia" w:asciiTheme="minorEastAsia" w:hAnsiTheme="minorEastAsia"/>
                <w:szCs w:val="21"/>
                <w:lang w:val="en-US" w:eastAsia="zh-CN"/>
              </w:rPr>
              <w:t>2.</w:t>
            </w:r>
            <w:r>
              <w:rPr>
                <w:rFonts w:hint="eastAsia" w:asciiTheme="minorEastAsia" w:hAnsiTheme="minorEastAsia"/>
                <w:szCs w:val="21"/>
              </w:rPr>
              <w:t>投标人提供2016年1月以来市级及以上环保部门出具的水站类建设或运维项目的满意度证明资料，客户评价为“满意”、“优秀”、“良好”等积极正面的评价，每提供一份得1分，最多得5分。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vAlign w:val="center"/>
          </w:tcPr>
          <w:p>
            <w:pPr>
              <w:snapToGrid w:val="0"/>
              <w:spacing w:beforeLines="50"/>
              <w:ind w:leftChars="-2" w:hanging="4" w:hangingChars="2"/>
              <w:jc w:val="center"/>
              <w:rPr>
                <w:rFonts w:ascii="宋体" w:hAnsi="宋体" w:eastAsia="宋体" w:cs="宋体"/>
                <w:szCs w:val="21"/>
              </w:rPr>
            </w:pPr>
          </w:p>
        </w:tc>
        <w:tc>
          <w:tcPr>
            <w:tcW w:w="1560" w:type="dxa"/>
            <w:vAlign w:val="center"/>
          </w:tcPr>
          <w:p>
            <w:pPr>
              <w:spacing w:line="360" w:lineRule="auto"/>
              <w:jc w:val="center"/>
              <w:rPr>
                <w:rFonts w:hint="eastAsia" w:asciiTheme="minorEastAsia" w:hAnsiTheme="minorEastAsia"/>
                <w:szCs w:val="21"/>
              </w:rPr>
            </w:pPr>
            <w:r>
              <w:rPr>
                <w:rFonts w:hint="eastAsia" w:asciiTheme="minorEastAsia" w:hAnsiTheme="minorEastAsia"/>
                <w:szCs w:val="21"/>
              </w:rPr>
              <w:t>企业信誉</w:t>
            </w:r>
          </w:p>
          <w:p>
            <w:pPr>
              <w:spacing w:line="360" w:lineRule="auto"/>
              <w:jc w:val="center"/>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val="en-US" w:eastAsia="zh-CN"/>
              </w:rPr>
              <w:t>6</w:t>
            </w:r>
            <w:r>
              <w:rPr>
                <w:rFonts w:hint="eastAsia" w:asciiTheme="minorEastAsia" w:hAnsiTheme="minorEastAsia"/>
                <w:szCs w:val="21"/>
              </w:rPr>
              <w:t>分）</w:t>
            </w:r>
          </w:p>
        </w:tc>
        <w:tc>
          <w:tcPr>
            <w:tcW w:w="6095" w:type="dxa"/>
            <w:vAlign w:val="center"/>
          </w:tcPr>
          <w:p>
            <w:pPr>
              <w:spacing w:line="360" w:lineRule="auto"/>
              <w:rPr>
                <w:rFonts w:hint="eastAsia" w:asciiTheme="minorEastAsia" w:hAnsiTheme="minorEastAsia"/>
                <w:szCs w:val="21"/>
                <w:lang w:val="zh-CN"/>
              </w:rPr>
            </w:pPr>
            <w:r>
              <w:rPr>
                <w:rFonts w:hint="eastAsia" w:asciiTheme="minorEastAsia" w:hAnsiTheme="minorEastAsia"/>
                <w:szCs w:val="21"/>
              </w:rPr>
              <w:t xml:space="preserve"> 投标人近5年来未受到过各级环保部门约谈或行政处罚的得</w:t>
            </w:r>
            <w:r>
              <w:rPr>
                <w:rFonts w:hint="eastAsia" w:asciiTheme="minorEastAsia" w:hAnsiTheme="minorEastAsia"/>
                <w:szCs w:val="21"/>
                <w:lang w:val="en-US" w:eastAsia="zh-CN"/>
              </w:rPr>
              <w:t>,6</w:t>
            </w:r>
            <w:r>
              <w:rPr>
                <w:rFonts w:hint="eastAsia" w:asciiTheme="minorEastAsia" w:hAnsiTheme="minorEastAsia"/>
                <w:szCs w:val="21"/>
              </w:rPr>
              <w:t>分，需提供承诺函。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vAlign w:val="center"/>
          </w:tcPr>
          <w:p>
            <w:pPr>
              <w:snapToGrid w:val="0"/>
              <w:spacing w:beforeLines="50"/>
              <w:ind w:leftChars="-2" w:hanging="4" w:hangingChars="2"/>
              <w:jc w:val="center"/>
              <w:rPr>
                <w:rFonts w:ascii="宋体" w:hAnsi="宋体" w:eastAsia="宋体" w:cs="宋体"/>
                <w:szCs w:val="21"/>
              </w:rPr>
            </w:pPr>
          </w:p>
        </w:tc>
        <w:tc>
          <w:tcPr>
            <w:tcW w:w="1560" w:type="dxa"/>
            <w:vAlign w:val="center"/>
          </w:tcPr>
          <w:p>
            <w:pPr>
              <w:spacing w:line="360" w:lineRule="auto"/>
              <w:jc w:val="center"/>
              <w:rPr>
                <w:rFonts w:hint="eastAsia" w:asciiTheme="minorEastAsia" w:hAnsiTheme="minorEastAsia"/>
                <w:szCs w:val="21"/>
              </w:rPr>
            </w:pPr>
            <w:r>
              <w:rPr>
                <w:rFonts w:hint="eastAsia" w:asciiTheme="minorEastAsia" w:hAnsiTheme="minorEastAsia"/>
                <w:szCs w:val="21"/>
              </w:rPr>
              <w:t>综合能力</w:t>
            </w:r>
          </w:p>
          <w:p>
            <w:pPr>
              <w:spacing w:line="360" w:lineRule="auto"/>
              <w:jc w:val="center"/>
              <w:rPr>
                <w:rFonts w:hint="eastAsia" w:asciiTheme="minorEastAsia" w:hAnsiTheme="minorEastAsia"/>
                <w:szCs w:val="21"/>
              </w:rPr>
            </w:pPr>
            <w:r>
              <w:rPr>
                <w:rFonts w:hint="eastAsia" w:asciiTheme="minorEastAsia" w:hAnsiTheme="minorEastAsia"/>
                <w:szCs w:val="21"/>
              </w:rPr>
              <w:t>（1</w:t>
            </w:r>
            <w:r>
              <w:rPr>
                <w:rFonts w:hint="eastAsia" w:asciiTheme="minorEastAsia" w:hAnsiTheme="minorEastAsia"/>
                <w:szCs w:val="21"/>
                <w:lang w:val="en-US" w:eastAsia="zh-CN"/>
              </w:rPr>
              <w:t>2</w:t>
            </w:r>
            <w:r>
              <w:rPr>
                <w:rFonts w:hint="eastAsia" w:asciiTheme="minorEastAsia" w:hAnsiTheme="minorEastAsia"/>
                <w:szCs w:val="21"/>
              </w:rPr>
              <w:t>分）</w:t>
            </w:r>
          </w:p>
        </w:tc>
        <w:tc>
          <w:tcPr>
            <w:tcW w:w="6095" w:type="dxa"/>
            <w:vAlign w:val="center"/>
          </w:tcPr>
          <w:p>
            <w:pPr>
              <w:spacing w:line="360" w:lineRule="auto"/>
              <w:rPr>
                <w:rFonts w:hint="eastAsia" w:asciiTheme="minorEastAsia" w:hAnsiTheme="minorEastAsia"/>
                <w:szCs w:val="21"/>
                <w:lang w:val="en-GB"/>
              </w:rPr>
            </w:pPr>
            <w:r>
              <w:rPr>
                <w:rFonts w:hint="eastAsia" w:asciiTheme="minorEastAsia" w:hAnsiTheme="minorEastAsia"/>
                <w:szCs w:val="21"/>
              </w:rPr>
              <w:t xml:space="preserve"> 投标人具有质量管理体系认证证书（含水质自动监测系统）、环境管理体系认证证书（含水质自动监测系统）、信息安全管理体系证书</w:t>
            </w:r>
            <w:r>
              <w:rPr>
                <w:rFonts w:hint="eastAsia" w:asciiTheme="minorEastAsia" w:hAnsiTheme="minorEastAsia"/>
                <w:szCs w:val="21"/>
                <w:lang w:eastAsia="zh-CN"/>
              </w:rPr>
              <w:t>、</w:t>
            </w:r>
            <w:r>
              <w:rPr>
                <w:rFonts w:hint="eastAsia" w:asciiTheme="minorEastAsia" w:hAnsiTheme="minorEastAsia"/>
                <w:szCs w:val="21"/>
              </w:rPr>
              <w:t>职业健康体系认证证书</w:t>
            </w:r>
            <w:r>
              <w:rPr>
                <w:rFonts w:hint="eastAsia" w:asciiTheme="minorEastAsia" w:hAnsiTheme="minorEastAsia"/>
                <w:szCs w:val="21"/>
                <w:lang w:eastAsia="zh-CN"/>
              </w:rPr>
              <w:t>，</w:t>
            </w:r>
            <w:r>
              <w:rPr>
                <w:rFonts w:hint="eastAsia" w:asciiTheme="minorEastAsia" w:hAnsiTheme="minorEastAsia"/>
                <w:szCs w:val="21"/>
                <w:lang w:val="en-US" w:eastAsia="zh-CN"/>
              </w:rPr>
              <w:t>每项</w:t>
            </w:r>
            <w:r>
              <w:rPr>
                <w:rFonts w:hint="eastAsia" w:asciiTheme="minorEastAsia" w:hAnsiTheme="minorEastAsia"/>
                <w:szCs w:val="21"/>
              </w:rPr>
              <w:t>得</w:t>
            </w:r>
            <w:r>
              <w:rPr>
                <w:rFonts w:hint="eastAsia" w:asciiTheme="minorEastAsia" w:hAnsiTheme="minorEastAsia"/>
                <w:szCs w:val="21"/>
                <w:lang w:val="en-US" w:eastAsia="zh-CN"/>
              </w:rPr>
              <w:t>3</w:t>
            </w:r>
            <w:r>
              <w:rPr>
                <w:rFonts w:hint="eastAsia" w:asciiTheme="minorEastAsia" w:hAnsiTheme="minorEastAsia"/>
                <w:szCs w:val="21"/>
              </w:rPr>
              <w:t>分</w:t>
            </w:r>
            <w:r>
              <w:rPr>
                <w:rFonts w:hint="eastAsia" w:asciiTheme="minorEastAsia" w:hAnsiTheme="minorEastAsia"/>
                <w:szCs w:val="21"/>
                <w:lang w:eastAsia="zh-CN"/>
              </w:rPr>
              <w:t>，</w:t>
            </w:r>
            <w:r>
              <w:rPr>
                <w:rFonts w:hint="eastAsia" w:asciiTheme="minorEastAsia" w:hAnsiTheme="minorEastAsia"/>
                <w:szCs w:val="21"/>
                <w:lang w:val="en-US" w:eastAsia="zh-CN"/>
              </w:rPr>
              <w:t>满分12分。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vAlign w:val="center"/>
          </w:tcPr>
          <w:p>
            <w:pPr>
              <w:snapToGrid w:val="0"/>
              <w:spacing w:beforeLines="50"/>
              <w:ind w:leftChars="-2" w:hanging="4" w:hangingChars="2"/>
              <w:jc w:val="center"/>
              <w:rPr>
                <w:rFonts w:ascii="宋体" w:hAnsi="宋体" w:eastAsia="宋体" w:cs="宋体"/>
                <w:szCs w:val="21"/>
              </w:rPr>
            </w:pPr>
          </w:p>
        </w:tc>
        <w:tc>
          <w:tcPr>
            <w:tcW w:w="1560" w:type="dxa"/>
            <w:vAlign w:val="center"/>
          </w:tcPr>
          <w:p>
            <w:pPr>
              <w:spacing w:line="360" w:lineRule="auto"/>
              <w:jc w:val="center"/>
              <w:rPr>
                <w:rFonts w:hint="eastAsia" w:asciiTheme="minorEastAsia" w:hAnsiTheme="minorEastAsia"/>
                <w:szCs w:val="21"/>
              </w:rPr>
            </w:pPr>
            <w:r>
              <w:rPr>
                <w:rFonts w:hint="eastAsia" w:asciiTheme="minorEastAsia" w:hAnsiTheme="minorEastAsia"/>
                <w:szCs w:val="21"/>
              </w:rPr>
              <w:t>响应能力</w:t>
            </w:r>
          </w:p>
          <w:p>
            <w:pPr>
              <w:spacing w:line="360" w:lineRule="auto"/>
              <w:jc w:val="center"/>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val="en-US" w:eastAsia="zh-CN"/>
              </w:rPr>
              <w:t>6</w:t>
            </w:r>
            <w:r>
              <w:rPr>
                <w:rFonts w:hint="eastAsia" w:asciiTheme="minorEastAsia" w:hAnsiTheme="minorEastAsia"/>
                <w:szCs w:val="21"/>
              </w:rPr>
              <w:t>分）</w:t>
            </w:r>
          </w:p>
        </w:tc>
        <w:tc>
          <w:tcPr>
            <w:tcW w:w="6095" w:type="dxa"/>
            <w:vAlign w:val="center"/>
          </w:tcPr>
          <w:p>
            <w:pPr>
              <w:spacing w:line="360" w:lineRule="auto"/>
              <w:rPr>
                <w:rFonts w:hint="eastAsia" w:asciiTheme="minorEastAsia" w:hAnsiTheme="minorEastAsia"/>
                <w:szCs w:val="21"/>
                <w:lang w:val="zh-CN"/>
              </w:rPr>
            </w:pPr>
            <w:r>
              <w:rPr>
                <w:rFonts w:hint="eastAsia" w:asciiTheme="minorEastAsia" w:hAnsiTheme="minorEastAsia"/>
                <w:szCs w:val="21"/>
              </w:rPr>
              <w:t>投标人</w:t>
            </w:r>
            <w:r>
              <w:rPr>
                <w:rFonts w:hint="eastAsia" w:asciiTheme="minorEastAsia" w:hAnsiTheme="minorEastAsia"/>
                <w:szCs w:val="21"/>
                <w:lang w:val="en-US" w:eastAsia="zh-CN"/>
              </w:rPr>
              <w:t>提供的运维车辆在3台车辆的基础上，每增加一台运维车辆加2分，满分6分；（需提供运维车辆行驶证）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1384" w:type="dxa"/>
            <w:vMerge w:val="restart"/>
            <w:tcBorders>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技术部分</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35</w:t>
            </w:r>
            <w:r>
              <w:rPr>
                <w:rFonts w:hint="eastAsia" w:ascii="宋体" w:hAnsi="宋体" w:eastAsia="宋体" w:cs="宋体"/>
                <w:szCs w:val="21"/>
              </w:rPr>
              <w:t>分）</w:t>
            </w:r>
          </w:p>
        </w:tc>
        <w:tc>
          <w:tcPr>
            <w:tcW w:w="1560" w:type="dxa"/>
            <w:tcBorders>
              <w:right w:val="single" w:color="auto" w:sz="4" w:space="0"/>
            </w:tcBorders>
            <w:vAlign w:val="center"/>
          </w:tcPr>
          <w:p>
            <w:pPr>
              <w:spacing w:line="360" w:lineRule="auto"/>
              <w:jc w:val="center"/>
              <w:rPr>
                <w:rFonts w:hint="eastAsia" w:asciiTheme="minorEastAsia" w:hAnsiTheme="minorEastAsia"/>
                <w:szCs w:val="21"/>
              </w:rPr>
            </w:pPr>
            <w:r>
              <w:rPr>
                <w:rFonts w:hint="eastAsia" w:asciiTheme="minorEastAsia" w:hAnsiTheme="minorEastAsia"/>
                <w:szCs w:val="21"/>
              </w:rPr>
              <w:t>总体方案</w:t>
            </w:r>
          </w:p>
          <w:p>
            <w:pPr>
              <w:spacing w:line="360" w:lineRule="auto"/>
              <w:jc w:val="center"/>
              <w:rPr>
                <w:rFonts w:hint="eastAsia" w:asciiTheme="minorEastAsia" w:hAnsiTheme="minorEastAsia"/>
                <w:szCs w:val="21"/>
              </w:rPr>
            </w:pPr>
            <w:r>
              <w:rPr>
                <w:rFonts w:hint="eastAsia" w:asciiTheme="minorEastAsia" w:hAnsiTheme="minorEastAsia"/>
                <w:szCs w:val="21"/>
              </w:rPr>
              <w:t>（1</w:t>
            </w:r>
            <w:r>
              <w:rPr>
                <w:rFonts w:hint="eastAsia" w:asciiTheme="minorEastAsia" w:hAnsiTheme="minorEastAsia"/>
                <w:szCs w:val="21"/>
                <w:lang w:val="en-US" w:eastAsia="zh-CN"/>
              </w:rPr>
              <w:t>5</w:t>
            </w:r>
            <w:r>
              <w:rPr>
                <w:rFonts w:hint="eastAsia" w:asciiTheme="minorEastAsia" w:hAnsiTheme="minorEastAsia"/>
                <w:szCs w:val="21"/>
              </w:rPr>
              <w:t>分）</w:t>
            </w:r>
          </w:p>
        </w:tc>
        <w:tc>
          <w:tcPr>
            <w:tcW w:w="6095" w:type="dxa"/>
            <w:tcBorders>
              <w:right w:val="single" w:color="auto" w:sz="4" w:space="0"/>
            </w:tcBorders>
            <w:vAlign w:val="center"/>
          </w:tcPr>
          <w:p>
            <w:pPr>
              <w:spacing w:line="360" w:lineRule="auto"/>
              <w:rPr>
                <w:rFonts w:hint="eastAsia" w:asciiTheme="minorEastAsia" w:hAnsiTheme="minorEastAsia"/>
                <w:szCs w:val="21"/>
              </w:rPr>
            </w:pPr>
            <w:r>
              <w:rPr>
                <w:rFonts w:hint="eastAsia" w:asciiTheme="minorEastAsia" w:hAnsiTheme="minorEastAsia"/>
                <w:szCs w:val="21"/>
              </w:rPr>
              <w:t>投标人</w:t>
            </w:r>
            <w:r>
              <w:rPr>
                <w:rFonts w:hint="eastAsia" w:asciiTheme="minorEastAsia" w:hAnsiTheme="minorEastAsia"/>
                <w:szCs w:val="21"/>
                <w:lang w:val="en-US" w:eastAsia="zh-CN"/>
              </w:rPr>
              <w:t>针对技术要求</w:t>
            </w:r>
            <w:r>
              <w:rPr>
                <w:rFonts w:hint="eastAsia" w:asciiTheme="minorEastAsia" w:hAnsiTheme="minorEastAsia"/>
                <w:szCs w:val="21"/>
              </w:rPr>
              <w:t>提供</w:t>
            </w:r>
            <w:r>
              <w:rPr>
                <w:rFonts w:hint="eastAsia" w:asciiTheme="minorEastAsia" w:hAnsiTheme="minorEastAsia"/>
                <w:szCs w:val="21"/>
                <w:lang w:val="en-US" w:eastAsia="zh-CN"/>
              </w:rPr>
              <w:t>运维</w:t>
            </w:r>
            <w:r>
              <w:rPr>
                <w:rFonts w:hint="eastAsia" w:asciiTheme="minorEastAsia" w:hAnsiTheme="minorEastAsia"/>
                <w:szCs w:val="21"/>
              </w:rPr>
              <w:t>总体方案</w:t>
            </w:r>
            <w:r>
              <w:rPr>
                <w:rFonts w:hint="eastAsia" w:asciiTheme="minorEastAsia" w:hAnsiTheme="minorEastAsia"/>
                <w:szCs w:val="21"/>
                <w:lang w:eastAsia="zh-CN"/>
              </w:rPr>
              <w:t>。</w:t>
            </w:r>
            <w:r>
              <w:rPr>
                <w:rFonts w:hint="eastAsia" w:asciiTheme="minorEastAsia" w:hAnsiTheme="minorEastAsia"/>
                <w:szCs w:val="21"/>
                <w:lang w:val="en-US" w:eastAsia="zh-CN"/>
              </w:rPr>
              <w:t>运维总体方案包括运维服务总要求、运维详细要求、水质自动监测站的运维管理内容、运维质量管理与控制要求、运维工作要求。投标人提供的总体方案符合上述全部要求的</w:t>
            </w:r>
            <w:r>
              <w:rPr>
                <w:rFonts w:hint="eastAsia" w:asciiTheme="minorEastAsia" w:hAnsiTheme="minorEastAsia"/>
                <w:szCs w:val="21"/>
              </w:rPr>
              <w:t>得1</w:t>
            </w:r>
            <w:r>
              <w:rPr>
                <w:rFonts w:hint="eastAsia" w:asciiTheme="minorEastAsia" w:hAnsiTheme="minorEastAsia"/>
                <w:szCs w:val="21"/>
                <w:lang w:val="en-US" w:eastAsia="zh-CN"/>
              </w:rPr>
              <w:t>5</w:t>
            </w:r>
            <w:r>
              <w:rPr>
                <w:rFonts w:hint="eastAsia" w:asciiTheme="minorEastAsia" w:hAnsiTheme="minorEastAsia"/>
                <w:szCs w:val="21"/>
              </w:rPr>
              <w:t>分；方案</w:t>
            </w:r>
            <w:r>
              <w:rPr>
                <w:rFonts w:hint="eastAsia" w:asciiTheme="minorEastAsia" w:hAnsiTheme="minorEastAsia"/>
                <w:szCs w:val="21"/>
                <w:lang w:val="en-US" w:eastAsia="zh-CN"/>
              </w:rPr>
              <w:t>仅有简单描述的</w:t>
            </w:r>
            <w:r>
              <w:rPr>
                <w:rFonts w:hint="eastAsia" w:asciiTheme="minorEastAsia" w:hAnsiTheme="minorEastAsia"/>
                <w:szCs w:val="21"/>
              </w:rPr>
              <w:t>得</w:t>
            </w:r>
            <w:r>
              <w:rPr>
                <w:rFonts w:hint="eastAsia" w:asciiTheme="minorEastAsia" w:hAnsiTheme="minorEastAsia"/>
                <w:szCs w:val="21"/>
                <w:lang w:val="en-US" w:eastAsia="zh-CN"/>
              </w:rPr>
              <w:t>8</w:t>
            </w:r>
            <w:r>
              <w:rPr>
                <w:rFonts w:hint="eastAsia" w:asciiTheme="minorEastAsia" w:hAnsiTheme="minorEastAsia"/>
                <w:szCs w:val="21"/>
              </w:rPr>
              <w:t>分；不提供者不得分。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vMerge w:val="continue"/>
            <w:tcBorders>
              <w:right w:val="single" w:color="auto" w:sz="4" w:space="0"/>
            </w:tcBorders>
            <w:vAlign w:val="center"/>
          </w:tcPr>
          <w:p>
            <w:pPr>
              <w:snapToGrid w:val="0"/>
              <w:spacing w:beforeLines="50"/>
              <w:jc w:val="center"/>
              <w:rPr>
                <w:rFonts w:hint="eastAsia" w:ascii="宋体" w:hAnsi="宋体" w:eastAsia="宋体" w:cs="宋体"/>
                <w:szCs w:val="21"/>
              </w:rPr>
            </w:pPr>
          </w:p>
        </w:tc>
        <w:tc>
          <w:tcPr>
            <w:tcW w:w="1560" w:type="dxa"/>
            <w:tcBorders>
              <w:right w:val="single" w:color="auto" w:sz="4" w:space="0"/>
            </w:tcBorders>
            <w:vAlign w:val="center"/>
          </w:tcPr>
          <w:p>
            <w:pPr>
              <w:spacing w:line="360" w:lineRule="auto"/>
              <w:jc w:val="center"/>
              <w:rPr>
                <w:rFonts w:hint="eastAsia" w:asciiTheme="minorEastAsia" w:hAnsiTheme="minorEastAsia"/>
                <w:szCs w:val="21"/>
              </w:rPr>
            </w:pPr>
            <w:r>
              <w:rPr>
                <w:rFonts w:hint="eastAsia" w:asciiTheme="minorEastAsia" w:hAnsiTheme="minorEastAsia"/>
                <w:szCs w:val="21"/>
              </w:rPr>
              <w:t>安全措施</w:t>
            </w:r>
          </w:p>
          <w:p>
            <w:pPr>
              <w:spacing w:line="360" w:lineRule="auto"/>
              <w:jc w:val="center"/>
              <w:rPr>
                <w:rFonts w:hint="eastAsia" w:asciiTheme="minorEastAsia" w:hAnsiTheme="minorEastAsia"/>
                <w:szCs w:val="21"/>
              </w:rPr>
            </w:pPr>
            <w:r>
              <w:rPr>
                <w:rFonts w:hint="eastAsia" w:asciiTheme="minorEastAsia" w:hAnsiTheme="minorEastAsia"/>
                <w:szCs w:val="21"/>
              </w:rPr>
              <w:t>（5分）</w:t>
            </w:r>
          </w:p>
        </w:tc>
        <w:tc>
          <w:tcPr>
            <w:tcW w:w="6095" w:type="dxa"/>
            <w:tcBorders>
              <w:right w:val="single" w:color="auto" w:sz="4" w:space="0"/>
            </w:tcBorders>
            <w:vAlign w:val="center"/>
          </w:tcPr>
          <w:p>
            <w:pPr>
              <w:spacing w:line="360" w:lineRule="auto"/>
              <w:rPr>
                <w:rFonts w:hint="eastAsia" w:asciiTheme="minorEastAsia" w:hAnsiTheme="minorEastAsia"/>
                <w:szCs w:val="21"/>
              </w:rPr>
            </w:pPr>
            <w:r>
              <w:rPr>
                <w:rFonts w:hint="eastAsia" w:asciiTheme="minorEastAsia" w:hAnsiTheme="minorEastAsia"/>
                <w:szCs w:val="21"/>
              </w:rPr>
              <w:t>提供确保水质自动站仪器设备安全措施</w:t>
            </w:r>
            <w:r>
              <w:rPr>
                <w:rFonts w:hint="eastAsia" w:asciiTheme="minorEastAsia" w:hAnsiTheme="minorEastAsia"/>
                <w:szCs w:val="21"/>
                <w:lang w:val="en-US" w:eastAsia="zh-CN"/>
              </w:rPr>
              <w:t>方案的得5分</w:t>
            </w:r>
            <w:r>
              <w:rPr>
                <w:rFonts w:hint="eastAsia" w:asciiTheme="minorEastAsia" w:hAnsiTheme="minorEastAsia"/>
                <w:szCs w:val="21"/>
                <w:lang w:eastAsia="zh-CN"/>
              </w:rPr>
              <w:t>，</w:t>
            </w:r>
            <w:r>
              <w:rPr>
                <w:rFonts w:hint="eastAsia" w:asciiTheme="minorEastAsia" w:hAnsiTheme="minorEastAsia"/>
                <w:szCs w:val="21"/>
                <w:lang w:val="en-US" w:eastAsia="zh-CN"/>
              </w:rPr>
              <w:t>不提供不得分</w:t>
            </w:r>
            <w:r>
              <w:rPr>
                <w:rFonts w:hint="eastAsia"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384" w:type="dxa"/>
            <w:vMerge w:val="continue"/>
            <w:tcBorders>
              <w:right w:val="single" w:color="auto" w:sz="4" w:space="0"/>
            </w:tcBorders>
            <w:vAlign w:val="center"/>
          </w:tcPr>
          <w:p>
            <w:pPr>
              <w:snapToGrid w:val="0"/>
              <w:spacing w:beforeLines="50"/>
              <w:jc w:val="center"/>
              <w:rPr>
                <w:rFonts w:hint="eastAsia" w:ascii="宋体" w:hAnsi="宋体" w:eastAsia="宋体" w:cs="宋体"/>
                <w:szCs w:val="21"/>
              </w:rPr>
            </w:pPr>
          </w:p>
        </w:tc>
        <w:tc>
          <w:tcPr>
            <w:tcW w:w="1560" w:type="dxa"/>
            <w:tcBorders>
              <w:right w:val="single" w:color="auto" w:sz="4" w:space="0"/>
            </w:tcBorders>
            <w:vAlign w:val="center"/>
          </w:tcPr>
          <w:p>
            <w:pPr>
              <w:spacing w:line="360" w:lineRule="auto"/>
              <w:jc w:val="center"/>
              <w:rPr>
                <w:rFonts w:hint="eastAsia" w:asciiTheme="minorEastAsia" w:hAnsiTheme="minorEastAsia"/>
                <w:szCs w:val="21"/>
              </w:rPr>
            </w:pPr>
            <w:r>
              <w:rPr>
                <w:rFonts w:hint="eastAsia" w:asciiTheme="minorEastAsia" w:hAnsiTheme="minorEastAsia"/>
                <w:szCs w:val="21"/>
              </w:rPr>
              <w:t>运营制度</w:t>
            </w:r>
          </w:p>
          <w:p>
            <w:pPr>
              <w:spacing w:line="360" w:lineRule="auto"/>
              <w:jc w:val="center"/>
              <w:rPr>
                <w:rFonts w:hint="eastAsia" w:asciiTheme="minorEastAsia" w:hAnsiTheme="minorEastAsia"/>
                <w:szCs w:val="21"/>
              </w:rPr>
            </w:pPr>
            <w:r>
              <w:rPr>
                <w:rFonts w:hint="eastAsia" w:asciiTheme="minorEastAsia" w:hAnsiTheme="minorEastAsia"/>
                <w:szCs w:val="21"/>
              </w:rPr>
              <w:t>（5分）</w:t>
            </w:r>
          </w:p>
        </w:tc>
        <w:tc>
          <w:tcPr>
            <w:tcW w:w="6095" w:type="dxa"/>
            <w:tcBorders>
              <w:right w:val="single" w:color="auto" w:sz="4" w:space="0"/>
            </w:tcBorders>
            <w:vAlign w:val="center"/>
          </w:tcPr>
          <w:p>
            <w:pPr>
              <w:spacing w:line="360" w:lineRule="auto"/>
              <w:rPr>
                <w:rFonts w:hint="eastAsia" w:asciiTheme="minorEastAsia" w:hAnsiTheme="minorEastAsia"/>
                <w:szCs w:val="21"/>
              </w:rPr>
            </w:pPr>
            <w:r>
              <w:rPr>
                <w:rFonts w:hint="eastAsia" w:asciiTheme="minorEastAsia" w:hAnsiTheme="minorEastAsia"/>
                <w:szCs w:val="21"/>
              </w:rPr>
              <w:t>具有运营管理制度，包括操作规范、岗位责任、组织结构、运维人员考核办法，针对本项目的作业环境制定的具体的管理制度</w:t>
            </w:r>
            <w:r>
              <w:rPr>
                <w:rFonts w:hint="eastAsia" w:asciiTheme="minorEastAsia" w:hAnsiTheme="minorEastAsia"/>
                <w:szCs w:val="21"/>
                <w:lang w:val="en-US" w:eastAsia="zh-CN"/>
              </w:rPr>
              <w:t>的得5分</w:t>
            </w:r>
            <w:r>
              <w:rPr>
                <w:rFonts w:hint="eastAsia" w:asciiTheme="minorEastAsia" w:hAnsiTheme="minorEastAsia"/>
                <w:szCs w:val="21"/>
                <w:lang w:eastAsia="zh-CN"/>
              </w:rPr>
              <w:t>，</w:t>
            </w:r>
            <w:r>
              <w:rPr>
                <w:rFonts w:hint="eastAsia" w:asciiTheme="minorEastAsia" w:hAnsiTheme="minorEastAsia"/>
                <w:szCs w:val="21"/>
              </w:rPr>
              <w:t>不提供者不得分。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tcBorders>
              <w:right w:val="single" w:color="auto" w:sz="4" w:space="0"/>
            </w:tcBorders>
            <w:vAlign w:val="center"/>
          </w:tcPr>
          <w:p>
            <w:pPr>
              <w:snapToGrid w:val="0"/>
              <w:spacing w:beforeLines="50"/>
              <w:rPr>
                <w:rFonts w:ascii="宋体" w:hAnsi="宋体" w:eastAsia="宋体" w:cs="宋体"/>
                <w:szCs w:val="21"/>
              </w:rPr>
            </w:pPr>
          </w:p>
        </w:tc>
        <w:tc>
          <w:tcPr>
            <w:tcW w:w="1560" w:type="dxa"/>
            <w:tcBorders>
              <w:right w:val="single" w:color="auto" w:sz="4" w:space="0"/>
            </w:tcBorders>
            <w:vAlign w:val="center"/>
          </w:tcPr>
          <w:p>
            <w:pPr>
              <w:spacing w:line="360" w:lineRule="auto"/>
              <w:jc w:val="center"/>
              <w:rPr>
                <w:rFonts w:hint="eastAsia" w:asciiTheme="minorEastAsia" w:hAnsiTheme="minorEastAsia"/>
                <w:szCs w:val="21"/>
              </w:rPr>
            </w:pPr>
            <w:r>
              <w:rPr>
                <w:rFonts w:hint="eastAsia" w:asciiTheme="minorEastAsia" w:hAnsiTheme="minorEastAsia"/>
                <w:szCs w:val="21"/>
              </w:rPr>
              <w:t>应急预案</w:t>
            </w:r>
          </w:p>
          <w:p>
            <w:pPr>
              <w:spacing w:line="360" w:lineRule="auto"/>
              <w:jc w:val="center"/>
              <w:rPr>
                <w:rFonts w:hint="eastAsia" w:asciiTheme="minorEastAsia" w:hAnsiTheme="minorEastAsia"/>
                <w:szCs w:val="21"/>
              </w:rPr>
            </w:pPr>
            <w:r>
              <w:rPr>
                <w:rFonts w:hint="eastAsia" w:asciiTheme="minorEastAsia" w:hAnsiTheme="minorEastAsia"/>
                <w:szCs w:val="21"/>
              </w:rPr>
              <w:t>（10分）</w:t>
            </w:r>
          </w:p>
        </w:tc>
        <w:tc>
          <w:tcPr>
            <w:tcW w:w="6095" w:type="dxa"/>
            <w:tcBorders>
              <w:bottom w:val="single" w:color="auto" w:sz="4" w:space="0"/>
              <w:right w:val="single" w:color="auto" w:sz="4" w:space="0"/>
            </w:tcBorders>
            <w:vAlign w:val="center"/>
          </w:tcPr>
          <w:p>
            <w:pPr>
              <w:spacing w:line="360" w:lineRule="auto"/>
              <w:rPr>
                <w:rFonts w:hint="eastAsia" w:asciiTheme="minorEastAsia" w:hAnsiTheme="minorEastAsia"/>
                <w:szCs w:val="21"/>
              </w:rPr>
            </w:pPr>
            <w:r>
              <w:rPr>
                <w:rFonts w:hint="eastAsia" w:asciiTheme="minorEastAsia" w:hAnsiTheme="minorEastAsia"/>
                <w:szCs w:val="21"/>
              </w:rPr>
              <w:t>投标人针对技术要求提供水质自动监测站运维应急预案。运维应急预案内容包括突发性水质污染、特殊时期（丰水期、枯水期、冰封期等）、自然灾害、水电检修、临时停电或节假日、重大活动或被偷盗破坏等情况，具备有效的预防和应急措施。投标人提供的应急预案</w:t>
            </w:r>
            <w:r>
              <w:rPr>
                <w:rFonts w:hint="eastAsia" w:asciiTheme="minorEastAsia" w:hAnsiTheme="minorEastAsia"/>
                <w:szCs w:val="21"/>
                <w:lang w:val="en-US" w:eastAsia="zh-CN"/>
              </w:rPr>
              <w:t>符合上述全部要求的得10分，仅有简单描述的得5分，不提供不得分。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tcBorders>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服务部分</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10</w:t>
            </w:r>
            <w:r>
              <w:rPr>
                <w:rFonts w:hint="eastAsia" w:ascii="宋体" w:hAnsi="宋体" w:eastAsia="宋体" w:cs="宋体"/>
                <w:szCs w:val="21"/>
              </w:rPr>
              <w:t>分）</w:t>
            </w:r>
          </w:p>
        </w:tc>
        <w:tc>
          <w:tcPr>
            <w:tcW w:w="1560" w:type="dxa"/>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szCs w:val="21"/>
              </w:rPr>
            </w:pPr>
            <w:r>
              <w:rPr>
                <w:rFonts w:hint="eastAsia" w:asciiTheme="minorEastAsia" w:hAnsiTheme="minorEastAsia"/>
                <w:szCs w:val="21"/>
              </w:rPr>
              <w:t>人员配备</w:t>
            </w:r>
          </w:p>
          <w:p>
            <w:pPr>
              <w:spacing w:line="360" w:lineRule="auto"/>
              <w:jc w:val="center"/>
              <w:rPr>
                <w:rFonts w:hint="eastAsia" w:asciiTheme="minorEastAsia" w:hAnsiTheme="minorEastAsia"/>
                <w:szCs w:val="21"/>
              </w:rPr>
            </w:pPr>
            <w:r>
              <w:rPr>
                <w:rFonts w:hint="eastAsia" w:asciiTheme="minorEastAsia" w:hAnsiTheme="minorEastAsia"/>
                <w:szCs w:val="21"/>
              </w:rPr>
              <w:t>（10分）</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szCs w:val="21"/>
              </w:rPr>
            </w:pPr>
            <w:r>
              <w:rPr>
                <w:rFonts w:hint="eastAsia" w:asciiTheme="minorEastAsia" w:hAnsiTheme="minorEastAsia"/>
                <w:szCs w:val="21"/>
                <w:lang w:val="en-US" w:eastAsia="zh-CN"/>
              </w:rPr>
              <w:t>1、</w:t>
            </w:r>
            <w:r>
              <w:rPr>
                <w:rFonts w:hint="eastAsia" w:asciiTheme="minorEastAsia" w:hAnsiTheme="minorEastAsia"/>
                <w:szCs w:val="21"/>
              </w:rPr>
              <w:t>投标人拟为本项目配备的维护人员具有省级及以上</w:t>
            </w:r>
            <w:r>
              <w:rPr>
                <w:rFonts w:hint="eastAsia" w:asciiTheme="minorEastAsia" w:hAnsiTheme="minorEastAsia"/>
                <w:szCs w:val="21"/>
                <w:lang w:val="en-US" w:eastAsia="zh-CN"/>
              </w:rPr>
              <w:t>环境监测中心或国家监测总站</w:t>
            </w:r>
            <w:r>
              <w:rPr>
                <w:rFonts w:hint="eastAsia" w:asciiTheme="minorEastAsia" w:hAnsiTheme="minorEastAsia"/>
                <w:szCs w:val="21"/>
              </w:rPr>
              <w:t>出具的自动监控（水）运行维护上岗证，每</w:t>
            </w:r>
            <w:r>
              <w:rPr>
                <w:rFonts w:hint="eastAsia" w:asciiTheme="minorEastAsia" w:hAnsiTheme="minorEastAsia"/>
                <w:szCs w:val="21"/>
                <w:lang w:val="en-US" w:eastAsia="zh-CN"/>
              </w:rPr>
              <w:t>份</w:t>
            </w:r>
            <w:r>
              <w:rPr>
                <w:rFonts w:hint="eastAsia" w:asciiTheme="minorEastAsia" w:hAnsiTheme="minorEastAsia"/>
                <w:szCs w:val="21"/>
              </w:rPr>
              <w:t>得 1 分，最多得6分；</w:t>
            </w:r>
          </w:p>
          <w:p>
            <w:pPr>
              <w:spacing w:line="360" w:lineRule="auto"/>
              <w:rPr>
                <w:rFonts w:hint="eastAsia" w:asciiTheme="minorEastAsia" w:hAnsiTheme="minorEastAsia"/>
                <w:szCs w:val="21"/>
              </w:rPr>
            </w:pPr>
            <w:r>
              <w:rPr>
                <w:rFonts w:hint="eastAsia" w:asciiTheme="minorEastAsia" w:hAnsiTheme="minorEastAsia"/>
                <w:szCs w:val="21"/>
                <w:lang w:val="en-US" w:eastAsia="zh-CN"/>
              </w:rPr>
              <w:t>2、</w:t>
            </w:r>
            <w:r>
              <w:rPr>
                <w:rFonts w:hint="eastAsia" w:asciiTheme="minorEastAsia" w:hAnsiTheme="minorEastAsia"/>
                <w:szCs w:val="21"/>
              </w:rPr>
              <w:t>投标人拟投入本项目的技术人员具备</w:t>
            </w:r>
            <w:r>
              <w:rPr>
                <w:rFonts w:hint="eastAsia" w:asciiTheme="minorEastAsia" w:hAnsiTheme="minorEastAsia"/>
                <w:szCs w:val="21"/>
                <w:lang w:val="en-US" w:eastAsia="zh-CN"/>
              </w:rPr>
              <w:t>高级及以上职称（环保、计算机专业）</w:t>
            </w:r>
            <w:r>
              <w:rPr>
                <w:rFonts w:hint="eastAsia" w:asciiTheme="minorEastAsia" w:hAnsiTheme="minorEastAsia"/>
                <w:szCs w:val="21"/>
              </w:rPr>
              <w:t xml:space="preserve">，每提供1份得1分，最多得4分； </w:t>
            </w:r>
          </w:p>
          <w:p>
            <w:pPr>
              <w:spacing w:line="360" w:lineRule="auto"/>
              <w:rPr>
                <w:rFonts w:hint="eastAsia" w:asciiTheme="minorEastAsia" w:hAnsiTheme="minorEastAsia"/>
                <w:szCs w:val="21"/>
              </w:rPr>
            </w:pPr>
            <w:r>
              <w:rPr>
                <w:rFonts w:hint="eastAsia" w:asciiTheme="minorEastAsia" w:hAnsiTheme="minorEastAsia"/>
                <w:szCs w:val="21"/>
              </w:rPr>
              <w:t>注：提供社保部门出具的投标前3个月</w:t>
            </w:r>
            <w:r>
              <w:rPr>
                <w:rFonts w:hint="eastAsia" w:asciiTheme="minorEastAsia" w:hAnsiTheme="minorEastAsia"/>
                <w:szCs w:val="21"/>
                <w:lang w:val="en-US" w:eastAsia="zh-CN"/>
              </w:rPr>
              <w:t>任意一个月</w:t>
            </w:r>
            <w:r>
              <w:rPr>
                <w:rFonts w:hint="eastAsia" w:asciiTheme="minorEastAsia" w:hAnsiTheme="minorEastAsia"/>
                <w:szCs w:val="21"/>
              </w:rPr>
              <w:t>的人员</w:t>
            </w:r>
            <w:r>
              <w:rPr>
                <w:rFonts w:hint="eastAsia" w:asciiTheme="minorEastAsia" w:hAnsiTheme="minorEastAsia"/>
                <w:szCs w:val="21"/>
                <w:lang w:val="en-US" w:eastAsia="zh-CN"/>
              </w:rPr>
              <w:t>由社保部门出具的</w:t>
            </w:r>
            <w:r>
              <w:rPr>
                <w:rFonts w:hint="eastAsia" w:asciiTheme="minorEastAsia" w:hAnsiTheme="minorEastAsia"/>
                <w:szCs w:val="21"/>
              </w:rPr>
              <w:t>社保缴纳证明。</w:t>
            </w:r>
          </w:p>
        </w:tc>
      </w:tr>
    </w:tbl>
    <w:p>
      <w:pPr>
        <w:pStyle w:val="13"/>
        <w:spacing w:line="360" w:lineRule="auto"/>
        <w:ind w:firstLine="422" w:firstLineChars="200"/>
        <w:contextualSpacing/>
        <w:rPr>
          <w:rFonts w:hint="eastAsia" w:cs="仿宋_GB2312" w:asciiTheme="minorEastAsia" w:hAnsiTheme="minorEastAsia" w:eastAsiaTheme="minorEastAsia"/>
          <w:b/>
          <w:sz w:val="21"/>
          <w:szCs w:val="21"/>
          <w:lang w:val="en-US" w:eastAsia="zh-CN"/>
        </w:rPr>
      </w:pPr>
      <w:r>
        <w:rPr>
          <w:rFonts w:hint="eastAsia" w:cs="仿宋_GB2312" w:asciiTheme="minorEastAsia" w:hAnsiTheme="minorEastAsia" w:eastAsiaTheme="minorEastAsia"/>
          <w:b/>
          <w:sz w:val="21"/>
          <w:szCs w:val="21"/>
          <w:lang w:val="en-US" w:eastAsia="zh-CN"/>
        </w:rPr>
        <w:t>B包</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6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2944" w:type="dxa"/>
            <w:gridSpan w:val="2"/>
            <w:vAlign w:val="center"/>
          </w:tcPr>
          <w:p>
            <w:pPr>
              <w:spacing w:line="360" w:lineRule="auto"/>
              <w:jc w:val="center"/>
              <w:rPr>
                <w:rFonts w:asciiTheme="minorEastAsia" w:hAnsiTheme="minorEastAsia"/>
                <w:szCs w:val="21"/>
              </w:rPr>
            </w:pPr>
            <w:r>
              <w:rPr>
                <w:rFonts w:hint="eastAsia" w:asciiTheme="minorEastAsia" w:hAnsiTheme="minorEastAsia"/>
                <w:szCs w:val="21"/>
              </w:rPr>
              <w:t>分值构成</w:t>
            </w:r>
          </w:p>
          <w:p>
            <w:pPr>
              <w:snapToGrid w:val="0"/>
              <w:spacing w:beforeLines="50"/>
              <w:jc w:val="center"/>
              <w:rPr>
                <w:rFonts w:ascii="宋体" w:hAnsi="宋体" w:cs="宋体"/>
                <w:b/>
                <w:szCs w:val="21"/>
              </w:rPr>
            </w:pPr>
            <w:r>
              <w:rPr>
                <w:rFonts w:hint="eastAsia" w:asciiTheme="minorEastAsia" w:hAnsiTheme="minorEastAsia"/>
                <w:szCs w:val="21"/>
              </w:rPr>
              <w:t>(总分100分)</w:t>
            </w:r>
          </w:p>
        </w:tc>
        <w:tc>
          <w:tcPr>
            <w:tcW w:w="6095" w:type="dxa"/>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价格分值：</w:t>
            </w:r>
            <w:r>
              <w:rPr>
                <w:rFonts w:hint="eastAsia" w:asciiTheme="minorEastAsia" w:hAnsiTheme="minorEastAsia"/>
                <w:color w:val="FF0000"/>
                <w:szCs w:val="21"/>
                <w:u w:val="single"/>
                <w:lang w:val="en-US" w:eastAsia="zh-CN"/>
              </w:rPr>
              <w:t>30</w:t>
            </w:r>
            <w:r>
              <w:rPr>
                <w:rFonts w:hint="eastAsia" w:asciiTheme="minorEastAsia" w:hAnsiTheme="minorEastAsia"/>
                <w:szCs w:val="21"/>
              </w:rPr>
              <w:t>分</w:t>
            </w:r>
          </w:p>
          <w:p>
            <w:pPr>
              <w:spacing w:line="360" w:lineRule="auto"/>
              <w:ind w:firstLine="420" w:firstLineChars="200"/>
              <w:rPr>
                <w:rFonts w:asciiTheme="minorEastAsia" w:hAnsiTheme="minorEastAsia"/>
                <w:szCs w:val="21"/>
              </w:rPr>
            </w:pPr>
            <w:r>
              <w:rPr>
                <w:rFonts w:hint="eastAsia" w:asciiTheme="minorEastAsia" w:hAnsiTheme="minorEastAsia"/>
                <w:szCs w:val="21"/>
              </w:rPr>
              <w:t>商务部分：</w:t>
            </w:r>
            <w:r>
              <w:rPr>
                <w:rFonts w:hint="eastAsia" w:asciiTheme="minorEastAsia" w:hAnsiTheme="minorEastAsia"/>
                <w:color w:val="FF0000"/>
                <w:szCs w:val="21"/>
                <w:u w:val="single"/>
                <w:lang w:val="en-US" w:eastAsia="zh-CN"/>
              </w:rPr>
              <w:t>25</w:t>
            </w:r>
            <w:r>
              <w:rPr>
                <w:rFonts w:hint="eastAsia" w:asciiTheme="minorEastAsia" w:hAnsiTheme="minorEastAsia"/>
                <w:szCs w:val="21"/>
              </w:rPr>
              <w:t>分</w:t>
            </w:r>
          </w:p>
          <w:p>
            <w:pPr>
              <w:spacing w:beforeLines="50"/>
              <w:ind w:firstLine="420" w:firstLineChars="200"/>
              <w:rPr>
                <w:rFonts w:asciiTheme="minorEastAsia" w:hAnsiTheme="minorEastAsia"/>
                <w:szCs w:val="21"/>
              </w:rPr>
            </w:pPr>
            <w:r>
              <w:rPr>
                <w:rFonts w:hint="eastAsia" w:asciiTheme="minorEastAsia" w:hAnsiTheme="minorEastAsia"/>
                <w:szCs w:val="21"/>
              </w:rPr>
              <w:t>技术部分：</w:t>
            </w:r>
            <w:r>
              <w:rPr>
                <w:rFonts w:hint="eastAsia" w:asciiTheme="minorEastAsia" w:hAnsiTheme="minorEastAsia"/>
                <w:color w:val="FF0000"/>
                <w:szCs w:val="21"/>
                <w:u w:val="single"/>
                <w:lang w:val="en-US" w:eastAsia="zh-CN"/>
              </w:rPr>
              <w:t>30</w:t>
            </w:r>
            <w:r>
              <w:rPr>
                <w:rFonts w:hint="eastAsia" w:asciiTheme="minorEastAsia" w:hAnsiTheme="minorEastAsia"/>
                <w:szCs w:val="21"/>
              </w:rPr>
              <w:t>分</w:t>
            </w:r>
          </w:p>
          <w:p>
            <w:pPr>
              <w:spacing w:beforeLines="50"/>
              <w:ind w:firstLine="420" w:firstLineChars="200"/>
              <w:rPr>
                <w:rFonts w:ascii="宋体" w:hAnsi="宋体" w:cs="宋体"/>
                <w:b/>
                <w:szCs w:val="21"/>
              </w:rPr>
            </w:pPr>
            <w:r>
              <w:rPr>
                <w:rFonts w:hint="eastAsia" w:asciiTheme="minorEastAsia" w:hAnsiTheme="minorEastAsia"/>
                <w:szCs w:val="21"/>
              </w:rPr>
              <w:t>服务部分：</w:t>
            </w:r>
            <w:r>
              <w:rPr>
                <w:rFonts w:hint="eastAsia" w:asciiTheme="minorEastAsia" w:hAnsiTheme="minorEastAsia"/>
                <w:color w:val="FF0000"/>
                <w:szCs w:val="21"/>
                <w:u w:val="single"/>
                <w:lang w:val="en-US" w:eastAsia="zh-CN"/>
              </w:rPr>
              <w:t>15</w:t>
            </w:r>
            <w:r>
              <w:rPr>
                <w:rFonts w:hint="eastAsia" w:asciiTheme="minorEastAsia" w:hAnsi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84"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评审项</w:t>
            </w:r>
          </w:p>
        </w:tc>
        <w:tc>
          <w:tcPr>
            <w:tcW w:w="1560"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评分因素</w:t>
            </w:r>
          </w:p>
        </w:tc>
        <w:tc>
          <w:tcPr>
            <w:tcW w:w="6095"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w:t>
            </w:r>
            <w:r>
              <w:rPr>
                <w:rFonts w:hint="eastAsia" w:ascii="宋体" w:hAnsi="宋体" w:cs="宋体"/>
                <w:b/>
                <w:szCs w:val="21"/>
              </w:rPr>
              <w:t>标</w:t>
            </w:r>
            <w:r>
              <w:rPr>
                <w:rFonts w:hint="eastAsia" w:ascii="宋体" w:hAnsi="宋体" w:eastAsia="宋体" w:cs="宋体"/>
                <w:b/>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1384" w:type="dxa"/>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报价部分</w:t>
            </w:r>
          </w:p>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30</w:t>
            </w:r>
            <w:r>
              <w:rPr>
                <w:rFonts w:hint="eastAsia" w:ascii="宋体" w:hAnsi="宋体" w:eastAsia="宋体" w:cs="宋体"/>
                <w:szCs w:val="21"/>
              </w:rPr>
              <w:t>分）</w:t>
            </w:r>
          </w:p>
        </w:tc>
        <w:tc>
          <w:tcPr>
            <w:tcW w:w="1560" w:type="dxa"/>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报价</w:t>
            </w:r>
          </w:p>
          <w:p>
            <w:pPr>
              <w:snapToGrid w:val="0"/>
              <w:spacing w:beforeLines="50"/>
              <w:jc w:val="center"/>
              <w:rPr>
                <w:rFonts w:ascii="宋体" w:hAnsi="宋体" w:eastAsia="宋体" w:cs="宋体"/>
                <w:szCs w:val="21"/>
              </w:rPr>
            </w:pPr>
            <w:r>
              <w:rPr>
                <w:rFonts w:hint="eastAsia" w:ascii="宋体" w:hAnsi="宋体" w:eastAsia="宋体" w:cs="宋体"/>
                <w:color w:val="auto"/>
                <w:szCs w:val="21"/>
              </w:rPr>
              <w:t>（</w:t>
            </w:r>
            <w:r>
              <w:rPr>
                <w:rFonts w:hint="eastAsia" w:eastAsia="宋体" w:asciiTheme="minorEastAsia" w:hAnsiTheme="minorEastAsia"/>
                <w:color w:val="auto"/>
                <w:szCs w:val="21"/>
                <w:u w:val="none"/>
                <w:lang w:val="en-US" w:eastAsia="zh-CN"/>
              </w:rPr>
              <w:t>30</w:t>
            </w:r>
            <w:r>
              <w:rPr>
                <w:rFonts w:hint="eastAsia" w:ascii="宋体" w:hAnsi="宋体" w:eastAsia="宋体" w:cs="宋体"/>
                <w:color w:val="auto"/>
                <w:szCs w:val="21"/>
                <w:u w:val="none"/>
              </w:rPr>
              <w:t>分</w:t>
            </w:r>
            <w:r>
              <w:rPr>
                <w:rFonts w:hint="eastAsia" w:ascii="宋体" w:hAnsi="宋体" w:eastAsia="宋体" w:cs="宋体"/>
                <w:szCs w:val="21"/>
                <w:u w:val="none"/>
              </w:rPr>
              <w:t>）</w:t>
            </w:r>
          </w:p>
        </w:tc>
        <w:tc>
          <w:tcPr>
            <w:tcW w:w="6095" w:type="dxa"/>
            <w:vAlign w:val="center"/>
          </w:tcPr>
          <w:p>
            <w:pPr>
              <w:spacing w:line="360" w:lineRule="auto"/>
              <w:rPr>
                <w:rFonts w:asciiTheme="minorEastAsia" w:hAnsiTheme="minorEastAsia"/>
                <w:szCs w:val="21"/>
              </w:rPr>
            </w:pPr>
            <w:r>
              <w:rPr>
                <w:rFonts w:hint="eastAsia" w:asciiTheme="minorEastAsia" w:hAnsiTheme="minorEastAsia"/>
                <w:szCs w:val="21"/>
              </w:rPr>
              <w:t>评标基准价：满足招标文件要求的有效投标报价中，最低的投标报价为评标基准价。</w:t>
            </w:r>
          </w:p>
          <w:p>
            <w:pPr>
              <w:widowControl/>
              <w:spacing w:beforeLines="50"/>
              <w:rPr>
                <w:rFonts w:hint="default" w:ascii="宋体" w:hAnsi="宋体" w:cs="宋体" w:eastAsiaTheme="minorEastAsia"/>
                <w:szCs w:val="21"/>
                <w:lang w:val="en-US" w:eastAsia="zh-CN"/>
              </w:rPr>
            </w:pPr>
            <w:r>
              <w:rPr>
                <w:rFonts w:hint="eastAsia" w:asciiTheme="minorEastAsia" w:hAnsiTheme="minorEastAsia"/>
                <w:szCs w:val="21"/>
              </w:rPr>
              <w:t>投标报价得分=（评标基准价/投标报价）×</w:t>
            </w:r>
            <w:r>
              <w:rPr>
                <w:rFonts w:hint="eastAsia" w:asciiTheme="minorEastAsia" w:hAnsiTheme="minorEastAsia"/>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restart"/>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商务部分</w:t>
            </w:r>
          </w:p>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25</w:t>
            </w:r>
            <w:r>
              <w:rPr>
                <w:rFonts w:hint="eastAsia" w:ascii="宋体" w:hAnsi="宋体" w:eastAsia="宋体" w:cs="宋体"/>
                <w:szCs w:val="21"/>
              </w:rPr>
              <w:t>分）</w:t>
            </w:r>
          </w:p>
        </w:tc>
        <w:tc>
          <w:tcPr>
            <w:tcW w:w="1560" w:type="dxa"/>
            <w:vAlign w:val="center"/>
          </w:tcPr>
          <w:p>
            <w:pPr>
              <w:spacing w:line="360" w:lineRule="auto"/>
              <w:jc w:val="center"/>
              <w:rPr>
                <w:rFonts w:hint="eastAsia" w:asciiTheme="minorEastAsia" w:hAnsiTheme="minorEastAsia"/>
                <w:szCs w:val="21"/>
              </w:rPr>
            </w:pPr>
            <w:r>
              <w:rPr>
                <w:rFonts w:hint="eastAsia" w:asciiTheme="minorEastAsia" w:hAnsiTheme="minorEastAsia"/>
                <w:szCs w:val="21"/>
              </w:rPr>
              <w:t>业绩</w:t>
            </w:r>
          </w:p>
          <w:p>
            <w:pPr>
              <w:spacing w:line="360" w:lineRule="auto"/>
              <w:jc w:val="center"/>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val="en-US" w:eastAsia="zh-CN"/>
              </w:rPr>
              <w:t>12</w:t>
            </w:r>
            <w:r>
              <w:rPr>
                <w:rFonts w:hint="eastAsia" w:asciiTheme="minorEastAsia" w:hAnsiTheme="minorEastAsia"/>
                <w:szCs w:val="21"/>
              </w:rPr>
              <w:t>分）</w:t>
            </w:r>
          </w:p>
        </w:tc>
        <w:tc>
          <w:tcPr>
            <w:tcW w:w="6095" w:type="dxa"/>
            <w:vAlign w:val="center"/>
          </w:tcPr>
          <w:p>
            <w:pPr>
              <w:spacing w:line="360" w:lineRule="auto"/>
              <w:rPr>
                <w:rFonts w:hint="eastAsia" w:asciiTheme="minorEastAsia" w:hAnsiTheme="minorEastAsia"/>
                <w:szCs w:val="21"/>
              </w:rPr>
            </w:pPr>
            <w:r>
              <w:rPr>
                <w:rFonts w:hint="eastAsia" w:asciiTheme="minorEastAsia" w:hAnsiTheme="minorEastAsia"/>
                <w:szCs w:val="21"/>
              </w:rPr>
              <w:t>1.投标人提供2016年以来</w:t>
            </w:r>
            <w:r>
              <w:rPr>
                <w:rFonts w:hint="eastAsia" w:asciiTheme="minorEastAsia" w:hAnsiTheme="minorEastAsia"/>
                <w:szCs w:val="21"/>
                <w:lang w:val="en-US" w:eastAsia="zh-CN"/>
              </w:rPr>
              <w:t>类似项目业绩</w:t>
            </w:r>
            <w:r>
              <w:rPr>
                <w:rFonts w:hint="eastAsia" w:asciiTheme="minorEastAsia" w:hAnsiTheme="minorEastAsia"/>
                <w:szCs w:val="21"/>
              </w:rPr>
              <w:t>，每提供一份得</w:t>
            </w:r>
            <w:r>
              <w:rPr>
                <w:rFonts w:hint="eastAsia" w:asciiTheme="minorEastAsia" w:hAnsiTheme="minorEastAsia"/>
                <w:szCs w:val="21"/>
                <w:lang w:val="en-US" w:eastAsia="zh-CN"/>
              </w:rPr>
              <w:t>2</w:t>
            </w:r>
            <w:r>
              <w:rPr>
                <w:rFonts w:hint="eastAsia" w:asciiTheme="minorEastAsia" w:hAnsiTheme="minorEastAsia"/>
                <w:szCs w:val="21"/>
              </w:rPr>
              <w:t>分，最多得</w:t>
            </w:r>
            <w:r>
              <w:rPr>
                <w:rFonts w:hint="eastAsia" w:asciiTheme="minorEastAsia" w:hAnsiTheme="minorEastAsia"/>
                <w:szCs w:val="21"/>
                <w:lang w:val="en-US" w:eastAsia="zh-CN"/>
              </w:rPr>
              <w:t>10</w:t>
            </w:r>
            <w:r>
              <w:rPr>
                <w:rFonts w:hint="eastAsia" w:asciiTheme="minorEastAsia" w:hAnsiTheme="minorEastAsia"/>
                <w:szCs w:val="21"/>
              </w:rPr>
              <w:t>分。</w:t>
            </w:r>
          </w:p>
          <w:p>
            <w:pPr>
              <w:spacing w:line="360" w:lineRule="auto"/>
              <w:rPr>
                <w:rFonts w:hint="eastAsia" w:asciiTheme="minorEastAsia" w:hAnsiTheme="minorEastAsia"/>
                <w:szCs w:val="21"/>
                <w:lang w:val="zh-CN"/>
              </w:rPr>
            </w:pPr>
            <w:r>
              <w:rPr>
                <w:rFonts w:hint="eastAsia" w:asciiTheme="minorEastAsia" w:hAnsiTheme="minorEastAsia"/>
                <w:szCs w:val="21"/>
                <w:lang w:val="en-US" w:eastAsia="zh-CN"/>
              </w:rPr>
              <w:t>2.</w:t>
            </w:r>
            <w:r>
              <w:rPr>
                <w:rFonts w:hint="eastAsia" w:asciiTheme="minorEastAsia" w:hAnsiTheme="minorEastAsia"/>
                <w:szCs w:val="21"/>
              </w:rPr>
              <w:t>根据投标人所提供2016年1月以来满足“企业业绩”要求的项目合同，提供地市级以上环保部门出具的满意度证明资料，且客户评价为“满意”、“优秀”、“良好”、“考核分值95分及以上”等积极正面的评价，每提供一份得1分，最多的</w:t>
            </w:r>
            <w:r>
              <w:rPr>
                <w:rFonts w:hint="eastAsia" w:asciiTheme="minorEastAsia" w:hAnsiTheme="minorEastAsia"/>
                <w:szCs w:val="21"/>
                <w:lang w:val="en-US" w:eastAsia="zh-CN"/>
              </w:rPr>
              <w:t>2</w:t>
            </w:r>
            <w:r>
              <w:rPr>
                <w:rFonts w:hint="eastAsia" w:asciiTheme="minorEastAsia" w:hAnsi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vAlign w:val="center"/>
          </w:tcPr>
          <w:p>
            <w:pPr>
              <w:snapToGrid w:val="0"/>
              <w:spacing w:beforeLines="50"/>
              <w:ind w:leftChars="-2" w:hanging="4" w:hangingChars="2"/>
              <w:jc w:val="center"/>
              <w:rPr>
                <w:rFonts w:ascii="宋体" w:hAnsi="宋体" w:eastAsia="宋体" w:cs="宋体"/>
                <w:szCs w:val="21"/>
              </w:rPr>
            </w:pPr>
          </w:p>
        </w:tc>
        <w:tc>
          <w:tcPr>
            <w:tcW w:w="1560" w:type="dxa"/>
            <w:vAlign w:val="center"/>
          </w:tcPr>
          <w:p>
            <w:pPr>
              <w:spacing w:line="360" w:lineRule="auto"/>
              <w:jc w:val="center"/>
              <w:rPr>
                <w:rFonts w:hint="eastAsia" w:asciiTheme="minorEastAsia" w:hAnsiTheme="minorEastAsia"/>
                <w:szCs w:val="21"/>
              </w:rPr>
            </w:pPr>
            <w:r>
              <w:rPr>
                <w:rFonts w:hint="eastAsia" w:asciiTheme="minorEastAsia" w:hAnsiTheme="minorEastAsia"/>
                <w:szCs w:val="21"/>
              </w:rPr>
              <w:t>重信守法</w:t>
            </w:r>
          </w:p>
          <w:p>
            <w:pPr>
              <w:spacing w:line="360" w:lineRule="auto"/>
              <w:jc w:val="center"/>
              <w:rPr>
                <w:rFonts w:hint="eastAsia" w:asciiTheme="minorEastAsia" w:hAnsiTheme="minorEastAsia"/>
                <w:szCs w:val="21"/>
              </w:rPr>
            </w:pPr>
            <w:r>
              <w:rPr>
                <w:rFonts w:hint="eastAsia" w:asciiTheme="minorEastAsia" w:hAnsiTheme="minorEastAsia"/>
                <w:szCs w:val="21"/>
              </w:rPr>
              <w:t>（5分）</w:t>
            </w:r>
          </w:p>
        </w:tc>
        <w:tc>
          <w:tcPr>
            <w:tcW w:w="6095" w:type="dxa"/>
            <w:vAlign w:val="bottom"/>
          </w:tcPr>
          <w:p>
            <w:pPr>
              <w:spacing w:line="360" w:lineRule="auto"/>
              <w:rPr>
                <w:rFonts w:hint="eastAsia" w:asciiTheme="minorEastAsia" w:hAnsiTheme="minorEastAsia"/>
                <w:szCs w:val="21"/>
                <w:lang w:val="zh-CN"/>
              </w:rPr>
            </w:pPr>
            <w:r>
              <w:rPr>
                <w:rFonts w:hint="eastAsia" w:asciiTheme="minorEastAsia" w:hAnsiTheme="minorEastAsia"/>
                <w:szCs w:val="21"/>
              </w:rPr>
              <w:t>投标人近5年来未受到过各级环保部门行政处罚的得</w:t>
            </w:r>
            <w:r>
              <w:rPr>
                <w:rFonts w:hint="eastAsia" w:asciiTheme="minorEastAsia" w:hAnsiTheme="minorEastAsia"/>
                <w:szCs w:val="21"/>
                <w:lang w:val="en-US" w:eastAsia="zh-CN"/>
              </w:rPr>
              <w:t>5</w:t>
            </w:r>
            <w:r>
              <w:rPr>
                <w:rFonts w:hint="eastAsia" w:asciiTheme="minorEastAsia" w:hAnsiTheme="minorEastAsia"/>
                <w:szCs w:val="21"/>
              </w:rPr>
              <w:t>分，需提供承诺函</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384" w:type="dxa"/>
            <w:vMerge w:val="continue"/>
            <w:vAlign w:val="center"/>
          </w:tcPr>
          <w:p>
            <w:pPr>
              <w:snapToGrid w:val="0"/>
              <w:spacing w:beforeLines="50"/>
              <w:ind w:leftChars="-2" w:hanging="4" w:hangingChars="2"/>
              <w:jc w:val="center"/>
              <w:rPr>
                <w:rFonts w:ascii="宋体" w:hAnsi="宋体" w:eastAsia="宋体" w:cs="宋体"/>
                <w:szCs w:val="21"/>
              </w:rPr>
            </w:pPr>
          </w:p>
        </w:tc>
        <w:tc>
          <w:tcPr>
            <w:tcW w:w="1560" w:type="dxa"/>
            <w:vAlign w:val="center"/>
          </w:tcPr>
          <w:p>
            <w:pPr>
              <w:spacing w:line="360" w:lineRule="auto"/>
              <w:jc w:val="center"/>
              <w:rPr>
                <w:rFonts w:hint="eastAsia" w:asciiTheme="minorEastAsia" w:hAnsiTheme="minorEastAsia"/>
                <w:szCs w:val="21"/>
              </w:rPr>
            </w:pPr>
            <w:r>
              <w:rPr>
                <w:rFonts w:hint="eastAsia" w:asciiTheme="minorEastAsia" w:hAnsiTheme="minorEastAsia"/>
                <w:szCs w:val="21"/>
                <w:lang w:val="en-US" w:eastAsia="zh-CN"/>
              </w:rPr>
              <w:t>综合能力（8分）</w:t>
            </w:r>
          </w:p>
        </w:tc>
        <w:tc>
          <w:tcPr>
            <w:tcW w:w="6095" w:type="dxa"/>
            <w:vAlign w:val="bottom"/>
          </w:tcPr>
          <w:p>
            <w:pPr>
              <w:spacing w:line="360" w:lineRule="auto"/>
              <w:rPr>
                <w:rFonts w:hint="eastAsia" w:asciiTheme="minorEastAsia" w:hAnsiTheme="minorEastAsia"/>
                <w:szCs w:val="21"/>
                <w:lang w:val="en-GB"/>
              </w:rPr>
            </w:pPr>
            <w:r>
              <w:rPr>
                <w:rFonts w:hint="eastAsia" w:asciiTheme="minorEastAsia" w:hAnsiTheme="minorEastAsia"/>
                <w:szCs w:val="21"/>
              </w:rPr>
              <w:t>1.投标人提供信息安全管理体系、质量管理体系、环境管理体系、职业健康安全管理体系认证证书</w:t>
            </w:r>
            <w:r>
              <w:rPr>
                <w:rFonts w:hint="eastAsia" w:asciiTheme="minorEastAsia" w:hAnsiTheme="minorEastAsia"/>
                <w:szCs w:val="21"/>
                <w:lang w:eastAsia="zh-CN"/>
              </w:rPr>
              <w:t>，</w:t>
            </w:r>
            <w:r>
              <w:rPr>
                <w:rFonts w:hint="eastAsia" w:asciiTheme="minorEastAsia" w:hAnsiTheme="minorEastAsia"/>
                <w:szCs w:val="21"/>
                <w:lang w:val="en-US" w:eastAsia="zh-CN"/>
              </w:rPr>
              <w:t>每项</w:t>
            </w:r>
            <w:r>
              <w:rPr>
                <w:rFonts w:hint="eastAsia" w:asciiTheme="minorEastAsia" w:hAnsiTheme="minorEastAsia"/>
                <w:szCs w:val="21"/>
              </w:rPr>
              <w:t>得</w:t>
            </w:r>
            <w:r>
              <w:rPr>
                <w:rFonts w:hint="eastAsia" w:asciiTheme="minorEastAsia" w:hAnsiTheme="minorEastAsia"/>
                <w:szCs w:val="21"/>
                <w:lang w:val="en-US" w:eastAsia="zh-CN"/>
              </w:rPr>
              <w:t>2</w:t>
            </w:r>
            <w:r>
              <w:rPr>
                <w:rFonts w:hint="eastAsia" w:asciiTheme="minorEastAsia" w:hAnsiTheme="minorEastAsia"/>
                <w:szCs w:val="21"/>
              </w:rPr>
              <w:t>分，</w:t>
            </w:r>
            <w:r>
              <w:rPr>
                <w:rFonts w:hint="eastAsia" w:asciiTheme="minorEastAsia" w:hAnsiTheme="minorEastAsia"/>
                <w:szCs w:val="21"/>
                <w:lang w:val="en-US" w:eastAsia="zh-CN"/>
              </w:rPr>
              <w:t>满分8</w:t>
            </w:r>
            <w:r>
              <w:rPr>
                <w:rFonts w:hint="eastAsia" w:asciiTheme="minorEastAsia" w:hAnsi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1384" w:type="dxa"/>
            <w:vMerge w:val="restart"/>
            <w:tcBorders>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技术部分</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30</w:t>
            </w:r>
            <w:r>
              <w:rPr>
                <w:rFonts w:hint="eastAsia" w:ascii="宋体" w:hAnsi="宋体" w:eastAsia="宋体" w:cs="宋体"/>
                <w:szCs w:val="21"/>
              </w:rPr>
              <w:t>分）</w:t>
            </w:r>
          </w:p>
        </w:tc>
        <w:tc>
          <w:tcPr>
            <w:tcW w:w="1560" w:type="dxa"/>
            <w:tcBorders>
              <w:right w:val="single" w:color="auto" w:sz="4" w:space="0"/>
            </w:tcBorders>
            <w:vAlign w:val="center"/>
          </w:tcPr>
          <w:p>
            <w:pPr>
              <w:spacing w:line="360" w:lineRule="auto"/>
              <w:jc w:val="center"/>
              <w:rPr>
                <w:rFonts w:hint="eastAsia" w:asciiTheme="minorEastAsia" w:hAnsiTheme="minorEastAsia"/>
                <w:szCs w:val="21"/>
              </w:rPr>
            </w:pPr>
            <w:r>
              <w:rPr>
                <w:rFonts w:hint="eastAsia" w:asciiTheme="minorEastAsia" w:hAnsiTheme="minorEastAsia"/>
                <w:szCs w:val="21"/>
                <w:lang w:val="en-US" w:eastAsia="zh-CN"/>
              </w:rPr>
              <w:t>运维总体方案</w:t>
            </w:r>
            <w:r>
              <w:rPr>
                <w:rFonts w:hint="eastAsia" w:asciiTheme="minorEastAsia" w:hAnsiTheme="minorEastAsia"/>
                <w:szCs w:val="21"/>
              </w:rPr>
              <w:br w:type="textWrapping"/>
            </w:r>
            <w:r>
              <w:rPr>
                <w:rFonts w:hint="eastAsia" w:asciiTheme="minorEastAsia" w:hAnsiTheme="minorEastAsia"/>
                <w:szCs w:val="21"/>
              </w:rPr>
              <w:t>（10分）</w:t>
            </w:r>
          </w:p>
        </w:tc>
        <w:tc>
          <w:tcPr>
            <w:tcW w:w="6095" w:type="dxa"/>
            <w:tcBorders>
              <w:right w:val="single" w:color="auto" w:sz="4" w:space="0"/>
            </w:tcBorders>
            <w:vAlign w:val="bottom"/>
          </w:tcPr>
          <w:p>
            <w:pPr>
              <w:spacing w:line="360" w:lineRule="auto"/>
              <w:rPr>
                <w:rFonts w:hint="eastAsia" w:asciiTheme="minorEastAsia" w:hAnsiTheme="minorEastAsia"/>
                <w:szCs w:val="21"/>
              </w:rPr>
            </w:pPr>
            <w:r>
              <w:rPr>
                <w:rFonts w:hint="eastAsia" w:asciiTheme="minorEastAsia" w:hAnsiTheme="minorEastAsia"/>
                <w:szCs w:val="21"/>
              </w:rPr>
              <w:t>投标人</w:t>
            </w:r>
            <w:r>
              <w:rPr>
                <w:rFonts w:hint="eastAsia" w:asciiTheme="minorEastAsia" w:hAnsiTheme="minorEastAsia"/>
                <w:szCs w:val="21"/>
                <w:lang w:val="en-US" w:eastAsia="zh-CN"/>
              </w:rPr>
              <w:t>针对技术要求</w:t>
            </w:r>
            <w:r>
              <w:rPr>
                <w:rFonts w:hint="eastAsia" w:asciiTheme="minorEastAsia" w:hAnsiTheme="minorEastAsia"/>
                <w:szCs w:val="21"/>
              </w:rPr>
              <w:t>提供</w:t>
            </w:r>
            <w:r>
              <w:rPr>
                <w:rFonts w:hint="eastAsia" w:asciiTheme="minorEastAsia" w:hAnsiTheme="minorEastAsia"/>
                <w:szCs w:val="21"/>
                <w:lang w:val="en-US" w:eastAsia="zh-CN"/>
              </w:rPr>
              <w:t>运维</w:t>
            </w:r>
            <w:r>
              <w:rPr>
                <w:rFonts w:hint="eastAsia" w:asciiTheme="minorEastAsia" w:hAnsiTheme="minorEastAsia"/>
                <w:szCs w:val="21"/>
              </w:rPr>
              <w:t>总体方案</w:t>
            </w:r>
            <w:r>
              <w:rPr>
                <w:rFonts w:hint="eastAsia" w:asciiTheme="minorEastAsia" w:hAnsiTheme="minorEastAsia"/>
                <w:szCs w:val="21"/>
                <w:lang w:eastAsia="zh-CN"/>
              </w:rPr>
              <w:t>。</w:t>
            </w:r>
            <w:r>
              <w:rPr>
                <w:rFonts w:hint="eastAsia" w:asciiTheme="minorEastAsia" w:hAnsiTheme="minorEastAsia"/>
                <w:szCs w:val="21"/>
                <w:lang w:val="en-US" w:eastAsia="zh-CN"/>
              </w:rPr>
              <w:t>运维总体方案包括运维服务内容、运行维护管理总体要求、水质自动监测站的运维管理详细内容、运维质量管理与控制要求、运维工作要求。投标人提供的总体方案符合上述全部要求的</w:t>
            </w:r>
            <w:r>
              <w:rPr>
                <w:rFonts w:hint="eastAsia" w:asciiTheme="minorEastAsia" w:hAnsiTheme="minorEastAsia"/>
                <w:szCs w:val="21"/>
              </w:rPr>
              <w:t>得10分；方案</w:t>
            </w:r>
            <w:r>
              <w:rPr>
                <w:rFonts w:hint="eastAsia" w:asciiTheme="minorEastAsia" w:hAnsiTheme="minorEastAsia"/>
                <w:szCs w:val="21"/>
                <w:lang w:val="en-US" w:eastAsia="zh-CN"/>
              </w:rPr>
              <w:t>仅有简单描述的</w:t>
            </w:r>
            <w:r>
              <w:rPr>
                <w:rFonts w:hint="eastAsia" w:asciiTheme="minorEastAsia" w:hAnsiTheme="minorEastAsia"/>
                <w:szCs w:val="21"/>
              </w:rPr>
              <w:t>得6分；不提供者不得分。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vMerge w:val="continue"/>
            <w:tcBorders>
              <w:right w:val="single" w:color="auto" w:sz="4" w:space="0"/>
            </w:tcBorders>
            <w:vAlign w:val="center"/>
          </w:tcPr>
          <w:p>
            <w:pPr>
              <w:snapToGrid w:val="0"/>
              <w:spacing w:beforeLines="50"/>
              <w:jc w:val="center"/>
              <w:rPr>
                <w:rFonts w:hint="eastAsia" w:ascii="宋体" w:hAnsi="宋体" w:eastAsia="宋体" w:cs="宋体"/>
                <w:szCs w:val="21"/>
              </w:rPr>
            </w:pPr>
          </w:p>
        </w:tc>
        <w:tc>
          <w:tcPr>
            <w:tcW w:w="1560" w:type="dxa"/>
            <w:tcBorders>
              <w:right w:val="single" w:color="auto" w:sz="4" w:space="0"/>
            </w:tcBorders>
            <w:vAlign w:val="center"/>
          </w:tcPr>
          <w:p>
            <w:pPr>
              <w:spacing w:line="360" w:lineRule="auto"/>
              <w:jc w:val="center"/>
              <w:rPr>
                <w:rFonts w:hint="eastAsia" w:asciiTheme="minorEastAsia" w:hAnsiTheme="minorEastAsia"/>
                <w:szCs w:val="21"/>
              </w:rPr>
            </w:pPr>
            <w:r>
              <w:rPr>
                <w:rFonts w:hint="eastAsia" w:asciiTheme="minorEastAsia" w:hAnsiTheme="minorEastAsia"/>
                <w:szCs w:val="21"/>
              </w:rPr>
              <w:t>运维机构</w:t>
            </w:r>
            <w:r>
              <w:rPr>
                <w:rFonts w:hint="eastAsia" w:asciiTheme="minorEastAsia" w:hAnsiTheme="minorEastAsia"/>
                <w:szCs w:val="21"/>
                <w:lang w:val="en-US" w:eastAsia="zh-CN"/>
              </w:rPr>
              <w:t>组织</w:t>
            </w:r>
            <w:r>
              <w:rPr>
                <w:rFonts w:hint="eastAsia" w:asciiTheme="minorEastAsia" w:hAnsiTheme="minorEastAsia"/>
                <w:szCs w:val="21"/>
              </w:rPr>
              <w:t>方案（10分）</w:t>
            </w:r>
          </w:p>
        </w:tc>
        <w:tc>
          <w:tcPr>
            <w:tcW w:w="6095" w:type="dxa"/>
            <w:tcBorders>
              <w:right w:val="single" w:color="auto" w:sz="4" w:space="0"/>
            </w:tcBorders>
            <w:vAlign w:val="bottom"/>
          </w:tcPr>
          <w:p>
            <w:pPr>
              <w:spacing w:line="360" w:lineRule="auto"/>
              <w:rPr>
                <w:rFonts w:hint="eastAsia" w:asciiTheme="minorEastAsia" w:hAnsiTheme="minorEastAsia"/>
                <w:szCs w:val="21"/>
              </w:rPr>
            </w:pPr>
            <w:r>
              <w:rPr>
                <w:rFonts w:hint="eastAsia" w:asciiTheme="minorEastAsia" w:hAnsiTheme="minorEastAsia"/>
                <w:szCs w:val="21"/>
              </w:rPr>
              <w:t>具有运营管理制度，包括操作规范、岗位责任、组织结构、运维人员考核办法，针对本项目的作业环境制定的具体的管理制度</w:t>
            </w:r>
            <w:r>
              <w:rPr>
                <w:rFonts w:hint="eastAsia" w:asciiTheme="minorEastAsia" w:hAnsiTheme="minorEastAsia"/>
                <w:szCs w:val="21"/>
                <w:lang w:val="en-US" w:eastAsia="zh-CN"/>
              </w:rPr>
              <w:t>方案的得10分</w:t>
            </w:r>
            <w:r>
              <w:rPr>
                <w:rFonts w:hint="eastAsia" w:asciiTheme="minorEastAsia" w:hAnsiTheme="minorEastAsia"/>
                <w:szCs w:val="21"/>
                <w:lang w:eastAsia="zh-CN"/>
              </w:rPr>
              <w:t>，</w:t>
            </w:r>
            <w:r>
              <w:rPr>
                <w:rFonts w:hint="eastAsia" w:asciiTheme="minorEastAsia" w:hAnsiTheme="minorEastAsia"/>
                <w:szCs w:val="21"/>
              </w:rPr>
              <w:t>不提供不得分</w:t>
            </w:r>
            <w:r>
              <w:rPr>
                <w:rFonts w:hint="eastAsia" w:asciiTheme="minorEastAsia" w:hAnsi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384" w:type="dxa"/>
            <w:vMerge w:val="continue"/>
            <w:tcBorders>
              <w:right w:val="single" w:color="auto" w:sz="4" w:space="0"/>
            </w:tcBorders>
            <w:vAlign w:val="center"/>
          </w:tcPr>
          <w:p>
            <w:pPr>
              <w:snapToGrid w:val="0"/>
              <w:spacing w:beforeLines="50"/>
              <w:jc w:val="center"/>
              <w:rPr>
                <w:rFonts w:hint="eastAsia" w:ascii="宋体" w:hAnsi="宋体" w:eastAsia="宋体" w:cs="宋体"/>
                <w:szCs w:val="21"/>
              </w:rPr>
            </w:pPr>
          </w:p>
        </w:tc>
        <w:tc>
          <w:tcPr>
            <w:tcW w:w="1560" w:type="dxa"/>
            <w:tcBorders>
              <w:right w:val="single" w:color="auto" w:sz="4" w:space="0"/>
            </w:tcBorders>
            <w:vAlign w:val="center"/>
          </w:tcPr>
          <w:p>
            <w:pPr>
              <w:spacing w:line="360" w:lineRule="auto"/>
              <w:jc w:val="center"/>
              <w:rPr>
                <w:rFonts w:hint="eastAsia" w:asciiTheme="minorEastAsia" w:hAnsiTheme="minorEastAsia"/>
                <w:szCs w:val="21"/>
              </w:rPr>
            </w:pPr>
            <w:r>
              <w:rPr>
                <w:rFonts w:hint="eastAsia" w:asciiTheme="minorEastAsia" w:hAnsiTheme="minorEastAsia"/>
                <w:szCs w:val="21"/>
              </w:rPr>
              <w:t>运维服务方案</w:t>
            </w:r>
          </w:p>
          <w:p>
            <w:pPr>
              <w:spacing w:line="360" w:lineRule="auto"/>
              <w:jc w:val="center"/>
              <w:rPr>
                <w:rFonts w:hint="eastAsia" w:asciiTheme="minorEastAsia" w:hAnsiTheme="minorEastAsia"/>
                <w:szCs w:val="21"/>
              </w:rPr>
            </w:pPr>
            <w:r>
              <w:rPr>
                <w:rFonts w:hint="eastAsia" w:asciiTheme="minorEastAsia" w:hAnsiTheme="minorEastAsia"/>
                <w:szCs w:val="21"/>
              </w:rPr>
              <w:t>（10分）</w:t>
            </w:r>
          </w:p>
        </w:tc>
        <w:tc>
          <w:tcPr>
            <w:tcW w:w="6095" w:type="dxa"/>
            <w:tcBorders>
              <w:right w:val="single" w:color="auto" w:sz="4" w:space="0"/>
            </w:tcBorders>
            <w:vAlign w:val="bottom"/>
          </w:tcPr>
          <w:p>
            <w:pPr>
              <w:spacing w:line="360" w:lineRule="auto"/>
              <w:rPr>
                <w:rFonts w:hint="eastAsia" w:asciiTheme="minorEastAsia" w:hAnsiTheme="minorEastAsia"/>
                <w:szCs w:val="21"/>
              </w:rPr>
            </w:pPr>
            <w:r>
              <w:rPr>
                <w:rFonts w:hint="eastAsia" w:asciiTheme="minorEastAsia" w:hAnsiTheme="minorEastAsia"/>
                <w:szCs w:val="21"/>
              </w:rPr>
              <w:t>投标人提供运维服务方案，方案考虑周全、描述清晰、可操作性强</w:t>
            </w:r>
            <w:r>
              <w:rPr>
                <w:rFonts w:hint="eastAsia" w:asciiTheme="minorEastAsia" w:hAnsiTheme="minorEastAsia"/>
                <w:szCs w:val="21"/>
                <w:lang w:eastAsia="zh-CN"/>
              </w:rPr>
              <w:t>，得10分；不提供不得分</w:t>
            </w:r>
            <w:r>
              <w:rPr>
                <w:rFonts w:hint="eastAsia"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restart"/>
            <w:tcBorders>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服务部分</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15</w:t>
            </w:r>
            <w:r>
              <w:rPr>
                <w:rFonts w:hint="eastAsia" w:ascii="宋体" w:hAnsi="宋体" w:eastAsia="宋体" w:cs="宋体"/>
                <w:szCs w:val="21"/>
              </w:rPr>
              <w:t>分）</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szCs w:val="21"/>
              </w:rPr>
            </w:pPr>
            <w:r>
              <w:rPr>
                <w:rFonts w:hint="eastAsia" w:asciiTheme="minorEastAsia" w:hAnsiTheme="minorEastAsia"/>
                <w:szCs w:val="21"/>
              </w:rPr>
              <w:t>售后服务</w:t>
            </w:r>
            <w:r>
              <w:rPr>
                <w:rFonts w:hint="eastAsia" w:asciiTheme="minorEastAsia" w:hAnsiTheme="minorEastAsia"/>
                <w:szCs w:val="21"/>
              </w:rPr>
              <w:br w:type="textWrapping"/>
            </w:r>
            <w:r>
              <w:rPr>
                <w:rFonts w:hint="eastAsia" w:asciiTheme="minorEastAsia" w:hAnsiTheme="minorEastAsia"/>
                <w:szCs w:val="21"/>
              </w:rPr>
              <w:t>（</w:t>
            </w:r>
            <w:r>
              <w:rPr>
                <w:rFonts w:hint="eastAsia" w:asciiTheme="minorEastAsia" w:hAnsiTheme="minorEastAsia"/>
                <w:szCs w:val="21"/>
                <w:lang w:val="en-US" w:eastAsia="zh-CN"/>
              </w:rPr>
              <w:t>5</w:t>
            </w:r>
            <w:r>
              <w:rPr>
                <w:rFonts w:hint="eastAsia" w:asciiTheme="minorEastAsia" w:hAnsiTheme="minorEastAsia"/>
                <w:szCs w:val="21"/>
              </w:rPr>
              <w:t>分）</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szCs w:val="21"/>
              </w:rPr>
            </w:pPr>
            <w:r>
              <w:rPr>
                <w:rFonts w:hint="eastAsia" w:asciiTheme="minorEastAsia" w:hAnsiTheme="minorEastAsia"/>
                <w:szCs w:val="21"/>
              </w:rPr>
              <w:t>投标人提供车辆配备方案：包括具体站点配备情況、提供车辆行驶证复印件，和投标人拟组建的运维团队人员的相关学历、专业、工作年限、社保等信息及分工名单，按站点列出每个站点的运维人员配备情况</w:t>
            </w:r>
            <w:r>
              <w:rPr>
                <w:rFonts w:hint="eastAsia" w:asciiTheme="minorEastAsia" w:hAnsiTheme="minorEastAsia"/>
                <w:szCs w:val="21"/>
                <w:lang w:val="en-US" w:eastAsia="zh-CN"/>
              </w:rPr>
              <w:t>的得5分，不提供不得分。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tcBorders>
              <w:right w:val="single" w:color="auto" w:sz="4" w:space="0"/>
            </w:tcBorders>
            <w:vAlign w:val="center"/>
          </w:tcPr>
          <w:p>
            <w:pPr>
              <w:snapToGrid w:val="0"/>
              <w:spacing w:beforeLines="50"/>
              <w:jc w:val="center"/>
              <w:rPr>
                <w:rFonts w:hint="eastAsia" w:ascii="宋体" w:hAnsi="宋体" w:eastAsia="宋体" w:cs="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szCs w:val="21"/>
              </w:rPr>
            </w:pPr>
            <w:r>
              <w:rPr>
                <w:rFonts w:hint="eastAsia" w:asciiTheme="minorEastAsia" w:hAnsiTheme="minorEastAsia"/>
                <w:szCs w:val="21"/>
              </w:rPr>
              <w:t>人员配备</w:t>
            </w:r>
          </w:p>
          <w:p>
            <w:pPr>
              <w:spacing w:line="360" w:lineRule="auto"/>
              <w:jc w:val="center"/>
              <w:rPr>
                <w:rFonts w:hint="eastAsia" w:asciiTheme="minorEastAsia" w:hAnsiTheme="minorEastAsia"/>
                <w:szCs w:val="21"/>
              </w:rPr>
            </w:pPr>
            <w:r>
              <w:rPr>
                <w:rFonts w:hint="eastAsia" w:asciiTheme="minorEastAsia" w:hAnsiTheme="minorEastAsia"/>
                <w:szCs w:val="21"/>
              </w:rPr>
              <w:t>（</w:t>
            </w:r>
            <w:r>
              <w:rPr>
                <w:rFonts w:hint="eastAsia" w:asciiTheme="minorEastAsia" w:hAnsiTheme="minorEastAsia"/>
                <w:szCs w:val="21"/>
                <w:lang w:val="en-US" w:eastAsia="zh-CN"/>
              </w:rPr>
              <w:t>5</w:t>
            </w:r>
            <w:r>
              <w:rPr>
                <w:rFonts w:hint="eastAsia" w:asciiTheme="minorEastAsia" w:hAnsiTheme="minorEastAsia"/>
                <w:szCs w:val="21"/>
              </w:rPr>
              <w:t>分）</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szCs w:val="21"/>
              </w:rPr>
            </w:pPr>
            <w:r>
              <w:rPr>
                <w:rFonts w:hint="eastAsia" w:asciiTheme="minorEastAsia" w:hAnsiTheme="minorEastAsia"/>
                <w:szCs w:val="21"/>
              </w:rPr>
              <w:t>投标人拟投入本项目的技术人员具备</w:t>
            </w:r>
            <w:r>
              <w:rPr>
                <w:rFonts w:hint="eastAsia" w:asciiTheme="minorEastAsia" w:hAnsiTheme="minorEastAsia"/>
                <w:szCs w:val="21"/>
                <w:lang w:val="en-US" w:eastAsia="zh-CN"/>
              </w:rPr>
              <w:t>高级及以上职称（环保、计算机专业）</w:t>
            </w:r>
            <w:r>
              <w:rPr>
                <w:rFonts w:hint="eastAsia" w:asciiTheme="minorEastAsia" w:hAnsiTheme="minorEastAsia"/>
                <w:szCs w:val="21"/>
              </w:rPr>
              <w:t>，每提供1份得1分，最多得</w:t>
            </w:r>
            <w:r>
              <w:rPr>
                <w:rFonts w:hint="eastAsia" w:asciiTheme="minorEastAsia" w:hAnsiTheme="minorEastAsia"/>
                <w:szCs w:val="21"/>
                <w:lang w:val="en-US" w:eastAsia="zh-CN"/>
              </w:rPr>
              <w:t>5</w:t>
            </w:r>
            <w:r>
              <w:rPr>
                <w:rFonts w:hint="eastAsia" w:asciiTheme="minorEastAsia" w:hAnsiTheme="minorEastAsia"/>
                <w:szCs w:val="21"/>
              </w:rPr>
              <w:t xml:space="preserve">分； </w:t>
            </w:r>
          </w:p>
          <w:p>
            <w:pPr>
              <w:spacing w:line="360" w:lineRule="auto"/>
              <w:rPr>
                <w:rFonts w:hint="eastAsia" w:asciiTheme="minorEastAsia" w:hAnsiTheme="minorEastAsia"/>
                <w:szCs w:val="21"/>
              </w:rPr>
            </w:pPr>
            <w:r>
              <w:rPr>
                <w:rFonts w:hint="eastAsia" w:asciiTheme="minorEastAsia" w:hAnsiTheme="minorEastAsia"/>
                <w:szCs w:val="21"/>
              </w:rPr>
              <w:t>注：提供社保部门出具的投标前3个月</w:t>
            </w:r>
            <w:r>
              <w:rPr>
                <w:rFonts w:hint="eastAsia" w:asciiTheme="minorEastAsia" w:hAnsiTheme="minorEastAsia"/>
                <w:szCs w:val="21"/>
                <w:lang w:val="en-US" w:eastAsia="zh-CN"/>
              </w:rPr>
              <w:t>任意一个月的</w:t>
            </w:r>
            <w:r>
              <w:rPr>
                <w:rFonts w:hint="eastAsia" w:asciiTheme="minorEastAsia" w:hAnsiTheme="minorEastAsia"/>
                <w:szCs w:val="21"/>
              </w:rPr>
              <w:t>人员</w:t>
            </w:r>
            <w:r>
              <w:rPr>
                <w:rFonts w:hint="eastAsia" w:asciiTheme="minorEastAsia" w:hAnsiTheme="minorEastAsia"/>
                <w:szCs w:val="21"/>
                <w:lang w:val="en-US" w:eastAsia="zh-CN"/>
              </w:rPr>
              <w:t>由社保部门出具的</w:t>
            </w:r>
            <w:r>
              <w:rPr>
                <w:rFonts w:hint="eastAsia" w:asciiTheme="minorEastAsia" w:hAnsiTheme="minorEastAsia"/>
                <w:szCs w:val="21"/>
              </w:rPr>
              <w:t>社保缴纳证明。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384" w:type="dxa"/>
            <w:vMerge w:val="continue"/>
            <w:tcBorders>
              <w:right w:val="single" w:color="auto" w:sz="4" w:space="0"/>
            </w:tcBorders>
            <w:vAlign w:val="center"/>
          </w:tcPr>
          <w:p>
            <w:pPr>
              <w:snapToGrid w:val="0"/>
              <w:spacing w:beforeLines="50"/>
              <w:jc w:val="center"/>
              <w:rPr>
                <w:rFonts w:hint="eastAsia" w:ascii="宋体" w:hAnsi="宋体" w:eastAsia="宋体" w:cs="宋体"/>
                <w:szCs w:val="21"/>
              </w:rPr>
            </w:pPr>
          </w:p>
        </w:tc>
        <w:tc>
          <w:tcPr>
            <w:tcW w:w="1560" w:type="dxa"/>
            <w:tcBorders>
              <w:top w:val="single" w:color="auto" w:sz="4" w:space="0"/>
              <w:left w:val="single" w:color="auto" w:sz="4" w:space="0"/>
              <w:right w:val="single" w:color="auto" w:sz="4" w:space="0"/>
            </w:tcBorders>
            <w:vAlign w:val="center"/>
          </w:tcPr>
          <w:p>
            <w:pPr>
              <w:spacing w:line="360" w:lineRule="auto"/>
              <w:jc w:val="center"/>
              <w:rPr>
                <w:rFonts w:hint="eastAsia" w:asciiTheme="minorEastAsia" w:hAnsiTheme="minorEastAsia"/>
                <w:szCs w:val="21"/>
                <w:lang w:val="en-US" w:eastAsia="zh-CN"/>
              </w:rPr>
            </w:pPr>
            <w:r>
              <w:rPr>
                <w:rFonts w:hint="eastAsia" w:asciiTheme="minorEastAsia" w:hAnsiTheme="minorEastAsia"/>
                <w:szCs w:val="21"/>
                <w:lang w:val="en-US" w:eastAsia="zh-CN"/>
              </w:rPr>
              <w:t>服务能力</w:t>
            </w:r>
          </w:p>
          <w:p>
            <w:pPr>
              <w:spacing w:line="360" w:lineRule="auto"/>
              <w:jc w:val="center"/>
              <w:rPr>
                <w:rFonts w:hint="eastAsia" w:asciiTheme="minorEastAsia" w:hAnsiTheme="minorEastAsia"/>
                <w:szCs w:val="21"/>
              </w:rPr>
            </w:pPr>
            <w:r>
              <w:rPr>
                <w:rFonts w:hint="eastAsia" w:asciiTheme="minorEastAsia" w:hAnsiTheme="minorEastAsia"/>
                <w:szCs w:val="21"/>
                <w:lang w:val="en-US" w:eastAsia="zh-CN"/>
              </w:rPr>
              <w:t>（5）</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inorEastAsia" w:hAnsiTheme="minorEastAsia"/>
                <w:szCs w:val="21"/>
              </w:rPr>
            </w:pPr>
            <w:r>
              <w:rPr>
                <w:rFonts w:hint="eastAsia" w:asciiTheme="minorEastAsia" w:hAnsiTheme="minorEastAsia"/>
                <w:szCs w:val="21"/>
              </w:rPr>
              <w:t>投标人具有实验室分析能力</w:t>
            </w:r>
            <w:r>
              <w:rPr>
                <w:rFonts w:hint="eastAsia" w:asciiTheme="minorEastAsia" w:hAnsiTheme="minorEastAsia"/>
                <w:szCs w:val="21"/>
                <w:lang w:eastAsia="zh-CN"/>
              </w:rPr>
              <w:t>（常规五参数（水温、pH值、溶解氧、电导率、浊度）、氨氮、高锰酸盐指数、总氮、总磷共9个参数）</w:t>
            </w:r>
            <w:r>
              <w:rPr>
                <w:rFonts w:hint="eastAsia" w:asciiTheme="minorEastAsia" w:hAnsiTheme="minorEastAsia"/>
                <w:szCs w:val="21"/>
              </w:rPr>
              <w:t>及手工比较、检测能力的得</w:t>
            </w:r>
            <w:r>
              <w:rPr>
                <w:rFonts w:hint="eastAsia" w:asciiTheme="minorEastAsia" w:hAnsiTheme="minorEastAsia"/>
                <w:szCs w:val="21"/>
                <w:lang w:val="en-US" w:eastAsia="zh-CN"/>
              </w:rPr>
              <w:t>5</w:t>
            </w:r>
            <w:r>
              <w:rPr>
                <w:rFonts w:hint="eastAsia" w:asciiTheme="minorEastAsia" w:hAnsiTheme="minorEastAsia"/>
                <w:szCs w:val="21"/>
              </w:rPr>
              <w:t>分</w:t>
            </w:r>
            <w:r>
              <w:rPr>
                <w:rFonts w:hint="eastAsia" w:asciiTheme="minorEastAsia" w:hAnsiTheme="minorEastAsia"/>
                <w:szCs w:val="21"/>
                <w:lang w:eastAsia="zh-CN"/>
              </w:rPr>
              <w:t>，</w:t>
            </w:r>
            <w:r>
              <w:rPr>
                <w:rFonts w:hint="eastAsia" w:asciiTheme="minorEastAsia" w:hAnsiTheme="minorEastAsia"/>
                <w:szCs w:val="21"/>
              </w:rPr>
              <w:t>需要提供</w:t>
            </w:r>
            <w:r>
              <w:rPr>
                <w:rFonts w:hint="eastAsia" w:asciiTheme="minorEastAsia" w:hAnsiTheme="minorEastAsia"/>
                <w:szCs w:val="21"/>
                <w:lang w:eastAsia="zh-CN"/>
              </w:rPr>
              <w:t>（</w:t>
            </w:r>
            <w:r>
              <w:rPr>
                <w:rFonts w:hint="eastAsia" w:asciiTheme="minorEastAsia" w:hAnsiTheme="minorEastAsia"/>
                <w:szCs w:val="21"/>
                <w:lang w:val="en-US" w:eastAsia="zh-CN"/>
              </w:rPr>
              <w:t>实验室CMA认证证书及能力附表原件扫描件</w:t>
            </w:r>
            <w:r>
              <w:rPr>
                <w:rFonts w:hint="eastAsia" w:asciiTheme="minorEastAsia" w:hAnsiTheme="minorEastAsia"/>
                <w:szCs w:val="21"/>
                <w:lang w:eastAsia="zh-CN"/>
              </w:rPr>
              <w:t>）</w:t>
            </w:r>
            <w:r>
              <w:rPr>
                <w:rFonts w:hint="eastAsia" w:asciiTheme="minorEastAsia" w:hAnsiTheme="minorEastAsia"/>
                <w:szCs w:val="21"/>
                <w:lang w:val="en-US" w:eastAsia="zh-CN"/>
              </w:rPr>
              <w:t>不提供不得分</w:t>
            </w:r>
            <w:r>
              <w:rPr>
                <w:rFonts w:hint="eastAsia" w:asciiTheme="minorEastAsia" w:hAnsiTheme="minorEastAsia"/>
                <w:szCs w:val="21"/>
              </w:rPr>
              <w:t>。</w:t>
            </w:r>
          </w:p>
        </w:tc>
      </w:tr>
    </w:tbl>
    <w:p>
      <w:pPr>
        <w:spacing w:line="360" w:lineRule="auto"/>
        <w:ind w:firstLine="422" w:firstLineChars="200"/>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color w:val="auto"/>
                <w:szCs w:val="21"/>
                <w:lang w:val="en-GB"/>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tc>
        <w:tc>
          <w:tcPr>
            <w:tcW w:w="2835" w:type="dxa"/>
            <w:vMerge w:val="restart"/>
            <w:shd w:val="clear" w:color="auto" w:fill="auto"/>
            <w:vAlign w:val="center"/>
          </w:tcPr>
          <w:p>
            <w:pPr>
              <w:jc w:val="center"/>
              <w:rPr>
                <w:color w:val="auto"/>
                <w:szCs w:val="21"/>
                <w:lang w:val="en-GB"/>
              </w:rPr>
            </w:pPr>
            <w:r>
              <w:rPr>
                <w:rFonts w:hint="eastAsia"/>
                <w:color w:val="auto"/>
                <w:szCs w:val="21"/>
                <w:lang w:val="en-GB"/>
              </w:rPr>
              <w:t>评标价格＝投标报价—</w:t>
            </w:r>
            <w:r>
              <w:rPr>
                <w:rFonts w:hint="eastAsia"/>
                <w:color w:val="auto"/>
                <w:szCs w:val="21"/>
              </w:rPr>
              <w:t>小型和微型企业产品的价格</w:t>
            </w:r>
            <w:r>
              <w:rPr>
                <w:rFonts w:hint="eastAsia" w:ascii="宋体" w:hAnsi="宋体"/>
                <w:color w:val="auto"/>
                <w:szCs w:val="21"/>
                <w:lang w:val="en-GB"/>
              </w:rPr>
              <w:t>×</w:t>
            </w:r>
            <w:r>
              <w:rPr>
                <w:rFonts w:hint="eastAsia"/>
                <w:color w:val="auto"/>
                <w:szCs w:val="21"/>
                <w:lang w:val="en-GB"/>
              </w:rPr>
              <w:t>10%</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color w:val="auto"/>
                <w:szCs w:val="21"/>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p>
            <w:pPr>
              <w:jc w:val="center"/>
              <w:rPr>
                <w:rFonts w:ascii="宋体" w:hAnsi="宋体"/>
                <w:b/>
                <w:color w:val="auto"/>
                <w:szCs w:val="21"/>
                <w:lang w:val="en-GB"/>
              </w:rPr>
            </w:pPr>
            <w:r>
              <w:rPr>
                <w:rFonts w:hint="eastAsia" w:ascii="宋体" w:hAnsi="宋体"/>
                <w:color w:val="auto"/>
                <w:szCs w:val="21"/>
              </w:rPr>
              <w:t>（不再享受序号3的价格折扣）</w:t>
            </w:r>
          </w:p>
        </w:tc>
        <w:tc>
          <w:tcPr>
            <w:tcW w:w="2835" w:type="dxa"/>
            <w:vMerge w:val="continue"/>
            <w:shd w:val="clear" w:color="auto" w:fill="auto"/>
          </w:tcPr>
          <w:p>
            <w:pPr>
              <w:rPr>
                <w:rFonts w:ascii="宋体" w:hAnsi="宋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对联合体总金额扣除</w:t>
            </w:r>
          </w:p>
          <w:p>
            <w:pPr>
              <w:jc w:val="center"/>
              <w:rPr>
                <w:rFonts w:ascii="宋体" w:hAnsi="宋体"/>
                <w:b/>
                <w:color w:val="auto"/>
                <w:szCs w:val="21"/>
                <w:lang w:val="en-GB"/>
              </w:rPr>
            </w:pPr>
            <w:r>
              <w:rPr>
                <w:rFonts w:hint="eastAsia" w:ascii="宋体" w:hAnsi="宋体"/>
                <w:color w:val="auto"/>
                <w:szCs w:val="21"/>
                <w:u w:val="single"/>
              </w:rPr>
              <w:t xml:space="preserve"> </w:t>
            </w:r>
            <w:r>
              <w:rPr>
                <w:rFonts w:ascii="宋体" w:hAnsi="宋体"/>
                <w:color w:val="auto"/>
                <w:szCs w:val="21"/>
                <w:u w:val="single"/>
              </w:rPr>
              <w:t>2</w:t>
            </w:r>
            <w:r>
              <w:rPr>
                <w:rFonts w:hint="eastAsia" w:ascii="宋体" w:hAnsi="宋体"/>
                <w:color w:val="auto"/>
                <w:szCs w:val="21"/>
                <w:u w:val="single"/>
              </w:rPr>
              <w:t xml:space="preserve"> </w:t>
            </w:r>
            <w:r>
              <w:rPr>
                <w:rFonts w:hint="eastAsia" w:ascii="宋体" w:hAnsi="宋体"/>
                <w:color w:val="auto"/>
                <w:szCs w:val="21"/>
              </w:rPr>
              <w:t>%</w:t>
            </w:r>
          </w:p>
        </w:tc>
        <w:tc>
          <w:tcPr>
            <w:tcW w:w="2835" w:type="dxa"/>
            <w:shd w:val="clear" w:color="auto" w:fill="auto"/>
            <w:vAlign w:val="center"/>
          </w:tcPr>
          <w:p>
            <w:pPr>
              <w:jc w:val="center"/>
              <w:rPr>
                <w:rFonts w:ascii="宋体" w:hAnsi="宋体"/>
                <w:color w:val="auto"/>
                <w:szCs w:val="21"/>
                <w:u w:val="single"/>
              </w:rPr>
            </w:pPr>
            <w:r>
              <w:rPr>
                <w:rFonts w:hint="eastAsia" w:ascii="宋体" w:hAnsi="宋体"/>
                <w:color w:val="auto"/>
                <w:szCs w:val="21"/>
                <w:lang w:val="en-GB"/>
              </w:rPr>
              <w:t>评标价格＝投标报价×</w:t>
            </w:r>
            <w:r>
              <w:rPr>
                <w:rFonts w:hint="eastAsia" w:ascii="宋体" w:hAnsi="宋体"/>
                <w:color w:val="auto"/>
                <w:szCs w:val="21"/>
              </w:rPr>
              <w:t>(1-</w:t>
            </w:r>
            <w:r>
              <w:rPr>
                <w:rFonts w:ascii="宋体" w:hAnsi="宋体"/>
                <w:color w:val="auto"/>
                <w:szCs w:val="21"/>
                <w:u w:val="single"/>
              </w:rPr>
              <w:t>2</w:t>
            </w:r>
            <w:r>
              <w:rPr>
                <w:rFonts w:hint="eastAsia" w:ascii="宋体" w:hAnsi="宋体"/>
                <w:color w:val="auto"/>
                <w:szCs w:val="21"/>
                <w:u w:val="single"/>
              </w:rPr>
              <w:t>%)</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1"/>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7" w:name="_Toc186274126"/>
      <w:bookmarkStart w:id="8" w:name="_Toc184023138"/>
      <w:bookmarkStart w:id="9" w:name="_Toc174185203"/>
      <w:r>
        <w:rPr>
          <w:rFonts w:hint="eastAsia" w:cs="黑体" w:asciiTheme="minorEastAsia" w:hAnsiTheme="minorEastAsia" w:eastAsiaTheme="minorEastAsia"/>
          <w:color w:val="auto"/>
          <w:kern w:val="2"/>
          <w:sz w:val="28"/>
          <w:szCs w:val="28"/>
          <w:lang w:val="zh-CN"/>
        </w:rPr>
        <w:t>一、投标人应答索引表</w:t>
      </w:r>
      <w:bookmarkEnd w:id="7"/>
      <w:bookmarkEnd w:id="8"/>
      <w:bookmarkEnd w:id="9"/>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3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3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致：许昌市政府采购服务中心</w:t>
      </w:r>
    </w:p>
    <w:p>
      <w:pPr>
        <w:adjustRightInd w:val="0"/>
        <w:spacing w:line="360" w:lineRule="auto"/>
        <w:ind w:firstLine="420" w:firstLineChars="200"/>
        <w:contextualSpacing/>
        <w:outlineLvl w:val="0"/>
        <w:rPr>
          <w:rFonts w:asciiTheme="minorEastAsia" w:hAnsiTheme="minorEastAsia"/>
          <w:snapToGrid w:val="0"/>
          <w:color w:val="auto"/>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w:t>
      </w:r>
      <w:r>
        <w:rPr>
          <w:rFonts w:hint="eastAsia" w:asciiTheme="minorEastAsia" w:hAnsiTheme="minorEastAsia"/>
          <w:snapToGrid w:val="0"/>
          <w:color w:val="auto"/>
          <w:kern w:val="0"/>
          <w:szCs w:val="21"/>
        </w:rPr>
        <w:t>代表投标人</w:t>
      </w:r>
      <w:r>
        <w:rPr>
          <w:rFonts w:hint="eastAsia" w:asciiTheme="minorEastAsia" w:hAnsiTheme="minorEastAsia"/>
          <w:snapToGrid w:val="0"/>
          <w:color w:val="auto"/>
          <w:kern w:val="0"/>
          <w:szCs w:val="21"/>
          <w:u w:val="single"/>
        </w:rPr>
        <w:t xml:space="preserve">         </w:t>
      </w:r>
      <w:r>
        <w:rPr>
          <w:rFonts w:hint="eastAsia" w:asciiTheme="minorEastAsia" w:hAnsiTheme="minorEastAsia"/>
          <w:snapToGrid w:val="0"/>
          <w:color w:val="auto"/>
          <w:kern w:val="0"/>
          <w:szCs w:val="21"/>
        </w:rPr>
        <w:t>（投标人名称、地址）提交。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color w:val="auto"/>
          <w:kern w:val="0"/>
          <w:sz w:val="21"/>
          <w:szCs w:val="21"/>
        </w:rPr>
      </w:pPr>
      <w:r>
        <w:rPr>
          <w:rFonts w:hint="eastAsia" w:asciiTheme="minorEastAsia" w:hAnsiTheme="minorEastAsia" w:eastAsiaTheme="minorEastAsia"/>
          <w:snapToGrid w:val="0"/>
          <w:color w:val="auto"/>
          <w:kern w:val="0"/>
          <w:sz w:val="21"/>
          <w:szCs w:val="21"/>
        </w:rPr>
        <w:t>我方确认收到贵方提供的</w:t>
      </w:r>
      <w:r>
        <w:rPr>
          <w:rFonts w:asciiTheme="minorEastAsia" w:hAnsiTheme="minorEastAsia" w:eastAsiaTheme="minorEastAsia"/>
          <w:snapToGrid w:val="0"/>
          <w:color w:val="auto"/>
          <w:kern w:val="0"/>
          <w:sz w:val="21"/>
          <w:szCs w:val="21"/>
          <w:u w:val="single"/>
        </w:rPr>
        <w:t xml:space="preserve">  </w:t>
      </w:r>
      <w:r>
        <w:rPr>
          <w:rFonts w:hint="eastAsia" w:asciiTheme="minorEastAsia" w:hAnsiTheme="minorEastAsia" w:eastAsiaTheme="minorEastAsia"/>
          <w:snapToGrid w:val="0"/>
          <w:color w:val="auto"/>
          <w:kern w:val="0"/>
          <w:sz w:val="21"/>
          <w:szCs w:val="21"/>
          <w:u w:val="single"/>
        </w:rPr>
        <w:t xml:space="preserve">           </w:t>
      </w:r>
      <w:r>
        <w:rPr>
          <w:rFonts w:asciiTheme="minorEastAsia" w:hAnsiTheme="minorEastAsia" w:eastAsiaTheme="minorEastAsia"/>
          <w:snapToGrid w:val="0"/>
          <w:color w:val="auto"/>
          <w:kern w:val="0"/>
          <w:sz w:val="21"/>
          <w:szCs w:val="21"/>
          <w:u w:val="single"/>
        </w:rPr>
        <w:t xml:space="preserve">  </w:t>
      </w:r>
      <w:r>
        <w:rPr>
          <w:rFonts w:hint="eastAsia" w:asciiTheme="minorEastAsia" w:hAnsiTheme="minorEastAsia" w:eastAsiaTheme="minorEastAsia"/>
          <w:snapToGrid w:val="0"/>
          <w:color w:val="auto"/>
          <w:kern w:val="0"/>
          <w:sz w:val="21"/>
          <w:szCs w:val="21"/>
        </w:rPr>
        <w:t>（项目名称、招标编号）招标文件的全部内容。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color w:val="auto"/>
          <w:kern w:val="0"/>
          <w:sz w:val="21"/>
          <w:szCs w:val="21"/>
        </w:rPr>
      </w:pPr>
      <w:r>
        <w:rPr>
          <w:rFonts w:hint="eastAsia" w:asciiTheme="minorEastAsia" w:hAnsiTheme="minorEastAsia" w:eastAsiaTheme="minorEastAsia"/>
          <w:snapToGrid w:val="0"/>
          <w:color w:val="auto"/>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auto"/>
          <w:sz w:val="21"/>
          <w:szCs w:val="21"/>
        </w:rPr>
        <w:t>已完全理解并接受招标文件的各项规定和要求及资金支付规定，对招标文件的合理性、合法性不再有异议，</w:t>
      </w:r>
      <w:r>
        <w:rPr>
          <w:rFonts w:hint="eastAsia" w:ascii="宋体" w:hAnsi="宋体"/>
          <w:color w:val="auto"/>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邮政编码：</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传    真：</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w:t>
      </w:r>
      <w:r>
        <w:rPr>
          <w:rFonts w:hint="eastAsia" w:cs="宋体" w:asciiTheme="minorEastAsia" w:hAnsiTheme="minorEastAsia"/>
          <w:szCs w:val="21"/>
          <w:u w:val="single"/>
        </w:rPr>
        <w:t xml:space="preserve">               </w:t>
      </w:r>
      <w:r>
        <w:rPr>
          <w:rFonts w:hint="eastAsia" w:cs="宋体" w:asciiTheme="minorEastAsia" w:hAnsiTheme="minorEastAsia"/>
          <w:szCs w:val="21"/>
        </w:rPr>
        <w:t>.  职    务：</w:t>
      </w:r>
      <w:r>
        <w:rPr>
          <w:rFonts w:hint="eastAsia" w:cs="宋体" w:asciiTheme="minorEastAsia" w:hAnsiTheme="minorEastAsia"/>
          <w:szCs w:val="21"/>
          <w:u w:val="single"/>
        </w:rPr>
        <w:t xml:space="preserve">                 </w:t>
      </w:r>
      <w:r>
        <w:rPr>
          <w:rFonts w:hint="eastAsia" w:cs="宋体" w:asciiTheme="minorEastAsia" w:hAnsiTheme="minorEastAsia"/>
          <w:szCs w:val="21"/>
        </w:rPr>
        <w:t>.</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widowControl/>
        <w:jc w:val="left"/>
        <w:rPr>
          <w:rFonts w:asciiTheme="majorEastAsia" w:hAnsiTheme="majorEastAsia" w:eastAsiaTheme="majorEastAsia"/>
          <w:b/>
          <w:bCs/>
          <w:color w:val="000000"/>
          <w:sz w:val="24"/>
          <w:szCs w:val="24"/>
        </w:rPr>
      </w:pPr>
      <w:r>
        <w:rPr>
          <w:rFonts w:asciiTheme="majorEastAsia" w:hAnsiTheme="majorEastAsia" w:eastAsiaTheme="majorEastAsia"/>
          <w:b/>
          <w:bCs/>
          <w:color w:val="000000"/>
          <w:sz w:val="24"/>
          <w:szCs w:val="24"/>
        </w:rPr>
        <w:br w:type="page"/>
      </w: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2"/>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2"/>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000000"/>
          <w:sz w:val="21"/>
          <w:szCs w:val="21"/>
        </w:rPr>
        <w:t>本人</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系</w:t>
      </w:r>
      <w:r>
        <w:rPr>
          <w:rFonts w:hint="eastAsia" w:asciiTheme="minorEastAsia" w:hAnsiTheme="minorEastAsia"/>
          <w:color w:val="000000"/>
          <w:sz w:val="21"/>
          <w:szCs w:val="21"/>
          <w:u w:val="single"/>
        </w:rPr>
        <w:t xml:space="preserve">  </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i/>
          <w:snapToGrid w:val="0"/>
          <w:sz w:val="21"/>
          <w:szCs w:val="21"/>
          <w:u w:val="single"/>
        </w:rPr>
        <w:t xml:space="preserve">  </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项目编号</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的</w:t>
      </w:r>
      <w:r>
        <w:rPr>
          <w:rFonts w:hint="eastAsia" w:asciiTheme="minorEastAsia" w:hAnsiTheme="minorEastAsia"/>
          <w:color w:val="000000"/>
          <w:sz w:val="21"/>
          <w:szCs w:val="21"/>
          <w:u w:val="single"/>
        </w:rPr>
        <w:t xml:space="preserve">  </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i/>
          <w:color w:val="000000"/>
          <w:sz w:val="21"/>
          <w:szCs w:val="21"/>
          <w:u w:val="single"/>
        </w:rPr>
        <w:t xml:space="preserve"> </w:t>
      </w:r>
      <w:r>
        <w:rPr>
          <w:rFonts w:hint="eastAsia" w:asciiTheme="minorEastAsia" w:hAnsiTheme="minorEastAsia"/>
          <w:color w:val="000000"/>
          <w:sz w:val="21"/>
          <w:szCs w:val="21"/>
          <w:u w:val="single"/>
        </w:rPr>
        <w:t xml:space="preserve">   </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w:t>
      </w:r>
      <w:r>
        <w:rPr>
          <w:rFonts w:hint="eastAsia" w:asciiTheme="minorEastAsia" w:hAnsiTheme="minorEastAsia"/>
          <w:color w:val="auto"/>
          <w:sz w:val="21"/>
          <w:szCs w:val="21"/>
        </w:rPr>
        <w:t>修，</w:t>
      </w:r>
      <w:r>
        <w:rPr>
          <w:rFonts w:asciiTheme="minorEastAsia" w:hAnsiTheme="minorEastAsia"/>
          <w:color w:val="auto"/>
          <w:sz w:val="21"/>
          <w:szCs w:val="21"/>
        </w:rPr>
        <w:t>签</w:t>
      </w:r>
      <w:r>
        <w:rPr>
          <w:rFonts w:hint="eastAsia" w:asciiTheme="minorEastAsia" w:hAnsiTheme="minorEastAsia"/>
          <w:color w:val="auto"/>
          <w:sz w:val="21"/>
          <w:szCs w:val="21"/>
        </w:rPr>
        <w:t>署合同和</w:t>
      </w:r>
      <w:r>
        <w:rPr>
          <w:rFonts w:asciiTheme="minorEastAsia" w:hAnsiTheme="minorEastAsia"/>
          <w:color w:val="auto"/>
          <w:sz w:val="21"/>
          <w:szCs w:val="21"/>
        </w:rPr>
        <w:t>处</w:t>
      </w:r>
      <w:r>
        <w:rPr>
          <w:rFonts w:hint="eastAsia" w:asciiTheme="minorEastAsia" w:hAnsiTheme="minorEastAsia"/>
          <w:color w:val="auto"/>
          <w:sz w:val="21"/>
          <w:szCs w:val="21"/>
        </w:rPr>
        <w:t>理与之有</w:t>
      </w:r>
      <w:r>
        <w:rPr>
          <w:rFonts w:asciiTheme="minorEastAsia" w:hAnsiTheme="minorEastAsia"/>
          <w:color w:val="auto"/>
          <w:sz w:val="21"/>
          <w:szCs w:val="21"/>
        </w:rPr>
        <w:t>关的</w:t>
      </w:r>
      <w:r>
        <w:rPr>
          <w:rFonts w:hint="eastAsia" w:asciiTheme="minorEastAsia" w:hAnsiTheme="minorEastAsia"/>
          <w:color w:val="auto"/>
          <w:sz w:val="21"/>
          <w:szCs w:val="21"/>
        </w:rPr>
        <w:t>一切事</w:t>
      </w:r>
      <w:r>
        <w:rPr>
          <w:rFonts w:asciiTheme="minorEastAsia" w:hAnsiTheme="minorEastAsia"/>
          <w:color w:val="auto"/>
          <w:sz w:val="21"/>
          <w:szCs w:val="21"/>
        </w:rPr>
        <w:t>务</w:t>
      </w:r>
      <w:r>
        <w:rPr>
          <w:rFonts w:hint="eastAsia" w:asciiTheme="minorEastAsia" w:hAnsiTheme="minorEastAsia"/>
          <w:color w:val="auto"/>
          <w:sz w:val="21"/>
          <w:szCs w:val="21"/>
        </w:rPr>
        <w:t>。</w:t>
      </w:r>
    </w:p>
    <w:p>
      <w:pPr>
        <w:pStyle w:val="42"/>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特此</w:t>
      </w:r>
      <w:r>
        <w:rPr>
          <w:rFonts w:asciiTheme="minorEastAsia" w:hAnsiTheme="minorEastAsia"/>
          <w:color w:val="auto"/>
          <w:sz w:val="21"/>
          <w:szCs w:val="21"/>
        </w:rPr>
        <w:t>证</w:t>
      </w:r>
      <w:r>
        <w:rPr>
          <w:rFonts w:hint="eastAsia" w:asciiTheme="minorEastAsia" w:hAnsiTheme="minorEastAsia"/>
          <w:color w:val="auto"/>
          <w:sz w:val="21"/>
          <w:szCs w:val="21"/>
        </w:rPr>
        <w:t>明。</w:t>
      </w:r>
    </w:p>
    <w:p>
      <w:pPr>
        <w:pStyle w:val="42"/>
        <w:spacing w:line="480" w:lineRule="auto"/>
        <w:ind w:firstLine="540" w:firstLineChars="225"/>
        <w:jc w:val="left"/>
        <w:rPr>
          <w:rFonts w:asciiTheme="minorEastAsia" w:hAnsiTheme="minorEastAsia"/>
          <w:color w:val="auto"/>
          <w:sz w:val="21"/>
          <w:szCs w:val="21"/>
        </w:rPr>
      </w:pPr>
      <w:r>
        <w:rPr>
          <w:rFonts w:hint="eastAsia" w:asciiTheme="minorEastAsia" w:hAnsiTheme="minorEastAsia"/>
          <w:color w:val="auto"/>
          <w:szCs w:val="21"/>
        </w:rPr>
        <w:t>法定代表人（单位负责人）联系电话（手机）：</w:t>
      </w:r>
    </w:p>
    <w:p>
      <w:pPr>
        <w:pStyle w:val="42"/>
        <w:spacing w:line="480" w:lineRule="auto"/>
        <w:ind w:firstLine="472" w:firstLineChars="225"/>
        <w:jc w:val="left"/>
        <w:rPr>
          <w:rFonts w:asciiTheme="minorEastAsia" w:hAnsiTheme="minorEastAsia"/>
          <w:color w:val="auto"/>
          <w:sz w:val="21"/>
          <w:szCs w:val="21"/>
        </w:rPr>
      </w:pPr>
    </w:p>
    <w:p>
      <w:pPr>
        <w:pStyle w:val="42"/>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2"/>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r>
        <w:rPr>
          <w:rFonts w:hint="eastAsia" w:cs="Arial" w:asciiTheme="minorEastAsia" w:hAnsiTheme="minorEastAsia"/>
          <w:color w:val="000000"/>
          <w:szCs w:val="21"/>
          <w:u w:val="single"/>
        </w:rPr>
        <w:t xml:space="preserve">        </w:t>
      </w:r>
      <w:r>
        <w:rPr>
          <w:rFonts w:hint="eastAsia" w:cs="Arial" w:asciiTheme="minorEastAsia" w:hAnsiTheme="minorEastAsia"/>
          <w:color w:val="000000"/>
          <w:szCs w:val="21"/>
        </w:rPr>
        <w:t xml:space="preserve"> </w:t>
      </w:r>
    </w:p>
    <w:p>
      <w:pPr>
        <w:pStyle w:val="45"/>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年 </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月</w:t>
      </w:r>
      <w:r>
        <w:rPr>
          <w:rFonts w:hint="eastAsia" w:cs="Arial" w:asciiTheme="minorEastAsia" w:hAnsiTheme="minorEastAsia" w:eastAsiaTheme="minorEastAsia"/>
          <w:color w:val="000000"/>
          <w:sz w:val="21"/>
          <w:szCs w:val="21"/>
          <w:u w:val="single"/>
        </w:rPr>
        <w:t xml:space="preserve">    </w:t>
      </w:r>
      <w:r>
        <w:rPr>
          <w:rFonts w:hint="eastAsia" w:cs="Arial" w:asciiTheme="minorEastAsia" w:hAnsiTheme="minorEastAsia" w:eastAsiaTheme="minorEastAsia"/>
          <w:color w:val="000000"/>
          <w:sz w:val="21"/>
          <w:szCs w:val="21"/>
        </w:rPr>
        <w:t xml:space="preserve"> 日</w:t>
      </w:r>
    </w:p>
    <w:p>
      <w:pPr>
        <w:pStyle w:val="44"/>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asciiTheme="minorEastAsia" w:hAnsiTheme="minorEastAsia"/>
          <w:szCs w:val="21"/>
        </w:rPr>
        <w:t xml:space="preserve"> </w:t>
      </w: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u w:val="single"/>
        </w:rPr>
        <w:t xml:space="preserve">  </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u w:val="single"/>
        </w:rPr>
        <w:t xml:space="preserve">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u w:val="single"/>
        </w:rPr>
        <w:t xml:space="preserve">    </w:t>
      </w:r>
      <w:r>
        <w:rPr>
          <w:rFonts w:hint="eastAsia" w:cs="Arial" w:asciiTheme="minorEastAsia" w:hAnsiTheme="minorEastAsia"/>
          <w:szCs w:val="21"/>
        </w:rPr>
        <w:t>以我方的名义参加贵方</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项目编号</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i/>
          <w:color w:val="000000"/>
          <w:szCs w:val="21"/>
          <w:u w:val="single"/>
        </w:rPr>
        <w:t>项目</w:t>
      </w:r>
      <w:r>
        <w:rPr>
          <w:rFonts w:hint="eastAsia" w:asciiTheme="minorEastAsia" w:hAnsiTheme="minorEastAsia"/>
          <w:i/>
          <w:color w:val="000000"/>
          <w:szCs w:val="21"/>
          <w:u w:val="single"/>
        </w:rPr>
        <w:t>名</w:t>
      </w:r>
      <w:r>
        <w:rPr>
          <w:rFonts w:asciiTheme="minorEastAsia" w:hAnsiTheme="minorEastAsia"/>
          <w:i/>
          <w:color w:val="000000"/>
          <w:szCs w:val="21"/>
          <w:u w:val="single"/>
        </w:rPr>
        <w:t>称</w:t>
      </w:r>
      <w:r>
        <w:rPr>
          <w:rFonts w:hint="eastAsia" w:asciiTheme="minorEastAsia" w:hAnsiTheme="minorEastAsia"/>
          <w:i/>
          <w:color w:val="000000"/>
          <w:szCs w:val="21"/>
          <w:u w:val="single"/>
        </w:rPr>
        <w:t xml:space="preserve"> </w:t>
      </w:r>
      <w:r>
        <w:rPr>
          <w:rFonts w:hint="eastAsia" w:asciiTheme="minorEastAsia" w:hAnsiTheme="minorEastAsia"/>
          <w:color w:val="000000"/>
          <w:szCs w:val="21"/>
          <w:u w:val="single"/>
        </w:rPr>
        <w:t xml:space="preserve">   </w:t>
      </w:r>
      <w:r>
        <w:rPr>
          <w:rFonts w:hint="eastAsia" w:cs="Arial" w:asciiTheme="minorEastAsia" w:hAnsiTheme="minorEastAsia"/>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 xml:space="preserve">法定代表人（单位负责人）： </w:t>
      </w:r>
      <w:r>
        <w:rPr>
          <w:rFonts w:hint="eastAsia" w:cs="Arial" w:asciiTheme="minorEastAsia" w:hAnsiTheme="minorEastAsia"/>
          <w:szCs w:val="21"/>
          <w:u w:val="single"/>
        </w:rPr>
        <w:t xml:space="preserve">             </w:t>
      </w:r>
      <w:r>
        <w:rPr>
          <w:rFonts w:hint="eastAsia" w:cs="Arial" w:asciiTheme="minorEastAsia" w:hAnsiTheme="minorEastAsia"/>
          <w:szCs w:val="21"/>
        </w:rPr>
        <w:t>（签名或加盖名章）</w:t>
      </w:r>
    </w:p>
    <w:p>
      <w:pPr>
        <w:spacing w:line="480" w:lineRule="auto"/>
        <w:ind w:firstLine="420" w:firstLineChars="200"/>
        <w:rPr>
          <w:rFonts w:hint="eastAsia" w:asciiTheme="minorEastAsia" w:hAnsiTheme="minorEastAsia"/>
          <w:color w:val="auto"/>
          <w:szCs w:val="21"/>
        </w:rPr>
      </w:pPr>
      <w:r>
        <w:rPr>
          <w:rFonts w:hint="eastAsia" w:cs="Arial" w:asciiTheme="minorEastAsia" w:hAnsiTheme="minorEastAsia"/>
          <w:szCs w:val="21"/>
        </w:rPr>
        <w:t>法定</w:t>
      </w:r>
      <w:r>
        <w:rPr>
          <w:rFonts w:hint="eastAsia" w:cs="Arial" w:asciiTheme="minorEastAsia" w:hAnsiTheme="minorEastAsia"/>
          <w:color w:val="auto"/>
          <w:szCs w:val="21"/>
        </w:rPr>
        <w:t>代表人（单位负责人）</w:t>
      </w:r>
      <w:r>
        <w:rPr>
          <w:rFonts w:hint="eastAsia" w:asciiTheme="minorEastAsia" w:hAnsiTheme="minorEastAsia"/>
          <w:color w:val="auto"/>
          <w:szCs w:val="21"/>
        </w:rPr>
        <w:t xml:space="preserve">授权代表： </w:t>
      </w:r>
      <w:r>
        <w:rPr>
          <w:rFonts w:hint="eastAsia" w:asciiTheme="minorEastAsia" w:hAnsiTheme="minorEastAsia"/>
          <w:color w:val="auto"/>
          <w:szCs w:val="21"/>
          <w:u w:val="single"/>
        </w:rPr>
        <w:t xml:space="preserve">         </w:t>
      </w:r>
      <w:r>
        <w:rPr>
          <w:rFonts w:hint="eastAsia" w:asciiTheme="minorEastAsia" w:hAnsiTheme="minorEastAsia"/>
          <w:color w:val="auto"/>
          <w:szCs w:val="21"/>
        </w:rPr>
        <w:t xml:space="preserve"> （</w:t>
      </w:r>
      <w:r>
        <w:rPr>
          <w:rFonts w:hint="eastAsia" w:cs="Arial" w:asciiTheme="minorEastAsia" w:hAnsiTheme="minorEastAsia"/>
          <w:color w:val="auto"/>
          <w:szCs w:val="21"/>
        </w:rPr>
        <w:t>签名或加盖名章</w:t>
      </w:r>
      <w:r>
        <w:rPr>
          <w:rFonts w:hint="eastAsia" w:asciiTheme="minorEastAsia" w:hAnsiTheme="minorEastAsia"/>
          <w:color w:val="auto"/>
          <w:szCs w:val="21"/>
        </w:rPr>
        <w:t>）</w:t>
      </w:r>
    </w:p>
    <w:p>
      <w:pPr>
        <w:spacing w:line="480" w:lineRule="auto"/>
        <w:ind w:firstLine="420" w:firstLineChars="200"/>
        <w:rPr>
          <w:rFonts w:asciiTheme="minorEastAsia" w:hAnsiTheme="minorEastAsia"/>
          <w:color w:val="auto"/>
          <w:szCs w:val="21"/>
        </w:rPr>
      </w:pPr>
      <w:r>
        <w:rPr>
          <w:rFonts w:hint="eastAsia" w:asciiTheme="minorEastAsia" w:hAnsiTheme="minorEastAsia"/>
          <w:color w:val="auto"/>
          <w:szCs w:val="21"/>
        </w:rPr>
        <w:t>法定代表人（单位负责人）授权代表联系电话（手机）：</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10" w:name="_资格证明文件"/>
            <w:bookmarkEnd w:id="10"/>
            <w:bookmarkStart w:id="11"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1"/>
          </w:p>
        </w:tc>
        <w:tc>
          <w:tcPr>
            <w:tcW w:w="4492" w:type="dxa"/>
            <w:gridSpan w:val="2"/>
            <w:vAlign w:val="center"/>
          </w:tcPr>
          <w:p>
            <w:pPr>
              <w:jc w:val="center"/>
              <w:rPr>
                <w:rFonts w:asciiTheme="minorEastAsia" w:hAnsiTheme="minorEastAsia"/>
                <w:szCs w:val="21"/>
              </w:rPr>
            </w:pPr>
            <w:bookmarkStart w:id="12"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2"/>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许昌市政府采购服务中心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hint="eastAsia" w:cs="宋体" w:asciiTheme="minorEastAsia" w:hAnsiTheme="minorEastAsia"/>
          <w:szCs w:val="21"/>
          <w:u w:val="single"/>
          <w:lang w:val="zh-CN"/>
        </w:rPr>
        <w:t xml:space="preserve">  </w:t>
      </w:r>
      <w:r>
        <w:rPr>
          <w:rFonts w:hint="eastAsia" w:ascii="宋体" w:hAnsi="宋体" w:eastAsia="宋体" w:cs="宋体"/>
          <w:szCs w:val="21"/>
          <w:u w:val="single"/>
          <w:lang w:val="zh-CN"/>
        </w:rPr>
        <w:t xml:space="preserve"> </w:t>
      </w:r>
      <w:r>
        <w:rPr>
          <w:rFonts w:ascii="宋体" w:hAnsi="宋体" w:eastAsia="宋体" w:cs="宋体"/>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ascii="宋体" w:hAnsi="宋体" w:eastAsia="宋体" w:cs="宋体"/>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说明：所投产品环境标志产品认证证书。</w:t>
      </w:r>
    </w:p>
    <w:p>
      <w:pPr>
        <w:autoSpaceDE w:val="0"/>
        <w:autoSpaceDN w:val="0"/>
        <w:adjustRightInd w:val="0"/>
        <w:spacing w:line="360" w:lineRule="auto"/>
        <w:jc w:val="center"/>
        <w:outlineLvl w:val="0"/>
        <w:rPr>
          <w:rFonts w:hint="eastAsia"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3" w:name="OLE_LINK13"/>
      <w:bookmarkStart w:id="14" w:name="OLE_LINK14"/>
      <w:r>
        <w:rPr>
          <w:rFonts w:hint="eastAsia" w:ascii="宋体" w:hAnsi="宋体"/>
          <w:b/>
          <w:bCs/>
          <w:color w:val="000000"/>
          <w:sz w:val="24"/>
          <w:szCs w:val="24"/>
        </w:rPr>
        <w:t>4.10 残疾人福利性单位声明函</w:t>
      </w:r>
    </w:p>
    <w:bookmarkEnd w:id="13"/>
    <w:bookmarkEnd w:id="14"/>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24C020AC"/>
    <w:multiLevelType w:val="multilevel"/>
    <w:tmpl w:val="24C020AC"/>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9">
    <w:nsid w:val="2CC3004A"/>
    <w:multiLevelType w:val="multilevel"/>
    <w:tmpl w:val="2CC3004A"/>
    <w:lvl w:ilvl="0" w:tentative="0">
      <w:start w:val="35"/>
      <w:numFmt w:val="decimal"/>
      <w:lvlText w:val="%1"/>
      <w:lvlJc w:val="left"/>
      <w:pPr>
        <w:ind w:left="432" w:hanging="432"/>
      </w:pPr>
      <w:rPr>
        <w:rFonts w:hint="default"/>
      </w:rPr>
    </w:lvl>
    <w:lvl w:ilvl="1" w:tentative="0">
      <w:start w:val="1"/>
      <w:numFmt w:val="decimal"/>
      <w:lvlText w:val="%1.%2"/>
      <w:lvlJc w:val="left"/>
      <w:pPr>
        <w:ind w:left="852" w:hanging="432"/>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10">
    <w:nsid w:val="2D316A05"/>
    <w:multiLevelType w:val="multilevel"/>
    <w:tmpl w:val="2D316A05"/>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1">
    <w:nsid w:val="323440E3"/>
    <w:multiLevelType w:val="multilevel"/>
    <w:tmpl w:val="323440E3"/>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2">
    <w:nsid w:val="338E0164"/>
    <w:multiLevelType w:val="multilevel"/>
    <w:tmpl w:val="338E0164"/>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decimal"/>
      <w:lvlText w:val="%2)"/>
      <w:lvlJc w:val="left"/>
      <w:pPr>
        <w:tabs>
          <w:tab w:val="left" w:pos="780"/>
        </w:tabs>
        <w:ind w:left="780" w:hanging="36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3">
    <w:nsid w:val="3C20C472"/>
    <w:multiLevelType w:val="singleLevel"/>
    <w:tmpl w:val="3C20C472"/>
    <w:lvl w:ilvl="0" w:tentative="0">
      <w:start w:val="1"/>
      <w:numFmt w:val="decimal"/>
      <w:suff w:val="nothing"/>
      <w:lvlText w:val="%1、"/>
      <w:lvlJc w:val="left"/>
    </w:lvl>
  </w:abstractNum>
  <w:abstractNum w:abstractNumId="14">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0246CB1"/>
    <w:multiLevelType w:val="multilevel"/>
    <w:tmpl w:val="40246CB1"/>
    <w:lvl w:ilvl="0" w:tentative="0">
      <w:start w:val="34"/>
      <w:numFmt w:val="decimal"/>
      <w:lvlText w:val="%1"/>
      <w:lvlJc w:val="left"/>
      <w:pPr>
        <w:ind w:left="432" w:hanging="432"/>
      </w:pPr>
      <w:rPr>
        <w:rFonts w:hint="default"/>
      </w:rPr>
    </w:lvl>
    <w:lvl w:ilvl="1" w:tentative="0">
      <w:start w:val="7"/>
      <w:numFmt w:val="decimal"/>
      <w:lvlText w:val="%1.%2"/>
      <w:lvlJc w:val="left"/>
      <w:pPr>
        <w:ind w:left="1396" w:hanging="432"/>
      </w:pPr>
      <w:rPr>
        <w:rFonts w:hint="default"/>
      </w:rPr>
    </w:lvl>
    <w:lvl w:ilvl="2" w:tentative="0">
      <w:start w:val="1"/>
      <w:numFmt w:val="decimal"/>
      <w:lvlText w:val="%1.%2.%3"/>
      <w:lvlJc w:val="left"/>
      <w:pPr>
        <w:ind w:left="2648" w:hanging="720"/>
      </w:pPr>
      <w:rPr>
        <w:rFonts w:hint="default"/>
      </w:rPr>
    </w:lvl>
    <w:lvl w:ilvl="3" w:tentative="0">
      <w:start w:val="1"/>
      <w:numFmt w:val="decimal"/>
      <w:lvlText w:val="%1.%2.%3.%4"/>
      <w:lvlJc w:val="left"/>
      <w:pPr>
        <w:ind w:left="3972" w:hanging="1080"/>
      </w:pPr>
      <w:rPr>
        <w:rFonts w:hint="default"/>
      </w:rPr>
    </w:lvl>
    <w:lvl w:ilvl="4" w:tentative="0">
      <w:start w:val="1"/>
      <w:numFmt w:val="decimal"/>
      <w:lvlText w:val="%1.%2.%3.%4.%5"/>
      <w:lvlJc w:val="left"/>
      <w:pPr>
        <w:ind w:left="4936" w:hanging="1080"/>
      </w:pPr>
      <w:rPr>
        <w:rFonts w:hint="default"/>
      </w:rPr>
    </w:lvl>
    <w:lvl w:ilvl="5" w:tentative="0">
      <w:start w:val="1"/>
      <w:numFmt w:val="decimal"/>
      <w:lvlText w:val="%1.%2.%3.%4.%5.%6"/>
      <w:lvlJc w:val="left"/>
      <w:pPr>
        <w:ind w:left="6260" w:hanging="1440"/>
      </w:pPr>
      <w:rPr>
        <w:rFonts w:hint="default"/>
      </w:rPr>
    </w:lvl>
    <w:lvl w:ilvl="6" w:tentative="0">
      <w:start w:val="1"/>
      <w:numFmt w:val="decimal"/>
      <w:lvlText w:val="%1.%2.%3.%4.%5.%6.%7"/>
      <w:lvlJc w:val="left"/>
      <w:pPr>
        <w:ind w:left="7224" w:hanging="1440"/>
      </w:pPr>
      <w:rPr>
        <w:rFonts w:hint="default"/>
      </w:rPr>
    </w:lvl>
    <w:lvl w:ilvl="7" w:tentative="0">
      <w:start w:val="1"/>
      <w:numFmt w:val="decimal"/>
      <w:lvlText w:val="%1.%2.%3.%4.%5.%6.%7.%8"/>
      <w:lvlJc w:val="left"/>
      <w:pPr>
        <w:ind w:left="8548" w:hanging="1800"/>
      </w:pPr>
      <w:rPr>
        <w:rFonts w:hint="default"/>
      </w:rPr>
    </w:lvl>
    <w:lvl w:ilvl="8" w:tentative="0">
      <w:start w:val="1"/>
      <w:numFmt w:val="decimal"/>
      <w:lvlText w:val="%1.%2.%3.%4.%5.%6.%7.%8.%9"/>
      <w:lvlJc w:val="left"/>
      <w:pPr>
        <w:ind w:left="9512" w:hanging="1800"/>
      </w:pPr>
      <w:rPr>
        <w:rFonts w:hint="default"/>
      </w:rPr>
    </w:lvl>
  </w:abstractNum>
  <w:abstractNum w:abstractNumId="16">
    <w:nsid w:val="46282E3D"/>
    <w:multiLevelType w:val="multilevel"/>
    <w:tmpl w:val="46282E3D"/>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7">
    <w:nsid w:val="4A4D31A5"/>
    <w:multiLevelType w:val="multilevel"/>
    <w:tmpl w:val="4A4D31A5"/>
    <w:lvl w:ilvl="0" w:tentative="0">
      <w:start w:val="36"/>
      <w:numFmt w:val="decimal"/>
      <w:lvlText w:val="%1"/>
      <w:lvlJc w:val="left"/>
      <w:pPr>
        <w:ind w:left="432" w:hanging="432"/>
      </w:pPr>
      <w:rPr>
        <w:rFonts w:hint="default"/>
      </w:rPr>
    </w:lvl>
    <w:lvl w:ilvl="1" w:tentative="0">
      <w:start w:val="2"/>
      <w:numFmt w:val="decimal"/>
      <w:lvlText w:val="%1.%2"/>
      <w:lvlJc w:val="left"/>
      <w:pPr>
        <w:ind w:left="852" w:hanging="432"/>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18">
    <w:nsid w:val="4D7E1D02"/>
    <w:multiLevelType w:val="multilevel"/>
    <w:tmpl w:val="4D7E1D02"/>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9">
    <w:nsid w:val="4EAB2D7B"/>
    <w:multiLevelType w:val="multilevel"/>
    <w:tmpl w:val="4EAB2D7B"/>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0">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9F817C2"/>
    <w:multiLevelType w:val="singleLevel"/>
    <w:tmpl w:val="59F817C2"/>
    <w:lvl w:ilvl="0" w:tentative="0">
      <w:start w:val="2"/>
      <w:numFmt w:val="chineseCounting"/>
      <w:suff w:val="space"/>
      <w:lvlText w:val="第%1章"/>
      <w:lvlJc w:val="left"/>
    </w:lvl>
  </w:abstractNum>
  <w:abstractNum w:abstractNumId="22">
    <w:nsid w:val="59F817E8"/>
    <w:multiLevelType w:val="singleLevel"/>
    <w:tmpl w:val="59F817E8"/>
    <w:lvl w:ilvl="0" w:tentative="0">
      <w:start w:val="1"/>
      <w:numFmt w:val="chineseCounting"/>
      <w:pStyle w:val="51"/>
      <w:suff w:val="nothing"/>
      <w:lvlText w:val="%1、"/>
      <w:lvlJc w:val="left"/>
    </w:lvl>
  </w:abstractNum>
  <w:abstractNum w:abstractNumId="23">
    <w:nsid w:val="654D00E8"/>
    <w:multiLevelType w:val="multilevel"/>
    <w:tmpl w:val="654D00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57207B4"/>
    <w:multiLevelType w:val="multilevel"/>
    <w:tmpl w:val="657207B4"/>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decimal"/>
      <w:lvlText w:val="（%2）"/>
      <w:lvlJc w:val="left"/>
      <w:pPr>
        <w:tabs>
          <w:tab w:val="left" w:pos="1140"/>
        </w:tabs>
        <w:ind w:left="1140" w:hanging="7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5">
    <w:nsid w:val="6A6029E1"/>
    <w:multiLevelType w:val="multilevel"/>
    <w:tmpl w:val="6A6029E1"/>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6">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6CC52040"/>
    <w:multiLevelType w:val="multilevel"/>
    <w:tmpl w:val="6CC52040"/>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8">
    <w:nsid w:val="6FF673D0"/>
    <w:multiLevelType w:val="multilevel"/>
    <w:tmpl w:val="6FF673D0"/>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29">
    <w:nsid w:val="770A1C09"/>
    <w:multiLevelType w:val="multilevel"/>
    <w:tmpl w:val="770A1C09"/>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7B900662"/>
    <w:multiLevelType w:val="multilevel"/>
    <w:tmpl w:val="7B90066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DE631A9"/>
    <w:multiLevelType w:val="multilevel"/>
    <w:tmpl w:val="7DE631A9"/>
    <w:lvl w:ilvl="0" w:tentative="0">
      <w:start w:val="1"/>
      <w:numFmt w:val="decimal"/>
      <w:lvlText w:val="%1）"/>
      <w:lvlJc w:val="left"/>
      <w:pPr>
        <w:tabs>
          <w:tab w:val="left" w:pos="360"/>
        </w:tabs>
        <w:ind w:left="360" w:hanging="36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num>
  <w:num w:numId="2">
    <w:abstractNumId w:val="1"/>
  </w:num>
  <w:num w:numId="3">
    <w:abstractNumId w:val="22"/>
  </w:num>
  <w:num w:numId="4">
    <w:abstractNumId w:val="2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13"/>
  </w:num>
  <w:num w:numId="20">
    <w:abstractNumId w:val="7"/>
  </w:num>
  <w:num w:numId="21">
    <w:abstractNumId w:val="26"/>
  </w:num>
  <w:num w:numId="22">
    <w:abstractNumId w:val="4"/>
  </w:num>
  <w:num w:numId="23">
    <w:abstractNumId w:val="5"/>
  </w:num>
  <w:num w:numId="24">
    <w:abstractNumId w:val="30"/>
  </w:num>
  <w:num w:numId="25">
    <w:abstractNumId w:val="14"/>
  </w:num>
  <w:num w:numId="26">
    <w:abstractNumId w:val="29"/>
  </w:num>
  <w:num w:numId="27">
    <w:abstractNumId w:val="3"/>
  </w:num>
  <w:num w:numId="28">
    <w:abstractNumId w:val="6"/>
  </w:num>
  <w:num w:numId="29">
    <w:abstractNumId w:val="20"/>
  </w:num>
  <w:num w:numId="30">
    <w:abstractNumId w:val="15"/>
  </w:num>
  <w:num w:numId="31">
    <w:abstractNumId w:val="9"/>
  </w:num>
  <w:num w:numId="32">
    <w:abstractNumId w:val="1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4427E"/>
    <w:rsid w:val="00001547"/>
    <w:rsid w:val="00026D3A"/>
    <w:rsid w:val="0002782D"/>
    <w:rsid w:val="00033285"/>
    <w:rsid w:val="000362D3"/>
    <w:rsid w:val="00036AB0"/>
    <w:rsid w:val="0004236C"/>
    <w:rsid w:val="000456D3"/>
    <w:rsid w:val="00061D67"/>
    <w:rsid w:val="00062D93"/>
    <w:rsid w:val="00084158"/>
    <w:rsid w:val="00084BD0"/>
    <w:rsid w:val="000A1C15"/>
    <w:rsid w:val="000A200D"/>
    <w:rsid w:val="000A7111"/>
    <w:rsid w:val="000B59E2"/>
    <w:rsid w:val="000D0F74"/>
    <w:rsid w:val="000D347D"/>
    <w:rsid w:val="000E3653"/>
    <w:rsid w:val="000E550F"/>
    <w:rsid w:val="000F3C55"/>
    <w:rsid w:val="000F4624"/>
    <w:rsid w:val="001031CD"/>
    <w:rsid w:val="00106C30"/>
    <w:rsid w:val="00113E3C"/>
    <w:rsid w:val="00141921"/>
    <w:rsid w:val="00153E21"/>
    <w:rsid w:val="0015504D"/>
    <w:rsid w:val="00183C0B"/>
    <w:rsid w:val="001A331E"/>
    <w:rsid w:val="001C1E79"/>
    <w:rsid w:val="001C7D4A"/>
    <w:rsid w:val="001D566E"/>
    <w:rsid w:val="002020EC"/>
    <w:rsid w:val="0020623B"/>
    <w:rsid w:val="00206BF6"/>
    <w:rsid w:val="00211D48"/>
    <w:rsid w:val="0022462B"/>
    <w:rsid w:val="00253446"/>
    <w:rsid w:val="002649BD"/>
    <w:rsid w:val="0027099F"/>
    <w:rsid w:val="00281430"/>
    <w:rsid w:val="002A2A03"/>
    <w:rsid w:val="002A3F19"/>
    <w:rsid w:val="002A7854"/>
    <w:rsid w:val="002B5CC6"/>
    <w:rsid w:val="002B6419"/>
    <w:rsid w:val="002D16C8"/>
    <w:rsid w:val="002E1953"/>
    <w:rsid w:val="003026E2"/>
    <w:rsid w:val="003209FF"/>
    <w:rsid w:val="00326E53"/>
    <w:rsid w:val="00340CF2"/>
    <w:rsid w:val="003439EC"/>
    <w:rsid w:val="0036236B"/>
    <w:rsid w:val="00366833"/>
    <w:rsid w:val="00372CE4"/>
    <w:rsid w:val="00391E9F"/>
    <w:rsid w:val="00392712"/>
    <w:rsid w:val="0039364A"/>
    <w:rsid w:val="003A0289"/>
    <w:rsid w:val="003A5621"/>
    <w:rsid w:val="003B6632"/>
    <w:rsid w:val="003C432B"/>
    <w:rsid w:val="003C446C"/>
    <w:rsid w:val="003D3A8F"/>
    <w:rsid w:val="0040687E"/>
    <w:rsid w:val="00420AE3"/>
    <w:rsid w:val="0042246D"/>
    <w:rsid w:val="004320F0"/>
    <w:rsid w:val="00444950"/>
    <w:rsid w:val="0046132F"/>
    <w:rsid w:val="00473635"/>
    <w:rsid w:val="0048402A"/>
    <w:rsid w:val="0049371C"/>
    <w:rsid w:val="004A02A9"/>
    <w:rsid w:val="004A1869"/>
    <w:rsid w:val="004A6C18"/>
    <w:rsid w:val="004B0847"/>
    <w:rsid w:val="004D5213"/>
    <w:rsid w:val="004E5884"/>
    <w:rsid w:val="004E792C"/>
    <w:rsid w:val="004F6C11"/>
    <w:rsid w:val="005018F1"/>
    <w:rsid w:val="0053242C"/>
    <w:rsid w:val="005336BC"/>
    <w:rsid w:val="0054080C"/>
    <w:rsid w:val="00540F14"/>
    <w:rsid w:val="00541A67"/>
    <w:rsid w:val="00552323"/>
    <w:rsid w:val="00556964"/>
    <w:rsid w:val="00563C67"/>
    <w:rsid w:val="005670BD"/>
    <w:rsid w:val="00583E58"/>
    <w:rsid w:val="005965CF"/>
    <w:rsid w:val="005B61CB"/>
    <w:rsid w:val="005C20FE"/>
    <w:rsid w:val="005C4F0F"/>
    <w:rsid w:val="005D6E67"/>
    <w:rsid w:val="005E1EEC"/>
    <w:rsid w:val="005E3FAA"/>
    <w:rsid w:val="005F4263"/>
    <w:rsid w:val="0061174C"/>
    <w:rsid w:val="006279FD"/>
    <w:rsid w:val="00636AAD"/>
    <w:rsid w:val="006439CE"/>
    <w:rsid w:val="0066558C"/>
    <w:rsid w:val="00674A35"/>
    <w:rsid w:val="00690B8E"/>
    <w:rsid w:val="00695D5A"/>
    <w:rsid w:val="006A5CBD"/>
    <w:rsid w:val="006A5E16"/>
    <w:rsid w:val="006B4FF5"/>
    <w:rsid w:val="006E1E91"/>
    <w:rsid w:val="006E396C"/>
    <w:rsid w:val="00702AED"/>
    <w:rsid w:val="00704489"/>
    <w:rsid w:val="00710043"/>
    <w:rsid w:val="00713F05"/>
    <w:rsid w:val="00727E24"/>
    <w:rsid w:val="00730378"/>
    <w:rsid w:val="007353FD"/>
    <w:rsid w:val="0074134F"/>
    <w:rsid w:val="00743FD6"/>
    <w:rsid w:val="0074469F"/>
    <w:rsid w:val="00760005"/>
    <w:rsid w:val="00760CBE"/>
    <w:rsid w:val="00765428"/>
    <w:rsid w:val="00776300"/>
    <w:rsid w:val="007767CC"/>
    <w:rsid w:val="00780670"/>
    <w:rsid w:val="007B6180"/>
    <w:rsid w:val="007C1243"/>
    <w:rsid w:val="007C38FE"/>
    <w:rsid w:val="007E2338"/>
    <w:rsid w:val="007E55EC"/>
    <w:rsid w:val="007E5F3F"/>
    <w:rsid w:val="007E62F2"/>
    <w:rsid w:val="00800F49"/>
    <w:rsid w:val="00805439"/>
    <w:rsid w:val="00805FF3"/>
    <w:rsid w:val="008175D0"/>
    <w:rsid w:val="0083105C"/>
    <w:rsid w:val="0084465F"/>
    <w:rsid w:val="00846CF0"/>
    <w:rsid w:val="00853677"/>
    <w:rsid w:val="00875E42"/>
    <w:rsid w:val="008925C6"/>
    <w:rsid w:val="00897F2A"/>
    <w:rsid w:val="008A2A01"/>
    <w:rsid w:val="008A54AB"/>
    <w:rsid w:val="008B5BCD"/>
    <w:rsid w:val="008C137D"/>
    <w:rsid w:val="008D1661"/>
    <w:rsid w:val="008E4406"/>
    <w:rsid w:val="009019F6"/>
    <w:rsid w:val="00902F27"/>
    <w:rsid w:val="0090349C"/>
    <w:rsid w:val="00915F4D"/>
    <w:rsid w:val="00925EB4"/>
    <w:rsid w:val="00937421"/>
    <w:rsid w:val="00951250"/>
    <w:rsid w:val="00956AAC"/>
    <w:rsid w:val="00957E4A"/>
    <w:rsid w:val="00966249"/>
    <w:rsid w:val="00977A5F"/>
    <w:rsid w:val="009802F9"/>
    <w:rsid w:val="009830EE"/>
    <w:rsid w:val="009B288B"/>
    <w:rsid w:val="009B522B"/>
    <w:rsid w:val="009C12AB"/>
    <w:rsid w:val="009C5D63"/>
    <w:rsid w:val="009D05DC"/>
    <w:rsid w:val="009D31DE"/>
    <w:rsid w:val="009E40F5"/>
    <w:rsid w:val="00A024FB"/>
    <w:rsid w:val="00A43B57"/>
    <w:rsid w:val="00A62AB1"/>
    <w:rsid w:val="00A74796"/>
    <w:rsid w:val="00A76E49"/>
    <w:rsid w:val="00A809F7"/>
    <w:rsid w:val="00AB5DE3"/>
    <w:rsid w:val="00AB6C39"/>
    <w:rsid w:val="00AD2A95"/>
    <w:rsid w:val="00AE69B7"/>
    <w:rsid w:val="00AE7796"/>
    <w:rsid w:val="00AF64D1"/>
    <w:rsid w:val="00B03982"/>
    <w:rsid w:val="00B102AE"/>
    <w:rsid w:val="00B14F3F"/>
    <w:rsid w:val="00B22497"/>
    <w:rsid w:val="00B36205"/>
    <w:rsid w:val="00B63AF5"/>
    <w:rsid w:val="00B7030E"/>
    <w:rsid w:val="00B70EBC"/>
    <w:rsid w:val="00BA4E24"/>
    <w:rsid w:val="00BB059A"/>
    <w:rsid w:val="00BB0F5C"/>
    <w:rsid w:val="00BB6B3D"/>
    <w:rsid w:val="00BC10EF"/>
    <w:rsid w:val="00BC77AE"/>
    <w:rsid w:val="00BD17F8"/>
    <w:rsid w:val="00BD2B31"/>
    <w:rsid w:val="00C47E9F"/>
    <w:rsid w:val="00C71315"/>
    <w:rsid w:val="00C747C6"/>
    <w:rsid w:val="00C7743B"/>
    <w:rsid w:val="00C77C9B"/>
    <w:rsid w:val="00C82F62"/>
    <w:rsid w:val="00CA1A50"/>
    <w:rsid w:val="00CA43C0"/>
    <w:rsid w:val="00CB18E4"/>
    <w:rsid w:val="00CC25D7"/>
    <w:rsid w:val="00CD0235"/>
    <w:rsid w:val="00CD4C7E"/>
    <w:rsid w:val="00D002DB"/>
    <w:rsid w:val="00D15F10"/>
    <w:rsid w:val="00D23B78"/>
    <w:rsid w:val="00D34E5A"/>
    <w:rsid w:val="00D5536F"/>
    <w:rsid w:val="00D601D1"/>
    <w:rsid w:val="00D62F9D"/>
    <w:rsid w:val="00D653B3"/>
    <w:rsid w:val="00D70436"/>
    <w:rsid w:val="00D81DDE"/>
    <w:rsid w:val="00DA56DB"/>
    <w:rsid w:val="00DB1985"/>
    <w:rsid w:val="00DD27D3"/>
    <w:rsid w:val="00DD5D5B"/>
    <w:rsid w:val="00DF1D7C"/>
    <w:rsid w:val="00E000C7"/>
    <w:rsid w:val="00E16B31"/>
    <w:rsid w:val="00E2149D"/>
    <w:rsid w:val="00E26481"/>
    <w:rsid w:val="00E4427E"/>
    <w:rsid w:val="00E547EF"/>
    <w:rsid w:val="00E66A9F"/>
    <w:rsid w:val="00E7013F"/>
    <w:rsid w:val="00E761B9"/>
    <w:rsid w:val="00EA0DBE"/>
    <w:rsid w:val="00EA280E"/>
    <w:rsid w:val="00EB6309"/>
    <w:rsid w:val="00EB636D"/>
    <w:rsid w:val="00EC67B7"/>
    <w:rsid w:val="00EE2B6A"/>
    <w:rsid w:val="00EF6AB8"/>
    <w:rsid w:val="00F15BD5"/>
    <w:rsid w:val="00F1770B"/>
    <w:rsid w:val="00F239FF"/>
    <w:rsid w:val="00F255D7"/>
    <w:rsid w:val="00F4043C"/>
    <w:rsid w:val="00F56F73"/>
    <w:rsid w:val="00F63C44"/>
    <w:rsid w:val="00F63E36"/>
    <w:rsid w:val="00F900A6"/>
    <w:rsid w:val="00F934D9"/>
    <w:rsid w:val="00F94C9F"/>
    <w:rsid w:val="00F94FEB"/>
    <w:rsid w:val="00FA0A74"/>
    <w:rsid w:val="00FA5297"/>
    <w:rsid w:val="00FB1462"/>
    <w:rsid w:val="00FB1E65"/>
    <w:rsid w:val="00FB77B6"/>
    <w:rsid w:val="00FC2484"/>
    <w:rsid w:val="00FD2039"/>
    <w:rsid w:val="00FF282C"/>
    <w:rsid w:val="00FF4117"/>
    <w:rsid w:val="017B5BBB"/>
    <w:rsid w:val="057361F0"/>
    <w:rsid w:val="143A39E2"/>
    <w:rsid w:val="14913A82"/>
    <w:rsid w:val="209258CB"/>
    <w:rsid w:val="20D93E59"/>
    <w:rsid w:val="295F37BE"/>
    <w:rsid w:val="2D15365B"/>
    <w:rsid w:val="43F030A1"/>
    <w:rsid w:val="4B370F67"/>
    <w:rsid w:val="506F43DE"/>
    <w:rsid w:val="59B97DA7"/>
    <w:rsid w:val="5DE10A86"/>
    <w:rsid w:val="5FE86A1A"/>
    <w:rsid w:val="647878E6"/>
    <w:rsid w:val="702225F5"/>
    <w:rsid w:val="75662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8"/>
    <w:qFormat/>
    <w:uiPriority w:val="0"/>
    <w:rPr>
      <w:rFonts w:ascii="Times New Roman" w:hAnsi="Times New Roman" w:eastAsia="宋体" w:cs="Times New Roman"/>
      <w:color w:val="FF0000"/>
      <w:sz w:val="24"/>
      <w:szCs w:val="24"/>
    </w:rPr>
  </w:style>
  <w:style w:type="paragraph" w:styleId="9">
    <w:name w:val="Body Text"/>
    <w:basedOn w:val="1"/>
    <w:link w:val="52"/>
    <w:semiHidden/>
    <w:unhideWhenUsed/>
    <w:qFormat/>
    <w:uiPriority w:val="99"/>
    <w:pPr>
      <w:spacing w:after="120"/>
    </w:pPr>
  </w:style>
  <w:style w:type="paragraph" w:styleId="10">
    <w:name w:val="Body Text Indent"/>
    <w:basedOn w:val="1"/>
    <w:link w:val="57"/>
    <w:qFormat/>
    <w:uiPriority w:val="0"/>
    <w:pPr>
      <w:adjustRightInd w:val="0"/>
      <w:spacing w:after="120" w:line="360" w:lineRule="atLeast"/>
      <w:ind w:left="420" w:leftChars="200"/>
      <w:jc w:val="left"/>
      <w:textAlignment w:val="baseline"/>
    </w:pPr>
    <w:rPr>
      <w:sz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3"/>
    <w:qFormat/>
    <w:uiPriority w:val="0"/>
    <w:rPr>
      <w:rFonts w:eastAsia="宋体"/>
      <w:sz w:val="24"/>
    </w:rPr>
  </w:style>
  <w:style w:type="paragraph" w:styleId="14">
    <w:name w:val="Date"/>
    <w:basedOn w:val="1"/>
    <w:next w:val="1"/>
    <w:link w:val="34"/>
    <w:unhideWhenUsed/>
    <w:qFormat/>
    <w:uiPriority w:val="99"/>
    <w:pPr>
      <w:ind w:left="100" w:leftChars="2500"/>
    </w:pPr>
  </w:style>
  <w:style w:type="paragraph" w:styleId="15">
    <w:name w:val="Body Text Indent 2"/>
    <w:basedOn w:val="1"/>
    <w:unhideWhenUsed/>
    <w:qFormat/>
    <w:uiPriority w:val="0"/>
    <w:pPr>
      <w:spacing w:after="120" w:line="480" w:lineRule="auto"/>
      <w:ind w:left="420" w:leftChars="200"/>
    </w:pPr>
  </w:style>
  <w:style w:type="paragraph" w:styleId="16">
    <w:name w:val="Balloon Text"/>
    <w:basedOn w:val="1"/>
    <w:link w:val="59"/>
    <w:semiHidden/>
    <w:unhideWhenUsed/>
    <w:qFormat/>
    <w:uiPriority w:val="99"/>
    <w:rPr>
      <w:sz w:val="18"/>
      <w:szCs w:val="18"/>
    </w:rPr>
  </w:style>
  <w:style w:type="paragraph" w:styleId="17">
    <w:name w:val="footer"/>
    <w:basedOn w:val="1"/>
    <w:link w:val="35"/>
    <w:unhideWhenUsed/>
    <w:qFormat/>
    <w:uiPriority w:val="99"/>
    <w:pPr>
      <w:tabs>
        <w:tab w:val="center" w:pos="4153"/>
        <w:tab w:val="right" w:pos="8306"/>
      </w:tabs>
      <w:snapToGrid w:val="0"/>
      <w:jc w:val="left"/>
    </w:pPr>
    <w:rPr>
      <w:sz w:val="18"/>
      <w:szCs w:val="18"/>
    </w:rPr>
  </w:style>
  <w:style w:type="paragraph" w:styleId="18">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55"/>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9"/>
    <w:link w:val="53"/>
    <w:qFormat/>
    <w:uiPriority w:val="0"/>
    <w:pPr>
      <w:ind w:firstLine="420" w:firstLineChars="100"/>
    </w:pPr>
    <w:rPr>
      <w:rFonts w:ascii="宋体" w:hAnsi="Times New Roman" w:eastAsia="宋体" w:cs="Times New Roman"/>
      <w:kern w:val="0"/>
      <w:sz w:val="34"/>
      <w:szCs w:val="20"/>
    </w:rPr>
  </w:style>
  <w:style w:type="table" w:styleId="24">
    <w:name w:val="Table Grid"/>
    <w:basedOn w:val="23"/>
    <w:unhideWhenUsed/>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FollowedHyperlink"/>
    <w:basedOn w:val="25"/>
    <w:semiHidden/>
    <w:unhideWhenUsed/>
    <w:uiPriority w:val="99"/>
    <w:rPr>
      <w:color w:val="800080" w:themeColor="followedHyperlink"/>
      <w:u w:val="single"/>
    </w:rPr>
  </w:style>
  <w:style w:type="character" w:styleId="28">
    <w:name w:val="Hyperlink"/>
    <w:basedOn w:val="25"/>
    <w:unhideWhenUsed/>
    <w:qFormat/>
    <w:uiPriority w:val="99"/>
    <w:rPr>
      <w:color w:val="0000FF"/>
      <w:u w:val="single"/>
    </w:rPr>
  </w:style>
  <w:style w:type="character" w:customStyle="1" w:styleId="29">
    <w:name w:val="标题 1 Char"/>
    <w:basedOn w:val="25"/>
    <w:link w:val="2"/>
    <w:qFormat/>
    <w:uiPriority w:val="0"/>
    <w:rPr>
      <w:rFonts w:ascii="Calibri" w:hAnsi="Calibri" w:eastAsia="宋体" w:cs="Times New Roman"/>
      <w:b/>
      <w:bCs/>
      <w:kern w:val="44"/>
      <w:sz w:val="44"/>
      <w:szCs w:val="44"/>
    </w:rPr>
  </w:style>
  <w:style w:type="character" w:customStyle="1" w:styleId="30">
    <w:name w:val="标题 2 Char"/>
    <w:basedOn w:val="25"/>
    <w:link w:val="3"/>
    <w:qFormat/>
    <w:uiPriority w:val="0"/>
    <w:rPr>
      <w:rFonts w:ascii="Arial" w:hAnsi="Arial" w:eastAsia="黑体" w:cs="Times New Roman"/>
      <w:b/>
      <w:bCs/>
      <w:kern w:val="0"/>
      <w:sz w:val="32"/>
      <w:szCs w:val="32"/>
    </w:rPr>
  </w:style>
  <w:style w:type="character" w:customStyle="1" w:styleId="31">
    <w:name w:val="标题 3 Char"/>
    <w:basedOn w:val="25"/>
    <w:link w:val="4"/>
    <w:qFormat/>
    <w:uiPriority w:val="0"/>
    <w:rPr>
      <w:rFonts w:ascii="宋体" w:hAnsi="宋体" w:eastAsia="宋体" w:cs="Times New Roman"/>
      <w:b/>
      <w:color w:val="000000"/>
      <w:kern w:val="0"/>
      <w:sz w:val="24"/>
      <w:szCs w:val="20"/>
      <w:lang w:val="en-GB"/>
    </w:rPr>
  </w:style>
  <w:style w:type="character" w:customStyle="1" w:styleId="32">
    <w:name w:val="标题 4 Char"/>
    <w:basedOn w:val="25"/>
    <w:link w:val="5"/>
    <w:qFormat/>
    <w:uiPriority w:val="0"/>
    <w:rPr>
      <w:rFonts w:ascii="Arial" w:hAnsi="Arial" w:eastAsia="黑体" w:cs="Times New Roman"/>
      <w:b/>
      <w:bCs/>
      <w:kern w:val="0"/>
      <w:sz w:val="28"/>
      <w:szCs w:val="28"/>
    </w:rPr>
  </w:style>
  <w:style w:type="character" w:customStyle="1" w:styleId="33">
    <w:name w:val="纯文本 Char"/>
    <w:basedOn w:val="25"/>
    <w:link w:val="13"/>
    <w:qFormat/>
    <w:uiPriority w:val="0"/>
    <w:rPr>
      <w:rFonts w:eastAsia="宋体"/>
      <w:sz w:val="24"/>
    </w:rPr>
  </w:style>
  <w:style w:type="character" w:customStyle="1" w:styleId="34">
    <w:name w:val="日期 Char"/>
    <w:basedOn w:val="25"/>
    <w:link w:val="14"/>
    <w:qFormat/>
    <w:uiPriority w:val="99"/>
  </w:style>
  <w:style w:type="character" w:customStyle="1" w:styleId="35">
    <w:name w:val="页脚 Char"/>
    <w:basedOn w:val="25"/>
    <w:link w:val="17"/>
    <w:qFormat/>
    <w:uiPriority w:val="99"/>
    <w:rPr>
      <w:sz w:val="18"/>
      <w:szCs w:val="18"/>
    </w:rPr>
  </w:style>
  <w:style w:type="character" w:customStyle="1" w:styleId="36">
    <w:name w:val="页眉 Char"/>
    <w:basedOn w:val="25"/>
    <w:link w:val="18"/>
    <w:qFormat/>
    <w:uiPriority w:val="99"/>
    <w:rPr>
      <w:sz w:val="18"/>
      <w:szCs w:val="18"/>
    </w:rPr>
  </w:style>
  <w:style w:type="character" w:customStyle="1" w:styleId="37">
    <w:name w:val="纯文本 Char1"/>
    <w:qFormat/>
    <w:uiPriority w:val="0"/>
    <w:rPr>
      <w:rFonts w:eastAsia="宋体"/>
      <w:sz w:val="24"/>
    </w:rPr>
  </w:style>
  <w:style w:type="paragraph" w:customStyle="1" w:styleId="38">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9">
    <w:name w:val="列出段落1"/>
    <w:basedOn w:val="1"/>
    <w:qFormat/>
    <w:uiPriority w:val="34"/>
    <w:pPr>
      <w:ind w:firstLine="420" w:firstLineChars="200"/>
    </w:pPr>
  </w:style>
  <w:style w:type="paragraph" w:styleId="40">
    <w:name w:val="List Paragraph"/>
    <w:basedOn w:val="1"/>
    <w:unhideWhenUsed/>
    <w:qFormat/>
    <w:uiPriority w:val="99"/>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uiPriority w:val="0"/>
    <w:rPr>
      <w:sz w:val="24"/>
    </w:rPr>
  </w:style>
  <w:style w:type="paragraph" w:customStyle="1" w:styleId="44">
    <w:name w:val="日期1"/>
    <w:basedOn w:val="1"/>
    <w:next w:val="1"/>
    <w:link w:val="43"/>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5"/>
    <w:link w:val="8"/>
    <w:uiPriority w:val="0"/>
    <w:rPr>
      <w:rFonts w:ascii="Times New Roman" w:hAnsi="Times New Roman" w:eastAsia="宋体" w:cs="Times New Roman"/>
      <w:color w:val="FF0000"/>
      <w:sz w:val="24"/>
      <w:szCs w:val="24"/>
    </w:rPr>
  </w:style>
  <w:style w:type="character" w:customStyle="1" w:styleId="49">
    <w:name w:val="edittexttarea"/>
    <w:basedOn w:val="25"/>
    <w:qFormat/>
    <w:uiPriority w:val="0"/>
  </w:style>
  <w:style w:type="paragraph" w:customStyle="1" w:styleId="50">
    <w:name w:val="样式 标题 1 + 四号 居中 段前: 12 磅 段后: 12 磅 行距: 单倍行距"/>
    <w:basedOn w:val="2"/>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5"/>
    <w:link w:val="9"/>
    <w:semiHidden/>
    <w:uiPriority w:val="99"/>
  </w:style>
  <w:style w:type="character" w:customStyle="1" w:styleId="53">
    <w:name w:val="正文首行缩进 Char"/>
    <w:basedOn w:val="52"/>
    <w:link w:val="22"/>
    <w:qFormat/>
    <w:uiPriority w:val="0"/>
    <w:rPr>
      <w:rFonts w:ascii="宋体" w:hAnsi="Times New Roman" w:eastAsia="宋体" w:cs="Times New Roman"/>
      <w:kern w:val="0"/>
      <w:sz w:val="34"/>
      <w:szCs w:val="20"/>
    </w:rPr>
  </w:style>
  <w:style w:type="character" w:customStyle="1" w:styleId="54">
    <w:name w:val="HTML 预设格式 Char"/>
    <w:basedOn w:val="25"/>
    <w:link w:val="20"/>
    <w:semiHidden/>
    <w:qFormat/>
    <w:uiPriority w:val="99"/>
    <w:rPr>
      <w:rFonts w:ascii="宋体" w:hAnsi="宋体" w:eastAsia="宋体" w:cs="宋体"/>
      <w:kern w:val="0"/>
      <w:sz w:val="24"/>
      <w:szCs w:val="24"/>
    </w:rPr>
  </w:style>
  <w:style w:type="character" w:customStyle="1" w:styleId="55">
    <w:name w:val="HTML 预设格式 Char1"/>
    <w:basedOn w:val="25"/>
    <w:link w:val="20"/>
    <w:semiHidden/>
    <w:qFormat/>
    <w:uiPriority w:val="99"/>
    <w:rPr>
      <w:rFonts w:ascii="Courier New" w:hAnsi="Courier New" w:cs="Courier New"/>
      <w:sz w:val="20"/>
      <w:szCs w:val="20"/>
    </w:rPr>
  </w:style>
  <w:style w:type="character" w:customStyle="1" w:styleId="56">
    <w:name w:val="正文文本缩进 Char"/>
    <w:link w:val="10"/>
    <w:uiPriority w:val="0"/>
    <w:rPr>
      <w:sz w:val="24"/>
    </w:rPr>
  </w:style>
  <w:style w:type="character" w:customStyle="1" w:styleId="57">
    <w:name w:val="正文文本缩进 Char1"/>
    <w:basedOn w:val="25"/>
    <w:link w:val="10"/>
    <w:semiHidden/>
    <w:qFormat/>
    <w:uiPriority w:val="99"/>
  </w:style>
  <w:style w:type="character" w:customStyle="1" w:styleId="58">
    <w:name w:val="批注框文本 Char"/>
    <w:basedOn w:val="25"/>
    <w:link w:val="16"/>
    <w:semiHidden/>
    <w:uiPriority w:val="99"/>
    <w:rPr>
      <w:sz w:val="18"/>
      <w:szCs w:val="18"/>
    </w:rPr>
  </w:style>
  <w:style w:type="character" w:customStyle="1" w:styleId="59">
    <w:name w:val="批注框文本 Char1"/>
    <w:basedOn w:val="25"/>
    <w:link w:val="16"/>
    <w:semiHidden/>
    <w:qFormat/>
    <w:uiPriority w:val="99"/>
    <w:rPr>
      <w:sz w:val="18"/>
      <w:szCs w:val="18"/>
    </w:rPr>
  </w:style>
  <w:style w:type="paragraph" w:customStyle="1" w:styleId="60">
    <w:name w:val="普通(网站)1"/>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5802</Words>
  <Characters>33074</Characters>
  <Lines>275</Lines>
  <Paragraphs>77</Paragraphs>
  <TotalTime>1</TotalTime>
  <ScaleCrop>false</ScaleCrop>
  <LinksUpToDate>false</LinksUpToDate>
  <CharactersWithSpaces>38799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2019-08-05T00:24:00Z</dcterms:created>
  <dc:creator>许昌市公共资源交易中心:孟莉</dc:creator>
  <cp:lastModifiedBy>羊</cp:lastModifiedBy>
  <dcterms:modified xsi:type="dcterms:W3CDTF">2020-03-05T02:28:43Z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