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color w:val="000000"/>
          <w:w w:val="90"/>
          <w:sz w:val="44"/>
          <w:szCs w:val="44"/>
          <w:lang w:val="en-US" w:eastAsia="zh-CN"/>
        </w:rPr>
      </w:pPr>
      <w:bookmarkStart w:id="29" w:name="_GoBack"/>
      <w:r>
        <w:rPr>
          <w:rFonts w:hint="eastAsia" w:asciiTheme="majorEastAsia" w:hAnsiTheme="majorEastAsia" w:eastAsiaTheme="majorEastAsia" w:cstheme="majorEastAsia"/>
          <w:b/>
          <w:bCs w:val="0"/>
          <w:color w:val="000000"/>
          <w:w w:val="90"/>
          <w:sz w:val="44"/>
          <w:szCs w:val="44"/>
          <w:lang w:val="en-US" w:eastAsia="zh-CN"/>
        </w:rPr>
        <w:t>长葛市长南路，魏武路设置电动限高设施设备</w:t>
      </w:r>
    </w:p>
    <w:bookmarkEnd w:id="29"/>
    <w:p>
      <w:pPr>
        <w:jc w:val="center"/>
        <w:rPr>
          <w:rFonts w:hint="eastAsia" w:asciiTheme="majorEastAsia" w:hAnsiTheme="majorEastAsia" w:eastAsiaTheme="majorEastAsia" w:cstheme="majorEastAsia"/>
          <w:b/>
          <w:bCs w:val="0"/>
          <w:color w:val="000000"/>
          <w:w w:val="90"/>
          <w:sz w:val="84"/>
          <w:szCs w:val="84"/>
          <w:lang w:val="en-US" w:eastAsia="zh-CN"/>
        </w:rPr>
      </w:pPr>
    </w:p>
    <w:p>
      <w:pPr>
        <w:jc w:val="center"/>
        <w:rPr>
          <w:rFonts w:hint="eastAsia" w:asciiTheme="majorEastAsia" w:hAnsiTheme="majorEastAsia" w:eastAsiaTheme="majorEastAsia" w:cstheme="majorEastAsia"/>
          <w:b/>
          <w:bCs w:val="0"/>
          <w:color w:val="000000"/>
          <w:w w:val="90"/>
          <w:sz w:val="84"/>
          <w:szCs w:val="84"/>
          <w:lang w:val="en-US" w:eastAsia="zh-CN"/>
        </w:rPr>
      </w:pPr>
    </w:p>
    <w:p>
      <w:pPr>
        <w:jc w:val="center"/>
        <w:rPr>
          <w:rFonts w:hint="eastAsia" w:asciiTheme="majorEastAsia" w:hAnsiTheme="majorEastAsia" w:eastAsiaTheme="majorEastAsia" w:cstheme="majorEastAsia"/>
          <w:b/>
          <w:bCs w:val="0"/>
          <w:color w:val="000000"/>
          <w:w w:val="90"/>
          <w:sz w:val="84"/>
          <w:szCs w:val="84"/>
          <w:lang w:val="en-US" w:eastAsia="zh-CN"/>
        </w:rPr>
      </w:pPr>
    </w:p>
    <w:p>
      <w:pPr>
        <w:jc w:val="center"/>
        <w:rPr>
          <w:rFonts w:hint="eastAsia" w:asciiTheme="majorEastAsia" w:hAnsiTheme="majorEastAsia" w:eastAsiaTheme="majorEastAsia" w:cstheme="majorEastAsia"/>
          <w:b/>
          <w:bCs w:val="0"/>
          <w:color w:val="000000"/>
          <w:w w:val="90"/>
          <w:sz w:val="84"/>
          <w:szCs w:val="84"/>
        </w:rPr>
      </w:pPr>
      <w:r>
        <w:rPr>
          <w:rFonts w:hint="eastAsia" w:asciiTheme="majorEastAsia" w:hAnsiTheme="majorEastAsia" w:eastAsiaTheme="majorEastAsia" w:cstheme="majorEastAsia"/>
          <w:b/>
          <w:bCs w:val="0"/>
          <w:color w:val="000000"/>
          <w:w w:val="90"/>
          <w:sz w:val="84"/>
          <w:szCs w:val="84"/>
        </w:rPr>
        <w:t>招</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标</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文</w:t>
      </w:r>
      <w:r>
        <w:rPr>
          <w:rFonts w:hint="eastAsia" w:asciiTheme="majorEastAsia" w:hAnsiTheme="majorEastAsia" w:eastAsiaTheme="majorEastAsia" w:cstheme="majorEastAsia"/>
          <w:b/>
          <w:bCs w:val="0"/>
          <w:color w:val="000000"/>
          <w:w w:val="90"/>
          <w:sz w:val="84"/>
          <w:szCs w:val="84"/>
          <w:lang w:val="en-US" w:eastAsia="zh-CN"/>
        </w:rPr>
        <w:t xml:space="preserve"> </w:t>
      </w:r>
      <w:r>
        <w:rPr>
          <w:rFonts w:hint="eastAsia" w:asciiTheme="majorEastAsia" w:hAnsiTheme="majorEastAsia" w:eastAsiaTheme="majorEastAsia" w:cstheme="majorEastAsia"/>
          <w:b/>
          <w:bCs w:val="0"/>
          <w:color w:val="000000"/>
          <w:w w:val="90"/>
          <w:sz w:val="84"/>
          <w:szCs w:val="84"/>
        </w:rPr>
        <w:t>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w:t>
      </w:r>
      <w:r>
        <w:rPr>
          <w:rFonts w:hint="eastAsia" w:asciiTheme="majorEastAsia" w:hAnsiTheme="majorEastAsia" w:eastAsiaTheme="majorEastAsia" w:cstheme="majorEastAsia"/>
          <w:b/>
          <w:bCs/>
          <w:color w:val="000000"/>
          <w:sz w:val="36"/>
          <w:szCs w:val="36"/>
          <w:lang w:eastAsia="zh-CN"/>
        </w:rPr>
        <w:t>长招采公字[201</w:t>
      </w:r>
      <w:r>
        <w:rPr>
          <w:rFonts w:hint="eastAsia" w:asciiTheme="majorEastAsia" w:hAnsiTheme="majorEastAsia" w:eastAsiaTheme="majorEastAsia" w:cstheme="majorEastAsia"/>
          <w:b/>
          <w:bCs/>
          <w:color w:val="000000"/>
          <w:sz w:val="36"/>
          <w:szCs w:val="36"/>
          <w:lang w:val="en-US" w:eastAsia="zh-CN"/>
        </w:rPr>
        <w:t>9</w:t>
      </w:r>
      <w:r>
        <w:rPr>
          <w:rFonts w:hint="eastAsia" w:asciiTheme="majorEastAsia" w:hAnsiTheme="majorEastAsia" w:eastAsiaTheme="majorEastAsia" w:cstheme="majorEastAsia"/>
          <w:b/>
          <w:bCs/>
          <w:color w:val="000000"/>
          <w:sz w:val="36"/>
          <w:szCs w:val="36"/>
          <w:lang w:eastAsia="zh-CN"/>
        </w:rPr>
        <w:t>]</w:t>
      </w:r>
      <w:r>
        <w:rPr>
          <w:rFonts w:hint="eastAsia" w:asciiTheme="majorEastAsia" w:hAnsiTheme="majorEastAsia" w:eastAsiaTheme="majorEastAsia" w:cstheme="majorEastAsia"/>
          <w:b/>
          <w:bCs/>
          <w:color w:val="000000"/>
          <w:sz w:val="36"/>
          <w:szCs w:val="36"/>
          <w:lang w:val="en-US" w:eastAsia="zh-CN"/>
        </w:rPr>
        <w:t>112</w:t>
      </w:r>
      <w:r>
        <w:rPr>
          <w:rFonts w:hint="eastAsia" w:asciiTheme="majorEastAsia" w:hAnsiTheme="majorEastAsia" w:eastAsiaTheme="majorEastAsia" w:cstheme="majorEastAsia"/>
          <w:b/>
          <w:bCs/>
          <w:color w:val="000000"/>
          <w:sz w:val="36"/>
          <w:szCs w:val="36"/>
          <w:lang w:eastAsia="zh-CN"/>
        </w:rPr>
        <w:t>号</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eastAsia="zh-CN"/>
        </w:rPr>
        <w:t>长葛市交通运输局</w:t>
      </w: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智远工程管理有限公司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val="en-US" w:eastAsia="zh-CN"/>
        </w:rPr>
        <w:t>十二</w:t>
      </w:r>
      <w:r>
        <w:rPr>
          <w:rFonts w:hint="eastAsia" w:asciiTheme="majorEastAsia" w:hAnsiTheme="majorEastAsia" w:eastAsiaTheme="majorEastAsia" w:cstheme="majorEastAsia"/>
          <w:b/>
          <w:bCs/>
          <w:color w:val="000000"/>
          <w:sz w:val="36"/>
          <w:szCs w:val="36"/>
        </w:rPr>
        <w:t>月</w:t>
      </w:r>
    </w:p>
    <w:p>
      <w:pPr>
        <w:autoSpaceDE w:val="0"/>
        <w:autoSpaceDN w:val="0"/>
        <w:adjustRightInd w:val="0"/>
        <w:spacing w:line="700" w:lineRule="exact"/>
        <w:jc w:val="both"/>
        <w:rPr>
          <w:rFonts w:hint="eastAsia" w:cs="宋体" w:asciiTheme="majorEastAsia" w:hAnsiTheme="majorEastAsia" w:eastAsiaTheme="majorEastAsia"/>
          <w:b/>
          <w:kern w:val="0"/>
          <w:sz w:val="44"/>
          <w:szCs w:val="44"/>
        </w:rPr>
        <w:sectPr>
          <w:headerReference r:id="rId4" w:type="first"/>
          <w:headerReference r:id="rId3" w:type="default"/>
          <w:footerReference r:id="rId5" w:type="default"/>
          <w:pgSz w:w="11906" w:h="16838"/>
          <w:pgMar w:top="2098" w:right="1474" w:bottom="1928" w:left="1588" w:header="851" w:footer="992" w:gutter="0"/>
          <w:cols w:space="425" w:num="1"/>
          <w:titlePg/>
          <w:docGrid w:type="lines" w:linePitch="312" w:charSpace="0"/>
        </w:sect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智远工程管理有限公司(以下简称代理机构) 受</w:t>
      </w:r>
      <w:r>
        <w:rPr>
          <w:rFonts w:hint="eastAsia" w:cs="仿宋_GB2312" w:asciiTheme="minorEastAsia" w:hAnsiTheme="minorEastAsia" w:eastAsiaTheme="minorEastAsia"/>
          <w:color w:val="000000"/>
          <w:sz w:val="24"/>
          <w:szCs w:val="24"/>
          <w:shd w:val="clear" w:color="auto" w:fill="FFFFFF"/>
          <w:lang w:val="en-US" w:eastAsia="zh-CN"/>
        </w:rPr>
        <w:t>长葛市交通运输局</w:t>
      </w:r>
      <w:r>
        <w:rPr>
          <w:rFonts w:hint="eastAsia" w:cs="仿宋_GB2312" w:asciiTheme="minorEastAsia" w:hAnsiTheme="minorEastAsia" w:eastAsiaTheme="minorEastAsia"/>
          <w:color w:val="000000"/>
          <w:sz w:val="24"/>
          <w:szCs w:val="24"/>
          <w:shd w:val="clear" w:color="auto" w:fill="FFFFFF"/>
          <w:lang w:val="zh-CN"/>
        </w:rPr>
        <w:t>的委托，对</w:t>
      </w:r>
      <w:r>
        <w:rPr>
          <w:rFonts w:hint="eastAsia" w:cs="仿宋_GB2312" w:asciiTheme="minorEastAsia" w:hAnsiTheme="minorEastAsia" w:eastAsiaTheme="minorEastAsia"/>
          <w:color w:val="000000"/>
          <w:sz w:val="24"/>
          <w:szCs w:val="24"/>
          <w:shd w:val="clear" w:color="auto" w:fill="FFFFFF"/>
          <w:lang w:val="zh-CN" w:eastAsia="zh-CN"/>
        </w:rPr>
        <w:t>长葛市长南路，魏武路设置电动限高设施设备</w:t>
      </w:r>
      <w:r>
        <w:rPr>
          <w:rFonts w:hint="eastAsia" w:cs="仿宋_GB2312" w:asciiTheme="minorEastAsia" w:hAnsiTheme="minorEastAsia" w:eastAsiaTheme="minorEastAsia"/>
          <w:color w:val="000000"/>
          <w:sz w:val="24"/>
          <w:szCs w:val="24"/>
          <w:shd w:val="clear" w:color="auto" w:fill="FFFFFF"/>
          <w:lang w:val="zh-CN"/>
        </w:rPr>
        <w:t>进行公开招标。现邀请符合本招标文件规定条件的投标人前来投标。</w:t>
      </w:r>
    </w:p>
    <w:p>
      <w:pPr>
        <w:pStyle w:val="25"/>
        <w:widowControl/>
        <w:shd w:val="clear" w:color="auto" w:fill="FFFFFF"/>
        <w:spacing w:line="360" w:lineRule="auto"/>
        <w:contextualSpacing/>
        <w:jc w:val="left"/>
        <w:rPr>
          <w:rFonts w:cs="黑体" w:asciiTheme="minorEastAsia" w:hAnsiTheme="minorEastAsia" w:eastAsiaTheme="minorEastAsia"/>
          <w:b/>
          <w:bCs/>
          <w:color w:val="000000"/>
          <w:sz w:val="24"/>
          <w:szCs w:val="24"/>
        </w:rPr>
      </w:pPr>
      <w:r>
        <w:rPr>
          <w:rFonts w:hint="eastAsia" w:ascii="黑体" w:hAnsi="黑体" w:eastAsia="黑体" w:cs="黑体"/>
          <w:bCs/>
          <w:color w:val="000000"/>
          <w:sz w:val="24"/>
          <w:szCs w:val="24"/>
          <w:shd w:val="clear" w:color="auto" w:fill="FFFFFF"/>
        </w:rPr>
        <w:t xml:space="preserve">    </w:t>
      </w:r>
      <w:r>
        <w:rPr>
          <w:rFonts w:hint="eastAsia" w:cs="黑体" w:asciiTheme="minorEastAsia" w:hAnsiTheme="minorEastAsia" w:eastAsiaTheme="minorEastAsia"/>
          <w:b/>
          <w:bCs/>
          <w:color w:val="000000"/>
          <w:sz w:val="24"/>
          <w:szCs w:val="24"/>
          <w:shd w:val="clear" w:color="auto" w:fill="FFFFFF"/>
        </w:rPr>
        <w:t>一、项目基本情况</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eastAsia="zh-CN"/>
        </w:rPr>
      </w:pPr>
      <w:r>
        <w:rPr>
          <w:rFonts w:hint="eastAsia" w:cs="仿宋_GB2312" w:asciiTheme="minorEastAsia" w:hAnsiTheme="minorEastAsia" w:eastAsiaTheme="minorEastAsia"/>
          <w:color w:val="000000"/>
          <w:sz w:val="24"/>
          <w:szCs w:val="24"/>
          <w:shd w:val="clear" w:color="auto" w:fill="FFFFFF"/>
        </w:rPr>
        <w:t>（一）项目名</w:t>
      </w:r>
      <w:r>
        <w:rPr>
          <w:rFonts w:hint="eastAsia" w:cs="仿宋_GB2312" w:asciiTheme="minorEastAsia" w:hAnsiTheme="minorEastAsia" w:eastAsiaTheme="minorEastAsia"/>
          <w:color w:val="000000"/>
          <w:sz w:val="24"/>
          <w:szCs w:val="24"/>
          <w:shd w:val="clear" w:color="auto" w:fill="FFFFFF"/>
          <w:lang w:val="zh-CN"/>
        </w:rPr>
        <w:t>称：</w:t>
      </w:r>
      <w:r>
        <w:rPr>
          <w:rFonts w:hint="eastAsia" w:cs="仿宋_GB2312" w:asciiTheme="minorEastAsia" w:hAnsiTheme="minorEastAsia" w:eastAsiaTheme="minorEastAsia"/>
          <w:color w:val="000000"/>
          <w:sz w:val="24"/>
          <w:szCs w:val="24"/>
          <w:shd w:val="clear" w:color="auto" w:fill="FFFFFF"/>
          <w:lang w:val="zh-CN" w:eastAsia="zh-CN"/>
        </w:rPr>
        <w:t>长葛市长南路，魏武路设置电动限高设施设备</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（二）项目编号：</w:t>
      </w:r>
      <w:r>
        <w:rPr>
          <w:rFonts w:hint="eastAsia" w:cs="仿宋_GB2312" w:asciiTheme="minorEastAsia" w:hAnsiTheme="minorEastAsia" w:eastAsiaTheme="minorEastAsia"/>
          <w:color w:val="000000"/>
          <w:sz w:val="24"/>
          <w:szCs w:val="24"/>
          <w:shd w:val="clear" w:color="auto" w:fill="FFFFFF"/>
          <w:lang w:val="zh-CN" w:eastAsia="zh-CN"/>
        </w:rPr>
        <w:t>长招采公字[201</w:t>
      </w:r>
      <w:r>
        <w:rPr>
          <w:rFonts w:hint="eastAsia" w:cs="仿宋_GB2312" w:asciiTheme="minorEastAsia" w:hAnsiTheme="minorEastAsia" w:eastAsiaTheme="minorEastAsia"/>
          <w:color w:val="000000"/>
          <w:sz w:val="24"/>
          <w:szCs w:val="24"/>
          <w:shd w:val="clear" w:color="auto" w:fill="FFFFFF"/>
          <w:lang w:val="en-US" w:eastAsia="zh-CN"/>
        </w:rPr>
        <w:t>9</w:t>
      </w:r>
      <w:r>
        <w:rPr>
          <w:rFonts w:hint="eastAsia" w:cs="仿宋_GB2312" w:asciiTheme="minorEastAsia" w:hAnsiTheme="minorEastAsia" w:eastAsiaTheme="minorEastAsia"/>
          <w:color w:val="000000"/>
          <w:sz w:val="24"/>
          <w:szCs w:val="24"/>
          <w:shd w:val="clear" w:color="auto" w:fill="FFFFFF"/>
          <w:lang w:val="zh-CN" w:eastAsia="zh-CN"/>
        </w:rPr>
        <w:t>]</w:t>
      </w:r>
      <w:r>
        <w:rPr>
          <w:rFonts w:hint="eastAsia" w:cs="仿宋_GB2312" w:asciiTheme="minorEastAsia" w:hAnsiTheme="minorEastAsia" w:eastAsiaTheme="minorEastAsia"/>
          <w:color w:val="000000"/>
          <w:sz w:val="24"/>
          <w:szCs w:val="24"/>
          <w:shd w:val="clear" w:color="auto" w:fill="FFFFFF"/>
          <w:lang w:val="en-US" w:eastAsia="zh-CN"/>
        </w:rPr>
        <w:t>112</w:t>
      </w:r>
      <w:r>
        <w:rPr>
          <w:rFonts w:hint="eastAsia" w:cs="仿宋_GB2312" w:asciiTheme="minorEastAsia" w:hAnsiTheme="minorEastAsia" w:eastAsiaTheme="minorEastAsia"/>
          <w:color w:val="000000"/>
          <w:sz w:val="24"/>
          <w:szCs w:val="24"/>
          <w:shd w:val="clear" w:color="auto" w:fill="FFFFFF"/>
          <w:lang w:val="zh-CN" w:eastAsia="zh-CN"/>
        </w:rPr>
        <w:t xml:space="preserve">号  </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 xml:space="preserve">（三）采购方式：公开招标                                                                                                                         </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val="zh-CN"/>
        </w:rPr>
        <w:t>（四）项目主要内容：包括长葛市魏武路与许昌建安区交界处限高设施，长南路高速口东</w:t>
      </w:r>
      <w:r>
        <w:rPr>
          <w:rFonts w:hint="eastAsia" w:cs="仿宋_GB2312" w:asciiTheme="minorEastAsia" w:hAnsiTheme="minorEastAsia" w:eastAsiaTheme="minorEastAsia"/>
          <w:color w:val="000000"/>
          <w:sz w:val="24"/>
          <w:szCs w:val="24"/>
          <w:shd w:val="clear" w:color="auto" w:fill="FFFFFF"/>
          <w:lang w:val="en-US" w:eastAsia="zh-CN"/>
        </w:rPr>
        <w:t>200米限高设施，董村转盘西限高设施。</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shd w:val="clear" w:color="auto" w:fill="FFFFFF"/>
          <w:lang w:val="zh-CN" w:eastAsia="zh-CN"/>
        </w:rPr>
      </w:pPr>
      <w:r>
        <w:rPr>
          <w:rFonts w:hint="eastAsia" w:cs="仿宋_GB2312" w:asciiTheme="minorEastAsia" w:hAnsiTheme="minorEastAsia" w:eastAsiaTheme="minorEastAsia"/>
          <w:color w:val="000000"/>
          <w:sz w:val="24"/>
          <w:szCs w:val="24"/>
          <w:shd w:val="clear" w:color="auto" w:fill="FFFFFF"/>
          <w:lang w:val="zh-CN" w:eastAsia="zh-CN"/>
        </w:rPr>
        <w:t>（五）预算金额（最高限价）：</w:t>
      </w:r>
      <w:r>
        <w:rPr>
          <w:rFonts w:hint="eastAsia" w:cs="仿宋_GB2312" w:asciiTheme="minorEastAsia" w:hAnsiTheme="minorEastAsia" w:eastAsiaTheme="minorEastAsia"/>
          <w:color w:val="000000"/>
          <w:sz w:val="24"/>
          <w:szCs w:val="24"/>
          <w:shd w:val="clear" w:color="auto" w:fill="FFFFFF"/>
          <w:lang w:val="en-US" w:eastAsia="zh-CN"/>
        </w:rPr>
        <w:t>1110000.00</w:t>
      </w:r>
      <w:r>
        <w:rPr>
          <w:rFonts w:hint="eastAsia" w:cs="仿宋_GB2312" w:asciiTheme="minorEastAsia" w:hAnsiTheme="minorEastAsia" w:eastAsiaTheme="minorEastAsia"/>
          <w:color w:val="000000"/>
          <w:sz w:val="24"/>
          <w:szCs w:val="24"/>
          <w:shd w:val="clear" w:color="auto" w:fill="FFFFFF"/>
          <w:lang w:val="zh-CN" w:eastAsia="zh-CN"/>
        </w:rPr>
        <w:t>元。</w:t>
      </w:r>
    </w:p>
    <w:p>
      <w:pPr>
        <w:pStyle w:val="25"/>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val="zh-CN" w:eastAsia="zh-CN"/>
        </w:rPr>
        <w:t>（六）交付（服务、完工）时间 ：</w:t>
      </w:r>
      <w:bookmarkStart w:id="0" w:name="交付日期"/>
      <w:r>
        <w:rPr>
          <w:rFonts w:hint="eastAsia" w:cs="仿宋_GB2312" w:asciiTheme="minorEastAsia" w:hAnsiTheme="minorEastAsia" w:eastAsiaTheme="minorEastAsia"/>
          <w:color w:val="000000"/>
          <w:sz w:val="24"/>
          <w:szCs w:val="24"/>
          <w:shd w:val="clear" w:color="auto" w:fill="FFFFFF"/>
          <w:lang w:val="en-US" w:eastAsia="zh-CN"/>
        </w:rPr>
        <w:t>合同签后30日历天</w:t>
      </w:r>
      <w:bookmarkEnd w:id="0"/>
      <w:r>
        <w:rPr>
          <w:rFonts w:hint="eastAsia" w:cs="仿宋_GB2312" w:asciiTheme="minorEastAsia" w:hAnsiTheme="minorEastAsia" w:eastAsiaTheme="minorEastAsia"/>
          <w:color w:val="000000"/>
          <w:sz w:val="24"/>
          <w:szCs w:val="24"/>
          <w:shd w:val="clear" w:color="auto" w:fill="FFFFFF"/>
          <w:lang w:val="en-US" w:eastAsia="zh-CN"/>
        </w:rPr>
        <w:t>。</w:t>
      </w:r>
    </w:p>
    <w:p>
      <w:pPr>
        <w:pStyle w:val="25"/>
        <w:widowControl/>
        <w:shd w:val="clear" w:color="auto" w:fill="FFFFFF"/>
        <w:spacing w:line="360" w:lineRule="auto"/>
        <w:ind w:firstLine="420"/>
        <w:contextualSpacing/>
        <w:jc w:val="left"/>
        <w:rPr>
          <w:rFonts w:hint="default" w:cs="仿宋_GB2312" w:asciiTheme="minorEastAsia" w:hAnsiTheme="minorEastAsia" w:eastAsiaTheme="minorEastAsia"/>
          <w:color w:val="000000"/>
          <w:sz w:val="24"/>
          <w:szCs w:val="24"/>
          <w:shd w:val="clear" w:color="auto" w:fill="FFFFFF"/>
          <w:lang w:val="en-US" w:eastAsia="zh-CN"/>
        </w:rPr>
      </w:pPr>
      <w:r>
        <w:rPr>
          <w:rFonts w:hint="eastAsia" w:cs="仿宋_GB2312" w:asciiTheme="minorEastAsia" w:hAnsiTheme="minorEastAsia" w:eastAsiaTheme="minorEastAsia"/>
          <w:color w:val="000000"/>
          <w:sz w:val="24"/>
          <w:szCs w:val="24"/>
          <w:shd w:val="clear" w:color="auto" w:fill="FFFFFF"/>
          <w:lang w:val="zh-CN" w:eastAsia="zh-CN"/>
        </w:rPr>
        <w:t>（七）交付（服务、完工）地点：长葛市</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（八）进口产品：不允许。</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（九）分包：不允许。</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二、需要落实的政府采购政策</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rPr>
        <w:t>本项目落实中小微型企业、监狱企业、残疾人福利性单位扶持等相关政府采购政策。</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三、投标人资格要求</w:t>
      </w:r>
    </w:p>
    <w:p>
      <w:pPr>
        <w:pStyle w:val="25"/>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（一）符合《中华人民共和国政府采购法》第二十二条之规定；</w:t>
      </w:r>
    </w:p>
    <w:p>
      <w:pPr>
        <w:pStyle w:val="25"/>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w:t>
      </w:r>
      <w:r>
        <w:rPr>
          <w:rFonts w:hint="eastAsia" w:cs="仿宋_GB2312" w:asciiTheme="minorEastAsia" w:hAnsiTheme="minorEastAsia" w:eastAsiaTheme="minorEastAsia"/>
          <w:color w:val="000000"/>
          <w:sz w:val="24"/>
          <w:szCs w:val="24"/>
          <w:shd w:val="clear" w:color="auto" w:fill="FFFFFF"/>
          <w:lang w:val="zh-CN" w:eastAsia="zh-CN"/>
        </w:rPr>
        <w:t>二</w:t>
      </w:r>
      <w:r>
        <w:rPr>
          <w:rFonts w:hint="eastAsia" w:cs="仿宋_GB2312" w:asciiTheme="minorEastAsia" w:hAnsiTheme="minorEastAsia" w:eastAsiaTheme="minorEastAsia"/>
          <w:color w:val="000000"/>
          <w:sz w:val="24"/>
          <w:szCs w:val="24"/>
          <w:shd w:val="clear" w:color="auto" w:fill="FFFFFF"/>
          <w:lang w:val="zh-CN"/>
        </w:rPr>
        <w:t>）未被列入“信用中国”网站(www.creditchina.gov.cn)失信被执行人、重大税收违法案件当事人名单；“中国政府采购网” (www.ccgp.gov.cn)政府采购严重违法失信行为记录名单</w:t>
      </w:r>
      <w:r>
        <w:rPr>
          <w:rFonts w:hint="eastAsia" w:cs="仿宋_GB2312" w:asciiTheme="minorEastAsia" w:hAnsiTheme="minorEastAsia" w:eastAsiaTheme="minorEastAsia"/>
          <w:color w:val="000000"/>
          <w:sz w:val="24"/>
          <w:szCs w:val="24"/>
          <w:shd w:val="clear" w:color="auto" w:fill="FFFFFF"/>
          <w:lang w:val="en-US" w:eastAsia="zh-CN"/>
        </w:rPr>
        <w:t>；“中国社会组织公共服务平台”网站（www.chinanpo.gov.cn）严重违法失信名单</w:t>
      </w:r>
      <w:r>
        <w:rPr>
          <w:rFonts w:hint="eastAsia" w:cs="仿宋_GB2312" w:asciiTheme="minorEastAsia" w:hAnsiTheme="minorEastAsia" w:eastAsiaTheme="minorEastAsia"/>
          <w:color w:val="000000"/>
          <w:sz w:val="24"/>
          <w:szCs w:val="24"/>
          <w:shd w:val="clear" w:color="auto" w:fill="FFFFFF"/>
          <w:lang w:val="zh-CN"/>
        </w:rPr>
        <w:t>的投标人；</w:t>
      </w:r>
    </w:p>
    <w:p>
      <w:pPr>
        <w:pStyle w:val="25"/>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（三）本次招标不接受联合体投标。</w:t>
      </w:r>
    </w:p>
    <w:p>
      <w:pPr>
        <w:pStyle w:val="25"/>
        <w:widowControl/>
        <w:shd w:val="clear" w:color="auto" w:fill="FFFFFF"/>
        <w:spacing w:line="360" w:lineRule="auto"/>
        <w:ind w:firstLine="420"/>
        <w:contextualSpacing/>
        <w:jc w:val="left"/>
        <w:rPr>
          <w:rFonts w:hint="eastAsia" w:cs="黑体" w:asciiTheme="minorEastAsia" w:hAnsiTheme="minorEastAsia" w:eastAsiaTheme="minorEastAsia"/>
          <w:b/>
          <w:bCs/>
          <w:color w:val="000000"/>
          <w:sz w:val="24"/>
          <w:szCs w:val="24"/>
          <w:shd w:val="clear" w:color="auto" w:fill="FFFFFF"/>
          <w:lang w:val="zh-CN"/>
        </w:rPr>
      </w:pPr>
      <w:r>
        <w:rPr>
          <w:rFonts w:hint="eastAsia" w:cs="黑体" w:asciiTheme="minorEastAsia" w:hAnsiTheme="minorEastAsia" w:eastAsiaTheme="minorEastAsia"/>
          <w:b/>
          <w:bCs/>
          <w:color w:val="000000"/>
          <w:sz w:val="24"/>
          <w:szCs w:val="24"/>
          <w:shd w:val="clear" w:color="auto" w:fill="FFFFFF"/>
          <w:lang w:val="zh-CN"/>
        </w:rPr>
        <w:t>四、招标文件的获取</w:t>
      </w:r>
    </w:p>
    <w:p>
      <w:pPr>
        <w:pStyle w:val="25"/>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000000"/>
          <w:sz w:val="24"/>
          <w:szCs w:val="24"/>
          <w:shd w:val="clear" w:color="auto" w:fill="FFFFFF"/>
          <w:lang w:val="zh-CN"/>
        </w:rPr>
      </w:pPr>
      <w:r>
        <w:rPr>
          <w:rFonts w:hint="eastAsia" w:cs="仿宋_GB2312" w:asciiTheme="minorEastAsia" w:hAnsiTheme="minorEastAsia" w:eastAsiaTheme="minorEastAsia"/>
          <w:color w:val="000000"/>
          <w:sz w:val="24"/>
          <w:szCs w:val="24"/>
          <w:shd w:val="clear" w:color="auto" w:fill="FFFFFF"/>
          <w:lang w:val="zh-CN"/>
        </w:rPr>
        <w:t>（一）持CA数字认证证书，登录《全国公共资源交易平台（河南省·许昌市）》“系统用户注册”入口http://221.14.6.70:8088/ggzy/eps/public/RegistAllJcxx.html）进行免费注册登记（详见“常见问题解答-诚信库网上注册相关资料下载”）；</w:t>
      </w:r>
    </w:p>
    <w:p>
      <w:pPr>
        <w:pStyle w:val="25"/>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z w:val="24"/>
          <w:szCs w:val="24"/>
          <w:shd w:val="clear" w:color="auto" w:fill="FFFFFF"/>
        </w:rPr>
      </w:pPr>
      <w:r>
        <w:rPr>
          <w:rFonts w:hint="eastAsia" w:cs="仿宋_GB2312" w:asciiTheme="minorEastAsia" w:hAnsiTheme="minorEastAsia" w:eastAsiaTheme="minorEastAsia"/>
          <w:color w:val="000000"/>
          <w:sz w:val="24"/>
          <w:szCs w:val="24"/>
          <w:shd w:val="clear" w:color="auto" w:fill="FFFFFF"/>
          <w:lang w:val="zh-CN"/>
        </w:rPr>
        <w:t>（二）在投标截止时间前均可登录《全国公共资源交易平台（河南省·许昌市）》“投标人/供应商登录”入口（http://221.14.6.70:8088/ggzy/）自行免费下载招标文件（详见“常见问题解答-交易系统操作手册”）</w:t>
      </w:r>
      <w:r>
        <w:rPr>
          <w:rFonts w:hint="eastAsia" w:cs="仿宋_GB2312" w:asciiTheme="minorEastAsia" w:hAnsiTheme="minorEastAsia" w:eastAsiaTheme="minorEastAsia"/>
          <w:color w:val="000000"/>
          <w:sz w:val="24"/>
          <w:szCs w:val="24"/>
          <w:shd w:val="clear" w:color="auto" w:fill="FFFFFF"/>
        </w:rPr>
        <w:t>。</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五、投标截止时间、开标时间及地点</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（一）投标截止及开标时间：20</w:t>
      </w:r>
      <w:r>
        <w:rPr>
          <w:rFonts w:hint="eastAsia" w:cs="仿宋_GB2312" w:asciiTheme="minorEastAsia" w:hAnsiTheme="minorEastAsia" w:eastAsiaTheme="minorEastAsia"/>
          <w:color w:val="000000"/>
          <w:sz w:val="24"/>
          <w:szCs w:val="24"/>
          <w:lang w:val="en-US" w:eastAsia="zh-CN"/>
        </w:rPr>
        <w:t>20</w:t>
      </w:r>
      <w:r>
        <w:rPr>
          <w:rFonts w:hint="eastAsia" w:cs="仿宋_GB2312" w:asciiTheme="minorEastAsia" w:hAnsiTheme="minorEastAsia" w:eastAsiaTheme="minorEastAsia"/>
          <w:color w:val="000000"/>
          <w:sz w:val="24"/>
          <w:szCs w:val="24"/>
        </w:rPr>
        <w:t>年</w:t>
      </w:r>
      <w:r>
        <w:rPr>
          <w:rFonts w:hint="eastAsia" w:cs="仿宋_GB2312" w:asciiTheme="minorEastAsia" w:hAnsiTheme="minorEastAsia" w:eastAsiaTheme="minorEastAsia"/>
          <w:color w:val="000000"/>
          <w:sz w:val="24"/>
          <w:szCs w:val="24"/>
          <w:lang w:val="en-US" w:eastAsia="zh-CN"/>
        </w:rPr>
        <w:t>1</w:t>
      </w:r>
      <w:r>
        <w:rPr>
          <w:rFonts w:hint="eastAsia" w:cs="仿宋_GB2312" w:asciiTheme="minorEastAsia" w:hAnsiTheme="minorEastAsia" w:eastAsiaTheme="minorEastAsia"/>
          <w:color w:val="000000"/>
          <w:sz w:val="24"/>
          <w:szCs w:val="24"/>
        </w:rPr>
        <w:t>月</w:t>
      </w:r>
      <w:r>
        <w:rPr>
          <w:rFonts w:hint="eastAsia" w:cs="仿宋_GB2312" w:asciiTheme="minorEastAsia" w:hAnsiTheme="minorEastAsia" w:eastAsiaTheme="minorEastAsia"/>
          <w:color w:val="000000"/>
          <w:sz w:val="24"/>
          <w:szCs w:val="24"/>
          <w:lang w:val="en-US" w:eastAsia="zh-CN"/>
        </w:rPr>
        <w:t>16</w:t>
      </w:r>
      <w:r>
        <w:rPr>
          <w:rFonts w:hint="eastAsia" w:cs="仿宋_GB2312" w:asciiTheme="minorEastAsia" w:hAnsiTheme="minorEastAsia" w:eastAsiaTheme="minorEastAsia"/>
          <w:color w:val="000000"/>
          <w:sz w:val="24"/>
          <w:szCs w:val="24"/>
        </w:rPr>
        <w:t>日</w:t>
      </w:r>
      <w:r>
        <w:rPr>
          <w:rFonts w:hint="eastAsia" w:cs="仿宋_GB2312" w:asciiTheme="minorEastAsia" w:hAnsiTheme="minorEastAsia" w:eastAsiaTheme="minorEastAsia"/>
          <w:color w:val="000000"/>
          <w:sz w:val="24"/>
          <w:szCs w:val="24"/>
          <w:lang w:val="en-US" w:eastAsia="zh-CN"/>
        </w:rPr>
        <w:t>10</w:t>
      </w:r>
      <w:r>
        <w:rPr>
          <w:rFonts w:hint="eastAsia" w:cs="仿宋_GB2312" w:asciiTheme="minorEastAsia" w:hAnsiTheme="minorEastAsia" w:eastAsiaTheme="minorEastAsia"/>
          <w:color w:val="000000"/>
          <w:sz w:val="24"/>
          <w:szCs w:val="24"/>
        </w:rPr>
        <w:t>时</w:t>
      </w:r>
      <w:r>
        <w:rPr>
          <w:rFonts w:hint="eastAsia" w:cs="仿宋_GB2312" w:asciiTheme="minorEastAsia" w:hAnsiTheme="minorEastAsia" w:eastAsiaTheme="minorEastAsia"/>
          <w:color w:val="000000"/>
          <w:sz w:val="24"/>
          <w:szCs w:val="24"/>
          <w:lang w:val="en-US" w:eastAsia="zh-CN"/>
        </w:rPr>
        <w:t>30</w:t>
      </w:r>
      <w:r>
        <w:rPr>
          <w:rFonts w:hint="eastAsia" w:cs="仿宋_GB2312" w:asciiTheme="minorEastAsia" w:hAnsiTheme="minorEastAsia" w:eastAsiaTheme="minorEastAsia"/>
          <w:color w:val="000000"/>
          <w:sz w:val="24"/>
          <w:szCs w:val="24"/>
        </w:rPr>
        <w:t>分（北京时间），逾期提交或不符合规定的投标文件不予接受。</w:t>
      </w:r>
    </w:p>
    <w:p>
      <w:pPr>
        <w:pStyle w:val="25"/>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（二）开标地点：长葛市公共资源交易中心开标</w:t>
      </w:r>
      <w:r>
        <w:rPr>
          <w:rFonts w:hint="eastAsia" w:cs="仿宋_GB2312" w:asciiTheme="minorEastAsia" w:hAnsiTheme="minorEastAsia" w:eastAsiaTheme="minorEastAsia"/>
          <w:color w:val="000000"/>
          <w:sz w:val="24"/>
          <w:szCs w:val="24"/>
          <w:lang w:val="en-US" w:eastAsia="zh-CN"/>
        </w:rPr>
        <w:t>四</w:t>
      </w:r>
      <w:r>
        <w:rPr>
          <w:rFonts w:hint="eastAsia" w:cs="仿宋_GB2312" w:asciiTheme="minorEastAsia" w:hAnsiTheme="minorEastAsia" w:eastAsiaTheme="minorEastAsia"/>
          <w:color w:val="000000"/>
          <w:sz w:val="24"/>
          <w:szCs w:val="24"/>
        </w:rPr>
        <w:t>室（长葛市葛天大道东段商务区6#楼</w:t>
      </w:r>
      <w:r>
        <w:rPr>
          <w:rFonts w:hint="eastAsia" w:cs="仿宋_GB2312" w:asciiTheme="minorEastAsia" w:hAnsiTheme="minorEastAsia" w:eastAsiaTheme="minorEastAsia"/>
          <w:color w:val="000000"/>
          <w:sz w:val="24"/>
          <w:szCs w:val="24"/>
          <w:lang w:val="en-US" w:eastAsia="zh-CN"/>
        </w:rPr>
        <w:t xml:space="preserve"> 5 </w:t>
      </w:r>
      <w:r>
        <w:rPr>
          <w:rFonts w:hint="eastAsia" w:cs="仿宋_GB2312" w:asciiTheme="minorEastAsia" w:hAnsiTheme="minorEastAsia" w:eastAsiaTheme="minorEastAsia"/>
          <w:color w:val="000000"/>
          <w:sz w:val="24"/>
          <w:szCs w:val="24"/>
        </w:rPr>
        <w:t>楼</w:t>
      </w:r>
      <w:r>
        <w:rPr>
          <w:rFonts w:hint="eastAsia" w:cs="仿宋_GB2312" w:asciiTheme="minorEastAsia" w:hAnsiTheme="minorEastAsia" w:eastAsiaTheme="minorEastAsia"/>
          <w:color w:val="000000"/>
          <w:sz w:val="24"/>
          <w:szCs w:val="24"/>
          <w:lang w:val="en-US" w:eastAsia="zh-CN"/>
        </w:rPr>
        <w:t>507</w:t>
      </w:r>
      <w:r>
        <w:rPr>
          <w:rFonts w:hint="eastAsia" w:cs="仿宋_GB2312" w:asciiTheme="minorEastAsia" w:hAnsiTheme="minorEastAsia" w:eastAsiaTheme="minorEastAsia"/>
          <w:color w:val="000000"/>
          <w:sz w:val="24"/>
          <w:szCs w:val="24"/>
        </w:rPr>
        <w:t>室）。</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（三） 本项目为全流程电子化交易项目，投标人须提交电子投标文件和纸质投标文件。</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1、加密电子投标文件</w:t>
      </w:r>
      <w:r>
        <w:rPr>
          <w:rFonts w:hint="eastAsia" w:cs="宋体" w:asciiTheme="minorEastAsia" w:hAnsiTheme="minorEastAsia"/>
          <w:color w:val="000000"/>
          <w:sz w:val="24"/>
          <w:szCs w:val="24"/>
        </w:rPr>
        <w:t>（</w:t>
      </w:r>
      <w:r>
        <w:rPr>
          <w:rFonts w:asciiTheme="minorEastAsia" w:hAnsiTheme="minorEastAsia" w:eastAsiaTheme="minorEastAsia"/>
          <w:color w:val="000000"/>
          <w:sz w:val="24"/>
          <w:szCs w:val="24"/>
        </w:rPr>
        <w:t>.file</w:t>
      </w:r>
      <w:r>
        <w:rPr>
          <w:rFonts w:hint="eastAsia" w:cs="宋体" w:asciiTheme="minorEastAsia" w:hAnsiTheme="minorEastAsia"/>
          <w:color w:val="000000"/>
          <w:sz w:val="24"/>
          <w:szCs w:val="24"/>
        </w:rPr>
        <w:t>格式）须</w:t>
      </w:r>
      <w:r>
        <w:rPr>
          <w:rFonts w:hint="eastAsia" w:cs="仿宋_GB2312" w:asciiTheme="minorEastAsia" w:hAnsiTheme="minorEastAsia" w:eastAsiaTheme="minorEastAsia"/>
          <w:color w:val="000000"/>
          <w:sz w:val="24"/>
          <w:szCs w:val="24"/>
        </w:rPr>
        <w:t>在投标截止时间（开标时间）前通过《全国公共资源交易平台(河南省</w:t>
      </w:r>
      <w:r>
        <w:rPr>
          <w:rFonts w:hint="eastAsia" w:ascii="MS Mincho" w:hAnsi="MS Mincho" w:eastAsia="MS Mincho" w:cs="MS Mincho"/>
          <w:color w:val="000000"/>
          <w:sz w:val="24"/>
          <w:szCs w:val="24"/>
        </w:rPr>
        <w:t>▪</w:t>
      </w:r>
      <w:r>
        <w:rPr>
          <w:rFonts w:hint="eastAsia" w:ascii="宋体" w:hAnsi="宋体" w:cs="宋体"/>
          <w:color w:val="000000"/>
          <w:sz w:val="24"/>
          <w:szCs w:val="24"/>
        </w:rPr>
        <w:t>许昌市</w:t>
      </w:r>
      <w:r>
        <w:rPr>
          <w:rFonts w:hint="eastAsia" w:cs="仿宋_GB2312" w:asciiTheme="minorEastAsia" w:hAnsiTheme="minorEastAsia" w:eastAsiaTheme="minorEastAsia"/>
          <w:color w:val="000000"/>
          <w:sz w:val="24"/>
          <w:szCs w:val="24"/>
        </w:rPr>
        <w:t>)》公共资源交易系统成功上传。</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shd w:val="pct10" w:color="auto" w:fill="FFFFFF"/>
        </w:rPr>
      </w:pPr>
      <w:r>
        <w:rPr>
          <w:rFonts w:hint="eastAsia" w:cs="仿宋_GB2312" w:asciiTheme="minorEastAsia" w:hAnsiTheme="minorEastAsia" w:eastAsiaTheme="minorEastAsia"/>
          <w:color w:val="000000"/>
          <w:sz w:val="24"/>
          <w:szCs w:val="24"/>
        </w:rPr>
        <w:t>2、纸质投标文件（正本、副本各1份）和备份文件1份</w:t>
      </w:r>
      <w:r>
        <w:rPr>
          <w:rFonts w:hint="eastAsia" w:hAnsi="宋体"/>
          <w:color w:val="000000"/>
          <w:sz w:val="24"/>
          <w:szCs w:val="24"/>
        </w:rPr>
        <w:t>（使用电子介质存储）</w:t>
      </w:r>
      <w:r>
        <w:rPr>
          <w:rFonts w:hint="eastAsia" w:cs="仿宋_GB2312" w:asciiTheme="minorEastAsia" w:hAnsiTheme="minorEastAsia" w:eastAsiaTheme="minorEastAsia"/>
          <w:color w:val="000000"/>
          <w:sz w:val="24"/>
          <w:szCs w:val="24"/>
        </w:rPr>
        <w:t>在投标截止时间（开标时间）前递交至本项目开标地点。</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六、本次招标公告同时在《河南省政府采购网》、《全国公共资源交易平台（河南省·许昌市）》、《长葛市人民政府门户网站》发布。</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shd w:val="clear" w:color="auto" w:fill="FFFFFF"/>
        </w:rPr>
      </w:pPr>
      <w:r>
        <w:rPr>
          <w:rFonts w:hint="eastAsia" w:cs="黑体" w:asciiTheme="minorEastAsia" w:hAnsiTheme="minorEastAsia" w:eastAsiaTheme="minorEastAsia"/>
          <w:b/>
          <w:bCs/>
          <w:color w:val="000000"/>
          <w:sz w:val="24"/>
          <w:szCs w:val="24"/>
          <w:shd w:val="clear" w:color="auto" w:fill="FFFFFF"/>
        </w:rPr>
        <w:t>七、公告期限</w:t>
      </w:r>
    </w:p>
    <w:p>
      <w:pPr>
        <w:pStyle w:val="25"/>
        <w:widowControl/>
        <w:shd w:val="clear" w:color="auto" w:fill="FFFFFF"/>
        <w:spacing w:line="360" w:lineRule="auto"/>
        <w:ind w:firstLine="420"/>
        <w:contextualSpacing/>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本招标公告自发布之日起公告期限为5个工作日。</w:t>
      </w:r>
    </w:p>
    <w:p>
      <w:pPr>
        <w:pStyle w:val="25"/>
        <w:widowControl/>
        <w:shd w:val="clear" w:color="auto" w:fill="FFFFFF"/>
        <w:spacing w:line="360" w:lineRule="auto"/>
        <w:ind w:firstLine="420"/>
        <w:contextualSpacing/>
        <w:jc w:val="left"/>
        <w:rPr>
          <w:rFonts w:cs="黑体" w:asciiTheme="minorEastAsia" w:hAnsiTheme="minorEastAsia" w:eastAsiaTheme="minorEastAsia"/>
          <w:b/>
          <w:bCs/>
          <w:color w:val="000000"/>
          <w:sz w:val="24"/>
          <w:szCs w:val="24"/>
        </w:rPr>
      </w:pPr>
      <w:r>
        <w:rPr>
          <w:rFonts w:hint="eastAsia" w:cs="黑体" w:asciiTheme="minorEastAsia" w:hAnsiTheme="minorEastAsia" w:eastAsiaTheme="minorEastAsia"/>
          <w:b/>
          <w:bCs/>
          <w:color w:val="000000"/>
          <w:sz w:val="24"/>
          <w:szCs w:val="24"/>
        </w:rPr>
        <w:t>八、联系方式</w:t>
      </w:r>
    </w:p>
    <w:p>
      <w:pPr>
        <w:spacing w:line="360" w:lineRule="exact"/>
        <w:ind w:firstLine="480" w:firstLineChars="200"/>
        <w:rPr>
          <w:rFonts w:hint="eastAsia" w:cs="仿宋_GB2312" w:asciiTheme="minorEastAsia" w:hAnsi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采购人：</w:t>
      </w:r>
      <w:r>
        <w:rPr>
          <w:rFonts w:hint="eastAsia" w:cs="仿宋_GB2312" w:asciiTheme="minorEastAsia" w:hAnsiTheme="minorEastAsia"/>
          <w:color w:val="000000"/>
          <w:kern w:val="2"/>
          <w:sz w:val="24"/>
          <w:szCs w:val="24"/>
          <w:lang w:val="en-US" w:eastAsia="zh-CN" w:bidi="ar-SA"/>
        </w:rPr>
        <w:t>长葛市交通运输局</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联系人： 王先生                 </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联系电话：15803747855</w:t>
      </w:r>
    </w:p>
    <w:p>
      <w:pPr>
        <w:spacing w:line="360" w:lineRule="exact"/>
        <w:ind w:firstLine="480" w:firstLineChars="200"/>
        <w:rPr>
          <w:rFonts w:hint="default"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地址：长葛市</w:t>
      </w:r>
      <w:r>
        <w:rPr>
          <w:rFonts w:hint="eastAsia" w:cs="仿宋_GB2312" w:asciiTheme="minorEastAsia" w:hAnsiTheme="minorEastAsia"/>
          <w:color w:val="000000"/>
          <w:kern w:val="2"/>
          <w:sz w:val="24"/>
          <w:szCs w:val="24"/>
          <w:lang w:val="en-US" w:eastAsia="zh-CN" w:bidi="ar-SA"/>
        </w:rPr>
        <w:t>东区5号楼</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代理机构：</w:t>
      </w:r>
      <w:r>
        <w:rPr>
          <w:rFonts w:hint="eastAsia" w:cs="仿宋_GB2312" w:asciiTheme="minorEastAsia" w:hAnsiTheme="minorEastAsia"/>
          <w:color w:val="000000"/>
          <w:kern w:val="2"/>
          <w:sz w:val="24"/>
          <w:szCs w:val="24"/>
          <w:lang w:val="en-US" w:eastAsia="zh-CN" w:bidi="ar-SA"/>
        </w:rPr>
        <w:t>智远工程管理有限公司</w:t>
      </w:r>
      <w:r>
        <w:rPr>
          <w:rFonts w:hint="eastAsia" w:cs="仿宋_GB2312" w:asciiTheme="minorEastAsia" w:hAnsiTheme="minorEastAsia" w:eastAsiaTheme="minorEastAsia"/>
          <w:color w:val="000000"/>
          <w:kern w:val="2"/>
          <w:sz w:val="24"/>
          <w:szCs w:val="24"/>
          <w:lang w:val="en-US" w:eastAsia="zh-CN" w:bidi="ar-SA"/>
        </w:rPr>
        <w:t xml:space="preserve"> </w:t>
      </w:r>
    </w:p>
    <w:p>
      <w:pPr>
        <w:ind w:firstLine="480" w:firstLineChars="200"/>
        <w:rPr>
          <w:rFonts w:hint="eastAsia" w:ascii="宋体" w:hAnsi="宋体" w:cs="宋体"/>
          <w:color w:val="000000"/>
          <w:sz w:val="24"/>
          <w:shd w:val="clear" w:color="auto" w:fill="FFFFFF"/>
          <w:lang w:val="zh-CN"/>
        </w:rPr>
      </w:pPr>
      <w:r>
        <w:rPr>
          <w:rFonts w:hint="eastAsia" w:ascii="宋体" w:hAnsi="宋体" w:cs="宋体"/>
          <w:color w:val="000000"/>
          <w:sz w:val="24"/>
          <w:shd w:val="clear" w:color="auto" w:fill="FFFFFF"/>
          <w:lang w:val="zh-CN"/>
        </w:rPr>
        <w:t>联系人：王女士       联系电话：13569926910</w:t>
      </w:r>
    </w:p>
    <w:p>
      <w:pPr>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代理机构地址：</w:t>
      </w:r>
      <w:r>
        <w:rPr>
          <w:rFonts w:hint="eastAsia" w:ascii="宋体" w:hAnsi="宋体" w:cs="宋体"/>
          <w:color w:val="000000"/>
          <w:sz w:val="24"/>
          <w:shd w:val="clear" w:color="auto" w:fill="FFFFFF"/>
        </w:rPr>
        <w:t>郑州市高新区莲花街11号纽科企业1号楼</w:t>
      </w:r>
    </w:p>
    <w:p>
      <w:pPr>
        <w:spacing w:line="360" w:lineRule="exact"/>
        <w:ind w:firstLine="482" w:firstLineChars="200"/>
        <w:rPr>
          <w:rFonts w:hint="eastAsia" w:cs="黑体" w:asciiTheme="minorEastAsia" w:hAnsiTheme="minorEastAsia" w:eastAsiaTheme="minorEastAsia"/>
          <w:b/>
          <w:bCs/>
          <w:color w:val="000000"/>
          <w:kern w:val="2"/>
          <w:sz w:val="24"/>
          <w:szCs w:val="24"/>
          <w:lang w:val="en-US" w:eastAsia="zh-CN" w:bidi="ar-SA"/>
        </w:rPr>
      </w:pPr>
      <w:r>
        <w:rPr>
          <w:rFonts w:hint="eastAsia" w:cs="黑体" w:asciiTheme="minorEastAsia" w:hAnsiTheme="minorEastAsia" w:eastAsiaTheme="minorEastAsia"/>
          <w:b/>
          <w:bCs/>
          <w:color w:val="000000"/>
          <w:kern w:val="2"/>
          <w:sz w:val="24"/>
          <w:szCs w:val="24"/>
          <w:lang w:val="en-US" w:eastAsia="zh-CN" w:bidi="ar-SA"/>
        </w:rPr>
        <w:t>九、特别提示：</w:t>
      </w:r>
    </w:p>
    <w:p>
      <w:pPr>
        <w:spacing w:line="360" w:lineRule="exact"/>
        <w:ind w:firstLine="480" w:firstLineChars="200"/>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1、所有投标单位请时刻关注全国公共资源交易平台（河南省.许昌市），澄清、答疑、变更均在全国公共资源交易平台（河南省.许昌市）发布，不再另行通知。如未及时查看影响其投标，后果自负。</w:t>
      </w:r>
    </w:p>
    <w:p>
      <w:pPr>
        <w:spacing w:line="360" w:lineRule="exact"/>
        <w:ind w:firstLine="480" w:firstLineChars="200"/>
        <w:rPr>
          <w:rFonts w:ascii="宋体" w:hAnsi="宋体"/>
          <w:szCs w:val="21"/>
        </w:rPr>
      </w:pPr>
      <w:r>
        <w:rPr>
          <w:rFonts w:hint="eastAsia" w:cs="仿宋_GB2312" w:asciiTheme="minorEastAsia" w:hAnsiTheme="minorEastAsia" w:eastAsiaTheme="minorEastAsia"/>
          <w:color w:val="000000"/>
          <w:kern w:val="2"/>
          <w:sz w:val="24"/>
          <w:szCs w:val="24"/>
          <w:lang w:val="en-US" w:eastAsia="zh-CN" w:bidi="ar-SA"/>
        </w:rPr>
        <w:t>2、各投标人对代理公司提供的服务不满意，或认为代理公司在服务过程中有不当行为的，可致电长葛市公共资源交易管理委员会办公室监管股（0374-6189576），经查实后将按规定作出处理。</w:t>
      </w:r>
    </w:p>
    <w:p>
      <w:pPr>
        <w:spacing w:line="360" w:lineRule="auto"/>
        <w:rPr>
          <w:rFonts w:hAnsi="宋体"/>
          <w:b/>
          <w:sz w:val="28"/>
          <w:szCs w:val="28"/>
        </w:rPr>
      </w:pPr>
      <w:r>
        <w:rPr>
          <w:rFonts w:hint="eastAsia" w:hAnsi="宋体"/>
          <w:b/>
          <w:sz w:val="28"/>
          <w:szCs w:val="28"/>
        </w:rPr>
        <w:t>温馨提示：</w:t>
      </w:r>
    </w:p>
    <w:p>
      <w:pPr>
        <w:spacing w:line="360" w:lineRule="auto"/>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highlight w:val="none"/>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w:t>
      </w:r>
      <w:r>
        <w:rPr>
          <w:rFonts w:hint="eastAsia" w:ascii="宋体" w:hAnsi="宋体" w:eastAsia="宋体" w:cs="宋体"/>
          <w:color w:val="000000"/>
          <w:szCs w:val="21"/>
          <w:highlight w:val="none"/>
        </w:rPr>
        <w:t>昌市</w:t>
      </w:r>
      <w:r>
        <w:rPr>
          <w:rFonts w:hint="eastAsia" w:asciiTheme="minorEastAsia" w:hAnsiTheme="minorEastAsia"/>
          <w:color w:val="000000"/>
          <w:szCs w:val="21"/>
          <w:highlight w:val="none"/>
        </w:rPr>
        <w:t>)</w:t>
      </w:r>
      <w:r>
        <w:rPr>
          <w:rFonts w:hint="eastAsia" w:hAnsi="宋体"/>
          <w:color w:val="000000"/>
          <w:szCs w:val="21"/>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32"/>
          <w:rFonts w:hAnsi="宋体"/>
          <w:szCs w:val="21"/>
          <w:highlight w:val="none"/>
        </w:rPr>
        <w:t>http://221.14.6.70:8088/ggzy/</w:t>
      </w:r>
      <w:r>
        <w:rPr>
          <w:rStyle w:val="32"/>
          <w:rFonts w:hAnsi="宋体"/>
          <w:szCs w:val="21"/>
          <w:highlight w:val="none"/>
        </w:rPr>
        <w:fldChar w:fldCharType="end"/>
      </w:r>
      <w:r>
        <w:rPr>
          <w:rFonts w:hint="eastAsia" w:hAnsi="宋体"/>
          <w:color w:val="000000"/>
          <w:szCs w:val="21"/>
          <w:highlight w:val="none"/>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32"/>
          <w:rFonts w:hAnsi="宋体"/>
          <w:szCs w:val="21"/>
        </w:rPr>
        <w:t>http://221.14.6.70:8088/ggzy/</w:t>
      </w:r>
      <w:r>
        <w:rPr>
          <w:rStyle w:val="32"/>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int="eastAsia" w:hAnsi="宋体"/>
          <w:color w:val="000000"/>
          <w:szCs w:val="21"/>
        </w:rPr>
        <w:sectPr>
          <w:footerReference r:id="rId6" w:type="default"/>
          <w:pgSz w:w="11906" w:h="16838"/>
          <w:pgMar w:top="1361" w:right="1247" w:bottom="1361" w:left="1304" w:header="851" w:footer="992" w:gutter="0"/>
          <w:pgNumType w:fmt="decimal" w:start="1"/>
          <w:cols w:space="425" w:num="1"/>
          <w:docGrid w:type="lines" w:linePitch="312" w:charSpace="0"/>
        </w:sect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numPr>
          <w:ilvl w:val="0"/>
          <w:numId w:val="0"/>
        </w:numPr>
        <w:jc w:val="center"/>
        <w:rPr>
          <w:color w:val="auto"/>
        </w:rPr>
      </w:pPr>
      <w:bookmarkStart w:id="1" w:name="_Toc101843125"/>
      <w:bookmarkStart w:id="2" w:name="_Toc46308687"/>
      <w:bookmarkStart w:id="3" w:name="_Toc41884706"/>
      <w:bookmarkStart w:id="4" w:name="_Toc98579011"/>
      <w:bookmarkStart w:id="5" w:name="_Toc42394673"/>
      <w:bookmarkStart w:id="6" w:name="_Toc175644394"/>
      <w:bookmarkStart w:id="7" w:name="_Toc41723936"/>
      <w:bookmarkStart w:id="8" w:name="_Toc101771372"/>
      <w:bookmarkStart w:id="9" w:name="_Toc42313172"/>
      <w:bookmarkStart w:id="10" w:name="_Toc101951263"/>
      <w:bookmarkStart w:id="11" w:name="_Toc98579069"/>
      <w:bookmarkStart w:id="12" w:name="_Toc42394517"/>
      <w:bookmarkStart w:id="13" w:name="_Toc50276165"/>
      <w:bookmarkStart w:id="14" w:name="_Toc272497418"/>
      <w:bookmarkStart w:id="15" w:name="_Toc46308531"/>
      <w:bookmarkStart w:id="16" w:name="_Toc101775125"/>
      <w:bookmarkStart w:id="17" w:name="_Toc98035089"/>
      <w:bookmarkStart w:id="18" w:name="_Toc98579610"/>
      <w:bookmarkStart w:id="19" w:name="_Toc98580293"/>
      <w:bookmarkStart w:id="20" w:name="_Toc50276204"/>
      <w:r>
        <w:rPr>
          <w:rFonts w:hint="eastAsia" w:cs="宋体" w:asciiTheme="majorEastAsia" w:hAnsiTheme="majorEastAsia" w:eastAsiaTheme="majorEastAsia"/>
          <w:b/>
          <w:color w:val="auto"/>
          <w:kern w:val="0"/>
          <w:sz w:val="32"/>
          <w:szCs w:val="32"/>
          <w:lang w:val="en-US" w:eastAsia="zh-CN"/>
        </w:rPr>
        <w:t xml:space="preserve">第二章 </w:t>
      </w:r>
      <w:r>
        <w:rPr>
          <w:rFonts w:hint="eastAsia" w:cs="宋体" w:asciiTheme="majorEastAsia" w:hAnsiTheme="majorEastAsia" w:eastAsiaTheme="majorEastAsia"/>
          <w:b/>
          <w:color w:val="auto"/>
          <w:kern w:val="0"/>
          <w:sz w:val="32"/>
          <w:szCs w:val="32"/>
        </w:rPr>
        <w:t>项目需求</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widowControl/>
        <w:numPr>
          <w:ilvl w:val="0"/>
          <w:numId w:val="4"/>
        </w:numPr>
        <w:shd w:val="clear" w:color="auto" w:fill="FFFFFF"/>
        <w:spacing w:line="360" w:lineRule="atLeast"/>
        <w:jc w:val="left"/>
        <w:rPr>
          <w:rFonts w:ascii="仿宋" w:hAnsi="仿宋" w:eastAsia="仿宋" w:cs="Arial"/>
          <w:b/>
          <w:bCs/>
          <w:kern w:val="0"/>
          <w:sz w:val="28"/>
          <w:szCs w:val="28"/>
          <w:shd w:val="clear" w:color="auto" w:fill="FFFFFF"/>
        </w:rPr>
      </w:pPr>
      <w:r>
        <w:rPr>
          <w:rFonts w:hint="eastAsia" w:ascii="仿宋" w:hAnsi="仿宋" w:eastAsia="仿宋" w:cs="Arial"/>
          <w:b/>
          <w:bCs/>
          <w:kern w:val="0"/>
          <w:sz w:val="28"/>
          <w:szCs w:val="28"/>
          <w:shd w:val="clear" w:color="auto" w:fill="FFFFFF"/>
        </w:rPr>
        <w:t>采购需求：</w:t>
      </w:r>
      <w:r>
        <w:rPr>
          <w:rFonts w:hint="eastAsia" w:cs="仿宋_GB2312" w:asciiTheme="minorEastAsia" w:hAnsiTheme="minorEastAsia" w:eastAsiaTheme="minorEastAsia"/>
          <w:color w:val="000000"/>
          <w:sz w:val="24"/>
          <w:szCs w:val="24"/>
          <w:shd w:val="clear" w:color="auto" w:fill="FFFFFF"/>
          <w:lang w:val="zh-CN"/>
        </w:rPr>
        <w:t>包括长葛市魏武路与许昌建安区交界处限高设施，长南路高速口东</w:t>
      </w:r>
      <w:r>
        <w:rPr>
          <w:rFonts w:hint="eastAsia" w:cs="仿宋_GB2312" w:asciiTheme="minorEastAsia" w:hAnsiTheme="minorEastAsia" w:eastAsiaTheme="minorEastAsia"/>
          <w:color w:val="000000"/>
          <w:sz w:val="24"/>
          <w:szCs w:val="24"/>
          <w:shd w:val="clear" w:color="auto" w:fill="FFFFFF"/>
          <w:lang w:val="en-US" w:eastAsia="zh-CN"/>
        </w:rPr>
        <w:t>200米限高设施，董村转盘西限高设施。</w:t>
      </w:r>
    </w:p>
    <w:p>
      <w:pPr>
        <w:numPr>
          <w:ilvl w:val="0"/>
          <w:numId w:val="4"/>
        </w:numPr>
        <w:spacing w:line="360" w:lineRule="auto"/>
        <w:ind w:left="0" w:leftChars="0" w:firstLine="0" w:firstLineChars="0"/>
        <w:rPr>
          <w:rFonts w:hint="eastAsia" w:ascii="仿宋" w:hAnsi="仿宋" w:eastAsia="仿宋" w:cs="Arial"/>
          <w:b/>
          <w:bCs/>
          <w:kern w:val="0"/>
          <w:sz w:val="28"/>
          <w:szCs w:val="28"/>
          <w:shd w:val="clear" w:color="auto" w:fill="FFFFFF"/>
          <w:lang w:val="zh-CN"/>
        </w:rPr>
      </w:pPr>
      <w:r>
        <w:rPr>
          <w:rFonts w:hint="eastAsia" w:ascii="仿宋" w:hAnsi="仿宋" w:eastAsia="仿宋" w:cs="Arial"/>
          <w:b/>
          <w:bCs/>
          <w:kern w:val="0"/>
          <w:sz w:val="28"/>
          <w:szCs w:val="28"/>
          <w:shd w:val="clear" w:color="auto" w:fill="FFFFFF"/>
          <w:lang w:val="zh-CN"/>
        </w:rPr>
        <w:t>付款方式：</w:t>
      </w:r>
      <w:r>
        <w:rPr>
          <w:rFonts w:hint="eastAsia" w:cs="仿宋_GB2312" w:asciiTheme="minorEastAsia" w:hAnsiTheme="minorEastAsia" w:eastAsiaTheme="minorEastAsia"/>
          <w:color w:val="000000"/>
          <w:sz w:val="24"/>
          <w:szCs w:val="24"/>
          <w:shd w:val="clear" w:color="auto" w:fill="FFFFFF"/>
          <w:lang w:val="zh-CN" w:eastAsia="zh-CN"/>
        </w:rPr>
        <w:t>按实际签订合同为准</w:t>
      </w:r>
    </w:p>
    <w:p>
      <w:pPr>
        <w:numPr>
          <w:ilvl w:val="0"/>
          <w:numId w:val="0"/>
        </w:numPr>
        <w:spacing w:line="360" w:lineRule="auto"/>
        <w:ind w:leftChars="0"/>
        <w:rPr>
          <w:rFonts w:ascii="仿宋" w:hAnsi="仿宋" w:eastAsia="仿宋" w:cs="Arial"/>
          <w:b/>
          <w:bCs/>
          <w:kern w:val="0"/>
          <w:sz w:val="28"/>
          <w:szCs w:val="28"/>
          <w:shd w:val="clear" w:color="auto" w:fill="FFFFFF"/>
          <w:lang w:val="zh-CN"/>
        </w:rPr>
      </w:pPr>
      <w:r>
        <w:rPr>
          <w:rFonts w:hint="eastAsia" w:ascii="仿宋" w:hAnsi="仿宋" w:eastAsia="仿宋" w:cs="Arial"/>
          <w:b/>
          <w:bCs/>
          <w:kern w:val="0"/>
          <w:sz w:val="28"/>
          <w:szCs w:val="28"/>
          <w:shd w:val="clear" w:color="auto" w:fill="FFFFFF"/>
          <w:lang w:val="zh-CN"/>
        </w:rPr>
        <w:t>三、验收标准</w:t>
      </w:r>
    </w:p>
    <w:p>
      <w:pPr>
        <w:spacing w:line="360" w:lineRule="auto"/>
        <w:ind w:firstLine="480" w:firstLineChars="200"/>
        <w:rPr>
          <w:rFonts w:cs="仿宋_GB2312" w:asciiTheme="minorEastAsia" w:hAnsiTheme="minorEastAsia"/>
          <w:color w:val="000000"/>
          <w:sz w:val="24"/>
          <w:szCs w:val="24"/>
          <w:shd w:val="clear" w:color="auto" w:fill="FFFFFF"/>
          <w:lang w:val="zh-CN"/>
        </w:rPr>
      </w:pPr>
      <w:r>
        <w:rPr>
          <w:rFonts w:hint="eastAsia" w:cs="仿宋_GB2312" w:asciiTheme="minorEastAsia" w:hAnsiTheme="minorEastAsia"/>
          <w:color w:val="000000"/>
          <w:sz w:val="24"/>
          <w:szCs w:val="24"/>
          <w:shd w:val="clear" w:color="auto" w:fill="FFFFFF"/>
          <w:lang w:val="zh-CN"/>
        </w:rPr>
        <w:t>由采购人成立验收小组,按照采购合同的约定对中标人履约情况进行验收。验收时,按照招标文件要求、投标文件响应和承诺验收，对每一项技术、服务、安全标准的履约情况进行确认。验收结束后,出具验收书,列明各项标准的验收情况及项目总体评价,由验收双方共同签署。</w:t>
      </w:r>
    </w:p>
    <w:p>
      <w:pPr>
        <w:widowControl/>
        <w:shd w:val="clear" w:color="auto" w:fill="FFFFFF"/>
        <w:spacing w:line="360" w:lineRule="atLeast"/>
        <w:jc w:val="left"/>
        <w:rPr>
          <w:rFonts w:ascii="宋体" w:hAnsi="宋体" w:cs="宋体"/>
          <w:b/>
          <w:bCs/>
        </w:rPr>
      </w:pPr>
      <w:r>
        <w:rPr>
          <w:rFonts w:hint="eastAsia" w:ascii="仿宋" w:hAnsi="仿宋" w:eastAsia="仿宋" w:cs="Arial"/>
          <w:b/>
          <w:bCs/>
          <w:kern w:val="0"/>
          <w:sz w:val="28"/>
          <w:szCs w:val="28"/>
          <w:shd w:val="clear" w:color="auto" w:fill="FFFFFF"/>
        </w:rPr>
        <w:t>四、技术参数要求</w:t>
      </w:r>
    </w:p>
    <w:p>
      <w:pPr>
        <w:jc w:val="left"/>
        <w:rPr>
          <w:rFonts w:hint="eastAsia"/>
          <w:sz w:val="21"/>
          <w:szCs w:val="21"/>
          <w:lang w:val="en-US" w:eastAsia="zh-CN"/>
        </w:rPr>
      </w:pPr>
      <w:r>
        <w:rPr>
          <w:rFonts w:hint="eastAsia"/>
          <w:sz w:val="21"/>
          <w:szCs w:val="21"/>
          <w:lang w:val="en-US" w:eastAsia="zh-CN"/>
        </w:rPr>
        <w:t>项目名称：长葛市魏武路与许昌建安区交界处限高设施</w:t>
      </w:r>
    </w:p>
    <w:tbl>
      <w:tblPr>
        <w:tblStyle w:val="27"/>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673"/>
        <w:gridCol w:w="4718"/>
        <w:gridCol w:w="74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序号</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货物名称</w:t>
            </w:r>
          </w:p>
        </w:tc>
        <w:tc>
          <w:tcPr>
            <w:tcW w:w="471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货物型号及规格或参数</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计量单位</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钢管柱</w:t>
            </w:r>
          </w:p>
        </w:tc>
        <w:tc>
          <w:tcPr>
            <w:tcW w:w="4718" w:type="dxa"/>
            <w:shd w:val="clear" w:color="FFFFFF" w:fill="FFFFFF"/>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sz w:val="21"/>
                <w:szCs w:val="21"/>
                <w:vertAlign w:val="baseline"/>
                <w:lang w:val="en-US" w:eastAsia="zh-CN"/>
              </w:rPr>
              <w:t>100*200*8#235矩型管、100*150*6@235矩型管、100*100*4#235方管</w:t>
            </w:r>
          </w:p>
        </w:tc>
        <w:tc>
          <w:tcPr>
            <w:tcW w:w="74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w:t>
            </w:r>
          </w:p>
        </w:tc>
        <w:tc>
          <w:tcPr>
            <w:tcW w:w="91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钢梁</w:t>
            </w:r>
          </w:p>
        </w:tc>
        <w:tc>
          <w:tcPr>
            <w:tcW w:w="4718"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80*80*8#235方管、80*80*4#235方管</w:t>
            </w:r>
          </w:p>
        </w:tc>
        <w:tc>
          <w:tcPr>
            <w:tcW w:w="740" w:type="dxa"/>
            <w:vAlign w:val="center"/>
          </w:tcPr>
          <w:p>
            <w:pPr>
              <w:jc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t</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3</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金属面油漆</w:t>
            </w:r>
          </w:p>
        </w:tc>
        <w:tc>
          <w:tcPr>
            <w:tcW w:w="4718" w:type="dxa"/>
            <w:shd w:val="clear" w:color="FFFFFF" w:fill="FFFFFF"/>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金属氟碳漆、黄色反光膜</w:t>
            </w:r>
          </w:p>
        </w:tc>
        <w:tc>
          <w:tcPr>
            <w:tcW w:w="74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1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预埋铁件</w:t>
            </w:r>
          </w:p>
        </w:tc>
        <w:tc>
          <w:tcPr>
            <w:tcW w:w="4718"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18mm钢板</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t</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5</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高强螺栓</w:t>
            </w:r>
          </w:p>
        </w:tc>
        <w:tc>
          <w:tcPr>
            <w:tcW w:w="4718" w:type="dxa"/>
            <w:vAlign w:val="center"/>
          </w:tcPr>
          <w:p>
            <w:pPr>
              <w:jc w:val="center"/>
              <w:rPr>
                <w:rFonts w:hint="eastAsia"/>
                <w:sz w:val="21"/>
                <w:szCs w:val="21"/>
                <w:vertAlign w:val="baseline"/>
                <w:lang w:val="en-US" w:eastAsia="zh-CN"/>
              </w:rPr>
            </w:pPr>
            <w:r>
              <w:rPr>
                <w:rFonts w:hint="eastAsia"/>
                <w:sz w:val="24"/>
                <w:szCs w:val="24"/>
                <w:vertAlign w:val="baseline"/>
                <w:lang w:val="en-US" w:eastAsia="zh-CN"/>
              </w:rPr>
              <w:t>Φ</w:t>
            </w:r>
            <w:r>
              <w:rPr>
                <w:rFonts w:hint="eastAsia"/>
                <w:sz w:val="21"/>
                <w:szCs w:val="21"/>
                <w:vertAlign w:val="baseline"/>
                <w:lang w:val="en-US" w:eastAsia="zh-CN"/>
              </w:rPr>
              <w:t>30</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6</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现浇构件钢筋</w:t>
            </w:r>
          </w:p>
        </w:tc>
        <w:tc>
          <w:tcPr>
            <w:tcW w:w="4718" w:type="dxa"/>
            <w:vAlign w:val="center"/>
          </w:tcPr>
          <w:p>
            <w:pPr>
              <w:jc w:val="center"/>
              <w:rPr>
                <w:rFonts w:hint="eastAsia"/>
                <w:sz w:val="21"/>
                <w:szCs w:val="21"/>
                <w:vertAlign w:val="baseline"/>
                <w:lang w:val="en-US" w:eastAsia="zh-CN"/>
              </w:rPr>
            </w:pPr>
            <w:r>
              <w:rPr>
                <w:rFonts w:hint="eastAsia"/>
                <w:sz w:val="24"/>
                <w:szCs w:val="24"/>
                <w:vertAlign w:val="baseline"/>
                <w:lang w:val="en-US" w:eastAsia="zh-CN"/>
              </w:rPr>
              <w:t>Φ</w:t>
            </w:r>
            <w:r>
              <w:rPr>
                <w:rFonts w:hint="eastAsia"/>
                <w:sz w:val="21"/>
                <w:szCs w:val="21"/>
                <w:vertAlign w:val="baseline"/>
                <w:lang w:val="en-US" w:eastAsia="zh-CN"/>
              </w:rPr>
              <w:t>14螺纹钢</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t</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7</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油缸</w:t>
            </w:r>
          </w:p>
        </w:tc>
        <w:tc>
          <w:tcPr>
            <w:tcW w:w="4718" w:type="dxa"/>
            <w:vAlign w:val="center"/>
          </w:tcPr>
          <w:p>
            <w:pPr>
              <w:keepNext w:val="0"/>
              <w:keepLines w:val="0"/>
              <w:widowControl/>
              <w:numPr>
                <w:ilvl w:val="0"/>
                <w:numId w:val="5"/>
              </w:numPr>
              <w:suppressLineNumbers w:val="0"/>
              <w:jc w:val="left"/>
              <w:rPr>
                <w:rFonts w:hint="eastAsia"/>
                <w:sz w:val="21"/>
                <w:szCs w:val="21"/>
                <w:vertAlign w:val="baseline"/>
                <w:lang w:val="en-US" w:eastAsia="zh-CN"/>
              </w:rPr>
            </w:pPr>
            <w:r>
              <w:rPr>
                <w:rFonts w:ascii="宋体" w:hAnsi="宋体" w:eastAsia="宋体" w:cs="宋体"/>
                <w:kern w:val="0"/>
                <w:sz w:val="21"/>
                <w:szCs w:val="21"/>
                <w:lang w:val="en-US" w:eastAsia="zh-CN" w:bidi="ar"/>
              </w:rPr>
              <w:t>进出口直径及螺纹参数；</w:t>
            </w:r>
            <w:r>
              <w:rPr>
                <w:rFonts w:hint="eastAsia" w:ascii="宋体" w:hAnsi="宋体" w:eastAsia="宋体" w:cs="宋体"/>
                <w:kern w:val="0"/>
                <w:sz w:val="21"/>
                <w:szCs w:val="21"/>
                <w:lang w:val="en-US" w:eastAsia="zh-CN" w:bidi="ar"/>
              </w:rPr>
              <w:t>2</w:t>
            </w:r>
            <w:r>
              <w:rPr>
                <w:rFonts w:ascii="宋体" w:hAnsi="宋体" w:eastAsia="宋体" w:cs="宋体"/>
                <w:kern w:val="0"/>
                <w:sz w:val="21"/>
                <w:szCs w:val="21"/>
                <w:lang w:val="en-US" w:eastAsia="zh-CN" w:bidi="ar"/>
              </w:rPr>
              <w:t>、活塞杆直径；</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3</w:t>
            </w:r>
            <w:r>
              <w:rPr>
                <w:rFonts w:ascii="宋体" w:hAnsi="宋体" w:eastAsia="宋体" w:cs="宋体"/>
                <w:kern w:val="0"/>
                <w:sz w:val="21"/>
                <w:szCs w:val="21"/>
                <w:lang w:val="en-US" w:eastAsia="zh-CN" w:bidi="ar"/>
              </w:rPr>
              <w:t>、油缸压力，油缸工作压力，计算的时候经常是用试验压力，低于16MPa乘以1.5，高于16MPa乘以1.25。</w:t>
            </w:r>
            <w:r>
              <w:rPr>
                <w:rFonts w:hint="eastAsia" w:ascii="宋体" w:hAnsi="宋体" w:eastAsia="宋体" w:cs="宋体"/>
                <w:kern w:val="0"/>
                <w:sz w:val="21"/>
                <w:szCs w:val="21"/>
                <w:lang w:val="en-US" w:eastAsia="zh-CN" w:bidi="ar"/>
              </w:rPr>
              <w:t>4</w:t>
            </w:r>
            <w:r>
              <w:rPr>
                <w:rFonts w:ascii="宋体" w:hAnsi="宋体" w:eastAsia="宋体" w:cs="宋体"/>
                <w:kern w:val="0"/>
                <w:sz w:val="21"/>
                <w:szCs w:val="21"/>
                <w:lang w:val="en-US" w:eastAsia="zh-CN" w:bidi="ar"/>
              </w:rPr>
              <w:t>、油缸行程</w:t>
            </w:r>
            <w:r>
              <w:rPr>
                <w:rFonts w:hint="eastAsia" w:ascii="宋体" w:hAnsi="宋体" w:eastAsia="宋体" w:cs="宋体"/>
                <w:kern w:val="0"/>
                <w:sz w:val="21"/>
                <w:szCs w:val="21"/>
                <w:lang w:val="en-US" w:eastAsia="zh-CN" w:bidi="ar"/>
              </w:rPr>
              <w:t>2m</w:t>
            </w:r>
            <w:r>
              <w:rPr>
                <w:rFonts w:ascii="宋体" w:hAnsi="宋体" w:eastAsia="宋体" w:cs="宋体"/>
                <w:kern w:val="0"/>
                <w:sz w:val="21"/>
                <w:szCs w:val="21"/>
                <w:lang w:val="en-US" w:eastAsia="zh-CN" w:bidi="ar"/>
              </w:rPr>
              <w:t>；</w:t>
            </w:r>
            <w:r>
              <w:rPr>
                <w:rFonts w:hint="eastAsia" w:ascii="宋体" w:hAnsi="宋体" w:eastAsia="宋体" w:cs="宋体"/>
                <w:kern w:val="0"/>
                <w:sz w:val="21"/>
                <w:szCs w:val="21"/>
                <w:lang w:val="en-US" w:eastAsia="zh-CN" w:bidi="ar"/>
              </w:rPr>
              <w:t>5</w:t>
            </w:r>
            <w:r>
              <w:rPr>
                <w:rFonts w:ascii="宋体" w:hAnsi="宋体" w:eastAsia="宋体" w:cs="宋体"/>
                <w:kern w:val="0"/>
                <w:sz w:val="21"/>
                <w:szCs w:val="21"/>
                <w:lang w:val="en-US" w:eastAsia="zh-CN" w:bidi="ar"/>
              </w:rPr>
              <w:t>、是否有缓冲</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根据工况情况定，活塞杆伸出收缩如果冲击大一般都要缓冲的。</w:t>
            </w:r>
            <w:r>
              <w:rPr>
                <w:rFonts w:hint="eastAsia" w:ascii="宋体" w:hAnsi="宋体" w:eastAsia="宋体" w:cs="宋体"/>
                <w:kern w:val="0"/>
                <w:sz w:val="21"/>
                <w:szCs w:val="21"/>
                <w:lang w:val="en-US" w:eastAsia="zh-CN" w:bidi="ar"/>
              </w:rPr>
              <w:t>6</w:t>
            </w:r>
            <w:r>
              <w:rPr>
                <w:rFonts w:ascii="宋体" w:hAnsi="宋体" w:eastAsia="宋体" w:cs="宋体"/>
                <w:kern w:val="0"/>
                <w:sz w:val="21"/>
                <w:szCs w:val="21"/>
                <w:lang w:val="en-US" w:eastAsia="zh-CN" w:bidi="ar"/>
              </w:rPr>
              <w:t>、油缸的安装方式；</w:t>
            </w:r>
            <w:r>
              <w:rPr>
                <w:rFonts w:hint="eastAsia" w:ascii="宋体" w:hAnsi="宋体" w:eastAsia="宋体" w:cs="宋体"/>
                <w:kern w:val="0"/>
                <w:sz w:val="21"/>
                <w:szCs w:val="21"/>
                <w:lang w:val="en-US" w:eastAsia="zh-CN" w:bidi="ar"/>
              </w:rPr>
              <w:t>达到要求性能的油缸即为好，频繁出现故障的油缸即为坏；</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油泵</w:t>
            </w:r>
          </w:p>
        </w:tc>
        <w:tc>
          <w:tcPr>
            <w:tcW w:w="4718" w:type="dxa"/>
            <w:vAlign w:val="center"/>
          </w:tcPr>
          <w:p>
            <w:pPr>
              <w:widowControl/>
              <w:wordWrap w:val="0"/>
              <w:jc w:val="left"/>
              <w:rPr>
                <w:rFonts w:ascii="宋体" w:hAnsi="宋体" w:cs="宋体"/>
                <w:color w:val="333333"/>
                <w:kern w:val="0"/>
                <w:sz w:val="21"/>
                <w:szCs w:val="21"/>
              </w:rPr>
            </w:pPr>
            <w:r>
              <w:rPr>
                <w:rFonts w:ascii="宋体" w:hAnsi="宋体" w:cs="宋体"/>
                <w:color w:val="333333"/>
                <w:kern w:val="0"/>
                <w:sz w:val="21"/>
                <w:szCs w:val="21"/>
              </w:rPr>
              <w:t>（1）泵的排量（mL/r）泵每旋转一周、所能排出的液体体积。（2）泵的理论流量（L/min）在额定转数时、用计算方法得到的单位时间内泵能排出的最大流量。（3）泵的额定流量（L/min）在正常工作条件下；保证泵长时间运转所能输出的最大流量。（4）泵的额定压力（MPa）在正常工作条件下，能保证泵能长时间运转的最高压力。</w:t>
            </w:r>
          </w:p>
          <w:p>
            <w:pPr>
              <w:widowControl/>
              <w:wordWrap w:val="0"/>
              <w:jc w:val="left"/>
              <w:rPr>
                <w:rFonts w:ascii="宋体" w:hAnsi="宋体" w:cs="宋体"/>
                <w:color w:val="333333"/>
                <w:kern w:val="0"/>
                <w:sz w:val="21"/>
                <w:szCs w:val="21"/>
              </w:rPr>
            </w:pPr>
            <w:r>
              <w:rPr>
                <w:rFonts w:ascii="宋体" w:hAnsi="宋体" w:cs="宋体"/>
                <w:color w:val="333333"/>
                <w:kern w:val="0"/>
                <w:sz w:val="21"/>
                <w:szCs w:val="21"/>
              </w:rPr>
              <w:t>（5）泵的最高压力（MPa）允许泵在短时间内超过额定压力运转时的最高压力。（6）泵的额定转数（r/min）在额定压力下，能保证长时间正常运转的最高转数。</w:t>
            </w:r>
          </w:p>
          <w:p>
            <w:pPr>
              <w:widowControl/>
              <w:wordWrap w:val="0"/>
              <w:jc w:val="left"/>
              <w:rPr>
                <w:rFonts w:hint="eastAsia"/>
                <w:sz w:val="21"/>
                <w:szCs w:val="21"/>
                <w:vertAlign w:val="baseline"/>
                <w:lang w:val="en-US" w:eastAsia="zh-CN"/>
              </w:rPr>
            </w:pPr>
            <w:r>
              <w:rPr>
                <w:rFonts w:ascii="宋体" w:hAnsi="宋体" w:cs="宋体"/>
                <w:color w:val="333333"/>
                <w:kern w:val="0"/>
                <w:sz w:val="21"/>
                <w:szCs w:val="21"/>
              </w:rPr>
              <w:t>（7）泵的最高转数（r/min）在额定压力下，允许泵在短时间内超过额定转速运转时的最高转数。（8）泵的容积效率（%）泵的实际输出流量与理论流量的比值。（9）泵的总效率（%）泵输出的液压功率与输入的机械功率的比值。（10）泵的驱动功率（kW）在正常工作条件下能驱动液压泵的机械功率。</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9</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油管及配件</w:t>
            </w:r>
          </w:p>
        </w:tc>
        <w:tc>
          <w:tcPr>
            <w:tcW w:w="4718"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10x2增强液压橡胶软管，符合国家标准MT/T98—2006</w:t>
            </w:r>
          </w:p>
        </w:tc>
        <w:tc>
          <w:tcPr>
            <w:tcW w:w="74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米</w:t>
            </w:r>
          </w:p>
        </w:tc>
        <w:tc>
          <w:tcPr>
            <w:tcW w:w="91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10</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电箱</w:t>
            </w:r>
          </w:p>
        </w:tc>
        <w:tc>
          <w:tcPr>
            <w:tcW w:w="4718"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50x40x20符合国家标准GB502541996《电器装置安装工程低压电器施工及验收规范》</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11</w:t>
            </w:r>
          </w:p>
        </w:tc>
        <w:tc>
          <w:tcPr>
            <w:tcW w:w="1673"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电缆</w:t>
            </w:r>
          </w:p>
        </w:tc>
        <w:tc>
          <w:tcPr>
            <w:tcW w:w="4718"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Kvv22—19*1mm</w:t>
            </w:r>
            <w:r>
              <w:rPr>
                <w:rFonts w:hint="eastAsia" w:asciiTheme="minorEastAsia" w:hAnsiTheme="minorEastAsia" w:cstheme="minorEastAsia"/>
                <w:sz w:val="21"/>
                <w:szCs w:val="21"/>
                <w:vertAlign w:val="baseline"/>
                <w:lang w:val="en-US" w:eastAsia="zh-CN"/>
              </w:rPr>
              <w:t>铜</w:t>
            </w:r>
            <w:r>
              <w:rPr>
                <w:rFonts w:hint="eastAsia" w:asciiTheme="minorEastAsia" w:hAnsiTheme="minorEastAsia" w:eastAsiaTheme="minorEastAsia" w:cstheme="minorEastAsia"/>
                <w:sz w:val="21"/>
                <w:szCs w:val="21"/>
                <w:vertAlign w:val="baseline"/>
                <w:lang w:val="en-US" w:eastAsia="zh-CN"/>
              </w:rPr>
              <w:t>线</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米</w:t>
            </w:r>
          </w:p>
        </w:tc>
        <w:tc>
          <w:tcPr>
            <w:tcW w:w="91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12</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园标牌</w:t>
            </w:r>
          </w:p>
        </w:tc>
        <w:tc>
          <w:tcPr>
            <w:tcW w:w="4718"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60圆铝标牌</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13</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LED灯</w:t>
            </w:r>
          </w:p>
        </w:tc>
        <w:tc>
          <w:tcPr>
            <w:tcW w:w="4718"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400瓦</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14</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爆闪灯</w:t>
            </w:r>
          </w:p>
        </w:tc>
        <w:tc>
          <w:tcPr>
            <w:tcW w:w="4718" w:type="dxa"/>
            <w:vAlign w:val="center"/>
          </w:tcPr>
          <w:p>
            <w:pPr>
              <w:keepNext w:val="0"/>
              <w:keepLines w:val="0"/>
              <w:widowControl/>
              <w:suppressLineNumbers w:val="0"/>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0"/>
                <w:sz w:val="21"/>
                <w:szCs w:val="21"/>
                <w:lang w:val="en-US" w:eastAsia="zh-CN" w:bidi="ar"/>
              </w:rPr>
              <w:t>1.LED寿命10万小时,红色和蓝色 。2.蓄电池功率12V/4Ah,寿命2年。3.可视距离2km。4.闪烁功率大于180次/min。5.太阳能电池板功率：3W。</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15</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道路指示牌</w:t>
            </w:r>
          </w:p>
        </w:tc>
        <w:tc>
          <w:tcPr>
            <w:tcW w:w="471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1"/>
                <w:szCs w:val="21"/>
                <w:vertAlign w:val="baseline"/>
                <w:lang w:val="en-US" w:eastAsia="zh-CN"/>
              </w:rPr>
            </w:pPr>
            <w:r>
              <w:rPr>
                <w:rFonts w:hint="eastAsia" w:ascii="宋体" w:hAnsi="宋体" w:cs="宋体"/>
                <w:kern w:val="0"/>
                <w:sz w:val="22"/>
              </w:rPr>
              <w:t>1、标志板：3000mm*</w:t>
            </w:r>
            <w:r>
              <w:rPr>
                <w:rFonts w:hint="eastAsia" w:ascii="宋体" w:hAnsi="宋体" w:cs="宋体"/>
                <w:kern w:val="0"/>
                <w:sz w:val="22"/>
                <w:lang w:val="en-US" w:eastAsia="zh-CN"/>
              </w:rPr>
              <w:t>20</w:t>
            </w:r>
            <w:r>
              <w:rPr>
                <w:rFonts w:hint="eastAsia" w:ascii="宋体" w:hAnsi="宋体" w:cs="宋体"/>
                <w:kern w:val="0"/>
                <w:sz w:val="22"/>
              </w:rPr>
              <w:t>00mm,铝板3mm厚，Ⅳ类反光膜；2、双立柱式主杆</w:t>
            </w:r>
            <w:r>
              <w:rPr>
                <w:rFonts w:hint="eastAsia" w:ascii="MS Mincho" w:hAnsi="MS Mincho" w:eastAsia="MS Mincho" w:cs="MS Mincho"/>
                <w:kern w:val="0"/>
                <w:sz w:val="22"/>
              </w:rPr>
              <w:t>∅</w:t>
            </w:r>
            <w:r>
              <w:rPr>
                <w:rFonts w:hint="eastAsia" w:ascii="宋体" w:hAnsi="宋体" w:cs="宋体"/>
                <w:kern w:val="0"/>
                <w:sz w:val="22"/>
              </w:rPr>
              <w:t>140*5*5500*2根 ；滑道4根2600mm 管扣140,8个；4、基础：1*1*1.2米基坑开挖C25砼浇筑，含垃圾清运等</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16</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监控摄像机</w:t>
            </w:r>
          </w:p>
        </w:tc>
        <w:tc>
          <w:tcPr>
            <w:tcW w:w="4718"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(1）智能摄像机球形X2；成像色彩：彩色；分辨率：主码流 50Hz：25fps;压缩格式：视频压缩：H.265/H.264/MJ;电子快门1/1-1/30000秒；</w:t>
            </w:r>
          </w:p>
          <w:p>
            <w:pPr>
              <w:jc w:val="both"/>
              <w:rPr>
                <w:rFonts w:hint="eastAsia"/>
                <w:sz w:val="21"/>
                <w:szCs w:val="21"/>
                <w:vertAlign w:val="baseline"/>
                <w:lang w:val="en-US" w:eastAsia="zh-CN"/>
              </w:rPr>
            </w:pPr>
            <w:r>
              <w:rPr>
                <w:rFonts w:hint="eastAsia"/>
                <w:sz w:val="21"/>
                <w:szCs w:val="21"/>
                <w:vertAlign w:val="baseline"/>
                <w:lang w:val="en-US" w:eastAsia="zh-CN"/>
              </w:rPr>
              <w:t>信噪此≥52dB；动态侦测区域入侵侦测、越界侦测、音频异常侦测（仅-E型号支持）、移动侦测、视频遮挡侦测；（2）网络硬盘录像机；通讯接口：语音对讲输入X1个；网络接口X1个；USB接口X2个；网络视频输入：4路；网络视频接入带宽：25Mbps；视章频输出：HDMI输入，VGA输出；录像抓图模式：手动录像，定时录像，移动侦测录像，报警录像，动测或报警录像，动测和报警录像；回放模式：即时回放，常规回放，事件回放，标签回放，日志回放同步回放：4路；主要数据参数：硬盘驱动器类型：1个SATA接口，每个接口支持容量最大4TB的硬盘；电压DC12v；功率：≤6w；外形尺寸：205mm×205mm×45mm；重量≤1KG；(3)室外防水电源；(4)线材，超5类铜线、电源线；网络，光纤、宽带；(5)网络设备，交换机、光纤收发器及宽带猫；硬盘1T监控专用盘</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台</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2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17</w:t>
            </w:r>
          </w:p>
        </w:tc>
        <w:tc>
          <w:tcPr>
            <w:tcW w:w="1673"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阻燃复合板房</w:t>
            </w:r>
          </w:p>
        </w:tc>
        <w:tc>
          <w:tcPr>
            <w:tcW w:w="4718"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5mx3m复合板房</w:t>
            </w:r>
          </w:p>
        </w:tc>
        <w:tc>
          <w:tcPr>
            <w:tcW w:w="74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1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bl>
    <w:p>
      <w:pPr>
        <w:numPr>
          <w:ilvl w:val="0"/>
          <w:numId w:val="0"/>
        </w:numPr>
        <w:autoSpaceDE w:val="0"/>
        <w:autoSpaceDN w:val="0"/>
        <w:adjustRightInd w:val="0"/>
        <w:spacing w:line="360" w:lineRule="auto"/>
        <w:ind w:right="-11" w:rightChars="0"/>
        <w:jc w:val="both"/>
        <w:rPr>
          <w:rFonts w:hint="eastAsia" w:cs="宋体" w:asciiTheme="majorEastAsia" w:hAnsiTheme="majorEastAsia" w:eastAsiaTheme="majorEastAsia"/>
          <w:b/>
          <w:color w:val="FF0000"/>
          <w:kern w:val="0"/>
          <w:sz w:val="32"/>
          <w:szCs w:val="32"/>
          <w:lang w:val="en-US" w:eastAsia="zh-CN"/>
        </w:rPr>
      </w:pPr>
    </w:p>
    <w:p>
      <w:pPr>
        <w:jc w:val="left"/>
        <w:rPr>
          <w:rFonts w:hint="eastAsia"/>
          <w:sz w:val="21"/>
          <w:szCs w:val="21"/>
          <w:lang w:val="en-US" w:eastAsia="zh-CN"/>
        </w:rPr>
      </w:pPr>
      <w:r>
        <w:rPr>
          <w:rFonts w:hint="eastAsia"/>
          <w:sz w:val="21"/>
          <w:szCs w:val="21"/>
          <w:lang w:val="en-US" w:eastAsia="zh-CN"/>
        </w:rPr>
        <w:t>项目名称：长南路高速路口东200米限高设施</w:t>
      </w:r>
    </w:p>
    <w:tbl>
      <w:tblPr>
        <w:tblStyle w:val="27"/>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634"/>
        <w:gridCol w:w="4921"/>
        <w:gridCol w:w="6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序号</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货物名称</w:t>
            </w:r>
          </w:p>
        </w:tc>
        <w:tc>
          <w:tcPr>
            <w:tcW w:w="492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货物型号及规格</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计量</w:t>
            </w:r>
          </w:p>
          <w:p>
            <w:pPr>
              <w:jc w:val="center"/>
              <w:rPr>
                <w:rFonts w:hint="eastAsia"/>
                <w:sz w:val="21"/>
                <w:szCs w:val="21"/>
                <w:vertAlign w:val="baseline"/>
                <w:lang w:val="en-US" w:eastAsia="zh-CN"/>
              </w:rPr>
            </w:pPr>
            <w:r>
              <w:rPr>
                <w:rFonts w:hint="eastAsia"/>
                <w:sz w:val="21"/>
                <w:szCs w:val="21"/>
                <w:vertAlign w:val="baseline"/>
                <w:lang w:val="en-US" w:eastAsia="zh-CN"/>
              </w:rPr>
              <w:t>单位</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钢管柱</w:t>
            </w:r>
          </w:p>
        </w:tc>
        <w:tc>
          <w:tcPr>
            <w:tcW w:w="4921" w:type="dxa"/>
            <w:shd w:val="clear" w:color="FFFFFF" w:fill="FFFFFF"/>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sz w:val="21"/>
                <w:szCs w:val="21"/>
                <w:vertAlign w:val="baseline"/>
                <w:lang w:val="en-US" w:eastAsia="zh-CN"/>
              </w:rPr>
              <w:t>Φ168*8、Φ93*5、Φ110*6mm无缝钢管</w:t>
            </w:r>
          </w:p>
        </w:tc>
        <w:tc>
          <w:tcPr>
            <w:tcW w:w="69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w:t>
            </w:r>
          </w:p>
        </w:tc>
        <w:tc>
          <w:tcPr>
            <w:tcW w:w="87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钢梁</w:t>
            </w:r>
          </w:p>
        </w:tc>
        <w:tc>
          <w:tcPr>
            <w:tcW w:w="492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Φ93*5、Φ110*6mm无缝钢管</w:t>
            </w:r>
          </w:p>
        </w:tc>
        <w:tc>
          <w:tcPr>
            <w:tcW w:w="690" w:type="dxa"/>
            <w:vAlign w:val="center"/>
          </w:tcPr>
          <w:p>
            <w:pPr>
              <w:jc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t</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3</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金属面油漆</w:t>
            </w:r>
          </w:p>
        </w:tc>
        <w:tc>
          <w:tcPr>
            <w:tcW w:w="4921" w:type="dxa"/>
            <w:shd w:val="clear" w:color="FFFFFF" w:fill="FFFFFF"/>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金属氟碳漆、黄色反光膜</w:t>
            </w:r>
          </w:p>
        </w:tc>
        <w:tc>
          <w:tcPr>
            <w:tcW w:w="69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87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预埋铁件</w:t>
            </w:r>
          </w:p>
        </w:tc>
        <w:tc>
          <w:tcPr>
            <w:tcW w:w="492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18mm钢板</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t</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5</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高强螺栓</w:t>
            </w:r>
          </w:p>
        </w:tc>
        <w:tc>
          <w:tcPr>
            <w:tcW w:w="4921" w:type="dxa"/>
            <w:vAlign w:val="center"/>
          </w:tcPr>
          <w:p>
            <w:pPr>
              <w:jc w:val="center"/>
              <w:rPr>
                <w:rFonts w:hint="eastAsia"/>
                <w:sz w:val="21"/>
                <w:szCs w:val="21"/>
                <w:vertAlign w:val="baseline"/>
                <w:lang w:val="en-US" w:eastAsia="zh-CN"/>
              </w:rPr>
            </w:pPr>
            <w:r>
              <w:rPr>
                <w:rFonts w:hint="eastAsia"/>
                <w:sz w:val="24"/>
                <w:szCs w:val="24"/>
                <w:vertAlign w:val="baseline"/>
                <w:lang w:val="en-US" w:eastAsia="zh-CN"/>
              </w:rPr>
              <w:t>Φ</w:t>
            </w:r>
            <w:r>
              <w:rPr>
                <w:rFonts w:hint="eastAsia"/>
                <w:sz w:val="21"/>
                <w:szCs w:val="21"/>
                <w:vertAlign w:val="baseline"/>
                <w:lang w:val="en-US" w:eastAsia="zh-CN"/>
              </w:rPr>
              <w:t>30</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6</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现浇构件钢筋</w:t>
            </w:r>
          </w:p>
        </w:tc>
        <w:tc>
          <w:tcPr>
            <w:tcW w:w="4921" w:type="dxa"/>
            <w:vAlign w:val="center"/>
          </w:tcPr>
          <w:p>
            <w:pPr>
              <w:jc w:val="center"/>
              <w:rPr>
                <w:rFonts w:hint="eastAsia"/>
                <w:sz w:val="21"/>
                <w:szCs w:val="21"/>
                <w:vertAlign w:val="baseline"/>
                <w:lang w:val="en-US" w:eastAsia="zh-CN"/>
              </w:rPr>
            </w:pPr>
            <w:r>
              <w:rPr>
                <w:rFonts w:hint="eastAsia"/>
                <w:sz w:val="24"/>
                <w:szCs w:val="24"/>
                <w:vertAlign w:val="baseline"/>
                <w:lang w:val="en-US" w:eastAsia="zh-CN"/>
              </w:rPr>
              <w:t>Φ</w:t>
            </w:r>
            <w:r>
              <w:rPr>
                <w:rFonts w:hint="eastAsia"/>
                <w:sz w:val="21"/>
                <w:szCs w:val="21"/>
                <w:vertAlign w:val="baseline"/>
                <w:lang w:val="en-US" w:eastAsia="zh-CN"/>
              </w:rPr>
              <w:t>22、</w:t>
            </w:r>
            <w:r>
              <w:rPr>
                <w:rFonts w:hint="eastAsia"/>
                <w:sz w:val="24"/>
                <w:szCs w:val="24"/>
                <w:vertAlign w:val="baseline"/>
                <w:lang w:val="en-US" w:eastAsia="zh-CN"/>
              </w:rPr>
              <w:t>Φ</w:t>
            </w:r>
            <w:r>
              <w:rPr>
                <w:rFonts w:hint="eastAsia"/>
                <w:sz w:val="21"/>
                <w:szCs w:val="21"/>
                <w:vertAlign w:val="baseline"/>
                <w:lang w:val="en-US" w:eastAsia="zh-CN"/>
              </w:rPr>
              <w:t>12螺纹钢</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t</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7</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油缸</w:t>
            </w:r>
          </w:p>
        </w:tc>
        <w:tc>
          <w:tcPr>
            <w:tcW w:w="4921" w:type="dxa"/>
            <w:vAlign w:val="center"/>
          </w:tcPr>
          <w:p>
            <w:pPr>
              <w:keepNext w:val="0"/>
              <w:keepLines w:val="0"/>
              <w:widowControl/>
              <w:numPr>
                <w:ilvl w:val="0"/>
                <w:numId w:val="0"/>
              </w:numPr>
              <w:suppressLineNumbers w:val="0"/>
              <w:jc w:val="left"/>
              <w:rPr>
                <w:rFonts w:hint="eastAsia"/>
                <w:sz w:val="21"/>
                <w:szCs w:val="21"/>
                <w:vertAlign w:val="baseline"/>
                <w:lang w:val="en-US" w:eastAsia="zh-CN"/>
              </w:rPr>
            </w:pPr>
            <w:r>
              <w:rPr>
                <w:rFonts w:hint="eastAsia" w:ascii="宋体" w:hAnsi="宋体" w:eastAsia="宋体" w:cs="宋体"/>
                <w:kern w:val="0"/>
                <w:sz w:val="21"/>
                <w:szCs w:val="21"/>
                <w:lang w:val="en-US" w:eastAsia="zh-CN" w:bidi="ar"/>
              </w:rPr>
              <w:t>1、</w:t>
            </w:r>
            <w:r>
              <w:rPr>
                <w:rFonts w:ascii="宋体" w:hAnsi="宋体" w:eastAsia="宋体" w:cs="宋体"/>
                <w:kern w:val="0"/>
                <w:sz w:val="21"/>
                <w:szCs w:val="21"/>
                <w:lang w:val="en-US" w:eastAsia="zh-CN" w:bidi="ar"/>
              </w:rPr>
              <w:t>进出口直径及螺纹参数；</w:t>
            </w:r>
            <w:r>
              <w:rPr>
                <w:rFonts w:hint="eastAsia" w:ascii="宋体" w:hAnsi="宋体" w:eastAsia="宋体" w:cs="宋体"/>
                <w:kern w:val="0"/>
                <w:sz w:val="21"/>
                <w:szCs w:val="21"/>
                <w:lang w:val="en-US" w:eastAsia="zh-CN" w:bidi="ar"/>
              </w:rPr>
              <w:t>2、</w:t>
            </w:r>
            <w:r>
              <w:rPr>
                <w:rFonts w:ascii="宋体" w:hAnsi="宋体" w:eastAsia="宋体" w:cs="宋体"/>
                <w:kern w:val="0"/>
                <w:sz w:val="21"/>
                <w:szCs w:val="21"/>
                <w:lang w:val="en-US" w:eastAsia="zh-CN" w:bidi="ar"/>
              </w:rPr>
              <w:t>活塞杆直径；</w:t>
            </w:r>
            <w:r>
              <w:rPr>
                <w:rFonts w:hint="eastAsia" w:ascii="宋体" w:hAnsi="宋体" w:eastAsia="宋体" w:cs="宋体"/>
                <w:kern w:val="0"/>
                <w:sz w:val="21"/>
                <w:szCs w:val="21"/>
                <w:lang w:val="en-US" w:eastAsia="zh-CN" w:bidi="ar"/>
              </w:rPr>
              <w:t>3</w:t>
            </w:r>
            <w:r>
              <w:rPr>
                <w:rFonts w:ascii="宋体" w:hAnsi="宋体" w:eastAsia="宋体" w:cs="宋体"/>
                <w:kern w:val="0"/>
                <w:sz w:val="21"/>
                <w:szCs w:val="21"/>
                <w:lang w:val="en-US" w:eastAsia="zh-CN" w:bidi="ar"/>
              </w:rPr>
              <w:t>、油缸压力，油缸工作压力，计算的时候经常是用试验压力，低于16MPa乘以1.5，高于16MPa乘以1.25。</w:t>
            </w:r>
            <w:r>
              <w:rPr>
                <w:rFonts w:hint="eastAsia" w:ascii="宋体" w:hAnsi="宋体" w:eastAsia="宋体" w:cs="宋体"/>
                <w:kern w:val="0"/>
                <w:sz w:val="21"/>
                <w:szCs w:val="21"/>
                <w:lang w:val="en-US" w:eastAsia="zh-CN" w:bidi="ar"/>
              </w:rPr>
              <w:t>4</w:t>
            </w:r>
            <w:r>
              <w:rPr>
                <w:rFonts w:ascii="宋体" w:hAnsi="宋体" w:eastAsia="宋体" w:cs="宋体"/>
                <w:kern w:val="0"/>
                <w:sz w:val="21"/>
                <w:szCs w:val="21"/>
                <w:lang w:val="en-US" w:eastAsia="zh-CN" w:bidi="ar"/>
              </w:rPr>
              <w:t>、油缸行程</w:t>
            </w:r>
            <w:r>
              <w:rPr>
                <w:rFonts w:hint="eastAsia" w:ascii="宋体" w:hAnsi="宋体" w:eastAsia="宋体" w:cs="宋体"/>
                <w:kern w:val="0"/>
                <w:sz w:val="21"/>
                <w:szCs w:val="21"/>
                <w:lang w:val="en-US" w:eastAsia="zh-CN" w:bidi="ar"/>
              </w:rPr>
              <w:t>2m</w:t>
            </w:r>
            <w:r>
              <w:rPr>
                <w:rFonts w:ascii="宋体" w:hAnsi="宋体" w:eastAsia="宋体" w:cs="宋体"/>
                <w:kern w:val="0"/>
                <w:sz w:val="21"/>
                <w:szCs w:val="21"/>
                <w:lang w:val="en-US" w:eastAsia="zh-CN" w:bidi="ar"/>
              </w:rPr>
              <w:t>；</w:t>
            </w:r>
            <w:r>
              <w:rPr>
                <w:rFonts w:hint="eastAsia" w:ascii="宋体" w:hAnsi="宋体" w:eastAsia="宋体" w:cs="宋体"/>
                <w:kern w:val="0"/>
                <w:sz w:val="21"/>
                <w:szCs w:val="21"/>
                <w:lang w:val="en-US" w:eastAsia="zh-CN" w:bidi="ar"/>
              </w:rPr>
              <w:t>5</w:t>
            </w:r>
            <w:r>
              <w:rPr>
                <w:rFonts w:ascii="宋体" w:hAnsi="宋体" w:eastAsia="宋体" w:cs="宋体"/>
                <w:kern w:val="0"/>
                <w:sz w:val="21"/>
                <w:szCs w:val="21"/>
                <w:lang w:val="en-US" w:eastAsia="zh-CN" w:bidi="ar"/>
              </w:rPr>
              <w:t>、是否有缓冲</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根据工况情况定，活塞杆伸出收缩如果冲击大一般都要缓冲的。</w:t>
            </w:r>
            <w:r>
              <w:rPr>
                <w:rFonts w:hint="eastAsia" w:ascii="宋体" w:hAnsi="宋体" w:eastAsia="宋体" w:cs="宋体"/>
                <w:kern w:val="0"/>
                <w:sz w:val="21"/>
                <w:szCs w:val="21"/>
                <w:lang w:val="en-US" w:eastAsia="zh-CN" w:bidi="ar"/>
              </w:rPr>
              <w:t>6</w:t>
            </w:r>
            <w:r>
              <w:rPr>
                <w:rFonts w:ascii="宋体" w:hAnsi="宋体" w:eastAsia="宋体" w:cs="宋体"/>
                <w:kern w:val="0"/>
                <w:sz w:val="21"/>
                <w:szCs w:val="21"/>
                <w:lang w:val="en-US" w:eastAsia="zh-CN" w:bidi="ar"/>
              </w:rPr>
              <w:t>、油缸的安装方式；</w:t>
            </w:r>
            <w:r>
              <w:rPr>
                <w:rFonts w:hint="eastAsia" w:ascii="宋体" w:hAnsi="宋体" w:eastAsia="宋体" w:cs="宋体"/>
                <w:kern w:val="0"/>
                <w:sz w:val="21"/>
                <w:szCs w:val="21"/>
                <w:lang w:val="en-US" w:eastAsia="zh-CN" w:bidi="ar"/>
              </w:rPr>
              <w:t>达到要求性能的油缸即为好，频繁出现故障的油缸即为坏；</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油泵</w:t>
            </w:r>
          </w:p>
        </w:tc>
        <w:tc>
          <w:tcPr>
            <w:tcW w:w="4921" w:type="dxa"/>
            <w:vAlign w:val="center"/>
          </w:tcPr>
          <w:p>
            <w:pPr>
              <w:widowControl/>
              <w:wordWrap w:val="0"/>
              <w:jc w:val="left"/>
              <w:rPr>
                <w:rFonts w:hint="eastAsia"/>
                <w:sz w:val="21"/>
                <w:szCs w:val="21"/>
                <w:vertAlign w:val="baseline"/>
                <w:lang w:val="en-US" w:eastAsia="zh-CN"/>
              </w:rPr>
            </w:pPr>
            <w:r>
              <w:rPr>
                <w:rFonts w:ascii="宋体" w:hAnsi="宋体" w:cs="宋体"/>
                <w:color w:val="333333"/>
                <w:kern w:val="0"/>
                <w:sz w:val="21"/>
                <w:szCs w:val="21"/>
              </w:rPr>
              <w:t>（1）泵的排量（mL/r）泵每旋转一周、所能排出的液体体积。（2）泵的理论流量（L/min）在额定转数时、用计算方法得到的单位时间内泵能排出的最大流量。（3）泵的额定流量（L/min）在正常工作条件下；保证泵长时间运转所能输出的最大流量。（4）泵的额定压力（MPa）在正常工作条件下，能保证泵能长时间运转的最高压力。（5）泵的最高压力（MPa）允许泵在短时间内超过额定压力运转时的最高压力。（6）泵的额定转数（r/min）在额定压力下，能保证长时间正常运转的最高转数。（7）泵的最高转数（r/min）在额定压力下，允许泵在短时间内超过额定转速运转时的最高转数。（8）泵的容积效率（%）泵的实际输出流量与理论流量的比值。（9）泵的总效率（%）泵输出的液压功率与输入的机械功率的比值。（10）泵的驱动功率（kW）在正常工作条件下能驱动液压泵的机械功率。</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9</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油管及配件</w:t>
            </w:r>
          </w:p>
        </w:tc>
        <w:tc>
          <w:tcPr>
            <w:tcW w:w="4921" w:type="dxa"/>
            <w:vAlign w:val="center"/>
          </w:tcPr>
          <w:p>
            <w:pPr>
              <w:jc w:val="center"/>
              <w:rPr>
                <w:rFonts w:hint="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10x2增强液压橡胶软管，符合国家标准MT/T98—2006</w:t>
            </w:r>
          </w:p>
        </w:tc>
        <w:tc>
          <w:tcPr>
            <w:tcW w:w="69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米</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10</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外来电源</w:t>
            </w:r>
          </w:p>
        </w:tc>
        <w:tc>
          <w:tcPr>
            <w:tcW w:w="4921" w:type="dxa"/>
            <w:vAlign w:val="center"/>
          </w:tcPr>
          <w:p>
            <w:pPr>
              <w:jc w:val="center"/>
              <w:rPr>
                <w:rFonts w:hint="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Kvv22—19*1mm</w:t>
            </w:r>
            <w:r>
              <w:rPr>
                <w:rFonts w:hint="eastAsia" w:asciiTheme="minorEastAsia" w:hAnsiTheme="minorEastAsia" w:cstheme="minorEastAsia"/>
                <w:sz w:val="21"/>
                <w:szCs w:val="21"/>
                <w:vertAlign w:val="baseline"/>
                <w:lang w:val="en-US" w:eastAsia="zh-CN"/>
              </w:rPr>
              <w:t>铜</w:t>
            </w:r>
            <w:r>
              <w:rPr>
                <w:rFonts w:hint="eastAsia" w:asciiTheme="minorEastAsia" w:hAnsiTheme="minorEastAsia" w:eastAsiaTheme="minorEastAsia" w:cstheme="minorEastAsia"/>
                <w:sz w:val="21"/>
                <w:szCs w:val="21"/>
                <w:vertAlign w:val="baseline"/>
                <w:lang w:val="en-US" w:eastAsia="zh-CN"/>
              </w:rPr>
              <w:t>线</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米</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11</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远程遥控、远程对话</w:t>
            </w:r>
          </w:p>
        </w:tc>
        <w:tc>
          <w:tcPr>
            <w:tcW w:w="4921" w:type="dxa"/>
            <w:vAlign w:val="center"/>
          </w:tcPr>
          <w:p>
            <w:pPr>
              <w:keepNext w:val="0"/>
              <w:keepLines w:val="0"/>
              <w:widowControl/>
              <w:suppressLineNumbers w:val="0"/>
              <w:ind w:left="0" w:leftChars="0" w:firstLine="0" w:firstLineChars="0"/>
              <w:jc w:val="left"/>
              <w:rPr>
                <w:rFonts w:hint="eastAsia"/>
                <w:sz w:val="21"/>
                <w:szCs w:val="21"/>
                <w:vertAlign w:val="baseline"/>
                <w:lang w:val="en-US" w:eastAsia="zh-CN"/>
              </w:rPr>
            </w:pPr>
            <w:r>
              <w:rPr>
                <w:rFonts w:ascii="宋体" w:hAnsi="宋体" w:eastAsia="宋体" w:cs="宋体"/>
                <w:kern w:val="0"/>
                <w:sz w:val="21"/>
                <w:szCs w:val="21"/>
                <w:lang w:val="en-US" w:eastAsia="zh-CN" w:bidi="ar"/>
              </w:rPr>
              <w:t>1、</w:t>
            </w:r>
            <w:r>
              <w:rPr>
                <w:rFonts w:hint="eastAsia" w:ascii="宋体" w:hAnsi="宋体" w:eastAsia="宋体" w:cs="宋体"/>
                <w:kern w:val="0"/>
                <w:sz w:val="21"/>
                <w:szCs w:val="21"/>
                <w:lang w:val="en-US" w:eastAsia="zh-CN" w:bidi="ar"/>
              </w:rPr>
              <w:t>PIC</w:t>
            </w:r>
            <w:r>
              <w:rPr>
                <w:rFonts w:ascii="宋体" w:hAnsi="宋体" w:eastAsia="宋体" w:cs="宋体"/>
                <w:kern w:val="0"/>
                <w:sz w:val="21"/>
                <w:szCs w:val="21"/>
                <w:lang w:val="en-US" w:eastAsia="zh-CN" w:bidi="ar"/>
              </w:rPr>
              <w:t>带有以太网的控制设备的IP地址与设备保持在同一个网关，比如WITLINE-BOX的默认网关是:192.168.10.1 那么设置PLC或其它控制的IP地址为192.168.10.20,子网掩码:255.255.255.0 网关192.168.10.1，2、如果没有开启跨域组网，直接在跨域组网里基本设置开启并启用即可；设置好客户端帐号密码，这里的IP不要和PLC等冲突。3、设备的蓝色网关是连接外部路由器或4G路由器的网络口，带有以太网的控制器或上位机机配置WITLINE-BOX是连到设备的LAN口上。4、然后通过WAN口连上网络即可，如果现场场没有线网络，可用4G路由器提供4G网络同可，支持电信、移动、联通等信号，或临时用手机热电分享网络给设备使用。</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12</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园标牌</w:t>
            </w:r>
          </w:p>
        </w:tc>
        <w:tc>
          <w:tcPr>
            <w:tcW w:w="492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60圆铝标牌</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13</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高清抓拍</w:t>
            </w:r>
          </w:p>
        </w:tc>
        <w:tc>
          <w:tcPr>
            <w:tcW w:w="4921" w:type="dxa"/>
            <w:vAlign w:val="center"/>
          </w:tcPr>
          <w:p>
            <w:pPr>
              <w:keepNext w:val="0"/>
              <w:keepLines w:val="0"/>
              <w:widowControl/>
              <w:suppressLineNumbers w:val="0"/>
              <w:jc w:val="left"/>
              <w:rPr>
                <w:rFonts w:hint="eastAsia"/>
                <w:sz w:val="21"/>
                <w:szCs w:val="21"/>
                <w:vertAlign w:val="baseline"/>
                <w:lang w:val="en-US" w:eastAsia="zh-CN"/>
              </w:rPr>
            </w:pPr>
            <w:r>
              <w:rPr>
                <w:rFonts w:ascii="宋体" w:hAnsi="宋体" w:eastAsia="宋体" w:cs="宋体"/>
                <w:kern w:val="0"/>
                <w:sz w:val="21"/>
                <w:szCs w:val="21"/>
                <w:lang w:val="en-US" w:eastAsia="zh-CN" w:bidi="ar"/>
              </w:rPr>
              <w:t>第一当然是感光元器件CCD/CMOS，第二是镜头，第三是图像处理器芯片相当于摄像机的“大脑”，或者说代表了摄像机计算能力的CPU，这三者都是影响摄像机拍摄质量最重要部件 按CCD靶面大小划分 CCD芯片已经开发出多种尺寸： 目前采用的芯片大多数为1/3"和1/4"。在购买摄像头时，特别是对摄像角度有比较严格要求的时候，CCD靶面的大小，CCD与镜头的配合情况将直接影响视场角的大小和图像的清晰度。1英寸--靶面尺寸为宽12.7mm*高9.6mm，对角线16mm。 2/3英寸--靶面尺寸为宽8.8mm*高6.6mm，对角线11mm。 1/2英寸--靶面尺寸为宽6.4mm*高4.8mm，对角线8mm。 1/3英寸--靶面尺寸为宽4.8mm*高3.6mm，对角线6mm。 1/4英寸--靶面尺寸为宽3.2mm*高2.4mm，对角线4mm。　　1、 镜头的参数　　镜头的光学特性包括成像尺寸、焦距、相对孔径和视场角等几个参数，一般在镜头所附的说明书中都有注明，以下分别介绍。　　A、成像尺寸　　镜头一般可分为25.4mm（lin）、16.9mm（2/3in）、12.7mm（1/2in）、8.47mm（1/3in）和6.35mm（1/4in）等几种规格，它们分别对应着不同的成像尺寸，选用镜头时，应使镜头的成像尺寸与摄像机的靶面尺寸大小相吻合。常见CCD芯片的靶面尺寸，单位为mm。</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14</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爆闪灯</w:t>
            </w:r>
          </w:p>
        </w:tc>
        <w:tc>
          <w:tcPr>
            <w:tcW w:w="4921" w:type="dxa"/>
            <w:vAlign w:val="center"/>
          </w:tcPr>
          <w:p>
            <w:pPr>
              <w:keepNext w:val="0"/>
              <w:keepLines w:val="0"/>
              <w:widowControl/>
              <w:suppressLineNumbers w:val="0"/>
              <w:jc w:val="left"/>
              <w:rPr>
                <w:rFonts w:hint="eastAsia"/>
                <w:sz w:val="21"/>
                <w:szCs w:val="21"/>
                <w:vertAlign w:val="baseline"/>
                <w:lang w:val="en-US" w:eastAsia="zh-CN"/>
              </w:rPr>
            </w:pPr>
            <w:r>
              <w:rPr>
                <w:rFonts w:hint="eastAsia" w:asciiTheme="minorEastAsia" w:hAnsiTheme="minorEastAsia" w:eastAsiaTheme="minorEastAsia" w:cstheme="minorEastAsia"/>
                <w:kern w:val="0"/>
                <w:sz w:val="21"/>
                <w:szCs w:val="21"/>
                <w:lang w:val="en-US" w:eastAsia="zh-CN" w:bidi="ar"/>
              </w:rPr>
              <w:t>1.LED寿命10万小时,红色和蓝色 。2.蓄电池功率12V/4Ah,寿命2年。3.可视距离2km。4.闪烁功率大于180次/min。5.太阳能电池板功率：3W。</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15</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道路指示牌</w:t>
            </w:r>
          </w:p>
        </w:tc>
        <w:tc>
          <w:tcPr>
            <w:tcW w:w="492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1"/>
                <w:szCs w:val="21"/>
                <w:vertAlign w:val="baseline"/>
                <w:lang w:val="en-US" w:eastAsia="zh-CN"/>
              </w:rPr>
            </w:pPr>
            <w:r>
              <w:rPr>
                <w:rFonts w:hint="eastAsia" w:ascii="宋体" w:hAnsi="宋体" w:cs="宋体"/>
                <w:kern w:val="0"/>
                <w:sz w:val="22"/>
              </w:rPr>
              <w:t>1、标志板：3000mm*</w:t>
            </w:r>
            <w:r>
              <w:rPr>
                <w:rFonts w:hint="eastAsia" w:ascii="宋体" w:hAnsi="宋体" w:cs="宋体"/>
                <w:kern w:val="0"/>
                <w:sz w:val="22"/>
                <w:lang w:val="en-US" w:eastAsia="zh-CN"/>
              </w:rPr>
              <w:t>20</w:t>
            </w:r>
            <w:r>
              <w:rPr>
                <w:rFonts w:hint="eastAsia" w:ascii="宋体" w:hAnsi="宋体" w:cs="宋体"/>
                <w:kern w:val="0"/>
                <w:sz w:val="22"/>
              </w:rPr>
              <w:t>00mm,铝板3mm厚，Ⅳ类反光膜；2、双立柱式主杆</w:t>
            </w:r>
            <w:r>
              <w:rPr>
                <w:rFonts w:hint="eastAsia" w:ascii="MS Mincho" w:hAnsi="MS Mincho" w:eastAsia="MS Mincho" w:cs="MS Mincho"/>
                <w:kern w:val="0"/>
                <w:sz w:val="22"/>
              </w:rPr>
              <w:t>∅</w:t>
            </w:r>
            <w:r>
              <w:rPr>
                <w:rFonts w:hint="eastAsia" w:ascii="宋体" w:hAnsi="宋体" w:cs="宋体"/>
                <w:kern w:val="0"/>
                <w:sz w:val="22"/>
              </w:rPr>
              <w:t>140*5*5500*2根 ；滑道4根2600mm 管扣140,8个；4、基础：1*1*1.2米基坑开挖C25砼浇筑，含垃圾清运</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16</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监控摄像机</w:t>
            </w:r>
          </w:p>
        </w:tc>
        <w:tc>
          <w:tcPr>
            <w:tcW w:w="4921"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(1）智能摄像机球形X2；成像色彩：彩色；分辨率：主码流 50Hz：25fps;压缩格式：视频压缩：H.265/H.264/MJ;电子快门1/1-1/30000秒；</w:t>
            </w:r>
          </w:p>
          <w:p>
            <w:pPr>
              <w:jc w:val="both"/>
              <w:rPr>
                <w:rFonts w:hint="eastAsia"/>
                <w:sz w:val="21"/>
                <w:szCs w:val="21"/>
                <w:vertAlign w:val="baseline"/>
                <w:lang w:val="en-US" w:eastAsia="zh-CN"/>
              </w:rPr>
            </w:pPr>
            <w:r>
              <w:rPr>
                <w:rFonts w:hint="eastAsia"/>
                <w:sz w:val="21"/>
                <w:szCs w:val="21"/>
                <w:vertAlign w:val="baseline"/>
                <w:lang w:val="en-US" w:eastAsia="zh-CN"/>
              </w:rPr>
              <w:t>信噪此≥52dB；动态侦测区域入侵侦测、越界侦测、音频异常侦测（仅-E型号支持）、移动侦测、视频遮挡侦测；（2）网络硬盘录像机；通讯接口：语音对讲输入X1个；网络接口X1个；USB接口X2个；网络视频输入：4路；网络视频接入带宽：25Mbps；视章频输出：HDMI输入，VGA输出；录像抓图模式：手动录像，定时录像，移动侦测录像，报警录像，动测或报警录像，动测和报警录像；回放模式：即时回放，常规回放，事件回放，标签回放，日志回放同步回放：4路；主要数据参数：硬盘驱动器类型：1个SATA接口，每个接口支持容量最大4TB的硬盘；电压DC12v；功率：≤6w；外形尺寸：205mm×205mm×45mm；重量≤1KG；(3)室外防水电源；(4)线材，超5类铜线、电源线；网络，光纤、宽带；(5)网络设备，交换机、光纤收发器及宽带猫；硬盘1T监控专用盘</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台</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17</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电箱</w:t>
            </w:r>
          </w:p>
        </w:tc>
        <w:tc>
          <w:tcPr>
            <w:tcW w:w="4921" w:type="dxa"/>
            <w:vAlign w:val="center"/>
          </w:tcPr>
          <w:p>
            <w:pPr>
              <w:jc w:val="center"/>
              <w:rPr>
                <w:rFonts w:hint="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50x40x20符合国家标准GB502541996《电器装置安装工程低压电器施工及验收规范》</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18</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阻燃复合板房</w:t>
            </w:r>
          </w:p>
        </w:tc>
        <w:tc>
          <w:tcPr>
            <w:tcW w:w="492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5mx3m复合板房</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19</w:t>
            </w:r>
          </w:p>
        </w:tc>
        <w:tc>
          <w:tcPr>
            <w:tcW w:w="1634"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抓拍柱子、横杆</w:t>
            </w:r>
          </w:p>
        </w:tc>
        <w:tc>
          <w:tcPr>
            <w:tcW w:w="4921" w:type="dxa"/>
            <w:vAlign w:val="center"/>
          </w:tcPr>
          <w:p>
            <w:pPr>
              <w:jc w:val="center"/>
              <w:rPr>
                <w:rFonts w:hint="eastAsia"/>
                <w:sz w:val="21"/>
                <w:szCs w:val="21"/>
                <w:vertAlign w:val="baseline"/>
                <w:lang w:val="en-US" w:eastAsia="zh-CN"/>
              </w:rPr>
            </w:pPr>
            <w:r>
              <w:rPr>
                <w:rFonts w:hint="eastAsia" w:ascii="宋体" w:hAnsi="宋体" w:cs="宋体"/>
                <w:kern w:val="0"/>
                <w:sz w:val="22"/>
              </w:rPr>
              <w:t>八棱镀锌杆，立杆对角φ220-285-6mm厚-6.8m，横臂对角φ110-210-4mm厚-7m。底端为6孔法兰盘φ500厚16mm。</w:t>
            </w:r>
          </w:p>
        </w:tc>
        <w:tc>
          <w:tcPr>
            <w:tcW w:w="69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bl>
    <w:p>
      <w:pPr>
        <w:jc w:val="left"/>
        <w:rPr>
          <w:rFonts w:hint="eastAsia"/>
          <w:sz w:val="21"/>
          <w:szCs w:val="21"/>
          <w:lang w:val="en-US" w:eastAsia="zh-CN"/>
        </w:rPr>
      </w:pPr>
    </w:p>
    <w:p>
      <w:pPr>
        <w:jc w:val="left"/>
        <w:rPr>
          <w:rFonts w:hint="eastAsia"/>
          <w:sz w:val="21"/>
          <w:szCs w:val="21"/>
          <w:lang w:val="en-US" w:eastAsia="zh-CN"/>
        </w:rPr>
      </w:pPr>
      <w:r>
        <w:rPr>
          <w:rFonts w:hint="eastAsia"/>
          <w:sz w:val="21"/>
          <w:szCs w:val="21"/>
          <w:lang w:val="en-US" w:eastAsia="zh-CN"/>
        </w:rPr>
        <w:t>项目名称：董村转盘西限高设施</w:t>
      </w:r>
    </w:p>
    <w:tbl>
      <w:tblPr>
        <w:tblStyle w:val="27"/>
        <w:tblW w:w="9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650"/>
        <w:gridCol w:w="4711"/>
        <w:gridCol w:w="120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序号</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货物名称</w:t>
            </w:r>
          </w:p>
        </w:tc>
        <w:tc>
          <w:tcPr>
            <w:tcW w:w="471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货物型号及规格</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计量单位</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钢管柱</w:t>
            </w:r>
          </w:p>
        </w:tc>
        <w:tc>
          <w:tcPr>
            <w:tcW w:w="4711" w:type="dxa"/>
            <w:shd w:val="clear" w:color="FFFFFF" w:fill="FFFFFF"/>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sz w:val="21"/>
                <w:szCs w:val="21"/>
                <w:vertAlign w:val="baseline"/>
                <w:lang w:val="en-US" w:eastAsia="zh-CN"/>
              </w:rPr>
              <w:t>100*200*8#235矩型管、100*150*6@235矩型管、100*100*4#235方管</w:t>
            </w:r>
          </w:p>
        </w:tc>
        <w:tc>
          <w:tcPr>
            <w:tcW w:w="120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w:t>
            </w:r>
          </w:p>
        </w:tc>
        <w:tc>
          <w:tcPr>
            <w:tcW w:w="96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钢梁</w:t>
            </w:r>
          </w:p>
        </w:tc>
        <w:tc>
          <w:tcPr>
            <w:tcW w:w="471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80*80*8#235方管、80*80*4#235方管</w:t>
            </w:r>
          </w:p>
        </w:tc>
        <w:tc>
          <w:tcPr>
            <w:tcW w:w="1200" w:type="dxa"/>
            <w:vAlign w:val="center"/>
          </w:tcPr>
          <w:p>
            <w:pPr>
              <w:jc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t</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3.615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3</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金属面油漆</w:t>
            </w:r>
          </w:p>
        </w:tc>
        <w:tc>
          <w:tcPr>
            <w:tcW w:w="4711" w:type="dxa"/>
            <w:shd w:val="clear" w:color="FFFFFF" w:fill="FFFFFF"/>
            <w:vAlign w:val="center"/>
          </w:tcPr>
          <w:p>
            <w:pPr>
              <w:keepNext w:val="0"/>
              <w:keepLines w:val="0"/>
              <w:widowControl/>
              <w:suppressLineNumbers w:val="0"/>
              <w:jc w:val="center"/>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金属氟碳漆、黄色反光膜</w:t>
            </w:r>
          </w:p>
        </w:tc>
        <w:tc>
          <w:tcPr>
            <w:tcW w:w="120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960" w:type="dxa"/>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预埋铁件</w:t>
            </w:r>
          </w:p>
        </w:tc>
        <w:tc>
          <w:tcPr>
            <w:tcW w:w="471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18mm钢板</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t</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5</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高强螺栓</w:t>
            </w:r>
          </w:p>
        </w:tc>
        <w:tc>
          <w:tcPr>
            <w:tcW w:w="4711" w:type="dxa"/>
            <w:vAlign w:val="center"/>
          </w:tcPr>
          <w:p>
            <w:pPr>
              <w:jc w:val="center"/>
              <w:rPr>
                <w:rFonts w:hint="eastAsia"/>
                <w:sz w:val="21"/>
                <w:szCs w:val="21"/>
                <w:vertAlign w:val="baseline"/>
                <w:lang w:val="en-US" w:eastAsia="zh-CN"/>
              </w:rPr>
            </w:pPr>
            <w:r>
              <w:rPr>
                <w:rFonts w:hint="eastAsia"/>
                <w:sz w:val="24"/>
                <w:szCs w:val="24"/>
                <w:vertAlign w:val="baseline"/>
                <w:lang w:val="en-US" w:eastAsia="zh-CN"/>
              </w:rPr>
              <w:t>Φ</w:t>
            </w:r>
            <w:r>
              <w:rPr>
                <w:rFonts w:hint="eastAsia"/>
                <w:sz w:val="21"/>
                <w:szCs w:val="21"/>
                <w:vertAlign w:val="baseline"/>
                <w:lang w:val="en-US" w:eastAsia="zh-CN"/>
              </w:rPr>
              <w:t>30</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6</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现浇构件钢筋</w:t>
            </w:r>
          </w:p>
        </w:tc>
        <w:tc>
          <w:tcPr>
            <w:tcW w:w="4711" w:type="dxa"/>
            <w:vAlign w:val="center"/>
          </w:tcPr>
          <w:p>
            <w:pPr>
              <w:jc w:val="center"/>
              <w:rPr>
                <w:rFonts w:hint="eastAsia"/>
                <w:sz w:val="21"/>
                <w:szCs w:val="21"/>
                <w:vertAlign w:val="baseline"/>
                <w:lang w:val="en-US" w:eastAsia="zh-CN"/>
              </w:rPr>
            </w:pPr>
            <w:r>
              <w:rPr>
                <w:rFonts w:hint="eastAsia"/>
                <w:sz w:val="24"/>
                <w:szCs w:val="24"/>
                <w:vertAlign w:val="baseline"/>
                <w:lang w:val="en-US" w:eastAsia="zh-CN"/>
              </w:rPr>
              <w:t>Φ</w:t>
            </w:r>
            <w:r>
              <w:rPr>
                <w:rFonts w:hint="eastAsia"/>
                <w:sz w:val="21"/>
                <w:szCs w:val="21"/>
                <w:vertAlign w:val="baseline"/>
                <w:lang w:val="en-US" w:eastAsia="zh-CN"/>
              </w:rPr>
              <w:t>12、</w:t>
            </w:r>
            <w:r>
              <w:rPr>
                <w:rFonts w:hint="eastAsia"/>
                <w:sz w:val="24"/>
                <w:szCs w:val="24"/>
                <w:vertAlign w:val="baseline"/>
                <w:lang w:val="en-US" w:eastAsia="zh-CN"/>
              </w:rPr>
              <w:t>Φ</w:t>
            </w:r>
            <w:r>
              <w:rPr>
                <w:rFonts w:hint="eastAsia"/>
                <w:sz w:val="21"/>
                <w:szCs w:val="21"/>
                <w:vertAlign w:val="baseline"/>
                <w:lang w:val="en-US" w:eastAsia="zh-CN"/>
              </w:rPr>
              <w:t>22螺纹钢</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t</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7</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油缸</w:t>
            </w:r>
          </w:p>
        </w:tc>
        <w:tc>
          <w:tcPr>
            <w:tcW w:w="4711" w:type="dxa"/>
            <w:vAlign w:val="center"/>
          </w:tcPr>
          <w:p>
            <w:pPr>
              <w:keepNext w:val="0"/>
              <w:keepLines w:val="0"/>
              <w:widowControl/>
              <w:numPr>
                <w:ilvl w:val="0"/>
                <w:numId w:val="0"/>
              </w:numPr>
              <w:suppressLineNumbers w:val="0"/>
              <w:ind w:left="0" w:leftChars="0" w:firstLine="0" w:firstLineChars="0"/>
              <w:jc w:val="left"/>
              <w:rPr>
                <w:rFonts w:hint="eastAsia"/>
                <w:sz w:val="21"/>
                <w:szCs w:val="21"/>
                <w:vertAlign w:val="baseline"/>
                <w:lang w:val="en-US" w:eastAsia="zh-CN"/>
              </w:rPr>
            </w:pPr>
            <w:r>
              <w:rPr>
                <w:rFonts w:hint="eastAsia" w:ascii="宋体" w:hAnsi="宋体" w:eastAsia="宋体" w:cs="宋体"/>
                <w:kern w:val="0"/>
                <w:sz w:val="21"/>
                <w:szCs w:val="21"/>
                <w:lang w:val="en-US" w:eastAsia="zh-CN" w:bidi="ar"/>
              </w:rPr>
              <w:t>1、</w:t>
            </w:r>
            <w:r>
              <w:rPr>
                <w:rFonts w:ascii="宋体" w:hAnsi="宋体" w:eastAsia="宋体" w:cs="宋体"/>
                <w:kern w:val="0"/>
                <w:sz w:val="21"/>
                <w:szCs w:val="21"/>
                <w:lang w:val="en-US" w:eastAsia="zh-CN" w:bidi="ar"/>
              </w:rPr>
              <w:t>进出口直径及螺纹参数；</w:t>
            </w:r>
            <w:r>
              <w:rPr>
                <w:rFonts w:hint="eastAsia" w:ascii="宋体" w:hAnsi="宋体" w:eastAsia="宋体" w:cs="宋体"/>
                <w:kern w:val="0"/>
                <w:sz w:val="21"/>
                <w:szCs w:val="21"/>
                <w:lang w:val="en-US" w:eastAsia="zh-CN" w:bidi="ar"/>
              </w:rPr>
              <w:t>2、</w:t>
            </w:r>
            <w:r>
              <w:rPr>
                <w:rFonts w:ascii="宋体" w:hAnsi="宋体" w:eastAsia="宋体" w:cs="宋体"/>
                <w:kern w:val="0"/>
                <w:sz w:val="21"/>
                <w:szCs w:val="21"/>
                <w:lang w:val="en-US" w:eastAsia="zh-CN" w:bidi="ar"/>
              </w:rPr>
              <w:t>活塞杆直径；</w:t>
            </w:r>
            <w:r>
              <w:rPr>
                <w:rFonts w:hint="eastAsia" w:ascii="宋体" w:hAnsi="宋体" w:eastAsia="宋体" w:cs="宋体"/>
                <w:kern w:val="0"/>
                <w:sz w:val="21"/>
                <w:szCs w:val="21"/>
                <w:lang w:val="en-US" w:eastAsia="zh-CN" w:bidi="ar"/>
              </w:rPr>
              <w:t>3</w:t>
            </w:r>
            <w:r>
              <w:rPr>
                <w:rFonts w:ascii="宋体" w:hAnsi="宋体" w:eastAsia="宋体" w:cs="宋体"/>
                <w:kern w:val="0"/>
                <w:sz w:val="21"/>
                <w:szCs w:val="21"/>
                <w:lang w:val="en-US" w:eastAsia="zh-CN" w:bidi="ar"/>
              </w:rPr>
              <w:t>、油缸压力，油缸工作压力，计算的时候经常是用试验压力，低于16MPa乘以1.5，高于16MPa乘以1.25。</w:t>
            </w:r>
            <w:r>
              <w:rPr>
                <w:rFonts w:hint="eastAsia" w:ascii="宋体" w:hAnsi="宋体" w:eastAsia="宋体" w:cs="宋体"/>
                <w:kern w:val="0"/>
                <w:sz w:val="21"/>
                <w:szCs w:val="21"/>
                <w:lang w:val="en-US" w:eastAsia="zh-CN" w:bidi="ar"/>
              </w:rPr>
              <w:t>4</w:t>
            </w:r>
            <w:r>
              <w:rPr>
                <w:rFonts w:ascii="宋体" w:hAnsi="宋体" w:eastAsia="宋体" w:cs="宋体"/>
                <w:kern w:val="0"/>
                <w:sz w:val="21"/>
                <w:szCs w:val="21"/>
                <w:lang w:val="en-US" w:eastAsia="zh-CN" w:bidi="ar"/>
              </w:rPr>
              <w:t>、油缸行程</w:t>
            </w:r>
            <w:r>
              <w:rPr>
                <w:rFonts w:hint="eastAsia" w:ascii="宋体" w:hAnsi="宋体" w:eastAsia="宋体" w:cs="宋体"/>
                <w:kern w:val="0"/>
                <w:sz w:val="21"/>
                <w:szCs w:val="21"/>
                <w:lang w:val="en-US" w:eastAsia="zh-CN" w:bidi="ar"/>
              </w:rPr>
              <w:t>2m</w:t>
            </w:r>
            <w:r>
              <w:rPr>
                <w:rFonts w:ascii="宋体" w:hAnsi="宋体" w:eastAsia="宋体" w:cs="宋体"/>
                <w:kern w:val="0"/>
                <w:sz w:val="21"/>
                <w:szCs w:val="21"/>
                <w:lang w:val="en-US" w:eastAsia="zh-CN" w:bidi="ar"/>
              </w:rPr>
              <w:t>；</w:t>
            </w:r>
            <w:r>
              <w:rPr>
                <w:rFonts w:hint="eastAsia" w:ascii="宋体" w:hAnsi="宋体" w:eastAsia="宋体" w:cs="宋体"/>
                <w:kern w:val="0"/>
                <w:sz w:val="21"/>
                <w:szCs w:val="21"/>
                <w:lang w:val="en-US" w:eastAsia="zh-CN" w:bidi="ar"/>
              </w:rPr>
              <w:t>5</w:t>
            </w:r>
            <w:r>
              <w:rPr>
                <w:rFonts w:ascii="宋体" w:hAnsi="宋体" w:eastAsia="宋体" w:cs="宋体"/>
                <w:kern w:val="0"/>
                <w:sz w:val="21"/>
                <w:szCs w:val="21"/>
                <w:lang w:val="en-US" w:eastAsia="zh-CN" w:bidi="ar"/>
              </w:rPr>
              <w:t>、是否有缓冲</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根据工况情况定，活塞杆伸出收缩如果冲击大一般都要缓冲的。</w:t>
            </w:r>
            <w:r>
              <w:rPr>
                <w:rFonts w:hint="eastAsia" w:ascii="宋体" w:hAnsi="宋体" w:eastAsia="宋体" w:cs="宋体"/>
                <w:kern w:val="0"/>
                <w:sz w:val="21"/>
                <w:szCs w:val="21"/>
                <w:lang w:val="en-US" w:eastAsia="zh-CN" w:bidi="ar"/>
              </w:rPr>
              <w:t>6</w:t>
            </w:r>
            <w:r>
              <w:rPr>
                <w:rFonts w:ascii="宋体" w:hAnsi="宋体" w:eastAsia="宋体" w:cs="宋体"/>
                <w:kern w:val="0"/>
                <w:sz w:val="21"/>
                <w:szCs w:val="21"/>
                <w:lang w:val="en-US" w:eastAsia="zh-CN" w:bidi="ar"/>
              </w:rPr>
              <w:t>、油缸的安装方式；</w:t>
            </w:r>
            <w:r>
              <w:rPr>
                <w:rFonts w:hint="eastAsia" w:ascii="宋体" w:hAnsi="宋体" w:eastAsia="宋体" w:cs="宋体"/>
                <w:kern w:val="0"/>
                <w:sz w:val="21"/>
                <w:szCs w:val="21"/>
                <w:lang w:val="en-US" w:eastAsia="zh-CN" w:bidi="ar"/>
              </w:rPr>
              <w:t>达到要求性能的油缸即为好，频繁出现故障的油缸即为坏；</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油泵</w:t>
            </w:r>
          </w:p>
        </w:tc>
        <w:tc>
          <w:tcPr>
            <w:tcW w:w="4711" w:type="dxa"/>
            <w:vAlign w:val="center"/>
          </w:tcPr>
          <w:p>
            <w:pPr>
              <w:widowControl/>
              <w:wordWrap w:val="0"/>
              <w:jc w:val="left"/>
              <w:rPr>
                <w:rFonts w:hint="eastAsia"/>
                <w:sz w:val="21"/>
                <w:szCs w:val="21"/>
                <w:vertAlign w:val="baseline"/>
                <w:lang w:val="en-US" w:eastAsia="zh-CN"/>
              </w:rPr>
            </w:pPr>
            <w:r>
              <w:rPr>
                <w:rFonts w:ascii="宋体" w:hAnsi="宋体" w:cs="宋体"/>
                <w:color w:val="333333"/>
                <w:kern w:val="0"/>
                <w:sz w:val="21"/>
                <w:szCs w:val="21"/>
              </w:rPr>
              <w:t>（1）泵的排量（mL/r）泵每旋转一周、所能排出的液体体积。（2）泵的理论流量（L/min）在额定转数时、用计算方法得到的单位时间内泵能排出的最大流量。（3）泵的额定流量（L/min）在正常工作条件下；保证泵长时间运转所能输出的最大流量。（4）泵的额定压力（MPa）在正常工作条件下，能保证泵能长时间运转的最高压力。（5）泵的最高压力（MPa）允许泵在短时间内超过额定压力运转时的最高压力。（6）泵的额定转数（r/min）在额定压力下，能保证长时间正常运转的最高转数。（7）泵的最高转数（r/min）在额定压力下，允许泵在短时间内超过额定转速运转时的最高转数。（8）泵的容积效率（%）泵的实际输出流量与理论流量的比值。（9）泵的总效率（%）泵输出的液压功率与输入的机械功率的比值。（10）泵的驱动功率（kW）在正常工作条件下能驱动液压泵的机械功率。</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9</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油管及配件</w:t>
            </w:r>
          </w:p>
        </w:tc>
        <w:tc>
          <w:tcPr>
            <w:tcW w:w="4711" w:type="dxa"/>
            <w:vAlign w:val="center"/>
          </w:tcPr>
          <w:p>
            <w:pPr>
              <w:jc w:val="center"/>
              <w:rPr>
                <w:rFonts w:hint="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10x2增强液压橡胶软管，符合国家标准MT/T98—2006</w:t>
            </w:r>
          </w:p>
        </w:tc>
        <w:tc>
          <w:tcPr>
            <w:tcW w:w="120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米</w:t>
            </w:r>
          </w:p>
        </w:tc>
        <w:tc>
          <w:tcPr>
            <w:tcW w:w="96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10</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电箱</w:t>
            </w:r>
          </w:p>
        </w:tc>
        <w:tc>
          <w:tcPr>
            <w:tcW w:w="4711" w:type="dxa"/>
            <w:vAlign w:val="center"/>
          </w:tcPr>
          <w:p>
            <w:pPr>
              <w:jc w:val="center"/>
              <w:rPr>
                <w:rFonts w:hint="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50x40x20符合国家标准GB502541996《电器装置安装工程低压电器施工及验收规范》</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11</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电缆</w:t>
            </w:r>
          </w:p>
        </w:tc>
        <w:tc>
          <w:tcPr>
            <w:tcW w:w="4711" w:type="dxa"/>
            <w:vAlign w:val="center"/>
          </w:tcPr>
          <w:p>
            <w:pPr>
              <w:jc w:val="center"/>
              <w:rPr>
                <w:rFonts w:hint="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Kvv22—19*1mm</w:t>
            </w:r>
            <w:r>
              <w:rPr>
                <w:rFonts w:hint="eastAsia" w:asciiTheme="minorEastAsia" w:hAnsiTheme="minorEastAsia" w:cstheme="minorEastAsia"/>
                <w:sz w:val="21"/>
                <w:szCs w:val="21"/>
                <w:vertAlign w:val="baseline"/>
                <w:lang w:val="en-US" w:eastAsia="zh-CN"/>
              </w:rPr>
              <w:t>铜</w:t>
            </w:r>
            <w:r>
              <w:rPr>
                <w:rFonts w:hint="eastAsia" w:asciiTheme="minorEastAsia" w:hAnsiTheme="minorEastAsia" w:eastAsiaTheme="minorEastAsia" w:cstheme="minorEastAsia"/>
                <w:sz w:val="21"/>
                <w:szCs w:val="21"/>
                <w:vertAlign w:val="baseline"/>
                <w:lang w:val="en-US" w:eastAsia="zh-CN"/>
              </w:rPr>
              <w:t>线</w:t>
            </w:r>
          </w:p>
        </w:tc>
        <w:tc>
          <w:tcPr>
            <w:tcW w:w="120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米</w:t>
            </w:r>
          </w:p>
        </w:tc>
        <w:tc>
          <w:tcPr>
            <w:tcW w:w="96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12</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园标牌</w:t>
            </w:r>
          </w:p>
        </w:tc>
        <w:tc>
          <w:tcPr>
            <w:tcW w:w="471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60圆铝标牌</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13</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远程遥控、远程对讲</w:t>
            </w:r>
          </w:p>
        </w:tc>
        <w:tc>
          <w:tcPr>
            <w:tcW w:w="4711" w:type="dxa"/>
            <w:vAlign w:val="center"/>
          </w:tcPr>
          <w:p>
            <w:pPr>
              <w:jc w:val="left"/>
              <w:rPr>
                <w:rFonts w:hint="eastAsia"/>
                <w:sz w:val="21"/>
                <w:szCs w:val="21"/>
                <w:vertAlign w:val="baseline"/>
                <w:lang w:val="en-US" w:eastAsia="zh-CN"/>
              </w:rPr>
            </w:pPr>
            <w:r>
              <w:rPr>
                <w:rFonts w:ascii="宋体" w:hAnsi="宋体" w:eastAsia="宋体" w:cs="宋体"/>
                <w:kern w:val="0"/>
                <w:sz w:val="21"/>
                <w:szCs w:val="21"/>
                <w:lang w:val="en-US" w:eastAsia="zh-CN" w:bidi="ar"/>
              </w:rPr>
              <w:t>1、</w:t>
            </w:r>
            <w:r>
              <w:rPr>
                <w:rFonts w:hint="eastAsia" w:ascii="宋体" w:hAnsi="宋体" w:eastAsia="宋体" w:cs="宋体"/>
                <w:kern w:val="0"/>
                <w:sz w:val="21"/>
                <w:szCs w:val="21"/>
                <w:lang w:val="en-US" w:eastAsia="zh-CN" w:bidi="ar"/>
              </w:rPr>
              <w:t>PIC</w:t>
            </w:r>
            <w:r>
              <w:rPr>
                <w:rFonts w:ascii="宋体" w:hAnsi="宋体" w:eastAsia="宋体" w:cs="宋体"/>
                <w:kern w:val="0"/>
                <w:sz w:val="21"/>
                <w:szCs w:val="21"/>
                <w:lang w:val="en-US" w:eastAsia="zh-CN" w:bidi="ar"/>
              </w:rPr>
              <w:t>带有以太网的控制设备的IP地址与设备保持在同一个网关，比如WITLINE-BOX的默认网关是:192.168.10.1 那么设置PLC或其它控制的IP地址为192.168.10.20,子网掩码:255.255.255.0 网关192.168.10.1，2、如果没有开启跨域组网，直接在跨域组网里基本设置开启并启用即可；设置好客户端帐号密码，这里的IP不要和PLC等冲突。3、设备的蓝色网关是连接外部路由器或4G路由器的网络口，带有以太网的控制器或上位机机配置WITLINE-BOX是连到设备的LAN口上。4、然后通过WAN口连上网络即可，如果现场场没有线网络，可用4G路由器提供4G网络同可，支持电信、移动、联通等信号，或临时用手机热电分享网络给设备使用。</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14</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爆闪灯</w:t>
            </w:r>
          </w:p>
        </w:tc>
        <w:tc>
          <w:tcPr>
            <w:tcW w:w="4711" w:type="dxa"/>
            <w:vAlign w:val="center"/>
          </w:tcPr>
          <w:p>
            <w:pPr>
              <w:jc w:val="left"/>
              <w:rPr>
                <w:rFonts w:hint="eastAsia"/>
                <w:sz w:val="21"/>
                <w:szCs w:val="21"/>
                <w:vertAlign w:val="baseline"/>
                <w:lang w:val="en-US" w:eastAsia="zh-CN"/>
              </w:rPr>
            </w:pPr>
            <w:r>
              <w:rPr>
                <w:rFonts w:hint="eastAsia" w:asciiTheme="minorEastAsia" w:hAnsiTheme="minorEastAsia" w:eastAsiaTheme="minorEastAsia" w:cstheme="minorEastAsia"/>
                <w:kern w:val="0"/>
                <w:sz w:val="21"/>
                <w:szCs w:val="21"/>
                <w:lang w:val="en-US" w:eastAsia="zh-CN" w:bidi="ar"/>
              </w:rPr>
              <w:t>1.LED寿命10万小时,红色和蓝色 。2.蓄电池功率12V/4Ah,寿命2年。3.可视距离2km。4.闪烁功率大于180次/min。5.太阳能电池板功率：3W。</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15</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道路指示牌</w:t>
            </w:r>
          </w:p>
        </w:tc>
        <w:tc>
          <w:tcPr>
            <w:tcW w:w="471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Theme="minorEastAsia"/>
                <w:sz w:val="21"/>
                <w:szCs w:val="21"/>
                <w:vertAlign w:val="baseline"/>
                <w:lang w:val="en-US" w:eastAsia="zh-CN"/>
              </w:rPr>
            </w:pPr>
            <w:r>
              <w:rPr>
                <w:rFonts w:hint="eastAsia" w:ascii="宋体" w:hAnsi="宋体" w:cs="宋体"/>
                <w:kern w:val="0"/>
                <w:sz w:val="22"/>
              </w:rPr>
              <w:t>1、标志板：3000mm*</w:t>
            </w:r>
            <w:r>
              <w:rPr>
                <w:rFonts w:hint="eastAsia" w:ascii="宋体" w:hAnsi="宋体" w:cs="宋体"/>
                <w:kern w:val="0"/>
                <w:sz w:val="22"/>
                <w:lang w:val="en-US" w:eastAsia="zh-CN"/>
              </w:rPr>
              <w:t>20</w:t>
            </w:r>
            <w:r>
              <w:rPr>
                <w:rFonts w:hint="eastAsia" w:ascii="宋体" w:hAnsi="宋体" w:cs="宋体"/>
                <w:kern w:val="0"/>
                <w:sz w:val="22"/>
              </w:rPr>
              <w:t>00mm,铝板3mm厚，Ⅳ类反光膜；2、双立柱式主杆</w:t>
            </w:r>
            <w:r>
              <w:rPr>
                <w:rFonts w:hint="eastAsia" w:ascii="MS Mincho" w:hAnsi="MS Mincho" w:eastAsia="MS Mincho" w:cs="MS Mincho"/>
                <w:kern w:val="0"/>
                <w:sz w:val="22"/>
              </w:rPr>
              <w:t>∅</w:t>
            </w:r>
            <w:r>
              <w:rPr>
                <w:rFonts w:hint="eastAsia" w:ascii="宋体" w:hAnsi="宋体" w:cs="宋体"/>
                <w:kern w:val="0"/>
                <w:sz w:val="22"/>
              </w:rPr>
              <w:t>140*5*5500*2根 ；滑道4根2600mm 管扣140,8个；4、基础：1*1*1.2米基坑开挖C25砼浇筑，含垃圾清运</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16</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监控摄像机</w:t>
            </w:r>
          </w:p>
        </w:tc>
        <w:tc>
          <w:tcPr>
            <w:tcW w:w="4711"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(1）智能摄像机球形X2；成像色彩：彩色；分辨率：主码流 50Hz：25fps;压缩格式：视频压缩：H.265/H.264/MJ;电子快门1/1-1/30000秒；信噪此≥52dB；动态侦测区域入侵侦测、越界侦测、音频异常侦测（仅-E型号支持）、移动侦测、视频遮挡侦测；（2）网络硬盘录像机；通讯接口：语音对讲输入X1个；网络接口X1个；USB接口X2个；网络视频输入：4路；网络视频接入带宽：25Mbps；视章频输出：HDMI输入，VGA输出；录像抓图模式：手动录像，定时录像，移动侦测录像，报警录像，动测或报警录像，动测和报警录像；回放模式：即时回放，常规回放，事件回放，标签回放，日志回放同步回放：4路；主要数据参数：硬盘驱动器类型：1个SATA接口，每个接口支持容量最大4TB的硬盘；电压DC12v；功率：≤6w；外形尺寸：205mm×205mm×45mm；重量≤1KG；(3)室外防水电源；(4)线材，超5类铜线、电源线；网络，光纤、宽带；(5)网络设备，交换机、光纤收发器及宽带猫；硬盘1T监控专用盘</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台</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17</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阻燃复合板房</w:t>
            </w:r>
          </w:p>
        </w:tc>
        <w:tc>
          <w:tcPr>
            <w:tcW w:w="471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5mx3m复合板房</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18</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高清抓拍</w:t>
            </w:r>
          </w:p>
        </w:tc>
        <w:tc>
          <w:tcPr>
            <w:tcW w:w="4711" w:type="dxa"/>
            <w:vAlign w:val="center"/>
          </w:tcPr>
          <w:p>
            <w:pPr>
              <w:jc w:val="both"/>
              <w:rPr>
                <w:rFonts w:hint="eastAsia"/>
                <w:sz w:val="21"/>
                <w:szCs w:val="21"/>
                <w:vertAlign w:val="baseline"/>
                <w:lang w:val="en-US" w:eastAsia="zh-CN"/>
              </w:rPr>
            </w:pPr>
            <w:r>
              <w:rPr>
                <w:rFonts w:ascii="宋体" w:hAnsi="宋体" w:eastAsia="宋体" w:cs="宋体"/>
                <w:kern w:val="0"/>
                <w:sz w:val="21"/>
                <w:szCs w:val="21"/>
                <w:lang w:val="en-US" w:eastAsia="zh-CN" w:bidi="ar"/>
              </w:rPr>
              <w:t>第一当然是感光元器件CCD/CMOS，第二是镜头，第三是图像处理器芯片相当于摄像机的“大脑”，或者说代表了摄像机计算能力的CPU，这三者都是影响摄像机拍摄质量最重要部件 按CCD靶面大小划分 CCD芯片已经开发出多种尺寸： 目前采用的芯片大多数为1/3"和1/4"。在购买摄像头时，特别是对摄像角度有比较严格要求的时候，CCD靶面的大小，CCD与镜头的配合情况将直接影响视场角的大小和图像的清晰度。1英寸--靶面尺寸为宽12.7mm*高9.6mm，对角线16mm。 2/3英寸--靶面尺寸为宽8.8mm*高6.6mm，对角线11mm。 1/2英寸--靶面尺寸为宽6.4mm*高4.8mm，对角线8mm。 1/3英寸--靶面尺寸为宽4.8mm*高3.6mm，对角线6mm。 1/4英寸--靶面尺寸为宽3.2mm*高2.4mm，对角线4mm。　　1、 镜头的参数　　镜头的光学特性包括成像尺寸、焦距、相对孔径和视场角等几个参数，一般在镜头所附的说明书中都有注明，以下分别介绍。　　A、成像尺寸　　镜头一般可分为25.4mm（lin）、16.9mm（2/3in）、12.7mm（1/2in）、8.47mm（1/3in）和6.35mm（1/4in）等几种规格，它们分别对应着不同的成像尺寸，选用镜头时，应使镜头的成像尺寸与摄像机的靶面尺寸大小相吻合。常见CCD芯片的靶面尺寸，单位为mm。</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41"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19</w:t>
            </w:r>
          </w:p>
        </w:tc>
        <w:tc>
          <w:tcPr>
            <w:tcW w:w="165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抓拍柱子、横杆</w:t>
            </w:r>
          </w:p>
        </w:tc>
        <w:tc>
          <w:tcPr>
            <w:tcW w:w="4711" w:type="dxa"/>
            <w:vAlign w:val="center"/>
          </w:tcPr>
          <w:p>
            <w:pPr>
              <w:jc w:val="center"/>
              <w:rPr>
                <w:rFonts w:hint="eastAsia"/>
                <w:sz w:val="21"/>
                <w:szCs w:val="21"/>
                <w:vertAlign w:val="baseline"/>
                <w:lang w:val="en-US" w:eastAsia="zh-CN"/>
              </w:rPr>
            </w:pPr>
            <w:r>
              <w:rPr>
                <w:rFonts w:hint="eastAsia" w:ascii="宋体" w:hAnsi="宋体" w:cs="宋体"/>
                <w:kern w:val="0"/>
                <w:sz w:val="22"/>
              </w:rPr>
              <w:t>八棱镀锌杆，立杆对角φ220-285-6mm厚-6.8m，横臂对角φ110-210-4mm厚-7m。底端为6孔法兰盘φ500厚16mm。</w:t>
            </w:r>
          </w:p>
        </w:tc>
        <w:tc>
          <w:tcPr>
            <w:tcW w:w="120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套</w:t>
            </w:r>
          </w:p>
        </w:tc>
        <w:tc>
          <w:tcPr>
            <w:tcW w:w="96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2</w:t>
            </w:r>
          </w:p>
        </w:tc>
      </w:tr>
    </w:tbl>
    <w:p>
      <w:pPr>
        <w:jc w:val="left"/>
        <w:rPr>
          <w:rFonts w:hint="eastAsia"/>
          <w:sz w:val="24"/>
          <w:szCs w:val="24"/>
          <w:lang w:val="en-US" w:eastAsia="zh-CN"/>
        </w:rPr>
      </w:pPr>
    </w:p>
    <w:p>
      <w:pPr>
        <w:numPr>
          <w:ilvl w:val="0"/>
          <w:numId w:val="0"/>
        </w:numPr>
        <w:autoSpaceDE w:val="0"/>
        <w:autoSpaceDN w:val="0"/>
        <w:adjustRightInd w:val="0"/>
        <w:spacing w:line="360" w:lineRule="auto"/>
        <w:ind w:right="-11" w:rightChars="0"/>
        <w:jc w:val="both"/>
        <w:rPr>
          <w:rFonts w:hint="eastAsia" w:cs="宋体" w:asciiTheme="majorEastAsia" w:hAnsiTheme="majorEastAsia" w:eastAsiaTheme="majorEastAsia"/>
          <w:b/>
          <w:color w:val="FF0000"/>
          <w:kern w:val="0"/>
          <w:sz w:val="32"/>
          <w:szCs w:val="32"/>
          <w:lang w:val="en-US" w:eastAsia="zh-CN"/>
        </w:rPr>
      </w:pPr>
    </w:p>
    <w:p>
      <w:pPr>
        <w:numPr>
          <w:ilvl w:val="0"/>
          <w:numId w:val="0"/>
        </w:numPr>
        <w:autoSpaceDE w:val="0"/>
        <w:autoSpaceDN w:val="0"/>
        <w:adjustRightInd w:val="0"/>
        <w:spacing w:line="360" w:lineRule="auto"/>
        <w:ind w:right="-11" w:rightChars="0" w:firstLine="2249" w:firstLineChars="700"/>
        <w:jc w:val="both"/>
        <w:rPr>
          <w:rFonts w:hint="eastAsia" w:cs="宋体" w:asciiTheme="majorEastAsia" w:hAnsiTheme="majorEastAsia" w:eastAsiaTheme="majorEastAsia"/>
          <w:b/>
          <w:color w:val="FF0000"/>
          <w:kern w:val="0"/>
          <w:sz w:val="32"/>
          <w:szCs w:val="32"/>
          <w:lang w:val="en-US" w:eastAsia="zh-CN"/>
        </w:rPr>
      </w:pPr>
    </w:p>
    <w:p>
      <w:pPr>
        <w:numPr>
          <w:ilvl w:val="0"/>
          <w:numId w:val="0"/>
        </w:numPr>
        <w:autoSpaceDE w:val="0"/>
        <w:autoSpaceDN w:val="0"/>
        <w:adjustRightInd w:val="0"/>
        <w:spacing w:line="360" w:lineRule="auto"/>
        <w:ind w:right="-11" w:rightChars="0" w:firstLine="2249" w:firstLineChars="700"/>
        <w:jc w:val="both"/>
        <w:rPr>
          <w:rFonts w:hint="eastAsia" w:cs="宋体" w:asciiTheme="majorEastAsia" w:hAnsiTheme="majorEastAsia" w:eastAsiaTheme="majorEastAsia"/>
          <w:b/>
          <w:color w:val="FF0000"/>
          <w:kern w:val="0"/>
          <w:sz w:val="32"/>
          <w:szCs w:val="32"/>
          <w:lang w:val="en-US" w:eastAsia="zh-CN"/>
        </w:rPr>
      </w:pPr>
    </w:p>
    <w:p>
      <w:pPr>
        <w:numPr>
          <w:ilvl w:val="0"/>
          <w:numId w:val="0"/>
        </w:numPr>
        <w:autoSpaceDE w:val="0"/>
        <w:autoSpaceDN w:val="0"/>
        <w:adjustRightInd w:val="0"/>
        <w:spacing w:line="360" w:lineRule="auto"/>
        <w:ind w:right="-11" w:rightChars="0" w:firstLine="2249" w:firstLineChars="700"/>
        <w:jc w:val="both"/>
        <w:rPr>
          <w:rFonts w:hint="eastAsia" w:cs="宋体" w:asciiTheme="majorEastAsia" w:hAnsiTheme="majorEastAsia" w:eastAsiaTheme="majorEastAsia"/>
          <w:b/>
          <w:color w:val="FF0000"/>
          <w:kern w:val="0"/>
          <w:sz w:val="32"/>
          <w:szCs w:val="32"/>
          <w:lang w:val="en-US" w:eastAsia="zh-CN"/>
        </w:rPr>
      </w:pPr>
    </w:p>
    <w:p>
      <w:pPr>
        <w:numPr>
          <w:ilvl w:val="0"/>
          <w:numId w:val="0"/>
        </w:numPr>
        <w:autoSpaceDE w:val="0"/>
        <w:autoSpaceDN w:val="0"/>
        <w:adjustRightInd w:val="0"/>
        <w:spacing w:line="360" w:lineRule="auto"/>
        <w:ind w:right="-11" w:rightChars="0" w:firstLine="2249" w:firstLineChars="700"/>
        <w:jc w:val="both"/>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color w:val="FF0000"/>
          <w:kern w:val="0"/>
          <w:sz w:val="32"/>
          <w:szCs w:val="32"/>
          <w:lang w:val="en-US" w:eastAsia="zh-CN"/>
        </w:rPr>
        <w:t>第三章、</w:t>
      </w:r>
      <w:r>
        <w:rPr>
          <w:rFonts w:hint="eastAsia" w:cs="宋体" w:asciiTheme="majorEastAsia" w:hAnsiTheme="majorEastAsia" w:eastAsiaTheme="majorEastAsia"/>
          <w:b/>
          <w:kern w:val="0"/>
          <w:sz w:val="32"/>
          <w:szCs w:val="32"/>
        </w:rPr>
        <w:t>投标人须知前附表</w:t>
      </w:r>
    </w:p>
    <w:p>
      <w:pPr>
        <w:numPr>
          <w:ilvl w:val="0"/>
          <w:numId w:val="0"/>
        </w:numPr>
        <w:autoSpaceDE w:val="0"/>
        <w:autoSpaceDN w:val="0"/>
        <w:adjustRightInd w:val="0"/>
        <w:spacing w:line="360" w:lineRule="auto"/>
        <w:ind w:right="-11" w:rightChars="0"/>
        <w:jc w:val="left"/>
        <w:rPr>
          <w:rFonts w:cs="宋体" w:asciiTheme="majorEastAsia" w:hAnsiTheme="majorEastAsia" w:eastAsiaTheme="majorEastAsia"/>
          <w:b/>
          <w:kern w:val="0"/>
          <w:sz w:val="32"/>
          <w:szCs w:val="32"/>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6"/>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326"/>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32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755"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326"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755" w:type="dxa"/>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项目名称：</w:t>
            </w:r>
            <w:r>
              <w:rPr>
                <w:rFonts w:hint="eastAsia" w:cs="仿宋_GB2312" w:asciiTheme="minorEastAsia" w:hAnsiTheme="minorEastAsia"/>
                <w:color w:val="000000"/>
                <w:sz w:val="24"/>
                <w:szCs w:val="24"/>
                <w:shd w:val="clear" w:color="auto" w:fill="FFFFFF"/>
                <w:lang w:val="zh-CN" w:eastAsia="zh-CN"/>
              </w:rPr>
              <w:t>长葛市长南路，魏武路设置电动限高设施设备</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项目编号：长招采公字[2019]112号</w:t>
            </w:r>
          </w:p>
          <w:p>
            <w:pPr>
              <w:pStyle w:val="25"/>
              <w:widowControl/>
              <w:shd w:val="clear" w:color="auto" w:fill="FFFFFF"/>
              <w:spacing w:line="360" w:lineRule="auto"/>
              <w:contextualSpacing/>
              <w:jc w:val="left"/>
              <w:rPr>
                <w:rFonts w:hint="default" w:cs="仿宋_GB2312" w:asciiTheme="minorEastAsia" w:hAnsiTheme="minorEastAsia"/>
                <w:szCs w:val="21"/>
                <w:lang w:val="en-US"/>
              </w:rPr>
            </w:pPr>
            <w:r>
              <w:rPr>
                <w:rFonts w:hint="eastAsia" w:cs="仿宋_GB2312" w:asciiTheme="minorEastAsia" w:hAnsiTheme="minorEastAsia"/>
                <w:szCs w:val="21"/>
                <w:lang w:val="en-US" w:eastAsia="zh-CN"/>
              </w:rPr>
              <w:t>项</w:t>
            </w:r>
            <w:r>
              <w:rPr>
                <w:rFonts w:hint="eastAsia" w:cs="仿宋_GB2312" w:asciiTheme="minorEastAsia" w:hAnsiTheme="minorEastAsia" w:eastAsiaTheme="minorEastAsia"/>
                <w:kern w:val="2"/>
                <w:sz w:val="21"/>
                <w:szCs w:val="21"/>
                <w:lang w:val="en-US" w:eastAsia="zh-CN" w:bidi="ar-SA"/>
              </w:rPr>
              <w:t>目内容：</w:t>
            </w:r>
            <w:r>
              <w:rPr>
                <w:rFonts w:hint="eastAsia" w:cs="仿宋_GB2312" w:asciiTheme="minorEastAsia" w:hAnsiTheme="minorEastAsia" w:eastAsiaTheme="minorEastAsia"/>
                <w:color w:val="000000"/>
                <w:sz w:val="24"/>
                <w:szCs w:val="24"/>
                <w:shd w:val="clear" w:color="auto" w:fill="FFFFFF"/>
                <w:lang w:val="zh-CN"/>
              </w:rPr>
              <w:t>包括长葛市魏武路与许昌建安区交界处限高设施、长南路高速口东</w:t>
            </w:r>
            <w:r>
              <w:rPr>
                <w:rFonts w:hint="eastAsia" w:cs="仿宋_GB2312" w:asciiTheme="minorEastAsia" w:hAnsiTheme="minorEastAsia" w:eastAsiaTheme="minorEastAsia"/>
                <w:color w:val="000000"/>
                <w:sz w:val="24"/>
                <w:szCs w:val="24"/>
                <w:shd w:val="clear" w:color="auto" w:fill="FFFFFF"/>
                <w:lang w:val="en-US" w:eastAsia="zh-CN"/>
              </w:rPr>
              <w:t>200米限高设施、董村转盘西限高设施。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326" w:type="dxa"/>
            <w:vAlign w:val="center"/>
          </w:tcPr>
          <w:p>
            <w:pPr>
              <w:autoSpaceDE w:val="0"/>
              <w:autoSpaceDN w:val="0"/>
              <w:adjustRightInd w:val="0"/>
              <w:spacing w:line="360" w:lineRule="auto"/>
              <w:jc w:val="center"/>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采购人</w:t>
            </w:r>
          </w:p>
        </w:tc>
        <w:tc>
          <w:tcPr>
            <w:tcW w:w="6755" w:type="dxa"/>
            <w:vAlign w:val="center"/>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采购人：长葛市交通运输局</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联系人： 李女士      联系电话：13937478356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326"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755" w:type="dxa"/>
            <w:vAlign w:val="center"/>
          </w:tcPr>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代理机构：智远工程管理有限公司 </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代理机构联系方式：王女士       联系电话：13569926910</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代理机构地址：郑州市高新区莲花街11号纽科企业1号楼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326"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755"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lang w:val="zh-CN"/>
              </w:rPr>
              <w:t>4、个体工</w:t>
            </w:r>
            <w:r>
              <w:rPr>
                <w:rFonts w:hint="eastAsia" w:cs="宋体" w:asciiTheme="minorEastAsia" w:hAnsiTheme="minorEastAsia"/>
                <w:bCs/>
                <w:szCs w:val="21"/>
                <w:highlight w:val="none"/>
                <w:lang w:val="zh-CN"/>
              </w:rPr>
              <w:t>商户营业执照。（个体工商户投标提供）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highlight w:val="none"/>
              </w:rPr>
            </w:pPr>
            <w:r>
              <w:rPr>
                <w:rFonts w:hint="eastAsia" w:cs="仿宋_GB2312" w:asciiTheme="minorEastAsia" w:hAnsiTheme="minorEastAsia"/>
                <w:b/>
                <w:szCs w:val="21"/>
                <w:highlight w:val="none"/>
                <w:lang w:eastAsia="zh-CN"/>
              </w:rPr>
              <w:t>二</w:t>
            </w:r>
            <w:r>
              <w:rPr>
                <w:rFonts w:hint="eastAsia" w:cs="仿宋_GB2312" w:asciiTheme="minorEastAsia" w:hAnsiTheme="minorEastAsia"/>
                <w:b/>
                <w:szCs w:val="21"/>
                <w:highlight w:val="none"/>
              </w:rPr>
              <w:t>、财务状况报告相关材料</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（1）投标人是法人（法人包括企业法人、机关法人、事业单位法人和社会团体法人），提供本单位：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w:t>
            </w:r>
            <w:r>
              <w:rPr>
                <w:rFonts w:hint="eastAsia" w:asciiTheme="minorEastAsia" w:hAnsiTheme="minorEastAsia"/>
                <w:bCs/>
                <w:szCs w:val="21"/>
                <w:highlight w:val="none"/>
                <w:lang w:val="en-US" w:eastAsia="zh-CN"/>
              </w:rPr>
              <w:t>2016年度、2017年度、</w:t>
            </w:r>
            <w:r>
              <w:rPr>
                <w:rFonts w:hint="eastAsia" w:asciiTheme="minorEastAsia" w:hAnsiTheme="minorEastAsia"/>
                <w:bCs/>
                <w:szCs w:val="21"/>
                <w:highlight w:val="none"/>
              </w:rPr>
              <w:t>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②基本开户银行出具的资信证明；</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spacing w:line="360" w:lineRule="auto"/>
              <w:rPr>
                <w:rFonts w:asciiTheme="minorEastAsia" w:hAnsiTheme="minorEastAsia"/>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（2）投标人（其他组织和自然人）提供本单位：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w:t>
            </w:r>
            <w:r>
              <w:rPr>
                <w:rFonts w:hint="eastAsia" w:asciiTheme="minorEastAsia" w:hAnsiTheme="minorEastAsia"/>
                <w:bCs/>
                <w:szCs w:val="21"/>
                <w:highlight w:val="none"/>
                <w:lang w:val="en-US" w:eastAsia="zh-CN"/>
              </w:rPr>
              <w:t>2016年度、2017年度、</w:t>
            </w:r>
            <w:r>
              <w:rPr>
                <w:rFonts w:hint="eastAsia" w:asciiTheme="minorEastAsia" w:hAnsiTheme="minorEastAsia"/>
                <w:bCs/>
                <w:szCs w:val="21"/>
                <w:highlight w:val="none"/>
              </w:rPr>
              <w:t>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②银行出具的资信证明；</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pStyle w:val="3"/>
            </w:pPr>
            <w:r>
              <w:rPr>
                <w:rFonts w:hint="eastAsia" w:ascii="Times New Roman" w:hAnsi="Times New Roman" w:cs="宋体"/>
                <w:szCs w:val="21"/>
                <w:lang w:bidi="ar"/>
              </w:rPr>
              <w:t>（新注册公司从注册交纳起计算，不足的视为满足</w:t>
            </w:r>
            <w:r>
              <w:rPr>
                <w:rFonts w:hint="eastAsia" w:ascii="Times New Roman" w:hAnsi="Times New Roman" w:cs="宋体"/>
                <w:szCs w:val="21"/>
                <w:lang w:val="en-US" w:eastAsia="zh-CN" w:bidi="ar"/>
              </w:rPr>
              <w:t>)</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仿宋_GB2312" w:asciiTheme="minorEastAsia" w:hAnsiTheme="minorEastAsia"/>
                <w:b/>
                <w:szCs w:val="21"/>
                <w:highlight w:val="none"/>
                <w:lang w:val="zh-CN"/>
              </w:rPr>
              <w:t>三</w:t>
            </w:r>
            <w:r>
              <w:rPr>
                <w:rFonts w:hint="eastAsia" w:cs="仿宋_GB2312" w:asciiTheme="minorEastAsia" w:hAnsiTheme="minorEastAsia"/>
                <w:b/>
                <w:szCs w:val="21"/>
                <w:highlight w:val="none"/>
              </w:rPr>
              <w:t>、依法缴纳税收相关材料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cs="仿宋_GB2312" w:asciiTheme="minorEastAsia" w:hAnsiTheme="minorEastAsia"/>
                <w:b/>
                <w:szCs w:val="21"/>
                <w:highlight w:val="none"/>
                <w:lang w:val="zh-CN"/>
              </w:rPr>
            </w:pPr>
            <w:r>
              <w:rPr>
                <w:rFonts w:hint="eastAsia" w:cs="宋体" w:asciiTheme="minorEastAsia" w:hAnsiTheme="minorEastAsia"/>
                <w:b/>
                <w:bCs/>
                <w:szCs w:val="21"/>
                <w:highlight w:val="none"/>
                <w:lang w:val="zh-CN"/>
              </w:rPr>
              <w:t>四</w:t>
            </w:r>
            <w:r>
              <w:rPr>
                <w:rFonts w:hint="eastAsia" w:cs="仿宋_GB2312" w:asciiTheme="minorEastAsia" w:hAnsiTheme="minorEastAsia"/>
                <w:b/>
                <w:szCs w:val="21"/>
                <w:highlight w:val="none"/>
                <w:lang w:val="zh-CN"/>
              </w:rPr>
              <w:t>、依法缴纳社会保障资金的证明材料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kern w:val="0"/>
                <w:szCs w:val="21"/>
                <w:highlight w:val="none"/>
                <w:lang w:eastAsia="zh-CN"/>
              </w:rPr>
              <w:t>五</w:t>
            </w:r>
            <w:r>
              <w:rPr>
                <w:rFonts w:hint="eastAsia" w:cs="宋体" w:asciiTheme="minorEastAsia" w:hAnsiTheme="minorEastAsia"/>
                <w:b/>
                <w:bCs/>
                <w:szCs w:val="21"/>
                <w:highlight w:val="none"/>
                <w:lang w:val="zh-CN"/>
              </w:rPr>
              <w:t>、履行合同所必须的设备和专业技术能力的证明材料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①相关设备的购置发票、专业技术人员职称证书、用工合同等；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仿宋_GB2312" w:asciiTheme="minorEastAsia" w:hAnsiTheme="minorEastAsia"/>
                <w:b/>
                <w:color w:val="000000"/>
                <w:szCs w:val="21"/>
                <w:shd w:val="clear" w:color="auto" w:fill="FFFFFF"/>
                <w:lang w:val="zh-CN"/>
              </w:rPr>
              <w:t>六</w:t>
            </w:r>
            <w:r>
              <w:rPr>
                <w:rFonts w:hint="eastAsia" w:cs="宋体" w:asciiTheme="minorEastAsia" w:hAnsiTheme="minorEastAsia"/>
                <w:b/>
                <w:kern w:val="0"/>
                <w:szCs w:val="21"/>
                <w:highlight w:val="none"/>
              </w:rPr>
              <w:t>、</w:t>
            </w:r>
            <w:r>
              <w:rPr>
                <w:rFonts w:cs="宋体" w:asciiTheme="minorEastAsia" w:hAnsiTheme="minorEastAsia"/>
                <w:b/>
                <w:bCs/>
                <w:szCs w:val="21"/>
                <w:highlight w:val="none"/>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highlight w:val="none"/>
                <w:lang w:val="zh-CN"/>
              </w:rPr>
              <w:t>投标人“</w:t>
            </w:r>
            <w:r>
              <w:rPr>
                <w:rFonts w:cs="宋体" w:asciiTheme="minorEastAsia" w:hAnsiTheme="minorEastAsia"/>
                <w:bCs/>
                <w:szCs w:val="21"/>
                <w:highlight w:val="none"/>
                <w:lang w:val="zh-CN"/>
              </w:rPr>
              <w:t>参加政府采购活动前3年内在经营活动中没有重大违</w:t>
            </w:r>
            <w:r>
              <w:rPr>
                <w:rFonts w:cs="宋体" w:asciiTheme="minorEastAsia" w:hAnsiTheme="minorEastAsia"/>
                <w:bCs/>
                <w:szCs w:val="21"/>
                <w:lang w:val="zh-CN"/>
              </w:rPr>
              <w:t>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right="0"/>
              <w:jc w:val="left"/>
              <w:textAlignment w:val="auto"/>
              <w:rPr>
                <w:rFonts w:cs="仿宋_GB2312" w:asciiTheme="minorEastAsia" w:hAnsiTheme="minorEastAsia"/>
                <w:b/>
                <w:color w:val="000000"/>
                <w:szCs w:val="21"/>
                <w:shd w:val="clear" w:color="auto" w:fill="FFFFFF"/>
              </w:rPr>
            </w:pPr>
            <w:r>
              <w:rPr>
                <w:rFonts w:hint="eastAsia" w:cs="仿宋_GB2312" w:asciiTheme="minorEastAsia" w:hAnsiTheme="minorEastAsia"/>
                <w:b/>
                <w:color w:val="000000"/>
                <w:szCs w:val="21"/>
                <w:shd w:val="clear" w:color="auto" w:fill="FFFFFF"/>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cs="仿宋_GB2312" w:asciiTheme="minorEastAsia" w:hAnsiTheme="minorEastAsia"/>
                <w:b/>
                <w:color w:val="000000"/>
                <w:szCs w:val="21"/>
                <w:shd w:val="clear" w:color="auto" w:fill="FFFFFF"/>
                <w:lang w:val="en-US" w:eastAsia="zh-CN"/>
              </w:rPr>
              <w:t>；“中国社会组织公共服务平台”网站（</w:t>
            </w:r>
            <w:r>
              <w:rPr>
                <w:rFonts w:hint="eastAsia" w:cs="仿宋_GB2312" w:asciiTheme="minorEastAsia" w:hAnsiTheme="minorEastAsia"/>
                <w:b/>
                <w:color w:val="000000"/>
                <w:szCs w:val="21"/>
                <w:shd w:val="clear" w:color="auto" w:fill="FFFFFF"/>
                <w:lang w:val="en-US" w:eastAsia="zh-CN"/>
              </w:rPr>
              <w:t>www.chinanpo.gov.cn）严重违法失信名单的投标人。</w:t>
            </w:r>
          </w:p>
          <w:p>
            <w:pPr>
              <w:autoSpaceDE w:val="0"/>
              <w:autoSpaceDN w:val="0"/>
              <w:spacing w:line="360" w:lineRule="auto"/>
              <w:contextualSpacing/>
              <w:jc w:val="left"/>
              <w:rPr>
                <w:rFonts w:cs="宋体" w:asciiTheme="minorEastAsia" w:hAnsiTheme="minorEastAsia"/>
                <w:kern w:val="0"/>
                <w:szCs w:val="21"/>
                <w:highlight w:val="none"/>
              </w:rPr>
            </w:pPr>
            <w:r>
              <w:rPr>
                <w:rFonts w:hint="eastAsia" w:cs="仿宋_GB2312" w:asciiTheme="minorEastAsia" w:hAnsiTheme="minorEastAsia"/>
                <w:b/>
                <w:color w:val="000000"/>
                <w:szCs w:val="21"/>
                <w:highlight w:val="none"/>
                <w:shd w:val="clear" w:color="auto" w:fill="FFFFFF"/>
              </w:rPr>
              <w:t>（</w:t>
            </w:r>
            <w:r>
              <w:rPr>
                <w:rFonts w:hint="eastAsia" w:cs="宋体" w:asciiTheme="minorEastAsia" w:hAnsiTheme="minorEastAsia"/>
                <w:kern w:val="0"/>
                <w:szCs w:val="21"/>
                <w:highlight w:val="none"/>
              </w:rPr>
              <w:t>联合体形式投标的，联合体成员存在不良信用记录，视同联合体存在不良信用记录）。</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1、查询渠道：</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cs="宋体"/>
                <w:kern w:val="0"/>
                <w:highlight w:val="none"/>
              </w:rPr>
              <w:t>www.creditchina.gov.cn</w:t>
            </w:r>
            <w:r>
              <w:rPr>
                <w:rFonts w:hint="eastAsia" w:cs="宋体"/>
                <w:kern w:val="0"/>
                <w:highlight w:val="none"/>
              </w:rPr>
              <w:fldChar w:fldCharType="end"/>
            </w:r>
            <w:r>
              <w:rPr>
                <w:rFonts w:hint="eastAsia" w:cs="宋体" w:asciiTheme="minorEastAsia" w:hAnsiTheme="minorEastAsia"/>
                <w:kern w:val="0"/>
                <w:szCs w:val="21"/>
                <w:highlight w:val="none"/>
              </w:rPr>
              <w:t>）</w:t>
            </w:r>
          </w:p>
          <w:p>
            <w:pPr>
              <w:spacing w:line="360" w:lineRule="auto"/>
              <w:rPr>
                <w:rFonts w:hint="eastAsia" w:cs="宋体" w:asciiTheme="minorEastAsia" w:hAnsiTheme="minorEastAsia"/>
                <w:kern w:val="0"/>
                <w:szCs w:val="21"/>
                <w:highlight w:val="none"/>
              </w:rPr>
            </w:pPr>
            <w:r>
              <w:rPr>
                <w:rFonts w:hint="eastAsia" w:cs="宋体" w:asciiTheme="minorEastAsia" w:hAnsiTheme="minorEastAsia"/>
                <w:kern w:val="0"/>
                <w:szCs w:val="21"/>
                <w:highlight w:val="none"/>
              </w:rPr>
              <w:t>②“中国政府采购网”（www.ccgp.gov.cn）</w:t>
            </w:r>
          </w:p>
          <w:p>
            <w:pPr>
              <w:spacing w:line="360" w:lineRule="auto"/>
              <w:rPr>
                <w:rFonts w:hint="eastAsia" w:cs="宋体" w:asciiTheme="minorEastAsia" w:hAnsiTheme="minorEastAsia" w:eastAsiaTheme="minorEastAsia"/>
                <w:kern w:val="0"/>
                <w:szCs w:val="21"/>
                <w:highlight w:val="none"/>
                <w:lang w:eastAsia="zh-CN"/>
              </w:rPr>
            </w:pPr>
            <w:r>
              <w:rPr>
                <w:rFonts w:hint="default" w:cs="宋体" w:asciiTheme="minorEastAsia" w:hAnsiTheme="minorEastAsia"/>
                <w:kern w:val="0"/>
                <w:szCs w:val="21"/>
                <w:highlight w:val="none"/>
                <w:lang w:val="en-US" w:eastAsia="zh-CN"/>
              </w:rPr>
              <w:t>③</w:t>
            </w:r>
            <w:r>
              <w:rPr>
                <w:rFonts w:hint="eastAsia" w:cs="宋体" w:asciiTheme="minorEastAsia" w:hAnsiTheme="minorEastAsia"/>
                <w:kern w:val="0"/>
                <w:szCs w:val="21"/>
                <w:highlight w:val="none"/>
                <w:lang w:val="en-US" w:eastAsia="zh-CN"/>
              </w:rPr>
              <w:t>“中国社会组织公共服务平台”（www.chinanpo.gov.cn）</w:t>
            </w:r>
            <w:r>
              <w:rPr>
                <w:rFonts w:hint="eastAsia" w:cs="宋体" w:asciiTheme="minorEastAsia" w:hAnsiTheme="minorEastAsia"/>
                <w:kern w:val="0"/>
                <w:szCs w:val="21"/>
              </w:rPr>
              <w:t>（仅查询社会组织）</w:t>
            </w:r>
            <w:r>
              <w:rPr>
                <w:rFonts w:hint="eastAsia" w:cs="宋体" w:asciiTheme="minorEastAsia" w:hAnsiTheme="minorEastAsia"/>
                <w:kern w:val="0"/>
                <w:szCs w:val="21"/>
                <w:lang w:eastAsia="zh-CN"/>
              </w:rPr>
              <w:t>。</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2、截止时间：同投标截止时间；</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rPr>
              <w:t>3、信用信息查询记录和证据留存具体方式：经采购人确认的查询结果网页截图作为查询记录和证据，与其他采</w:t>
            </w:r>
            <w:r>
              <w:rPr>
                <w:rFonts w:hint="eastAsia" w:cs="宋体" w:asciiTheme="minorEastAsia" w:hAnsiTheme="minorEastAsia"/>
                <w:kern w:val="0"/>
                <w:szCs w:val="21"/>
                <w:highlight w:val="none"/>
              </w:rPr>
              <w:t>购文件一并保存；</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4、信用信息的使用原则：经采购人认定的被列入失信被执行人、重大税收违法案件当事人名单、政府采购严重违法失信行为记录名单的投标人，将拒绝其参与本次政府采购活动。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highlight w:val="none"/>
              </w:rPr>
              <w:t>5、</w:t>
            </w:r>
            <w:r>
              <w:rPr>
                <w:rFonts w:hint="eastAsia" w:cs="宋体" w:asciiTheme="minorEastAsia" w:hAnsiTheme="minorEastAsia"/>
                <w:kern w:val="0"/>
                <w:szCs w:val="21"/>
                <w:highlight w:val="none"/>
                <w:lang w:eastAsia="zh-CN"/>
              </w:rPr>
              <w:t>投标人无须提供信用记录查询结果网页截屏，</w:t>
            </w:r>
            <w:r>
              <w:rPr>
                <w:rFonts w:hint="eastAsia" w:cs="宋体" w:asciiTheme="minorEastAsia" w:hAnsiTheme="minorEastAsia"/>
                <w:kern w:val="0"/>
                <w:szCs w:val="21"/>
                <w:highlight w:val="none"/>
              </w:rPr>
              <w:t>投标人不良信用记录以采购人</w:t>
            </w:r>
            <w:r>
              <w:rPr>
                <w:rFonts w:hint="eastAsia" w:cs="宋体" w:asciiTheme="minorEastAsia" w:hAnsiTheme="minorEastAsia"/>
                <w:kern w:val="0"/>
                <w:szCs w:val="21"/>
                <w:highlight w:val="none"/>
                <w:lang w:eastAsia="zh-CN"/>
              </w:rPr>
              <w:t>开标现场</w:t>
            </w:r>
            <w:r>
              <w:rPr>
                <w:rFonts w:hint="eastAsia" w:cs="宋体" w:asciiTheme="minorEastAsia" w:hAnsiTheme="minorEastAsia"/>
                <w:kern w:val="0"/>
                <w:szCs w:val="21"/>
                <w:highlight w:val="none"/>
              </w:rPr>
              <w:t>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326"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755"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326"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color w:val="auto"/>
                <w:szCs w:val="21"/>
                <w:lang w:val="zh-CN"/>
              </w:rPr>
              <w:t>最高限价</w:t>
            </w:r>
          </w:p>
        </w:tc>
        <w:tc>
          <w:tcPr>
            <w:tcW w:w="6755" w:type="dxa"/>
            <w:vAlign w:val="center"/>
          </w:tcPr>
          <w:p>
            <w:pPr>
              <w:pStyle w:val="25"/>
              <w:widowControl/>
              <w:rPr>
                <w:rFonts w:cs="宋体" w:asciiTheme="minorEastAsia" w:hAnsiTheme="minorEastAsia"/>
                <w:bCs/>
                <w:szCs w:val="21"/>
                <w:lang w:val="zh-CN"/>
              </w:rPr>
            </w:pPr>
            <w:r>
              <w:rPr>
                <w:rFonts w:hint="eastAsia" w:cs="宋体" w:asciiTheme="minorEastAsia" w:hAnsiTheme="minorEastAsia" w:eastAsiaTheme="minorEastAsia"/>
                <w:bCs/>
                <w:kern w:val="2"/>
                <w:sz w:val="21"/>
                <w:szCs w:val="21"/>
                <w:lang w:val="en-US" w:eastAsia="zh-CN" w:bidi="ar-SA"/>
              </w:rPr>
              <w:t>1110000.00</w:t>
            </w:r>
            <w:r>
              <w:rPr>
                <w:rFonts w:hint="eastAsia" w:cs="宋体" w:asciiTheme="minorEastAsia" w:hAnsiTheme="minorEastAsia" w:eastAsiaTheme="minorEastAsia"/>
                <w:bCs/>
                <w:kern w:val="2"/>
                <w:sz w:val="21"/>
                <w:szCs w:val="21"/>
                <w:lang w:val="zh-CN" w:eastAsia="zh-CN" w:bidi="ar-SA"/>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326"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755"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326"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755"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326"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755"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326"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755"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326"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755"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326"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755" w:type="dxa"/>
            <w:vAlign w:val="center"/>
          </w:tcPr>
          <w:p>
            <w:pPr>
              <w:tabs>
                <w:tab w:val="left" w:pos="1260"/>
              </w:tabs>
              <w:autoSpaceDE w:val="0"/>
              <w:autoSpaceDN w:val="0"/>
              <w:spacing w:line="360" w:lineRule="auto"/>
              <w:contextualSpacing/>
              <w:rPr>
                <w:rFonts w:hint="eastAsia" w:cs="仿宋_GB2312" w:asciiTheme="minorEastAsia" w:hAnsiTheme="minorEastAsia" w:eastAsiaTheme="minorEastAsia"/>
                <w:color w:val="0000FF"/>
                <w:kern w:val="2"/>
                <w:sz w:val="21"/>
                <w:szCs w:val="21"/>
                <w:lang w:val="zh-CN" w:eastAsia="zh-CN" w:bidi="ar-SA"/>
              </w:rPr>
            </w:pPr>
            <w:r>
              <w:rPr>
                <w:rFonts w:hint="eastAsia" w:cs="仿宋_GB2312" w:asciiTheme="minorEastAsia" w:hAnsiTheme="minorEastAsia" w:eastAsiaTheme="minorEastAsia"/>
                <w:color w:val="0000FF"/>
                <w:kern w:val="2"/>
                <w:sz w:val="21"/>
                <w:szCs w:val="21"/>
                <w:lang w:val="en-US" w:eastAsia="zh-CN" w:bidi="ar-SA"/>
              </w:rPr>
              <w:t>20</w:t>
            </w:r>
            <w:r>
              <w:rPr>
                <w:rFonts w:hint="eastAsia" w:cs="仿宋_GB2312" w:asciiTheme="minorEastAsia" w:hAnsiTheme="minorEastAsia"/>
                <w:color w:val="0000FF"/>
                <w:kern w:val="2"/>
                <w:sz w:val="21"/>
                <w:szCs w:val="21"/>
                <w:lang w:val="en-US" w:eastAsia="zh-CN" w:bidi="ar-SA"/>
              </w:rPr>
              <w:t>20</w:t>
            </w:r>
            <w:r>
              <w:rPr>
                <w:rFonts w:hint="eastAsia" w:cs="仿宋_GB2312" w:asciiTheme="minorEastAsia" w:hAnsiTheme="minorEastAsia" w:eastAsiaTheme="minorEastAsia"/>
                <w:color w:val="0000FF"/>
                <w:kern w:val="2"/>
                <w:sz w:val="21"/>
                <w:szCs w:val="21"/>
                <w:lang w:val="zh-CN" w:eastAsia="zh-CN" w:bidi="ar-SA"/>
              </w:rPr>
              <w:t>年</w:t>
            </w:r>
            <w:r>
              <w:rPr>
                <w:rFonts w:hint="eastAsia" w:cs="仿宋_GB2312" w:asciiTheme="minorEastAsia" w:hAnsiTheme="minorEastAsia"/>
                <w:color w:val="0000FF"/>
                <w:kern w:val="2"/>
                <w:sz w:val="21"/>
                <w:szCs w:val="21"/>
                <w:lang w:val="en-US" w:eastAsia="zh-CN" w:bidi="ar-SA"/>
              </w:rPr>
              <w:t>1</w:t>
            </w:r>
            <w:r>
              <w:rPr>
                <w:rFonts w:hint="eastAsia" w:cs="仿宋_GB2312" w:asciiTheme="minorEastAsia" w:hAnsiTheme="minorEastAsia" w:eastAsiaTheme="minorEastAsia"/>
                <w:color w:val="0000FF"/>
                <w:kern w:val="2"/>
                <w:sz w:val="21"/>
                <w:szCs w:val="21"/>
                <w:lang w:val="zh-CN" w:eastAsia="zh-CN" w:bidi="ar-SA"/>
              </w:rPr>
              <w:t>月</w:t>
            </w:r>
            <w:r>
              <w:rPr>
                <w:rFonts w:hint="eastAsia" w:cs="仿宋_GB2312" w:asciiTheme="minorEastAsia" w:hAnsiTheme="minorEastAsia"/>
                <w:color w:val="0000FF"/>
                <w:kern w:val="2"/>
                <w:sz w:val="21"/>
                <w:szCs w:val="21"/>
                <w:lang w:val="en-US" w:eastAsia="zh-CN" w:bidi="ar-SA"/>
              </w:rPr>
              <w:t>16</w:t>
            </w:r>
            <w:r>
              <w:rPr>
                <w:rFonts w:hint="eastAsia" w:cs="仿宋_GB2312" w:asciiTheme="minorEastAsia" w:hAnsiTheme="minorEastAsia" w:eastAsiaTheme="minorEastAsia"/>
                <w:color w:val="0000FF"/>
                <w:kern w:val="2"/>
                <w:sz w:val="21"/>
                <w:szCs w:val="21"/>
                <w:lang w:val="zh-CN" w:eastAsia="zh-CN" w:bidi="ar-SA"/>
              </w:rPr>
              <w:t>日</w:t>
            </w:r>
            <w:r>
              <w:rPr>
                <w:rFonts w:hint="eastAsia" w:cs="仿宋_GB2312" w:asciiTheme="minorEastAsia" w:hAnsiTheme="minorEastAsia"/>
                <w:color w:val="0000FF"/>
                <w:kern w:val="2"/>
                <w:sz w:val="21"/>
                <w:szCs w:val="21"/>
                <w:lang w:val="en-US" w:eastAsia="zh-CN" w:bidi="ar-SA"/>
              </w:rPr>
              <w:t>10</w:t>
            </w:r>
            <w:r>
              <w:rPr>
                <w:rFonts w:hint="eastAsia" w:cs="仿宋_GB2312" w:asciiTheme="minorEastAsia" w:hAnsiTheme="minorEastAsia" w:eastAsiaTheme="minorEastAsia"/>
                <w:color w:val="0000FF"/>
                <w:kern w:val="2"/>
                <w:sz w:val="21"/>
                <w:szCs w:val="21"/>
                <w:lang w:val="zh-CN" w:eastAsia="zh-CN" w:bidi="ar-SA"/>
              </w:rPr>
              <w:t>时</w:t>
            </w:r>
            <w:r>
              <w:rPr>
                <w:rFonts w:hint="eastAsia" w:cs="仿宋_GB2312" w:asciiTheme="minorEastAsia" w:hAnsiTheme="minorEastAsia"/>
                <w:color w:val="0000FF"/>
                <w:kern w:val="2"/>
                <w:sz w:val="21"/>
                <w:szCs w:val="21"/>
                <w:lang w:val="en-US" w:eastAsia="zh-CN" w:bidi="ar-SA"/>
              </w:rPr>
              <w:t>30</w:t>
            </w:r>
            <w:r>
              <w:rPr>
                <w:rFonts w:hint="eastAsia" w:cs="仿宋_GB2312" w:asciiTheme="minorEastAsia" w:hAnsiTheme="minorEastAsia" w:eastAsiaTheme="minorEastAsia"/>
                <w:color w:val="0000FF"/>
                <w:kern w:val="2"/>
                <w:sz w:val="21"/>
                <w:szCs w:val="21"/>
                <w:lang w:val="zh-CN" w:eastAsia="zh-CN" w:bidi="ar-SA"/>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32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755" w:type="dxa"/>
            <w:vAlign w:val="center"/>
          </w:tcPr>
          <w:p>
            <w:pPr>
              <w:pStyle w:val="25"/>
              <w:widowControl/>
              <w:shd w:val="clear" w:color="auto" w:fill="FFFFFF"/>
              <w:spacing w:line="360" w:lineRule="auto"/>
              <w:ind w:left="420" w:hanging="420" w:hangingChars="200"/>
              <w:contextualSpacing/>
              <w:jc w:val="left"/>
              <w:rPr>
                <w:rFonts w:hint="eastAsia" w:cs="仿宋_GB2312" w:asciiTheme="minorEastAsia" w:hAnsiTheme="minorEastAsia" w:eastAsiaTheme="minorEastAsia"/>
                <w:color w:val="0000FF"/>
                <w:kern w:val="2"/>
                <w:sz w:val="21"/>
                <w:szCs w:val="21"/>
                <w:lang w:val="zh-CN" w:eastAsia="zh-CN" w:bidi="ar-SA"/>
              </w:rPr>
            </w:pPr>
            <w:r>
              <w:rPr>
                <w:rFonts w:hint="eastAsia" w:cs="仿宋_GB2312" w:asciiTheme="minorEastAsia" w:hAnsiTheme="minorEastAsia" w:eastAsiaTheme="minorEastAsia"/>
                <w:color w:val="0000FF"/>
                <w:kern w:val="2"/>
                <w:sz w:val="21"/>
                <w:szCs w:val="21"/>
                <w:lang w:val="zh-CN" w:eastAsia="zh-CN" w:bidi="ar-SA"/>
              </w:rPr>
              <w:t>长葛市公共资源交易中心开标</w:t>
            </w:r>
            <w:r>
              <w:rPr>
                <w:rFonts w:hint="eastAsia" w:cs="仿宋_GB2312" w:asciiTheme="minorEastAsia" w:hAnsiTheme="minorEastAsia" w:eastAsiaTheme="minorEastAsia"/>
                <w:color w:val="0000FF"/>
                <w:kern w:val="2"/>
                <w:sz w:val="21"/>
                <w:szCs w:val="21"/>
                <w:lang w:val="en-US" w:eastAsia="zh-CN" w:bidi="ar-SA"/>
              </w:rPr>
              <w:t>四</w:t>
            </w:r>
            <w:r>
              <w:rPr>
                <w:rFonts w:hint="eastAsia" w:cs="仿宋_GB2312" w:asciiTheme="minorEastAsia" w:hAnsiTheme="minorEastAsia" w:eastAsiaTheme="minorEastAsia"/>
                <w:color w:val="0000FF"/>
                <w:kern w:val="2"/>
                <w:sz w:val="21"/>
                <w:szCs w:val="21"/>
                <w:lang w:val="zh-CN" w:eastAsia="zh-CN" w:bidi="ar-SA"/>
              </w:rPr>
              <w:t>室</w:t>
            </w:r>
            <w:r>
              <w:rPr>
                <w:rFonts w:hint="eastAsia" w:cs="仿宋_GB2312" w:asciiTheme="minorEastAsia" w:hAnsiTheme="minorEastAsia" w:eastAsiaTheme="minorEastAsia"/>
                <w:color w:val="0000FF"/>
                <w:kern w:val="2"/>
                <w:sz w:val="21"/>
                <w:szCs w:val="21"/>
                <w:lang w:val="en-US" w:eastAsia="zh-CN" w:bidi="ar-SA"/>
              </w:rPr>
              <w:t>（长葛市葛天大道东段商务区6#楼5楼507室）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326"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755" w:type="dxa"/>
            <w:vAlign w:val="center"/>
          </w:tcPr>
          <w:p>
            <w:pPr>
              <w:tabs>
                <w:tab w:val="left" w:pos="1260"/>
              </w:tabs>
              <w:autoSpaceDE w:val="0"/>
              <w:autoSpaceDN w:val="0"/>
              <w:spacing w:line="360" w:lineRule="auto"/>
              <w:contextualSpacing/>
              <w:rPr>
                <w:rFonts w:hint="eastAsia" w:cs="仿宋_GB2312" w:asciiTheme="minorEastAsia" w:hAnsiTheme="minorEastAsia" w:eastAsiaTheme="minorEastAsia"/>
                <w:szCs w:val="21"/>
                <w:lang w:val="zh-CN" w:eastAsia="zh-CN"/>
              </w:rPr>
            </w:pPr>
            <w:r>
              <w:rPr>
                <w:rFonts w:hint="eastAsia" w:cs="仿宋_GB2312" w:asciiTheme="minorEastAsia" w:hAnsiTheme="minorEastAsia"/>
                <w:szCs w:val="21"/>
                <w:lang w:eastAsia="zh-CN"/>
              </w:rPr>
              <w:t>按照河南省《</w:t>
            </w:r>
            <w:r>
              <w:rPr>
                <w:rFonts w:hint="eastAsia" w:cs="仿宋_GB2312" w:asciiTheme="minorEastAsia" w:hAnsiTheme="minorEastAsia"/>
                <w:szCs w:val="21"/>
              </w:rPr>
              <w:t>关于优化政府采购营商环境有关问题的通知</w:t>
            </w:r>
            <w:r>
              <w:rPr>
                <w:rFonts w:hint="eastAsia" w:cs="仿宋_GB2312" w:asciiTheme="minorEastAsia" w:hAnsiTheme="minorEastAsia"/>
                <w:szCs w:val="21"/>
                <w:lang w:eastAsia="zh-CN"/>
              </w:rPr>
              <w:t>》（豫财购（</w:t>
            </w:r>
            <w:r>
              <w:rPr>
                <w:rFonts w:hint="eastAsia" w:cs="仿宋_GB2312" w:asciiTheme="minorEastAsia" w:hAnsiTheme="minorEastAsia"/>
                <w:szCs w:val="21"/>
                <w:lang w:val="en-US" w:eastAsia="zh-CN"/>
              </w:rPr>
              <w:t>2019</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4号文</w:t>
            </w:r>
            <w:r>
              <w:rPr>
                <w:rFonts w:hint="eastAsia" w:cs="仿宋_GB2312" w:asciiTheme="minorEastAsia" w:hAnsiTheme="minorEastAsia"/>
                <w:szCs w:val="21"/>
                <w:lang w:eastAsia="zh-CN"/>
              </w:rPr>
              <w:t>）的要求，不收取保证金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326"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755"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招标公告、中标公告、变更（更正）公告、现场勘察答复等相关信息同时在以下网站发布：《河南省政府采购网》、《全国公共资源交易平台（河南省·许昌市）》、《</w:t>
            </w:r>
            <w:r>
              <w:rPr>
                <w:rFonts w:hint="eastAsia" w:ascii="宋体" w:hAnsi="宋体" w:cs="宋体"/>
                <w:color w:val="000000"/>
                <w:szCs w:val="21"/>
              </w:rPr>
              <w:t>长葛市人民政府门户网站</w:t>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326"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755"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32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755"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32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755"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cs="仿宋_GB2312" w:asciiTheme="minorEastAsia" w:hAnsiTheme="minorEastAsia"/>
                <w:szCs w:val="21"/>
                <w:u w:val="none"/>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32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755" w:type="dxa"/>
            <w:vAlign w:val="center"/>
          </w:tcPr>
          <w:p>
            <w:pPr>
              <w:autoSpaceDE w:val="0"/>
              <w:autoSpaceDN w:val="0"/>
              <w:adjustRightInd w:val="0"/>
              <w:spacing w:line="420" w:lineRule="exact"/>
              <w:rPr>
                <w:rFonts w:ascii="新宋体" w:hAnsi="新宋体" w:eastAsia="新宋体"/>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纸质投标文件：投标文件封面加盖投标人公章（投标文件是指投标人电子投标文件制作完成后生成的后缀名为</w:t>
            </w:r>
            <w:r>
              <w:rPr>
                <w:rFonts w:hint="eastAsia" w:hAnsi="宋体"/>
                <w:color w:val="000000"/>
                <w:szCs w:val="21"/>
                <w:highlight w:val="none"/>
              </w:rPr>
              <w:t>“.PDF”的文件</w:t>
            </w:r>
            <w:r>
              <w:rPr>
                <w:rFonts w:hint="eastAsia" w:ascii="新宋体" w:hAnsi="新宋体" w:eastAsia="新宋体"/>
                <w:szCs w:val="21"/>
                <w:highlight w:val="none"/>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326"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755" w:type="dxa"/>
            <w:vAlign w:val="center"/>
          </w:tcPr>
          <w:p>
            <w:pPr>
              <w:autoSpaceDE w:val="0"/>
              <w:autoSpaceDN w:val="0"/>
              <w:adjustRightInd w:val="0"/>
              <w:spacing w:line="360" w:lineRule="auto"/>
              <w:rPr>
                <w:rFonts w:cs="仿宋_GB2312" w:asciiTheme="minorEastAsia" w:hAnsiTheme="minorEastAsia"/>
                <w:szCs w:val="21"/>
                <w:highlight w:val="none"/>
                <w:lang w:val="zh-CN"/>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cs="仿宋_GB2312" w:asciiTheme="minorEastAsia" w:hAnsiTheme="minorEastAsia"/>
                <w:szCs w:val="21"/>
                <w:highlight w:val="none"/>
                <w:lang w:val="zh-CN"/>
              </w:rPr>
              <w:t>由采购人代表</w:t>
            </w:r>
            <w:r>
              <w:rPr>
                <w:rFonts w:hint="eastAsia" w:cs="仿宋_GB2312" w:asciiTheme="minorEastAsia" w:hAnsiTheme="minorEastAsia"/>
                <w:szCs w:val="21"/>
                <w:highlight w:val="none"/>
                <w:lang w:val="en-US" w:eastAsia="zh-CN"/>
              </w:rPr>
              <w:t>1人</w:t>
            </w:r>
            <w:r>
              <w:rPr>
                <w:rFonts w:hint="eastAsia" w:cs="仿宋_GB2312" w:asciiTheme="minorEastAsia" w:hAnsiTheme="minorEastAsia"/>
                <w:szCs w:val="21"/>
                <w:highlight w:val="none"/>
                <w:lang w:val="zh-CN"/>
              </w:rPr>
              <w:t>和评审专家</w:t>
            </w:r>
            <w:r>
              <w:rPr>
                <w:rFonts w:hint="eastAsia" w:cs="仿宋_GB2312" w:asciiTheme="minorEastAsia" w:hAnsiTheme="minorEastAsia"/>
                <w:szCs w:val="21"/>
                <w:highlight w:val="none"/>
                <w:lang w:val="en-US" w:eastAsia="zh-CN"/>
              </w:rPr>
              <w:t>4人</w:t>
            </w:r>
            <w:r>
              <w:rPr>
                <w:rFonts w:hint="eastAsia" w:cs="仿宋_GB2312" w:asciiTheme="minorEastAsia" w:hAnsiTheme="minorEastAsia"/>
                <w:szCs w:val="21"/>
                <w:highlight w:val="none"/>
                <w:lang w:val="zh-CN"/>
              </w:rPr>
              <w:t>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highlight w:val="none"/>
                <w:lang w:val="zh-CN"/>
              </w:rPr>
            </w:pPr>
            <w:r>
              <w:rPr>
                <w:rFonts w:hint="eastAsia" w:cs="仿宋_GB2312" w:asciiTheme="minorEastAsia" w:hAnsiTheme="minorEastAsia"/>
                <w:szCs w:val="21"/>
                <w:highlight w:val="none"/>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326"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755"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 w:val="13"/>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326"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采购人代表及监督人员出席开标会议</w:t>
            </w:r>
          </w:p>
        </w:tc>
        <w:tc>
          <w:tcPr>
            <w:tcW w:w="6755"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326" w:type="dxa"/>
            <w:vAlign w:val="center"/>
          </w:tcPr>
          <w:p>
            <w:pPr>
              <w:autoSpaceDE w:val="0"/>
              <w:autoSpaceDN w:val="0"/>
              <w:adjustRightInd w:val="0"/>
              <w:spacing w:line="360" w:lineRule="auto"/>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履约担保</w:t>
            </w:r>
          </w:p>
        </w:tc>
        <w:tc>
          <w:tcPr>
            <w:tcW w:w="6755" w:type="dxa"/>
            <w:vAlign w:val="center"/>
          </w:tcPr>
          <w:p>
            <w:pPr>
              <w:autoSpaceDE w:val="0"/>
              <w:autoSpaceDN w:val="0"/>
              <w:adjustRightInd w:val="0"/>
              <w:spacing w:line="360" w:lineRule="auto"/>
              <w:rPr>
                <w:rFonts w:hint="eastAsia"/>
                <w:lang w:val="zh-CN"/>
              </w:rPr>
            </w:pPr>
            <w:r>
              <w:rPr>
                <w:rFonts w:hint="eastAsia"/>
                <w:lang w:val="zh-CN"/>
              </w:rPr>
              <w:t>开户行：中国工商银行股份有限公司长葛支行</w:t>
            </w:r>
          </w:p>
          <w:p>
            <w:pPr>
              <w:autoSpaceDE w:val="0"/>
              <w:autoSpaceDN w:val="0"/>
              <w:adjustRightInd w:val="0"/>
              <w:spacing w:line="360" w:lineRule="auto"/>
              <w:rPr>
                <w:rFonts w:hint="eastAsia"/>
                <w:lang w:val="zh-CN"/>
              </w:rPr>
            </w:pPr>
            <w:r>
              <w:rPr>
                <w:rFonts w:hint="eastAsia"/>
                <w:lang w:val="zh-CN"/>
              </w:rPr>
              <w:t>户  名：长葛市公共资源交易中心</w:t>
            </w:r>
          </w:p>
          <w:p>
            <w:pPr>
              <w:autoSpaceDE w:val="0"/>
              <w:autoSpaceDN w:val="0"/>
              <w:adjustRightInd w:val="0"/>
              <w:spacing w:line="360" w:lineRule="auto"/>
              <w:rPr>
                <w:rFonts w:hint="eastAsia"/>
                <w:lang w:val="zh-CN"/>
              </w:rPr>
            </w:pPr>
            <w:r>
              <w:rPr>
                <w:rFonts w:hint="eastAsia"/>
                <w:lang w:val="zh-CN"/>
              </w:rPr>
              <w:t>账  号：1708026029200151795</w:t>
            </w:r>
          </w:p>
          <w:p>
            <w:pPr>
              <w:autoSpaceDE w:val="0"/>
              <w:autoSpaceDN w:val="0"/>
              <w:adjustRightInd w:val="0"/>
              <w:spacing w:line="360" w:lineRule="auto"/>
              <w:rPr>
                <w:rFonts w:hint="eastAsia"/>
                <w:lang w:val="zh-CN"/>
              </w:rPr>
            </w:pPr>
            <w:r>
              <w:rPr>
                <w:rFonts w:hint="eastAsia"/>
                <w:lang w:val="zh-CN"/>
              </w:rPr>
              <w:t>履约</w:t>
            </w:r>
            <w:r>
              <w:rPr>
                <w:rFonts w:hint="eastAsia"/>
                <w:lang w:val="zh-CN" w:eastAsia="zh-CN"/>
              </w:rPr>
              <w:t>担保</w:t>
            </w:r>
            <w:r>
              <w:rPr>
                <w:rFonts w:hint="eastAsia"/>
                <w:lang w:val="zh-CN"/>
              </w:rPr>
              <w:t>的金额：中标金额的10%。</w:t>
            </w:r>
          </w:p>
          <w:p>
            <w:pPr>
              <w:autoSpaceDE w:val="0"/>
              <w:autoSpaceDN w:val="0"/>
              <w:adjustRightInd w:val="0"/>
              <w:spacing w:line="360" w:lineRule="auto"/>
              <w:rPr>
                <w:rFonts w:hint="eastAsia"/>
                <w:lang w:eastAsia="zh-CN"/>
              </w:rPr>
            </w:pPr>
            <w:r>
              <w:rPr>
                <w:rFonts w:hint="eastAsia"/>
                <w:lang w:eastAsia="zh-CN"/>
              </w:rPr>
              <w:t>供应商在汇款时备注部分说明，此为</w:t>
            </w:r>
            <w:r>
              <w:rPr>
                <w:rFonts w:hint="eastAsia"/>
              </w:rPr>
              <w:t>项目编号</w:t>
            </w:r>
            <w:r>
              <w:rPr>
                <w:rFonts w:hint="eastAsia"/>
                <w:u w:val="single"/>
              </w:rPr>
              <w:t>：</w:t>
            </w:r>
            <w:r>
              <w:rPr>
                <w:rFonts w:hint="eastAsia"/>
                <w:u w:val="single"/>
                <w:lang w:val="en-US" w:eastAsia="zh-CN"/>
              </w:rPr>
              <w:t xml:space="preserve">    </w:t>
            </w:r>
            <w:r>
              <w:rPr>
                <w:rFonts w:hint="eastAsia"/>
                <w:lang w:eastAsia="zh-CN"/>
              </w:rPr>
              <w:t>项目的履约担保。</w:t>
            </w:r>
          </w:p>
          <w:p>
            <w:pPr>
              <w:pStyle w:val="2"/>
              <w:ind w:left="0" w:leftChars="0" w:firstLine="0" w:firstLineChars="0"/>
              <w:rPr>
                <w:rFonts w:hint="eastAsia"/>
                <w:lang w:val="zh-CN" w:eastAsia="zh-CN"/>
              </w:rPr>
            </w:pPr>
            <w:r>
              <w:rPr>
                <w:rFonts w:hint="eastAsia" w:asciiTheme="minorHAnsi" w:hAnsiTheme="minorHAnsi" w:eastAsiaTheme="minorEastAsia" w:cstheme="minorBidi"/>
                <w:kern w:val="2"/>
                <w:sz w:val="21"/>
                <w:szCs w:val="22"/>
                <w:lang w:val="en-US" w:eastAsia="zh-CN" w:bidi="ar-SA"/>
              </w:rPr>
              <w:t>中标供应商无正当理由不与采购人订立合同，在签订合同时向采购人提出附加条件或者不按照招标文件要求提交履约担保的，取消其中标资格。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326"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755"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bidi="ar-SA"/>
              </w:rPr>
              <w:t>代理服务费由中标供应商支付，按照差额累进计价法</w:t>
            </w:r>
            <w:r>
              <w:rPr>
                <w:rFonts w:hint="eastAsia" w:ascii="新宋体" w:hAnsi="新宋体" w:eastAsia="新宋体"/>
                <w:szCs w:val="21"/>
                <w:lang w:eastAsia="zh-CN"/>
              </w:rPr>
              <w:t>收取，</w:t>
            </w:r>
            <w:r>
              <w:rPr>
                <w:rFonts w:hint="eastAsia" w:ascii="宋体" w:hAnsi="宋体" w:eastAsia="宋体" w:cs="宋体"/>
                <w:lang w:val="zh-CN" w:bidi="ar-SA"/>
              </w:rPr>
              <w:t>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326"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755" w:type="dxa"/>
            <w:vAlign w:val="center"/>
          </w:tcPr>
          <w:p>
            <w:pPr>
              <w:autoSpaceDE w:val="0"/>
              <w:autoSpaceDN w:val="0"/>
              <w:adjustRightInd w:val="0"/>
              <w:spacing w:line="360" w:lineRule="auto"/>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中标人在接到中标通知时，须</w:t>
            </w:r>
            <w:r>
              <w:rPr>
                <w:rFonts w:hint="eastAsia" w:ascii="新宋体" w:hAnsi="新宋体" w:eastAsia="新宋体"/>
                <w:szCs w:val="21"/>
                <w:highlight w:val="none"/>
              </w:rPr>
              <w:t>向</w:t>
            </w:r>
            <w:r>
              <w:rPr>
                <w:rFonts w:hint="eastAsia" w:ascii="新宋体" w:hAnsi="新宋体" w:eastAsia="新宋体"/>
                <w:szCs w:val="21"/>
                <w:highlight w:val="none"/>
                <w:lang w:eastAsia="zh-CN"/>
              </w:rPr>
              <w:t>代理机构</w:t>
            </w:r>
            <w:r>
              <w:rPr>
                <w:rFonts w:hint="eastAsia" w:ascii="新宋体" w:hAnsi="新宋体" w:eastAsia="新宋体"/>
                <w:szCs w:val="21"/>
                <w:highlight w:val="none"/>
              </w:rPr>
              <w:t>发</w:t>
            </w:r>
            <w:r>
              <w:rPr>
                <w:rFonts w:hint="eastAsia" w:cs="宋体" w:asciiTheme="minorEastAsia" w:hAnsiTheme="minorEastAsia"/>
                <w:bCs/>
                <w:szCs w:val="21"/>
                <w:highlight w:val="none"/>
                <w:lang w:val="zh-CN"/>
              </w:rPr>
              <w:t>送投标报价及分项报价一览表（包含主要中标标的的名称、规格型号、数量、单价、服务要求等）电子文档，并同时通知代理机构。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326"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755"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326"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755"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不同供应商电子投标文件制作硬件特征码（网卡MAC地址、CPU序号、硬盘序列号等）</w:t>
            </w:r>
            <w:r>
              <w:rPr>
                <w:rFonts w:hint="eastAsia" w:ascii="ˎ̥" w:hAnsi="ˎ̥"/>
                <w:highlight w:val="none"/>
                <w:lang w:eastAsia="zh-CN"/>
              </w:rPr>
              <w:t>均一致</w:t>
            </w:r>
            <w:r>
              <w:rPr>
                <w:rFonts w:hint="eastAsia" w:ascii="ˎ̥" w:hAnsi="ˎ̥"/>
                <w:highlight w:val="none"/>
              </w:rPr>
              <w:t>时，视为‘</w:t>
            </w:r>
            <w:r>
              <w:rPr>
                <w:rFonts w:ascii="ˎ̥" w:hAnsi="ˎ̥"/>
                <w:highlight w:val="none"/>
              </w:rPr>
              <w:t>不同</w:t>
            </w:r>
            <w:r>
              <w:rPr>
                <w:rFonts w:hint="eastAsia" w:ascii="ˎ̥" w:hAnsi="ˎ̥"/>
                <w:highlight w:val="none"/>
              </w:rPr>
              <w:t>投标人的投标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highlight w:val="none"/>
              </w:rPr>
              <w:t>评审专家应严格按照要求查看“硬件特征码” 相关信息并进行评审，在评审报告中显示“不同投标人电子投标文件制作硬件特征码”是否</w:t>
            </w:r>
            <w:r>
              <w:rPr>
                <w:rFonts w:hint="eastAsia" w:ascii="ˎ̥" w:hAnsi="ˎ̥"/>
                <w:highlight w:val="none"/>
                <w:lang w:eastAsia="zh-CN"/>
              </w:rPr>
              <w:t>均一致</w:t>
            </w:r>
            <w:r>
              <w:rPr>
                <w:rFonts w:hint="eastAsia" w:ascii="ˎ̥" w:hAnsi="ˎ̥"/>
                <w:highlight w:val="none"/>
              </w:rPr>
              <w:t>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”：“投标人须知前附表”中所述的组织本次招标的代理机构和采购人。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处按规定获取招标文件，并按照招标文件要求向</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提交投标文件的法人、其他组织或者自然人。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4"/>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3.3  </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政府采购活动中查询及使用投标人信用记录的具体要求为：投标人未被列入失信被执行人、重大税收违法案件当事人名单、政府采购严重违法失信行为记录名单</w:t>
      </w:r>
      <w:r>
        <w:rPr>
          <w:rFonts w:hint="eastAsia" w:cs="宋体" w:asciiTheme="minorEastAsia" w:hAnsiTheme="minorEastAsia"/>
          <w:kern w:val="0"/>
          <w:szCs w:val="21"/>
          <w:lang w:val="en-US" w:eastAsia="zh-CN"/>
        </w:rPr>
        <w:t>。</w:t>
      </w:r>
      <w:r>
        <w:rPr>
          <w:rFonts w:hint="eastAsia" w:cs="宋体" w:asciiTheme="minorEastAsia" w:hAnsiTheme="minorEastAsia"/>
          <w:kern w:val="0"/>
          <w:szCs w:val="21"/>
        </w:rPr>
        <w:t>（联合体形式投标的，联合体成员存在不良信用记录，视同联合体存在不良信用记录）。</w:t>
      </w:r>
    </w:p>
    <w:p>
      <w:pPr>
        <w:pStyle w:val="44"/>
        <w:numPr>
          <w:ilvl w:val="0"/>
          <w:numId w:val="0"/>
        </w:numPr>
        <w:autoSpaceDE w:val="0"/>
        <w:autoSpaceDN w:val="0"/>
        <w:spacing w:line="360" w:lineRule="auto"/>
        <w:ind w:left="420" w:leftChars="0"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 xml:space="preserve">  （1）查询渠道：“信用中国”网站（www.creditchina.gov.cn）、“中国政府采购网”（www.ccgp.gov.cn）、；“中国社会组织公共服务平台”网站（www.chinanpo.gov.cn）。</w:t>
      </w:r>
      <w:r>
        <w:rPr>
          <w:rFonts w:hint="eastAsia" w:cs="宋体" w:asciiTheme="minorEastAsia" w:hAnsiTheme="minorEastAsia"/>
          <w:kern w:val="0"/>
          <w:szCs w:val="21"/>
        </w:rPr>
        <w:t>；</w:t>
      </w:r>
    </w:p>
    <w:p>
      <w:pPr>
        <w:pStyle w:val="44"/>
        <w:numPr>
          <w:ilvl w:val="0"/>
          <w:numId w:val="0"/>
        </w:numPr>
        <w:autoSpaceDE w:val="0"/>
        <w:autoSpaceDN w:val="0"/>
        <w:spacing w:line="360" w:lineRule="auto"/>
        <w:ind w:left="420" w:leftChars="0" w:firstLine="630" w:firstLineChars="300"/>
        <w:contextualSpacing/>
        <w:rPr>
          <w:rFonts w:hint="eastAsia" w:cs="宋体" w:asciiTheme="minorEastAsia" w:hAnsiTheme="minorEastAsia"/>
          <w:kern w:val="0"/>
          <w:szCs w:val="21"/>
        </w:rPr>
      </w:pPr>
      <w:r>
        <w:rPr>
          <w:rFonts w:hint="eastAsia" w:cs="宋体" w:asciiTheme="minorEastAsia" w:hAnsiTheme="minorEastAsia"/>
          <w:kern w:val="0"/>
          <w:szCs w:val="21"/>
        </w:rPr>
        <w:t>（2）截止时间：同投标截止时间；</w:t>
      </w:r>
    </w:p>
    <w:p>
      <w:pPr>
        <w:pStyle w:val="44"/>
        <w:numPr>
          <w:ilvl w:val="0"/>
          <w:numId w:val="0"/>
        </w:numPr>
        <w:autoSpaceDE w:val="0"/>
        <w:autoSpaceDN w:val="0"/>
        <w:spacing w:line="360" w:lineRule="auto"/>
        <w:ind w:left="420" w:leftChars="0" w:firstLine="630" w:firstLineChars="300"/>
        <w:contextualSpacing/>
        <w:rPr>
          <w:rFonts w:hint="eastAsia"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（4）信用信息的使用原则：经采购人认定的被列入失信被执行人、重大税收违法案件当事人名单、政府采购严重违法失信行为记录名单的投标人，将拒绝其参与本次政府采购活动。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（5）</w:t>
      </w:r>
      <w:r>
        <w:rPr>
          <w:rFonts w:hint="eastAsia" w:cs="宋体" w:asciiTheme="minorEastAsia" w:hAnsiTheme="minorEastAsia"/>
          <w:kern w:val="0"/>
          <w:szCs w:val="21"/>
          <w:highlight w:val="none"/>
          <w:lang w:eastAsia="zh-CN"/>
        </w:rPr>
        <w:t>投标人无须提供信用记录查询结果网页截屏，</w:t>
      </w:r>
      <w:r>
        <w:rPr>
          <w:rFonts w:hint="eastAsia" w:cs="宋体" w:asciiTheme="minorEastAsia" w:hAnsiTheme="minorEastAsia"/>
          <w:kern w:val="0"/>
          <w:szCs w:val="21"/>
          <w:highlight w:val="none"/>
        </w:rPr>
        <w:t>投标人不良信用记录以采购人</w:t>
      </w:r>
      <w:r>
        <w:rPr>
          <w:rFonts w:hint="eastAsia" w:cs="宋体" w:asciiTheme="minorEastAsia" w:hAnsiTheme="minorEastAsia"/>
          <w:kern w:val="0"/>
          <w:szCs w:val="21"/>
          <w:highlight w:val="none"/>
          <w:lang w:eastAsia="zh-CN"/>
        </w:rPr>
        <w:t>开标现场</w:t>
      </w:r>
      <w:r>
        <w:rPr>
          <w:rFonts w:hint="eastAsia" w:cs="宋体" w:asciiTheme="minorEastAsia" w:hAnsiTheme="minorEastAsia"/>
          <w:kern w:val="0"/>
          <w:szCs w:val="21"/>
          <w:highlight w:val="none"/>
        </w:rPr>
        <w:t>查询结果为准，采购人查询之后，网站信息发生的任何变更不再作为评审依据，投标人自行提供的与网站信息不一致的其他证明材料亦不作为评审依据。</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单位负责人为同一人或者存在直接控股、管理关系的不同供应商，不得同时参加本项目投标。违反规定的，相关投标均无效。</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为采购项目提供整体设计、规范编制或者项目管理、监理、检测等服务的供应商，不得再参加该采购项目的其他采购活动。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“投标邀请”和“投标人须知前附表”规定接受联合体投标的，除应符合本章第</w:t>
      </w:r>
      <w:r>
        <w:rPr>
          <w:rFonts w:cs="宋体" w:asciiTheme="minorEastAsia" w:hAnsiTheme="minorEastAsia"/>
          <w:kern w:val="0"/>
          <w:szCs w:val="21"/>
          <w:highlight w:val="none"/>
        </w:rPr>
        <w:t>3.1</w:t>
      </w:r>
      <w:r>
        <w:rPr>
          <w:rFonts w:hint="eastAsia" w:cs="宋体" w:asciiTheme="minorEastAsia" w:hAnsiTheme="minorEastAsia"/>
          <w:kern w:val="0"/>
          <w:szCs w:val="21"/>
          <w:highlight w:val="none"/>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均将通过在《河南省政府采购网》、《全国公共资源交易平台（河南省·许昌市）》、《长葛市人民政府门户网站》公开发布。投标人在参与本采购项目招投标活动期</w:t>
      </w:r>
      <w:r>
        <w:rPr>
          <w:rFonts w:hint="eastAsia" w:cs="宋体" w:asciiTheme="minorEastAsia" w:hAnsiTheme="minorEastAsia"/>
          <w:kern w:val="0"/>
          <w:szCs w:val="21"/>
          <w:highlight w:val="none"/>
        </w:rPr>
        <w:t>间，请及时关注以上媒体上的相关信息，投标人因没有及时关注而未能如期获取相关信息，及因此所产生的一切后果和责任，由投标人自行承担，</w:t>
      </w:r>
      <w:r>
        <w:rPr>
          <w:rFonts w:hint="eastAsia" w:cs="宋体" w:asciiTheme="minorEastAsia" w:hAnsiTheme="minorEastAsia"/>
          <w:kern w:val="0"/>
          <w:szCs w:val="21"/>
          <w:highlight w:val="none"/>
          <w:lang w:eastAsia="zh-CN"/>
        </w:rPr>
        <w:t>采购人</w:t>
      </w:r>
      <w:r>
        <w:rPr>
          <w:rFonts w:hint="eastAsia" w:cs="宋体" w:asciiTheme="minorEastAsia" w:hAnsiTheme="minorEastAsia"/>
          <w:kern w:val="0"/>
          <w:szCs w:val="21"/>
          <w:highlight w:val="none"/>
        </w:rPr>
        <w:t>在任何情况下均不对此承担任何责任。</w:t>
      </w:r>
    </w:p>
    <w:p>
      <w:pPr>
        <w:autoSpaceDE w:val="0"/>
        <w:autoSpaceDN w:val="0"/>
        <w:spacing w:line="360" w:lineRule="auto"/>
        <w:ind w:left="964"/>
        <w:contextualSpacing/>
        <w:rPr>
          <w:rFonts w:cs="宋体" w:asciiTheme="minorEastAsia" w:hAnsiTheme="minorEastAsia"/>
          <w:kern w:val="0"/>
          <w:szCs w:val="21"/>
          <w:highlight w:val="none"/>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highlight w:val="none"/>
        </w:rPr>
        <w:t>采购代理机构代理费用收取标准和方式</w:t>
      </w:r>
    </w:p>
    <w:p>
      <w:pPr>
        <w:pStyle w:val="44"/>
        <w:numPr>
          <w:ilvl w:val="0"/>
          <w:numId w:val="8"/>
        </w:numPr>
        <w:autoSpaceDE w:val="0"/>
        <w:autoSpaceDN w:val="0"/>
        <w:spacing w:line="360" w:lineRule="auto"/>
        <w:ind w:firstLineChars="0"/>
        <w:contextualSpacing/>
        <w:rPr>
          <w:rFonts w:ascii="宋体" w:hAnsi="宋体" w:cs="宋体"/>
          <w:kern w:val="0"/>
          <w:szCs w:val="21"/>
          <w:highlight w:val="none"/>
        </w:rPr>
      </w:pPr>
      <w:r>
        <w:rPr>
          <w:rFonts w:hint="eastAsia" w:ascii="宋体" w:hAnsi="宋体" w:cs="宋体"/>
          <w:kern w:val="0"/>
          <w:szCs w:val="21"/>
          <w:highlight w:val="none"/>
        </w:rPr>
        <w:t>收取标准：收取。详见投标人须知前附表。</w:t>
      </w:r>
    </w:p>
    <w:p>
      <w:pPr>
        <w:pStyle w:val="44"/>
        <w:numPr>
          <w:ilvl w:val="1"/>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highlight w:val="none"/>
        </w:rPr>
        <w:t>收取方式：</w:t>
      </w:r>
      <w:r>
        <w:rPr>
          <w:rFonts w:hint="eastAsia" w:ascii="宋体" w:hAnsi="宋体" w:cs="宋体"/>
          <w:kern w:val="0"/>
          <w:szCs w:val="21"/>
          <w:highlight w:val="none"/>
          <w:lang w:val="zh-CN"/>
        </w:rPr>
        <w:t>中标通知书发出前，以现金或转账形式交纳</w:t>
      </w:r>
      <w:r>
        <w:rPr>
          <w:rFonts w:hint="eastAsia" w:ascii="宋体" w:hAnsi="宋体" w:cs="宋体"/>
          <w:kern w:val="0"/>
          <w:szCs w:val="21"/>
          <w:highlight w:val="none"/>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组织现场考察或者召开开标前答疑会的，所有投标人应按“投标人须知前附表”规定的时间、地点前往参加现场考察或者开标前答疑会。投标人如不参加，其风险由投标人自行承担，</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不承担任何责任。</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组织现场考察或者召开答疑会的，应当在招标文件中载明，或者在招标文件公告期满后在财政部门指定的政府采购信息发布媒体和《全国公共资源交易平台（河南省·许昌市）》发布更正公告。</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在考察现场和开标前答疑会口头介绍的情况，除</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事后形成书面记录、并以澄清或修改公告的形式发布、构成招标文件的组成部分以外，其他内容仅供投标人在编制投标文件时参考，</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不对投标人据此作出的判断和决策负责。</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可主动地或在解答潜在投标人提出的澄清问题时对招标文件进行修改。</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可以对已发出的招标文件进行必要的澄清或者修改。澄清或者修改的内容可能影响投标文件编制的，</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就有关投标事宜的所有来往书面文件均应使用中文。除签名、盖章、专用名称等特殊情形外，以中文以外的文字表述的投标文件视同未提供。</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w:t>
      </w:r>
      <w:r>
        <w:rPr>
          <w:rFonts w:hint="eastAsia" w:cs="宋体" w:asciiTheme="minorEastAsia" w:hAnsiTheme="minorEastAsia"/>
          <w:kern w:val="0"/>
          <w:szCs w:val="21"/>
          <w:lang w:eastAsia="zh-CN"/>
        </w:rPr>
        <w:t>投标人将承担相应责任</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可要求投标人延长投标有效期。这种要求与答复均应以书面形式提交。投标人可拒绝</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的这种要求，但其投标在原投标有效期期满后将不再有效。同意延长投标有效期的投标人将不会被要求和允许修正其投标。同意延期的投标人在原投标有效期内应享之权利及应负之责任也相应延续。</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投标人根据招标文件的规定和采购项目的实际情</w:t>
      </w:r>
      <w:r>
        <w:rPr>
          <w:rFonts w:hint="eastAsia" w:cs="宋体" w:asciiTheme="minorEastAsia" w:hAnsiTheme="minorEastAsia"/>
          <w:kern w:val="0"/>
          <w:szCs w:val="21"/>
          <w:highlight w:val="none"/>
        </w:rPr>
        <w:t>况，拟在中标后将中标项目的非主体、非关键性工作分包的，应当在投标文件中载明分包承担主体，分包承担主体应当具备相应资质条件且不得再次分包。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highlight w:val="none"/>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highlight w:val="none"/>
        </w:rPr>
        <w:t>.file</w:t>
      </w:r>
      <w:r>
        <w:rPr>
          <w:rFonts w:hint="eastAsia" w:cs="宋体" w:asciiTheme="minorEastAsia" w:hAnsiTheme="minorEastAsia"/>
          <w:kern w:val="0"/>
          <w:szCs w:val="21"/>
          <w:highlight w:val="none"/>
        </w:rPr>
        <w:t>”的文件用于电子投标使用，后缀名为“.PDF”的文件用于打印纸质投</w:t>
      </w:r>
      <w:r>
        <w:rPr>
          <w:rFonts w:hint="eastAsia" w:cs="宋体" w:asciiTheme="minorEastAsia" w:hAnsiTheme="minorEastAsia"/>
          <w:kern w:val="0"/>
          <w:szCs w:val="21"/>
        </w:rPr>
        <w:t>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4"/>
        <w:numPr>
          <w:ilvl w:val="0"/>
          <w:numId w:val="0"/>
        </w:numPr>
        <w:autoSpaceDE w:val="0"/>
        <w:autoSpaceDN w:val="0"/>
        <w:spacing w:line="360" w:lineRule="auto"/>
        <w:ind w:left="420" w:leftChars="0"/>
        <w:contextualSpacing/>
        <w:rPr>
          <w:rFonts w:hint="eastAsia" w:cs="宋体" w:asciiTheme="minorEastAsia" w:hAnsiTheme="minorEastAsia"/>
          <w:kern w:val="0"/>
          <w:szCs w:val="21"/>
        </w:rPr>
      </w:pPr>
      <w:r>
        <w:rPr>
          <w:rFonts w:hint="eastAsia" w:cs="宋体" w:asciiTheme="minorEastAsia" w:hAnsiTheme="minorEastAsia"/>
          <w:kern w:val="0"/>
          <w:szCs w:val="21"/>
          <w:lang w:eastAsia="zh-CN"/>
        </w:rPr>
        <w:t>不收取</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w:t>
      </w:r>
      <w:r>
        <w:rPr>
          <w:rFonts w:hint="eastAsia" w:cs="宋体" w:asciiTheme="minorEastAsia" w:hAnsiTheme="minorEastAsia"/>
          <w:kern w:val="0"/>
          <w:szCs w:val="21"/>
          <w:lang w:eastAsia="zh-CN"/>
        </w:rPr>
        <w:t>一起</w:t>
      </w:r>
      <w:r>
        <w:rPr>
          <w:rFonts w:hint="eastAsia" w:cs="宋体" w:asciiTheme="minorEastAsia" w:hAnsiTheme="minorEastAsia"/>
          <w:kern w:val="0"/>
          <w:szCs w:val="21"/>
        </w:rPr>
        <w:t>密封包装</w:t>
      </w:r>
      <w:r>
        <w:rPr>
          <w:rFonts w:hint="eastAsia" w:cs="宋体" w:asciiTheme="minorEastAsia" w:hAnsiTheme="minorEastAsia"/>
          <w:kern w:val="0"/>
          <w:szCs w:val="21"/>
          <w:lang w:eastAsia="zh-CN"/>
        </w:rPr>
        <w:t>并在密封处加盖单位公章</w:t>
      </w:r>
      <w:r>
        <w:rPr>
          <w:rFonts w:hint="eastAsia" w:cs="宋体" w:asciiTheme="minorEastAsia" w:hAnsiTheme="minorEastAsia"/>
          <w:kern w:val="0"/>
          <w:szCs w:val="21"/>
        </w:rPr>
        <w:t>。使用电子介质存储的投标文件单独密封包装，并随纸质投标文件一并提交。</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收到投标文件后，应当如实记载投标文件的送达时间和密封情况，签收保存，并向投标人出具签收回执。任何单位和个人不得在开标前开启投标文件。</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可以按本须知第10条规定，通过修改招标文件自行决定酌情延长投标截止期。在此情况下，</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和投标人受投标截止期制约的所有权利和义务均应延长至新的截止日期和时间。投标人按</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修改通知规定的时间递交投标文件。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w:t>
      </w:r>
      <w:r>
        <w:rPr>
          <w:rFonts w:hint="eastAsia" w:cs="宋体" w:asciiTheme="minorEastAsia" w:hAnsiTheme="minorEastAsia"/>
          <w:kern w:val="0"/>
          <w:szCs w:val="21"/>
          <w:lang w:eastAsia="zh-CN"/>
        </w:rPr>
        <w:t>投标人将承担相应责任</w:t>
      </w:r>
      <w:r>
        <w:rPr>
          <w:rFonts w:hint="eastAsia" w:cs="宋体" w:asciiTheme="minorEastAsia" w:hAnsiTheme="minorEastAsia"/>
          <w:kern w:val="0"/>
          <w:szCs w:val="21"/>
        </w:rPr>
        <w:t>。</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将按招标文件规定的时间和地点组织公开开标。开标由代理机构主持，邀请投标人参加。评标委员会成员不得参加开标活动。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应当对开标、评标现场活动进行全程录音录像。录音录像应当清晰可辨，音像资料作为采购文件一并存档。</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w:t>
      </w:r>
      <w:r>
        <w:rPr>
          <w:rFonts w:hint="eastAsia" w:cs="宋体" w:asciiTheme="minorEastAsia" w:hAnsiTheme="minorEastAsia"/>
          <w:kern w:val="0"/>
          <w:szCs w:val="21"/>
          <w:lang w:eastAsia="zh-CN"/>
        </w:rPr>
        <w:t>代表</w:t>
      </w:r>
      <w:r>
        <w:rPr>
          <w:rFonts w:hint="eastAsia" w:cs="宋体" w:asciiTheme="minorEastAsia" w:hAnsiTheme="minorEastAsia"/>
          <w:kern w:val="0"/>
          <w:szCs w:val="21"/>
          <w:lang w:val="en-US" w:eastAsia="zh-CN"/>
        </w:rPr>
        <w:t>1人</w:t>
      </w:r>
      <w:r>
        <w:rPr>
          <w:rFonts w:hint="eastAsia" w:cs="宋体" w:asciiTheme="minorEastAsia" w:hAnsiTheme="minorEastAsia"/>
          <w:kern w:val="0"/>
          <w:szCs w:val="21"/>
        </w:rPr>
        <w:t>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rPr>
        <w:t>评标委员会的组成</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lang w:eastAsia="zh-CN"/>
        </w:rPr>
        <w:t>采购</w:t>
      </w:r>
      <w:r>
        <w:rPr>
          <w:rFonts w:hint="eastAsia" w:cs="宋体" w:asciiTheme="minorEastAsia" w:hAnsiTheme="minorEastAsia"/>
          <w:kern w:val="0"/>
          <w:szCs w:val="21"/>
          <w:highlight w:val="none"/>
        </w:rPr>
        <w:t>人将依法组建评标委员会，评标委员会由采购人代表</w:t>
      </w:r>
      <w:r>
        <w:rPr>
          <w:rFonts w:hint="eastAsia" w:cs="宋体" w:asciiTheme="minorEastAsia" w:hAnsiTheme="minorEastAsia"/>
          <w:kern w:val="0"/>
          <w:szCs w:val="21"/>
          <w:highlight w:val="none"/>
          <w:lang w:val="en-US" w:eastAsia="zh-CN"/>
        </w:rPr>
        <w:t>1人</w:t>
      </w:r>
      <w:r>
        <w:rPr>
          <w:rFonts w:hint="eastAsia" w:cs="宋体" w:asciiTheme="minorEastAsia" w:hAnsiTheme="minorEastAsia"/>
          <w:kern w:val="0"/>
          <w:szCs w:val="21"/>
          <w:highlight w:val="none"/>
        </w:rPr>
        <w:t>和评审专家</w:t>
      </w:r>
      <w:r>
        <w:rPr>
          <w:rFonts w:hint="eastAsia" w:cs="宋体" w:asciiTheme="minorEastAsia" w:hAnsiTheme="minorEastAsia"/>
          <w:kern w:val="0"/>
          <w:szCs w:val="21"/>
          <w:highlight w:val="none"/>
          <w:lang w:val="en-US" w:eastAsia="zh-CN"/>
        </w:rPr>
        <w:t>4人</w:t>
      </w:r>
      <w:r>
        <w:rPr>
          <w:rFonts w:hint="eastAsia" w:cs="宋体" w:asciiTheme="minorEastAsia" w:hAnsiTheme="minorEastAsia"/>
          <w:kern w:val="0"/>
          <w:szCs w:val="21"/>
          <w:highlight w:val="none"/>
        </w:rPr>
        <w:t>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 xml:space="preserve">26.1.1 </w:t>
      </w:r>
      <w:r>
        <w:rPr>
          <w:rFonts w:hint="eastAsia" w:cs="宋体" w:asciiTheme="minorEastAsia" w:hAnsiTheme="minorEastAsia"/>
          <w:kern w:val="0"/>
          <w:szCs w:val="21"/>
          <w:highlight w:val="none"/>
          <w:lang w:eastAsia="zh-CN"/>
        </w:rPr>
        <w:t>采购</w:t>
      </w:r>
      <w:r>
        <w:rPr>
          <w:rFonts w:hint="eastAsia" w:cs="宋体" w:asciiTheme="minorEastAsia" w:hAnsiTheme="minorEastAsia"/>
          <w:kern w:val="0"/>
          <w:szCs w:val="21"/>
          <w:highlight w:val="none"/>
        </w:rPr>
        <w:t>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26.1.2  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（1）采购预算金额在1000万元以上；</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按照《关于推进全流程电子化交易和在线监管工作有关问题的通知》（许公管办[2019]3号）规定，不同投标人电子投标文件制作硬件特征码（网卡MAC地址、CPU序号、硬盘序列号等）</w:t>
      </w:r>
      <w:r>
        <w:rPr>
          <w:rFonts w:hint="eastAsia" w:ascii="ˎ̥" w:hAnsi="ˎ̥"/>
          <w:highlight w:val="none"/>
          <w:lang w:eastAsia="zh-CN"/>
        </w:rPr>
        <w:t>均一致时</w:t>
      </w:r>
      <w:r>
        <w:rPr>
          <w:rFonts w:hint="eastAsia" w:ascii="ˎ̥" w:hAnsi="ˎ̥"/>
          <w:highlight w:val="none"/>
        </w:rPr>
        <w:t>，视为‘</w:t>
      </w:r>
      <w:r>
        <w:rPr>
          <w:rFonts w:ascii="ˎ̥" w:hAnsi="ˎ̥"/>
          <w:highlight w:val="none"/>
        </w:rPr>
        <w:t>不同</w:t>
      </w:r>
      <w:r>
        <w:rPr>
          <w:rFonts w:hint="eastAsia" w:ascii="ˎ̥" w:hAnsi="ˎ̥"/>
          <w:highlight w:val="none"/>
        </w:rPr>
        <w:t>投标人</w:t>
      </w:r>
      <w:r>
        <w:rPr>
          <w:rFonts w:ascii="ˎ̥" w:hAnsi="ˎ̥"/>
          <w:highlight w:val="none"/>
        </w:rPr>
        <w:t>的</w:t>
      </w:r>
      <w:r>
        <w:rPr>
          <w:rFonts w:hint="eastAsia" w:ascii="ˎ̥" w:hAnsi="ˎ̥"/>
          <w:highlight w:val="none"/>
        </w:rPr>
        <w:t>投标</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投标人</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’，其投标无效。</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highlight w:val="none"/>
        </w:rPr>
      </w:pPr>
      <w:r>
        <w:rPr>
          <w:rFonts w:cs="宋体" w:asciiTheme="minorEastAsia" w:hAnsiTheme="minorEastAsia"/>
          <w:kern w:val="0"/>
          <w:szCs w:val="21"/>
          <w:highlight w:val="none"/>
        </w:rPr>
        <w:t>法律、法规和招标文件规定的其他无效情形。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w:t>
      </w:r>
      <w:r>
        <w:rPr>
          <w:rFonts w:hint="eastAsia" w:cs="宋体" w:asciiTheme="minorEastAsia" w:hAnsiTheme="minorEastAsia"/>
          <w:kern w:val="0"/>
          <w:szCs w:val="21"/>
          <w:lang w:eastAsia="zh-CN"/>
        </w:rPr>
        <w:t>核心产品</w:t>
      </w:r>
      <w:r>
        <w:rPr>
          <w:rFonts w:hint="eastAsia" w:cs="宋体" w:asciiTheme="minorEastAsia" w:hAnsiTheme="minor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w:t>
      </w:r>
      <w:r>
        <w:rPr>
          <w:rFonts w:hint="eastAsia" w:cs="宋体" w:asciiTheme="minorEastAsia" w:hAnsiTheme="minorEastAsia"/>
          <w:kern w:val="0"/>
          <w:szCs w:val="21"/>
          <w:lang w:eastAsia="zh-CN"/>
        </w:rPr>
        <w:t>采购人</w:t>
      </w:r>
      <w:r>
        <w:rPr>
          <w:rFonts w:hint="eastAsia" w:cs="宋体" w:asciiTheme="minorEastAsia" w:hAnsiTheme="minorEastAsia"/>
          <w:kern w:val="0"/>
          <w:szCs w:val="21"/>
        </w:rPr>
        <w:t>在公告中标结果的同时，向中标人发出中标通知书。</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4"/>
        <w:autoSpaceDE w:val="0"/>
        <w:autoSpaceDN w:val="0"/>
        <w:spacing w:line="360" w:lineRule="auto"/>
        <w:ind w:left="0" w:leftChars="0"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w:t>
      </w:r>
      <w:r>
        <w:rPr>
          <w:rFonts w:hint="eastAsia" w:cs="宋体" w:asciiTheme="minorEastAsia" w:hAnsiTheme="minorEastAsia"/>
          <w:b/>
          <w:kern w:val="0"/>
          <w:szCs w:val="21"/>
          <w:lang w:eastAsia="zh-CN"/>
        </w:rPr>
        <w:t>担保</w:t>
      </w:r>
    </w:p>
    <w:p>
      <w:pPr>
        <w:spacing w:line="400" w:lineRule="exact"/>
        <w:ind w:firstLine="840" w:firstLineChars="400"/>
        <w:rPr>
          <w:rFonts w:hint="eastAsia" w:ascii="宋体" w:hAnsi="宋体"/>
          <w:szCs w:val="21"/>
        </w:rPr>
      </w:pPr>
      <w:r>
        <w:rPr>
          <w:rFonts w:hint="eastAsia" w:ascii="宋体" w:hAnsi="宋体"/>
          <w:szCs w:val="21"/>
        </w:rPr>
        <w:t>在签订合同前，中标人应按供应商“ 投标人须知前附表”提交履约</w:t>
      </w:r>
      <w:r>
        <w:rPr>
          <w:rFonts w:hint="eastAsia" w:ascii="宋体" w:hAnsi="宋体"/>
          <w:szCs w:val="21"/>
          <w:lang w:eastAsia="zh-CN"/>
        </w:rPr>
        <w:t>担保</w:t>
      </w:r>
      <w:r>
        <w:rPr>
          <w:rFonts w:hint="eastAsia" w:ascii="宋体" w:hAnsi="宋体"/>
          <w:szCs w:val="21"/>
        </w:rPr>
        <w:t>。</w:t>
      </w:r>
    </w:p>
    <w:p>
      <w:pPr>
        <w:spacing w:line="400" w:lineRule="exact"/>
        <w:rPr>
          <w:rFonts w:hint="eastAsia"/>
          <w:szCs w:val="21"/>
        </w:rPr>
      </w:pPr>
      <w:r>
        <w:rPr>
          <w:rFonts w:hint="eastAsia" w:ascii="宋体" w:hAnsi="宋体"/>
          <w:szCs w:val="21"/>
          <w:lang w:val="en-US" w:eastAsia="zh-CN"/>
        </w:rPr>
        <w:t xml:space="preserve">        </w:t>
      </w:r>
      <w:r>
        <w:rPr>
          <w:rFonts w:hint="eastAsia" w:ascii="宋体" w:hAnsi="宋体"/>
          <w:szCs w:val="21"/>
        </w:rPr>
        <w:t>中标人不能</w:t>
      </w:r>
      <w:r>
        <w:rPr>
          <w:rFonts w:hint="eastAsia" w:ascii="宋体" w:hAnsi="宋体"/>
          <w:szCs w:val="21"/>
          <w:lang w:eastAsia="zh-CN"/>
        </w:rPr>
        <w:t>按照</w:t>
      </w:r>
      <w:r>
        <w:rPr>
          <w:rFonts w:hint="eastAsia" w:ascii="宋体" w:hAnsi="宋体"/>
          <w:szCs w:val="21"/>
        </w:rPr>
        <w:t>“ 投标人须知前附表”提交履约</w:t>
      </w:r>
      <w:r>
        <w:rPr>
          <w:rFonts w:hint="eastAsia" w:ascii="宋体" w:hAnsi="宋体"/>
          <w:szCs w:val="21"/>
          <w:lang w:eastAsia="zh-CN"/>
        </w:rPr>
        <w:t>担保</w:t>
      </w:r>
      <w:r>
        <w:rPr>
          <w:rFonts w:hint="eastAsia" w:ascii="宋体" w:hAnsi="宋体"/>
          <w:szCs w:val="21"/>
        </w:rPr>
        <w:t>的，视为放弃中标，给采购人造成的损失的，中标人还应当予以赔偿。</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autoSpaceDE w:val="0"/>
        <w:autoSpaceDN w:val="0"/>
        <w:spacing w:line="360" w:lineRule="auto"/>
        <w:contextualSpacing/>
        <w:jc w:val="center"/>
        <w:rPr>
          <w:rFonts w:hint="eastAsia" w:ascii="宋体" w:hAnsi="宋体" w:cs="宋体"/>
          <w:b/>
          <w:kern w:val="0"/>
          <w:sz w:val="32"/>
          <w:szCs w:val="32"/>
        </w:rPr>
      </w:pP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jc w:val="center"/>
        <w:rPr>
          <w:rFonts w:ascii="宋体" w:cs="宋体"/>
          <w:b/>
          <w:kern w:val="0"/>
          <w:sz w:val="36"/>
          <w:szCs w:val="36"/>
        </w:rPr>
      </w:pPr>
    </w:p>
    <w:p>
      <w:pPr>
        <w:pStyle w:val="17"/>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7"/>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7"/>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7"/>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21"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21"/>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7"/>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7"/>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7"/>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、中标人为残疾人福利性单位的，采购人应当随中标结果同时公告其《残疾人福利性单位声明函》，接受社会监督。</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topLinePunct/>
        <w:spacing w:line="360" w:lineRule="auto"/>
        <w:ind w:firstLine="420" w:firstLineChars="200"/>
        <w:contextualSpacing/>
        <w:rPr>
          <w:rFonts w:hint="eastAsia" w:ascii="宋体" w:hAns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topLinePunct/>
        <w:spacing w:line="360" w:lineRule="auto"/>
        <w:ind w:firstLine="420" w:firstLineChars="200"/>
        <w:contextualSpacing/>
        <w:rPr>
          <w:rFonts w:hint="eastAsia"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7"/>
        <w:spacing w:line="360" w:lineRule="auto"/>
        <w:contextualSpacing/>
        <w:rPr>
          <w:rFonts w:cs="仿宋_GB2312" w:asciiTheme="minorEastAsia" w:hAnsiTheme="minorEastAsia"/>
          <w:lang w:val="zh-CN"/>
        </w:rPr>
      </w:pPr>
    </w:p>
    <w:p>
      <w:pPr>
        <w:pStyle w:val="17"/>
        <w:spacing w:line="360" w:lineRule="auto"/>
        <w:contextualSpacing/>
        <w:rPr>
          <w:rFonts w:asciiTheme="minorEastAsia" w:hAnsiTheme="minorEastAsia" w:eastAsiaTheme="minorEastAsia"/>
          <w:bCs/>
          <w:sz w:val="21"/>
          <w:szCs w:val="21"/>
          <w:highlight w:val="none"/>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highlight w:val="none"/>
        </w:rPr>
      </w:pPr>
      <w:r>
        <w:rPr>
          <w:rFonts w:hint="eastAsia" w:asciiTheme="minorEastAsia" w:hAnsiTheme="minorEastAsia"/>
          <w:bCs/>
          <w:szCs w:val="21"/>
          <w:highlight w:val="none"/>
        </w:rPr>
        <w:t>（一）</w:t>
      </w:r>
      <w:r>
        <w:rPr>
          <w:rFonts w:asciiTheme="minorEastAsia" w:hAnsiTheme="minorEastAsia"/>
          <w:bCs/>
          <w:szCs w:val="21"/>
          <w:highlight w:val="none"/>
        </w:rPr>
        <w:t>开标结束后，</w:t>
      </w:r>
      <w:r>
        <w:rPr>
          <w:rFonts w:hint="eastAsia" w:asciiTheme="minorEastAsia" w:hAnsiTheme="minorEastAsia"/>
          <w:bCs/>
          <w:szCs w:val="21"/>
          <w:highlight w:val="none"/>
          <w:lang w:eastAsia="zh-CN"/>
        </w:rPr>
        <w:t>由</w:t>
      </w:r>
      <w:r>
        <w:rPr>
          <w:rFonts w:hint="eastAsia" w:asciiTheme="minorEastAsia" w:hAnsiTheme="minorEastAsia"/>
          <w:bCs/>
          <w:szCs w:val="21"/>
          <w:highlight w:val="none"/>
        </w:rPr>
        <w:t>采购人</w:t>
      </w:r>
      <w:r>
        <w:rPr>
          <w:rFonts w:hint="eastAsia" w:asciiTheme="minorEastAsia" w:hAnsiTheme="minorEastAsia"/>
          <w:bCs/>
          <w:szCs w:val="21"/>
          <w:highlight w:val="none"/>
          <w:lang w:eastAsia="zh-CN"/>
        </w:rPr>
        <w:t>代表</w:t>
      </w:r>
      <w:r>
        <w:rPr>
          <w:rFonts w:hint="eastAsia" w:asciiTheme="minorEastAsia" w:hAnsiTheme="minorEastAsia"/>
          <w:bCs/>
          <w:szCs w:val="21"/>
          <w:highlight w:val="none"/>
          <w:lang w:val="en-US" w:eastAsia="zh-CN"/>
        </w:rPr>
        <w:t>1人（需出具委托书）</w:t>
      </w:r>
      <w:r>
        <w:rPr>
          <w:rFonts w:hint="eastAsia" w:asciiTheme="minorEastAsia" w:hAnsiTheme="minorEastAsia"/>
          <w:bCs/>
          <w:szCs w:val="21"/>
          <w:highlight w:val="none"/>
        </w:rPr>
        <w:t>依法对投标人资格进行审查</w:t>
      </w:r>
      <w:r>
        <w:rPr>
          <w:rFonts w:asciiTheme="minorEastAsia" w:hAnsiTheme="minorEastAsia"/>
          <w:bCs/>
          <w:szCs w:val="21"/>
          <w:highlight w:val="none"/>
        </w:rPr>
        <w:t>。</w:t>
      </w:r>
      <w:r>
        <w:rPr>
          <w:rFonts w:hint="eastAsia" w:asciiTheme="minorEastAsia" w:hAnsiTheme="minorEastAsia"/>
          <w:bCs/>
          <w:szCs w:val="21"/>
          <w:highlight w:val="none"/>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34"/>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3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3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3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30"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34"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30"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34"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30"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szCs w:val="21"/>
                <w:lang w:val="en-US" w:eastAsia="zh-CN"/>
              </w:rPr>
              <w:t>2016年度、2017年度、</w:t>
            </w:r>
            <w:r>
              <w:rPr>
                <w:rFonts w:hint="eastAsia" w:asciiTheme="minorEastAsia" w:hAnsiTheme="minorEastAsia"/>
                <w:bCs/>
                <w:szCs w:val="21"/>
              </w:rPr>
              <w:t>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szCs w:val="21"/>
                <w:lang w:val="en-US" w:eastAsia="zh-CN"/>
              </w:rPr>
              <w:t>2016年度、2017年度、</w:t>
            </w:r>
            <w:r>
              <w:rPr>
                <w:rFonts w:hint="eastAsia" w:asciiTheme="minorEastAsia" w:hAnsiTheme="minorEastAsia"/>
                <w:bCs/>
                <w:szCs w:val="21"/>
              </w:rPr>
              <w:t>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hint="eastAsia"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imes New Roman" w:hAnsi="Times New Roman" w:cs="宋体"/>
                <w:szCs w:val="21"/>
                <w:lang w:bidi="ar"/>
              </w:rPr>
              <w:t>（新注册公司从注册交纳起计算，不足的视为满足</w:t>
            </w:r>
            <w:r>
              <w:rPr>
                <w:rFonts w:hint="eastAsia" w:ascii="Times New Roman" w:hAnsi="Times New Roman" w:cs="宋体"/>
                <w:szCs w:val="21"/>
                <w:lang w:eastAsia="zh-CN" w:bidi="ar"/>
              </w:rPr>
              <w:t>）</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34"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30"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34"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30"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34"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30"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①与本项目投标相关设备的购置发票、专业技术人员职称证书、用工合同等；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spacing w:line="360" w:lineRule="auto"/>
              <w:rPr>
                <w:rFonts w:asciiTheme="minorEastAsia" w:hAnsiTheme="minorEastAsia"/>
                <w:b/>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34"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30"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34"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30"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政府采购活动中查询及使用投标人信用记录的具体要求为：投标人未被列入</w:t>
            </w:r>
            <w:r>
              <w:rPr>
                <w:rFonts w:asciiTheme="minorEastAsia" w:hAnsiTheme="minorEastAsia"/>
                <w:bCs/>
                <w:szCs w:val="21"/>
                <w:highlight w:val="none"/>
              </w:rPr>
              <w:t>“信用中国”网站</w:t>
            </w:r>
            <w:r>
              <w:rPr>
                <w:rFonts w:hint="eastAsia" w:asciiTheme="minorEastAsia" w:hAnsiTheme="minorEastAsia"/>
                <w:bCs/>
                <w:szCs w:val="21"/>
                <w:highlight w:val="none"/>
              </w:rPr>
              <w:t>失信被执行人、重大税收违法案件当事人名单、“</w:t>
            </w:r>
            <w:r>
              <w:rPr>
                <w:rFonts w:asciiTheme="minorEastAsia" w:hAnsiTheme="minorEastAsia"/>
                <w:bCs/>
                <w:szCs w:val="21"/>
                <w:highlight w:val="none"/>
              </w:rPr>
              <w:t>中国政府采购网</w:t>
            </w:r>
            <w:r>
              <w:rPr>
                <w:rFonts w:hint="eastAsia" w:asciiTheme="minorEastAsia" w:hAnsiTheme="minorEastAsia"/>
                <w:bCs/>
                <w:szCs w:val="21"/>
                <w:highlight w:val="none"/>
              </w:rPr>
              <w:t>”政府采购严重违法失信行为记录名单“中国社会组织公共服务平台”网站（</w:t>
            </w:r>
            <w:r>
              <w:rPr>
                <w:rFonts w:asciiTheme="minorEastAsia" w:hAnsiTheme="minorEastAsia"/>
                <w:bCs/>
                <w:szCs w:val="21"/>
                <w:highlight w:val="none"/>
              </w:rPr>
              <w:t>www.chinanpo.gov.cn</w:t>
            </w:r>
            <w:r>
              <w:rPr>
                <w:rFonts w:hint="eastAsia" w:asciiTheme="minorEastAsia" w:hAnsiTheme="minorEastAsia"/>
                <w:bCs/>
                <w:szCs w:val="21"/>
                <w:highlight w:val="none"/>
              </w:rPr>
              <w:t>）严重违法失信社会组织名单的投标</w:t>
            </w:r>
            <w:r>
              <w:rPr>
                <w:rFonts w:hint="eastAsia" w:cs="仿宋_GB2312" w:asciiTheme="minorEastAsia" w:hAnsiTheme="minorEastAsia"/>
                <w:szCs w:val="21"/>
              </w:rPr>
              <w:t>人</w:t>
            </w:r>
            <w:r>
              <w:rPr>
                <w:rFonts w:hint="eastAsia" w:cs="仿宋_GB2312" w:asciiTheme="minorEastAsia" w:hAnsiTheme="minorEastAsia"/>
                <w:b/>
                <w:szCs w:val="21"/>
              </w:rPr>
              <w:t>；</w:t>
            </w:r>
            <w:r>
              <w:rPr>
                <w:rFonts w:hint="eastAsia" w:asciiTheme="minorEastAsia" w:hAnsiTheme="minorEastAsia"/>
                <w:bCs/>
                <w:szCs w:val="21"/>
                <w:highlight w:val="none"/>
              </w:rPr>
              <w:t>（联合体形式投标的，联合体成员存在不良信用记录，视同联合体存在不良信用记录）。</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（1）查询渠道：</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32"/>
                <w:rFonts w:hint="eastAsia" w:asciiTheme="minorEastAsia" w:hAnsiTheme="minorEastAsia"/>
                <w:bCs/>
                <w:szCs w:val="21"/>
                <w:highlight w:val="none"/>
              </w:rPr>
              <w:t>www.creditchina.gov.cn</w:t>
            </w:r>
            <w:r>
              <w:rPr>
                <w:rStyle w:val="32"/>
                <w:rFonts w:hint="eastAsia" w:asciiTheme="minorEastAsia" w:hAnsiTheme="minorEastAsia"/>
                <w:bCs/>
                <w:szCs w:val="21"/>
                <w:highlight w:val="none"/>
              </w:rPr>
              <w:fldChar w:fldCharType="end"/>
            </w:r>
            <w:r>
              <w:rPr>
                <w:rFonts w:hint="eastAsia" w:asciiTheme="minorEastAsia" w:hAnsiTheme="minorEastAsia"/>
                <w:bCs/>
                <w:szCs w:val="21"/>
                <w:highlight w:val="none"/>
              </w:rPr>
              <w:t>）</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②“中国政府采购网”（www.ccgp.gov.cn）</w:t>
            </w:r>
          </w:p>
          <w:p>
            <w:pPr>
              <w:spacing w:line="360" w:lineRule="auto"/>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（3）信用信息查询记录和证据留存具体方式：经采购人确认的查询结果网页截图作为查询记录和证据，与其他采购文件一并保存；</w:t>
            </w:r>
          </w:p>
          <w:p>
            <w:pPr>
              <w:spacing w:line="360" w:lineRule="auto"/>
              <w:rPr>
                <w:rFonts w:hint="eastAsia" w:asciiTheme="minorEastAsia" w:hAnsiTheme="minorEastAsia"/>
                <w:bCs/>
                <w:szCs w:val="21"/>
                <w:highlight w:val="none"/>
              </w:rPr>
            </w:pPr>
            <w:r>
              <w:rPr>
                <w:rFonts w:hint="eastAsia" w:asciiTheme="minorEastAsia" w:hAnsiTheme="minorEastAsia"/>
                <w:bCs/>
                <w:szCs w:val="21"/>
                <w:highlight w:val="none"/>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highlight w:val="none"/>
              </w:rPr>
              <w:t>严重违法失信社会组织</w:t>
            </w:r>
            <w:r>
              <w:rPr>
                <w:rFonts w:hint="eastAsia" w:asciiTheme="minorEastAsia" w:hAnsiTheme="minorEastAsia"/>
                <w:bCs/>
                <w:szCs w:val="21"/>
                <w:highlight w:val="none"/>
              </w:rPr>
              <w:t>的投标人，将拒绝其参与本次政府采购活动。</w:t>
            </w:r>
          </w:p>
          <w:p>
            <w:pPr>
              <w:spacing w:line="360" w:lineRule="auto"/>
              <w:rPr>
                <w:rFonts w:asciiTheme="minorEastAsia" w:hAnsiTheme="minorEastAsia"/>
                <w:b/>
                <w:bCs/>
                <w:szCs w:val="21"/>
                <w:highlight w:val="none"/>
              </w:rPr>
            </w:pPr>
            <w:r>
              <w:rPr>
                <w:rFonts w:hint="eastAsia" w:cs="宋体" w:asciiTheme="minorEastAsia" w:hAnsiTheme="minorEastAsia"/>
                <w:kern w:val="0"/>
                <w:szCs w:val="21"/>
                <w:highlight w:val="none"/>
              </w:rPr>
              <w:t>5、</w:t>
            </w:r>
            <w:r>
              <w:rPr>
                <w:rFonts w:hint="eastAsia" w:cs="宋体" w:asciiTheme="minorEastAsia" w:hAnsiTheme="minorEastAsia"/>
                <w:kern w:val="0"/>
                <w:szCs w:val="21"/>
                <w:highlight w:val="none"/>
                <w:lang w:eastAsia="zh-CN"/>
              </w:rPr>
              <w:t>投标人无须提供信用记录查询结果网页截屏，</w:t>
            </w:r>
            <w:r>
              <w:rPr>
                <w:rFonts w:hint="eastAsia" w:cs="宋体" w:asciiTheme="minorEastAsia" w:hAnsiTheme="minorEastAsia"/>
                <w:kern w:val="0"/>
                <w:szCs w:val="21"/>
                <w:highlight w:val="none"/>
              </w:rPr>
              <w:t>投标人不良信用记录以采购人</w:t>
            </w:r>
            <w:r>
              <w:rPr>
                <w:rFonts w:hint="eastAsia" w:cs="宋体" w:asciiTheme="minorEastAsia" w:hAnsiTheme="minorEastAsia"/>
                <w:kern w:val="0"/>
                <w:szCs w:val="21"/>
                <w:highlight w:val="none"/>
                <w:lang w:eastAsia="zh-CN"/>
              </w:rPr>
              <w:t>开标现场</w:t>
            </w:r>
            <w:r>
              <w:rPr>
                <w:rFonts w:hint="eastAsia" w:cs="宋体" w:asciiTheme="minorEastAsia" w:hAnsiTheme="minorEastAsia"/>
                <w:kern w:val="0"/>
                <w:szCs w:val="21"/>
                <w:highlight w:val="none"/>
              </w:rPr>
              <w:t>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34"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30"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34" w:type="dxa"/>
            <w:vAlign w:val="center"/>
          </w:tcPr>
          <w:p>
            <w:pPr>
              <w:spacing w:line="360" w:lineRule="auto"/>
              <w:rPr>
                <w:rFonts w:hint="eastAsia" w:asciiTheme="minorEastAsia" w:hAnsiTheme="minorEastAsia"/>
                <w:b/>
                <w:szCs w:val="21"/>
              </w:rPr>
            </w:pPr>
            <w:r>
              <w:rPr>
                <w:rFonts w:hint="eastAsia" w:ascii="宋体" w:hAnsi="宋体"/>
                <w:b/>
                <w:bCs/>
                <w:sz w:val="24"/>
                <w:szCs w:val="24"/>
                <w:lang w:eastAsia="zh-CN"/>
              </w:rPr>
              <w:t>投标承诺函</w:t>
            </w:r>
          </w:p>
        </w:tc>
        <w:tc>
          <w:tcPr>
            <w:tcW w:w="593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b/>
                <w:bCs/>
                <w:szCs w:val="21"/>
              </w:rPr>
            </w:pPr>
            <w:r>
              <w:rPr>
                <w:rFonts w:hint="eastAsia" w:ascii="宋体" w:hAnsi="宋体"/>
                <w:bCs/>
                <w:sz w:val="24"/>
                <w:szCs w:val="24"/>
              </w:rPr>
              <w:t>参考</w:t>
            </w:r>
            <w:r>
              <w:rPr>
                <w:rFonts w:hint="eastAsia" w:ascii="宋体" w:hAnsi="宋体"/>
                <w:bCs/>
                <w:sz w:val="24"/>
                <w:szCs w:val="24"/>
                <w:lang w:eastAsia="zh-CN"/>
              </w:rPr>
              <w:t>采购</w:t>
            </w:r>
            <w:r>
              <w:rPr>
                <w:rFonts w:hint="eastAsia" w:ascii="宋体" w:hAnsi="宋体"/>
                <w:bCs/>
                <w:sz w:val="24"/>
                <w:szCs w:val="24"/>
              </w:rPr>
              <w:t>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34"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30"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2</w:t>
            </w:r>
          </w:p>
        </w:tc>
        <w:tc>
          <w:tcPr>
            <w:tcW w:w="2434"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30"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3</w:t>
            </w:r>
          </w:p>
        </w:tc>
        <w:tc>
          <w:tcPr>
            <w:tcW w:w="2434"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30"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4</w:t>
            </w:r>
          </w:p>
        </w:tc>
        <w:tc>
          <w:tcPr>
            <w:tcW w:w="2434"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30"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15</w:t>
            </w:r>
          </w:p>
        </w:tc>
        <w:tc>
          <w:tcPr>
            <w:tcW w:w="2434"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为本项目提供整体设计、管理、监理、检测等服务的供应商不得参加本项目投标</w:t>
            </w:r>
          </w:p>
        </w:tc>
        <w:tc>
          <w:tcPr>
            <w:tcW w:w="5930"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2" w:name="baidusnap2"/>
            <w:bookmarkEnd w:id="22"/>
            <w:r>
              <w:rPr>
                <w:rFonts w:hint="eastAsia" w:cs="仿宋_GB2312" w:asciiTheme="minorEastAsia" w:hAnsiTheme="minorEastAsia"/>
                <w:szCs w:val="21"/>
                <w:lang w:val="zh-CN"/>
              </w:rPr>
              <w:t>提供未为本项目提供整体设计、</w:t>
            </w:r>
            <w:bookmarkStart w:id="23" w:name="baidusnap9"/>
            <w:bookmarkEnd w:id="2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7"/>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7"/>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7"/>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7"/>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7"/>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7"/>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7"/>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7"/>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hint="eastAsia" w:cs="仿宋_GB2312" w:asciiTheme="minorEastAsia" w:hAnsiTheme="minorEastAsia" w:eastAsiaTheme="minorEastAsia"/>
          <w:sz w:val="21"/>
          <w:szCs w:val="21"/>
          <w:highlight w:val="none"/>
          <w:lang w:val="zh-CN"/>
        </w:rPr>
      </w:pPr>
      <w:r>
        <w:rPr>
          <w:rFonts w:hint="eastAsia" w:cs="仿宋_GB2312" w:asciiTheme="minorEastAsia" w:hAnsiTheme="minorEastAsia" w:eastAsiaTheme="minorEastAsia"/>
          <w:sz w:val="21"/>
          <w:szCs w:val="21"/>
          <w:highlight w:val="none"/>
          <w:lang w:val="zh-CN"/>
        </w:rPr>
        <w:t>小型和微型企业不包含民办非企业单位。</w:t>
      </w:r>
    </w:p>
    <w:p>
      <w:pPr>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7"/>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7"/>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7"/>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7"/>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highlight w:val="none"/>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2)投标人所投产品如被列入</w:t>
      </w:r>
      <w:r>
        <w:rPr>
          <w:rFonts w:cs="宋体" w:asciiTheme="minorEastAsia" w:hAnsiTheme="minorEastAsia"/>
          <w:kern w:val="0"/>
          <w:szCs w:val="21"/>
          <w:highlight w:val="none"/>
        </w:rPr>
        <w:t>《信息安全产品强制性认证目录》，</w:t>
      </w:r>
      <w:r>
        <w:rPr>
          <w:rFonts w:hint="eastAsia" w:cs="仿宋_GB2312" w:asciiTheme="minorEastAsia" w:hAnsiTheme="minorEastAsia"/>
          <w:szCs w:val="21"/>
          <w:highlight w:val="none"/>
          <w:lang w:val="zh-CN"/>
        </w:rPr>
        <w:t>则投标文件中应根据本项目招标文件“第二章 项目需求”</w:t>
      </w:r>
      <w:r>
        <w:rPr>
          <w:rFonts w:cs="仿宋_GB2312" w:asciiTheme="minorEastAsia" w:hAnsiTheme="minorEastAsia"/>
          <w:szCs w:val="21"/>
          <w:highlight w:val="none"/>
          <w:lang w:val="zh-CN"/>
        </w:rPr>
        <w:t>提供</w:t>
      </w:r>
      <w:r>
        <w:rPr>
          <w:rFonts w:hint="eastAsia" w:cs="仿宋_GB2312" w:asciiTheme="minorEastAsia" w:hAnsiTheme="minorEastAsia"/>
          <w:szCs w:val="21"/>
          <w:highlight w:val="none"/>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①中国信息安全认证中心官网（</w:t>
      </w:r>
      <w:r>
        <w:rPr>
          <w:rFonts w:cs="宋体" w:asciiTheme="minorEastAsia" w:hAnsiTheme="minorEastAsia"/>
          <w:kern w:val="0"/>
          <w:szCs w:val="21"/>
          <w:highlight w:val="none"/>
        </w:rPr>
        <w:t>http://www.isccc.gov.cn/index.shtml</w:t>
      </w:r>
      <w:r>
        <w:rPr>
          <w:rFonts w:hint="eastAsia" w:cs="宋体" w:asciiTheme="minorEastAsia" w:hAnsiTheme="minorEastAsia"/>
          <w:kern w:val="0"/>
          <w:szCs w:val="21"/>
          <w:highlight w:val="none"/>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②中国信息安全认证中心</w:t>
      </w:r>
      <w:r>
        <w:rPr>
          <w:rFonts w:hint="eastAsia" w:cs="仿宋_GB2312" w:asciiTheme="minorEastAsia" w:hAnsiTheme="minorEastAsia"/>
          <w:szCs w:val="21"/>
          <w:highlight w:val="none"/>
          <w:lang w:val="zh-CN"/>
        </w:rPr>
        <w:t>颁发的《中国国家信息安全产品认证证书》加盖投标人公章的原件扫描件（或图片）。</w:t>
      </w:r>
    </w:p>
    <w:p>
      <w:pPr>
        <w:spacing w:line="360" w:lineRule="auto"/>
        <w:ind w:firstLine="480" w:firstLineChars="200"/>
        <w:contextualSpacing/>
        <w:rPr>
          <w:rFonts w:hint="eastAsia"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w:t>
      </w:r>
      <w:r>
        <w:rPr>
          <w:rFonts w:hint="eastAsia" w:ascii="宋体" w:hAnsi="宋体" w:cs="仿宋_GB2312"/>
          <w:b/>
          <w:szCs w:val="21"/>
          <w:lang w:val="en-US" w:eastAsia="zh-CN"/>
        </w:rPr>
        <w:t>4</w:t>
      </w:r>
      <w:r>
        <w:rPr>
          <w:rFonts w:hint="eastAsia" w:ascii="宋体" w:hAnsi="宋体" w:cs="仿宋_GB2312"/>
          <w:b/>
          <w:szCs w:val="21"/>
          <w:lang w:val="zh-CN"/>
        </w:rPr>
        <w:t>）支持脱贫攻坚（物业服务采购）</w:t>
      </w:r>
    </w:p>
    <w:p>
      <w:pPr>
        <w:tabs>
          <w:tab w:val="left" w:pos="1260"/>
        </w:tabs>
        <w:autoSpaceDE w:val="0"/>
        <w:autoSpaceDN w:val="0"/>
        <w:spacing w:line="360" w:lineRule="auto"/>
        <w:ind w:firstLine="420" w:firstLineChars="200"/>
        <w:contextualSpacing/>
        <w:rPr>
          <w:rFonts w:hint="eastAsia" w:ascii="宋体" w:hAnsi="宋体" w:cs="仿宋_GB2312" w:eastAsiaTheme="minorEastAsia"/>
          <w:szCs w:val="21"/>
          <w:lang w:val="en-US" w:eastAsia="zh-CN"/>
        </w:rPr>
      </w:pPr>
      <w:r>
        <w:rPr>
          <w:rFonts w:hint="eastAsia" w:ascii="宋体" w:hAnsi="宋体" w:cs="仿宋_GB2312"/>
          <w:szCs w:val="21"/>
          <w:lang w:val="zh-CN"/>
        </w:rPr>
        <w:t>在物业项目中，对注册地在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个国家级贫困县域内且聘用建档立卡贫困人员的物业公司，提供注册地证明材料、贫困县扶贫部门出具的聘用建档立卡贫困人员身份证明及社保材料（开标前</w:t>
      </w:r>
      <w:r>
        <w:rPr>
          <w:rFonts w:ascii="宋体" w:hAnsi="宋体" w:cs="仿宋_GB2312"/>
          <w:szCs w:val="21"/>
          <w:lang w:val="zh-CN"/>
        </w:rPr>
        <w:t>12</w:t>
      </w:r>
      <w:r>
        <w:rPr>
          <w:rFonts w:hint="eastAsia" w:ascii="宋体" w:hAnsi="宋体" w:cs="仿宋_GB2312"/>
          <w:szCs w:val="21"/>
          <w:lang w:val="zh-CN"/>
        </w:rPr>
        <w:t>个月内至少连续</w:t>
      </w:r>
      <w:r>
        <w:rPr>
          <w:rFonts w:ascii="宋体" w:hAnsi="宋体" w:cs="仿宋_GB2312"/>
          <w:szCs w:val="21"/>
          <w:lang w:val="zh-CN"/>
        </w:rPr>
        <w:t>3</w:t>
      </w:r>
      <w:r>
        <w:rPr>
          <w:rFonts w:hint="eastAsia" w:ascii="宋体" w:hAnsi="宋体" w:cs="仿宋_GB2312"/>
          <w:szCs w:val="21"/>
          <w:lang w:val="zh-CN"/>
        </w:rPr>
        <w:t>个月）的有效证明后，评标委员会根据本项目评标标准予以判定并赋分</w:t>
      </w:r>
      <w:r>
        <w:rPr>
          <w:rFonts w:hint="eastAsia" w:ascii="宋体" w:hAnsi="宋体" w:cs="仿宋_GB2312"/>
          <w:szCs w:val="21"/>
          <w:lang w:val="en-US" w:eastAsia="zh-CN"/>
        </w:rPr>
        <w:t>.</w:t>
      </w:r>
    </w:p>
    <w:p>
      <w:pPr>
        <w:tabs>
          <w:tab w:val="left" w:pos="1260"/>
        </w:tabs>
        <w:autoSpaceDE w:val="0"/>
        <w:autoSpaceDN w:val="0"/>
        <w:spacing w:line="360" w:lineRule="auto"/>
        <w:ind w:firstLine="422" w:firstLineChars="200"/>
        <w:contextualSpacing/>
        <w:rPr>
          <w:rFonts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w:t>
      </w:r>
      <w:r>
        <w:rPr>
          <w:rFonts w:hint="eastAsia" w:cs="仿宋_GB2312" w:asciiTheme="minorEastAsia" w:hAnsiTheme="minorEastAsia"/>
          <w:b/>
          <w:szCs w:val="21"/>
          <w:highlight w:val="none"/>
          <w:lang w:val="en-US" w:eastAsia="zh-CN"/>
        </w:rPr>
        <w:t>5</w:t>
      </w:r>
      <w:r>
        <w:rPr>
          <w:rFonts w:hint="eastAsia" w:cs="仿宋_GB2312" w:asciiTheme="minorEastAsia" w:hAnsiTheme="minorEastAsia"/>
          <w:b/>
          <w:szCs w:val="21"/>
          <w:highlight w:val="none"/>
          <w:lang w:val="zh-CN"/>
        </w:rPr>
        <w:t>）投标无效情形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7"/>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6"/>
        <w:tblW w:w="9875"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748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61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分值构成</w:t>
            </w:r>
          </w:p>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(总分100分)</w:t>
            </w:r>
          </w:p>
        </w:tc>
        <w:tc>
          <w:tcPr>
            <w:tcW w:w="8265" w:type="dxa"/>
            <w:gridSpan w:val="2"/>
            <w:noWrap w:val="0"/>
            <w:vAlign w:val="center"/>
          </w:tcPr>
          <w:p>
            <w:pPr>
              <w:widowControl/>
              <w:tabs>
                <w:tab w:val="left" w:pos="1646"/>
                <w:tab w:val="left" w:pos="5036"/>
              </w:tabs>
              <w:spacing w:line="360" w:lineRule="auto"/>
              <w:ind w:firstLine="480"/>
              <w:jc w:val="both"/>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价格分值：     </w:t>
            </w:r>
            <w:r>
              <w:rPr>
                <w:rFonts w:hint="eastAsia" w:ascii="新宋体" w:hAnsi="新宋体" w:eastAsia="新宋体" w:cs="新宋体"/>
                <w:color w:val="auto"/>
                <w:kern w:val="0"/>
                <w:sz w:val="24"/>
                <w:szCs w:val="24"/>
                <w:lang w:val="en-US" w:eastAsia="zh-CN"/>
              </w:rPr>
              <w:t xml:space="preserve"> </w:t>
            </w:r>
            <w:r>
              <w:rPr>
                <w:rFonts w:hint="eastAsia" w:ascii="新宋体" w:hAnsi="新宋体" w:eastAsia="新宋体" w:cs="新宋体"/>
                <w:color w:val="auto"/>
                <w:kern w:val="0"/>
                <w:sz w:val="24"/>
                <w:szCs w:val="24"/>
              </w:rPr>
              <w:t> </w:t>
            </w:r>
            <w:r>
              <w:rPr>
                <w:rFonts w:hint="eastAsia" w:ascii="新宋体" w:hAnsi="新宋体" w:eastAsia="新宋体" w:cs="新宋体"/>
                <w:color w:val="auto"/>
                <w:kern w:val="0"/>
                <w:sz w:val="24"/>
                <w:szCs w:val="24"/>
                <w:lang w:val="en-US" w:eastAsia="zh-CN"/>
              </w:rPr>
              <w:t>40</w:t>
            </w:r>
            <w:r>
              <w:rPr>
                <w:rFonts w:hint="eastAsia" w:ascii="新宋体" w:hAnsi="新宋体" w:eastAsia="新宋体" w:cs="新宋体"/>
                <w:color w:val="auto"/>
                <w:kern w:val="0"/>
                <w:sz w:val="24"/>
                <w:szCs w:val="24"/>
              </w:rPr>
              <w:t xml:space="preserve"> 分</w:t>
            </w:r>
          </w:p>
          <w:p>
            <w:pPr>
              <w:widowControl/>
              <w:spacing w:line="360" w:lineRule="auto"/>
              <w:ind w:firstLine="480"/>
              <w:jc w:val="both"/>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商务部分：      </w:t>
            </w:r>
            <w:r>
              <w:rPr>
                <w:rFonts w:hint="eastAsia" w:ascii="新宋体" w:hAnsi="新宋体" w:eastAsia="新宋体" w:cs="新宋体"/>
                <w:color w:val="auto"/>
                <w:kern w:val="0"/>
                <w:sz w:val="24"/>
                <w:szCs w:val="24"/>
                <w:lang w:val="en-US" w:eastAsia="zh-CN"/>
              </w:rPr>
              <w:t xml:space="preserve"> 35</w:t>
            </w:r>
            <w:r>
              <w:rPr>
                <w:rFonts w:hint="eastAsia" w:ascii="新宋体" w:hAnsi="新宋体" w:eastAsia="新宋体" w:cs="新宋体"/>
                <w:color w:val="auto"/>
                <w:kern w:val="0"/>
                <w:sz w:val="24"/>
                <w:szCs w:val="24"/>
              </w:rPr>
              <w:t>分</w:t>
            </w:r>
          </w:p>
          <w:p>
            <w:pPr>
              <w:widowControl/>
              <w:tabs>
                <w:tab w:val="left" w:pos="1661"/>
              </w:tabs>
              <w:spacing w:line="360" w:lineRule="auto"/>
              <w:ind w:firstLine="480" w:firstLineChars="200"/>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 xml:space="preserve">技术部分：         </w:t>
            </w:r>
            <w:r>
              <w:rPr>
                <w:rFonts w:hint="eastAsia" w:ascii="新宋体" w:hAnsi="新宋体" w:eastAsia="新宋体" w:cs="新宋体"/>
                <w:color w:val="auto"/>
                <w:kern w:val="0"/>
                <w:sz w:val="24"/>
                <w:szCs w:val="24"/>
                <w:lang w:val="en-US" w:eastAsia="zh-CN"/>
              </w:rPr>
              <w:t xml:space="preserve">  </w:t>
            </w:r>
            <w:r>
              <w:rPr>
                <w:rFonts w:hint="eastAsia" w:ascii="新宋体" w:hAnsi="新宋体" w:eastAsia="新宋体" w:cs="新宋体"/>
                <w:color w:val="auto"/>
                <w:kern w:val="0"/>
                <w:sz w:val="24"/>
                <w:szCs w:val="24"/>
              </w:rPr>
              <w:t xml:space="preserve"> </w:t>
            </w:r>
            <w:r>
              <w:rPr>
                <w:rFonts w:hint="eastAsia" w:ascii="新宋体" w:hAnsi="新宋体" w:eastAsia="新宋体" w:cs="新宋体"/>
                <w:color w:val="auto"/>
                <w:kern w:val="0"/>
                <w:sz w:val="24"/>
                <w:szCs w:val="24"/>
                <w:lang w:val="en-US" w:eastAsia="zh-CN"/>
              </w:rPr>
              <w:t>25</w:t>
            </w:r>
            <w:r>
              <w:rPr>
                <w:rFonts w:hint="eastAsia" w:ascii="新宋体" w:hAnsi="新宋体" w:eastAsia="新宋体" w:cs="新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875" w:type="dxa"/>
            <w:gridSpan w:val="3"/>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一、价格部分（满分</w:t>
            </w:r>
            <w:r>
              <w:rPr>
                <w:rFonts w:hint="eastAsia" w:ascii="新宋体" w:hAnsi="新宋体" w:eastAsia="新宋体" w:cs="新宋体"/>
                <w:bCs/>
                <w:color w:val="auto"/>
                <w:kern w:val="0"/>
                <w:sz w:val="24"/>
                <w:szCs w:val="24"/>
                <w:lang w:val="en-US" w:eastAsia="zh-CN"/>
              </w:rPr>
              <w:t>40</w:t>
            </w:r>
            <w:r>
              <w:rPr>
                <w:rFonts w:hint="eastAsia" w:ascii="新宋体" w:hAnsi="新宋体" w:eastAsia="新宋体" w:cs="新宋体"/>
                <w:bCs/>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评分因素</w:t>
            </w:r>
          </w:p>
        </w:tc>
        <w:tc>
          <w:tcPr>
            <w:tcW w:w="7485"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评分标准</w:t>
            </w:r>
          </w:p>
        </w:tc>
        <w:tc>
          <w:tcPr>
            <w:tcW w:w="78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610" w:type="dxa"/>
            <w:noWrap w:val="0"/>
            <w:vAlign w:val="center"/>
          </w:tcPr>
          <w:p>
            <w:pPr>
              <w:snapToGrid w:val="0"/>
              <w:spacing w:line="600" w:lineRule="exact"/>
              <w:rPr>
                <w:rFonts w:hint="eastAsia" w:ascii="宋体" w:hAnsi="宋体"/>
                <w:color w:val="auto"/>
                <w:lang w:val="zh-CN" w:eastAsia="zh-CN"/>
              </w:rPr>
            </w:pPr>
            <w:r>
              <w:rPr>
                <w:rFonts w:hint="eastAsia" w:ascii="宋体" w:hAnsi="宋体"/>
                <w:color w:val="auto"/>
                <w:lang w:val="zh-CN" w:eastAsia="zh-CN"/>
              </w:rPr>
              <w:t>投标报价</w:t>
            </w:r>
          </w:p>
          <w:p>
            <w:pPr>
              <w:snapToGrid w:val="0"/>
              <w:spacing w:line="600" w:lineRule="exact"/>
              <w:rPr>
                <w:rFonts w:hint="eastAsia" w:ascii="新宋体" w:hAnsi="新宋体" w:eastAsia="新宋体" w:cs="新宋体"/>
                <w:color w:val="auto"/>
                <w:kern w:val="0"/>
                <w:sz w:val="24"/>
                <w:szCs w:val="24"/>
              </w:rPr>
            </w:pPr>
            <w:r>
              <w:rPr>
                <w:rFonts w:hint="eastAsia" w:ascii="宋体" w:hAnsi="宋体"/>
                <w:color w:val="auto"/>
                <w:lang w:val="zh-CN" w:eastAsia="zh-CN"/>
              </w:rPr>
              <w:t>评分标准</w:t>
            </w:r>
          </w:p>
        </w:tc>
        <w:tc>
          <w:tcPr>
            <w:tcW w:w="7485" w:type="dxa"/>
            <w:noWrap w:val="0"/>
            <w:vAlign w:val="center"/>
          </w:tcPr>
          <w:p>
            <w:pPr>
              <w:rPr>
                <w:rFonts w:hint="eastAsia" w:ascii="宋体" w:hAnsi="宋体"/>
                <w:color w:val="auto"/>
                <w:lang w:val="zh-CN" w:eastAsia="zh-CN"/>
              </w:rPr>
            </w:pPr>
            <w:r>
              <w:rPr>
                <w:rFonts w:hint="eastAsia" w:ascii="宋体" w:hAnsi="宋体"/>
                <w:color w:val="auto"/>
                <w:lang w:val="zh-CN" w:eastAsia="zh-CN"/>
              </w:rPr>
              <w:t>有效供应商中投标价格最低的投标报价为评标基准价，其价格分为满分。</w:t>
            </w:r>
          </w:p>
          <w:p>
            <w:pPr>
              <w:rPr>
                <w:rFonts w:hint="eastAsia" w:ascii="宋体" w:hAnsi="宋体"/>
                <w:color w:val="auto"/>
                <w:lang w:val="zh-CN" w:eastAsia="zh-CN"/>
              </w:rPr>
            </w:pPr>
            <w:r>
              <w:rPr>
                <w:rFonts w:hint="eastAsia" w:ascii="宋体" w:hAnsi="宋体"/>
                <w:color w:val="auto"/>
                <w:lang w:val="zh-CN" w:eastAsia="zh-CN"/>
              </w:rPr>
              <w:t>其他供应商的价格分统一按照下列公式计算：</w:t>
            </w:r>
          </w:p>
          <w:p>
            <w:pPr>
              <w:rPr>
                <w:rFonts w:hint="eastAsia" w:ascii="宋体" w:hAnsi="宋体"/>
                <w:color w:val="auto"/>
                <w:lang w:val="zh-CN" w:eastAsia="zh-CN"/>
              </w:rPr>
            </w:pPr>
            <w:r>
              <w:rPr>
                <w:rFonts w:hint="eastAsia" w:ascii="宋体" w:hAnsi="宋体"/>
                <w:color w:val="auto"/>
                <w:lang w:val="zh-CN" w:eastAsia="zh-CN"/>
              </w:rPr>
              <w:t>投标报价得分=(评标基准价／投标报价)×</w:t>
            </w:r>
            <w:r>
              <w:rPr>
                <w:rFonts w:hint="eastAsia" w:ascii="宋体" w:hAnsi="宋体"/>
                <w:color w:val="auto"/>
                <w:lang w:val="en-US" w:eastAsia="zh-CN"/>
              </w:rPr>
              <w:t>40</w:t>
            </w:r>
            <w:r>
              <w:rPr>
                <w:rFonts w:hint="eastAsia" w:ascii="宋体" w:hAnsi="宋体"/>
                <w:color w:val="auto"/>
                <w:lang w:val="zh-CN" w:eastAsia="zh-CN"/>
              </w:rPr>
              <w:t>%×100。</w:t>
            </w:r>
          </w:p>
          <w:p>
            <w:pPr>
              <w:rPr>
                <w:rFonts w:hint="eastAsia" w:ascii="宋体" w:hAnsi="宋体"/>
                <w:color w:val="auto"/>
                <w:lang w:val="en-US" w:eastAsia="zh-CN"/>
              </w:rPr>
            </w:pPr>
            <w:r>
              <w:rPr>
                <w:rFonts w:hint="eastAsia" w:ascii="宋体" w:hAnsi="宋体"/>
                <w:color w:val="auto"/>
                <w:lang w:val="zh-CN" w:eastAsia="zh-CN"/>
              </w:rPr>
              <w:t>注：分值计算保留小数点后两位，小数点后第三位“四舍五入”。</w:t>
            </w:r>
            <w:r>
              <w:rPr>
                <w:rFonts w:hint="eastAsia" w:ascii="宋体" w:hAnsi="宋体"/>
                <w:color w:val="auto"/>
                <w:lang w:val="zh-CN" w:eastAsia="zh-CN"/>
              </w:rPr>
              <w:br w:type="textWrapping"/>
            </w:r>
            <w:r>
              <w:rPr>
                <w:rFonts w:hint="eastAsia" w:ascii="宋体" w:hAnsi="宋体"/>
                <w:color w:val="auto"/>
                <w:lang w:val="zh-CN" w:eastAsia="zh-CN"/>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78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75" w:type="dxa"/>
            <w:gridSpan w:val="3"/>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二、商务部分（满分</w:t>
            </w:r>
            <w:r>
              <w:rPr>
                <w:rFonts w:hint="eastAsia" w:ascii="新宋体" w:hAnsi="新宋体" w:eastAsia="新宋体" w:cs="新宋体"/>
                <w:bCs/>
                <w:color w:val="auto"/>
                <w:kern w:val="0"/>
                <w:sz w:val="24"/>
                <w:szCs w:val="24"/>
                <w:lang w:val="en-US" w:eastAsia="zh-CN"/>
              </w:rPr>
              <w:t>35</w:t>
            </w:r>
            <w:r>
              <w:rPr>
                <w:rFonts w:hint="eastAsia" w:ascii="新宋体" w:hAnsi="新宋体" w:eastAsia="新宋体" w:cs="新宋体"/>
                <w:bCs/>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61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评分因素</w:t>
            </w:r>
          </w:p>
        </w:tc>
        <w:tc>
          <w:tcPr>
            <w:tcW w:w="7485" w:type="dxa"/>
            <w:noWrap w:val="0"/>
            <w:vAlign w:val="center"/>
          </w:tcPr>
          <w:p>
            <w:pPr>
              <w:widowControl/>
              <w:spacing w:line="360" w:lineRule="auto"/>
              <w:jc w:val="center"/>
              <w:rPr>
                <w:rFonts w:hint="eastAsia" w:ascii="宋体" w:hAnsi="宋体"/>
                <w:color w:val="auto"/>
                <w:highlight w:val="none"/>
              </w:rPr>
            </w:pPr>
            <w:r>
              <w:rPr>
                <w:rFonts w:hint="eastAsia" w:ascii="新宋体" w:hAnsi="新宋体" w:eastAsia="新宋体" w:cs="新宋体"/>
                <w:bCs/>
                <w:color w:val="auto"/>
                <w:kern w:val="0"/>
                <w:sz w:val="24"/>
                <w:szCs w:val="24"/>
              </w:rPr>
              <w:t>评分标准</w:t>
            </w:r>
          </w:p>
        </w:tc>
        <w:tc>
          <w:tcPr>
            <w:tcW w:w="78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610" w:type="dxa"/>
            <w:noWrap w:val="0"/>
            <w:vAlign w:val="center"/>
          </w:tcPr>
          <w:p>
            <w:pPr>
              <w:jc w:val="center"/>
              <w:rPr>
                <w:rFonts w:hint="eastAsia" w:ascii="新宋体" w:hAnsi="新宋体" w:eastAsia="新宋体" w:cs="新宋体"/>
                <w:color w:val="auto"/>
                <w:kern w:val="0"/>
                <w:sz w:val="24"/>
                <w:szCs w:val="24"/>
                <w:lang w:val="en-US" w:eastAsia="zh-CN" w:bidi="ar-SA"/>
              </w:rPr>
            </w:pPr>
            <w:r>
              <w:rPr>
                <w:rFonts w:hint="eastAsia" w:ascii="宋体" w:hAnsi="宋体"/>
                <w:color w:val="auto"/>
                <w:lang w:val="zh-CN"/>
              </w:rPr>
              <w:t>类似项目业绩</w:t>
            </w:r>
          </w:p>
        </w:tc>
        <w:tc>
          <w:tcPr>
            <w:tcW w:w="7485" w:type="dxa"/>
            <w:noWrap w:val="0"/>
            <w:vAlign w:val="center"/>
          </w:tcPr>
          <w:p>
            <w:pPr>
              <w:rPr>
                <w:rFonts w:hint="eastAsia" w:ascii="宋体" w:hAnsi="宋体"/>
                <w:color w:val="auto"/>
                <w:lang w:val="zh-CN" w:eastAsia="zh-CN"/>
              </w:rPr>
            </w:pPr>
            <w:r>
              <w:rPr>
                <w:rFonts w:hint="eastAsia" w:ascii="宋体" w:hAnsi="宋体"/>
                <w:color w:val="auto"/>
                <w:lang w:val="zh-CN" w:eastAsia="zh-CN"/>
              </w:rPr>
              <w:t>投标人</w:t>
            </w:r>
            <w:r>
              <w:rPr>
                <w:rFonts w:hint="eastAsia" w:ascii="宋体" w:hAnsi="宋体"/>
                <w:color w:val="auto"/>
                <w:lang w:val="zh-CN"/>
              </w:rPr>
              <w:t>201</w:t>
            </w:r>
            <w:r>
              <w:rPr>
                <w:rFonts w:hint="eastAsia" w:ascii="宋体" w:hAnsi="宋体"/>
                <w:color w:val="auto"/>
                <w:lang w:val="en-US" w:eastAsia="zh-CN"/>
              </w:rPr>
              <w:t>6</w:t>
            </w:r>
            <w:r>
              <w:rPr>
                <w:rFonts w:hint="eastAsia" w:ascii="宋体" w:hAnsi="宋体"/>
                <w:color w:val="auto"/>
                <w:lang w:val="zh-CN"/>
              </w:rPr>
              <w:t>年1月1日以来具有与本次采购内容类似的项目业绩（</w:t>
            </w:r>
            <w:r>
              <w:rPr>
                <w:rFonts w:hint="eastAsia" w:ascii="宋体" w:hAnsi="宋体"/>
                <w:color w:val="auto"/>
                <w:lang w:val="en-US" w:eastAsia="zh-CN"/>
              </w:rPr>
              <w:t>如钢构、限高架）</w:t>
            </w:r>
            <w:r>
              <w:rPr>
                <w:rFonts w:hint="eastAsia" w:ascii="宋体" w:hAnsi="宋体"/>
                <w:color w:val="auto"/>
                <w:lang w:val="zh-CN"/>
              </w:rPr>
              <w:t>，每提供一份得</w:t>
            </w:r>
            <w:r>
              <w:rPr>
                <w:rFonts w:hint="eastAsia" w:ascii="宋体" w:hAnsi="宋体"/>
                <w:color w:val="auto"/>
                <w:lang w:val="en-US" w:eastAsia="zh-CN"/>
              </w:rPr>
              <w:t>3</w:t>
            </w:r>
            <w:r>
              <w:rPr>
                <w:rFonts w:hint="eastAsia" w:ascii="宋体" w:hAnsi="宋体"/>
                <w:color w:val="auto"/>
                <w:lang w:val="zh-CN"/>
              </w:rPr>
              <w:t>分，满分</w:t>
            </w:r>
            <w:r>
              <w:rPr>
                <w:rFonts w:hint="eastAsia" w:ascii="宋体" w:hAnsi="宋体"/>
                <w:color w:val="auto"/>
                <w:lang w:val="en-US" w:eastAsia="zh-CN"/>
              </w:rPr>
              <w:t>9</w:t>
            </w:r>
            <w:r>
              <w:rPr>
                <w:rFonts w:hint="eastAsia" w:ascii="宋体" w:hAnsi="宋体"/>
                <w:color w:val="auto"/>
                <w:lang w:val="zh-CN"/>
              </w:rPr>
              <w:t>分</w:t>
            </w:r>
            <w:r>
              <w:rPr>
                <w:rFonts w:hint="eastAsia" w:ascii="宋体" w:hAnsi="宋体"/>
                <w:color w:val="auto"/>
                <w:lang w:val="zh-CN" w:eastAsia="zh-CN"/>
              </w:rPr>
              <w:t>。</w:t>
            </w:r>
            <w:r>
              <w:rPr>
                <w:rFonts w:hint="eastAsia" w:ascii="宋体" w:hAnsi="宋体"/>
                <w:color w:val="auto"/>
                <w:lang w:val="zh-CN"/>
              </w:rPr>
              <w:t>（应提</w:t>
            </w:r>
            <w:r>
              <w:rPr>
                <w:rFonts w:hint="eastAsia" w:ascii="宋体" w:hAnsi="宋体"/>
                <w:color w:val="auto"/>
                <w:lang w:val="en-US" w:eastAsia="zh-CN"/>
              </w:rPr>
              <w:t>供</w:t>
            </w:r>
            <w:r>
              <w:rPr>
                <w:rFonts w:hint="eastAsia" w:ascii="宋体" w:hAnsi="宋体"/>
                <w:color w:val="auto"/>
                <w:lang w:val="zh-CN"/>
              </w:rPr>
              <w:t>合同、中标通知书，并在投标文件中附完整的复印件。</w:t>
            </w:r>
            <w:r>
              <w:rPr>
                <w:rFonts w:hint="eastAsia" w:ascii="宋体" w:hAnsi="宋体"/>
                <w:color w:val="auto"/>
                <w:lang w:val="en-US" w:eastAsia="zh-CN"/>
              </w:rPr>
              <w:t>二</w:t>
            </w:r>
            <w:r>
              <w:rPr>
                <w:rFonts w:hint="eastAsia" w:ascii="宋体" w:hAnsi="宋体"/>
                <w:color w:val="auto"/>
                <w:lang w:val="zh-CN"/>
              </w:rPr>
              <w:t>者缺一不计分。）</w:t>
            </w:r>
          </w:p>
        </w:tc>
        <w:tc>
          <w:tcPr>
            <w:tcW w:w="780" w:type="dxa"/>
            <w:noWrap w:val="0"/>
            <w:vAlign w:val="center"/>
          </w:tcPr>
          <w:p>
            <w:pPr>
              <w:widowControl/>
              <w:spacing w:line="360" w:lineRule="auto"/>
              <w:jc w:val="center"/>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9</w:t>
            </w:r>
            <w:r>
              <w:rPr>
                <w:rFonts w:hint="eastAsia" w:ascii="新宋体" w:hAnsi="新宋体" w:eastAsia="新宋体" w:cs="新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610" w:type="dxa"/>
            <w:noWrap w:val="0"/>
            <w:vAlign w:val="center"/>
          </w:tcPr>
          <w:p>
            <w:pPr>
              <w:widowControl/>
              <w:spacing w:line="360" w:lineRule="auto"/>
              <w:jc w:val="center"/>
              <w:rPr>
                <w:rFonts w:hint="eastAsia" w:ascii="宋体" w:hAnsi="宋体"/>
                <w:color w:val="auto"/>
                <w:lang w:val="zh-CN"/>
              </w:rPr>
            </w:pPr>
            <w:r>
              <w:rPr>
                <w:rFonts w:hint="eastAsia" w:ascii="宋体" w:hAnsi="宋体"/>
                <w:color w:val="auto"/>
                <w:lang w:val="zh-CN"/>
              </w:rPr>
              <w:t>体系认证</w:t>
            </w:r>
          </w:p>
        </w:tc>
        <w:tc>
          <w:tcPr>
            <w:tcW w:w="7485" w:type="dxa"/>
            <w:noWrap w:val="0"/>
            <w:vAlign w:val="center"/>
          </w:tcPr>
          <w:p>
            <w:pPr>
              <w:rPr>
                <w:rFonts w:hint="eastAsia" w:ascii="宋体" w:hAnsi="宋体"/>
                <w:color w:val="auto"/>
                <w:lang w:val="zh-CN" w:eastAsia="zh-CN"/>
              </w:rPr>
            </w:pPr>
            <w:r>
              <w:rPr>
                <w:rFonts w:hint="eastAsia" w:ascii="宋体" w:hAnsi="宋体"/>
                <w:color w:val="auto"/>
                <w:lang w:val="zh-CN"/>
              </w:rPr>
              <w:t>投标人通过质量管理体系认证、环境管理体系认证、职业健康安全管理体系认证，每项得</w:t>
            </w:r>
            <w:r>
              <w:rPr>
                <w:rFonts w:hint="eastAsia" w:ascii="宋体" w:hAnsi="宋体"/>
                <w:color w:val="auto"/>
                <w:lang w:val="en-US" w:eastAsia="zh-CN"/>
              </w:rPr>
              <w:t>1</w:t>
            </w:r>
            <w:r>
              <w:rPr>
                <w:rFonts w:hint="eastAsia" w:ascii="宋体" w:hAnsi="宋体"/>
                <w:color w:val="auto"/>
                <w:lang w:val="zh-CN"/>
              </w:rPr>
              <w:t>分，最高得</w:t>
            </w:r>
            <w:r>
              <w:rPr>
                <w:rFonts w:hint="eastAsia" w:ascii="宋体" w:hAnsi="宋体"/>
                <w:color w:val="auto"/>
                <w:lang w:val="en-US" w:eastAsia="zh-CN"/>
              </w:rPr>
              <w:t>3</w:t>
            </w:r>
            <w:r>
              <w:rPr>
                <w:rFonts w:hint="eastAsia" w:ascii="宋体" w:hAnsi="宋体"/>
                <w:color w:val="auto"/>
                <w:lang w:val="zh-CN"/>
              </w:rPr>
              <w:t>分。</w:t>
            </w:r>
          </w:p>
        </w:tc>
        <w:tc>
          <w:tcPr>
            <w:tcW w:w="780" w:type="dxa"/>
            <w:noWrap w:val="0"/>
            <w:vAlign w:val="center"/>
          </w:tcPr>
          <w:p>
            <w:pPr>
              <w:widowControl/>
              <w:spacing w:line="360" w:lineRule="auto"/>
              <w:jc w:val="center"/>
              <w:rPr>
                <w:rFonts w:hint="eastAsia"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1610" w:type="dxa"/>
            <w:noWrap w:val="0"/>
            <w:vAlign w:val="center"/>
          </w:tcPr>
          <w:p>
            <w:pPr>
              <w:widowControl/>
              <w:spacing w:line="360" w:lineRule="auto"/>
              <w:jc w:val="center"/>
              <w:rPr>
                <w:rFonts w:hint="eastAsia" w:ascii="新宋体" w:hAnsi="新宋体" w:eastAsia="新宋体" w:cs="新宋体"/>
                <w:color w:val="auto"/>
                <w:kern w:val="0"/>
                <w:sz w:val="24"/>
                <w:szCs w:val="24"/>
                <w:lang w:val="en-US" w:eastAsia="zh-CN" w:bidi="ar-SA"/>
              </w:rPr>
            </w:pPr>
            <w:r>
              <w:rPr>
                <w:rFonts w:hint="eastAsia" w:ascii="宋体" w:hAnsi="宋体"/>
                <w:color w:val="auto"/>
                <w:lang w:val="zh-CN" w:eastAsia="zh-CN"/>
              </w:rPr>
              <w:t>荣誉</w:t>
            </w:r>
          </w:p>
        </w:tc>
        <w:tc>
          <w:tcPr>
            <w:tcW w:w="7485" w:type="dxa"/>
            <w:noWrap w:val="0"/>
            <w:vAlign w:val="center"/>
          </w:tcPr>
          <w:p>
            <w:pPr>
              <w:rPr>
                <w:rFonts w:hint="eastAsia" w:ascii="宋体" w:hAnsi="宋体"/>
                <w:color w:val="auto"/>
                <w:lang w:val="zh-CN" w:eastAsia="zh-CN"/>
              </w:rPr>
            </w:pPr>
            <w:r>
              <w:rPr>
                <w:rFonts w:hint="eastAsia" w:ascii="宋体" w:hAnsi="宋体"/>
                <w:color w:val="auto"/>
                <w:lang w:val="zh-CN"/>
              </w:rPr>
              <w:t>自2016年以来（以获奖年度为准），获得地市级及以上行政主管部门表彰、荣誉证书的每项得</w:t>
            </w:r>
            <w:r>
              <w:rPr>
                <w:rFonts w:hint="eastAsia" w:ascii="宋体" w:hAnsi="宋体"/>
                <w:color w:val="auto"/>
                <w:lang w:val="en-US" w:eastAsia="zh-CN"/>
              </w:rPr>
              <w:t>2</w:t>
            </w:r>
            <w:r>
              <w:rPr>
                <w:rFonts w:hint="eastAsia" w:ascii="宋体" w:hAnsi="宋体"/>
                <w:color w:val="auto"/>
                <w:lang w:val="zh-CN"/>
              </w:rPr>
              <w:t>分，本项最高得</w:t>
            </w:r>
            <w:r>
              <w:rPr>
                <w:rFonts w:hint="eastAsia" w:ascii="宋体" w:hAnsi="宋体"/>
                <w:color w:val="auto"/>
                <w:lang w:val="en-US" w:eastAsia="zh-CN"/>
              </w:rPr>
              <w:t>10</w:t>
            </w:r>
            <w:r>
              <w:rPr>
                <w:rFonts w:hint="eastAsia" w:ascii="宋体" w:hAnsi="宋体"/>
                <w:color w:val="auto"/>
                <w:lang w:val="zh-CN"/>
              </w:rPr>
              <w:t>分。</w:t>
            </w:r>
          </w:p>
        </w:tc>
        <w:tc>
          <w:tcPr>
            <w:tcW w:w="780" w:type="dxa"/>
            <w:noWrap w:val="0"/>
            <w:vAlign w:val="center"/>
          </w:tcPr>
          <w:p>
            <w:pPr>
              <w:widowControl/>
              <w:spacing w:line="360" w:lineRule="auto"/>
              <w:jc w:val="center"/>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0" w:type="dxa"/>
            <w:noWrap w:val="0"/>
            <w:vAlign w:val="center"/>
          </w:tcPr>
          <w:p>
            <w:pPr>
              <w:widowControl/>
              <w:jc w:val="center"/>
              <w:rPr>
                <w:rFonts w:hint="eastAsia" w:ascii="新宋体" w:hAnsi="新宋体" w:eastAsia="新宋体" w:cs="新宋体"/>
                <w:color w:val="auto"/>
                <w:kern w:val="0"/>
                <w:sz w:val="24"/>
                <w:szCs w:val="24"/>
                <w:lang w:eastAsia="zh-CN"/>
              </w:rPr>
            </w:pPr>
            <w:r>
              <w:rPr>
                <w:rFonts w:hint="eastAsia" w:ascii="宋体" w:hAnsi="宋体" w:cs="宋体"/>
                <w:color w:val="auto"/>
                <w:kern w:val="0"/>
                <w:szCs w:val="21"/>
              </w:rPr>
              <w:t>信誉</w:t>
            </w:r>
          </w:p>
        </w:tc>
        <w:tc>
          <w:tcPr>
            <w:tcW w:w="7485" w:type="dxa"/>
            <w:noWrap w:val="0"/>
            <w:vAlign w:val="center"/>
          </w:tcPr>
          <w:p>
            <w:pPr>
              <w:rPr>
                <w:rFonts w:hint="eastAsia"/>
                <w:color w:val="auto"/>
                <w:sz w:val="24"/>
                <w:szCs w:val="24"/>
              </w:rPr>
            </w:pPr>
            <w:r>
              <w:rPr>
                <w:rFonts w:hint="eastAsia" w:ascii="宋体" w:hAnsi="宋体"/>
                <w:color w:val="auto"/>
                <w:lang w:val="zh-CN"/>
              </w:rPr>
              <w:t>信用等级为AAA级得</w:t>
            </w:r>
            <w:r>
              <w:rPr>
                <w:rFonts w:hint="eastAsia" w:ascii="宋体" w:hAnsi="宋体"/>
                <w:color w:val="auto"/>
              </w:rPr>
              <w:t>3</w:t>
            </w:r>
            <w:r>
              <w:rPr>
                <w:rFonts w:hint="eastAsia" w:ascii="宋体" w:hAnsi="宋体"/>
                <w:color w:val="auto"/>
                <w:lang w:val="zh-CN"/>
              </w:rPr>
              <w:t>分，AA级得</w:t>
            </w:r>
            <w:r>
              <w:rPr>
                <w:rFonts w:hint="eastAsia" w:ascii="宋体" w:hAnsi="宋体"/>
                <w:color w:val="auto"/>
              </w:rPr>
              <w:t>2</w:t>
            </w:r>
            <w:r>
              <w:rPr>
                <w:rFonts w:hint="eastAsia" w:ascii="宋体" w:hAnsi="宋体"/>
                <w:color w:val="auto"/>
                <w:lang w:val="zh-CN"/>
              </w:rPr>
              <w:t>分，A级得</w:t>
            </w:r>
            <w:r>
              <w:rPr>
                <w:rFonts w:hint="eastAsia" w:ascii="宋体" w:hAnsi="宋体"/>
                <w:color w:val="auto"/>
              </w:rPr>
              <w:t>1</w:t>
            </w:r>
            <w:r>
              <w:rPr>
                <w:rFonts w:hint="eastAsia" w:ascii="宋体" w:hAnsi="宋体"/>
                <w:color w:val="auto"/>
                <w:lang w:val="zh-CN"/>
              </w:rPr>
              <w:t>分。（开标时提供信用等级证书</w:t>
            </w:r>
            <w:r>
              <w:rPr>
                <w:rFonts w:hint="eastAsia" w:ascii="宋体" w:hAnsi="宋体" w:cs="宋体"/>
                <w:color w:val="auto"/>
                <w:szCs w:val="21"/>
              </w:rPr>
              <w:t>电子扫描件</w:t>
            </w:r>
            <w:r>
              <w:rPr>
                <w:rFonts w:hint="eastAsia" w:ascii="宋体" w:hAnsi="宋体"/>
                <w:color w:val="auto"/>
                <w:lang w:val="zh-CN"/>
              </w:rPr>
              <w:t>，未提供</w:t>
            </w:r>
            <w:r>
              <w:rPr>
                <w:rFonts w:hint="eastAsia" w:ascii="宋体" w:hAnsi="宋体" w:cs="宋体"/>
                <w:color w:val="auto"/>
                <w:szCs w:val="21"/>
              </w:rPr>
              <w:t>电子扫描件</w:t>
            </w:r>
            <w:r>
              <w:rPr>
                <w:rFonts w:hint="eastAsia" w:ascii="宋体" w:hAnsi="宋体"/>
                <w:color w:val="auto"/>
                <w:lang w:val="zh-CN"/>
              </w:rPr>
              <w:t>不得分。）</w:t>
            </w:r>
          </w:p>
        </w:tc>
        <w:tc>
          <w:tcPr>
            <w:tcW w:w="780" w:type="dxa"/>
            <w:noWrap w:val="0"/>
            <w:vAlign w:val="center"/>
          </w:tcPr>
          <w:p>
            <w:pPr>
              <w:widowControl/>
              <w:jc w:val="center"/>
              <w:rPr>
                <w:rFonts w:hint="default" w:ascii="新宋体" w:hAnsi="新宋体" w:eastAsia="新宋体" w:cs="新宋体"/>
                <w:color w:val="auto"/>
                <w:kern w:val="0"/>
                <w:sz w:val="24"/>
                <w:szCs w:val="24"/>
                <w:lang w:val="en-US" w:eastAsia="zh-CN"/>
              </w:rPr>
            </w:pPr>
            <w:r>
              <w:rPr>
                <w:rFonts w:hint="eastAsia" w:ascii="新宋体" w:hAnsi="新宋体" w:eastAsia="新宋体" w:cs="新宋体"/>
                <w:color w:val="auto"/>
                <w:kern w:val="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0" w:type="dxa"/>
            <w:noWrap w:val="0"/>
            <w:vAlign w:val="center"/>
          </w:tcPr>
          <w:p>
            <w:pPr>
              <w:widowControl/>
              <w:jc w:val="center"/>
              <w:rPr>
                <w:rFonts w:hint="eastAsia" w:ascii="新宋体" w:hAnsi="新宋体" w:eastAsia="新宋体" w:cs="新宋体"/>
                <w:color w:val="auto"/>
                <w:kern w:val="0"/>
                <w:sz w:val="24"/>
                <w:szCs w:val="24"/>
              </w:rPr>
            </w:pPr>
            <w:r>
              <w:rPr>
                <w:rFonts w:hint="eastAsia" w:ascii="宋体" w:hAnsi="宋体" w:cs="宋体"/>
                <w:color w:val="auto"/>
                <w:szCs w:val="21"/>
              </w:rPr>
              <w:t>售后服务</w:t>
            </w:r>
          </w:p>
        </w:tc>
        <w:tc>
          <w:tcPr>
            <w:tcW w:w="7485" w:type="dxa"/>
            <w:noWrap w:val="0"/>
            <w:vAlign w:val="top"/>
          </w:tcPr>
          <w:p>
            <w:pPr>
              <w:rPr>
                <w:color w:val="auto"/>
              </w:rPr>
            </w:pPr>
            <w:r>
              <w:rPr>
                <w:rFonts w:hint="eastAsia"/>
                <w:color w:val="auto"/>
              </w:rPr>
              <w:t>1.提供完善的售后服务方案（综合对比分为二挡打分，一档</w:t>
            </w:r>
            <w:r>
              <w:rPr>
                <w:rFonts w:hint="eastAsia"/>
                <w:color w:val="auto"/>
                <w:lang w:val="en-US" w:eastAsia="zh-CN"/>
              </w:rPr>
              <w:t>5</w:t>
            </w:r>
            <w:r>
              <w:rPr>
                <w:rFonts w:hint="eastAsia"/>
                <w:color w:val="auto"/>
              </w:rPr>
              <w:t>分，二挡</w:t>
            </w:r>
            <w:r>
              <w:rPr>
                <w:rFonts w:hint="eastAsia"/>
                <w:color w:val="auto"/>
                <w:lang w:val="en-US" w:eastAsia="zh-CN"/>
              </w:rPr>
              <w:t>3</w:t>
            </w:r>
            <w:r>
              <w:rPr>
                <w:rFonts w:hint="eastAsia"/>
                <w:color w:val="auto"/>
              </w:rPr>
              <w:t>分）；</w:t>
            </w:r>
          </w:p>
          <w:p>
            <w:pPr>
              <w:rPr>
                <w:rFonts w:hint="eastAsia" w:ascii="宋体" w:hAnsi="宋体"/>
                <w:color w:val="auto"/>
                <w:lang w:val="en-US" w:eastAsia="zh-CN"/>
              </w:rPr>
            </w:pPr>
            <w:r>
              <w:rPr>
                <w:rFonts w:hint="eastAsia"/>
                <w:color w:val="auto"/>
                <w:lang w:val="en-US" w:eastAsia="zh-CN"/>
              </w:rPr>
              <w:t>2</w:t>
            </w:r>
            <w:r>
              <w:rPr>
                <w:rFonts w:hint="eastAsia"/>
                <w:color w:val="auto"/>
              </w:rPr>
              <w:t>.提供其他实质性的优惠承诺（综合对比分为二挡打分，一档</w:t>
            </w:r>
            <w:r>
              <w:rPr>
                <w:rFonts w:hint="eastAsia"/>
                <w:color w:val="auto"/>
                <w:lang w:val="en-US" w:eastAsia="zh-CN"/>
              </w:rPr>
              <w:t>5</w:t>
            </w:r>
            <w:r>
              <w:rPr>
                <w:rFonts w:hint="eastAsia"/>
                <w:color w:val="auto"/>
              </w:rPr>
              <w:t>分，二挡</w:t>
            </w:r>
            <w:r>
              <w:rPr>
                <w:rFonts w:hint="eastAsia"/>
                <w:color w:val="auto"/>
                <w:lang w:val="en-US" w:eastAsia="zh-CN"/>
              </w:rPr>
              <w:t>3</w:t>
            </w:r>
            <w:r>
              <w:rPr>
                <w:rFonts w:hint="eastAsia"/>
                <w:color w:val="auto"/>
              </w:rPr>
              <w:t>分）。</w:t>
            </w:r>
          </w:p>
        </w:tc>
        <w:tc>
          <w:tcPr>
            <w:tcW w:w="780" w:type="dxa"/>
            <w:noWrap w:val="0"/>
            <w:vAlign w:val="center"/>
          </w:tcPr>
          <w:p>
            <w:pPr>
              <w:snapToGrid w:val="0"/>
              <w:spacing w:line="600" w:lineRule="exact"/>
              <w:rPr>
                <w:rFonts w:hint="eastAsia" w:ascii="新宋体" w:hAnsi="新宋体" w:eastAsia="新宋体" w:cs="新宋体"/>
                <w:color w:val="auto"/>
                <w:kern w:val="0"/>
                <w:sz w:val="24"/>
                <w:szCs w:val="24"/>
                <w:lang w:val="en-US" w:eastAsia="zh-CN"/>
              </w:rPr>
            </w:pPr>
            <w:r>
              <w:rPr>
                <w:rFonts w:hint="eastAsia" w:ascii="宋体" w:hAnsi="宋体" w:cs="宋体"/>
                <w:color w:val="auto"/>
                <w:sz w:val="24"/>
                <w:szCs w:val="24"/>
                <w:lang w:val="en-US" w:eastAsia="zh-CN"/>
              </w:rPr>
              <w:t>10</w:t>
            </w:r>
            <w:r>
              <w:rPr>
                <w:rFonts w:hint="eastAsia" w:ascii="宋体" w:hAnsi="宋体" w:cs="宋体"/>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875" w:type="dxa"/>
            <w:gridSpan w:val="3"/>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三、技术部分（满分</w:t>
            </w:r>
            <w:r>
              <w:rPr>
                <w:rFonts w:hint="eastAsia" w:ascii="新宋体" w:hAnsi="新宋体" w:eastAsia="新宋体" w:cs="新宋体"/>
                <w:bCs/>
                <w:color w:val="auto"/>
                <w:kern w:val="0"/>
                <w:sz w:val="24"/>
                <w:szCs w:val="24"/>
                <w:lang w:val="en-US" w:eastAsia="zh-CN"/>
              </w:rPr>
              <w:t>25</w:t>
            </w:r>
            <w:r>
              <w:rPr>
                <w:rFonts w:hint="eastAsia" w:ascii="新宋体" w:hAnsi="新宋体" w:eastAsia="新宋体" w:cs="新宋体"/>
                <w:bCs/>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评分因素</w:t>
            </w:r>
          </w:p>
        </w:tc>
        <w:tc>
          <w:tcPr>
            <w:tcW w:w="7485"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评分标准</w:t>
            </w:r>
          </w:p>
        </w:tc>
        <w:tc>
          <w:tcPr>
            <w:tcW w:w="780" w:type="dxa"/>
            <w:noWrap w:val="0"/>
            <w:vAlign w:val="center"/>
          </w:tcPr>
          <w:p>
            <w:pPr>
              <w:widowControl/>
              <w:spacing w:line="360" w:lineRule="auto"/>
              <w:jc w:val="center"/>
              <w:rPr>
                <w:rFonts w:hint="eastAsia" w:ascii="新宋体" w:hAnsi="新宋体" w:eastAsia="新宋体" w:cs="新宋体"/>
                <w:color w:val="auto"/>
                <w:kern w:val="0"/>
                <w:sz w:val="24"/>
                <w:szCs w:val="24"/>
              </w:rPr>
            </w:pPr>
            <w:r>
              <w:rPr>
                <w:rFonts w:hint="eastAsia" w:ascii="新宋体" w:hAnsi="新宋体" w:eastAsia="新宋体" w:cs="新宋体"/>
                <w:bCs/>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0" w:type="dxa"/>
            <w:noWrap w:val="0"/>
            <w:vAlign w:val="center"/>
          </w:tcPr>
          <w:p>
            <w:pPr>
              <w:snapToGrid w:val="0"/>
              <w:spacing w:line="600" w:lineRule="exact"/>
              <w:jc w:val="center"/>
              <w:rPr>
                <w:rFonts w:hint="eastAsia" w:ascii="宋体" w:hAnsi="宋体" w:cs="宋体" w:eastAsiaTheme="minorEastAsia"/>
                <w:color w:val="auto"/>
                <w:kern w:val="2"/>
                <w:sz w:val="24"/>
                <w:szCs w:val="24"/>
                <w:lang w:val="zh-CN" w:eastAsia="zh-CN" w:bidi="ar-SA"/>
              </w:rPr>
            </w:pPr>
            <w:r>
              <w:rPr>
                <w:rFonts w:hint="eastAsia" w:ascii="宋体" w:hAnsi="宋体"/>
                <w:color w:val="auto"/>
                <w:lang w:val="zh-CN" w:eastAsia="zh-CN"/>
              </w:rPr>
              <w:t>项目实施方案</w:t>
            </w:r>
          </w:p>
        </w:tc>
        <w:tc>
          <w:tcPr>
            <w:tcW w:w="7485" w:type="dxa"/>
            <w:noWrap w:val="0"/>
            <w:vAlign w:val="center"/>
          </w:tcPr>
          <w:p>
            <w:pPr>
              <w:rPr>
                <w:rFonts w:hint="eastAsia" w:ascii="宋体" w:hAnsi="宋体"/>
                <w:color w:val="auto"/>
                <w:lang w:val="zh-CN" w:eastAsia="zh-CN"/>
              </w:rPr>
            </w:pPr>
            <w:r>
              <w:rPr>
                <w:rFonts w:hint="eastAsia" w:ascii="宋体" w:hAnsi="宋体"/>
                <w:color w:val="auto"/>
                <w:lang w:val="zh-CN" w:eastAsia="zh-CN"/>
              </w:rPr>
              <w:t>能提供详细、完整、全面的具体工作实施方案得</w:t>
            </w:r>
            <w:r>
              <w:rPr>
                <w:rFonts w:hint="eastAsia" w:ascii="宋体" w:hAnsi="宋体"/>
                <w:color w:val="auto"/>
                <w:lang w:val="en-US" w:eastAsia="zh-CN"/>
              </w:rPr>
              <w:t>5</w:t>
            </w:r>
            <w:r>
              <w:rPr>
                <w:rFonts w:hint="eastAsia" w:ascii="宋体" w:hAnsi="宋体"/>
                <w:color w:val="auto"/>
                <w:lang w:val="zh-CN" w:eastAsia="zh-CN"/>
              </w:rPr>
              <w:t>分；</w:t>
            </w:r>
            <w:r>
              <w:rPr>
                <w:rFonts w:hint="eastAsia"/>
                <w:color w:val="auto"/>
              </w:rPr>
              <w:t>（综合对比分为二挡打分，一档</w:t>
            </w:r>
            <w:r>
              <w:rPr>
                <w:rFonts w:hint="eastAsia"/>
                <w:color w:val="auto"/>
                <w:lang w:val="en-US" w:eastAsia="zh-CN"/>
              </w:rPr>
              <w:t>5</w:t>
            </w:r>
            <w:r>
              <w:rPr>
                <w:rFonts w:hint="eastAsia"/>
                <w:color w:val="auto"/>
              </w:rPr>
              <w:t>分，二挡</w:t>
            </w:r>
            <w:r>
              <w:rPr>
                <w:rFonts w:hint="eastAsia"/>
                <w:color w:val="auto"/>
                <w:lang w:val="en-US" w:eastAsia="zh-CN"/>
              </w:rPr>
              <w:t>3</w:t>
            </w:r>
            <w:r>
              <w:rPr>
                <w:rFonts w:hint="eastAsia"/>
                <w:color w:val="auto"/>
              </w:rPr>
              <w:t>分）；</w:t>
            </w:r>
            <w:r>
              <w:rPr>
                <w:rFonts w:hint="eastAsia" w:ascii="宋体" w:hAnsi="宋体"/>
                <w:color w:val="auto"/>
                <w:lang w:val="zh-CN" w:eastAsia="zh-CN"/>
              </w:rPr>
              <w:t>不提供者不得分。</w:t>
            </w:r>
          </w:p>
        </w:tc>
        <w:tc>
          <w:tcPr>
            <w:tcW w:w="780" w:type="dxa"/>
            <w:noWrap w:val="0"/>
            <w:vAlign w:val="center"/>
          </w:tcPr>
          <w:p>
            <w:pPr>
              <w:snapToGrid w:val="0"/>
              <w:spacing w:line="360" w:lineRule="auto"/>
              <w:rPr>
                <w:rFonts w:hint="eastAsia" w:ascii="宋体" w:hAnsi="宋体" w:cs="宋体" w:eastAsiaTheme="minorEastAsia"/>
                <w:color w:val="auto"/>
                <w:kern w:val="2"/>
                <w:sz w:val="24"/>
                <w:szCs w:val="24"/>
                <w:lang w:val="zh-CN" w:eastAsia="zh-CN" w:bidi="ar-SA"/>
              </w:rPr>
            </w:pPr>
            <w:r>
              <w:rPr>
                <w:rFonts w:hint="eastAsia" w:ascii="宋体" w:hAnsi="宋体" w:cs="宋体"/>
                <w:color w:val="auto"/>
                <w:sz w:val="24"/>
                <w:szCs w:val="24"/>
                <w:lang w:val="en-US" w:eastAsia="zh-CN"/>
              </w:rPr>
              <w:t>5</w:t>
            </w:r>
            <w:r>
              <w:rPr>
                <w:rFonts w:hint="eastAsia" w:ascii="宋体" w:hAnsi="宋体" w:cs="宋体"/>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0" w:type="dxa"/>
            <w:noWrap w:val="0"/>
            <w:vAlign w:val="center"/>
          </w:tcPr>
          <w:p>
            <w:pPr>
              <w:jc w:val="center"/>
              <w:rPr>
                <w:rFonts w:hint="eastAsia" w:ascii="宋体" w:hAnsi="宋体"/>
                <w:lang w:val="zh-CN" w:eastAsia="zh-CN"/>
              </w:rPr>
            </w:pPr>
            <w:r>
              <w:rPr>
                <w:rFonts w:hint="eastAsia" w:ascii="宋体" w:hAnsi="宋体"/>
                <w:sz w:val="24"/>
                <w:szCs w:val="24"/>
              </w:rPr>
              <w:t>产品性能与质量</w:t>
            </w:r>
          </w:p>
        </w:tc>
        <w:tc>
          <w:tcPr>
            <w:tcW w:w="7485" w:type="dxa"/>
            <w:noWrap w:val="0"/>
            <w:vAlign w:val="center"/>
          </w:tcPr>
          <w:p>
            <w:pPr>
              <w:rPr>
                <w:rFonts w:hint="eastAsia" w:ascii="宋体" w:hAnsi="宋体"/>
                <w:lang w:val="zh-CN" w:eastAsia="zh-CN"/>
              </w:rPr>
            </w:pPr>
            <w:r>
              <w:rPr>
                <w:rFonts w:hint="eastAsia" w:ascii="宋体" w:hAnsi="宋体"/>
                <w:sz w:val="24"/>
                <w:szCs w:val="24"/>
              </w:rPr>
              <w:t>产品性能与质量保证措施完善等整体综合性能进行对比</w:t>
            </w:r>
            <w:r>
              <w:rPr>
                <w:rFonts w:hint="eastAsia"/>
              </w:rPr>
              <w:t>（综合对比分为二挡打分，一档</w:t>
            </w:r>
            <w:r>
              <w:rPr>
                <w:rFonts w:hint="eastAsia"/>
                <w:lang w:val="en-US" w:eastAsia="zh-CN"/>
              </w:rPr>
              <w:t>5</w:t>
            </w:r>
            <w:r>
              <w:rPr>
                <w:rFonts w:hint="eastAsia"/>
              </w:rPr>
              <w:t>分，二挡</w:t>
            </w:r>
            <w:r>
              <w:rPr>
                <w:rFonts w:hint="eastAsia"/>
                <w:lang w:val="en-US" w:eastAsia="zh-CN"/>
              </w:rPr>
              <w:t>3</w:t>
            </w:r>
            <w:r>
              <w:rPr>
                <w:rFonts w:hint="eastAsia"/>
              </w:rPr>
              <w:t>分）；</w:t>
            </w:r>
          </w:p>
        </w:tc>
        <w:tc>
          <w:tcPr>
            <w:tcW w:w="780" w:type="dxa"/>
            <w:noWrap w:val="0"/>
            <w:vAlign w:val="center"/>
          </w:tcPr>
          <w:p>
            <w:pPr>
              <w:widowControl/>
              <w:spacing w:line="360" w:lineRule="auto"/>
              <w:jc w:val="center"/>
              <w:rPr>
                <w:rFonts w:hint="eastAsia" w:ascii="宋体" w:hAnsi="宋体" w:eastAsiaTheme="minorEastAsia"/>
                <w:color w:val="0000FF"/>
                <w:highlight w:val="none"/>
                <w:lang w:val="en-US" w:eastAsia="zh-CN"/>
              </w:rPr>
            </w:pPr>
            <w:r>
              <w:rPr>
                <w:rFonts w:hint="eastAsia" w:ascii="宋体" w:hAnsi="宋体" w:cs="宋体"/>
                <w:sz w:val="24"/>
                <w:szCs w:val="24"/>
                <w:lang w:val="en-US" w:eastAsia="zh-CN"/>
              </w:rPr>
              <w:t>5</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0" w:type="dxa"/>
            <w:noWrap w:val="0"/>
            <w:vAlign w:val="center"/>
          </w:tcPr>
          <w:p>
            <w:pPr>
              <w:jc w:val="center"/>
              <w:rPr>
                <w:rFonts w:hint="eastAsia" w:ascii="宋体" w:hAnsi="宋体"/>
                <w:lang w:val="zh-CN" w:eastAsia="zh-CN"/>
              </w:rPr>
            </w:pPr>
            <w:r>
              <w:rPr>
                <w:rFonts w:hint="eastAsia" w:ascii="宋体" w:hAnsi="宋体" w:eastAsia="宋体" w:cs="宋体"/>
                <w:sz w:val="21"/>
                <w:szCs w:val="21"/>
                <w:lang w:val="en-US" w:eastAsia="zh-CN"/>
              </w:rPr>
              <w:t>供货方案</w:t>
            </w:r>
          </w:p>
        </w:tc>
        <w:tc>
          <w:tcPr>
            <w:tcW w:w="7485" w:type="dxa"/>
            <w:noWrap w:val="0"/>
            <w:vAlign w:val="center"/>
          </w:tcPr>
          <w:p>
            <w:pPr>
              <w:rPr>
                <w:rFonts w:hint="eastAsia" w:ascii="宋体" w:hAnsi="宋体"/>
                <w:lang w:val="zh-CN" w:eastAsia="zh-CN"/>
              </w:rPr>
            </w:pPr>
            <w:r>
              <w:rPr>
                <w:rFonts w:hint="eastAsia" w:ascii="宋体" w:hAnsi="宋体" w:eastAsia="宋体" w:cs="宋体"/>
                <w:sz w:val="21"/>
                <w:szCs w:val="21"/>
                <w:lang w:val="en-US" w:eastAsia="zh-CN"/>
              </w:rPr>
              <w:t>投标人供货方案是否完整、科学、先进、合理，运输保证是否合理，各项措施是否切实可行。根据内容综合比较，分三档。一档5分，二档3分，三档1分打分，无方案的不得分。</w:t>
            </w:r>
          </w:p>
        </w:tc>
        <w:tc>
          <w:tcPr>
            <w:tcW w:w="780" w:type="dxa"/>
            <w:noWrap w:val="0"/>
            <w:vAlign w:val="center"/>
          </w:tcPr>
          <w:p>
            <w:pPr>
              <w:widowControl/>
              <w:spacing w:line="360" w:lineRule="auto"/>
              <w:jc w:val="center"/>
              <w:rPr>
                <w:rFonts w:hint="eastAsia" w:ascii="宋体" w:hAnsi="宋体" w:eastAsiaTheme="minorEastAsia"/>
                <w:color w:val="0000FF"/>
                <w:highlight w:val="none"/>
                <w:lang w:val="en-US" w:eastAsia="zh-CN"/>
              </w:rPr>
            </w:pPr>
            <w:r>
              <w:rPr>
                <w:rFonts w:hint="eastAsia" w:ascii="宋体" w:hAnsi="宋体" w:cs="宋体"/>
                <w:sz w:val="24"/>
                <w:szCs w:val="24"/>
                <w:lang w:val="en-US" w:eastAsia="zh-CN"/>
              </w:rPr>
              <w:t>5</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0"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指导措施</w:t>
            </w:r>
          </w:p>
        </w:tc>
        <w:tc>
          <w:tcPr>
            <w:tcW w:w="7485" w:type="dxa"/>
            <w:noWrap w:val="0"/>
            <w:vAlign w:val="center"/>
          </w:tcPr>
          <w:p>
            <w:pPr>
              <w:rPr>
                <w:rFonts w:hint="eastAsia" w:ascii="宋体" w:hAnsi="宋体" w:cs="宋体" w:eastAsiaTheme="minorEastAsia"/>
                <w:sz w:val="21"/>
                <w:szCs w:val="21"/>
                <w:lang w:val="en-US" w:eastAsia="zh-CN"/>
              </w:rPr>
            </w:pPr>
            <w:r>
              <w:rPr>
                <w:rFonts w:hint="eastAsia"/>
              </w:rPr>
              <w:t>提供的产品安装技术指导措施和安装现场专业指导人员配备合理得</w:t>
            </w:r>
            <w:r>
              <w:rPr>
                <w:rFonts w:hint="eastAsia"/>
                <w:lang w:eastAsia="zh-CN"/>
              </w:rPr>
              <w:t>，</w:t>
            </w:r>
            <w:r>
              <w:rPr>
                <w:rFonts w:hint="eastAsia"/>
              </w:rPr>
              <w:t>（综合对比分为二挡打分，一档</w:t>
            </w:r>
            <w:r>
              <w:rPr>
                <w:rFonts w:hint="eastAsia"/>
                <w:lang w:val="en-US" w:eastAsia="zh-CN"/>
              </w:rPr>
              <w:t>5</w:t>
            </w:r>
            <w:r>
              <w:rPr>
                <w:rFonts w:hint="eastAsia"/>
              </w:rPr>
              <w:t>分，二挡</w:t>
            </w:r>
            <w:r>
              <w:rPr>
                <w:rFonts w:hint="eastAsia"/>
                <w:lang w:val="en-US" w:eastAsia="zh-CN"/>
              </w:rPr>
              <w:t>3</w:t>
            </w:r>
            <w:r>
              <w:rPr>
                <w:rFonts w:hint="eastAsia"/>
              </w:rPr>
              <w:t>分）</w:t>
            </w:r>
          </w:p>
        </w:tc>
        <w:tc>
          <w:tcPr>
            <w:tcW w:w="780" w:type="dxa"/>
            <w:noWrap w:val="0"/>
            <w:vAlign w:val="center"/>
          </w:tcPr>
          <w:p>
            <w:pPr>
              <w:widowControl/>
              <w:spacing w:line="360" w:lineRule="auto"/>
              <w:jc w:val="center"/>
              <w:rPr>
                <w:rFonts w:hint="eastAsia" w:ascii="宋体" w:hAnsi="宋体"/>
                <w:color w:val="0000FF"/>
                <w:highlight w:val="none"/>
              </w:rPr>
            </w:pPr>
            <w:r>
              <w:rPr>
                <w:rFonts w:hint="eastAsia" w:ascii="宋体" w:hAnsi="宋体" w:cs="宋体"/>
                <w:sz w:val="24"/>
                <w:szCs w:val="24"/>
                <w:lang w:val="en-US" w:eastAsia="zh-CN"/>
              </w:rPr>
              <w:t>5</w:t>
            </w:r>
            <w:r>
              <w:rPr>
                <w:rFonts w:hint="eastAsia" w:ascii="宋体" w:hAnsi="宋体" w:cs="宋体"/>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0" w:type="dxa"/>
            <w:noWrap w:val="0"/>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zh-CN" w:eastAsia="zh-CN"/>
              </w:rPr>
              <w:t>应急方案</w:t>
            </w:r>
          </w:p>
        </w:tc>
        <w:tc>
          <w:tcPr>
            <w:tcW w:w="7485" w:type="dxa"/>
            <w:noWrap w:val="0"/>
            <w:vAlign w:val="center"/>
          </w:tcPr>
          <w:p>
            <w:pPr>
              <w:rPr>
                <w:rFonts w:hint="eastAsia" w:ascii="宋体" w:hAnsi="宋体" w:eastAsiaTheme="minorEastAsia" w:cstheme="minorBidi"/>
                <w:kern w:val="2"/>
                <w:sz w:val="21"/>
                <w:szCs w:val="22"/>
                <w:lang w:val="zh-CN" w:eastAsia="zh-CN" w:bidi="ar-SA"/>
              </w:rPr>
            </w:pPr>
            <w:r>
              <w:rPr>
                <w:rFonts w:hint="eastAsia" w:ascii="宋体" w:hAnsi="宋体"/>
                <w:lang w:val="zh-CN" w:eastAsia="zh-CN"/>
              </w:rPr>
              <w:t>结合招标人实际特点，能够制定合理、可行的应急预案得</w:t>
            </w:r>
            <w:r>
              <w:rPr>
                <w:rFonts w:hint="eastAsia" w:ascii="宋体" w:hAnsi="宋体"/>
                <w:lang w:val="en-US" w:eastAsia="zh-CN"/>
              </w:rPr>
              <w:t>5</w:t>
            </w:r>
            <w:r>
              <w:rPr>
                <w:rFonts w:hint="eastAsia" w:ascii="宋体" w:hAnsi="宋体"/>
                <w:lang w:val="zh-CN" w:eastAsia="zh-CN"/>
              </w:rPr>
              <w:t>分，</w:t>
            </w:r>
            <w:r>
              <w:rPr>
                <w:rFonts w:hint="eastAsia"/>
              </w:rPr>
              <w:t>（综合对比分为二挡打分，一档</w:t>
            </w:r>
            <w:r>
              <w:rPr>
                <w:rFonts w:hint="eastAsia"/>
                <w:lang w:val="en-US" w:eastAsia="zh-CN"/>
              </w:rPr>
              <w:t>5</w:t>
            </w:r>
            <w:r>
              <w:rPr>
                <w:rFonts w:hint="eastAsia"/>
              </w:rPr>
              <w:t>分，二挡</w:t>
            </w:r>
            <w:r>
              <w:rPr>
                <w:rFonts w:hint="eastAsia"/>
                <w:lang w:val="en-US" w:eastAsia="zh-CN"/>
              </w:rPr>
              <w:t>3</w:t>
            </w:r>
            <w:r>
              <w:rPr>
                <w:rFonts w:hint="eastAsia"/>
              </w:rPr>
              <w:t>分）；</w:t>
            </w:r>
            <w:r>
              <w:rPr>
                <w:rFonts w:hint="eastAsia" w:ascii="宋体" w:hAnsi="宋体"/>
                <w:lang w:val="zh-CN" w:eastAsia="zh-CN"/>
              </w:rPr>
              <w:t>不提供者不得分。</w:t>
            </w:r>
          </w:p>
        </w:tc>
        <w:tc>
          <w:tcPr>
            <w:tcW w:w="780" w:type="dxa"/>
            <w:noWrap w:val="0"/>
            <w:vAlign w:val="center"/>
          </w:tcPr>
          <w:p>
            <w:pPr>
              <w:widowControl/>
              <w:spacing w:line="360" w:lineRule="auto"/>
              <w:jc w:val="both"/>
              <w:rPr>
                <w:rFonts w:hint="eastAsia" w:ascii="宋体" w:hAnsi="宋体" w:eastAsiaTheme="minorEastAsia" w:cstheme="minorBidi"/>
                <w:color w:val="0000FF"/>
                <w:kern w:val="2"/>
                <w:sz w:val="21"/>
                <w:szCs w:val="22"/>
                <w:highlight w:val="none"/>
                <w:lang w:val="en-US" w:eastAsia="zh-CN" w:bidi="ar-SA"/>
              </w:rPr>
            </w:pPr>
            <w:r>
              <w:rPr>
                <w:rFonts w:hint="eastAsia" w:ascii="宋体" w:hAnsi="宋体" w:cs="宋体"/>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75" w:type="dxa"/>
            <w:gridSpan w:val="3"/>
            <w:noWrap w:val="0"/>
            <w:vAlign w:val="center"/>
          </w:tcPr>
          <w:p>
            <w:pPr>
              <w:widowControl/>
              <w:spacing w:line="360" w:lineRule="auto"/>
              <w:jc w:val="both"/>
              <w:rPr>
                <w:rFonts w:hint="eastAsia" w:ascii="宋体" w:hAnsi="宋体" w:cs="宋体"/>
                <w:sz w:val="24"/>
                <w:szCs w:val="24"/>
                <w:lang w:val="en-US" w:eastAsia="zh-CN"/>
              </w:rPr>
            </w:pPr>
            <w:r>
              <w:rPr>
                <w:rFonts w:hint="eastAsia" w:ascii="宋体" w:hAnsi="宋体" w:cs="仿宋_GB2312"/>
                <w:sz w:val="21"/>
                <w:szCs w:val="21"/>
                <w:highlight w:val="none"/>
                <w:lang w:val="zh-CN"/>
              </w:rPr>
              <w:t>注：评标标准中所涉及到的证书及材料不需提供原件，均应在电子投标文件中提供原件扫描件（或图片）。</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6"/>
        <w:tblW w:w="9840"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15"/>
        <w:gridCol w:w="361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3015"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3615"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5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3015"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3615"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5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75"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3015"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3615"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5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75"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3015"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3615"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5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5"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3015"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3615"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5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3015"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3615"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5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9840"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lang w:val="en-GB"/>
        </w:rPr>
        <w:t>b、小型</w:t>
      </w:r>
      <w:r>
        <w:rPr>
          <w:rFonts w:hint="eastAsia" w:ascii="宋体" w:hAnsi="宋体"/>
          <w:bCs/>
          <w:color w:val="auto"/>
          <w:szCs w:val="21"/>
          <w:highlight w:val="none"/>
          <w:lang w:val="en-GB"/>
        </w:rPr>
        <w:t>和微型企业产品包括货物及其提供的服务与工程。</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highlight w:val="none"/>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highlight w:val="none"/>
          <w:lang w:val="en-GB"/>
        </w:rPr>
      </w:pPr>
      <w:r>
        <w:rPr>
          <w:rFonts w:hint="eastAsia" w:ascii="宋体" w:hAnsi="宋体"/>
          <w:bCs/>
          <w:color w:val="auto"/>
          <w:szCs w:val="21"/>
          <w:highlight w:val="none"/>
          <w:lang w:val="en-GB"/>
        </w:rPr>
        <w:t>d、残疾人福利性单位属于小型、微型企业的，不重复享受政策。</w:t>
      </w:r>
    </w:p>
    <w:p>
      <w:pPr>
        <w:spacing w:line="360" w:lineRule="auto"/>
        <w:ind w:firstLine="420" w:firstLineChars="200"/>
        <w:rPr>
          <w:rFonts w:ascii="宋体" w:hAnsi="宋体"/>
          <w:bCs/>
          <w:color w:val="auto"/>
          <w:szCs w:val="21"/>
          <w:highlight w:val="none"/>
          <w:lang w:val="en-GB"/>
        </w:rPr>
      </w:pPr>
      <w:r>
        <w:rPr>
          <w:rFonts w:ascii="宋体" w:hAnsi="宋体"/>
          <w:bCs/>
          <w:color w:val="auto"/>
          <w:szCs w:val="21"/>
          <w:highlight w:val="none"/>
          <w:lang w:val="en-GB"/>
        </w:rPr>
        <w:t>E</w:t>
      </w:r>
      <w:r>
        <w:rPr>
          <w:rFonts w:hint="eastAsia" w:ascii="宋体" w:hAnsi="宋体"/>
          <w:bCs/>
          <w:color w:val="auto"/>
          <w:szCs w:val="21"/>
          <w:highlight w:val="none"/>
          <w:lang w:val="en-GB"/>
        </w:rPr>
        <w:t>、小型和微型企业不包括民办非企业单位。</w:t>
      </w:r>
    </w:p>
    <w:p>
      <w:pPr>
        <w:pStyle w:val="17"/>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cs="仿宋_GB2312" w:asciiTheme="minorEastAsia" w:hAnsiTheme="minorEastAsia"/>
          <w:szCs w:val="21"/>
          <w:lang w:val="zh-CN"/>
        </w:rPr>
        <w:t>投标人对本条第一款情形提出质疑的，采购人或者采购代理机构可以组织原评标委员会进行</w:t>
      </w:r>
      <w:r>
        <w:rPr>
          <w:rFonts w:cs="仿宋_GB2312" w:asciiTheme="minorEastAsia" w:hAnsiTheme="minorEastAsia"/>
          <w:szCs w:val="21"/>
          <w:highlight w:val="none"/>
          <w:lang w:val="zh-CN"/>
        </w:rPr>
        <w:t>重新评审，重新评审改变评标结果的，应当书面报告本级财政部门。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pPr>
        <w:wordWrap w:val="0"/>
        <w:spacing w:line="360" w:lineRule="auto"/>
        <w:ind w:firstLine="422" w:firstLineChars="200"/>
        <w:contextualSpacing/>
        <w:rPr>
          <w:rFonts w:cs="仿宋_GB2312" w:asciiTheme="minorEastAsia" w:hAnsiTheme="minorEastAsia"/>
          <w:szCs w:val="21"/>
          <w:highlight w:val="none"/>
          <w:lang w:val="zh-CN"/>
        </w:rPr>
      </w:pPr>
      <w:r>
        <w:rPr>
          <w:rFonts w:hint="eastAsia" w:cs="仿宋_GB2312" w:asciiTheme="minorEastAsia" w:hAnsiTheme="minorEastAsia"/>
          <w:b/>
          <w:bCs/>
          <w:szCs w:val="21"/>
          <w:highlight w:val="none"/>
          <w:lang w:val="zh-CN"/>
        </w:rPr>
        <w:t>（8）按照《关于推进全流程电子化交易和在线监管工作有关问题的通知》（许公管办[2019]3号）规定：</w:t>
      </w:r>
      <w:r>
        <w:rPr>
          <w:rFonts w:hint="eastAsia" w:cs="仿宋_GB2312" w:asciiTheme="minorEastAsia" w:hAnsiTheme="minorEastAsia"/>
          <w:szCs w:val="21"/>
          <w:highlight w:val="none"/>
          <w:lang w:val="zh-CN"/>
        </w:rPr>
        <w:t>评标专家应严格按照要求查看“硬件特征码”相关信息并进行评审，在评审报告中显示“不同投标人电子投标文件制作硬件特征码”是否均一致的分析及判定结果。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w:t>
      </w:r>
      <w:r>
        <w:rPr>
          <w:rFonts w:hint="eastAsia" w:cs="仿宋_GB2312" w:asciiTheme="minorEastAsia" w:hAnsiTheme="minorEastAsia"/>
          <w:b/>
          <w:szCs w:val="21"/>
          <w:lang w:val="en-US" w:eastAsia="zh-CN"/>
        </w:rPr>
        <w:t>9</w:t>
      </w:r>
      <w:r>
        <w:rPr>
          <w:rFonts w:hint="eastAsia" w:cs="仿宋_GB2312" w:asciiTheme="minorEastAsia" w:hAnsiTheme="minorEastAsia"/>
          <w:b/>
          <w:szCs w:val="21"/>
          <w:lang w:val="zh-CN"/>
        </w:rPr>
        <w:t>）</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hint="eastAsia" w:cs="宋体" w:asciiTheme="majorEastAsia" w:hAnsiTheme="majorEastAsia" w:eastAsiaTheme="majorEastAsia"/>
          <w:b/>
          <w:kern w:val="0"/>
          <w:sz w:val="32"/>
          <w:szCs w:val="32"/>
          <w:highlight w:val="none"/>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7"/>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5"/>
        <w:spacing w:before="75" w:after="75" w:line="360" w:lineRule="auto"/>
        <w:rPr>
          <w:rFonts w:hint="eastAsia" w:ascii="宋体" w:hAnsi="宋体" w:eastAsia="微软雅黑"/>
          <w:color w:val="000000"/>
          <w:highlight w:val="none"/>
          <w:u w:val="single"/>
        </w:rPr>
      </w:pP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5"/>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1.2招标文件、乙方的投标文件；</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5、合同标的应符合招标文件、乙方投标文件的规定或约定，具体如下：</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6.1验收应按照招标文件、乙方投标文件的规定或约定进行，具体如下：</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6.2本项目是否邀请其他投标人参与验收：</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7、合同款项的支付应按照招标文件的规定进行，具体如下：</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（按照实际情况编制填写。招标文件第五章已有规定的，双方均不得变更或调整；招标文件第五章未作规定的，双方可通过友好协商进行约定）</w:t>
      </w:r>
      <w:r>
        <w:rPr>
          <w:rFonts w:asciiTheme="minorEastAsia" w:hAnsiTheme="minorEastAsia" w:eastAsiaTheme="minorEastAsia"/>
          <w:color w:val="000000"/>
          <w:sz w:val="21"/>
          <w:szCs w:val="21"/>
          <w:highlight w:val="none"/>
        </w:rPr>
        <w:t>。</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5"/>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5"/>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5"/>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5"/>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5"/>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5"/>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pStyle w:val="55"/>
        <w:numPr>
          <w:ilvl w:val="0"/>
          <w:numId w:val="0"/>
        </w:numPr>
        <w:tabs>
          <w:tab w:val="left" w:pos="660"/>
        </w:tabs>
        <w:snapToGrid w:val="0"/>
        <w:spacing w:before="0" w:line="400" w:lineRule="exact"/>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noWrap w:val="0"/>
            <w:vAlign w:val="center"/>
          </w:tcPr>
          <w:p>
            <w:pPr>
              <w:pStyle w:val="17"/>
              <w:kinsoku w:val="0"/>
              <w:overflowPunct w:val="0"/>
              <w:autoSpaceDE w:val="0"/>
              <w:autoSpaceDN w:val="0"/>
              <w:spacing w:line="320" w:lineRule="exact"/>
              <w:rPr>
                <w:rFonts w:hAnsi="宋体" w:eastAsia="宋体" w:cs="微软雅黑"/>
                <w:b w:val="0"/>
                <w:bCs/>
                <w:sz w:val="21"/>
              </w:rPr>
            </w:pPr>
            <w:r>
              <w:rPr>
                <w:rFonts w:hint="eastAsia" w:hAnsi="宋体" w:eastAsia="宋体" w:cs="Courier New"/>
                <w:b w:val="0"/>
                <w:bCs/>
                <w:sz w:val="21"/>
              </w:rPr>
              <w:t>供应商应答索引表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报价一览表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投标函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bCs/>
                <w:sz w:val="21"/>
              </w:rPr>
            </w:pPr>
            <w:r>
              <w:rPr>
                <w:rFonts w:hint="eastAsia" w:hAnsi="宋体" w:eastAsia="宋体" w:cs="宋体"/>
                <w:b w:val="0"/>
                <w:bCs/>
                <w:kern w:val="2"/>
                <w:sz w:val="21"/>
                <w:lang w:val="zh-CN"/>
              </w:rPr>
              <w:t>法定代表人（单位负责人）</w:t>
            </w:r>
            <w:r>
              <w:rPr>
                <w:rFonts w:hAnsi="宋体" w:eastAsia="宋体" w:cs="宋体"/>
                <w:b w:val="0"/>
                <w:bCs/>
                <w:kern w:val="2"/>
                <w:sz w:val="21"/>
                <w:lang w:val="zh-CN"/>
              </w:rPr>
              <w:t>资</w:t>
            </w:r>
            <w:r>
              <w:rPr>
                <w:rFonts w:hint="eastAsia" w:hAnsi="宋体" w:eastAsia="宋体" w:cs="宋体"/>
                <w:b w:val="0"/>
                <w:bCs/>
                <w:kern w:val="2"/>
                <w:sz w:val="21"/>
                <w:lang w:val="zh-CN"/>
              </w:rPr>
              <w:t>格</w:t>
            </w:r>
            <w:r>
              <w:rPr>
                <w:rFonts w:hAnsi="宋体" w:eastAsia="宋体" w:cs="宋体"/>
                <w:b w:val="0"/>
                <w:bCs/>
                <w:kern w:val="2"/>
                <w:sz w:val="21"/>
                <w:lang w:val="zh-CN"/>
              </w:rPr>
              <w:t>证</w:t>
            </w:r>
            <w:r>
              <w:rPr>
                <w:rFonts w:hint="eastAsia" w:hAnsi="宋体" w:eastAsia="宋体" w:cs="宋体"/>
                <w:b w:val="0"/>
                <w:bCs/>
                <w:kern w:val="2"/>
                <w:sz w:val="21"/>
                <w:lang w:val="zh-CN"/>
              </w:rPr>
              <w:t>明</w:t>
            </w:r>
            <w:r>
              <w:rPr>
                <w:rFonts w:hAnsi="宋体" w:eastAsia="宋体" w:cs="宋体"/>
                <w:b w:val="0"/>
                <w:bCs/>
                <w:kern w:val="2"/>
                <w:sz w:val="21"/>
                <w:lang w:val="zh-CN"/>
              </w:rPr>
              <w:t>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法定代表人（单位负责人）授权书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sz w:val="21"/>
              </w:rPr>
              <w:t>营业执照等证明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bCs/>
                <w:sz w:val="21"/>
              </w:rPr>
            </w:pPr>
            <w:r>
              <w:rPr>
                <w:rFonts w:hint="eastAsia" w:hAnsi="宋体" w:eastAsia="宋体" w:cs="Courier New"/>
                <w:b w:val="0"/>
                <w:bCs/>
                <w:kern w:val="2"/>
                <w:sz w:val="21"/>
              </w:rPr>
              <w:t>依法纳税凭据复印件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noWrap w:val="0"/>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noWrap w:val="0"/>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gridSpan w:val="2"/>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7"/>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noWrap w:val="0"/>
            <w:vAlign w:val="center"/>
          </w:tcPr>
          <w:p>
            <w:pPr>
              <w:pStyle w:val="17"/>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noWrap w:val="0"/>
            <w:vAlign w:val="center"/>
          </w:tcPr>
          <w:p>
            <w:pPr>
              <w:pStyle w:val="17"/>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技术人员职称证书</w:t>
            </w:r>
          </w:p>
        </w:tc>
        <w:tc>
          <w:tcPr>
            <w:tcW w:w="1559" w:type="dxa"/>
            <w:noWrap w:val="0"/>
            <w:vAlign w:val="center"/>
          </w:tcPr>
          <w:p>
            <w:pPr>
              <w:pStyle w:val="17"/>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7"/>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7"/>
              <w:kinsoku w:val="0"/>
              <w:overflowPunct w:val="0"/>
              <w:autoSpaceDE w:val="0"/>
              <w:autoSpaceDN w:val="0"/>
              <w:spacing w:line="320" w:lineRule="exact"/>
              <w:rPr>
                <w:rFonts w:hAnsi="宋体" w:cs="微软雅黑"/>
                <w:bCs/>
                <w:sz w:val="21"/>
              </w:rPr>
            </w:pPr>
          </w:p>
        </w:tc>
        <w:tc>
          <w:tcPr>
            <w:tcW w:w="709" w:type="dxa"/>
            <w:vMerge w:val="continue"/>
            <w:tcBorders>
              <w:left w:val="single" w:color="auto" w:sz="6" w:space="0"/>
              <w:right w:val="single" w:color="auto" w:sz="6" w:space="0"/>
            </w:tcBorders>
            <w:noWrap w:val="0"/>
            <w:vAlign w:val="center"/>
          </w:tcPr>
          <w:p>
            <w:pPr>
              <w:pStyle w:val="17"/>
              <w:kinsoku w:val="0"/>
              <w:overflowPunct w:val="0"/>
              <w:autoSpaceDE w:val="0"/>
              <w:autoSpaceDN w:val="0"/>
              <w:spacing w:line="320" w:lineRule="exact"/>
              <w:rPr>
                <w:rFonts w:hAnsi="宋体" w:cs="微软雅黑"/>
                <w:bCs/>
                <w:sz w:val="21"/>
              </w:rPr>
            </w:pPr>
          </w:p>
        </w:tc>
        <w:tc>
          <w:tcPr>
            <w:tcW w:w="2268" w:type="dxa"/>
            <w:gridSpan w:val="2"/>
            <w:tcBorders>
              <w:left w:val="single" w:color="auto" w:sz="6" w:space="0"/>
            </w:tcBorders>
            <w:noWrap w:val="0"/>
            <w:vAlign w:val="center"/>
          </w:tcPr>
          <w:p>
            <w:pPr>
              <w:pStyle w:val="17"/>
              <w:kinsoku w:val="0"/>
              <w:overflowPunct w:val="0"/>
              <w:autoSpaceDE w:val="0"/>
              <w:autoSpaceDN w:val="0"/>
              <w:spacing w:line="320" w:lineRule="exact"/>
              <w:rPr>
                <w:rFonts w:hAnsi="宋体" w:eastAsia="宋体" w:cs="微软雅黑"/>
                <w:b w:val="0"/>
                <w:sz w:val="21"/>
              </w:rPr>
            </w:pPr>
            <w:r>
              <w:rPr>
                <w:rFonts w:hint="eastAsia" w:hAnsi="宋体" w:eastAsia="宋体" w:cs="微软雅黑"/>
                <w:b w:val="0"/>
                <w:sz w:val="21"/>
              </w:rPr>
              <w:t>用工合同</w:t>
            </w:r>
          </w:p>
        </w:tc>
        <w:tc>
          <w:tcPr>
            <w:tcW w:w="1559" w:type="dxa"/>
            <w:noWrap w:val="0"/>
            <w:vAlign w:val="center"/>
          </w:tcPr>
          <w:p>
            <w:pPr>
              <w:pStyle w:val="17"/>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7"/>
              <w:kinsoku w:val="0"/>
              <w:overflowPunct w:val="0"/>
              <w:autoSpaceDE w:val="0"/>
              <w:autoSpaceDN w:val="0"/>
              <w:spacing w:line="320" w:lineRule="exact"/>
              <w:rPr>
                <w:rFonts w:hAnsi="宋体" w:cs="微软雅黑"/>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7"/>
              <w:kinsoku w:val="0"/>
              <w:overflowPunct w:val="0"/>
              <w:autoSpaceDE w:val="0"/>
              <w:autoSpaceDN w:val="0"/>
              <w:spacing w:line="320" w:lineRule="exact"/>
              <w:rPr>
                <w:rFonts w:hAnsi="宋体" w:cs="微软雅黑"/>
                <w:bCs/>
                <w:sz w:val="21"/>
              </w:rPr>
            </w:pPr>
          </w:p>
        </w:tc>
        <w:tc>
          <w:tcPr>
            <w:tcW w:w="2977" w:type="dxa"/>
            <w:gridSpan w:val="3"/>
            <w:tcBorders>
              <w:left w:val="single" w:color="auto" w:sz="6" w:space="0"/>
            </w:tcBorders>
            <w:noWrap w:val="0"/>
            <w:vAlign w:val="center"/>
          </w:tcPr>
          <w:p>
            <w:pPr>
              <w:pStyle w:val="17"/>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kern w:val="2"/>
                <w:sz w:val="21"/>
              </w:rPr>
              <w:t>供应商相关承诺函或声明</w:t>
            </w:r>
          </w:p>
        </w:tc>
        <w:tc>
          <w:tcPr>
            <w:tcW w:w="1559" w:type="dxa"/>
            <w:noWrap w:val="0"/>
            <w:vAlign w:val="center"/>
          </w:tcPr>
          <w:p>
            <w:pPr>
              <w:pStyle w:val="17"/>
              <w:rPr>
                <w:rFonts w:cs="Courier New"/>
                <w:kern w:val="2"/>
                <w:sz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noWrap w:val="0"/>
            <w:vAlign w:val="center"/>
          </w:tcPr>
          <w:p>
            <w:pPr>
              <w:pStyle w:val="17"/>
              <w:kinsoku w:val="0"/>
              <w:overflowPunct w:val="0"/>
              <w:autoSpaceDE w:val="0"/>
              <w:autoSpaceDN w:val="0"/>
              <w:spacing w:line="320" w:lineRule="exact"/>
              <w:rPr>
                <w:rFonts w:hAnsi="宋体" w:eastAsia="宋体" w:cs="微软雅黑"/>
                <w:b w:val="0"/>
                <w:sz w:val="21"/>
              </w:rPr>
            </w:pPr>
            <w:r>
              <w:rPr>
                <w:rFonts w:hint="eastAsia" w:hAnsi="宋体" w:eastAsia="宋体" w:cs="Courier New"/>
                <w:b w:val="0"/>
                <w:sz w:val="21"/>
              </w:rPr>
              <w:t>没有重大违法记录的声明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noWrap w:val="0"/>
            <w:vAlign w:val="center"/>
          </w:tcPr>
          <w:p>
            <w:pPr>
              <w:pStyle w:val="17"/>
              <w:kinsoku w:val="0"/>
              <w:overflowPunct w:val="0"/>
              <w:autoSpaceDE w:val="0"/>
              <w:autoSpaceDN w:val="0"/>
              <w:spacing w:line="320" w:lineRule="exact"/>
              <w:rPr>
                <w:rFonts w:hAnsi="宋体" w:eastAsia="宋体" w:cs="Courier New"/>
                <w:b w:val="0"/>
                <w:sz w:val="21"/>
              </w:rPr>
            </w:pPr>
            <w:r>
              <w:rPr>
                <w:rFonts w:hint="eastAsia" w:hAnsi="宋体" w:eastAsia="宋体" w:cs="微软雅黑"/>
                <w:b w:val="0"/>
                <w:bCs/>
                <w:sz w:val="21"/>
              </w:rPr>
              <w:t>供应商须具备的特殊资质证书</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noWrap w:val="0"/>
            <w:vAlign w:val="center"/>
          </w:tcPr>
          <w:p>
            <w:pPr>
              <w:pStyle w:val="17"/>
              <w:kinsoku w:val="0"/>
              <w:overflowPunct w:val="0"/>
              <w:autoSpaceDE w:val="0"/>
              <w:autoSpaceDN w:val="0"/>
              <w:spacing w:line="320" w:lineRule="exact"/>
              <w:rPr>
                <w:rFonts w:hAnsi="宋体" w:eastAsia="宋体" w:cs="微软雅黑"/>
                <w:b w:val="0"/>
                <w:sz w:val="21"/>
              </w:rPr>
            </w:pPr>
            <w:r>
              <w:rPr>
                <w:rFonts w:hint="eastAsia" w:hAnsi="宋体" w:eastAsia="宋体" w:cs="宋体"/>
                <w:b w:val="0"/>
                <w:kern w:val="2"/>
                <w:sz w:val="21"/>
                <w:lang w:val="zh-CN"/>
              </w:rPr>
              <w:t>投标承诺函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联合体协议</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供应商与参加本项目投标的其他供应商之间，单位负责人不为同一人并且不存在直接控股、管理关系承诺函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16</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供应商未为本项目提供整体设计、规范编制或者项目管理、监理、检测等服务承诺函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投标分项报价表</w:t>
            </w:r>
          </w:p>
        </w:tc>
        <w:tc>
          <w:tcPr>
            <w:tcW w:w="1559" w:type="dxa"/>
            <w:tcBorders>
              <w:top w:val="double" w:color="auto" w:sz="4" w:space="0"/>
            </w:tcBorders>
            <w:noWrap w:val="0"/>
            <w:vAlign w:val="center"/>
          </w:tcPr>
          <w:p>
            <w:pPr>
              <w:jc w:val="center"/>
              <w:rPr>
                <w:szCs w:val="21"/>
              </w:rPr>
            </w:pPr>
          </w:p>
        </w:tc>
        <w:tc>
          <w:tcPr>
            <w:tcW w:w="1560" w:type="dxa"/>
            <w:tcBorders>
              <w:top w:val="double" w:color="auto" w:sz="4" w:space="0"/>
            </w:tcBorders>
            <w:noWrap w:val="0"/>
            <w:vAlign w:val="center"/>
          </w:tcPr>
          <w:p>
            <w:pPr>
              <w:snapToGrid w:val="0"/>
              <w:spacing w:line="400" w:lineRule="exact"/>
              <w:rPr>
                <w:rFonts w:ascii="宋体" w:hAnsi="宋体" w:cs="微软雅黑"/>
                <w:szCs w:val="21"/>
              </w:rPr>
            </w:pPr>
          </w:p>
        </w:tc>
        <w:tc>
          <w:tcPr>
            <w:tcW w:w="2018" w:type="dxa"/>
            <w:tcBorders>
              <w:top w:val="doub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技术规格偏离表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技术方案（演出方案）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服务方案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业绩情况表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政府强制采购节能产品品目清单情况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优先采购节能产品政府采购品目清单情况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优先采购环境标志产品政府采购品目清单情况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25</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中小企业声明函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26</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残疾人福利性单位声明函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27</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监狱企业证明文件</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28</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CCC强制性产品认证</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767" w:type="dxa"/>
            <w:gridSpan w:val="3"/>
            <w:vMerge w:val="restart"/>
            <w:noWrap w:val="0"/>
            <w:vAlign w:val="center"/>
          </w:tcPr>
          <w:p>
            <w:pPr>
              <w:rPr>
                <w:rFonts w:hint="eastAsia"/>
              </w:rPr>
            </w:pPr>
            <w:r>
              <w:rPr>
                <w:rFonts w:ascii="宋体" w:hAnsi="宋体" w:cs="宋体"/>
                <w:kern w:val="0"/>
                <w:szCs w:val="21"/>
              </w:rPr>
              <w:t>信息安全产品强制性认证</w:t>
            </w:r>
          </w:p>
        </w:tc>
        <w:tc>
          <w:tcPr>
            <w:tcW w:w="1984" w:type="dxa"/>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认证机构颁发的认证证书</w:t>
            </w:r>
          </w:p>
        </w:tc>
        <w:tc>
          <w:tcPr>
            <w:tcW w:w="1559" w:type="dxa"/>
            <w:vMerge w:val="restart"/>
            <w:noWrap w:val="0"/>
            <w:vAlign w:val="center"/>
          </w:tcPr>
          <w:p>
            <w:pPr>
              <w:jc w:val="center"/>
              <w:rPr>
                <w:szCs w:val="21"/>
              </w:rPr>
            </w:pPr>
          </w:p>
        </w:tc>
        <w:tc>
          <w:tcPr>
            <w:tcW w:w="1560" w:type="dxa"/>
            <w:vMerge w:val="restart"/>
            <w:tcBorders>
              <w:top w:val="single" w:color="auto" w:sz="4" w:space="0"/>
            </w:tcBorders>
            <w:noWrap w:val="0"/>
            <w:vAlign w:val="center"/>
          </w:tcPr>
          <w:p>
            <w:pPr>
              <w:snapToGrid w:val="0"/>
              <w:spacing w:line="400" w:lineRule="exact"/>
              <w:rPr>
                <w:rFonts w:ascii="宋体" w:hAnsi="宋体" w:cs="微软雅黑"/>
                <w:szCs w:val="21"/>
              </w:rPr>
            </w:pPr>
          </w:p>
        </w:tc>
        <w:tc>
          <w:tcPr>
            <w:tcW w:w="2018" w:type="dxa"/>
            <w:vMerge w:val="restart"/>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rPr>
        <w:tc>
          <w:tcPr>
            <w:tcW w:w="468" w:type="dxa"/>
            <w:vMerge w:val="continue"/>
            <w:noWrap w:val="0"/>
            <w:vAlign w:val="center"/>
          </w:tcPr>
          <w:p>
            <w:pPr>
              <w:adjustRightInd w:val="0"/>
              <w:snapToGrid w:val="0"/>
              <w:spacing w:line="400" w:lineRule="exact"/>
              <w:jc w:val="center"/>
              <w:textAlignment w:val="baseline"/>
              <w:rPr>
                <w:rFonts w:hint="eastAsia" w:ascii="宋体" w:hAnsi="宋体" w:cs="微软雅黑"/>
                <w:szCs w:val="21"/>
              </w:rPr>
            </w:pPr>
          </w:p>
        </w:tc>
        <w:tc>
          <w:tcPr>
            <w:tcW w:w="1767" w:type="dxa"/>
            <w:gridSpan w:val="3"/>
            <w:vMerge w:val="continue"/>
            <w:noWrap w:val="0"/>
            <w:vAlign w:val="center"/>
          </w:tcPr>
          <w:p>
            <w:pPr>
              <w:rPr>
                <w:rFonts w:ascii="宋体" w:hAnsi="宋体" w:cs="宋体"/>
                <w:kern w:val="0"/>
                <w:szCs w:val="21"/>
              </w:rPr>
            </w:pPr>
          </w:p>
        </w:tc>
        <w:tc>
          <w:tcPr>
            <w:tcW w:w="1984" w:type="dxa"/>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中国信息安全认证中心官网产品查询结果截图</w:t>
            </w:r>
          </w:p>
        </w:tc>
        <w:tc>
          <w:tcPr>
            <w:tcW w:w="1559" w:type="dxa"/>
            <w:vMerge w:val="continue"/>
            <w:noWrap w:val="0"/>
            <w:vAlign w:val="center"/>
          </w:tcPr>
          <w:p>
            <w:pPr>
              <w:jc w:val="center"/>
              <w:rPr>
                <w:szCs w:val="21"/>
              </w:rPr>
            </w:pPr>
          </w:p>
        </w:tc>
        <w:tc>
          <w:tcPr>
            <w:tcW w:w="1560" w:type="dxa"/>
            <w:vMerge w:val="continue"/>
            <w:noWrap w:val="0"/>
            <w:vAlign w:val="center"/>
          </w:tcPr>
          <w:p>
            <w:pPr>
              <w:snapToGrid w:val="0"/>
              <w:spacing w:line="400" w:lineRule="exact"/>
              <w:rPr>
                <w:rFonts w:ascii="宋体" w:hAnsi="宋体" w:cs="微软雅黑"/>
                <w:szCs w:val="21"/>
              </w:rPr>
            </w:pPr>
          </w:p>
        </w:tc>
        <w:tc>
          <w:tcPr>
            <w:tcW w:w="2018" w:type="dxa"/>
            <w:vMerge w:val="continue"/>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30</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国家级贫困县域注册地证明材料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31</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扶贫部门出具的聘用建档立卡贫困人员身份证明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32</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建档立卡贫困人员社保材料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szCs w:val="21"/>
                <w:lang w:val="zh-CN"/>
              </w:rPr>
            </w:pPr>
            <w:r>
              <w:rPr>
                <w:rFonts w:hint="eastAsia" w:ascii="宋体" w:hAnsi="宋体" w:cs="宋体"/>
                <w:szCs w:val="21"/>
                <w:lang w:val="zh-CN"/>
              </w:rPr>
              <w:t>33</w:t>
            </w:r>
          </w:p>
        </w:tc>
        <w:tc>
          <w:tcPr>
            <w:tcW w:w="3751" w:type="dxa"/>
            <w:gridSpan w:val="4"/>
            <w:noWrap w:val="0"/>
            <w:vAlign w:val="center"/>
          </w:tcPr>
          <w:p>
            <w:pPr>
              <w:pStyle w:val="17"/>
              <w:kinsoku w:val="0"/>
              <w:overflowPunct w:val="0"/>
              <w:autoSpaceDE w:val="0"/>
              <w:autoSpaceDN w:val="0"/>
              <w:spacing w:line="320" w:lineRule="exact"/>
              <w:rPr>
                <w:rFonts w:hAnsi="宋体" w:eastAsia="宋体" w:cs="宋体"/>
                <w:b w:val="0"/>
                <w:kern w:val="2"/>
                <w:sz w:val="21"/>
                <w:lang w:val="zh-CN"/>
              </w:rPr>
            </w:pPr>
            <w:r>
              <w:rPr>
                <w:rFonts w:hint="eastAsia" w:hAnsi="宋体" w:eastAsia="宋体" w:cs="宋体"/>
                <w:b w:val="0"/>
                <w:kern w:val="2"/>
                <w:sz w:val="21"/>
                <w:lang w:val="zh-CN"/>
              </w:rPr>
              <w:t>其它资料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color w:val="000000"/>
          <w:sz w:val="24"/>
          <w:szCs w:val="24"/>
        </w:rPr>
        <w:t>注：</w:t>
      </w:r>
      <w:r>
        <w:rPr>
          <w:rFonts w:hint="eastAsia" w:ascii="楷体" w:hAnsi="楷体" w:eastAsia="楷体"/>
          <w:sz w:val="24"/>
          <w:szCs w:val="24"/>
        </w:rPr>
        <w:t>①本表序号8请按照本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w:t>
      </w:r>
      <w:r>
        <w:rPr>
          <w:rFonts w:hint="eastAsia" w:ascii="楷体" w:hAnsi="楷体" w:eastAsia="楷体"/>
          <w:sz w:val="24"/>
          <w:szCs w:val="24"/>
          <w:lang w:eastAsia="zh-CN"/>
        </w:rPr>
        <w:t>采购</w:t>
      </w:r>
      <w:r>
        <w:rPr>
          <w:rFonts w:hint="eastAsia" w:ascii="楷体" w:hAnsi="楷体" w:eastAsia="楷体"/>
          <w:sz w:val="24"/>
          <w:szCs w:val="24"/>
        </w:rPr>
        <w:t>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center"/>
        <w:rPr>
          <w:rFonts w:hint="eastAsia" w:asciiTheme="majorEastAsia" w:hAnsiTheme="majorEastAsia" w:eastAsiaTheme="majorEastAsia"/>
          <w:b/>
          <w:snapToGrid w:val="0"/>
          <w:kern w:val="0"/>
          <w:sz w:val="28"/>
          <w:szCs w:val="28"/>
        </w:rPr>
      </w:pPr>
    </w:p>
    <w:p>
      <w:pPr>
        <w:pStyle w:val="17"/>
        <w:spacing w:line="360" w:lineRule="auto"/>
        <w:jc w:val="both"/>
        <w:rPr>
          <w:rFonts w:hint="eastAsia"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Cs w:val="24"/>
        </w:rPr>
        <w:t>开标一览表</w:t>
      </w:r>
    </w:p>
    <w:p>
      <w:pPr>
        <w:pStyle w:val="17"/>
        <w:spacing w:line="360" w:lineRule="auto"/>
        <w:jc w:val="center"/>
        <w:rPr>
          <w:rFonts w:asciiTheme="majorEastAsia" w:hAnsiTheme="majorEastAsia" w:eastAsiaTheme="majorEastAsia"/>
          <w:b/>
          <w:snapToGrid w:val="0"/>
          <w:kern w:val="0"/>
          <w:szCs w:val="24"/>
        </w:rPr>
      </w:pPr>
    </w:p>
    <w:p>
      <w:pPr>
        <w:pStyle w:val="17"/>
        <w:spacing w:line="360" w:lineRule="auto"/>
        <w:jc w:val="center"/>
        <w:rPr>
          <w:rFonts w:asciiTheme="majorEastAsia" w:hAnsiTheme="majorEastAsia" w:eastAsiaTheme="majorEastAsia"/>
          <w:b/>
          <w:snapToGrid w:val="0"/>
          <w:kern w:val="0"/>
          <w:sz w:val="28"/>
          <w:szCs w:val="28"/>
        </w:rPr>
      </w:pPr>
    </w:p>
    <w:p>
      <w:pPr>
        <w:pStyle w:val="17"/>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427"/>
        <w:gridCol w:w="2265"/>
        <w:gridCol w:w="686"/>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42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2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68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4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22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6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4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22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6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日期：</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年</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月</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日</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注：1、交付日期指完成该项目的最终时间（日历天）。</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adjustRightInd w:val="0"/>
        <w:spacing w:line="360" w:lineRule="auto"/>
        <w:contextualSpacing/>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3.1投 标 函</w:t>
      </w: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u w:val="single"/>
        </w:rPr>
        <w:t xml:space="preserve">           </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w:t>
      </w:r>
      <w:r>
        <w:rPr>
          <w:rFonts w:hint="eastAsia" w:asciiTheme="minorEastAsia" w:hAnsiTheme="minorEastAsia"/>
          <w:snapToGrid w:val="0"/>
          <w:kern w:val="0"/>
          <w:szCs w:val="21"/>
          <w:u w:val="single"/>
          <w:lang w:val="en-US" w:eastAsia="zh-CN"/>
        </w:rPr>
        <w:t xml:space="preserve">         </w:t>
      </w:r>
      <w:r>
        <w:rPr>
          <w:rFonts w:hint="eastAsia" w:asciiTheme="minorEastAsia" w:hAnsiTheme="minorEastAsia"/>
          <w:snapToGrid w:val="0"/>
          <w:kern w:val="0"/>
          <w:szCs w:val="21"/>
        </w:rPr>
        <w:t>（项目名称、招标编号）采购的招标公告及投标邀请，_______（姓名和职务）被正式授权并代表投标人</w:t>
      </w:r>
      <w:r>
        <w:rPr>
          <w:rFonts w:hint="eastAsia" w:asciiTheme="minorEastAsia" w:hAnsiTheme="minorEastAsia"/>
          <w:snapToGrid w:val="0"/>
          <w:kern w:val="0"/>
          <w:szCs w:val="21"/>
          <w:u w:val="single"/>
          <w:lang w:val="en-US" w:eastAsia="zh-CN"/>
        </w:rPr>
        <w:t xml:space="preserve">          </w:t>
      </w:r>
      <w:r>
        <w:rPr>
          <w:rFonts w:hint="eastAsia" w:asciiTheme="minorEastAsia" w:hAnsiTheme="minorEastAsia"/>
          <w:snapToGrid w:val="0"/>
          <w:kern w:val="0"/>
          <w:szCs w:val="21"/>
        </w:rPr>
        <w:t>（投标人名称、地址）提交。</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hint="eastAsia" w:asciiTheme="minorEastAsia" w:hAnsiTheme="minorEastAsia" w:eastAsiaTheme="minorEastAsia"/>
          <w:snapToGrid w:val="0"/>
          <w:kern w:val="0"/>
          <w:sz w:val="21"/>
          <w:szCs w:val="21"/>
          <w:u w:val="single"/>
          <w:lang w:val="en-US" w:eastAsia="zh-CN"/>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7"/>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w:t>
      </w:r>
      <w:r>
        <w:rPr>
          <w:rFonts w:hint="eastAsia" w:cs="Courier New" w:asciiTheme="minorEastAsia" w:hAnsiTheme="minorEastAsia"/>
          <w:szCs w:val="21"/>
        </w:rPr>
        <w:t>，副本</w:t>
      </w:r>
      <w:r>
        <w:rPr>
          <w:rFonts w:hint="eastAsia" w:cs="Courier New" w:asciiTheme="minorEastAsia" w:hAnsiTheme="minorEastAsia"/>
          <w:szCs w:val="21"/>
          <w:u w:val="single"/>
        </w:rPr>
        <w:t xml:space="preserve">   </w:t>
      </w:r>
      <w:r>
        <w:rPr>
          <w:rFonts w:hint="eastAsia" w:cs="Courier New" w:asciiTheme="minorEastAsia" w:hAnsiTheme="minorEastAsia"/>
          <w:szCs w:val="21"/>
        </w:rPr>
        <w:t>份,</w:t>
      </w:r>
      <w:r>
        <w:rPr>
          <w:rFonts w:hint="eastAsia" w:cs="Arial"/>
        </w:rPr>
        <w:t xml:space="preserve"> 电子版文件一份</w:t>
      </w:r>
      <w:r>
        <w:rPr>
          <w:rFonts w:hint="eastAsia" w:cs="Courier New" w:asciiTheme="minorEastAsia" w:hAnsiTheme="minorEastAsia"/>
          <w:szCs w:val="21"/>
        </w:rPr>
        <w:t>。</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w:t>
      </w:r>
      <w:r>
        <w:rPr>
          <w:rFonts w:hint="eastAsia" w:cs="Arial"/>
        </w:rPr>
        <w:t>按招标文件提供的全部货物与相关服务的投标总报价大写</w:t>
      </w:r>
      <w:r>
        <w:rPr>
          <w:rFonts w:hint="eastAsia" w:cs="Arial"/>
          <w:u w:val="single"/>
        </w:rPr>
        <w:t xml:space="preserve">    </w:t>
      </w:r>
      <w:r>
        <w:rPr>
          <w:rFonts w:hint="eastAsia" w:cs="Arial"/>
        </w:rPr>
        <w:t xml:space="preserve"> ,小写</w:t>
      </w:r>
      <w:r>
        <w:rPr>
          <w:rFonts w:hint="eastAsia" w:cs="Arial"/>
          <w:u w:val="single"/>
        </w:rPr>
        <w:t xml:space="preserve">      </w:t>
      </w:r>
      <w:r>
        <w:rPr>
          <w:rFonts w:hint="eastAsia" w:cs="Courier New" w:asciiTheme="minorEastAsia" w:hAnsiTheme="minorEastAsia"/>
          <w:szCs w:val="21"/>
        </w:rPr>
        <w:t>。</w:t>
      </w:r>
    </w:p>
    <w:p>
      <w:pPr>
        <w:pStyle w:val="25"/>
        <w:spacing w:line="360" w:lineRule="auto"/>
        <w:ind w:firstLine="480"/>
        <w:rPr>
          <w:rFonts w:ascii="Arial" w:hAnsi="Arial" w:cs="Arial"/>
          <w:kern w:val="0"/>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w:t>
      </w:r>
      <w:r>
        <w:rPr>
          <w:rFonts w:hint="eastAsia" w:ascii="宋体" w:hAnsi="宋体" w:cs="Arial"/>
          <w:kern w:val="0"/>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三、我方同意按照贵方可能提出的要求而提供与投标有关的任何其它数据、信息或资料。</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四、我方理解贵方不一定接受最低投标价或任何贵方可能收到的投标。</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五、我方如果中标，将保证履行招标文件及其澄清、修改文件（如果有）中的全部责任和义务，按质、按量、按期完成《项目需求》及《合同书》中的全部任务。</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六、我方在此保证所提交的所有文件和全部说明是真实的和正确的。</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八、我方具备《政府采购法》第二十二条规定的条件；承诺如下：</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（1）具有独立承担民事责任能力的在中华人民共和国境内注册的法人或其他组织或自然人，有效的营业执照（或事业法人登记证或身份证等相关证明）。</w:t>
      </w:r>
    </w:p>
    <w:p>
      <w:pPr>
        <w:widowControl/>
        <w:spacing w:before="75" w:after="75" w:line="360" w:lineRule="auto"/>
        <w:ind w:firstLine="510"/>
        <w:rPr>
          <w:rFonts w:ascii="Arial" w:hAnsi="Arial" w:eastAsia="宋体" w:cs="Arial"/>
          <w:kern w:val="0"/>
          <w:sz w:val="24"/>
          <w:szCs w:val="24"/>
        </w:rPr>
      </w:pPr>
      <w:r>
        <w:rPr>
          <w:rFonts w:hint="eastAsia" w:ascii="宋体" w:hAnsi="宋体" w:eastAsia="宋体" w:cs="Arial"/>
          <w:kern w:val="0"/>
          <w:sz w:val="24"/>
          <w:szCs w:val="24"/>
        </w:rPr>
        <w:t>（2）我方已依法缴纳了各项税费及社会保险费用，如有需要，可随时向采购人提供近三个月内的相关缴费证明，以便核查。</w:t>
      </w:r>
    </w:p>
    <w:p>
      <w:pPr>
        <w:widowControl/>
        <w:spacing w:before="75" w:after="75" w:line="360" w:lineRule="auto"/>
        <w:ind w:firstLine="510"/>
        <w:rPr>
          <w:rFonts w:ascii="Arial" w:hAnsi="Arial" w:eastAsia="宋体" w:cs="Arial"/>
          <w:kern w:val="0"/>
          <w:sz w:val="24"/>
          <w:szCs w:val="24"/>
        </w:rPr>
      </w:pPr>
      <w:r>
        <w:rPr>
          <w:rFonts w:hint="eastAsia" w:ascii="宋体" w:hAnsi="宋体" w:eastAsia="宋体" w:cs="Arial"/>
          <w:kern w:val="0"/>
          <w:sz w:val="24"/>
          <w:szCs w:val="24"/>
        </w:rPr>
        <w:t>（3）我方已依法建立健全的财务会计制度，如有需要，可随时向采购人提供相关证明材料，以便核查。</w:t>
      </w:r>
    </w:p>
    <w:p>
      <w:pPr>
        <w:widowControl/>
        <w:spacing w:before="75" w:after="75" w:line="360" w:lineRule="auto"/>
        <w:ind w:firstLine="510"/>
        <w:rPr>
          <w:rFonts w:ascii="Arial" w:hAnsi="Arial" w:eastAsia="宋体" w:cs="Arial"/>
          <w:kern w:val="0"/>
          <w:sz w:val="24"/>
          <w:szCs w:val="24"/>
        </w:rPr>
      </w:pPr>
      <w:r>
        <w:rPr>
          <w:rFonts w:hint="eastAsia" w:ascii="宋体" w:hAnsi="宋体" w:eastAsia="宋体" w:cs="Arial"/>
          <w:kern w:val="0"/>
          <w:sz w:val="24"/>
          <w:szCs w:val="24"/>
        </w:rPr>
        <w:t>（4）参加政府采购活动前三年内，在经营活动中没有重大违法记录。</w:t>
      </w:r>
    </w:p>
    <w:p>
      <w:pPr>
        <w:widowControl/>
        <w:spacing w:before="75" w:after="75" w:line="360" w:lineRule="auto"/>
        <w:ind w:firstLine="510"/>
        <w:rPr>
          <w:rFonts w:ascii="Arial" w:hAnsi="Arial" w:eastAsia="宋体" w:cs="Arial"/>
          <w:kern w:val="0"/>
          <w:sz w:val="24"/>
          <w:szCs w:val="24"/>
        </w:rPr>
      </w:pPr>
      <w:r>
        <w:rPr>
          <w:rFonts w:hint="eastAsia" w:ascii="宋体" w:hAnsi="宋体" w:eastAsia="宋体" w:cs="Arial"/>
          <w:kern w:val="0"/>
          <w:sz w:val="24"/>
          <w:szCs w:val="24"/>
        </w:rPr>
        <w:t>（5）符合法律、行政法规规定的其他条件。</w:t>
      </w:r>
    </w:p>
    <w:p>
      <w:pPr>
        <w:widowControl/>
        <w:spacing w:before="75" w:after="75" w:line="360" w:lineRule="auto"/>
        <w:ind w:firstLine="510"/>
        <w:rPr>
          <w:rFonts w:ascii="Arial" w:hAnsi="Arial" w:eastAsia="宋体" w:cs="Arial"/>
          <w:kern w:val="0"/>
          <w:sz w:val="24"/>
          <w:szCs w:val="24"/>
        </w:rPr>
      </w:pPr>
      <w:r>
        <w:rPr>
          <w:rFonts w:hint="eastAsia" w:ascii="宋体" w:hAnsi="宋体" w:eastAsia="宋体" w:cs="Arial"/>
          <w:kern w:val="0"/>
          <w:sz w:val="24"/>
          <w:szCs w:val="24"/>
        </w:rPr>
        <w:t>以上内容如有虚假或与事实不符的，评审委员会可将我方做无效投标处理，我方愿意承担相应的法律责任。</w:t>
      </w:r>
    </w:p>
    <w:p>
      <w:pPr>
        <w:widowControl/>
        <w:spacing w:before="75" w:after="75" w:line="360" w:lineRule="auto"/>
        <w:ind w:firstLine="480"/>
        <w:rPr>
          <w:rFonts w:ascii="Arial" w:hAnsi="Arial" w:eastAsia="宋体" w:cs="Arial"/>
          <w:kern w:val="0"/>
          <w:sz w:val="24"/>
          <w:szCs w:val="24"/>
        </w:rPr>
      </w:pPr>
      <w:r>
        <w:rPr>
          <w:rFonts w:hint="eastAsia" w:ascii="宋体" w:hAnsi="宋体" w:eastAsia="宋体" w:cs="Arial"/>
          <w:kern w:val="0"/>
          <w:sz w:val="24"/>
          <w:szCs w:val="24"/>
        </w:rPr>
        <w:t>九、我方具备履行合同所必需的设备和专业技术能力。</w:t>
      </w:r>
    </w:p>
    <w:p>
      <w:pPr>
        <w:widowControl/>
        <w:spacing w:before="75" w:line="360" w:lineRule="auto"/>
        <w:ind w:firstLine="480"/>
        <w:rPr>
          <w:rFonts w:asciiTheme="minorEastAsia" w:hAnsiTheme="minorEastAsia"/>
          <w:szCs w:val="21"/>
        </w:rPr>
      </w:pPr>
      <w:r>
        <w:rPr>
          <w:rFonts w:hint="eastAsia" w:ascii="宋体" w:hAnsi="宋体" w:eastAsia="宋体" w:cs="Arial"/>
          <w:kern w:val="0"/>
          <w:sz w:val="24"/>
          <w:szCs w:val="24"/>
        </w:rPr>
        <w:t>十、我方对在本函及投标文件中所作的所有承诺承担法律责任。</w:t>
      </w:r>
    </w:p>
    <w:p>
      <w:pPr>
        <w:pStyle w:val="17"/>
        <w:adjustRightInd w:val="0"/>
        <w:snapToGrid w:val="0"/>
        <w:spacing w:line="360" w:lineRule="auto"/>
        <w:rPr>
          <w:rFonts w:asciiTheme="minorEastAsia" w:hAnsiTheme="minorEastAsia" w:eastAsiaTheme="minorEastAsia"/>
          <w:sz w:val="21"/>
          <w:szCs w:val="21"/>
        </w:rPr>
      </w:pPr>
    </w:p>
    <w:p>
      <w:pPr>
        <w:pStyle w:val="17"/>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rPr>
          <w:rFonts w:cs="宋体" w:asciiTheme="minorEastAsia" w:hAnsiTheme="minorEastAsia"/>
          <w:szCs w:val="21"/>
        </w:rPr>
      </w:pPr>
    </w:p>
    <w:p>
      <w:pPr>
        <w:adjustRightInd w:val="0"/>
        <w:snapToGrid w:val="0"/>
        <w:spacing w:line="360" w:lineRule="auto"/>
        <w:jc w:val="right"/>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hint="eastAsia" w:asciiTheme="majorEastAsia" w:hAnsiTheme="majorEastAsia" w:eastAsiaTheme="majorEastAsia"/>
          <w:b/>
          <w:bCs/>
          <w:color w:val="000000"/>
          <w:sz w:val="24"/>
          <w:szCs w:val="24"/>
          <w:highlight w:val="none"/>
        </w:rPr>
      </w:pPr>
    </w:p>
    <w:p>
      <w:pPr>
        <w:spacing w:line="480" w:lineRule="exact"/>
        <w:jc w:val="center"/>
        <w:rPr>
          <w:rFonts w:asciiTheme="majorEastAsia" w:hAnsiTheme="majorEastAsia" w:eastAsiaTheme="majorEastAsia"/>
          <w:b/>
          <w:bCs/>
          <w:color w:val="000000"/>
          <w:sz w:val="24"/>
          <w:szCs w:val="24"/>
          <w:highlight w:val="none"/>
        </w:rPr>
      </w:pPr>
      <w:r>
        <w:rPr>
          <w:rFonts w:hint="eastAsia" w:asciiTheme="majorEastAsia" w:hAnsiTheme="majorEastAsia" w:eastAsiaTheme="majorEastAsia"/>
          <w:b/>
          <w:bCs/>
          <w:color w:val="000000"/>
          <w:sz w:val="24"/>
          <w:szCs w:val="24"/>
          <w:highlight w:val="none"/>
        </w:rPr>
        <w:t>3.2 法定代表人（单位负责人）</w:t>
      </w:r>
      <w:r>
        <w:rPr>
          <w:rFonts w:asciiTheme="majorEastAsia" w:hAnsiTheme="majorEastAsia" w:eastAsiaTheme="majorEastAsia"/>
          <w:b/>
          <w:bCs/>
          <w:color w:val="000000"/>
          <w:sz w:val="24"/>
          <w:szCs w:val="24"/>
          <w:highlight w:val="none"/>
        </w:rPr>
        <w:t>资</w:t>
      </w:r>
      <w:r>
        <w:rPr>
          <w:rFonts w:hint="eastAsia" w:asciiTheme="majorEastAsia" w:hAnsiTheme="majorEastAsia" w:eastAsiaTheme="majorEastAsia"/>
          <w:b/>
          <w:bCs/>
          <w:color w:val="000000"/>
          <w:sz w:val="24"/>
          <w:szCs w:val="24"/>
          <w:highlight w:val="none"/>
        </w:rPr>
        <w:t>格</w:t>
      </w:r>
      <w:r>
        <w:rPr>
          <w:rFonts w:asciiTheme="majorEastAsia" w:hAnsiTheme="majorEastAsia" w:eastAsiaTheme="majorEastAsia"/>
          <w:b/>
          <w:bCs/>
          <w:color w:val="000000"/>
          <w:sz w:val="24"/>
          <w:szCs w:val="24"/>
          <w:highlight w:val="none"/>
        </w:rPr>
        <w:t>证</w:t>
      </w:r>
      <w:r>
        <w:rPr>
          <w:rFonts w:hint="eastAsia" w:asciiTheme="majorEastAsia" w:hAnsiTheme="majorEastAsia" w:eastAsiaTheme="majorEastAsia"/>
          <w:b/>
          <w:bCs/>
          <w:color w:val="000000"/>
          <w:sz w:val="24"/>
          <w:szCs w:val="24"/>
          <w:highlight w:val="none"/>
        </w:rPr>
        <w:t>明</w:t>
      </w:r>
      <w:r>
        <w:rPr>
          <w:rFonts w:asciiTheme="majorEastAsia" w:hAnsiTheme="majorEastAsia" w:eastAsiaTheme="majorEastAsia"/>
          <w:b/>
          <w:bCs/>
          <w:color w:val="000000"/>
          <w:sz w:val="24"/>
          <w:szCs w:val="24"/>
          <w:highlight w:val="none"/>
        </w:rPr>
        <w:t>书</w:t>
      </w:r>
    </w:p>
    <w:p>
      <w:pPr>
        <w:autoSpaceDE w:val="0"/>
        <w:autoSpaceDN w:val="0"/>
        <w:adjustRightInd w:val="0"/>
        <w:spacing w:line="480" w:lineRule="auto"/>
        <w:ind w:firstLine="616" w:firstLineChars="257"/>
        <w:rPr>
          <w:rFonts w:ascii="宋体" w:hAnsi="宋体"/>
          <w:color w:val="000000"/>
          <w:sz w:val="24"/>
          <w:szCs w:val="24"/>
          <w:highlight w:val="none"/>
        </w:rPr>
      </w:pPr>
    </w:p>
    <w:p>
      <w:pPr>
        <w:pStyle w:val="46"/>
        <w:spacing w:line="480" w:lineRule="auto"/>
        <w:ind w:firstLine="472" w:firstLineChars="225"/>
        <w:jc w:val="left"/>
        <w:rPr>
          <w:rFonts w:asciiTheme="minorEastAsia" w:hAnsiTheme="minorEastAsia"/>
          <w:color w:val="000000"/>
          <w:sz w:val="21"/>
          <w:szCs w:val="21"/>
          <w:highlight w:val="none"/>
        </w:rPr>
      </w:pPr>
      <w:r>
        <w:rPr>
          <w:rFonts w:asciiTheme="minorEastAsia" w:hAnsiTheme="minorEastAsia"/>
          <w:color w:val="000000"/>
          <w:sz w:val="21"/>
          <w:szCs w:val="21"/>
          <w:highlight w:val="none"/>
        </w:rPr>
        <w:t>单</w:t>
      </w:r>
      <w:r>
        <w:rPr>
          <w:rFonts w:hint="eastAsia" w:asciiTheme="minorEastAsia" w:hAnsiTheme="minorEastAsia"/>
          <w:color w:val="000000"/>
          <w:sz w:val="21"/>
          <w:szCs w:val="21"/>
          <w:highlight w:val="none"/>
        </w:rPr>
        <w:t>位名</w:t>
      </w:r>
      <w:r>
        <w:rPr>
          <w:rFonts w:asciiTheme="minorEastAsia" w:hAnsiTheme="minorEastAsia"/>
          <w:color w:val="000000"/>
          <w:sz w:val="21"/>
          <w:szCs w:val="21"/>
          <w:highlight w:val="none"/>
        </w:rPr>
        <w:t>称</w:t>
      </w:r>
      <w:r>
        <w:rPr>
          <w:rFonts w:hint="eastAsia" w:asciiTheme="minorEastAsia" w:hAnsiTheme="minorEastAsia"/>
          <w:color w:val="000000"/>
          <w:sz w:val="21"/>
          <w:szCs w:val="21"/>
          <w:highlight w:val="none"/>
        </w:rPr>
        <w:t>：</w:t>
      </w:r>
    </w:p>
    <w:p>
      <w:pPr>
        <w:pStyle w:val="46"/>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地址：</w:t>
      </w:r>
    </w:p>
    <w:p>
      <w:pPr>
        <w:pStyle w:val="46"/>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姓名：       性</w:t>
      </w:r>
      <w:r>
        <w:rPr>
          <w:rFonts w:asciiTheme="minorEastAsia" w:hAnsiTheme="minorEastAsia"/>
          <w:color w:val="000000"/>
          <w:sz w:val="21"/>
          <w:szCs w:val="21"/>
          <w:highlight w:val="none"/>
        </w:rPr>
        <w:t>别</w:t>
      </w:r>
      <w:r>
        <w:rPr>
          <w:rFonts w:hint="eastAsia" w:asciiTheme="minorEastAsia" w:hAnsiTheme="minorEastAsia"/>
          <w:color w:val="000000"/>
          <w:sz w:val="21"/>
          <w:szCs w:val="21"/>
          <w:highlight w:val="none"/>
        </w:rPr>
        <w:t>：     年</w:t>
      </w:r>
      <w:r>
        <w:rPr>
          <w:rFonts w:asciiTheme="minorEastAsia" w:hAnsiTheme="minorEastAsia"/>
          <w:color w:val="000000"/>
          <w:sz w:val="21"/>
          <w:szCs w:val="21"/>
          <w:highlight w:val="none"/>
        </w:rPr>
        <w:t>龄</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 xml:space="preserve">     职务</w:t>
      </w:r>
      <w:r>
        <w:rPr>
          <w:rFonts w:hint="eastAsia" w:asciiTheme="minorEastAsia" w:hAnsiTheme="minorEastAsia"/>
          <w:color w:val="000000"/>
          <w:sz w:val="21"/>
          <w:szCs w:val="21"/>
          <w:highlight w:val="none"/>
        </w:rPr>
        <w:t xml:space="preserve">：        </w:t>
      </w:r>
    </w:p>
    <w:p>
      <w:pPr>
        <w:pStyle w:val="46"/>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本人系</w:t>
      </w:r>
      <w:r>
        <w:rPr>
          <w:rFonts w:hint="eastAsia" w:asciiTheme="minorEastAsia" w:hAnsiTheme="minorEastAsia"/>
          <w:color w:val="000000"/>
          <w:sz w:val="21"/>
          <w:szCs w:val="21"/>
          <w:highlight w:val="none"/>
          <w:u w:val="single"/>
        </w:rPr>
        <w:t xml:space="preserve">  </w:t>
      </w:r>
      <w:r>
        <w:rPr>
          <w:rFonts w:hint="eastAsia" w:asciiTheme="minorEastAsia" w:hAnsiTheme="minorEastAsia"/>
          <w:i/>
          <w:snapToGrid w:val="0"/>
          <w:sz w:val="21"/>
          <w:szCs w:val="21"/>
          <w:highlight w:val="none"/>
          <w:u w:val="single"/>
        </w:rPr>
        <w:t>投</w:t>
      </w:r>
      <w:r>
        <w:rPr>
          <w:rFonts w:asciiTheme="minorEastAsia" w:hAnsiTheme="minorEastAsia"/>
          <w:i/>
          <w:snapToGrid w:val="0"/>
          <w:sz w:val="21"/>
          <w:szCs w:val="21"/>
          <w:highlight w:val="none"/>
          <w:u w:val="single"/>
        </w:rPr>
        <w:t>标</w:t>
      </w:r>
      <w:r>
        <w:rPr>
          <w:rFonts w:hint="eastAsia" w:asciiTheme="minorEastAsia" w:hAnsiTheme="minorEastAsia"/>
          <w:i/>
          <w:snapToGrid w:val="0"/>
          <w:sz w:val="21"/>
          <w:szCs w:val="21"/>
          <w:highlight w:val="none"/>
          <w:u w:val="single"/>
        </w:rPr>
        <w:t>人名</w:t>
      </w:r>
      <w:r>
        <w:rPr>
          <w:rFonts w:asciiTheme="minorEastAsia" w:hAnsiTheme="minorEastAsia"/>
          <w:i/>
          <w:snapToGrid w:val="0"/>
          <w:sz w:val="21"/>
          <w:szCs w:val="21"/>
          <w:highlight w:val="none"/>
          <w:u w:val="single"/>
        </w:rPr>
        <w:t>称</w:t>
      </w:r>
      <w:r>
        <w:rPr>
          <w:rFonts w:hint="eastAsia" w:asciiTheme="minorEastAsia" w:hAnsiTheme="minorEastAsia"/>
          <w:i/>
          <w:snapToGrid w:val="0"/>
          <w:sz w:val="21"/>
          <w:szCs w:val="21"/>
          <w:highlight w:val="none"/>
          <w:u w:val="single"/>
        </w:rPr>
        <w:t xml:space="preserve">  </w:t>
      </w:r>
      <w:r>
        <w:rPr>
          <w:rFonts w:hint="eastAsia" w:asciiTheme="minorEastAsia" w:hAnsiTheme="minorEastAsia"/>
          <w:color w:val="000000"/>
          <w:sz w:val="21"/>
          <w:szCs w:val="21"/>
          <w:highlight w:val="none"/>
        </w:rPr>
        <w:t>的法定代表人（单位负责人）。就</w:t>
      </w:r>
      <w:r>
        <w:rPr>
          <w:rFonts w:asciiTheme="minorEastAsia" w:hAnsiTheme="minorEastAsia"/>
          <w:color w:val="000000"/>
          <w:sz w:val="21"/>
          <w:szCs w:val="21"/>
          <w:highlight w:val="none"/>
        </w:rPr>
        <w:t>参</w:t>
      </w:r>
      <w:r>
        <w:rPr>
          <w:rFonts w:hint="eastAsia" w:asciiTheme="minorEastAsia" w:hAnsiTheme="minorEastAsia"/>
          <w:color w:val="000000"/>
          <w:sz w:val="21"/>
          <w:szCs w:val="21"/>
          <w:highlight w:val="none"/>
        </w:rPr>
        <w:t>加贵方招</w:t>
      </w:r>
      <w:r>
        <w:rPr>
          <w:rFonts w:asciiTheme="minorEastAsia" w:hAnsiTheme="minorEastAsia"/>
          <w:color w:val="000000"/>
          <w:sz w:val="21"/>
          <w:szCs w:val="21"/>
          <w:highlight w:val="none"/>
        </w:rPr>
        <w:t>标编号为</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项目编号</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的</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w:t>
      </w:r>
      <w:r>
        <w:rPr>
          <w:rFonts w:hint="eastAsia" w:asciiTheme="minorEastAsia" w:hAnsiTheme="minorEastAsia"/>
          <w:i/>
          <w:color w:val="000000"/>
          <w:sz w:val="21"/>
          <w:szCs w:val="21"/>
          <w:highlight w:val="none"/>
          <w:u w:val="single"/>
        </w:rPr>
        <w:t>名</w:t>
      </w:r>
      <w:r>
        <w:rPr>
          <w:rFonts w:asciiTheme="minorEastAsia" w:hAnsiTheme="minorEastAsia"/>
          <w:i/>
          <w:color w:val="000000"/>
          <w:sz w:val="21"/>
          <w:szCs w:val="21"/>
          <w:highlight w:val="none"/>
          <w:u w:val="single"/>
        </w:rPr>
        <w:t>称</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公</w:t>
      </w:r>
      <w:r>
        <w:rPr>
          <w:rFonts w:asciiTheme="minorEastAsia" w:hAnsiTheme="minorEastAsia"/>
          <w:color w:val="000000"/>
          <w:sz w:val="21"/>
          <w:szCs w:val="21"/>
          <w:highlight w:val="none"/>
        </w:rPr>
        <w:t>开</w:t>
      </w:r>
      <w:r>
        <w:rPr>
          <w:rFonts w:hint="eastAsia" w:asciiTheme="minorEastAsia" w:hAnsiTheme="minorEastAsia"/>
          <w:color w:val="000000"/>
          <w:sz w:val="21"/>
          <w:szCs w:val="21"/>
          <w:highlight w:val="none"/>
        </w:rPr>
        <w:t>招</w:t>
      </w:r>
      <w:r>
        <w:rPr>
          <w:rFonts w:asciiTheme="minorEastAsia" w:hAnsiTheme="minorEastAsia"/>
          <w:color w:val="000000"/>
          <w:sz w:val="21"/>
          <w:szCs w:val="21"/>
          <w:highlight w:val="none"/>
        </w:rPr>
        <w:t>标项目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标报价</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署上</w:t>
      </w:r>
      <w:r>
        <w:rPr>
          <w:rFonts w:asciiTheme="minorEastAsia" w:hAnsiTheme="minorEastAsia"/>
          <w:color w:val="000000"/>
          <w:sz w:val="21"/>
          <w:szCs w:val="21"/>
          <w:highlight w:val="none"/>
        </w:rPr>
        <w:t>述项目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w:t>
      </w:r>
      <w:r>
        <w:rPr>
          <w:rFonts w:hint="eastAsia" w:asciiTheme="minorEastAsia" w:hAnsiTheme="minorEastAsia"/>
          <w:color w:val="000000"/>
          <w:sz w:val="21"/>
          <w:szCs w:val="21"/>
          <w:highlight w:val="none"/>
        </w:rPr>
        <w:t>文件及合同的</w:t>
      </w:r>
      <w:r>
        <w:rPr>
          <w:rFonts w:asciiTheme="minorEastAsia" w:hAnsiTheme="minorEastAsia"/>
          <w:color w:val="000000"/>
          <w:sz w:val="21"/>
          <w:szCs w:val="21"/>
          <w:highlight w:val="none"/>
        </w:rPr>
        <w:t>执</w:t>
      </w:r>
      <w:r>
        <w:rPr>
          <w:rFonts w:hint="eastAsia" w:asciiTheme="minorEastAsia" w:hAnsiTheme="minorEastAsia"/>
          <w:color w:val="000000"/>
          <w:sz w:val="21"/>
          <w:szCs w:val="21"/>
          <w:highlight w:val="none"/>
        </w:rPr>
        <w:t>行、完成、服</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和保修，</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署合同和</w:t>
      </w:r>
      <w:r>
        <w:rPr>
          <w:rFonts w:asciiTheme="minorEastAsia" w:hAnsiTheme="minorEastAsia"/>
          <w:color w:val="000000"/>
          <w:sz w:val="21"/>
          <w:szCs w:val="21"/>
          <w:highlight w:val="none"/>
        </w:rPr>
        <w:t>处</w:t>
      </w:r>
      <w:r>
        <w:rPr>
          <w:rFonts w:hint="eastAsia" w:asciiTheme="minorEastAsia" w:hAnsiTheme="minorEastAsia"/>
          <w:color w:val="000000"/>
          <w:sz w:val="21"/>
          <w:szCs w:val="21"/>
          <w:highlight w:val="none"/>
        </w:rPr>
        <w:t>理与之有</w:t>
      </w:r>
      <w:r>
        <w:rPr>
          <w:rFonts w:asciiTheme="minorEastAsia" w:hAnsiTheme="minorEastAsia"/>
          <w:color w:val="000000"/>
          <w:sz w:val="21"/>
          <w:szCs w:val="21"/>
          <w:highlight w:val="none"/>
        </w:rPr>
        <w:t>关的</w:t>
      </w:r>
      <w:r>
        <w:rPr>
          <w:rFonts w:hint="eastAsia" w:asciiTheme="minorEastAsia" w:hAnsiTheme="minorEastAsia"/>
          <w:color w:val="000000"/>
          <w:sz w:val="21"/>
          <w:szCs w:val="21"/>
          <w:highlight w:val="none"/>
        </w:rPr>
        <w:t>一切事</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w:t>
      </w:r>
    </w:p>
    <w:p>
      <w:pPr>
        <w:pStyle w:val="46"/>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特此</w:t>
      </w:r>
      <w:r>
        <w:rPr>
          <w:rFonts w:asciiTheme="minorEastAsia" w:hAnsiTheme="minorEastAsia"/>
          <w:color w:val="000000"/>
          <w:sz w:val="21"/>
          <w:szCs w:val="21"/>
          <w:highlight w:val="none"/>
        </w:rPr>
        <w:t>证</w:t>
      </w:r>
      <w:r>
        <w:rPr>
          <w:rFonts w:hint="eastAsia" w:asciiTheme="minorEastAsia" w:hAnsiTheme="minorEastAsia"/>
          <w:color w:val="000000"/>
          <w:sz w:val="21"/>
          <w:szCs w:val="21"/>
          <w:highlight w:val="none"/>
        </w:rPr>
        <w:t>明。</w:t>
      </w:r>
    </w:p>
    <w:p>
      <w:pPr>
        <w:pStyle w:val="46"/>
        <w:spacing w:line="480" w:lineRule="auto"/>
        <w:ind w:firstLine="472" w:firstLineChars="225"/>
        <w:jc w:val="left"/>
        <w:rPr>
          <w:rFonts w:asciiTheme="minorEastAsia" w:hAnsiTheme="minorEastAsia"/>
          <w:color w:val="000000"/>
          <w:sz w:val="21"/>
          <w:szCs w:val="21"/>
          <w:highlight w:val="none"/>
        </w:rPr>
      </w:pPr>
    </w:p>
    <w:p>
      <w:pPr>
        <w:pStyle w:val="46"/>
        <w:spacing w:line="480" w:lineRule="auto"/>
        <w:ind w:firstLine="472" w:firstLineChars="225"/>
        <w:jc w:val="left"/>
        <w:rPr>
          <w:rFonts w:asciiTheme="minorEastAsia" w:hAnsiTheme="minorEastAsia"/>
          <w:color w:val="000000"/>
          <w:sz w:val="21"/>
          <w:szCs w:val="21"/>
          <w:highlight w:val="none"/>
        </w:rPr>
      </w:pPr>
    </w:p>
    <w:p>
      <w:pPr>
        <w:pStyle w:val="46"/>
        <w:spacing w:line="480" w:lineRule="auto"/>
        <w:ind w:left="-538" w:leftChars="-256" w:firstLine="539" w:firstLineChars="257"/>
        <w:jc w:val="center"/>
        <w:rPr>
          <w:rFonts w:asciiTheme="minorEastAsia" w:hAnsiTheme="minorEastAsia"/>
          <w:bCs/>
          <w:color w:val="000000"/>
          <w:sz w:val="21"/>
          <w:szCs w:val="21"/>
          <w:highlight w:val="none"/>
        </w:rPr>
      </w:pPr>
      <w:r>
        <w:rPr>
          <w:rFonts w:hint="eastAsia" w:asciiTheme="minorEastAsia" w:hAnsiTheme="minorEastAsia"/>
          <w:bCs/>
          <w:color w:val="000000"/>
          <w:sz w:val="21"/>
          <w:szCs w:val="21"/>
          <w:highlight w:val="none"/>
        </w:rPr>
        <w:t>【此</w:t>
      </w:r>
      <w:r>
        <w:rPr>
          <w:rFonts w:asciiTheme="minorEastAsia" w:hAnsiTheme="minorEastAsia"/>
          <w:bCs/>
          <w:color w:val="000000"/>
          <w:sz w:val="21"/>
          <w:szCs w:val="21"/>
          <w:highlight w:val="none"/>
        </w:rPr>
        <w:t>处请</w:t>
      </w:r>
      <w:r>
        <w:rPr>
          <w:rFonts w:hint="eastAsia" w:asciiTheme="minorEastAsia" w:hAnsiTheme="minorEastAsia"/>
          <w:bCs/>
          <w:color w:val="000000"/>
          <w:sz w:val="21"/>
          <w:szCs w:val="21"/>
          <w:highlight w:val="none"/>
        </w:rPr>
        <w:t>粘</w:t>
      </w:r>
      <w:r>
        <w:rPr>
          <w:rFonts w:asciiTheme="minorEastAsia" w:hAnsiTheme="minorEastAsia"/>
          <w:bCs/>
          <w:color w:val="000000"/>
          <w:sz w:val="21"/>
          <w:szCs w:val="21"/>
          <w:highlight w:val="none"/>
        </w:rPr>
        <w:t>贴</w:t>
      </w:r>
      <w:r>
        <w:rPr>
          <w:rFonts w:hint="eastAsia" w:asciiTheme="minorEastAsia" w:hAnsiTheme="minorEastAsia"/>
          <w:bCs/>
          <w:color w:val="000000"/>
          <w:sz w:val="21"/>
          <w:szCs w:val="21"/>
          <w:highlight w:val="none"/>
        </w:rPr>
        <w:t>法定代表人（单位负责人）身份</w:t>
      </w:r>
      <w:r>
        <w:rPr>
          <w:rFonts w:asciiTheme="minorEastAsia" w:hAnsiTheme="minorEastAsia"/>
          <w:bCs/>
          <w:color w:val="000000"/>
          <w:sz w:val="21"/>
          <w:szCs w:val="21"/>
          <w:highlight w:val="none"/>
        </w:rPr>
        <w:t>证复</w:t>
      </w:r>
      <w:r>
        <w:rPr>
          <w:rFonts w:hint="eastAsia" w:asciiTheme="minorEastAsia" w:hAnsiTheme="minorEastAsia"/>
          <w:bCs/>
          <w:color w:val="000000"/>
          <w:sz w:val="21"/>
          <w:szCs w:val="21"/>
          <w:highlight w:val="none"/>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highlight w:val="none"/>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spacing w:line="480" w:lineRule="auto"/>
        <w:ind w:firstLine="3937" w:firstLineChars="1875"/>
        <w:rPr>
          <w:rFonts w:cs="Arial" w:asciiTheme="minorEastAsia" w:hAnsiTheme="minorEastAsia"/>
          <w:color w:val="000000"/>
          <w:szCs w:val="21"/>
          <w:highlight w:val="none"/>
          <w:u w:val="single"/>
        </w:rPr>
      </w:pPr>
      <w:r>
        <w:rPr>
          <w:rFonts w:hint="eastAsia" w:cs="Arial" w:asciiTheme="minorEastAsia" w:hAnsiTheme="minorEastAsia"/>
          <w:color w:val="000000"/>
          <w:szCs w:val="21"/>
          <w:highlight w:val="none"/>
        </w:rPr>
        <w:t>投标人名称（并加盖公章）：</w:t>
      </w:r>
    </w:p>
    <w:p>
      <w:pPr>
        <w:pStyle w:val="49"/>
        <w:spacing w:before="60" w:line="480" w:lineRule="auto"/>
        <w:ind w:firstLine="3937" w:firstLineChars="1875"/>
        <w:rPr>
          <w:rFonts w:cs="Arial" w:asciiTheme="minorEastAsia" w:hAnsiTheme="minorEastAsia" w:eastAsiaTheme="minorEastAsia"/>
          <w:color w:val="000000"/>
          <w:sz w:val="21"/>
          <w:szCs w:val="21"/>
          <w:highlight w:val="none"/>
        </w:rPr>
      </w:pPr>
      <w:r>
        <w:rPr>
          <w:rFonts w:hint="eastAsia" w:cs="Arial" w:asciiTheme="minorEastAsia" w:hAnsiTheme="minorEastAsia" w:eastAsiaTheme="minorEastAsia"/>
          <w:color w:val="000000"/>
          <w:sz w:val="21"/>
          <w:szCs w:val="21"/>
          <w:highlight w:val="none"/>
        </w:rPr>
        <w:t>签署日期：   年   月  日</w:t>
      </w:r>
    </w:p>
    <w:p>
      <w:pPr>
        <w:pStyle w:val="48"/>
        <w:spacing w:line="480" w:lineRule="auto"/>
        <w:rPr>
          <w:rFonts w:cs="Arial" w:asciiTheme="minorEastAsia" w:hAnsiTheme="minorEastAsia"/>
          <w:color w:val="000000"/>
          <w:sz w:val="21"/>
          <w:szCs w:val="21"/>
          <w:highlight w:val="none"/>
        </w:rPr>
      </w:pPr>
    </w:p>
    <w:p>
      <w:pPr>
        <w:rPr>
          <w:szCs w:val="21"/>
          <w:highlight w:val="none"/>
        </w:rPr>
      </w:pPr>
    </w:p>
    <w:p>
      <w:pPr>
        <w:spacing w:line="320" w:lineRule="exact"/>
        <w:ind w:firstLine="420" w:firstLineChars="200"/>
        <w:rPr>
          <w:rFonts w:asciiTheme="minorEastAsia" w:hAnsiTheme="minorEastAsia"/>
          <w:bCs/>
          <w:color w:val="000000"/>
          <w:kern w:val="12"/>
          <w:szCs w:val="21"/>
          <w:highlight w:val="none"/>
        </w:rPr>
      </w:pPr>
      <w:r>
        <w:rPr>
          <w:rFonts w:hint="eastAsia" w:asciiTheme="minorEastAsia" w:hAnsiTheme="minorEastAsia"/>
          <w:bCs/>
          <w:color w:val="000000"/>
          <w:kern w:val="12"/>
          <w:szCs w:val="21"/>
          <w:highlight w:val="none"/>
        </w:rPr>
        <w:t>说明：法定代表人（单位负责人）</w:t>
      </w:r>
      <w:r>
        <w:rPr>
          <w:rFonts w:asciiTheme="minorEastAsia" w:hAnsiTheme="minorEastAsia"/>
          <w:bCs/>
          <w:color w:val="000000"/>
          <w:kern w:val="12"/>
          <w:szCs w:val="21"/>
          <w:highlight w:val="none"/>
        </w:rPr>
        <w:t>参</w:t>
      </w:r>
      <w:r>
        <w:rPr>
          <w:rFonts w:hint="eastAsia" w:asciiTheme="minorEastAsia" w:hAnsiTheme="minorEastAsia"/>
          <w:bCs/>
          <w:color w:val="000000"/>
          <w:kern w:val="12"/>
          <w:szCs w:val="21"/>
          <w:highlight w:val="none"/>
        </w:rPr>
        <w:t>加本招</w:t>
      </w:r>
      <w:r>
        <w:rPr>
          <w:rFonts w:asciiTheme="minorEastAsia" w:hAnsiTheme="minorEastAsia"/>
          <w:bCs/>
          <w:color w:val="000000"/>
          <w:kern w:val="12"/>
          <w:szCs w:val="21"/>
          <w:highlight w:val="none"/>
        </w:rPr>
        <w:t>标项目</w:t>
      </w:r>
      <w:r>
        <w:rPr>
          <w:rFonts w:hint="eastAsia" w:asciiTheme="minorEastAsia" w:hAnsiTheme="minorEastAsia"/>
          <w:bCs/>
          <w:color w:val="000000"/>
          <w:kern w:val="12"/>
          <w:szCs w:val="21"/>
          <w:highlight w:val="none"/>
        </w:rPr>
        <w:t>投</w:t>
      </w:r>
      <w:r>
        <w:rPr>
          <w:rFonts w:asciiTheme="minorEastAsia" w:hAnsiTheme="minorEastAsia"/>
          <w:bCs/>
          <w:color w:val="000000"/>
          <w:kern w:val="12"/>
          <w:szCs w:val="21"/>
          <w:highlight w:val="none"/>
        </w:rPr>
        <w:t>标</w:t>
      </w:r>
      <w:r>
        <w:rPr>
          <w:rFonts w:hint="eastAsia" w:asciiTheme="minorEastAsia" w:hAnsiTheme="minorEastAsia"/>
          <w:bCs/>
          <w:color w:val="000000"/>
          <w:kern w:val="12"/>
          <w:szCs w:val="21"/>
          <w:highlight w:val="none"/>
        </w:rPr>
        <w:t>的，</w:t>
      </w:r>
      <w:r>
        <w:rPr>
          <w:rFonts w:asciiTheme="minorEastAsia" w:hAnsiTheme="minorEastAsia"/>
          <w:bCs/>
          <w:color w:val="000000"/>
          <w:kern w:val="12"/>
          <w:szCs w:val="21"/>
          <w:highlight w:val="none"/>
        </w:rPr>
        <w:t>仅须</w:t>
      </w:r>
      <w:r>
        <w:rPr>
          <w:rFonts w:hint="eastAsia" w:asciiTheme="minorEastAsia" w:hAnsiTheme="minorEastAsia"/>
          <w:bCs/>
          <w:color w:val="000000"/>
          <w:kern w:val="12"/>
          <w:szCs w:val="21"/>
          <w:highlight w:val="none"/>
        </w:rPr>
        <w:t>出具此</w:t>
      </w:r>
      <w:r>
        <w:rPr>
          <w:rFonts w:asciiTheme="minorEastAsia" w:hAnsiTheme="minorEastAsia"/>
          <w:bCs/>
          <w:color w:val="000000"/>
          <w:kern w:val="12"/>
          <w:szCs w:val="21"/>
          <w:highlight w:val="none"/>
        </w:rPr>
        <w:t>证</w:t>
      </w:r>
      <w:r>
        <w:rPr>
          <w:rFonts w:hint="eastAsia" w:asciiTheme="minorEastAsia" w:hAnsiTheme="minorEastAsia"/>
          <w:bCs/>
          <w:color w:val="000000"/>
          <w:kern w:val="12"/>
          <w:szCs w:val="21"/>
          <w:highlight w:val="none"/>
        </w:rPr>
        <w:t>明</w:t>
      </w:r>
      <w:r>
        <w:rPr>
          <w:rFonts w:asciiTheme="minorEastAsia" w:hAnsiTheme="minorEastAsia"/>
          <w:bCs/>
          <w:color w:val="000000"/>
          <w:kern w:val="12"/>
          <w:szCs w:val="21"/>
          <w:highlight w:val="none"/>
        </w:rPr>
        <w:t>书</w:t>
      </w:r>
      <w:r>
        <w:rPr>
          <w:rFonts w:hint="eastAsia" w:asciiTheme="minorEastAsia" w:hAnsiTheme="minorEastAsia"/>
          <w:bCs/>
          <w:color w:val="000000"/>
          <w:kern w:val="12"/>
          <w:szCs w:val="21"/>
          <w:highlight w:val="none"/>
        </w:rPr>
        <w:t>。</w:t>
      </w:r>
    </w:p>
    <w:p>
      <w:pPr>
        <w:spacing w:line="480" w:lineRule="exact"/>
        <w:jc w:val="center"/>
        <w:rPr>
          <w:rFonts w:ascii="宋体" w:hAnsi="宋体"/>
          <w:b/>
          <w:bCs/>
          <w:color w:val="000000"/>
          <w:sz w:val="36"/>
          <w:szCs w:val="36"/>
          <w:highlight w:val="none"/>
        </w:rPr>
      </w:pPr>
    </w:p>
    <w:p>
      <w:pPr>
        <w:spacing w:line="480" w:lineRule="exact"/>
        <w:jc w:val="center"/>
        <w:rPr>
          <w:rFonts w:ascii="宋体" w:hAnsi="宋体"/>
          <w:b/>
          <w:bCs/>
          <w:color w:val="000000"/>
          <w:sz w:val="24"/>
          <w:szCs w:val="24"/>
          <w:highlight w:val="none"/>
        </w:rPr>
      </w:pPr>
      <w:r>
        <w:rPr>
          <w:rFonts w:hint="eastAsia" w:ascii="宋体" w:hAnsi="宋体"/>
          <w:b/>
          <w:bCs/>
          <w:color w:val="000000"/>
          <w:sz w:val="24"/>
          <w:szCs w:val="24"/>
          <w:highlight w:val="none"/>
        </w:rPr>
        <w:t>3.3 法定代表人（单位负责人）授权书</w:t>
      </w:r>
    </w:p>
    <w:p>
      <w:pPr>
        <w:spacing w:line="480" w:lineRule="exact"/>
        <w:jc w:val="center"/>
        <w:rPr>
          <w:rFonts w:ascii="宋体" w:hAnsi="宋体"/>
          <w:b/>
          <w:bCs/>
          <w:color w:val="000000"/>
          <w:sz w:val="36"/>
          <w:szCs w:val="36"/>
          <w:highlight w:val="none"/>
        </w:rPr>
      </w:pPr>
    </w:p>
    <w:p>
      <w:pPr>
        <w:adjustRightInd w:val="0"/>
        <w:spacing w:line="360" w:lineRule="auto"/>
        <w:ind w:firstLine="441" w:firstLineChars="210"/>
        <w:contextualSpacing/>
        <w:rPr>
          <w:rFonts w:cs="Arial" w:asciiTheme="minorEastAsia" w:hAnsiTheme="minorEastAsia"/>
          <w:szCs w:val="21"/>
          <w:highlight w:val="none"/>
        </w:rPr>
      </w:pPr>
      <w:r>
        <w:rPr>
          <w:rFonts w:hint="eastAsia" w:asciiTheme="minorEastAsia" w:hAnsiTheme="minorEastAsia"/>
          <w:szCs w:val="21"/>
          <w:highlight w:val="none"/>
        </w:rPr>
        <w:t xml:space="preserve"> </w:t>
      </w:r>
      <w:r>
        <w:rPr>
          <w:rFonts w:hint="eastAsia" w:cs="Arial" w:asciiTheme="minorEastAsia" w:hAnsiTheme="minorEastAsia"/>
          <w:szCs w:val="21"/>
          <w:highlight w:val="none"/>
        </w:rPr>
        <w:t>本人</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法人姓名</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系</w:t>
      </w:r>
      <w:r>
        <w:rPr>
          <w:rFonts w:hint="eastAsia" w:cs="Arial" w:asciiTheme="minorEastAsia" w:hAnsiTheme="minorEastAsia"/>
          <w:szCs w:val="21"/>
          <w:highlight w:val="none"/>
          <w:u w:val="single"/>
        </w:rPr>
        <w:t>　</w:t>
      </w:r>
      <w:r>
        <w:rPr>
          <w:rFonts w:hint="eastAsia" w:asciiTheme="minorEastAsia" w:hAnsiTheme="minorEastAsia"/>
          <w:i/>
          <w:snapToGrid w:val="0"/>
          <w:szCs w:val="21"/>
          <w:highlight w:val="none"/>
          <w:u w:val="single"/>
        </w:rPr>
        <w:t xml:space="preserve">投标人名称  </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的法定代表人（单位负责人），现委托</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姓名，职务</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我方对被授权人的签名事项负全部责任。</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被授权人无转委托权，特此委托。</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投标人名称： </w:t>
      </w:r>
      <w:r>
        <w:rPr>
          <w:rFonts w:hint="eastAsia" w:asciiTheme="minorEastAsia" w:hAnsiTheme="minorEastAsia"/>
          <w:szCs w:val="21"/>
          <w:highlight w:val="none"/>
          <w:u w:val="single"/>
        </w:rPr>
        <w:t xml:space="preserve">       （全称）       </w:t>
      </w:r>
      <w:r>
        <w:rPr>
          <w:rFonts w:hint="eastAsia" w:asciiTheme="minorEastAsia" w:hAnsiTheme="minorEastAsia"/>
          <w:szCs w:val="21"/>
          <w:highlight w:val="none"/>
        </w:rPr>
        <w:t xml:space="preserve"> （盖单位公章）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法定代表人（单位负责人）授权代表：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法定代表人（单位负责人）身份证（正面）</w:t>
            </w:r>
          </w:p>
        </w:tc>
        <w:tc>
          <w:tcPr>
            <w:tcW w:w="4485"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highlight w:val="none"/>
              </w:rPr>
            </w:pPr>
            <w:bookmarkStart w:id="24" w:name="_资格证明文件"/>
            <w:bookmarkEnd w:id="24"/>
            <w:bookmarkStart w:id="25" w:name="_Toc364329026"/>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（正面）</w:t>
            </w:r>
            <w:bookmarkEnd w:id="25"/>
          </w:p>
        </w:tc>
        <w:tc>
          <w:tcPr>
            <w:tcW w:w="4492" w:type="dxa"/>
            <w:gridSpan w:val="2"/>
            <w:vAlign w:val="center"/>
          </w:tcPr>
          <w:p>
            <w:pPr>
              <w:jc w:val="center"/>
              <w:rPr>
                <w:rFonts w:asciiTheme="minorEastAsia" w:hAnsiTheme="minorEastAsia"/>
                <w:szCs w:val="21"/>
                <w:highlight w:val="none"/>
              </w:rPr>
            </w:pPr>
            <w:bookmarkStart w:id="26" w:name="_Toc364329027"/>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（反面）</w:t>
            </w:r>
            <w:bookmarkEnd w:id="26"/>
          </w:p>
        </w:tc>
      </w:tr>
    </w:tbl>
    <w:p>
      <w:pPr>
        <w:spacing w:line="320" w:lineRule="exact"/>
        <w:ind w:left="2" w:firstLine="357" w:firstLineChars="149"/>
        <w:rPr>
          <w:rFonts w:cs="Courier New" w:asciiTheme="minorEastAsia" w:hAnsiTheme="minorEastAsia"/>
          <w:sz w:val="24"/>
          <w:szCs w:val="24"/>
          <w:highlight w:val="none"/>
        </w:rPr>
      </w:pPr>
    </w:p>
    <w:p>
      <w:pPr>
        <w:widowControl/>
        <w:spacing w:before="100" w:beforeAutospacing="1" w:after="100" w:afterAutospacing="1" w:line="360" w:lineRule="auto"/>
        <w:jc w:val="center"/>
        <w:rPr>
          <w:rFonts w:ascii="宋体" w:hAnsi="宋体"/>
          <w:b/>
          <w:bCs/>
          <w:color w:val="000000"/>
          <w:sz w:val="24"/>
          <w:szCs w:val="24"/>
          <w:highlight w:val="none"/>
        </w:rPr>
      </w:pPr>
      <w:r>
        <w:rPr>
          <w:rFonts w:hint="eastAsia" w:ascii="宋体" w:hAnsi="宋体"/>
          <w:b/>
          <w:bCs/>
          <w:color w:val="000000"/>
          <w:sz w:val="24"/>
          <w:szCs w:val="24"/>
          <w:highlight w:val="none"/>
        </w:rPr>
        <w:t>3.4 没有重大违法记录的声明</w:t>
      </w:r>
    </w:p>
    <w:p>
      <w:pPr>
        <w:spacing w:beforeLines="50" w:afterLines="50"/>
        <w:jc w:val="center"/>
        <w:rPr>
          <w:rFonts w:ascii="宋体" w:hAnsi="宋体" w:cs="Arial"/>
          <w:color w:val="000000"/>
          <w:kern w:val="0"/>
          <w:sz w:val="28"/>
          <w:szCs w:val="28"/>
          <w:highlight w:val="none"/>
        </w:rPr>
      </w:pPr>
      <w:r>
        <w:rPr>
          <w:rFonts w:hint="eastAsia" w:ascii="宋体" w:hAnsi="宋体" w:cs="Arial"/>
          <w:color w:val="000000"/>
          <w:kern w:val="0"/>
          <w:sz w:val="28"/>
          <w:szCs w:val="28"/>
          <w:highlight w:val="none"/>
        </w:rPr>
        <w:t>声　   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特此声明。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highlight w:val="none"/>
          <w:lang w:val="zh-CN"/>
        </w:rPr>
      </w:pP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单位名称（盖章）：</w:t>
      </w: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 xml:space="preserve">日    期：     </w:t>
      </w:r>
      <w:r>
        <w:rPr>
          <w:rFonts w:hint="eastAsia" w:cs="宋体" w:asciiTheme="minorEastAsia" w:hAnsiTheme="minorEastAsia"/>
          <w:szCs w:val="21"/>
          <w:highlight w:val="none"/>
        </w:rPr>
        <w:t>年    月    日</w:t>
      </w:r>
    </w:p>
    <w:p>
      <w:pPr>
        <w:spacing w:beforeLines="50" w:afterLines="50" w:line="360" w:lineRule="auto"/>
        <w:ind w:right="420" w:firstLine="5486" w:firstLineChars="2286"/>
        <w:rPr>
          <w:rFonts w:cs="宋体" w:asciiTheme="minorEastAsia" w:hAnsiTheme="minorEastAsia"/>
          <w:sz w:val="24"/>
          <w:szCs w:val="24"/>
          <w:highlight w:val="none"/>
          <w:lang w:val="zh-CN"/>
        </w:rPr>
      </w:pPr>
    </w:p>
    <w:p>
      <w:pPr>
        <w:widowControl/>
        <w:spacing w:before="100" w:beforeAutospacing="1" w:after="100" w:afterAutospacing="1" w:line="360" w:lineRule="auto"/>
        <w:jc w:val="both"/>
        <w:rPr>
          <w:rFonts w:hint="eastAsia" w:ascii="宋体" w:hAnsi="宋体"/>
          <w:b/>
          <w:bCs/>
          <w:color w:val="000000"/>
          <w:sz w:val="24"/>
          <w:szCs w:val="24"/>
          <w:highlight w:val="none"/>
          <w:lang w:val="zh-CN"/>
        </w:rPr>
      </w:pPr>
    </w:p>
    <w:p>
      <w:pPr>
        <w:pStyle w:val="2"/>
        <w:rPr>
          <w:rFonts w:hint="eastAsia" w:ascii="宋体" w:hAnsi="宋体"/>
          <w:b/>
          <w:bCs/>
          <w:color w:val="000000"/>
          <w:sz w:val="24"/>
          <w:szCs w:val="24"/>
          <w:highlight w:val="none"/>
          <w:lang w:val="zh-CN"/>
        </w:rPr>
      </w:pPr>
    </w:p>
    <w:p>
      <w:pPr>
        <w:pStyle w:val="2"/>
        <w:rPr>
          <w:rFonts w:hint="eastAsia" w:ascii="宋体" w:hAnsi="宋体"/>
          <w:b/>
          <w:bCs/>
          <w:color w:val="000000"/>
          <w:sz w:val="24"/>
          <w:szCs w:val="24"/>
          <w:highlight w:val="none"/>
          <w:lang w:val="zh-CN"/>
        </w:rPr>
      </w:pPr>
    </w:p>
    <w:p>
      <w:pPr>
        <w:pStyle w:val="2"/>
        <w:rPr>
          <w:rFonts w:hint="eastAsia" w:ascii="宋体" w:hAnsi="宋体"/>
          <w:b/>
          <w:bCs/>
          <w:color w:val="000000"/>
          <w:sz w:val="24"/>
          <w:szCs w:val="24"/>
          <w:highlight w:val="none"/>
          <w:lang w:val="zh-CN"/>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p>
    <w:p>
      <w:pPr>
        <w:autoSpaceDE w:val="0"/>
        <w:autoSpaceDN w:val="0"/>
        <w:adjustRightInd w:val="0"/>
        <w:spacing w:line="360" w:lineRule="auto"/>
        <w:jc w:val="center"/>
        <w:outlineLvl w:val="0"/>
        <w:rPr>
          <w:rFonts w:hint="eastAsia" w:ascii="宋体" w:hAnsi="宋体"/>
          <w:b/>
          <w:bCs/>
          <w:sz w:val="24"/>
        </w:rPr>
      </w:pPr>
      <w:r>
        <w:rPr>
          <w:rFonts w:hint="eastAsia" w:ascii="宋体" w:hAnsi="宋体"/>
          <w:b/>
          <w:bCs/>
          <w:sz w:val="24"/>
        </w:rPr>
        <w:t>3.5 投标承诺函</w:t>
      </w:r>
    </w:p>
    <w:p>
      <w:pPr>
        <w:spacing w:line="360" w:lineRule="auto"/>
        <w:rPr>
          <w:rFonts w:hint="eastAsia" w:ascii="宋体" w:hAnsi="宋体"/>
          <w:sz w:val="24"/>
        </w:rPr>
      </w:pPr>
      <w:r>
        <w:rPr>
          <w:rFonts w:hint="eastAsia" w:ascii="宋体" w:hAnsi="宋体"/>
          <w:sz w:val="24"/>
        </w:rPr>
        <w:t>本企业郑重承诺：</w:t>
      </w:r>
    </w:p>
    <w:p>
      <w:pPr>
        <w:spacing w:line="360" w:lineRule="auto"/>
        <w:ind w:firstLine="480" w:firstLineChars="200"/>
        <w:rPr>
          <w:rFonts w:hint="eastAsia" w:ascii="宋体" w:hAnsi="宋体"/>
          <w:sz w:val="24"/>
        </w:rPr>
      </w:pPr>
      <w:r>
        <w:rPr>
          <w:rFonts w:hint="eastAsia" w:ascii="宋体" w:hAnsi="宋体"/>
          <w:sz w:val="24"/>
        </w:rPr>
        <w:t>一、将遵循公开、公平、公正和诚实信用的原则参加</w:t>
      </w:r>
      <w:r>
        <w:rPr>
          <w:rFonts w:ascii="宋体" w:hAnsi="宋体"/>
          <w:sz w:val="24"/>
          <w:u w:val="single"/>
        </w:rPr>
        <w:t>(</w:t>
      </w:r>
      <w:r>
        <w:rPr>
          <w:rFonts w:hint="eastAsia" w:ascii="宋体" w:hAnsi="宋体"/>
          <w:sz w:val="24"/>
          <w:u w:val="single"/>
        </w:rPr>
        <w:t>具体政府采购项目名称）</w:t>
      </w:r>
      <w:r>
        <w:rPr>
          <w:rFonts w:hint="eastAsia" w:ascii="宋体" w:hAnsi="宋体"/>
          <w:sz w:val="24"/>
        </w:rPr>
        <w:t>的投标；</w:t>
      </w:r>
    </w:p>
    <w:p>
      <w:pPr>
        <w:spacing w:line="360" w:lineRule="auto"/>
        <w:ind w:firstLine="480" w:firstLineChars="200"/>
        <w:rPr>
          <w:rFonts w:hint="eastAsia" w:ascii="宋体" w:hAnsi="宋体"/>
          <w:sz w:val="24"/>
        </w:rPr>
      </w:pPr>
      <w:r>
        <w:rPr>
          <w:rFonts w:hint="eastAsia" w:ascii="宋体" w:hAnsi="宋体"/>
          <w:sz w:val="24"/>
        </w:rPr>
        <w:t>二、本次投标所提供的一切材料都是真实、有效、合法的；</w:t>
      </w:r>
    </w:p>
    <w:p>
      <w:pPr>
        <w:spacing w:line="360" w:lineRule="auto"/>
        <w:ind w:firstLine="480" w:firstLineChars="200"/>
        <w:rPr>
          <w:rFonts w:hint="eastAsia" w:ascii="宋体" w:hAnsi="宋体"/>
          <w:sz w:val="24"/>
        </w:rPr>
      </w:pPr>
      <w:r>
        <w:rPr>
          <w:rFonts w:hint="eastAsia" w:ascii="宋体" w:hAnsi="宋体"/>
          <w:sz w:val="24"/>
        </w:rPr>
        <w:t>三、不与其他投标人相互串通投标报价，不排挤其他投标人的公平竞争，不损害采购人或其他投标人的合法权益；</w:t>
      </w:r>
    </w:p>
    <w:p>
      <w:pPr>
        <w:spacing w:line="360" w:lineRule="auto"/>
        <w:ind w:firstLine="480" w:firstLineChars="200"/>
        <w:rPr>
          <w:rFonts w:hint="eastAsia" w:ascii="宋体" w:hAnsi="宋体"/>
          <w:sz w:val="24"/>
        </w:rPr>
      </w:pPr>
      <w:r>
        <w:rPr>
          <w:rFonts w:hint="eastAsia" w:ascii="宋体" w:hAnsi="宋体"/>
          <w:sz w:val="24"/>
        </w:rPr>
        <w:t>四、不与采购人或集中采购机构串通投标，不损害国家利益、社会公共利益或者他人的合法权益；</w:t>
      </w:r>
    </w:p>
    <w:p>
      <w:pPr>
        <w:spacing w:line="360" w:lineRule="auto"/>
        <w:ind w:firstLine="480" w:firstLineChars="200"/>
        <w:rPr>
          <w:rFonts w:hint="eastAsia" w:ascii="宋体" w:hAnsi="宋体"/>
          <w:sz w:val="24"/>
        </w:rPr>
      </w:pPr>
      <w:r>
        <w:rPr>
          <w:rFonts w:hint="eastAsia" w:ascii="宋体" w:hAnsi="宋体"/>
          <w:sz w:val="24"/>
        </w:rPr>
        <w:t>五、不向采购人或者评标委员会成员行贿以牟取中标；</w:t>
      </w:r>
    </w:p>
    <w:p>
      <w:pPr>
        <w:spacing w:line="360" w:lineRule="auto"/>
        <w:ind w:firstLine="480" w:firstLineChars="200"/>
        <w:rPr>
          <w:rFonts w:hint="eastAsia" w:ascii="宋体" w:hAnsi="宋体"/>
          <w:sz w:val="24"/>
        </w:rPr>
      </w:pPr>
      <w:r>
        <w:rPr>
          <w:rFonts w:hint="eastAsia" w:ascii="宋体" w:hAnsi="宋体"/>
          <w:sz w:val="24"/>
        </w:rPr>
        <w:t>六、不以他人名义投标或者以其他方式弄虚作假，骗取中标；</w:t>
      </w:r>
    </w:p>
    <w:p>
      <w:pPr>
        <w:spacing w:line="360" w:lineRule="auto"/>
        <w:ind w:firstLine="480" w:firstLineChars="200"/>
        <w:rPr>
          <w:rFonts w:hint="eastAsia" w:ascii="宋体" w:hAnsi="宋体"/>
          <w:sz w:val="24"/>
        </w:rPr>
      </w:pPr>
      <w:r>
        <w:rPr>
          <w:rFonts w:hint="eastAsia" w:ascii="宋体" w:hAnsi="宋体"/>
          <w:sz w:val="24"/>
        </w:rPr>
        <w:t>七、不扰乱长葛市政府采购市场秩序；</w:t>
      </w:r>
    </w:p>
    <w:p>
      <w:pPr>
        <w:spacing w:line="360" w:lineRule="auto"/>
        <w:ind w:firstLine="480" w:firstLineChars="200"/>
        <w:rPr>
          <w:rFonts w:hint="eastAsia" w:ascii="宋体" w:hAnsi="宋体"/>
          <w:sz w:val="24"/>
        </w:rPr>
      </w:pPr>
      <w:r>
        <w:rPr>
          <w:rFonts w:hint="eastAsia" w:ascii="宋体" w:hAnsi="宋体"/>
          <w:sz w:val="24"/>
        </w:rPr>
        <w:t>八、不在开标后进行虚假恶意投诉；</w:t>
      </w:r>
    </w:p>
    <w:p>
      <w:pPr>
        <w:spacing w:line="360" w:lineRule="auto"/>
        <w:ind w:firstLine="480" w:firstLineChars="200"/>
        <w:rPr>
          <w:rFonts w:hint="eastAsia" w:ascii="宋体" w:hAnsi="宋体"/>
          <w:sz w:val="24"/>
        </w:rPr>
      </w:pPr>
      <w:r>
        <w:rPr>
          <w:rFonts w:hint="eastAsia" w:ascii="宋体" w:hAnsi="宋体"/>
          <w:sz w:val="24"/>
        </w:rPr>
        <w:t>九、中标后不得将招标文件规定不予转包、分包的项目转包、分包于他人。</w:t>
      </w:r>
    </w:p>
    <w:p>
      <w:pPr>
        <w:spacing w:line="360" w:lineRule="auto"/>
        <w:ind w:firstLine="480" w:firstLineChars="200"/>
        <w:rPr>
          <w:rFonts w:ascii="宋体" w:hAnsi="宋体" w:cs="宋体"/>
          <w:sz w:val="24"/>
          <w:szCs w:val="21"/>
          <w:lang w:val="zh-CN"/>
        </w:rPr>
      </w:pPr>
      <w:r>
        <w:rPr>
          <w:rFonts w:hint="eastAsia" w:ascii="宋体" w:hAnsi="宋体" w:cs="宋体"/>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156" w:beforeLines="50" w:after="156" w:afterLines="50" w:line="360" w:lineRule="auto"/>
        <w:ind w:firstLine="480" w:firstLineChars="200"/>
        <w:rPr>
          <w:rFonts w:ascii="宋体" w:hAnsi="宋体" w:cs="宋体"/>
          <w:sz w:val="24"/>
          <w:szCs w:val="21"/>
          <w:lang w:val="zh-CN"/>
        </w:rPr>
      </w:pPr>
    </w:p>
    <w:p>
      <w:pPr>
        <w:spacing w:before="156" w:beforeLines="50" w:after="156"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法定代表人或者被委托人（签字</w:t>
      </w:r>
      <w:r>
        <w:rPr>
          <w:rFonts w:ascii="宋体" w:hAnsi="宋体" w:cs="宋体"/>
          <w:sz w:val="24"/>
          <w:szCs w:val="21"/>
          <w:lang w:val="zh-CN"/>
        </w:rPr>
        <w:t>)</w:t>
      </w:r>
      <w:r>
        <w:rPr>
          <w:rFonts w:hint="eastAsia" w:ascii="宋体" w:hAnsi="宋体" w:cs="宋体"/>
          <w:sz w:val="24"/>
          <w:szCs w:val="21"/>
          <w:lang w:val="zh-CN"/>
        </w:rPr>
        <w:t>：</w:t>
      </w:r>
    </w:p>
    <w:p>
      <w:pPr>
        <w:spacing w:before="156" w:beforeLines="50" w:after="156" w:afterLines="50" w:line="360" w:lineRule="auto"/>
        <w:ind w:firstLine="3360" w:firstLineChars="1400"/>
        <w:rPr>
          <w:rFonts w:hint="eastAsia" w:ascii="宋体" w:hAnsi="宋体" w:cs="宋体"/>
          <w:sz w:val="24"/>
          <w:szCs w:val="21"/>
          <w:lang w:val="zh-CN"/>
        </w:rPr>
      </w:pPr>
      <w:r>
        <w:rPr>
          <w:rFonts w:hint="eastAsia" w:ascii="宋体" w:hAnsi="宋体" w:cs="宋体"/>
          <w:sz w:val="24"/>
          <w:szCs w:val="21"/>
          <w:lang w:val="zh-CN"/>
        </w:rPr>
        <w:t>投标人名称</w:t>
      </w:r>
      <w:r>
        <w:rPr>
          <w:rFonts w:ascii="宋体" w:hAnsi="宋体" w:cs="宋体"/>
          <w:sz w:val="24"/>
          <w:szCs w:val="21"/>
          <w:lang w:val="zh-CN"/>
        </w:rPr>
        <w:t>(</w:t>
      </w:r>
      <w:r>
        <w:rPr>
          <w:rFonts w:hint="eastAsia" w:ascii="宋体" w:hAnsi="宋体" w:cs="宋体"/>
          <w:sz w:val="24"/>
          <w:szCs w:val="21"/>
          <w:lang w:val="zh-CN"/>
        </w:rPr>
        <w:t>盖章</w:t>
      </w:r>
      <w:r>
        <w:rPr>
          <w:rFonts w:ascii="宋体" w:hAnsi="宋体" w:cs="宋体"/>
          <w:sz w:val="24"/>
          <w:szCs w:val="21"/>
          <w:lang w:val="zh-CN"/>
        </w:rPr>
        <w:t>)</w:t>
      </w:r>
      <w:r>
        <w:rPr>
          <w:rFonts w:hint="eastAsia" w:ascii="宋体" w:hAnsi="宋体" w:cs="宋体"/>
          <w:sz w:val="24"/>
          <w:szCs w:val="21"/>
          <w:lang w:val="zh-CN"/>
        </w:rPr>
        <w:t>：</w:t>
      </w:r>
    </w:p>
    <w:p>
      <w:pPr>
        <w:spacing w:before="156" w:beforeLines="50" w:after="156" w:afterLines="50" w:line="360" w:lineRule="auto"/>
        <w:ind w:firstLine="3360" w:firstLineChars="1400"/>
        <w:rPr>
          <w:rFonts w:ascii="宋体" w:hAnsi="宋体" w:cs="宋体"/>
          <w:sz w:val="24"/>
          <w:szCs w:val="21"/>
          <w:lang w:val="zh-CN"/>
        </w:rPr>
      </w:pPr>
      <w:r>
        <w:rPr>
          <w:rFonts w:hint="eastAsia" w:ascii="宋体" w:hAnsi="宋体" w:cs="宋体"/>
          <w:sz w:val="24"/>
          <w:szCs w:val="21"/>
          <w:lang w:val="zh-CN"/>
        </w:rPr>
        <w:t>年</w:t>
      </w:r>
      <w:r>
        <w:rPr>
          <w:rFonts w:ascii="宋体" w:hAnsi="宋体" w:cs="宋体"/>
          <w:sz w:val="24"/>
          <w:szCs w:val="21"/>
          <w:lang w:val="zh-CN"/>
        </w:rPr>
        <w:t xml:space="preserve">  </w:t>
      </w:r>
      <w:r>
        <w:rPr>
          <w:rFonts w:hint="eastAsia" w:ascii="宋体" w:hAnsi="宋体" w:cs="宋体"/>
          <w:sz w:val="24"/>
          <w:szCs w:val="21"/>
          <w:lang w:val="zh-CN"/>
        </w:rPr>
        <w:t>月</w:t>
      </w:r>
      <w:r>
        <w:rPr>
          <w:rFonts w:ascii="宋体" w:hAnsi="宋体" w:cs="宋体"/>
          <w:sz w:val="24"/>
          <w:szCs w:val="21"/>
          <w:lang w:val="zh-CN"/>
        </w:rPr>
        <w:t xml:space="preserve">  </w:t>
      </w:r>
      <w:r>
        <w:rPr>
          <w:rFonts w:hint="eastAsia" w:ascii="宋体" w:hAnsi="宋体" w:cs="宋体"/>
          <w:sz w:val="24"/>
          <w:szCs w:val="21"/>
          <w:lang w:val="zh-CN"/>
        </w:rPr>
        <w:t>日</w:t>
      </w:r>
    </w:p>
    <w:p>
      <w:pPr>
        <w:spacing w:beforeLines="50" w:afterLines="50" w:line="360" w:lineRule="auto"/>
        <w:ind w:firstLine="420" w:firstLineChars="200"/>
        <w:rPr>
          <w:rFonts w:hint="eastAsia" w:cs="宋体" w:asciiTheme="minorEastAsia" w:hAnsiTheme="minorEastAsia"/>
          <w:szCs w:val="21"/>
          <w:highlight w:val="none"/>
          <w:lang w:val="zh-CN"/>
        </w:rPr>
      </w:pPr>
    </w:p>
    <w:p>
      <w:pPr>
        <w:spacing w:beforeLines="50" w:afterLines="50" w:line="360" w:lineRule="auto"/>
        <w:ind w:firstLine="420" w:firstLineChars="200"/>
        <w:rPr>
          <w:rFonts w:hint="eastAsia" w:cs="宋体" w:asciiTheme="minorEastAsia" w:hAnsiTheme="minorEastAsia"/>
          <w:szCs w:val="21"/>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3.6 其他资格证书或材料</w:t>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rPr>
        <w:t>4.1 投</w:t>
      </w:r>
      <w:r>
        <w:rPr>
          <w:rFonts w:hint="eastAsia" w:ascii="宋体" w:hAnsi="宋体"/>
          <w:b/>
          <w:bCs/>
          <w:color w:val="000000"/>
          <w:sz w:val="24"/>
          <w:szCs w:val="24"/>
          <w:highlight w:val="none"/>
        </w:rPr>
        <w:t>标分项报价表（货物类项目）</w:t>
      </w:r>
    </w:p>
    <w:p>
      <w:pPr>
        <w:autoSpaceDE w:val="0"/>
        <w:autoSpaceDN w:val="0"/>
        <w:adjustRightInd w:val="0"/>
        <w:spacing w:line="360" w:lineRule="auto"/>
        <w:jc w:val="center"/>
        <w:outlineLvl w:val="0"/>
        <w:rPr>
          <w:rFonts w:ascii="宋体" w:hAnsi="宋体"/>
          <w:b/>
          <w:bCs/>
          <w:color w:val="000000"/>
          <w:sz w:val="24"/>
          <w:szCs w:val="24"/>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名</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技术</w:t>
            </w:r>
          </w:p>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数</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产地及</w:t>
            </w:r>
          </w:p>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highlight w:val="none"/>
              </w:rPr>
            </w:pPr>
            <w:r>
              <w:rPr>
                <w:rFonts w:hint="eastAsia" w:cs="宋体" w:asciiTheme="minorEastAsia" w:hAnsiTheme="minorEastAsia"/>
                <w:szCs w:val="21"/>
                <w:highlight w:val="none"/>
                <w:lang w:val="zh-CN"/>
              </w:rPr>
              <w:t>合</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小写：</w:t>
            </w: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highlight w:val="none"/>
          <w:lang w:val="zh-CN"/>
        </w:rPr>
      </w:pPr>
    </w:p>
    <w:p>
      <w:pPr>
        <w:pStyle w:val="4"/>
        <w:numPr>
          <w:ilvl w:val="0"/>
          <w:numId w:val="0"/>
        </w:numPr>
        <w:rPr>
          <w:lang w:val="zh-CN"/>
        </w:rPr>
      </w:pPr>
    </w:p>
    <w:p>
      <w:pPr>
        <w:pStyle w:val="4"/>
        <w:numPr>
          <w:ilvl w:val="0"/>
          <w:numId w:val="0"/>
        </w:numPr>
        <w:rPr>
          <w:lang w:val="zh-CN"/>
        </w:rPr>
      </w:pPr>
    </w:p>
    <w:p>
      <w:pPr>
        <w:rPr>
          <w:lang w:val="zh-CN"/>
        </w:rPr>
      </w:pPr>
    </w:p>
    <w:p>
      <w:pPr>
        <w:spacing w:line="300" w:lineRule="exact"/>
        <w:rPr>
          <w:rFonts w:asciiTheme="minorEastAsia" w:hAnsiTheme="minorEastAsia"/>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4.2 技术规格偏离表（货物类项目）</w:t>
      </w: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6"/>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货物服务</w:t>
            </w:r>
          </w:p>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招标文件</w:t>
            </w:r>
          </w:p>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投标技术</w:t>
            </w:r>
          </w:p>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w:t>
            </w:r>
          </w:p>
          <w:p>
            <w:pPr>
              <w:jc w:val="center"/>
              <w:rPr>
                <w:rFonts w:ascii="宋体" w:hAnsi="宋体" w:eastAsia="宋体" w:cs="宋体"/>
                <w:b/>
                <w:bCs/>
                <w:szCs w:val="21"/>
                <w:highlight w:val="none"/>
              </w:rPr>
            </w:pPr>
            <w:r>
              <w:rPr>
                <w:rFonts w:hint="eastAsia" w:ascii="宋体" w:hAnsi="宋体" w:eastAsia="宋体" w:cs="宋体"/>
                <w:b/>
                <w:bCs/>
                <w:szCs w:val="21"/>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偏离内容</w:t>
            </w:r>
          </w:p>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bCs/>
                <w:szCs w:val="21"/>
                <w:highlight w:val="none"/>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szCs w:val="21"/>
                <w:highlight w:val="none"/>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Cs w:val="21"/>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4.3 技术方案（实施方案）</w:t>
      </w: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pStyle w:val="2"/>
      </w:pP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4.4 业绩情况表</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snapToGrid w:val="0"/>
        <w:spacing w:line="360" w:lineRule="auto"/>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序号</w:t>
            </w:r>
          </w:p>
        </w:tc>
        <w:tc>
          <w:tcPr>
            <w:tcW w:w="1808" w:type="dxa"/>
            <w:shd w:val="clear" w:color="auto" w:fill="F3F3F3"/>
            <w:vAlign w:val="center"/>
          </w:tcPr>
          <w:p>
            <w:pPr>
              <w:pStyle w:val="10"/>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客户单位名称</w:t>
            </w:r>
          </w:p>
        </w:tc>
        <w:tc>
          <w:tcPr>
            <w:tcW w:w="3579" w:type="dxa"/>
            <w:shd w:val="clear" w:color="auto" w:fill="F3F3F3"/>
            <w:vAlign w:val="center"/>
          </w:tcPr>
          <w:p>
            <w:pPr>
              <w:pStyle w:val="10"/>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项目名称及主要内容</w:t>
            </w:r>
          </w:p>
        </w:tc>
        <w:tc>
          <w:tcPr>
            <w:tcW w:w="1440" w:type="dxa"/>
            <w:shd w:val="clear" w:color="auto" w:fill="F3F3F3"/>
            <w:vAlign w:val="center"/>
          </w:tcPr>
          <w:p>
            <w:pPr>
              <w:pStyle w:val="10"/>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合同金额</w:t>
            </w:r>
          </w:p>
          <w:p>
            <w:pPr>
              <w:pStyle w:val="10"/>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（万元）</w:t>
            </w:r>
          </w:p>
        </w:tc>
        <w:tc>
          <w:tcPr>
            <w:tcW w:w="1706" w:type="dxa"/>
            <w:shd w:val="clear" w:color="auto" w:fill="F3F3F3"/>
            <w:vAlign w:val="center"/>
          </w:tcPr>
          <w:p>
            <w:pPr>
              <w:pStyle w:val="10"/>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1</w:t>
            </w:r>
          </w:p>
        </w:tc>
        <w:tc>
          <w:tcPr>
            <w:tcW w:w="1808" w:type="dxa"/>
            <w:vAlign w:val="center"/>
          </w:tcPr>
          <w:p>
            <w:pPr>
              <w:pStyle w:val="10"/>
              <w:spacing w:line="360" w:lineRule="auto"/>
              <w:rPr>
                <w:rFonts w:ascii="宋体" w:hAnsi="宋体" w:eastAsia="宋体" w:cs="Times New Roman"/>
                <w:sz w:val="21"/>
                <w:szCs w:val="21"/>
                <w:highlight w:val="none"/>
              </w:rPr>
            </w:pPr>
          </w:p>
        </w:tc>
        <w:tc>
          <w:tcPr>
            <w:tcW w:w="3579" w:type="dxa"/>
            <w:vAlign w:val="center"/>
          </w:tcPr>
          <w:p>
            <w:pPr>
              <w:pStyle w:val="10"/>
              <w:spacing w:line="360" w:lineRule="auto"/>
              <w:rPr>
                <w:rFonts w:ascii="宋体" w:hAnsi="宋体" w:eastAsia="宋体" w:cs="Times New Roman"/>
                <w:sz w:val="21"/>
                <w:szCs w:val="21"/>
                <w:highlight w:val="none"/>
              </w:rPr>
            </w:pPr>
          </w:p>
        </w:tc>
        <w:tc>
          <w:tcPr>
            <w:tcW w:w="1440" w:type="dxa"/>
            <w:vAlign w:val="center"/>
          </w:tcPr>
          <w:p>
            <w:pPr>
              <w:pStyle w:val="10"/>
              <w:spacing w:line="360" w:lineRule="auto"/>
              <w:rPr>
                <w:rFonts w:ascii="宋体" w:hAnsi="宋体" w:eastAsia="宋体" w:cs="Times New Roman"/>
                <w:sz w:val="21"/>
                <w:szCs w:val="21"/>
                <w:highlight w:val="none"/>
              </w:rPr>
            </w:pPr>
          </w:p>
        </w:tc>
        <w:tc>
          <w:tcPr>
            <w:tcW w:w="1706" w:type="dxa"/>
            <w:vAlign w:val="center"/>
          </w:tcPr>
          <w:p>
            <w:pPr>
              <w:pStyle w:val="10"/>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2</w:t>
            </w:r>
          </w:p>
        </w:tc>
        <w:tc>
          <w:tcPr>
            <w:tcW w:w="1808" w:type="dxa"/>
            <w:vAlign w:val="center"/>
          </w:tcPr>
          <w:p>
            <w:pPr>
              <w:pStyle w:val="10"/>
              <w:spacing w:line="360" w:lineRule="auto"/>
              <w:rPr>
                <w:rFonts w:ascii="宋体" w:hAnsi="宋体" w:eastAsia="宋体" w:cs="Times New Roman"/>
                <w:sz w:val="21"/>
                <w:szCs w:val="21"/>
                <w:highlight w:val="none"/>
              </w:rPr>
            </w:pPr>
          </w:p>
        </w:tc>
        <w:tc>
          <w:tcPr>
            <w:tcW w:w="3579" w:type="dxa"/>
            <w:vAlign w:val="center"/>
          </w:tcPr>
          <w:p>
            <w:pPr>
              <w:pStyle w:val="10"/>
              <w:spacing w:line="360" w:lineRule="auto"/>
              <w:rPr>
                <w:rFonts w:ascii="宋体" w:hAnsi="宋体" w:eastAsia="宋体" w:cs="Times New Roman"/>
                <w:sz w:val="21"/>
                <w:szCs w:val="21"/>
                <w:highlight w:val="none"/>
              </w:rPr>
            </w:pPr>
          </w:p>
        </w:tc>
        <w:tc>
          <w:tcPr>
            <w:tcW w:w="1440" w:type="dxa"/>
            <w:vAlign w:val="center"/>
          </w:tcPr>
          <w:p>
            <w:pPr>
              <w:pStyle w:val="10"/>
              <w:spacing w:line="360" w:lineRule="auto"/>
              <w:rPr>
                <w:rFonts w:ascii="宋体" w:hAnsi="宋体" w:eastAsia="宋体" w:cs="Times New Roman"/>
                <w:sz w:val="21"/>
                <w:szCs w:val="21"/>
                <w:highlight w:val="none"/>
              </w:rPr>
            </w:pPr>
          </w:p>
        </w:tc>
        <w:tc>
          <w:tcPr>
            <w:tcW w:w="1706" w:type="dxa"/>
            <w:vAlign w:val="center"/>
          </w:tcPr>
          <w:p>
            <w:pPr>
              <w:pStyle w:val="10"/>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3</w:t>
            </w:r>
          </w:p>
        </w:tc>
        <w:tc>
          <w:tcPr>
            <w:tcW w:w="1808" w:type="dxa"/>
            <w:vAlign w:val="center"/>
          </w:tcPr>
          <w:p>
            <w:pPr>
              <w:pStyle w:val="10"/>
              <w:spacing w:line="360" w:lineRule="auto"/>
              <w:rPr>
                <w:rFonts w:ascii="宋体" w:hAnsi="宋体" w:eastAsia="宋体" w:cs="Times New Roman"/>
                <w:sz w:val="21"/>
                <w:szCs w:val="21"/>
                <w:highlight w:val="none"/>
              </w:rPr>
            </w:pPr>
          </w:p>
        </w:tc>
        <w:tc>
          <w:tcPr>
            <w:tcW w:w="3579" w:type="dxa"/>
            <w:vAlign w:val="center"/>
          </w:tcPr>
          <w:p>
            <w:pPr>
              <w:pStyle w:val="10"/>
              <w:spacing w:line="360" w:lineRule="auto"/>
              <w:rPr>
                <w:rFonts w:ascii="宋体" w:hAnsi="宋体" w:eastAsia="宋体" w:cs="Times New Roman"/>
                <w:sz w:val="21"/>
                <w:szCs w:val="21"/>
                <w:highlight w:val="none"/>
              </w:rPr>
            </w:pPr>
          </w:p>
        </w:tc>
        <w:tc>
          <w:tcPr>
            <w:tcW w:w="1440" w:type="dxa"/>
            <w:vAlign w:val="center"/>
          </w:tcPr>
          <w:p>
            <w:pPr>
              <w:pStyle w:val="10"/>
              <w:spacing w:line="360" w:lineRule="auto"/>
              <w:rPr>
                <w:rFonts w:ascii="宋体" w:hAnsi="宋体" w:eastAsia="宋体" w:cs="Times New Roman"/>
                <w:sz w:val="21"/>
                <w:szCs w:val="21"/>
                <w:highlight w:val="none"/>
              </w:rPr>
            </w:pPr>
          </w:p>
        </w:tc>
        <w:tc>
          <w:tcPr>
            <w:tcW w:w="1706" w:type="dxa"/>
            <w:vAlign w:val="center"/>
          </w:tcPr>
          <w:p>
            <w:pPr>
              <w:pStyle w:val="10"/>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4</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sz w:val="21"/>
                <w:szCs w:val="21"/>
                <w:highlight w:val="none"/>
              </w:rPr>
            </w:pPr>
            <w:r>
              <w:rPr>
                <w:rFonts w:hint="eastAsia" w:ascii="宋体" w:hAnsi="宋体" w:eastAsia="宋体" w:cs="宋体"/>
                <w:sz w:val="21"/>
                <w:szCs w:val="21"/>
                <w:highlight w:val="none"/>
              </w:rPr>
              <w:t>……</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 w:val="24"/>
          <w:szCs w:val="24"/>
          <w:highlight w:val="none"/>
          <w:lang w:val="zh-CN"/>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pStyle w:val="2"/>
        <w:rPr>
          <w:rFonts w:hint="eastAsia"/>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4.5 售后服务方案</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autoSpaceDE w:val="0"/>
        <w:autoSpaceDN w:val="0"/>
        <w:adjustRightInd w:val="0"/>
        <w:spacing w:line="360" w:lineRule="auto"/>
        <w:jc w:val="both"/>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4.6 中小企业声明函</w:t>
      </w:r>
    </w:p>
    <w:p>
      <w:pPr>
        <w:spacing w:line="360" w:lineRule="auto"/>
        <w:jc w:val="center"/>
        <w:rPr>
          <w:rFonts w:ascii="宋体" w:hAnsi="宋体"/>
          <w:b/>
          <w:bCs/>
          <w:color w:val="000000"/>
          <w:szCs w:val="21"/>
          <w:highlight w:val="none"/>
        </w:rPr>
      </w:pP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根据《工业和信息化部、国家统计局、国家发展和改革委员会、财政部关于印发中小企业划型标准规定的通知》（工信部联企业[2011]300号）规定的划分标准，</w:t>
      </w:r>
      <w:r>
        <w:rPr>
          <w:rFonts w:hint="eastAsia"/>
          <w:color w:val="000000"/>
          <w:szCs w:val="21"/>
          <w:highlight w:val="none"/>
        </w:rPr>
        <w:t>按照《国家统计局关于印发统计上大中小微型企业划分办法的通知》（国统字</w:t>
      </w:r>
      <w:r>
        <w:rPr>
          <w:color w:val="000000"/>
          <w:szCs w:val="21"/>
          <w:highlight w:val="none"/>
        </w:rPr>
        <w:t>[2011] 75</w:t>
      </w:r>
      <w:r>
        <w:rPr>
          <w:rFonts w:hint="eastAsia"/>
          <w:color w:val="000000"/>
          <w:szCs w:val="21"/>
          <w:highlight w:val="none"/>
        </w:rPr>
        <w:t>号）规定，本公司所属行业为</w:t>
      </w:r>
      <w:r>
        <w:rPr>
          <w:color w:val="000000"/>
          <w:szCs w:val="21"/>
          <w:highlight w:val="none"/>
        </w:rPr>
        <w:t>______</w:t>
      </w:r>
      <w:r>
        <w:rPr>
          <w:rFonts w:hint="eastAsia"/>
          <w:color w:val="000000"/>
          <w:szCs w:val="21"/>
          <w:highlight w:val="none"/>
        </w:rPr>
        <w:t>，截至上一财年末，公司资产总额</w:t>
      </w:r>
      <w:r>
        <w:rPr>
          <w:color w:val="000000"/>
          <w:szCs w:val="21"/>
          <w:highlight w:val="none"/>
        </w:rPr>
        <w:t>______</w:t>
      </w:r>
      <w:r>
        <w:rPr>
          <w:rFonts w:hint="eastAsia"/>
          <w:color w:val="000000"/>
          <w:szCs w:val="21"/>
          <w:highlight w:val="none"/>
        </w:rPr>
        <w:t>万元，营业收入</w:t>
      </w:r>
      <w:r>
        <w:rPr>
          <w:color w:val="000000"/>
          <w:szCs w:val="21"/>
          <w:highlight w:val="none"/>
        </w:rPr>
        <w:t>______</w:t>
      </w:r>
      <w:r>
        <w:rPr>
          <w:rFonts w:hint="eastAsia"/>
          <w:color w:val="000000"/>
          <w:szCs w:val="21"/>
          <w:highlight w:val="none"/>
        </w:rPr>
        <w:t>万元，从业人员</w:t>
      </w:r>
      <w:r>
        <w:rPr>
          <w:color w:val="000000"/>
          <w:szCs w:val="21"/>
          <w:highlight w:val="none"/>
        </w:rPr>
        <w:t>______</w:t>
      </w:r>
      <w:r>
        <w:rPr>
          <w:rFonts w:hint="eastAsia"/>
          <w:color w:val="000000"/>
          <w:szCs w:val="21"/>
          <w:highlight w:val="none"/>
        </w:rPr>
        <w:t>人，</w:t>
      </w:r>
      <w:r>
        <w:rPr>
          <w:rFonts w:hint="eastAsia" w:ascii="宋体" w:hAnsi="宋体" w:cs="Arial"/>
          <w:color w:val="000000"/>
          <w:kern w:val="0"/>
          <w:szCs w:val="21"/>
          <w:highlight w:val="none"/>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r>
        <w:rPr>
          <w:rFonts w:hint="eastAsia" w:ascii="宋体" w:hAnsi="宋体" w:cs="Arial"/>
          <w:color w:val="000000"/>
          <w:kern w:val="0"/>
          <w:szCs w:val="21"/>
          <w:highlight w:val="none"/>
        </w:rPr>
        <w:t>企业名称（盖章）：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日　  期：      </w:t>
      </w:r>
      <w:r>
        <w:rPr>
          <w:rFonts w:hint="eastAsia" w:cs="宋体" w:asciiTheme="minorEastAsia" w:hAnsiTheme="minorEastAsia"/>
          <w:szCs w:val="21"/>
          <w:highlight w:val="none"/>
        </w:rPr>
        <w:t>年    月    日</w:t>
      </w:r>
    </w:p>
    <w:p>
      <w:pPr>
        <w:widowControl/>
        <w:spacing w:before="100" w:beforeAutospacing="1" w:after="100" w:afterAutospacing="1" w:line="360" w:lineRule="auto"/>
        <w:contextualSpacing/>
        <w:jc w:val="left"/>
        <w:rPr>
          <w:rFonts w:ascii="宋体" w:hAnsi="宋体"/>
          <w:color w:val="000000"/>
          <w:szCs w:val="21"/>
          <w:highlight w:val="none"/>
        </w:rPr>
      </w:pPr>
      <w:r>
        <w:rPr>
          <w:rFonts w:hint="eastAsia" w:ascii="宋体" w:hAnsi="宋体"/>
          <w:color w:val="000000"/>
          <w:szCs w:val="21"/>
          <w:highlight w:val="none"/>
        </w:rPr>
        <w:t>说明：</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highlight w:val="none"/>
        </w:rPr>
      </w:pPr>
      <w:bookmarkStart w:id="27" w:name="OLE_LINK14"/>
      <w:bookmarkStart w:id="28" w:name="OLE_LINK13"/>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4.7 残疾人福利性单位声明函</w:t>
      </w:r>
    </w:p>
    <w:bookmarkEnd w:id="27"/>
    <w:bookmarkEnd w:id="28"/>
    <w:p>
      <w:pPr>
        <w:spacing w:line="360" w:lineRule="auto"/>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highlight w:val="none"/>
          <w:u w:val="single"/>
        </w:rPr>
        <w:t xml:space="preserve">        </w:t>
      </w:r>
      <w:r>
        <w:rPr>
          <w:rFonts w:hint="eastAsia" w:ascii="宋体" w:hAnsi="宋体"/>
          <w:szCs w:val="21"/>
          <w:highlight w:val="none"/>
        </w:rPr>
        <w:t>单位的</w:t>
      </w:r>
      <w:r>
        <w:rPr>
          <w:rFonts w:hint="eastAsia" w:ascii="宋体" w:hAnsi="宋体"/>
          <w:szCs w:val="21"/>
          <w:highlight w:val="none"/>
          <w:u w:val="single"/>
        </w:rPr>
        <w:t xml:space="preserve">           </w:t>
      </w:r>
      <w:r>
        <w:rPr>
          <w:rFonts w:hint="eastAsia" w:ascii="宋体" w:hAnsi="宋体"/>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highlight w:val="none"/>
        </w:rPr>
      </w:pPr>
      <w:r>
        <w:rPr>
          <w:rFonts w:hint="eastAsia" w:ascii="宋体" w:hAnsi="宋体"/>
          <w:szCs w:val="21"/>
          <w:highlight w:val="none"/>
        </w:rPr>
        <w:t>本单位对上述声明的真实性负责。如有虚假，将依法承担相应责任。</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单位名称（盖章）：</w:t>
      </w:r>
    </w:p>
    <w:p>
      <w:pPr>
        <w:spacing w:line="360" w:lineRule="auto"/>
        <w:rPr>
          <w:rFonts w:ascii="宋体" w:hAnsi="宋体"/>
          <w:szCs w:val="21"/>
          <w:highlight w:val="none"/>
        </w:rPr>
      </w:pPr>
      <w:r>
        <w:rPr>
          <w:rFonts w:hint="eastAsia" w:ascii="宋体" w:hAnsi="宋体"/>
          <w:szCs w:val="21"/>
          <w:highlight w:val="none"/>
        </w:rPr>
        <w:t xml:space="preserve">                                    日    期：      </w:t>
      </w:r>
      <w:r>
        <w:rPr>
          <w:rFonts w:hint="eastAsia" w:cs="宋体" w:asciiTheme="minorEastAsia" w:hAnsiTheme="minorEastAsia"/>
          <w:szCs w:val="21"/>
          <w:highlight w:val="none"/>
        </w:rPr>
        <w:t>年    月    日</w:t>
      </w:r>
    </w:p>
    <w:p>
      <w:pPr>
        <w:rPr>
          <w:highlight w:val="none"/>
        </w:rPr>
      </w:pPr>
    </w:p>
    <w:p>
      <w:pPr>
        <w:rPr>
          <w:highlight w:val="none"/>
        </w:rPr>
      </w:pPr>
    </w:p>
    <w:p>
      <w:pPr>
        <w:autoSpaceDE w:val="0"/>
        <w:autoSpaceDN w:val="0"/>
        <w:adjustRightInd w:val="0"/>
        <w:spacing w:line="360" w:lineRule="auto"/>
        <w:jc w:val="center"/>
        <w:outlineLvl w:val="0"/>
        <w:rPr>
          <w:rFonts w:hint="eastAsia" w:ascii="宋体" w:hAnsi="宋体"/>
          <w:b/>
          <w:bCs/>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highlight w:val="none"/>
        </w:rPr>
      </w:pPr>
    </w:p>
    <w:p>
      <w:pPr>
        <w:widowControl/>
        <w:spacing w:before="100" w:beforeAutospacing="1" w:after="100" w:afterAutospacing="1" w:line="360" w:lineRule="auto"/>
        <w:jc w:val="center"/>
        <w:rPr>
          <w:rFonts w:ascii="宋体" w:hAnsi="宋体"/>
          <w:b/>
          <w:bCs/>
          <w:color w:val="000000"/>
          <w:sz w:val="36"/>
          <w:szCs w:val="36"/>
          <w:highlight w:val="none"/>
        </w:rPr>
      </w:pPr>
    </w:p>
    <w:p>
      <w:pPr>
        <w:rPr>
          <w:highlight w:val="none"/>
        </w:rPr>
      </w:pPr>
    </w:p>
    <w:p>
      <w:pPr>
        <w:rPr>
          <w:highlight w:val="none"/>
        </w:rPr>
      </w:pPr>
    </w:p>
    <w:p>
      <w:pPr>
        <w:autoSpaceDE w:val="0"/>
        <w:autoSpaceDN w:val="0"/>
        <w:adjustRightInd w:val="0"/>
        <w:spacing w:line="360" w:lineRule="auto"/>
        <w:jc w:val="center"/>
        <w:rPr>
          <w:rFonts w:hint="eastAsia" w:cs="黑体" w:asciiTheme="minorEastAsia" w:hAnsiTheme="minorEastAsia"/>
          <w:b/>
          <w:bCs/>
          <w:sz w:val="28"/>
          <w:szCs w:val="28"/>
          <w:highlight w:val="none"/>
          <w:lang w:val="zh-CN"/>
        </w:rPr>
      </w:pPr>
    </w:p>
    <w:p>
      <w:pPr>
        <w:autoSpaceDE w:val="0"/>
        <w:autoSpaceDN w:val="0"/>
        <w:adjustRightInd w:val="0"/>
        <w:spacing w:line="360" w:lineRule="auto"/>
        <w:jc w:val="center"/>
        <w:rPr>
          <w:rFonts w:hint="eastAsia" w:cs="黑体" w:asciiTheme="minorEastAsia" w:hAnsiTheme="minorEastAsia"/>
          <w:b/>
          <w:bCs/>
          <w:sz w:val="28"/>
          <w:szCs w:val="28"/>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五、</w:t>
      </w:r>
      <w:r>
        <w:rPr>
          <w:rFonts w:cs="黑体" w:asciiTheme="minorEastAsia" w:hAnsiTheme="minorEastAsia"/>
          <w:b/>
          <w:bCs/>
          <w:sz w:val="28"/>
          <w:szCs w:val="28"/>
          <w:highlight w:val="none"/>
          <w:lang w:val="zh-CN"/>
        </w:rPr>
        <w:t>其他资料（若有）</w:t>
      </w:r>
    </w:p>
    <w:p>
      <w:pPr>
        <w:rPr>
          <w:highlight w:val="none"/>
        </w:rPr>
      </w:pPr>
    </w:p>
    <w:p>
      <w:pPr>
        <w:rPr>
          <w:highlight w:val="none"/>
        </w:rPr>
      </w:pPr>
    </w:p>
    <w:p>
      <w:pPr>
        <w:rPr>
          <w:highlight w:val="none"/>
        </w:rPr>
      </w:pP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除招标文件另有规定外，投标人认为需要提交的其他证明材料或资料加盖投标人的单位公章后应在此项下提交。</w:t>
      </w:r>
    </w:p>
    <w:p/>
    <w:sectPr>
      <w:pgSz w:w="11906" w:h="16838"/>
      <w:pgMar w:top="2098" w:right="1474" w:bottom="1928"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ESEhnrgEAAEwD&#10;AAAOAAAAAAAAAAEAIAAAAB4BAABkcnMvZTJvRG9jLnhtbFBLBQYAAAAABgAGAFkBAAA+BQAAAAA=&#10;">
              <v:fill on="f" focussize="0,0"/>
              <v:stroke on="f"/>
              <v:imagedata o:title=""/>
              <o:lock v:ext="edit" aspectratio="f"/>
              <v:textbox inset="0mm,0mm,0mm,0mm" style="mso-fit-shape-to-text:t;">
                <w:txbxContent>
                  <w:p>
                    <w:pPr>
                      <w:pStyle w:val="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hint="eastAsia" w:eastAsiaTheme="minorEastAsia"/>
        <w:sz w:val="21"/>
        <w:szCs w:val="21"/>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96133"/>
    <w:multiLevelType w:val="singleLevel"/>
    <w:tmpl w:val="81496133"/>
    <w:lvl w:ilvl="0" w:tentative="0">
      <w:start w:val="1"/>
      <w:numFmt w:val="chineseCounting"/>
      <w:suff w:val="nothing"/>
      <w:lvlText w:val="%1、"/>
      <w:lvlJc w:val="left"/>
      <w:rPr>
        <w:rFonts w:hint="eastAsia"/>
      </w:rPr>
    </w:lvl>
  </w:abstractNum>
  <w:abstractNum w:abstractNumId="1">
    <w:nsid w:val="93AEEDFB"/>
    <w:multiLevelType w:val="singleLevel"/>
    <w:tmpl w:val="93AEEDFB"/>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E8"/>
    <w:multiLevelType w:val="singleLevel"/>
    <w:tmpl w:val="59F817E8"/>
    <w:lvl w:ilvl="0" w:tentative="0">
      <w:start w:val="1"/>
      <w:numFmt w:val="chineseCounting"/>
      <w:pStyle w:val="55"/>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4"/>
  </w:num>
  <w:num w:numId="4">
    <w:abstractNumId w:val="0"/>
  </w:num>
  <w:num w:numId="5">
    <w:abstractNumId w:val="1"/>
  </w:num>
  <w:num w:numId="6">
    <w:abstractNumId w:val="9"/>
  </w:num>
  <w:num w:numId="7">
    <w:abstractNumId w:val="15"/>
  </w:num>
  <w:num w:numId="8">
    <w:abstractNumId w:val="10"/>
  </w:num>
  <w:num w:numId="9">
    <w:abstractNumId w:val="6"/>
  </w:num>
  <w:num w:numId="10">
    <w:abstractNumId w:val="7"/>
  </w:num>
  <w:num w:numId="11">
    <w:abstractNumId w:val="17"/>
  </w:num>
  <w:num w:numId="12">
    <w:abstractNumId w:val="12"/>
  </w:num>
  <w:num w:numId="13">
    <w:abstractNumId w:val="16"/>
  </w:num>
  <w:num w:numId="14">
    <w:abstractNumId w:val="5"/>
  </w:num>
  <w:num w:numId="15">
    <w:abstractNumId w:val="8"/>
  </w:num>
  <w:num w:numId="16">
    <w:abstractNumId w:val="1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2154"/>
    <w:rsid w:val="003342D8"/>
    <w:rsid w:val="0033506B"/>
    <w:rsid w:val="00342089"/>
    <w:rsid w:val="00352DF4"/>
    <w:rsid w:val="0035369D"/>
    <w:rsid w:val="00360545"/>
    <w:rsid w:val="0036152C"/>
    <w:rsid w:val="003639CB"/>
    <w:rsid w:val="0036447A"/>
    <w:rsid w:val="00371295"/>
    <w:rsid w:val="003726CA"/>
    <w:rsid w:val="00377AC4"/>
    <w:rsid w:val="00380522"/>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6124"/>
    <w:rsid w:val="007B7A09"/>
    <w:rsid w:val="007E357B"/>
    <w:rsid w:val="007E740A"/>
    <w:rsid w:val="007F13CB"/>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7135F"/>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F1177"/>
    <w:rsid w:val="00FF1CC3"/>
    <w:rsid w:val="00FF4CB4"/>
    <w:rsid w:val="00FF5143"/>
    <w:rsid w:val="00FF5683"/>
    <w:rsid w:val="01390456"/>
    <w:rsid w:val="01447A6E"/>
    <w:rsid w:val="01825D65"/>
    <w:rsid w:val="024D63D8"/>
    <w:rsid w:val="02792DF9"/>
    <w:rsid w:val="033E37E9"/>
    <w:rsid w:val="037D36E0"/>
    <w:rsid w:val="03EA15C2"/>
    <w:rsid w:val="045D0829"/>
    <w:rsid w:val="04AF0E59"/>
    <w:rsid w:val="04B6708D"/>
    <w:rsid w:val="05074704"/>
    <w:rsid w:val="057B354B"/>
    <w:rsid w:val="05B77FB5"/>
    <w:rsid w:val="05DE4BBF"/>
    <w:rsid w:val="05FD3580"/>
    <w:rsid w:val="060D0F4C"/>
    <w:rsid w:val="06997BB4"/>
    <w:rsid w:val="06C90EA4"/>
    <w:rsid w:val="06FA3691"/>
    <w:rsid w:val="071634BB"/>
    <w:rsid w:val="072B2A58"/>
    <w:rsid w:val="07A65462"/>
    <w:rsid w:val="07B2206C"/>
    <w:rsid w:val="07E34D91"/>
    <w:rsid w:val="0832787D"/>
    <w:rsid w:val="08D33AB0"/>
    <w:rsid w:val="08D412D3"/>
    <w:rsid w:val="094708F0"/>
    <w:rsid w:val="09AB7765"/>
    <w:rsid w:val="09C26AAB"/>
    <w:rsid w:val="09D35929"/>
    <w:rsid w:val="0A0D3BF7"/>
    <w:rsid w:val="0A1D0242"/>
    <w:rsid w:val="0A582101"/>
    <w:rsid w:val="0A884F8D"/>
    <w:rsid w:val="0AEA33C6"/>
    <w:rsid w:val="0B0D26AE"/>
    <w:rsid w:val="0B655CE8"/>
    <w:rsid w:val="0B8B2C0E"/>
    <w:rsid w:val="0C147012"/>
    <w:rsid w:val="0C1E5443"/>
    <w:rsid w:val="0D4A3F69"/>
    <w:rsid w:val="0DF12605"/>
    <w:rsid w:val="0E7952E9"/>
    <w:rsid w:val="0E896F5E"/>
    <w:rsid w:val="0F3E63F3"/>
    <w:rsid w:val="0F8B4EDF"/>
    <w:rsid w:val="0FF7671E"/>
    <w:rsid w:val="1005414B"/>
    <w:rsid w:val="107B1AA5"/>
    <w:rsid w:val="10AD2136"/>
    <w:rsid w:val="10DB0E3A"/>
    <w:rsid w:val="10E64FA4"/>
    <w:rsid w:val="11230D66"/>
    <w:rsid w:val="1225740F"/>
    <w:rsid w:val="12AB14DA"/>
    <w:rsid w:val="12DF1D7A"/>
    <w:rsid w:val="131A0AC4"/>
    <w:rsid w:val="13464CFF"/>
    <w:rsid w:val="1352510F"/>
    <w:rsid w:val="138C5D11"/>
    <w:rsid w:val="14481A36"/>
    <w:rsid w:val="144E2E47"/>
    <w:rsid w:val="14774962"/>
    <w:rsid w:val="147979F5"/>
    <w:rsid w:val="151425E2"/>
    <w:rsid w:val="155D57D3"/>
    <w:rsid w:val="156C482A"/>
    <w:rsid w:val="16454CB4"/>
    <w:rsid w:val="16B05AE2"/>
    <w:rsid w:val="16EE25B5"/>
    <w:rsid w:val="17461A6F"/>
    <w:rsid w:val="17873035"/>
    <w:rsid w:val="17B353A0"/>
    <w:rsid w:val="180B3EAF"/>
    <w:rsid w:val="18255157"/>
    <w:rsid w:val="182D7A38"/>
    <w:rsid w:val="19C034BA"/>
    <w:rsid w:val="19EF4D1E"/>
    <w:rsid w:val="19FC27DC"/>
    <w:rsid w:val="1A62326D"/>
    <w:rsid w:val="1ACA1E35"/>
    <w:rsid w:val="1ACE55B0"/>
    <w:rsid w:val="1AE83DEE"/>
    <w:rsid w:val="1BC87D4C"/>
    <w:rsid w:val="1BEA20E3"/>
    <w:rsid w:val="1C1B05BD"/>
    <w:rsid w:val="1C356F66"/>
    <w:rsid w:val="1C601FEB"/>
    <w:rsid w:val="1CD61635"/>
    <w:rsid w:val="1CDC0915"/>
    <w:rsid w:val="1D995FE6"/>
    <w:rsid w:val="1E104CC6"/>
    <w:rsid w:val="1E8112E5"/>
    <w:rsid w:val="1EA31AA7"/>
    <w:rsid w:val="1EA55F9C"/>
    <w:rsid w:val="1EBB174A"/>
    <w:rsid w:val="1EC1311C"/>
    <w:rsid w:val="1ED23A28"/>
    <w:rsid w:val="1F1F47D2"/>
    <w:rsid w:val="1FA95CE3"/>
    <w:rsid w:val="203F2A24"/>
    <w:rsid w:val="208814A1"/>
    <w:rsid w:val="20F470A4"/>
    <w:rsid w:val="212A0558"/>
    <w:rsid w:val="2162206B"/>
    <w:rsid w:val="21FD24F1"/>
    <w:rsid w:val="224A68C9"/>
    <w:rsid w:val="22CF5438"/>
    <w:rsid w:val="23007671"/>
    <w:rsid w:val="23471EA4"/>
    <w:rsid w:val="236F406A"/>
    <w:rsid w:val="238D5EAE"/>
    <w:rsid w:val="23BE10D0"/>
    <w:rsid w:val="242A45F5"/>
    <w:rsid w:val="2439372E"/>
    <w:rsid w:val="24564A45"/>
    <w:rsid w:val="249F750E"/>
    <w:rsid w:val="25070EFD"/>
    <w:rsid w:val="251B52D3"/>
    <w:rsid w:val="2522384D"/>
    <w:rsid w:val="25270B1A"/>
    <w:rsid w:val="252854C3"/>
    <w:rsid w:val="256D0A1D"/>
    <w:rsid w:val="25B51B58"/>
    <w:rsid w:val="25D57056"/>
    <w:rsid w:val="26B80006"/>
    <w:rsid w:val="26DC0159"/>
    <w:rsid w:val="278C1C95"/>
    <w:rsid w:val="279B317D"/>
    <w:rsid w:val="27BC29E9"/>
    <w:rsid w:val="28490A42"/>
    <w:rsid w:val="286F17E1"/>
    <w:rsid w:val="28974586"/>
    <w:rsid w:val="289815FF"/>
    <w:rsid w:val="28D35F51"/>
    <w:rsid w:val="28EB1F76"/>
    <w:rsid w:val="29B67ECC"/>
    <w:rsid w:val="29E0543E"/>
    <w:rsid w:val="2ABC039A"/>
    <w:rsid w:val="2B5B3B51"/>
    <w:rsid w:val="2B780333"/>
    <w:rsid w:val="2BA66279"/>
    <w:rsid w:val="2BA714D8"/>
    <w:rsid w:val="2BCD3364"/>
    <w:rsid w:val="2C256314"/>
    <w:rsid w:val="2C635DC2"/>
    <w:rsid w:val="2C90020A"/>
    <w:rsid w:val="2C9C64D5"/>
    <w:rsid w:val="2CEB282C"/>
    <w:rsid w:val="2D0848CD"/>
    <w:rsid w:val="2D0F1323"/>
    <w:rsid w:val="2DBF1270"/>
    <w:rsid w:val="2E315D3D"/>
    <w:rsid w:val="2E7D7073"/>
    <w:rsid w:val="2EDE5083"/>
    <w:rsid w:val="2F180EBD"/>
    <w:rsid w:val="2F3050A6"/>
    <w:rsid w:val="2F4665A7"/>
    <w:rsid w:val="2F521A74"/>
    <w:rsid w:val="2FE35BD9"/>
    <w:rsid w:val="2FF95335"/>
    <w:rsid w:val="302D68C7"/>
    <w:rsid w:val="30564F66"/>
    <w:rsid w:val="30955D0D"/>
    <w:rsid w:val="30F219D5"/>
    <w:rsid w:val="317A49A2"/>
    <w:rsid w:val="31F30255"/>
    <w:rsid w:val="325C5C51"/>
    <w:rsid w:val="326A61A4"/>
    <w:rsid w:val="32F2123C"/>
    <w:rsid w:val="32FE52A3"/>
    <w:rsid w:val="33144C3F"/>
    <w:rsid w:val="33450253"/>
    <w:rsid w:val="336E2B65"/>
    <w:rsid w:val="3376073A"/>
    <w:rsid w:val="337665FD"/>
    <w:rsid w:val="33813D07"/>
    <w:rsid w:val="33AB71B6"/>
    <w:rsid w:val="33BC3DF7"/>
    <w:rsid w:val="33F73B97"/>
    <w:rsid w:val="33FB100A"/>
    <w:rsid w:val="3491005B"/>
    <w:rsid w:val="351E0353"/>
    <w:rsid w:val="35242405"/>
    <w:rsid w:val="35720B41"/>
    <w:rsid w:val="358E6C89"/>
    <w:rsid w:val="35966314"/>
    <w:rsid w:val="35DB3970"/>
    <w:rsid w:val="35F71CD8"/>
    <w:rsid w:val="3629775B"/>
    <w:rsid w:val="368E7957"/>
    <w:rsid w:val="36ED49BA"/>
    <w:rsid w:val="37982F21"/>
    <w:rsid w:val="381308DA"/>
    <w:rsid w:val="385649D3"/>
    <w:rsid w:val="386E036E"/>
    <w:rsid w:val="38A2186F"/>
    <w:rsid w:val="38B71A46"/>
    <w:rsid w:val="38C21441"/>
    <w:rsid w:val="39026780"/>
    <w:rsid w:val="390B6CC6"/>
    <w:rsid w:val="393B10AC"/>
    <w:rsid w:val="39EB30B4"/>
    <w:rsid w:val="3AA4398C"/>
    <w:rsid w:val="3ADB7E7C"/>
    <w:rsid w:val="3B315113"/>
    <w:rsid w:val="3BA50C56"/>
    <w:rsid w:val="3BCF65C0"/>
    <w:rsid w:val="3BD66268"/>
    <w:rsid w:val="3C174CEA"/>
    <w:rsid w:val="3C3113B5"/>
    <w:rsid w:val="3C397C39"/>
    <w:rsid w:val="3C4B07BF"/>
    <w:rsid w:val="3C55736B"/>
    <w:rsid w:val="3CFC7275"/>
    <w:rsid w:val="3E901FF2"/>
    <w:rsid w:val="3EA63AD8"/>
    <w:rsid w:val="3F082C3A"/>
    <w:rsid w:val="3F4848BC"/>
    <w:rsid w:val="404B2C3C"/>
    <w:rsid w:val="406977B5"/>
    <w:rsid w:val="4071373E"/>
    <w:rsid w:val="408771AA"/>
    <w:rsid w:val="40A13F77"/>
    <w:rsid w:val="40C44233"/>
    <w:rsid w:val="410A1693"/>
    <w:rsid w:val="41A22543"/>
    <w:rsid w:val="41A52CAC"/>
    <w:rsid w:val="421B1247"/>
    <w:rsid w:val="42420EB4"/>
    <w:rsid w:val="42B06AFB"/>
    <w:rsid w:val="431036A3"/>
    <w:rsid w:val="43437ACA"/>
    <w:rsid w:val="43A74440"/>
    <w:rsid w:val="44570978"/>
    <w:rsid w:val="44707CD3"/>
    <w:rsid w:val="44E04CBA"/>
    <w:rsid w:val="45590BBB"/>
    <w:rsid w:val="455B7EE5"/>
    <w:rsid w:val="45811C7C"/>
    <w:rsid w:val="458C7F00"/>
    <w:rsid w:val="464A19B1"/>
    <w:rsid w:val="466E5A81"/>
    <w:rsid w:val="467F2E71"/>
    <w:rsid w:val="46992428"/>
    <w:rsid w:val="46B9700A"/>
    <w:rsid w:val="46DD57B2"/>
    <w:rsid w:val="470D0BD6"/>
    <w:rsid w:val="47173181"/>
    <w:rsid w:val="4737700F"/>
    <w:rsid w:val="478F3D50"/>
    <w:rsid w:val="47DA4879"/>
    <w:rsid w:val="48094630"/>
    <w:rsid w:val="481A5868"/>
    <w:rsid w:val="486D01B8"/>
    <w:rsid w:val="48EB5BC7"/>
    <w:rsid w:val="48FA38C1"/>
    <w:rsid w:val="49D30015"/>
    <w:rsid w:val="4A291F45"/>
    <w:rsid w:val="4A880954"/>
    <w:rsid w:val="4B654CF1"/>
    <w:rsid w:val="4BC6330D"/>
    <w:rsid w:val="4C1E4B6B"/>
    <w:rsid w:val="4C480673"/>
    <w:rsid w:val="4CC35F0E"/>
    <w:rsid w:val="4CFC405F"/>
    <w:rsid w:val="4D006899"/>
    <w:rsid w:val="4D533436"/>
    <w:rsid w:val="4D611F71"/>
    <w:rsid w:val="4E362F3D"/>
    <w:rsid w:val="4E7C6450"/>
    <w:rsid w:val="4F004D7D"/>
    <w:rsid w:val="4F172A5E"/>
    <w:rsid w:val="4F1F15A6"/>
    <w:rsid w:val="4F500B52"/>
    <w:rsid w:val="4F9E6E93"/>
    <w:rsid w:val="4FD2735A"/>
    <w:rsid w:val="50AA04D1"/>
    <w:rsid w:val="514110D6"/>
    <w:rsid w:val="51415FCD"/>
    <w:rsid w:val="51D14FE6"/>
    <w:rsid w:val="51E34166"/>
    <w:rsid w:val="51F309B4"/>
    <w:rsid w:val="520A719A"/>
    <w:rsid w:val="527E7AC0"/>
    <w:rsid w:val="52A74F4C"/>
    <w:rsid w:val="52D32996"/>
    <w:rsid w:val="52DD34BD"/>
    <w:rsid w:val="537D225C"/>
    <w:rsid w:val="538F4330"/>
    <w:rsid w:val="53BE2216"/>
    <w:rsid w:val="53FC735A"/>
    <w:rsid w:val="544B397B"/>
    <w:rsid w:val="54785AD6"/>
    <w:rsid w:val="5484285A"/>
    <w:rsid w:val="54B428E3"/>
    <w:rsid w:val="54B94ACC"/>
    <w:rsid w:val="553523A8"/>
    <w:rsid w:val="55B934D1"/>
    <w:rsid w:val="566148BB"/>
    <w:rsid w:val="56DF6DD5"/>
    <w:rsid w:val="574C699C"/>
    <w:rsid w:val="580A30CF"/>
    <w:rsid w:val="589606EA"/>
    <w:rsid w:val="58E40A7A"/>
    <w:rsid w:val="58F14610"/>
    <w:rsid w:val="59487EBF"/>
    <w:rsid w:val="59921B8E"/>
    <w:rsid w:val="59EA6C80"/>
    <w:rsid w:val="5AAB4047"/>
    <w:rsid w:val="5B1F0BB5"/>
    <w:rsid w:val="5B394193"/>
    <w:rsid w:val="5BCB29C6"/>
    <w:rsid w:val="5BD37E52"/>
    <w:rsid w:val="5C741834"/>
    <w:rsid w:val="5CAE3B9E"/>
    <w:rsid w:val="5D0920F7"/>
    <w:rsid w:val="5D4964F6"/>
    <w:rsid w:val="5D4C2C12"/>
    <w:rsid w:val="5D73605D"/>
    <w:rsid w:val="5D9A42F0"/>
    <w:rsid w:val="5DEF65F7"/>
    <w:rsid w:val="5DF346D6"/>
    <w:rsid w:val="5ED55EAC"/>
    <w:rsid w:val="5EEB39C0"/>
    <w:rsid w:val="5EF07F8B"/>
    <w:rsid w:val="5F732092"/>
    <w:rsid w:val="5F842FAD"/>
    <w:rsid w:val="5F8C1636"/>
    <w:rsid w:val="5FE60DCD"/>
    <w:rsid w:val="60607234"/>
    <w:rsid w:val="60875D66"/>
    <w:rsid w:val="60936524"/>
    <w:rsid w:val="60DC2489"/>
    <w:rsid w:val="610C276E"/>
    <w:rsid w:val="615D776E"/>
    <w:rsid w:val="61FD0793"/>
    <w:rsid w:val="62A27B5F"/>
    <w:rsid w:val="63250FF2"/>
    <w:rsid w:val="632D7F14"/>
    <w:rsid w:val="6376328F"/>
    <w:rsid w:val="6384459C"/>
    <w:rsid w:val="63A53E26"/>
    <w:rsid w:val="63F36EE2"/>
    <w:rsid w:val="642B11B3"/>
    <w:rsid w:val="642E6DB3"/>
    <w:rsid w:val="64605E8D"/>
    <w:rsid w:val="65186307"/>
    <w:rsid w:val="65474491"/>
    <w:rsid w:val="654C3139"/>
    <w:rsid w:val="65C8389E"/>
    <w:rsid w:val="66092B9F"/>
    <w:rsid w:val="665553D9"/>
    <w:rsid w:val="665673CF"/>
    <w:rsid w:val="66620059"/>
    <w:rsid w:val="666C7C7A"/>
    <w:rsid w:val="66713D6F"/>
    <w:rsid w:val="669E05B4"/>
    <w:rsid w:val="66A66F17"/>
    <w:rsid w:val="66C91887"/>
    <w:rsid w:val="682F0824"/>
    <w:rsid w:val="68805053"/>
    <w:rsid w:val="68D42E51"/>
    <w:rsid w:val="695F36FC"/>
    <w:rsid w:val="696C1C7A"/>
    <w:rsid w:val="69A96AE6"/>
    <w:rsid w:val="69BC25E6"/>
    <w:rsid w:val="69BD1CB0"/>
    <w:rsid w:val="6A1D2A23"/>
    <w:rsid w:val="6A3D240C"/>
    <w:rsid w:val="6A404448"/>
    <w:rsid w:val="6A424D4D"/>
    <w:rsid w:val="6A4322F0"/>
    <w:rsid w:val="6AC50371"/>
    <w:rsid w:val="6AF159F1"/>
    <w:rsid w:val="6B694AAD"/>
    <w:rsid w:val="6B731E71"/>
    <w:rsid w:val="6B7E4658"/>
    <w:rsid w:val="6B9664C0"/>
    <w:rsid w:val="6C8D12E5"/>
    <w:rsid w:val="6C995C66"/>
    <w:rsid w:val="6CAA5030"/>
    <w:rsid w:val="6D3C0DEA"/>
    <w:rsid w:val="6DA86A67"/>
    <w:rsid w:val="6EAB3F30"/>
    <w:rsid w:val="6F1A08B3"/>
    <w:rsid w:val="6F2F74E8"/>
    <w:rsid w:val="6FA12CBC"/>
    <w:rsid w:val="6FBC63CA"/>
    <w:rsid w:val="6FC55624"/>
    <w:rsid w:val="70042F8B"/>
    <w:rsid w:val="70371048"/>
    <w:rsid w:val="71127F56"/>
    <w:rsid w:val="722618D3"/>
    <w:rsid w:val="722B6EA2"/>
    <w:rsid w:val="72402A78"/>
    <w:rsid w:val="725E2CD2"/>
    <w:rsid w:val="72613CA4"/>
    <w:rsid w:val="72B26E4A"/>
    <w:rsid w:val="72C02214"/>
    <w:rsid w:val="73372186"/>
    <w:rsid w:val="73651F27"/>
    <w:rsid w:val="738E76C6"/>
    <w:rsid w:val="73C7764A"/>
    <w:rsid w:val="74152B4D"/>
    <w:rsid w:val="743E3E15"/>
    <w:rsid w:val="74615012"/>
    <w:rsid w:val="748305F3"/>
    <w:rsid w:val="74E91DA7"/>
    <w:rsid w:val="755B3480"/>
    <w:rsid w:val="757D07F4"/>
    <w:rsid w:val="762C2EA6"/>
    <w:rsid w:val="762C6F8E"/>
    <w:rsid w:val="768205BA"/>
    <w:rsid w:val="76BC124E"/>
    <w:rsid w:val="76EE1A8B"/>
    <w:rsid w:val="76FC2987"/>
    <w:rsid w:val="76FE31D4"/>
    <w:rsid w:val="7765578C"/>
    <w:rsid w:val="78126F6B"/>
    <w:rsid w:val="7819078C"/>
    <w:rsid w:val="781E684D"/>
    <w:rsid w:val="78735A1C"/>
    <w:rsid w:val="7A092441"/>
    <w:rsid w:val="7A1E2386"/>
    <w:rsid w:val="7A48627C"/>
    <w:rsid w:val="7A8360E8"/>
    <w:rsid w:val="7BB15870"/>
    <w:rsid w:val="7C0D0250"/>
    <w:rsid w:val="7C7B292E"/>
    <w:rsid w:val="7D442DA0"/>
    <w:rsid w:val="7D602F1A"/>
    <w:rsid w:val="7E204AF7"/>
    <w:rsid w:val="7E367FCB"/>
    <w:rsid w:val="7E5A0FB8"/>
    <w:rsid w:val="7E67763B"/>
    <w:rsid w:val="7E711E02"/>
    <w:rsid w:val="7ECE5D8B"/>
    <w:rsid w:val="7FC4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57"/>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6"/>
    <w:semiHidden/>
    <w:unhideWhenUsed/>
    <w:qFormat/>
    <w:uiPriority w:val="99"/>
    <w:pPr>
      <w:spacing w:after="120"/>
    </w:pPr>
  </w:style>
  <w:style w:type="paragraph" w:styleId="8">
    <w:name w:val="table of authorities"/>
    <w:basedOn w:val="1"/>
    <w:next w:val="1"/>
    <w:qFormat/>
    <w:uiPriority w:val="0"/>
    <w:pPr>
      <w:ind w:left="420" w:leftChars="200"/>
    </w:p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annotation text"/>
    <w:basedOn w:val="1"/>
    <w:unhideWhenUsed/>
    <w:qFormat/>
    <w:uiPriority w:val="0"/>
    <w:pPr>
      <w:widowControl w:val="0"/>
      <w:jc w:val="left"/>
    </w:pPr>
    <w:rPr>
      <w:rFonts w:ascii="Calibri" w:hAnsi="Calibri" w:eastAsia="宋体" w:cs="Times New Roman"/>
      <w:sz w:val="20"/>
    </w:rPr>
  </w:style>
  <w:style w:type="paragraph" w:styleId="12">
    <w:name w:val="Body Text 3"/>
    <w:basedOn w:val="1"/>
    <w:link w:val="52"/>
    <w:qFormat/>
    <w:uiPriority w:val="0"/>
    <w:rPr>
      <w:rFonts w:ascii="Times New Roman" w:hAnsi="Times New Roman" w:eastAsia="宋体" w:cs="Times New Roman"/>
      <w:color w:val="FF0000"/>
      <w:sz w:val="24"/>
      <w:szCs w:val="24"/>
    </w:rPr>
  </w:style>
  <w:style w:type="paragraph" w:styleId="13">
    <w:name w:val="Body Text Indent"/>
    <w:basedOn w:val="1"/>
    <w:next w:val="14"/>
    <w:link w:val="60"/>
    <w:qFormat/>
    <w:uiPriority w:val="0"/>
    <w:pPr>
      <w:adjustRightInd w:val="0"/>
      <w:spacing w:after="120" w:line="360" w:lineRule="atLeast"/>
      <w:ind w:left="420" w:leftChars="200"/>
      <w:jc w:val="left"/>
      <w:textAlignment w:val="baseline"/>
    </w:pPr>
    <w:rPr>
      <w:sz w:val="24"/>
    </w:rPr>
  </w:style>
  <w:style w:type="paragraph" w:styleId="14">
    <w:name w:val="Body Text First Indent 2"/>
    <w:basedOn w:val="13"/>
    <w:unhideWhenUsed/>
    <w:qFormat/>
    <w:uiPriority w:val="99"/>
    <w:pPr>
      <w:ind w:firstLine="420" w:firstLineChars="200"/>
    </w:pPr>
  </w:style>
  <w:style w:type="paragraph" w:styleId="15">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6">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7">
    <w:name w:val="Plain Text"/>
    <w:basedOn w:val="1"/>
    <w:link w:val="37"/>
    <w:qFormat/>
    <w:uiPriority w:val="0"/>
    <w:rPr>
      <w:rFonts w:eastAsia="宋体"/>
      <w:sz w:val="24"/>
    </w:rPr>
  </w:style>
  <w:style w:type="paragraph" w:styleId="18">
    <w:name w:val="Date"/>
    <w:basedOn w:val="1"/>
    <w:next w:val="1"/>
    <w:link w:val="38"/>
    <w:unhideWhenUsed/>
    <w:qFormat/>
    <w:uiPriority w:val="99"/>
    <w:pPr>
      <w:ind w:left="100" w:leftChars="2500"/>
    </w:pPr>
  </w:style>
  <w:style w:type="paragraph" w:styleId="19">
    <w:name w:val="Balloon Text"/>
    <w:basedOn w:val="1"/>
    <w:link w:val="62"/>
    <w:semiHidden/>
    <w:unhideWhenUsed/>
    <w:qFormat/>
    <w:uiPriority w:val="99"/>
    <w:rPr>
      <w:sz w:val="18"/>
      <w:szCs w:val="18"/>
    </w:rPr>
  </w:style>
  <w:style w:type="paragraph" w:styleId="20">
    <w:name w:val="footer"/>
    <w:basedOn w:val="1"/>
    <w:link w:val="39"/>
    <w:unhideWhenUsed/>
    <w:qFormat/>
    <w:uiPriority w:val="99"/>
    <w:pPr>
      <w:tabs>
        <w:tab w:val="center" w:pos="4153"/>
        <w:tab w:val="right" w:pos="8306"/>
      </w:tabs>
      <w:snapToGrid w:val="0"/>
      <w:jc w:val="left"/>
    </w:pPr>
    <w:rPr>
      <w:sz w:val="18"/>
      <w:szCs w:val="18"/>
    </w:rPr>
  </w:style>
  <w:style w:type="paragraph" w:styleId="21">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3">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4">
    <w:name w:val="HTML Preformatted"/>
    <w:basedOn w:val="1"/>
    <w:link w:val="5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5">
    <w:name w:val="Normal (Web)"/>
    <w:basedOn w:val="1"/>
    <w:qFormat/>
    <w:uiPriority w:val="99"/>
    <w:rPr>
      <w:rFonts w:ascii="Calibri" w:hAnsi="Calibri" w:eastAsia="宋体" w:cs="Times New Roman"/>
      <w:sz w:val="24"/>
      <w:szCs w:val="24"/>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FollowedHyperlink"/>
    <w:basedOn w:val="28"/>
    <w:semiHidden/>
    <w:unhideWhenUsed/>
    <w:qFormat/>
    <w:uiPriority w:val="99"/>
    <w:rPr>
      <w:color w:val="800080" w:themeColor="followedHyperlink"/>
      <w:u w:val="single"/>
      <w14:textFill>
        <w14:solidFill>
          <w14:schemeClr w14:val="folHlink"/>
        </w14:solidFill>
      </w14:textFill>
    </w:rPr>
  </w:style>
  <w:style w:type="character" w:styleId="31">
    <w:name w:val="Emphasis"/>
    <w:basedOn w:val="28"/>
    <w:qFormat/>
    <w:uiPriority w:val="20"/>
  </w:style>
  <w:style w:type="character" w:styleId="32">
    <w:name w:val="Hyperlink"/>
    <w:basedOn w:val="28"/>
    <w:unhideWhenUsed/>
    <w:qFormat/>
    <w:uiPriority w:val="99"/>
    <w:rPr>
      <w:color w:val="000000"/>
      <w:u w:val="none"/>
    </w:rPr>
  </w:style>
  <w:style w:type="character" w:customStyle="1" w:styleId="33">
    <w:name w:val="标题 1 Char"/>
    <w:basedOn w:val="28"/>
    <w:link w:val="4"/>
    <w:qFormat/>
    <w:uiPriority w:val="0"/>
    <w:rPr>
      <w:rFonts w:ascii="Calibri" w:hAnsi="Calibri" w:eastAsia="宋体" w:cs="Times New Roman"/>
      <w:b/>
      <w:bCs/>
      <w:kern w:val="44"/>
      <w:sz w:val="44"/>
      <w:szCs w:val="44"/>
    </w:rPr>
  </w:style>
  <w:style w:type="character" w:customStyle="1" w:styleId="34">
    <w:name w:val="标题 2 Char"/>
    <w:basedOn w:val="28"/>
    <w:link w:val="5"/>
    <w:qFormat/>
    <w:uiPriority w:val="0"/>
    <w:rPr>
      <w:rFonts w:ascii="Arial" w:hAnsi="Arial" w:eastAsia="黑体" w:cs="Times New Roman"/>
      <w:b/>
      <w:bCs/>
      <w:kern w:val="0"/>
      <w:sz w:val="32"/>
      <w:szCs w:val="32"/>
    </w:rPr>
  </w:style>
  <w:style w:type="character" w:customStyle="1" w:styleId="35">
    <w:name w:val="标题 3 Char"/>
    <w:basedOn w:val="28"/>
    <w:link w:val="6"/>
    <w:qFormat/>
    <w:uiPriority w:val="0"/>
    <w:rPr>
      <w:rFonts w:ascii="宋体" w:hAnsi="宋体" w:eastAsia="宋体" w:cs="Times New Roman"/>
      <w:b/>
      <w:color w:val="000000"/>
      <w:kern w:val="0"/>
      <w:sz w:val="24"/>
      <w:szCs w:val="20"/>
      <w:lang w:val="en-GB"/>
    </w:rPr>
  </w:style>
  <w:style w:type="character" w:customStyle="1" w:styleId="36">
    <w:name w:val="标题 4 Char"/>
    <w:basedOn w:val="28"/>
    <w:link w:val="7"/>
    <w:qFormat/>
    <w:uiPriority w:val="0"/>
    <w:rPr>
      <w:rFonts w:ascii="Arial" w:hAnsi="Arial" w:eastAsia="黑体" w:cs="Times New Roman"/>
      <w:b/>
      <w:bCs/>
      <w:kern w:val="0"/>
      <w:sz w:val="28"/>
      <w:szCs w:val="28"/>
    </w:rPr>
  </w:style>
  <w:style w:type="character" w:customStyle="1" w:styleId="37">
    <w:name w:val="纯文本 Char"/>
    <w:basedOn w:val="28"/>
    <w:link w:val="17"/>
    <w:qFormat/>
    <w:uiPriority w:val="0"/>
    <w:rPr>
      <w:rFonts w:eastAsia="宋体"/>
      <w:sz w:val="24"/>
    </w:rPr>
  </w:style>
  <w:style w:type="character" w:customStyle="1" w:styleId="38">
    <w:name w:val="日期 Char"/>
    <w:basedOn w:val="28"/>
    <w:link w:val="18"/>
    <w:qFormat/>
    <w:uiPriority w:val="99"/>
  </w:style>
  <w:style w:type="character" w:customStyle="1" w:styleId="39">
    <w:name w:val="页脚 Char"/>
    <w:basedOn w:val="28"/>
    <w:link w:val="20"/>
    <w:qFormat/>
    <w:uiPriority w:val="99"/>
    <w:rPr>
      <w:sz w:val="18"/>
      <w:szCs w:val="18"/>
    </w:rPr>
  </w:style>
  <w:style w:type="character" w:customStyle="1" w:styleId="40">
    <w:name w:val="页眉 Char"/>
    <w:basedOn w:val="28"/>
    <w:link w:val="21"/>
    <w:qFormat/>
    <w:uiPriority w:val="99"/>
    <w:rPr>
      <w:sz w:val="18"/>
      <w:szCs w:val="18"/>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正文文本 3 Char"/>
    <w:basedOn w:val="28"/>
    <w:link w:val="12"/>
    <w:qFormat/>
    <w:uiPriority w:val="0"/>
    <w:rPr>
      <w:rFonts w:ascii="Times New Roman" w:hAnsi="Times New Roman" w:eastAsia="宋体" w:cs="Times New Roman"/>
      <w:color w:val="FF0000"/>
      <w:sz w:val="24"/>
      <w:szCs w:val="24"/>
    </w:rPr>
  </w:style>
  <w:style w:type="character" w:customStyle="1" w:styleId="53">
    <w:name w:val="edittexttarea"/>
    <w:basedOn w:val="28"/>
    <w:qFormat/>
    <w:uiPriority w:val="0"/>
  </w:style>
  <w:style w:type="paragraph" w:customStyle="1" w:styleId="54">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 Char"/>
    <w:basedOn w:val="28"/>
    <w:link w:val="3"/>
    <w:semiHidden/>
    <w:qFormat/>
    <w:uiPriority w:val="99"/>
  </w:style>
  <w:style w:type="character" w:customStyle="1" w:styleId="57">
    <w:name w:val="正文首行缩进 Char"/>
    <w:basedOn w:val="56"/>
    <w:link w:val="2"/>
    <w:qFormat/>
    <w:uiPriority w:val="0"/>
    <w:rPr>
      <w:rFonts w:ascii="宋体" w:hAnsi="Times New Roman" w:eastAsia="宋体" w:cs="Times New Roman"/>
      <w:kern w:val="0"/>
      <w:sz w:val="34"/>
      <w:szCs w:val="20"/>
    </w:rPr>
  </w:style>
  <w:style w:type="character" w:customStyle="1" w:styleId="58">
    <w:name w:val="HTML 预设格式 Char"/>
    <w:basedOn w:val="28"/>
    <w:link w:val="24"/>
    <w:semiHidden/>
    <w:qFormat/>
    <w:uiPriority w:val="99"/>
    <w:rPr>
      <w:rFonts w:ascii="宋体" w:hAnsi="宋体" w:eastAsia="宋体" w:cs="宋体"/>
      <w:kern w:val="0"/>
      <w:sz w:val="24"/>
      <w:szCs w:val="24"/>
    </w:rPr>
  </w:style>
  <w:style w:type="character" w:customStyle="1" w:styleId="59">
    <w:name w:val="正文文本缩进 Char"/>
    <w:link w:val="13"/>
    <w:qFormat/>
    <w:uiPriority w:val="0"/>
    <w:rPr>
      <w:sz w:val="24"/>
    </w:rPr>
  </w:style>
  <w:style w:type="character" w:customStyle="1" w:styleId="60">
    <w:name w:val="正文文本缩进 Char1"/>
    <w:basedOn w:val="28"/>
    <w:link w:val="13"/>
    <w:semiHidden/>
    <w:qFormat/>
    <w:uiPriority w:val="99"/>
  </w:style>
  <w:style w:type="character" w:styleId="61">
    <w:name w:val="Placeholder Text"/>
    <w:basedOn w:val="28"/>
    <w:semiHidden/>
    <w:qFormat/>
    <w:uiPriority w:val="99"/>
    <w:rPr>
      <w:color w:val="808080"/>
    </w:rPr>
  </w:style>
  <w:style w:type="character" w:customStyle="1" w:styleId="62">
    <w:name w:val="批注框文本 Char"/>
    <w:basedOn w:val="28"/>
    <w:link w:val="19"/>
    <w:semiHidden/>
    <w:qFormat/>
    <w:uiPriority w:val="99"/>
    <w:rPr>
      <w:sz w:val="18"/>
      <w:szCs w:val="18"/>
    </w:rPr>
  </w:style>
  <w:style w:type="character" w:customStyle="1" w:styleId="63">
    <w:name w:val="blue"/>
    <w:basedOn w:val="28"/>
    <w:qFormat/>
    <w:uiPriority w:val="0"/>
    <w:rPr>
      <w:color w:val="0371C6"/>
      <w:sz w:val="21"/>
      <w:szCs w:val="21"/>
    </w:rPr>
  </w:style>
  <w:style w:type="character" w:customStyle="1" w:styleId="64">
    <w:name w:val="green"/>
    <w:basedOn w:val="28"/>
    <w:qFormat/>
    <w:uiPriority w:val="0"/>
    <w:rPr>
      <w:color w:val="66AE00"/>
      <w:sz w:val="18"/>
      <w:szCs w:val="18"/>
    </w:rPr>
  </w:style>
  <w:style w:type="character" w:customStyle="1" w:styleId="65">
    <w:name w:val="green1"/>
    <w:basedOn w:val="28"/>
    <w:qFormat/>
    <w:uiPriority w:val="0"/>
    <w:rPr>
      <w:color w:val="66AE00"/>
      <w:sz w:val="18"/>
      <w:szCs w:val="18"/>
    </w:rPr>
  </w:style>
  <w:style w:type="character" w:customStyle="1" w:styleId="66">
    <w:name w:val="red"/>
    <w:basedOn w:val="28"/>
    <w:qFormat/>
    <w:uiPriority w:val="0"/>
    <w:rPr>
      <w:color w:val="FF0000"/>
      <w:sz w:val="18"/>
      <w:szCs w:val="18"/>
    </w:rPr>
  </w:style>
  <w:style w:type="character" w:customStyle="1" w:styleId="67">
    <w:name w:val="red1"/>
    <w:basedOn w:val="28"/>
    <w:qFormat/>
    <w:uiPriority w:val="0"/>
    <w:rPr>
      <w:color w:val="FF0000"/>
      <w:sz w:val="18"/>
      <w:szCs w:val="18"/>
    </w:rPr>
  </w:style>
  <w:style w:type="character" w:customStyle="1" w:styleId="68">
    <w:name w:val="red2"/>
    <w:basedOn w:val="28"/>
    <w:qFormat/>
    <w:uiPriority w:val="0"/>
    <w:rPr>
      <w:color w:val="CC0000"/>
    </w:rPr>
  </w:style>
  <w:style w:type="character" w:customStyle="1" w:styleId="69">
    <w:name w:val="red3"/>
    <w:basedOn w:val="28"/>
    <w:qFormat/>
    <w:uiPriority w:val="0"/>
    <w:rPr>
      <w:color w:val="FF0000"/>
    </w:rPr>
  </w:style>
  <w:style w:type="character" w:customStyle="1" w:styleId="70">
    <w:name w:val="hover25"/>
    <w:basedOn w:val="28"/>
    <w:qFormat/>
    <w:uiPriority w:val="0"/>
  </w:style>
  <w:style w:type="character" w:customStyle="1" w:styleId="71">
    <w:name w:val="gb-jt"/>
    <w:basedOn w:val="28"/>
    <w:qFormat/>
    <w:uiPriority w:val="0"/>
  </w:style>
  <w:style w:type="character" w:customStyle="1" w:styleId="72">
    <w:name w:val="right"/>
    <w:basedOn w:val="28"/>
    <w:qFormat/>
    <w:uiPriority w:val="0"/>
    <w:rPr>
      <w:color w:val="999999"/>
      <w:sz w:val="18"/>
      <w:szCs w:val="18"/>
    </w:rPr>
  </w:style>
  <w:style w:type="paragraph" w:customStyle="1" w:styleId="73">
    <w:name w:val="Table Paragraph"/>
    <w:basedOn w:val="1"/>
    <w:qFormat/>
    <w:uiPriority w:val="1"/>
  </w:style>
  <w:style w:type="character" w:customStyle="1" w:styleId="74">
    <w:name w:val="font22"/>
    <w:basedOn w:val="28"/>
    <w:qFormat/>
    <w:uiPriority w:val="0"/>
    <w:rPr>
      <w:rFonts w:hint="eastAsia" w:ascii="宋体" w:hAnsi="宋体" w:eastAsia="宋体" w:cs="宋体"/>
      <w:color w:val="000000"/>
      <w:sz w:val="22"/>
      <w:szCs w:val="22"/>
      <w:u w:val="none"/>
    </w:rPr>
  </w:style>
  <w:style w:type="paragraph" w:customStyle="1" w:styleId="75">
    <w:name w:val="p0"/>
    <w:basedOn w:val="1"/>
    <w:qFormat/>
    <w:uiPriority w:val="0"/>
    <w:pPr>
      <w:widowControl/>
    </w:pPr>
    <w:rPr>
      <w:rFonts w:ascii="Times New Roman" w:hAnsi="Times New Roman" w:eastAsia="宋体" w:cs="Times New Roman"/>
      <w:kern w:val="0"/>
      <w:szCs w:val="21"/>
    </w:rPr>
  </w:style>
  <w:style w:type="character" w:customStyle="1" w:styleId="76">
    <w:name w:val="font71"/>
    <w:basedOn w:val="28"/>
    <w:qFormat/>
    <w:uiPriority w:val="0"/>
    <w:rPr>
      <w:rFonts w:hint="eastAsia" w:ascii="宋体" w:hAnsi="宋体" w:eastAsia="宋体" w:cs="宋体"/>
      <w:color w:val="FF0000"/>
      <w:sz w:val="24"/>
      <w:szCs w:val="24"/>
      <w:u w:val="none"/>
    </w:rPr>
  </w:style>
  <w:style w:type="character" w:customStyle="1" w:styleId="77">
    <w:name w:val="font01"/>
    <w:basedOn w:val="28"/>
    <w:qFormat/>
    <w:uiPriority w:val="0"/>
    <w:rPr>
      <w:rFonts w:hint="eastAsia" w:ascii="宋体" w:hAnsi="宋体" w:eastAsia="宋体" w:cs="宋体"/>
      <w:b/>
      <w:color w:val="000000"/>
      <w:sz w:val="24"/>
      <w:szCs w:val="24"/>
      <w:u w:val="none"/>
    </w:rPr>
  </w:style>
  <w:style w:type="character" w:customStyle="1" w:styleId="78">
    <w:name w:val="hover"/>
    <w:basedOn w:val="28"/>
    <w:qFormat/>
    <w:uiPriority w:val="0"/>
  </w:style>
  <w:style w:type="character" w:customStyle="1" w:styleId="79">
    <w:name w:val="hover24"/>
    <w:basedOn w:val="28"/>
    <w:qFormat/>
    <w:uiPriority w:val="0"/>
  </w:style>
  <w:style w:type="character" w:customStyle="1" w:styleId="80">
    <w:name w:val="font21"/>
    <w:qFormat/>
    <w:uiPriority w:val="0"/>
    <w:rPr>
      <w:rFonts w:hint="eastAsia" w:ascii="宋体" w:hAnsi="宋体" w:eastAsia="宋体" w:cs="宋体"/>
      <w:color w:val="000000"/>
      <w:sz w:val="18"/>
      <w:szCs w:val="18"/>
      <w:u w:val="none"/>
    </w:rPr>
  </w:style>
  <w:style w:type="character" w:customStyle="1" w:styleId="81">
    <w:name w:val="font11"/>
    <w:basedOn w:val="28"/>
    <w:qFormat/>
    <w:uiPriority w:val="0"/>
    <w:rPr>
      <w:rFonts w:hint="eastAsia" w:ascii="宋体" w:hAnsi="宋体" w:eastAsia="宋体" w:cs="宋体"/>
      <w:b/>
      <w:color w:val="000000"/>
      <w:sz w:val="18"/>
      <w:szCs w:val="18"/>
      <w:u w:val="none"/>
    </w:rPr>
  </w:style>
  <w:style w:type="character" w:customStyle="1" w:styleId="82">
    <w:name w:val="font51"/>
    <w:basedOn w:val="28"/>
    <w:qFormat/>
    <w:uiPriority w:val="0"/>
    <w:rPr>
      <w:rFonts w:hint="default" w:ascii="Times New Roman" w:hAnsi="Times New Roman" w:cs="Times New Roman"/>
      <w:color w:val="000000"/>
      <w:sz w:val="22"/>
      <w:szCs w:val="22"/>
      <w:u w:val="none"/>
    </w:rPr>
  </w:style>
  <w:style w:type="character" w:customStyle="1" w:styleId="83">
    <w:name w:val="font31"/>
    <w:basedOn w:val="28"/>
    <w:qFormat/>
    <w:uiPriority w:val="0"/>
    <w:rPr>
      <w:rFonts w:hint="eastAsia" w:ascii="宋体" w:hAnsi="宋体" w:eastAsia="宋体" w:cs="宋体"/>
      <w:b/>
      <w:color w:val="000000"/>
      <w:sz w:val="22"/>
      <w:szCs w:val="22"/>
      <w:u w:val="none"/>
    </w:rPr>
  </w:style>
  <w:style w:type="paragraph" w:customStyle="1" w:styleId="84">
    <w:name w:val="Char Char1"/>
    <w:basedOn w:val="1"/>
    <w:qFormat/>
    <w:uiPriority w:val="0"/>
    <w:pPr>
      <w:widowControl w:val="0"/>
    </w:pPr>
    <w:rPr>
      <w:rFonts w:eastAsia="宋体" w:cs="Times New Roman"/>
      <w:kern w:val="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E1233-BF9C-49C7-BB80-2A68CE5197EF}">
  <ds:schemaRefs/>
</ds:datastoreItem>
</file>

<file path=docProps/app.xml><?xml version="1.0" encoding="utf-8"?>
<Properties xmlns="http://schemas.openxmlformats.org/officeDocument/2006/extended-properties" xmlns:vt="http://schemas.openxmlformats.org/officeDocument/2006/docPropsVTypes">
  <Template>Normal</Template>
  <Pages>68</Pages>
  <Words>5599</Words>
  <Characters>31916</Characters>
  <Lines>265</Lines>
  <Paragraphs>74</Paragraphs>
  <TotalTime>0</TotalTime>
  <ScaleCrop>false</ScaleCrop>
  <LinksUpToDate>false</LinksUpToDate>
  <CharactersWithSpaces>37441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2019-03-07T06:11:00Z</dcterms:created>
  <dc:creator>许昌市公共资源交易中心:孟莉</dc:creator>
  <cp:lastModifiedBy>啦啦啦</cp:lastModifiedBy>
  <cp:lastPrinted>2019-12-24T04:27:00Z</cp:lastPrinted>
  <dcterms:modified xsi:type="dcterms:W3CDTF">2020-01-13T01:55:35Z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