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center"/>
        <w:rPr>
          <w:b/>
          <w:sz w:val="40"/>
          <w:szCs w:val="40"/>
        </w:rPr>
      </w:pPr>
    </w:p>
    <w:p>
      <w:pPr>
        <w:autoSpaceDE w:val="0"/>
        <w:autoSpaceDN w:val="0"/>
        <w:adjustRightInd w:val="0"/>
        <w:jc w:val="center"/>
        <w:rPr>
          <w:rFonts w:hAnsi="宋体" w:cs="宋体"/>
          <w:b/>
          <w:sz w:val="48"/>
          <w:szCs w:val="48"/>
        </w:rPr>
      </w:pPr>
      <w:r>
        <w:rPr>
          <w:rFonts w:hint="eastAsia" w:hAnsi="宋体" w:cs="宋体"/>
          <w:b/>
          <w:sz w:val="48"/>
          <w:szCs w:val="48"/>
        </w:rPr>
        <w:t>许昌市魏都区水利局</w:t>
      </w:r>
    </w:p>
    <w:p>
      <w:pPr>
        <w:autoSpaceDE w:val="0"/>
        <w:autoSpaceDN w:val="0"/>
        <w:adjustRightInd w:val="0"/>
        <w:jc w:val="center"/>
        <w:rPr>
          <w:rFonts w:hAnsi="宋体" w:cs="宋体"/>
          <w:b/>
          <w:sz w:val="48"/>
          <w:szCs w:val="48"/>
        </w:rPr>
      </w:pPr>
      <w:r>
        <w:rPr>
          <w:rFonts w:hint="eastAsia" w:hAnsi="宋体" w:cs="宋体"/>
          <w:b/>
          <w:sz w:val="48"/>
          <w:szCs w:val="48"/>
        </w:rPr>
        <w:t>“</w:t>
      </w:r>
      <w:r>
        <w:rPr>
          <w:rFonts w:hint="eastAsia" w:hAnsi="宋体" w:cs="宋体"/>
          <w:b/>
          <w:sz w:val="48"/>
          <w:szCs w:val="48"/>
          <w:lang w:eastAsia="zh-CN"/>
        </w:rPr>
        <w:t>华佗路污水提升泵站及附属污水管网工程</w:t>
      </w:r>
      <w:r>
        <w:rPr>
          <w:rFonts w:hint="eastAsia" w:hAnsi="宋体" w:cs="宋体"/>
          <w:b/>
          <w:sz w:val="48"/>
          <w:szCs w:val="48"/>
        </w:rPr>
        <w:t>”项目</w:t>
      </w:r>
    </w:p>
    <w:p>
      <w:pPr>
        <w:tabs>
          <w:tab w:val="left" w:pos="8061"/>
        </w:tabs>
        <w:autoSpaceDE w:val="0"/>
        <w:autoSpaceDN w:val="0"/>
        <w:adjustRightInd w:val="0"/>
        <w:rPr>
          <w:rFonts w:hint="eastAsia" w:hAnsi="宋体" w:eastAsia="宋体" w:cs="宋体"/>
          <w:b/>
          <w:sz w:val="40"/>
          <w:szCs w:val="40"/>
          <w:lang w:eastAsia="zh-CN"/>
        </w:rPr>
      </w:pPr>
      <w:r>
        <w:rPr>
          <w:rFonts w:hint="eastAsia" w:hAnsi="宋体" w:cs="宋体"/>
          <w:b/>
          <w:sz w:val="40"/>
          <w:szCs w:val="40"/>
          <w:lang w:eastAsia="zh-CN"/>
        </w:rPr>
        <w:tab/>
      </w:r>
    </w:p>
    <w:p>
      <w:pPr>
        <w:autoSpaceDE w:val="0"/>
        <w:autoSpaceDN w:val="0"/>
        <w:adjustRightInd w:val="0"/>
        <w:jc w:val="center"/>
        <w:rPr>
          <w:rFonts w:hAnsi="宋体" w:cs="宋体"/>
          <w:b/>
          <w:sz w:val="52"/>
          <w:szCs w:val="52"/>
        </w:rPr>
      </w:pPr>
      <w:r>
        <w:rPr>
          <w:rFonts w:hint="eastAsia" w:hAnsi="宋体" w:cs="宋体"/>
          <w:b/>
          <w:sz w:val="52"/>
          <w:szCs w:val="52"/>
        </w:rPr>
        <w:t>招标文件</w:t>
      </w:r>
    </w:p>
    <w:p>
      <w:pPr>
        <w:autoSpaceDE w:val="0"/>
        <w:autoSpaceDN w:val="0"/>
        <w:adjustRightInd w:val="0"/>
        <w:rPr>
          <w:rFonts w:hAnsi="宋体" w:cs="黑体"/>
          <w:b/>
          <w:sz w:val="32"/>
          <w:szCs w:val="32"/>
        </w:rPr>
      </w:pPr>
    </w:p>
    <w:p>
      <w:pPr>
        <w:autoSpaceDE w:val="0"/>
        <w:autoSpaceDN w:val="0"/>
        <w:adjustRightInd w:val="0"/>
        <w:jc w:val="center"/>
        <w:rPr>
          <w:rFonts w:hAnsi="宋体" w:cs="宋体"/>
          <w:b/>
          <w:sz w:val="32"/>
          <w:szCs w:val="32"/>
        </w:rPr>
      </w:pPr>
      <w:r>
        <w:rPr>
          <w:rFonts w:hint="eastAsia" w:hAnsi="宋体" w:cs="宋体"/>
          <w:b/>
          <w:sz w:val="32"/>
          <w:szCs w:val="32"/>
        </w:rPr>
        <w:t>项目编号：XCGC-F20</w:t>
      </w:r>
      <w:r>
        <w:rPr>
          <w:rFonts w:hint="eastAsia" w:hAnsi="宋体" w:cs="宋体"/>
          <w:b/>
          <w:sz w:val="32"/>
          <w:szCs w:val="32"/>
          <w:lang w:val="en-US" w:eastAsia="zh-CN"/>
        </w:rPr>
        <w:t>20025</w:t>
      </w:r>
      <w:r>
        <w:rPr>
          <w:rFonts w:hint="eastAsia" w:hAnsi="宋体" w:cs="宋体"/>
          <w:b/>
          <w:sz w:val="32"/>
          <w:szCs w:val="32"/>
        </w:rPr>
        <w:t xml:space="preserve">   </w:t>
      </w:r>
    </w:p>
    <w:p>
      <w:pPr>
        <w:pStyle w:val="2"/>
        <w:ind w:firstLine="340"/>
      </w:pPr>
    </w:p>
    <w:p>
      <w:pPr>
        <w:autoSpaceDE w:val="0"/>
        <w:autoSpaceDN w:val="0"/>
        <w:adjustRightInd w:val="0"/>
        <w:jc w:val="center"/>
        <w:rPr>
          <w:rFonts w:hAnsi="宋体" w:cs="黑体"/>
          <w:sz w:val="44"/>
          <w:szCs w:val="44"/>
        </w:rPr>
      </w:pPr>
      <w:r>
        <w:rPr>
          <w:rFonts w:hAnsi="宋体" w:cs="黑体"/>
          <w:sz w:val="44"/>
          <w:szCs w:val="44"/>
        </w:rPr>
        <w:drawing>
          <wp:anchor distT="0" distB="0" distL="114300" distR="114300" simplePos="0" relativeHeight="251660288" behindDoc="1" locked="0" layoutInCell="1" allowOverlap="1">
            <wp:simplePos x="0" y="0"/>
            <wp:positionH relativeFrom="column">
              <wp:posOffset>2043430</wp:posOffset>
            </wp:positionH>
            <wp:positionV relativeFrom="paragraph">
              <wp:posOffset>708660</wp:posOffset>
            </wp:positionV>
            <wp:extent cx="2026920" cy="1487805"/>
            <wp:effectExtent l="0" t="0" r="13335" b="0"/>
            <wp:wrapTight wrapText="bothSides">
              <wp:wrapPolygon>
                <wp:start x="0" y="0"/>
                <wp:lineTo x="0" y="21323"/>
                <wp:lineTo x="21336" y="21323"/>
                <wp:lineTo x="21336" y="0"/>
                <wp:lineTo x="0" y="0"/>
              </wp:wrapPolygon>
            </wp:wrapTight>
            <wp:docPr id="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pic:cNvPicPr>
                      <a:picLocks noChangeAspect="1"/>
                    </pic:cNvPicPr>
                  </pic:nvPicPr>
                  <pic:blipFill>
                    <a:blip r:embed="rId12" cstate="print"/>
                    <a:stretch>
                      <a:fillRect/>
                    </a:stretch>
                  </pic:blipFill>
                  <pic:spPr>
                    <a:xfrm>
                      <a:off x="0" y="0"/>
                      <a:ext cx="2025015" cy="1485900"/>
                    </a:xfrm>
                    <a:prstGeom prst="rect">
                      <a:avLst/>
                    </a:prstGeom>
                    <a:noFill/>
                    <a:ln w="9525">
                      <a:noFill/>
                    </a:ln>
                  </pic:spPr>
                </pic:pic>
              </a:graphicData>
            </a:graphic>
          </wp:anchor>
        </w:drawing>
      </w:r>
    </w:p>
    <w:p>
      <w:pPr>
        <w:tabs>
          <w:tab w:val="left" w:pos="6642"/>
        </w:tabs>
        <w:autoSpaceDE w:val="0"/>
        <w:autoSpaceDN w:val="0"/>
        <w:adjustRightInd w:val="0"/>
        <w:jc w:val="left"/>
        <w:rPr>
          <w:rFonts w:hAnsi="宋体" w:cs="黑体"/>
          <w:sz w:val="44"/>
          <w:szCs w:val="44"/>
        </w:rPr>
      </w:pPr>
    </w:p>
    <w:p>
      <w:pPr>
        <w:rPr>
          <w:b/>
          <w:bCs/>
          <w:sz w:val="32"/>
        </w:rPr>
      </w:pPr>
    </w:p>
    <w:p>
      <w:pPr>
        <w:pStyle w:val="2"/>
        <w:ind w:firstLine="340"/>
      </w:pPr>
    </w:p>
    <w:p>
      <w:pPr>
        <w:autoSpaceDE w:val="0"/>
        <w:autoSpaceDN w:val="0"/>
        <w:adjustRightInd w:val="0"/>
        <w:ind w:firstLine="1920" w:firstLineChars="600"/>
        <w:rPr>
          <w:rFonts w:hAnsi="宋体" w:cs="宋体"/>
          <w:b/>
          <w:sz w:val="32"/>
          <w:szCs w:val="32"/>
        </w:rPr>
      </w:pPr>
    </w:p>
    <w:p>
      <w:pPr>
        <w:autoSpaceDE w:val="0"/>
        <w:autoSpaceDN w:val="0"/>
        <w:adjustRightInd w:val="0"/>
        <w:ind w:firstLine="1920" w:firstLineChars="600"/>
        <w:rPr>
          <w:rFonts w:hAnsi="宋体" w:cs="宋体"/>
          <w:b/>
          <w:sz w:val="32"/>
          <w:szCs w:val="32"/>
        </w:rPr>
      </w:pPr>
    </w:p>
    <w:p>
      <w:pPr>
        <w:autoSpaceDE w:val="0"/>
        <w:autoSpaceDN w:val="0"/>
        <w:adjustRightInd w:val="0"/>
        <w:ind w:firstLine="1920" w:firstLineChars="600"/>
        <w:rPr>
          <w:rFonts w:hAnsi="宋体" w:cs="宋体"/>
          <w:b/>
          <w:sz w:val="32"/>
          <w:szCs w:val="32"/>
        </w:rPr>
      </w:pPr>
      <w:r>
        <w:rPr>
          <w:rFonts w:hint="eastAsia" w:hAnsi="宋体" w:cs="宋体"/>
          <w:b/>
          <w:sz w:val="32"/>
          <w:szCs w:val="32"/>
        </w:rPr>
        <w:t>招标单位：许昌市魏都区水利局</w:t>
      </w:r>
    </w:p>
    <w:p>
      <w:pPr>
        <w:pStyle w:val="2"/>
        <w:ind w:firstLine="0" w:firstLineChars="0"/>
      </w:pPr>
    </w:p>
    <w:p>
      <w:pPr>
        <w:rPr>
          <w:rFonts w:hAnsi="宋体" w:cs="宋体"/>
          <w:b/>
          <w:sz w:val="32"/>
          <w:szCs w:val="32"/>
        </w:rPr>
      </w:pPr>
      <w:r>
        <w:rPr>
          <w:rFonts w:hint="eastAsia" w:hAnsi="宋体" w:cs="宋体"/>
          <w:b/>
          <w:sz w:val="32"/>
          <w:szCs w:val="32"/>
        </w:rPr>
        <w:t xml:space="preserve">            代理机构：永明项目管理有限公司</w:t>
      </w:r>
    </w:p>
    <w:p>
      <w:pPr>
        <w:jc w:val="center"/>
        <w:rPr>
          <w:rFonts w:hAnsi="宋体" w:cs="黑体"/>
          <w:b/>
          <w:sz w:val="32"/>
          <w:szCs w:val="32"/>
        </w:rPr>
      </w:pPr>
      <w:r>
        <w:rPr>
          <w:rFonts w:hint="eastAsia" w:hAnsi="宋体" w:cs="黑体"/>
          <w:b/>
          <w:sz w:val="32"/>
          <w:szCs w:val="32"/>
        </w:rPr>
        <w:t>二〇二〇年</w:t>
      </w:r>
      <w:r>
        <w:rPr>
          <w:rFonts w:hint="eastAsia" w:hAnsi="宋体" w:cs="黑体"/>
          <w:b/>
          <w:sz w:val="32"/>
          <w:szCs w:val="32"/>
          <w:lang w:eastAsia="zh-CN"/>
        </w:rPr>
        <w:t>一</w:t>
      </w:r>
      <w:r>
        <w:rPr>
          <w:rFonts w:hint="eastAsia" w:hAnsi="宋体" w:cs="黑体"/>
          <w:b/>
          <w:sz w:val="32"/>
          <w:szCs w:val="32"/>
        </w:rPr>
        <w:t>月</w:t>
      </w:r>
    </w:p>
    <w:p>
      <w:pPr>
        <w:rPr>
          <w:rFonts w:ascii="黑体" w:hAnsi="宋体" w:eastAsia="黑体"/>
          <w:b/>
          <w:sz w:val="44"/>
        </w:rPr>
        <w:sectPr>
          <w:headerReference r:id="rId4" w:type="first"/>
          <w:footerReference r:id="rId6" w:type="first"/>
          <w:headerReference r:id="rId3" w:type="default"/>
          <w:footerReference r:id="rId5" w:type="default"/>
          <w:pgSz w:w="11906" w:h="16838"/>
          <w:pgMar w:top="1304" w:right="1134" w:bottom="1304" w:left="1134" w:header="851" w:footer="992" w:gutter="0"/>
          <w:pgNumType w:start="1"/>
          <w:cols w:space="720" w:num="1"/>
          <w:docGrid w:type="linesAndChars" w:linePitch="312" w:charSpace="0"/>
        </w:sectPr>
      </w:pPr>
    </w:p>
    <w:p>
      <w:pPr>
        <w:pStyle w:val="28"/>
        <w:ind w:left="0" w:leftChars="0" w:firstLine="0" w:firstLineChars="0"/>
      </w:pPr>
    </w:p>
    <w:p>
      <w:pPr>
        <w:jc w:val="center"/>
        <w:rPr>
          <w:rFonts w:ascii="黑体" w:hAnsi="宋体" w:eastAsia="黑体"/>
          <w:b/>
          <w:sz w:val="44"/>
        </w:rPr>
      </w:pPr>
      <w:r>
        <w:rPr>
          <w:rFonts w:hint="eastAsia" w:ascii="黑体" w:hAnsi="宋体" w:eastAsia="黑体"/>
          <w:b/>
          <w:sz w:val="44"/>
        </w:rPr>
        <w:t>目  录</w:t>
      </w:r>
    </w:p>
    <w:p>
      <w:pPr>
        <w:jc w:val="center"/>
        <w:rPr>
          <w:rFonts w:hAnsi="宋体"/>
          <w:b/>
          <w:sz w:val="32"/>
        </w:rPr>
      </w:pP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szCs w:val="28"/>
        </w:rPr>
        <w:t>第一章  招标公告</w:t>
      </w:r>
      <w:r>
        <w:rPr>
          <w:rFonts w:ascii="黑体" w:hAnsi="宋体" w:eastAsia="黑体"/>
          <w:b/>
          <w:sz w:val="28"/>
        </w:rPr>
        <w:tab/>
      </w:r>
      <w:r>
        <w:rPr>
          <w:rFonts w:hint="eastAsia" w:ascii="黑体" w:hAnsi="宋体" w:eastAsia="黑体"/>
          <w:b/>
          <w:sz w:val="28"/>
        </w:rPr>
        <w:t>2</w:t>
      </w:r>
      <w:r>
        <w:rPr>
          <w:rFonts w:hint="eastAsia"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第二章  投标须知</w:t>
      </w:r>
      <w:r>
        <w:rPr>
          <w:rFonts w:ascii="黑体" w:hAnsi="宋体" w:eastAsia="黑体"/>
          <w:b/>
          <w:sz w:val="28"/>
        </w:rPr>
        <w:tab/>
      </w:r>
      <w:r>
        <w:rPr>
          <w:rFonts w:hint="eastAsia" w:ascii="黑体" w:hAnsi="宋体" w:eastAsia="黑体"/>
          <w:b/>
          <w:sz w:val="28"/>
        </w:rPr>
        <w:t>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第三章  评标办法</w:t>
      </w:r>
      <w:r>
        <w:rPr>
          <w:rFonts w:ascii="黑体" w:hAnsi="宋体" w:eastAsia="黑体"/>
          <w:b/>
          <w:sz w:val="28"/>
        </w:rPr>
        <w:tab/>
      </w:r>
      <w:r>
        <w:rPr>
          <w:rFonts w:hint="eastAsia" w:ascii="黑体" w:hAnsi="宋体" w:eastAsia="黑体"/>
          <w:b/>
          <w:sz w:val="28"/>
        </w:rPr>
        <w:t>26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第四章  合同条款</w:t>
      </w:r>
      <w:r>
        <w:rPr>
          <w:rFonts w:ascii="黑体" w:hAnsi="宋体" w:eastAsia="黑体"/>
          <w:b/>
          <w:sz w:val="28"/>
        </w:rPr>
        <w:tab/>
      </w:r>
      <w:r>
        <w:rPr>
          <w:rFonts w:hint="eastAsia" w:ascii="黑体" w:hAnsi="宋体" w:eastAsia="黑体"/>
          <w:b/>
          <w:sz w:val="28"/>
        </w:rPr>
        <w:t>36</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第五章  工程量清单</w:t>
      </w:r>
      <w:r>
        <w:rPr>
          <w:rFonts w:ascii="黑体" w:hAnsi="宋体" w:eastAsia="黑体"/>
          <w:b/>
          <w:sz w:val="28"/>
        </w:rPr>
        <w:tab/>
      </w:r>
      <w:r>
        <w:rPr>
          <w:rFonts w:hint="eastAsia" w:ascii="黑体" w:hAnsi="宋体" w:eastAsia="黑体"/>
          <w:b/>
          <w:sz w:val="28"/>
        </w:rPr>
        <w:t>37</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第六章  图  纸</w:t>
      </w:r>
      <w:r>
        <w:rPr>
          <w:rFonts w:ascii="黑体" w:hAnsi="宋体" w:eastAsia="黑体"/>
          <w:b/>
          <w:sz w:val="28"/>
        </w:rPr>
        <w:tab/>
      </w:r>
      <w:r>
        <w:rPr>
          <w:rFonts w:hint="eastAsia" w:ascii="黑体" w:hAnsi="宋体" w:eastAsia="黑体"/>
          <w:b/>
          <w:sz w:val="28"/>
        </w:rPr>
        <w:t>43</w:t>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第七章  技术标准和要求</w:t>
      </w:r>
      <w:r>
        <w:rPr>
          <w:rFonts w:ascii="黑体" w:hAnsi="宋体" w:eastAsia="黑体"/>
          <w:b/>
          <w:sz w:val="28"/>
        </w:rPr>
        <w:tab/>
      </w:r>
      <w:r>
        <w:rPr>
          <w:rFonts w:hint="eastAsia" w:ascii="黑体" w:hAnsi="宋体" w:eastAsia="黑体"/>
          <w:b/>
          <w:sz w:val="28"/>
        </w:rPr>
        <w:t>43</w:t>
      </w:r>
      <w:r>
        <w:rPr>
          <w:rFonts w:ascii="黑体" w:hAnsi="宋体" w:eastAsia="黑体"/>
          <w:b/>
          <w:sz w:val="28"/>
        </w:rPr>
        <w:tab/>
      </w:r>
    </w:p>
    <w:p>
      <w:pPr>
        <w:tabs>
          <w:tab w:val="left" w:leader="hyphen" w:pos="7919"/>
        </w:tabs>
        <w:snapToGrid w:val="0"/>
        <w:spacing w:line="480" w:lineRule="auto"/>
        <w:ind w:firstLine="645"/>
        <w:rPr>
          <w:rFonts w:ascii="黑体" w:hAnsi="宋体" w:eastAsia="黑体"/>
          <w:b/>
          <w:sz w:val="28"/>
        </w:rPr>
      </w:pPr>
      <w:r>
        <w:rPr>
          <w:rFonts w:hint="eastAsia" w:ascii="黑体" w:hAnsi="宋体" w:eastAsia="黑体"/>
          <w:b/>
          <w:sz w:val="28"/>
        </w:rPr>
        <w:t>第八章  投标文件格式</w:t>
      </w:r>
      <w:r>
        <w:rPr>
          <w:rFonts w:ascii="黑体" w:hAnsi="宋体" w:eastAsia="黑体"/>
          <w:b/>
          <w:sz w:val="28"/>
        </w:rPr>
        <w:tab/>
      </w:r>
      <w:r>
        <w:rPr>
          <w:rFonts w:hint="eastAsia" w:ascii="黑体" w:hAnsi="宋体" w:eastAsia="黑体"/>
          <w:b/>
          <w:sz w:val="28"/>
        </w:rPr>
        <w:t>44</w:t>
      </w:r>
    </w:p>
    <w:p>
      <w:pPr>
        <w:rPr>
          <w:rFonts w:hAnsi="宋体" w:cs="黑体"/>
          <w:b/>
          <w:sz w:val="32"/>
          <w:szCs w:val="32"/>
        </w:rPr>
      </w:pPr>
    </w:p>
    <w:p>
      <w:pPr>
        <w:ind w:firstLine="3465" w:firstLineChars="1083"/>
        <w:rPr>
          <w:rFonts w:hAnsi="宋体" w:cs="黑体"/>
          <w:b/>
          <w:sz w:val="32"/>
          <w:szCs w:val="32"/>
        </w:rPr>
      </w:pPr>
    </w:p>
    <w:p>
      <w:pPr>
        <w:rPr>
          <w:b/>
          <w:sz w:val="48"/>
          <w:szCs w:val="48"/>
        </w:rPr>
      </w:pPr>
    </w:p>
    <w:p>
      <w:pPr>
        <w:rPr>
          <w:rFonts w:hAnsi="宋体" w:cs="黑体"/>
          <w:b/>
          <w:sz w:val="32"/>
          <w:szCs w:val="32"/>
        </w:rPr>
      </w:pPr>
    </w:p>
    <w:p>
      <w:pPr>
        <w:ind w:firstLine="4765" w:firstLineChars="1083"/>
        <w:rPr>
          <w:rFonts w:ascii="黑体" w:hAnsi="宋体" w:eastAsia="黑体"/>
          <w:b/>
          <w:sz w:val="44"/>
        </w:rPr>
        <w:sectPr>
          <w:headerReference r:id="rId7" w:type="default"/>
          <w:footerReference r:id="rId8" w:type="default"/>
          <w:pgSz w:w="11906" w:h="16838"/>
          <w:pgMar w:top="1304" w:right="1134" w:bottom="1304" w:left="1134" w:header="851" w:footer="992" w:gutter="0"/>
          <w:pgNumType w:start="1"/>
          <w:cols w:space="720" w:num="1"/>
          <w:docGrid w:type="linesAndChars" w:linePitch="312" w:charSpace="0"/>
        </w:sectPr>
      </w:pPr>
    </w:p>
    <w:p>
      <w:pPr>
        <w:ind w:firstLine="3465" w:firstLineChars="1083"/>
        <w:rPr>
          <w:rFonts w:hAnsi="宋体" w:cs="黑体"/>
          <w:b/>
          <w:sz w:val="32"/>
          <w:szCs w:val="32"/>
        </w:rPr>
      </w:pPr>
    </w:p>
    <w:p>
      <w:pPr>
        <w:tabs>
          <w:tab w:val="left" w:pos="3185"/>
          <w:tab w:val="center" w:pos="5452"/>
        </w:tabs>
        <w:snapToGrid w:val="0"/>
        <w:spacing w:beforeLines="50"/>
        <w:jc w:val="left"/>
        <w:rPr>
          <w:rFonts w:hAnsi="宋体" w:cs="黑体"/>
          <w:b/>
          <w:sz w:val="36"/>
          <w:szCs w:val="36"/>
        </w:rPr>
      </w:pPr>
      <w:bookmarkStart w:id="0" w:name="_Toc215282124"/>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pPr>
    </w:p>
    <w:p>
      <w:pPr>
        <w:tabs>
          <w:tab w:val="left" w:pos="3185"/>
          <w:tab w:val="center" w:pos="5452"/>
        </w:tabs>
        <w:snapToGrid w:val="0"/>
        <w:spacing w:beforeLines="50"/>
        <w:jc w:val="left"/>
        <w:rPr>
          <w:rFonts w:hAnsi="宋体" w:cs="黑体"/>
          <w:b/>
          <w:sz w:val="36"/>
          <w:szCs w:val="36"/>
        </w:rPr>
        <w:sectPr>
          <w:type w:val="continuous"/>
          <w:pgSz w:w="11906" w:h="16838"/>
          <w:pgMar w:top="1304" w:right="1134" w:bottom="1304" w:left="1134" w:header="851" w:footer="992" w:gutter="0"/>
          <w:cols w:space="720" w:num="1"/>
          <w:titlePg/>
          <w:docGrid w:type="linesAndChars" w:linePitch="312" w:charSpace="0"/>
        </w:sectPr>
      </w:pPr>
    </w:p>
    <w:p>
      <w:pPr>
        <w:numPr>
          <w:ilvl w:val="0"/>
          <w:numId w:val="1"/>
        </w:num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招标公告</w:t>
      </w:r>
    </w:p>
    <w:p>
      <w:pPr>
        <w:tabs>
          <w:tab w:val="left" w:pos="3185"/>
          <w:tab w:val="center" w:pos="5452"/>
        </w:tabs>
        <w:snapToGrid w:val="0"/>
        <w:spacing w:beforeLines="50"/>
        <w:jc w:val="center"/>
        <w:rPr>
          <w:rFonts w:hAnsi="宋体" w:cs="黑体"/>
          <w:b/>
          <w:sz w:val="36"/>
          <w:szCs w:val="36"/>
        </w:rPr>
      </w:pPr>
      <w:r>
        <w:rPr>
          <w:rFonts w:hint="eastAsia" w:hAnsi="宋体" w:cs="黑体"/>
          <w:b/>
          <w:sz w:val="36"/>
          <w:szCs w:val="36"/>
        </w:rPr>
        <w:t>XCGC-F20</w:t>
      </w:r>
      <w:r>
        <w:rPr>
          <w:rFonts w:hint="eastAsia" w:hAnsi="宋体" w:cs="黑体"/>
          <w:b/>
          <w:sz w:val="36"/>
          <w:szCs w:val="36"/>
          <w:lang w:val="en-US" w:eastAsia="zh-CN"/>
        </w:rPr>
        <w:t>20025</w:t>
      </w:r>
      <w:r>
        <w:rPr>
          <w:rFonts w:hint="eastAsia" w:hAnsi="宋体" w:cs="黑体"/>
          <w:b/>
          <w:sz w:val="36"/>
          <w:szCs w:val="36"/>
        </w:rPr>
        <w:t>许昌市魏都区水利局“华佗路污水提升泵站及附属污水管网工程”项目招标公告</w:t>
      </w:r>
    </w:p>
    <w:p>
      <w:pPr>
        <w:widowControl/>
        <w:spacing w:line="312" w:lineRule="auto"/>
        <w:rPr>
          <w:rFonts w:hAnsi="宋体"/>
          <w:b/>
          <w:sz w:val="24"/>
        </w:rPr>
      </w:pPr>
      <w:r>
        <w:rPr>
          <w:rFonts w:hint="eastAsia" w:hAnsi="宋体"/>
          <w:b/>
          <w:sz w:val="24"/>
        </w:rPr>
        <w:t>1.招标条件</w:t>
      </w:r>
    </w:p>
    <w:p>
      <w:pPr>
        <w:widowControl/>
        <w:spacing w:line="312" w:lineRule="auto"/>
        <w:ind w:firstLine="480" w:firstLineChars="200"/>
        <w:rPr>
          <w:rFonts w:hAnsi="宋体"/>
          <w:sz w:val="24"/>
          <w:szCs w:val="24"/>
        </w:rPr>
      </w:pPr>
      <w:r>
        <w:rPr>
          <w:rFonts w:hint="eastAsia" w:hAnsi="宋体"/>
          <w:sz w:val="24"/>
          <w:szCs w:val="24"/>
        </w:rPr>
        <w:t>许昌市魏都区水利局“华佗路污水提升泵站及附属污水管网工程”项目，已由许昌市魏都区发展和改革委员会以许魏发改【201</w:t>
      </w:r>
      <w:r>
        <w:rPr>
          <w:rFonts w:hint="eastAsia" w:hAnsi="宋体"/>
          <w:sz w:val="24"/>
          <w:szCs w:val="24"/>
          <w:lang w:val="en-US" w:eastAsia="zh-CN"/>
        </w:rPr>
        <w:t>8</w:t>
      </w:r>
      <w:r>
        <w:rPr>
          <w:rFonts w:hint="eastAsia" w:hAnsi="宋体"/>
          <w:sz w:val="24"/>
          <w:szCs w:val="24"/>
        </w:rPr>
        <w:t>】</w:t>
      </w:r>
      <w:r>
        <w:rPr>
          <w:rFonts w:hint="eastAsia" w:hAnsi="宋体"/>
          <w:sz w:val="24"/>
          <w:szCs w:val="24"/>
          <w:lang w:val="en-US" w:eastAsia="zh-CN"/>
        </w:rPr>
        <w:t>127</w:t>
      </w:r>
      <w:r>
        <w:rPr>
          <w:rFonts w:hint="eastAsia" w:hAnsi="宋体"/>
          <w:sz w:val="24"/>
          <w:szCs w:val="24"/>
        </w:rPr>
        <w:t>号文批准建设，建设资金已落实。招标人为许昌市魏都区水利局，建设资金为财政资金。项目已具备招标条件，现对该项目施工进行公开招标。</w:t>
      </w:r>
    </w:p>
    <w:p>
      <w:pPr>
        <w:widowControl/>
        <w:spacing w:line="312" w:lineRule="auto"/>
        <w:rPr>
          <w:rFonts w:hAnsi="宋体"/>
          <w:b/>
          <w:sz w:val="24"/>
        </w:rPr>
      </w:pPr>
      <w:r>
        <w:rPr>
          <w:rFonts w:hint="eastAsia" w:hAnsi="宋体"/>
          <w:b/>
          <w:sz w:val="24"/>
        </w:rPr>
        <w:t>2.项目概况与招标范围</w:t>
      </w:r>
    </w:p>
    <w:p>
      <w:pPr>
        <w:widowControl/>
        <w:spacing w:line="300" w:lineRule="auto"/>
        <w:rPr>
          <w:rFonts w:hAnsi="宋体"/>
          <w:sz w:val="24"/>
        </w:rPr>
      </w:pPr>
      <w:r>
        <w:rPr>
          <w:rFonts w:hint="eastAsia" w:hAnsi="宋体"/>
          <w:sz w:val="24"/>
        </w:rPr>
        <w:t xml:space="preserve">    2.1项目编号：XCGC-F20</w:t>
      </w:r>
      <w:r>
        <w:rPr>
          <w:rFonts w:hint="eastAsia" w:hAnsi="宋体"/>
          <w:sz w:val="24"/>
          <w:lang w:val="en-US" w:eastAsia="zh-CN"/>
        </w:rPr>
        <w:t>20025</w:t>
      </w:r>
      <w:r>
        <w:rPr>
          <w:rFonts w:hint="eastAsia" w:hAnsi="宋体"/>
          <w:sz w:val="24"/>
        </w:rPr>
        <w:t xml:space="preserve">  </w:t>
      </w:r>
    </w:p>
    <w:p>
      <w:pPr>
        <w:widowControl/>
        <w:spacing w:line="312" w:lineRule="auto"/>
        <w:ind w:firstLine="480" w:firstLineChars="200"/>
        <w:rPr>
          <w:rFonts w:hAnsi="宋体"/>
          <w:sz w:val="24"/>
          <w:szCs w:val="22"/>
        </w:rPr>
      </w:pPr>
      <w:r>
        <w:rPr>
          <w:rFonts w:hint="eastAsia" w:hAnsi="宋体"/>
          <w:sz w:val="24"/>
          <w:szCs w:val="22"/>
        </w:rPr>
        <w:t>2.2项目建设地点：</w:t>
      </w:r>
      <w:r>
        <w:rPr>
          <w:rFonts w:hint="eastAsia" w:hAnsi="宋体"/>
          <w:sz w:val="24"/>
          <w:szCs w:val="22"/>
          <w:lang w:eastAsia="zh-CN"/>
        </w:rPr>
        <w:t>华佗路灞陵路至吴庄路段</w:t>
      </w:r>
      <w:r>
        <w:rPr>
          <w:rFonts w:hint="eastAsia" w:hAnsi="宋体"/>
          <w:sz w:val="24"/>
          <w:szCs w:val="22"/>
        </w:rPr>
        <w:t>。</w:t>
      </w:r>
    </w:p>
    <w:p>
      <w:pPr>
        <w:widowControl/>
        <w:spacing w:line="312" w:lineRule="auto"/>
        <w:ind w:firstLine="480" w:firstLineChars="200"/>
        <w:rPr>
          <w:rFonts w:hAnsi="宋体"/>
          <w:sz w:val="24"/>
          <w:szCs w:val="22"/>
        </w:rPr>
      </w:pPr>
      <w:r>
        <w:rPr>
          <w:rFonts w:hint="eastAsia" w:hAnsi="宋体"/>
          <w:sz w:val="24"/>
          <w:szCs w:val="22"/>
        </w:rPr>
        <w:t>2.3工程概况：华佗路污水提升泵站及附属污水管网工程</w:t>
      </w:r>
      <w:r>
        <w:rPr>
          <w:rFonts w:hint="eastAsia" w:hAnsi="宋体"/>
          <w:sz w:val="24"/>
          <w:szCs w:val="22"/>
          <w:lang w:eastAsia="zh-CN"/>
        </w:rPr>
        <w:t>，主要内容包含污水提升泵站、设备、电气工程，泵站建筑面积约</w:t>
      </w:r>
      <w:r>
        <w:rPr>
          <w:rFonts w:hint="eastAsia" w:hAnsi="宋体"/>
          <w:sz w:val="24"/>
          <w:szCs w:val="22"/>
          <w:lang w:val="en-US" w:eastAsia="zh-CN"/>
        </w:rPr>
        <w:t>86平方米。D800毫米污水管道434米，敷设在道路北侧绿化带内，过河段入华佗路青泥河桥头新设计污水泵站内。污水检查井13座，降水、围堰、清淤等</w:t>
      </w:r>
      <w:r>
        <w:rPr>
          <w:rFonts w:hint="eastAsia" w:hAnsi="宋体"/>
          <w:sz w:val="24"/>
          <w:szCs w:val="22"/>
        </w:rPr>
        <w:t>。</w:t>
      </w:r>
    </w:p>
    <w:p>
      <w:pPr>
        <w:widowControl/>
        <w:spacing w:line="312" w:lineRule="auto"/>
        <w:ind w:firstLine="480" w:firstLineChars="200"/>
        <w:rPr>
          <w:rFonts w:hAnsi="宋体"/>
          <w:sz w:val="24"/>
          <w:szCs w:val="22"/>
        </w:rPr>
      </w:pPr>
      <w:r>
        <w:rPr>
          <w:rFonts w:hint="eastAsia" w:hAnsi="宋体"/>
          <w:sz w:val="24"/>
        </w:rPr>
        <w:t>2.4招标范围：招标文件、工程量</w:t>
      </w:r>
      <w:r>
        <w:rPr>
          <w:rFonts w:hint="eastAsia" w:hAnsi="宋体"/>
          <w:sz w:val="24"/>
          <w:szCs w:val="22"/>
        </w:rPr>
        <w:t>清单、施工图纸、答疑纪要和补充文件（如有）范围内的所有建设内容。</w:t>
      </w:r>
    </w:p>
    <w:p>
      <w:pPr>
        <w:spacing w:line="360" w:lineRule="auto"/>
        <w:ind w:firstLine="480"/>
        <w:rPr>
          <w:rFonts w:hAnsi="宋体"/>
          <w:sz w:val="24"/>
        </w:rPr>
      </w:pPr>
      <w:r>
        <w:rPr>
          <w:rFonts w:hint="eastAsia" w:hAnsi="宋体"/>
          <w:sz w:val="24"/>
        </w:rPr>
        <w:t>2.5标段划分：本工程共设一个标段。</w:t>
      </w:r>
    </w:p>
    <w:p>
      <w:pPr>
        <w:spacing w:line="360" w:lineRule="auto"/>
        <w:ind w:firstLine="480"/>
        <w:rPr>
          <w:rFonts w:hAnsi="宋体"/>
          <w:sz w:val="24"/>
          <w:szCs w:val="22"/>
        </w:rPr>
      </w:pPr>
      <w:r>
        <w:rPr>
          <w:rFonts w:hint="eastAsia" w:hAnsi="宋体"/>
          <w:sz w:val="24"/>
        </w:rPr>
        <w:t>2.6招标</w:t>
      </w:r>
      <w:r>
        <w:rPr>
          <w:rFonts w:hint="eastAsia" w:hAnsi="宋体"/>
          <w:sz w:val="24"/>
          <w:szCs w:val="22"/>
        </w:rPr>
        <w:t>控制价:</w:t>
      </w:r>
      <w:r>
        <w:rPr>
          <w:rFonts w:hint="eastAsia" w:hAnsi="宋体"/>
          <w:sz w:val="24"/>
          <w:szCs w:val="22"/>
          <w:lang w:val="en-US" w:eastAsia="zh-CN"/>
        </w:rPr>
        <w:t>4181717</w:t>
      </w:r>
      <w:r>
        <w:rPr>
          <w:rFonts w:hint="eastAsia" w:hAnsi="宋体"/>
          <w:sz w:val="24"/>
          <w:szCs w:val="22"/>
        </w:rPr>
        <w:t>元。</w:t>
      </w:r>
    </w:p>
    <w:p>
      <w:pPr>
        <w:widowControl/>
        <w:spacing w:line="300" w:lineRule="auto"/>
        <w:ind w:firstLine="480"/>
        <w:rPr>
          <w:rFonts w:hAnsi="宋体"/>
          <w:sz w:val="24"/>
          <w:szCs w:val="22"/>
          <w:highlight w:val="none"/>
        </w:rPr>
      </w:pPr>
      <w:r>
        <w:rPr>
          <w:rFonts w:hint="eastAsia" w:hAnsi="宋体"/>
          <w:sz w:val="24"/>
          <w:highlight w:val="none"/>
        </w:rPr>
        <w:t>2.7计划工</w:t>
      </w:r>
      <w:r>
        <w:rPr>
          <w:rFonts w:hint="eastAsia" w:hAnsi="宋体"/>
          <w:sz w:val="24"/>
          <w:szCs w:val="22"/>
          <w:highlight w:val="none"/>
        </w:rPr>
        <w:t>期：</w:t>
      </w:r>
      <w:r>
        <w:rPr>
          <w:rFonts w:hint="eastAsia" w:hAnsi="宋体"/>
          <w:sz w:val="24"/>
          <w:szCs w:val="22"/>
          <w:highlight w:val="none"/>
          <w:lang w:val="en-US" w:eastAsia="zh-CN"/>
        </w:rPr>
        <w:t>60</w:t>
      </w:r>
      <w:r>
        <w:rPr>
          <w:rFonts w:hint="eastAsia" w:hAnsi="宋体"/>
          <w:sz w:val="24"/>
          <w:szCs w:val="22"/>
          <w:highlight w:val="none"/>
        </w:rPr>
        <w:t>日历天。</w:t>
      </w:r>
    </w:p>
    <w:p>
      <w:pPr>
        <w:widowControl/>
        <w:spacing w:line="300" w:lineRule="auto"/>
        <w:rPr>
          <w:rFonts w:hAnsi="宋体"/>
          <w:sz w:val="24"/>
        </w:rPr>
      </w:pPr>
      <w:r>
        <w:rPr>
          <w:rFonts w:hint="eastAsia" w:hAnsi="宋体"/>
          <w:sz w:val="24"/>
        </w:rPr>
        <w:t xml:space="preserve">    2.8质量要求：合格。</w:t>
      </w:r>
    </w:p>
    <w:p>
      <w:pPr>
        <w:widowControl/>
        <w:numPr>
          <w:ilvl w:val="0"/>
          <w:numId w:val="2"/>
        </w:numPr>
        <w:spacing w:line="360" w:lineRule="auto"/>
        <w:rPr>
          <w:rFonts w:hAnsi="宋体"/>
          <w:b/>
          <w:sz w:val="24"/>
        </w:rPr>
      </w:pPr>
      <w:r>
        <w:rPr>
          <w:rFonts w:hint="eastAsia" w:hAnsi="宋体"/>
          <w:b/>
          <w:sz w:val="24"/>
        </w:rPr>
        <w:t>资格要求</w:t>
      </w:r>
    </w:p>
    <w:p>
      <w:pPr>
        <w:spacing w:line="360" w:lineRule="auto"/>
        <w:ind w:firstLine="480"/>
        <w:rPr>
          <w:rFonts w:hAnsi="宋体"/>
          <w:sz w:val="24"/>
          <w:szCs w:val="22"/>
        </w:rPr>
      </w:pPr>
      <w:r>
        <w:rPr>
          <w:rFonts w:hint="eastAsia" w:hAnsi="宋体"/>
          <w:sz w:val="24"/>
          <w:szCs w:val="22"/>
        </w:rPr>
        <w:t>3.1须具备市政公用工程施工总承包叁级及以上资质，且具有有效的安全生产许可证；在人员、设备、资金等方面具有相应的施工能力。</w:t>
      </w:r>
    </w:p>
    <w:p>
      <w:pPr>
        <w:spacing w:line="360" w:lineRule="auto"/>
        <w:ind w:firstLine="480"/>
        <w:rPr>
          <w:rFonts w:hAnsi="宋体"/>
          <w:sz w:val="24"/>
          <w:szCs w:val="22"/>
        </w:rPr>
      </w:pPr>
      <w:r>
        <w:rPr>
          <w:rFonts w:hint="eastAsia" w:hAnsi="宋体"/>
          <w:sz w:val="24"/>
          <w:szCs w:val="22"/>
        </w:rPr>
        <w:t>3.2拟派项目负责人应具备市政公用工程专业二级及以上注册建造师资格，且具有安全生产考核合格证，且未承担其它在施建设工程；</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3.3投标人未被列入“信用中国”网站（www.creditchina.gov.cn）失信被执行人、重大税收违法案件当事人名单；未被“信用河南”网站信用信息栏列入黑名单，以及未被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3.4本次招标不接受联合体投标。</w:t>
      </w:r>
    </w:p>
    <w:p>
      <w:pPr>
        <w:pStyle w:val="26"/>
        <w:spacing w:before="0" w:beforeAutospacing="0" w:after="0" w:afterAutospacing="0" w:line="360" w:lineRule="auto"/>
        <w:ind w:firstLine="480" w:firstLineChars="200"/>
        <w:contextualSpacing/>
        <w:jc w:val="both"/>
        <w:rPr>
          <w:rFonts w:cs="Times New Roman"/>
          <w:szCs w:val="24"/>
        </w:rPr>
      </w:pPr>
      <w:r>
        <w:rPr>
          <w:rFonts w:hint="eastAsia" w:cs="Times New Roman"/>
          <w:szCs w:val="24"/>
        </w:rPr>
        <w:t>3.5本次招标实行资格后审。</w:t>
      </w:r>
    </w:p>
    <w:p>
      <w:pPr>
        <w:widowControl/>
        <w:spacing w:line="360" w:lineRule="auto"/>
        <w:rPr>
          <w:rFonts w:hAnsi="宋体"/>
          <w:b/>
          <w:sz w:val="24"/>
        </w:rPr>
      </w:pPr>
      <w:r>
        <w:rPr>
          <w:rFonts w:hint="eastAsia" w:hAnsi="宋体"/>
          <w:b/>
          <w:sz w:val="24"/>
        </w:rPr>
        <w:t>4、网上下载招标文件</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4.1投标人持CA数字认证证书，登录《全国公共资源交易平台（河南省·许昌市）》“系统用户注册”入口（http://221.14.6.70:8088/ggzy/eps/public/RegistAllJcxx.html）进行免费注册登记（详见“常见问题解答-诚信库网上注册相关资料下载”）；</w:t>
      </w:r>
    </w:p>
    <w:p>
      <w:pPr>
        <w:pStyle w:val="26"/>
        <w:wordWrap w:val="0"/>
        <w:spacing w:before="0" w:beforeAutospacing="0" w:after="0" w:afterAutospacing="0" w:line="360" w:lineRule="auto"/>
        <w:ind w:firstLine="480" w:firstLineChars="200"/>
        <w:rPr>
          <w:rFonts w:cs="Times New Roman"/>
          <w:szCs w:val="24"/>
        </w:rPr>
      </w:pPr>
      <w:r>
        <w:rPr>
          <w:rFonts w:hint="eastAsia" w:cs="Times New Roman"/>
          <w:szCs w:val="24"/>
        </w:rPr>
        <w:t>4.2在投标截止时间前登录《全国公共资源交易平台（河南省·许昌市）》“投标人/供应商登录”入口（http://221.14.6.70:8088/ggzy/）自行下载招标文件（详见“常见问题解答-交易系统操作手册”）。</w:t>
      </w:r>
    </w:p>
    <w:p>
      <w:pPr>
        <w:autoSpaceDE w:val="0"/>
        <w:autoSpaceDN w:val="0"/>
        <w:adjustRightInd w:val="0"/>
        <w:spacing w:line="360" w:lineRule="auto"/>
        <w:rPr>
          <w:rFonts w:hAnsi="宋体"/>
          <w:b/>
          <w:sz w:val="24"/>
        </w:rPr>
      </w:pPr>
      <w:r>
        <w:rPr>
          <w:rFonts w:hint="eastAsia" w:hAnsi="宋体"/>
          <w:b/>
          <w:sz w:val="24"/>
        </w:rPr>
        <w:t xml:space="preserve">5.招标文件和施工图纸的获取                                                                                                                                                                                                                                 </w:t>
      </w:r>
    </w:p>
    <w:p>
      <w:pPr>
        <w:widowControl/>
        <w:spacing w:line="360" w:lineRule="auto"/>
        <w:ind w:firstLine="480" w:firstLineChars="200"/>
        <w:rPr>
          <w:rFonts w:hAnsi="宋体"/>
          <w:bCs/>
          <w:sz w:val="24"/>
        </w:rPr>
      </w:pPr>
      <w:r>
        <w:rPr>
          <w:rFonts w:hint="eastAsia" w:hAnsi="宋体"/>
          <w:bCs/>
          <w:sz w:val="24"/>
        </w:rPr>
        <w:t xml:space="preserve"> 5.1招标文件和工程量清单的获取：投标人于投标文件递交截止时间前均可登录《全国公共资源交易平台(河南省▪许昌市)》（http://ggzy.xuchang.gov.cn/），通过“投标人/供应商登录” 入口自行下载。</w:t>
      </w:r>
    </w:p>
    <w:p>
      <w:pPr>
        <w:widowControl/>
        <w:spacing w:line="312" w:lineRule="auto"/>
        <w:ind w:firstLine="480" w:firstLineChars="200"/>
        <w:rPr>
          <w:rFonts w:hAnsi="宋体"/>
          <w:bCs/>
          <w:sz w:val="24"/>
        </w:rPr>
      </w:pPr>
      <w:r>
        <w:rPr>
          <w:rFonts w:hint="eastAsia" w:hAnsi="宋体"/>
          <w:bCs/>
          <w:sz w:val="24"/>
        </w:rPr>
        <w:t xml:space="preserve"> 5.2施工图纸下载：按照招标文件中第二章投标人须知前附表自行下载。</w:t>
      </w:r>
    </w:p>
    <w:p>
      <w:pPr>
        <w:widowControl/>
        <w:spacing w:line="312" w:lineRule="auto"/>
        <w:ind w:firstLine="480" w:firstLineChars="200"/>
        <w:rPr>
          <w:rFonts w:hAnsi="宋体"/>
          <w:bCs/>
          <w:sz w:val="24"/>
        </w:rPr>
      </w:pPr>
      <w:r>
        <w:rPr>
          <w:rFonts w:hint="eastAsia" w:hAnsi="宋体"/>
          <w:bCs/>
          <w:sz w:val="24"/>
        </w:rPr>
        <w:t xml:space="preserve"> 5.3招标文件每套售价</w:t>
      </w:r>
      <w:r>
        <w:rPr>
          <w:rFonts w:hint="eastAsia" w:hAnsi="宋体"/>
          <w:bCs/>
          <w:sz w:val="24"/>
          <w:u w:val="single"/>
        </w:rPr>
        <w:t>300</w:t>
      </w:r>
      <w:r>
        <w:rPr>
          <w:rFonts w:hint="eastAsia" w:hAnsi="宋体"/>
          <w:bCs/>
          <w:sz w:val="24"/>
        </w:rPr>
        <w:t>元，于递交投标文件时缴纳给招标代理机构，售后不退。</w:t>
      </w:r>
    </w:p>
    <w:p>
      <w:pPr>
        <w:widowControl/>
        <w:numPr>
          <w:ilvl w:val="0"/>
          <w:numId w:val="3"/>
        </w:numPr>
        <w:spacing w:line="312" w:lineRule="auto"/>
        <w:rPr>
          <w:rFonts w:hAnsi="宋体"/>
          <w:b/>
          <w:sz w:val="24"/>
        </w:rPr>
      </w:pPr>
      <w:r>
        <w:rPr>
          <w:rFonts w:hint="eastAsia" w:hAnsi="宋体"/>
          <w:b/>
          <w:sz w:val="24"/>
        </w:rPr>
        <w:t>投标文件的递交</w:t>
      </w:r>
    </w:p>
    <w:p>
      <w:pPr>
        <w:spacing w:line="530" w:lineRule="exact"/>
        <w:ind w:firstLine="465"/>
        <w:rPr>
          <w:rFonts w:hAnsi="宋体" w:cs="宋体"/>
          <w:sz w:val="24"/>
          <w:szCs w:val="24"/>
        </w:rPr>
      </w:pPr>
      <w:r>
        <w:rPr>
          <w:rFonts w:hAnsi="宋体"/>
          <w:bCs/>
          <w:sz w:val="24"/>
        </w:rPr>
        <w:t>6</w:t>
      </w:r>
      <w:r>
        <w:rPr>
          <w:rFonts w:hint="eastAsia" w:hAnsi="宋体"/>
          <w:bCs/>
          <w:sz w:val="24"/>
        </w:rPr>
        <w:t>.1 本项目为全流程电子化交易项目，须提交电子投标文件2份。</w:t>
      </w:r>
    </w:p>
    <w:p>
      <w:pPr>
        <w:widowControl/>
        <w:spacing w:line="360" w:lineRule="auto"/>
        <w:ind w:firstLine="480" w:firstLineChars="200"/>
        <w:rPr>
          <w:rFonts w:hAnsi="宋体"/>
          <w:bCs/>
          <w:sz w:val="24"/>
          <w:highlight w:val="none"/>
        </w:rPr>
      </w:pPr>
      <w:r>
        <w:rPr>
          <w:rFonts w:hint="eastAsia" w:hAnsi="宋体"/>
          <w:bCs/>
          <w:sz w:val="24"/>
          <w:highlight w:val="none"/>
        </w:rPr>
        <w:t>6.2 投标文件提交的截止时间及开标时间：20</w:t>
      </w:r>
      <w:r>
        <w:rPr>
          <w:rFonts w:hint="eastAsia" w:hAnsi="宋体"/>
          <w:bCs/>
          <w:sz w:val="24"/>
          <w:highlight w:val="none"/>
          <w:lang w:val="en-US" w:eastAsia="zh-CN"/>
        </w:rPr>
        <w:t>20</w:t>
      </w:r>
      <w:r>
        <w:rPr>
          <w:rFonts w:hint="eastAsia" w:hAnsi="宋体"/>
          <w:bCs/>
          <w:sz w:val="24"/>
          <w:highlight w:val="none"/>
        </w:rPr>
        <w:t>年</w:t>
      </w:r>
      <w:r>
        <w:rPr>
          <w:rFonts w:hint="eastAsia" w:hAnsi="宋体"/>
          <w:bCs/>
          <w:sz w:val="24"/>
          <w:highlight w:val="none"/>
          <w:lang w:val="en-US" w:eastAsia="zh-CN"/>
        </w:rPr>
        <w:t>2</w:t>
      </w:r>
      <w:r>
        <w:rPr>
          <w:rFonts w:hint="eastAsia" w:hAnsi="宋体"/>
          <w:bCs/>
          <w:sz w:val="24"/>
          <w:highlight w:val="none"/>
        </w:rPr>
        <w:t>月</w:t>
      </w:r>
      <w:r>
        <w:rPr>
          <w:rFonts w:hint="eastAsia" w:hAnsi="宋体"/>
          <w:bCs/>
          <w:sz w:val="24"/>
          <w:highlight w:val="none"/>
          <w:lang w:val="en-US" w:eastAsia="zh-CN"/>
        </w:rPr>
        <w:t>19</w:t>
      </w:r>
      <w:r>
        <w:rPr>
          <w:rFonts w:hint="eastAsia" w:hAnsi="宋体"/>
          <w:bCs/>
          <w:sz w:val="24"/>
          <w:highlight w:val="none"/>
        </w:rPr>
        <w:t>日8时30分。</w:t>
      </w:r>
    </w:p>
    <w:p>
      <w:pPr>
        <w:widowControl/>
        <w:spacing w:line="360" w:lineRule="auto"/>
        <w:ind w:firstLine="480" w:firstLineChars="200"/>
        <w:rPr>
          <w:rFonts w:hAnsi="宋体"/>
          <w:bCs/>
          <w:sz w:val="24"/>
          <w:highlight w:val="none"/>
        </w:rPr>
      </w:pPr>
      <w:r>
        <w:rPr>
          <w:rFonts w:hint="eastAsia" w:hAnsi="宋体"/>
          <w:bCs/>
          <w:sz w:val="24"/>
          <w:highlight w:val="none"/>
        </w:rPr>
        <w:t>6.3电子投标文件的提交：电子投标文件应在投标文件提交截止时间（开标时间）之前成功提交至《全国公共资源交易平台(河南省▪许昌市)》公共资源交易系统，并同时提交2份使用电子介质存储的备份文件。</w:t>
      </w:r>
    </w:p>
    <w:p>
      <w:pPr>
        <w:widowControl/>
        <w:spacing w:line="360" w:lineRule="auto"/>
        <w:ind w:firstLine="480" w:firstLineChars="200"/>
        <w:rPr>
          <w:rFonts w:hAnsi="宋体"/>
          <w:bCs/>
          <w:sz w:val="24"/>
          <w:highlight w:val="none"/>
        </w:rPr>
      </w:pPr>
      <w:r>
        <w:rPr>
          <w:rFonts w:hint="eastAsia" w:hAnsi="宋体"/>
          <w:bCs/>
          <w:sz w:val="24"/>
          <w:highlight w:val="none"/>
        </w:rPr>
        <w:t>6.4电子投标文件提交地点：许昌市公共资源交易中心（龙兴路与竹林路交汇处创业服务中心C 座）三楼开标（</w:t>
      </w:r>
      <w:r>
        <w:rPr>
          <w:rFonts w:hint="eastAsia" w:hAnsi="宋体"/>
          <w:bCs/>
          <w:sz w:val="24"/>
          <w:highlight w:val="none"/>
          <w:lang w:val="en-US" w:eastAsia="zh-CN"/>
        </w:rPr>
        <w:t>二</w:t>
      </w:r>
      <w:r>
        <w:rPr>
          <w:rFonts w:hint="eastAsia" w:hAnsi="宋体"/>
          <w:bCs/>
          <w:sz w:val="24"/>
          <w:highlight w:val="none"/>
        </w:rPr>
        <w:t>）室。</w:t>
      </w:r>
    </w:p>
    <w:p>
      <w:pPr>
        <w:widowControl/>
        <w:spacing w:line="360" w:lineRule="auto"/>
        <w:ind w:firstLine="480" w:firstLineChars="200"/>
        <w:rPr>
          <w:rFonts w:hAnsi="宋体"/>
          <w:bCs/>
          <w:sz w:val="24"/>
        </w:rPr>
      </w:pPr>
      <w:r>
        <w:rPr>
          <w:rFonts w:hint="eastAsia" w:hAnsi="宋体"/>
          <w:bCs/>
          <w:sz w:val="24"/>
        </w:rPr>
        <w:t>6.5逾期送达的或者未送达指定地点的</w:t>
      </w:r>
      <w:r>
        <w:rPr>
          <w:rFonts w:hint="eastAsia" w:hAnsi="宋体" w:cs="宋体"/>
          <w:sz w:val="24"/>
        </w:rPr>
        <w:t>电子投标文件</w:t>
      </w:r>
      <w:r>
        <w:rPr>
          <w:rFonts w:hint="eastAsia" w:hAnsi="宋体"/>
          <w:bCs/>
          <w:sz w:val="24"/>
        </w:rPr>
        <w:t>的，招标人不予受理。</w:t>
      </w:r>
    </w:p>
    <w:p>
      <w:pPr>
        <w:widowControl/>
        <w:spacing w:line="312" w:lineRule="auto"/>
        <w:rPr>
          <w:rFonts w:hAnsi="宋体"/>
          <w:b/>
          <w:sz w:val="24"/>
        </w:rPr>
      </w:pPr>
      <w:r>
        <w:rPr>
          <w:rFonts w:hint="eastAsia" w:hAnsi="宋体"/>
          <w:b/>
          <w:sz w:val="24"/>
        </w:rPr>
        <w:t>7.发布公告的媒介</w:t>
      </w:r>
    </w:p>
    <w:p>
      <w:pPr>
        <w:widowControl/>
        <w:spacing w:line="312" w:lineRule="auto"/>
        <w:ind w:firstLine="480" w:firstLineChars="200"/>
        <w:rPr>
          <w:rFonts w:hAnsi="宋体"/>
          <w:sz w:val="24"/>
        </w:rPr>
      </w:pPr>
      <w:r>
        <w:rPr>
          <w:rFonts w:hint="eastAsia" w:hAnsi="宋体"/>
          <w:sz w:val="24"/>
        </w:rPr>
        <w:t>本公告同时在《全国公共资源交易平台(河南省▪许昌市</w:t>
      </w:r>
      <w:r>
        <w:rPr>
          <w:rFonts w:hAnsi="宋体"/>
          <w:sz w:val="24"/>
        </w:rPr>
        <w:t>)</w:t>
      </w:r>
      <w:r>
        <w:rPr>
          <w:rFonts w:hint="eastAsia" w:hAnsi="宋体"/>
          <w:sz w:val="24"/>
        </w:rPr>
        <w:t>》、《河南省电子招标投标公共服务平台》上发布。</w:t>
      </w:r>
    </w:p>
    <w:p>
      <w:pPr>
        <w:widowControl/>
        <w:spacing w:line="312" w:lineRule="auto"/>
        <w:rPr>
          <w:rFonts w:hAnsi="宋体"/>
          <w:b/>
          <w:sz w:val="24"/>
        </w:rPr>
      </w:pPr>
      <w:r>
        <w:rPr>
          <w:rFonts w:hint="eastAsia" w:hAnsi="宋体"/>
          <w:b/>
          <w:sz w:val="24"/>
        </w:rPr>
        <w:t>8.联系事项</w:t>
      </w:r>
    </w:p>
    <w:p>
      <w:pPr>
        <w:widowControl/>
        <w:spacing w:line="312" w:lineRule="auto"/>
        <w:ind w:firstLine="480" w:firstLineChars="200"/>
        <w:rPr>
          <w:rFonts w:hAnsi="宋体"/>
          <w:sz w:val="24"/>
          <w:szCs w:val="22"/>
        </w:rPr>
      </w:pPr>
      <w:r>
        <w:rPr>
          <w:rFonts w:hint="eastAsia" w:hAnsi="宋体"/>
          <w:sz w:val="24"/>
          <w:szCs w:val="22"/>
        </w:rPr>
        <w:t xml:space="preserve">招 标 人：许昌市魏都区水利局    </w:t>
      </w:r>
      <w:r>
        <w:rPr>
          <w:rFonts w:hint="eastAsia" w:hAnsi="宋体"/>
          <w:sz w:val="24"/>
          <w:szCs w:val="22"/>
        </w:rPr>
        <w:tab/>
      </w:r>
    </w:p>
    <w:p>
      <w:pPr>
        <w:widowControl/>
        <w:spacing w:line="312" w:lineRule="auto"/>
        <w:ind w:firstLine="480" w:firstLineChars="200"/>
        <w:rPr>
          <w:rFonts w:hAnsi="宋体"/>
          <w:sz w:val="24"/>
          <w:szCs w:val="22"/>
        </w:rPr>
      </w:pPr>
      <w:r>
        <w:rPr>
          <w:rFonts w:hint="eastAsia" w:hAnsi="宋体"/>
          <w:sz w:val="24"/>
          <w:szCs w:val="22"/>
        </w:rPr>
        <w:t>联 系 人：任先生</w:t>
      </w:r>
    </w:p>
    <w:p>
      <w:pPr>
        <w:widowControl/>
        <w:spacing w:line="312" w:lineRule="auto"/>
        <w:ind w:firstLine="480" w:firstLineChars="200"/>
        <w:rPr>
          <w:rFonts w:hAnsi="宋体"/>
          <w:sz w:val="24"/>
          <w:szCs w:val="22"/>
        </w:rPr>
      </w:pPr>
      <w:r>
        <w:rPr>
          <w:rFonts w:hint="eastAsia" w:hAnsi="宋体"/>
          <w:sz w:val="24"/>
          <w:szCs w:val="22"/>
        </w:rPr>
        <w:t>联系电话：0374-2623169</w:t>
      </w:r>
    </w:p>
    <w:p>
      <w:pPr>
        <w:widowControl/>
        <w:spacing w:line="312" w:lineRule="auto"/>
        <w:ind w:firstLine="480" w:firstLineChars="200"/>
        <w:rPr>
          <w:rFonts w:hAnsi="宋体"/>
          <w:sz w:val="24"/>
          <w:szCs w:val="22"/>
        </w:rPr>
      </w:pPr>
      <w:r>
        <w:rPr>
          <w:rFonts w:hint="eastAsia" w:hAnsi="宋体"/>
          <w:sz w:val="24"/>
          <w:szCs w:val="22"/>
        </w:rPr>
        <w:t>代理机构：永明项目管理有限公司</w:t>
      </w:r>
    </w:p>
    <w:p>
      <w:pPr>
        <w:widowControl/>
        <w:spacing w:line="312" w:lineRule="auto"/>
        <w:ind w:firstLine="480" w:firstLineChars="200"/>
        <w:rPr>
          <w:rFonts w:hAnsi="宋体"/>
          <w:sz w:val="24"/>
          <w:szCs w:val="22"/>
        </w:rPr>
      </w:pPr>
      <w:r>
        <w:rPr>
          <w:rFonts w:hint="eastAsia" w:hAnsi="宋体"/>
          <w:sz w:val="24"/>
          <w:szCs w:val="22"/>
        </w:rPr>
        <w:t>联 系 人：冯先生</w:t>
      </w:r>
    </w:p>
    <w:p>
      <w:pPr>
        <w:widowControl/>
        <w:spacing w:line="312" w:lineRule="auto"/>
        <w:ind w:firstLine="480" w:firstLineChars="200"/>
        <w:rPr>
          <w:rFonts w:hAnsi="宋体"/>
          <w:sz w:val="24"/>
          <w:szCs w:val="22"/>
        </w:rPr>
      </w:pPr>
      <w:r>
        <w:rPr>
          <w:rFonts w:hint="eastAsia" w:hAnsi="宋体"/>
          <w:sz w:val="24"/>
          <w:szCs w:val="22"/>
        </w:rPr>
        <w:t>联系电话：13243333750</w:t>
      </w:r>
    </w:p>
    <w:p>
      <w:pPr>
        <w:autoSpaceDE w:val="0"/>
        <w:autoSpaceDN w:val="0"/>
        <w:adjustRightInd w:val="0"/>
        <w:spacing w:line="360" w:lineRule="auto"/>
        <w:ind w:firstLine="480" w:firstLineChars="200"/>
        <w:jc w:val="left"/>
        <w:rPr>
          <w:rFonts w:hAnsi="宋体"/>
          <w:sz w:val="24"/>
          <w:szCs w:val="24"/>
        </w:rPr>
      </w:pPr>
    </w:p>
    <w:p>
      <w:pPr>
        <w:pStyle w:val="2"/>
        <w:ind w:firstLine="240"/>
        <w:jc w:val="right"/>
        <w:rPr>
          <w:rFonts w:hAnsi="宋体"/>
          <w:sz w:val="24"/>
          <w:szCs w:val="22"/>
        </w:rPr>
      </w:pPr>
      <w:r>
        <w:rPr>
          <w:rFonts w:hint="eastAsia" w:hAnsi="宋体"/>
          <w:sz w:val="24"/>
          <w:szCs w:val="22"/>
        </w:rPr>
        <w:t>许昌市魏都区水利局</w:t>
      </w:r>
    </w:p>
    <w:p>
      <w:pPr>
        <w:pStyle w:val="2"/>
        <w:ind w:firstLine="240"/>
        <w:jc w:val="right"/>
        <w:rPr>
          <w:highlight w:val="none"/>
        </w:rPr>
      </w:pPr>
      <w:r>
        <w:rPr>
          <w:rFonts w:hint="eastAsia" w:hAnsi="宋体"/>
          <w:sz w:val="24"/>
          <w:highlight w:val="none"/>
        </w:rPr>
        <w:t>20</w:t>
      </w:r>
      <w:r>
        <w:rPr>
          <w:rFonts w:hint="eastAsia" w:hAnsi="宋体"/>
          <w:sz w:val="24"/>
          <w:highlight w:val="none"/>
          <w:lang w:val="en-US" w:eastAsia="zh-CN"/>
        </w:rPr>
        <w:t>20</w:t>
      </w:r>
      <w:r>
        <w:rPr>
          <w:rFonts w:hint="eastAsia" w:hAnsi="宋体"/>
          <w:sz w:val="24"/>
          <w:highlight w:val="none"/>
        </w:rPr>
        <w:t>年1月</w:t>
      </w:r>
      <w:r>
        <w:rPr>
          <w:rFonts w:hint="eastAsia" w:hAnsi="宋体"/>
          <w:sz w:val="24"/>
          <w:highlight w:val="none"/>
          <w:lang w:val="en-US" w:eastAsia="zh-CN"/>
        </w:rPr>
        <w:t>17</w:t>
      </w:r>
      <w:r>
        <w:rPr>
          <w:rFonts w:hint="eastAsia" w:hAnsi="宋体"/>
          <w:sz w:val="24"/>
          <w:highlight w:val="none"/>
        </w:rPr>
        <w:t>日</w:t>
      </w:r>
    </w:p>
    <w:p>
      <w:pPr>
        <w:widowControl/>
        <w:spacing w:line="312" w:lineRule="auto"/>
        <w:rPr>
          <w:rFonts w:hAnsi="宋体" w:cs="宋体"/>
          <w:b/>
          <w:bCs/>
          <w:sz w:val="28"/>
          <w:szCs w:val="28"/>
        </w:rPr>
      </w:pPr>
      <w:r>
        <w:rPr>
          <w:rFonts w:hAnsi="宋体" w:cs="宋体"/>
          <w:b/>
          <w:bCs/>
          <w:sz w:val="28"/>
          <w:szCs w:val="28"/>
        </w:rPr>
        <w:t>温馨提示：</w:t>
      </w:r>
    </w:p>
    <w:p>
      <w:pPr>
        <w:snapToGrid w:val="0"/>
        <w:spacing w:line="540" w:lineRule="exact"/>
        <w:ind w:left="-170" w:leftChars="-50" w:right="-170" w:rightChars="-50" w:firstLine="560" w:firstLineChars="200"/>
        <w:rPr>
          <w:rFonts w:hAnsi="宋体" w:cs="宋体"/>
          <w:sz w:val="24"/>
          <w:szCs w:val="24"/>
        </w:rPr>
      </w:pPr>
      <w:r>
        <w:rPr>
          <w:rFonts w:hint="eastAsia" w:hAnsi="宋体" w:cs="宋体"/>
          <w:b/>
          <w:bCs/>
          <w:sz w:val="28"/>
          <w:szCs w:val="28"/>
        </w:rPr>
        <w:t>本项目为全流程电子化交易项目，请认真阅读招标文件，并注意以下事项。</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1.投标人应按招标文件规定下载、编制、提交电子投标文件。开、评标现场不接受投标人递交的电子投标文件以外的其他资料。</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2.电子文件下载、制作、提交期间和开标（电子投标文件的解密）环节，投标人须使用CA数字证书（证书须在有效期内）。</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3.电子投标文件的制作</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3.1 投标人登录《全国公共资源交易平台(河南省▪许昌市)》公共资源交易系统（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）下载“许昌投标文件制作系统SEARUN V1.1”，按招标文件要求制作电子投标文件。</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电子投标文件的制作，参考《全国公共资源交易平台(河南省▪许昌市)》公共资源交易系统——组件下载——交易系统操作手册（投标人、供应商）。</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3.2 投标人须将招标文件要求的资质、业绩、荣誉及相关人员证明材料等资料原件扫描件（或图片）制作到所提交的电子投标文件中。</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3.3投标人对同一项目多个标段进行投标的，应分别下载所投标段的招标文件，按标段制作电子投标文件，并按招标文件要求在相应位置加盖投标人电子印章和法人电子印章。</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一个标段对应生成一个文件夹（xxxx项目xx标段）, 其中包含2个文件和1个文件夹。后缀名为“.file”的文件用于电子投标使用，“备份文件夹”使用电子介质存储，供开标现场备用。</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4.电子投标文件的提交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 4.1电子投标文件应在招标文件规定的投标文件提交截止时间（开标时间）之前成功提交至《全国公共资源交易平台(河南省▪许昌市)》公共资源交易系统（</w:t>
      </w:r>
      <w:r>
        <w:fldChar w:fldCharType="begin"/>
      </w:r>
      <w:r>
        <w:instrText xml:space="preserve"> HYPERLINK "http://221.14.6.70:8088/ggzy/" </w:instrText>
      </w:r>
      <w:r>
        <w:fldChar w:fldCharType="separate"/>
      </w:r>
      <w:r>
        <w:rPr>
          <w:rFonts w:hint="eastAsia" w:hAnsi="宋体" w:cs="宋体"/>
          <w:sz w:val="24"/>
          <w:szCs w:val="24"/>
        </w:rPr>
        <w:t>http://221.14.6.70:8088/ggzy/</w:t>
      </w:r>
      <w:r>
        <w:rPr>
          <w:rFonts w:hint="eastAsia" w:hAnsi="宋体" w:cs="宋体"/>
          <w:sz w:val="24"/>
          <w:szCs w:val="24"/>
        </w:rPr>
        <w:fldChar w:fldCharType="end"/>
      </w:r>
      <w:r>
        <w:rPr>
          <w:rFonts w:hint="eastAsia" w:hAnsi="宋体" w:cs="宋体"/>
          <w:sz w:val="24"/>
          <w:szCs w:val="24"/>
        </w:rPr>
        <w:t>）。</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投标人应充分考虑并预留技术处理和上传数据所需时间。</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4.2 投标人对同一项目多个标段进行投标的，电子投标文件应按标段分别提交。</w:t>
      </w:r>
    </w:p>
    <w:p>
      <w:pPr>
        <w:snapToGrid w:val="0"/>
        <w:spacing w:line="540" w:lineRule="exact"/>
        <w:ind w:left="-170" w:leftChars="-50" w:right="-170" w:rightChars="-50" w:firstLine="480" w:firstLineChars="200"/>
        <w:rPr>
          <w:rFonts w:hAnsi="宋体" w:cs="宋体"/>
          <w:sz w:val="24"/>
          <w:szCs w:val="24"/>
        </w:rPr>
      </w:pPr>
      <w:r>
        <w:rPr>
          <w:rFonts w:hint="eastAsia" w:hAnsi="宋体" w:cs="宋体"/>
          <w:sz w:val="24"/>
          <w:szCs w:val="24"/>
        </w:rPr>
        <w:t>4.3 电子投标文件成功提交后，投标人应打印“投标文件提交回执单”，供开标现场备查。</w:t>
      </w:r>
    </w:p>
    <w:p>
      <w:pPr>
        <w:snapToGrid w:val="0"/>
        <w:spacing w:line="540" w:lineRule="exact"/>
        <w:ind w:left="-170" w:leftChars="-50" w:right="-170" w:rightChars="-50" w:firstLine="480" w:firstLineChars="200"/>
        <w:rPr>
          <w:rFonts w:hAnsi="宋体" w:cs="宋体"/>
          <w:b/>
          <w:bCs/>
          <w:sz w:val="24"/>
          <w:szCs w:val="24"/>
        </w:rPr>
      </w:pPr>
      <w:r>
        <w:rPr>
          <w:rFonts w:hint="eastAsia" w:hAnsi="宋体" w:cs="宋体"/>
          <w:b/>
          <w:bCs/>
          <w:sz w:val="24"/>
          <w:szCs w:val="24"/>
        </w:rPr>
        <w:t>5.评标依据</w:t>
      </w:r>
    </w:p>
    <w:p>
      <w:pPr>
        <w:snapToGrid w:val="0"/>
        <w:spacing w:line="540" w:lineRule="exact"/>
        <w:ind w:left="-170" w:leftChars="-50" w:right="-170" w:rightChars="-50" w:firstLine="480" w:firstLineChars="200"/>
      </w:pPr>
      <w:r>
        <w:rPr>
          <w:rFonts w:hint="eastAsia" w:hAnsi="宋体" w:cs="宋体"/>
          <w:sz w:val="24"/>
          <w:szCs w:val="24"/>
        </w:rPr>
        <w:t>5.1采用全流程电子化交易评标时，评标委员会以电子投标文件为依据评标。</w:t>
      </w:r>
    </w:p>
    <w:p>
      <w:pPr>
        <w:snapToGrid w:val="0"/>
        <w:spacing w:line="540" w:lineRule="exact"/>
        <w:ind w:left="-170" w:leftChars="-50" w:right="-170" w:rightChars="-50" w:firstLine="480" w:firstLineChars="20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snapToGrid w:val="0"/>
        <w:spacing w:line="540" w:lineRule="exact"/>
        <w:ind w:left="-170" w:leftChars="-50" w:right="-170" w:rightChars="-50" w:firstLine="480" w:firstLineChars="200"/>
        <w:rPr>
          <w:rFonts w:hAnsi="宋体" w:cs="宋体"/>
          <w:sz w:val="24"/>
          <w:szCs w:val="24"/>
        </w:rPr>
      </w:pPr>
    </w:p>
    <w:p>
      <w:pPr>
        <w:pStyle w:val="2"/>
        <w:ind w:firstLine="240"/>
        <w:rPr>
          <w:rFonts w:hAnsi="宋体" w:cs="宋体"/>
          <w:sz w:val="24"/>
          <w:szCs w:val="24"/>
        </w:rPr>
      </w:pPr>
    </w:p>
    <w:p>
      <w:pPr>
        <w:pStyle w:val="2"/>
        <w:ind w:firstLine="240"/>
        <w:rPr>
          <w:rFonts w:hAnsi="宋体" w:cs="宋体"/>
          <w:sz w:val="24"/>
          <w:szCs w:val="24"/>
        </w:rPr>
      </w:pPr>
    </w:p>
    <w:p>
      <w:pPr>
        <w:tabs>
          <w:tab w:val="left" w:pos="4140"/>
          <w:tab w:val="left" w:pos="4260"/>
        </w:tabs>
        <w:spacing w:line="360" w:lineRule="auto"/>
        <w:ind w:right="-578" w:rightChars="-170" w:firstLine="360" w:firstLineChars="100"/>
        <w:jc w:val="center"/>
        <w:rPr>
          <w:rFonts w:hAnsi="宋体" w:cs="黑体"/>
          <w:b/>
          <w:sz w:val="36"/>
          <w:szCs w:val="36"/>
        </w:rPr>
      </w:pPr>
      <w:r>
        <w:rPr>
          <w:rFonts w:hint="eastAsia" w:hAnsi="宋体" w:cs="黑体"/>
          <w:b/>
          <w:sz w:val="36"/>
          <w:szCs w:val="36"/>
        </w:rPr>
        <w:t xml:space="preserve">第二章  </w:t>
      </w:r>
      <w:bookmarkEnd w:id="0"/>
      <w:r>
        <w:rPr>
          <w:rFonts w:hint="eastAsia" w:hAnsi="宋体" w:cs="黑体"/>
          <w:b/>
          <w:sz w:val="36"/>
          <w:szCs w:val="36"/>
        </w:rPr>
        <w:t>投标人须知</w:t>
      </w:r>
    </w:p>
    <w:p>
      <w:pPr>
        <w:autoSpaceDE w:val="0"/>
        <w:autoSpaceDN w:val="0"/>
        <w:adjustRightInd w:val="0"/>
        <w:outlineLvl w:val="0"/>
        <w:rPr>
          <w:rFonts w:hAnsi="宋体" w:cs="黑体"/>
          <w:b/>
          <w:sz w:val="28"/>
          <w:szCs w:val="28"/>
        </w:rPr>
      </w:pPr>
      <w:bookmarkStart w:id="1" w:name="_Toc283559940"/>
      <w:r>
        <w:rPr>
          <w:rFonts w:hint="eastAsia" w:hAnsi="宋体" w:cs="黑体"/>
          <w:b/>
          <w:sz w:val="28"/>
          <w:szCs w:val="28"/>
        </w:rPr>
        <w:t>投标人须知前附表</w:t>
      </w:r>
      <w:bookmarkEnd w:id="1"/>
    </w:p>
    <w:tbl>
      <w:tblPr>
        <w:tblStyle w:val="29"/>
        <w:tblW w:w="987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03"/>
        <w:gridCol w:w="74"/>
        <w:gridCol w:w="1571"/>
        <w:gridCol w:w="802"/>
        <w:gridCol w:w="664"/>
        <w:gridCol w:w="57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360" w:lineRule="auto"/>
              <w:jc w:val="center"/>
              <w:rPr>
                <w:rFonts w:hAnsi="宋体" w:cs="仿宋_GB2312"/>
                <w:b/>
                <w:sz w:val="24"/>
              </w:rPr>
            </w:pPr>
            <w:r>
              <w:rPr>
                <w:rFonts w:hint="eastAsia" w:hAnsi="宋体" w:cs="仿宋_GB2312"/>
                <w:b/>
                <w:sz w:val="24"/>
              </w:rPr>
              <w:t>条款号</w:t>
            </w:r>
          </w:p>
        </w:tc>
        <w:tc>
          <w:tcPr>
            <w:tcW w:w="2447" w:type="dxa"/>
            <w:gridSpan w:val="3"/>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条款名称</w:t>
            </w:r>
          </w:p>
        </w:tc>
        <w:tc>
          <w:tcPr>
            <w:tcW w:w="6424" w:type="dxa"/>
            <w:gridSpan w:val="2"/>
            <w:vAlign w:val="center"/>
          </w:tcPr>
          <w:p>
            <w:pPr>
              <w:autoSpaceDE w:val="0"/>
              <w:autoSpaceDN w:val="0"/>
              <w:adjustRightInd w:val="0"/>
              <w:spacing w:line="420" w:lineRule="exact"/>
              <w:jc w:val="center"/>
              <w:rPr>
                <w:rFonts w:hAnsi="宋体" w:cs="仿宋_GB2312"/>
                <w:b/>
                <w:sz w:val="24"/>
              </w:rPr>
            </w:pPr>
            <w:r>
              <w:rPr>
                <w:rFonts w:hint="eastAsia" w:hAnsi="宋体" w:cs="仿宋_GB2312"/>
                <w:b/>
                <w:sz w:val="24"/>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1" w:hRule="atLeast"/>
          <w:jc w:val="center"/>
        </w:trPr>
        <w:tc>
          <w:tcPr>
            <w:tcW w:w="1003" w:type="dxa"/>
            <w:vAlign w:val="center"/>
          </w:tcPr>
          <w:p>
            <w:pPr>
              <w:autoSpaceDE w:val="0"/>
              <w:autoSpaceDN w:val="0"/>
              <w:adjustRightInd w:val="0"/>
              <w:jc w:val="center"/>
              <w:rPr>
                <w:rFonts w:hAnsi="宋体" w:cs="黑体"/>
                <w:sz w:val="24"/>
              </w:rPr>
            </w:pPr>
            <w:r>
              <w:rPr>
                <w:rFonts w:hAnsi="宋体" w:cs="TimesNewRomanPSMT"/>
                <w:sz w:val="24"/>
              </w:rPr>
              <w:t>1.1.</w:t>
            </w:r>
            <w:r>
              <w:rPr>
                <w:rFonts w:hint="eastAsia"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招标人</w:t>
            </w:r>
          </w:p>
        </w:tc>
        <w:tc>
          <w:tcPr>
            <w:tcW w:w="6424" w:type="dxa"/>
            <w:gridSpan w:val="2"/>
            <w:vAlign w:val="center"/>
          </w:tcPr>
          <w:p>
            <w:pPr>
              <w:widowControl/>
              <w:spacing w:line="312" w:lineRule="auto"/>
              <w:rPr>
                <w:rFonts w:hAnsi="宋体"/>
                <w:sz w:val="24"/>
                <w:szCs w:val="22"/>
              </w:rPr>
            </w:pPr>
            <w:r>
              <w:rPr>
                <w:rFonts w:hint="eastAsia" w:hAnsi="宋体"/>
                <w:sz w:val="24"/>
                <w:szCs w:val="22"/>
              </w:rPr>
              <w:t xml:space="preserve">招 标 人：许昌市魏都区水利局    </w:t>
            </w:r>
            <w:r>
              <w:rPr>
                <w:rFonts w:hint="eastAsia" w:hAnsi="宋体"/>
                <w:sz w:val="24"/>
                <w:szCs w:val="22"/>
              </w:rPr>
              <w:tab/>
            </w:r>
          </w:p>
          <w:p>
            <w:pPr>
              <w:widowControl/>
              <w:spacing w:line="312" w:lineRule="auto"/>
              <w:rPr>
                <w:rFonts w:hAnsi="宋体"/>
                <w:sz w:val="24"/>
                <w:szCs w:val="22"/>
              </w:rPr>
            </w:pPr>
            <w:r>
              <w:rPr>
                <w:rFonts w:hint="eastAsia" w:hAnsi="宋体"/>
                <w:sz w:val="24"/>
                <w:szCs w:val="22"/>
              </w:rPr>
              <w:t>联 系 人：任先生</w:t>
            </w:r>
          </w:p>
          <w:p>
            <w:pPr>
              <w:widowControl/>
              <w:spacing w:line="312" w:lineRule="auto"/>
              <w:rPr>
                <w:rFonts w:hAnsi="宋体"/>
                <w:sz w:val="24"/>
              </w:rPr>
            </w:pPr>
            <w:r>
              <w:rPr>
                <w:rFonts w:hint="eastAsia" w:hAnsi="宋体"/>
                <w:sz w:val="24"/>
                <w:szCs w:val="22"/>
              </w:rPr>
              <w:t>联系电话：0374-2623169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8" w:hRule="atLeast"/>
          <w:jc w:val="center"/>
        </w:trPr>
        <w:tc>
          <w:tcPr>
            <w:tcW w:w="1003" w:type="dxa"/>
            <w:vAlign w:val="center"/>
          </w:tcPr>
          <w:p>
            <w:pPr>
              <w:autoSpaceDE w:val="0"/>
              <w:autoSpaceDN w:val="0"/>
              <w:adjustRightInd w:val="0"/>
              <w:jc w:val="center"/>
              <w:rPr>
                <w:rFonts w:hAnsi="宋体" w:cs="TimesNewRomanPSMT"/>
                <w:sz w:val="24"/>
              </w:rPr>
            </w:pPr>
            <w:r>
              <w:rPr>
                <w:rFonts w:hint="eastAsia" w:hAnsi="宋体" w:cs="TimesNewRomanPSMT"/>
                <w:sz w:val="24"/>
              </w:rPr>
              <w:t>1.1.2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代理机构</w:t>
            </w:r>
          </w:p>
        </w:tc>
        <w:tc>
          <w:tcPr>
            <w:tcW w:w="6424" w:type="dxa"/>
            <w:gridSpan w:val="2"/>
            <w:vAlign w:val="center"/>
          </w:tcPr>
          <w:p>
            <w:pPr>
              <w:widowControl/>
              <w:spacing w:line="312" w:lineRule="auto"/>
              <w:rPr>
                <w:rFonts w:hAnsi="宋体"/>
                <w:sz w:val="24"/>
                <w:szCs w:val="22"/>
              </w:rPr>
            </w:pPr>
            <w:r>
              <w:rPr>
                <w:rFonts w:hint="eastAsia" w:hAnsi="宋体"/>
                <w:sz w:val="24"/>
                <w:szCs w:val="22"/>
              </w:rPr>
              <w:t>代理机构：永明项目管理有限公司</w:t>
            </w:r>
          </w:p>
          <w:p>
            <w:pPr>
              <w:widowControl/>
              <w:spacing w:line="312" w:lineRule="auto"/>
              <w:rPr>
                <w:rFonts w:hAnsi="宋体"/>
                <w:sz w:val="24"/>
                <w:szCs w:val="22"/>
              </w:rPr>
            </w:pPr>
            <w:r>
              <w:rPr>
                <w:rFonts w:hint="eastAsia" w:hAnsi="宋体"/>
                <w:sz w:val="24"/>
                <w:szCs w:val="22"/>
              </w:rPr>
              <w:t>联 系 人：冯先生</w:t>
            </w:r>
          </w:p>
          <w:p>
            <w:pPr>
              <w:widowControl/>
              <w:spacing w:line="312" w:lineRule="auto"/>
            </w:pPr>
            <w:r>
              <w:rPr>
                <w:rFonts w:hint="eastAsia" w:hAnsi="宋体"/>
                <w:sz w:val="24"/>
                <w:szCs w:val="22"/>
              </w:rPr>
              <w:t>联系电话：13243333750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4</w:t>
            </w:r>
          </w:p>
        </w:tc>
        <w:tc>
          <w:tcPr>
            <w:tcW w:w="2447" w:type="dxa"/>
            <w:gridSpan w:val="3"/>
            <w:vAlign w:val="center"/>
          </w:tcPr>
          <w:p>
            <w:pPr>
              <w:widowControl/>
              <w:spacing w:line="312" w:lineRule="auto"/>
              <w:jc w:val="center"/>
              <w:rPr>
                <w:rFonts w:hAnsi="宋体"/>
                <w:sz w:val="24"/>
                <w:szCs w:val="22"/>
              </w:rPr>
            </w:pPr>
            <w:r>
              <w:rPr>
                <w:rFonts w:hint="eastAsia" w:hAnsi="宋体"/>
                <w:sz w:val="24"/>
                <w:szCs w:val="22"/>
              </w:rPr>
              <w:t>项目名称</w:t>
            </w:r>
          </w:p>
        </w:tc>
        <w:tc>
          <w:tcPr>
            <w:tcW w:w="6424" w:type="dxa"/>
            <w:gridSpan w:val="2"/>
            <w:vAlign w:val="center"/>
          </w:tcPr>
          <w:p>
            <w:pPr>
              <w:widowControl/>
              <w:spacing w:line="312" w:lineRule="auto"/>
              <w:rPr>
                <w:rFonts w:hAnsi="宋体"/>
                <w:sz w:val="24"/>
                <w:szCs w:val="22"/>
              </w:rPr>
            </w:pPr>
            <w:r>
              <w:rPr>
                <w:rFonts w:hint="eastAsia" w:hAnsi="宋体"/>
                <w:sz w:val="24"/>
                <w:szCs w:val="22"/>
              </w:rPr>
              <w:t>华佗路污水提升泵站及附属污水管网工程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5</w:t>
            </w:r>
          </w:p>
        </w:tc>
        <w:tc>
          <w:tcPr>
            <w:tcW w:w="2447" w:type="dxa"/>
            <w:gridSpan w:val="3"/>
            <w:vAlign w:val="center"/>
          </w:tcPr>
          <w:p>
            <w:pPr>
              <w:widowControl/>
              <w:spacing w:line="312" w:lineRule="auto"/>
              <w:jc w:val="center"/>
              <w:rPr>
                <w:rFonts w:hAnsi="宋体"/>
                <w:sz w:val="24"/>
                <w:szCs w:val="22"/>
              </w:rPr>
            </w:pPr>
            <w:r>
              <w:rPr>
                <w:rFonts w:hint="eastAsia" w:hAnsi="宋体"/>
                <w:sz w:val="24"/>
                <w:szCs w:val="22"/>
              </w:rPr>
              <w:t>建设地点</w:t>
            </w:r>
          </w:p>
        </w:tc>
        <w:tc>
          <w:tcPr>
            <w:tcW w:w="6424" w:type="dxa"/>
            <w:gridSpan w:val="2"/>
            <w:vAlign w:val="center"/>
          </w:tcPr>
          <w:p>
            <w:pPr>
              <w:widowControl/>
              <w:spacing w:line="312" w:lineRule="auto"/>
              <w:rPr>
                <w:rFonts w:hAnsi="宋体"/>
                <w:sz w:val="24"/>
                <w:szCs w:val="22"/>
              </w:rPr>
            </w:pPr>
            <w:r>
              <w:rPr>
                <w:rFonts w:hint="eastAsia" w:hAnsi="宋体"/>
                <w:sz w:val="24"/>
                <w:szCs w:val="22"/>
              </w:rPr>
              <w:t>华佗路灞陵路至吴庄路段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资金来源</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sz w:val="24"/>
              </w:rPr>
              <w:t>财政投资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出资比例</w:t>
            </w:r>
          </w:p>
        </w:tc>
        <w:tc>
          <w:tcPr>
            <w:tcW w:w="6424" w:type="dxa"/>
            <w:gridSpan w:val="2"/>
          </w:tcPr>
          <w:p>
            <w:pPr>
              <w:autoSpaceDE w:val="0"/>
              <w:autoSpaceDN w:val="0"/>
              <w:adjustRightInd w:val="0"/>
              <w:spacing w:line="320" w:lineRule="exact"/>
              <w:rPr>
                <w:rFonts w:hAnsi="宋体" w:cs="黑体"/>
                <w:sz w:val="24"/>
              </w:rPr>
            </w:pPr>
            <w:r>
              <w:rPr>
                <w:rFonts w:hint="eastAsia" w:hAnsi="宋体" w:cs="仿宋_GB2312"/>
                <w:sz w:val="24"/>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1.2.3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资金落实情况</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黑体"/>
                <w:sz w:val="24"/>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1.3.1</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招标范围</w:t>
            </w:r>
          </w:p>
        </w:tc>
        <w:tc>
          <w:tcPr>
            <w:tcW w:w="6424" w:type="dxa"/>
            <w:gridSpan w:val="2"/>
            <w:tcBorders>
              <w:bottom w:val="single" w:color="auto" w:sz="4" w:space="0"/>
            </w:tcBorders>
          </w:tcPr>
          <w:p>
            <w:pPr>
              <w:autoSpaceDE w:val="0"/>
              <w:autoSpaceDN w:val="0"/>
              <w:adjustRightInd w:val="0"/>
              <w:spacing w:line="320" w:lineRule="exact"/>
              <w:jc w:val="left"/>
              <w:rPr>
                <w:rFonts w:hAnsi="宋体" w:cs="黑体"/>
                <w:sz w:val="24"/>
              </w:rPr>
            </w:pPr>
            <w:r>
              <w:rPr>
                <w:rFonts w:hint="eastAsia" w:hAnsi="宋体" w:cs="黑体"/>
                <w:sz w:val="24"/>
              </w:rPr>
              <w:t>招标文件、工程量清单、施工图纸、答疑纪要和补充文件（如有）范围内的所有建设内容。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1.3.2</w:t>
            </w:r>
          </w:p>
        </w:tc>
        <w:tc>
          <w:tcPr>
            <w:tcW w:w="2447" w:type="dxa"/>
            <w:gridSpan w:val="3"/>
            <w:tcBorders>
              <w:right w:val="single" w:color="auto" w:sz="4" w:space="0"/>
            </w:tcBorders>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计划工期</w:t>
            </w:r>
          </w:p>
        </w:tc>
        <w:tc>
          <w:tcPr>
            <w:tcW w:w="642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20" w:lineRule="exact"/>
              <w:jc w:val="left"/>
              <w:rPr>
                <w:rFonts w:hAnsi="宋体" w:cs="黑体"/>
                <w:sz w:val="24"/>
              </w:rPr>
            </w:pPr>
            <w:r>
              <w:rPr>
                <w:rFonts w:hint="eastAsia" w:hAnsi="宋体" w:cs="黑体"/>
                <w:sz w:val="24"/>
                <w:highlight w:val="none"/>
                <w:lang w:val="en-US" w:eastAsia="zh-CN"/>
              </w:rPr>
              <w:t>60</w:t>
            </w:r>
            <w:r>
              <w:rPr>
                <w:rFonts w:hint="eastAsia" w:hAnsi="宋体" w:cs="黑体"/>
                <w:sz w:val="24"/>
                <w:highlight w:val="none"/>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1.3.3</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质量要求</w:t>
            </w:r>
          </w:p>
        </w:tc>
        <w:tc>
          <w:tcPr>
            <w:tcW w:w="6424" w:type="dxa"/>
            <w:gridSpan w:val="2"/>
            <w:tcBorders>
              <w:top w:val="single" w:color="auto" w:sz="4" w:space="0"/>
            </w:tcBorders>
            <w:vAlign w:val="center"/>
          </w:tcPr>
          <w:p>
            <w:pPr>
              <w:autoSpaceDE w:val="0"/>
              <w:autoSpaceDN w:val="0"/>
              <w:adjustRightInd w:val="0"/>
              <w:spacing w:line="320" w:lineRule="exact"/>
              <w:rPr>
                <w:rFonts w:hAnsi="宋体" w:cs="黑体"/>
                <w:sz w:val="24"/>
              </w:rPr>
            </w:pPr>
            <w:r>
              <w:rPr>
                <w:rFonts w:hint="eastAsia" w:hAnsi="宋体" w:cs="黑体"/>
                <w:sz w:val="24"/>
              </w:rPr>
              <w:t>合格（</w:t>
            </w:r>
            <w:r>
              <w:rPr>
                <w:rFonts w:hint="eastAsia"/>
                <w:sz w:val="24"/>
              </w:rPr>
              <w:t>符合国家现行的验收规范和标准）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黑体"/>
                <w:sz w:val="24"/>
              </w:rPr>
              <w:t>投标人资质条件</w:t>
            </w:r>
          </w:p>
        </w:tc>
        <w:tc>
          <w:tcPr>
            <w:tcW w:w="6424" w:type="dxa"/>
            <w:gridSpan w:val="2"/>
          </w:tcPr>
          <w:p>
            <w:pPr>
              <w:widowControl/>
              <w:spacing w:line="360" w:lineRule="auto"/>
              <w:rPr>
                <w:rFonts w:ascii="新宋体" w:hAnsi="新宋体" w:eastAsia="新宋体" w:cs="黑体"/>
                <w:b/>
                <w:sz w:val="24"/>
                <w:szCs w:val="24"/>
              </w:rPr>
            </w:pPr>
            <w:r>
              <w:rPr>
                <w:rFonts w:hint="eastAsia" w:ascii="新宋体" w:hAnsi="新宋体" w:eastAsia="新宋体" w:cs="黑体"/>
                <w:b/>
                <w:sz w:val="24"/>
                <w:szCs w:val="24"/>
              </w:rPr>
              <w:t>资质条件：</w:t>
            </w:r>
          </w:p>
          <w:p>
            <w:pPr>
              <w:pStyle w:val="26"/>
              <w:spacing w:before="0" w:beforeAutospacing="0" w:after="0" w:afterAutospacing="0" w:line="360" w:lineRule="auto"/>
              <w:contextualSpacing/>
              <w:jc w:val="both"/>
              <w:rPr>
                <w:rFonts w:hint="eastAsia" w:cs="Times New Roman"/>
                <w:szCs w:val="24"/>
              </w:rPr>
            </w:pPr>
            <w:r>
              <w:rPr>
                <w:rFonts w:hint="eastAsia" w:cs="Times New Roman"/>
                <w:szCs w:val="24"/>
              </w:rPr>
              <w:t>1</w:t>
            </w:r>
            <w:r>
              <w:rPr>
                <w:rFonts w:hint="eastAsia" w:cs="Times New Roman"/>
                <w:szCs w:val="24"/>
                <w:lang w:eastAsia="zh-CN"/>
              </w:rPr>
              <w:t>、</w:t>
            </w:r>
            <w:r>
              <w:rPr>
                <w:rFonts w:hint="eastAsia" w:cs="Times New Roman"/>
                <w:szCs w:val="24"/>
              </w:rPr>
              <w:t>须具备市政公用工程施工总承包叁级及以上资质，且具有有效的安全生产许可证；在人员、设备、资金等方面具有相应的施工能力。</w:t>
            </w:r>
          </w:p>
          <w:p>
            <w:pPr>
              <w:pStyle w:val="26"/>
              <w:spacing w:before="0" w:beforeAutospacing="0" w:after="0" w:afterAutospacing="0" w:line="360" w:lineRule="auto"/>
              <w:contextualSpacing/>
              <w:jc w:val="both"/>
              <w:rPr>
                <w:rFonts w:hint="eastAsia" w:cs="Times New Roman"/>
                <w:szCs w:val="24"/>
              </w:rPr>
            </w:pPr>
            <w:r>
              <w:rPr>
                <w:rFonts w:hint="eastAsia" w:cs="Times New Roman"/>
                <w:szCs w:val="24"/>
              </w:rPr>
              <w:t>2</w:t>
            </w:r>
            <w:r>
              <w:rPr>
                <w:rFonts w:hint="eastAsia" w:cs="Times New Roman"/>
                <w:szCs w:val="24"/>
                <w:lang w:eastAsia="zh-CN"/>
              </w:rPr>
              <w:t>、</w:t>
            </w:r>
            <w:r>
              <w:rPr>
                <w:rFonts w:hint="eastAsia" w:cs="Times New Roman"/>
                <w:szCs w:val="24"/>
              </w:rPr>
              <w:t>拟派项目负责人应具备市政公用工程专业二级及以上注册建造师资格，且具有安全生产考核合格证，且未承担其它在施建设工程；</w:t>
            </w:r>
          </w:p>
          <w:p>
            <w:pPr>
              <w:pStyle w:val="26"/>
              <w:spacing w:before="0" w:beforeAutospacing="0" w:after="0" w:afterAutospacing="0" w:line="360" w:lineRule="auto"/>
              <w:contextualSpacing/>
              <w:jc w:val="both"/>
              <w:rPr>
                <w:rFonts w:hint="eastAsia" w:cs="Times New Roman"/>
                <w:szCs w:val="24"/>
              </w:rPr>
            </w:pPr>
            <w:r>
              <w:rPr>
                <w:rFonts w:hint="eastAsia" w:cs="Times New Roman"/>
                <w:szCs w:val="24"/>
              </w:rPr>
              <w:t>3</w:t>
            </w:r>
            <w:r>
              <w:rPr>
                <w:rFonts w:hint="eastAsia" w:cs="Times New Roman"/>
                <w:szCs w:val="24"/>
                <w:lang w:eastAsia="zh-CN"/>
              </w:rPr>
              <w:t>、</w:t>
            </w:r>
            <w:r>
              <w:rPr>
                <w:rFonts w:hint="eastAsia" w:cs="Times New Roman"/>
                <w:szCs w:val="24"/>
              </w:rPr>
              <w:t>投标人未被列入“信用中国”网站（www.creditchina.gov.cn）失信被执行人、重大税收违法案件当事人名单；未被“信用河南”网站信用信息栏列入黑名单，以及未被 “国家企业信用信息公示系统”网站（www.gsxt.gov.cn）列入经营异常名录或严重失信黑名单；（招标人、代理机构或评标专家委员会评标现场查询）。信用信息查询记录和证据留存具体方式：经评标专家委员会确认的查询结果网页截图作为查询记录和证据，与其他文件一并保存。</w:t>
            </w:r>
          </w:p>
          <w:p>
            <w:pPr>
              <w:pStyle w:val="26"/>
              <w:spacing w:before="0" w:beforeAutospacing="0" w:after="0" w:afterAutospacing="0" w:line="360" w:lineRule="auto"/>
              <w:contextualSpacing/>
              <w:jc w:val="both"/>
              <w:rPr>
                <w:rFonts w:hint="eastAsia" w:cs="Times New Roman"/>
                <w:szCs w:val="24"/>
              </w:rPr>
            </w:pPr>
            <w:r>
              <w:rPr>
                <w:rFonts w:hint="eastAsia" w:cs="Times New Roman"/>
                <w:szCs w:val="24"/>
              </w:rPr>
              <w:t>4</w:t>
            </w:r>
            <w:r>
              <w:rPr>
                <w:rFonts w:hint="eastAsia" w:cs="Times New Roman"/>
                <w:szCs w:val="24"/>
                <w:lang w:eastAsia="zh-CN"/>
              </w:rPr>
              <w:t>、</w:t>
            </w:r>
            <w:r>
              <w:rPr>
                <w:rFonts w:hint="eastAsia" w:cs="Times New Roman"/>
                <w:szCs w:val="24"/>
              </w:rPr>
              <w:t>本次招标不接受联合体投标。</w:t>
            </w:r>
          </w:p>
          <w:p>
            <w:pPr>
              <w:pStyle w:val="26"/>
              <w:spacing w:before="0" w:beforeAutospacing="0" w:after="0" w:afterAutospacing="0" w:line="360" w:lineRule="auto"/>
              <w:contextualSpacing/>
              <w:jc w:val="both"/>
              <w:rPr>
                <w:rFonts w:cs="Times New Roman"/>
                <w:szCs w:val="24"/>
              </w:rPr>
            </w:pPr>
            <w:r>
              <w:rPr>
                <w:rFonts w:hint="eastAsia" w:cs="Times New Roman"/>
                <w:szCs w:val="24"/>
              </w:rPr>
              <w:t>5</w:t>
            </w:r>
            <w:r>
              <w:rPr>
                <w:rFonts w:hint="eastAsia" w:cs="Times New Roman"/>
                <w:szCs w:val="24"/>
                <w:lang w:eastAsia="zh-CN"/>
              </w:rPr>
              <w:t>、</w:t>
            </w:r>
            <w:r>
              <w:rPr>
                <w:rFonts w:hint="eastAsia" w:cs="Times New Roman"/>
                <w:szCs w:val="24"/>
              </w:rPr>
              <w:t>本次招标实行资格后审。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1.4.2</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是否接受联合体投标</w:t>
            </w:r>
          </w:p>
        </w:tc>
        <w:tc>
          <w:tcPr>
            <w:tcW w:w="6424" w:type="dxa"/>
            <w:gridSpan w:val="2"/>
          </w:tcPr>
          <w:p>
            <w:pPr>
              <w:autoSpaceDE w:val="0"/>
              <w:autoSpaceDN w:val="0"/>
              <w:adjustRightInd w:val="0"/>
              <w:spacing w:line="320" w:lineRule="exact"/>
              <w:jc w:val="left"/>
              <w:rPr>
                <w:rFonts w:hAnsi="宋体" w:cs="黑体"/>
                <w:sz w:val="24"/>
              </w:rPr>
            </w:pPr>
            <w:r>
              <w:rPr>
                <w:rFonts w:hint="eastAsia" w:hAnsi="宋体" w:cs="仿宋_GB2312"/>
                <w:sz w:val="24"/>
              </w:rPr>
              <w:t>不接受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9</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踏勘现场</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不组织，由投标人自行勘察现场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10</w:t>
            </w:r>
            <w:r>
              <w:rPr>
                <w:rFonts w:hAnsi="宋体" w:cs="TimesNewRomanPSMT"/>
                <w:sz w:val="24"/>
              </w:rPr>
              <w:t>.1</w:t>
            </w:r>
          </w:p>
        </w:tc>
        <w:tc>
          <w:tcPr>
            <w:tcW w:w="2447" w:type="dxa"/>
            <w:gridSpan w:val="3"/>
            <w:vAlign w:val="center"/>
          </w:tcPr>
          <w:p>
            <w:pPr>
              <w:autoSpaceDE w:val="0"/>
              <w:autoSpaceDN w:val="0"/>
              <w:adjustRightInd w:val="0"/>
              <w:spacing w:line="320" w:lineRule="exact"/>
              <w:jc w:val="center"/>
              <w:rPr>
                <w:rFonts w:hAnsi="宋体" w:cs="黑体"/>
                <w:sz w:val="24"/>
              </w:rPr>
            </w:pPr>
            <w:r>
              <w:rPr>
                <w:rFonts w:hint="eastAsia" w:hAnsi="宋体" w:cs="仿宋_GB2312"/>
                <w:sz w:val="24"/>
              </w:rPr>
              <w:t>投标预备会</w:t>
            </w:r>
          </w:p>
        </w:tc>
        <w:tc>
          <w:tcPr>
            <w:tcW w:w="6424" w:type="dxa"/>
            <w:gridSpan w:val="2"/>
          </w:tcPr>
          <w:p>
            <w:pPr>
              <w:autoSpaceDE w:val="0"/>
              <w:autoSpaceDN w:val="0"/>
              <w:adjustRightInd w:val="0"/>
              <w:spacing w:line="320" w:lineRule="exact"/>
              <w:jc w:val="left"/>
              <w:rPr>
                <w:rFonts w:hAnsi="宋体" w:cs="仿宋_GB2312"/>
                <w:sz w:val="24"/>
              </w:rPr>
            </w:pPr>
            <w:r>
              <w:rPr>
                <w:rFonts w:hint="eastAsia" w:hAnsi="宋体" w:cs="仿宋_GB2312"/>
                <w:sz w:val="24"/>
              </w:rPr>
              <w:t>不召开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Ansi="宋体" w:cs="TimesNewRomanPSMT"/>
                <w:sz w:val="24"/>
              </w:rPr>
              <w:t>1</w:t>
            </w:r>
            <w:r>
              <w:rPr>
                <w:rFonts w:hint="eastAsia" w:hAnsi="宋体" w:cs="TimesNewRomanPSMT"/>
                <w:sz w:val="24"/>
              </w:rPr>
              <w:t>.10</w:t>
            </w:r>
            <w:r>
              <w:rPr>
                <w:rFonts w:hAnsi="宋体" w:cs="TimesNewRomanPSMT"/>
                <w:sz w:val="24"/>
              </w:rPr>
              <w:t>.</w:t>
            </w:r>
            <w:r>
              <w:rPr>
                <w:rFonts w:hint="eastAsia" w:hAnsi="宋体" w:cs="TimesNewRomanPSMT"/>
                <w:sz w:val="24"/>
              </w:rPr>
              <w:t>2</w:t>
            </w:r>
          </w:p>
        </w:tc>
        <w:tc>
          <w:tcPr>
            <w:tcW w:w="2447" w:type="dxa"/>
            <w:gridSpan w:val="3"/>
            <w:vAlign w:val="center"/>
          </w:tcPr>
          <w:p>
            <w:pPr>
              <w:autoSpaceDE w:val="0"/>
              <w:autoSpaceDN w:val="0"/>
              <w:adjustRightInd w:val="0"/>
              <w:spacing w:line="320" w:lineRule="exact"/>
              <w:jc w:val="center"/>
              <w:rPr>
                <w:rFonts w:hAnsi="宋体" w:cs="仿宋_GB2312"/>
                <w:sz w:val="24"/>
              </w:rPr>
            </w:pPr>
            <w:r>
              <w:rPr>
                <w:rFonts w:hint="eastAsia" w:hAnsi="宋体" w:cs="仿宋_GB2312"/>
                <w:sz w:val="24"/>
              </w:rPr>
              <w:t>投标人提出问题的截止时间</w:t>
            </w:r>
          </w:p>
        </w:tc>
        <w:tc>
          <w:tcPr>
            <w:tcW w:w="6424" w:type="dxa"/>
            <w:gridSpan w:val="2"/>
            <w:vAlign w:val="center"/>
          </w:tcPr>
          <w:p>
            <w:pPr>
              <w:spacing w:line="320" w:lineRule="exact"/>
              <w:rPr>
                <w:rFonts w:hAnsi="宋体"/>
                <w:sz w:val="24"/>
              </w:rPr>
            </w:pPr>
            <w:r>
              <w:rPr>
                <w:rFonts w:hint="eastAsia" w:hAnsi="宋体"/>
                <w:sz w:val="24"/>
              </w:rPr>
              <w:t>投标截止时间10日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1003" w:type="dxa"/>
            <w:vAlign w:val="center"/>
          </w:tcPr>
          <w:p>
            <w:pPr>
              <w:jc w:val="center"/>
              <w:rPr>
                <w:rFonts w:hAnsi="宋体"/>
                <w:sz w:val="24"/>
              </w:rPr>
            </w:pPr>
            <w:r>
              <w:rPr>
                <w:rFonts w:hint="eastAsia" w:hAnsi="宋体"/>
                <w:sz w:val="24"/>
              </w:rPr>
              <w:t>1.10.3</w:t>
            </w:r>
          </w:p>
        </w:tc>
        <w:tc>
          <w:tcPr>
            <w:tcW w:w="2447" w:type="dxa"/>
            <w:gridSpan w:val="3"/>
            <w:vAlign w:val="center"/>
          </w:tcPr>
          <w:p>
            <w:pPr>
              <w:spacing w:line="340" w:lineRule="exact"/>
              <w:jc w:val="center"/>
              <w:rPr>
                <w:rFonts w:hAnsi="宋体"/>
                <w:sz w:val="24"/>
              </w:rPr>
            </w:pPr>
            <w:r>
              <w:rPr>
                <w:rFonts w:hint="eastAsia" w:hAnsi="宋体"/>
                <w:sz w:val="24"/>
              </w:rPr>
              <w:t>招标人澄清的时间</w:t>
            </w:r>
          </w:p>
        </w:tc>
        <w:tc>
          <w:tcPr>
            <w:tcW w:w="6424" w:type="dxa"/>
            <w:gridSpan w:val="2"/>
            <w:vAlign w:val="center"/>
          </w:tcPr>
          <w:p>
            <w:pPr>
              <w:spacing w:line="340" w:lineRule="exact"/>
              <w:rPr>
                <w:rFonts w:hAnsi="宋体"/>
                <w:sz w:val="24"/>
              </w:rPr>
            </w:pPr>
            <w:r>
              <w:rPr>
                <w:rFonts w:hint="eastAsia" w:hAnsi="宋体"/>
                <w:sz w:val="24"/>
              </w:rPr>
              <w:t>投标截止时间15日</w:t>
            </w:r>
            <w:r>
              <w:rPr>
                <w:rFonts w:hAnsi="宋体"/>
                <w:sz w:val="24"/>
              </w:rPr>
              <w:t>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w:t>
            </w:r>
            <w:r>
              <w:rPr>
                <w:rFonts w:hint="eastAsia" w:hAnsi="宋体" w:cs="TimesNewRomanPSMT"/>
                <w:sz w:val="24"/>
              </w:rPr>
              <w:t>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分包</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1.1</w:t>
            </w:r>
            <w:r>
              <w:rPr>
                <w:rFonts w:hint="eastAsia" w:hAnsi="宋体" w:cs="TimesNewRomanPSMT"/>
                <w:sz w:val="24"/>
              </w:rPr>
              <w:t>2</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偏离</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9"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2.1 </w:t>
            </w:r>
          </w:p>
        </w:tc>
        <w:tc>
          <w:tcPr>
            <w:tcW w:w="2447" w:type="dxa"/>
            <w:gridSpan w:val="3"/>
            <w:vAlign w:val="center"/>
          </w:tcPr>
          <w:p>
            <w:pPr>
              <w:autoSpaceDE w:val="0"/>
              <w:autoSpaceDN w:val="0"/>
              <w:adjustRightInd w:val="0"/>
              <w:spacing w:line="340" w:lineRule="exact"/>
              <w:rPr>
                <w:rFonts w:hAnsi="宋体" w:cs="仿宋_GB2312"/>
                <w:sz w:val="24"/>
              </w:rPr>
            </w:pPr>
            <w:r>
              <w:rPr>
                <w:rFonts w:hint="eastAsia" w:hAnsi="宋体" w:cs="仿宋_GB2312"/>
                <w:sz w:val="24"/>
              </w:rPr>
              <w:t>招标文件及图纸的获取</w:t>
            </w:r>
          </w:p>
        </w:tc>
        <w:tc>
          <w:tcPr>
            <w:tcW w:w="6424" w:type="dxa"/>
            <w:gridSpan w:val="2"/>
          </w:tcPr>
          <w:p>
            <w:pPr>
              <w:autoSpaceDE w:val="0"/>
              <w:autoSpaceDN w:val="0"/>
              <w:adjustRightInd w:val="0"/>
              <w:spacing w:line="340" w:lineRule="exact"/>
              <w:rPr>
                <w:rFonts w:hAnsi="宋体" w:cs="仿宋_GB2312"/>
                <w:sz w:val="24"/>
              </w:rPr>
            </w:pPr>
            <w:r>
              <w:rPr>
                <w:rFonts w:hint="eastAsia" w:hAnsi="宋体" w:cs="仿宋_GB2312"/>
                <w:sz w:val="24"/>
              </w:rPr>
              <w:t>招标文件和工程量清单的获取：投标人于投标文件递交截止时间前均可登录《全国公共资源交易平台(河南省▪许昌市)》</w:t>
            </w:r>
            <w:r>
              <w:rPr>
                <w:rFonts w:hint="eastAsia" w:hAnsi="宋体" w:cs="仿宋_GB2312"/>
                <w:sz w:val="24"/>
                <w:szCs w:val="22"/>
              </w:rPr>
              <w:t>（http://ggzy.xuchang.gov.cn/），通过“投标人/供应商登录”后自行下载。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2.1.1</w:t>
            </w:r>
          </w:p>
        </w:tc>
        <w:tc>
          <w:tcPr>
            <w:tcW w:w="2447" w:type="dxa"/>
            <w:gridSpan w:val="3"/>
            <w:vAlign w:val="center"/>
          </w:tcPr>
          <w:p>
            <w:pPr>
              <w:autoSpaceDE w:val="0"/>
              <w:autoSpaceDN w:val="0"/>
              <w:adjustRightInd w:val="0"/>
              <w:spacing w:line="340" w:lineRule="exact"/>
              <w:jc w:val="center"/>
              <w:rPr>
                <w:rFonts w:hAnsi="宋体" w:cs="仿宋_GB2312"/>
                <w:sz w:val="24"/>
              </w:rPr>
            </w:pPr>
            <w:r>
              <w:rPr>
                <w:rFonts w:hint="eastAsia" w:hAnsi="宋体" w:cs="仿宋_GB2312"/>
                <w:sz w:val="24"/>
              </w:rPr>
              <w:t>构成招标文件的其他材料</w:t>
            </w:r>
          </w:p>
        </w:tc>
        <w:tc>
          <w:tcPr>
            <w:tcW w:w="6424" w:type="dxa"/>
            <w:gridSpan w:val="2"/>
            <w:vAlign w:val="center"/>
          </w:tcPr>
          <w:p>
            <w:pPr>
              <w:autoSpaceDE w:val="0"/>
              <w:autoSpaceDN w:val="0"/>
              <w:adjustRightInd w:val="0"/>
              <w:spacing w:line="340" w:lineRule="exact"/>
              <w:rPr>
                <w:rFonts w:hAnsi="宋体" w:cs="仿宋_GB2312"/>
                <w:sz w:val="24"/>
              </w:rPr>
            </w:pPr>
            <w:r>
              <w:rPr>
                <w:rFonts w:hint="eastAsia" w:hAnsi="宋体" w:cs="仿宋_GB2312"/>
                <w:sz w:val="24"/>
              </w:rPr>
              <w:t>图纸答疑，经备案的招标文件补充和修改文件（如有）。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投标人要求澄清招标文件的截止时间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bCs/>
                <w:sz w:val="24"/>
              </w:rPr>
              <w:t>潜在投标人或者其他利害关系人对招标文件有异议的，应当在投标截止时间10日前提出。招标人应当自收到异议之日起3日内作出答复。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2.2.2</w:t>
            </w:r>
          </w:p>
        </w:tc>
        <w:tc>
          <w:tcPr>
            <w:tcW w:w="2447" w:type="dxa"/>
            <w:gridSpan w:val="3"/>
            <w:vAlign w:val="center"/>
          </w:tcPr>
          <w:p>
            <w:pPr>
              <w:autoSpaceDE w:val="0"/>
              <w:autoSpaceDN w:val="0"/>
              <w:adjustRightInd w:val="0"/>
              <w:spacing w:line="340" w:lineRule="exact"/>
              <w:jc w:val="center"/>
              <w:rPr>
                <w:rFonts w:hAnsi="宋体" w:cs="黑体"/>
                <w:sz w:val="24"/>
                <w:highlight w:val="none"/>
              </w:rPr>
            </w:pPr>
            <w:r>
              <w:rPr>
                <w:rFonts w:hint="eastAsia" w:hAnsi="宋体" w:cs="仿宋_GB2312"/>
                <w:sz w:val="24"/>
                <w:highlight w:val="none"/>
              </w:rPr>
              <w:t>投标截止时间</w:t>
            </w:r>
          </w:p>
        </w:tc>
        <w:tc>
          <w:tcPr>
            <w:tcW w:w="6424" w:type="dxa"/>
            <w:gridSpan w:val="2"/>
          </w:tcPr>
          <w:p>
            <w:pPr>
              <w:autoSpaceDE w:val="0"/>
              <w:autoSpaceDN w:val="0"/>
              <w:adjustRightInd w:val="0"/>
              <w:spacing w:line="340" w:lineRule="exact"/>
              <w:jc w:val="left"/>
              <w:rPr>
                <w:rFonts w:hAnsi="宋体" w:cs="黑体"/>
                <w:sz w:val="24"/>
                <w:highlight w:val="none"/>
              </w:rPr>
            </w:pPr>
            <w:r>
              <w:rPr>
                <w:rFonts w:hint="eastAsia" w:hAnsi="宋体"/>
                <w:bCs/>
                <w:sz w:val="24"/>
                <w:highlight w:val="none"/>
              </w:rPr>
              <w:t>2</w:t>
            </w:r>
            <w:r>
              <w:rPr>
                <w:rFonts w:hint="eastAsia" w:hAnsi="宋体"/>
                <w:bCs/>
                <w:sz w:val="24"/>
                <w:szCs w:val="22"/>
                <w:highlight w:val="none"/>
              </w:rPr>
              <w:t>0</w:t>
            </w:r>
            <w:r>
              <w:rPr>
                <w:rFonts w:hint="eastAsia" w:hAnsi="宋体"/>
                <w:bCs/>
                <w:sz w:val="24"/>
                <w:szCs w:val="22"/>
                <w:highlight w:val="none"/>
                <w:lang w:val="en-US" w:eastAsia="zh-CN"/>
              </w:rPr>
              <w:t>20</w:t>
            </w:r>
            <w:r>
              <w:rPr>
                <w:rFonts w:hint="eastAsia" w:hAnsi="宋体"/>
                <w:bCs/>
                <w:sz w:val="24"/>
                <w:szCs w:val="22"/>
                <w:highlight w:val="none"/>
              </w:rPr>
              <w:t>年</w:t>
            </w:r>
            <w:r>
              <w:rPr>
                <w:rFonts w:hint="eastAsia" w:hAnsi="宋体"/>
                <w:bCs/>
                <w:sz w:val="24"/>
                <w:szCs w:val="22"/>
                <w:highlight w:val="none"/>
                <w:lang w:val="en-US" w:eastAsia="zh-CN"/>
              </w:rPr>
              <w:t>2</w:t>
            </w:r>
            <w:r>
              <w:rPr>
                <w:rFonts w:hint="eastAsia" w:hAnsi="宋体"/>
                <w:bCs/>
                <w:sz w:val="24"/>
                <w:szCs w:val="22"/>
                <w:highlight w:val="none"/>
              </w:rPr>
              <w:t>月</w:t>
            </w:r>
            <w:r>
              <w:rPr>
                <w:rFonts w:hint="eastAsia" w:hAnsi="宋体"/>
                <w:bCs/>
                <w:sz w:val="24"/>
                <w:szCs w:val="22"/>
                <w:highlight w:val="none"/>
                <w:lang w:val="en-US" w:eastAsia="zh-CN"/>
              </w:rPr>
              <w:t>19</w:t>
            </w:r>
            <w:r>
              <w:rPr>
                <w:rFonts w:hint="eastAsia" w:hAnsi="宋体"/>
                <w:bCs/>
                <w:sz w:val="24"/>
                <w:szCs w:val="22"/>
                <w:highlight w:val="none"/>
              </w:rPr>
              <w:t>日8时30分（北京时间）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2.2.3</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投标人确认收到招标文件澄清的时间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2.</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投标人确认收到招标文件修改的时间</w:t>
            </w:r>
          </w:p>
        </w:tc>
        <w:tc>
          <w:tcPr>
            <w:tcW w:w="6424" w:type="dxa"/>
            <w:gridSpan w:val="2"/>
            <w:vAlign w:val="center"/>
          </w:tcPr>
          <w:p>
            <w:pPr>
              <w:autoSpaceDE w:val="0"/>
              <w:autoSpaceDN w:val="0"/>
              <w:adjustRightInd w:val="0"/>
              <w:spacing w:line="340" w:lineRule="exact"/>
              <w:rPr>
                <w:rFonts w:hAnsi="宋体" w:cs="黑体"/>
                <w:sz w:val="24"/>
              </w:rPr>
            </w:pPr>
            <w:r>
              <w:rPr>
                <w:rFonts w:hint="eastAsia" w:hAnsi="宋体" w:cs="黑体"/>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3"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3.1.1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构成投标文件的其他材料</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黑体"/>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w:t>
            </w:r>
            <w:r>
              <w:rPr>
                <w:rFonts w:hint="eastAsia" w:hAnsi="宋体" w:cs="TimesNewRomanPSMT"/>
                <w:sz w:val="24"/>
              </w:rPr>
              <w:t>.3</w:t>
            </w:r>
            <w:r>
              <w:rPr>
                <w:rFonts w:hAnsi="宋体" w:cs="TimesNewRomanPSMT"/>
                <w:sz w:val="24"/>
              </w:rPr>
              <w:t>.</w:t>
            </w:r>
            <w:r>
              <w:rPr>
                <w:rFonts w:hint="eastAsia" w:hAnsi="宋体" w:cs="TimesNewRomanPSMT"/>
                <w:sz w:val="24"/>
              </w:rPr>
              <w:t>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投标有效期</w:t>
            </w:r>
          </w:p>
        </w:tc>
        <w:tc>
          <w:tcPr>
            <w:tcW w:w="6424" w:type="dxa"/>
            <w:gridSpan w:val="2"/>
          </w:tcPr>
          <w:p>
            <w:pPr>
              <w:autoSpaceDE w:val="0"/>
              <w:autoSpaceDN w:val="0"/>
              <w:adjustRightInd w:val="0"/>
              <w:spacing w:line="340" w:lineRule="exact"/>
              <w:jc w:val="left"/>
              <w:rPr>
                <w:rFonts w:hAnsi="宋体" w:cs="黑体"/>
                <w:sz w:val="24"/>
              </w:rPr>
            </w:pPr>
            <w:r>
              <w:rPr>
                <w:rFonts w:hint="eastAsia" w:hAnsi="宋体" w:cs="仿宋_GB2312"/>
                <w:sz w:val="24"/>
              </w:rPr>
              <w:t>60日历天（自投标截止之日算起）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jc w:val="center"/>
        </w:trPr>
        <w:tc>
          <w:tcPr>
            <w:tcW w:w="1003" w:type="dxa"/>
            <w:vAlign w:val="center"/>
          </w:tcPr>
          <w:p>
            <w:pPr>
              <w:autoSpaceDE w:val="0"/>
              <w:autoSpaceDN w:val="0"/>
              <w:adjustRightInd w:val="0"/>
              <w:spacing w:line="420" w:lineRule="exact"/>
              <w:jc w:val="center"/>
              <w:rPr>
                <w:rFonts w:hAnsi="宋体" w:cs="黑体"/>
                <w:sz w:val="24"/>
              </w:rPr>
            </w:pPr>
            <w:bookmarkStart w:id="2" w:name="OLE_LINK3" w:colFirst="0" w:colLast="2"/>
            <w:bookmarkStart w:id="3" w:name="_Hlk424659721"/>
            <w:bookmarkStart w:id="4" w:name="OLE_LINK4" w:colFirst="0" w:colLast="2"/>
            <w:r>
              <w:rPr>
                <w:rFonts w:hAnsi="宋体" w:cs="TimesNewRomanPSMT"/>
                <w:sz w:val="24"/>
              </w:rPr>
              <w:t>3.4.1</w:t>
            </w:r>
          </w:p>
        </w:tc>
        <w:tc>
          <w:tcPr>
            <w:tcW w:w="2447" w:type="dxa"/>
            <w:gridSpan w:val="3"/>
            <w:vAlign w:val="center"/>
          </w:tcPr>
          <w:p>
            <w:pPr>
              <w:autoSpaceDE w:val="0"/>
              <w:autoSpaceDN w:val="0"/>
              <w:adjustRightInd w:val="0"/>
              <w:spacing w:line="340" w:lineRule="exact"/>
              <w:jc w:val="center"/>
              <w:rPr>
                <w:rFonts w:hAnsi="宋体" w:cs="黑体"/>
                <w:sz w:val="24"/>
              </w:rPr>
            </w:pPr>
            <w:r>
              <w:rPr>
                <w:rFonts w:hint="eastAsia" w:hAnsi="宋体" w:cs="仿宋_GB2312"/>
                <w:sz w:val="24"/>
              </w:rPr>
              <w:t>投标保证金须知</w:t>
            </w:r>
          </w:p>
        </w:tc>
        <w:tc>
          <w:tcPr>
            <w:tcW w:w="6424" w:type="dxa"/>
            <w:gridSpan w:val="2"/>
            <w:vAlign w:val="center"/>
          </w:tcPr>
          <w:p>
            <w:pPr>
              <w:spacing w:line="360" w:lineRule="auto"/>
              <w:rPr>
                <w:rFonts w:hAnsi="宋体" w:cs="宋体"/>
                <w:sz w:val="24"/>
                <w:szCs w:val="24"/>
                <w:lang w:val="zh-CN"/>
              </w:rPr>
            </w:pPr>
            <w:r>
              <w:rPr>
                <w:rFonts w:hint="eastAsia" w:hAnsi="宋体" w:cs="宋体"/>
                <w:sz w:val="24"/>
                <w:szCs w:val="24"/>
                <w:lang w:val="zh-CN"/>
              </w:rPr>
              <w:t>1、自文件发布之日起，投标人需进行基本户备案（建设工程项目），已备案的基本户开户银行、账户发生变化的，须在投标保证金缴纳前办理变更手续。</w:t>
            </w:r>
          </w:p>
          <w:p>
            <w:pPr>
              <w:spacing w:line="360" w:lineRule="auto"/>
              <w:rPr>
                <w:rFonts w:hAnsi="宋体" w:cs="宋体"/>
                <w:sz w:val="24"/>
                <w:szCs w:val="24"/>
                <w:lang w:val="zh-CN"/>
              </w:rPr>
            </w:pPr>
            <w:r>
              <w:rPr>
                <w:rFonts w:hint="eastAsia" w:hAnsi="宋体" w:cs="宋体"/>
                <w:sz w:val="24"/>
                <w:szCs w:val="24"/>
                <w:lang w:val="zh-CN"/>
              </w:rPr>
              <w:t xml:space="preserve">2、基本户备案流程： </w:t>
            </w:r>
          </w:p>
          <w:p>
            <w:pPr>
              <w:spacing w:line="360" w:lineRule="auto"/>
              <w:rPr>
                <w:rFonts w:hAnsi="宋体" w:cs="宋体"/>
                <w:sz w:val="24"/>
                <w:szCs w:val="24"/>
                <w:lang w:val="zh-CN"/>
              </w:rPr>
            </w:pPr>
            <w:r>
              <w:rPr>
                <w:rFonts w:hint="eastAsia" w:hAnsi="宋体" w:cs="宋体"/>
                <w:sz w:val="24"/>
                <w:szCs w:val="24"/>
                <w:lang w:val="zh-CN"/>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spacing w:line="360" w:lineRule="auto"/>
              <w:rPr>
                <w:rFonts w:hAnsi="宋体" w:cs="宋体"/>
                <w:sz w:val="24"/>
                <w:szCs w:val="24"/>
                <w:lang w:val="zh-CN"/>
              </w:rPr>
            </w:pPr>
            <w:r>
              <w:rPr>
                <w:rFonts w:hint="eastAsia" w:hAnsi="宋体" w:cs="宋体"/>
                <w:sz w:val="24"/>
                <w:szCs w:val="24"/>
                <w:lang w:val="zh-CN"/>
              </w:rPr>
              <w:t>3、特殊情况处理：</w:t>
            </w:r>
          </w:p>
          <w:p>
            <w:pPr>
              <w:spacing w:line="360" w:lineRule="auto"/>
              <w:rPr>
                <w:rFonts w:hAnsi="宋体" w:cs="宋体"/>
                <w:sz w:val="24"/>
                <w:szCs w:val="24"/>
                <w:lang w:val="zh-CN"/>
              </w:rPr>
            </w:pPr>
            <w:r>
              <w:rPr>
                <w:rFonts w:hint="eastAsia" w:hAnsi="宋体" w:cs="宋体"/>
                <w:sz w:val="24"/>
                <w:szCs w:val="24"/>
                <w:lang w:val="zh-CN"/>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spacing w:line="360" w:lineRule="auto"/>
              <w:rPr>
                <w:rFonts w:hAnsi="宋体" w:cs="宋体"/>
                <w:sz w:val="24"/>
                <w:szCs w:val="24"/>
                <w:lang w:val="zh-CN"/>
              </w:rPr>
            </w:pPr>
            <w:r>
              <w:rPr>
                <w:rFonts w:hint="eastAsia" w:hAnsi="宋体" w:cs="宋体"/>
                <w:sz w:val="24"/>
                <w:szCs w:val="24"/>
                <w:lang w:val="zh-CN"/>
              </w:rPr>
              <w:t>4、因投标人的原因无法及时退还投标（竞买）保证金、滞留三年以上的，投标（竞买）保证金上缴同级国库。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3.4.2</w:t>
            </w:r>
          </w:p>
        </w:tc>
        <w:tc>
          <w:tcPr>
            <w:tcW w:w="2447" w:type="dxa"/>
            <w:gridSpan w:val="3"/>
            <w:vAlign w:val="center"/>
          </w:tcPr>
          <w:p>
            <w:pPr>
              <w:autoSpaceDE w:val="0"/>
              <w:autoSpaceDN w:val="0"/>
              <w:adjustRightInd w:val="0"/>
              <w:spacing w:line="420" w:lineRule="exact"/>
              <w:jc w:val="center"/>
              <w:rPr>
                <w:rFonts w:hAnsi="宋体" w:cs="仿宋_GB2312"/>
                <w:sz w:val="24"/>
              </w:rPr>
            </w:pPr>
            <w:r>
              <w:rPr>
                <w:rFonts w:hint="eastAsia" w:hAnsi="宋体" w:cs="仿宋_GB2312"/>
                <w:sz w:val="24"/>
              </w:rPr>
              <w:t>投标保证金</w:t>
            </w:r>
          </w:p>
        </w:tc>
        <w:tc>
          <w:tcPr>
            <w:tcW w:w="6424" w:type="dxa"/>
            <w:gridSpan w:val="2"/>
            <w:vAlign w:val="center"/>
          </w:tcPr>
          <w:p>
            <w:pPr>
              <w:autoSpaceDE w:val="0"/>
              <w:autoSpaceDN w:val="0"/>
              <w:adjustRightInd w:val="0"/>
              <w:spacing w:line="276" w:lineRule="auto"/>
              <w:jc w:val="left"/>
              <w:rPr>
                <w:rFonts w:hAnsi="宋体" w:cs="仿宋_GB2312"/>
                <w:sz w:val="24"/>
              </w:rPr>
            </w:pPr>
            <w:r>
              <w:rPr>
                <w:rFonts w:hint="eastAsia" w:hAnsi="宋体" w:cs="仿宋_GB2312"/>
                <w:sz w:val="24"/>
              </w:rPr>
              <w:t>投标保证金递交截止时间：</w:t>
            </w:r>
            <w:r>
              <w:rPr>
                <w:rFonts w:hint="eastAsia" w:hAnsi="宋体" w:cs="仿宋_GB2312"/>
                <w:sz w:val="24"/>
                <w:szCs w:val="22"/>
              </w:rPr>
              <w:t>（同投标截止时间）</w:t>
            </w:r>
            <w:r>
              <w:rPr>
                <w:rFonts w:hint="eastAsia" w:hAnsi="宋体" w:cs="仿宋_GB2312"/>
                <w:sz w:val="24"/>
              </w:rPr>
              <w:t>。</w:t>
            </w:r>
          </w:p>
          <w:p>
            <w:pPr>
              <w:autoSpaceDE w:val="0"/>
              <w:autoSpaceDN w:val="0"/>
              <w:adjustRightInd w:val="0"/>
              <w:spacing w:line="276" w:lineRule="auto"/>
              <w:jc w:val="left"/>
            </w:pPr>
            <w:r>
              <w:rPr>
                <w:rFonts w:hint="eastAsia" w:hAnsi="宋体" w:cs="仿宋_GB2312"/>
                <w:b/>
                <w:bCs/>
                <w:sz w:val="24"/>
              </w:rPr>
              <w:t>金额：</w:t>
            </w:r>
            <w:r>
              <w:rPr>
                <w:rFonts w:hint="eastAsia" w:hAnsi="宋体" w:cs="仿宋_GB2312"/>
                <w:b/>
                <w:bCs/>
                <w:sz w:val="24"/>
                <w:lang w:eastAsia="zh-CN"/>
              </w:rPr>
              <w:t>捌</w:t>
            </w:r>
            <w:r>
              <w:rPr>
                <w:rFonts w:hint="eastAsia" w:hAnsi="宋体" w:cs="仿宋_GB2312"/>
                <w:b/>
                <w:bCs/>
                <w:sz w:val="24"/>
              </w:rPr>
              <w:t>万元整（￥</w:t>
            </w:r>
            <w:r>
              <w:rPr>
                <w:rFonts w:hint="eastAsia" w:hAnsi="宋体" w:cs="仿宋_GB2312"/>
                <w:b/>
                <w:bCs/>
                <w:sz w:val="24"/>
                <w:lang w:val="en-US" w:eastAsia="zh-CN"/>
              </w:rPr>
              <w:t>8</w:t>
            </w:r>
            <w:r>
              <w:rPr>
                <w:rFonts w:hint="eastAsia" w:hAnsi="宋体" w:cs="仿宋_GB2312"/>
                <w:b/>
                <w:bCs/>
                <w:sz w:val="24"/>
              </w:rPr>
              <w:t>0000元）</w:t>
            </w:r>
          </w:p>
          <w:p>
            <w:pPr>
              <w:autoSpaceDE w:val="0"/>
              <w:autoSpaceDN w:val="0"/>
              <w:adjustRightInd w:val="0"/>
              <w:spacing w:line="340" w:lineRule="exact"/>
              <w:rPr>
                <w:rFonts w:hAnsi="宋体" w:cs="宋体"/>
                <w:sz w:val="24"/>
                <w:lang w:val="zh-CN"/>
              </w:rPr>
            </w:pPr>
            <w:r>
              <w:rPr>
                <w:rFonts w:hint="eastAsia" w:hAnsi="宋体" w:cs="宋体"/>
                <w:sz w:val="24"/>
                <w:lang w:val="zh-CN"/>
              </w:rPr>
              <w:t>1、投标保证金的递交方式：银行转帐、银行电汇（均需从投标人的基本账户汇出），不接受以现金方式缴纳的投标保证金。凡以现金方式缴纳投标保证金而影响其投标结果的，由投标人自行负责。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使用银行转帐</w:t>
            </w:r>
            <w:r>
              <w:rPr>
                <w:rFonts w:hint="eastAsia" w:hAnsi="宋体" w:eastAsia="Times New Roman" w:cs="宋体"/>
                <w:sz w:val="24"/>
                <w:lang w:val="zh-CN"/>
              </w:rPr>
              <w:t>方式</w:t>
            </w:r>
            <w:r>
              <w:rPr>
                <w:rFonts w:hint="eastAsia" w:hAnsi="宋体" w:cs="宋体"/>
                <w:sz w:val="24"/>
                <w:lang w:val="zh-CN"/>
              </w:rPr>
              <w:t>的，于截止时间前通过投标人基本账户将款项一次足额递交、成功绑定，以收款人到账时间为准，在途资金无效，视为未按时交纳。同时投标人应承担节假日银行系统不能支付的风险。</w:t>
            </w:r>
          </w:p>
          <w:p>
            <w:pPr>
              <w:autoSpaceDE w:val="0"/>
              <w:autoSpaceDN w:val="0"/>
              <w:adjustRightInd w:val="0"/>
              <w:spacing w:line="340" w:lineRule="exact"/>
              <w:rPr>
                <w:rFonts w:hAnsi="宋体" w:cs="宋体"/>
                <w:sz w:val="24"/>
                <w:lang w:val="zh-CN"/>
              </w:rPr>
            </w:pPr>
            <w:r>
              <w:rPr>
                <w:rFonts w:hint="eastAsia" w:hAnsi="宋体" w:cs="宋体"/>
                <w:sz w:val="24"/>
                <w:lang w:val="zh-CN"/>
              </w:rPr>
              <w:t>2、投标保证金缴纳方式：</w:t>
            </w:r>
          </w:p>
          <w:p>
            <w:pPr>
              <w:autoSpaceDE w:val="0"/>
              <w:autoSpaceDN w:val="0"/>
              <w:adjustRightInd w:val="0"/>
              <w:spacing w:line="340" w:lineRule="exact"/>
              <w:rPr>
                <w:rFonts w:hAnsi="宋体" w:cs="宋体"/>
                <w:sz w:val="24"/>
              </w:rPr>
            </w:pPr>
            <w:r>
              <w:rPr>
                <w:rFonts w:hint="eastAsia" w:hAnsi="宋体" w:cs="宋体"/>
                <w:sz w:val="24"/>
                <w:lang w:val="zh-CN"/>
              </w:rPr>
              <w:t>2.</w:t>
            </w:r>
            <w:r>
              <w:rPr>
                <w:rFonts w:hint="eastAsia" w:hAnsi="宋体" w:cs="宋体"/>
                <w:sz w:val="24"/>
              </w:rPr>
              <w:t>1</w:t>
            </w:r>
            <w:r>
              <w:rPr>
                <w:rFonts w:hint="eastAsia" w:hAnsi="宋体" w:cs="宋体"/>
                <w:sz w:val="24"/>
                <w:lang w:val="zh-CN"/>
              </w:rPr>
              <w:t>投标人网上报名后</w:t>
            </w:r>
            <w:r>
              <w:rPr>
                <w:rFonts w:hint="eastAsia" w:hAnsi="宋体" w:cs="宋体"/>
                <w:sz w:val="24"/>
              </w:rPr>
              <w:t>，</w:t>
            </w:r>
            <w:r>
              <w:rPr>
                <w:rFonts w:hint="eastAsia" w:hAnsi="宋体" w:cs="宋体"/>
                <w:sz w:val="24"/>
                <w:lang w:val="zh-CN"/>
              </w:rPr>
              <w:t>登录</w:t>
            </w:r>
            <w:r>
              <w:fldChar w:fldCharType="begin"/>
            </w:r>
            <w:r>
              <w:instrText xml:space="preserve"> HYPERLINK "http://221.14.6.70:8088/ggzy" </w:instrText>
            </w:r>
            <w:r>
              <w:fldChar w:fldCharType="separate"/>
            </w:r>
            <w:r>
              <w:rPr>
                <w:rFonts w:hint="eastAsia" w:hAnsi="宋体" w:cs="宋体"/>
                <w:sz w:val="24"/>
              </w:rPr>
              <w:t>http://221.14.6.70:8088/ggzy</w:t>
            </w:r>
            <w:r>
              <w:rPr>
                <w:rFonts w:hint="eastAsia" w:hAnsi="宋体" w:cs="宋体"/>
                <w:sz w:val="24"/>
              </w:rPr>
              <w:fldChar w:fldCharType="end"/>
            </w:r>
            <w:r>
              <w:rPr>
                <w:rFonts w:hint="eastAsia" w:hAnsi="宋体" w:cs="宋体"/>
                <w:sz w:val="24"/>
                <w:lang w:val="zh-CN"/>
              </w:rPr>
              <w:t>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费用缴纳说明</w:t>
            </w:r>
            <w:r>
              <w:rPr>
                <w:rFonts w:hint="eastAsia" w:hAnsi="宋体" w:cs="宋体"/>
                <w:sz w:val="24"/>
              </w:rPr>
              <w:t>”→“</w:t>
            </w:r>
            <w:r>
              <w:rPr>
                <w:rFonts w:hint="eastAsia" w:hAnsi="宋体" w:cs="宋体"/>
                <w:sz w:val="24"/>
                <w:lang w:val="zh-CN"/>
              </w:rPr>
              <w:t>保证金缴纳说明单</w:t>
            </w:r>
            <w:r>
              <w:rPr>
                <w:rFonts w:hint="eastAsia" w:hAnsi="宋体" w:cs="宋体"/>
                <w:sz w:val="24"/>
              </w:rPr>
              <w:t>”，</w:t>
            </w:r>
            <w:r>
              <w:rPr>
                <w:rFonts w:hint="eastAsia" w:hAnsi="宋体" w:cs="宋体"/>
                <w:sz w:val="24"/>
                <w:lang w:val="zh-CN"/>
              </w:rPr>
              <w:t>获取缴费说明单</w:t>
            </w:r>
            <w:r>
              <w:rPr>
                <w:rFonts w:hint="eastAsia" w:hAnsi="宋体" w:cs="宋体"/>
                <w:sz w:val="24"/>
              </w:rPr>
              <w:t>，</w:t>
            </w:r>
            <w:r>
              <w:rPr>
                <w:rFonts w:hint="eastAsia" w:hAnsi="宋体" w:cs="宋体"/>
                <w:sz w:val="24"/>
                <w:lang w:val="zh-CN"/>
              </w:rPr>
              <w:t>根据每个标段的缴纳说明单在缴纳截止时间前缴纳</w:t>
            </w:r>
            <w:r>
              <w:rPr>
                <w:rFonts w:hint="eastAsia" w:hAnsi="宋体" w:cs="宋体"/>
                <w:sz w:val="24"/>
              </w:rPr>
              <w:t>；</w:t>
            </w:r>
          </w:p>
          <w:p>
            <w:pPr>
              <w:autoSpaceDE w:val="0"/>
              <w:autoSpaceDN w:val="0"/>
              <w:adjustRightInd w:val="0"/>
              <w:spacing w:line="340" w:lineRule="exact"/>
              <w:rPr>
                <w:rFonts w:hAnsi="宋体" w:cs="宋体"/>
                <w:sz w:val="24"/>
                <w:lang w:val="zh-CN"/>
              </w:rPr>
            </w:pPr>
            <w:r>
              <w:rPr>
                <w:rFonts w:hint="eastAsia" w:hAnsi="宋体" w:cs="宋体"/>
                <w:sz w:val="24"/>
              </w:rPr>
              <w:t>2.2</w:t>
            </w:r>
            <w:r>
              <w:rPr>
                <w:rFonts w:hint="eastAsia" w:hAnsi="宋体" w:cs="宋体"/>
                <w:sz w:val="24"/>
                <w:lang w:val="zh-CN"/>
              </w:rPr>
              <w:t>成功缴纳后重新登录前述系统</w:t>
            </w:r>
            <w:r>
              <w:rPr>
                <w:rFonts w:hint="eastAsia" w:hAnsi="宋体" w:cs="宋体"/>
                <w:sz w:val="24"/>
              </w:rPr>
              <w:t>，</w:t>
            </w:r>
            <w:r>
              <w:rPr>
                <w:rFonts w:hint="eastAsia" w:hAnsi="宋体" w:cs="宋体"/>
                <w:sz w:val="24"/>
                <w:lang w:val="zh-CN"/>
              </w:rPr>
              <w:t>依次点击</w:t>
            </w:r>
            <w:r>
              <w:rPr>
                <w:rFonts w:hint="eastAsia" w:hAnsi="宋体" w:cs="宋体"/>
                <w:sz w:val="24"/>
              </w:rPr>
              <w:t>“</w:t>
            </w:r>
            <w:r>
              <w:rPr>
                <w:rFonts w:hint="eastAsia" w:hAnsi="宋体" w:cs="宋体"/>
                <w:sz w:val="24"/>
                <w:lang w:val="zh-CN"/>
              </w:rPr>
              <w:t>会员向导</w:t>
            </w:r>
            <w:r>
              <w:rPr>
                <w:rFonts w:hint="eastAsia" w:hAnsi="宋体" w:cs="宋体"/>
                <w:sz w:val="24"/>
              </w:rPr>
              <w:t>”→“</w:t>
            </w:r>
            <w:r>
              <w:rPr>
                <w:rFonts w:hint="eastAsia" w:hAnsi="宋体" w:cs="宋体"/>
                <w:sz w:val="24"/>
                <w:lang w:val="zh-CN"/>
              </w:rPr>
              <w:t>参与投标</w:t>
            </w:r>
            <w:r>
              <w:rPr>
                <w:rFonts w:hint="eastAsia" w:hAnsi="宋体" w:cs="宋体"/>
                <w:sz w:val="24"/>
              </w:rPr>
              <w:t>”→“</w:t>
            </w:r>
            <w:r>
              <w:rPr>
                <w:rFonts w:hint="eastAsia" w:hAnsi="宋体" w:cs="宋体"/>
                <w:sz w:val="24"/>
                <w:lang w:val="zh-CN"/>
              </w:rPr>
              <w:t>保证金绑定</w:t>
            </w:r>
            <w:r>
              <w:rPr>
                <w:rFonts w:hint="eastAsia" w:hAnsi="宋体" w:cs="宋体"/>
                <w:sz w:val="24"/>
              </w:rPr>
              <w:t>”→“</w:t>
            </w:r>
            <w:r>
              <w:rPr>
                <w:rFonts w:hint="eastAsia" w:hAnsi="宋体" w:cs="宋体"/>
                <w:sz w:val="24"/>
                <w:lang w:val="zh-CN"/>
              </w:rPr>
              <w:t>绑定</w:t>
            </w:r>
            <w:r>
              <w:rPr>
                <w:rFonts w:hint="eastAsia" w:hAnsi="宋体" w:cs="宋体"/>
                <w:sz w:val="24"/>
              </w:rPr>
              <w:t>”</w:t>
            </w:r>
            <w:r>
              <w:rPr>
                <w:rFonts w:hint="eastAsia" w:hAnsi="宋体" w:cs="宋体"/>
                <w:sz w:val="24"/>
                <w:lang w:val="zh-CN"/>
              </w:rPr>
              <w:t>进行投标保证金绑定。</w:t>
            </w:r>
          </w:p>
          <w:p>
            <w:pPr>
              <w:autoSpaceDE w:val="0"/>
              <w:autoSpaceDN w:val="0"/>
              <w:adjustRightInd w:val="0"/>
              <w:spacing w:line="340" w:lineRule="exact"/>
              <w:rPr>
                <w:rFonts w:hAnsi="宋体" w:cs="宋体"/>
                <w:sz w:val="24"/>
                <w:lang w:val="zh-CN"/>
              </w:rPr>
            </w:pPr>
            <w:r>
              <w:rPr>
                <w:rFonts w:hint="eastAsia" w:hAnsi="宋体" w:cs="宋体"/>
                <w:sz w:val="24"/>
                <w:lang w:val="zh-CN"/>
              </w:rPr>
              <w:t>2.3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autoSpaceDE w:val="0"/>
              <w:autoSpaceDN w:val="0"/>
              <w:adjustRightInd w:val="0"/>
              <w:spacing w:line="340" w:lineRule="exact"/>
              <w:rPr>
                <w:rFonts w:hAnsi="宋体" w:cs="宋体"/>
                <w:sz w:val="24"/>
                <w:lang w:val="zh-CN"/>
              </w:rPr>
            </w:pPr>
            <w:r>
              <w:rPr>
                <w:rFonts w:hint="eastAsia" w:hAnsi="宋体" w:cs="宋体"/>
                <w:sz w:val="24"/>
                <w:lang w:val="zh-CN"/>
              </w:rPr>
              <w:t>2.4每个投标人每个项目每个标段只有唯一缴纳账号，</w:t>
            </w:r>
            <w:r>
              <w:rPr>
                <w:rFonts w:hint="eastAsia" w:hAnsi="宋体" w:cs="宋体"/>
                <w:sz w:val="24"/>
              </w:rPr>
              <w:t>切勿重复缴纳或错误缴纳。</w:t>
            </w:r>
          </w:p>
          <w:p>
            <w:pPr>
              <w:autoSpaceDE w:val="0"/>
              <w:autoSpaceDN w:val="0"/>
              <w:adjustRightInd w:val="0"/>
              <w:spacing w:line="340" w:lineRule="exact"/>
              <w:rPr>
                <w:rFonts w:hAnsi="宋体" w:cs="宋体"/>
                <w:sz w:val="24"/>
              </w:rPr>
            </w:pPr>
            <w:r>
              <w:rPr>
                <w:rFonts w:hint="eastAsia" w:hAnsi="宋体" w:cs="宋体"/>
                <w:sz w:val="24"/>
              </w:rPr>
              <w:t>3、未按上述规定操作引起的无效投标，由投标人自行负责。</w:t>
            </w:r>
          </w:p>
          <w:p>
            <w:pPr>
              <w:autoSpaceDE w:val="0"/>
              <w:autoSpaceDN w:val="0"/>
              <w:adjustRightInd w:val="0"/>
              <w:spacing w:line="340" w:lineRule="exact"/>
              <w:rPr>
                <w:rFonts w:hAnsi="宋体" w:cs="宋体"/>
                <w:sz w:val="24"/>
                <w:lang w:val="zh-CN"/>
              </w:rPr>
            </w:pPr>
            <w:r>
              <w:rPr>
                <w:rFonts w:hint="eastAsia" w:hAnsi="宋体" w:cs="宋体"/>
                <w:sz w:val="24"/>
                <w:lang w:val="zh-CN"/>
              </w:rPr>
              <w:t>4、汇款凭证无须备注项目编号和项目名称。</w:t>
            </w:r>
          </w:p>
          <w:p>
            <w:pPr>
              <w:autoSpaceDE w:val="0"/>
              <w:autoSpaceDN w:val="0"/>
              <w:adjustRightInd w:val="0"/>
              <w:spacing w:line="340" w:lineRule="exact"/>
              <w:rPr>
                <w:rFonts w:hAnsi="宋体" w:cs="宋体"/>
                <w:sz w:val="24"/>
              </w:rPr>
            </w:pPr>
            <w:r>
              <w:rPr>
                <w:rFonts w:hint="eastAsia" w:hAnsi="宋体" w:cs="宋体"/>
                <w:sz w:val="24"/>
              </w:rPr>
              <w:t>5、出现以下情形造成的投标保证金无效，由投标人自行负责。</w:t>
            </w:r>
          </w:p>
          <w:p>
            <w:pPr>
              <w:autoSpaceDE w:val="0"/>
              <w:autoSpaceDN w:val="0"/>
              <w:adjustRightInd w:val="0"/>
              <w:spacing w:line="340" w:lineRule="exact"/>
              <w:rPr>
                <w:rFonts w:hAnsi="宋体" w:cs="宋体"/>
                <w:sz w:val="24"/>
              </w:rPr>
            </w:pPr>
            <w:r>
              <w:rPr>
                <w:rFonts w:hint="eastAsia" w:hAnsi="宋体" w:cs="宋体"/>
                <w:sz w:val="24"/>
              </w:rPr>
              <w:t>(1)投标保证金未从投标人的基本账户转出；</w:t>
            </w:r>
          </w:p>
          <w:p>
            <w:pPr>
              <w:autoSpaceDE w:val="0"/>
              <w:autoSpaceDN w:val="0"/>
              <w:adjustRightInd w:val="0"/>
              <w:spacing w:line="340" w:lineRule="exact"/>
              <w:rPr>
                <w:rFonts w:hAnsi="宋体" w:cs="宋体"/>
                <w:sz w:val="24"/>
              </w:rPr>
            </w:pPr>
            <w:r>
              <w:rPr>
                <w:rFonts w:hint="eastAsia" w:hAnsi="宋体" w:cs="宋体"/>
                <w:sz w:val="24"/>
              </w:rPr>
              <w:t>(2)投标保证金未按照招标文件划分的标段转账。</w:t>
            </w:r>
          </w:p>
          <w:p>
            <w:pPr>
              <w:autoSpaceDE w:val="0"/>
              <w:autoSpaceDN w:val="0"/>
              <w:adjustRightInd w:val="0"/>
              <w:spacing w:line="340" w:lineRule="exact"/>
              <w:rPr>
                <w:rFonts w:hAnsi="宋体" w:cs="宋体"/>
                <w:sz w:val="24"/>
                <w:lang w:val="zh-CN"/>
              </w:rPr>
            </w:pPr>
            <w:r>
              <w:rPr>
                <w:rFonts w:hint="eastAsia" w:hAnsi="宋体" w:cs="宋体"/>
                <w:sz w:val="24"/>
                <w:lang w:val="zh-CN"/>
              </w:rPr>
              <w:t>6、《保证金缴纳绑定操作指南》获取方法：</w:t>
            </w:r>
          </w:p>
          <w:p>
            <w:pPr>
              <w:autoSpaceDE w:val="0"/>
              <w:autoSpaceDN w:val="0"/>
              <w:adjustRightInd w:val="0"/>
              <w:spacing w:line="420" w:lineRule="exact"/>
              <w:jc w:val="left"/>
              <w:rPr>
                <w:rFonts w:hAnsi="宋体" w:cs="宋体"/>
                <w:sz w:val="24"/>
                <w:lang w:val="zh-CN"/>
              </w:rPr>
            </w:pPr>
            <w:r>
              <w:rPr>
                <w:rFonts w:hint="eastAsia" w:hAnsi="宋体" w:cs="宋体"/>
                <w:sz w:val="24"/>
                <w:lang w:val="zh-CN"/>
              </w:rPr>
              <w:t>登录许昌公共资源交易系统-组件下载-《保证金缴纳绑定操作指南》。</w:t>
            </w:r>
          </w:p>
          <w:p>
            <w:pPr>
              <w:spacing w:line="360" w:lineRule="auto"/>
              <w:rPr>
                <w:rFonts w:hAnsi="宋体" w:cs="仿宋_GB2312"/>
                <w:sz w:val="24"/>
              </w:rPr>
            </w:pPr>
            <w:r>
              <w:rPr>
                <w:rFonts w:hint="eastAsia" w:hAnsi="宋体" w:cs="宋体"/>
                <w:sz w:val="24"/>
              </w:rPr>
              <w:t>7、</w:t>
            </w:r>
            <w:r>
              <w:rPr>
                <w:rFonts w:hint="eastAsia" w:hAnsi="宋体" w:cs="宋体"/>
                <w:sz w:val="24"/>
                <w:lang w:val="zh-CN"/>
              </w:rPr>
              <w:t>投标保证金交纳至同一标段相同子账号的，保证金暂不予退还，并依照《许昌市公共资源交易当事人不良行为管理暂行办法》（许公管委〔2017〕1号）规定，进行调查、认定、记录、公示、公告。对涉嫌串通投标等违规行为的，经调查核实后，记录不良行为，移交有关部门进行查处。不予退还的保证金上缴国库。</w:t>
            </w:r>
          </w:p>
        </w:tc>
      </w:tr>
      <w:bookmarkEnd w:id="2"/>
      <w:bookmarkEnd w:id="3"/>
      <w:bookmarkEnd w:id="4"/>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2"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3.5.2</w:t>
            </w:r>
          </w:p>
        </w:tc>
        <w:tc>
          <w:tcPr>
            <w:tcW w:w="2447" w:type="dxa"/>
            <w:gridSpan w:val="3"/>
            <w:vAlign w:val="center"/>
          </w:tcPr>
          <w:p>
            <w:pPr>
              <w:jc w:val="center"/>
              <w:rPr>
                <w:sz w:val="24"/>
              </w:rPr>
            </w:pPr>
            <w:r>
              <w:rPr>
                <w:rFonts w:hint="eastAsia"/>
                <w:sz w:val="24"/>
              </w:rPr>
              <w:t>近年财务状况要求</w:t>
            </w:r>
          </w:p>
        </w:tc>
        <w:tc>
          <w:tcPr>
            <w:tcW w:w="6424" w:type="dxa"/>
            <w:gridSpan w:val="2"/>
            <w:vAlign w:val="center"/>
          </w:tcPr>
          <w:p>
            <w:pPr>
              <w:autoSpaceDE w:val="0"/>
              <w:autoSpaceDN w:val="0"/>
              <w:adjustRightInd w:val="0"/>
              <w:spacing w:line="420" w:lineRule="exact"/>
              <w:jc w:val="left"/>
              <w:rPr>
                <w:rFonts w:hAnsi="宋体" w:cs="仿宋_GB2312"/>
                <w:b/>
                <w:szCs w:val="21"/>
              </w:rPr>
            </w:pPr>
            <w:r>
              <w:rPr>
                <w:rFonts w:hint="eastAsia" w:hAnsi="宋体" w:cs="仿宋_GB2312"/>
                <w:sz w:val="24"/>
              </w:rPr>
              <w:t>近年，指2016、2017、2018年。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3.5.3</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近年完成的类似项目</w:t>
            </w:r>
          </w:p>
        </w:tc>
        <w:tc>
          <w:tcPr>
            <w:tcW w:w="6424" w:type="dxa"/>
            <w:gridSpan w:val="2"/>
            <w:vAlign w:val="center"/>
          </w:tcPr>
          <w:p>
            <w:pPr>
              <w:autoSpaceDE w:val="0"/>
              <w:autoSpaceDN w:val="0"/>
              <w:adjustRightInd w:val="0"/>
              <w:rPr>
                <w:rFonts w:hAnsi="宋体" w:cs="TimesNewRomanPSMT"/>
                <w:sz w:val="24"/>
              </w:rPr>
            </w:pPr>
            <w:r>
              <w:rPr>
                <w:rFonts w:hint="eastAsia" w:hAnsi="宋体" w:cs="TimesNewRomanPSMT"/>
                <w:sz w:val="24"/>
              </w:rPr>
              <w:t>近年，指201</w:t>
            </w:r>
            <w:r>
              <w:rPr>
                <w:rFonts w:hint="eastAsia" w:hAnsi="宋体" w:cs="TimesNewRomanPSMT"/>
                <w:sz w:val="24"/>
                <w:lang w:val="en-US" w:eastAsia="zh-CN"/>
              </w:rPr>
              <w:t>7</w:t>
            </w:r>
            <w:r>
              <w:rPr>
                <w:rFonts w:hint="eastAsia" w:hAnsi="宋体" w:cs="TimesNewRomanPSMT"/>
                <w:sz w:val="24"/>
              </w:rPr>
              <w:t>年1月1日至今。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atLeast"/>
          <w:jc w:val="center"/>
        </w:trPr>
        <w:tc>
          <w:tcPr>
            <w:tcW w:w="1003" w:type="dxa"/>
            <w:vAlign w:val="center"/>
          </w:tcPr>
          <w:p>
            <w:pPr>
              <w:autoSpaceDE w:val="0"/>
              <w:autoSpaceDN w:val="0"/>
              <w:adjustRightInd w:val="0"/>
              <w:jc w:val="center"/>
              <w:rPr>
                <w:rFonts w:hAnsi="宋体" w:cs="仿宋_GB2312"/>
                <w:sz w:val="24"/>
              </w:rPr>
            </w:pPr>
            <w:r>
              <w:rPr>
                <w:rFonts w:hint="eastAsia" w:hAnsi="宋体" w:cs="仿宋_GB2312"/>
                <w:sz w:val="24"/>
              </w:rPr>
              <w:t>3.5.4</w:t>
            </w:r>
          </w:p>
        </w:tc>
        <w:tc>
          <w:tcPr>
            <w:tcW w:w="2447" w:type="dxa"/>
            <w:gridSpan w:val="3"/>
            <w:vAlign w:val="center"/>
          </w:tcPr>
          <w:p>
            <w:pPr>
              <w:autoSpaceDE w:val="0"/>
              <w:autoSpaceDN w:val="0"/>
              <w:adjustRightInd w:val="0"/>
              <w:jc w:val="center"/>
              <w:rPr>
                <w:rFonts w:hAnsi="宋体" w:cs="仿宋_GB2312"/>
                <w:sz w:val="24"/>
              </w:rPr>
            </w:pPr>
            <w:r>
              <w:rPr>
                <w:rFonts w:hint="eastAsia" w:hAnsi="宋体" w:cs="仿宋_GB2312"/>
                <w:sz w:val="24"/>
              </w:rPr>
              <w:t>近年发生的诉讼及仲裁情况的年份要求</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003" w:type="dxa"/>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3.6</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是否允许递交备选投标方案</w:t>
            </w:r>
          </w:p>
        </w:tc>
        <w:tc>
          <w:tcPr>
            <w:tcW w:w="6424" w:type="dxa"/>
            <w:gridSpan w:val="2"/>
            <w:vAlign w:val="center"/>
          </w:tcPr>
          <w:p>
            <w:pPr>
              <w:autoSpaceDE w:val="0"/>
              <w:autoSpaceDN w:val="0"/>
              <w:adjustRightInd w:val="0"/>
              <w:rPr>
                <w:rFonts w:hAnsi="宋体" w:cs="仿宋_GB2312"/>
                <w:sz w:val="24"/>
              </w:rPr>
            </w:pPr>
            <w:r>
              <w:rPr>
                <w:rFonts w:hint="eastAsia" w:hAnsi="宋体" w:cs="仿宋_GB2312"/>
                <w:sz w:val="24"/>
              </w:rPr>
              <w:t>不允许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签字或盖章要求</w:t>
            </w:r>
          </w:p>
        </w:tc>
        <w:tc>
          <w:tcPr>
            <w:tcW w:w="6424" w:type="dxa"/>
            <w:gridSpan w:val="2"/>
            <w:vAlign w:val="center"/>
          </w:tcPr>
          <w:p>
            <w:pPr>
              <w:autoSpaceDE w:val="0"/>
              <w:autoSpaceDN w:val="0"/>
              <w:adjustRightInd w:val="0"/>
              <w:rPr>
                <w:rFonts w:hAnsi="宋体" w:cs="仿宋_GB2312"/>
                <w:sz w:val="24"/>
              </w:rPr>
            </w:pPr>
            <w:r>
              <w:rPr>
                <w:rFonts w:hint="eastAsia" w:hAnsi="宋体" w:cs="TimesNewRomanPSMT"/>
                <w:b/>
                <w:bCs/>
                <w:sz w:val="24"/>
              </w:rPr>
              <w:t>电子投标文件：按招标文件要求加盖</w:t>
            </w:r>
            <w:r>
              <w:rPr>
                <w:rFonts w:hint="eastAsia" w:hAnsi="宋体" w:cs="TimesNewRomanPSMT"/>
                <w:b/>
                <w:bCs/>
                <w:sz w:val="24"/>
                <w:lang w:val="zh-CN"/>
              </w:rPr>
              <w:t>电子印章和法人电子签字</w:t>
            </w:r>
            <w:r>
              <w:rPr>
                <w:rFonts w:hint="eastAsia" w:hAnsi="宋体" w:cs="TimesNewRomanPSMT"/>
                <w:b/>
                <w:bCs/>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3.7.4</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投标文件份数</w:t>
            </w:r>
          </w:p>
        </w:tc>
        <w:tc>
          <w:tcPr>
            <w:tcW w:w="6424" w:type="dxa"/>
            <w:gridSpan w:val="2"/>
            <w:vAlign w:val="center"/>
          </w:tcPr>
          <w:p>
            <w:pPr>
              <w:autoSpaceDE w:val="0"/>
              <w:autoSpaceDN w:val="0"/>
              <w:adjustRightInd w:val="0"/>
              <w:spacing w:line="276" w:lineRule="auto"/>
              <w:rPr>
                <w:rFonts w:hAnsi="宋体" w:cs="宋体"/>
                <w:sz w:val="24"/>
              </w:rPr>
            </w:pPr>
            <w:r>
              <w:rPr>
                <w:rFonts w:hint="eastAsia" w:hAnsi="宋体" w:cs="宋体"/>
                <w:sz w:val="24"/>
              </w:rPr>
              <w:t>1、电子投标文件</w:t>
            </w:r>
          </w:p>
          <w:p>
            <w:pPr>
              <w:autoSpaceDE w:val="0"/>
              <w:autoSpaceDN w:val="0"/>
              <w:adjustRightInd w:val="0"/>
              <w:spacing w:line="276" w:lineRule="auto"/>
              <w:rPr>
                <w:rFonts w:hAnsi="宋体" w:cs="宋体"/>
                <w:sz w:val="24"/>
              </w:rPr>
            </w:pPr>
            <w:r>
              <w:rPr>
                <w:rFonts w:hint="eastAsia" w:hAnsi="宋体" w:cs="宋体"/>
                <w:sz w:val="24"/>
              </w:rPr>
              <w:t>（1）成功上传至《全国公共资源交易平台（河南省·许昌市）》公共资源交易系统电子投标文件1份（文件格式为：XX公司XXX项目编号.file）。</w:t>
            </w:r>
          </w:p>
          <w:p>
            <w:pPr>
              <w:autoSpaceDE w:val="0"/>
              <w:autoSpaceDN w:val="0"/>
              <w:adjustRightInd w:val="0"/>
              <w:spacing w:line="276" w:lineRule="auto"/>
              <w:rPr>
                <w:rFonts w:hAnsi="宋体" w:cs="宋体"/>
                <w:sz w:val="24"/>
              </w:rPr>
            </w:pPr>
            <w:r>
              <w:rPr>
                <w:rFonts w:hint="eastAsia" w:hAnsi="宋体" w:cs="宋体"/>
                <w:sz w:val="24"/>
              </w:rPr>
              <w:t>（2）使用电子介质存储的投标文件2份</w:t>
            </w:r>
            <w:r>
              <w:rPr>
                <w:rFonts w:hint="eastAsia" w:hAnsi="宋体"/>
                <w:sz w:val="24"/>
                <w:szCs w:val="24"/>
              </w:rPr>
              <w:t>文件格式为：xxx公司XXX（项目编号）.bin）</w:t>
            </w:r>
            <w:r>
              <w:rPr>
                <w:rFonts w:hint="eastAsia" w:hAnsi="宋体" w:cs="宋体"/>
                <w:sz w:val="24"/>
              </w:rPr>
              <w:t>。</w:t>
            </w:r>
          </w:p>
          <w:p>
            <w:pPr>
              <w:rPr>
                <w:rFonts w:hAnsi="宋体" w:cs="宋体"/>
                <w:sz w:val="24"/>
              </w:rPr>
            </w:pPr>
            <w:r>
              <w:rPr>
                <w:rFonts w:hint="eastAsia" w:hAnsi="宋体" w:cs="宋体"/>
                <w:sz w:val="24"/>
              </w:rPr>
              <w:t>2、电子投标文件的内容、格式、水印码、</w:t>
            </w:r>
            <w:r>
              <w:rPr>
                <w:rFonts w:hint="eastAsia" w:hAnsi="宋体" w:cs="宋体"/>
                <w:b/>
                <w:sz w:val="24"/>
              </w:rPr>
              <w:t>电子签章</w:t>
            </w:r>
            <w:r>
              <w:rPr>
                <w:rFonts w:hint="eastAsia" w:hAnsi="宋体" w:cs="宋体"/>
                <w:sz w:val="24"/>
              </w:rPr>
              <w:t>应一致。</w:t>
            </w:r>
          </w:p>
          <w:p>
            <w:pPr>
              <w:spacing w:line="360" w:lineRule="auto"/>
              <w:rPr>
                <w:rFonts w:hAnsi="宋体" w:cs="仿宋_GB2312"/>
                <w:sz w:val="24"/>
              </w:rPr>
            </w:pPr>
            <w:r>
              <w:rPr>
                <w:rFonts w:hint="eastAsia" w:ascii="等线" w:hAnsi="等线" w:eastAsia="等线"/>
                <w:b/>
                <w:sz w:val="24"/>
                <w:szCs w:val="24"/>
              </w:rPr>
              <w:t>注:</w:t>
            </w:r>
            <w:r>
              <w:rPr>
                <w:rFonts w:hint="eastAsia" w:hAnsi="宋体"/>
                <w:b/>
                <w:sz w:val="24"/>
                <w:szCs w:val="24"/>
              </w:rPr>
              <w:t>投标人提交的电子投标文件，必须是通过</w:t>
            </w:r>
            <w:r>
              <w:rPr>
                <w:rFonts w:hint="eastAsia" w:ascii="等线" w:hAnsi="等线" w:eastAsia="等线"/>
                <w:b/>
                <w:sz w:val="24"/>
                <w:szCs w:val="24"/>
              </w:rPr>
              <w:t>“</w:t>
            </w:r>
            <w:r>
              <w:rPr>
                <w:rFonts w:hint="eastAsia" w:hAnsi="宋体"/>
                <w:b/>
                <w:sz w:val="24"/>
                <w:szCs w:val="24"/>
              </w:rPr>
              <w:t>许昌投标文件制作系统SEARUN</w:t>
            </w:r>
            <w:r>
              <w:rPr>
                <w:rFonts w:hAnsi="宋体"/>
                <w:b/>
                <w:sz w:val="24"/>
                <w:szCs w:val="24"/>
              </w:rPr>
              <w:t xml:space="preserve"> </w:t>
            </w:r>
            <w:r>
              <w:rPr>
                <w:rFonts w:hint="eastAsia" w:hAnsi="宋体"/>
                <w:b/>
                <w:sz w:val="24"/>
                <w:szCs w:val="24"/>
              </w:rPr>
              <w:t>V1.1</w:t>
            </w:r>
            <w:r>
              <w:rPr>
                <w:rFonts w:hint="eastAsia" w:ascii="等线" w:hAnsi="等线" w:eastAsia="等线"/>
                <w:b/>
                <w:sz w:val="24"/>
                <w:szCs w:val="24"/>
              </w:rPr>
              <w:t>”</w:t>
            </w:r>
            <w:r>
              <w:rPr>
                <w:rFonts w:hint="eastAsia" w:hAnsi="宋体"/>
                <w:b/>
                <w:sz w:val="24"/>
                <w:szCs w:val="24"/>
              </w:rPr>
              <w:t>制作，</w:t>
            </w:r>
            <w:r>
              <w:rPr>
                <w:rFonts w:hint="eastAsia" w:ascii="等线" w:hAnsi="等线" w:eastAsia="等线"/>
                <w:b/>
                <w:sz w:val="24"/>
                <w:szCs w:val="24"/>
              </w:rPr>
              <w:t>并</w:t>
            </w:r>
            <w:r>
              <w:rPr>
                <w:rFonts w:hint="eastAsia" w:hAnsi="宋体"/>
                <w:b/>
                <w:sz w:val="24"/>
                <w:szCs w:val="24"/>
              </w:rPr>
              <w:t>经过签章和加密后生成的电子投标文件。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3.7.5</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装订要求</w:t>
            </w:r>
          </w:p>
        </w:tc>
        <w:tc>
          <w:tcPr>
            <w:tcW w:w="6424" w:type="dxa"/>
            <w:gridSpan w:val="2"/>
            <w:vAlign w:val="center"/>
          </w:tcPr>
          <w:p>
            <w:pPr>
              <w:autoSpaceDE w:val="0"/>
              <w:autoSpaceDN w:val="0"/>
              <w:adjustRightInd w:val="0"/>
              <w:spacing w:line="420" w:lineRule="exact"/>
              <w:rPr>
                <w:rFonts w:ascii="新宋体" w:hAnsi="新宋体" w:eastAsia="新宋体"/>
                <w:sz w:val="24"/>
              </w:rPr>
            </w:pPr>
            <w:r>
              <w:rPr>
                <w:rFonts w:hint="eastAsia" w:hAnsi="宋体" w:cs="宋体"/>
                <w:sz w:val="24"/>
              </w:rPr>
              <w:t>1、使用电子介质存储的投标文件单独密封、盖章，并在开标现场提交。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2"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4.1.2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封套上写明</w:t>
            </w:r>
          </w:p>
        </w:tc>
        <w:tc>
          <w:tcPr>
            <w:tcW w:w="6424" w:type="dxa"/>
            <w:gridSpan w:val="2"/>
          </w:tcPr>
          <w:p>
            <w:pPr>
              <w:autoSpaceDE w:val="0"/>
              <w:autoSpaceDN w:val="0"/>
              <w:adjustRightInd w:val="0"/>
              <w:spacing w:line="420" w:lineRule="exact"/>
              <w:jc w:val="left"/>
              <w:rPr>
                <w:rFonts w:hAnsi="宋体"/>
                <w:sz w:val="24"/>
              </w:rPr>
            </w:pPr>
            <w:r>
              <w:rPr>
                <w:rFonts w:hint="eastAsia" w:hAnsi="宋体" w:cs="仿宋_GB2312"/>
                <w:sz w:val="24"/>
              </w:rPr>
              <w:t>招标人</w:t>
            </w:r>
            <w:r>
              <w:rPr>
                <w:rFonts w:hint="eastAsia"/>
                <w:sz w:val="24"/>
              </w:rPr>
              <w:t>地址：</w:t>
            </w:r>
            <w:r>
              <w:rPr>
                <w:rFonts w:hint="eastAsia" w:hAnsi="宋体"/>
                <w:sz w:val="24"/>
              </w:rPr>
              <w:t xml:space="preserve"> </w:t>
            </w:r>
          </w:p>
          <w:p>
            <w:pPr>
              <w:rPr>
                <w:rFonts w:ascii="楷体_GB2312" w:hAnsi="楷体_GB2312" w:eastAsia="楷体_GB2312" w:cs="楷体_GB2312"/>
                <w:sz w:val="28"/>
                <w:szCs w:val="28"/>
              </w:rPr>
            </w:pPr>
            <w:r>
              <w:rPr>
                <w:rFonts w:hint="eastAsia"/>
                <w:sz w:val="24"/>
              </w:rPr>
              <w:t>招标人名称：</w:t>
            </w:r>
            <w:r>
              <w:rPr>
                <w:rFonts w:hint="eastAsia" w:hAnsi="宋体"/>
                <w:sz w:val="24"/>
              </w:rPr>
              <w:t xml:space="preserve"> </w:t>
            </w:r>
          </w:p>
          <w:p>
            <w:pPr>
              <w:autoSpaceDE w:val="0"/>
              <w:autoSpaceDN w:val="0"/>
              <w:adjustRightInd w:val="0"/>
              <w:spacing w:line="420" w:lineRule="exact"/>
              <w:jc w:val="left"/>
              <w:rPr>
                <w:rFonts w:hAnsi="宋体"/>
                <w:sz w:val="24"/>
              </w:rPr>
            </w:pPr>
            <w:r>
              <w:rPr>
                <w:rFonts w:hint="eastAsia"/>
                <w:sz w:val="24"/>
              </w:rPr>
              <w:t>项目名称：</w:t>
            </w:r>
            <w:r>
              <w:rPr>
                <w:rFonts w:hint="eastAsia" w:hAnsi="宋体"/>
                <w:sz w:val="24"/>
                <w:u w:val="single"/>
              </w:rPr>
              <w:t xml:space="preserve">    </w:t>
            </w:r>
            <w:r>
              <w:rPr>
                <w:rFonts w:hint="eastAsia" w:hAnsi="宋体"/>
                <w:sz w:val="24"/>
              </w:rPr>
              <w:t xml:space="preserve">     </w:t>
            </w:r>
          </w:p>
          <w:p>
            <w:pPr>
              <w:spacing w:line="288" w:lineRule="auto"/>
              <w:ind w:left="1200" w:hanging="1200" w:hangingChars="500"/>
              <w:rPr>
                <w:rFonts w:hAnsi="宋体" w:cs="仿宋_GB2312"/>
                <w:sz w:val="24"/>
              </w:rPr>
            </w:pPr>
            <w:r>
              <w:rPr>
                <w:rFonts w:hint="eastAsia" w:hAnsi="宋体" w:cs="仿宋_GB2312"/>
                <w:sz w:val="24"/>
              </w:rPr>
              <w:t>投标人名称：（盖章）</w:t>
            </w:r>
          </w:p>
          <w:p>
            <w:pPr>
              <w:autoSpaceDE w:val="0"/>
              <w:autoSpaceDN w:val="0"/>
              <w:adjustRightInd w:val="0"/>
              <w:spacing w:line="420" w:lineRule="exact"/>
              <w:jc w:val="left"/>
              <w:rPr>
                <w:rFonts w:hAnsi="宋体" w:cs="黑体"/>
                <w:sz w:val="24"/>
              </w:rPr>
            </w:pPr>
            <w:r>
              <w:rPr>
                <w:rFonts w:hint="eastAsia"/>
                <w:sz w:val="24"/>
              </w:rPr>
              <w:t>投标文件</w:t>
            </w:r>
            <w:r>
              <w:rPr>
                <w:rFonts w:hint="eastAsia" w:hAnsi="宋体" w:cs="仿宋_GB2312"/>
                <w:sz w:val="24"/>
              </w:rPr>
              <w:t>在</w:t>
            </w:r>
            <w:r>
              <w:rPr>
                <w:rFonts w:hint="eastAsia" w:hAnsi="宋体"/>
                <w:bCs/>
                <w:sz w:val="24"/>
              </w:rPr>
              <w:t xml:space="preserve">  年  月  日  时  分</w:t>
            </w:r>
            <w:r>
              <w:rPr>
                <w:rFonts w:hint="eastAsia" w:hAnsi="宋体" w:cs="仿宋_GB2312"/>
                <w:sz w:val="24"/>
              </w:rPr>
              <w:t>前不得开启。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4.2.2</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递交投标文件地点</w:t>
            </w:r>
          </w:p>
        </w:tc>
        <w:tc>
          <w:tcPr>
            <w:tcW w:w="6424" w:type="dxa"/>
            <w:gridSpan w:val="2"/>
            <w:vAlign w:val="center"/>
          </w:tcPr>
          <w:p>
            <w:pPr>
              <w:numPr>
                <w:ilvl w:val="0"/>
                <w:numId w:val="4"/>
              </w:numPr>
              <w:tabs>
                <w:tab w:val="left" w:pos="0"/>
                <w:tab w:val="clear" w:pos="360"/>
              </w:tabs>
              <w:spacing w:line="288" w:lineRule="auto"/>
              <w:ind w:left="0" w:hanging="648"/>
              <w:rPr>
                <w:sz w:val="24"/>
                <w:highlight w:val="none"/>
                <w:u w:val="single"/>
              </w:rPr>
            </w:pPr>
            <w:r>
              <w:rPr>
                <w:rFonts w:hint="eastAsia" w:ascii="新宋体" w:hAnsi="新宋体" w:eastAsia="新宋体"/>
                <w:sz w:val="24"/>
                <w:highlight w:val="none"/>
              </w:rPr>
              <w:t>许昌市公共资源交易中心（龙兴路与竹林路交汇处创业服务中心C 座）三楼开标（</w:t>
            </w:r>
            <w:r>
              <w:rPr>
                <w:rFonts w:hint="eastAsia" w:ascii="新宋体" w:hAnsi="新宋体" w:eastAsia="新宋体"/>
                <w:sz w:val="24"/>
                <w:highlight w:val="none"/>
                <w:lang w:val="en-US" w:eastAsia="zh-CN"/>
              </w:rPr>
              <w:t>二</w:t>
            </w:r>
            <w:r>
              <w:rPr>
                <w:rFonts w:hint="eastAsia" w:ascii="新宋体" w:hAnsi="新宋体" w:eastAsia="新宋体"/>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4.2.3</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是否退还投标文件</w:t>
            </w:r>
          </w:p>
        </w:tc>
        <w:tc>
          <w:tcPr>
            <w:tcW w:w="6424" w:type="dxa"/>
            <w:gridSpan w:val="2"/>
            <w:vAlign w:val="center"/>
          </w:tcPr>
          <w:p>
            <w:pPr>
              <w:autoSpaceDE w:val="0"/>
              <w:autoSpaceDN w:val="0"/>
              <w:adjustRightInd w:val="0"/>
              <w:spacing w:line="420" w:lineRule="exact"/>
              <w:rPr>
                <w:rFonts w:hAnsi="宋体" w:cs="仿宋_GB2312"/>
                <w:sz w:val="24"/>
              </w:rPr>
            </w:pPr>
            <w:r>
              <w:rPr>
                <w:rFonts w:hint="eastAsia" w:hAnsi="宋体" w:cs="仿宋_GB2312"/>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5.1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开标时间和地点</w:t>
            </w:r>
          </w:p>
        </w:tc>
        <w:tc>
          <w:tcPr>
            <w:tcW w:w="6424" w:type="dxa"/>
            <w:gridSpan w:val="2"/>
          </w:tcPr>
          <w:p>
            <w:pPr>
              <w:autoSpaceDE w:val="0"/>
              <w:autoSpaceDN w:val="0"/>
              <w:adjustRightInd w:val="0"/>
              <w:spacing w:line="420" w:lineRule="exact"/>
              <w:jc w:val="left"/>
              <w:rPr>
                <w:rFonts w:hAnsi="宋体" w:cs="仿宋_GB2312"/>
                <w:sz w:val="24"/>
                <w:highlight w:val="none"/>
              </w:rPr>
            </w:pPr>
            <w:r>
              <w:rPr>
                <w:rFonts w:hint="eastAsia" w:hAnsi="宋体" w:cs="仿宋_GB2312"/>
                <w:sz w:val="24"/>
                <w:highlight w:val="none"/>
              </w:rPr>
              <w:t>开标时间：同投标截止时间</w:t>
            </w:r>
          </w:p>
          <w:p>
            <w:pPr>
              <w:autoSpaceDE w:val="0"/>
              <w:autoSpaceDN w:val="0"/>
              <w:adjustRightInd w:val="0"/>
              <w:spacing w:line="420" w:lineRule="exact"/>
              <w:jc w:val="left"/>
              <w:rPr>
                <w:rFonts w:hAnsi="宋体" w:cs="黑体"/>
                <w:sz w:val="24"/>
                <w:highlight w:val="none"/>
              </w:rPr>
            </w:pPr>
            <w:r>
              <w:rPr>
                <w:rFonts w:hint="eastAsia" w:hAnsi="宋体" w:cs="仿宋_GB2312"/>
                <w:sz w:val="24"/>
                <w:highlight w:val="none"/>
              </w:rPr>
              <w:t>开标地点：</w:t>
            </w:r>
            <w:r>
              <w:rPr>
                <w:rFonts w:hint="eastAsia" w:hAnsi="宋体" w:cs="黑体"/>
                <w:sz w:val="24"/>
                <w:highlight w:val="none"/>
              </w:rPr>
              <w:t>许昌市公共资源交易中心（龙兴路与竹林路交汇处创业服务中心C 座）三楼开标（</w:t>
            </w:r>
            <w:r>
              <w:rPr>
                <w:rFonts w:hint="eastAsia" w:hAnsi="宋体" w:cs="黑体"/>
                <w:sz w:val="24"/>
                <w:highlight w:val="none"/>
                <w:lang w:val="en-US" w:eastAsia="zh-CN"/>
              </w:rPr>
              <w:t>二</w:t>
            </w:r>
            <w:r>
              <w:rPr>
                <w:rFonts w:hint="eastAsia" w:hAnsi="宋体" w:cs="黑体"/>
                <w:sz w:val="24"/>
                <w:highlight w:val="none"/>
              </w:rPr>
              <w:t>）室。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 xml:space="preserve">5.2 </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开标程序</w:t>
            </w:r>
          </w:p>
        </w:tc>
        <w:tc>
          <w:tcPr>
            <w:tcW w:w="6424" w:type="dxa"/>
            <w:gridSpan w:val="2"/>
          </w:tcPr>
          <w:p>
            <w:pPr>
              <w:autoSpaceDE w:val="0"/>
              <w:autoSpaceDN w:val="0"/>
              <w:adjustRightInd w:val="0"/>
              <w:spacing w:line="420" w:lineRule="exact"/>
              <w:jc w:val="left"/>
              <w:rPr>
                <w:rFonts w:hAnsi="宋体" w:cs="黑体"/>
                <w:sz w:val="24"/>
              </w:rPr>
            </w:pPr>
            <w:r>
              <w:rPr>
                <w:rFonts w:hint="eastAsia" w:hAnsi="宋体" w:cs="仿宋_GB2312"/>
                <w:sz w:val="24"/>
              </w:rPr>
              <w:t>见招标文件第二章  投标人须知第5.2条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0"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6.1.</w:t>
            </w:r>
            <w:r>
              <w:rPr>
                <w:rFonts w:hint="eastAsia" w:hAnsi="宋体" w:cs="TimesNewRomanPSMT"/>
                <w:sz w:val="24"/>
              </w:rPr>
              <w:t>1</w:t>
            </w:r>
          </w:p>
        </w:tc>
        <w:tc>
          <w:tcPr>
            <w:tcW w:w="2447" w:type="dxa"/>
            <w:gridSpan w:val="3"/>
            <w:vAlign w:val="center"/>
          </w:tcPr>
          <w:p>
            <w:pPr>
              <w:autoSpaceDE w:val="0"/>
              <w:autoSpaceDN w:val="0"/>
              <w:adjustRightInd w:val="0"/>
              <w:spacing w:line="420" w:lineRule="exact"/>
              <w:jc w:val="center"/>
              <w:rPr>
                <w:rFonts w:hAnsi="宋体" w:cs="黑体"/>
                <w:sz w:val="24"/>
              </w:rPr>
            </w:pPr>
            <w:r>
              <w:rPr>
                <w:rFonts w:hint="eastAsia" w:hAnsi="宋体" w:cs="仿宋_GB2312"/>
                <w:sz w:val="24"/>
              </w:rPr>
              <w:t>评标委员会的组建</w:t>
            </w:r>
          </w:p>
        </w:tc>
        <w:tc>
          <w:tcPr>
            <w:tcW w:w="6424" w:type="dxa"/>
            <w:gridSpan w:val="2"/>
            <w:vAlign w:val="center"/>
          </w:tcPr>
          <w:p>
            <w:pPr>
              <w:spacing w:line="288" w:lineRule="auto"/>
              <w:rPr>
                <w:sz w:val="24"/>
              </w:rPr>
            </w:pPr>
            <w:r>
              <w:rPr>
                <w:rFonts w:hint="eastAsia" w:ascii="新宋体" w:hAnsi="新宋体" w:eastAsia="新宋体"/>
                <w:sz w:val="24"/>
              </w:rPr>
              <w:t>评标委员会构成：5人，从河南省综合评标专家库中随机抽取4人和招标人代表1人（其中注册造价工程师不少于2人）。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1003" w:type="dxa"/>
            <w:vAlign w:val="center"/>
          </w:tcPr>
          <w:p>
            <w:pPr>
              <w:autoSpaceDE w:val="0"/>
              <w:autoSpaceDN w:val="0"/>
              <w:adjustRightInd w:val="0"/>
              <w:spacing w:line="420" w:lineRule="exact"/>
              <w:jc w:val="center"/>
              <w:rPr>
                <w:rFonts w:hAnsi="宋体" w:cs="黑体"/>
                <w:sz w:val="24"/>
              </w:rPr>
            </w:pPr>
            <w:r>
              <w:rPr>
                <w:rFonts w:hAnsi="宋体" w:cs="TimesNewRomanPSMT"/>
                <w:sz w:val="24"/>
              </w:rPr>
              <w:t>7.1</w:t>
            </w:r>
          </w:p>
        </w:tc>
        <w:tc>
          <w:tcPr>
            <w:tcW w:w="2447" w:type="dxa"/>
            <w:gridSpan w:val="3"/>
            <w:vAlign w:val="center"/>
          </w:tcPr>
          <w:p>
            <w:pPr>
              <w:autoSpaceDE w:val="0"/>
              <w:autoSpaceDN w:val="0"/>
              <w:adjustRightInd w:val="0"/>
              <w:jc w:val="center"/>
              <w:rPr>
                <w:rFonts w:hAnsi="宋体" w:cs="黑体"/>
                <w:sz w:val="24"/>
              </w:rPr>
            </w:pPr>
            <w:r>
              <w:rPr>
                <w:rFonts w:hint="eastAsia" w:hAnsi="宋体" w:cs="仿宋_GB2312"/>
                <w:sz w:val="24"/>
              </w:rPr>
              <w:t>是否授权评标委员会确定中标人</w:t>
            </w:r>
          </w:p>
        </w:tc>
        <w:tc>
          <w:tcPr>
            <w:tcW w:w="6424" w:type="dxa"/>
            <w:gridSpan w:val="2"/>
            <w:vAlign w:val="center"/>
          </w:tcPr>
          <w:p>
            <w:pPr>
              <w:autoSpaceDE w:val="0"/>
              <w:autoSpaceDN w:val="0"/>
              <w:adjustRightInd w:val="0"/>
              <w:spacing w:line="420" w:lineRule="exact"/>
              <w:rPr>
                <w:rFonts w:hAnsi="宋体" w:cs="黑体"/>
                <w:sz w:val="24"/>
              </w:rPr>
            </w:pPr>
            <w:r>
              <w:rPr>
                <w:rFonts w:hint="eastAsia" w:hAnsi="宋体" w:cs="仿宋_GB2312"/>
                <w:sz w:val="24"/>
              </w:rPr>
              <w:t>否，推荐的中标候选人数：</w:t>
            </w:r>
            <w:r>
              <w:rPr>
                <w:rFonts w:hint="eastAsia" w:ascii="新宋体" w:hAnsi="新宋体" w:eastAsia="新宋体" w:cs="仿宋_GB2312"/>
                <w:sz w:val="24"/>
              </w:rPr>
              <w:t>1-3名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10.需要补充的其他内容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9874" w:type="dxa"/>
            <w:gridSpan w:val="6"/>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10.1词语定义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5" w:hRule="atLeast"/>
          <w:jc w:val="center"/>
        </w:trPr>
        <w:tc>
          <w:tcPr>
            <w:tcW w:w="1077" w:type="dxa"/>
            <w:gridSpan w:val="2"/>
            <w:vAlign w:val="center"/>
          </w:tcPr>
          <w:p>
            <w:pPr>
              <w:autoSpaceDE w:val="0"/>
              <w:autoSpaceDN w:val="0"/>
              <w:adjustRightInd w:val="0"/>
              <w:spacing w:line="420" w:lineRule="exact"/>
              <w:jc w:val="left"/>
              <w:rPr>
                <w:rFonts w:hAnsi="宋体" w:cs="TimesNewRomanPSMT"/>
                <w:sz w:val="24"/>
              </w:rPr>
            </w:pPr>
            <w:r>
              <w:rPr>
                <w:rFonts w:hint="eastAsia" w:hAnsi="宋体" w:cs="TimesNewRomanPSMT"/>
                <w:sz w:val="24"/>
              </w:rPr>
              <w:t>10.1.1</w:t>
            </w:r>
          </w:p>
        </w:tc>
        <w:tc>
          <w:tcPr>
            <w:tcW w:w="1571" w:type="dxa"/>
            <w:vAlign w:val="center"/>
          </w:tcPr>
          <w:p>
            <w:pPr>
              <w:autoSpaceDE w:val="0"/>
              <w:autoSpaceDN w:val="0"/>
              <w:adjustRightInd w:val="0"/>
              <w:spacing w:line="420" w:lineRule="exact"/>
              <w:jc w:val="left"/>
              <w:rPr>
                <w:rFonts w:hAnsi="宋体" w:cs="TimesNewRomanPSMT"/>
                <w:sz w:val="24"/>
                <w:szCs w:val="22"/>
              </w:rPr>
            </w:pPr>
            <w:r>
              <w:rPr>
                <w:rFonts w:hint="eastAsia" w:hAnsi="宋体" w:cs="TimesNewRomanPSMT"/>
                <w:sz w:val="24"/>
                <w:szCs w:val="22"/>
              </w:rPr>
              <w:t>类似项目</w:t>
            </w:r>
          </w:p>
        </w:tc>
        <w:tc>
          <w:tcPr>
            <w:tcW w:w="7226" w:type="dxa"/>
            <w:gridSpan w:val="3"/>
            <w:vAlign w:val="center"/>
          </w:tcPr>
          <w:p>
            <w:pPr>
              <w:autoSpaceDE w:val="0"/>
              <w:autoSpaceDN w:val="0"/>
              <w:adjustRightInd w:val="0"/>
              <w:spacing w:line="420" w:lineRule="exact"/>
              <w:jc w:val="left"/>
              <w:rPr>
                <w:rFonts w:hAnsi="宋体" w:cs="TimesNewRomanPSMT"/>
                <w:sz w:val="24"/>
                <w:szCs w:val="22"/>
                <w:highlight w:val="red"/>
              </w:rPr>
            </w:pPr>
            <w:r>
              <w:rPr>
                <w:rFonts w:hint="eastAsia" w:hAnsi="宋体" w:cs="TimesNewRomanPSMT"/>
                <w:sz w:val="24"/>
                <w:szCs w:val="22"/>
              </w:rPr>
              <w:t>指201</w:t>
            </w:r>
            <w:r>
              <w:rPr>
                <w:rFonts w:hint="eastAsia" w:hAnsi="宋体" w:cs="TimesNewRomanPSMT"/>
                <w:sz w:val="24"/>
                <w:szCs w:val="22"/>
                <w:lang w:val="en-US" w:eastAsia="zh-CN"/>
              </w:rPr>
              <w:t>7</w:t>
            </w:r>
            <w:r>
              <w:rPr>
                <w:rFonts w:hint="eastAsia" w:hAnsi="宋体" w:cs="TimesNewRomanPSMT"/>
                <w:sz w:val="24"/>
                <w:szCs w:val="22"/>
              </w:rPr>
              <w:t>年1月1日以来承接过的市政公用工程。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9874" w:type="dxa"/>
            <w:gridSpan w:val="6"/>
            <w:vAlign w:val="center"/>
          </w:tcPr>
          <w:p>
            <w:pPr>
              <w:autoSpaceDE w:val="0"/>
              <w:autoSpaceDN w:val="0"/>
              <w:adjustRightInd w:val="0"/>
              <w:spacing w:line="420" w:lineRule="exact"/>
              <w:jc w:val="left"/>
              <w:rPr>
                <w:rFonts w:hAnsi="宋体" w:cs="仿宋_GB2312"/>
                <w:sz w:val="24"/>
              </w:rPr>
            </w:pPr>
            <w:r>
              <w:rPr>
                <w:rFonts w:hint="eastAsia" w:hAnsi="宋体" w:cs="TimesNewRomanPSMT"/>
                <w:sz w:val="24"/>
              </w:rPr>
              <w:t>10.2招标控制价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5" w:hRule="atLeast"/>
          <w:jc w:val="center"/>
        </w:trPr>
        <w:tc>
          <w:tcPr>
            <w:tcW w:w="1077" w:type="dxa"/>
            <w:gridSpan w:val="2"/>
            <w:vAlign w:val="center"/>
          </w:tcPr>
          <w:p>
            <w:pPr>
              <w:autoSpaceDE w:val="0"/>
              <w:autoSpaceDN w:val="0"/>
              <w:adjustRightInd w:val="0"/>
              <w:spacing w:line="420" w:lineRule="exact"/>
              <w:jc w:val="center"/>
              <w:rPr>
                <w:rFonts w:hAnsi="宋体" w:cs="TimesNewRomanPSMT"/>
                <w:sz w:val="24"/>
              </w:rPr>
            </w:pPr>
            <w:r>
              <w:rPr>
                <w:rFonts w:hint="eastAsia" w:hAnsi="宋体" w:cs="TimesNewRomanPSMT"/>
                <w:sz w:val="24"/>
              </w:rPr>
              <w:t>10.2.1</w:t>
            </w:r>
          </w:p>
        </w:tc>
        <w:tc>
          <w:tcPr>
            <w:tcW w:w="1571" w:type="dxa"/>
            <w:vAlign w:val="center"/>
          </w:tcPr>
          <w:p>
            <w:pPr>
              <w:autoSpaceDE w:val="0"/>
              <w:autoSpaceDN w:val="0"/>
              <w:adjustRightInd w:val="0"/>
              <w:spacing w:line="420" w:lineRule="exact"/>
              <w:jc w:val="center"/>
              <w:rPr>
                <w:rFonts w:hAnsi="宋体" w:cs="TimesNewRomanPSMT"/>
                <w:sz w:val="24"/>
              </w:rPr>
            </w:pPr>
            <w:r>
              <w:rPr>
                <w:rFonts w:hint="eastAsia" w:ascii="新宋体" w:hAnsi="新宋体" w:eastAsia="新宋体"/>
                <w:b/>
                <w:sz w:val="24"/>
              </w:rPr>
              <w:t>招标控制价</w:t>
            </w:r>
          </w:p>
        </w:tc>
        <w:tc>
          <w:tcPr>
            <w:tcW w:w="7226" w:type="dxa"/>
            <w:gridSpan w:val="3"/>
            <w:vAlign w:val="center"/>
          </w:tcPr>
          <w:p>
            <w:pPr>
              <w:keepNext/>
              <w:spacing w:line="276" w:lineRule="auto"/>
              <w:rPr>
                <w:rFonts w:hAnsi="宋体" w:cs="宋体"/>
                <w:sz w:val="24"/>
              </w:rPr>
            </w:pPr>
            <w:r>
              <w:rPr>
                <w:rFonts w:hint="eastAsia" w:hAnsi="宋体" w:cs="宋体"/>
                <w:sz w:val="24"/>
              </w:rPr>
              <w:t>本工程设招标控制价：</w:t>
            </w:r>
          </w:p>
          <w:p>
            <w:pPr>
              <w:keepNext/>
              <w:spacing w:line="276" w:lineRule="auto"/>
              <w:rPr>
                <w:rFonts w:hint="eastAsia" w:hAnsi="宋体" w:eastAsia="宋体" w:cs="宋体"/>
                <w:sz w:val="24"/>
                <w:szCs w:val="22"/>
                <w:lang w:eastAsia="zh-CN"/>
              </w:rPr>
            </w:pPr>
            <w:r>
              <w:rPr>
                <w:rFonts w:hint="eastAsia" w:hAnsi="宋体" w:cs="宋体"/>
                <w:sz w:val="24"/>
                <w:szCs w:val="22"/>
              </w:rPr>
              <w:t>大写：</w:t>
            </w:r>
            <w:r>
              <w:rPr>
                <w:rFonts w:hint="eastAsia" w:hAnsi="宋体" w:cs="宋体"/>
                <w:sz w:val="24"/>
                <w:szCs w:val="22"/>
                <w:lang w:eastAsia="zh-CN"/>
              </w:rPr>
              <w:t>肆佰壹拾捌万壹仟柒佰壹拾柒元整</w:t>
            </w:r>
          </w:p>
          <w:p>
            <w:pPr>
              <w:keepNext/>
              <w:spacing w:line="276" w:lineRule="auto"/>
              <w:rPr>
                <w:rFonts w:hAnsi="宋体" w:cs="宋体"/>
                <w:sz w:val="24"/>
                <w:szCs w:val="22"/>
              </w:rPr>
            </w:pPr>
            <w:r>
              <w:rPr>
                <w:rFonts w:hint="eastAsia" w:hAnsi="宋体" w:cs="宋体"/>
                <w:sz w:val="24"/>
                <w:szCs w:val="22"/>
              </w:rPr>
              <w:t>小写：</w:t>
            </w:r>
            <w:r>
              <w:rPr>
                <w:rFonts w:hint="eastAsia" w:hAnsi="宋体" w:cs="宋体"/>
                <w:sz w:val="24"/>
                <w:szCs w:val="22"/>
                <w:lang w:val="en-US" w:eastAsia="zh-CN"/>
              </w:rPr>
              <w:t>4181717</w:t>
            </w:r>
            <w:r>
              <w:rPr>
                <w:rFonts w:hint="eastAsia" w:hAnsi="宋体" w:cs="宋体"/>
                <w:sz w:val="24"/>
                <w:szCs w:val="22"/>
              </w:rPr>
              <w:t>元</w:t>
            </w:r>
          </w:p>
          <w:p>
            <w:pPr>
              <w:rPr>
                <w:rFonts w:hAnsi="宋体" w:cs="TimesNewRomanPSMT"/>
                <w:sz w:val="24"/>
              </w:rPr>
            </w:pPr>
            <w:r>
              <w:rPr>
                <w:rFonts w:hint="eastAsia" w:ascii="新宋体" w:hAnsi="新宋体" w:eastAsia="新宋体"/>
                <w:b/>
                <w:sz w:val="24"/>
              </w:rPr>
              <w:t>凡投标人的投标报价高于招标控制价（不含等于“招标控制价”）的，该投标人的投标文件应予拒绝。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sz w:val="24"/>
              </w:rPr>
              <w:t>10.3“</w:t>
            </w:r>
            <w:r>
              <w:rPr>
                <w:rFonts w:hint="eastAsia" w:hAnsi="宋体" w:cs="宋体"/>
                <w:sz w:val="24"/>
              </w:rPr>
              <w:t>暗标</w:t>
            </w:r>
            <w:r>
              <w:rPr>
                <w:rFonts w:ascii="Times New Roman"/>
                <w:sz w:val="24"/>
              </w:rPr>
              <w:t>”</w:t>
            </w:r>
            <w:r>
              <w:rPr>
                <w:rFonts w:hint="eastAsia" w:hAnsi="宋体" w:cs="宋体"/>
                <w:sz w:val="24"/>
              </w:rPr>
              <w:t>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77" w:type="dxa"/>
            <w:gridSpan w:val="2"/>
            <w:vAlign w:val="center"/>
          </w:tcPr>
          <w:p>
            <w:pPr>
              <w:spacing w:line="312" w:lineRule="auto"/>
              <w:rPr>
                <w:sz w:val="24"/>
              </w:rPr>
            </w:pPr>
          </w:p>
        </w:tc>
        <w:tc>
          <w:tcPr>
            <w:tcW w:w="3037" w:type="dxa"/>
            <w:gridSpan w:val="3"/>
            <w:vAlign w:val="center"/>
          </w:tcPr>
          <w:p>
            <w:pPr>
              <w:spacing w:line="260" w:lineRule="exact"/>
              <w:jc w:val="center"/>
              <w:rPr>
                <w:sz w:val="24"/>
              </w:rPr>
            </w:pPr>
            <w:r>
              <w:rPr>
                <w:rFonts w:hint="eastAsia" w:hAnsi="宋体" w:cs="宋体"/>
                <w:sz w:val="24"/>
              </w:rPr>
              <w:t>技术标是否采用</w:t>
            </w:r>
            <w:r>
              <w:rPr>
                <w:rFonts w:ascii="Times New Roman"/>
                <w:sz w:val="24"/>
              </w:rPr>
              <w:t>“</w:t>
            </w:r>
            <w:r>
              <w:rPr>
                <w:rFonts w:hint="eastAsia" w:hAnsi="宋体" w:cs="宋体"/>
                <w:sz w:val="24"/>
              </w:rPr>
              <w:t>暗标</w:t>
            </w:r>
            <w:r>
              <w:rPr>
                <w:rFonts w:ascii="Times New Roman"/>
                <w:sz w:val="24"/>
              </w:rPr>
              <w:t>”</w:t>
            </w:r>
            <w:r>
              <w:rPr>
                <w:rFonts w:hint="eastAsia" w:hAnsi="宋体" w:cs="宋体"/>
                <w:sz w:val="24"/>
              </w:rPr>
              <w:t>评审方式</w:t>
            </w:r>
          </w:p>
        </w:tc>
        <w:tc>
          <w:tcPr>
            <w:tcW w:w="5760" w:type="dxa"/>
            <w:vAlign w:val="center"/>
          </w:tcPr>
          <w:p>
            <w:pPr>
              <w:spacing w:line="312" w:lineRule="auto"/>
              <w:rPr>
                <w:sz w:val="24"/>
              </w:rPr>
            </w:pPr>
            <w:r>
              <w:rPr>
                <w:rFonts w:hint="eastAsia" w:hAnsi="宋体" w:cs="宋体"/>
                <w:sz w:val="24"/>
              </w:rPr>
              <w:t>不采用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ind w:left="240" w:hanging="240" w:hangingChars="100"/>
              <w:rPr>
                <w:sz w:val="24"/>
              </w:rPr>
            </w:pPr>
            <w:r>
              <w:rPr>
                <w:rFonts w:hint="eastAsia"/>
                <w:sz w:val="24"/>
              </w:rPr>
              <w:t>10.4</w:t>
            </w:r>
            <w:r>
              <w:rPr>
                <w:rFonts w:hint="eastAsia" w:hAnsi="宋体" w:cs="宋体"/>
                <w:sz w:val="24"/>
              </w:rPr>
              <w:t>投标人代表出席开标会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1077" w:type="dxa"/>
            <w:gridSpan w:val="2"/>
            <w:vAlign w:val="center"/>
          </w:tcPr>
          <w:p>
            <w:pPr>
              <w:spacing w:line="312" w:lineRule="auto"/>
              <w:rPr>
                <w:rFonts w:ascii="新宋体" w:hAnsi="新宋体" w:eastAsia="新宋体"/>
                <w:b/>
                <w:sz w:val="24"/>
              </w:rPr>
            </w:pPr>
          </w:p>
        </w:tc>
        <w:tc>
          <w:tcPr>
            <w:tcW w:w="8797" w:type="dxa"/>
            <w:gridSpan w:val="4"/>
            <w:vAlign w:val="center"/>
          </w:tcPr>
          <w:p>
            <w:pPr>
              <w:spacing w:line="312" w:lineRule="auto"/>
              <w:rPr>
                <w:rFonts w:ascii="新宋体" w:hAnsi="新宋体" w:eastAsia="新宋体"/>
                <w:b/>
                <w:sz w:val="24"/>
              </w:rPr>
            </w:pPr>
            <w:r>
              <w:rPr>
                <w:rFonts w:hint="eastAsia" w:ascii="新宋体" w:hAnsi="新宋体" w:eastAsia="新宋体"/>
                <w:b/>
                <w:sz w:val="24"/>
              </w:rPr>
              <w:t>开标时各投标人的法定代表人或授权委托人持身份证及授权委托书，到开标现场签到，缺席或逾期不到者视为放弃。各投标单位参加会议人数不得多于三人。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rPr>
                <w:sz w:val="24"/>
              </w:rPr>
            </w:pPr>
            <w:r>
              <w:rPr>
                <w:rFonts w:hint="eastAsia"/>
                <w:sz w:val="24"/>
              </w:rPr>
              <w:t>10.5</w:t>
            </w:r>
            <w:r>
              <w:rPr>
                <w:rFonts w:hint="eastAsia" w:hAnsi="宋体" w:cs="宋体"/>
                <w:sz w:val="24"/>
              </w:rPr>
              <w:t>中标公示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9" w:hRule="atLeast"/>
          <w:jc w:val="center"/>
        </w:trPr>
        <w:tc>
          <w:tcPr>
            <w:tcW w:w="1077" w:type="dxa"/>
            <w:gridSpan w:val="2"/>
            <w:vAlign w:val="center"/>
          </w:tcPr>
          <w:p>
            <w:pPr>
              <w:spacing w:line="312" w:lineRule="auto"/>
              <w:rPr>
                <w:sz w:val="24"/>
              </w:rPr>
            </w:pPr>
          </w:p>
        </w:tc>
        <w:tc>
          <w:tcPr>
            <w:tcW w:w="8797" w:type="dxa"/>
            <w:gridSpan w:val="4"/>
            <w:vAlign w:val="center"/>
          </w:tcPr>
          <w:p>
            <w:pPr>
              <w:spacing w:line="440" w:lineRule="exact"/>
              <w:rPr>
                <w:rFonts w:ascii="新宋体" w:hAnsi="新宋体"/>
                <w:b/>
                <w:sz w:val="24"/>
              </w:rPr>
            </w:pPr>
            <w:r>
              <w:rPr>
                <w:rFonts w:hint="eastAsia" w:hAnsi="宋体" w:cs="仿宋_GB2312"/>
                <w:sz w:val="24"/>
              </w:rPr>
              <w:t>在中标通知书发出前，招标人将中标候选人的情况在《全国公共资源交易平台(河南省▪许昌市)》、《河南省电子招标投标公共服务平台》予以公示，公示期不少于3日。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10.6 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sz w:val="24"/>
              </w:rPr>
            </w:pPr>
            <w:r>
              <w:rPr>
                <w:rFonts w:hint="eastAsia" w:ascii="新宋体" w:hAnsi="新宋体" w:eastAsia="新宋体"/>
                <w:sz w:val="24"/>
              </w:rPr>
              <w:t>10.7重新招标的其他情形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rFonts w:ascii="新宋体" w:hAnsi="新宋体" w:eastAsia="新宋体"/>
                <w:sz w:val="24"/>
              </w:rPr>
            </w:pPr>
          </w:p>
        </w:tc>
        <w:tc>
          <w:tcPr>
            <w:tcW w:w="8797" w:type="dxa"/>
            <w:gridSpan w:val="4"/>
            <w:vAlign w:val="center"/>
          </w:tcPr>
          <w:p>
            <w:pPr>
              <w:spacing w:line="312" w:lineRule="auto"/>
              <w:rPr>
                <w:rFonts w:ascii="新宋体" w:hAnsi="新宋体" w:eastAsia="新宋体"/>
                <w:sz w:val="24"/>
              </w:rPr>
            </w:pPr>
            <w:r>
              <w:rPr>
                <w:rFonts w:hint="eastAsia" w:ascii="新宋体" w:hAnsi="新宋体" w:eastAsia="新宋体"/>
                <w:sz w:val="24"/>
              </w:rPr>
              <w:t>除投标人须知正文第8条规定的情形外，除非已经产生中标候选人，在投标有效期内同意延长投标有效期的投标人少于三个的，招标人应当依法重新招标。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 w:hRule="atLeast"/>
          <w:jc w:val="center"/>
        </w:trPr>
        <w:tc>
          <w:tcPr>
            <w:tcW w:w="9874" w:type="dxa"/>
            <w:gridSpan w:val="6"/>
            <w:vAlign w:val="center"/>
          </w:tcPr>
          <w:p>
            <w:pPr>
              <w:spacing w:line="312" w:lineRule="auto"/>
              <w:rPr>
                <w:rFonts w:ascii="新宋体" w:hAnsi="新宋体" w:eastAsia="新宋体"/>
                <w:sz w:val="24"/>
              </w:rPr>
            </w:pPr>
            <w:r>
              <w:rPr>
                <w:rFonts w:hint="eastAsia" w:ascii="新宋体" w:hAnsi="新宋体" w:eastAsia="新宋体"/>
                <w:sz w:val="24"/>
              </w:rPr>
              <w:t>10.8 同义词语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1"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构成投标文件组成部分的“通用合同条款”、“专用合同条款”、“技术标准和要求”和“工程量清单”等章节中出现的措辞“发包人”和“承包人”，在招标投标阶段应当分别按“招标人”和“投标人”进行理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jc w:val="center"/>
        </w:trPr>
        <w:tc>
          <w:tcPr>
            <w:tcW w:w="9874" w:type="dxa"/>
            <w:gridSpan w:val="6"/>
            <w:vAlign w:val="center"/>
          </w:tcPr>
          <w:p>
            <w:pPr>
              <w:spacing w:line="360" w:lineRule="auto"/>
              <w:rPr>
                <w:rFonts w:ascii="新宋体" w:hAnsi="新宋体" w:eastAsia="新宋体"/>
                <w:sz w:val="24"/>
              </w:rPr>
            </w:pPr>
            <w:r>
              <w:rPr>
                <w:rFonts w:hint="eastAsia" w:ascii="新宋体" w:hAnsi="新宋体" w:eastAsia="新宋体"/>
                <w:sz w:val="24"/>
              </w:rPr>
              <w:t>10.9监  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0" w:hRule="atLeast"/>
          <w:jc w:val="center"/>
        </w:trPr>
        <w:tc>
          <w:tcPr>
            <w:tcW w:w="1077" w:type="dxa"/>
            <w:gridSpan w:val="2"/>
            <w:vAlign w:val="center"/>
          </w:tcPr>
          <w:p>
            <w:pPr>
              <w:spacing w:line="312" w:lineRule="auto"/>
              <w:rPr>
                <w:sz w:val="24"/>
              </w:rPr>
            </w:pPr>
          </w:p>
        </w:tc>
        <w:tc>
          <w:tcPr>
            <w:tcW w:w="8797" w:type="dxa"/>
            <w:gridSpan w:val="4"/>
            <w:vAlign w:val="center"/>
          </w:tcPr>
          <w:p>
            <w:pPr>
              <w:spacing w:line="360" w:lineRule="auto"/>
              <w:rPr>
                <w:rFonts w:ascii="新宋体" w:hAnsi="新宋体" w:eastAsia="新宋体"/>
                <w:sz w:val="24"/>
              </w:rPr>
            </w:pPr>
            <w:r>
              <w:rPr>
                <w:rFonts w:hint="eastAsia" w:ascii="新宋体" w:hAnsi="新宋体" w:eastAsia="新宋体"/>
                <w:sz w:val="24"/>
              </w:rPr>
              <w:t>本项目的招标投标活动及其相关当事人应当接受有管辖权的建设工程招标投标行政监督部门依法实施的监督。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spacing w:line="312" w:lineRule="auto"/>
              <w:rPr>
                <w:rFonts w:ascii="新宋体" w:hAnsi="新宋体" w:eastAsia="新宋体"/>
                <w:sz w:val="24"/>
              </w:rPr>
            </w:pPr>
            <w:r>
              <w:rPr>
                <w:rFonts w:hint="eastAsia" w:hAnsi="宋体" w:cs="仿宋_GB2312"/>
                <w:sz w:val="24"/>
              </w:rPr>
              <w:t>10.10 解释权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djustRightInd w:val="0"/>
              <w:snapToGrid w:val="0"/>
              <w:spacing w:line="420" w:lineRule="exact"/>
              <w:rPr>
                <w:rFonts w:hAnsi="宋体" w:cs="仿宋_GB2312"/>
                <w:sz w:val="24"/>
              </w:rPr>
            </w:pPr>
            <w:r>
              <w:rPr>
                <w:rFonts w:hint="eastAsia" w:hAnsi="宋体" w:cs="仿宋_GB2312"/>
                <w:sz w:val="24"/>
              </w:rPr>
              <w:t>构成本招标文件的各个组成文件应互为解释，互为说明；</w:t>
            </w:r>
          </w:p>
          <w:p>
            <w:pPr>
              <w:adjustRightInd w:val="0"/>
              <w:snapToGrid w:val="0"/>
              <w:spacing w:line="420" w:lineRule="exact"/>
              <w:rPr>
                <w:rFonts w:ascii="新宋体" w:hAnsi="新宋体" w:eastAsia="新宋体"/>
                <w:sz w:val="24"/>
              </w:rPr>
            </w:pPr>
            <w:r>
              <w:rPr>
                <w:rFonts w:hint="eastAsia" w:ascii="新宋体" w:hAnsi="新宋体" w:eastAsia="新宋体"/>
                <w:sz w:val="24"/>
              </w:rPr>
              <w:t>1、如有不明确或不一致，构成合同文件组成内容，以合同文件约定内容为准，且以专用合同条款约定的合同文件优先顺序解释；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2、除招标文件中有特别规定外，仅适用于招标投标阶段的规定，按招标公告（投标邀请书）、投标人须知、评标办法、投标文件格式的先后顺序解释；</w:t>
            </w:r>
          </w:p>
          <w:p>
            <w:pPr>
              <w:adjustRightInd w:val="0"/>
              <w:snapToGrid w:val="0"/>
              <w:spacing w:line="420" w:lineRule="exact"/>
              <w:rPr>
                <w:rFonts w:ascii="新宋体" w:hAnsi="新宋体" w:eastAsia="新宋体"/>
                <w:sz w:val="24"/>
              </w:rPr>
            </w:pPr>
            <w:r>
              <w:rPr>
                <w:rFonts w:hint="eastAsia" w:ascii="新宋体" w:hAnsi="新宋体" w:eastAsia="新宋体"/>
                <w:sz w:val="24"/>
              </w:rPr>
              <w:t>3、同一组成文件中就同一事项的规定或约定不一致的，以编排顺序在后者为准；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4、同一组成文件不同版本之间有不一致的，以形成时间在后者为准。</w:t>
            </w:r>
          </w:p>
          <w:p>
            <w:pPr>
              <w:adjustRightInd w:val="0"/>
              <w:snapToGrid w:val="0"/>
              <w:spacing w:line="420" w:lineRule="exact"/>
              <w:rPr>
                <w:rFonts w:ascii="新宋体" w:hAnsi="新宋体" w:eastAsia="新宋体"/>
                <w:sz w:val="24"/>
              </w:rPr>
            </w:pPr>
            <w:r>
              <w:rPr>
                <w:rFonts w:hint="eastAsia" w:ascii="新宋体" w:hAnsi="新宋体" w:eastAsia="新宋体"/>
                <w:sz w:val="24"/>
              </w:rPr>
              <w:t>按本款前述规定仍不能形成结论的，由招标人负</w:t>
            </w:r>
            <w:r>
              <w:rPr>
                <w:rFonts w:hint="eastAsia" w:hAnsi="宋体" w:cs="仿宋_GB2312"/>
                <w:sz w:val="24"/>
              </w:rPr>
              <w:t>责解释。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1" w:hRule="atLeast"/>
          <w:jc w:val="center"/>
        </w:trPr>
        <w:tc>
          <w:tcPr>
            <w:tcW w:w="9874" w:type="dxa"/>
            <w:gridSpan w:val="6"/>
            <w:vAlign w:val="center"/>
          </w:tcPr>
          <w:p>
            <w:pPr>
              <w:adjustRightInd w:val="0"/>
              <w:snapToGrid w:val="0"/>
              <w:spacing w:line="420" w:lineRule="exact"/>
              <w:rPr>
                <w:rFonts w:hAnsi="宋体" w:cs="仿宋_GB2312"/>
                <w:b/>
                <w:sz w:val="24"/>
              </w:rPr>
            </w:pPr>
            <w:r>
              <w:rPr>
                <w:rFonts w:hint="eastAsia" w:hAnsi="宋体" w:cs="仿宋_GB2312"/>
                <w:b/>
                <w:sz w:val="24"/>
              </w:rPr>
              <w:t>10.11招标人补充的其他内容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djustRightInd w:val="0"/>
              <w:snapToGrid w:val="0"/>
              <w:spacing w:line="420" w:lineRule="exact"/>
              <w:rPr>
                <w:rFonts w:hAnsi="宋体" w:cs="仿宋_GB2312"/>
                <w:sz w:val="24"/>
              </w:rPr>
            </w:pPr>
            <w:bookmarkStart w:id="5" w:name="_Toc283559965"/>
            <w:bookmarkStart w:id="6" w:name="_Toc225243456"/>
            <w:r>
              <w:rPr>
                <w:rFonts w:hint="eastAsia" w:hAnsi="宋体" w:cs="宋体"/>
                <w:sz w:val="24"/>
              </w:rPr>
              <w:t>10.11.1 投标文件的拒收</w:t>
            </w:r>
            <w:bookmarkEnd w:id="5"/>
            <w:bookmarkEnd w:id="6"/>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1、逾期送达的或者未送达指定地点的电子投标文件；</w:t>
            </w:r>
          </w:p>
          <w:p>
            <w:pPr>
              <w:autoSpaceDE w:val="0"/>
              <w:autoSpaceDN w:val="0"/>
              <w:spacing w:line="440" w:lineRule="exact"/>
              <w:jc w:val="left"/>
              <w:outlineLvl w:val="0"/>
              <w:rPr>
                <w:rFonts w:hAnsi="宋体" w:cs="宋体"/>
                <w:sz w:val="24"/>
              </w:rPr>
            </w:pPr>
            <w:r>
              <w:rPr>
                <w:rFonts w:hint="eastAsia" w:hAnsi="宋体" w:cs="宋体"/>
                <w:sz w:val="24"/>
              </w:rPr>
              <w:t>2、电子介质存储的投标文件未按招标文件要求密封的；</w:t>
            </w:r>
          </w:p>
          <w:p>
            <w:pPr>
              <w:autoSpaceDE w:val="0"/>
              <w:autoSpaceDN w:val="0"/>
              <w:spacing w:line="440" w:lineRule="exact"/>
              <w:jc w:val="left"/>
              <w:outlineLvl w:val="0"/>
              <w:rPr>
                <w:rFonts w:hAnsi="宋体" w:cs="宋体"/>
                <w:sz w:val="24"/>
              </w:rPr>
            </w:pPr>
            <w:r>
              <w:rPr>
                <w:rFonts w:hint="eastAsia" w:hAnsi="宋体" w:cs="宋体"/>
                <w:sz w:val="24"/>
              </w:rPr>
              <w:t>3、未按招标文件要求缴纳投标保证金的；</w:t>
            </w:r>
          </w:p>
          <w:p>
            <w:pPr>
              <w:autoSpaceDE w:val="0"/>
              <w:autoSpaceDN w:val="0"/>
              <w:spacing w:line="440" w:lineRule="exact"/>
              <w:jc w:val="left"/>
              <w:outlineLvl w:val="0"/>
              <w:rPr>
                <w:rFonts w:hAnsi="宋体" w:cs="仿宋_GB2312"/>
                <w:sz w:val="24"/>
              </w:rPr>
            </w:pPr>
            <w:r>
              <w:rPr>
                <w:rFonts w:hint="eastAsia" w:hAnsi="宋体" w:cs="宋体"/>
                <w:sz w:val="24"/>
              </w:rPr>
              <w:t>4、开标时法人或授权委托人（持有效的授权委托书）未携带本人身份证到开标现场并签到的；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9874" w:type="dxa"/>
            <w:gridSpan w:val="6"/>
            <w:vAlign w:val="center"/>
          </w:tcPr>
          <w:p>
            <w:pPr>
              <w:autoSpaceDE w:val="0"/>
              <w:autoSpaceDN w:val="0"/>
              <w:adjustRightInd w:val="0"/>
              <w:snapToGrid w:val="0"/>
              <w:spacing w:line="420" w:lineRule="exact"/>
              <w:jc w:val="left"/>
              <w:outlineLvl w:val="0"/>
              <w:rPr>
                <w:rFonts w:hAnsi="宋体" w:cs="仿宋_GB2312"/>
                <w:sz w:val="24"/>
              </w:rPr>
            </w:pPr>
            <w:r>
              <w:rPr>
                <w:rFonts w:hint="eastAsia" w:hAnsi="宋体" w:cs="宋体"/>
                <w:b/>
                <w:bCs/>
                <w:sz w:val="24"/>
              </w:rPr>
              <w:t>10.12 特别提示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 w:hRule="atLeast"/>
          <w:jc w:val="center"/>
        </w:trPr>
        <w:tc>
          <w:tcPr>
            <w:tcW w:w="1077" w:type="dxa"/>
            <w:gridSpan w:val="2"/>
            <w:vAlign w:val="center"/>
          </w:tcPr>
          <w:p>
            <w:pPr>
              <w:spacing w:line="312" w:lineRule="auto"/>
              <w:rPr>
                <w:sz w:val="24"/>
              </w:rPr>
            </w:pPr>
            <w:r>
              <w:rPr>
                <w:rFonts w:hint="eastAsia"/>
                <w:sz w:val="24"/>
              </w:rPr>
              <w:t xml:space="preserve"> </w:t>
            </w:r>
          </w:p>
        </w:tc>
        <w:tc>
          <w:tcPr>
            <w:tcW w:w="8797" w:type="dxa"/>
            <w:gridSpan w:val="4"/>
            <w:vAlign w:val="center"/>
          </w:tcPr>
          <w:p>
            <w:pPr>
              <w:autoSpaceDE w:val="0"/>
              <w:autoSpaceDN w:val="0"/>
              <w:spacing w:line="440" w:lineRule="exact"/>
              <w:jc w:val="left"/>
              <w:outlineLvl w:val="0"/>
              <w:rPr>
                <w:rFonts w:hAnsi="宋体" w:cs="宋体"/>
                <w:sz w:val="24"/>
              </w:rPr>
            </w:pPr>
            <w:r>
              <w:rPr>
                <w:rFonts w:hint="eastAsia" w:hAnsi="宋体" w:cs="宋体"/>
                <w:sz w:val="24"/>
              </w:rPr>
              <w:t>1、潜在投标人应仔细阅读招标文件、工程量清单，若发现工程量清单中项目特征描述错误等或工程量清单与图纸存在差异，请在规定时间内在《全国公共资源交易平台（河南省·许昌市）》公共资源交易系统中提出。若投标人未提出异议，视为投标总价已经包含了为完成图纸对应工程总量的全部工程价款，即便项目实施过程中发现招标工程量清单存在错项、漏项，竣工结算不再调整。因招标工程量清单错项、漏项导致中标工程竣工工程量与施工图纸不一致的，应由承包人承担相应的价款风险。</w:t>
            </w:r>
          </w:p>
          <w:p>
            <w:pPr>
              <w:autoSpaceDE w:val="0"/>
              <w:autoSpaceDN w:val="0"/>
              <w:spacing w:line="440" w:lineRule="exact"/>
              <w:jc w:val="left"/>
              <w:outlineLvl w:val="0"/>
              <w:rPr>
                <w:rFonts w:hAnsi="宋体" w:cs="宋体"/>
                <w:sz w:val="24"/>
              </w:rPr>
            </w:pPr>
            <w:r>
              <w:rPr>
                <w:rFonts w:hint="eastAsia" w:hAnsi="宋体" w:cs="宋体"/>
                <w:sz w:val="24"/>
              </w:rPr>
              <w:t>2、潜在投标人如对招标文件有异议，请在规定时间内在《全国公共资源交易平台（河南省·许昌市）》公共资源交易系统中提出，以其他方式递交的异议不予接受。</w:t>
            </w:r>
          </w:p>
          <w:p>
            <w:pPr>
              <w:autoSpaceDE w:val="0"/>
              <w:autoSpaceDN w:val="0"/>
              <w:spacing w:line="440" w:lineRule="exact"/>
              <w:jc w:val="left"/>
              <w:outlineLvl w:val="0"/>
              <w:rPr>
                <w:rFonts w:hAnsi="宋体" w:cs="宋体"/>
                <w:sz w:val="24"/>
              </w:rPr>
            </w:pPr>
            <w:r>
              <w:rPr>
                <w:rFonts w:hint="eastAsia" w:hAnsi="宋体" w:cs="宋体"/>
                <w:sz w:val="24"/>
              </w:rPr>
              <w:t>3、投标人在投标截止时间前应随时关注《全国公共资源交易平台（河南省·许昌市）》公共资源交易系统发出的有关本项目的答疑、修改等相关内容。</w:t>
            </w:r>
          </w:p>
          <w:p>
            <w:pPr>
              <w:autoSpaceDE w:val="0"/>
              <w:autoSpaceDN w:val="0"/>
              <w:spacing w:line="440" w:lineRule="exact"/>
              <w:jc w:val="left"/>
              <w:outlineLvl w:val="0"/>
              <w:rPr>
                <w:rFonts w:ascii="新宋体" w:hAnsi="新宋体" w:eastAsia="新宋体"/>
                <w:sz w:val="24"/>
              </w:rPr>
            </w:pPr>
            <w:r>
              <w:rPr>
                <w:rFonts w:hint="eastAsia" w:hAnsi="宋体" w:cs="宋体"/>
                <w:sz w:val="24"/>
              </w:rPr>
              <w:t>4、</w:t>
            </w:r>
            <w:r>
              <w:rPr>
                <w:rFonts w:hint="eastAsia" w:ascii="新宋体" w:hAnsi="新宋体" w:eastAsia="新宋体"/>
                <w:sz w:val="24"/>
              </w:rPr>
              <w:t>本项目试行全流程电子化交易，如因交易系统异常情况无法完成，将以人工方式进行。</w:t>
            </w:r>
          </w:p>
          <w:p>
            <w:pPr>
              <w:autoSpaceDE w:val="0"/>
              <w:autoSpaceDN w:val="0"/>
              <w:spacing w:line="440" w:lineRule="exact"/>
              <w:jc w:val="left"/>
              <w:outlineLvl w:val="0"/>
              <w:rPr>
                <w:rFonts w:hAnsi="宋体" w:cs="宋体"/>
                <w:sz w:val="24"/>
              </w:rPr>
            </w:pPr>
            <w:r>
              <w:rPr>
                <w:rFonts w:hint="eastAsia" w:hAnsi="宋体" w:cs="宋体"/>
                <w:sz w:val="24"/>
              </w:rPr>
              <w:t>5、投标文件依据最终的招标文件进行编制。如果招标文件发生变更，投标人应以招标人最终发出的电子招标文件为准，编制投标文件，务请投标人随时关注项目变更信息。</w:t>
            </w:r>
          </w:p>
          <w:p>
            <w:pPr>
              <w:tabs>
                <w:tab w:val="left" w:pos="7095"/>
              </w:tabs>
              <w:spacing w:line="360" w:lineRule="auto"/>
              <w:rPr>
                <w:rFonts w:hAnsi="宋体" w:cs="宋体"/>
                <w:sz w:val="24"/>
              </w:rPr>
            </w:pPr>
            <w:r>
              <w:rPr>
                <w:rFonts w:hint="eastAsia" w:hAnsi="宋体" w:cs="宋体"/>
                <w:sz w:val="24"/>
              </w:rPr>
              <w:t>6、投标人电子投标文件成功提交后，应打印“投标文件提交回执单”，供开标现场备查。</w:t>
            </w:r>
          </w:p>
          <w:p>
            <w:pPr>
              <w:autoSpaceDE w:val="0"/>
              <w:autoSpaceDN w:val="0"/>
              <w:spacing w:line="440" w:lineRule="exact"/>
              <w:jc w:val="left"/>
              <w:outlineLvl w:val="0"/>
              <w:rPr>
                <w:rFonts w:hAnsi="宋体" w:cs="宋体"/>
                <w:sz w:val="24"/>
              </w:rPr>
            </w:pPr>
            <w:r>
              <w:rPr>
                <w:rFonts w:hint="eastAsia" w:hAnsi="宋体" w:cs="宋体"/>
                <w:sz w:val="24"/>
              </w:rPr>
              <w:t>7、商务标投标文件制作注意事项：</w:t>
            </w:r>
          </w:p>
          <w:p>
            <w:pPr>
              <w:autoSpaceDE w:val="0"/>
              <w:autoSpaceDN w:val="0"/>
              <w:spacing w:line="440" w:lineRule="exact"/>
              <w:jc w:val="left"/>
              <w:outlineLvl w:val="0"/>
              <w:rPr>
                <w:rFonts w:hAnsi="宋体" w:cs="宋体"/>
                <w:sz w:val="24"/>
              </w:rPr>
            </w:pPr>
            <w:r>
              <w:rPr>
                <w:rFonts w:hint="eastAsia" w:hAnsi="宋体" w:cs="宋体"/>
                <w:sz w:val="24"/>
              </w:rPr>
              <w:t>7.1 投标人登录《全国公共资源交易平台（河南省·许昌市）》公共资源交易系统下载“许昌投标文件制作系统SEARUN V1.1” 和操作手册（工程项目），按招标文件要求制作商务标投标文件。</w:t>
            </w:r>
          </w:p>
          <w:p>
            <w:pPr>
              <w:autoSpaceDE w:val="0"/>
              <w:autoSpaceDN w:val="0"/>
              <w:adjustRightInd w:val="0"/>
              <w:snapToGrid w:val="0"/>
              <w:spacing w:line="420" w:lineRule="exact"/>
              <w:jc w:val="left"/>
              <w:outlineLvl w:val="0"/>
              <w:rPr>
                <w:rFonts w:hAnsi="宋体" w:cs="仿宋_GB2312"/>
                <w:sz w:val="24"/>
              </w:rPr>
            </w:pPr>
            <w:r>
              <w:rPr>
                <w:rFonts w:hint="eastAsia" w:hAnsi="宋体" w:cs="宋体"/>
                <w:sz w:val="24"/>
              </w:rPr>
              <w:t>7.2 商务标投标文件制作技术咨询：0374-2961598。</w:t>
            </w:r>
          </w:p>
        </w:tc>
      </w:tr>
    </w:tbl>
    <w:p>
      <w:pPr>
        <w:autoSpaceDE w:val="0"/>
        <w:autoSpaceDN w:val="0"/>
        <w:spacing w:line="440" w:lineRule="exact"/>
        <w:jc w:val="left"/>
        <w:outlineLvl w:val="0"/>
        <w:rPr>
          <w:rFonts w:hAnsi="宋体" w:cs="宋体"/>
          <w:b/>
          <w:sz w:val="28"/>
          <w:szCs w:val="28"/>
        </w:rPr>
      </w:pPr>
      <w:bookmarkStart w:id="7" w:name="_Toc283559947"/>
      <w:r>
        <w:rPr>
          <w:rFonts w:hint="eastAsia" w:hAnsi="宋体" w:cs="宋体"/>
          <w:b/>
          <w:sz w:val="28"/>
          <w:szCs w:val="28"/>
        </w:rPr>
        <w:t>1. 总则</w:t>
      </w:r>
    </w:p>
    <w:p>
      <w:pPr>
        <w:autoSpaceDE w:val="0"/>
        <w:autoSpaceDN w:val="0"/>
        <w:spacing w:line="440" w:lineRule="exact"/>
        <w:jc w:val="left"/>
        <w:outlineLvl w:val="0"/>
        <w:rPr>
          <w:rFonts w:hAnsi="宋体" w:cs="宋体"/>
          <w:b/>
          <w:sz w:val="24"/>
        </w:rPr>
      </w:pPr>
      <w:r>
        <w:rPr>
          <w:rFonts w:hint="eastAsia" w:hAnsi="宋体" w:cs="宋体"/>
          <w:b/>
          <w:sz w:val="24"/>
        </w:rPr>
        <w:t>1.1 项目概况</w:t>
      </w:r>
      <w:r>
        <w:rPr>
          <w:rFonts w:hint="eastAsia" w:hAnsi="宋体" w:cs="宋体"/>
          <w:b/>
          <w:sz w:val="24"/>
        </w:rPr>
        <w:tab/>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1.1.1根据《中华人民共和国招标投标法》等有关法律、法规和规章的规定，本招标项目已具备招标条件，现对本工程进行招标。</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1.1.2 本招标项目招标人：见投标人须知前附表。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1.1.4 本招标项目地点：见投标人须知前附表。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1.1.5 本标段建设地点：见申请人须知前附表。</w:t>
      </w:r>
    </w:p>
    <w:p>
      <w:pPr>
        <w:autoSpaceDE w:val="0"/>
        <w:autoSpaceDN w:val="0"/>
        <w:spacing w:line="440" w:lineRule="exact"/>
        <w:jc w:val="left"/>
        <w:outlineLvl w:val="0"/>
        <w:rPr>
          <w:rFonts w:hAnsi="宋体" w:cs="宋体"/>
          <w:b/>
          <w:sz w:val="24"/>
        </w:rPr>
      </w:pPr>
      <w:r>
        <w:rPr>
          <w:rFonts w:hint="eastAsia" w:hAnsi="宋体" w:cs="宋体"/>
          <w:b/>
          <w:sz w:val="24"/>
        </w:rPr>
        <w:t>1.2 资金来源和落实情况</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1.2.1 本招标项目的资金来源：见投标人须知前附表。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 本招标项目的出资比例：见投标人须知前附表。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1.2.2本招标项目的资金落实情况：见投标人须知前附表。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1.3 招标范围、工期和质量要求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1.3.1 本招标项目的招标范围：见投标人须知前附表。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1.3.2 本招标项目的设计工期要求：见投标人须知前附表。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1.3.3 本招标项目的质量要求：见投标人须知前附表。</w:t>
      </w:r>
    </w:p>
    <w:p>
      <w:pPr>
        <w:autoSpaceDE w:val="0"/>
        <w:autoSpaceDN w:val="0"/>
        <w:spacing w:line="440" w:lineRule="exact"/>
        <w:jc w:val="left"/>
        <w:outlineLvl w:val="0"/>
        <w:rPr>
          <w:rFonts w:hAnsi="宋体" w:cs="宋体"/>
          <w:b/>
          <w:sz w:val="24"/>
        </w:rPr>
      </w:pPr>
      <w:r>
        <w:rPr>
          <w:rFonts w:hint="eastAsia" w:hAnsi="宋体" w:cs="宋体"/>
          <w:b/>
          <w:sz w:val="24"/>
        </w:rPr>
        <w:t>1.4 投标人及项目负责人资格要求</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1.4.1投标人、</w:t>
      </w:r>
      <w:r>
        <w:rPr>
          <w:rFonts w:hint="eastAsia"/>
          <w:sz w:val="24"/>
        </w:rPr>
        <w:t>项目负责人</w:t>
      </w:r>
      <w:r>
        <w:rPr>
          <w:rFonts w:hint="eastAsia" w:hAnsi="宋体" w:cs="仿宋_GB2312"/>
          <w:sz w:val="24"/>
        </w:rPr>
        <w:t>资格要求：见投标人须知前附表。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1.4.2 投标人资格要求（详见投标人须知前附表）</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投标人不得存在下列情形之一：</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（1）为招标人不具有独立法人资格的附属机构（单位）；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（2）为本标段前期准备提供设计或咨询服务的；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（3）为本标段的监理人；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（4）为本标段的代建人；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（5）为本标段提供招标代理服务的；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（6）与本标段的监理人或代建人或招标代理机构同为一个法定代表人的；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（7）与本标段的监理人或代建人或招标代理机构相互控股或参股的；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（8）与本标段的监理人或代建人或招标代理机构相互任职或工作的；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（9）被责令停业的；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 xml:space="preserve">（10）被暂停或取消投标资格的； </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（11）财产被接管或冻结的；</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（12）在最近三年内有骗取中标或严重违约或重大工程质量问题的。</w:t>
      </w:r>
    </w:p>
    <w:p>
      <w:pPr>
        <w:autoSpaceDE w:val="0"/>
        <w:autoSpaceDN w:val="0"/>
        <w:spacing w:line="440" w:lineRule="exact"/>
        <w:jc w:val="left"/>
        <w:outlineLvl w:val="0"/>
        <w:rPr>
          <w:rFonts w:hAnsi="宋体" w:cs="宋体"/>
          <w:b/>
          <w:sz w:val="24"/>
        </w:rPr>
      </w:pPr>
      <w:bookmarkStart w:id="8" w:name="_Toc179632552"/>
      <w:bookmarkStart w:id="9" w:name="_Toc152042311"/>
      <w:bookmarkStart w:id="10" w:name="_Toc152045535"/>
      <w:bookmarkStart w:id="11" w:name="_Toc144974503"/>
      <w:r>
        <w:rPr>
          <w:rFonts w:hint="eastAsia" w:hAnsi="宋体" w:cs="宋体"/>
          <w:b/>
          <w:sz w:val="24"/>
        </w:rPr>
        <w:t>1.5 费用承担</w:t>
      </w:r>
      <w:bookmarkEnd w:id="8"/>
      <w:bookmarkEnd w:id="9"/>
      <w:bookmarkEnd w:id="10"/>
      <w:bookmarkEnd w:id="1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投标人准备和参加投标活动发生的费用自理。</w:t>
      </w:r>
    </w:p>
    <w:p>
      <w:pPr>
        <w:autoSpaceDE w:val="0"/>
        <w:autoSpaceDN w:val="0"/>
        <w:spacing w:line="440" w:lineRule="exact"/>
        <w:jc w:val="left"/>
        <w:outlineLvl w:val="0"/>
        <w:rPr>
          <w:rFonts w:hAnsi="宋体" w:cs="宋体"/>
          <w:b/>
          <w:sz w:val="24"/>
        </w:rPr>
      </w:pPr>
      <w:bookmarkStart w:id="12" w:name="_Toc152045536"/>
      <w:bookmarkStart w:id="13" w:name="_Toc179632553"/>
      <w:bookmarkStart w:id="14" w:name="_Toc144974504"/>
      <w:bookmarkStart w:id="15" w:name="_Toc152042312"/>
      <w:r>
        <w:rPr>
          <w:rFonts w:hint="eastAsia" w:hAnsi="宋体" w:cs="宋体"/>
          <w:b/>
          <w:sz w:val="24"/>
        </w:rPr>
        <w:t>1.6 保密</w:t>
      </w:r>
      <w:bookmarkEnd w:id="12"/>
      <w:bookmarkEnd w:id="13"/>
      <w:bookmarkEnd w:id="14"/>
      <w:bookmarkEnd w:id="1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 xml:space="preserve">参与招标投标活动的各方应对招标文件和投标文件中的商业和技术等秘密保密，违者应对由此造成的后果承担法律责任。 </w:t>
      </w:r>
    </w:p>
    <w:p>
      <w:pPr>
        <w:autoSpaceDE w:val="0"/>
        <w:autoSpaceDN w:val="0"/>
        <w:spacing w:line="440" w:lineRule="exact"/>
        <w:jc w:val="left"/>
        <w:outlineLvl w:val="0"/>
        <w:rPr>
          <w:rFonts w:hAnsi="宋体" w:cs="宋体"/>
          <w:b/>
          <w:sz w:val="24"/>
        </w:rPr>
      </w:pPr>
      <w:bookmarkStart w:id="16" w:name="_Toc144974505"/>
      <w:bookmarkStart w:id="17" w:name="_Toc152042313"/>
      <w:bookmarkStart w:id="18" w:name="_Toc152045537"/>
      <w:bookmarkStart w:id="19" w:name="_Toc179632554"/>
      <w:r>
        <w:rPr>
          <w:rFonts w:hint="eastAsia" w:hAnsi="宋体" w:cs="宋体"/>
          <w:b/>
          <w:sz w:val="24"/>
        </w:rPr>
        <w:t>1.7 语言</w:t>
      </w:r>
      <w:bookmarkEnd w:id="16"/>
      <w:r>
        <w:rPr>
          <w:rFonts w:hint="eastAsia" w:hAnsi="宋体" w:cs="宋体"/>
          <w:b/>
          <w:sz w:val="24"/>
        </w:rPr>
        <w:t>文字</w:t>
      </w:r>
      <w:bookmarkEnd w:id="17"/>
      <w:bookmarkEnd w:id="18"/>
      <w:bookmarkEnd w:id="19"/>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除专用术语外，与招标投标有关的语言均使用中文。必要时专用术语应附有中文注释。</w:t>
      </w:r>
    </w:p>
    <w:p>
      <w:pPr>
        <w:autoSpaceDE w:val="0"/>
        <w:autoSpaceDN w:val="0"/>
        <w:spacing w:line="440" w:lineRule="exact"/>
        <w:jc w:val="left"/>
        <w:outlineLvl w:val="0"/>
        <w:rPr>
          <w:rFonts w:hAnsi="宋体" w:cs="宋体"/>
          <w:b/>
          <w:sz w:val="24"/>
        </w:rPr>
      </w:pPr>
      <w:bookmarkStart w:id="20" w:name="_Toc179632555"/>
      <w:bookmarkStart w:id="21" w:name="_Toc152045538"/>
      <w:bookmarkStart w:id="22" w:name="_Toc152042314"/>
      <w:bookmarkStart w:id="23" w:name="_Toc144974506"/>
      <w:r>
        <w:rPr>
          <w:rFonts w:hint="eastAsia" w:hAnsi="宋体" w:cs="宋体"/>
          <w:b/>
          <w:sz w:val="24"/>
        </w:rPr>
        <w:t>1.8 计量单位</w:t>
      </w:r>
      <w:bookmarkEnd w:id="20"/>
      <w:bookmarkEnd w:id="21"/>
      <w:bookmarkEnd w:id="22"/>
      <w:bookmarkEnd w:id="23"/>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所有计量均采用中华人民共和国法定计量单位。</w:t>
      </w:r>
    </w:p>
    <w:p>
      <w:pPr>
        <w:autoSpaceDE w:val="0"/>
        <w:autoSpaceDN w:val="0"/>
        <w:spacing w:line="440" w:lineRule="exact"/>
        <w:jc w:val="left"/>
        <w:outlineLvl w:val="0"/>
        <w:rPr>
          <w:rFonts w:hAnsi="宋体" w:cs="宋体"/>
          <w:b/>
          <w:sz w:val="24"/>
        </w:rPr>
      </w:pPr>
      <w:r>
        <w:rPr>
          <w:rFonts w:hAnsi="宋体" w:cs="宋体"/>
          <w:b/>
          <w:sz w:val="24"/>
        </w:rPr>
        <w:t xml:space="preserve">1.9 </w:t>
      </w:r>
      <w:r>
        <w:rPr>
          <w:rFonts w:hint="eastAsia" w:hAnsi="宋体" w:cs="宋体"/>
          <w:b/>
          <w:sz w:val="24"/>
        </w:rPr>
        <w:t>踏勘现场</w:t>
      </w:r>
      <w:bookmarkEnd w:id="7"/>
    </w:p>
    <w:p>
      <w:pPr>
        <w:autoSpaceDE w:val="0"/>
        <w:autoSpaceDN w:val="0"/>
        <w:spacing w:line="440" w:lineRule="exact"/>
        <w:jc w:val="left"/>
        <w:outlineLvl w:val="0"/>
        <w:rPr>
          <w:rFonts w:hAnsi="宋体" w:cs="仿宋_GB2312"/>
          <w:sz w:val="24"/>
        </w:rPr>
      </w:pPr>
      <w:r>
        <w:rPr>
          <w:rFonts w:hAnsi="宋体" w:cs="宋体"/>
          <w:sz w:val="24"/>
        </w:rPr>
        <w:t xml:space="preserve">1.9.1 </w:t>
      </w:r>
      <w:r>
        <w:rPr>
          <w:rFonts w:hint="eastAsia" w:hAnsi="宋体" w:cs="宋体"/>
          <w:sz w:val="24"/>
        </w:rPr>
        <w:t>不</w:t>
      </w:r>
      <w:r>
        <w:rPr>
          <w:rFonts w:hint="eastAsia" w:hAnsi="宋体" w:cs="仿宋_GB2312"/>
          <w:sz w:val="24"/>
        </w:rPr>
        <w:t xml:space="preserve">组织。          </w:t>
      </w:r>
    </w:p>
    <w:p>
      <w:pPr>
        <w:autoSpaceDE w:val="0"/>
        <w:autoSpaceDN w:val="0"/>
        <w:spacing w:line="440" w:lineRule="exact"/>
        <w:jc w:val="left"/>
        <w:outlineLvl w:val="0"/>
        <w:rPr>
          <w:rFonts w:hAnsi="宋体" w:cs="宋体"/>
          <w:sz w:val="24"/>
        </w:rPr>
      </w:pPr>
      <w:r>
        <w:rPr>
          <w:rFonts w:hAnsi="宋体" w:cs="宋体"/>
          <w:sz w:val="24"/>
        </w:rPr>
        <w:t xml:space="preserve">1.9.2 </w:t>
      </w:r>
      <w:r>
        <w:rPr>
          <w:rFonts w:hint="eastAsia" w:hAnsi="宋体" w:cs="宋体"/>
          <w:sz w:val="24"/>
        </w:rPr>
        <w:t>投标人踏勘现场发生的费用自理。</w:t>
      </w:r>
    </w:p>
    <w:p>
      <w:pPr>
        <w:autoSpaceDE w:val="0"/>
        <w:autoSpaceDN w:val="0"/>
        <w:spacing w:line="440" w:lineRule="exact"/>
        <w:jc w:val="left"/>
        <w:outlineLvl w:val="0"/>
        <w:rPr>
          <w:rFonts w:hAnsi="宋体" w:cs="宋体"/>
          <w:sz w:val="24"/>
        </w:rPr>
      </w:pPr>
      <w:r>
        <w:rPr>
          <w:rFonts w:hAnsi="宋体" w:cs="宋体"/>
          <w:sz w:val="24"/>
        </w:rPr>
        <w:t xml:space="preserve">1.9.3 </w:t>
      </w:r>
      <w:r>
        <w:rPr>
          <w:rFonts w:hint="eastAsia" w:hAnsi="宋体" w:cs="宋体"/>
          <w:sz w:val="24"/>
        </w:rPr>
        <w:t>除招标人的原因外，投标人自行负责在踏勘现场中所发生的人员伤亡和财产损失。</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1.9.4 </w:t>
      </w:r>
      <w:r>
        <w:rPr>
          <w:rFonts w:hint="eastAsia" w:hAnsi="宋体" w:cs="宋体"/>
          <w:sz w:val="24"/>
        </w:rPr>
        <w:t>招标人在踏勘现场中介绍的工程场地和相关的周边环境情况，供投标人在编制投标文件时参考，招标人不对投标人据此作出的判断和决策负责。</w:t>
      </w:r>
    </w:p>
    <w:p>
      <w:pPr>
        <w:autoSpaceDE w:val="0"/>
        <w:autoSpaceDN w:val="0"/>
        <w:spacing w:line="440" w:lineRule="exact"/>
        <w:jc w:val="left"/>
        <w:outlineLvl w:val="0"/>
        <w:rPr>
          <w:rFonts w:hAnsi="宋体" w:cs="宋体"/>
          <w:b/>
          <w:sz w:val="24"/>
        </w:rPr>
      </w:pPr>
      <w:bookmarkStart w:id="24" w:name="_Toc283559948"/>
      <w:r>
        <w:rPr>
          <w:rFonts w:hAnsi="宋体" w:cs="宋体"/>
          <w:b/>
          <w:sz w:val="24"/>
        </w:rPr>
        <w:t xml:space="preserve">1.10 </w:t>
      </w:r>
      <w:r>
        <w:rPr>
          <w:rFonts w:hint="eastAsia" w:hAnsi="宋体" w:cs="宋体"/>
          <w:b/>
          <w:sz w:val="24"/>
        </w:rPr>
        <w:t>投标预备会</w:t>
      </w:r>
      <w:bookmarkEnd w:id="24"/>
    </w:p>
    <w:p>
      <w:pPr>
        <w:autoSpaceDE w:val="0"/>
        <w:autoSpaceDN w:val="0"/>
        <w:spacing w:line="450" w:lineRule="exact"/>
        <w:ind w:firstLine="470" w:firstLineChars="196"/>
        <w:jc w:val="left"/>
        <w:outlineLvl w:val="0"/>
        <w:rPr>
          <w:rFonts w:hAnsi="宋体" w:cs="宋体"/>
          <w:b/>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1 招标人不召开投标预备会。</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w:t>
      </w:r>
      <w:r>
        <w:rPr>
          <w:rFonts w:hint="eastAsia" w:hAnsi="宋体" w:cs="宋体"/>
          <w:sz w:val="24"/>
        </w:rPr>
        <w:t>2 投标人应在投标人须知前附表规定的时间前，将问题在</w:t>
      </w:r>
      <w:r>
        <w:rPr>
          <w:rFonts w:hint="eastAsia" w:ascii="新宋体" w:hAnsi="新宋体" w:eastAsia="新宋体" w:cs="仿宋_GB2312"/>
          <w:sz w:val="24"/>
        </w:rPr>
        <w:t>公共资源交易系统电子平台</w:t>
      </w:r>
      <w:r>
        <w:rPr>
          <w:rFonts w:hint="eastAsia" w:hAnsi="宋体" w:cs="宋体"/>
          <w:sz w:val="24"/>
        </w:rPr>
        <w:t>上提出。</w:t>
      </w:r>
    </w:p>
    <w:p>
      <w:pPr>
        <w:autoSpaceDE w:val="0"/>
        <w:autoSpaceDN w:val="0"/>
        <w:spacing w:line="450" w:lineRule="exact"/>
        <w:ind w:firstLine="480" w:firstLineChars="200"/>
        <w:jc w:val="left"/>
        <w:outlineLvl w:val="0"/>
        <w:rPr>
          <w:rFonts w:hAnsi="宋体" w:cs="宋体"/>
          <w:sz w:val="24"/>
        </w:rPr>
      </w:pPr>
      <w:r>
        <w:rPr>
          <w:rFonts w:hAnsi="宋体" w:cs="宋体"/>
          <w:sz w:val="24"/>
        </w:rPr>
        <w:t>1.</w:t>
      </w:r>
      <w:r>
        <w:rPr>
          <w:rFonts w:hint="eastAsia" w:hAnsi="宋体" w:cs="宋体"/>
          <w:sz w:val="24"/>
        </w:rPr>
        <w:t>10</w:t>
      </w:r>
      <w:r>
        <w:rPr>
          <w:rFonts w:hAnsi="宋体" w:cs="宋体"/>
          <w:sz w:val="24"/>
        </w:rPr>
        <w:t>.3</w:t>
      </w:r>
      <w:r>
        <w:rPr>
          <w:rFonts w:hint="eastAsia" w:hAnsi="宋体" w:cs="宋体"/>
          <w:sz w:val="24"/>
        </w:rPr>
        <w:t xml:space="preserve"> 招标人在投标人须知前附表规定的时间内，将对投标人所提问题的澄清，在</w:t>
      </w:r>
      <w:r>
        <w:rPr>
          <w:rFonts w:hint="eastAsia" w:ascii="新宋体" w:hAnsi="新宋体" w:eastAsia="新宋体" w:cs="仿宋_GB2312"/>
          <w:sz w:val="24"/>
        </w:rPr>
        <w:t>公共资源交易系统电子平台</w:t>
      </w:r>
      <w:r>
        <w:rPr>
          <w:rFonts w:hint="eastAsia" w:hAnsi="宋体" w:cs="宋体"/>
          <w:sz w:val="24"/>
        </w:rPr>
        <w:t>上予以澄清。该澄清内容为招标文件的组成部分。</w:t>
      </w:r>
    </w:p>
    <w:p>
      <w:pPr>
        <w:autoSpaceDE w:val="0"/>
        <w:autoSpaceDN w:val="0"/>
        <w:spacing w:line="450" w:lineRule="exact"/>
        <w:jc w:val="left"/>
        <w:outlineLvl w:val="0"/>
        <w:rPr>
          <w:rFonts w:hAnsi="宋体" w:cs="宋体"/>
          <w:b/>
          <w:sz w:val="24"/>
        </w:rPr>
      </w:pPr>
      <w:bookmarkStart w:id="25" w:name="_Toc283559949"/>
      <w:r>
        <w:rPr>
          <w:rFonts w:hAnsi="宋体" w:cs="宋体"/>
          <w:b/>
          <w:sz w:val="24"/>
        </w:rPr>
        <w:t xml:space="preserve">1.11 </w:t>
      </w:r>
      <w:r>
        <w:rPr>
          <w:rFonts w:hint="eastAsia" w:hAnsi="宋体" w:cs="宋体"/>
          <w:b/>
          <w:sz w:val="24"/>
        </w:rPr>
        <w:t>分包</w:t>
      </w:r>
      <w:bookmarkEnd w:id="25"/>
    </w:p>
    <w:p>
      <w:pPr>
        <w:autoSpaceDE w:val="0"/>
        <w:autoSpaceDN w:val="0"/>
        <w:spacing w:line="450" w:lineRule="exact"/>
        <w:ind w:firstLine="480" w:firstLineChars="200"/>
        <w:jc w:val="left"/>
        <w:outlineLvl w:val="0"/>
        <w:rPr>
          <w:rFonts w:hAnsi="宋体" w:cs="宋体"/>
          <w:b/>
          <w:sz w:val="24"/>
        </w:rPr>
      </w:pPr>
      <w:r>
        <w:rPr>
          <w:rFonts w:hint="eastAsia" w:hAnsi="宋体" w:cs="仿宋_GB2312"/>
          <w:sz w:val="24"/>
        </w:rPr>
        <w:t>不允许</w:t>
      </w:r>
      <w:r>
        <w:rPr>
          <w:rFonts w:hint="eastAsia"/>
          <w:sz w:val="24"/>
        </w:rPr>
        <w:t>。</w:t>
      </w:r>
    </w:p>
    <w:p>
      <w:pPr>
        <w:autoSpaceDE w:val="0"/>
        <w:autoSpaceDN w:val="0"/>
        <w:adjustRightInd w:val="0"/>
        <w:spacing w:line="450" w:lineRule="exact"/>
        <w:jc w:val="left"/>
        <w:outlineLvl w:val="0"/>
        <w:rPr>
          <w:rFonts w:hAnsi="宋体" w:cs="宋体"/>
          <w:b/>
          <w:sz w:val="24"/>
        </w:rPr>
      </w:pPr>
      <w:bookmarkStart w:id="26" w:name="_Toc283559950"/>
      <w:r>
        <w:rPr>
          <w:rFonts w:hAnsi="宋体" w:cs="宋体"/>
          <w:b/>
          <w:sz w:val="24"/>
        </w:rPr>
        <w:t xml:space="preserve">1.12 </w:t>
      </w:r>
      <w:r>
        <w:rPr>
          <w:rFonts w:hint="eastAsia" w:hAnsi="宋体" w:cs="宋体"/>
          <w:b/>
          <w:sz w:val="24"/>
        </w:rPr>
        <w:t>偏离</w:t>
      </w:r>
      <w:bookmarkEnd w:id="26"/>
    </w:p>
    <w:p>
      <w:pPr>
        <w:autoSpaceDE w:val="0"/>
        <w:autoSpaceDN w:val="0"/>
        <w:adjustRightInd w:val="0"/>
        <w:spacing w:line="450" w:lineRule="exact"/>
        <w:ind w:firstLine="480" w:firstLineChars="200"/>
        <w:jc w:val="left"/>
        <w:outlineLvl w:val="0"/>
        <w:rPr>
          <w:rFonts w:hAnsi="宋体" w:cs="宋体"/>
          <w:b/>
          <w:sz w:val="24"/>
        </w:rPr>
      </w:pPr>
      <w:r>
        <w:rPr>
          <w:rFonts w:hint="eastAsia"/>
          <w:sz w:val="24"/>
        </w:rPr>
        <w:t>投标人须知前附表允许投标文件偏离招标文件某些要求的，偏离应当符合招标文件规定的偏离范围和幅度。</w:t>
      </w:r>
    </w:p>
    <w:p>
      <w:pPr>
        <w:pStyle w:val="67"/>
        <w:spacing w:line="450" w:lineRule="exact"/>
        <w:jc w:val="both"/>
        <w:outlineLvl w:val="0"/>
        <w:rPr>
          <w:rFonts w:hAnsi="宋体"/>
          <w:b/>
          <w:color w:val="auto"/>
        </w:rPr>
      </w:pPr>
      <w:bookmarkStart w:id="27" w:name="_Toc283559951"/>
      <w:r>
        <w:rPr>
          <w:rFonts w:hAnsi="宋体"/>
          <w:b/>
          <w:color w:val="auto"/>
        </w:rPr>
        <w:t xml:space="preserve">2. </w:t>
      </w:r>
      <w:r>
        <w:rPr>
          <w:rFonts w:hint="eastAsia" w:hAnsi="宋体"/>
          <w:b/>
          <w:color w:val="auto"/>
        </w:rPr>
        <w:t>招标文件</w:t>
      </w:r>
      <w:bookmarkEnd w:id="27"/>
    </w:p>
    <w:p>
      <w:pPr>
        <w:autoSpaceDE w:val="0"/>
        <w:autoSpaceDN w:val="0"/>
        <w:spacing w:line="450" w:lineRule="exact"/>
        <w:jc w:val="left"/>
        <w:outlineLvl w:val="0"/>
        <w:rPr>
          <w:rFonts w:hAnsi="宋体" w:cs="宋体"/>
          <w:b/>
          <w:sz w:val="24"/>
        </w:rPr>
      </w:pPr>
      <w:bookmarkStart w:id="28" w:name="_Toc283559952"/>
      <w:r>
        <w:rPr>
          <w:rFonts w:hAnsi="宋体" w:cs="宋体"/>
          <w:b/>
          <w:sz w:val="24"/>
        </w:rPr>
        <w:t xml:space="preserve">2.1 </w:t>
      </w:r>
      <w:r>
        <w:rPr>
          <w:rFonts w:hint="eastAsia" w:hAnsi="宋体" w:cs="宋体"/>
          <w:b/>
          <w:sz w:val="24"/>
        </w:rPr>
        <w:t>招标文件的组成</w:t>
      </w:r>
      <w:bookmarkEnd w:id="28"/>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本招标文件包括：</w:t>
      </w:r>
    </w:p>
    <w:p>
      <w:pPr>
        <w:spacing w:line="450" w:lineRule="exact"/>
        <w:ind w:firstLine="410" w:firstLineChars="171"/>
        <w:rPr>
          <w:sz w:val="24"/>
        </w:rPr>
      </w:pPr>
      <w:r>
        <w:rPr>
          <w:rFonts w:hint="eastAsia"/>
          <w:sz w:val="24"/>
        </w:rPr>
        <w:t>（1）招标公告；</w:t>
      </w:r>
    </w:p>
    <w:p>
      <w:pPr>
        <w:spacing w:line="450" w:lineRule="exact"/>
        <w:ind w:firstLine="410" w:firstLineChars="171"/>
        <w:rPr>
          <w:sz w:val="24"/>
        </w:rPr>
      </w:pPr>
      <w:r>
        <w:rPr>
          <w:rFonts w:hint="eastAsia"/>
          <w:sz w:val="24"/>
        </w:rPr>
        <w:t>（2）投标人须知；</w:t>
      </w:r>
    </w:p>
    <w:p>
      <w:pPr>
        <w:spacing w:line="450" w:lineRule="exact"/>
        <w:ind w:firstLine="410" w:firstLineChars="171"/>
        <w:rPr>
          <w:sz w:val="24"/>
        </w:rPr>
      </w:pPr>
      <w:r>
        <w:rPr>
          <w:rFonts w:hint="eastAsia"/>
          <w:sz w:val="24"/>
        </w:rPr>
        <w:t>（3）评标办法；</w:t>
      </w:r>
    </w:p>
    <w:p>
      <w:pPr>
        <w:spacing w:line="450" w:lineRule="exact"/>
        <w:ind w:firstLine="410" w:firstLineChars="171"/>
        <w:rPr>
          <w:sz w:val="24"/>
        </w:rPr>
      </w:pPr>
      <w:r>
        <w:rPr>
          <w:rFonts w:hint="eastAsia"/>
          <w:sz w:val="24"/>
        </w:rPr>
        <w:t>（4）合同条款及格式；</w:t>
      </w:r>
    </w:p>
    <w:p>
      <w:pPr>
        <w:spacing w:line="450" w:lineRule="exact"/>
        <w:ind w:firstLine="410" w:firstLineChars="171"/>
        <w:rPr>
          <w:sz w:val="24"/>
        </w:rPr>
      </w:pPr>
      <w:r>
        <w:rPr>
          <w:rFonts w:hint="eastAsia"/>
          <w:sz w:val="24"/>
        </w:rPr>
        <w:t xml:space="preserve">（5）工程量清单； </w:t>
      </w:r>
    </w:p>
    <w:p>
      <w:pPr>
        <w:spacing w:line="450" w:lineRule="exact"/>
        <w:ind w:firstLine="410" w:firstLineChars="171"/>
        <w:rPr>
          <w:sz w:val="24"/>
        </w:rPr>
      </w:pPr>
      <w:r>
        <w:rPr>
          <w:rFonts w:hint="eastAsia"/>
          <w:sz w:val="24"/>
        </w:rPr>
        <w:t xml:space="preserve">（6）图纸； </w:t>
      </w:r>
    </w:p>
    <w:p>
      <w:pPr>
        <w:spacing w:line="450" w:lineRule="exact"/>
        <w:ind w:firstLine="410" w:firstLineChars="171"/>
        <w:rPr>
          <w:sz w:val="24"/>
        </w:rPr>
      </w:pPr>
      <w:r>
        <w:rPr>
          <w:rFonts w:hint="eastAsia"/>
          <w:sz w:val="24"/>
        </w:rPr>
        <w:t>（7）技术标准和要求；</w:t>
      </w:r>
    </w:p>
    <w:p>
      <w:pPr>
        <w:spacing w:line="450" w:lineRule="exact"/>
        <w:ind w:firstLine="410" w:firstLineChars="171"/>
        <w:rPr>
          <w:sz w:val="24"/>
        </w:rPr>
      </w:pPr>
      <w:r>
        <w:rPr>
          <w:rFonts w:hint="eastAsia"/>
          <w:sz w:val="24"/>
        </w:rPr>
        <w:t>（8）投标文件格式；</w:t>
      </w:r>
    </w:p>
    <w:p>
      <w:pPr>
        <w:spacing w:line="450" w:lineRule="exact"/>
        <w:ind w:firstLine="410" w:firstLineChars="171"/>
        <w:rPr>
          <w:sz w:val="24"/>
        </w:rPr>
      </w:pPr>
      <w:r>
        <w:rPr>
          <w:rFonts w:hint="eastAsia"/>
          <w:sz w:val="24"/>
        </w:rPr>
        <w:t>（9）投标人须知前附表规定的其他材料；</w:t>
      </w:r>
    </w:p>
    <w:p>
      <w:pPr>
        <w:autoSpaceDE w:val="0"/>
        <w:autoSpaceDN w:val="0"/>
        <w:spacing w:line="450" w:lineRule="exact"/>
        <w:ind w:firstLine="480" w:firstLineChars="200"/>
        <w:jc w:val="left"/>
        <w:outlineLvl w:val="0"/>
        <w:rPr>
          <w:rFonts w:hAnsi="宋体" w:cs="宋体"/>
          <w:sz w:val="24"/>
        </w:rPr>
      </w:pPr>
      <w:r>
        <w:rPr>
          <w:rFonts w:hint="eastAsia" w:hAnsi="宋体" w:cs="宋体"/>
          <w:sz w:val="24"/>
        </w:rPr>
        <w:t>根据本章第</w:t>
      </w:r>
      <w:r>
        <w:rPr>
          <w:rFonts w:hAnsi="宋体" w:cs="宋体"/>
          <w:sz w:val="24"/>
        </w:rPr>
        <w:t xml:space="preserve">2.2 </w:t>
      </w:r>
      <w:r>
        <w:rPr>
          <w:rFonts w:hint="eastAsia" w:hAnsi="宋体" w:cs="宋体"/>
          <w:sz w:val="24"/>
        </w:rPr>
        <w:t>款和第</w:t>
      </w:r>
      <w:r>
        <w:rPr>
          <w:rFonts w:hAnsi="宋体" w:cs="宋体"/>
          <w:sz w:val="24"/>
        </w:rPr>
        <w:t xml:space="preserve">2.3 </w:t>
      </w:r>
      <w:r>
        <w:rPr>
          <w:rFonts w:hint="eastAsia" w:hAnsi="宋体" w:cs="宋体"/>
          <w:sz w:val="24"/>
        </w:rPr>
        <w:t>款对招标文件所作的澄清、修改，构成招标文件的组成部分。</w:t>
      </w:r>
    </w:p>
    <w:p>
      <w:pPr>
        <w:autoSpaceDE w:val="0"/>
        <w:autoSpaceDN w:val="0"/>
        <w:spacing w:line="450" w:lineRule="exact"/>
        <w:jc w:val="left"/>
        <w:outlineLvl w:val="0"/>
        <w:rPr>
          <w:rFonts w:hAnsi="宋体" w:cs="宋体"/>
          <w:b/>
          <w:sz w:val="24"/>
        </w:rPr>
      </w:pPr>
      <w:bookmarkStart w:id="29" w:name="_Toc283559953"/>
      <w:r>
        <w:rPr>
          <w:rFonts w:hAnsi="宋体" w:cs="宋体"/>
          <w:b/>
          <w:sz w:val="24"/>
        </w:rPr>
        <w:t xml:space="preserve">2.2 </w:t>
      </w:r>
      <w:r>
        <w:rPr>
          <w:rFonts w:hint="eastAsia" w:hAnsi="宋体" w:cs="宋体"/>
          <w:b/>
          <w:sz w:val="24"/>
        </w:rPr>
        <w:t>招标文件的澄清</w:t>
      </w:r>
      <w:bookmarkEnd w:id="29"/>
    </w:p>
    <w:p>
      <w:pPr>
        <w:spacing w:line="450" w:lineRule="exact"/>
        <w:ind w:firstLine="410" w:firstLineChars="171"/>
        <w:rPr>
          <w:sz w:val="24"/>
        </w:rPr>
      </w:pPr>
      <w:bookmarkStart w:id="30" w:name="_Toc283559954"/>
      <w:r>
        <w:rPr>
          <w:rFonts w:hint="eastAsia"/>
          <w:sz w:val="24"/>
        </w:rPr>
        <w:t>2.2.1 投标人应仔细阅读和检查招标文件的全部内容。如发现缺页或附件不全，应及时向招标人提出，以便补齐。如有疑问，应在投标人须知前附表规定的时间要求招标人对招标文件予以澄清。</w:t>
      </w:r>
      <w:r>
        <w:rPr>
          <w:rFonts w:hint="eastAsia"/>
          <w:b/>
          <w:bCs/>
          <w:sz w:val="24"/>
        </w:rPr>
        <w:t>如未提出异议，视为全面接受。</w:t>
      </w:r>
    </w:p>
    <w:p>
      <w:pPr>
        <w:spacing w:line="450" w:lineRule="exact"/>
        <w:ind w:firstLine="410" w:firstLineChars="171"/>
        <w:rPr>
          <w:sz w:val="24"/>
        </w:rPr>
      </w:pPr>
      <w:r>
        <w:rPr>
          <w:rFonts w:hint="eastAsia"/>
          <w:sz w:val="24"/>
        </w:rPr>
        <w:t>2.2.2 招标文件的澄清将在投标人须知前附表规定的投标截止时间15天前通过《全国公共资源交易平台（河南省·许昌市）》公共资源交易系统发出，但不指明澄清问题的来源。如果澄清发出的时间距投标截止时间不足15天，相应延长投标截止时间。</w:t>
      </w:r>
    </w:p>
    <w:p>
      <w:pPr>
        <w:spacing w:line="450" w:lineRule="exact"/>
        <w:ind w:firstLine="410" w:firstLineChars="171"/>
        <w:rPr>
          <w:sz w:val="24"/>
        </w:rPr>
      </w:pPr>
      <w:r>
        <w:rPr>
          <w:rFonts w:hint="eastAsia"/>
          <w:sz w:val="24"/>
        </w:rPr>
        <w:t>2.2.3 所有澄清、答疑全部以《全国公共资源交易平台（河南省·许昌市）》公共资源交易系统发出的为准，不再接受书面形式的递交。</w:t>
      </w:r>
    </w:p>
    <w:p>
      <w:pPr>
        <w:autoSpaceDE w:val="0"/>
        <w:autoSpaceDN w:val="0"/>
        <w:spacing w:line="450" w:lineRule="exact"/>
        <w:jc w:val="left"/>
        <w:outlineLvl w:val="0"/>
        <w:rPr>
          <w:rFonts w:hAnsi="宋体" w:cs="宋体"/>
          <w:b/>
          <w:sz w:val="24"/>
        </w:rPr>
      </w:pPr>
      <w:r>
        <w:rPr>
          <w:rFonts w:hAnsi="宋体" w:cs="宋体"/>
          <w:b/>
          <w:sz w:val="24"/>
        </w:rPr>
        <w:t xml:space="preserve">2.3 </w:t>
      </w:r>
      <w:r>
        <w:rPr>
          <w:rFonts w:hint="eastAsia" w:hAnsi="宋体" w:cs="宋体"/>
          <w:b/>
          <w:sz w:val="24"/>
        </w:rPr>
        <w:t>招标文件的修改</w:t>
      </w:r>
      <w:bookmarkEnd w:id="30"/>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2.3.1 </w:t>
      </w:r>
      <w:r>
        <w:rPr>
          <w:rFonts w:hint="eastAsia" w:hAnsi="宋体" w:cs="宋体"/>
          <w:sz w:val="24"/>
        </w:rPr>
        <w:t>在投标截止时间</w:t>
      </w:r>
      <w:r>
        <w:rPr>
          <w:rFonts w:hAnsi="宋体" w:cs="宋体"/>
          <w:sz w:val="24"/>
        </w:rPr>
        <w:t>15</w:t>
      </w:r>
      <w:r>
        <w:rPr>
          <w:rFonts w:hint="eastAsia" w:hAnsi="宋体" w:cs="宋体"/>
          <w:sz w:val="24"/>
        </w:rPr>
        <w:t>天前，招标人可以通过公共资源交易系统电子平台修改招标文件，如果修改招标文件的时间距投标截止时间不足</w:t>
      </w:r>
      <w:r>
        <w:rPr>
          <w:rFonts w:hAnsi="宋体" w:cs="宋体"/>
          <w:sz w:val="24"/>
        </w:rPr>
        <w:t xml:space="preserve">15 </w:t>
      </w:r>
      <w:r>
        <w:rPr>
          <w:rFonts w:hint="eastAsia" w:hAnsi="宋体" w:cs="宋体"/>
          <w:sz w:val="24"/>
        </w:rPr>
        <w:t>天，相应延长投标截止时间。</w:t>
      </w:r>
    </w:p>
    <w:p>
      <w:pPr>
        <w:autoSpaceDE w:val="0"/>
        <w:autoSpaceDN w:val="0"/>
        <w:spacing w:line="420" w:lineRule="exact"/>
        <w:ind w:firstLine="480" w:firstLineChars="200"/>
        <w:jc w:val="left"/>
        <w:outlineLvl w:val="0"/>
        <w:rPr>
          <w:rFonts w:hAnsi="宋体" w:cs="宋体"/>
          <w:sz w:val="24"/>
        </w:rPr>
      </w:pPr>
      <w:r>
        <w:rPr>
          <w:rFonts w:hAnsi="宋体" w:cs="宋体"/>
          <w:sz w:val="24"/>
        </w:rPr>
        <w:t xml:space="preserve">2.3.2 </w:t>
      </w:r>
      <w:r>
        <w:rPr>
          <w:rFonts w:hint="eastAsia" w:hAnsi="宋体" w:cs="宋体"/>
          <w:sz w:val="24"/>
        </w:rPr>
        <w:t>当招标文件、补充通知、答疑纪要，内容相互矛盾时，以最后发出的通知或纪要为准。</w:t>
      </w:r>
    </w:p>
    <w:p>
      <w:pPr>
        <w:autoSpaceDE w:val="0"/>
        <w:autoSpaceDN w:val="0"/>
        <w:spacing w:line="420" w:lineRule="exact"/>
        <w:jc w:val="left"/>
        <w:outlineLvl w:val="0"/>
        <w:rPr>
          <w:rFonts w:hAnsi="宋体" w:cs="宋体"/>
          <w:b/>
          <w:sz w:val="24"/>
        </w:rPr>
      </w:pPr>
      <w:bookmarkStart w:id="31" w:name="_Toc144974514"/>
      <w:bookmarkStart w:id="32" w:name="_Toc152045546"/>
      <w:bookmarkStart w:id="33" w:name="_Toc152042322"/>
      <w:bookmarkStart w:id="34" w:name="_Toc179632564"/>
      <w:r>
        <w:rPr>
          <w:rFonts w:hint="eastAsia" w:hAnsi="宋体" w:cs="宋体"/>
          <w:b/>
          <w:sz w:val="24"/>
        </w:rPr>
        <w:t>3. 投标文件</w:t>
      </w:r>
      <w:bookmarkEnd w:id="31"/>
      <w:bookmarkEnd w:id="32"/>
      <w:bookmarkEnd w:id="33"/>
      <w:bookmarkEnd w:id="34"/>
    </w:p>
    <w:p>
      <w:pPr>
        <w:autoSpaceDE w:val="0"/>
        <w:autoSpaceDN w:val="0"/>
        <w:spacing w:line="420" w:lineRule="exact"/>
        <w:jc w:val="left"/>
        <w:outlineLvl w:val="0"/>
        <w:rPr>
          <w:rFonts w:hAnsi="宋体" w:cs="宋体"/>
          <w:b/>
          <w:sz w:val="24"/>
        </w:rPr>
      </w:pPr>
      <w:bookmarkStart w:id="35" w:name="_Toc278443453"/>
      <w:r>
        <w:rPr>
          <w:rFonts w:hint="eastAsia" w:hAnsi="宋体" w:cs="宋体"/>
          <w:b/>
          <w:sz w:val="24"/>
        </w:rPr>
        <w:t>3.1投标文件由商务标、综合（信用）标和技术标三部分组成。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3.1.1  商务标组成：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已标价工程量清单。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3.1.2  综合（信用）标组成：</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（1）投标函；</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（2）投标函附录；</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（3）法定代表人身份证明、授权委托书及项目负责人承诺书；</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（4）投标保证金；</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（5）项目管理机构配备情况；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（6）投标单位基本信息表</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（7）资格证明文件；</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（8）正在施工的和新承接的项目情况；</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（9）其它材料；</w:t>
      </w:r>
    </w:p>
    <w:p>
      <w:pPr>
        <w:autoSpaceDE w:val="0"/>
        <w:autoSpaceDN w:val="0"/>
        <w:spacing w:line="420" w:lineRule="exact"/>
        <w:ind w:firstLine="480" w:firstLineChars="200"/>
        <w:jc w:val="left"/>
        <w:outlineLvl w:val="0"/>
        <w:rPr>
          <w:rFonts w:hAnsi="宋体" w:cs="宋体"/>
          <w:sz w:val="24"/>
        </w:rPr>
      </w:pPr>
      <w:r>
        <w:rPr>
          <w:rFonts w:hint="eastAsia" w:hAnsi="宋体" w:cs="宋体"/>
          <w:sz w:val="24"/>
        </w:rPr>
        <w:t>3.1.3  技术标组成：</w:t>
      </w:r>
    </w:p>
    <w:p>
      <w:pPr>
        <w:autoSpaceDE w:val="0"/>
        <w:autoSpaceDN w:val="0"/>
        <w:spacing w:line="420" w:lineRule="exact"/>
        <w:jc w:val="left"/>
        <w:outlineLvl w:val="1"/>
        <w:rPr>
          <w:rFonts w:hAnsi="宋体" w:cs="宋体"/>
          <w:sz w:val="24"/>
        </w:rPr>
      </w:pPr>
      <w:r>
        <w:rPr>
          <w:rFonts w:hint="eastAsia" w:hAnsi="宋体" w:cs="宋体"/>
          <w:sz w:val="24"/>
        </w:rPr>
        <w:t xml:space="preserve">    （1）内容完整性</w:t>
      </w:r>
    </w:p>
    <w:p>
      <w:pPr>
        <w:autoSpaceDE w:val="0"/>
        <w:autoSpaceDN w:val="0"/>
        <w:spacing w:line="420" w:lineRule="exact"/>
        <w:jc w:val="left"/>
        <w:outlineLvl w:val="1"/>
        <w:rPr>
          <w:rFonts w:hAnsi="宋体" w:cs="宋体"/>
          <w:sz w:val="24"/>
        </w:rPr>
      </w:pPr>
      <w:r>
        <w:rPr>
          <w:rFonts w:hint="eastAsia" w:hAnsi="宋体" w:cs="宋体"/>
          <w:sz w:val="24"/>
        </w:rPr>
        <w:t xml:space="preserve">    （2）主要施工方案与技术措施</w:t>
      </w:r>
    </w:p>
    <w:p>
      <w:pPr>
        <w:autoSpaceDE w:val="0"/>
        <w:autoSpaceDN w:val="0"/>
        <w:spacing w:line="420" w:lineRule="exact"/>
        <w:jc w:val="left"/>
        <w:outlineLvl w:val="1"/>
        <w:rPr>
          <w:rFonts w:hAnsi="宋体" w:cs="宋体"/>
          <w:sz w:val="24"/>
        </w:rPr>
      </w:pPr>
      <w:r>
        <w:rPr>
          <w:rFonts w:hint="eastAsia" w:hAnsi="宋体" w:cs="宋体"/>
          <w:sz w:val="24"/>
        </w:rPr>
        <w:t xml:space="preserve">    （3）质量管理体系与措施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（4）安全管理体系与措施</w:t>
      </w:r>
    </w:p>
    <w:p>
      <w:pPr>
        <w:autoSpaceDE w:val="0"/>
        <w:autoSpaceDN w:val="0"/>
        <w:spacing w:line="420" w:lineRule="exact"/>
        <w:jc w:val="left"/>
        <w:outlineLvl w:val="1"/>
        <w:rPr>
          <w:rFonts w:hAnsi="宋体" w:cs="宋体"/>
          <w:sz w:val="24"/>
        </w:rPr>
      </w:pPr>
      <w:r>
        <w:rPr>
          <w:rFonts w:hint="eastAsia" w:hAnsi="宋体" w:cs="宋体"/>
          <w:sz w:val="24"/>
        </w:rPr>
        <w:t xml:space="preserve">    （5）文明施工、环境保护管理体系及施工现场扬尘治理措施</w:t>
      </w:r>
    </w:p>
    <w:p>
      <w:pPr>
        <w:autoSpaceDE w:val="0"/>
        <w:autoSpaceDN w:val="0"/>
        <w:spacing w:line="420" w:lineRule="exact"/>
        <w:jc w:val="left"/>
        <w:outlineLvl w:val="1"/>
        <w:rPr>
          <w:rFonts w:hAnsi="宋体" w:cs="宋体"/>
          <w:sz w:val="24"/>
        </w:rPr>
      </w:pPr>
      <w:r>
        <w:rPr>
          <w:rFonts w:hint="eastAsia" w:hAnsi="宋体" w:cs="宋体"/>
          <w:sz w:val="24"/>
        </w:rPr>
        <w:t xml:space="preserve">    （6）工期保证措施</w:t>
      </w:r>
    </w:p>
    <w:p>
      <w:pPr>
        <w:autoSpaceDE w:val="0"/>
        <w:autoSpaceDN w:val="0"/>
        <w:spacing w:line="420" w:lineRule="exact"/>
        <w:jc w:val="left"/>
        <w:outlineLvl w:val="1"/>
        <w:rPr>
          <w:rFonts w:hAnsi="宋体" w:cs="宋体"/>
          <w:sz w:val="24"/>
        </w:rPr>
      </w:pPr>
      <w:r>
        <w:rPr>
          <w:rFonts w:hint="eastAsia" w:hAnsi="宋体" w:cs="宋体"/>
          <w:sz w:val="24"/>
        </w:rPr>
        <w:t xml:space="preserve">    （7）拟投入资源配备计划</w:t>
      </w:r>
    </w:p>
    <w:p>
      <w:pPr>
        <w:autoSpaceDE w:val="0"/>
        <w:autoSpaceDN w:val="0"/>
        <w:spacing w:line="420" w:lineRule="exact"/>
        <w:jc w:val="left"/>
        <w:outlineLvl w:val="1"/>
        <w:rPr>
          <w:rFonts w:hAnsi="宋体" w:cs="宋体"/>
          <w:sz w:val="24"/>
        </w:rPr>
      </w:pPr>
      <w:r>
        <w:rPr>
          <w:rFonts w:hint="eastAsia" w:hAnsi="宋体" w:cs="宋体"/>
          <w:sz w:val="24"/>
        </w:rPr>
        <w:t xml:space="preserve">    （8）施工进度表与网络计划图</w:t>
      </w:r>
    </w:p>
    <w:p>
      <w:pPr>
        <w:autoSpaceDE w:val="0"/>
        <w:autoSpaceDN w:val="0"/>
        <w:spacing w:line="420" w:lineRule="exact"/>
        <w:jc w:val="left"/>
        <w:outlineLvl w:val="1"/>
        <w:rPr>
          <w:rFonts w:hAnsi="宋体" w:cs="宋体"/>
          <w:sz w:val="24"/>
        </w:rPr>
      </w:pPr>
      <w:r>
        <w:rPr>
          <w:rFonts w:hint="eastAsia" w:hAnsi="宋体" w:cs="宋体"/>
          <w:sz w:val="24"/>
        </w:rPr>
        <w:t xml:space="preserve">    （9）施工总平面图布置</w:t>
      </w:r>
    </w:p>
    <w:p>
      <w:pPr>
        <w:autoSpaceDE w:val="0"/>
        <w:autoSpaceDN w:val="0"/>
        <w:spacing w:line="420" w:lineRule="exact"/>
        <w:jc w:val="left"/>
        <w:outlineLvl w:val="1"/>
        <w:rPr>
          <w:rFonts w:hAnsi="宋体" w:cs="宋体"/>
          <w:sz w:val="24"/>
        </w:rPr>
      </w:pPr>
      <w:r>
        <w:rPr>
          <w:rFonts w:hint="eastAsia" w:hAnsi="宋体" w:cs="宋体"/>
          <w:sz w:val="24"/>
        </w:rPr>
        <w:t xml:space="preserve">    （10）技术创新的应用实施措施</w:t>
      </w:r>
    </w:p>
    <w:p>
      <w:pPr>
        <w:autoSpaceDE w:val="0"/>
        <w:autoSpaceDN w:val="0"/>
        <w:spacing w:line="420" w:lineRule="exact"/>
        <w:jc w:val="left"/>
        <w:outlineLvl w:val="1"/>
        <w:rPr>
          <w:rFonts w:hAnsi="宋体" w:cs="宋体"/>
          <w:sz w:val="24"/>
        </w:rPr>
      </w:pPr>
      <w:r>
        <w:rPr>
          <w:rFonts w:hint="eastAsia" w:hAnsi="宋体" w:cs="宋体"/>
          <w:sz w:val="24"/>
        </w:rPr>
        <w:t xml:space="preserve">    （11）采用新工艺、新技术、新设备、新材料、BIM等的程度</w:t>
      </w:r>
    </w:p>
    <w:p>
      <w:pPr>
        <w:autoSpaceDE w:val="0"/>
        <w:autoSpaceDN w:val="0"/>
        <w:spacing w:line="420" w:lineRule="exact"/>
        <w:jc w:val="left"/>
        <w:outlineLvl w:val="1"/>
        <w:rPr>
          <w:rFonts w:hAnsi="宋体" w:cs="宋体"/>
          <w:sz w:val="24"/>
        </w:rPr>
      </w:pPr>
      <w:r>
        <w:rPr>
          <w:rFonts w:hint="eastAsia" w:hAnsi="宋体" w:cs="宋体"/>
          <w:sz w:val="24"/>
        </w:rPr>
        <w:t xml:space="preserve">    （12）施工现场实施信息化监控和数据处理</w:t>
      </w:r>
    </w:p>
    <w:p>
      <w:pPr>
        <w:autoSpaceDE w:val="0"/>
        <w:autoSpaceDN w:val="0"/>
        <w:spacing w:line="420" w:lineRule="exact"/>
        <w:jc w:val="left"/>
        <w:outlineLvl w:val="1"/>
        <w:rPr>
          <w:rFonts w:hAnsi="宋体" w:cs="宋体"/>
          <w:sz w:val="24"/>
        </w:rPr>
      </w:pPr>
      <w:r>
        <w:rPr>
          <w:rFonts w:hint="eastAsia" w:hAnsi="宋体" w:cs="宋体"/>
          <w:sz w:val="24"/>
        </w:rPr>
        <w:t xml:space="preserve">    （13）风险管理措施</w:t>
      </w:r>
    </w:p>
    <w:p>
      <w:pPr>
        <w:autoSpaceDE w:val="0"/>
        <w:autoSpaceDN w:val="0"/>
        <w:spacing w:line="420" w:lineRule="exact"/>
        <w:jc w:val="left"/>
        <w:outlineLvl w:val="0"/>
        <w:rPr>
          <w:rFonts w:hAnsi="宋体" w:cs="宋体"/>
          <w:b/>
          <w:bCs/>
          <w:sz w:val="24"/>
        </w:rPr>
      </w:pPr>
      <w:r>
        <w:rPr>
          <w:rFonts w:hint="eastAsia" w:hAnsi="宋体" w:cs="宋体"/>
          <w:b/>
          <w:bCs/>
          <w:sz w:val="24"/>
        </w:rPr>
        <w:t>3.2 投标报价</w:t>
      </w:r>
    </w:p>
    <w:p>
      <w:pPr>
        <w:tabs>
          <w:tab w:val="left" w:pos="1260"/>
        </w:tabs>
        <w:autoSpaceDE w:val="0"/>
        <w:autoSpaceDN w:val="0"/>
        <w:adjustRightInd w:val="0"/>
        <w:spacing w:line="460" w:lineRule="exact"/>
        <w:ind w:firstLine="480" w:firstLineChars="200"/>
        <w:jc w:val="left"/>
        <w:rPr>
          <w:rFonts w:hAnsi="宋体" w:cs="宋体"/>
          <w:sz w:val="24"/>
        </w:rPr>
      </w:pPr>
      <w:bookmarkStart w:id="36" w:name="OLE_LINK21"/>
      <w:r>
        <w:rPr>
          <w:rFonts w:hint="eastAsia" w:hAnsi="宋体" w:cs="宋体"/>
          <w:sz w:val="24"/>
        </w:rPr>
        <w:t>3.2.1 投标人应按第五章“工程量清单”的要求填写相应表格。</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3.2.2 投标人在投标截止时间前修改投标函中的投标总报价，应同时修改第五章“工程量清单”中的相应报价。此修改须符合本章第4.3款的有关要求。</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3.2.3中标单位负责在项目建设中涉及地方关系等方面的协调，并承担由此产生的费用；同时对施工过程中的一切安全问题负责，投标人在投标文件中须对此做出响应，否则为无效投标。</w:t>
      </w:r>
    </w:p>
    <w:p>
      <w:pPr>
        <w:tabs>
          <w:tab w:val="left" w:pos="1260"/>
        </w:tabs>
        <w:autoSpaceDE w:val="0"/>
        <w:autoSpaceDN w:val="0"/>
        <w:adjustRightInd w:val="0"/>
        <w:spacing w:line="460" w:lineRule="exact"/>
        <w:ind w:firstLine="480" w:firstLineChars="200"/>
        <w:jc w:val="left"/>
        <w:rPr>
          <w:rFonts w:hAnsi="宋体" w:cs="宋体"/>
          <w:sz w:val="24"/>
          <w:szCs w:val="24"/>
        </w:rPr>
      </w:pPr>
      <w:r>
        <w:rPr>
          <w:rFonts w:hint="eastAsia" w:hAnsi="宋体" w:cs="宋体"/>
          <w:sz w:val="24"/>
          <w:szCs w:val="24"/>
        </w:rPr>
        <w:t>3.2.4“规费和税金”的规定按照住建部《建设工程工程量清单计价规范》（GB50500-2013）及省住建厅有关规定，规费和税金应按规定费（税）率足额计取，即费（税）率不可竞争。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sz w:val="24"/>
          <w:szCs w:val="24"/>
        </w:rPr>
      </w:pPr>
      <w:r>
        <w:rPr>
          <w:rFonts w:hint="eastAsia" w:hAnsi="宋体" w:cs="宋体"/>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sz w:val="24"/>
          <w:szCs w:val="24"/>
        </w:rPr>
      </w:pPr>
      <w:r>
        <w:rPr>
          <w:rFonts w:hint="eastAsia" w:hAnsi="宋体" w:cs="宋体"/>
          <w:sz w:val="24"/>
          <w:szCs w:val="24"/>
        </w:rPr>
        <w:t>3.2.5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sz w:val="24"/>
          <w:szCs w:val="24"/>
        </w:rPr>
      </w:pPr>
      <w:r>
        <w:rPr>
          <w:rFonts w:hint="eastAsia" w:hAnsi="宋体" w:cs="宋体"/>
          <w:sz w:val="24"/>
          <w:szCs w:val="24"/>
        </w:rPr>
        <w:t>投标人编制投标报价时，同一投标文件综合工日应前后保持一致。</w:t>
      </w:r>
    </w:p>
    <w:bookmarkEnd w:id="36"/>
    <w:p>
      <w:pPr>
        <w:autoSpaceDE w:val="0"/>
        <w:autoSpaceDN w:val="0"/>
        <w:spacing w:line="420" w:lineRule="exact"/>
        <w:jc w:val="left"/>
        <w:outlineLvl w:val="0"/>
        <w:rPr>
          <w:rFonts w:hAnsi="宋体" w:cs="宋体"/>
          <w:b/>
          <w:bCs/>
          <w:sz w:val="24"/>
        </w:rPr>
      </w:pPr>
      <w:r>
        <w:rPr>
          <w:rFonts w:hint="eastAsia" w:hAnsi="宋体" w:cs="宋体"/>
          <w:b/>
          <w:bCs/>
          <w:sz w:val="24"/>
        </w:rPr>
        <w:t>3.3 投标有效期</w:t>
      </w:r>
      <w:bookmarkEnd w:id="35"/>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3.3.1</w:t>
      </w:r>
      <w:r>
        <w:rPr>
          <w:rFonts w:hint="eastAsia" w:ascii="新宋体" w:hAnsi="新宋体" w:eastAsia="新宋体" w:cs="仿宋_GB2312"/>
          <w:sz w:val="24"/>
        </w:rPr>
        <w:t xml:space="preserve"> 在投标人须知前附表规定的投标有效期内，投标人不得要求撤销或修改其投标文件。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ascii="新宋体" w:hAnsi="新宋体" w:eastAsia="新宋体" w:cs="仿宋_GB2312"/>
          <w:sz w:val="24"/>
        </w:rPr>
        <w:t>3.3.2</w:t>
      </w:r>
      <w:r>
        <w:rPr>
          <w:rFonts w:hint="eastAsia" w:ascii="新宋体" w:hAnsi="新宋体" w:eastAsia="新宋体" w:cs="仿宋_GB2312"/>
          <w:sz w:val="24"/>
        </w:rPr>
        <w:t xml:space="preserve"> 出现特殊情况需要延长投标有效期的，</w:t>
      </w:r>
      <w:r>
        <w:rPr>
          <w:rFonts w:hint="eastAsia" w:ascii="新宋体" w:hAnsi="新宋体" w:eastAsia="新宋体"/>
          <w:sz w:val="24"/>
        </w:rPr>
        <w:t>招标人在公共资源交易系统电子平台发出延长投标有效期的通知</w:t>
      </w:r>
      <w:r>
        <w:rPr>
          <w:rFonts w:hint="eastAsia" w:ascii="新宋体" w:hAnsi="新宋体" w:eastAsia="新宋体" w:cs="仿宋_GB2312"/>
          <w:sz w:val="24"/>
        </w:rPr>
        <w:t>。投标人同意延长的，应相应延长其投标保证金的有效期，但不得要求或被允许修改或撤销其投标文件；投标人拒绝延长的，其投标失效，但投标人有权收回其投标保证金。</w:t>
      </w:r>
    </w:p>
    <w:p>
      <w:pPr>
        <w:autoSpaceDE w:val="0"/>
        <w:autoSpaceDN w:val="0"/>
        <w:spacing w:line="420" w:lineRule="exact"/>
        <w:jc w:val="left"/>
        <w:outlineLvl w:val="0"/>
        <w:rPr>
          <w:rFonts w:hAnsi="宋体" w:cs="宋体"/>
          <w:b/>
          <w:bCs/>
          <w:sz w:val="24"/>
        </w:rPr>
      </w:pPr>
      <w:r>
        <w:rPr>
          <w:rFonts w:hint="eastAsia" w:hAnsi="宋体" w:cs="宋体"/>
          <w:b/>
          <w:bCs/>
          <w:sz w:val="24"/>
        </w:rPr>
        <w:t>3.4 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 投标保证金的基本户备案：按《投标人须知前附表》第3.4.2条规定。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3.4.1.1 自招标文件发布之日起，投标人需进行基本户备案（建设工程项目），已备案的基本户开户银行、账户发生变化的，须重新办理备案手续。备案后方可提交投标（竞买）保证金。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 xml:space="preserve">3.4.1.2 基本户备案流程：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证金。</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3.4.2 投标保证金缴纳：按《投标人须知前附表》第3.4.2条规定。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3.4.2.1 投标保证金的递交方式：银行转帐、银行电汇（均需从投标人的基本账户汇出），不接受以现金方式缴纳的投标保证金。凡以现金方式缴纳投标保证金而影响其投标结果的，由投标人自行负责。 </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使用银行转帐方式的，于截止时间前通过投标人基本账户将款项一次足额递交、成功绑定，以收款人到账时间为准，在途资金无效，视为未按时交纳。同时投标人应承担节假日银行系统不能支付的风险。</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3.4.2.2 投标保证金缴纳方式：</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投标人网上报名后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3.4.2.3 每个投标人每个项目每个标段只有唯一缴纳账号，</w:t>
      </w:r>
      <w:r>
        <w:rPr>
          <w:rFonts w:hint="eastAsia" w:ascii="新宋体" w:hAnsi="新宋体" w:eastAsia="新宋体" w:cs="仿宋_GB2312"/>
          <w:sz w:val="24"/>
        </w:rPr>
        <w:t>切勿重复缴纳或错误缴纳。</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3.4.2.4</w:t>
      </w:r>
      <w:r>
        <w:rPr>
          <w:rFonts w:hint="eastAsia" w:ascii="新宋体" w:hAnsi="新宋体" w:eastAsia="新宋体" w:cs="仿宋_GB2312"/>
          <w:sz w:val="24"/>
        </w:rPr>
        <w:t>未按上述规定操作引起的无效投标，由投标人自行负责。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3.4.2.5汇款凭证无须备注项目编号和项目名称。</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lang w:val="zh-CN"/>
        </w:rPr>
        <w:t xml:space="preserve">3.4.2.6 </w:t>
      </w:r>
      <w:r>
        <w:rPr>
          <w:rFonts w:hint="eastAsia" w:ascii="新宋体" w:hAnsi="新宋体" w:eastAsia="新宋体" w:cs="仿宋_GB2312"/>
          <w:sz w:val="24"/>
        </w:rPr>
        <w:t>出现以下情形造成的投标保证金无效，由投标人自行负责。</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(1)投标保证金未从投标人的基本账户转出；</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(2)投标保证金未按照招标文件划分的标段转账。</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3.4.2.7 《保证金缴纳绑定操作指南》获取方法：</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lang w:val="zh-CN"/>
        </w:rPr>
      </w:pPr>
      <w:r>
        <w:rPr>
          <w:rFonts w:hint="eastAsia" w:ascii="新宋体" w:hAnsi="新宋体" w:eastAsia="新宋体" w:cs="仿宋_GB2312"/>
          <w:sz w:val="24"/>
          <w:lang w:val="zh-CN"/>
        </w:rPr>
        <w:t>登录许昌公共资源交易系统-组件下载-《保证金缴纳绑定操作指南》</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3.4.3 投标人不按本章第3.4.2项要求提交投标保证金的，拒收其投标文件。</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3.4.4 投标保证金的退还：</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（1）中标候选人公示期满后没有质疑或投诉的，退还非中标候选人投标保证金及银行同期存款利息；在书面合同签订后5日内向中标人和其他中标候选人退还投标保证金及银行同期存款利息。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（2）法定期限内未签订书面合同的，按照有关规定向中标人和其他中标候选人退还投标保证金及银行同期活期存款利息。</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（3）项目废标或招标人终止招标的，在此后5个工作日内退还投标保证金及银行同期活期存利息。</w:t>
      </w:r>
      <w:r>
        <w:rPr>
          <w:rFonts w:hint="eastAsia" w:ascii="新宋体" w:hAnsi="新宋体" w:eastAsia="新宋体" w:cs="仿宋_GB2312"/>
          <w:sz w:val="24"/>
        </w:rPr>
        <w:br w:type="textWrapping"/>
      </w:r>
      <w:r>
        <w:rPr>
          <w:rFonts w:hint="eastAsia" w:ascii="新宋体" w:hAnsi="新宋体" w:eastAsia="新宋体" w:cs="仿宋_GB2312"/>
          <w:sz w:val="24"/>
        </w:rPr>
        <w:t xml:space="preserve">    （4）投标活动中出现质疑、投诉的，中标候选人、质疑人和被质疑人、投诉人和被投诉人的投标保证金暂停退还。</w:t>
      </w:r>
    </w:p>
    <w:p>
      <w:pPr>
        <w:tabs>
          <w:tab w:val="left" w:pos="1260"/>
        </w:tabs>
        <w:autoSpaceDE w:val="0"/>
        <w:autoSpaceDN w:val="0"/>
        <w:adjustRightInd w:val="0"/>
        <w:spacing w:line="460" w:lineRule="exact"/>
        <w:ind w:firstLine="480" w:firstLineChars="200"/>
        <w:jc w:val="left"/>
        <w:rPr>
          <w:rFonts w:hAnsi="宋体"/>
          <w:sz w:val="24"/>
        </w:rPr>
      </w:pPr>
      <w:r>
        <w:rPr>
          <w:rFonts w:hint="eastAsia" w:ascii="新宋体" w:hAnsi="新宋体" w:eastAsia="新宋体" w:cs="仿宋_GB2312"/>
          <w:sz w:val="24"/>
        </w:rPr>
        <w:t>（5）相关投标人有违法违规行为的项目，其投标保证金暂不退还，待行政监督部</w:t>
      </w:r>
      <w:r>
        <w:rPr>
          <w:rFonts w:hint="eastAsia" w:hAnsi="宋体"/>
          <w:sz w:val="24"/>
        </w:rPr>
        <w:t>门对相关情况处置后，按照有关规定办理。</w:t>
      </w:r>
    </w:p>
    <w:p>
      <w:pPr>
        <w:tabs>
          <w:tab w:val="left" w:pos="1260"/>
        </w:tabs>
        <w:autoSpaceDE w:val="0"/>
        <w:autoSpaceDN w:val="0"/>
        <w:adjustRightInd w:val="0"/>
        <w:spacing w:line="460" w:lineRule="exact"/>
        <w:ind w:firstLine="360" w:firstLineChars="150"/>
        <w:jc w:val="left"/>
        <w:rPr>
          <w:rFonts w:ascii="新宋体" w:hAnsi="新宋体" w:eastAsia="新宋体" w:cs="仿宋_GB2312"/>
          <w:sz w:val="24"/>
        </w:rPr>
      </w:pPr>
      <w:r>
        <w:rPr>
          <w:rFonts w:hint="eastAsia" w:ascii="新宋体" w:hAnsi="新宋体" w:eastAsia="新宋体" w:cs="仿宋_GB2312"/>
          <w:sz w:val="24"/>
        </w:rPr>
        <w:t>（6）因投标人的原因无法及时退还投标（竞买）保证金、滞留三年以上的，投标（竞买）保证金上缴同级国库。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sz w:val="24"/>
        </w:rPr>
        <w:t>（7）退还投标保证金，除另有规定外，一般以转账方式一次性退还至投标保证金的原提交账户。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（8）特殊情况处理</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ascii="新宋体" w:hAnsi="新宋体" w:eastAsia="新宋体" w:cs="仿宋_GB2312"/>
          <w:sz w:val="24"/>
        </w:rPr>
        <w:t>投标人投标过程中因账户开户银行、银行账号发生变化，不能按照来款途径原路返还投标保证金的，投标人须提供原账户开户银行相关证明及新开账户开户许可证，到中心一楼交易见证部办理退款手续（0374-2968027）。</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3.4.5投标人有下列情形之一的，不予退还投标保证金：</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（1）在招标文件要求提交投标文件的截止时间后至投标文件有效期满前撤回投标的；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（2）中标通知书发出后，中标人无故放弃中标项目或无正当理由在规定时间内不与招标人签订合同或未按招标文件规定提交履约担保的；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（3）将中标项目转让给他人，或者在投标文件中未说明，且未经招标人同意，将中标项目分包给他人的；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（4）投标人在招投标活动中弄虚作假、围标串标、骗取中标等，并经招投标行政监督部门调查核实的； </w:t>
      </w:r>
    </w:p>
    <w:p>
      <w:pPr>
        <w:tabs>
          <w:tab w:val="left" w:pos="1260"/>
        </w:tabs>
        <w:autoSpaceDE w:val="0"/>
        <w:autoSpaceDN w:val="0"/>
        <w:adjustRightInd w:val="0"/>
        <w:spacing w:line="460" w:lineRule="exact"/>
        <w:ind w:firstLine="360" w:firstLineChars="150"/>
        <w:jc w:val="left"/>
        <w:rPr>
          <w:rFonts w:hAnsi="宋体" w:cs="宋体"/>
          <w:sz w:val="24"/>
        </w:rPr>
      </w:pPr>
      <w:r>
        <w:rPr>
          <w:rFonts w:hint="eastAsia" w:hAnsi="宋体" w:cs="宋体"/>
          <w:sz w:val="24"/>
        </w:rPr>
        <w:t xml:space="preserve"> （5）拒绝履行合同义务的；</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ascii="新宋体" w:hAnsi="新宋体" w:eastAsia="新宋体" w:cs="仿宋_GB2312"/>
          <w:sz w:val="24"/>
        </w:rPr>
        <w:t>（6）</w:t>
      </w:r>
      <w:r>
        <w:rPr>
          <w:rFonts w:hint="eastAsia" w:hAnsi="宋体" w:cs="宋体"/>
          <w:sz w:val="24"/>
          <w:lang w:val="zh-CN"/>
        </w:rPr>
        <w:t>凡投标人投标保证金交纳至同一标段相同子账号的，保证金暂不予退还，</w:t>
      </w:r>
      <w:r>
        <w:rPr>
          <w:rFonts w:hint="eastAsia" w:hAnsi="宋体" w:eastAsia="Times New Roman" w:cs="宋体"/>
          <w:sz w:val="24"/>
          <w:lang w:val="zh-CN"/>
        </w:rPr>
        <w:t>并</w:t>
      </w:r>
      <w:r>
        <w:rPr>
          <w:rFonts w:hint="eastAsia" w:hAnsi="宋体" w:cs="宋体"/>
          <w:sz w:val="24"/>
          <w:lang w:val="zh-CN"/>
        </w:rPr>
        <w:t>依照《许昌市公共资源交易当事人不良行为管理暂行办法》（许公管委〔2017〕1号）规定，进行调查、认定、记录、公示</w:t>
      </w:r>
      <w:r>
        <w:rPr>
          <w:rFonts w:hint="eastAsia" w:hAnsi="宋体" w:eastAsia="Times New Roman" w:cs="宋体"/>
          <w:sz w:val="24"/>
          <w:lang w:val="zh-CN"/>
        </w:rPr>
        <w:t>、</w:t>
      </w:r>
      <w:r>
        <w:rPr>
          <w:rFonts w:hint="eastAsia" w:hAnsi="宋体" w:cs="宋体"/>
          <w:sz w:val="24"/>
          <w:lang w:val="zh-CN"/>
        </w:rPr>
        <w:t>公告。对涉嫌串通投标</w:t>
      </w:r>
      <w:r>
        <w:rPr>
          <w:rFonts w:hint="eastAsia" w:hAnsi="宋体" w:eastAsia="Times New Roman" w:cs="宋体"/>
          <w:sz w:val="24"/>
          <w:lang w:val="zh-CN"/>
        </w:rPr>
        <w:t>等违规行为的</w:t>
      </w:r>
      <w:r>
        <w:rPr>
          <w:rFonts w:hint="eastAsia" w:hAnsi="宋体" w:cs="宋体"/>
          <w:sz w:val="24"/>
          <w:lang w:val="zh-CN"/>
        </w:rPr>
        <w:t>，经调查核实后，记录不良行为，移交有关部门进行查处。不予退还的保证金上缴国库。</w:t>
      </w:r>
    </w:p>
    <w:p>
      <w:pPr>
        <w:tabs>
          <w:tab w:val="left" w:pos="1260"/>
        </w:tabs>
        <w:autoSpaceDE w:val="0"/>
        <w:autoSpaceDN w:val="0"/>
        <w:adjustRightInd w:val="0"/>
        <w:spacing w:line="460" w:lineRule="exact"/>
        <w:ind w:firstLine="480" w:firstLineChars="200"/>
        <w:jc w:val="left"/>
        <w:rPr>
          <w:rFonts w:hAnsi="宋体" w:cs="宋体"/>
          <w:sz w:val="24"/>
        </w:rPr>
      </w:pPr>
      <w:r>
        <w:rPr>
          <w:rFonts w:hint="eastAsia" w:hAnsi="宋体" w:cs="宋体"/>
          <w:sz w:val="24"/>
        </w:rPr>
        <w:t xml:space="preserve">（7）相关法律、法规规定不予退还的其它情形。 </w:t>
      </w:r>
    </w:p>
    <w:p>
      <w:pPr>
        <w:tabs>
          <w:tab w:val="left" w:pos="1260"/>
        </w:tabs>
        <w:autoSpaceDE w:val="0"/>
        <w:autoSpaceDN w:val="0"/>
        <w:adjustRightInd w:val="0"/>
        <w:spacing w:line="460" w:lineRule="exact"/>
        <w:jc w:val="left"/>
        <w:rPr>
          <w:rFonts w:hAnsi="宋体" w:cs="宋体"/>
          <w:b/>
          <w:sz w:val="24"/>
        </w:rPr>
      </w:pPr>
      <w:bookmarkStart w:id="37" w:name="_Toc283559960"/>
      <w:r>
        <w:rPr>
          <w:rFonts w:hint="eastAsia" w:hAnsi="宋体" w:cs="宋体"/>
          <w:b/>
          <w:sz w:val="24"/>
        </w:rPr>
        <w:t>3.5 资格审查资料（具体评标依据第三章评标办法）</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 xml:space="preserve"> 3.5.1 “投标人基本情况表”应附投标人营业执照副本、资质证书副本和安全生产许可证等材料的原件扫描件。</w:t>
      </w:r>
    </w:p>
    <w:p>
      <w:pPr>
        <w:tabs>
          <w:tab w:val="left" w:pos="1260"/>
        </w:tabs>
        <w:autoSpaceDE w:val="0"/>
        <w:autoSpaceDN w:val="0"/>
        <w:adjustRightInd w:val="0"/>
        <w:spacing w:line="460" w:lineRule="exact"/>
        <w:ind w:firstLine="480" w:firstLineChars="200"/>
        <w:jc w:val="left"/>
        <w:rPr>
          <w:rFonts w:hAnsi="宋体" w:cs="宋体"/>
          <w:sz w:val="24"/>
          <w:lang w:val="zh-CN"/>
        </w:rPr>
      </w:pPr>
      <w:r>
        <w:rPr>
          <w:rFonts w:hint="eastAsia" w:hAnsi="宋体" w:cs="宋体"/>
          <w:sz w:val="24"/>
          <w:lang w:val="zh-CN"/>
        </w:rPr>
        <w:t>3.5.2 “近年财务状况表”应附经会计师事务所或审计机构审计的财务会计报表，包括资产负债表、现金流量表、利润表等的原件扫描件，具体年份要求见投标人须知前附表。</w:t>
      </w:r>
    </w:p>
    <w:p>
      <w:pPr>
        <w:tabs>
          <w:tab w:val="left" w:pos="1260"/>
        </w:tabs>
        <w:autoSpaceDE w:val="0"/>
        <w:autoSpaceDN w:val="0"/>
        <w:adjustRightInd w:val="0"/>
        <w:spacing w:line="460" w:lineRule="exact"/>
        <w:ind w:firstLine="480" w:firstLineChars="200"/>
        <w:jc w:val="left"/>
        <w:rPr>
          <w:rFonts w:hAnsi="宋体" w:cs="宋体"/>
          <w:sz w:val="24"/>
          <w:highlight w:val="none"/>
          <w:lang w:val="zh-CN"/>
        </w:rPr>
      </w:pPr>
      <w:r>
        <w:rPr>
          <w:rFonts w:hint="eastAsia" w:hAnsi="宋体" w:cs="宋体"/>
          <w:sz w:val="24"/>
          <w:highlight w:val="none"/>
          <w:lang w:val="zh-CN"/>
        </w:rPr>
        <w:t>3.5.3 “近年完成的类似项目情况表”应附施工合同和竣工验收表为准或施工合同和中标通知书的原件扫描件，具体年份要求见投标人须知前附表。每张表格只填写一个项目，并标明序号。</w:t>
      </w:r>
      <w:bookmarkStart w:id="89" w:name="_GoBack"/>
      <w:bookmarkEnd w:id="89"/>
    </w:p>
    <w:p>
      <w:pPr>
        <w:tabs>
          <w:tab w:val="left" w:pos="1260"/>
        </w:tabs>
        <w:autoSpaceDE w:val="0"/>
        <w:autoSpaceDN w:val="0"/>
        <w:adjustRightInd w:val="0"/>
        <w:spacing w:line="460" w:lineRule="exact"/>
        <w:jc w:val="left"/>
        <w:rPr>
          <w:rFonts w:hAnsi="宋体" w:cs="宋体"/>
          <w:sz w:val="24"/>
          <w:lang w:val="zh-CN"/>
        </w:rPr>
      </w:pPr>
      <w:r>
        <w:rPr>
          <w:rFonts w:hint="eastAsia" w:hAnsi="宋体" w:cs="宋体"/>
          <w:sz w:val="24"/>
          <w:lang w:val="zh-CN"/>
        </w:rPr>
        <w:t xml:space="preserve">    3.5.4 “正在施工和新承接的项目情况表”应附中标通知书和合同协议书的原件扫描件。每张表格只填写一个项目，并标明序号。</w:t>
      </w:r>
    </w:p>
    <w:p>
      <w:pPr>
        <w:tabs>
          <w:tab w:val="left" w:pos="1260"/>
        </w:tabs>
        <w:autoSpaceDE w:val="0"/>
        <w:autoSpaceDN w:val="0"/>
        <w:adjustRightInd w:val="0"/>
        <w:spacing w:line="460" w:lineRule="exact"/>
        <w:ind w:firstLine="480" w:firstLineChars="200"/>
        <w:jc w:val="left"/>
        <w:rPr>
          <w:rFonts w:ascii="新宋体" w:hAnsi="新宋体" w:eastAsia="新宋体" w:cs="仿宋_GB2312"/>
          <w:sz w:val="24"/>
        </w:rPr>
      </w:pPr>
      <w:r>
        <w:rPr>
          <w:rFonts w:hint="eastAsia" w:hAnsi="宋体" w:cs="宋体"/>
          <w:sz w:val="24"/>
          <w:lang w:val="zh-CN"/>
        </w:rPr>
        <w:t>3.5.5 “近年发生的诉讼及仲裁情况”应说明相关情况，并附法院或仲裁机构作出的判决、裁决等有关法律文书原件扫描件，具体年份要求见投标人须知前附表。</w:t>
      </w:r>
    </w:p>
    <w:p>
      <w:pPr>
        <w:autoSpaceDE w:val="0"/>
        <w:autoSpaceDN w:val="0"/>
        <w:spacing w:line="440" w:lineRule="exact"/>
        <w:jc w:val="left"/>
        <w:rPr>
          <w:rFonts w:hAnsi="宋体" w:cs="宋体"/>
          <w:b/>
          <w:sz w:val="24"/>
        </w:rPr>
      </w:pPr>
      <w:r>
        <w:rPr>
          <w:rFonts w:hint="eastAsia" w:hAnsi="宋体" w:cs="宋体"/>
          <w:b/>
          <w:sz w:val="24"/>
        </w:rPr>
        <w:t xml:space="preserve">3.6 </w:t>
      </w:r>
      <w:bookmarkStart w:id="38" w:name="_Toc152045553"/>
      <w:bookmarkStart w:id="39" w:name="_Toc144974521"/>
      <w:bookmarkStart w:id="40" w:name="_Toc152042329"/>
      <w:bookmarkStart w:id="41" w:name="_Toc179632571"/>
      <w:r>
        <w:rPr>
          <w:rFonts w:hint="eastAsia" w:hAnsi="宋体" w:cs="宋体"/>
          <w:b/>
          <w:sz w:val="24"/>
        </w:rPr>
        <w:t>备选投标方案</w:t>
      </w:r>
    </w:p>
    <w:bookmarkEnd w:id="38"/>
    <w:bookmarkEnd w:id="39"/>
    <w:bookmarkEnd w:id="40"/>
    <w:bookmarkEnd w:id="41"/>
    <w:p>
      <w:pPr>
        <w:autoSpaceDE w:val="0"/>
        <w:autoSpaceDN w:val="0"/>
        <w:spacing w:line="440" w:lineRule="exact"/>
        <w:ind w:firstLine="480" w:firstLineChars="200"/>
        <w:jc w:val="left"/>
        <w:outlineLvl w:val="0"/>
        <w:rPr>
          <w:rFonts w:hAnsi="宋体" w:cs="宋体"/>
          <w:sz w:val="24"/>
        </w:rPr>
      </w:pPr>
      <w:r>
        <w:rPr>
          <w:rFonts w:hint="eastAsia" w:hAnsi="宋体" w:cs="宋体"/>
          <w:sz w:val="24"/>
        </w:rPr>
        <w:t>除投标人须知前附表另有规定外，投标人不得递交备选投标方案。允许投标人递交备选投标方案的，只有中标人所提交的备选方案方可予以考虑。评标委员会认为中标人的备选方案优于其按照招标文件要求编制的投标方案的，招标人可以接受该备选投标方案。</w:t>
      </w:r>
    </w:p>
    <w:bookmarkEnd w:id="37"/>
    <w:p>
      <w:pPr>
        <w:autoSpaceDE w:val="0"/>
        <w:autoSpaceDN w:val="0"/>
        <w:spacing w:line="440" w:lineRule="exact"/>
        <w:jc w:val="left"/>
        <w:rPr>
          <w:rFonts w:hAnsi="宋体" w:cs="宋体"/>
          <w:b/>
          <w:sz w:val="24"/>
        </w:rPr>
      </w:pPr>
      <w:bookmarkStart w:id="42" w:name="_Toc283559961"/>
      <w:r>
        <w:rPr>
          <w:rFonts w:hint="eastAsia" w:hAnsi="宋体" w:cs="宋体"/>
          <w:b/>
          <w:sz w:val="24"/>
        </w:rPr>
        <w:t>3.7 投标文件的编制</w:t>
      </w:r>
    </w:p>
    <w:p>
      <w:pPr>
        <w:spacing w:line="400" w:lineRule="exact"/>
        <w:ind w:firstLine="480" w:firstLineChars="200"/>
        <w:rPr>
          <w:rFonts w:hAnsi="宋体" w:cs="宋体"/>
          <w:sz w:val="24"/>
        </w:rPr>
      </w:pPr>
      <w:r>
        <w:rPr>
          <w:rFonts w:hint="eastAsia" w:hAnsi="宋体" w:cs="宋体"/>
          <w:sz w:val="24"/>
        </w:rPr>
        <w:t>3.7.1 投标文件应按第八章“投标文件格式”进行编写，如有必要，可以增加附页，作为投标文件的组成部分。其中，投标函附录在满足招标文件要求的基础上，可以提出比招标文件要求更有利于招标人的承诺。投标人编制的投标文件应当满足招标文件规定的基本格式要求。</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3.7.2 投标文件应当对招标文件有关投标有效期、质量要求、招标范围作出响应。</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（为确保工期，承包人须在签订合同五日内组织进场施工，并在投标文件中对此进行单独承诺，否则投标无效。）</w:t>
      </w:r>
    </w:p>
    <w:p>
      <w:pPr>
        <w:tabs>
          <w:tab w:val="left" w:pos="7095"/>
        </w:tabs>
        <w:spacing w:line="360" w:lineRule="auto"/>
        <w:ind w:firstLine="480" w:firstLineChars="200"/>
        <w:rPr>
          <w:rFonts w:hAnsi="宋体" w:cs="宋体"/>
          <w:sz w:val="24"/>
        </w:rPr>
      </w:pPr>
      <w:r>
        <w:rPr>
          <w:rFonts w:hint="eastAsia" w:hAnsi="宋体" w:cs="宋体"/>
          <w:sz w:val="24"/>
        </w:rPr>
        <w:t>3.7.3 投标人编制的投标文件应分为商务标、综合（信用）标和技术标。</w:t>
      </w:r>
    </w:p>
    <w:p>
      <w:pPr>
        <w:tabs>
          <w:tab w:val="left" w:pos="7095"/>
        </w:tabs>
        <w:spacing w:line="360" w:lineRule="auto"/>
        <w:ind w:firstLine="480" w:firstLineChars="200"/>
        <w:rPr>
          <w:rFonts w:hAnsi="宋体"/>
          <w:sz w:val="24"/>
          <w:szCs w:val="24"/>
        </w:rPr>
      </w:pPr>
      <w:r>
        <w:rPr>
          <w:rFonts w:hint="eastAsia" w:hAnsi="宋体" w:cs="宋体"/>
          <w:sz w:val="24"/>
        </w:rPr>
        <w:t xml:space="preserve">3.7.4 </w:t>
      </w:r>
      <w:r>
        <w:rPr>
          <w:rFonts w:hint="eastAsia" w:hAnsi="宋体"/>
          <w:sz w:val="24"/>
          <w:szCs w:val="24"/>
        </w:rPr>
        <w:t>投标人登录许昌公共资源交易系统下载“许昌投标文件制作系统SEARUN V1.1”，按招标文件要求制作电子投标文件（包括含工程量清单的商务标投标文件）。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3.7.5 使用电子介质存储的备份文件2份。</w:t>
      </w:r>
    </w:p>
    <w:p>
      <w:pPr>
        <w:autoSpaceDE w:val="0"/>
        <w:autoSpaceDN w:val="0"/>
        <w:spacing w:line="440" w:lineRule="exact"/>
        <w:jc w:val="left"/>
        <w:rPr>
          <w:rFonts w:hAnsi="宋体" w:cs="宋体"/>
          <w:b/>
          <w:sz w:val="24"/>
        </w:rPr>
      </w:pPr>
      <w:r>
        <w:rPr>
          <w:rFonts w:hint="eastAsia" w:hAnsi="宋体" w:cs="宋体"/>
          <w:b/>
          <w:sz w:val="24"/>
        </w:rPr>
        <w:t xml:space="preserve">    3.7.6 商务标投标文件制作注意事项：</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3.7.6.1 投标人登录《全国公共资源交易平台（河南省·许昌市）》公共资源交易系统下载“许昌投标文件制作系统SEARUN V1.1” 和操作手册（工程项目），按招标文件要求制作商务标投标文件。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3.7.6.2 商务标投标文件制作技术咨询：0374-2961598。</w:t>
      </w:r>
    </w:p>
    <w:p>
      <w:pPr>
        <w:pStyle w:val="67"/>
        <w:spacing w:line="480" w:lineRule="exact"/>
        <w:jc w:val="both"/>
        <w:outlineLvl w:val="0"/>
        <w:rPr>
          <w:rFonts w:hAnsi="宋体"/>
          <w:b/>
          <w:color w:val="auto"/>
        </w:rPr>
      </w:pPr>
      <w:r>
        <w:rPr>
          <w:rFonts w:hAnsi="宋体"/>
          <w:b/>
          <w:color w:val="auto"/>
        </w:rPr>
        <w:t xml:space="preserve">4. </w:t>
      </w:r>
      <w:r>
        <w:rPr>
          <w:rFonts w:hint="eastAsia" w:hAnsi="宋体"/>
          <w:b/>
          <w:color w:val="auto"/>
        </w:rPr>
        <w:t>投标</w:t>
      </w:r>
      <w:bookmarkEnd w:id="42"/>
    </w:p>
    <w:p>
      <w:pPr>
        <w:autoSpaceDE w:val="0"/>
        <w:autoSpaceDN w:val="0"/>
        <w:adjustRightInd w:val="0"/>
        <w:spacing w:line="440" w:lineRule="exact"/>
        <w:jc w:val="left"/>
        <w:outlineLvl w:val="0"/>
        <w:rPr>
          <w:rFonts w:hAnsi="宋体" w:cs="宋体"/>
          <w:b/>
          <w:sz w:val="24"/>
        </w:rPr>
      </w:pPr>
      <w:bookmarkStart w:id="43" w:name="_Toc283559962"/>
      <w:r>
        <w:rPr>
          <w:rFonts w:hAnsi="宋体" w:cs="宋体"/>
          <w:b/>
          <w:sz w:val="24"/>
        </w:rPr>
        <w:t xml:space="preserve">4.1 </w:t>
      </w:r>
      <w:r>
        <w:rPr>
          <w:rFonts w:hint="eastAsia" w:hAnsi="宋体" w:cs="宋体"/>
          <w:b/>
          <w:sz w:val="24"/>
        </w:rPr>
        <w:t>投标文件的密封和标记</w:t>
      </w:r>
      <w:bookmarkEnd w:id="43"/>
    </w:p>
    <w:p>
      <w:pPr>
        <w:autoSpaceDE w:val="0"/>
        <w:autoSpaceDN w:val="0"/>
        <w:spacing w:line="440" w:lineRule="exact"/>
        <w:ind w:firstLine="480" w:firstLineChars="200"/>
        <w:jc w:val="left"/>
        <w:outlineLvl w:val="0"/>
        <w:rPr>
          <w:rFonts w:hAnsi="宋体" w:cs="宋体"/>
          <w:sz w:val="24"/>
        </w:rPr>
      </w:pPr>
      <w:bookmarkStart w:id="44" w:name="_Toc283559963"/>
      <w:r>
        <w:rPr>
          <w:rFonts w:hint="eastAsia" w:hAnsi="宋体" w:cs="宋体"/>
          <w:sz w:val="24"/>
        </w:rPr>
        <w:t>4.1.1 使用电子介质存储的投标文件应单独密封，封套上写明“投标人名称、项目名称、标段，在  年  月  日  时  分前不得开启”，并加盖单位公章，法定代表人或委托代理人签名，在投标截止时间前递交。</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4.1.2 未按本章第4.1.1项要求密封和加写标记的电子介质存储的投标文件，招标人不予受理。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4.2 </w:t>
      </w:r>
      <w:r>
        <w:rPr>
          <w:rFonts w:hint="eastAsia" w:hAnsi="宋体" w:cs="宋体"/>
          <w:b/>
          <w:sz w:val="24"/>
        </w:rPr>
        <w:t>投标文件的提交</w:t>
      </w:r>
      <w:bookmarkEnd w:id="44"/>
    </w:p>
    <w:p>
      <w:pPr>
        <w:autoSpaceDE w:val="0"/>
        <w:autoSpaceDN w:val="0"/>
        <w:spacing w:line="440" w:lineRule="exact"/>
        <w:ind w:firstLine="480" w:firstLineChars="200"/>
        <w:jc w:val="left"/>
        <w:outlineLvl w:val="0"/>
        <w:rPr>
          <w:rFonts w:hAnsi="宋体" w:cs="宋体"/>
          <w:sz w:val="24"/>
        </w:rPr>
      </w:pPr>
      <w:bookmarkStart w:id="45" w:name="_Toc283559964"/>
      <w:r>
        <w:rPr>
          <w:rFonts w:hint="eastAsia" w:hAnsi="宋体" w:cs="宋体"/>
          <w:sz w:val="24"/>
        </w:rPr>
        <w:t>4.2.1 投标人应在投标人须知前附表中规定的投标截止时间前成功上传电子投标文件和现场提交电子介质存储的投标文件。</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4.2.2 投标人提交电子介质存储的投标文件地点：见投标人须知前附表。</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4.2.3 除投标人须知前附表另有规定外，投标人所提交的电子投标文件、电子介质存储的投标文件不予退还。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4.2.4 逾期送达的或者未送达指定地点的电子介质存储的投标文件，招标人不予受理。</w:t>
      </w:r>
    </w:p>
    <w:p>
      <w:pPr>
        <w:autoSpaceDE w:val="0"/>
        <w:autoSpaceDN w:val="0"/>
        <w:spacing w:line="440" w:lineRule="exact"/>
        <w:jc w:val="left"/>
        <w:outlineLvl w:val="0"/>
        <w:rPr>
          <w:rFonts w:hAnsi="宋体" w:cs="宋体"/>
          <w:b/>
          <w:sz w:val="24"/>
        </w:rPr>
      </w:pPr>
      <w:r>
        <w:rPr>
          <w:rFonts w:hAnsi="宋体" w:cs="宋体"/>
          <w:b/>
          <w:sz w:val="24"/>
        </w:rPr>
        <w:t xml:space="preserve">4.3 </w:t>
      </w:r>
      <w:r>
        <w:rPr>
          <w:rFonts w:hint="eastAsia" w:hAnsi="宋体" w:cs="宋体"/>
          <w:b/>
          <w:sz w:val="24"/>
        </w:rPr>
        <w:t>投标文件的修改与撤回</w:t>
      </w:r>
      <w:bookmarkEnd w:id="45"/>
    </w:p>
    <w:p>
      <w:pPr>
        <w:pStyle w:val="67"/>
        <w:spacing w:line="440" w:lineRule="exact"/>
        <w:jc w:val="both"/>
        <w:outlineLvl w:val="0"/>
        <w:rPr>
          <w:rFonts w:hAnsi="宋体"/>
          <w:color w:val="auto"/>
        </w:rPr>
      </w:pPr>
      <w:bookmarkStart w:id="46" w:name="_Toc283559967"/>
      <w:r>
        <w:rPr>
          <w:rFonts w:hint="eastAsia" w:hAnsi="宋体"/>
          <w:color w:val="auto"/>
        </w:rPr>
        <w:t>投标人应当在投标截止时间前完成电子投标文件的提交，可以补充、修改或撤回。投标截止时间前未完成电子投标文件提交、取得“投标文件提交回执单”的，视为撤回投标文件。</w:t>
      </w:r>
    </w:p>
    <w:p>
      <w:pPr>
        <w:pStyle w:val="67"/>
        <w:spacing w:line="440" w:lineRule="exact"/>
        <w:jc w:val="both"/>
        <w:outlineLvl w:val="0"/>
        <w:rPr>
          <w:rFonts w:hAnsi="宋体"/>
          <w:b/>
          <w:color w:val="auto"/>
        </w:rPr>
      </w:pPr>
      <w:r>
        <w:rPr>
          <w:rFonts w:hAnsi="宋体"/>
          <w:b/>
          <w:color w:val="auto"/>
        </w:rPr>
        <w:t xml:space="preserve">5. </w:t>
      </w:r>
      <w:r>
        <w:rPr>
          <w:rFonts w:hint="eastAsia" w:hAnsi="宋体"/>
          <w:b/>
          <w:color w:val="auto"/>
        </w:rPr>
        <w:t>开标</w:t>
      </w:r>
      <w:bookmarkEnd w:id="46"/>
    </w:p>
    <w:p>
      <w:pPr>
        <w:autoSpaceDE w:val="0"/>
        <w:autoSpaceDN w:val="0"/>
        <w:adjustRightInd w:val="0"/>
        <w:spacing w:line="440" w:lineRule="exact"/>
        <w:jc w:val="left"/>
        <w:outlineLvl w:val="0"/>
        <w:rPr>
          <w:rFonts w:hAnsi="宋体" w:cs="宋体"/>
          <w:b/>
          <w:sz w:val="24"/>
        </w:rPr>
      </w:pPr>
      <w:bookmarkStart w:id="47" w:name="_Toc283559968"/>
      <w:r>
        <w:rPr>
          <w:rFonts w:hAnsi="宋体" w:cs="宋体"/>
          <w:b/>
          <w:sz w:val="24"/>
        </w:rPr>
        <w:t xml:space="preserve">5.1 </w:t>
      </w:r>
      <w:r>
        <w:rPr>
          <w:rFonts w:hint="eastAsia" w:hAnsi="宋体" w:cs="宋体"/>
          <w:b/>
          <w:sz w:val="24"/>
        </w:rPr>
        <w:t>开标时间和地点</w:t>
      </w:r>
      <w:bookmarkEnd w:id="47"/>
    </w:p>
    <w:p>
      <w:pPr>
        <w:spacing w:line="400" w:lineRule="exact"/>
        <w:ind w:firstLine="480" w:firstLineChars="200"/>
        <w:rPr>
          <w:rFonts w:hAnsi="宋体" w:cs="宋体"/>
          <w:b/>
          <w:sz w:val="24"/>
        </w:rPr>
      </w:pPr>
      <w:r>
        <w:rPr>
          <w:rFonts w:hint="eastAsia"/>
          <w:sz w:val="24"/>
        </w:rPr>
        <w:t>招标人在投标人须知前附表第2.2.2项规定的投标截止时间（开标时间）和投标人须知前附表规定的地点公开开标，并邀请所有投标人的法定代表人或授权委托人准时参加。</w:t>
      </w:r>
    </w:p>
    <w:p>
      <w:pPr>
        <w:autoSpaceDE w:val="0"/>
        <w:autoSpaceDN w:val="0"/>
        <w:adjustRightInd w:val="0"/>
        <w:spacing w:line="440" w:lineRule="exact"/>
        <w:jc w:val="left"/>
        <w:rPr>
          <w:rFonts w:hAnsi="宋体" w:cs="宋体"/>
          <w:b/>
          <w:sz w:val="24"/>
        </w:rPr>
      </w:pPr>
      <w:bookmarkStart w:id="48" w:name="_Toc283559970"/>
      <w:r>
        <w:rPr>
          <w:rFonts w:hint="eastAsia" w:hAnsi="宋体" w:cs="宋体"/>
          <w:b/>
          <w:sz w:val="24"/>
        </w:rPr>
        <w:t>5.2 开标、解密、唱标程序</w:t>
      </w:r>
    </w:p>
    <w:p>
      <w:pPr>
        <w:spacing w:line="400" w:lineRule="exact"/>
        <w:ind w:firstLine="480" w:firstLineChars="200"/>
        <w:rPr>
          <w:rFonts w:hAnsi="宋体" w:cs="宋体"/>
          <w:sz w:val="24"/>
        </w:rPr>
      </w:pPr>
      <w:r>
        <w:rPr>
          <w:rFonts w:hint="eastAsia" w:hAnsi="宋体" w:cs="宋体"/>
          <w:sz w:val="24"/>
        </w:rPr>
        <w:t>5.2.1主持人按下列程序进行开标：</w:t>
      </w:r>
    </w:p>
    <w:p>
      <w:pPr>
        <w:spacing w:line="400" w:lineRule="exact"/>
        <w:ind w:firstLine="480" w:firstLineChars="200"/>
        <w:rPr>
          <w:rFonts w:hAnsi="宋体" w:cs="宋体"/>
          <w:sz w:val="24"/>
        </w:rPr>
      </w:pPr>
      <w:r>
        <w:rPr>
          <w:rFonts w:hint="eastAsia" w:hAnsi="宋体" w:cs="宋体"/>
          <w:sz w:val="24"/>
        </w:rPr>
        <w:t>（1）宣布投标截止时间，并公布招标人、代理机构、监督部门名称；</w:t>
      </w:r>
    </w:p>
    <w:p>
      <w:pPr>
        <w:spacing w:line="400" w:lineRule="exact"/>
        <w:ind w:firstLine="480" w:firstLineChars="200"/>
        <w:rPr>
          <w:rFonts w:hAnsi="宋体" w:cs="宋体"/>
          <w:sz w:val="24"/>
        </w:rPr>
      </w:pPr>
      <w:r>
        <w:rPr>
          <w:rFonts w:hint="eastAsia" w:hAnsi="宋体" w:cs="宋体"/>
          <w:sz w:val="24"/>
        </w:rPr>
        <w:t>（2）宣布开标纪律；</w:t>
      </w:r>
    </w:p>
    <w:p>
      <w:pPr>
        <w:spacing w:line="400" w:lineRule="exact"/>
        <w:ind w:firstLine="480" w:firstLineChars="200"/>
        <w:rPr>
          <w:rFonts w:hAnsi="宋体" w:cs="宋体"/>
          <w:sz w:val="24"/>
        </w:rPr>
      </w:pPr>
      <w:r>
        <w:rPr>
          <w:rFonts w:hint="eastAsia" w:hAnsi="宋体" w:cs="宋体"/>
          <w:sz w:val="24"/>
        </w:rPr>
        <w:t>（3）公布在投标截止时间前递交投标文件的投标人名称和投标保证金缴纳情况。</w:t>
      </w:r>
    </w:p>
    <w:p>
      <w:pPr>
        <w:spacing w:line="400" w:lineRule="exact"/>
        <w:ind w:firstLine="480" w:firstLineChars="200"/>
        <w:rPr>
          <w:rFonts w:hAnsi="宋体" w:cs="宋体"/>
          <w:sz w:val="24"/>
        </w:rPr>
      </w:pPr>
      <w:r>
        <w:rPr>
          <w:rFonts w:hint="eastAsia" w:hAnsi="宋体" w:cs="宋体"/>
          <w:sz w:val="24"/>
        </w:rPr>
        <w:t>（4）电子投标文件解密</w:t>
      </w:r>
    </w:p>
    <w:p>
      <w:pPr>
        <w:spacing w:line="400" w:lineRule="exact"/>
        <w:ind w:firstLine="480" w:firstLineChars="200"/>
        <w:rPr>
          <w:rFonts w:hAnsi="宋体" w:cs="宋体"/>
          <w:sz w:val="24"/>
        </w:rPr>
      </w:pPr>
      <w:r>
        <w:rPr>
          <w:rFonts w:hint="eastAsia" w:hAnsi="宋体" w:cs="宋体"/>
          <w:sz w:val="24"/>
        </w:rPr>
        <w:t>（</w:t>
      </w:r>
      <w:r>
        <w:rPr>
          <w:rFonts w:hAnsi="宋体" w:cs="宋体"/>
          <w:sz w:val="24"/>
        </w:rPr>
        <w:t>5</w:t>
      </w:r>
      <w:r>
        <w:rPr>
          <w:rFonts w:hint="eastAsia" w:hAnsi="宋体" w:cs="宋体"/>
          <w:sz w:val="24"/>
        </w:rPr>
        <w:t>）宣布唱标顺序，按已定顺序唱标，唱标内容为：投标人名称、投标报价、质量目标、工期及其他内容，并记录；</w:t>
      </w:r>
    </w:p>
    <w:p>
      <w:pPr>
        <w:spacing w:line="400" w:lineRule="exact"/>
        <w:ind w:firstLine="480" w:firstLineChars="200"/>
        <w:rPr>
          <w:rFonts w:hAnsi="宋体" w:cs="宋体"/>
          <w:sz w:val="24"/>
        </w:rPr>
      </w:pPr>
      <w:r>
        <w:rPr>
          <w:rFonts w:hint="eastAsia" w:hAnsi="宋体" w:cs="宋体"/>
          <w:sz w:val="24"/>
        </w:rPr>
        <w:t>（</w:t>
      </w:r>
      <w:r>
        <w:rPr>
          <w:rFonts w:hAnsi="宋体" w:cs="宋体"/>
          <w:sz w:val="24"/>
        </w:rPr>
        <w:t>6</w:t>
      </w:r>
      <w:r>
        <w:rPr>
          <w:rFonts w:hint="eastAsia" w:hAnsi="宋体" w:cs="宋体"/>
          <w:sz w:val="24"/>
        </w:rPr>
        <w:t>）现场抽取参与计算评标基准价的K值并宣布，同时公布招标控制价；</w:t>
      </w:r>
    </w:p>
    <w:p>
      <w:pPr>
        <w:spacing w:line="400" w:lineRule="exact"/>
        <w:ind w:firstLine="480" w:firstLineChars="200"/>
        <w:rPr>
          <w:rFonts w:hAnsi="宋体" w:cs="宋体"/>
          <w:sz w:val="24"/>
        </w:rPr>
      </w:pPr>
      <w:r>
        <w:rPr>
          <w:rFonts w:hint="eastAsia" w:hAnsi="宋体" w:cs="宋体"/>
          <w:sz w:val="24"/>
        </w:rPr>
        <w:t>（</w:t>
      </w:r>
      <w:r>
        <w:rPr>
          <w:rFonts w:hAnsi="宋体" w:cs="宋体"/>
          <w:sz w:val="24"/>
        </w:rPr>
        <w:t>7</w:t>
      </w:r>
      <w:r>
        <w:rPr>
          <w:rFonts w:hint="eastAsia" w:hAnsi="宋体" w:cs="宋体"/>
          <w:sz w:val="24"/>
        </w:rPr>
        <w:t>）投标人代表、招标人代表、监标人、记录人等有关人员在开标记录上签字确认；</w:t>
      </w:r>
    </w:p>
    <w:p>
      <w:pPr>
        <w:spacing w:line="400" w:lineRule="exact"/>
        <w:ind w:firstLine="480" w:firstLineChars="200"/>
        <w:rPr>
          <w:rFonts w:hAnsi="宋体" w:cs="宋体"/>
          <w:sz w:val="24"/>
        </w:rPr>
      </w:pPr>
      <w:r>
        <w:rPr>
          <w:rFonts w:hint="eastAsia" w:hAnsi="宋体" w:cs="宋体"/>
          <w:sz w:val="24"/>
        </w:rPr>
        <w:t>（</w:t>
      </w:r>
      <w:r>
        <w:rPr>
          <w:rFonts w:hAnsi="宋体" w:cs="宋体"/>
          <w:sz w:val="24"/>
        </w:rPr>
        <w:t>8</w:t>
      </w:r>
      <w:r>
        <w:rPr>
          <w:rFonts w:hint="eastAsia" w:hAnsi="宋体" w:cs="宋体"/>
          <w:sz w:val="24"/>
        </w:rPr>
        <w:t>）开标结束。</w:t>
      </w:r>
    </w:p>
    <w:p>
      <w:pPr>
        <w:ind w:firstLine="480" w:firstLineChars="200"/>
        <w:rPr>
          <w:rFonts w:hAnsi="宋体"/>
          <w:sz w:val="24"/>
          <w:szCs w:val="24"/>
        </w:rPr>
      </w:pPr>
      <w:r>
        <w:rPr>
          <w:rFonts w:hint="eastAsia" w:hAnsi="宋体"/>
          <w:sz w:val="24"/>
          <w:szCs w:val="24"/>
        </w:rPr>
        <w:t>5.</w:t>
      </w:r>
      <w:r>
        <w:rPr>
          <w:rFonts w:hAnsi="宋体"/>
          <w:sz w:val="24"/>
          <w:szCs w:val="24"/>
        </w:rPr>
        <w:t>2</w:t>
      </w:r>
      <w:r>
        <w:rPr>
          <w:rFonts w:hint="eastAsia" w:hAnsi="宋体"/>
          <w:sz w:val="24"/>
          <w:szCs w:val="24"/>
        </w:rPr>
        <w:t>.2 电子投标文件的解密</w:t>
      </w:r>
    </w:p>
    <w:p>
      <w:pPr>
        <w:spacing w:line="360" w:lineRule="auto"/>
        <w:ind w:firstLine="480" w:firstLineChars="200"/>
        <w:rPr>
          <w:rFonts w:hAnsi="宋体" w:cs="宋体"/>
          <w:sz w:val="24"/>
        </w:rPr>
      </w:pPr>
      <w:r>
        <w:rPr>
          <w:rFonts w:hint="eastAsia" w:hAnsi="宋体"/>
          <w:sz w:val="24"/>
          <w:szCs w:val="24"/>
        </w:rPr>
        <w:t>5.2.2.1本项目为全流程电子化交易项目，电子投标文件采用双重加密。在投标截止时间到达后，</w:t>
      </w:r>
      <w:r>
        <w:rPr>
          <w:rFonts w:hint="eastAsia" w:hAnsi="宋体" w:cs="宋体"/>
          <w:sz w:val="24"/>
        </w:rPr>
        <w:t>分标段进行解密。</w:t>
      </w:r>
    </w:p>
    <w:p>
      <w:pPr>
        <w:spacing w:line="360" w:lineRule="auto"/>
        <w:ind w:firstLine="480" w:firstLineChars="200"/>
        <w:rPr>
          <w:rFonts w:hAnsi="宋体" w:cs="宋体"/>
          <w:sz w:val="24"/>
        </w:rPr>
      </w:pPr>
      <w:r>
        <w:rPr>
          <w:rFonts w:hint="eastAsia" w:hAnsi="宋体" w:cs="宋体"/>
          <w:sz w:val="24"/>
        </w:rPr>
        <w:t>(1)投标人解密：投标人使用本单位CA数字证书远程或现场进行解密。</w:t>
      </w:r>
      <w:r>
        <w:rPr>
          <w:rFonts w:hint="eastAsia" w:hAnsi="宋体"/>
          <w:sz w:val="24"/>
          <w:szCs w:val="24"/>
        </w:rPr>
        <w:t>需现场使用一体机进行解密的，请在代理机构引导下进行。</w:t>
      </w:r>
    </w:p>
    <w:p>
      <w:pPr>
        <w:spacing w:line="360" w:lineRule="auto"/>
        <w:ind w:firstLine="480" w:firstLineChars="200"/>
        <w:rPr>
          <w:rFonts w:hAnsi="宋体" w:cs="宋体"/>
          <w:sz w:val="24"/>
        </w:rPr>
      </w:pPr>
      <w:r>
        <w:rPr>
          <w:rFonts w:hint="eastAsia" w:hAnsi="宋体" w:cs="宋体"/>
          <w:sz w:val="24"/>
        </w:rPr>
        <w:t>(2)代理机构解密：代理机构</w:t>
      </w:r>
      <w:r>
        <w:rPr>
          <w:rFonts w:hAnsi="宋体" w:cs="宋体"/>
          <w:sz w:val="24"/>
        </w:rPr>
        <w:t>按</w:t>
      </w:r>
      <w:r>
        <w:rPr>
          <w:rFonts w:hint="eastAsia" w:hAnsi="宋体" w:cs="宋体"/>
          <w:sz w:val="24"/>
        </w:rPr>
        <w:t>电子</w:t>
      </w:r>
      <w:r>
        <w:rPr>
          <w:rFonts w:hAnsi="宋体" w:cs="宋体"/>
          <w:sz w:val="24"/>
        </w:rPr>
        <w:t>投标</w:t>
      </w:r>
      <w:r>
        <w:rPr>
          <w:rFonts w:hint="eastAsia" w:hAnsi="宋体" w:cs="宋体"/>
          <w:sz w:val="24"/>
        </w:rPr>
        <w:t>文件到达交易系统</w:t>
      </w:r>
      <w:r>
        <w:rPr>
          <w:rFonts w:hAnsi="宋体" w:cs="宋体"/>
          <w:sz w:val="24"/>
        </w:rPr>
        <w:t>的先后顺序</w:t>
      </w:r>
      <w:r>
        <w:rPr>
          <w:rFonts w:hint="eastAsia" w:hAnsi="宋体" w:cs="宋体"/>
          <w:sz w:val="24"/>
        </w:rPr>
        <w:t>，使用本单位CA数字证书进行再次解密。</w:t>
      </w:r>
    </w:p>
    <w:p>
      <w:pPr>
        <w:spacing w:line="360" w:lineRule="auto"/>
        <w:ind w:firstLine="480" w:firstLineChars="200"/>
        <w:rPr>
          <w:rFonts w:hAnsi="宋体"/>
          <w:sz w:val="24"/>
          <w:szCs w:val="24"/>
        </w:rPr>
      </w:pPr>
      <w:r>
        <w:rPr>
          <w:rFonts w:hint="eastAsia" w:hAnsi="宋体"/>
          <w:sz w:val="24"/>
          <w:szCs w:val="24"/>
        </w:rPr>
        <w:t>5.2.2.2电子投标文件解密异常情况处理</w:t>
      </w:r>
    </w:p>
    <w:p>
      <w:pPr>
        <w:spacing w:line="360" w:lineRule="auto"/>
        <w:ind w:firstLine="480" w:firstLineChars="200"/>
        <w:rPr>
          <w:rFonts w:hAnsi="宋体"/>
          <w:sz w:val="24"/>
          <w:szCs w:val="24"/>
        </w:rPr>
      </w:pPr>
      <w:r>
        <w:rPr>
          <w:rFonts w:hint="eastAsia" w:hAnsi="宋体"/>
          <w:sz w:val="24"/>
          <w:szCs w:val="24"/>
        </w:rPr>
        <w:t>因投标人原因电子投标文件解密失败的，由系统技术人员协助投标人将备份文件（电子介质存储）导入系统。若备份文件（电子介质存储）无法导入系统或导入系统仍无法解密的，视为投标人撤销其投标文件。</w:t>
      </w:r>
    </w:p>
    <w:bookmarkEnd w:id="48"/>
    <w:p>
      <w:pPr>
        <w:pStyle w:val="67"/>
        <w:spacing w:line="440" w:lineRule="exact"/>
        <w:jc w:val="both"/>
        <w:outlineLvl w:val="0"/>
        <w:rPr>
          <w:rFonts w:hAnsi="宋体"/>
          <w:b/>
          <w:color w:val="auto"/>
        </w:rPr>
      </w:pPr>
      <w:bookmarkStart w:id="49" w:name="_Toc283559990"/>
      <w:r>
        <w:rPr>
          <w:rFonts w:hAnsi="宋体"/>
          <w:b/>
          <w:color w:val="auto"/>
        </w:rPr>
        <w:t xml:space="preserve">6. </w:t>
      </w:r>
      <w:r>
        <w:rPr>
          <w:rFonts w:hint="eastAsia" w:hAnsi="宋体"/>
          <w:b/>
          <w:color w:val="auto"/>
        </w:rPr>
        <w:t>评标</w:t>
      </w:r>
    </w:p>
    <w:p>
      <w:pPr>
        <w:autoSpaceDE w:val="0"/>
        <w:autoSpaceDN w:val="0"/>
        <w:adjustRightInd w:val="0"/>
        <w:spacing w:line="440" w:lineRule="exact"/>
        <w:jc w:val="left"/>
        <w:outlineLvl w:val="0"/>
        <w:rPr>
          <w:rFonts w:hAnsi="宋体" w:cs="宋体"/>
          <w:b/>
          <w:sz w:val="24"/>
        </w:rPr>
      </w:pPr>
      <w:bookmarkStart w:id="50" w:name="_Toc283559971"/>
      <w:r>
        <w:rPr>
          <w:rFonts w:hAnsi="宋体" w:cs="宋体"/>
          <w:b/>
          <w:sz w:val="24"/>
        </w:rPr>
        <w:t xml:space="preserve">6.1 </w:t>
      </w:r>
      <w:r>
        <w:rPr>
          <w:rFonts w:hint="eastAsia" w:hAnsi="宋体" w:cs="宋体"/>
          <w:b/>
          <w:sz w:val="24"/>
        </w:rPr>
        <w:t>评标委员会</w:t>
      </w:r>
      <w:bookmarkEnd w:id="50"/>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6.1.1 </w:t>
      </w:r>
      <w:r>
        <w:rPr>
          <w:rFonts w:hint="eastAsia" w:hAnsi="宋体" w:cs="宋体"/>
          <w:sz w:val="24"/>
        </w:rPr>
        <w:t>评标由招标人依法组建的评标委员会负责。评标委员会成员由相关技术、经济等方面的专家组成，组成人数见投标人须知前附表。</w:t>
      </w:r>
    </w:p>
    <w:p>
      <w:pPr>
        <w:autoSpaceDE w:val="0"/>
        <w:autoSpaceDN w:val="0"/>
        <w:spacing w:line="440" w:lineRule="exact"/>
        <w:ind w:firstLine="480" w:firstLineChars="200"/>
        <w:jc w:val="left"/>
        <w:outlineLvl w:val="0"/>
        <w:rPr>
          <w:rFonts w:hAnsi="宋体" w:cs="宋体"/>
          <w:sz w:val="24"/>
        </w:rPr>
      </w:pPr>
      <w:r>
        <w:rPr>
          <w:rFonts w:hAnsi="宋体" w:cs="宋体"/>
          <w:sz w:val="24"/>
        </w:rPr>
        <w:t xml:space="preserve">6.1.2 </w:t>
      </w:r>
      <w:r>
        <w:rPr>
          <w:rFonts w:hint="eastAsia" w:hAnsi="宋体" w:cs="宋体"/>
          <w:sz w:val="24"/>
        </w:rPr>
        <w:t>评标委员会成员有下列情形之一的，应当回避：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1</w:t>
      </w:r>
      <w:r>
        <w:rPr>
          <w:rFonts w:hint="eastAsia" w:hAnsi="宋体" w:cs="宋体"/>
          <w:sz w:val="24"/>
        </w:rPr>
        <w:t>）招标人或投标人的主要负责人的近亲属；</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2</w:t>
      </w:r>
      <w:r>
        <w:rPr>
          <w:rFonts w:hint="eastAsia" w:hAnsi="宋体" w:cs="宋体"/>
          <w:sz w:val="24"/>
        </w:rPr>
        <w:t>）项目主管部门或者行政监督部门的人员；</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3</w:t>
      </w:r>
      <w:r>
        <w:rPr>
          <w:rFonts w:hint="eastAsia" w:hAnsi="宋体" w:cs="宋体"/>
          <w:sz w:val="24"/>
        </w:rPr>
        <w:t>）与投标人有经济利益关系，可能影响对投标公正评审的；</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w:t>
      </w:r>
      <w:r>
        <w:rPr>
          <w:rFonts w:hAnsi="宋体" w:cs="宋体"/>
          <w:sz w:val="24"/>
        </w:rPr>
        <w:t>4</w:t>
      </w:r>
      <w:r>
        <w:rPr>
          <w:rFonts w:hint="eastAsia" w:hAnsi="宋体" w:cs="宋体"/>
          <w:sz w:val="24"/>
        </w:rPr>
        <w:t>）曾因在招标、评标以及其他与招标投标有关活动中从事违法行为而受过行政处罚或刑事处罚的。</w:t>
      </w:r>
    </w:p>
    <w:p>
      <w:pPr>
        <w:autoSpaceDE w:val="0"/>
        <w:autoSpaceDN w:val="0"/>
        <w:spacing w:line="440" w:lineRule="exact"/>
        <w:jc w:val="left"/>
        <w:outlineLvl w:val="0"/>
        <w:rPr>
          <w:rFonts w:hAnsi="宋体" w:cs="宋体"/>
          <w:b/>
          <w:sz w:val="24"/>
        </w:rPr>
      </w:pPr>
      <w:bookmarkStart w:id="51" w:name="_Toc283559972"/>
      <w:r>
        <w:rPr>
          <w:rFonts w:hAnsi="宋体" w:cs="宋体"/>
          <w:b/>
          <w:sz w:val="24"/>
        </w:rPr>
        <w:t xml:space="preserve">6.2 </w:t>
      </w:r>
      <w:r>
        <w:rPr>
          <w:rFonts w:hint="eastAsia" w:hAnsi="宋体" w:cs="宋体"/>
          <w:b/>
          <w:sz w:val="24"/>
        </w:rPr>
        <w:t>评标原则</w:t>
      </w:r>
      <w:bookmarkEnd w:id="51"/>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评标活动遵循公平、公正、科学和择优的原则。</w:t>
      </w:r>
    </w:p>
    <w:p>
      <w:pPr>
        <w:autoSpaceDE w:val="0"/>
        <w:autoSpaceDN w:val="0"/>
        <w:spacing w:line="440" w:lineRule="exact"/>
        <w:jc w:val="left"/>
        <w:outlineLvl w:val="0"/>
        <w:rPr>
          <w:rFonts w:hAnsi="宋体" w:cs="宋体"/>
          <w:b/>
          <w:sz w:val="24"/>
        </w:rPr>
      </w:pPr>
      <w:bookmarkStart w:id="52" w:name="_Toc283559973"/>
      <w:r>
        <w:rPr>
          <w:rFonts w:hAnsi="宋体" w:cs="宋体"/>
          <w:b/>
          <w:sz w:val="24"/>
        </w:rPr>
        <w:t xml:space="preserve">6.3 </w:t>
      </w:r>
      <w:r>
        <w:rPr>
          <w:rFonts w:hint="eastAsia" w:hAnsi="宋体" w:cs="宋体"/>
          <w:b/>
          <w:sz w:val="24"/>
        </w:rPr>
        <w:t>评标</w:t>
      </w:r>
      <w:bookmarkEnd w:id="52"/>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评标委员会按照第三章“评标办法”规定的方法、评审因素、标准和程序对投标文件进行评审。第三章“评标办法”没有规定的方法、评审因素和标准，不作为评标依据。</w:t>
      </w:r>
    </w:p>
    <w:p>
      <w:pPr>
        <w:pStyle w:val="67"/>
        <w:spacing w:line="440" w:lineRule="exact"/>
        <w:jc w:val="both"/>
        <w:outlineLvl w:val="0"/>
        <w:rPr>
          <w:rFonts w:hAnsi="宋体"/>
          <w:b/>
          <w:color w:val="auto"/>
        </w:rPr>
      </w:pPr>
      <w:bookmarkStart w:id="53" w:name="_Toc283559974"/>
      <w:r>
        <w:rPr>
          <w:rFonts w:hAnsi="宋体"/>
          <w:b/>
          <w:color w:val="auto"/>
        </w:rPr>
        <w:t xml:space="preserve">7. </w:t>
      </w:r>
      <w:r>
        <w:rPr>
          <w:rFonts w:hint="eastAsia" w:hAnsi="宋体"/>
          <w:b/>
          <w:color w:val="auto"/>
        </w:rPr>
        <w:t>合同授予</w:t>
      </w:r>
      <w:bookmarkEnd w:id="53"/>
    </w:p>
    <w:p>
      <w:pPr>
        <w:autoSpaceDE w:val="0"/>
        <w:autoSpaceDN w:val="0"/>
        <w:spacing w:line="440" w:lineRule="exact"/>
        <w:jc w:val="left"/>
        <w:outlineLvl w:val="0"/>
        <w:rPr>
          <w:rFonts w:hAnsi="宋体" w:cs="宋体"/>
          <w:b/>
          <w:sz w:val="24"/>
        </w:rPr>
      </w:pPr>
      <w:bookmarkStart w:id="54" w:name="_Toc283559975"/>
      <w:r>
        <w:rPr>
          <w:rFonts w:hAnsi="宋体" w:cs="宋体"/>
          <w:b/>
          <w:sz w:val="24"/>
        </w:rPr>
        <w:t xml:space="preserve">7.1 </w:t>
      </w:r>
      <w:r>
        <w:rPr>
          <w:rFonts w:hint="eastAsia" w:hAnsi="宋体" w:cs="宋体"/>
          <w:b/>
          <w:sz w:val="24"/>
        </w:rPr>
        <w:t>定标方式</w:t>
      </w:r>
      <w:bookmarkEnd w:id="54"/>
    </w:p>
    <w:p>
      <w:pPr>
        <w:spacing w:line="400" w:lineRule="exact"/>
        <w:ind w:firstLine="480" w:firstLineChars="200"/>
        <w:rPr>
          <w:sz w:val="24"/>
        </w:rPr>
      </w:pPr>
      <w:r>
        <w:rPr>
          <w:rFonts w:hint="eastAsia"/>
          <w:sz w:val="24"/>
        </w:rPr>
        <w:t>除投标人须知前附表规定评标委员会直接确定中标人外，招标人依据评标委员会推荐的中标候选人确定中标人，评标委员会推荐中标候选人的人数见投标人须知前附表。</w:t>
      </w:r>
    </w:p>
    <w:p>
      <w:pPr>
        <w:autoSpaceDE w:val="0"/>
        <w:autoSpaceDN w:val="0"/>
        <w:spacing w:line="440" w:lineRule="exact"/>
        <w:jc w:val="left"/>
        <w:outlineLvl w:val="0"/>
        <w:rPr>
          <w:rFonts w:hAnsi="宋体" w:cs="宋体"/>
          <w:b/>
          <w:sz w:val="24"/>
        </w:rPr>
      </w:pPr>
      <w:bookmarkStart w:id="55" w:name="_Toc283559976"/>
      <w:r>
        <w:rPr>
          <w:rFonts w:hAnsi="宋体" w:cs="宋体"/>
          <w:b/>
          <w:sz w:val="24"/>
        </w:rPr>
        <w:t>7.</w:t>
      </w:r>
      <w:r>
        <w:rPr>
          <w:rFonts w:hint="eastAsia" w:hAnsi="宋体" w:cs="宋体"/>
          <w:b/>
          <w:sz w:val="24"/>
        </w:rPr>
        <w:t>2中标通知</w:t>
      </w:r>
      <w:bookmarkEnd w:id="55"/>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在本章第</w:t>
      </w:r>
      <w:r>
        <w:rPr>
          <w:rFonts w:hAnsi="宋体" w:cs="宋体"/>
          <w:sz w:val="24"/>
        </w:rPr>
        <w:t xml:space="preserve">3.3 </w:t>
      </w:r>
      <w:r>
        <w:rPr>
          <w:rFonts w:hint="eastAsia" w:hAnsi="宋体" w:cs="宋体"/>
          <w:sz w:val="24"/>
        </w:rPr>
        <w:t>款规定的投标有效期内，招标人以书面形式向中标人发出中标通知书，同时将中标结果通知未中标的投标人。</w:t>
      </w:r>
      <w:bookmarkStart w:id="56" w:name="_Toc179632587"/>
      <w:bookmarkStart w:id="57" w:name="_Toc152045569"/>
      <w:bookmarkStart w:id="58" w:name="_Toc152042345"/>
      <w:bookmarkStart w:id="59" w:name="_Toc144974537"/>
    </w:p>
    <w:bookmarkEnd w:id="56"/>
    <w:bookmarkEnd w:id="57"/>
    <w:bookmarkEnd w:id="58"/>
    <w:bookmarkEnd w:id="59"/>
    <w:p>
      <w:pPr>
        <w:autoSpaceDE w:val="0"/>
        <w:autoSpaceDN w:val="0"/>
        <w:spacing w:line="440" w:lineRule="exact"/>
        <w:jc w:val="left"/>
        <w:outlineLvl w:val="0"/>
        <w:rPr>
          <w:rFonts w:hAnsi="宋体" w:cs="宋体"/>
          <w:b/>
          <w:sz w:val="24"/>
        </w:rPr>
      </w:pPr>
      <w:r>
        <w:rPr>
          <w:rFonts w:hint="eastAsia" w:hAnsi="宋体" w:cs="宋体"/>
          <w:b/>
          <w:sz w:val="24"/>
        </w:rPr>
        <w:t>7.3 签订合同</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7.3.1 招标人和中标人应当自中标通知书发出之日起30天内，根据招标文件和中标人的投标文件订立书面合同。招标人和中标人不得再订立背离合同实质性内容及其他协议。中标人无正当理由拒签合同的，招标人取消其中标资格，其投标保证金不予退还；给招标人造成的损失超过投标保证金数额的，中标人还应当对超过部分予以赔偿。</w:t>
      </w:r>
    </w:p>
    <w:p>
      <w:pPr>
        <w:autoSpaceDE w:val="0"/>
        <w:autoSpaceDN w:val="0"/>
        <w:spacing w:line="440" w:lineRule="exact"/>
        <w:ind w:firstLine="480" w:firstLineChars="200"/>
        <w:jc w:val="left"/>
        <w:outlineLvl w:val="0"/>
        <w:rPr>
          <w:rFonts w:hAnsi="宋体" w:cs="宋体"/>
          <w:sz w:val="24"/>
        </w:rPr>
      </w:pPr>
      <w:r>
        <w:rPr>
          <w:rFonts w:hint="eastAsia" w:hAnsi="宋体" w:cs="宋体"/>
          <w:sz w:val="24"/>
        </w:rPr>
        <w:t>7.3.2 发出中标通知书后，招标人无正当理由拒签合同的，招标人向中标人退还投标保证金；给中标人造成损失的，还应当赔偿损失。</w:t>
      </w:r>
    </w:p>
    <w:p>
      <w:pPr>
        <w:autoSpaceDE w:val="0"/>
        <w:autoSpaceDN w:val="0"/>
        <w:spacing w:line="440" w:lineRule="exact"/>
        <w:jc w:val="left"/>
        <w:outlineLvl w:val="0"/>
        <w:rPr>
          <w:rFonts w:hAnsi="宋体" w:cs="宋体"/>
          <w:b/>
          <w:sz w:val="24"/>
        </w:rPr>
      </w:pPr>
      <w:bookmarkStart w:id="60" w:name="_Toc283559978"/>
      <w:r>
        <w:rPr>
          <w:rFonts w:hAnsi="宋体" w:cs="宋体"/>
          <w:b/>
          <w:sz w:val="24"/>
        </w:rPr>
        <w:t xml:space="preserve">8. </w:t>
      </w:r>
      <w:r>
        <w:rPr>
          <w:rFonts w:hint="eastAsia" w:hAnsi="宋体" w:cs="宋体"/>
          <w:b/>
          <w:sz w:val="24"/>
        </w:rPr>
        <w:t>重新招标和不再招标</w:t>
      </w:r>
      <w:bookmarkEnd w:id="60"/>
    </w:p>
    <w:p>
      <w:pPr>
        <w:autoSpaceDE w:val="0"/>
        <w:autoSpaceDN w:val="0"/>
        <w:adjustRightInd w:val="0"/>
        <w:spacing w:line="440" w:lineRule="exact"/>
        <w:jc w:val="left"/>
        <w:outlineLvl w:val="0"/>
        <w:rPr>
          <w:rFonts w:hAnsi="宋体" w:cs="宋体"/>
          <w:b/>
          <w:sz w:val="24"/>
        </w:rPr>
      </w:pPr>
      <w:bookmarkStart w:id="61" w:name="_Toc283559979"/>
      <w:r>
        <w:rPr>
          <w:rFonts w:hAnsi="宋体" w:cs="宋体"/>
          <w:b/>
          <w:sz w:val="24"/>
        </w:rPr>
        <w:t xml:space="preserve">8.1 </w:t>
      </w:r>
      <w:r>
        <w:rPr>
          <w:rFonts w:hint="eastAsia" w:hAnsi="宋体" w:cs="宋体"/>
          <w:b/>
          <w:sz w:val="24"/>
        </w:rPr>
        <w:t>重新招标</w:t>
      </w:r>
      <w:bookmarkEnd w:id="61"/>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有下列情形之一的，招标人将重新招标：</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1</w:t>
      </w:r>
      <w:r>
        <w:rPr>
          <w:rFonts w:hint="eastAsia" w:hAnsi="宋体" w:cs="宋体"/>
          <w:sz w:val="24"/>
        </w:rPr>
        <w:t>）投标截止时间止，投标人少于</w:t>
      </w:r>
      <w:r>
        <w:rPr>
          <w:rFonts w:hAnsi="宋体" w:cs="宋体"/>
          <w:sz w:val="24"/>
        </w:rPr>
        <w:t>3</w:t>
      </w:r>
      <w:r>
        <w:rPr>
          <w:rFonts w:hint="eastAsia" w:hAnsi="宋体" w:cs="宋体"/>
          <w:sz w:val="24"/>
        </w:rPr>
        <w:t>个的；</w:t>
      </w:r>
    </w:p>
    <w:p>
      <w:pPr>
        <w:autoSpaceDE w:val="0"/>
        <w:autoSpaceDN w:val="0"/>
        <w:adjustRightInd w:val="0"/>
        <w:spacing w:line="440" w:lineRule="exact"/>
        <w:ind w:firstLine="420" w:firstLineChars="175"/>
        <w:jc w:val="left"/>
        <w:rPr>
          <w:rFonts w:hAnsi="宋体" w:cs="宋体"/>
          <w:sz w:val="24"/>
        </w:rPr>
      </w:pPr>
      <w:r>
        <w:rPr>
          <w:rFonts w:hint="eastAsia" w:hAnsi="宋体" w:cs="宋体"/>
          <w:sz w:val="24"/>
        </w:rPr>
        <w:t>（</w:t>
      </w:r>
      <w:r>
        <w:rPr>
          <w:rFonts w:hAnsi="宋体" w:cs="宋体"/>
          <w:sz w:val="24"/>
        </w:rPr>
        <w:t>2</w:t>
      </w:r>
      <w:r>
        <w:rPr>
          <w:rFonts w:hint="eastAsia" w:hAnsi="宋体" w:cs="宋体"/>
          <w:sz w:val="24"/>
        </w:rPr>
        <w:t>）经评标委员会评审后否决所有投标的。</w:t>
      </w:r>
    </w:p>
    <w:p>
      <w:pPr>
        <w:autoSpaceDE w:val="0"/>
        <w:autoSpaceDN w:val="0"/>
        <w:adjustRightInd w:val="0"/>
        <w:spacing w:line="440" w:lineRule="exact"/>
        <w:jc w:val="left"/>
        <w:outlineLvl w:val="0"/>
        <w:rPr>
          <w:rFonts w:hAnsi="宋体" w:cs="宋体"/>
          <w:b/>
          <w:sz w:val="24"/>
        </w:rPr>
      </w:pPr>
      <w:bookmarkStart w:id="62" w:name="_Toc283559980"/>
      <w:r>
        <w:rPr>
          <w:rFonts w:hAnsi="宋体" w:cs="宋体"/>
          <w:b/>
          <w:sz w:val="24"/>
        </w:rPr>
        <w:t xml:space="preserve">8.2 </w:t>
      </w:r>
      <w:r>
        <w:rPr>
          <w:rFonts w:hint="eastAsia" w:hAnsi="宋体" w:cs="宋体"/>
          <w:b/>
          <w:sz w:val="24"/>
        </w:rPr>
        <w:t>不再招标</w:t>
      </w:r>
      <w:bookmarkEnd w:id="62"/>
    </w:p>
    <w:p>
      <w:pPr>
        <w:autoSpaceDE w:val="0"/>
        <w:autoSpaceDN w:val="0"/>
        <w:adjustRightInd w:val="0"/>
        <w:spacing w:line="440" w:lineRule="exact"/>
        <w:ind w:firstLine="540" w:firstLineChars="225"/>
        <w:jc w:val="left"/>
        <w:rPr>
          <w:rFonts w:hAnsi="宋体" w:cs="宋体"/>
          <w:sz w:val="24"/>
        </w:rPr>
      </w:pPr>
      <w:r>
        <w:rPr>
          <w:rFonts w:hint="eastAsia" w:hAnsi="宋体" w:cs="宋体"/>
          <w:sz w:val="24"/>
        </w:rPr>
        <w:t>重新招标后投标人仍少于</w:t>
      </w:r>
      <w:r>
        <w:rPr>
          <w:rFonts w:hAnsi="宋体" w:cs="宋体"/>
          <w:sz w:val="24"/>
        </w:rPr>
        <w:t>3</w:t>
      </w:r>
      <w:r>
        <w:rPr>
          <w:rFonts w:hint="eastAsia" w:hAnsi="宋体" w:cs="宋体"/>
          <w:sz w:val="24"/>
        </w:rPr>
        <w:t>个，属于必须审批或核准的工程建设项目，经原审批或核准部门批准后不再进行招标。</w:t>
      </w:r>
    </w:p>
    <w:p>
      <w:pPr>
        <w:pStyle w:val="67"/>
        <w:spacing w:line="440" w:lineRule="exact"/>
        <w:jc w:val="both"/>
        <w:outlineLvl w:val="0"/>
        <w:rPr>
          <w:rFonts w:hAnsi="宋体"/>
          <w:b/>
          <w:color w:val="auto"/>
        </w:rPr>
      </w:pPr>
      <w:bookmarkStart w:id="63" w:name="_Toc283559981"/>
      <w:r>
        <w:rPr>
          <w:rFonts w:hAnsi="宋体"/>
          <w:b/>
          <w:color w:val="auto"/>
        </w:rPr>
        <w:t xml:space="preserve">9. </w:t>
      </w:r>
      <w:r>
        <w:rPr>
          <w:rFonts w:hint="eastAsia" w:hAnsi="宋体"/>
          <w:b/>
          <w:color w:val="auto"/>
        </w:rPr>
        <w:t>纪律和监督</w:t>
      </w:r>
      <w:bookmarkEnd w:id="63"/>
    </w:p>
    <w:p>
      <w:pPr>
        <w:autoSpaceDE w:val="0"/>
        <w:autoSpaceDN w:val="0"/>
        <w:adjustRightInd w:val="0"/>
        <w:spacing w:line="440" w:lineRule="exact"/>
        <w:jc w:val="left"/>
        <w:outlineLvl w:val="0"/>
        <w:rPr>
          <w:rFonts w:hAnsi="宋体" w:cs="宋体"/>
          <w:b/>
          <w:sz w:val="24"/>
        </w:rPr>
      </w:pPr>
      <w:bookmarkStart w:id="64" w:name="_Toc283559982"/>
      <w:r>
        <w:rPr>
          <w:rFonts w:hAnsi="宋体" w:cs="宋体"/>
          <w:b/>
          <w:sz w:val="24"/>
        </w:rPr>
        <w:t xml:space="preserve">9.1 </w:t>
      </w:r>
      <w:r>
        <w:rPr>
          <w:rFonts w:hint="eastAsia" w:hAnsi="宋体" w:cs="宋体"/>
          <w:b/>
          <w:sz w:val="24"/>
        </w:rPr>
        <w:t>对招标人的纪律要求</w:t>
      </w:r>
      <w:bookmarkEnd w:id="64"/>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招标人不得泄漏招标投标活动中应当保密的情况和资料，不得与投标人串通损害国家利益、社会公共利益或者他人合法权益。</w:t>
      </w:r>
    </w:p>
    <w:p>
      <w:pPr>
        <w:autoSpaceDE w:val="0"/>
        <w:autoSpaceDN w:val="0"/>
        <w:adjustRightInd w:val="0"/>
        <w:spacing w:line="440" w:lineRule="exact"/>
        <w:jc w:val="left"/>
        <w:outlineLvl w:val="0"/>
        <w:rPr>
          <w:rFonts w:hAnsi="宋体" w:cs="宋体"/>
          <w:b/>
          <w:sz w:val="24"/>
        </w:rPr>
      </w:pPr>
      <w:bookmarkStart w:id="65" w:name="_Toc283559983"/>
      <w:r>
        <w:rPr>
          <w:rFonts w:hAnsi="宋体" w:cs="宋体"/>
          <w:b/>
          <w:sz w:val="24"/>
        </w:rPr>
        <w:t xml:space="preserve">9.2 </w:t>
      </w:r>
      <w:r>
        <w:rPr>
          <w:rFonts w:hint="eastAsia" w:hAnsi="宋体" w:cs="宋体"/>
          <w:b/>
          <w:sz w:val="24"/>
        </w:rPr>
        <w:t>对投标人的纪律要求</w:t>
      </w:r>
      <w:bookmarkEnd w:id="65"/>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投标人不得相互串通投标或者与招标人串通投标，不得向招标人或者评标委员会成员行贿谋取中标，不得以他人名义投标或者以其他方式弄虚作假骗取中标；投标人不得以任何方式干扰、影响评标工作。</w:t>
      </w:r>
    </w:p>
    <w:p>
      <w:pPr>
        <w:autoSpaceDE w:val="0"/>
        <w:autoSpaceDN w:val="0"/>
        <w:adjustRightInd w:val="0"/>
        <w:spacing w:line="440" w:lineRule="exact"/>
        <w:jc w:val="left"/>
        <w:outlineLvl w:val="0"/>
        <w:rPr>
          <w:rFonts w:hAnsi="宋体" w:cs="宋体"/>
          <w:b/>
          <w:sz w:val="24"/>
        </w:rPr>
      </w:pPr>
      <w:bookmarkStart w:id="66" w:name="_Toc283559984"/>
      <w:r>
        <w:rPr>
          <w:rFonts w:hAnsi="宋体" w:cs="宋体"/>
          <w:b/>
          <w:sz w:val="24"/>
        </w:rPr>
        <w:t xml:space="preserve">9.3 </w:t>
      </w:r>
      <w:r>
        <w:rPr>
          <w:rFonts w:hint="eastAsia" w:hAnsi="宋体" w:cs="宋体"/>
          <w:b/>
          <w:sz w:val="24"/>
        </w:rPr>
        <w:t>对评标委员会成员的纪律要求</w:t>
      </w:r>
      <w:bookmarkEnd w:id="66"/>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评标委员会成员不得收受他人的财物或者其他好处，不得向他人透漏对投标文件的评审和比较、中标候选人的推荐情况以及评标有关的其他情况。在评标活动中，评标委员会成员不得擅离职守，影响评标程序正常进行，不得使用第三章“评标办法”没有规定的评审因素和标准进行评标。</w:t>
      </w:r>
    </w:p>
    <w:p>
      <w:pPr>
        <w:autoSpaceDE w:val="0"/>
        <w:autoSpaceDN w:val="0"/>
        <w:adjustRightInd w:val="0"/>
        <w:spacing w:line="440" w:lineRule="exact"/>
        <w:jc w:val="left"/>
        <w:outlineLvl w:val="0"/>
        <w:rPr>
          <w:rFonts w:hAnsi="宋体" w:cs="宋体"/>
          <w:b/>
          <w:sz w:val="24"/>
        </w:rPr>
      </w:pPr>
      <w:bookmarkStart w:id="67" w:name="_Toc283559985"/>
      <w:r>
        <w:rPr>
          <w:rFonts w:hAnsi="宋体" w:cs="宋体"/>
          <w:b/>
          <w:sz w:val="24"/>
        </w:rPr>
        <w:t xml:space="preserve">9.4 </w:t>
      </w:r>
      <w:r>
        <w:rPr>
          <w:rFonts w:hint="eastAsia" w:hAnsi="宋体" w:cs="宋体"/>
          <w:b/>
          <w:sz w:val="24"/>
        </w:rPr>
        <w:t>对与评标活动有关的工作人员的纪律要求</w:t>
      </w:r>
      <w:bookmarkEnd w:id="67"/>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pPr>
        <w:autoSpaceDE w:val="0"/>
        <w:autoSpaceDN w:val="0"/>
        <w:adjustRightInd w:val="0"/>
        <w:spacing w:line="440" w:lineRule="exact"/>
        <w:jc w:val="left"/>
        <w:outlineLvl w:val="0"/>
        <w:rPr>
          <w:rFonts w:hAnsi="宋体" w:cs="宋体"/>
          <w:b/>
          <w:sz w:val="24"/>
        </w:rPr>
      </w:pPr>
      <w:bookmarkStart w:id="68" w:name="_Toc283559986"/>
      <w:r>
        <w:rPr>
          <w:rFonts w:hAnsi="宋体" w:cs="宋体"/>
          <w:b/>
          <w:sz w:val="24"/>
        </w:rPr>
        <w:t xml:space="preserve">9.5 </w:t>
      </w:r>
      <w:r>
        <w:rPr>
          <w:rFonts w:hint="eastAsia" w:hAnsi="宋体" w:cs="宋体"/>
          <w:b/>
          <w:sz w:val="24"/>
        </w:rPr>
        <w:t>投诉</w:t>
      </w:r>
      <w:bookmarkEnd w:id="68"/>
    </w:p>
    <w:p>
      <w:pPr>
        <w:autoSpaceDE w:val="0"/>
        <w:autoSpaceDN w:val="0"/>
        <w:adjustRightInd w:val="0"/>
        <w:spacing w:line="440" w:lineRule="exact"/>
        <w:ind w:firstLine="480" w:firstLineChars="200"/>
        <w:jc w:val="left"/>
        <w:rPr>
          <w:rFonts w:hAnsi="宋体" w:cs="宋体"/>
          <w:sz w:val="24"/>
        </w:rPr>
      </w:pPr>
      <w:r>
        <w:rPr>
          <w:rFonts w:hint="eastAsia" w:hAnsi="宋体" w:cs="宋体"/>
          <w:sz w:val="24"/>
        </w:rPr>
        <w:t>投标人和其他利害关系人认为本次招标活动违反法律、法规和规章规定的，有权向有关行政监督部门投诉。</w:t>
      </w:r>
    </w:p>
    <w:p>
      <w:pPr>
        <w:pStyle w:val="67"/>
        <w:spacing w:line="440" w:lineRule="exact"/>
        <w:jc w:val="both"/>
        <w:outlineLvl w:val="0"/>
        <w:rPr>
          <w:rFonts w:hAnsi="宋体"/>
          <w:b/>
          <w:color w:val="auto"/>
        </w:rPr>
      </w:pPr>
      <w:bookmarkStart w:id="69" w:name="_Toc283559987"/>
      <w:r>
        <w:rPr>
          <w:rFonts w:hAnsi="宋体"/>
          <w:b/>
          <w:color w:val="auto"/>
        </w:rPr>
        <w:t xml:space="preserve">10. </w:t>
      </w:r>
      <w:r>
        <w:rPr>
          <w:rFonts w:hint="eastAsia" w:hAnsi="宋体"/>
          <w:b/>
          <w:color w:val="auto"/>
        </w:rPr>
        <w:t>需要补充的其他内容</w:t>
      </w:r>
      <w:bookmarkEnd w:id="69"/>
    </w:p>
    <w:p>
      <w:pPr>
        <w:autoSpaceDE w:val="0"/>
        <w:autoSpaceDN w:val="0"/>
        <w:adjustRightInd w:val="0"/>
        <w:spacing w:line="440" w:lineRule="exact"/>
        <w:ind w:firstLine="480" w:firstLineChars="200"/>
        <w:jc w:val="left"/>
        <w:rPr>
          <w:rFonts w:ascii="新宋体" w:hAnsi="新宋体" w:eastAsia="新宋体"/>
          <w:b/>
          <w:sz w:val="24"/>
        </w:rPr>
      </w:pPr>
      <w:r>
        <w:rPr>
          <w:rFonts w:hint="eastAsia" w:hAnsi="宋体" w:cs="宋体"/>
          <w:sz w:val="24"/>
        </w:rPr>
        <w:t>需要补充的其他内容：见投标人须知前附表。</w:t>
      </w:r>
    </w:p>
    <w:p>
      <w:pPr>
        <w:spacing w:line="400" w:lineRule="exact"/>
        <w:ind w:firstLine="480" w:firstLineChars="200"/>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pStyle w:val="2"/>
        <w:ind w:firstLine="241"/>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beforeLines="100" w:afterLines="100" w:line="400" w:lineRule="exact"/>
        <w:rPr>
          <w:rFonts w:hAnsi="宋体" w:cs="宋体"/>
          <w:b/>
          <w:bCs/>
          <w:sz w:val="24"/>
        </w:rPr>
      </w:pPr>
      <w:r>
        <w:rPr>
          <w:rFonts w:hint="eastAsia" w:hAnsi="宋体" w:cs="宋体"/>
          <w:b/>
          <w:bCs/>
          <w:sz w:val="24"/>
        </w:rPr>
        <w:t>附表一：</w:t>
      </w:r>
    </w:p>
    <w:p>
      <w:pPr>
        <w:spacing w:beforeLines="100" w:afterLines="100" w:line="400" w:lineRule="exact"/>
        <w:jc w:val="center"/>
        <w:rPr>
          <w:rFonts w:hAnsi="宋体" w:cs="宋体"/>
          <w:sz w:val="28"/>
          <w:szCs w:val="28"/>
        </w:rPr>
      </w:pPr>
      <w:r>
        <w:rPr>
          <w:rFonts w:hint="eastAsia" w:hAnsi="宋体" w:cs="宋体"/>
          <w:sz w:val="28"/>
          <w:szCs w:val="28"/>
        </w:rPr>
        <w:t>问题澄清通知</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ind w:firstLine="480" w:firstLineChars="200"/>
        <w:rPr>
          <w:rFonts w:hAnsi="宋体" w:cs="宋体"/>
          <w:sz w:val="24"/>
        </w:rPr>
      </w:pPr>
      <w:r>
        <w:rPr>
          <w:rFonts w:hint="eastAsia" w:hAnsi="宋体" w:cs="宋体"/>
          <w:sz w:val="24"/>
        </w:rPr>
        <w:t>（投标人名称）：</w:t>
      </w:r>
    </w:p>
    <w:p>
      <w:pPr>
        <w:spacing w:line="480" w:lineRule="exact"/>
        <w:ind w:firstLine="480" w:firstLineChars="200"/>
        <w:rPr>
          <w:rFonts w:hAnsi="宋体" w:cs="宋体"/>
          <w:sz w:val="24"/>
        </w:rPr>
      </w:pPr>
      <w:r>
        <w:rPr>
          <w:rFonts w:hint="eastAsia" w:hAnsi="宋体" w:cs="宋体"/>
          <w:sz w:val="24"/>
        </w:rPr>
        <w:t>（项目名称）招标的评标委员会，对你方的投标文件进行了仔细的审查，现需你方对本通知所附质疑问卷中的问题以书面形式予以澄清、说明或者补正。</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请将上述问题的澄清、说明或者补正于年月日时前密封递交至 （详细地址）。</w:t>
      </w:r>
    </w:p>
    <w:p>
      <w:pPr>
        <w:spacing w:line="480" w:lineRule="exact"/>
        <w:rPr>
          <w:rFonts w:hAnsi="宋体" w:cs="宋体"/>
          <w:sz w:val="24"/>
        </w:rPr>
      </w:pPr>
    </w:p>
    <w:p>
      <w:pPr>
        <w:spacing w:line="480" w:lineRule="exact"/>
        <w:rPr>
          <w:rFonts w:hAnsi="宋体" w:cs="宋体"/>
          <w:sz w:val="24"/>
        </w:rPr>
      </w:pPr>
      <w:r>
        <w:rPr>
          <w:rFonts w:hint="eastAsia" w:hAnsi="宋体" w:cs="宋体"/>
          <w:sz w:val="24"/>
        </w:rPr>
        <w:t>附件：质疑问卷</w:t>
      </w: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rFonts w:hAnsi="宋体" w:cs="宋体"/>
          <w:sz w:val="24"/>
          <w:u w:val="single"/>
        </w:rPr>
      </w:pPr>
    </w:p>
    <w:p>
      <w:pPr>
        <w:spacing w:line="480" w:lineRule="exact"/>
        <w:rPr>
          <w:rFonts w:hAnsi="宋体" w:cs="宋体"/>
          <w:sz w:val="24"/>
          <w:u w:val="single"/>
        </w:rPr>
      </w:pPr>
    </w:p>
    <w:p>
      <w:pPr>
        <w:spacing w:line="480" w:lineRule="exact"/>
        <w:ind w:firstLine="4080" w:firstLineChars="1700"/>
        <w:rPr>
          <w:rFonts w:hAnsi="宋体" w:cs="宋体"/>
          <w:sz w:val="24"/>
          <w:u w:val="single"/>
        </w:rPr>
      </w:pPr>
    </w:p>
    <w:p>
      <w:pPr>
        <w:spacing w:line="480" w:lineRule="exact"/>
        <w:ind w:firstLine="4080" w:firstLineChars="1700"/>
        <w:rPr>
          <w:sz w:val="24"/>
        </w:rPr>
      </w:pPr>
      <w:r>
        <w:rPr>
          <w:rFonts w:hint="eastAsia"/>
          <w:sz w:val="24"/>
        </w:rPr>
        <w:t xml:space="preserve"> （项目名称）</w:t>
      </w:r>
      <w:r>
        <w:rPr>
          <w:rFonts w:hint="eastAsia" w:hAnsi="宋体" w:cs="宋体"/>
          <w:sz w:val="24"/>
        </w:rPr>
        <w:t>招标评标委员会</w:t>
      </w:r>
    </w:p>
    <w:p>
      <w:pPr>
        <w:spacing w:line="480" w:lineRule="exact"/>
        <w:ind w:firstLine="2880" w:firstLineChars="1200"/>
        <w:rPr>
          <w:sz w:val="24"/>
        </w:rPr>
      </w:pPr>
      <w:r>
        <w:rPr>
          <w:rFonts w:hint="eastAsia"/>
          <w:sz w:val="24"/>
        </w:rPr>
        <w:t>（经评标委员会授权的招标人代表签字或招标人加盖单位章）</w:t>
      </w:r>
    </w:p>
    <w:p>
      <w:pPr>
        <w:spacing w:line="480" w:lineRule="exact"/>
        <w:ind w:firstLine="5280" w:firstLineChars="2200"/>
        <w:rPr>
          <w:rFonts w:hAnsi="宋体" w:cs="宋体"/>
          <w:sz w:val="24"/>
        </w:rPr>
      </w:pPr>
      <w:r>
        <w:rPr>
          <w:rFonts w:hint="eastAsia"/>
          <w:sz w:val="24"/>
        </w:rPr>
        <w:t>年月日</w:t>
      </w: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spacing w:line="400" w:lineRule="exact"/>
        <w:ind w:firstLine="480" w:firstLineChars="200"/>
        <w:rPr>
          <w:rFonts w:ascii="新宋体" w:hAnsi="新宋体" w:eastAsia="新宋体"/>
          <w:b/>
          <w:sz w:val="24"/>
        </w:rPr>
      </w:pPr>
    </w:p>
    <w:p>
      <w:pPr>
        <w:pStyle w:val="2"/>
        <w:ind w:firstLine="340"/>
      </w:pPr>
    </w:p>
    <w:p>
      <w:pPr>
        <w:spacing w:line="400" w:lineRule="exact"/>
        <w:rPr>
          <w:rFonts w:ascii="新宋体" w:hAnsi="新宋体" w:eastAsia="新宋体"/>
          <w:b/>
          <w:sz w:val="24"/>
        </w:rPr>
      </w:pPr>
    </w:p>
    <w:p>
      <w:pPr>
        <w:spacing w:line="400" w:lineRule="exact"/>
        <w:ind w:firstLine="480" w:firstLineChars="200"/>
        <w:rPr>
          <w:rFonts w:hAnsi="宋体" w:cs="宋体"/>
          <w:b/>
          <w:bCs/>
          <w:sz w:val="24"/>
        </w:rPr>
      </w:pPr>
      <w:r>
        <w:rPr>
          <w:rFonts w:hint="eastAsia" w:hAnsi="宋体" w:cs="宋体"/>
          <w:b/>
          <w:bCs/>
          <w:sz w:val="24"/>
        </w:rPr>
        <w:t>附表二：问题的澄清</w:t>
      </w:r>
    </w:p>
    <w:p>
      <w:pPr>
        <w:spacing w:beforeLines="100" w:afterLines="100" w:line="480" w:lineRule="exact"/>
        <w:jc w:val="center"/>
        <w:rPr>
          <w:rFonts w:hAnsi="宋体" w:cs="宋体"/>
          <w:sz w:val="28"/>
          <w:szCs w:val="28"/>
        </w:rPr>
      </w:pPr>
      <w:r>
        <w:rPr>
          <w:rFonts w:hint="eastAsia" w:hAnsi="宋体" w:cs="宋体"/>
          <w:sz w:val="28"/>
          <w:szCs w:val="28"/>
        </w:rPr>
        <w:t>问题的澄清、说明或补正</w:t>
      </w:r>
    </w:p>
    <w:p>
      <w:pPr>
        <w:spacing w:line="400" w:lineRule="exact"/>
        <w:ind w:firstLine="6120" w:firstLineChars="2550"/>
        <w:rPr>
          <w:rFonts w:hAnsi="宋体" w:cs="宋体"/>
          <w:sz w:val="24"/>
          <w:u w:val="single"/>
        </w:rPr>
      </w:pPr>
      <w:r>
        <w:rPr>
          <w:rFonts w:hint="eastAsia" w:hAnsi="宋体" w:cs="宋体"/>
          <w:sz w:val="24"/>
        </w:rPr>
        <w:t>编号：</w:t>
      </w:r>
    </w:p>
    <w:p>
      <w:pPr>
        <w:spacing w:line="480" w:lineRule="exact"/>
        <w:rPr>
          <w:rFonts w:hAnsi="宋体" w:cs="宋体"/>
          <w:sz w:val="24"/>
        </w:rPr>
      </w:pPr>
      <w:r>
        <w:rPr>
          <w:rFonts w:hint="eastAsia" w:hAnsi="宋体" w:cs="宋体"/>
          <w:sz w:val="24"/>
        </w:rPr>
        <w:t>（项目名称）招标评标委员会：</w:t>
      </w:r>
    </w:p>
    <w:p>
      <w:pPr>
        <w:spacing w:line="480" w:lineRule="exact"/>
        <w:ind w:firstLine="480" w:firstLineChars="200"/>
        <w:rPr>
          <w:rFonts w:hAnsi="宋体" w:cs="宋体"/>
          <w:sz w:val="24"/>
        </w:rPr>
      </w:pPr>
      <w:r>
        <w:rPr>
          <w:rFonts w:hint="eastAsia" w:hAnsi="宋体" w:cs="宋体"/>
          <w:sz w:val="24"/>
        </w:rPr>
        <w:t>问题澄清通知（编号：）已收悉，现澄清、说明或者补正如下：</w:t>
      </w:r>
    </w:p>
    <w:p>
      <w:pPr>
        <w:spacing w:line="480" w:lineRule="exact"/>
        <w:ind w:firstLine="480" w:firstLineChars="200"/>
        <w:rPr>
          <w:rFonts w:hAnsi="宋体" w:cs="宋体"/>
          <w:sz w:val="24"/>
        </w:rPr>
      </w:pPr>
      <w:r>
        <w:rPr>
          <w:rFonts w:hint="eastAsia" w:hAnsi="宋体" w:cs="宋体"/>
          <w:sz w:val="24"/>
        </w:rPr>
        <w:t>1.</w:t>
      </w:r>
    </w:p>
    <w:p>
      <w:pPr>
        <w:spacing w:line="480" w:lineRule="exact"/>
        <w:ind w:firstLine="480" w:firstLineChars="200"/>
        <w:rPr>
          <w:rFonts w:hAnsi="宋体" w:cs="宋体"/>
          <w:sz w:val="24"/>
        </w:rPr>
      </w:pPr>
      <w:r>
        <w:rPr>
          <w:rFonts w:hint="eastAsia" w:hAnsi="宋体" w:cs="宋体"/>
          <w:sz w:val="24"/>
        </w:rPr>
        <w:t>2.</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r>
        <w:rPr>
          <w:rFonts w:hint="eastAsia" w:hAnsi="宋体" w:cs="宋体"/>
          <w:sz w:val="24"/>
        </w:rPr>
        <w:t>……</w:t>
      </w: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spacing w:line="480" w:lineRule="exact"/>
        <w:ind w:firstLine="480" w:firstLineChars="200"/>
        <w:rPr>
          <w:rFonts w:hAnsi="宋体" w:cs="宋体"/>
          <w:sz w:val="24"/>
        </w:rPr>
      </w:pPr>
    </w:p>
    <w:p>
      <w:pPr>
        <w:wordWrap w:val="0"/>
        <w:spacing w:line="480" w:lineRule="exact"/>
        <w:ind w:firstLine="480" w:firstLineChars="200"/>
        <w:jc w:val="right"/>
        <w:rPr>
          <w:rFonts w:hAnsi="宋体" w:cs="宋体"/>
          <w:sz w:val="24"/>
        </w:rPr>
      </w:pPr>
      <w:r>
        <w:rPr>
          <w:rFonts w:hint="eastAsia" w:hAnsi="宋体" w:cs="宋体"/>
          <w:sz w:val="24"/>
        </w:rPr>
        <w:t xml:space="preserve">投标人：（盖单位章） </w:t>
      </w:r>
    </w:p>
    <w:p>
      <w:pPr>
        <w:wordWrap w:val="0"/>
        <w:spacing w:beforeLines="50" w:afterLines="50" w:line="480" w:lineRule="exact"/>
        <w:ind w:right="210"/>
        <w:jc w:val="right"/>
        <w:rPr>
          <w:rFonts w:hAnsi="宋体" w:cs="宋体"/>
          <w:sz w:val="24"/>
        </w:rPr>
      </w:pPr>
      <w:r>
        <w:rPr>
          <w:rFonts w:hint="eastAsia" w:hAnsi="宋体" w:cs="宋体"/>
          <w:sz w:val="24"/>
        </w:rPr>
        <w:t xml:space="preserve">法定代表人或其委托代理人：（签字） </w:t>
      </w:r>
    </w:p>
    <w:p>
      <w:pPr>
        <w:spacing w:line="480" w:lineRule="exact"/>
        <w:jc w:val="center"/>
        <w:rPr>
          <w:rFonts w:hAnsi="宋体" w:cs="宋体"/>
          <w:sz w:val="24"/>
        </w:rPr>
      </w:pPr>
      <w:r>
        <w:rPr>
          <w:rFonts w:hint="eastAsia" w:hAnsi="宋体" w:cs="宋体"/>
          <w:sz w:val="24"/>
        </w:rPr>
        <w:t xml:space="preserve">                              年月日</w:t>
      </w:r>
    </w:p>
    <w:p>
      <w:pPr>
        <w:spacing w:line="480" w:lineRule="exact"/>
        <w:rPr>
          <w:sz w:val="24"/>
        </w:rPr>
      </w:pPr>
    </w:p>
    <w:p>
      <w:pPr>
        <w:spacing w:line="480" w:lineRule="exact"/>
        <w:rPr>
          <w:sz w:val="24"/>
        </w:rPr>
      </w:pPr>
    </w:p>
    <w:p>
      <w:pPr>
        <w:spacing w:line="480" w:lineRule="exact"/>
        <w:rPr>
          <w:sz w:val="24"/>
        </w:rPr>
      </w:pPr>
    </w:p>
    <w:p>
      <w:pPr>
        <w:pStyle w:val="2"/>
        <w:ind w:firstLine="340"/>
      </w:pPr>
    </w:p>
    <w:p>
      <w:pPr>
        <w:spacing w:line="480" w:lineRule="exact"/>
        <w:rPr>
          <w:sz w:val="24"/>
        </w:rPr>
      </w:pPr>
    </w:p>
    <w:p>
      <w:pPr>
        <w:snapToGrid w:val="0"/>
        <w:spacing w:line="360" w:lineRule="auto"/>
        <w:jc w:val="center"/>
        <w:outlineLvl w:val="0"/>
        <w:rPr>
          <w:rFonts w:hAnsi="宋体" w:cs="宋体"/>
          <w:b/>
          <w:bCs/>
          <w:sz w:val="36"/>
          <w:szCs w:val="36"/>
        </w:rPr>
      </w:pPr>
      <w:bookmarkStart w:id="70" w:name="_Toc21901"/>
      <w:bookmarkStart w:id="71" w:name="_Toc656"/>
      <w:bookmarkStart w:id="72" w:name="_Toc20232"/>
      <w:bookmarkStart w:id="73" w:name="_Toc19619"/>
    </w:p>
    <w:p>
      <w:pPr>
        <w:snapToGrid w:val="0"/>
        <w:spacing w:line="360" w:lineRule="auto"/>
        <w:jc w:val="center"/>
        <w:outlineLvl w:val="0"/>
        <w:rPr>
          <w:rFonts w:hAnsi="宋体" w:cs="宋体"/>
          <w:sz w:val="24"/>
        </w:rPr>
      </w:pPr>
      <w:r>
        <w:rPr>
          <w:rFonts w:hint="eastAsia" w:hAnsi="宋体" w:cs="宋体"/>
          <w:b/>
          <w:bCs/>
          <w:sz w:val="36"/>
          <w:szCs w:val="36"/>
        </w:rPr>
        <w:t>第三章 评标办法（综合评标法）</w:t>
      </w:r>
      <w:bookmarkEnd w:id="70"/>
      <w:bookmarkEnd w:id="71"/>
      <w:bookmarkEnd w:id="72"/>
      <w:bookmarkEnd w:id="73"/>
    </w:p>
    <w:p>
      <w:pPr>
        <w:snapToGrid w:val="0"/>
        <w:spacing w:line="360" w:lineRule="auto"/>
        <w:rPr>
          <w:rFonts w:hAnsi="宋体" w:cs="宋体"/>
          <w:sz w:val="24"/>
        </w:rPr>
      </w:pPr>
      <w:r>
        <w:rPr>
          <w:rFonts w:hint="eastAsia" w:hAnsi="宋体" w:cs="宋体"/>
          <w:sz w:val="24"/>
        </w:rPr>
        <w:t xml:space="preserve">     一、评标应遵循公正、公平、择优的原则严格按照招标文件进行。</w:t>
      </w:r>
    </w:p>
    <w:p>
      <w:pPr>
        <w:snapToGrid w:val="0"/>
        <w:spacing w:line="360" w:lineRule="auto"/>
        <w:rPr>
          <w:rFonts w:hAnsi="宋体" w:cs="宋体"/>
          <w:sz w:val="24"/>
        </w:rPr>
      </w:pPr>
      <w:r>
        <w:rPr>
          <w:rFonts w:hint="eastAsia" w:hAnsi="宋体" w:cs="宋体"/>
          <w:sz w:val="24"/>
        </w:rPr>
        <w:t xml:space="preserve">     二、评标由招标人依法组建的评标委员会负责，评标委员会成员从河南省综合评标专家库中随机抽取4人和招标人代表1人组成，其中注册造价工程师不少于2人。评标委员会主任从4名随机抽取的评标专家中产生，与投标人有利害关系的专家不得进入评标委员会。</w:t>
      </w:r>
    </w:p>
    <w:p>
      <w:pPr>
        <w:snapToGrid w:val="0"/>
        <w:spacing w:line="360" w:lineRule="auto"/>
        <w:rPr>
          <w:rFonts w:hAnsi="宋体" w:cs="宋体"/>
          <w:sz w:val="24"/>
        </w:rPr>
      </w:pPr>
      <w:r>
        <w:rPr>
          <w:rFonts w:hint="eastAsia" w:hAnsi="宋体" w:cs="宋体"/>
          <w:sz w:val="24"/>
        </w:rPr>
        <w:t xml:space="preserve">     三、评标采用综合评标法，是指评标委员会根据招标文件要求，应从技术标、商务标、综合（信用）标三部分进行综合评审。</w:t>
      </w:r>
    </w:p>
    <w:p>
      <w:pPr>
        <w:snapToGrid w:val="0"/>
        <w:spacing w:line="360" w:lineRule="auto"/>
        <w:ind w:firstLine="480" w:firstLineChars="200"/>
        <w:rPr>
          <w:rFonts w:hAnsi="宋体" w:cs="宋体"/>
          <w:sz w:val="24"/>
        </w:rPr>
      </w:pPr>
      <w:r>
        <w:rPr>
          <w:rFonts w:hint="eastAsia" w:hAnsi="宋体" w:cs="宋体"/>
          <w:sz w:val="24"/>
        </w:rPr>
        <w:t>四、评标程序为：</w:t>
      </w:r>
    </w:p>
    <w:p>
      <w:pPr>
        <w:snapToGrid w:val="0"/>
        <w:spacing w:line="360" w:lineRule="auto"/>
        <w:ind w:firstLine="480" w:firstLineChars="200"/>
        <w:rPr>
          <w:rFonts w:hAnsi="宋体" w:cs="宋体"/>
          <w:sz w:val="24"/>
        </w:rPr>
      </w:pPr>
      <w:r>
        <w:rPr>
          <w:rFonts w:hint="eastAsia" w:hAnsi="宋体" w:cs="宋体"/>
          <w:sz w:val="24"/>
        </w:rPr>
        <w:t>（一）清标；</w:t>
      </w:r>
    </w:p>
    <w:p>
      <w:pPr>
        <w:snapToGrid w:val="0"/>
        <w:spacing w:line="360" w:lineRule="auto"/>
        <w:ind w:firstLine="480" w:firstLineChars="200"/>
        <w:rPr>
          <w:rFonts w:hAnsi="宋体" w:cs="宋体"/>
          <w:sz w:val="24"/>
        </w:rPr>
      </w:pPr>
      <w:r>
        <w:rPr>
          <w:rFonts w:hint="eastAsia" w:hAnsi="宋体" w:cs="宋体"/>
          <w:sz w:val="24"/>
        </w:rPr>
        <w:t>（二）初步评审；</w:t>
      </w:r>
    </w:p>
    <w:p>
      <w:pPr>
        <w:snapToGrid w:val="0"/>
        <w:spacing w:line="360" w:lineRule="auto"/>
        <w:ind w:firstLine="480" w:firstLineChars="200"/>
        <w:rPr>
          <w:rFonts w:hAnsi="宋体" w:cs="宋体"/>
          <w:sz w:val="24"/>
        </w:rPr>
      </w:pPr>
      <w:r>
        <w:rPr>
          <w:rFonts w:hint="eastAsia" w:hAnsi="宋体" w:cs="宋体"/>
          <w:sz w:val="24"/>
        </w:rPr>
        <w:t>（三）详细评审；</w:t>
      </w:r>
    </w:p>
    <w:p>
      <w:pPr>
        <w:snapToGrid w:val="0"/>
        <w:spacing w:line="360" w:lineRule="auto"/>
        <w:ind w:firstLine="480" w:firstLineChars="200"/>
        <w:rPr>
          <w:rFonts w:hAnsi="宋体" w:cs="宋体"/>
          <w:sz w:val="24"/>
        </w:rPr>
      </w:pPr>
      <w:r>
        <w:rPr>
          <w:rFonts w:hint="eastAsia" w:hAnsi="宋体" w:cs="宋体"/>
          <w:sz w:val="24"/>
        </w:rPr>
        <w:t>（四）问题的澄清、说明或补正；</w:t>
      </w:r>
    </w:p>
    <w:p>
      <w:pPr>
        <w:snapToGrid w:val="0"/>
        <w:spacing w:line="360" w:lineRule="auto"/>
        <w:ind w:firstLine="480" w:firstLineChars="200"/>
        <w:rPr>
          <w:rFonts w:hAnsi="宋体" w:cs="宋体"/>
          <w:sz w:val="24"/>
        </w:rPr>
      </w:pPr>
      <w:r>
        <w:rPr>
          <w:rFonts w:hint="eastAsia" w:hAnsi="宋体" w:cs="宋体"/>
          <w:sz w:val="24"/>
        </w:rPr>
        <w:t>（五）推荐中标候选人；</w:t>
      </w:r>
    </w:p>
    <w:p>
      <w:pPr>
        <w:snapToGrid w:val="0"/>
        <w:spacing w:line="360" w:lineRule="auto"/>
        <w:ind w:firstLine="480" w:firstLineChars="200"/>
        <w:rPr>
          <w:rFonts w:hAnsi="宋体" w:cs="宋体"/>
          <w:sz w:val="24"/>
        </w:rPr>
      </w:pPr>
      <w:r>
        <w:rPr>
          <w:rFonts w:hint="eastAsia" w:hAnsi="宋体" w:cs="宋体"/>
          <w:sz w:val="24"/>
        </w:rPr>
        <w:t>（六）评标现场宣布中标候选人确定结果并在指定媒体上进行公示。</w:t>
      </w:r>
    </w:p>
    <w:p>
      <w:pPr>
        <w:snapToGrid w:val="0"/>
        <w:spacing w:line="360" w:lineRule="auto"/>
        <w:ind w:firstLine="480" w:firstLineChars="200"/>
        <w:rPr>
          <w:rFonts w:hAnsi="宋体" w:cs="宋体"/>
          <w:sz w:val="24"/>
        </w:rPr>
      </w:pPr>
      <w:r>
        <w:rPr>
          <w:rFonts w:hint="eastAsia" w:hAnsi="宋体" w:cs="宋体"/>
          <w:sz w:val="24"/>
        </w:rPr>
        <w:t>五、清标</w:t>
      </w:r>
    </w:p>
    <w:p>
      <w:pPr>
        <w:autoSpaceDE w:val="0"/>
        <w:autoSpaceDN w:val="0"/>
        <w:adjustRightInd w:val="0"/>
        <w:snapToGrid w:val="0"/>
        <w:spacing w:line="348" w:lineRule="auto"/>
        <w:ind w:firstLine="470" w:firstLineChars="196"/>
        <w:jc w:val="left"/>
        <w:rPr>
          <w:rFonts w:ascii="新宋体" w:hAnsi="新宋体" w:eastAsia="新宋体"/>
          <w:b/>
          <w:sz w:val="24"/>
        </w:rPr>
      </w:pPr>
      <w:r>
        <w:rPr>
          <w:rFonts w:hint="eastAsia" w:ascii="新宋体" w:hAnsi="新宋体" w:eastAsia="新宋体"/>
          <w:b/>
          <w:sz w:val="24"/>
        </w:rPr>
        <w:t>先由评标委员会在商务标清标系统的辅助下对投标文件进行基础性数据分析和整理（清标内容见下表），形成清标成果。</w:t>
      </w:r>
    </w:p>
    <w:p>
      <w:pPr>
        <w:autoSpaceDE w:val="0"/>
        <w:autoSpaceDN w:val="0"/>
        <w:adjustRightInd w:val="0"/>
        <w:snapToGrid w:val="0"/>
        <w:spacing w:line="348" w:lineRule="auto"/>
        <w:ind w:firstLine="470" w:firstLineChars="196"/>
        <w:jc w:val="left"/>
        <w:rPr>
          <w:rFonts w:ascii="新宋体" w:hAnsi="新宋体" w:eastAsia="新宋体"/>
          <w:bCs/>
          <w:sz w:val="24"/>
        </w:rPr>
      </w:pPr>
      <w:r>
        <w:rPr>
          <w:rFonts w:hint="eastAsia" w:ascii="新宋体" w:hAnsi="新宋体" w:eastAsia="新宋体"/>
          <w:bCs/>
          <w:sz w:val="24"/>
        </w:rPr>
        <w:t>出现否定事项的，评标委员会不再对其质询，直接作为无效投标处理（但法律法规规定的细微偏差除外）。</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细微偏差是指投标文件在实质上响应招标文件要求，但在个别地方存在漏项或者提供了不完整的技术信息和数据等情况，并且补正这些漏项或者不完整不会对其他投标人造成不公平的结果。细微偏差不影响投标文件的有效性。</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评标委员会应当书面要求存在细微偏差的投标人在评标结束前予以补正。拒不补正的，评标委员会可否决其投标。</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投标文件存在下列情形之一的，按废标处理：</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（1）未按招标文件规定编制各项报价的；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（2）投标总报价与其组成部分、工程量清单项目合价与综合单价、综合单价与人材机用量相互矛盾，致使评标委员会无法正常评审判定的；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（3）规费和税金、安全文明施工措施费违背工程造价管理规定的； </w:t>
      </w:r>
    </w:p>
    <w:p>
      <w:pPr>
        <w:spacing w:line="360" w:lineRule="auto"/>
        <w:ind w:firstLine="480" w:firstLineChars="200"/>
        <w:rPr>
          <w:rFonts w:ascii="新宋体" w:hAnsi="新宋体" w:eastAsia="新宋体"/>
          <w:bCs/>
          <w:sz w:val="24"/>
        </w:rPr>
      </w:pPr>
      <w:r>
        <w:rPr>
          <w:rFonts w:hint="eastAsia" w:ascii="新宋体" w:hAnsi="新宋体" w:eastAsia="新宋体"/>
          <w:bCs/>
          <w:sz w:val="24"/>
        </w:rPr>
        <w:t xml:space="preserve">（4）分部分项工程项目、措施项目报价中的项目编码、项目名称、项目特征、计量单位和工程量与招标文件的清单不一致的； </w:t>
      </w:r>
    </w:p>
    <w:p>
      <w:pPr>
        <w:snapToGrid w:val="0"/>
        <w:spacing w:line="360" w:lineRule="auto"/>
        <w:ind w:firstLine="480" w:firstLineChars="200"/>
        <w:rPr>
          <w:rFonts w:hAnsi="宋体" w:cs="宋体"/>
          <w:sz w:val="24"/>
        </w:rPr>
      </w:pPr>
      <w:r>
        <w:rPr>
          <w:rFonts w:hint="eastAsia" w:ascii="新宋体" w:hAnsi="新宋体" w:eastAsia="新宋体"/>
          <w:bCs/>
          <w:sz w:val="24"/>
        </w:rPr>
        <w:t>（5）未按照暂列金额或者暂估价编制投标报价的</w:t>
      </w:r>
      <w:r>
        <w:rPr>
          <w:rFonts w:hint="eastAsia" w:hAnsi="宋体" w:cs="宋体"/>
          <w:sz w:val="24"/>
        </w:rPr>
        <w:t>。</w:t>
      </w:r>
    </w:p>
    <w:p>
      <w:pPr>
        <w:spacing w:line="360" w:lineRule="auto"/>
        <w:ind w:firstLine="480" w:firstLineChars="200"/>
        <w:rPr>
          <w:rFonts w:ascii="新宋体" w:hAnsi="新宋体" w:eastAsia="新宋体"/>
          <w:bCs/>
          <w:sz w:val="24"/>
          <w:szCs w:val="22"/>
        </w:rPr>
      </w:pPr>
      <w:r>
        <w:rPr>
          <w:rFonts w:hint="eastAsia" w:ascii="新宋体" w:hAnsi="新宋体" w:eastAsia="新宋体"/>
          <w:bCs/>
          <w:sz w:val="24"/>
          <w:szCs w:val="22"/>
        </w:rPr>
        <w:t>评标委员会否决投标时应审慎。因招标文件或工程量清单表述歧义或逻辑错误等原因，造成投标文件表述不一致的，不作为否决投标的因素，投标人明显打字或排版错误且不影响实质内容的，评标委员会可要求投标人作出书面澄清、说明或补正，不予以否决投标。</w:t>
      </w:r>
    </w:p>
    <w:p>
      <w:pPr>
        <w:spacing w:line="360" w:lineRule="auto"/>
        <w:ind w:firstLine="480" w:firstLineChars="200"/>
        <w:rPr>
          <w:rFonts w:ascii="新宋体" w:hAnsi="新宋体"/>
          <w:b/>
          <w:sz w:val="24"/>
        </w:rPr>
      </w:pPr>
      <w:r>
        <w:rPr>
          <w:rFonts w:hint="eastAsia" w:hAnsi="宋体" w:cs="宋体"/>
          <w:b/>
          <w:bCs/>
          <w:sz w:val="24"/>
          <w:szCs w:val="24"/>
        </w:rPr>
        <w:t>备注：不同投标人电子投标文件制作硬件特征码（网卡MAC地址、CPU序号、硬盘序列号）均一致时，视为‘不同投标人的投标文件由同一单位或者个人编制’或‘不同投标人委托同一单位或者个人办理响应事宜’，其投标无效。评审专家应严格按照要求查看“硬件特征码”相关信息并进行评审，在评审报告中显示“不同投标人电子投标文件制作硬件特征码”是否雷同的分析及判定结果。</w:t>
      </w:r>
    </w:p>
    <w:p>
      <w:pPr>
        <w:spacing w:line="440" w:lineRule="exact"/>
        <w:rPr>
          <w:rFonts w:ascii="新宋体" w:hAnsi="新宋体" w:eastAsia="新宋体"/>
          <w:b/>
          <w:sz w:val="24"/>
        </w:rPr>
      </w:pPr>
      <w:r>
        <w:rPr>
          <w:rFonts w:hint="eastAsia" w:ascii="新宋体" w:hAnsi="新宋体" w:eastAsia="新宋体"/>
          <w:b/>
          <w:sz w:val="24"/>
        </w:rPr>
        <w:t>清标内容：</w:t>
      </w:r>
    </w:p>
    <w:tbl>
      <w:tblPr>
        <w:tblStyle w:val="29"/>
        <w:tblW w:w="94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
        <w:gridCol w:w="600"/>
        <w:gridCol w:w="3120"/>
        <w:gridCol w:w="4110"/>
        <w:gridCol w:w="600"/>
        <w:gridCol w:w="5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序号</w:t>
            </w:r>
          </w:p>
        </w:tc>
        <w:tc>
          <w:tcPr>
            <w:tcW w:w="312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清标项目</w:t>
            </w:r>
          </w:p>
        </w:tc>
        <w:tc>
          <w:tcPr>
            <w:tcW w:w="4110"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清标内容</w:t>
            </w:r>
          </w:p>
        </w:tc>
        <w:tc>
          <w:tcPr>
            <w:tcW w:w="112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清标结果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68"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312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4110" w:type="dxa"/>
            <w:vMerge w:val="continue"/>
            <w:tcBorders>
              <w:top w:val="single" w:color="auto" w:sz="4" w:space="0"/>
              <w:left w:val="single" w:color="auto" w:sz="4" w:space="0"/>
              <w:bottom w:val="single" w:color="auto" w:sz="4" w:space="0"/>
              <w:right w:val="single" w:color="auto" w:sz="4" w:space="0"/>
            </w:tcBorders>
            <w:vAlign w:val="center"/>
          </w:tcPr>
          <w:p>
            <w:pPr>
              <w:rPr>
                <w:rFonts w:ascii="Times New Roman"/>
                <w:kern w:val="2"/>
                <w:sz w:val="20"/>
                <w:szCs w:val="22"/>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w:t>
            </w: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项目总报价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是否等于各单项工程造价之和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单项工程费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是否等于各单位工程造价之和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单位工程费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是否等于分部分项工程费+措施项目费+其它项目费+规费+税金之和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是否等于各分部分项清单（含单价措施项目）费之和</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分部分项及单价措施项目编码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分部分项及单价措施项目名称</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分部分项及单价措施项目特征</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分部分项及单价措施项目计量单位</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分部分项及单价措施项目工程量</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不得修改招标人清单</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5"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2.7</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分部分项工程费及单价措施费清单综合单价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综合单价=人工费+材料费+机械费+管理费+利润之和</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2.8</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材料单价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材料表中的单价与组成清单单价中的综合单价必须一致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安全文明施工费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其他措施费（费率类）项目</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根据招标文件要求自主报价</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restart"/>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4.1</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其他项目费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各组成部分之和（暂列金额+专业暂估价+计日工费+总承包服务费）</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4.2</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暂列金额</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4.3</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专业工程暂估价</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应与招标人价格一致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4.4</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计日工</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应与招标人数量一致</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总承包服务费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是否按招标文件要求计算</w:t>
            </w:r>
          </w:p>
        </w:tc>
        <w:tc>
          <w:tcPr>
            <w:tcW w:w="600"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spacing w:line="440" w:lineRule="exact"/>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规费</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312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增值税</w:t>
            </w:r>
          </w:p>
        </w:tc>
        <w:tc>
          <w:tcPr>
            <w:tcW w:w="411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根据河南省及许昌市计价依据规定计算</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8"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723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不违反法律、法规、规章、规范性文件规定的其它情况</w:t>
            </w:r>
          </w:p>
        </w:tc>
        <w:tc>
          <w:tcPr>
            <w:tcW w:w="600"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c>
          <w:tcPr>
            <w:tcW w:w="525" w:type="dxa"/>
            <w:tcBorders>
              <w:top w:val="single" w:color="auto" w:sz="4" w:space="0"/>
              <w:left w:val="single" w:color="auto" w:sz="4" w:space="0"/>
              <w:bottom w:val="single" w:color="auto" w:sz="4" w:space="0"/>
              <w:right w:val="single" w:color="auto" w:sz="4" w:space="0"/>
            </w:tcBorders>
            <w:vAlign w:val="center"/>
          </w:tcPr>
          <w:p>
            <w:pPr>
              <w:jc w:val="center"/>
              <w:rPr>
                <w:rFonts w:ascii="新宋体" w:hAnsi="新宋体" w:eastAsia="新宋体" w:cs="新宋体"/>
                <w:b/>
                <w:kern w:val="2"/>
                <w:sz w:val="21"/>
                <w:szCs w:val="21"/>
              </w:rPr>
            </w:pPr>
          </w:p>
        </w:tc>
      </w:tr>
    </w:tbl>
    <w:p>
      <w:pPr>
        <w:spacing w:line="440" w:lineRule="exact"/>
        <w:ind w:firstLine="480" w:firstLineChars="200"/>
        <w:rPr>
          <w:rFonts w:ascii="新宋体" w:hAnsi="新宋体" w:eastAsia="新宋体"/>
          <w:b/>
          <w:sz w:val="24"/>
        </w:rPr>
      </w:pPr>
      <w:r>
        <w:rPr>
          <w:rFonts w:hint="eastAsia" w:ascii="新宋体" w:hAnsi="新宋体" w:eastAsia="新宋体"/>
          <w:b/>
          <w:sz w:val="24"/>
        </w:rPr>
        <w:t>六、初步评审</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评标委员会按招标文件及商务标清标内容要求对投标文件的符合性、响应性、资格备件和重大偏差等逐一进行评审，经审查不符合招标文件要求的，不再进入详细评审阶段；符合招标文件要求的投标文件为有效投标文件，进入详细评审阶段，其报价为有效投标报价。</w:t>
      </w:r>
    </w:p>
    <w:p>
      <w:pPr>
        <w:spacing w:line="360" w:lineRule="auto"/>
        <w:ind w:firstLine="468" w:firstLineChars="195"/>
        <w:rPr>
          <w:rFonts w:ascii="新宋体" w:hAnsi="新宋体" w:eastAsia="新宋体" w:cs="宋体"/>
          <w:bCs/>
          <w:sz w:val="24"/>
        </w:rPr>
      </w:pPr>
      <w:r>
        <w:rPr>
          <w:rFonts w:hint="eastAsia" w:ascii="新宋体" w:hAnsi="新宋体" w:eastAsia="新宋体" w:cs="宋体"/>
          <w:bCs/>
          <w:sz w:val="24"/>
        </w:rPr>
        <w:t xml:space="preserve">初步评审主要包括以下内容：  </w:t>
      </w:r>
    </w:p>
    <w:p>
      <w:pPr>
        <w:spacing w:line="360" w:lineRule="auto"/>
        <w:ind w:firstLine="480" w:firstLineChars="200"/>
        <w:rPr>
          <w:rFonts w:hAnsi="宋体" w:cs="仿宋_GB2312"/>
          <w:sz w:val="24"/>
        </w:rPr>
      </w:pPr>
      <w:r>
        <w:rPr>
          <w:rFonts w:hint="eastAsia" w:ascii="新宋体" w:hAnsi="新宋体" w:eastAsia="新宋体" w:cs="宋体"/>
          <w:bCs/>
          <w:sz w:val="24"/>
        </w:rPr>
        <w:t>（1）</w:t>
      </w:r>
      <w:r>
        <w:rPr>
          <w:rFonts w:hint="eastAsia" w:hAnsi="宋体" w:cs="仿宋_GB2312"/>
          <w:sz w:val="24"/>
        </w:rPr>
        <w:t>投标文件是否按招标文件要求签字盖章；</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（2）投标联合体是否提交共同投标协议（允许联合体投标的）；</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（3）投标人是否符合国家或者招标文件规定的资格条件；</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 xml:space="preserve">（4）同一投标人是否提交两个以上不同的投标文件或者投标报价，但招标文件要求提交备选投标的除外； </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（5）投标报价是否高于招标文件设定的最高投标限价；</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（6）投标范围、工期、工程质量、投标有效期是否符合招标文件规定；</w:t>
      </w:r>
    </w:p>
    <w:p>
      <w:pPr>
        <w:spacing w:line="360" w:lineRule="auto"/>
        <w:ind w:firstLine="480" w:firstLineChars="200"/>
        <w:rPr>
          <w:rFonts w:ascii="新宋体" w:hAnsi="新宋体" w:eastAsia="新宋体" w:cs="宋体"/>
          <w:bCs/>
          <w:sz w:val="24"/>
        </w:rPr>
      </w:pPr>
      <w:r>
        <w:rPr>
          <w:rFonts w:hint="eastAsia" w:ascii="新宋体" w:hAnsi="新宋体" w:eastAsia="新宋体" w:cs="宋体"/>
          <w:bCs/>
          <w:sz w:val="24"/>
        </w:rPr>
        <w:t>（7）投标人是否有串通投标、弄虚作假、行贿等违法行为。</w:t>
      </w:r>
    </w:p>
    <w:p>
      <w:pPr>
        <w:spacing w:line="360" w:lineRule="auto"/>
        <w:ind w:firstLine="480" w:firstLineChars="200"/>
        <w:rPr>
          <w:rFonts w:ascii="新宋体" w:hAnsi="新宋体" w:eastAsia="新宋体" w:cs="宋体"/>
          <w:bCs/>
          <w:sz w:val="24"/>
        </w:rPr>
      </w:pPr>
      <w:r>
        <w:rPr>
          <w:rFonts w:hint="eastAsia" w:ascii="新宋体" w:hAnsi="新宋体" w:eastAsia="新宋体" w:cs="新宋体"/>
          <w:sz w:val="24"/>
        </w:rPr>
        <w:t>初步评审经审查后应写出评审意见</w:t>
      </w:r>
      <w:r>
        <w:rPr>
          <w:rFonts w:hint="eastAsia" w:ascii="新宋体" w:hAnsi="新宋体" w:eastAsia="新宋体" w:cs="宋体"/>
          <w:bCs/>
          <w:sz w:val="24"/>
        </w:rPr>
        <w:t>。</w:t>
      </w:r>
    </w:p>
    <w:p>
      <w:pPr>
        <w:spacing w:line="400" w:lineRule="exact"/>
        <w:ind w:firstLine="480" w:firstLineChars="200"/>
        <w:rPr>
          <w:rFonts w:ascii="新宋体" w:hAnsi="新宋体" w:eastAsia="新宋体" w:cs="宋体"/>
          <w:b/>
          <w:sz w:val="24"/>
        </w:rPr>
      </w:pPr>
      <w:r>
        <w:rPr>
          <w:rFonts w:hint="eastAsia" w:ascii="新宋体" w:hAnsi="新宋体" w:eastAsia="新宋体" w:cs="宋体"/>
          <w:b/>
          <w:sz w:val="24"/>
        </w:rPr>
        <w:t>七、详细评审</w:t>
      </w:r>
    </w:p>
    <w:p>
      <w:pPr>
        <w:spacing w:line="400" w:lineRule="exact"/>
        <w:ind w:firstLine="480" w:firstLineChars="200"/>
        <w:rPr>
          <w:rFonts w:ascii="新宋体" w:hAnsi="新宋体" w:eastAsia="新宋体" w:cs="宋体"/>
          <w:bCs/>
          <w:sz w:val="24"/>
        </w:rPr>
      </w:pPr>
      <w:r>
        <w:rPr>
          <w:rFonts w:hint="eastAsia" w:ascii="新宋体" w:hAnsi="新宋体" w:eastAsia="新宋体" w:cs="宋体"/>
          <w:bCs/>
          <w:sz w:val="24"/>
        </w:rPr>
        <w:t>评标委员会根据招标文件要求应从技术标、商务标、综合（信用）标三部分进行综合评审。技术标的权重占25%，商务标的权重占50%，综合（信用）标的权重占25%。</w:t>
      </w:r>
    </w:p>
    <w:p>
      <w:pPr>
        <w:snapToGrid w:val="0"/>
        <w:spacing w:line="360" w:lineRule="auto"/>
        <w:rPr>
          <w:rFonts w:hAnsi="宋体" w:cs="宋体"/>
          <w:b/>
          <w:sz w:val="24"/>
        </w:rPr>
      </w:pPr>
      <w:r>
        <w:rPr>
          <w:rFonts w:hint="eastAsia" w:hAnsi="宋体" w:cs="宋体"/>
          <w:b/>
          <w:sz w:val="24"/>
        </w:rPr>
        <w:t>（一）技术标（25分）</w:t>
      </w:r>
    </w:p>
    <w:tbl>
      <w:tblPr>
        <w:tblStyle w:val="29"/>
        <w:tblW w:w="10207" w:type="dxa"/>
        <w:tblInd w:w="-17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0"/>
        <w:gridCol w:w="1410"/>
        <w:gridCol w:w="1265"/>
        <w:gridCol w:w="5103"/>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Align w:val="center"/>
          </w:tcPr>
          <w:p>
            <w:pPr>
              <w:spacing w:line="360" w:lineRule="auto"/>
              <w:jc w:val="center"/>
              <w:rPr>
                <w:rFonts w:ascii="新宋体" w:hAnsi="新宋体" w:eastAsia="新宋体" w:cs="宋体"/>
                <w:bCs/>
                <w:sz w:val="21"/>
                <w:szCs w:val="21"/>
              </w:rPr>
            </w:pPr>
            <w:bookmarkStart w:id="74" w:name="_Toc270931534"/>
            <w:bookmarkStart w:id="75" w:name="_Toc272833453"/>
            <w:bookmarkStart w:id="76" w:name="_Toc273546398"/>
            <w:bookmarkStart w:id="77" w:name="_Toc295572535"/>
            <w:r>
              <w:rPr>
                <w:rFonts w:hint="eastAsia" w:ascii="新宋体" w:hAnsi="新宋体" w:eastAsia="新宋体" w:cs="宋体"/>
                <w:bCs/>
                <w:sz w:val="21"/>
                <w:szCs w:val="21"/>
              </w:rPr>
              <w:t>序号</w:t>
            </w:r>
          </w:p>
        </w:tc>
        <w:tc>
          <w:tcPr>
            <w:tcW w:w="1410"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w:t>
            </w:r>
          </w:p>
        </w:tc>
        <w:tc>
          <w:tcPr>
            <w:tcW w:w="1265"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分值</w:t>
            </w:r>
          </w:p>
        </w:tc>
        <w:tc>
          <w:tcPr>
            <w:tcW w:w="5103"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评审标准</w:t>
            </w:r>
          </w:p>
        </w:tc>
        <w:tc>
          <w:tcPr>
            <w:tcW w:w="1559" w:type="dxa"/>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评审得分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内容完整性</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0-0.5</w:t>
            </w:r>
          </w:p>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技术标的主要内容具有完整性，符合招标文件的要求。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技术标不符合招标文件要求。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主要施工方案与技术</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施工方案（含工程特点、施工重点与难点及绿色施工）总体安排合理，运用先进、合理的施工工艺、施工机械；对施工难点有先进和合理的建议。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施工方案（含工程特点、施工重点与难点及绿色施工）总体安排合理，施工工艺、施工机械合理、可行；对施工难点有合理的建议。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 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质量管理体系与措施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合理，有完善的指挥系统、质量监控系统、联络协调系统，对项目提出先进、可行、具体的保证措施。主体结构质量保证措施完整得力、经济、安全、切实可行。主体结构、装饰装修按照工程建设强制性标准和其他技术标准施工，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组织机构形式基本合理，指挥系统、质量监控系统、联络协调系统，具体措施可行。主体结构质量保证措施经济、安全、基本可行。主体结构、装饰装修符合工程建设强制性标准，不得偷工减料。</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4</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安全管理体系与措施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安全生产保障体系健全，安全管理制度完善，安全管理目标具体，全员安全责任制明确，现场安全管理组织机构、人员配备满足国家规定要求。根据工程特点、周边环境和施工工艺，现场重大危险源辨识全面，制定有项目危险性较大的分部分项工程清单并明确有相应的安全管理措施。安全技术方案措施科学合理、先进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施工安全生产保障体系、安全责任制和安全管理制度，现场安全管理机构、人员配备满足国家规定。根据工程特点、周边环境和施工工艺，正确识别现场重大危险源并有相应的安全防护管理措施。制定有本项目危险性较大的分部分项工程清单和相关专项施工方案（或方案计划），安全技术方案、措施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5</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文明施工、环境保护管理体系及施工现场扬尘治理措施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1-3分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创安全文明标准化工地目标明确，有针对项目实际情况，科学可行的创建计划和符合相关标准、规范、规程的创建保证措施和安全文明措施费用投入使用计划，现场施工区、生活区、办公区等设置科学规范，符合有关文明施工、健康卫生的规定。施工现场扬尘治理措施符合河南省《城市房屋建筑和市政基础设施工程及道路扬尘污染标准》（DBJ41/174）的规定，防治方案科学、先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有安全文明标准化工地创建目标计划和创建措施，有安全文明措施费用投入使用计划，现场施工区、生活区、办公区等设置符合有关文明施工、健康卫生的规定。施工现场扬尘治理措施基本达到河南省《城市房屋建筑和市政基础设施工程及道路扬尘污染标准》（DBJ41/174）的规定，有防治方案。</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6</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工期保证</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工期承诺满足招标文件要求，工期保证措施合理且有针对性，有具体的违约责任承诺。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工期承诺满足招标文件要求，工期保证措施基本合理，有具体的违约责任承诺。</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7</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拟投入资源配备计划</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机械：投入计划与进度计划呼应，采用先进机械设备且配置合理、先进，满足安全技术规范和施工进度需要；PC构件运输、安装设备满足施工要求；</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劳动力：投入计划与进度计划呼应，较好满足施工需要，调配投入计划合理、准确；</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3、主要物资计划：主要物资（含PC构件的供应需求）投入计划与进度计划呼应，较好满足施工需要，调配投入计划合理、准确。</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机械：投入计划与进度计划呼应，机械设备配置基本合理，满足安全技术规范和施工进度需要；</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劳动力：投入计划与进度计划呼应，基本满足施工需要，调配投入计划基本合理；</w:t>
            </w:r>
          </w:p>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3、主要物资计划：主要物资（含PC构件的供应需求）投入计划与进度计划呼应，基本满足施工需要，调配投入计划基本合理。</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8</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施工进度表与网络计划图</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关键线路清晰、准确、完整、计划编制合理、可行、满足招标文件对工期的要求。</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关键线路基本准确，计划编制基本可行。</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0.5≤得分≤1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9</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施工总平面图布置</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总体布置有针对性、合理、能较好满足施工需要，符合安全、文明施工要求；材料堆放有序。</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总体布置基本合理、基本满足施工需要。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10</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技术创新的应用实施</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节能减排、绿色施工、工艺创新、装配式建筑等技术创新的应用实施措施符合工程情况，具有针对性、可行性、经济适用性。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节能减排、绿色施工、工艺创新、装配式建筑等技术创新的应用实施措施基本符合工程情况，具有针对性。</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11</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采用新工艺、新技术、新设备、新材料、BIM等的程度满足设计要求，符合施工需要和相应技术标准等规定，经济适用。</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采用新工艺、新技术、新设备、新材料、BIM等的程度满足设计要求，基本符合施工要求和相应技术标准等规定。</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12</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施工现场实施信息化监控和数据</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处理</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0.5-1.5分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施工现场实施信息化监控数据处理系统布置合理，满足需要。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jc w:val="center"/>
              <w:rPr>
                <w:rFonts w:ascii="新宋体" w:hAnsi="新宋体" w:eastAsia="新宋体" w:cs="新宋体"/>
                <w:b/>
                <w:kern w:val="2"/>
                <w:sz w:val="21"/>
                <w:szCs w:val="21"/>
              </w:rPr>
            </w:pPr>
          </w:p>
        </w:tc>
        <w:tc>
          <w:tcPr>
            <w:tcW w:w="1410" w:type="dxa"/>
            <w:vMerge w:val="continue"/>
            <w:vAlign w:val="center"/>
          </w:tcPr>
          <w:p>
            <w:pPr>
              <w:spacing w:line="360" w:lineRule="auto"/>
              <w:ind w:firstLine="420" w:firstLineChars="200"/>
              <w:jc w:val="center"/>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施工现场实施信息化监控数据处理系统布置基本符合需要。</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 xml:space="preserve">0.5＜得分≤1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restart"/>
            <w:vAlign w:val="center"/>
          </w:tcPr>
          <w:p>
            <w:pPr>
              <w:jc w:val="center"/>
              <w:rPr>
                <w:rFonts w:ascii="新宋体" w:hAnsi="新宋体" w:eastAsia="新宋体" w:cs="新宋体"/>
                <w:b/>
                <w:kern w:val="2"/>
                <w:sz w:val="21"/>
                <w:szCs w:val="21"/>
              </w:rPr>
            </w:pPr>
            <w:r>
              <w:rPr>
                <w:rFonts w:hint="eastAsia" w:ascii="新宋体" w:hAnsi="新宋体" w:eastAsia="新宋体" w:cs="新宋体"/>
                <w:b/>
                <w:kern w:val="2"/>
                <w:sz w:val="21"/>
                <w:szCs w:val="21"/>
              </w:rPr>
              <w:t>13</w:t>
            </w:r>
          </w:p>
        </w:tc>
        <w:tc>
          <w:tcPr>
            <w:tcW w:w="1410" w:type="dxa"/>
            <w:vMerge w:val="restart"/>
            <w:vAlign w:val="center"/>
          </w:tcPr>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风险管理</w:t>
            </w:r>
          </w:p>
          <w:p>
            <w:pPr>
              <w:spacing w:line="360" w:lineRule="auto"/>
              <w:jc w:val="center"/>
              <w:rPr>
                <w:rFonts w:ascii="新宋体" w:hAnsi="新宋体" w:eastAsia="新宋体" w:cs="宋体"/>
                <w:bCs/>
                <w:sz w:val="21"/>
                <w:szCs w:val="21"/>
              </w:rPr>
            </w:pPr>
            <w:r>
              <w:rPr>
                <w:rFonts w:hint="eastAsia" w:ascii="新宋体" w:hAnsi="新宋体" w:eastAsia="新宋体" w:cs="宋体"/>
                <w:bCs/>
                <w:sz w:val="21"/>
                <w:szCs w:val="21"/>
              </w:rPr>
              <w:t>措施</w:t>
            </w:r>
          </w:p>
        </w:tc>
        <w:tc>
          <w:tcPr>
            <w:tcW w:w="1265" w:type="dxa"/>
            <w:vMerge w:val="restart"/>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1-2分</w:t>
            </w: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风险防控管理措施齐全，风险预控符合规范要求，风险控制要点定位准确 ，各阶段风险控制及应急措施得力。</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1.5＜得分≤2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870" w:type="dxa"/>
            <w:vMerge w:val="continue"/>
            <w:vAlign w:val="center"/>
          </w:tcPr>
          <w:p>
            <w:pPr>
              <w:spacing w:line="360" w:lineRule="auto"/>
              <w:ind w:firstLine="420" w:firstLineChars="200"/>
              <w:rPr>
                <w:rFonts w:ascii="新宋体" w:hAnsi="新宋体" w:eastAsia="新宋体" w:cs="宋体"/>
                <w:bCs/>
                <w:sz w:val="21"/>
                <w:szCs w:val="21"/>
              </w:rPr>
            </w:pPr>
          </w:p>
        </w:tc>
        <w:tc>
          <w:tcPr>
            <w:tcW w:w="1410" w:type="dxa"/>
            <w:vMerge w:val="continue"/>
            <w:vAlign w:val="center"/>
          </w:tcPr>
          <w:p>
            <w:pPr>
              <w:spacing w:line="360" w:lineRule="auto"/>
              <w:ind w:firstLine="420" w:firstLineChars="200"/>
              <w:rPr>
                <w:rFonts w:ascii="新宋体" w:hAnsi="新宋体" w:eastAsia="新宋体" w:cs="宋体"/>
                <w:bCs/>
                <w:sz w:val="21"/>
                <w:szCs w:val="21"/>
              </w:rPr>
            </w:pPr>
          </w:p>
        </w:tc>
        <w:tc>
          <w:tcPr>
            <w:tcW w:w="1265" w:type="dxa"/>
            <w:vMerge w:val="continue"/>
            <w:vAlign w:val="center"/>
          </w:tcPr>
          <w:p>
            <w:pPr>
              <w:jc w:val="center"/>
              <w:rPr>
                <w:rFonts w:ascii="新宋体" w:hAnsi="新宋体" w:eastAsia="新宋体" w:cs="新宋体"/>
                <w:kern w:val="2"/>
                <w:sz w:val="21"/>
                <w:szCs w:val="21"/>
              </w:rPr>
            </w:pPr>
          </w:p>
        </w:tc>
        <w:tc>
          <w:tcPr>
            <w:tcW w:w="5103" w:type="dxa"/>
            <w:vAlign w:val="center"/>
          </w:tcPr>
          <w:p>
            <w:pPr>
              <w:spacing w:line="360" w:lineRule="auto"/>
              <w:jc w:val="left"/>
              <w:rPr>
                <w:rFonts w:ascii="新宋体" w:hAnsi="新宋体" w:eastAsia="新宋体" w:cs="宋体"/>
                <w:bCs/>
                <w:sz w:val="21"/>
                <w:szCs w:val="21"/>
              </w:rPr>
            </w:pPr>
            <w:r>
              <w:rPr>
                <w:rFonts w:hint="eastAsia" w:ascii="新宋体" w:hAnsi="新宋体" w:eastAsia="新宋体" w:cs="宋体"/>
                <w:bCs/>
                <w:sz w:val="21"/>
                <w:szCs w:val="21"/>
              </w:rPr>
              <w:t>风险防控管理措施基本齐全，风险预控符合规范要求，风险控制要点定位基本准确 ，有各阶段风险控制及应急措施。</w:t>
            </w: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1≤得分≤1.5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trPr>
        <w:tc>
          <w:tcPr>
            <w:tcW w:w="2280" w:type="dxa"/>
            <w:gridSpan w:val="2"/>
            <w:vAlign w:val="center"/>
          </w:tcPr>
          <w:p>
            <w:pPr>
              <w:spacing w:line="360" w:lineRule="auto"/>
              <w:ind w:firstLine="420" w:firstLineChars="200"/>
              <w:rPr>
                <w:rFonts w:ascii="新宋体" w:hAnsi="新宋体" w:eastAsia="新宋体" w:cs="宋体"/>
                <w:bCs/>
                <w:sz w:val="21"/>
                <w:szCs w:val="21"/>
              </w:rPr>
            </w:pPr>
            <w:r>
              <w:rPr>
                <w:rFonts w:hint="eastAsia" w:ascii="新宋体" w:hAnsi="新宋体" w:eastAsia="新宋体" w:cs="宋体"/>
                <w:bCs/>
                <w:sz w:val="21"/>
                <w:szCs w:val="21"/>
              </w:rPr>
              <w:t>合计</w:t>
            </w:r>
          </w:p>
        </w:tc>
        <w:tc>
          <w:tcPr>
            <w:tcW w:w="1265"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10-25分</w:t>
            </w:r>
          </w:p>
        </w:tc>
        <w:tc>
          <w:tcPr>
            <w:tcW w:w="5103" w:type="dxa"/>
            <w:vAlign w:val="center"/>
          </w:tcPr>
          <w:p>
            <w:pPr>
              <w:jc w:val="center"/>
              <w:rPr>
                <w:rFonts w:ascii="新宋体" w:hAnsi="新宋体" w:eastAsia="新宋体" w:cs="新宋体"/>
                <w:b/>
                <w:kern w:val="2"/>
                <w:sz w:val="21"/>
                <w:szCs w:val="21"/>
              </w:rPr>
            </w:pPr>
          </w:p>
        </w:tc>
        <w:tc>
          <w:tcPr>
            <w:tcW w:w="1559" w:type="dxa"/>
            <w:vAlign w:val="center"/>
          </w:tcPr>
          <w:p>
            <w:pPr>
              <w:jc w:val="center"/>
              <w:rPr>
                <w:rFonts w:ascii="新宋体" w:hAnsi="新宋体" w:eastAsia="新宋体" w:cs="新宋体"/>
                <w:kern w:val="2"/>
                <w:sz w:val="21"/>
                <w:szCs w:val="21"/>
              </w:rPr>
            </w:pPr>
            <w:r>
              <w:rPr>
                <w:rFonts w:hint="eastAsia" w:ascii="新宋体" w:hAnsi="新宋体" w:eastAsia="新宋体" w:cs="新宋体"/>
                <w:kern w:val="2"/>
                <w:sz w:val="21"/>
                <w:szCs w:val="21"/>
              </w:rPr>
              <w:t>10≤得分≤25</w:t>
            </w:r>
          </w:p>
        </w:tc>
      </w:tr>
    </w:tbl>
    <w:p>
      <w:pPr>
        <w:snapToGrid w:val="0"/>
        <w:spacing w:line="360" w:lineRule="auto"/>
        <w:ind w:firstLine="481"/>
        <w:rPr>
          <w:rFonts w:hAnsi="宋体" w:cs="宋体"/>
          <w:sz w:val="24"/>
          <w:szCs w:val="24"/>
        </w:rPr>
      </w:pPr>
      <w:r>
        <w:rPr>
          <w:rFonts w:hint="eastAsia" w:hAnsi="宋体" w:cs="宋体"/>
          <w:sz w:val="24"/>
          <w:szCs w:val="24"/>
        </w:rPr>
        <w:t>以上项目若有缺项，该项为0分。</w:t>
      </w:r>
    </w:p>
    <w:p>
      <w:pPr>
        <w:snapToGrid w:val="0"/>
        <w:spacing w:line="360" w:lineRule="auto"/>
        <w:jc w:val="left"/>
        <w:rPr>
          <w:rFonts w:hAnsi="宋体" w:cs="宋体"/>
          <w:b/>
          <w:bCs/>
          <w:sz w:val="24"/>
          <w:szCs w:val="24"/>
        </w:rPr>
      </w:pPr>
      <w:r>
        <w:rPr>
          <w:rFonts w:hint="eastAsia" w:hAnsi="宋体" w:cs="宋体"/>
          <w:b/>
          <w:bCs/>
          <w:sz w:val="24"/>
          <w:szCs w:val="24"/>
        </w:rPr>
        <w:t>（二）商务标（50分）</w:t>
      </w:r>
    </w:p>
    <w:p>
      <w:pPr>
        <w:spacing w:line="440" w:lineRule="exact"/>
        <w:rPr>
          <w:rFonts w:hAnsi="宋体" w:cs="宋体"/>
          <w:b/>
          <w:bCs/>
          <w:sz w:val="24"/>
          <w:szCs w:val="24"/>
        </w:rPr>
      </w:pPr>
      <w:r>
        <w:rPr>
          <w:rFonts w:hint="eastAsia" w:hAnsi="宋体" w:cs="宋体"/>
          <w:b/>
          <w:bCs/>
          <w:sz w:val="24"/>
          <w:szCs w:val="24"/>
        </w:rPr>
        <w:t xml:space="preserve">   工程量清单报价评标基准价按下列公式确定：</w:t>
      </w:r>
    </w:p>
    <w:p>
      <w:pPr>
        <w:spacing w:line="440" w:lineRule="exact"/>
        <w:ind w:firstLine="480" w:firstLineChars="200"/>
        <w:rPr>
          <w:rFonts w:ascii="新宋体" w:hAnsi="新宋体" w:eastAsia="新宋体"/>
          <w:sz w:val="24"/>
        </w:rPr>
      </w:pPr>
      <w:bookmarkStart w:id="78" w:name="_Toc5078"/>
      <w:r>
        <w:rPr>
          <w:rFonts w:hint="eastAsia" w:ascii="新宋体" w:hAnsi="新宋体" w:eastAsia="新宋体"/>
          <w:sz w:val="24"/>
        </w:rPr>
        <w:t>评标基准价＝招标控制价×K+投标报价×（1－K）</w:t>
      </w:r>
    </w:p>
    <w:p>
      <w:pPr>
        <w:spacing w:line="440" w:lineRule="exact"/>
        <w:ind w:firstLine="480" w:firstLineChars="200"/>
        <w:rPr>
          <w:rFonts w:ascii="新宋体" w:hAnsi="新宋体" w:eastAsia="新宋体"/>
          <w:sz w:val="24"/>
        </w:rPr>
      </w:pPr>
      <w:r>
        <w:rPr>
          <w:rFonts w:hint="eastAsia" w:ascii="新宋体" w:hAnsi="新宋体" w:eastAsia="新宋体"/>
          <w:sz w:val="24"/>
        </w:rPr>
        <w:t>其中：投标报价为各投标人有效投标报价去掉一个最高和一个最低报价后的算术平均值。当有效投标少于5家时（不含5家），则以所有有效投标报价的算术平均值作为投标报价。</w:t>
      </w:r>
    </w:p>
    <w:p>
      <w:pPr>
        <w:spacing w:line="440" w:lineRule="exact"/>
        <w:ind w:firstLine="480" w:firstLineChars="200"/>
        <w:rPr>
          <w:rFonts w:ascii="新宋体" w:hAnsi="新宋体" w:eastAsia="新宋体"/>
          <w:sz w:val="24"/>
        </w:rPr>
      </w:pPr>
      <w:r>
        <w:rPr>
          <w:rFonts w:hint="eastAsia" w:ascii="新宋体" w:hAnsi="新宋体" w:eastAsia="新宋体"/>
          <w:sz w:val="24"/>
        </w:rPr>
        <w:t>注：①有效投标人指通过清标和初步评审的投标人；</w:t>
      </w:r>
    </w:p>
    <w:p>
      <w:pPr>
        <w:spacing w:line="440" w:lineRule="exact"/>
        <w:ind w:firstLine="480" w:firstLineChars="200"/>
        <w:rPr>
          <w:rFonts w:ascii="新宋体" w:hAnsi="新宋体" w:eastAsia="新宋体"/>
          <w:sz w:val="24"/>
        </w:rPr>
      </w:pPr>
      <w:r>
        <w:rPr>
          <w:rFonts w:hint="eastAsia" w:ascii="新宋体" w:hAnsi="新宋体" w:eastAsia="新宋体"/>
          <w:sz w:val="24"/>
        </w:rPr>
        <w:t xml:space="preserve">    ②K为招标控制价权重系数，0.3≤K≤0.5（K的取值：0.3、0.35、0.4、0.45、0.5），在开标现场随机抽取。</w:t>
      </w:r>
    </w:p>
    <w:p>
      <w:pPr>
        <w:spacing w:line="440" w:lineRule="exact"/>
        <w:ind w:firstLine="960" w:firstLineChars="400"/>
        <w:rPr>
          <w:rFonts w:hAnsi="宋体" w:cs="宋体"/>
          <w:b/>
          <w:bCs/>
          <w:sz w:val="24"/>
          <w:szCs w:val="24"/>
        </w:rPr>
      </w:pPr>
      <w:r>
        <w:rPr>
          <w:rFonts w:hint="eastAsia" w:ascii="新宋体" w:hAnsi="新宋体" w:eastAsia="新宋体"/>
          <w:sz w:val="24"/>
          <w:szCs w:val="22"/>
        </w:rPr>
        <w:fldChar w:fldCharType="begin"/>
      </w:r>
      <w:r>
        <w:rPr>
          <w:rFonts w:hint="eastAsia" w:ascii="新宋体" w:hAnsi="新宋体" w:eastAsia="新宋体"/>
          <w:sz w:val="24"/>
          <w:szCs w:val="22"/>
        </w:rPr>
        <w:instrText xml:space="preserve"> = 3 \* GB3 \* MERGEFORMAT </w:instrText>
      </w:r>
      <w:r>
        <w:rPr>
          <w:rFonts w:hint="eastAsia" w:ascii="新宋体" w:hAnsi="新宋体" w:eastAsia="新宋体"/>
          <w:sz w:val="24"/>
          <w:szCs w:val="22"/>
        </w:rPr>
        <w:fldChar w:fldCharType="separate"/>
      </w:r>
      <w:r>
        <w:rPr>
          <w:rFonts w:hint="eastAsia" w:ascii="新宋体" w:hAnsi="新宋体" w:eastAsia="新宋体"/>
          <w:sz w:val="24"/>
          <w:szCs w:val="22"/>
        </w:rPr>
        <w:t>③</w:t>
      </w:r>
      <w:r>
        <w:rPr>
          <w:rFonts w:hint="eastAsia" w:ascii="新宋体" w:hAnsi="新宋体" w:eastAsia="新宋体"/>
          <w:sz w:val="24"/>
          <w:szCs w:val="22"/>
        </w:rPr>
        <w:fldChar w:fldCharType="end"/>
      </w:r>
      <w:r>
        <w:rPr>
          <w:rFonts w:hint="eastAsia" w:ascii="新宋体" w:hAnsi="新宋体" w:eastAsia="新宋体"/>
          <w:sz w:val="24"/>
          <w:szCs w:val="22"/>
        </w:rPr>
        <w:t>上述招标控制价、投标报价、有效投标报价在参与评标基准价计算时，均不含：规费、安全文明施工措施费、暂列金额与专业暂估价、增值税。</w:t>
      </w:r>
      <w:bookmarkEnd w:id="78"/>
      <w:r>
        <w:rPr>
          <w:rFonts w:hint="eastAsia" w:hAnsi="宋体" w:cs="宋体"/>
          <w:b/>
          <w:bCs/>
          <w:sz w:val="24"/>
          <w:szCs w:val="24"/>
        </w:rPr>
        <w:t xml:space="preserve"> </w:t>
      </w:r>
    </w:p>
    <w:p>
      <w:pPr>
        <w:snapToGrid w:val="0"/>
        <w:spacing w:line="360" w:lineRule="auto"/>
        <w:ind w:firstLine="480" w:firstLineChars="200"/>
        <w:rPr>
          <w:rFonts w:hAnsi="宋体" w:cs="宋体"/>
          <w:b/>
          <w:bCs/>
          <w:sz w:val="24"/>
          <w:szCs w:val="24"/>
        </w:rPr>
      </w:pPr>
      <w:r>
        <w:rPr>
          <w:rFonts w:hint="eastAsia" w:hAnsi="宋体" w:cs="宋体"/>
          <w:b/>
          <w:bCs/>
          <w:sz w:val="24"/>
          <w:szCs w:val="24"/>
        </w:rPr>
        <w:t xml:space="preserve">1、投标报价（30分） </w:t>
      </w:r>
    </w:p>
    <w:p>
      <w:pPr>
        <w:snapToGrid w:val="0"/>
        <w:spacing w:line="360" w:lineRule="auto"/>
        <w:ind w:firstLine="481"/>
        <w:rPr>
          <w:rFonts w:hAnsi="宋体" w:cs="宋体"/>
          <w:sz w:val="24"/>
          <w:szCs w:val="24"/>
        </w:rPr>
      </w:pPr>
      <w:r>
        <w:rPr>
          <w:rFonts w:hint="eastAsia" w:hAnsi="宋体" w:cs="宋体"/>
          <w:sz w:val="24"/>
          <w:szCs w:val="24"/>
        </w:rPr>
        <w:t xml:space="preserve">当投标报价与评标基准价相等时，得基本分20分。当投标报价低于评标基准价时，每低1%范围内在基本分20分的基础上加2分，最多加10分；当投标报价低于评标基准价5%以上（不含5%）时，每再低1%范围内在满分30分的基础上扣3分，扣完为止；当投标报价高于评标基准价时，每高1%范围内在基本分20分的基础上扣2分，扣完为止。 </w:t>
      </w:r>
    </w:p>
    <w:p>
      <w:pPr>
        <w:numPr>
          <w:ilvl w:val="0"/>
          <w:numId w:val="5"/>
        </w:numPr>
        <w:snapToGrid w:val="0"/>
        <w:spacing w:line="360" w:lineRule="auto"/>
        <w:ind w:firstLine="481"/>
        <w:rPr>
          <w:rFonts w:hAnsi="宋体" w:cs="宋体"/>
          <w:b/>
          <w:bCs/>
          <w:sz w:val="24"/>
          <w:szCs w:val="24"/>
        </w:rPr>
      </w:pPr>
      <w:r>
        <w:rPr>
          <w:rFonts w:hint="eastAsia" w:hAnsi="宋体" w:cs="宋体"/>
          <w:b/>
          <w:bCs/>
          <w:sz w:val="24"/>
          <w:szCs w:val="24"/>
        </w:rPr>
        <w:t>分部分项工程项目清单单价（10分）</w:t>
      </w:r>
    </w:p>
    <w:p>
      <w:pPr>
        <w:snapToGrid w:val="0"/>
        <w:spacing w:line="360" w:lineRule="auto"/>
        <w:ind w:firstLine="484"/>
        <w:rPr>
          <w:rFonts w:hAnsi="宋体" w:cs="宋体"/>
          <w:sz w:val="24"/>
          <w:szCs w:val="24"/>
        </w:rPr>
      </w:pPr>
      <w:r>
        <w:rPr>
          <w:rFonts w:hint="eastAsia" w:hAnsi="宋体" w:cs="宋体"/>
          <w:sz w:val="24"/>
          <w:szCs w:val="24"/>
        </w:rPr>
        <w:t>从招标控制价中分部分项工程项目权重最大的前10-30项清单项目中抽取15项，在剩余的分部分项工程项目清单项目中抽取5项。</w:t>
      </w:r>
    </w:p>
    <w:p>
      <w:pPr>
        <w:snapToGrid w:val="0"/>
        <w:spacing w:line="360" w:lineRule="auto"/>
        <w:ind w:firstLine="484"/>
        <w:rPr>
          <w:rFonts w:hAnsi="宋体" w:cs="宋体"/>
          <w:sz w:val="24"/>
          <w:szCs w:val="24"/>
        </w:rPr>
      </w:pPr>
      <w:r>
        <w:rPr>
          <w:rFonts w:hint="eastAsia" w:hAnsi="宋体" w:cs="宋体"/>
          <w:sz w:val="24"/>
          <w:szCs w:val="24"/>
        </w:rPr>
        <w:t>综合单价基准值是以各有效投标报价中（当有效投标人5名及以上时，去掉1个最高、1个最低值）对应抽取清单项目综合单价的算术平均值。投标人报价在综合单价基准值95%—103%范围内（不含95%和103%）的，每项得0.5分，在综合单价基准值90%—95%范围内（含90%和95%）每项得0.25分，满分共计10分。超出该范围的不得分。</w:t>
      </w:r>
    </w:p>
    <w:p>
      <w:pPr>
        <w:snapToGrid w:val="0"/>
        <w:spacing w:line="360" w:lineRule="auto"/>
        <w:rPr>
          <w:rFonts w:hAnsi="宋体" w:cs="宋体"/>
          <w:sz w:val="24"/>
          <w:szCs w:val="24"/>
        </w:rPr>
      </w:pPr>
      <w:r>
        <w:rPr>
          <w:rFonts w:hint="eastAsia" w:hAnsi="宋体" w:cs="宋体"/>
          <w:b/>
          <w:bCs/>
          <w:sz w:val="24"/>
          <w:szCs w:val="24"/>
        </w:rPr>
        <w:t xml:space="preserve">    3、措施项目费（不含安全文明措施费）（5分）</w:t>
      </w:r>
    </w:p>
    <w:p>
      <w:pPr>
        <w:snapToGrid w:val="0"/>
        <w:spacing w:line="360" w:lineRule="auto"/>
        <w:ind w:firstLine="484"/>
        <w:rPr>
          <w:rFonts w:hAnsi="宋体" w:cs="宋体"/>
          <w:sz w:val="24"/>
          <w:szCs w:val="24"/>
        </w:rPr>
      </w:pPr>
      <w:r>
        <w:rPr>
          <w:rFonts w:hint="eastAsia" w:hAnsi="宋体" w:cs="宋体"/>
          <w:sz w:val="24"/>
          <w:szCs w:val="24"/>
        </w:rPr>
        <w:t xml:space="preserve">措施项目费基准值是在招标控制价中措施项目费用80%-110%范围之前的有效投标人所报措施项目费算术平均值。投标所报措施费与措施项目基准值相等得基本分3分。当投标报价低于措施项目基准值时，每低1%在基本分3分的基础上加0.1分，最多加至5分为止；当高于措施项目基准值时，每高于1%时，在基本分3分的基础上扣0.2分，扣完为止。 </w:t>
      </w:r>
    </w:p>
    <w:p>
      <w:pPr>
        <w:numPr>
          <w:ilvl w:val="0"/>
          <w:numId w:val="6"/>
        </w:numPr>
        <w:snapToGrid w:val="0"/>
        <w:spacing w:line="360" w:lineRule="auto"/>
        <w:ind w:firstLine="484"/>
        <w:rPr>
          <w:rFonts w:hAnsi="宋体" w:cs="宋体"/>
          <w:b/>
          <w:bCs/>
          <w:sz w:val="24"/>
          <w:szCs w:val="24"/>
        </w:rPr>
      </w:pPr>
      <w:r>
        <w:rPr>
          <w:rFonts w:hint="eastAsia" w:hAnsi="宋体" w:cs="宋体"/>
          <w:b/>
          <w:bCs/>
          <w:sz w:val="24"/>
          <w:szCs w:val="24"/>
        </w:rPr>
        <w:t>主要材料单价（5分）</w:t>
      </w:r>
    </w:p>
    <w:p>
      <w:pPr>
        <w:snapToGrid w:val="0"/>
        <w:spacing w:line="360" w:lineRule="auto"/>
        <w:ind w:firstLine="484"/>
        <w:rPr>
          <w:rFonts w:hAnsi="宋体" w:cs="宋体"/>
          <w:sz w:val="24"/>
          <w:szCs w:val="24"/>
        </w:rPr>
      </w:pPr>
      <w:r>
        <w:rPr>
          <w:rFonts w:hint="eastAsia" w:hAnsi="宋体" w:cs="宋体"/>
          <w:sz w:val="24"/>
          <w:szCs w:val="24"/>
        </w:rPr>
        <w:t>从招标控制价中材料总价权重最大的前10-20项材料中抽取6项，在剩余材料中抽取4项。</w:t>
      </w:r>
    </w:p>
    <w:p>
      <w:pPr>
        <w:snapToGrid w:val="0"/>
        <w:spacing w:line="360" w:lineRule="auto"/>
        <w:ind w:firstLine="484"/>
        <w:rPr>
          <w:rFonts w:hAnsi="宋体" w:cs="宋体"/>
          <w:sz w:val="24"/>
          <w:szCs w:val="24"/>
        </w:rPr>
      </w:pPr>
      <w:r>
        <w:rPr>
          <w:rFonts w:hint="eastAsia" w:hAnsi="宋体" w:cs="宋体"/>
          <w:sz w:val="24"/>
          <w:szCs w:val="24"/>
        </w:rPr>
        <w:t>主要材料单价基准值以各有效投标报价中（当有效投标人5名及以上时，去掉1个最高、1个最低值）对应抽取材料单价的算术平均值。</w:t>
      </w:r>
    </w:p>
    <w:p>
      <w:pPr>
        <w:snapToGrid w:val="0"/>
        <w:spacing w:line="360" w:lineRule="auto"/>
        <w:ind w:firstLine="484"/>
        <w:rPr>
          <w:rFonts w:hAnsi="宋体" w:cs="宋体"/>
          <w:sz w:val="24"/>
          <w:szCs w:val="24"/>
        </w:rPr>
      </w:pPr>
      <w:r>
        <w:rPr>
          <w:rFonts w:hint="eastAsia" w:hAnsi="宋体" w:cs="宋体"/>
          <w:sz w:val="24"/>
          <w:szCs w:val="24"/>
        </w:rPr>
        <w:t>当投标人报价在材料单价基准值95%—103%范围内（不含95%和103%）每项得0.5分，在材料基准值90%—95%范围内（含90%和95%）每项得0.25分。超出该范围的不得分。材料单价与综合单价组成中价格不一致时该项为0分。</w:t>
      </w:r>
    </w:p>
    <w:p>
      <w:pPr>
        <w:snapToGrid w:val="0"/>
        <w:spacing w:line="360" w:lineRule="auto"/>
        <w:ind w:firstLine="484"/>
        <w:rPr>
          <w:rFonts w:hAnsi="宋体" w:cs="宋体"/>
          <w:b/>
          <w:bCs/>
          <w:sz w:val="24"/>
          <w:szCs w:val="24"/>
        </w:rPr>
      </w:pPr>
      <w:r>
        <w:rPr>
          <w:rFonts w:hint="eastAsia" w:hAnsi="宋体" w:cs="宋体"/>
          <w:b/>
          <w:bCs/>
          <w:sz w:val="24"/>
          <w:szCs w:val="24"/>
        </w:rPr>
        <w:t>注：针对上述2、4款项中部分分部分项工程项目数量较少、施工工艺简单、主材种类较少而不能满足最低抽项要求的，应将所有分部分项工程项目或主要材料项目纳入评审范围。</w:t>
      </w:r>
    </w:p>
    <w:bookmarkEnd w:id="74"/>
    <w:bookmarkEnd w:id="75"/>
    <w:bookmarkEnd w:id="76"/>
    <w:bookmarkEnd w:id="77"/>
    <w:p>
      <w:pPr>
        <w:spacing w:line="360" w:lineRule="auto"/>
        <w:rPr>
          <w:b/>
          <w:bCs/>
          <w:sz w:val="24"/>
          <w:szCs w:val="24"/>
        </w:rPr>
      </w:pPr>
      <w:r>
        <w:rPr>
          <w:rFonts w:hint="eastAsia" w:cs="宋体"/>
          <w:b/>
          <w:bCs/>
          <w:sz w:val="24"/>
          <w:szCs w:val="24"/>
        </w:rPr>
        <w:t>（三）综合（信用）标的评标分值（25分）</w:t>
      </w:r>
    </w:p>
    <w:tbl>
      <w:tblPr>
        <w:tblStyle w:val="29"/>
        <w:tblW w:w="86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0"/>
        <w:gridCol w:w="2046"/>
        <w:gridCol w:w="4049"/>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2" w:hRule="atLeast"/>
          <w:jc w:val="center"/>
        </w:trPr>
        <w:tc>
          <w:tcPr>
            <w:tcW w:w="730" w:type="dxa"/>
            <w:vAlign w:val="center"/>
          </w:tcPr>
          <w:p>
            <w:pPr>
              <w:jc w:val="center"/>
              <w:rPr>
                <w:rFonts w:ascii="Times New Roman"/>
                <w:kern w:val="2"/>
                <w:sz w:val="21"/>
                <w:szCs w:val="21"/>
              </w:rPr>
            </w:pPr>
            <w:r>
              <w:rPr>
                <w:rFonts w:hint="eastAsia" w:ascii="Times New Roman"/>
                <w:kern w:val="2"/>
                <w:sz w:val="21"/>
                <w:szCs w:val="21"/>
              </w:rPr>
              <w:t>序号</w:t>
            </w:r>
          </w:p>
        </w:tc>
        <w:tc>
          <w:tcPr>
            <w:tcW w:w="2046" w:type="dxa"/>
            <w:vAlign w:val="center"/>
          </w:tcPr>
          <w:p>
            <w:pPr>
              <w:jc w:val="center"/>
              <w:rPr>
                <w:rFonts w:ascii="Times New Roman"/>
                <w:kern w:val="2"/>
                <w:sz w:val="21"/>
                <w:szCs w:val="21"/>
              </w:rPr>
            </w:pPr>
            <w:r>
              <w:rPr>
                <w:rFonts w:hint="eastAsia" w:ascii="Times New Roman"/>
                <w:kern w:val="2"/>
                <w:sz w:val="21"/>
                <w:szCs w:val="21"/>
              </w:rPr>
              <w:t>项</w:t>
            </w:r>
            <w:r>
              <w:rPr>
                <w:rFonts w:ascii="Times New Roman"/>
                <w:kern w:val="2"/>
                <w:sz w:val="21"/>
                <w:szCs w:val="21"/>
              </w:rPr>
              <w:t xml:space="preserve">     </w:t>
            </w:r>
            <w:r>
              <w:rPr>
                <w:rFonts w:hint="eastAsia" w:ascii="Times New Roman"/>
                <w:kern w:val="2"/>
                <w:sz w:val="21"/>
                <w:szCs w:val="21"/>
              </w:rPr>
              <w:t>目</w:t>
            </w:r>
          </w:p>
        </w:tc>
        <w:tc>
          <w:tcPr>
            <w:tcW w:w="4049" w:type="dxa"/>
            <w:vAlign w:val="center"/>
          </w:tcPr>
          <w:p>
            <w:pPr>
              <w:jc w:val="center"/>
              <w:rPr>
                <w:rFonts w:ascii="Times New Roman"/>
                <w:kern w:val="2"/>
                <w:sz w:val="21"/>
                <w:szCs w:val="21"/>
              </w:rPr>
            </w:pPr>
            <w:r>
              <w:rPr>
                <w:rFonts w:hint="eastAsia" w:ascii="Times New Roman"/>
                <w:kern w:val="2"/>
                <w:sz w:val="21"/>
                <w:szCs w:val="21"/>
              </w:rPr>
              <w:t>评</w:t>
            </w:r>
            <w:r>
              <w:rPr>
                <w:rFonts w:ascii="Times New Roman"/>
                <w:kern w:val="2"/>
                <w:sz w:val="21"/>
                <w:szCs w:val="21"/>
              </w:rPr>
              <w:t xml:space="preserve">  </w:t>
            </w:r>
            <w:r>
              <w:rPr>
                <w:rFonts w:hint="eastAsia" w:ascii="Times New Roman"/>
                <w:kern w:val="2"/>
                <w:sz w:val="21"/>
                <w:szCs w:val="21"/>
              </w:rPr>
              <w:t>审</w:t>
            </w:r>
            <w:r>
              <w:rPr>
                <w:rFonts w:ascii="Times New Roman"/>
                <w:kern w:val="2"/>
                <w:sz w:val="21"/>
                <w:szCs w:val="21"/>
              </w:rPr>
              <w:t xml:space="preserve">   </w:t>
            </w:r>
            <w:r>
              <w:rPr>
                <w:rFonts w:hint="eastAsia" w:ascii="Times New Roman"/>
                <w:kern w:val="2"/>
                <w:sz w:val="21"/>
                <w:szCs w:val="21"/>
              </w:rPr>
              <w:t>标</w:t>
            </w:r>
            <w:r>
              <w:rPr>
                <w:rFonts w:ascii="Times New Roman"/>
                <w:kern w:val="2"/>
                <w:sz w:val="21"/>
                <w:szCs w:val="21"/>
              </w:rPr>
              <w:t xml:space="preserve">   </w:t>
            </w:r>
            <w:r>
              <w:rPr>
                <w:rFonts w:hint="eastAsia" w:ascii="Times New Roman"/>
                <w:kern w:val="2"/>
                <w:sz w:val="21"/>
                <w:szCs w:val="21"/>
              </w:rPr>
              <w:t>准</w:t>
            </w:r>
          </w:p>
        </w:tc>
        <w:tc>
          <w:tcPr>
            <w:tcW w:w="1843" w:type="dxa"/>
            <w:vAlign w:val="center"/>
          </w:tcPr>
          <w:p>
            <w:pPr>
              <w:jc w:val="center"/>
              <w:rPr>
                <w:rFonts w:ascii="Times New Roman"/>
                <w:kern w:val="2"/>
                <w:sz w:val="21"/>
                <w:szCs w:val="21"/>
              </w:rPr>
            </w:pPr>
            <w:r>
              <w:rPr>
                <w:rFonts w:hint="eastAsia" w:ascii="Times New Roman"/>
                <w:kern w:val="2"/>
                <w:sz w:val="21"/>
                <w:szCs w:val="21"/>
              </w:rPr>
              <w:t>评审计分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0" w:hRule="atLeast"/>
          <w:jc w:val="center"/>
        </w:trPr>
        <w:tc>
          <w:tcPr>
            <w:tcW w:w="730" w:type="dxa"/>
            <w:vAlign w:val="center"/>
          </w:tcPr>
          <w:p>
            <w:pPr>
              <w:spacing w:line="240" w:lineRule="exact"/>
              <w:jc w:val="center"/>
              <w:rPr>
                <w:rFonts w:ascii="Times New Roman"/>
                <w:kern w:val="2"/>
                <w:sz w:val="21"/>
                <w:szCs w:val="21"/>
              </w:rPr>
            </w:pPr>
            <w:r>
              <w:rPr>
                <w:rFonts w:hint="eastAsia" w:ascii="Times New Roman"/>
                <w:kern w:val="2"/>
                <w:sz w:val="21"/>
                <w:szCs w:val="21"/>
              </w:rPr>
              <w:t>1</w:t>
            </w:r>
          </w:p>
        </w:tc>
        <w:tc>
          <w:tcPr>
            <w:tcW w:w="2046" w:type="dxa"/>
            <w:vAlign w:val="center"/>
          </w:tcPr>
          <w:p>
            <w:pPr>
              <w:spacing w:line="240" w:lineRule="exact"/>
              <w:jc w:val="center"/>
              <w:rPr>
                <w:rFonts w:ascii="Times New Roman"/>
                <w:kern w:val="2"/>
                <w:sz w:val="21"/>
                <w:szCs w:val="21"/>
              </w:rPr>
            </w:pPr>
            <w:r>
              <w:rPr>
                <w:rFonts w:hint="eastAsia" w:ascii="Times New Roman"/>
                <w:kern w:val="2"/>
                <w:sz w:val="21"/>
                <w:szCs w:val="21"/>
              </w:rPr>
              <w:t>企业业绩</w:t>
            </w:r>
          </w:p>
        </w:tc>
        <w:tc>
          <w:tcPr>
            <w:tcW w:w="4049" w:type="dxa"/>
            <w:vAlign w:val="center"/>
          </w:tcPr>
          <w:p>
            <w:pPr>
              <w:spacing w:line="240" w:lineRule="exact"/>
              <w:jc w:val="left"/>
              <w:rPr>
                <w:rFonts w:hint="eastAsia" w:ascii="Times New Roman"/>
                <w:kern w:val="2"/>
                <w:sz w:val="21"/>
                <w:szCs w:val="21"/>
              </w:rPr>
            </w:pPr>
            <w:r>
              <w:rPr>
                <w:rFonts w:hint="eastAsia" w:ascii="Times New Roman"/>
                <w:kern w:val="2"/>
                <w:sz w:val="21"/>
                <w:szCs w:val="21"/>
              </w:rPr>
              <w:t>2017年1月1日以来（以合同签订时间为准）：企业具有类似工程施工业绩者，每项得2分，本项最高得4分。（以施工合同和竣工验收表为准或施工合同和中标通知书为准）</w:t>
            </w:r>
          </w:p>
        </w:tc>
        <w:tc>
          <w:tcPr>
            <w:tcW w:w="1843" w:type="dxa"/>
            <w:vAlign w:val="center"/>
          </w:tcPr>
          <w:p>
            <w:pPr>
              <w:spacing w:line="240" w:lineRule="exact"/>
              <w:jc w:val="center"/>
              <w:rPr>
                <w:rFonts w:ascii="Times New Roman"/>
                <w:kern w:val="2"/>
                <w:sz w:val="21"/>
                <w:szCs w:val="21"/>
                <w:highlight w:val="none"/>
              </w:rPr>
            </w:pPr>
            <w:r>
              <w:rPr>
                <w:rFonts w:hint="eastAsia" w:ascii="Times New Roman"/>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15" w:hRule="atLeast"/>
          <w:jc w:val="center"/>
        </w:trPr>
        <w:tc>
          <w:tcPr>
            <w:tcW w:w="730" w:type="dxa"/>
            <w:vAlign w:val="center"/>
          </w:tcPr>
          <w:p>
            <w:pPr>
              <w:spacing w:line="240" w:lineRule="exact"/>
              <w:jc w:val="center"/>
              <w:rPr>
                <w:rFonts w:ascii="Times New Roman"/>
                <w:kern w:val="2"/>
                <w:sz w:val="21"/>
                <w:szCs w:val="21"/>
              </w:rPr>
            </w:pPr>
            <w:r>
              <w:rPr>
                <w:rFonts w:hint="eastAsia" w:ascii="Times New Roman"/>
                <w:kern w:val="2"/>
                <w:sz w:val="21"/>
                <w:szCs w:val="21"/>
              </w:rPr>
              <w:t>2</w:t>
            </w:r>
          </w:p>
        </w:tc>
        <w:tc>
          <w:tcPr>
            <w:tcW w:w="2046" w:type="dxa"/>
            <w:vAlign w:val="center"/>
          </w:tcPr>
          <w:p>
            <w:pPr>
              <w:spacing w:line="240" w:lineRule="exact"/>
              <w:jc w:val="center"/>
              <w:rPr>
                <w:rFonts w:ascii="Times New Roman"/>
                <w:kern w:val="2"/>
                <w:sz w:val="21"/>
                <w:szCs w:val="21"/>
              </w:rPr>
            </w:pPr>
            <w:r>
              <w:rPr>
                <w:rFonts w:hint="eastAsia" w:ascii="Times New Roman"/>
                <w:kern w:val="2"/>
                <w:sz w:val="21"/>
                <w:szCs w:val="21"/>
              </w:rPr>
              <w:t>项目负责人业绩</w:t>
            </w:r>
          </w:p>
        </w:tc>
        <w:tc>
          <w:tcPr>
            <w:tcW w:w="4049" w:type="dxa"/>
            <w:vAlign w:val="center"/>
          </w:tcPr>
          <w:p>
            <w:pPr>
              <w:spacing w:line="240" w:lineRule="exact"/>
              <w:jc w:val="left"/>
              <w:rPr>
                <w:rFonts w:hint="eastAsia" w:ascii="Times New Roman"/>
                <w:kern w:val="2"/>
                <w:sz w:val="21"/>
                <w:szCs w:val="21"/>
              </w:rPr>
            </w:pPr>
            <w:r>
              <w:rPr>
                <w:rFonts w:hint="eastAsia" w:ascii="Times New Roman"/>
                <w:kern w:val="2"/>
                <w:sz w:val="21"/>
                <w:szCs w:val="21"/>
              </w:rPr>
              <w:t>2017年1月1日以来（以合同签订时间为准）：拟派项目</w:t>
            </w:r>
            <w:r>
              <w:rPr>
                <w:rFonts w:hint="eastAsia" w:ascii="Times New Roman"/>
                <w:kern w:val="2"/>
                <w:sz w:val="21"/>
                <w:szCs w:val="21"/>
                <w:lang w:eastAsia="zh-CN"/>
              </w:rPr>
              <w:t>负责人</w:t>
            </w:r>
            <w:r>
              <w:rPr>
                <w:rFonts w:hint="eastAsia" w:ascii="Times New Roman"/>
                <w:kern w:val="2"/>
                <w:sz w:val="21"/>
                <w:szCs w:val="21"/>
              </w:rPr>
              <w:t>具有类似工程施工业绩者，得6分，本项最高得6分。（以施工合同和竣工验收表为准或施工合同和中标通知书为准。若施工合同或竣工验收表中未注明项目</w:t>
            </w:r>
            <w:r>
              <w:rPr>
                <w:rFonts w:hint="eastAsia" w:ascii="Times New Roman"/>
                <w:kern w:val="2"/>
                <w:sz w:val="21"/>
                <w:szCs w:val="21"/>
                <w:lang w:eastAsia="zh-CN"/>
              </w:rPr>
              <w:t>负责人</w:t>
            </w:r>
            <w:r>
              <w:rPr>
                <w:rFonts w:hint="eastAsia" w:ascii="Times New Roman"/>
                <w:kern w:val="2"/>
                <w:sz w:val="21"/>
                <w:szCs w:val="21"/>
              </w:rPr>
              <w:t>姓名者须提供建设单位出具的相关证明文件</w:t>
            </w:r>
            <w:r>
              <w:rPr>
                <w:rFonts w:hint="eastAsia" w:ascii="Times New Roman"/>
                <w:kern w:val="2"/>
                <w:sz w:val="21"/>
                <w:szCs w:val="21"/>
                <w:lang w:eastAsia="zh-CN"/>
              </w:rPr>
              <w:t>）</w:t>
            </w:r>
            <w:r>
              <w:rPr>
                <w:rFonts w:hint="eastAsia" w:ascii="Times New Roman"/>
                <w:kern w:val="2"/>
                <w:sz w:val="21"/>
                <w:szCs w:val="21"/>
              </w:rPr>
              <w:t>。</w:t>
            </w:r>
          </w:p>
        </w:tc>
        <w:tc>
          <w:tcPr>
            <w:tcW w:w="1843" w:type="dxa"/>
            <w:vAlign w:val="center"/>
          </w:tcPr>
          <w:p>
            <w:pPr>
              <w:spacing w:line="240" w:lineRule="exact"/>
              <w:rPr>
                <w:rFonts w:ascii="Times New Roman"/>
                <w:kern w:val="2"/>
                <w:sz w:val="21"/>
                <w:szCs w:val="21"/>
                <w:highlight w:val="none"/>
              </w:rPr>
            </w:pPr>
            <w:r>
              <w:rPr>
                <w:rFonts w:hint="eastAsia" w:ascii="Times New Roman"/>
                <w:kern w:val="2"/>
                <w:sz w:val="21"/>
                <w:szCs w:val="21"/>
                <w:highlight w:val="none"/>
              </w:rPr>
              <w:t xml:space="preserve">   0＜得分≤6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7" w:hRule="atLeast"/>
          <w:jc w:val="center"/>
        </w:trPr>
        <w:tc>
          <w:tcPr>
            <w:tcW w:w="730"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3</w:t>
            </w:r>
          </w:p>
        </w:tc>
        <w:tc>
          <w:tcPr>
            <w:tcW w:w="2046"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优惠承诺</w:t>
            </w:r>
          </w:p>
        </w:tc>
        <w:tc>
          <w:tcPr>
            <w:tcW w:w="4049" w:type="dxa"/>
            <w:vAlign w:val="center"/>
          </w:tcPr>
          <w:p>
            <w:pPr>
              <w:spacing w:line="240" w:lineRule="exact"/>
              <w:jc w:val="left"/>
              <w:rPr>
                <w:rFonts w:ascii="Times New Roman"/>
                <w:kern w:val="2"/>
                <w:sz w:val="21"/>
                <w:szCs w:val="21"/>
              </w:rPr>
            </w:pPr>
            <w:r>
              <w:rPr>
                <w:rFonts w:hint="eastAsia" w:ascii="Times New Roman"/>
                <w:kern w:val="2"/>
                <w:sz w:val="21"/>
                <w:szCs w:val="21"/>
              </w:rPr>
              <w:t>优惠承诺应是书面的符合工程实际情况，确保依法依规，优惠合理，详实可行。</w:t>
            </w:r>
          </w:p>
        </w:tc>
        <w:tc>
          <w:tcPr>
            <w:tcW w:w="1843" w:type="dxa"/>
            <w:vAlign w:val="center"/>
          </w:tcPr>
          <w:p>
            <w:pPr>
              <w:spacing w:line="240" w:lineRule="exact"/>
              <w:jc w:val="center"/>
              <w:rPr>
                <w:rFonts w:ascii="Times New Roman"/>
                <w:kern w:val="2"/>
                <w:sz w:val="21"/>
                <w:szCs w:val="21"/>
              </w:rPr>
            </w:pPr>
            <w:r>
              <w:rPr>
                <w:rFonts w:hint="eastAsia" w:ascii="Times New Roman"/>
                <w:kern w:val="2"/>
                <w:sz w:val="21"/>
                <w:szCs w:val="21"/>
              </w:rPr>
              <w:t>3＜得分≤4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5" w:hRule="atLeast"/>
          <w:jc w:val="center"/>
        </w:trPr>
        <w:tc>
          <w:tcPr>
            <w:tcW w:w="730" w:type="dxa"/>
            <w:vMerge w:val="continue"/>
            <w:vAlign w:val="center"/>
          </w:tcPr>
          <w:p>
            <w:pPr>
              <w:spacing w:line="240" w:lineRule="exact"/>
              <w:jc w:val="center"/>
              <w:rPr>
                <w:rFonts w:ascii="Times New Roman"/>
                <w:kern w:val="2"/>
                <w:sz w:val="21"/>
                <w:szCs w:val="21"/>
              </w:rPr>
            </w:pPr>
          </w:p>
        </w:tc>
        <w:tc>
          <w:tcPr>
            <w:tcW w:w="2046" w:type="dxa"/>
            <w:vMerge w:val="continue"/>
            <w:vAlign w:val="center"/>
          </w:tcPr>
          <w:p>
            <w:pPr>
              <w:spacing w:line="240" w:lineRule="exact"/>
              <w:jc w:val="center"/>
              <w:rPr>
                <w:rFonts w:ascii="Times New Roman"/>
                <w:kern w:val="2"/>
                <w:sz w:val="21"/>
                <w:szCs w:val="21"/>
              </w:rPr>
            </w:pPr>
          </w:p>
        </w:tc>
        <w:tc>
          <w:tcPr>
            <w:tcW w:w="4049" w:type="dxa"/>
            <w:vAlign w:val="center"/>
          </w:tcPr>
          <w:p>
            <w:pPr>
              <w:spacing w:line="240" w:lineRule="exact"/>
              <w:jc w:val="left"/>
              <w:rPr>
                <w:rFonts w:ascii="Times New Roman"/>
                <w:kern w:val="2"/>
                <w:sz w:val="21"/>
                <w:szCs w:val="21"/>
              </w:rPr>
            </w:pPr>
            <w:r>
              <w:rPr>
                <w:rFonts w:hint="eastAsia" w:ascii="Times New Roman"/>
                <w:kern w:val="2"/>
                <w:sz w:val="21"/>
                <w:szCs w:val="21"/>
              </w:rPr>
              <w:t>优惠承诺符合工程实际情况，确保依法依规，优惠基本合理，基本详实可行。</w:t>
            </w:r>
          </w:p>
        </w:tc>
        <w:tc>
          <w:tcPr>
            <w:tcW w:w="1843" w:type="dxa"/>
            <w:vAlign w:val="center"/>
          </w:tcPr>
          <w:p>
            <w:pPr>
              <w:spacing w:line="240" w:lineRule="exact"/>
              <w:jc w:val="center"/>
              <w:rPr>
                <w:rFonts w:ascii="Times New Roman"/>
                <w:kern w:val="2"/>
                <w:sz w:val="21"/>
                <w:szCs w:val="21"/>
              </w:rPr>
            </w:pPr>
            <w:r>
              <w:rPr>
                <w:rFonts w:hint="eastAsia" w:ascii="Times New Roman"/>
                <w:kern w:val="2"/>
                <w:sz w:val="21"/>
                <w:szCs w:val="21"/>
              </w:rPr>
              <w:t>1≤得分≤3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5" w:hRule="atLeast"/>
          <w:jc w:val="center"/>
        </w:trPr>
        <w:tc>
          <w:tcPr>
            <w:tcW w:w="730"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4</w:t>
            </w:r>
          </w:p>
        </w:tc>
        <w:tc>
          <w:tcPr>
            <w:tcW w:w="2046" w:type="dxa"/>
            <w:vMerge w:val="restart"/>
            <w:vAlign w:val="center"/>
          </w:tcPr>
          <w:p>
            <w:pPr>
              <w:spacing w:line="240" w:lineRule="exact"/>
              <w:jc w:val="center"/>
              <w:rPr>
                <w:rFonts w:ascii="Times New Roman"/>
                <w:kern w:val="2"/>
                <w:sz w:val="21"/>
                <w:szCs w:val="21"/>
              </w:rPr>
            </w:pPr>
            <w:r>
              <w:rPr>
                <w:rFonts w:hint="eastAsia" w:ascii="Times New Roman"/>
                <w:kern w:val="2"/>
                <w:sz w:val="21"/>
                <w:szCs w:val="21"/>
              </w:rPr>
              <w:t>履职尽责承诺</w:t>
            </w:r>
          </w:p>
        </w:tc>
        <w:tc>
          <w:tcPr>
            <w:tcW w:w="4049" w:type="dxa"/>
            <w:vAlign w:val="center"/>
          </w:tcPr>
          <w:p>
            <w:pPr>
              <w:spacing w:line="240" w:lineRule="exact"/>
              <w:jc w:val="left"/>
              <w:rPr>
                <w:rFonts w:ascii="Times New Roman"/>
                <w:kern w:val="2"/>
                <w:sz w:val="21"/>
                <w:szCs w:val="21"/>
              </w:rPr>
            </w:pPr>
            <w:r>
              <w:rPr>
                <w:rFonts w:hint="eastAsia" w:ascii="Times New Roman"/>
                <w:kern w:val="2"/>
                <w:sz w:val="21"/>
                <w:szCs w:val="21"/>
              </w:rPr>
              <w:t>具有全面、详实、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spacing w:line="240" w:lineRule="exact"/>
              <w:jc w:val="center"/>
              <w:rPr>
                <w:rFonts w:ascii="Times New Roman"/>
                <w:kern w:val="2"/>
                <w:sz w:val="21"/>
                <w:szCs w:val="21"/>
              </w:rPr>
            </w:pPr>
            <w:r>
              <w:rPr>
                <w:rFonts w:hint="eastAsia" w:ascii="Times New Roman"/>
                <w:kern w:val="2"/>
                <w:sz w:val="21"/>
                <w:szCs w:val="21"/>
              </w:rPr>
              <w:t>2＜得分≤3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50" w:hRule="atLeast"/>
          <w:jc w:val="center"/>
        </w:trPr>
        <w:tc>
          <w:tcPr>
            <w:tcW w:w="730" w:type="dxa"/>
            <w:vMerge w:val="continue"/>
            <w:vAlign w:val="center"/>
          </w:tcPr>
          <w:p>
            <w:pPr>
              <w:spacing w:line="240" w:lineRule="exact"/>
              <w:jc w:val="center"/>
              <w:rPr>
                <w:rFonts w:ascii="Times New Roman"/>
                <w:kern w:val="2"/>
                <w:sz w:val="21"/>
                <w:szCs w:val="21"/>
              </w:rPr>
            </w:pPr>
          </w:p>
        </w:tc>
        <w:tc>
          <w:tcPr>
            <w:tcW w:w="2046" w:type="dxa"/>
            <w:vMerge w:val="continue"/>
            <w:vAlign w:val="center"/>
          </w:tcPr>
          <w:p>
            <w:pPr>
              <w:spacing w:line="240" w:lineRule="exact"/>
              <w:jc w:val="center"/>
              <w:rPr>
                <w:rFonts w:ascii="Times New Roman"/>
                <w:kern w:val="2"/>
                <w:sz w:val="21"/>
                <w:szCs w:val="21"/>
              </w:rPr>
            </w:pPr>
          </w:p>
        </w:tc>
        <w:tc>
          <w:tcPr>
            <w:tcW w:w="4049" w:type="dxa"/>
            <w:vAlign w:val="center"/>
          </w:tcPr>
          <w:p>
            <w:pPr>
              <w:spacing w:line="240" w:lineRule="exact"/>
              <w:jc w:val="left"/>
              <w:rPr>
                <w:rFonts w:ascii="Times New Roman"/>
                <w:kern w:val="2"/>
                <w:sz w:val="21"/>
                <w:szCs w:val="21"/>
              </w:rPr>
            </w:pPr>
            <w:r>
              <w:rPr>
                <w:rFonts w:hint="eastAsia" w:ascii="Times New Roman"/>
                <w:kern w:val="2"/>
                <w:sz w:val="21"/>
                <w:szCs w:val="21"/>
              </w:rPr>
              <w:t>具有可行、合法有效的书面保证技术措施落实到位的承诺和落实不到位的处理承诺，其中包括各关键岗位人员（项目负责人、技术负责人及相关技术人员、质量员、安全员、材料员、检测员等）的在岗、更换等履职尽责承诺，提供承包商履约保证。</w:t>
            </w:r>
          </w:p>
        </w:tc>
        <w:tc>
          <w:tcPr>
            <w:tcW w:w="1843" w:type="dxa"/>
            <w:vAlign w:val="center"/>
          </w:tcPr>
          <w:p>
            <w:pPr>
              <w:spacing w:line="240" w:lineRule="exact"/>
              <w:jc w:val="center"/>
              <w:rPr>
                <w:rFonts w:ascii="Times New Roman"/>
                <w:kern w:val="2"/>
                <w:sz w:val="21"/>
                <w:szCs w:val="21"/>
              </w:rPr>
            </w:pPr>
            <w:r>
              <w:rPr>
                <w:rFonts w:hint="eastAsia" w:ascii="Times New Roman"/>
                <w:kern w:val="2"/>
                <w:sz w:val="21"/>
                <w:szCs w:val="21"/>
              </w:rPr>
              <w:t>1≤得分≤2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70" w:hRule="atLeast"/>
          <w:jc w:val="center"/>
        </w:trPr>
        <w:tc>
          <w:tcPr>
            <w:tcW w:w="730" w:type="dxa"/>
            <w:vAlign w:val="center"/>
          </w:tcPr>
          <w:p>
            <w:pPr>
              <w:spacing w:line="240" w:lineRule="exact"/>
              <w:jc w:val="center"/>
              <w:rPr>
                <w:rFonts w:ascii="Times New Roman"/>
                <w:kern w:val="2"/>
                <w:sz w:val="21"/>
                <w:szCs w:val="21"/>
              </w:rPr>
            </w:pPr>
            <w:r>
              <w:rPr>
                <w:rFonts w:hint="eastAsia" w:ascii="Times New Roman"/>
                <w:kern w:val="2"/>
                <w:sz w:val="21"/>
                <w:szCs w:val="21"/>
              </w:rPr>
              <w:t>5</w:t>
            </w:r>
          </w:p>
        </w:tc>
        <w:tc>
          <w:tcPr>
            <w:tcW w:w="2046" w:type="dxa"/>
            <w:vAlign w:val="center"/>
          </w:tcPr>
          <w:p>
            <w:pPr>
              <w:spacing w:line="240" w:lineRule="exact"/>
              <w:jc w:val="center"/>
              <w:rPr>
                <w:rFonts w:ascii="Times New Roman"/>
                <w:kern w:val="2"/>
                <w:sz w:val="21"/>
                <w:szCs w:val="21"/>
              </w:rPr>
            </w:pPr>
            <w:r>
              <w:rPr>
                <w:rFonts w:hint="eastAsia" w:ascii="Times New Roman"/>
                <w:kern w:val="2"/>
                <w:sz w:val="21"/>
                <w:szCs w:val="21"/>
              </w:rPr>
              <w:t>企业信用（含纳税诚信）</w:t>
            </w:r>
          </w:p>
        </w:tc>
        <w:tc>
          <w:tcPr>
            <w:tcW w:w="4049" w:type="dxa"/>
            <w:vAlign w:val="center"/>
          </w:tcPr>
          <w:p>
            <w:pPr>
              <w:spacing w:line="240" w:lineRule="exact"/>
              <w:jc w:val="left"/>
              <w:rPr>
                <w:rFonts w:hint="eastAsia" w:ascii="Times New Roman"/>
                <w:kern w:val="2"/>
                <w:sz w:val="21"/>
                <w:szCs w:val="21"/>
              </w:rPr>
            </w:pPr>
            <w:r>
              <w:rPr>
                <w:rFonts w:hint="eastAsia" w:ascii="Times New Roman"/>
                <w:kern w:val="2"/>
                <w:sz w:val="21"/>
                <w:szCs w:val="21"/>
              </w:rPr>
              <w:t>1、自2017年1月1日以来企业所承建的类似工程项目荣获市级以上（含市级）优质工程的得1分；（需提供获奖证书和同级奖励文件扫描件，以证书时间为准）</w:t>
            </w:r>
          </w:p>
          <w:p>
            <w:pPr>
              <w:spacing w:line="240" w:lineRule="exact"/>
              <w:jc w:val="left"/>
              <w:rPr>
                <w:rFonts w:hint="eastAsia" w:ascii="Times New Roman"/>
                <w:kern w:val="2"/>
                <w:sz w:val="21"/>
                <w:szCs w:val="21"/>
              </w:rPr>
            </w:pPr>
            <w:r>
              <w:rPr>
                <w:rFonts w:hint="eastAsia" w:ascii="Times New Roman"/>
                <w:kern w:val="2"/>
                <w:sz w:val="21"/>
                <w:szCs w:val="21"/>
              </w:rPr>
              <w:t>2、自2017年1月1日以来任</w:t>
            </w:r>
            <w:r>
              <w:rPr>
                <w:rFonts w:hint="eastAsia" w:ascii="Times New Roman"/>
                <w:kern w:val="2"/>
                <w:sz w:val="21"/>
                <w:szCs w:val="21"/>
                <w:lang w:eastAsia="zh-CN"/>
              </w:rPr>
              <w:t>意</w:t>
            </w:r>
            <w:r>
              <w:rPr>
                <w:rFonts w:hint="eastAsia" w:ascii="Times New Roman"/>
                <w:kern w:val="2"/>
                <w:sz w:val="21"/>
                <w:szCs w:val="21"/>
              </w:rPr>
              <w:t>年度当中企业同时荣获省级以上（含省级）市政公用工程施工质量管理先进企业称号和省级以上（含省级）市政公用工程优秀施工企业称号者得1分，缺一个本项不得分；（需提供获奖证书和同级奖励文件扫描件，以证书时间为准）</w:t>
            </w:r>
          </w:p>
          <w:p>
            <w:pPr>
              <w:spacing w:line="240" w:lineRule="exact"/>
              <w:jc w:val="left"/>
              <w:rPr>
                <w:rFonts w:hint="eastAsia" w:ascii="Times New Roman"/>
                <w:kern w:val="2"/>
                <w:sz w:val="21"/>
                <w:szCs w:val="21"/>
              </w:rPr>
            </w:pPr>
            <w:r>
              <w:rPr>
                <w:rFonts w:hint="eastAsia" w:ascii="Times New Roman"/>
                <w:kern w:val="2"/>
                <w:sz w:val="21"/>
                <w:szCs w:val="21"/>
              </w:rPr>
              <w:t>3、自2017年1月1日以来企业连续两年获得过省级以上（含省级）建设工程招标投标“诚实守信单位”者得1分，缺一个本项不得分；（需提供获奖证书和同级奖励文件扫描件，以证书时间为准）</w:t>
            </w:r>
          </w:p>
          <w:p>
            <w:pPr>
              <w:spacing w:line="240" w:lineRule="exact"/>
              <w:jc w:val="left"/>
              <w:rPr>
                <w:rFonts w:ascii="Times New Roman"/>
                <w:kern w:val="2"/>
                <w:sz w:val="21"/>
                <w:szCs w:val="21"/>
                <w:highlight w:val="yellow"/>
              </w:rPr>
            </w:pPr>
            <w:r>
              <w:rPr>
                <w:rFonts w:hint="eastAsia" w:ascii="Times New Roman"/>
                <w:kern w:val="2"/>
                <w:sz w:val="21"/>
                <w:szCs w:val="21"/>
              </w:rPr>
              <w:t>4、自2017年1月1日以来企业获得过省级以上（含省级）百日安全行动先进者得1分。（需提供获奖证书和同级奖励文件扫描件或者提供奖牌和同级奖励文件扫描件，以证书或奖牌时间为准）</w:t>
            </w:r>
          </w:p>
        </w:tc>
        <w:tc>
          <w:tcPr>
            <w:tcW w:w="1843" w:type="dxa"/>
            <w:vAlign w:val="center"/>
          </w:tcPr>
          <w:p>
            <w:pPr>
              <w:spacing w:line="240" w:lineRule="exact"/>
              <w:jc w:val="center"/>
              <w:rPr>
                <w:rFonts w:ascii="Times New Roman"/>
                <w:kern w:val="2"/>
                <w:sz w:val="21"/>
                <w:szCs w:val="21"/>
                <w:highlight w:val="yellow"/>
              </w:rPr>
            </w:pPr>
            <w:r>
              <w:rPr>
                <w:rFonts w:hint="eastAsia" w:ascii="Times New Roman"/>
                <w:kern w:val="2"/>
                <w:sz w:val="21"/>
                <w:szCs w:val="21"/>
                <w:highlight w:val="none"/>
              </w:rPr>
              <w:t>0≤得分≤4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vAlign w:val="center"/>
          </w:tcPr>
          <w:p>
            <w:pPr>
              <w:spacing w:line="240" w:lineRule="exact"/>
              <w:jc w:val="center"/>
              <w:rPr>
                <w:rFonts w:ascii="Times New Roman"/>
                <w:kern w:val="2"/>
                <w:sz w:val="21"/>
                <w:szCs w:val="21"/>
              </w:rPr>
            </w:pPr>
            <w:r>
              <w:rPr>
                <w:rFonts w:hint="eastAsia" w:ascii="Times New Roman"/>
                <w:kern w:val="2"/>
                <w:sz w:val="21"/>
                <w:szCs w:val="21"/>
              </w:rPr>
              <w:t>6</w:t>
            </w:r>
          </w:p>
        </w:tc>
        <w:tc>
          <w:tcPr>
            <w:tcW w:w="2046" w:type="dxa"/>
            <w:vAlign w:val="center"/>
          </w:tcPr>
          <w:p>
            <w:pPr>
              <w:spacing w:line="240" w:lineRule="exact"/>
              <w:jc w:val="center"/>
              <w:rPr>
                <w:rFonts w:ascii="Times New Roman"/>
                <w:kern w:val="2"/>
                <w:sz w:val="21"/>
                <w:szCs w:val="21"/>
              </w:rPr>
            </w:pPr>
            <w:r>
              <w:rPr>
                <w:rFonts w:hint="eastAsia" w:ascii="Times New Roman"/>
                <w:kern w:val="2"/>
                <w:sz w:val="21"/>
                <w:szCs w:val="21"/>
              </w:rPr>
              <w:t>项目负责人信用</w:t>
            </w:r>
          </w:p>
        </w:tc>
        <w:tc>
          <w:tcPr>
            <w:tcW w:w="4049" w:type="dxa"/>
            <w:vAlign w:val="center"/>
          </w:tcPr>
          <w:p>
            <w:pPr>
              <w:spacing w:line="240" w:lineRule="exact"/>
              <w:jc w:val="left"/>
              <w:rPr>
                <w:rFonts w:hint="eastAsia" w:ascii="Times New Roman"/>
                <w:kern w:val="2"/>
                <w:sz w:val="21"/>
                <w:szCs w:val="21"/>
                <w:lang w:val="en-US" w:eastAsia="zh-CN"/>
              </w:rPr>
            </w:pPr>
            <w:r>
              <w:rPr>
                <w:rFonts w:hint="eastAsia" w:ascii="Times New Roman"/>
                <w:kern w:val="2"/>
                <w:sz w:val="21"/>
                <w:szCs w:val="21"/>
              </w:rPr>
              <w:t>自2017年1月1日以来项目</w:t>
            </w:r>
            <w:r>
              <w:rPr>
                <w:rFonts w:hint="eastAsia" w:ascii="Times New Roman"/>
                <w:kern w:val="2"/>
                <w:sz w:val="21"/>
                <w:szCs w:val="21"/>
                <w:lang w:eastAsia="zh-CN"/>
              </w:rPr>
              <w:t>负责人</w:t>
            </w:r>
            <w:r>
              <w:rPr>
                <w:rFonts w:hint="eastAsia" w:ascii="Times New Roman"/>
                <w:kern w:val="2"/>
                <w:sz w:val="21"/>
                <w:szCs w:val="21"/>
              </w:rPr>
              <w:t>获得过省级以上（含省级）科技进步奖者得2分。（需提供获奖证书和同级奖励文件扫描件，以证书时间为准）</w:t>
            </w:r>
          </w:p>
        </w:tc>
        <w:tc>
          <w:tcPr>
            <w:tcW w:w="1843" w:type="dxa"/>
            <w:vAlign w:val="center"/>
          </w:tcPr>
          <w:p>
            <w:pPr>
              <w:spacing w:line="240" w:lineRule="exact"/>
              <w:jc w:val="left"/>
              <w:rPr>
                <w:rFonts w:hint="eastAsia" w:ascii="Times New Roman"/>
                <w:kern w:val="2"/>
                <w:sz w:val="21"/>
                <w:szCs w:val="21"/>
              </w:rPr>
            </w:pPr>
            <w:r>
              <w:rPr>
                <w:rFonts w:hint="eastAsia" w:ascii="Times New Roman"/>
                <w:kern w:val="2"/>
                <w:sz w:val="21"/>
                <w:szCs w:val="21"/>
              </w:rPr>
              <w:t>0≤得分≤2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730" w:type="dxa"/>
          </w:tcPr>
          <w:p>
            <w:pPr>
              <w:jc w:val="center"/>
              <w:rPr>
                <w:rFonts w:ascii="Times New Roman"/>
                <w:kern w:val="2"/>
                <w:sz w:val="21"/>
                <w:szCs w:val="21"/>
              </w:rPr>
            </w:pPr>
            <w:r>
              <w:rPr>
                <w:rFonts w:ascii="Times New Roman"/>
                <w:kern w:val="2"/>
                <w:sz w:val="21"/>
                <w:szCs w:val="21"/>
              </w:rPr>
              <w:t>7</w:t>
            </w:r>
          </w:p>
        </w:tc>
        <w:tc>
          <w:tcPr>
            <w:tcW w:w="2046" w:type="dxa"/>
            <w:vAlign w:val="center"/>
          </w:tcPr>
          <w:p>
            <w:pPr>
              <w:jc w:val="center"/>
              <w:rPr>
                <w:rFonts w:ascii="Times New Roman"/>
                <w:kern w:val="2"/>
                <w:sz w:val="21"/>
                <w:szCs w:val="21"/>
              </w:rPr>
            </w:pPr>
            <w:r>
              <w:rPr>
                <w:rFonts w:hint="eastAsia" w:ascii="Times New Roman"/>
                <w:kern w:val="2"/>
                <w:sz w:val="21"/>
                <w:szCs w:val="21"/>
              </w:rPr>
              <w:t>招标人意见</w:t>
            </w:r>
          </w:p>
        </w:tc>
        <w:tc>
          <w:tcPr>
            <w:tcW w:w="4049" w:type="dxa"/>
            <w:vAlign w:val="center"/>
          </w:tcPr>
          <w:p>
            <w:pPr>
              <w:jc w:val="left"/>
              <w:rPr>
                <w:rFonts w:ascii="Times New Roman"/>
                <w:kern w:val="2"/>
                <w:sz w:val="21"/>
                <w:szCs w:val="21"/>
              </w:rPr>
            </w:pPr>
            <w:r>
              <w:rPr>
                <w:rFonts w:hint="eastAsia" w:ascii="Times New Roman"/>
                <w:kern w:val="2"/>
                <w:sz w:val="21"/>
                <w:szCs w:val="21"/>
              </w:rPr>
              <w:t>招标人意见均为2分</w:t>
            </w:r>
          </w:p>
        </w:tc>
        <w:tc>
          <w:tcPr>
            <w:tcW w:w="1843" w:type="dxa"/>
            <w:vAlign w:val="center"/>
          </w:tcPr>
          <w:p>
            <w:pPr>
              <w:jc w:val="center"/>
              <w:rPr>
                <w:rFonts w:ascii="Times New Roman"/>
                <w:kern w:val="2"/>
                <w:sz w:val="21"/>
                <w:szCs w:val="21"/>
              </w:rPr>
            </w:pPr>
            <w:r>
              <w:rPr>
                <w:rFonts w:ascii="Times New Roman"/>
                <w:kern w:val="2"/>
                <w:sz w:val="21"/>
                <w:szCs w:val="21"/>
              </w:rPr>
              <w:t>0≤</w:t>
            </w:r>
            <w:r>
              <w:rPr>
                <w:rFonts w:hint="eastAsia" w:ascii="Times New Roman"/>
                <w:kern w:val="2"/>
                <w:sz w:val="21"/>
                <w:szCs w:val="21"/>
              </w:rPr>
              <w:t>得分</w:t>
            </w:r>
            <w:r>
              <w:rPr>
                <w:rFonts w:ascii="Times New Roman"/>
                <w:kern w:val="2"/>
                <w:sz w:val="21"/>
                <w:szCs w:val="21"/>
              </w:rPr>
              <w:t>≤2</w:t>
            </w:r>
            <w:r>
              <w:rPr>
                <w:rFonts w:hint="eastAsia" w:ascii="Times New Roman"/>
                <w:kern w:val="2"/>
                <w:sz w:val="21"/>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668" w:type="dxa"/>
            <w:gridSpan w:val="4"/>
            <w:vAlign w:val="center"/>
          </w:tcPr>
          <w:p>
            <w:pPr>
              <w:jc w:val="center"/>
              <w:rPr>
                <w:rFonts w:ascii="Times New Roman"/>
                <w:kern w:val="2"/>
                <w:sz w:val="21"/>
                <w:szCs w:val="21"/>
              </w:rPr>
            </w:pPr>
            <w:r>
              <w:rPr>
                <w:rFonts w:hint="eastAsia" w:ascii="Times New Roman"/>
                <w:kern w:val="2"/>
                <w:sz w:val="21"/>
                <w:szCs w:val="21"/>
              </w:rPr>
              <w:t>以上各项评审内容缺项不得分</w:t>
            </w:r>
          </w:p>
        </w:tc>
      </w:tr>
    </w:tbl>
    <w:p>
      <w:pPr>
        <w:snapToGrid w:val="0"/>
        <w:spacing w:line="420" w:lineRule="exact"/>
        <w:ind w:firstLine="480" w:firstLineChars="200"/>
        <w:rPr>
          <w:rFonts w:hAnsi="宋体" w:cs="宋体"/>
          <w:b/>
          <w:bCs/>
          <w:sz w:val="24"/>
          <w:szCs w:val="22"/>
        </w:rPr>
      </w:pPr>
      <w:r>
        <w:rPr>
          <w:rFonts w:hint="eastAsia" w:hAnsi="宋体" w:cs="宋体"/>
          <w:b/>
          <w:bCs/>
          <w:sz w:val="24"/>
        </w:rPr>
        <w:t>注：</w:t>
      </w:r>
      <w:r>
        <w:rPr>
          <w:rFonts w:hint="eastAsia" w:hAnsi="宋体" w:cs="宋体"/>
          <w:b/>
          <w:bCs/>
          <w:sz w:val="24"/>
          <w:szCs w:val="22"/>
        </w:rPr>
        <w:t>1）近年年份要求：201</w:t>
      </w:r>
      <w:r>
        <w:rPr>
          <w:rFonts w:hint="eastAsia" w:hAnsi="宋体" w:cs="宋体"/>
          <w:b/>
          <w:bCs/>
          <w:sz w:val="24"/>
          <w:szCs w:val="22"/>
          <w:lang w:val="en-US" w:eastAsia="zh-CN"/>
        </w:rPr>
        <w:t>7</w:t>
      </w:r>
      <w:r>
        <w:rPr>
          <w:rFonts w:hint="eastAsia" w:hAnsi="宋体" w:cs="宋体"/>
          <w:b/>
          <w:bCs/>
          <w:sz w:val="24"/>
          <w:szCs w:val="22"/>
        </w:rPr>
        <w:t>年1月1日以来；</w:t>
      </w:r>
    </w:p>
    <w:p>
      <w:pPr>
        <w:snapToGrid w:val="0"/>
        <w:spacing w:line="420" w:lineRule="exact"/>
        <w:ind w:firstLine="960" w:firstLineChars="400"/>
        <w:rPr>
          <w:rFonts w:hAnsi="宋体" w:cs="宋体"/>
          <w:b/>
          <w:bCs/>
          <w:sz w:val="24"/>
          <w:szCs w:val="22"/>
          <w:highlight w:val="yellow"/>
        </w:rPr>
      </w:pPr>
      <w:r>
        <w:rPr>
          <w:rFonts w:hint="eastAsia" w:hAnsi="宋体" w:cs="宋体"/>
          <w:b/>
          <w:bCs/>
          <w:sz w:val="24"/>
          <w:szCs w:val="22"/>
        </w:rPr>
        <w:t>2）类似工程：指201</w:t>
      </w:r>
      <w:r>
        <w:rPr>
          <w:rFonts w:hint="eastAsia" w:hAnsi="宋体" w:cs="宋体"/>
          <w:b/>
          <w:bCs/>
          <w:sz w:val="24"/>
          <w:szCs w:val="22"/>
          <w:lang w:val="en-US" w:eastAsia="zh-CN"/>
        </w:rPr>
        <w:t>7</w:t>
      </w:r>
      <w:r>
        <w:rPr>
          <w:rFonts w:hint="eastAsia" w:hAnsi="宋体" w:cs="宋体"/>
          <w:b/>
          <w:bCs/>
          <w:sz w:val="24"/>
          <w:szCs w:val="22"/>
        </w:rPr>
        <w:t>年1月1日以来承接过的市政公用工程；</w:t>
      </w:r>
    </w:p>
    <w:p>
      <w:pPr>
        <w:snapToGrid w:val="0"/>
        <w:spacing w:line="420" w:lineRule="exact"/>
        <w:ind w:firstLine="960" w:firstLineChars="400"/>
        <w:rPr>
          <w:rFonts w:hAnsi="宋体" w:cs="宋体"/>
          <w:b/>
          <w:bCs/>
          <w:sz w:val="24"/>
          <w:szCs w:val="22"/>
        </w:rPr>
      </w:pPr>
      <w:r>
        <w:rPr>
          <w:rFonts w:hint="eastAsia" w:hAnsi="宋体" w:cs="宋体"/>
          <w:b/>
          <w:bCs/>
          <w:sz w:val="24"/>
          <w:szCs w:val="22"/>
        </w:rPr>
        <w:t>3）业绩合同以合同签订日期为准；</w:t>
      </w:r>
    </w:p>
    <w:p>
      <w:pPr>
        <w:snapToGrid w:val="0"/>
        <w:spacing w:line="420" w:lineRule="exact"/>
        <w:ind w:firstLine="960" w:firstLineChars="400"/>
        <w:rPr>
          <w:rFonts w:hAnsi="宋体" w:cs="宋体"/>
          <w:b/>
          <w:bCs/>
          <w:sz w:val="24"/>
          <w:szCs w:val="22"/>
        </w:rPr>
      </w:pPr>
      <w:r>
        <w:rPr>
          <w:rFonts w:hint="eastAsia" w:hAnsi="宋体" w:cs="宋体"/>
          <w:b/>
          <w:bCs/>
          <w:sz w:val="24"/>
          <w:szCs w:val="22"/>
        </w:rPr>
        <w:t>4）企业业绩和建造师业绩不可累计使用。</w:t>
      </w:r>
    </w:p>
    <w:p>
      <w:pPr>
        <w:snapToGrid w:val="0"/>
        <w:spacing w:line="420" w:lineRule="exact"/>
        <w:ind w:firstLine="240" w:firstLineChars="100"/>
        <w:rPr>
          <w:rFonts w:hAnsi="宋体" w:cs="宋体"/>
          <w:b/>
          <w:bCs/>
          <w:sz w:val="24"/>
          <w:szCs w:val="22"/>
        </w:rPr>
      </w:pPr>
      <w:r>
        <w:rPr>
          <w:rFonts w:hint="eastAsia" w:hAnsi="宋体" w:cs="宋体"/>
          <w:b/>
          <w:bCs/>
          <w:sz w:val="24"/>
          <w:szCs w:val="22"/>
        </w:rPr>
        <w:t>（四）投标人综合得分按下列公式计算：</w:t>
      </w:r>
    </w:p>
    <w:p>
      <w:pPr>
        <w:snapToGrid w:val="0"/>
        <w:spacing w:line="420" w:lineRule="exact"/>
        <w:ind w:firstLine="960" w:firstLineChars="400"/>
        <w:rPr>
          <w:rFonts w:hAnsi="宋体" w:cs="宋体"/>
          <w:b/>
          <w:bCs/>
          <w:sz w:val="24"/>
          <w:szCs w:val="22"/>
        </w:rPr>
      </w:pPr>
      <w:r>
        <w:rPr>
          <w:rFonts w:hint="eastAsia" w:hAnsi="宋体" w:cs="宋体"/>
          <w:sz w:val="24"/>
          <w:szCs w:val="24"/>
        </w:rPr>
        <w:t>投标人综合得分＝技术标得分＋商务标得分＋综合（信用）标得分。</w:t>
      </w:r>
    </w:p>
    <w:p>
      <w:pPr>
        <w:snapToGrid w:val="0"/>
        <w:spacing w:line="420" w:lineRule="exact"/>
        <w:ind w:firstLine="240" w:firstLineChars="100"/>
        <w:rPr>
          <w:rFonts w:hAnsi="宋体" w:cs="宋体"/>
          <w:b/>
          <w:bCs/>
          <w:sz w:val="24"/>
          <w:szCs w:val="22"/>
        </w:rPr>
      </w:pPr>
      <w:r>
        <w:rPr>
          <w:rFonts w:hint="eastAsia" w:hAnsi="宋体" w:cs="宋体"/>
          <w:b/>
          <w:bCs/>
          <w:sz w:val="24"/>
          <w:szCs w:val="22"/>
        </w:rPr>
        <w:t>（五）投标人的最终得分及中标候选人排序</w:t>
      </w:r>
    </w:p>
    <w:p>
      <w:pPr>
        <w:adjustRightInd w:val="0"/>
        <w:snapToGrid w:val="0"/>
        <w:spacing w:line="440" w:lineRule="exact"/>
        <w:ind w:firstLine="480"/>
        <w:rPr>
          <w:rFonts w:hAnsi="宋体" w:cs="宋体"/>
          <w:sz w:val="24"/>
          <w:szCs w:val="24"/>
        </w:rPr>
      </w:pPr>
      <w:r>
        <w:rPr>
          <w:rFonts w:hint="eastAsia" w:hAnsi="宋体" w:cs="宋体"/>
          <w:sz w:val="24"/>
          <w:szCs w:val="24"/>
        </w:rPr>
        <w:t>1.评标委员会完成对技术标、商务标和综合（信用）标的汇总后，从中去掉一个最高分和一个最低分，取平均值作为该投标人的最终得分。计算分值均保留两位小数。</w:t>
      </w:r>
    </w:p>
    <w:p>
      <w:pPr>
        <w:adjustRightInd w:val="0"/>
        <w:snapToGrid w:val="0"/>
        <w:spacing w:line="440" w:lineRule="exact"/>
        <w:ind w:firstLine="480"/>
        <w:rPr>
          <w:rFonts w:hAnsi="宋体" w:cs="宋体"/>
          <w:sz w:val="24"/>
          <w:szCs w:val="24"/>
        </w:rPr>
      </w:pPr>
      <w:r>
        <w:rPr>
          <w:rFonts w:hint="eastAsia" w:hAnsi="宋体" w:cs="宋体"/>
          <w:sz w:val="24"/>
          <w:szCs w:val="24"/>
        </w:rPr>
        <w:t>评标委员会人数在5人以上时，去掉一个最高分和一个最低分取平均值；评标委员会人数在5人时，取所有评委评分的平均值。</w:t>
      </w:r>
    </w:p>
    <w:p>
      <w:pPr>
        <w:adjustRightInd w:val="0"/>
        <w:snapToGrid w:val="0"/>
        <w:spacing w:line="440" w:lineRule="exact"/>
        <w:ind w:firstLine="480"/>
        <w:rPr>
          <w:rFonts w:cs="宋体"/>
          <w:sz w:val="24"/>
          <w:szCs w:val="24"/>
        </w:rPr>
      </w:pPr>
      <w:r>
        <w:rPr>
          <w:rFonts w:hint="eastAsia" w:hAnsi="宋体" w:cs="宋体"/>
          <w:sz w:val="24"/>
          <w:szCs w:val="24"/>
        </w:rPr>
        <w:t>2.评标委员会按照投标人的得分，由高到低排序，向招标人推荐1-3名中标候选人。当得分相等时，依次以商务标、综合（信用）标、技术标得分高低进行排序；若三项得分均相等时，可以通过公开随机抽取方式确定中标候选人的排序。</w:t>
      </w:r>
    </w:p>
    <w:p>
      <w:pPr>
        <w:snapToGrid w:val="0"/>
        <w:spacing w:line="360" w:lineRule="auto"/>
        <w:ind w:firstLine="480" w:firstLineChars="200"/>
        <w:rPr>
          <w:rFonts w:ascii="新宋体" w:eastAsia="新宋体" w:cs="宋体"/>
          <w:b/>
          <w:sz w:val="24"/>
        </w:rPr>
      </w:pPr>
      <w:r>
        <w:rPr>
          <w:rFonts w:hint="eastAsia" w:ascii="新宋体" w:eastAsia="新宋体"/>
          <w:b/>
          <w:sz w:val="24"/>
        </w:rPr>
        <w:t>国有资金投资的建设工程依法必须进行招标的项目，评标委员会按规定否决不合格投标后，有效投标人只剩一家且投标报价为所有投标人报价中最高的，投标明显缺乏竞争的，评标委员会应当否决全部投标。</w:t>
      </w:r>
    </w:p>
    <w:p>
      <w:pPr>
        <w:snapToGrid w:val="0"/>
        <w:spacing w:line="336" w:lineRule="auto"/>
        <w:ind w:firstLine="480" w:firstLineChars="200"/>
        <w:rPr>
          <w:rFonts w:ascii="新宋体" w:eastAsia="新宋体" w:cs="宋体"/>
          <w:b/>
          <w:sz w:val="24"/>
        </w:rPr>
      </w:pPr>
      <w:r>
        <w:rPr>
          <w:rFonts w:hint="eastAsia" w:ascii="新宋体" w:eastAsia="新宋体" w:cs="宋体"/>
          <w:b/>
          <w:sz w:val="24"/>
        </w:rPr>
        <w:t>八、定标</w:t>
      </w:r>
    </w:p>
    <w:p>
      <w:pPr>
        <w:snapToGrid w:val="0"/>
        <w:spacing w:line="336" w:lineRule="auto"/>
        <w:ind w:firstLine="480" w:firstLineChars="200"/>
        <w:rPr>
          <w:rFonts w:ascii="新宋体" w:eastAsia="新宋体"/>
          <w:b/>
          <w:sz w:val="24"/>
        </w:rPr>
      </w:pPr>
      <w:r>
        <w:rPr>
          <w:rFonts w:hint="eastAsia" w:ascii="新宋体" w:eastAsia="新宋体"/>
          <w:sz w:val="24"/>
        </w:rPr>
        <w:t>国有资金占控股或者主导地位的依法必须进行招标的项目，招标人应当确定排名第一的中标候选人为中标人。排名第一的中标候选人放弃中标、因不可抗力不能履行合同，或者被查实存在影响中标结果的违法行为等情形，不符合中标条件的，招标人可以按照评标委员会提出的中标候选人名单排序依次确定其他中标候选人为中标人，也可以重新招标。</w:t>
      </w:r>
    </w:p>
    <w:p>
      <w:pPr>
        <w:pStyle w:val="66"/>
        <w:keepNext w:val="0"/>
        <w:keepLines w:val="0"/>
        <w:snapToGrid w:val="0"/>
        <w:spacing w:line="336" w:lineRule="auto"/>
        <w:ind w:firstLine="480" w:firstLineChars="200"/>
        <w:outlineLvl w:val="9"/>
        <w:rPr>
          <w:rFonts w:ascii="新宋体" w:eastAsia="新宋体"/>
          <w:b/>
          <w:szCs w:val="24"/>
        </w:rPr>
      </w:pPr>
      <w:bookmarkStart w:id="79" w:name="_Toc23277"/>
      <w:r>
        <w:rPr>
          <w:rFonts w:hint="eastAsia" w:ascii="新宋体" w:eastAsia="新宋体"/>
          <w:b/>
          <w:szCs w:val="24"/>
        </w:rPr>
        <w:t>九、评标报告</w:t>
      </w:r>
      <w:bookmarkEnd w:id="79"/>
    </w:p>
    <w:p>
      <w:pPr>
        <w:snapToGrid w:val="0"/>
        <w:spacing w:line="336" w:lineRule="auto"/>
        <w:ind w:firstLine="480" w:firstLineChars="200"/>
        <w:rPr>
          <w:rFonts w:ascii="新宋体" w:eastAsia="新宋体"/>
          <w:sz w:val="24"/>
        </w:rPr>
      </w:pPr>
      <w:r>
        <w:rPr>
          <w:rFonts w:hint="eastAsia" w:ascii="新宋体" w:eastAsia="新宋体"/>
          <w:sz w:val="24"/>
        </w:rPr>
        <w:t>评标委员会根据投标人须知前附表7.1条的规定向招标人提交评标报告。评标报告应当由全体评标委员会成员签字，并于评标结束时抄送有关行政监督部门。</w:t>
      </w:r>
    </w:p>
    <w:p>
      <w:pPr>
        <w:pStyle w:val="66"/>
        <w:keepNext w:val="0"/>
        <w:keepLines w:val="0"/>
        <w:snapToGrid w:val="0"/>
        <w:spacing w:line="336" w:lineRule="auto"/>
        <w:ind w:firstLine="480" w:firstLineChars="200"/>
        <w:outlineLvl w:val="9"/>
        <w:rPr>
          <w:rFonts w:ascii="新宋体" w:eastAsia="新宋体"/>
          <w:b/>
          <w:szCs w:val="24"/>
        </w:rPr>
      </w:pPr>
      <w:bookmarkStart w:id="80" w:name="_Toc8686"/>
      <w:r>
        <w:rPr>
          <w:rFonts w:hint="eastAsia" w:ascii="新宋体" w:eastAsia="新宋体"/>
          <w:b/>
        </w:rPr>
        <w:t>十、</w:t>
      </w:r>
      <w:r>
        <w:rPr>
          <w:rFonts w:hint="eastAsia" w:ascii="新宋体" w:eastAsia="新宋体"/>
          <w:b/>
          <w:szCs w:val="24"/>
        </w:rPr>
        <w:t>公示</w:t>
      </w:r>
      <w:bookmarkEnd w:id="80"/>
    </w:p>
    <w:p>
      <w:pPr>
        <w:snapToGrid w:val="0"/>
        <w:spacing w:line="336" w:lineRule="auto"/>
        <w:ind w:firstLine="480" w:firstLineChars="200"/>
        <w:rPr>
          <w:rFonts w:ascii="新宋体" w:eastAsia="新宋体"/>
          <w:sz w:val="24"/>
        </w:rPr>
      </w:pPr>
      <w:r>
        <w:rPr>
          <w:rFonts w:hint="eastAsia" w:ascii="新宋体" w:eastAsia="新宋体"/>
          <w:sz w:val="24"/>
        </w:rPr>
        <w:t>中标人确定后，招标人应当在《全国公共资源交易平台(河南省▪许昌市)》、《河南省电子招标投标公共服务平台》上进行公示，公示时间不少于3日。公示期满后，招标人应当将招标投标情况书面报告提交招标投标管理部门备案，向中标人发出中标通知书，并向所有合格投标人告知中标结果。</w:t>
      </w:r>
    </w:p>
    <w:p>
      <w:pPr>
        <w:snapToGrid w:val="0"/>
        <w:spacing w:line="336" w:lineRule="auto"/>
        <w:ind w:firstLine="480" w:firstLineChars="200"/>
        <w:rPr>
          <w:rFonts w:ascii="新宋体" w:eastAsia="新宋体"/>
          <w:b/>
          <w:sz w:val="24"/>
        </w:rPr>
      </w:pPr>
      <w:r>
        <w:rPr>
          <w:rFonts w:hint="eastAsia" w:ascii="新宋体" w:eastAsia="新宋体"/>
          <w:b/>
          <w:sz w:val="24"/>
        </w:rPr>
        <w:t>十一、特殊情况的处置程序</w:t>
      </w:r>
    </w:p>
    <w:p>
      <w:pPr>
        <w:snapToGrid w:val="0"/>
        <w:spacing w:line="336" w:lineRule="auto"/>
        <w:ind w:firstLine="480" w:firstLineChars="200"/>
        <w:rPr>
          <w:rFonts w:ascii="新宋体" w:eastAsia="新宋体"/>
          <w:b/>
          <w:sz w:val="24"/>
        </w:rPr>
      </w:pPr>
      <w:r>
        <w:rPr>
          <w:rFonts w:hint="eastAsia" w:ascii="新宋体" w:eastAsia="新宋体"/>
          <w:b/>
          <w:sz w:val="24"/>
        </w:rPr>
        <w:t>11.1关于澄清、说明或补正</w:t>
      </w:r>
    </w:p>
    <w:p>
      <w:pPr>
        <w:snapToGrid w:val="0"/>
        <w:spacing w:line="336" w:lineRule="auto"/>
        <w:ind w:firstLine="480" w:firstLineChars="200"/>
        <w:rPr>
          <w:rFonts w:ascii="新宋体" w:eastAsia="新宋体"/>
          <w:sz w:val="24"/>
        </w:rPr>
      </w:pPr>
      <w:r>
        <w:rPr>
          <w:rFonts w:hint="eastAsia" w:ascii="新宋体" w:eastAsia="新宋体"/>
          <w:sz w:val="24"/>
        </w:rPr>
        <w:t>在评审过程中评标委员会可以书面方式要求投标人对投标文件中含义不明确、对同类问题表述不一致或者有明显文字和计算错误的内容作必要的澄清、说明或补正。澄清、说明或补正应以书面方式进行并不得超出投标文件的范围或者改变投标文件内容。（澄清、说明或补正格式详见本章附表二、三）</w:t>
      </w:r>
    </w:p>
    <w:p>
      <w:pPr>
        <w:snapToGrid w:val="0"/>
        <w:spacing w:line="336" w:lineRule="auto"/>
        <w:ind w:firstLine="480" w:firstLineChars="200"/>
        <w:rPr>
          <w:rFonts w:ascii="新宋体" w:eastAsia="新宋体"/>
          <w:b/>
          <w:sz w:val="24"/>
        </w:rPr>
      </w:pPr>
      <w:r>
        <w:rPr>
          <w:rFonts w:hint="eastAsia" w:ascii="新宋体" w:eastAsia="新宋体"/>
          <w:b/>
          <w:sz w:val="24"/>
        </w:rPr>
        <w:t>11.2关于评标活动暂停</w:t>
      </w:r>
    </w:p>
    <w:p>
      <w:pPr>
        <w:snapToGrid w:val="0"/>
        <w:spacing w:line="336" w:lineRule="auto"/>
        <w:ind w:firstLine="480" w:firstLineChars="200"/>
        <w:rPr>
          <w:rFonts w:ascii="新宋体" w:eastAsia="新宋体"/>
          <w:sz w:val="24"/>
        </w:rPr>
      </w:pPr>
      <w:r>
        <w:rPr>
          <w:rFonts w:hint="eastAsia" w:ascii="新宋体" w:eastAsia="新宋体"/>
          <w:sz w:val="24"/>
        </w:rPr>
        <w:t>11.2.1评标委员会应当执行连续评标的原则，按评标办法中规定的程序、内容、方法、标准完成全部评标工作。只有发生不可抗力导致评标工作无法继续时，评标活动方可暂停。</w:t>
      </w:r>
    </w:p>
    <w:p>
      <w:pPr>
        <w:snapToGrid w:val="0"/>
        <w:spacing w:line="336" w:lineRule="auto"/>
        <w:ind w:firstLine="480" w:firstLineChars="200"/>
        <w:rPr>
          <w:rFonts w:ascii="新宋体" w:eastAsia="新宋体"/>
          <w:sz w:val="24"/>
        </w:rPr>
      </w:pPr>
      <w:r>
        <w:rPr>
          <w:rFonts w:hint="eastAsia" w:ascii="新宋体" w:eastAsia="新宋体"/>
          <w:sz w:val="24"/>
        </w:rPr>
        <w:t>11.2.2发生评标暂停情况时，评标委员会应当封存全部投标文件和评标记录，待不可抗力的影响结束且具备继续评标的条件时，由原评标委员会继续评标。</w:t>
      </w:r>
    </w:p>
    <w:p>
      <w:pPr>
        <w:snapToGrid w:val="0"/>
        <w:spacing w:line="336" w:lineRule="auto"/>
        <w:ind w:firstLine="480" w:firstLineChars="200"/>
        <w:rPr>
          <w:rFonts w:ascii="新宋体" w:eastAsia="新宋体"/>
          <w:b/>
          <w:sz w:val="24"/>
        </w:rPr>
      </w:pPr>
      <w:r>
        <w:rPr>
          <w:rFonts w:hint="eastAsia" w:ascii="新宋体" w:eastAsia="新宋体"/>
          <w:b/>
          <w:sz w:val="24"/>
        </w:rPr>
        <w:t>11.3关于评标中途更换评标委员会成员</w:t>
      </w:r>
    </w:p>
    <w:p>
      <w:pPr>
        <w:snapToGrid w:val="0"/>
        <w:spacing w:line="336" w:lineRule="auto"/>
        <w:ind w:firstLine="480" w:firstLineChars="200"/>
        <w:rPr>
          <w:rFonts w:ascii="新宋体" w:eastAsia="新宋体"/>
          <w:sz w:val="24"/>
        </w:rPr>
      </w:pPr>
      <w:r>
        <w:rPr>
          <w:rFonts w:hint="eastAsia" w:ascii="新宋体" w:eastAsia="新宋体"/>
          <w:sz w:val="24"/>
        </w:rPr>
        <w:t>11.3.1除非发生下列情况之一，评标委员会成员不得在评标中途更换：</w:t>
      </w:r>
    </w:p>
    <w:p>
      <w:pPr>
        <w:snapToGrid w:val="0"/>
        <w:spacing w:line="336" w:lineRule="auto"/>
        <w:ind w:firstLine="480" w:firstLineChars="200"/>
        <w:rPr>
          <w:rFonts w:ascii="新宋体" w:eastAsia="新宋体"/>
          <w:sz w:val="24"/>
        </w:rPr>
      </w:pPr>
      <w:r>
        <w:rPr>
          <w:rFonts w:hint="eastAsia" w:ascii="新宋体" w:eastAsia="新宋体"/>
          <w:sz w:val="24"/>
        </w:rPr>
        <w:t>（1）因不可抗拒的客观原因，不能到场或需在评标中途退出评标活动。</w:t>
      </w:r>
    </w:p>
    <w:p>
      <w:pPr>
        <w:snapToGrid w:val="0"/>
        <w:spacing w:line="336" w:lineRule="auto"/>
        <w:ind w:firstLine="480" w:firstLineChars="200"/>
        <w:rPr>
          <w:rFonts w:ascii="新宋体" w:eastAsia="新宋体"/>
          <w:sz w:val="24"/>
        </w:rPr>
      </w:pPr>
      <w:r>
        <w:rPr>
          <w:rFonts w:hint="eastAsia" w:ascii="新宋体" w:eastAsia="新宋体"/>
          <w:sz w:val="24"/>
        </w:rPr>
        <w:t>（2）根据法律法规规定，某个或某几个评标委员会成员需要回避。</w:t>
      </w:r>
    </w:p>
    <w:p>
      <w:pPr>
        <w:snapToGrid w:val="0"/>
        <w:spacing w:line="336" w:lineRule="auto"/>
        <w:ind w:firstLine="480" w:firstLineChars="200"/>
        <w:rPr>
          <w:rFonts w:ascii="新宋体" w:eastAsia="新宋体"/>
          <w:sz w:val="24"/>
        </w:rPr>
      </w:pPr>
      <w:r>
        <w:rPr>
          <w:rFonts w:hint="eastAsia" w:ascii="新宋体" w:eastAsia="新宋体"/>
          <w:sz w:val="24"/>
        </w:rPr>
        <w:t>11.3.2退出评标的评标委员会成员，其已完成的评标行为无效。由招标人根据本招标文件规定的评标委员会成员产生方式另行确定替代者进行评标。</w:t>
      </w:r>
    </w:p>
    <w:p>
      <w:pPr>
        <w:snapToGrid w:val="0"/>
        <w:spacing w:line="336" w:lineRule="auto"/>
        <w:ind w:firstLine="480" w:firstLineChars="200"/>
        <w:rPr>
          <w:rFonts w:ascii="新宋体" w:eastAsia="新宋体"/>
          <w:b/>
          <w:sz w:val="24"/>
        </w:rPr>
      </w:pPr>
      <w:r>
        <w:rPr>
          <w:rFonts w:hint="eastAsia" w:ascii="新宋体" w:eastAsia="新宋体"/>
          <w:b/>
          <w:sz w:val="24"/>
        </w:rPr>
        <w:t>11.4记名投票</w:t>
      </w:r>
    </w:p>
    <w:p>
      <w:pPr>
        <w:snapToGrid w:val="0"/>
        <w:spacing w:line="336" w:lineRule="auto"/>
        <w:ind w:firstLine="480" w:firstLineChars="200"/>
        <w:rPr>
          <w:rFonts w:ascii="新宋体" w:eastAsia="新宋体"/>
          <w:sz w:val="24"/>
        </w:rPr>
      </w:pPr>
      <w:r>
        <w:rPr>
          <w:rFonts w:hint="eastAsia" w:ascii="新宋体" w:eastAsia="新宋体"/>
          <w:sz w:val="24"/>
        </w:rPr>
        <w:t>在任何评标环节中，需评标委员会就某项定性的评审结论做出表决的，由评标委员会全体成员按照少数服从多数的原则，以记名投票方式表决。</w:t>
      </w:r>
    </w:p>
    <w:p>
      <w:pPr>
        <w:snapToGrid w:val="0"/>
        <w:spacing w:line="336" w:lineRule="auto"/>
        <w:ind w:firstLine="480" w:firstLineChars="200"/>
        <w:rPr>
          <w:b/>
          <w:sz w:val="24"/>
        </w:rPr>
      </w:pPr>
      <w:r>
        <w:rPr>
          <w:rFonts w:hint="eastAsia"/>
          <w:b/>
          <w:sz w:val="24"/>
        </w:rPr>
        <w:t>11.5评标委员会对评标结果有异议的</w:t>
      </w:r>
    </w:p>
    <w:p>
      <w:pPr>
        <w:snapToGrid w:val="0"/>
        <w:spacing w:line="336" w:lineRule="auto"/>
        <w:ind w:firstLine="468" w:firstLineChars="200"/>
        <w:jc w:val="left"/>
        <w:rPr>
          <w:rFonts w:hAnsi="宋体" w:cs="黑体"/>
          <w:b/>
          <w:sz w:val="36"/>
          <w:szCs w:val="36"/>
        </w:rPr>
      </w:pPr>
      <w:r>
        <w:rPr>
          <w:rFonts w:hint="eastAsia"/>
          <w:spacing w:val="-3"/>
          <w:sz w:val="24"/>
        </w:rPr>
        <w:t>对评标结论持有异议的，评标委员会成员可以书面方式阐述其不同意见和理由。评标委员会成员拒绝在评标报告上签字且不以书面阐述其不同意见和理由的，视为同意评标结论。评标委员会应当对此作出书面说明并记录在案。</w:t>
      </w:r>
    </w:p>
    <w:p/>
    <w:p>
      <w:pPr>
        <w:snapToGrid w:val="0"/>
        <w:spacing w:line="400" w:lineRule="exact"/>
        <w:rPr>
          <w:rFonts w:ascii="方正小标宋简体" w:hAnsi="黑体" w:eastAsia="方正小标宋简体"/>
          <w:b/>
          <w:bCs/>
          <w:sz w:val="32"/>
          <w:szCs w:val="32"/>
        </w:rPr>
      </w:pPr>
    </w:p>
    <w:p>
      <w:pPr>
        <w:snapToGrid w:val="0"/>
        <w:spacing w:line="400" w:lineRule="exact"/>
        <w:rPr>
          <w:rFonts w:ascii="方正小标宋简体" w:hAnsi="黑体" w:eastAsia="方正小标宋简体"/>
          <w:b/>
          <w:bCs/>
          <w:sz w:val="32"/>
          <w:szCs w:val="32"/>
        </w:rPr>
      </w:pPr>
    </w:p>
    <w:p>
      <w:pPr>
        <w:snapToGrid w:val="0"/>
        <w:spacing w:line="360" w:lineRule="auto"/>
        <w:jc w:val="center"/>
        <w:rPr>
          <w:rFonts w:hAnsi="宋体" w:cs="黑体"/>
          <w:b/>
          <w:sz w:val="36"/>
          <w:szCs w:val="36"/>
        </w:rPr>
      </w:pPr>
      <w:r>
        <w:rPr>
          <w:rFonts w:hint="eastAsia" w:hAnsi="宋体" w:cs="黑体"/>
          <w:b/>
          <w:sz w:val="36"/>
          <w:szCs w:val="36"/>
        </w:rPr>
        <w:t>第四章合同条款及格式</w:t>
      </w:r>
      <w:bookmarkEnd w:id="49"/>
    </w:p>
    <w:p>
      <w:pPr>
        <w:tabs>
          <w:tab w:val="left" w:pos="5000"/>
        </w:tabs>
        <w:spacing w:line="360" w:lineRule="auto"/>
        <w:ind w:firstLine="490"/>
        <w:rPr>
          <w:rFonts w:hAnsi="宋体" w:cs="黑体"/>
          <w:b/>
          <w:sz w:val="32"/>
          <w:szCs w:val="32"/>
        </w:rPr>
      </w:pPr>
      <w:bookmarkStart w:id="81" w:name="_Toc278443514"/>
      <w:r>
        <w:rPr>
          <w:rFonts w:hint="eastAsia" w:hAnsi="宋体" w:cs="黑体"/>
          <w:b/>
          <w:sz w:val="32"/>
          <w:szCs w:val="32"/>
        </w:rPr>
        <w:t xml:space="preserve"> 采用由中华人民共和国住房和城乡建设部与国家工商行政管理局联合制定的《建设工程施工合同示范文本》（GF-2017-0201）签订合</w:t>
      </w:r>
      <w:bookmarkEnd w:id="81"/>
      <w:bookmarkStart w:id="82" w:name="_Toc278443518"/>
      <w:r>
        <w:rPr>
          <w:rFonts w:hint="eastAsia" w:hAnsi="宋体" w:cs="黑体"/>
          <w:b/>
          <w:sz w:val="32"/>
          <w:szCs w:val="32"/>
        </w:rPr>
        <w:t>同。</w:t>
      </w:r>
    </w:p>
    <w:p>
      <w:pPr>
        <w:autoSpaceDE w:val="0"/>
        <w:autoSpaceDN w:val="0"/>
        <w:adjustRightInd w:val="0"/>
        <w:jc w:val="center"/>
        <w:outlineLvl w:val="0"/>
        <w:rPr>
          <w:rFonts w:hAnsi="宋体" w:cs="黑体"/>
          <w:b/>
          <w:sz w:val="36"/>
          <w:szCs w:val="36"/>
        </w:rPr>
      </w:pPr>
    </w:p>
    <w:p>
      <w:pPr>
        <w:autoSpaceDE w:val="0"/>
        <w:autoSpaceDN w:val="0"/>
        <w:adjustRightInd w:val="0"/>
        <w:jc w:val="center"/>
        <w:outlineLvl w:val="0"/>
        <w:rPr>
          <w:rFonts w:hAnsi="宋体" w:cs="黑体"/>
          <w:b/>
          <w:sz w:val="36"/>
          <w:szCs w:val="36"/>
        </w:rPr>
      </w:pPr>
      <w:r>
        <w:rPr>
          <w:rFonts w:hAnsi="宋体" w:cs="黑体"/>
          <w:b/>
          <w:sz w:val="36"/>
          <w:szCs w:val="36"/>
        </w:rPr>
        <w:br w:type="page"/>
      </w:r>
      <w:r>
        <w:rPr>
          <w:rFonts w:hint="eastAsia" w:hAnsi="宋体" w:cs="黑体"/>
          <w:b/>
          <w:sz w:val="36"/>
          <w:szCs w:val="36"/>
        </w:rPr>
        <w:t>第五章 工程量清单</w:t>
      </w:r>
    </w:p>
    <w:p>
      <w:pPr>
        <w:spacing w:line="440" w:lineRule="exact"/>
        <w:rPr>
          <w:rFonts w:ascii="新宋体" w:hAnsi="新宋体" w:eastAsia="新宋体"/>
          <w:b/>
          <w:sz w:val="24"/>
        </w:rPr>
      </w:pPr>
      <w:r>
        <w:rPr>
          <w:rFonts w:hint="eastAsia" w:ascii="新宋体" w:hAnsi="新宋体" w:eastAsia="新宋体"/>
          <w:b/>
          <w:sz w:val="24"/>
        </w:rPr>
        <w:t>1、工程量清单说明</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1.1 本工程量清单是依据中华人民共和国国家标准《建设工程工程量清单计价规范》(以下简称“计价规范”)以及招标文件中包括的图纸等编制。计价规范中规定的工程量计算规则中没有的子目，应在本章第1.4款约定；计价规范中规定的工程量计算规则中没有且本章第1.4款也未约定的，双方协商确定；协商不成的，可向省级或行业工程造价管理机构申请裁定或按照有合同约束力的图纸所标示尺寸的理论净量计算。计量采用中华人民共和国法定的基本计量单位。</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1.2 本工程量清单应与招标文件中的投标人须知、通用合同条款、专用合同条款、技术标准和要求及图纸等章节内容一起阅读和理解。</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1.3 本工程量清单仅是投标报价的共同基础，竣工结算的工程量按合同约定确定。合同价格的确定以及价款支付应遵循合同条款(包括通用合同条款和专用合同条款)、技术标准和要求以及本章的有关约定。</w:t>
      </w:r>
    </w:p>
    <w:p>
      <w:pPr>
        <w:spacing w:line="440" w:lineRule="exact"/>
        <w:ind w:left="1" w:firstLine="480" w:firstLineChars="200"/>
        <w:rPr>
          <w:rFonts w:ascii="新宋体" w:hAnsi="新宋体" w:eastAsia="新宋体"/>
          <w:sz w:val="24"/>
          <w:u w:val="single"/>
        </w:rPr>
      </w:pPr>
      <w:r>
        <w:rPr>
          <w:rFonts w:hint="eastAsia" w:ascii="新宋体" w:hAnsi="新宋体" w:eastAsia="新宋体"/>
          <w:sz w:val="24"/>
        </w:rPr>
        <w:t>1.4补充子目的子目特征、计量单位、工程量计算规则及工作内容说明如下：</w:t>
      </w:r>
      <w:r>
        <w:rPr>
          <w:rFonts w:hint="eastAsia" w:ascii="新宋体" w:hAnsi="新宋体" w:eastAsia="新宋体"/>
          <w:sz w:val="24"/>
          <w:u w:val="single"/>
        </w:rPr>
        <w:t>本工程使用《建设工程工程量清单计价规范》（GB50500-2013）</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1.5 本条第1.1款中约定的计量和计价规则适用于合同履约过程中工程量计量与价款支付、工程变更、索赔和工程结算。</w:t>
      </w:r>
    </w:p>
    <w:p>
      <w:pPr>
        <w:spacing w:line="440" w:lineRule="exact"/>
        <w:ind w:left="1" w:firstLine="480" w:firstLineChars="200"/>
        <w:rPr>
          <w:rFonts w:ascii="新宋体" w:hAnsi="新宋体" w:eastAsia="新宋体"/>
          <w:sz w:val="24"/>
        </w:rPr>
      </w:pPr>
      <w:r>
        <w:rPr>
          <w:rFonts w:hint="eastAsia" w:ascii="新宋体" w:hAnsi="新宋体" w:eastAsia="新宋体"/>
          <w:sz w:val="24"/>
        </w:rPr>
        <w:t>1.6 本条与下述第2条和第3条的说明内容是构成合同文件的已标价工程量清单的组成部分。</w:t>
      </w:r>
    </w:p>
    <w:p>
      <w:pPr>
        <w:spacing w:line="440" w:lineRule="exact"/>
        <w:rPr>
          <w:rFonts w:ascii="新宋体" w:hAnsi="新宋体" w:eastAsia="新宋体"/>
          <w:b/>
          <w:sz w:val="24"/>
        </w:rPr>
      </w:pPr>
      <w:r>
        <w:rPr>
          <w:rFonts w:hint="eastAsia" w:ascii="新宋体" w:hAnsi="新宋体" w:eastAsia="新宋体"/>
          <w:b/>
          <w:sz w:val="24"/>
        </w:rPr>
        <w:t>2、投标报价说明</w:t>
      </w:r>
    </w:p>
    <w:p>
      <w:pPr>
        <w:autoSpaceDE w:val="0"/>
        <w:autoSpaceDN w:val="0"/>
        <w:spacing w:line="360" w:lineRule="exact"/>
        <w:ind w:firstLine="480" w:firstLineChars="200"/>
        <w:jc w:val="left"/>
        <w:outlineLvl w:val="0"/>
        <w:rPr>
          <w:rFonts w:ascii="新宋体" w:hAnsi="新宋体" w:eastAsia="新宋体"/>
          <w:sz w:val="24"/>
          <w:szCs w:val="22"/>
        </w:rPr>
      </w:pPr>
      <w:r>
        <w:rPr>
          <w:rFonts w:hint="eastAsia" w:ascii="新宋体" w:hAnsi="新宋体" w:eastAsia="新宋体"/>
          <w:sz w:val="24"/>
          <w:szCs w:val="22"/>
        </w:rPr>
        <w:t>2.1 投标报价应根据招标文件中的有关计价要求，并按照下列依据自主报价。</w:t>
      </w:r>
    </w:p>
    <w:p>
      <w:pPr>
        <w:spacing w:line="440" w:lineRule="exact"/>
        <w:ind w:firstLine="480" w:firstLineChars="200"/>
        <w:rPr>
          <w:rFonts w:hint="eastAsia" w:ascii="新宋体" w:hAnsi="新宋体" w:eastAsia="新宋体"/>
          <w:sz w:val="24"/>
          <w:szCs w:val="22"/>
        </w:rPr>
      </w:pPr>
      <w:r>
        <w:rPr>
          <w:rFonts w:hint="eastAsia" w:ascii="新宋体" w:hAnsi="新宋体" w:eastAsia="新宋体"/>
          <w:sz w:val="24"/>
          <w:szCs w:val="22"/>
        </w:rPr>
        <w:t>(1)本招标文件；</w:t>
      </w:r>
    </w:p>
    <w:p>
      <w:pPr>
        <w:spacing w:line="440" w:lineRule="exact"/>
        <w:ind w:firstLine="480" w:firstLineChars="200"/>
        <w:rPr>
          <w:rFonts w:hint="eastAsia" w:ascii="新宋体" w:hAnsi="新宋体" w:eastAsia="新宋体"/>
          <w:sz w:val="24"/>
          <w:szCs w:val="22"/>
          <w:lang w:eastAsia="zh-CN"/>
        </w:rPr>
      </w:pPr>
      <w:r>
        <w:rPr>
          <w:rFonts w:hint="eastAsia" w:ascii="新宋体" w:hAnsi="新宋体" w:eastAsia="新宋体"/>
          <w:sz w:val="24"/>
          <w:szCs w:val="22"/>
        </w:rPr>
        <w:t>(2)建设单位提供的设计施工图纸、报送预算书</w:t>
      </w:r>
      <w:r>
        <w:rPr>
          <w:rFonts w:hint="eastAsia" w:ascii="新宋体" w:hAnsi="新宋体" w:eastAsia="新宋体"/>
          <w:sz w:val="24"/>
          <w:szCs w:val="22"/>
          <w:lang w:eastAsia="zh-CN"/>
        </w:rPr>
        <w:t>、</w:t>
      </w:r>
      <w:r>
        <w:rPr>
          <w:rFonts w:hint="eastAsia" w:ascii="新宋体" w:hAnsi="新宋体" w:eastAsia="新宋体"/>
          <w:sz w:val="24"/>
          <w:szCs w:val="22"/>
          <w:lang w:val="en-US" w:eastAsia="zh-CN"/>
        </w:rPr>
        <w:t>2019年8月2日设计回复答疑</w:t>
      </w:r>
      <w:r>
        <w:rPr>
          <w:rFonts w:hint="eastAsia" w:ascii="新宋体" w:hAnsi="新宋体" w:eastAsia="新宋体"/>
          <w:sz w:val="24"/>
          <w:szCs w:val="22"/>
          <w:lang w:eastAsia="zh-CN"/>
        </w:rPr>
        <w:t>；</w:t>
      </w:r>
    </w:p>
    <w:p>
      <w:pPr>
        <w:spacing w:line="440" w:lineRule="exact"/>
        <w:ind w:firstLine="480" w:firstLineChars="200"/>
        <w:rPr>
          <w:rFonts w:hint="eastAsia" w:ascii="新宋体" w:hAnsi="新宋体" w:eastAsia="新宋体"/>
          <w:sz w:val="24"/>
          <w:szCs w:val="22"/>
        </w:rPr>
      </w:pPr>
      <w:r>
        <w:rPr>
          <w:rFonts w:hint="eastAsia" w:ascii="新宋体" w:hAnsi="新宋体" w:eastAsia="新宋体"/>
          <w:sz w:val="24"/>
          <w:szCs w:val="22"/>
        </w:rPr>
        <w:t>（3）《建设工程工程量清单计价规范》（GB50500-2013）</w:t>
      </w:r>
      <w:r>
        <w:rPr>
          <w:rFonts w:hint="eastAsia" w:ascii="新宋体" w:hAnsi="新宋体" w:eastAsia="新宋体"/>
          <w:sz w:val="24"/>
          <w:szCs w:val="22"/>
          <w:lang w:eastAsia="zh-CN"/>
        </w:rPr>
        <w:t>、</w:t>
      </w:r>
      <w:r>
        <w:rPr>
          <w:rFonts w:hint="eastAsia" w:ascii="新宋体" w:hAnsi="新宋体" w:eastAsia="新宋体"/>
          <w:sz w:val="24"/>
          <w:szCs w:val="22"/>
        </w:rPr>
        <w:t>《河南省市政工程预算定额》（HAA1-31-2016）、《河南省通用安装工程预算定额》（HA02-31-2016）；</w:t>
      </w:r>
    </w:p>
    <w:p>
      <w:pPr>
        <w:spacing w:line="440" w:lineRule="exact"/>
        <w:ind w:left="1" w:firstLine="480" w:firstLineChars="200"/>
        <w:rPr>
          <w:rFonts w:hint="default" w:ascii="新宋体" w:hAnsi="新宋体" w:eastAsia="新宋体"/>
          <w:sz w:val="24"/>
          <w:szCs w:val="22"/>
          <w:lang w:val="en-US" w:eastAsia="zh-CN"/>
        </w:rPr>
      </w:pPr>
      <w:r>
        <w:rPr>
          <w:rFonts w:hint="eastAsia" w:ascii="新宋体" w:hAnsi="新宋体" w:eastAsia="新宋体"/>
          <w:sz w:val="24"/>
          <w:szCs w:val="22"/>
          <w:lang w:val="en-US" w:eastAsia="zh-CN"/>
        </w:rPr>
        <w:t>（4）材料价格按《许昌工程造价信息》（2019年第三期），主材按6月份主材价格，造价信息没有的材料价格按市场询价。人工价格指数调整按豫建标定[2019]26号文执行。</w:t>
      </w:r>
    </w:p>
    <w:p>
      <w:pPr>
        <w:spacing w:line="44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（5）夜间施工增加费、二次搬运费、冬雨季施工增加费按规定足额计取；</w:t>
      </w:r>
    </w:p>
    <w:p>
      <w:pPr>
        <w:spacing w:line="440" w:lineRule="exact"/>
        <w:ind w:left="1" w:firstLine="480" w:firstLineChars="200"/>
        <w:rPr>
          <w:rFonts w:hint="eastAsia" w:ascii="新宋体" w:hAnsi="新宋体" w:eastAsia="新宋体"/>
          <w:sz w:val="24"/>
          <w:szCs w:val="22"/>
          <w:lang w:val="en-US" w:eastAsia="zh-CN"/>
        </w:rPr>
      </w:pPr>
      <w:r>
        <w:rPr>
          <w:rFonts w:hint="eastAsia" w:ascii="新宋体" w:hAnsi="新宋体" w:eastAsia="新宋体"/>
          <w:sz w:val="24"/>
          <w:szCs w:val="22"/>
          <w:lang w:val="en-US" w:eastAsia="zh-CN"/>
        </w:rPr>
        <w:t xml:space="preserve">(6)增值税税率按9%计取。 </w:t>
      </w:r>
    </w:p>
    <w:p>
      <w:pPr>
        <w:autoSpaceDE w:val="0"/>
        <w:autoSpaceDN w:val="0"/>
        <w:spacing w:line="360" w:lineRule="exact"/>
        <w:ind w:firstLine="480" w:firstLineChars="200"/>
        <w:jc w:val="left"/>
        <w:outlineLvl w:val="0"/>
        <w:rPr>
          <w:rFonts w:ascii="新宋体" w:hAnsi="新宋体" w:eastAsia="新宋体"/>
          <w:sz w:val="24"/>
        </w:rPr>
      </w:pPr>
      <w:r>
        <w:rPr>
          <w:rFonts w:hint="eastAsia" w:ascii="新宋体" w:hAnsi="新宋体" w:eastAsia="新宋体"/>
          <w:sz w:val="24"/>
        </w:rPr>
        <w:t>2.2 工程量清单中的每一子目须填入单价或价格，且只允许有一个报价。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2.3 工程量清单中标价的单价或金额，应包括所需人工费、材料费、施工机械使用费和管理费及利润，以及一定范围内的风险费用。所谓“一定范围内的风险”是指合同约定的风险。</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2.4 已标价工程量清单中投标人没有填入单价或价格的子目，其费用视为已分摊在工程量清单中其他已标价的相关子目的单价或价格之中。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2.5 “投标报价汇总表”中的投标总价由分部分项工程费、措施项目费、其他项目费、规费和税金组成，并且“投标报价汇总表”中的投标总价应当与构成已标价工程量清单的分部分项工程费、措施项目费、其他项目费、规费、税金的合计金额一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 分部分项工程项目按下列要求报价：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2.6.1 分部分项工程量清单计价应依据计价规范中关于综合单价的组成内容确定报价。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2.6.2 如果分部分项工程量清单中涉及“材料和工程设备暂估单价表”中列出的材料和工程设备，则按照本节第3.3.2项的报价原则，将该类材料和工程设备的暂估单价本身以及除对应的规费及税金以外的费用计入分部分项工程量清单相应子目的综合单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2.6.3 如果分部分项工程量清单中涉及“发包人提供的材料和工程设备一览表”(见第三章合同条款及格式第三节附件三)中列出的材料和工程设备，则该类材料和工程设备供应至现场指定位置的采购供应价本身不计入投标报价，但应将该类材料和工程设备的安装、安装所需要的辅助材料、安装损耗以及其他必要的辅助工作及其对应的管理费及利润计入分部分项工程量清单相应子目的综合单价，并其他项目清单报价中计取与合同约定服务内容相对应的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2.6.4 “分部分项工程量清单与计价表”所列各子目的综合单价组成中，各子目的人工、材料和机械台班消耗量由投标人按照其自身情况做充分的、竞争性考虑。材料消耗量包括损耗量。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2.6.5 投标人在投标文件中提交并构成合同文件的“主要材料和工程设备选用表”中所列的材料和工程设备的价格是指此类材料和工程设备到达施工现场指定堆放地点的落地价格，即包括采购、包装、运输、装卸、堆放等到达施工现场指定落地或堆放地点之前的全部费用，但不包括落地之后发生的仓储、保管、库损以及从堆放地点运至安装地点的二次搬运费用。“主要材料和工程设备选用表”中所列材料和工程设备的价格应与构成综合单价相应材料或工程设备的价格一致。落地之后发生的仓储、保管、库损以及从堆放地点运至安装地点的二次搬运等其他费用均应在投标报价中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 措施项目按下列要求报价：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2.7.1 措施项目清单计价应根据投标人的施工组织设计进行报价。可以计量工程量的措施项目，应按分部分项工程量清单的方式采用综合单价计价；其余的措施项目可以“项”为单位的方式计价。投标人所填报价格应包括除规费、税金外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2.7.2 招标人提供的措施项目清单中所列项目仅指一般的通用项目，投标人在报价时应充分、全面地阅读和理解招标文件的相关内容和约定，包括第七章“技术标准和要求”的相关约定，详实了解工程场地及其周围环境，充分考虑招标工程特点及拟定的施工方案和施工组织设计，对招标人给出的措施项目清单的内容进行细化或增减。</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2.7.3 “措施项目清单与计价表”中所填写的报价金额，应全面涵盖招标文件约定的投标人中标后施工、竣工、交付本工程并维修其任何缺陷所需要履行的责任和义务的全部费用。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2.7.4 对于“措施项目清单与计价表”中所填写的报价金额，应按照“措施项目清单报价分析表”对措施项目报价的组成进行详细的列项和分析。</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 其他项目清单费应按下列规定报价：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2.8.1 暂列金额按“暂列金额明细表”中列出的金额报价，此处的暂列金额是招标人在招标文件中统一给定的，并不包括本章第2.8.3项的计日工金额。</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2.8.2 暂估价分为材料和工程设备暂估单价和专业工程暂估价两类。其中的材料和工程设备暂估单价按本节第3.3.2项的报价原则进入分部分项工程量清单之综合单价，不在其他项目清单中汇总；专业工程暂估价直接按“专业工程暂估价表”中列出的金额和本节第3.3.3项的报价原则计入其他项目清单报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2.8.3 计日工按“计日工表”中列出的子目和估算数量，自主确定综合单价并计算计日工金额。计日工综合单价均不包括规费和税金，其中：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(1) 劳务单价应当包括工人工资、交通费用、各种补贴、劳动安全保护、社保费用、手提手动和电动工器具、施工场地内已经搭设的脚手架、水电和低值易耗品费用、现场管理费用、企业管理费和利润；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 材料价格包括材料运到现场的价格以及现场搬运、仓储、二次搬运、损耗、保险、企业管理费和利润；</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 施工机械限于在施工场地(现场)的机械设备，其价格包括租赁或折旧、维修、维护和燃油等消耗品以及操作人员费用，包括承包人企业管理费和利润，但不包括规费和税金。辅助人员按劳务价格另计。</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2.8.4 总承包服务费为分包专业工程造价（不含工程设备）的2%，服务内容为：配合协调发包人进行的专业工程发包，对发包人自行采购的材料、工程设备等进行保管，以及施工现场管理、竣工验收资料整理等服务所需的费用。。</w:t>
      </w:r>
    </w:p>
    <w:p>
      <w:pPr>
        <w:spacing w:line="430" w:lineRule="exact"/>
        <w:rPr>
          <w:rFonts w:ascii="新宋体" w:hAnsi="新宋体" w:eastAsia="新宋体"/>
          <w:sz w:val="24"/>
        </w:rPr>
      </w:pPr>
      <w:r>
        <w:rPr>
          <w:rFonts w:hint="eastAsia" w:ascii="新宋体" w:hAnsi="新宋体" w:eastAsia="新宋体"/>
          <w:sz w:val="24"/>
        </w:rPr>
        <w:t xml:space="preserve">    2.9 规费和税金应按“规费、税金项目清单与计价表”所列项目并根据国家、省级或行业建设主管部门的有关规定列项和计算，不得作为竞争性费用。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2.10 除招标文件有强制性规定外，投标报价由投标人自主确定，但不得低于其成本。</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2.11 工程量清单计价所涉及的生产资源(包括各类人工、材料、工程设备、施工设备、临时设施、临时用水、临时用电等)的投标价格，应根据自身的信息渠道和采购渠道，分析其市场价格水平并判断其整个施工周期内的变化趋势，体现投标人自身的管理水平、技术水平和综合实力。</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2.12 管理费应由投标人在保证不低于其成本的基础上做竞争性考虑；利润由投标人根据自身情况和综合实力做竞争性考虑。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2.13 投标报价中应考虑招标文件中要求投标人承担的风险范围以及相关的费用。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2.14 投标总价为投标人在投标文件中提出的各项支付金额的总和，为实施、完成招标工程并修补缺陷以及履行招标文件中约定的风险范围内的所有责任和义务所发生的全部费用。</w:t>
      </w:r>
    </w:p>
    <w:p>
      <w:pPr>
        <w:spacing w:line="430" w:lineRule="exact"/>
        <w:ind w:left="1" w:firstLine="480" w:firstLineChars="200"/>
        <w:rPr>
          <w:rFonts w:hAnsi="宋体" w:cs="宋体"/>
          <w:b/>
          <w:sz w:val="24"/>
        </w:rPr>
      </w:pPr>
      <w:r>
        <w:rPr>
          <w:rFonts w:hint="eastAsia" w:hAnsi="宋体" w:cs="宋体"/>
          <w:b/>
          <w:sz w:val="24"/>
        </w:rPr>
        <w:t>2.15 有关投标报价的其他说明：</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2.15.1“规费和税金”的规定按照住建部《建设工程工程量清单计价规范》（GB50500-2013）及省住建厅有关规定，规费和税金应按规定费（税）率足额计取，即费（税）率不可竞争。</w:t>
      </w:r>
    </w:p>
    <w:p>
      <w:pPr>
        <w:tabs>
          <w:tab w:val="left" w:pos="1260"/>
        </w:tabs>
        <w:autoSpaceDE w:val="0"/>
        <w:autoSpaceDN w:val="0"/>
        <w:adjustRightInd w:val="0"/>
        <w:spacing w:line="460" w:lineRule="exact"/>
        <w:jc w:val="left"/>
        <w:rPr>
          <w:rFonts w:hAnsi="宋体" w:cs="宋体"/>
          <w:b/>
          <w:sz w:val="24"/>
          <w:szCs w:val="24"/>
        </w:rPr>
      </w:pPr>
      <w:r>
        <w:rPr>
          <w:rFonts w:hint="eastAsia" w:hAnsi="宋体" w:cs="宋体"/>
          <w:b/>
          <w:sz w:val="24"/>
          <w:szCs w:val="24"/>
        </w:rPr>
        <w:t>规费、税金、安全文明施工措施费计入投标总报价，并在投标函、投标函附录中单列，不参与商务标评审。</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2.15.2 根据《关于调整河南省建设工程安全文明施工措施费计取办法的通知》（豫建设标【2014】57号）规定，“安全文明施工措施费”是不可竞争费，即费率不可竞争；投标人编制投标报价时，应按省级主管部门规定的计价标准计取。</w:t>
      </w:r>
    </w:p>
    <w:p>
      <w:pPr>
        <w:tabs>
          <w:tab w:val="left" w:pos="1260"/>
        </w:tabs>
        <w:autoSpaceDE w:val="0"/>
        <w:autoSpaceDN w:val="0"/>
        <w:adjustRightInd w:val="0"/>
        <w:spacing w:line="460" w:lineRule="exact"/>
        <w:ind w:firstLine="480" w:firstLineChars="200"/>
        <w:jc w:val="left"/>
        <w:rPr>
          <w:rFonts w:hAnsi="宋体" w:cs="宋体"/>
          <w:b/>
          <w:sz w:val="24"/>
          <w:szCs w:val="24"/>
        </w:rPr>
      </w:pPr>
      <w:r>
        <w:rPr>
          <w:rFonts w:hint="eastAsia" w:hAnsi="宋体" w:cs="宋体"/>
          <w:b/>
          <w:sz w:val="24"/>
          <w:szCs w:val="24"/>
        </w:rPr>
        <w:t>投标人编制投标报价时，同一投标文件综合工日应前后保持一致。</w:t>
      </w:r>
    </w:p>
    <w:p>
      <w:pPr>
        <w:spacing w:line="440" w:lineRule="exact"/>
        <w:ind w:firstLine="481"/>
        <w:rPr>
          <w:rFonts w:ascii="新宋体" w:hAnsi="新宋体" w:eastAsia="新宋体"/>
          <w:b/>
          <w:sz w:val="24"/>
        </w:rPr>
      </w:pPr>
      <w:r>
        <w:rPr>
          <w:rFonts w:hint="eastAsia" w:ascii="新宋体" w:hAnsi="新宋体" w:eastAsia="新宋体"/>
          <w:b/>
          <w:sz w:val="24"/>
        </w:rPr>
        <w:t>3、其他说明</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3.1词语和定义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3.1.1 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是表现本工程分部分项工程项目、措施项目、其他项目、规费项目和税金的名称和相应数量等的明细清单。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3.1.2 总价子目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总价计价，以“项”为计量单位，工程量为整数1的子目，除专用合同条款另有约定外，总价固定包干。采用总价合同形式时，合同订立后，已标价工程量清单中的工程量均没有合同约束力，所有子目均是总价子目，视同按项计量(合同条款第15条约定的变更除外)。</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3.1.3 单价子目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工程量清单中以单价计价，根据有合同约束力的图纸和工程量计算规则进行计量，以实际完成数量乘以相应单价进行结算的子目。</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3.1.4 子目编码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分部分项工程项目清单中所列的子目名称的数字标识和代码，子目编码与项目编码同义。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3.1.5 子目特征</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构成分部分项工程项目清单子目、措施项目的实质内容、决定其自身价值的本质特征，子目特征与项目特征同义。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3.1.6 规费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承包人根据省级政府或省级有关权力部门规定必须缴纳的，应计入建筑安装工程造价的费用。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3.1.7 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国家税法规定的应计入建筑安装工程造价内的营业税、城市维护建设税及教育费附加等。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3.1.8 总承包服务费</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总承包人为配合协调发包人发包的专业工程以及发包人采购的材料和工程设备等进行管理、服务以及施工现场管理、竣工资料汇总整理等所需的费用。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3.1.9 同义词语</w:t>
      </w:r>
    </w:p>
    <w:p>
      <w:pPr>
        <w:spacing w:line="430" w:lineRule="exact"/>
        <w:ind w:left="1" w:firstLine="480" w:firstLineChars="200"/>
        <w:rPr>
          <w:rFonts w:ascii="新宋体" w:hAnsi="新宋体" w:eastAsia="新宋体"/>
          <w:sz w:val="24"/>
        </w:rPr>
      </w:pPr>
      <w:r>
        <w:rPr>
          <w:rFonts w:hint="eastAsia" w:ascii="新宋体" w:hAnsi="新宋体" w:eastAsia="新宋体"/>
          <w:sz w:val="24"/>
        </w:rPr>
        <w:t>本章中使用的词语“招标人”和“投标人”分别与合同条款中定义的“发包人”和“承包人”同义；就工程量清单而言，“子目”与“项目”同义。</w:t>
      </w:r>
    </w:p>
    <w:p>
      <w:pPr>
        <w:spacing w:line="430" w:lineRule="exact"/>
        <w:ind w:left="1" w:firstLine="480" w:firstLineChars="200"/>
        <w:rPr>
          <w:rFonts w:ascii="新宋体" w:hAnsi="新宋体" w:eastAsia="新宋体"/>
          <w:b/>
          <w:sz w:val="24"/>
        </w:rPr>
      </w:pPr>
      <w:r>
        <w:rPr>
          <w:rFonts w:hint="eastAsia" w:ascii="新宋体" w:hAnsi="新宋体" w:eastAsia="新宋体"/>
          <w:sz w:val="24"/>
        </w:rPr>
        <w:t>3.2工程量差异调整</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3.2.1 工程量清单中的工作内容分类、子目列项、特征描述以及“分部分项工程量清单与计价表”中附带的工程量都不应理解为是对承包(招标)范围以及合同工作内容的唯一的、最终的或全部的定义。</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3.2.2 投标人应对招标人提供的工程量清单进行认真细致的复核。这种复核包括对招标人提供的工程量清单中的子目编码、子目名称、子目特征描述、计量单位、工程量的准确性以及可能存在的任何书写、打印错误进行检查和复核，特别是对“分部分项工程量清单与计价表”中每个工作子目的工程量进行重新计算和校核。如果投标人经过检查和复核以后认为招标人提供的工程量清单存在差异，则投标人应将此类差异的详细情况连同按投标人须知规定提交的要求招标人澄清的其他问题一起提交给招标人，招标人将根据实际情况决定是否颁发工程量清单的补充和(或)修改文件。</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3.2.3 如果招标人在检查投标人根据上文第3.2.2项提交的工程量差异问题后认为没有必要对工程量清单进行补充和(或)修改，或者招标人根据上文第3.2.2项对工程量清单进行了补充和(或)修改，但投标人认为工程量清单中的工程量依然存在差异，则此类差异不再提交招标人答疑和修正，而是直接按招标人提供的工程量清单(包括招标人可能的补充和(或)修改)进行投标报价。投标人在按照工程量清单进行报价时，除按照本节2.7.3项要求对招标人提供的措施项目清单的内容进行细化或增减外，不得改变(包括对工程量清单子目的子目名称、子目特征描述、计量单位以及工程量的任何修改、增加或减少)招标人提供的分部分项工程量清单和其他项目清单。即使按照图纸和招标范围的约定并不存在的子目，只要在招标人提供的分部分项工程量清单中已经列明，投标人都需要对其报价，并纳入投标总价的计算。</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3.3暂列金额和暂估价</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3.3.1 “暂列金额明细表”中所列暂列金额(不包括计日工金额)中已经包含与其对应的管理费、利润和规费，但不含税金。投标人应按本招标文件规定将此类暂列金额直接纳入其他项目清单的投标价格并计取相应的税金，不需要考虑除税金以外的其他任何费用。</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3.3.2 “材料和工程设备暂估价表”中所列的材料和工程设备暂估价是此类材料、工程设备本身运至施工现场内的工地地面价，不包括其本身所对应的管理费、利润、规费、税金以及这些材料和工程设备的安装、安装所需要的辅助材料、安装损耗、驻厂监造以及发生在现场内的验收、存储、保管、开箱、二次倒运、从存放地点运至安装地点以及其他任何必要的辅助工作(以下简称“暂估价材料和工程设备的安装及辅助工作”)所发生的费用及其对应的管理费、利润、规费和税金。除应按本招标文件规定将此类暂估价本身纳入分部分项工程量清单相应子目的综合单价以外，投标人还应将上述材料和工程设备的安装及辅助工作所发生的费用以及与此类费用有关的管理费和利润包含在分部分项工程量清单相应子目的综合单价中，并计取相应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3.3.3 专业工程暂估价表中所列的专业工程暂估价已经包含与其对应的管理费、利润和规费，但不含税金。投标人应按本招标文件规定将此类暂估价直接纳入其他项目清单的投标价格并计取相应的税金。除按本招标文件规定将此类暂估价纳入其他项目清单的投标价格并计取相应的税金以外，投标人还需要根据招标文件规定的内容考虑相应的总承包服务费以及与总承包服务费有关的规费和税金。</w:t>
      </w:r>
    </w:p>
    <w:p>
      <w:pPr>
        <w:spacing w:line="430" w:lineRule="exact"/>
        <w:ind w:left="1" w:firstLine="480" w:firstLineChars="200"/>
        <w:rPr>
          <w:rFonts w:ascii="新宋体" w:hAnsi="新宋体" w:eastAsia="新宋体"/>
          <w:sz w:val="24"/>
        </w:rPr>
      </w:pPr>
      <w:r>
        <w:rPr>
          <w:rFonts w:hint="eastAsia" w:ascii="新宋体" w:hAnsi="新宋体" w:eastAsia="新宋体"/>
          <w:sz w:val="24"/>
        </w:rPr>
        <w:t>3.4其他补充说明</w:t>
      </w:r>
    </w:p>
    <w:p>
      <w:pPr>
        <w:spacing w:line="440" w:lineRule="exact"/>
        <w:ind w:firstLine="523" w:firstLineChars="218"/>
        <w:rPr>
          <w:rFonts w:ascii="新宋体" w:hAnsi="新宋体" w:eastAsia="新宋体"/>
          <w:sz w:val="24"/>
          <w:u w:val="single"/>
        </w:rPr>
      </w:pPr>
      <w:r>
        <w:rPr>
          <w:rFonts w:hint="eastAsia" w:ascii="新宋体" w:hAnsi="新宋体" w:eastAsia="新宋体"/>
          <w:sz w:val="24"/>
          <w:u w:val="single"/>
        </w:rPr>
        <w:t xml:space="preserve">                                                                     ；</w:t>
      </w:r>
    </w:p>
    <w:p>
      <w:pPr>
        <w:spacing w:line="440" w:lineRule="exact"/>
        <w:rPr>
          <w:rFonts w:ascii="新宋体" w:hAnsi="新宋体" w:eastAsia="新宋体"/>
          <w:b/>
          <w:sz w:val="24"/>
        </w:rPr>
      </w:pPr>
      <w:r>
        <w:rPr>
          <w:rFonts w:hint="eastAsia" w:ascii="新宋体" w:hAnsi="新宋体" w:eastAsia="新宋体"/>
          <w:b/>
          <w:sz w:val="24"/>
        </w:rPr>
        <w:t>4．工程量清单</w:t>
      </w:r>
    </w:p>
    <w:p>
      <w:pPr>
        <w:spacing w:line="430" w:lineRule="exact"/>
        <w:ind w:left="1" w:firstLine="480" w:firstLineChars="200"/>
        <w:rPr>
          <w:rFonts w:ascii="新宋体" w:hAnsi="新宋体" w:eastAsia="新宋体"/>
          <w:sz w:val="24"/>
        </w:rPr>
      </w:pPr>
      <w:r>
        <w:rPr>
          <w:rFonts w:hint="eastAsia" w:ascii="新宋体" w:hAnsi="新宋体" w:eastAsia="新宋体"/>
          <w:sz w:val="24"/>
        </w:rPr>
        <w:t>工程量清单在《全国公共资源交易平台(河南省▪许昌市)》（http://ggzy.xuchang.gov.cn/），通过“投标人/供应商登录”后自行下载。</w:t>
      </w:r>
    </w:p>
    <w:p>
      <w:pPr>
        <w:spacing w:line="440" w:lineRule="exact"/>
        <w:rPr>
          <w:rFonts w:ascii="新宋体" w:hAnsi="新宋体" w:eastAsia="新宋体"/>
          <w:sz w:val="24"/>
          <w:u w:val="single"/>
        </w:rPr>
      </w:pPr>
    </w:p>
    <w:p>
      <w:pPr>
        <w:autoSpaceDE w:val="0"/>
        <w:autoSpaceDN w:val="0"/>
        <w:adjustRightInd w:val="0"/>
        <w:outlineLvl w:val="0"/>
        <w:rPr>
          <w:rFonts w:hAnsi="宋体" w:cs="黑体"/>
          <w:b/>
          <w:sz w:val="36"/>
          <w:szCs w:val="36"/>
        </w:rPr>
      </w:pPr>
    </w:p>
    <w:p>
      <w:pPr>
        <w:widowControl/>
        <w:jc w:val="left"/>
        <w:rPr>
          <w:rFonts w:hAnsi="宋体" w:cs="黑体"/>
          <w:b/>
          <w:sz w:val="36"/>
          <w:szCs w:val="36"/>
        </w:rPr>
      </w:pPr>
      <w:r>
        <w:rPr>
          <w:rFonts w:hAnsi="宋体" w:cs="黑体"/>
          <w:b/>
          <w:sz w:val="36"/>
          <w:szCs w:val="36"/>
        </w:rPr>
        <w:br w:type="page"/>
      </w:r>
    </w:p>
    <w:p>
      <w:pPr>
        <w:autoSpaceDE w:val="0"/>
        <w:autoSpaceDN w:val="0"/>
        <w:adjustRightInd w:val="0"/>
        <w:jc w:val="center"/>
        <w:outlineLvl w:val="0"/>
        <w:rPr>
          <w:rFonts w:hAnsi="宋体" w:cs="黑体"/>
          <w:b/>
          <w:sz w:val="36"/>
          <w:szCs w:val="36"/>
        </w:rPr>
      </w:pPr>
      <w:r>
        <w:rPr>
          <w:rFonts w:hint="eastAsia" w:hAnsi="宋体" w:cs="黑体"/>
          <w:b/>
          <w:sz w:val="36"/>
          <w:szCs w:val="36"/>
        </w:rPr>
        <w:t>第六章图纸</w:t>
      </w:r>
      <w:bookmarkEnd w:id="82"/>
    </w:p>
    <w:p>
      <w:pPr>
        <w:autoSpaceDE w:val="0"/>
        <w:autoSpaceDN w:val="0"/>
        <w:adjustRightInd w:val="0"/>
        <w:jc w:val="center"/>
        <w:outlineLvl w:val="0"/>
        <w:rPr>
          <w:rFonts w:hAnsi="宋体" w:cs="黑体"/>
          <w:b/>
          <w:sz w:val="24"/>
        </w:rPr>
      </w:pPr>
    </w:p>
    <w:p>
      <w:pPr>
        <w:autoSpaceDE w:val="0"/>
        <w:autoSpaceDN w:val="0"/>
        <w:adjustRightInd w:val="0"/>
        <w:spacing w:line="420" w:lineRule="exact"/>
        <w:jc w:val="center"/>
        <w:rPr>
          <w:rFonts w:hAnsi="宋体" w:cs="黑体"/>
          <w:sz w:val="28"/>
          <w:szCs w:val="28"/>
        </w:rPr>
      </w:pPr>
      <w:r>
        <w:rPr>
          <w:rFonts w:hint="eastAsia" w:hAnsi="宋体" w:cs="黑体"/>
          <w:sz w:val="28"/>
          <w:szCs w:val="28"/>
        </w:rPr>
        <w:t>按照招标文件中第二章投标人须知前附表第2.1项自行下载。</w:t>
      </w:r>
    </w:p>
    <w:p>
      <w:pPr>
        <w:autoSpaceDE w:val="0"/>
        <w:autoSpaceDN w:val="0"/>
        <w:adjustRightInd w:val="0"/>
        <w:outlineLvl w:val="0"/>
        <w:rPr>
          <w:rFonts w:hAnsi="宋体" w:cs="黑体"/>
          <w:b/>
          <w:sz w:val="36"/>
          <w:szCs w:val="36"/>
        </w:rPr>
      </w:pPr>
      <w:bookmarkStart w:id="83" w:name="_Toc278443522"/>
    </w:p>
    <w:p>
      <w:pPr>
        <w:autoSpaceDE w:val="0"/>
        <w:autoSpaceDN w:val="0"/>
        <w:adjustRightInd w:val="0"/>
        <w:jc w:val="center"/>
        <w:outlineLvl w:val="0"/>
        <w:rPr>
          <w:rFonts w:hAnsi="宋体" w:cs="黑体"/>
          <w:b/>
          <w:sz w:val="36"/>
          <w:szCs w:val="36"/>
        </w:rPr>
      </w:pPr>
      <w:r>
        <w:rPr>
          <w:rFonts w:hint="eastAsia" w:hAnsi="宋体" w:cs="黑体"/>
          <w:b/>
          <w:sz w:val="36"/>
          <w:szCs w:val="36"/>
        </w:rPr>
        <w:t>第七章技术标准和要求</w:t>
      </w:r>
      <w:bookmarkEnd w:id="83"/>
    </w:p>
    <w:p>
      <w:pPr>
        <w:spacing w:line="500" w:lineRule="exact"/>
        <w:ind w:firstLine="480" w:firstLineChars="200"/>
        <w:jc w:val="left"/>
        <w:rPr>
          <w:rFonts w:ascii="新宋体" w:hAnsi="新宋体" w:eastAsia="新宋体"/>
          <w:sz w:val="24"/>
        </w:rPr>
      </w:pP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1、本工程技术标准和要求以本工程施工图纸和适用的国家、行业以及地方规范、标准和规程为准。</w:t>
      </w:r>
    </w:p>
    <w:p>
      <w:pPr>
        <w:spacing w:line="500" w:lineRule="exact"/>
        <w:ind w:firstLine="480" w:firstLineChars="200"/>
        <w:jc w:val="left"/>
        <w:rPr>
          <w:rFonts w:ascii="新宋体" w:hAnsi="新宋体" w:eastAsia="新宋体"/>
          <w:sz w:val="24"/>
        </w:rPr>
      </w:pPr>
      <w:r>
        <w:rPr>
          <w:rFonts w:hint="eastAsia" w:ascii="新宋体" w:hAnsi="新宋体" w:eastAsia="新宋体"/>
          <w:sz w:val="24"/>
        </w:rPr>
        <w:t>2、施工工地扬尘污染整治标准以《许昌市施工工地扬尘污染综合整治工作方案》许气联办《2016》21号文件为准。</w:t>
      </w:r>
    </w:p>
    <w:p>
      <w:pPr>
        <w:spacing w:line="500" w:lineRule="exact"/>
        <w:ind w:firstLine="480" w:firstLineChars="200"/>
        <w:jc w:val="left"/>
        <w:rPr>
          <w:rFonts w:ascii="新宋体" w:hAnsi="新宋体" w:eastAsia="新宋体"/>
          <w:sz w:val="24"/>
        </w:rPr>
      </w:pPr>
    </w:p>
    <w:p>
      <w:pPr>
        <w:spacing w:line="440" w:lineRule="exact"/>
        <w:ind w:firstLine="240" w:firstLineChars="100"/>
        <w:rPr>
          <w:rFonts w:ascii="新宋体" w:hAnsi="新宋体" w:eastAsia="新宋体"/>
          <w:sz w:val="24"/>
          <w:szCs w:val="2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line="420" w:lineRule="exact"/>
        <w:jc w:val="center"/>
        <w:rPr>
          <w:rFonts w:hAnsi="宋体" w:cs="黑体"/>
          <w:sz w:val="32"/>
          <w:szCs w:val="32"/>
        </w:rPr>
      </w:pPr>
    </w:p>
    <w:p>
      <w:pPr>
        <w:autoSpaceDE w:val="0"/>
        <w:autoSpaceDN w:val="0"/>
        <w:adjustRightInd w:val="0"/>
        <w:spacing w:beforeLines="100" w:afterLines="100"/>
        <w:outlineLvl w:val="0"/>
        <w:rPr>
          <w:rFonts w:hAnsi="宋体" w:cs="黑体"/>
          <w:b/>
          <w:sz w:val="44"/>
          <w:szCs w:val="44"/>
        </w:rPr>
      </w:pPr>
      <w:bookmarkStart w:id="84" w:name="_Toc278443525"/>
      <w:r>
        <w:rPr>
          <w:rFonts w:hAnsi="宋体" w:cs="黑体"/>
          <w:b/>
          <w:sz w:val="44"/>
          <w:szCs w:val="44"/>
        </w:rPr>
        <w:br w:type="page"/>
      </w:r>
    </w:p>
    <w:p>
      <w:pPr>
        <w:autoSpaceDE w:val="0"/>
        <w:autoSpaceDN w:val="0"/>
        <w:adjustRightInd w:val="0"/>
        <w:spacing w:beforeLines="100" w:afterLines="100"/>
        <w:jc w:val="center"/>
        <w:outlineLvl w:val="0"/>
        <w:rPr>
          <w:rFonts w:hAnsi="宋体" w:cs="黑体"/>
          <w:b/>
          <w:sz w:val="44"/>
          <w:szCs w:val="44"/>
        </w:rPr>
      </w:pPr>
      <w:r>
        <w:rPr>
          <w:rFonts w:hint="eastAsia" w:hAnsi="宋体" w:cs="黑体"/>
          <w:b/>
          <w:sz w:val="44"/>
          <w:szCs w:val="44"/>
        </w:rPr>
        <w:t>第八章投标文件格式</w:t>
      </w:r>
      <w:bookmarkEnd w:id="84"/>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rPr>
      </w:pPr>
      <w:r>
        <w:rPr>
          <w:rFonts w:hint="eastAsia" w:ascii="黑体" w:eastAsia="黑体"/>
          <w:b/>
          <w:sz w:val="32"/>
          <w:u w:val="single"/>
        </w:rPr>
        <w:t>　　(项目名称)</w:t>
      </w:r>
    </w:p>
    <w:p>
      <w:pPr>
        <w:tabs>
          <w:tab w:val="center" w:pos="4739"/>
        </w:tabs>
        <w:ind w:left="180"/>
        <w:jc w:val="center"/>
        <w:rPr>
          <w:rFonts w:ascii="黑体" w:eastAsia="黑体"/>
          <w:b/>
          <w:sz w:val="32"/>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（商务标）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 xml:space="preserve"> 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ind w:firstLine="3780" w:firstLineChars="1050"/>
        <w:jc w:val="left"/>
        <w:rPr>
          <w:rFonts w:hAnsi="宋体" w:cs="黑体"/>
          <w:b/>
          <w:sz w:val="36"/>
          <w:szCs w:val="36"/>
        </w:rPr>
      </w:pPr>
      <w:r>
        <w:rPr>
          <w:rFonts w:hAnsi="宋体" w:cs="黑体"/>
          <w:b/>
          <w:sz w:val="36"/>
          <w:szCs w:val="36"/>
        </w:rPr>
        <w:br w:type="page"/>
      </w:r>
    </w:p>
    <w:p>
      <w:pPr>
        <w:tabs>
          <w:tab w:val="center" w:pos="4739"/>
        </w:tabs>
        <w:ind w:left="180"/>
        <w:jc w:val="center"/>
        <w:rPr>
          <w:rFonts w:ascii="黑体" w:eastAsia="黑体"/>
          <w:b/>
          <w:sz w:val="32"/>
        </w:rPr>
      </w:pPr>
    </w:p>
    <w:p>
      <w:pPr>
        <w:autoSpaceDE w:val="0"/>
        <w:autoSpaceDN w:val="0"/>
        <w:adjustRightInd w:val="0"/>
        <w:spacing w:line="420" w:lineRule="exact"/>
        <w:jc w:val="center"/>
        <w:rPr>
          <w:rFonts w:hAnsi="宋体" w:cs="黑体"/>
          <w:b/>
          <w:sz w:val="36"/>
          <w:szCs w:val="36"/>
        </w:rPr>
      </w:pPr>
      <w:r>
        <w:rPr>
          <w:rFonts w:hint="eastAsia" w:hAnsi="宋体" w:cs="黑体"/>
          <w:b/>
          <w:sz w:val="36"/>
          <w:szCs w:val="36"/>
        </w:rPr>
        <w:t>已标价工程量清单</w:t>
      </w:r>
    </w:p>
    <w:p>
      <w:pPr>
        <w:autoSpaceDE w:val="0"/>
        <w:autoSpaceDN w:val="0"/>
        <w:adjustRightInd w:val="0"/>
        <w:spacing w:line="360" w:lineRule="auto"/>
        <w:ind w:right="215"/>
        <w:jc w:val="center"/>
        <w:rPr>
          <w:rFonts w:hAnsi="宋体"/>
          <w:b/>
          <w:sz w:val="32"/>
        </w:rPr>
      </w:pPr>
      <w:r>
        <w:rPr>
          <w:rFonts w:hint="eastAsia" w:hAnsi="宋体" w:eastAsia="新宋体" w:cs="宋体"/>
          <w:sz w:val="24"/>
        </w:rPr>
        <w:t xml:space="preserve">  （</w:t>
      </w:r>
      <w:r>
        <w:rPr>
          <w:rFonts w:hint="eastAsia" w:ascii="新宋体" w:hAnsi="新宋体" w:eastAsia="新宋体" w:cs="仿宋_GB2312"/>
          <w:sz w:val="24"/>
        </w:rPr>
        <w:t>按所发放的工程量清单编制）</w:t>
      </w:r>
    </w:p>
    <w:p>
      <w:pPr>
        <w:tabs>
          <w:tab w:val="center" w:pos="4739"/>
        </w:tabs>
        <w:ind w:left="180"/>
        <w:jc w:val="center"/>
        <w:rPr>
          <w:rFonts w:ascii="黑体" w:eastAsia="黑体"/>
          <w:b/>
          <w:sz w:val="32"/>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jc w:val="center"/>
        <w:rPr>
          <w:rFonts w:hAnsi="宋体" w:cs="黑体"/>
          <w:b/>
          <w:sz w:val="36"/>
          <w:szCs w:val="36"/>
        </w:rPr>
      </w:pPr>
      <w:r>
        <w:rPr>
          <w:rFonts w:hAnsi="宋体" w:cs="黑体"/>
          <w:b/>
          <w:sz w:val="36"/>
          <w:szCs w:val="36"/>
        </w:rPr>
        <w:br w:type="page"/>
      </w:r>
    </w:p>
    <w:p>
      <w:pPr>
        <w:tabs>
          <w:tab w:val="center" w:pos="4739"/>
        </w:tabs>
        <w:ind w:left="180"/>
        <w:jc w:val="right"/>
        <w:rPr>
          <w:sz w:val="24"/>
        </w:rPr>
      </w:pPr>
    </w:p>
    <w:p>
      <w:pPr>
        <w:tabs>
          <w:tab w:val="center" w:pos="4739"/>
        </w:tabs>
        <w:ind w:left="180"/>
        <w:jc w:val="center"/>
        <w:rPr>
          <w:rFonts w:ascii="黑体" w:eastAsia="黑体"/>
          <w:b/>
          <w:sz w:val="32"/>
          <w:u w:val="single"/>
        </w:rPr>
      </w:pPr>
    </w:p>
    <w:p>
      <w:pPr>
        <w:tabs>
          <w:tab w:val="center" w:pos="4739"/>
        </w:tabs>
        <w:ind w:left="180"/>
        <w:jc w:val="center"/>
        <w:rPr>
          <w:rFonts w:ascii="黑体" w:eastAsia="黑体"/>
          <w:b/>
          <w:sz w:val="32"/>
          <w:u w:val="single"/>
        </w:rPr>
      </w:pPr>
    </w:p>
    <w:p>
      <w:pPr>
        <w:tabs>
          <w:tab w:val="center" w:pos="4739"/>
        </w:tabs>
        <w:ind w:left="180"/>
        <w:jc w:val="center"/>
        <w:rPr>
          <w:sz w:val="24"/>
        </w:rPr>
      </w:pPr>
      <w:r>
        <w:rPr>
          <w:rFonts w:hint="eastAsia" w:ascii="黑体" w:eastAsia="黑体"/>
          <w:b/>
          <w:sz w:val="32"/>
          <w:u w:val="single"/>
        </w:rPr>
        <w:t xml:space="preserve">  (项目名称)</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72"/>
          <w:szCs w:val="72"/>
        </w:rPr>
      </w:pPr>
      <w:r>
        <w:rPr>
          <w:rFonts w:hint="eastAsia" w:ascii="黑体" w:eastAsia="黑体"/>
          <w:b/>
          <w:sz w:val="72"/>
          <w:szCs w:val="72"/>
        </w:rPr>
        <w:t>投 标 文 件</w:t>
      </w:r>
    </w:p>
    <w:p>
      <w:pPr>
        <w:tabs>
          <w:tab w:val="center" w:pos="4739"/>
        </w:tabs>
        <w:ind w:left="180"/>
        <w:rPr>
          <w:sz w:val="24"/>
        </w:rPr>
      </w:pPr>
    </w:p>
    <w:p>
      <w:pPr>
        <w:tabs>
          <w:tab w:val="center" w:pos="4739"/>
        </w:tabs>
        <w:ind w:left="180"/>
        <w:rPr>
          <w:sz w:val="24"/>
        </w:rPr>
      </w:pPr>
    </w:p>
    <w:p>
      <w:pPr>
        <w:tabs>
          <w:tab w:val="center" w:pos="4739"/>
        </w:tabs>
        <w:ind w:left="180"/>
        <w:jc w:val="center"/>
        <w:rPr>
          <w:b/>
          <w:sz w:val="32"/>
          <w:szCs w:val="32"/>
        </w:rPr>
      </w:pPr>
      <w:r>
        <w:rPr>
          <w:rFonts w:hint="eastAsia"/>
          <w:b/>
          <w:sz w:val="32"/>
          <w:szCs w:val="32"/>
        </w:rPr>
        <w:t>综合（信用）标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hAnsi="宋体" w:cs="黑体"/>
          <w:b/>
          <w:sz w:val="36"/>
          <w:szCs w:val="36"/>
        </w:rPr>
      </w:pPr>
      <w:r>
        <w:rPr>
          <w:rFonts w:hint="eastAsia" w:ascii="黑体" w:eastAsia="黑体"/>
          <w:b/>
          <w:sz w:val="32"/>
        </w:rPr>
        <w:t>年月日</w:t>
      </w: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黑体"/>
          <w:b/>
          <w:sz w:val="36"/>
          <w:szCs w:val="36"/>
        </w:rPr>
      </w:pPr>
    </w:p>
    <w:p>
      <w:pPr>
        <w:pStyle w:val="2"/>
        <w:ind w:firstLine="340"/>
      </w:pPr>
    </w:p>
    <w:p>
      <w:pPr>
        <w:autoSpaceDE w:val="0"/>
        <w:autoSpaceDN w:val="0"/>
        <w:adjustRightInd w:val="0"/>
        <w:spacing w:line="420" w:lineRule="exact"/>
        <w:ind w:firstLine="3780" w:firstLineChars="1050"/>
        <w:jc w:val="left"/>
        <w:rPr>
          <w:rFonts w:hAnsi="宋体" w:cs="黑体"/>
          <w:b/>
          <w:sz w:val="36"/>
          <w:szCs w:val="36"/>
        </w:rPr>
      </w:pPr>
    </w:p>
    <w:p>
      <w:pPr>
        <w:autoSpaceDE w:val="0"/>
        <w:autoSpaceDN w:val="0"/>
        <w:adjustRightInd w:val="0"/>
        <w:spacing w:line="420" w:lineRule="exact"/>
        <w:ind w:firstLine="3780" w:firstLineChars="1050"/>
        <w:jc w:val="left"/>
        <w:rPr>
          <w:rFonts w:hAnsi="宋体" w:cs="TimesNewRomanPSMT"/>
          <w:sz w:val="36"/>
          <w:szCs w:val="36"/>
        </w:rPr>
      </w:pPr>
      <w:r>
        <w:rPr>
          <w:rFonts w:hint="eastAsia" w:hAnsi="宋体" w:cs="黑体"/>
          <w:b/>
          <w:sz w:val="36"/>
          <w:szCs w:val="36"/>
        </w:rPr>
        <w:t>目   录</w:t>
      </w:r>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jc w:val="center"/>
        <w:rPr>
          <w:rFonts w:hAnsi="宋体" w:cs="黑体"/>
          <w:sz w:val="28"/>
          <w:szCs w:val="28"/>
        </w:rPr>
      </w:pP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w:t>
      </w:r>
    </w:p>
    <w:p>
      <w:pPr>
        <w:numPr>
          <w:ilvl w:val="0"/>
          <w:numId w:val="7"/>
        </w:num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投标函附录；</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三、法定代表人身份证明、授权委托书及项目负责人承诺书；</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四、投标保证金；</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五、项目管理机构配备情况；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六、投标单位基本信息表</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七、资格证明文件；</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八、正在施工的和新承接的项目情况；</w:t>
      </w:r>
    </w:p>
    <w:p>
      <w:pPr>
        <w:autoSpaceDE w:val="0"/>
        <w:autoSpaceDN w:val="0"/>
        <w:adjustRightInd w:val="0"/>
        <w:spacing w:line="480" w:lineRule="auto"/>
        <w:ind w:left="1162" w:leftChars="342"/>
        <w:jc w:val="left"/>
        <w:rPr>
          <w:rFonts w:hAnsi="宋体" w:cs="仿宋_GB2312"/>
          <w:b/>
          <w:sz w:val="24"/>
        </w:rPr>
      </w:pPr>
      <w:r>
        <w:rPr>
          <w:rFonts w:hint="eastAsia" w:hAnsi="宋体" w:cs="仿宋_GB2312"/>
          <w:b/>
          <w:sz w:val="24"/>
        </w:rPr>
        <w:t>九、其它材料；</w:t>
      </w:r>
    </w:p>
    <w:p>
      <w:pPr>
        <w:spacing w:line="600" w:lineRule="exact"/>
        <w:ind w:left="1377" w:leftChars="405"/>
        <w:rPr>
          <w:rFonts w:ascii="新宋体" w:hAnsi="新宋体" w:eastAsia="新宋体"/>
          <w:b/>
          <w:sz w:val="24"/>
        </w:rPr>
      </w:pPr>
      <w:r>
        <w:rPr>
          <w:rFonts w:hint="eastAsia" w:ascii="新宋体" w:hAnsi="新宋体" w:eastAsia="新宋体"/>
          <w:b/>
          <w:sz w:val="24"/>
        </w:rPr>
        <w:t>投标文件编制过程中应按本章提供的格式填报。</w:t>
      </w:r>
    </w:p>
    <w:p>
      <w:pPr>
        <w:spacing w:line="600" w:lineRule="exact"/>
        <w:ind w:left="1377" w:leftChars="405"/>
        <w:rPr>
          <w:rFonts w:ascii="新宋体" w:hAnsi="新宋体" w:eastAsia="新宋体"/>
          <w:b/>
          <w:sz w:val="24"/>
        </w:rPr>
      </w:pPr>
      <w:r>
        <w:rPr>
          <w:rFonts w:hint="eastAsia" w:ascii="新宋体" w:hAnsi="新宋体" w:eastAsia="新宋体"/>
          <w:b/>
          <w:sz w:val="24"/>
        </w:rPr>
        <w:t>如有本章未提供的格式，投标人可自行编制。</w:t>
      </w:r>
    </w:p>
    <w:p>
      <w:pPr>
        <w:spacing w:beforeLines="100" w:line="510" w:lineRule="exact"/>
        <w:jc w:val="center"/>
        <w:rPr>
          <w:rFonts w:ascii="黑体" w:hAnsi="宋体" w:eastAsia="黑体"/>
          <w:sz w:val="24"/>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spacing w:beforeLines="100" w:line="510" w:lineRule="exact"/>
        <w:jc w:val="center"/>
        <w:rPr>
          <w:rFonts w:ascii="黑体" w:hAnsi="宋体" w:eastAsia="黑体"/>
          <w:sz w:val="28"/>
          <w:szCs w:val="28"/>
        </w:rPr>
      </w:pPr>
    </w:p>
    <w:p>
      <w:pPr>
        <w:tabs>
          <w:tab w:val="center" w:pos="4739"/>
        </w:tabs>
        <w:rPr>
          <w:rFonts w:hAnsi="宋体"/>
          <w:b/>
          <w:sz w:val="32"/>
        </w:rPr>
      </w:pPr>
    </w:p>
    <w:p>
      <w:pPr>
        <w:tabs>
          <w:tab w:val="center" w:pos="4739"/>
        </w:tabs>
        <w:rPr>
          <w:rFonts w:hAnsi="宋体"/>
          <w:b/>
          <w:sz w:val="32"/>
        </w:rPr>
      </w:pPr>
    </w:p>
    <w:p>
      <w:pPr>
        <w:tabs>
          <w:tab w:val="center" w:pos="4739"/>
        </w:tabs>
        <w:jc w:val="center"/>
        <w:rPr>
          <w:rFonts w:hAnsi="宋体"/>
          <w:b/>
          <w:sz w:val="32"/>
        </w:rPr>
      </w:pPr>
      <w:r>
        <w:rPr>
          <w:rFonts w:hint="eastAsia" w:hAnsi="宋体"/>
          <w:b/>
          <w:sz w:val="32"/>
        </w:rPr>
        <w:t>一、投标函</w:t>
      </w:r>
    </w:p>
    <w:p>
      <w:pPr>
        <w:spacing w:beforeLines="100" w:afterLines="50" w:line="510" w:lineRule="exact"/>
        <w:jc w:val="center"/>
        <w:rPr>
          <w:rFonts w:ascii="黑体" w:eastAsia="黑体"/>
          <w:sz w:val="28"/>
          <w:szCs w:val="28"/>
        </w:rPr>
      </w:pPr>
      <w:bookmarkStart w:id="85" w:name="_Toc271787730"/>
      <w:r>
        <w:rPr>
          <w:rFonts w:hint="eastAsia" w:ascii="黑体" w:eastAsia="黑体"/>
          <w:sz w:val="28"/>
          <w:szCs w:val="28"/>
        </w:rPr>
        <w:t>（一）投标函</w:t>
      </w:r>
    </w:p>
    <w:p>
      <w:pPr>
        <w:spacing w:line="480" w:lineRule="exact"/>
        <w:rPr>
          <w:rFonts w:ascii="新宋体" w:hAnsi="新宋体" w:eastAsia="新宋体"/>
          <w:sz w:val="24"/>
        </w:rPr>
      </w:pPr>
      <w:r>
        <w:rPr>
          <w:rFonts w:hint="eastAsia" w:ascii="新宋体" w:hAnsi="新宋体" w:eastAsia="新宋体"/>
          <w:sz w:val="24"/>
        </w:rPr>
        <w:t>致：（招标人名称）</w:t>
      </w:r>
    </w:p>
    <w:p>
      <w:pPr>
        <w:spacing w:line="480" w:lineRule="exact"/>
        <w:ind w:firstLine="480" w:firstLineChars="200"/>
        <w:rPr>
          <w:rFonts w:ascii="新宋体" w:hAnsi="新宋体" w:eastAsia="新宋体"/>
          <w:sz w:val="24"/>
        </w:rPr>
      </w:pPr>
      <w:r>
        <w:rPr>
          <w:rFonts w:hint="eastAsia" w:ascii="新宋体" w:hAnsi="新宋体" w:eastAsia="新宋体"/>
          <w:sz w:val="24"/>
        </w:rPr>
        <w:t>在考察现场并充分研究（项目名称）（以下简称“本工程”）招标文件的全部内容后，我方兹以：</w:t>
      </w:r>
    </w:p>
    <w:p>
      <w:pPr>
        <w:spacing w:line="480" w:lineRule="exact"/>
        <w:ind w:firstLine="480" w:firstLineChars="200"/>
        <w:rPr>
          <w:rFonts w:ascii="新宋体" w:hAnsi="新宋体" w:eastAsia="新宋体"/>
          <w:sz w:val="24"/>
        </w:rPr>
      </w:pPr>
      <w:r>
        <w:rPr>
          <w:rFonts w:hint="eastAsia" w:ascii="新宋体" w:hAnsi="新宋体" w:eastAsia="新宋体"/>
          <w:sz w:val="24"/>
        </w:rPr>
        <w:t>人民币（大写）：元RMB￥：元</w:t>
      </w:r>
    </w:p>
    <w:p>
      <w:pPr>
        <w:spacing w:line="480" w:lineRule="exact"/>
        <w:rPr>
          <w:rFonts w:ascii="新宋体" w:hAnsi="新宋体" w:eastAsia="新宋体"/>
          <w:sz w:val="24"/>
        </w:rPr>
      </w:pPr>
      <w:r>
        <w:rPr>
          <w:rFonts w:hint="eastAsia" w:ascii="新宋体" w:hAnsi="新宋体" w:eastAsia="新宋体"/>
          <w:sz w:val="24"/>
        </w:rPr>
        <w:t>的投标价格和按合同约定有权得到的其它金额，并严格按照合同约定，施工、竣工和交付本工程并维修其中的任何缺陷。</w:t>
      </w:r>
    </w:p>
    <w:p>
      <w:pPr>
        <w:spacing w:line="480" w:lineRule="exact"/>
        <w:ind w:firstLine="480" w:firstLineChars="200"/>
        <w:rPr>
          <w:rFonts w:ascii="新宋体" w:hAnsi="新宋体" w:eastAsia="新宋体"/>
          <w:sz w:val="24"/>
        </w:rPr>
      </w:pPr>
      <w:r>
        <w:rPr>
          <w:rFonts w:hint="eastAsia" w:ascii="新宋体" w:hAnsi="新宋体" w:eastAsia="新宋体"/>
          <w:sz w:val="24"/>
        </w:rPr>
        <w:t>在我方的上述投标报价中，包括：</w:t>
      </w:r>
    </w:p>
    <w:p>
      <w:pPr>
        <w:spacing w:line="480" w:lineRule="exact"/>
        <w:ind w:firstLine="960" w:firstLineChars="400"/>
        <w:rPr>
          <w:rFonts w:ascii="新宋体" w:hAnsi="新宋体" w:eastAsia="新宋体"/>
          <w:sz w:val="24"/>
        </w:rPr>
      </w:pPr>
      <w:r>
        <w:rPr>
          <w:rFonts w:hint="eastAsia" w:ascii="新宋体" w:hAnsi="新宋体" w:eastAsia="新宋体"/>
          <w:sz w:val="24"/>
        </w:rPr>
        <w:t>规费RMB￥：元</w:t>
      </w:r>
    </w:p>
    <w:p>
      <w:pPr>
        <w:spacing w:line="480" w:lineRule="exact"/>
        <w:ind w:firstLine="960" w:firstLineChars="400"/>
        <w:rPr>
          <w:rFonts w:ascii="新宋体" w:hAnsi="新宋体" w:eastAsia="新宋体"/>
          <w:sz w:val="24"/>
        </w:rPr>
      </w:pPr>
      <w:r>
        <w:rPr>
          <w:rFonts w:hint="eastAsia" w:ascii="新宋体" w:hAnsi="新宋体" w:eastAsia="新宋体"/>
          <w:sz w:val="24"/>
        </w:rPr>
        <w:t>税金RMB￥：元</w:t>
      </w:r>
    </w:p>
    <w:p>
      <w:pPr>
        <w:spacing w:line="480" w:lineRule="exact"/>
        <w:ind w:firstLine="960" w:firstLineChars="400"/>
        <w:rPr>
          <w:rFonts w:ascii="新宋体" w:hAnsi="新宋体" w:eastAsia="新宋体"/>
          <w:sz w:val="24"/>
        </w:rPr>
      </w:pPr>
      <w:r>
        <w:rPr>
          <w:rFonts w:hint="eastAsia" w:ascii="新宋体" w:hAnsi="新宋体" w:eastAsia="新宋体"/>
          <w:sz w:val="24"/>
        </w:rPr>
        <w:t>安全文明措施费RMB￥：元</w:t>
      </w:r>
    </w:p>
    <w:p>
      <w:pPr>
        <w:spacing w:line="480" w:lineRule="exact"/>
        <w:ind w:firstLine="480" w:firstLineChars="200"/>
        <w:rPr>
          <w:rFonts w:ascii="新宋体" w:hAnsi="新宋体" w:eastAsia="新宋体"/>
          <w:sz w:val="24"/>
        </w:rPr>
      </w:pPr>
      <w:r>
        <w:rPr>
          <w:rFonts w:hint="eastAsia" w:ascii="新宋体" w:hAnsi="新宋体" w:eastAsia="新宋体"/>
          <w:sz w:val="24"/>
        </w:rPr>
        <w:t>如果我方中标，我方保证按照合同约定的开工日期开始本工程的施工，</w:t>
      </w:r>
      <w:r>
        <w:rPr>
          <w:rFonts w:hint="eastAsia" w:ascii="新宋体" w:hAnsi="新宋体" w:eastAsia="新宋体"/>
          <w:sz w:val="24"/>
          <w:u w:val="single"/>
        </w:rPr>
        <w:t xml:space="preserve">    </w:t>
      </w:r>
      <w:r>
        <w:rPr>
          <w:rFonts w:hint="eastAsia" w:ascii="新宋体" w:hAnsi="新宋体" w:eastAsia="新宋体"/>
          <w:sz w:val="24"/>
        </w:rPr>
        <w:t>天（日历日）内竣工，并确保工程质量达到标准。我方同意本投标函在招标文件规定的提交投标文件截止时间后，在招标文件规定的投标有效期期满前对我方具有约束力，且随时准备接受你方发出的中标通知书。</w:t>
      </w:r>
    </w:p>
    <w:p>
      <w:pPr>
        <w:spacing w:line="480" w:lineRule="exact"/>
        <w:ind w:firstLine="480" w:firstLineChars="200"/>
        <w:rPr>
          <w:rFonts w:ascii="新宋体" w:hAnsi="新宋体" w:eastAsia="新宋体"/>
          <w:sz w:val="24"/>
        </w:rPr>
      </w:pPr>
      <w:r>
        <w:rPr>
          <w:rFonts w:hint="eastAsia" w:ascii="新宋体" w:hAnsi="新宋体" w:eastAsia="新宋体"/>
          <w:sz w:val="24"/>
        </w:rPr>
        <w:t>随本投标函递交的投标函附录是本投标函的组成部分，对我方构成约束力。</w:t>
      </w:r>
    </w:p>
    <w:p>
      <w:pPr>
        <w:spacing w:line="480" w:lineRule="exact"/>
        <w:ind w:firstLine="480" w:firstLineChars="200"/>
        <w:rPr>
          <w:rFonts w:ascii="新宋体" w:hAnsi="新宋体" w:eastAsia="新宋体"/>
          <w:sz w:val="24"/>
        </w:rPr>
      </w:pPr>
      <w:r>
        <w:rPr>
          <w:rFonts w:hint="eastAsia" w:ascii="新宋体" w:hAnsi="新宋体" w:eastAsia="新宋体"/>
          <w:sz w:val="24"/>
        </w:rPr>
        <w:t>随同本投标函递交投标保证金一份，金额为人民币（大写）：元（￥：元）。</w:t>
      </w:r>
    </w:p>
    <w:p>
      <w:pPr>
        <w:spacing w:line="480" w:lineRule="exact"/>
        <w:ind w:firstLine="480" w:firstLineChars="200"/>
        <w:rPr>
          <w:rFonts w:ascii="新宋体" w:hAnsi="新宋体" w:eastAsia="新宋体"/>
          <w:sz w:val="24"/>
        </w:rPr>
      </w:pPr>
      <w:r>
        <w:rPr>
          <w:rFonts w:hint="eastAsia" w:ascii="新宋体" w:hAnsi="新宋体" w:eastAsia="新宋体"/>
          <w:sz w:val="24"/>
        </w:rPr>
        <w:t>在签署协议书之前，你方的中标通知书连同本投标函，包括投标函附录，对双方具有约束力。</w:t>
      </w:r>
    </w:p>
    <w:p>
      <w:pPr>
        <w:spacing w:line="480" w:lineRule="exact"/>
        <w:ind w:firstLine="480" w:firstLineChars="200"/>
        <w:rPr>
          <w:rFonts w:ascii="新宋体" w:hAnsi="新宋体" w:eastAsia="新宋体"/>
          <w:sz w:val="24"/>
        </w:rPr>
      </w:pPr>
    </w:p>
    <w:p>
      <w:pPr>
        <w:spacing w:line="480" w:lineRule="exact"/>
        <w:ind w:firstLine="480" w:firstLineChars="200"/>
        <w:rPr>
          <w:rFonts w:ascii="新宋体" w:hAnsi="新宋体" w:eastAsia="新宋体"/>
          <w:sz w:val="24"/>
        </w:rPr>
      </w:pPr>
      <w:r>
        <w:rPr>
          <w:rFonts w:hint="eastAsia" w:ascii="新宋体" w:hAnsi="新宋体" w:eastAsia="新宋体"/>
          <w:sz w:val="24"/>
        </w:rPr>
        <w:t>投标人（盖章）：</w:t>
      </w:r>
    </w:p>
    <w:p>
      <w:pPr>
        <w:spacing w:line="480" w:lineRule="exact"/>
        <w:ind w:firstLine="480" w:firstLineChars="200"/>
        <w:rPr>
          <w:rFonts w:ascii="新宋体" w:hAnsi="新宋体" w:eastAsia="新宋体"/>
          <w:sz w:val="24"/>
        </w:rPr>
      </w:pPr>
      <w:r>
        <w:rPr>
          <w:rFonts w:hint="eastAsia" w:ascii="新宋体" w:hAnsi="新宋体" w:eastAsia="新宋体"/>
          <w:sz w:val="24"/>
        </w:rPr>
        <w:t>法人代表或委托代理人（签字）：</w:t>
      </w:r>
    </w:p>
    <w:p>
      <w:pPr>
        <w:spacing w:line="480" w:lineRule="exact"/>
        <w:ind w:firstLine="480" w:firstLineChars="200"/>
        <w:rPr>
          <w:rFonts w:ascii="新宋体" w:hAnsi="新宋体" w:eastAsia="新宋体"/>
          <w:sz w:val="24"/>
        </w:rPr>
      </w:pPr>
      <w:r>
        <w:rPr>
          <w:rFonts w:hint="eastAsia" w:ascii="新宋体" w:hAnsi="新宋体" w:eastAsia="新宋体"/>
          <w:sz w:val="24"/>
        </w:rPr>
        <w:t>日期：年月日</w:t>
      </w:r>
    </w:p>
    <w:p>
      <w:pPr>
        <w:autoSpaceDE w:val="0"/>
        <w:autoSpaceDN w:val="0"/>
        <w:adjustRightInd w:val="0"/>
        <w:outlineLvl w:val="0"/>
        <w:rPr>
          <w:rFonts w:ascii="黑体" w:hAnsi="新宋体" w:eastAsia="黑体" w:cs="黑体"/>
          <w:sz w:val="28"/>
          <w:szCs w:val="28"/>
        </w:rPr>
      </w:pPr>
      <w:bookmarkStart w:id="86" w:name="_Toc250616672"/>
    </w:p>
    <w:p>
      <w:pPr>
        <w:autoSpaceDE w:val="0"/>
        <w:autoSpaceDN w:val="0"/>
        <w:adjustRightInd w:val="0"/>
        <w:outlineLvl w:val="0"/>
        <w:rPr>
          <w:rFonts w:ascii="黑体" w:hAnsi="新宋体" w:eastAsia="黑体" w:cs="黑体"/>
          <w:sz w:val="28"/>
          <w:szCs w:val="28"/>
        </w:rPr>
      </w:pPr>
    </w:p>
    <w:p>
      <w:pPr>
        <w:autoSpaceDE w:val="0"/>
        <w:autoSpaceDN w:val="0"/>
        <w:adjustRightInd w:val="0"/>
        <w:outlineLvl w:val="0"/>
        <w:rPr>
          <w:rFonts w:ascii="黑体" w:hAnsi="新宋体" w:eastAsia="黑体" w:cs="黑体"/>
          <w:sz w:val="28"/>
          <w:szCs w:val="28"/>
        </w:rPr>
      </w:pPr>
    </w:p>
    <w:p>
      <w:pPr>
        <w:autoSpaceDE w:val="0"/>
        <w:autoSpaceDN w:val="0"/>
        <w:adjustRightInd w:val="0"/>
        <w:jc w:val="center"/>
        <w:outlineLvl w:val="0"/>
        <w:rPr>
          <w:rFonts w:ascii="黑体" w:hAnsi="新宋体" w:eastAsia="黑体" w:cs="黑体"/>
          <w:sz w:val="28"/>
          <w:szCs w:val="28"/>
        </w:rPr>
      </w:pPr>
      <w:r>
        <w:rPr>
          <w:rFonts w:hint="eastAsia" w:ascii="黑体" w:hAnsi="新宋体" w:eastAsia="黑体" w:cs="黑体"/>
          <w:sz w:val="28"/>
          <w:szCs w:val="28"/>
        </w:rPr>
        <w:t>二、投标函附录</w:t>
      </w:r>
      <w:bookmarkEnd w:id="86"/>
    </w:p>
    <w:tbl>
      <w:tblPr>
        <w:tblStyle w:val="29"/>
        <w:tblW w:w="9138" w:type="dxa"/>
        <w:tblInd w:w="44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16"/>
        <w:gridCol w:w="809"/>
        <w:gridCol w:w="607"/>
        <w:gridCol w:w="808"/>
        <w:gridCol w:w="809"/>
        <w:gridCol w:w="406"/>
        <w:gridCol w:w="27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工程名称</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投标人</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项目负责人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技术负责人</w:t>
            </w:r>
          </w:p>
        </w:tc>
        <w:tc>
          <w:tcPr>
            <w:tcW w:w="809" w:type="dxa"/>
            <w:vAlign w:val="center"/>
          </w:tcPr>
          <w:p>
            <w:pPr>
              <w:jc w:val="center"/>
              <w:rPr>
                <w:rFonts w:ascii="新宋体" w:hAnsi="新宋体" w:eastAsia="新宋体"/>
                <w:sz w:val="24"/>
              </w:rPr>
            </w:pPr>
          </w:p>
        </w:tc>
        <w:tc>
          <w:tcPr>
            <w:tcW w:w="607" w:type="dxa"/>
            <w:vAlign w:val="center"/>
          </w:tcPr>
          <w:p>
            <w:pPr>
              <w:jc w:val="center"/>
              <w:rPr>
                <w:rFonts w:ascii="新宋体" w:hAnsi="新宋体" w:eastAsia="新宋体"/>
                <w:sz w:val="24"/>
              </w:rPr>
            </w:pPr>
            <w:r>
              <w:rPr>
                <w:rFonts w:hint="eastAsia" w:ascii="新宋体" w:hAnsi="新宋体" w:eastAsia="新宋体"/>
                <w:sz w:val="24"/>
              </w:rPr>
              <w:t>级别</w:t>
            </w:r>
          </w:p>
        </w:tc>
        <w:tc>
          <w:tcPr>
            <w:tcW w:w="808" w:type="dxa"/>
            <w:vAlign w:val="center"/>
          </w:tcPr>
          <w:p>
            <w:pPr>
              <w:jc w:val="center"/>
              <w:rPr>
                <w:rFonts w:ascii="新宋体" w:hAnsi="新宋体" w:eastAsia="新宋体"/>
                <w:sz w:val="24"/>
              </w:rPr>
            </w:pPr>
          </w:p>
        </w:tc>
        <w:tc>
          <w:tcPr>
            <w:tcW w:w="809" w:type="dxa"/>
            <w:vAlign w:val="center"/>
          </w:tcPr>
          <w:p>
            <w:pPr>
              <w:jc w:val="center"/>
              <w:rPr>
                <w:rFonts w:ascii="新宋体" w:hAnsi="新宋体" w:eastAsia="新宋体"/>
                <w:sz w:val="24"/>
              </w:rPr>
            </w:pPr>
            <w:r>
              <w:rPr>
                <w:rFonts w:hint="eastAsia" w:ascii="新宋体" w:hAnsi="新宋体" w:eastAsia="新宋体"/>
                <w:sz w:val="24"/>
              </w:rPr>
              <w:t>证书编号</w:t>
            </w:r>
          </w:p>
        </w:tc>
        <w:tc>
          <w:tcPr>
            <w:tcW w:w="3189" w:type="dxa"/>
            <w:gridSpan w:val="2"/>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2916" w:type="dxa"/>
            <w:vMerge w:val="restart"/>
            <w:vAlign w:val="center"/>
          </w:tcPr>
          <w:p>
            <w:pPr>
              <w:jc w:val="center"/>
              <w:rPr>
                <w:rFonts w:ascii="新宋体" w:hAnsi="新宋体" w:eastAsia="新宋体"/>
                <w:sz w:val="24"/>
              </w:rPr>
            </w:pPr>
            <w:r>
              <w:rPr>
                <w:rFonts w:hint="eastAsia" w:ascii="新宋体" w:hAnsi="新宋体" w:eastAsia="新宋体"/>
                <w:sz w:val="24"/>
              </w:rPr>
              <w:t>投标报价</w:t>
            </w:r>
          </w:p>
          <w:p>
            <w:pPr>
              <w:jc w:val="center"/>
              <w:rPr>
                <w:rFonts w:ascii="新宋体" w:hAnsi="新宋体" w:eastAsia="新宋体"/>
                <w:sz w:val="24"/>
              </w:rPr>
            </w:pPr>
          </w:p>
        </w:tc>
        <w:tc>
          <w:tcPr>
            <w:tcW w:w="3439" w:type="dxa"/>
            <w:gridSpan w:val="5"/>
            <w:vAlign w:val="center"/>
          </w:tcPr>
          <w:p>
            <w:pPr>
              <w:rPr>
                <w:rFonts w:ascii="新宋体" w:hAnsi="新宋体" w:eastAsia="新宋体"/>
                <w:sz w:val="24"/>
              </w:rPr>
            </w:pPr>
            <w:r>
              <w:rPr>
                <w:rFonts w:hint="eastAsia" w:ascii="新宋体" w:hAnsi="新宋体" w:eastAsia="新宋体"/>
                <w:sz w:val="24"/>
              </w:rPr>
              <w:t>（大写）</w:t>
            </w:r>
          </w:p>
        </w:tc>
        <w:tc>
          <w:tcPr>
            <w:tcW w:w="2783" w:type="dxa"/>
            <w:vAlign w:val="center"/>
          </w:tcPr>
          <w:p>
            <w:pPr>
              <w:rPr>
                <w:rFonts w:ascii="新宋体" w:hAnsi="新宋体" w:eastAsia="新宋体"/>
                <w:sz w:val="24"/>
              </w:rPr>
            </w:pPr>
            <w:r>
              <w:rPr>
                <w:rFonts w:hint="eastAsia" w:ascii="新宋体" w:hAnsi="新宋体" w:eastAsia="新宋体"/>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31" w:hRule="atLeast"/>
        </w:trPr>
        <w:tc>
          <w:tcPr>
            <w:tcW w:w="2916" w:type="dxa"/>
            <w:vMerge w:val="continue"/>
            <w:vAlign w:val="center"/>
          </w:tcPr>
          <w:p>
            <w:pPr>
              <w:jc w:val="center"/>
              <w:rPr>
                <w:rFonts w:ascii="新宋体" w:hAnsi="新宋体" w:eastAsia="新宋体"/>
                <w:sz w:val="24"/>
              </w:rPr>
            </w:pPr>
          </w:p>
        </w:tc>
        <w:tc>
          <w:tcPr>
            <w:tcW w:w="6222" w:type="dxa"/>
            <w:gridSpan w:val="6"/>
            <w:vAlign w:val="center"/>
          </w:tcPr>
          <w:p>
            <w:pPr>
              <w:spacing w:line="480" w:lineRule="exact"/>
              <w:rPr>
                <w:rFonts w:ascii="新宋体" w:hAnsi="新宋体" w:eastAsia="新宋体"/>
                <w:sz w:val="24"/>
              </w:rPr>
            </w:pPr>
            <w:r>
              <w:rPr>
                <w:rFonts w:hint="eastAsia" w:ascii="新宋体" w:hAnsi="新宋体" w:eastAsia="新宋体"/>
                <w:sz w:val="24"/>
              </w:rPr>
              <w:t>其中：</w:t>
            </w:r>
          </w:p>
          <w:p>
            <w:pPr>
              <w:spacing w:line="480" w:lineRule="exact"/>
              <w:ind w:firstLine="600" w:firstLineChars="250"/>
              <w:rPr>
                <w:rFonts w:ascii="新宋体" w:hAnsi="新宋体" w:eastAsia="新宋体"/>
                <w:sz w:val="24"/>
              </w:rPr>
            </w:pPr>
            <w:r>
              <w:rPr>
                <w:rFonts w:hint="eastAsia" w:ascii="新宋体" w:hAnsi="新宋体" w:eastAsia="新宋体"/>
                <w:sz w:val="24"/>
              </w:rPr>
              <w:t>规费RMB￥：元</w:t>
            </w:r>
          </w:p>
          <w:p>
            <w:pPr>
              <w:spacing w:line="480" w:lineRule="exact"/>
              <w:ind w:firstLine="600" w:firstLineChars="250"/>
              <w:rPr>
                <w:rFonts w:ascii="新宋体" w:hAnsi="新宋体" w:eastAsia="新宋体"/>
                <w:sz w:val="24"/>
              </w:rPr>
            </w:pPr>
            <w:r>
              <w:rPr>
                <w:rFonts w:hint="eastAsia" w:ascii="新宋体" w:hAnsi="新宋体" w:eastAsia="新宋体"/>
                <w:sz w:val="24"/>
              </w:rPr>
              <w:t>税金RMB￥：元</w:t>
            </w:r>
          </w:p>
          <w:p>
            <w:pPr>
              <w:ind w:firstLine="600" w:firstLineChars="250"/>
              <w:rPr>
                <w:rFonts w:ascii="新宋体" w:hAnsi="新宋体" w:eastAsia="新宋体"/>
                <w:sz w:val="24"/>
              </w:rPr>
            </w:pPr>
            <w:r>
              <w:rPr>
                <w:rFonts w:hint="eastAsia" w:ascii="新宋体" w:hAnsi="新宋体" w:eastAsia="新宋体"/>
                <w:sz w:val="24"/>
              </w:rPr>
              <w:t>安全文明措施费RMB￥：元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投标质量等级</w:t>
            </w:r>
          </w:p>
        </w:tc>
        <w:tc>
          <w:tcPr>
            <w:tcW w:w="6222" w:type="dxa"/>
            <w:gridSpan w:val="6"/>
            <w:vAlign w:val="center"/>
          </w:tcPr>
          <w:p>
            <w:pPr>
              <w:jc w:val="center"/>
              <w:rPr>
                <w:rFonts w:ascii="新宋体" w:hAnsi="新宋体" w:eastAsia="新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投标工期</w:t>
            </w:r>
          </w:p>
        </w:tc>
        <w:tc>
          <w:tcPr>
            <w:tcW w:w="6222" w:type="dxa"/>
            <w:gridSpan w:val="6"/>
            <w:vAlign w:val="center"/>
          </w:tcPr>
          <w:p>
            <w:pPr>
              <w:jc w:val="center"/>
              <w:rPr>
                <w:rFonts w:ascii="新宋体" w:hAnsi="新宋体" w:eastAsia="新宋体"/>
                <w:sz w:val="24"/>
              </w:rPr>
            </w:pPr>
            <w:r>
              <w:rPr>
                <w:rFonts w:hint="eastAsia" w:ascii="新宋体" w:hAnsi="新宋体" w:eastAsia="新宋体"/>
                <w:sz w:val="24"/>
              </w:rPr>
              <w:t>日历天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4" w:hRule="atLeast"/>
        </w:trPr>
        <w:tc>
          <w:tcPr>
            <w:tcW w:w="2916" w:type="dxa"/>
            <w:vAlign w:val="center"/>
          </w:tcPr>
          <w:p>
            <w:pPr>
              <w:jc w:val="center"/>
              <w:rPr>
                <w:rFonts w:ascii="新宋体" w:hAnsi="新宋体" w:eastAsia="新宋体"/>
                <w:sz w:val="24"/>
              </w:rPr>
            </w:pPr>
            <w:r>
              <w:rPr>
                <w:rFonts w:hint="eastAsia" w:ascii="新宋体" w:hAnsi="新宋体" w:eastAsia="新宋体"/>
                <w:sz w:val="24"/>
              </w:rPr>
              <w:t>投标有效期</w:t>
            </w:r>
          </w:p>
        </w:tc>
        <w:tc>
          <w:tcPr>
            <w:tcW w:w="6222" w:type="dxa"/>
            <w:gridSpan w:val="6"/>
            <w:vAlign w:val="center"/>
          </w:tcPr>
          <w:p>
            <w:pPr>
              <w:jc w:val="center"/>
              <w:rPr>
                <w:rFonts w:ascii="新宋体" w:hAnsi="新宋体" w:eastAsia="新宋体"/>
                <w:sz w:val="24"/>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86" w:hRule="atLeast"/>
        </w:trPr>
        <w:tc>
          <w:tcPr>
            <w:tcW w:w="9138" w:type="dxa"/>
            <w:gridSpan w:val="7"/>
          </w:tcPr>
          <w:p>
            <w:pPr>
              <w:rPr>
                <w:rFonts w:ascii="新宋体" w:hAnsi="新宋体" w:eastAsia="新宋体"/>
                <w:sz w:val="24"/>
              </w:rPr>
            </w:pPr>
            <w:r>
              <w:rPr>
                <w:rFonts w:hint="eastAsia" w:ascii="新宋体" w:hAnsi="新宋体" w:eastAsia="新宋体"/>
                <w:sz w:val="24"/>
              </w:rPr>
              <w:t xml:space="preserve"> 优惠与服务承诺：</w:t>
            </w: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p>
            <w:pPr>
              <w:rPr>
                <w:rFonts w:ascii="新宋体" w:hAnsi="新宋体" w:eastAsia="新宋体"/>
                <w:sz w:val="24"/>
              </w:rPr>
            </w:pPr>
          </w:p>
        </w:tc>
      </w:tr>
    </w:tbl>
    <w:p>
      <w:pPr>
        <w:ind w:right="955"/>
        <w:rPr>
          <w:sz w:val="24"/>
        </w:rPr>
      </w:pPr>
    </w:p>
    <w:p>
      <w:pPr>
        <w:spacing w:line="360" w:lineRule="auto"/>
        <w:ind w:right="475"/>
        <w:jc w:val="right"/>
        <w:rPr>
          <w:rFonts w:ascii="新宋体" w:hAnsi="新宋体" w:eastAsia="新宋体"/>
          <w:sz w:val="24"/>
        </w:rPr>
      </w:pPr>
      <w:r>
        <w:rPr>
          <w:rFonts w:hint="eastAsia" w:ascii="新宋体" w:hAnsi="新宋体" w:eastAsia="新宋体"/>
          <w:sz w:val="24"/>
        </w:rPr>
        <w:t>投标单位（盖章）：</w:t>
      </w:r>
    </w:p>
    <w:p>
      <w:pPr>
        <w:spacing w:line="360" w:lineRule="auto"/>
        <w:ind w:right="315"/>
        <w:jc w:val="right"/>
        <w:rPr>
          <w:rFonts w:ascii="新宋体" w:hAnsi="新宋体" w:eastAsia="新宋体"/>
          <w:sz w:val="24"/>
        </w:rPr>
      </w:pPr>
      <w:r>
        <w:rPr>
          <w:rFonts w:hint="eastAsia" w:ascii="新宋体" w:hAnsi="新宋体" w:eastAsia="新宋体"/>
          <w:sz w:val="24"/>
        </w:rPr>
        <w:t>法定代表人或委托代理人（签字）：</w:t>
      </w:r>
    </w:p>
    <w:p>
      <w:pPr>
        <w:tabs>
          <w:tab w:val="left" w:pos="7560"/>
          <w:tab w:val="right" w:pos="9008"/>
        </w:tabs>
        <w:spacing w:line="360" w:lineRule="auto"/>
        <w:ind w:right="630"/>
        <w:jc w:val="left"/>
        <w:rPr>
          <w:rFonts w:ascii="黑体" w:hAnsi="新宋体" w:eastAsia="黑体" w:cs="黑体"/>
          <w:sz w:val="28"/>
          <w:szCs w:val="28"/>
        </w:rPr>
      </w:pPr>
      <w:r>
        <w:rPr>
          <w:rFonts w:ascii="新宋体" w:hAnsi="新宋体" w:eastAsia="新宋体"/>
          <w:sz w:val="24"/>
        </w:rPr>
        <w:tab/>
      </w:r>
      <w:r>
        <w:rPr>
          <w:rFonts w:hint="eastAsia" w:ascii="新宋体" w:hAnsi="新宋体" w:eastAsia="新宋体"/>
          <w:sz w:val="24"/>
        </w:rPr>
        <w:t>年 月 日</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hAnsi="宋体" w:cs="仿宋_GB2312"/>
          <w:b/>
          <w:sz w:val="28"/>
          <w:szCs w:val="28"/>
        </w:rPr>
      </w:pPr>
      <w:r>
        <w:rPr>
          <w:rFonts w:hint="eastAsia" w:ascii="黑体" w:hAnsi="新宋体" w:eastAsia="黑体" w:cs="黑体"/>
          <w:sz w:val="28"/>
          <w:szCs w:val="28"/>
        </w:rPr>
        <w:t>三、</w:t>
      </w:r>
      <w:bookmarkEnd w:id="85"/>
      <w:r>
        <w:rPr>
          <w:rFonts w:hint="eastAsia" w:hAnsi="宋体" w:cs="仿宋_GB2312"/>
          <w:b/>
          <w:sz w:val="28"/>
          <w:szCs w:val="28"/>
        </w:rPr>
        <w:t>法定代表人身份证明、授权委托书及项目负责人承诺书；</w:t>
      </w:r>
    </w:p>
    <w:p>
      <w:pPr>
        <w:autoSpaceDE w:val="0"/>
        <w:autoSpaceDN w:val="0"/>
        <w:adjustRightInd w:val="0"/>
        <w:spacing w:line="420" w:lineRule="exact"/>
        <w:jc w:val="center"/>
        <w:outlineLvl w:val="0"/>
        <w:rPr>
          <w:rFonts w:ascii="黑体" w:hAnsi="新宋体" w:eastAsia="黑体" w:cs="黑体"/>
          <w:sz w:val="28"/>
          <w:szCs w:val="28"/>
        </w:rPr>
      </w:pPr>
    </w:p>
    <w:p>
      <w:pPr>
        <w:autoSpaceDE w:val="0"/>
        <w:autoSpaceDN w:val="0"/>
        <w:adjustRightInd w:val="0"/>
        <w:spacing w:line="420" w:lineRule="exact"/>
        <w:jc w:val="center"/>
        <w:outlineLvl w:val="0"/>
        <w:rPr>
          <w:rFonts w:ascii="黑体" w:hAnsi="新宋体" w:eastAsia="黑体" w:cs="黑体"/>
          <w:sz w:val="28"/>
          <w:szCs w:val="28"/>
        </w:rPr>
      </w:pPr>
      <w:bookmarkStart w:id="87" w:name="_Toc271787731"/>
      <w:r>
        <w:rPr>
          <w:rFonts w:hint="eastAsia" w:ascii="黑体" w:hAnsi="新宋体" w:eastAsia="黑体" w:cs="黑体"/>
          <w:sz w:val="28"/>
          <w:szCs w:val="28"/>
        </w:rPr>
        <w:t>（一）法定代表人身份证明</w:t>
      </w:r>
      <w:bookmarkEnd w:id="87"/>
    </w:p>
    <w:p>
      <w:pPr>
        <w:autoSpaceDE w:val="0"/>
        <w:autoSpaceDN w:val="0"/>
        <w:adjustRightInd w:val="0"/>
        <w:spacing w:line="420" w:lineRule="exact"/>
        <w:jc w:val="center"/>
        <w:rPr>
          <w:rFonts w:hAnsi="宋体" w:cs="黑体"/>
          <w:sz w:val="28"/>
          <w:szCs w:val="28"/>
        </w:rPr>
      </w:pP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投标人名称：</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单位性质：</w:t>
      </w:r>
      <w:r>
        <w:rPr>
          <w:rFonts w:hAnsi="宋体" w:cs="TimesNewRomanPSMT"/>
          <w:sz w:val="24"/>
          <w:u w:val="single"/>
        </w:rPr>
        <w:t>_____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地址：</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成立时间：</w:t>
      </w: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__</w:t>
      </w:r>
      <w:r>
        <w:rPr>
          <w:rFonts w:hAnsi="宋体" w:cs="TimesNewRomanPSMT"/>
          <w:sz w:val="24"/>
        </w:rPr>
        <w:t>___</w:t>
      </w:r>
      <w:r>
        <w:rPr>
          <w:rFonts w:hint="eastAsia" w:hAnsi="宋体" w:cs="仿宋_GB2312"/>
          <w:sz w:val="24"/>
        </w:rPr>
        <w:t>日</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经营期限：</w:t>
      </w:r>
      <w:r>
        <w:rPr>
          <w:rFonts w:hAnsi="宋体" w:cs="TimesNewRomanPSMT"/>
          <w:sz w:val="24"/>
          <w:u w:val="single"/>
        </w:rPr>
        <w:t>____</w:t>
      </w:r>
      <w:r>
        <w:rPr>
          <w:rFonts w:hAnsi="宋体" w:cs="TimesNewRomanPSMT"/>
          <w:sz w:val="24"/>
        </w:rPr>
        <w:t>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姓名：</w:t>
      </w:r>
      <w:r>
        <w:rPr>
          <w:rFonts w:hAnsi="宋体" w:cs="TimesNewRomanPSMT"/>
          <w:sz w:val="24"/>
          <w:u w:val="single"/>
        </w:rPr>
        <w:t>__</w:t>
      </w:r>
      <w:r>
        <w:rPr>
          <w:rFonts w:hAnsi="宋体" w:cs="TimesNewRomanPSMT"/>
          <w:sz w:val="24"/>
        </w:rPr>
        <w:t>___</w:t>
      </w:r>
      <w:r>
        <w:rPr>
          <w:rFonts w:hint="eastAsia" w:hAnsi="宋体" w:cs="仿宋_GB2312"/>
          <w:sz w:val="24"/>
        </w:rPr>
        <w:t>性别：</w:t>
      </w:r>
      <w:r>
        <w:rPr>
          <w:rFonts w:hAnsi="宋体" w:cs="TimesNewRomanPSMT"/>
          <w:sz w:val="24"/>
          <w:u w:val="single"/>
        </w:rPr>
        <w:t>__</w:t>
      </w:r>
      <w:r>
        <w:rPr>
          <w:rFonts w:hAnsi="宋体" w:cs="TimesNewRomanPSMT"/>
          <w:sz w:val="24"/>
        </w:rPr>
        <w:t>___</w:t>
      </w:r>
      <w:r>
        <w:rPr>
          <w:rFonts w:hint="eastAsia" w:hAnsi="宋体" w:cs="仿宋_GB2312"/>
          <w:sz w:val="24"/>
        </w:rPr>
        <w:t>年龄：</w:t>
      </w:r>
      <w:r>
        <w:rPr>
          <w:rFonts w:hAnsi="宋体" w:cs="TimesNewRomanPSMT"/>
          <w:sz w:val="24"/>
          <w:u w:val="single"/>
        </w:rPr>
        <w:t>__</w:t>
      </w:r>
      <w:r>
        <w:rPr>
          <w:rFonts w:hAnsi="宋体" w:cs="TimesNewRomanPSMT"/>
          <w:sz w:val="24"/>
        </w:rPr>
        <w:t>___</w:t>
      </w:r>
      <w:r>
        <w:rPr>
          <w:rFonts w:hint="eastAsia" w:hAnsi="宋体" w:cs="仿宋_GB2312"/>
          <w:sz w:val="24"/>
        </w:rPr>
        <w:t>职务：</w:t>
      </w:r>
      <w:r>
        <w:rPr>
          <w:rFonts w:hAnsi="宋体" w:cs="TimesNewRomanPSMT"/>
          <w:sz w:val="24"/>
          <w:u w:val="single"/>
        </w:rPr>
        <w:t>__</w:t>
      </w:r>
      <w:r>
        <w:rPr>
          <w:rFonts w:hAnsi="宋体" w:cs="TimesNewRomanPSMT"/>
          <w:sz w:val="24"/>
        </w:rPr>
        <w:t>___</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系</w:t>
      </w:r>
      <w:r>
        <w:rPr>
          <w:rFonts w:hAnsi="宋体" w:cs="TimesNewRomanPSMT"/>
          <w:sz w:val="24"/>
          <w:u w:val="single"/>
        </w:rPr>
        <w:t>_</w:t>
      </w:r>
      <w:r>
        <w:rPr>
          <w:rFonts w:hAnsi="宋体" w:cs="TimesNewRomanPSMT"/>
          <w:sz w:val="24"/>
        </w:rPr>
        <w:t>___</w:t>
      </w:r>
      <w:r>
        <w:rPr>
          <w:rFonts w:hint="eastAsia" w:hAnsi="宋体" w:cs="仿宋_GB2312"/>
          <w:sz w:val="24"/>
        </w:rPr>
        <w:t>（投标人名称）的法定代表人。</w:t>
      </w:r>
    </w:p>
    <w:p>
      <w:pPr>
        <w:autoSpaceDE w:val="0"/>
        <w:autoSpaceDN w:val="0"/>
        <w:adjustRightInd w:val="0"/>
        <w:spacing w:line="420" w:lineRule="exact"/>
        <w:ind w:firstLine="480" w:firstLineChars="200"/>
        <w:jc w:val="left"/>
        <w:rPr>
          <w:rFonts w:hAnsi="宋体" w:cs="仿宋_GB2312"/>
          <w:sz w:val="24"/>
        </w:rPr>
      </w:pPr>
      <w:r>
        <w:rPr>
          <w:rFonts w:hint="eastAsia" w:hAnsi="宋体" w:cs="仿宋_GB2312"/>
          <w:sz w:val="24"/>
        </w:rPr>
        <w:t>特此证明。</w:t>
      </w:r>
    </w:p>
    <w:p>
      <w:pPr>
        <w:autoSpaceDE w:val="0"/>
        <w:autoSpaceDN w:val="0"/>
        <w:adjustRightInd w:val="0"/>
        <w:spacing w:line="420" w:lineRule="exact"/>
        <w:ind w:firstLine="480" w:firstLineChars="200"/>
        <w:jc w:val="right"/>
        <w:rPr>
          <w:rFonts w:hAnsi="宋体" w:cs="仿宋_GB2312"/>
          <w:sz w:val="24"/>
        </w:rPr>
      </w:pPr>
    </w:p>
    <w:p>
      <w:pPr>
        <w:autoSpaceDE w:val="0"/>
        <w:autoSpaceDN w:val="0"/>
        <w:adjustRightInd w:val="0"/>
        <w:spacing w:line="420" w:lineRule="exact"/>
        <w:ind w:firstLine="480" w:firstLineChars="200"/>
        <w:jc w:val="right"/>
        <w:rPr>
          <w:rFonts w:hAnsi="宋体" w:cs="仿宋_GB2312"/>
          <w:sz w:val="24"/>
        </w:rPr>
      </w:pPr>
      <w:r>
        <w:rPr>
          <w:rFonts w:hint="eastAsia" w:hAnsi="宋体" w:cs="仿宋_GB2312"/>
          <w:sz w:val="24"/>
        </w:rPr>
        <w:t>投标人：</w:t>
      </w:r>
      <w:r>
        <w:rPr>
          <w:rFonts w:hAnsi="宋体" w:cs="TimesNewRomanPSMT"/>
          <w:sz w:val="24"/>
          <w:u w:val="single"/>
        </w:rPr>
        <w:t>____</w:t>
      </w:r>
      <w:r>
        <w:rPr>
          <w:rFonts w:hAnsi="宋体" w:cs="TimesNewRomanPSMT"/>
          <w:sz w:val="24"/>
        </w:rPr>
        <w:t>_</w:t>
      </w:r>
      <w:r>
        <w:rPr>
          <w:rFonts w:hint="eastAsia" w:hAnsi="宋体" w:cs="仿宋_GB2312"/>
          <w:sz w:val="24"/>
        </w:rPr>
        <w:t>（盖单位章）</w:t>
      </w:r>
    </w:p>
    <w:p>
      <w:pPr>
        <w:autoSpaceDE w:val="0"/>
        <w:autoSpaceDN w:val="0"/>
        <w:adjustRightInd w:val="0"/>
        <w:spacing w:line="420" w:lineRule="exact"/>
        <w:ind w:firstLine="480" w:firstLineChars="200"/>
        <w:jc w:val="right"/>
        <w:rPr>
          <w:rFonts w:hAnsi="宋体" w:cs="仿宋_GB2312"/>
          <w:sz w:val="24"/>
        </w:rPr>
      </w:pPr>
      <w:r>
        <w:rPr>
          <w:rFonts w:hAnsi="宋体" w:cs="TimesNewRomanPSMT"/>
          <w:sz w:val="24"/>
          <w:u w:val="single"/>
        </w:rPr>
        <w:t>__</w:t>
      </w:r>
      <w:r>
        <w:rPr>
          <w:rFonts w:hAnsi="宋体" w:cs="TimesNewRomanPSMT"/>
          <w:sz w:val="24"/>
        </w:rPr>
        <w:t>___</w:t>
      </w:r>
      <w:r>
        <w:rPr>
          <w:rFonts w:hint="eastAsia" w:hAnsi="宋体" w:cs="仿宋_GB2312"/>
          <w:sz w:val="24"/>
        </w:rPr>
        <w:t>年</w:t>
      </w:r>
      <w:r>
        <w:rPr>
          <w:rFonts w:hAnsi="宋体" w:cs="TimesNewRomanPSMT"/>
          <w:sz w:val="24"/>
          <w:u w:val="single"/>
        </w:rPr>
        <w:t>__</w:t>
      </w:r>
      <w:r>
        <w:rPr>
          <w:rFonts w:hAnsi="宋体" w:cs="TimesNewRomanPSMT"/>
          <w:sz w:val="24"/>
        </w:rPr>
        <w:t>___</w:t>
      </w:r>
      <w:r>
        <w:rPr>
          <w:rFonts w:hint="eastAsia" w:hAnsi="宋体" w:cs="仿宋_GB2312"/>
          <w:sz w:val="24"/>
        </w:rPr>
        <w:t>月</w:t>
      </w:r>
      <w:r>
        <w:rPr>
          <w:rFonts w:hAnsi="宋体" w:cs="TimesNewRomanPSMT"/>
          <w:sz w:val="24"/>
          <w:u w:val="single"/>
        </w:rPr>
        <w:t>_</w:t>
      </w:r>
      <w:r>
        <w:rPr>
          <w:rFonts w:hAnsi="宋体" w:cs="TimesNewRomanPSMT"/>
          <w:sz w:val="24"/>
        </w:rPr>
        <w:t>__</w:t>
      </w:r>
      <w:r>
        <w:rPr>
          <w:rFonts w:hint="eastAsia" w:hAnsi="宋体" w:cs="仿宋_GB2312"/>
          <w:sz w:val="24"/>
        </w:rPr>
        <w:t>日</w:t>
      </w:r>
    </w:p>
    <w:p>
      <w:pPr>
        <w:autoSpaceDE w:val="0"/>
        <w:autoSpaceDN w:val="0"/>
        <w:adjustRightInd w:val="0"/>
        <w:spacing w:line="420" w:lineRule="exact"/>
        <w:ind w:firstLine="680" w:firstLineChars="200"/>
        <w:jc w:val="right"/>
        <w:rPr>
          <w:rFonts w:hAnsi="宋体" w:cs="仿宋_GB2312"/>
          <w:szCs w:val="21"/>
        </w:rPr>
      </w:pPr>
    </w:p>
    <w:p>
      <w:pPr>
        <w:autoSpaceDE w:val="0"/>
        <w:autoSpaceDN w:val="0"/>
        <w:adjustRightInd w:val="0"/>
        <w:spacing w:line="420" w:lineRule="exact"/>
        <w:jc w:val="center"/>
        <w:outlineLvl w:val="0"/>
        <w:rPr>
          <w:rFonts w:ascii="黑体" w:hAnsi="新宋体" w:eastAsia="黑体" w:cs="黑体"/>
          <w:sz w:val="28"/>
          <w:szCs w:val="28"/>
        </w:rPr>
      </w:pPr>
      <w:bookmarkStart w:id="88" w:name="_Toc271787732"/>
      <w:r>
        <w:rPr>
          <w:rFonts w:hint="eastAsia" w:ascii="黑体" w:hAnsi="新宋体" w:eastAsia="黑体" w:cs="黑体"/>
          <w:sz w:val="28"/>
          <w:szCs w:val="28"/>
        </w:rPr>
        <w:t>（二）授权委托书</w:t>
      </w:r>
      <w:bookmarkEnd w:id="88"/>
    </w:p>
    <w:p>
      <w:pPr>
        <w:autoSpaceDE w:val="0"/>
        <w:autoSpaceDN w:val="0"/>
        <w:adjustRightInd w:val="0"/>
        <w:spacing w:line="420" w:lineRule="exact"/>
        <w:jc w:val="center"/>
        <w:rPr>
          <w:rFonts w:hAnsi="宋体" w:cs="黑体"/>
          <w:sz w:val="28"/>
          <w:szCs w:val="28"/>
        </w:rPr>
      </w:pP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本人（姓名）系（投标人名称）的法定代表人，现委托（姓名）为我方代理人。代理人根据授权，以我方名义签署、澄清、说明、补正、递交、撤回、修改（项目名称）标段投标文件、签订合同和处理有关事宜，其法律后果由我方承担。</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委托期限：。</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代理人无转委托权。</w:t>
      </w:r>
    </w:p>
    <w:p>
      <w:pPr>
        <w:autoSpaceDE w:val="0"/>
        <w:autoSpaceDN w:val="0"/>
        <w:adjustRightInd w:val="0"/>
        <w:spacing w:line="440" w:lineRule="exact"/>
        <w:ind w:firstLine="480" w:firstLineChars="200"/>
        <w:jc w:val="left"/>
        <w:rPr>
          <w:rFonts w:hAnsi="宋体" w:cs="仿宋_GB2312"/>
          <w:sz w:val="24"/>
        </w:rPr>
      </w:pPr>
      <w:r>
        <w:rPr>
          <w:rFonts w:hint="eastAsia" w:hAnsi="宋体" w:cs="仿宋_GB2312"/>
          <w:sz w:val="24"/>
        </w:rPr>
        <w:t>附：法定代表人身份证明</w:t>
      </w:r>
    </w:p>
    <w:p>
      <w:pPr>
        <w:autoSpaceDE w:val="0"/>
        <w:autoSpaceDN w:val="0"/>
        <w:adjustRightInd w:val="0"/>
        <w:spacing w:line="440" w:lineRule="exact"/>
        <w:ind w:firstLine="480" w:firstLineChars="200"/>
        <w:jc w:val="left"/>
        <w:rPr>
          <w:rFonts w:hAnsi="宋体" w:cs="仿宋_GB2312"/>
          <w:sz w:val="24"/>
        </w:rPr>
      </w:pP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投标人：（盖单位章）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法定代表人：（签字或盖章）</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委托代理人：</w:t>
      </w:r>
      <w:r>
        <w:rPr>
          <w:rFonts w:hint="eastAsia" w:ascii="新宋体" w:hAnsi="新宋体" w:eastAsia="新宋体"/>
          <w:sz w:val="24"/>
        </w:rPr>
        <w:t>（签字）</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身份证号码：</w:t>
      </w:r>
    </w:p>
    <w:p>
      <w:pPr>
        <w:autoSpaceDE w:val="0"/>
        <w:autoSpaceDN w:val="0"/>
        <w:adjustRightInd w:val="0"/>
        <w:spacing w:line="440" w:lineRule="exact"/>
        <w:ind w:firstLine="3700" w:firstLineChars="1542"/>
        <w:jc w:val="left"/>
        <w:rPr>
          <w:rFonts w:hAnsi="宋体" w:cs="仿宋_GB2312"/>
          <w:sz w:val="24"/>
        </w:rPr>
      </w:pPr>
      <w:r>
        <w:rPr>
          <w:rFonts w:hint="eastAsia" w:hAnsi="宋体" w:cs="仿宋_GB2312"/>
          <w:sz w:val="24"/>
        </w:rPr>
        <w:t>年月日</w:t>
      </w:r>
    </w:p>
    <w:p>
      <w:pPr>
        <w:spacing w:line="360" w:lineRule="auto"/>
        <w:rPr>
          <w:rFonts w:ascii="黑体" w:hAnsi="新宋体" w:eastAsia="黑体" w:cs="黑体"/>
          <w:sz w:val="28"/>
          <w:szCs w:val="28"/>
        </w:rPr>
      </w:pPr>
    </w:p>
    <w:p>
      <w:pPr>
        <w:spacing w:line="360" w:lineRule="auto"/>
        <w:ind w:firstLine="3080" w:firstLineChars="1100"/>
        <w:rPr>
          <w:rFonts w:ascii="黑体" w:hAnsi="新宋体" w:eastAsia="黑体" w:cs="黑体"/>
          <w:sz w:val="28"/>
          <w:szCs w:val="28"/>
        </w:rPr>
      </w:pPr>
      <w:r>
        <w:rPr>
          <w:rFonts w:hint="eastAsia" w:ascii="黑体" w:hAnsi="新宋体" w:eastAsia="黑体" w:cs="黑体"/>
          <w:sz w:val="28"/>
          <w:szCs w:val="28"/>
        </w:rPr>
        <w:t>（三）项目负责人承诺书</w:t>
      </w:r>
    </w:p>
    <w:p>
      <w:pPr>
        <w:spacing w:line="360" w:lineRule="auto"/>
        <w:rPr>
          <w:sz w:val="24"/>
        </w:rPr>
      </w:pPr>
    </w:p>
    <w:p>
      <w:pPr>
        <w:spacing w:line="360" w:lineRule="auto"/>
        <w:rPr>
          <w:sz w:val="24"/>
        </w:rPr>
      </w:pPr>
      <w:r>
        <w:rPr>
          <w:rFonts w:hint="eastAsia"/>
          <w:sz w:val="24"/>
        </w:rPr>
        <w:t>（招标人名称）：</w:t>
      </w:r>
    </w:p>
    <w:p>
      <w:pPr>
        <w:spacing w:line="360" w:lineRule="auto"/>
        <w:ind w:left="237" w:leftChars="70" w:firstLine="98" w:firstLineChars="41"/>
        <w:rPr>
          <w:sz w:val="24"/>
        </w:rPr>
      </w:pPr>
      <w:r>
        <w:rPr>
          <w:rFonts w:hint="eastAsia"/>
          <w:sz w:val="24"/>
        </w:rPr>
        <w:t>本人（姓名）系我公司拟派 （项目名称）</w:t>
      </w:r>
      <w:r>
        <w:rPr>
          <w:rFonts w:hint="eastAsia"/>
          <w:sz w:val="24"/>
          <w:u w:val="single"/>
        </w:rPr>
        <w:t>　　</w:t>
      </w:r>
      <w:r>
        <w:rPr>
          <w:rFonts w:hint="eastAsia"/>
          <w:sz w:val="24"/>
        </w:rPr>
        <w:t>的项目负责人，现承诺：愿意承担因我方就此弄虚作假所引起的一切法律后果。</w:t>
      </w:r>
    </w:p>
    <w:p>
      <w:pPr>
        <w:spacing w:line="360" w:lineRule="auto"/>
        <w:ind w:firstLine="480"/>
        <w:rPr>
          <w:sz w:val="24"/>
        </w:rPr>
      </w:pPr>
      <w:r>
        <w:rPr>
          <w:rFonts w:hint="eastAsia"/>
          <w:sz w:val="24"/>
        </w:rPr>
        <w:t xml:space="preserve">特此承诺  </w:t>
      </w:r>
    </w:p>
    <w:p>
      <w:pPr>
        <w:spacing w:line="360" w:lineRule="auto"/>
        <w:ind w:firstLine="480"/>
        <w:rPr>
          <w:sz w:val="24"/>
        </w:rPr>
      </w:pPr>
    </w:p>
    <w:p>
      <w:pPr>
        <w:spacing w:line="720" w:lineRule="auto"/>
        <w:ind w:firstLine="482"/>
        <w:rPr>
          <w:sz w:val="24"/>
        </w:rPr>
      </w:pPr>
      <w:r>
        <w:rPr>
          <w:rFonts w:hint="eastAsia"/>
          <w:sz w:val="24"/>
        </w:rPr>
        <w:t>附：项目负责人身份证明</w:t>
      </w:r>
    </w:p>
    <w:p>
      <w:pPr>
        <w:spacing w:line="720" w:lineRule="auto"/>
        <w:ind w:firstLine="482"/>
        <w:rPr>
          <w:sz w:val="24"/>
        </w:rPr>
      </w:pPr>
      <w:r>
        <w:rPr>
          <w:rFonts w:hint="eastAsia"/>
          <w:sz w:val="24"/>
        </w:rPr>
        <w:t>投  标  人： （盖单位章）</w:t>
      </w:r>
    </w:p>
    <w:p>
      <w:pPr>
        <w:spacing w:line="720" w:lineRule="auto"/>
        <w:ind w:firstLine="482"/>
        <w:rPr>
          <w:sz w:val="24"/>
        </w:rPr>
      </w:pPr>
      <w:r>
        <w:rPr>
          <w:rFonts w:hint="eastAsia"/>
          <w:sz w:val="24"/>
        </w:rPr>
        <w:t>项目负责人： （须本人签字）</w:t>
      </w:r>
    </w:p>
    <w:p>
      <w:pPr>
        <w:spacing w:line="720" w:lineRule="auto"/>
        <w:ind w:firstLine="482"/>
        <w:rPr>
          <w:sz w:val="24"/>
          <w:u w:val="single"/>
        </w:rPr>
      </w:pPr>
      <w:r>
        <w:rPr>
          <w:rFonts w:hint="eastAsia"/>
          <w:sz w:val="24"/>
        </w:rPr>
        <w:t>身份证号：</w:t>
      </w:r>
    </w:p>
    <w:p>
      <w:pPr>
        <w:spacing w:line="720" w:lineRule="auto"/>
        <w:ind w:firstLine="482"/>
        <w:rPr>
          <w:sz w:val="24"/>
        </w:rPr>
      </w:pPr>
      <w:r>
        <w:rPr>
          <w:rFonts w:hint="eastAsia"/>
          <w:sz w:val="24"/>
        </w:rPr>
        <w:t xml:space="preserve">                                           年     月     日</w:t>
      </w:r>
    </w:p>
    <w:p>
      <w:pPr>
        <w:spacing w:line="360" w:lineRule="auto"/>
        <w:ind w:firstLine="480"/>
        <w:rPr>
          <w:sz w:val="24"/>
        </w:rPr>
      </w:pPr>
    </w:p>
    <w:tbl>
      <w:tblPr>
        <w:tblStyle w:val="29"/>
        <w:tblpPr w:leftFromText="180" w:rightFromText="180" w:vertAnchor="text" w:tblpX="683" w:tblpY="2"/>
        <w:tblW w:w="85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05"/>
        <w:gridCol w:w="41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31" w:hRule="atLeast"/>
        </w:trPr>
        <w:tc>
          <w:tcPr>
            <w:tcW w:w="4305" w:type="dxa"/>
            <w:vAlign w:val="center"/>
          </w:tcPr>
          <w:p>
            <w:pPr>
              <w:spacing w:line="360" w:lineRule="auto"/>
              <w:jc w:val="center"/>
              <w:rPr>
                <w:sz w:val="24"/>
              </w:rPr>
            </w:pPr>
            <w:r>
              <w:rPr>
                <w:rFonts w:hint="eastAsia"/>
                <w:sz w:val="24"/>
              </w:rPr>
              <w:t xml:space="preserve">身份证原件扫描件或图片 </w:t>
            </w:r>
          </w:p>
        </w:tc>
        <w:tc>
          <w:tcPr>
            <w:tcW w:w="4195" w:type="dxa"/>
            <w:vAlign w:val="center"/>
          </w:tcPr>
          <w:p>
            <w:pPr>
              <w:spacing w:line="360" w:lineRule="auto"/>
              <w:jc w:val="center"/>
              <w:rPr>
                <w:sz w:val="24"/>
              </w:rPr>
            </w:pPr>
            <w:r>
              <w:rPr>
                <w:rFonts w:hint="eastAsia"/>
                <w:sz w:val="24"/>
              </w:rPr>
              <w:t>建造师证书原件扫描件或图片</w:t>
            </w:r>
          </w:p>
        </w:tc>
      </w:tr>
    </w:tbl>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p>
    <w:p>
      <w:pPr>
        <w:spacing w:line="360" w:lineRule="auto"/>
        <w:jc w:val="center"/>
        <w:rPr>
          <w:rFonts w:hAnsi="宋体"/>
          <w:b/>
          <w:sz w:val="32"/>
        </w:rPr>
      </w:pPr>
      <w:r>
        <w:rPr>
          <w:rFonts w:hint="eastAsia" w:hAnsi="宋体"/>
        </w:rPr>
        <w:drawing>
          <wp:anchor distT="0" distB="0" distL="114300" distR="114300" simplePos="0" relativeHeight="251658240" behindDoc="1" locked="1" layoutInCell="1" allowOverlap="1">
            <wp:simplePos x="0" y="0"/>
            <wp:positionH relativeFrom="column">
              <wp:posOffset>4673600</wp:posOffset>
            </wp:positionH>
            <wp:positionV relativeFrom="paragraph">
              <wp:posOffset>10058400</wp:posOffset>
            </wp:positionV>
            <wp:extent cx="952500" cy="927100"/>
            <wp:effectExtent l="19050" t="0" r="0" b="0"/>
            <wp:wrapNone/>
            <wp:docPr id="2" name="Picture 2" descr="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66"/>
                    <pic:cNvPicPr>
                      <a:picLocks noChangeAspect="1" noChangeArrowheads="1"/>
                    </pic:cNvPicPr>
                  </pic:nvPicPr>
                  <pic:blipFill>
                    <a:blip r:embed="rId13" cstate="print"/>
                    <a:srcRect/>
                    <a:stretch>
                      <a:fillRect/>
                    </a:stretch>
                  </pic:blipFill>
                  <pic:spPr>
                    <a:xfrm>
                      <a:off x="0" y="0"/>
                      <a:ext cx="952500" cy="927100"/>
                    </a:xfrm>
                    <a:prstGeom prst="rect">
                      <a:avLst/>
                    </a:prstGeom>
                    <a:noFill/>
                    <a:ln w="9525">
                      <a:noFill/>
                      <a:miter lim="800000"/>
                      <a:headEnd/>
                      <a:tailEnd/>
                    </a:ln>
                  </pic:spPr>
                </pic:pic>
              </a:graphicData>
            </a:graphic>
          </wp:anchor>
        </w:drawing>
      </w:r>
      <w:r>
        <w:rPr>
          <w:rFonts w:hint="eastAsia" w:hAnsi="宋体"/>
        </w:rPr>
        <w:t>四</w:t>
      </w:r>
      <w:r>
        <w:rPr>
          <w:rFonts w:hint="eastAsia" w:hAnsi="宋体"/>
          <w:b/>
          <w:sz w:val="32"/>
        </w:rPr>
        <w:t>、投标保证金</w:t>
      </w:r>
    </w:p>
    <w:p>
      <w:pPr>
        <w:autoSpaceDE w:val="0"/>
        <w:autoSpaceDN w:val="0"/>
        <w:adjustRightInd w:val="0"/>
        <w:spacing w:line="420" w:lineRule="exact"/>
        <w:jc w:val="left"/>
        <w:rPr>
          <w:rFonts w:hAnsi="宋体" w:cs="仿宋_GB2312"/>
          <w:szCs w:val="21"/>
        </w:rPr>
      </w:pPr>
      <w:r>
        <w:rPr>
          <w:rFonts w:hint="eastAsia" w:hAnsi="宋体" w:cs="仿宋_GB2312"/>
          <w:szCs w:val="21"/>
        </w:rPr>
        <w:t>……………………………………………………………………</w:t>
      </w:r>
    </w:p>
    <w:p>
      <w:pPr>
        <w:autoSpaceDE w:val="0"/>
        <w:autoSpaceDN w:val="0"/>
        <w:adjustRightInd w:val="0"/>
        <w:spacing w:line="420" w:lineRule="exact"/>
        <w:jc w:val="left"/>
        <w:rPr>
          <w:rFonts w:hAnsi="宋体" w:cs="仿宋_GB2312"/>
          <w:sz w:val="24"/>
          <w:szCs w:val="24"/>
        </w:rPr>
      </w:pPr>
      <w:r>
        <w:rPr>
          <w:rFonts w:hint="eastAsia" w:hAnsi="宋体" w:cs="仿宋_GB2312"/>
          <w:sz w:val="24"/>
          <w:szCs w:val="24"/>
        </w:rPr>
        <w:t>附投标保证金有效银行缴纳凭证；</w:t>
      </w:r>
    </w:p>
    <w:p>
      <w:pPr>
        <w:autoSpaceDE w:val="0"/>
        <w:autoSpaceDN w:val="0"/>
        <w:adjustRightInd w:val="0"/>
        <w:spacing w:line="360" w:lineRule="auto"/>
        <w:ind w:right="215" w:firstLine="2704" w:firstLineChars="845"/>
        <w:rPr>
          <w:rFonts w:hAnsi="宋体"/>
          <w:b/>
          <w:sz w:val="32"/>
        </w:rPr>
      </w:pPr>
    </w:p>
    <w:p>
      <w:pPr>
        <w:autoSpaceDE w:val="0"/>
        <w:autoSpaceDN w:val="0"/>
        <w:adjustRightInd w:val="0"/>
        <w:spacing w:line="360" w:lineRule="auto"/>
        <w:ind w:right="215" w:firstLine="2704" w:firstLineChars="845"/>
        <w:rPr>
          <w:rFonts w:hAnsi="宋体"/>
          <w:b/>
          <w:sz w:val="32"/>
        </w:rPr>
      </w:pPr>
      <w:r>
        <w:rPr>
          <w:rFonts w:hint="eastAsia" w:hAnsi="宋体"/>
          <w:b/>
          <w:sz w:val="32"/>
        </w:rPr>
        <w:t>五、项目管理机构配备情况</w:t>
      </w:r>
    </w:p>
    <w:p>
      <w:pPr>
        <w:autoSpaceDE w:val="0"/>
        <w:autoSpaceDN w:val="0"/>
        <w:adjustRightInd w:val="0"/>
        <w:spacing w:line="360" w:lineRule="auto"/>
        <w:ind w:right="215" w:firstLine="420"/>
        <w:jc w:val="center"/>
        <w:rPr>
          <w:rFonts w:hAnsi="宋体"/>
          <w:b/>
          <w:sz w:val="28"/>
        </w:rPr>
      </w:pPr>
      <w:r>
        <w:rPr>
          <w:rFonts w:hint="eastAsia" w:hAnsi="宋体"/>
          <w:b/>
          <w:sz w:val="28"/>
        </w:rPr>
        <w:t>（一）项目管理机构组成表</w:t>
      </w:r>
    </w:p>
    <w:p>
      <w:pPr>
        <w:autoSpaceDE w:val="0"/>
        <w:autoSpaceDN w:val="0"/>
        <w:adjustRightInd w:val="0"/>
        <w:spacing w:line="360" w:lineRule="auto"/>
        <w:ind w:right="215" w:firstLine="420"/>
        <w:jc w:val="center"/>
        <w:rPr>
          <w:rFonts w:hAnsi="宋体"/>
          <w:b/>
          <w:sz w:val="24"/>
        </w:rPr>
      </w:pPr>
    </w:p>
    <w:tbl>
      <w:tblPr>
        <w:tblStyle w:val="29"/>
        <w:tblW w:w="95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9"/>
        <w:gridCol w:w="960"/>
        <w:gridCol w:w="960"/>
        <w:gridCol w:w="1428"/>
        <w:gridCol w:w="960"/>
        <w:gridCol w:w="960"/>
        <w:gridCol w:w="960"/>
        <w:gridCol w:w="1421"/>
        <w:gridCol w:w="9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职务</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960"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职称</w:t>
            </w:r>
          </w:p>
        </w:tc>
        <w:tc>
          <w:tcPr>
            <w:tcW w:w="5729" w:type="dxa"/>
            <w:gridSpan w:val="5"/>
            <w:vAlign w:val="center"/>
          </w:tcPr>
          <w:p>
            <w:pPr>
              <w:autoSpaceDE w:val="0"/>
              <w:autoSpaceDN w:val="0"/>
              <w:adjustRightInd w:val="0"/>
              <w:spacing w:line="360" w:lineRule="auto"/>
              <w:ind w:right="215"/>
              <w:jc w:val="center"/>
              <w:rPr>
                <w:rFonts w:hAnsi="宋体"/>
                <w:sz w:val="24"/>
              </w:rPr>
            </w:pPr>
            <w:r>
              <w:rPr>
                <w:rFonts w:hint="eastAsia" w:hAnsi="宋体"/>
                <w:sz w:val="24"/>
              </w:rPr>
              <w:t>执业或职业资格证明</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1" w:hRule="atLeast"/>
          <w:jc w:val="center"/>
        </w:trPr>
        <w:tc>
          <w:tcPr>
            <w:tcW w:w="959"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960" w:type="dxa"/>
            <w:vMerge w:val="continue"/>
            <w:vAlign w:val="center"/>
          </w:tcPr>
          <w:p>
            <w:pPr>
              <w:autoSpaceDE w:val="0"/>
              <w:autoSpaceDN w:val="0"/>
              <w:adjustRightInd w:val="0"/>
              <w:spacing w:line="360" w:lineRule="auto"/>
              <w:ind w:right="215"/>
              <w:jc w:val="center"/>
              <w:rPr>
                <w:rFonts w:hAnsi="宋体"/>
                <w:sz w:val="24"/>
              </w:rPr>
            </w:pPr>
          </w:p>
        </w:tc>
        <w:tc>
          <w:tcPr>
            <w:tcW w:w="1428" w:type="dxa"/>
            <w:vAlign w:val="center"/>
          </w:tcPr>
          <w:p>
            <w:pPr>
              <w:autoSpaceDE w:val="0"/>
              <w:autoSpaceDN w:val="0"/>
              <w:adjustRightInd w:val="0"/>
              <w:spacing w:line="360" w:lineRule="auto"/>
              <w:ind w:right="215"/>
              <w:jc w:val="center"/>
              <w:rPr>
                <w:rFonts w:hAnsi="宋体"/>
                <w:sz w:val="24"/>
              </w:rPr>
            </w:pPr>
            <w:r>
              <w:rPr>
                <w:rFonts w:hint="eastAsia" w:hAnsi="宋体"/>
                <w:sz w:val="24"/>
              </w:rPr>
              <w:t>证书名称</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级别</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证号</w:t>
            </w:r>
          </w:p>
        </w:tc>
        <w:tc>
          <w:tcPr>
            <w:tcW w:w="960" w:type="dxa"/>
            <w:vAlign w:val="center"/>
          </w:tcPr>
          <w:p>
            <w:pPr>
              <w:autoSpaceDE w:val="0"/>
              <w:autoSpaceDN w:val="0"/>
              <w:adjustRightInd w:val="0"/>
              <w:spacing w:line="360" w:lineRule="auto"/>
              <w:ind w:right="215"/>
              <w:jc w:val="center"/>
              <w:rPr>
                <w:rFonts w:hAnsi="宋体"/>
                <w:sz w:val="24"/>
              </w:rPr>
            </w:pPr>
            <w:r>
              <w:rPr>
                <w:rFonts w:hint="eastAsia" w:hAnsi="宋体"/>
                <w:sz w:val="24"/>
              </w:rPr>
              <w:t>专业</w:t>
            </w:r>
          </w:p>
        </w:tc>
        <w:tc>
          <w:tcPr>
            <w:tcW w:w="1421" w:type="dxa"/>
            <w:vAlign w:val="center"/>
          </w:tcPr>
          <w:p>
            <w:pPr>
              <w:autoSpaceDE w:val="0"/>
              <w:autoSpaceDN w:val="0"/>
              <w:adjustRightInd w:val="0"/>
              <w:spacing w:line="360" w:lineRule="auto"/>
              <w:ind w:right="215"/>
              <w:jc w:val="center"/>
              <w:rPr>
                <w:rFonts w:hAnsi="宋体"/>
                <w:sz w:val="24"/>
              </w:rPr>
            </w:pPr>
            <w:r>
              <w:rPr>
                <w:rFonts w:hint="eastAsia" w:hAnsi="宋体"/>
                <w:sz w:val="24"/>
              </w:rPr>
              <w:t>养老保险</w:t>
            </w:r>
          </w:p>
        </w:tc>
        <w:tc>
          <w:tcPr>
            <w:tcW w:w="960" w:type="dxa"/>
            <w:vAlign w:val="center"/>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8" w:hRule="atLeast"/>
          <w:jc w:val="center"/>
        </w:trPr>
        <w:tc>
          <w:tcPr>
            <w:tcW w:w="959"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r>
              <w:rPr>
                <w:rFonts w:hint="eastAsia" w:hAnsi="宋体"/>
                <w:sz w:val="24"/>
              </w:rPr>
              <w:t>……</w:t>
            </w:r>
          </w:p>
        </w:tc>
        <w:tc>
          <w:tcPr>
            <w:tcW w:w="960" w:type="dxa"/>
          </w:tcPr>
          <w:p>
            <w:pPr>
              <w:autoSpaceDE w:val="0"/>
              <w:autoSpaceDN w:val="0"/>
              <w:adjustRightInd w:val="0"/>
              <w:spacing w:line="360" w:lineRule="auto"/>
              <w:ind w:right="215"/>
              <w:rPr>
                <w:rFonts w:hAnsi="宋体"/>
                <w:sz w:val="24"/>
              </w:rPr>
            </w:pPr>
          </w:p>
        </w:tc>
        <w:tc>
          <w:tcPr>
            <w:tcW w:w="1428"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c>
          <w:tcPr>
            <w:tcW w:w="1421" w:type="dxa"/>
          </w:tcPr>
          <w:p>
            <w:pPr>
              <w:autoSpaceDE w:val="0"/>
              <w:autoSpaceDN w:val="0"/>
              <w:adjustRightInd w:val="0"/>
              <w:spacing w:line="360" w:lineRule="auto"/>
              <w:ind w:right="215"/>
              <w:rPr>
                <w:rFonts w:hAnsi="宋体"/>
                <w:sz w:val="24"/>
              </w:rPr>
            </w:pPr>
          </w:p>
        </w:tc>
        <w:tc>
          <w:tcPr>
            <w:tcW w:w="960" w:type="dxa"/>
          </w:tcPr>
          <w:p>
            <w:pPr>
              <w:autoSpaceDE w:val="0"/>
              <w:autoSpaceDN w:val="0"/>
              <w:adjustRightInd w:val="0"/>
              <w:spacing w:line="360" w:lineRule="auto"/>
              <w:ind w:right="215"/>
              <w:rPr>
                <w:rFonts w:hAnsi="宋体"/>
                <w:sz w:val="24"/>
              </w:rPr>
            </w:pPr>
          </w:p>
        </w:tc>
      </w:tr>
    </w:tbl>
    <w:p>
      <w:pPr>
        <w:spacing w:beforeLines="50" w:afterLines="100" w:line="420" w:lineRule="exact"/>
        <w:ind w:firstLine="2800" w:firstLineChars="1000"/>
        <w:rPr>
          <w:rFonts w:hAnsi="宋体"/>
          <w:b/>
          <w:sz w:val="28"/>
          <w:szCs w:val="28"/>
        </w:rPr>
      </w:pPr>
      <w:r>
        <w:rPr>
          <w:rFonts w:hint="eastAsia" w:hAnsi="宋体"/>
          <w:b/>
          <w:sz w:val="28"/>
          <w:szCs w:val="28"/>
        </w:rPr>
        <w:t>（二）主要人员简历表</w:t>
      </w:r>
    </w:p>
    <w:p>
      <w:pPr>
        <w:spacing w:line="420" w:lineRule="exact"/>
        <w:rPr>
          <w:rFonts w:ascii="黑体" w:hAnsi="宋体" w:eastAsia="黑体"/>
          <w:sz w:val="24"/>
        </w:rPr>
      </w:pPr>
      <w:r>
        <w:rPr>
          <w:rFonts w:hint="eastAsia" w:ascii="黑体" w:hAnsi="宋体" w:eastAsia="黑体"/>
          <w:sz w:val="24"/>
        </w:rPr>
        <w:t>附1：项目负责人简历表</w:t>
      </w:r>
    </w:p>
    <w:tbl>
      <w:tblPr>
        <w:tblStyle w:val="29"/>
        <w:tblW w:w="956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28"/>
        <w:gridCol w:w="1165"/>
        <w:gridCol w:w="1275"/>
        <w:gridCol w:w="1434"/>
        <w:gridCol w:w="2074"/>
        <w:gridCol w:w="23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姓  名</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年  龄</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学历</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职  称</w:t>
            </w:r>
          </w:p>
        </w:tc>
        <w:tc>
          <w:tcPr>
            <w:tcW w:w="1165" w:type="dxa"/>
            <w:vAlign w:val="center"/>
          </w:tcPr>
          <w:p>
            <w:pPr>
              <w:jc w:val="center"/>
              <w:rPr>
                <w:rFonts w:hAnsi="宋体"/>
                <w:sz w:val="24"/>
              </w:rPr>
            </w:pPr>
          </w:p>
        </w:tc>
        <w:tc>
          <w:tcPr>
            <w:tcW w:w="1275" w:type="dxa"/>
            <w:vAlign w:val="center"/>
          </w:tcPr>
          <w:p>
            <w:pPr>
              <w:jc w:val="center"/>
              <w:rPr>
                <w:rFonts w:hAnsi="宋体"/>
                <w:sz w:val="24"/>
              </w:rPr>
            </w:pPr>
            <w:r>
              <w:rPr>
                <w:rFonts w:hint="eastAsia" w:hAnsi="宋体"/>
                <w:sz w:val="24"/>
              </w:rPr>
              <w:t>职  务</w:t>
            </w:r>
          </w:p>
        </w:tc>
        <w:tc>
          <w:tcPr>
            <w:tcW w:w="1434" w:type="dxa"/>
            <w:vAlign w:val="center"/>
          </w:tcPr>
          <w:p>
            <w:pPr>
              <w:jc w:val="center"/>
              <w:rPr>
                <w:rFonts w:hAnsi="宋体"/>
                <w:sz w:val="24"/>
              </w:rPr>
            </w:pPr>
          </w:p>
        </w:tc>
        <w:tc>
          <w:tcPr>
            <w:tcW w:w="2074" w:type="dxa"/>
            <w:vAlign w:val="center"/>
          </w:tcPr>
          <w:p>
            <w:pPr>
              <w:jc w:val="center"/>
              <w:rPr>
                <w:rFonts w:hAnsi="宋体"/>
                <w:sz w:val="24"/>
              </w:rPr>
            </w:pPr>
            <w:r>
              <w:rPr>
                <w:rFonts w:hint="eastAsia" w:hAnsi="宋体"/>
                <w:sz w:val="24"/>
              </w:rPr>
              <w:t>拟在本工程任职</w:t>
            </w:r>
          </w:p>
        </w:tc>
        <w:tc>
          <w:tcPr>
            <w:tcW w:w="2391" w:type="dxa"/>
            <w:vAlign w:val="center"/>
          </w:tcPr>
          <w:p>
            <w:pPr>
              <w:jc w:val="center"/>
              <w:rPr>
                <w:rFonts w:hAnsi="宋体"/>
                <w:sz w:val="24"/>
              </w:rPr>
            </w:pPr>
            <w:r>
              <w:rPr>
                <w:rFonts w:hint="eastAsia"/>
                <w:sz w:val="24"/>
              </w:rPr>
              <w:t>项目负责人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注册建造师执业资格等级</w:t>
            </w:r>
          </w:p>
        </w:tc>
        <w:tc>
          <w:tcPr>
            <w:tcW w:w="1434" w:type="dxa"/>
            <w:vAlign w:val="center"/>
          </w:tcPr>
          <w:p>
            <w:pPr>
              <w:jc w:val="center"/>
              <w:rPr>
                <w:rFonts w:hAnsi="宋体"/>
                <w:sz w:val="24"/>
              </w:rPr>
            </w:pPr>
            <w:r>
              <w:rPr>
                <w:rFonts w:hint="eastAsia" w:hAnsi="宋体"/>
                <w:sz w:val="24"/>
              </w:rPr>
              <w:t xml:space="preserve">      级</w:t>
            </w:r>
          </w:p>
        </w:tc>
        <w:tc>
          <w:tcPr>
            <w:tcW w:w="2074" w:type="dxa"/>
            <w:vAlign w:val="center"/>
          </w:tcPr>
          <w:p>
            <w:pPr>
              <w:jc w:val="center"/>
              <w:rPr>
                <w:rFonts w:hAnsi="宋体"/>
                <w:sz w:val="24"/>
              </w:rPr>
            </w:pPr>
            <w:r>
              <w:rPr>
                <w:rFonts w:hint="eastAsia" w:hAnsi="宋体"/>
                <w:sz w:val="24"/>
              </w:rPr>
              <w:t>建造师专业</w:t>
            </w: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3668" w:type="dxa"/>
            <w:gridSpan w:val="3"/>
            <w:vAlign w:val="center"/>
          </w:tcPr>
          <w:p>
            <w:pPr>
              <w:jc w:val="center"/>
              <w:rPr>
                <w:rFonts w:hAnsi="宋体"/>
                <w:sz w:val="24"/>
              </w:rPr>
            </w:pPr>
            <w:r>
              <w:rPr>
                <w:rFonts w:hint="eastAsia" w:hAnsi="宋体"/>
                <w:sz w:val="24"/>
              </w:rPr>
              <w:t>安全生产考核合格证书</w:t>
            </w:r>
          </w:p>
        </w:tc>
        <w:tc>
          <w:tcPr>
            <w:tcW w:w="5899" w:type="dxa"/>
            <w:gridSpan w:val="3"/>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毕业学校</w:t>
            </w:r>
          </w:p>
        </w:tc>
        <w:tc>
          <w:tcPr>
            <w:tcW w:w="8339" w:type="dxa"/>
            <w:gridSpan w:val="5"/>
            <w:vAlign w:val="center"/>
          </w:tcPr>
          <w:p>
            <w:pPr>
              <w:ind w:firstLine="960" w:firstLineChars="400"/>
              <w:rPr>
                <w:rFonts w:hAnsi="宋体"/>
                <w:sz w:val="24"/>
              </w:rPr>
            </w:pPr>
            <w:r>
              <w:rPr>
                <w:rFonts w:hint="eastAsia" w:hAnsi="宋体"/>
                <w:sz w:val="24"/>
              </w:rPr>
              <w:t>年毕业于                  学校            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9567" w:type="dxa"/>
            <w:gridSpan w:val="6"/>
            <w:vAlign w:val="center"/>
          </w:tcPr>
          <w:p>
            <w:pPr>
              <w:jc w:val="center"/>
              <w:rPr>
                <w:rFonts w:hAnsi="宋体"/>
                <w:sz w:val="24"/>
              </w:rPr>
            </w:pPr>
            <w:r>
              <w:rPr>
                <w:rFonts w:hint="eastAsia" w:hAnsi="宋体"/>
                <w:sz w:val="24"/>
              </w:rPr>
              <w:t>主要工作经历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r>
              <w:rPr>
                <w:rFonts w:hint="eastAsia" w:hAnsi="宋体"/>
                <w:sz w:val="24"/>
              </w:rPr>
              <w:t>时  间</w:t>
            </w:r>
          </w:p>
        </w:tc>
        <w:tc>
          <w:tcPr>
            <w:tcW w:w="3874" w:type="dxa"/>
            <w:gridSpan w:val="3"/>
            <w:vAlign w:val="center"/>
          </w:tcPr>
          <w:p>
            <w:pPr>
              <w:jc w:val="center"/>
              <w:rPr>
                <w:rFonts w:hAnsi="宋体"/>
                <w:sz w:val="24"/>
              </w:rPr>
            </w:pPr>
            <w:r>
              <w:rPr>
                <w:rFonts w:hint="eastAsia" w:hAnsi="宋体"/>
                <w:sz w:val="24"/>
              </w:rPr>
              <w:t>参加过的类似项目名称</w:t>
            </w:r>
          </w:p>
        </w:tc>
        <w:tc>
          <w:tcPr>
            <w:tcW w:w="2074" w:type="dxa"/>
            <w:vAlign w:val="center"/>
          </w:tcPr>
          <w:p>
            <w:pPr>
              <w:jc w:val="center"/>
              <w:rPr>
                <w:rFonts w:hAnsi="宋体"/>
                <w:sz w:val="24"/>
              </w:rPr>
            </w:pPr>
            <w:r>
              <w:rPr>
                <w:rFonts w:hint="eastAsia" w:hAnsi="宋体"/>
                <w:sz w:val="24"/>
              </w:rPr>
              <w:t>工程概况说明</w:t>
            </w:r>
          </w:p>
        </w:tc>
        <w:tc>
          <w:tcPr>
            <w:tcW w:w="2391" w:type="dxa"/>
            <w:vAlign w:val="center"/>
          </w:tcPr>
          <w:p>
            <w:pPr>
              <w:jc w:val="center"/>
              <w:rPr>
                <w:rFonts w:hAnsi="宋体"/>
                <w:sz w:val="24"/>
              </w:rPr>
            </w:pPr>
            <w:r>
              <w:rPr>
                <w:rFonts w:hint="eastAsia" w:hAnsi="宋体"/>
                <w:sz w:val="24"/>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1228" w:type="dxa"/>
            <w:vAlign w:val="center"/>
          </w:tcPr>
          <w:p>
            <w:pPr>
              <w:jc w:val="center"/>
              <w:rPr>
                <w:rFonts w:hAnsi="宋体"/>
                <w:sz w:val="24"/>
              </w:rPr>
            </w:pPr>
          </w:p>
        </w:tc>
        <w:tc>
          <w:tcPr>
            <w:tcW w:w="1165" w:type="dxa"/>
            <w:vAlign w:val="center"/>
          </w:tcPr>
          <w:p>
            <w:pPr>
              <w:jc w:val="center"/>
              <w:rPr>
                <w:rFonts w:hAnsi="宋体"/>
                <w:sz w:val="24"/>
              </w:rPr>
            </w:pPr>
          </w:p>
        </w:tc>
        <w:tc>
          <w:tcPr>
            <w:tcW w:w="1275" w:type="dxa"/>
            <w:vAlign w:val="center"/>
          </w:tcPr>
          <w:p>
            <w:pPr>
              <w:jc w:val="center"/>
              <w:rPr>
                <w:rFonts w:hAnsi="宋体"/>
                <w:sz w:val="24"/>
              </w:rPr>
            </w:pPr>
          </w:p>
        </w:tc>
        <w:tc>
          <w:tcPr>
            <w:tcW w:w="1434" w:type="dxa"/>
            <w:vAlign w:val="center"/>
          </w:tcPr>
          <w:p>
            <w:pPr>
              <w:jc w:val="center"/>
              <w:rPr>
                <w:rFonts w:hAnsi="宋体"/>
                <w:sz w:val="24"/>
              </w:rPr>
            </w:pPr>
          </w:p>
        </w:tc>
        <w:tc>
          <w:tcPr>
            <w:tcW w:w="2074" w:type="dxa"/>
            <w:vAlign w:val="center"/>
          </w:tcPr>
          <w:p>
            <w:pPr>
              <w:jc w:val="center"/>
              <w:rPr>
                <w:rFonts w:hAnsi="宋体"/>
                <w:sz w:val="24"/>
              </w:rPr>
            </w:pPr>
          </w:p>
        </w:tc>
        <w:tc>
          <w:tcPr>
            <w:tcW w:w="2391" w:type="dxa"/>
            <w:vAlign w:val="center"/>
          </w:tcPr>
          <w:p>
            <w:pPr>
              <w:jc w:val="center"/>
              <w:rPr>
                <w:rFonts w:hAnsi="宋体"/>
                <w:sz w:val="24"/>
              </w:rPr>
            </w:pPr>
          </w:p>
        </w:tc>
      </w:tr>
    </w:tbl>
    <w:p>
      <w:pPr>
        <w:spacing w:line="420" w:lineRule="exact"/>
        <w:rPr>
          <w:rFonts w:ascii="黑体" w:hAnsi="宋体" w:eastAsia="黑体"/>
          <w:sz w:val="24"/>
        </w:rPr>
      </w:pPr>
      <w:r>
        <w:rPr>
          <w:rFonts w:hAnsi="宋体"/>
          <w:szCs w:val="21"/>
        </w:rPr>
        <w:br w:type="page"/>
      </w:r>
      <w:r>
        <w:rPr>
          <w:rFonts w:hint="eastAsia" w:ascii="黑体" w:hAnsi="宋体" w:eastAsia="黑体"/>
          <w:sz w:val="24"/>
        </w:rPr>
        <w:t>附2：主要项目管理人员简历表</w:t>
      </w:r>
    </w:p>
    <w:p>
      <w:pPr>
        <w:spacing w:line="420" w:lineRule="exact"/>
        <w:rPr>
          <w:rFonts w:hAnsi="宋体"/>
          <w:sz w:val="24"/>
          <w:szCs w:val="24"/>
        </w:rPr>
      </w:pPr>
    </w:p>
    <w:tbl>
      <w:tblPr>
        <w:tblStyle w:val="29"/>
        <w:tblW w:w="951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30"/>
        <w:gridCol w:w="3100"/>
        <w:gridCol w:w="48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6" w:hRule="atLeast"/>
        </w:trPr>
        <w:tc>
          <w:tcPr>
            <w:tcW w:w="9514" w:type="dxa"/>
            <w:gridSpan w:val="3"/>
            <w:tcBorders>
              <w:bottom w:val="single" w:color="auto" w:sz="4" w:space="0"/>
            </w:tcBorders>
            <w:vAlign w:val="center"/>
          </w:tcPr>
          <w:p>
            <w:pPr>
              <w:spacing w:line="640" w:lineRule="exact"/>
              <w:rPr>
                <w:rFonts w:hAnsi="宋体"/>
                <w:sz w:val="24"/>
              </w:rPr>
            </w:pPr>
            <w:r>
              <w:rPr>
                <w:rFonts w:hint="eastAsia" w:hAnsi="宋体"/>
                <w:sz w:val="24"/>
              </w:rPr>
              <w:t>岗位名称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4630" w:type="dxa"/>
            <w:gridSpan w:val="2"/>
            <w:tcBorders>
              <w:left w:val="single" w:color="auto" w:sz="4" w:space="0"/>
            </w:tcBorders>
            <w:vAlign w:val="center"/>
          </w:tcPr>
          <w:p>
            <w:pPr>
              <w:spacing w:line="640" w:lineRule="exact"/>
              <w:rPr>
                <w:rFonts w:hAnsi="宋体"/>
                <w:sz w:val="24"/>
              </w:rPr>
            </w:pPr>
            <w:r>
              <w:rPr>
                <w:rFonts w:hint="eastAsia" w:hAnsi="宋体"/>
                <w:sz w:val="24"/>
              </w:rPr>
              <w:t>姓    名</w:t>
            </w:r>
          </w:p>
        </w:tc>
        <w:tc>
          <w:tcPr>
            <w:tcW w:w="4884" w:type="dxa"/>
            <w:tcBorders>
              <w:left w:val="nil"/>
            </w:tcBorders>
            <w:vAlign w:val="center"/>
          </w:tcPr>
          <w:p>
            <w:pPr>
              <w:spacing w:line="640" w:lineRule="exact"/>
              <w:rPr>
                <w:rFonts w:hAnsi="宋体"/>
                <w:sz w:val="24"/>
              </w:rPr>
            </w:pPr>
            <w:r>
              <w:rPr>
                <w:rFonts w:hint="eastAsia" w:hAnsi="宋体"/>
                <w:sz w:val="24"/>
              </w:rPr>
              <w:t>年    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性    别</w:t>
            </w:r>
          </w:p>
        </w:tc>
        <w:tc>
          <w:tcPr>
            <w:tcW w:w="4884" w:type="dxa"/>
            <w:vAlign w:val="center"/>
          </w:tcPr>
          <w:p>
            <w:pPr>
              <w:spacing w:line="640" w:lineRule="exact"/>
              <w:rPr>
                <w:rFonts w:hAnsi="宋体"/>
                <w:sz w:val="24"/>
              </w:rPr>
            </w:pPr>
            <w:r>
              <w:rPr>
                <w:rFonts w:hint="eastAsia" w:hAnsi="宋体"/>
                <w:sz w:val="24"/>
              </w:rPr>
              <w:t>毕业学校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trPr>
        <w:tc>
          <w:tcPr>
            <w:tcW w:w="4630" w:type="dxa"/>
            <w:gridSpan w:val="2"/>
            <w:vAlign w:val="center"/>
          </w:tcPr>
          <w:p>
            <w:pPr>
              <w:spacing w:line="640" w:lineRule="exact"/>
              <w:rPr>
                <w:rFonts w:hAnsi="宋体"/>
                <w:sz w:val="24"/>
              </w:rPr>
            </w:pPr>
            <w:r>
              <w:rPr>
                <w:rFonts w:hint="eastAsia" w:hAnsi="宋体"/>
                <w:sz w:val="24"/>
              </w:rPr>
              <w:t>学历和专业</w:t>
            </w:r>
          </w:p>
        </w:tc>
        <w:tc>
          <w:tcPr>
            <w:tcW w:w="4884" w:type="dxa"/>
            <w:vAlign w:val="center"/>
          </w:tcPr>
          <w:p>
            <w:pPr>
              <w:spacing w:line="640" w:lineRule="exact"/>
              <w:rPr>
                <w:rFonts w:hAnsi="宋体"/>
                <w:sz w:val="24"/>
              </w:rPr>
            </w:pPr>
            <w:r>
              <w:rPr>
                <w:rFonts w:hint="eastAsia" w:hAnsi="宋体"/>
                <w:sz w:val="24"/>
              </w:rPr>
              <w:t>毕业时间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3" w:hRule="atLeast"/>
        </w:trPr>
        <w:tc>
          <w:tcPr>
            <w:tcW w:w="4630" w:type="dxa"/>
            <w:gridSpan w:val="2"/>
            <w:vAlign w:val="center"/>
          </w:tcPr>
          <w:p>
            <w:pPr>
              <w:spacing w:line="640" w:lineRule="exact"/>
              <w:rPr>
                <w:rFonts w:hAnsi="宋体"/>
                <w:sz w:val="24"/>
              </w:rPr>
            </w:pPr>
            <w:r>
              <w:rPr>
                <w:rFonts w:hint="eastAsia" w:hAnsi="宋体"/>
                <w:sz w:val="24"/>
              </w:rPr>
              <w:t>拥有的执业资格</w:t>
            </w:r>
          </w:p>
        </w:tc>
        <w:tc>
          <w:tcPr>
            <w:tcW w:w="4884" w:type="dxa"/>
            <w:vAlign w:val="center"/>
          </w:tcPr>
          <w:p>
            <w:pPr>
              <w:spacing w:line="640" w:lineRule="exact"/>
              <w:rPr>
                <w:rFonts w:hAnsi="宋体"/>
                <w:sz w:val="24"/>
              </w:rPr>
            </w:pPr>
            <w:r>
              <w:rPr>
                <w:rFonts w:hint="eastAsia" w:hAnsi="宋体"/>
                <w:sz w:val="24"/>
              </w:rPr>
              <w:t>专业职称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8" w:hRule="atLeast"/>
        </w:trPr>
        <w:tc>
          <w:tcPr>
            <w:tcW w:w="4630" w:type="dxa"/>
            <w:gridSpan w:val="2"/>
            <w:vAlign w:val="center"/>
          </w:tcPr>
          <w:p>
            <w:pPr>
              <w:spacing w:line="640" w:lineRule="exact"/>
              <w:rPr>
                <w:rFonts w:hAnsi="宋体"/>
                <w:sz w:val="24"/>
              </w:rPr>
            </w:pPr>
            <w:r>
              <w:rPr>
                <w:rFonts w:hint="eastAsia" w:hAnsi="宋体"/>
                <w:sz w:val="24"/>
              </w:rPr>
              <w:t>执业资格证书编号</w:t>
            </w:r>
          </w:p>
        </w:tc>
        <w:tc>
          <w:tcPr>
            <w:tcW w:w="4884" w:type="dxa"/>
            <w:vAlign w:val="center"/>
          </w:tcPr>
          <w:p>
            <w:pPr>
              <w:spacing w:line="640" w:lineRule="exact"/>
              <w:rPr>
                <w:rFonts w:hAnsi="宋体"/>
                <w:sz w:val="24"/>
              </w:rPr>
            </w:pPr>
            <w:r>
              <w:rPr>
                <w:rFonts w:hint="eastAsia" w:hAnsi="宋体"/>
                <w:sz w:val="24"/>
              </w:rPr>
              <w:t>工作年限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36" w:hRule="atLeast"/>
        </w:trPr>
        <w:tc>
          <w:tcPr>
            <w:tcW w:w="1530" w:type="dxa"/>
          </w:tcPr>
          <w:p>
            <w:pPr>
              <w:rPr>
                <w:rFonts w:hAnsi="宋体"/>
                <w:sz w:val="24"/>
              </w:rPr>
            </w:pPr>
            <w:r>
              <w:rPr>
                <w:rFonts w:hint="eastAsia" w:hAnsi="宋体"/>
                <w:sz w:val="24"/>
              </w:rPr>
              <w:t>主要</w:t>
            </w:r>
          </w:p>
          <w:p>
            <w:pPr>
              <w:rPr>
                <w:rFonts w:hAnsi="宋体"/>
                <w:sz w:val="24"/>
              </w:rPr>
            </w:pPr>
            <w:r>
              <w:rPr>
                <w:rFonts w:hint="eastAsia" w:hAnsi="宋体"/>
                <w:sz w:val="24"/>
              </w:rPr>
              <w:t>工作</w:t>
            </w:r>
          </w:p>
          <w:p>
            <w:pPr>
              <w:rPr>
                <w:rFonts w:hAnsi="宋体"/>
                <w:sz w:val="24"/>
              </w:rPr>
            </w:pPr>
            <w:r>
              <w:rPr>
                <w:rFonts w:hint="eastAsia" w:hAnsi="宋体"/>
                <w:sz w:val="24"/>
              </w:rPr>
              <w:t>业绩</w:t>
            </w:r>
          </w:p>
          <w:p>
            <w:pPr>
              <w:rPr>
                <w:rFonts w:hAnsi="宋体"/>
                <w:sz w:val="24"/>
              </w:rPr>
            </w:pPr>
            <w:r>
              <w:rPr>
                <w:rFonts w:hint="eastAsia" w:hAnsi="宋体"/>
                <w:sz w:val="24"/>
              </w:rPr>
              <w:t>及担</w:t>
            </w:r>
          </w:p>
          <w:p>
            <w:pPr>
              <w:rPr>
                <w:rFonts w:hAnsi="宋体"/>
                <w:sz w:val="24"/>
              </w:rPr>
            </w:pPr>
            <w:r>
              <w:rPr>
                <w:rFonts w:hint="eastAsia" w:hAnsi="宋体"/>
                <w:sz w:val="24"/>
              </w:rPr>
              <w:t>任的</w:t>
            </w:r>
          </w:p>
          <w:p>
            <w:pPr>
              <w:rPr>
                <w:rFonts w:hAnsi="宋体"/>
                <w:sz w:val="24"/>
              </w:rPr>
            </w:pPr>
            <w:r>
              <w:rPr>
                <w:rFonts w:hint="eastAsia" w:hAnsi="宋体"/>
                <w:sz w:val="24"/>
              </w:rPr>
              <w:t>主要</w:t>
            </w:r>
          </w:p>
          <w:p>
            <w:pPr>
              <w:rPr>
                <w:rFonts w:hAnsi="宋体"/>
                <w:sz w:val="24"/>
              </w:rPr>
            </w:pPr>
            <w:r>
              <w:rPr>
                <w:rFonts w:hint="eastAsia" w:hAnsi="宋体"/>
                <w:sz w:val="24"/>
              </w:rPr>
              <w:t>工作</w:t>
            </w:r>
          </w:p>
        </w:tc>
        <w:tc>
          <w:tcPr>
            <w:tcW w:w="7984" w:type="dxa"/>
            <w:gridSpan w:val="2"/>
          </w:tcPr>
          <w:p>
            <w:pPr>
              <w:rPr>
                <w:rFonts w:hAnsi="宋体"/>
                <w:sz w:val="24"/>
              </w:rPr>
            </w:pPr>
          </w:p>
        </w:tc>
      </w:tr>
    </w:tbl>
    <w:p>
      <w:pPr>
        <w:rPr>
          <w:rFonts w:ascii="黑体" w:hAnsi="宋体" w:eastAsia="黑体"/>
          <w:sz w:val="24"/>
        </w:rPr>
      </w:pPr>
    </w:p>
    <w:p>
      <w:pPr>
        <w:rPr>
          <w:rFonts w:ascii="黑体" w:hAnsi="宋体" w:eastAsia="黑体"/>
          <w:sz w:val="24"/>
        </w:rPr>
      </w:pPr>
    </w:p>
    <w:p>
      <w:pPr>
        <w:rPr>
          <w:rFonts w:ascii="黑体" w:hAnsi="宋体" w:eastAsia="黑体"/>
          <w:sz w:val="24"/>
        </w:rPr>
      </w:pPr>
      <w:r>
        <w:rPr>
          <w:rFonts w:hint="eastAsia" w:ascii="黑体" w:hAnsi="宋体" w:eastAsia="黑体"/>
          <w:sz w:val="24"/>
        </w:rPr>
        <w:t>附3：承诺书</w:t>
      </w:r>
    </w:p>
    <w:p>
      <w:pPr>
        <w:jc w:val="center"/>
        <w:rPr>
          <w:rFonts w:ascii="黑体" w:hAnsi="宋体" w:eastAsia="黑体"/>
          <w:sz w:val="24"/>
        </w:rPr>
      </w:pPr>
      <w:r>
        <w:rPr>
          <w:rFonts w:hint="eastAsia" w:ascii="黑体" w:hAnsi="宋体" w:eastAsia="黑体"/>
          <w:sz w:val="24"/>
        </w:rPr>
        <w:t>承诺书</w:t>
      </w:r>
    </w:p>
    <w:p>
      <w:pPr>
        <w:spacing w:afterLines="100" w:line="440" w:lineRule="exact"/>
        <w:rPr>
          <w:rFonts w:hAnsi="宋体"/>
          <w:sz w:val="24"/>
        </w:rPr>
      </w:pPr>
      <w:r>
        <w:rPr>
          <w:rFonts w:hint="eastAsia" w:hAnsi="宋体"/>
          <w:position w:val="-7"/>
          <w:sz w:val="24"/>
        </w:rPr>
        <w:t>————————</w:t>
      </w:r>
      <w:r>
        <w:rPr>
          <w:rFonts w:hint="eastAsia" w:hAnsi="宋体"/>
          <w:sz w:val="24"/>
        </w:rPr>
        <w:t>（招标人名称）：</w:t>
      </w:r>
    </w:p>
    <w:p>
      <w:pPr>
        <w:spacing w:line="440" w:lineRule="exact"/>
        <w:ind w:firstLine="480" w:firstLineChars="200"/>
        <w:rPr>
          <w:rFonts w:hAnsi="宋体"/>
          <w:sz w:val="24"/>
        </w:rPr>
      </w:pPr>
      <w:r>
        <w:rPr>
          <w:rFonts w:hint="eastAsia" w:hAnsi="宋体"/>
          <w:sz w:val="24"/>
        </w:rPr>
        <w:t>我方在此声明，我方拟派往（项目名称）（以下简称“本工程”）的</w:t>
      </w:r>
      <w:r>
        <w:rPr>
          <w:rFonts w:hint="eastAsia"/>
          <w:sz w:val="24"/>
        </w:rPr>
        <w:t>项目负责人</w:t>
      </w:r>
      <w:r>
        <w:rPr>
          <w:rFonts w:hint="eastAsia" w:hAnsi="宋体"/>
          <w:sz w:val="24"/>
        </w:rPr>
        <w:t>（</w:t>
      </w:r>
      <w:r>
        <w:rPr>
          <w:rFonts w:hint="eastAsia"/>
          <w:sz w:val="24"/>
        </w:rPr>
        <w:t>项目负责人</w:t>
      </w:r>
      <w:r>
        <w:rPr>
          <w:rFonts w:hint="eastAsia" w:hAnsi="宋体"/>
          <w:sz w:val="24"/>
        </w:rPr>
        <w:t>姓名）现阶段没有担任任何在施建设工程项目的</w:t>
      </w:r>
      <w:r>
        <w:rPr>
          <w:rFonts w:hint="eastAsia"/>
          <w:sz w:val="24"/>
        </w:rPr>
        <w:t>项目负责人</w:t>
      </w:r>
      <w:r>
        <w:rPr>
          <w:rFonts w:hint="eastAsia" w:hAnsi="宋体"/>
          <w:sz w:val="24"/>
        </w:rPr>
        <w:t>。</w:t>
      </w:r>
    </w:p>
    <w:p>
      <w:pPr>
        <w:spacing w:line="440" w:lineRule="exact"/>
        <w:ind w:firstLine="480" w:firstLineChars="200"/>
        <w:rPr>
          <w:rFonts w:hAnsi="宋体"/>
          <w:sz w:val="24"/>
        </w:rPr>
      </w:pPr>
      <w:r>
        <w:rPr>
          <w:rFonts w:hint="eastAsia" w:hAnsi="宋体"/>
          <w:sz w:val="24"/>
        </w:rPr>
        <w:t>我方保证上述信息的真实和准确，并愿意承担因我方就此弄虚作假所引起的一切法律后果。</w:t>
      </w:r>
    </w:p>
    <w:p>
      <w:pPr>
        <w:spacing w:line="440" w:lineRule="exact"/>
        <w:ind w:firstLine="480" w:firstLineChars="200"/>
        <w:rPr>
          <w:rFonts w:hAnsi="宋体"/>
          <w:sz w:val="24"/>
        </w:rPr>
      </w:pPr>
      <w:r>
        <w:rPr>
          <w:rFonts w:hint="eastAsia" w:hAnsi="宋体"/>
          <w:sz w:val="24"/>
        </w:rPr>
        <w:t>特此承诺</w:t>
      </w:r>
    </w:p>
    <w:p>
      <w:pPr>
        <w:spacing w:line="440" w:lineRule="exact"/>
        <w:jc w:val="center"/>
        <w:rPr>
          <w:rFonts w:hAnsi="宋体"/>
          <w:sz w:val="24"/>
        </w:rPr>
      </w:pPr>
      <w:r>
        <w:rPr>
          <w:rFonts w:hint="eastAsia" w:hAnsi="宋体"/>
          <w:sz w:val="24"/>
          <w:lang w:val="en-US" w:eastAsia="zh-CN"/>
        </w:rPr>
        <w:t xml:space="preserve">                                          </w:t>
      </w:r>
      <w:r>
        <w:rPr>
          <w:rFonts w:hint="eastAsia" w:hAnsi="宋体"/>
          <w:sz w:val="24"/>
        </w:rPr>
        <w:t>投标人：（盖单位章）</w:t>
      </w:r>
    </w:p>
    <w:p>
      <w:pPr>
        <w:spacing w:line="440" w:lineRule="exact"/>
        <w:ind w:right="315"/>
        <w:jc w:val="right"/>
        <w:rPr>
          <w:rFonts w:hAnsi="宋体"/>
          <w:sz w:val="24"/>
        </w:rPr>
      </w:pPr>
      <w:r>
        <w:rPr>
          <w:rFonts w:hint="eastAsia" w:hAnsi="宋体"/>
          <w:sz w:val="24"/>
          <w:lang w:val="en-US" w:eastAsia="zh-CN"/>
        </w:rPr>
        <w:t xml:space="preserve">  </w:t>
      </w:r>
      <w:r>
        <w:rPr>
          <w:rFonts w:hint="eastAsia" w:hAnsi="宋体"/>
          <w:sz w:val="24"/>
        </w:rPr>
        <w:t>法定代表人：（签字或盖章）</w:t>
      </w:r>
    </w:p>
    <w:p>
      <w:pPr>
        <w:spacing w:line="440" w:lineRule="exact"/>
        <w:jc w:val="center"/>
        <w:rPr>
          <w:rFonts w:hAnsi="宋体"/>
          <w:sz w:val="24"/>
        </w:rPr>
      </w:pPr>
      <w:r>
        <w:rPr>
          <w:rFonts w:hint="eastAsia" w:hAnsi="宋体"/>
          <w:sz w:val="24"/>
          <w:lang w:val="en-US" w:eastAsia="zh-CN"/>
        </w:rPr>
        <w:t xml:space="preserve">                                                    </w:t>
      </w:r>
      <w:r>
        <w:rPr>
          <w:rFonts w:hint="eastAsia" w:hAnsi="宋体"/>
          <w:sz w:val="24"/>
        </w:rPr>
        <w:t>年月日</w:t>
      </w: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b/>
          <w:sz w:val="32"/>
        </w:rPr>
      </w:pPr>
    </w:p>
    <w:p>
      <w:pPr>
        <w:autoSpaceDE w:val="0"/>
        <w:autoSpaceDN w:val="0"/>
        <w:adjustRightInd w:val="0"/>
        <w:spacing w:line="360" w:lineRule="auto"/>
        <w:ind w:right="215" w:firstLine="420"/>
        <w:jc w:val="center"/>
        <w:rPr>
          <w:rFonts w:hAnsi="宋体"/>
          <w:sz w:val="24"/>
        </w:rPr>
      </w:pPr>
      <w:r>
        <w:rPr>
          <w:rFonts w:hint="eastAsia" w:hAnsi="宋体"/>
          <w:b/>
          <w:sz w:val="32"/>
        </w:rPr>
        <w:t>六、</w:t>
      </w:r>
      <w:r>
        <w:rPr>
          <w:rFonts w:hint="eastAsia" w:hAnsi="宋体"/>
          <w:b/>
          <w:sz w:val="32"/>
          <w:szCs w:val="32"/>
        </w:rPr>
        <w:t>投标单位基本信息表</w:t>
      </w:r>
    </w:p>
    <w:p>
      <w:pPr>
        <w:autoSpaceDE w:val="0"/>
        <w:autoSpaceDN w:val="0"/>
        <w:adjustRightInd w:val="0"/>
        <w:spacing w:line="360" w:lineRule="auto"/>
        <w:ind w:right="215" w:firstLine="420"/>
        <w:jc w:val="center"/>
        <w:rPr>
          <w:rFonts w:hAnsi="宋体"/>
          <w:b/>
          <w:sz w:val="28"/>
        </w:rPr>
      </w:pPr>
    </w:p>
    <w:tbl>
      <w:tblPr>
        <w:tblStyle w:val="29"/>
        <w:tblW w:w="94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2"/>
        <w:gridCol w:w="1249"/>
        <w:gridCol w:w="1249"/>
        <w:gridCol w:w="1249"/>
        <w:gridCol w:w="502"/>
        <w:gridCol w:w="553"/>
        <w:gridCol w:w="555"/>
        <w:gridCol w:w="1100"/>
        <w:gridCol w:w="12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投标人名称</w:t>
            </w:r>
          </w:p>
        </w:tc>
        <w:tc>
          <w:tcPr>
            <w:tcW w:w="7707" w:type="dxa"/>
            <w:gridSpan w:val="8"/>
            <w:vAlign w:val="center"/>
          </w:tcPr>
          <w:p>
            <w:pPr>
              <w:autoSpaceDE w:val="0"/>
              <w:autoSpaceDN w:val="0"/>
              <w:adjustRightInd w:val="0"/>
              <w:spacing w:line="360" w:lineRule="auto"/>
              <w:ind w:left="41" w:right="215" w:hanging="40" w:hangingChars="17"/>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注册地址</w:t>
            </w:r>
          </w:p>
        </w:tc>
        <w:tc>
          <w:tcPr>
            <w:tcW w:w="4802" w:type="dxa"/>
            <w:gridSpan w:val="5"/>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邮政编码</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联系方式</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联系人</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trPr>
        <w:tc>
          <w:tcPr>
            <w:tcW w:w="1772" w:type="dxa"/>
            <w:vMerge w:val="continue"/>
            <w:vAlign w:val="center"/>
          </w:tcPr>
          <w:p>
            <w:pPr>
              <w:autoSpaceDE w:val="0"/>
              <w:autoSpaceDN w:val="0"/>
              <w:adjustRightInd w:val="0"/>
              <w:spacing w:line="360" w:lineRule="auto"/>
              <w:ind w:right="215"/>
              <w:jc w:val="center"/>
              <w:rPr>
                <w:rFonts w:hAnsi="宋体"/>
                <w:sz w:val="24"/>
              </w:rPr>
            </w:pP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传真</w:t>
            </w:r>
          </w:p>
        </w:tc>
        <w:tc>
          <w:tcPr>
            <w:tcW w:w="3553" w:type="dxa"/>
            <w:gridSpan w:val="4"/>
            <w:vAlign w:val="center"/>
          </w:tcPr>
          <w:p>
            <w:pPr>
              <w:autoSpaceDE w:val="0"/>
              <w:autoSpaceDN w:val="0"/>
              <w:adjustRightInd w:val="0"/>
              <w:spacing w:line="360" w:lineRule="auto"/>
              <w:ind w:right="215"/>
              <w:jc w:val="center"/>
              <w:rPr>
                <w:rFonts w:hAnsi="宋体"/>
                <w:sz w:val="24"/>
              </w:rPr>
            </w:pPr>
          </w:p>
        </w:tc>
        <w:tc>
          <w:tcPr>
            <w:tcW w:w="1655"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网址</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组织结构</w:t>
            </w:r>
          </w:p>
        </w:tc>
        <w:tc>
          <w:tcPr>
            <w:tcW w:w="7707" w:type="dxa"/>
            <w:gridSpan w:val="8"/>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法定代表人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1249" w:type="dxa"/>
            <w:vAlign w:val="center"/>
          </w:tcPr>
          <w:p>
            <w:pPr>
              <w:autoSpaceDE w:val="0"/>
              <w:autoSpaceDN w:val="0"/>
              <w:adjustRightInd w:val="0"/>
              <w:spacing w:line="360" w:lineRule="auto"/>
              <w:ind w:right="215"/>
              <w:jc w:val="center"/>
              <w:rPr>
                <w:rFonts w:hAnsi="宋体"/>
                <w:sz w:val="24"/>
              </w:rPr>
            </w:pPr>
            <w:r>
              <w:rPr>
                <w:rFonts w:hint="eastAsia" w:hAnsi="宋体"/>
                <w:sz w:val="24"/>
              </w:rPr>
              <w:t>姓名</w:t>
            </w:r>
          </w:p>
        </w:tc>
        <w:tc>
          <w:tcPr>
            <w:tcW w:w="1249" w:type="dxa"/>
            <w:vAlign w:val="center"/>
          </w:tcPr>
          <w:p>
            <w:pPr>
              <w:autoSpaceDE w:val="0"/>
              <w:autoSpaceDN w:val="0"/>
              <w:adjustRightInd w:val="0"/>
              <w:spacing w:line="360" w:lineRule="auto"/>
              <w:ind w:right="215"/>
              <w:jc w:val="center"/>
              <w:rPr>
                <w:rFonts w:hAnsi="宋体"/>
                <w:sz w:val="24"/>
              </w:rPr>
            </w:pPr>
          </w:p>
        </w:tc>
        <w:tc>
          <w:tcPr>
            <w:tcW w:w="1751" w:type="dxa"/>
            <w:gridSpan w:val="2"/>
            <w:vAlign w:val="center"/>
          </w:tcPr>
          <w:p>
            <w:pPr>
              <w:autoSpaceDE w:val="0"/>
              <w:autoSpaceDN w:val="0"/>
              <w:adjustRightInd w:val="0"/>
              <w:spacing w:line="360" w:lineRule="auto"/>
              <w:ind w:right="215"/>
              <w:jc w:val="center"/>
              <w:rPr>
                <w:rFonts w:hAnsi="宋体"/>
                <w:sz w:val="24"/>
              </w:rPr>
            </w:pPr>
            <w:r>
              <w:rPr>
                <w:rFonts w:hint="eastAsia" w:hAnsi="宋体"/>
                <w:sz w:val="24"/>
              </w:rPr>
              <w:t>技术职称</w:t>
            </w:r>
          </w:p>
        </w:tc>
        <w:tc>
          <w:tcPr>
            <w:tcW w:w="1108" w:type="dxa"/>
            <w:gridSpan w:val="2"/>
            <w:vAlign w:val="center"/>
          </w:tcPr>
          <w:p>
            <w:pPr>
              <w:autoSpaceDE w:val="0"/>
              <w:autoSpaceDN w:val="0"/>
              <w:adjustRightInd w:val="0"/>
              <w:spacing w:line="360" w:lineRule="auto"/>
              <w:ind w:right="215"/>
              <w:jc w:val="center"/>
              <w:rPr>
                <w:rFonts w:hAnsi="宋体"/>
                <w:sz w:val="24"/>
              </w:rPr>
            </w:pPr>
          </w:p>
        </w:tc>
        <w:tc>
          <w:tcPr>
            <w:tcW w:w="1100" w:type="dxa"/>
            <w:vAlign w:val="center"/>
          </w:tcPr>
          <w:p>
            <w:pPr>
              <w:autoSpaceDE w:val="0"/>
              <w:autoSpaceDN w:val="0"/>
              <w:adjustRightInd w:val="0"/>
              <w:spacing w:line="360" w:lineRule="auto"/>
              <w:ind w:right="215"/>
              <w:jc w:val="center"/>
              <w:rPr>
                <w:rFonts w:hAnsi="宋体"/>
                <w:sz w:val="24"/>
              </w:rPr>
            </w:pPr>
            <w:r>
              <w:rPr>
                <w:rFonts w:hint="eastAsia" w:hAnsi="宋体"/>
                <w:sz w:val="24"/>
              </w:rPr>
              <w:t>电话</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成立时间</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5209" w:type="dxa"/>
            <w:gridSpan w:val="6"/>
            <w:vAlign w:val="center"/>
          </w:tcPr>
          <w:p>
            <w:pPr>
              <w:autoSpaceDE w:val="0"/>
              <w:autoSpaceDN w:val="0"/>
              <w:adjustRightInd w:val="0"/>
              <w:spacing w:line="360" w:lineRule="auto"/>
              <w:ind w:right="215"/>
              <w:jc w:val="center"/>
              <w:rPr>
                <w:rFonts w:hAnsi="宋体"/>
                <w:sz w:val="24"/>
              </w:rPr>
            </w:pPr>
            <w:r>
              <w:rPr>
                <w:rFonts w:hint="eastAsia" w:hAnsi="宋体"/>
                <w:sz w:val="24"/>
              </w:rPr>
              <w:t>员工总人数：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企业资质等级</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restart"/>
            <w:vAlign w:val="center"/>
          </w:tcPr>
          <w:p>
            <w:pPr>
              <w:autoSpaceDE w:val="0"/>
              <w:autoSpaceDN w:val="0"/>
              <w:adjustRightInd w:val="0"/>
              <w:spacing w:line="360" w:lineRule="auto"/>
              <w:ind w:right="215"/>
              <w:jc w:val="center"/>
              <w:rPr>
                <w:rFonts w:hAnsi="宋体"/>
                <w:sz w:val="24"/>
              </w:rPr>
            </w:pPr>
            <w:r>
              <w:rPr>
                <w:rFonts w:hint="eastAsia" w:hAnsi="宋体"/>
                <w:sz w:val="24"/>
              </w:rPr>
              <w:t>其中</w:t>
            </w: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营业执照号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高级职称人员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注册资金</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中级职称人员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开户银行</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初级职称人员</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9"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账号</w:t>
            </w:r>
          </w:p>
        </w:tc>
        <w:tc>
          <w:tcPr>
            <w:tcW w:w="2498" w:type="dxa"/>
            <w:gridSpan w:val="2"/>
            <w:vAlign w:val="center"/>
          </w:tcPr>
          <w:p>
            <w:pPr>
              <w:autoSpaceDE w:val="0"/>
              <w:autoSpaceDN w:val="0"/>
              <w:adjustRightInd w:val="0"/>
              <w:spacing w:line="360" w:lineRule="auto"/>
              <w:ind w:right="215"/>
              <w:jc w:val="center"/>
              <w:rPr>
                <w:rFonts w:hAnsi="宋体"/>
                <w:sz w:val="24"/>
              </w:rPr>
            </w:pPr>
          </w:p>
        </w:tc>
        <w:tc>
          <w:tcPr>
            <w:tcW w:w="1249" w:type="dxa"/>
            <w:vMerge w:val="continue"/>
            <w:vAlign w:val="center"/>
          </w:tcPr>
          <w:p>
            <w:pPr>
              <w:autoSpaceDE w:val="0"/>
              <w:autoSpaceDN w:val="0"/>
              <w:adjustRightInd w:val="0"/>
              <w:spacing w:line="360" w:lineRule="auto"/>
              <w:ind w:right="215"/>
              <w:jc w:val="center"/>
              <w:rPr>
                <w:rFonts w:hAnsi="宋体"/>
                <w:sz w:val="24"/>
              </w:rPr>
            </w:pPr>
          </w:p>
        </w:tc>
        <w:tc>
          <w:tcPr>
            <w:tcW w:w="2710" w:type="dxa"/>
            <w:gridSpan w:val="4"/>
            <w:vAlign w:val="center"/>
          </w:tcPr>
          <w:p>
            <w:pPr>
              <w:autoSpaceDE w:val="0"/>
              <w:autoSpaceDN w:val="0"/>
              <w:adjustRightInd w:val="0"/>
              <w:spacing w:line="360" w:lineRule="auto"/>
              <w:ind w:right="215"/>
              <w:jc w:val="center"/>
              <w:rPr>
                <w:rFonts w:hAnsi="宋体"/>
                <w:sz w:val="24"/>
              </w:rPr>
            </w:pPr>
            <w:r>
              <w:rPr>
                <w:rFonts w:hint="eastAsia" w:hAnsi="宋体"/>
                <w:sz w:val="24"/>
              </w:rPr>
              <w:t>技工</w:t>
            </w:r>
          </w:p>
        </w:tc>
        <w:tc>
          <w:tcPr>
            <w:tcW w:w="1250"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4"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经营范围</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 w:hRule="atLeast"/>
        </w:trPr>
        <w:tc>
          <w:tcPr>
            <w:tcW w:w="1772"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7707" w:type="dxa"/>
            <w:gridSpan w:val="8"/>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bl>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rPr>
          <w:rFonts w:hAnsi="宋体"/>
          <w:sz w:val="24"/>
        </w:rPr>
      </w:pPr>
    </w:p>
    <w:p>
      <w:pPr>
        <w:autoSpaceDE w:val="0"/>
        <w:autoSpaceDN w:val="0"/>
        <w:adjustRightInd w:val="0"/>
        <w:spacing w:line="360" w:lineRule="auto"/>
        <w:ind w:right="215" w:firstLine="420"/>
        <w:jc w:val="center"/>
        <w:rPr>
          <w:rFonts w:hAnsi="宋体"/>
          <w:b/>
          <w:sz w:val="28"/>
        </w:rPr>
      </w:pPr>
      <w:r>
        <w:rPr>
          <w:rFonts w:hint="eastAsia" w:hAnsi="宋体"/>
          <w:b/>
          <w:sz w:val="32"/>
        </w:rPr>
        <w:t>七、</w:t>
      </w:r>
      <w:r>
        <w:rPr>
          <w:rFonts w:hint="eastAsia" w:hAnsi="宋体"/>
          <w:b/>
          <w:sz w:val="32"/>
          <w:szCs w:val="32"/>
        </w:rPr>
        <w:t>资格证明文件</w:t>
      </w:r>
    </w:p>
    <w:p>
      <w:pPr>
        <w:autoSpaceDE w:val="0"/>
        <w:autoSpaceDN w:val="0"/>
        <w:adjustRightInd w:val="0"/>
        <w:spacing w:line="360" w:lineRule="auto"/>
        <w:ind w:right="215" w:firstLine="420"/>
        <w:jc w:val="center"/>
        <w:rPr>
          <w:rFonts w:hAnsi="宋体"/>
          <w:sz w:val="24"/>
        </w:rPr>
      </w:pPr>
      <w:r>
        <w:rPr>
          <w:rFonts w:hint="eastAsia" w:hAnsi="宋体"/>
          <w:sz w:val="24"/>
        </w:rPr>
        <w:t>（附原件扫描件或图片）</w:t>
      </w:r>
    </w:p>
    <w:p>
      <w:pPr>
        <w:autoSpaceDE w:val="0"/>
        <w:autoSpaceDN w:val="0"/>
        <w:adjustRightInd w:val="0"/>
        <w:spacing w:line="360" w:lineRule="auto"/>
        <w:ind w:right="215" w:firstLine="420"/>
        <w:jc w:val="center"/>
        <w:rPr>
          <w:rFonts w:hAnsi="宋体"/>
          <w:b/>
          <w:sz w:val="32"/>
          <w:szCs w:val="32"/>
        </w:rPr>
      </w:pPr>
    </w:p>
    <w:p>
      <w:pPr>
        <w:autoSpaceDE w:val="0"/>
        <w:autoSpaceDN w:val="0"/>
        <w:adjustRightInd w:val="0"/>
        <w:spacing w:line="360" w:lineRule="auto"/>
        <w:ind w:right="215" w:firstLine="420"/>
        <w:jc w:val="center"/>
        <w:rPr>
          <w:rFonts w:hAnsi="宋体"/>
          <w:b/>
          <w:sz w:val="32"/>
          <w:szCs w:val="32"/>
        </w:rPr>
      </w:pPr>
      <w:r>
        <w:rPr>
          <w:rFonts w:hint="eastAsia" w:hAnsi="宋体"/>
          <w:b/>
          <w:sz w:val="32"/>
          <w:szCs w:val="32"/>
        </w:rPr>
        <w:t>八、正在施工的和新承接的项目情况</w:t>
      </w:r>
    </w:p>
    <w:p>
      <w:pPr>
        <w:autoSpaceDE w:val="0"/>
        <w:autoSpaceDN w:val="0"/>
        <w:adjustRightInd w:val="0"/>
        <w:spacing w:line="360" w:lineRule="auto"/>
        <w:ind w:right="215" w:firstLine="420"/>
        <w:jc w:val="center"/>
        <w:rPr>
          <w:rFonts w:hAnsi="宋体"/>
          <w:b/>
          <w:sz w:val="32"/>
          <w:szCs w:val="32"/>
        </w:rPr>
      </w:pPr>
    </w:p>
    <w:tbl>
      <w:tblPr>
        <w:tblStyle w:val="29"/>
        <w:tblW w:w="894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73"/>
        <w:gridCol w:w="66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签约合同价</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9"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计划竣工日期</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1" w:hRule="atLeast"/>
          <w:jc w:val="center"/>
        </w:trPr>
        <w:tc>
          <w:tcPr>
            <w:tcW w:w="2273"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1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675"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4" w:hRule="atLeast"/>
          <w:jc w:val="center"/>
        </w:trPr>
        <w:tc>
          <w:tcPr>
            <w:tcW w:w="2273"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675"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jc w:val="center"/>
        <w:rPr>
          <w:rFonts w:hAnsi="宋体" w:cs="仿宋_GB2312"/>
          <w:b/>
          <w:sz w:val="32"/>
          <w:szCs w:val="32"/>
        </w:rPr>
      </w:pPr>
      <w:r>
        <w:rPr>
          <w:rFonts w:hint="eastAsia" w:hAnsi="宋体" w:cs="仿宋_GB2312"/>
          <w:b/>
          <w:sz w:val="32"/>
          <w:szCs w:val="32"/>
        </w:rPr>
        <w:t>九、其它材料（包含但不仅限于以下内容）</w:t>
      </w:r>
    </w:p>
    <w:p>
      <w:pPr>
        <w:autoSpaceDE w:val="0"/>
        <w:autoSpaceDN w:val="0"/>
        <w:adjustRightInd w:val="0"/>
        <w:spacing w:line="360" w:lineRule="auto"/>
        <w:ind w:right="215" w:firstLine="420"/>
        <w:rPr>
          <w:rFonts w:hAnsi="宋体"/>
          <w:b/>
          <w:sz w:val="30"/>
          <w:szCs w:val="30"/>
        </w:rPr>
      </w:pPr>
      <w:r>
        <w:rPr>
          <w:rFonts w:hint="eastAsia" w:hAnsi="宋体"/>
          <w:b/>
          <w:sz w:val="30"/>
          <w:szCs w:val="30"/>
        </w:rPr>
        <w:t>1、完成的类似项目情况</w:t>
      </w:r>
    </w:p>
    <w:tbl>
      <w:tblPr>
        <w:tblStyle w:val="29"/>
        <w:tblpPr w:leftFromText="180" w:rightFromText="180" w:vertAnchor="text" w:horzAnchor="margin" w:tblpY="316"/>
        <w:tblW w:w="92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49"/>
        <w:gridCol w:w="68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项目所在地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发包人名称</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发包人地址</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发包人电话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合同价格</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开工日期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竣工日期</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承担的工作</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工程质量</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sz w:val="24"/>
              </w:rPr>
              <w:t>项目负责人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技术负责人</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2" w:hRule="atLeast"/>
        </w:trPr>
        <w:tc>
          <w:tcPr>
            <w:tcW w:w="2349" w:type="dxa"/>
            <w:vAlign w:val="center"/>
          </w:tcPr>
          <w:p>
            <w:pPr>
              <w:autoSpaceDE w:val="0"/>
              <w:autoSpaceDN w:val="0"/>
              <w:adjustRightInd w:val="0"/>
              <w:spacing w:line="360" w:lineRule="auto"/>
              <w:ind w:right="215"/>
              <w:jc w:val="center"/>
              <w:rPr>
                <w:rFonts w:hAnsi="宋体"/>
                <w:spacing w:val="-20"/>
                <w:sz w:val="24"/>
              </w:rPr>
            </w:pPr>
            <w:r>
              <w:rPr>
                <w:rFonts w:hint="eastAsia" w:hAnsi="宋体"/>
                <w:spacing w:val="-20"/>
                <w:sz w:val="24"/>
              </w:rPr>
              <w:t>总监理工程师及电话</w:t>
            </w:r>
          </w:p>
        </w:tc>
        <w:tc>
          <w:tcPr>
            <w:tcW w:w="6899" w:type="dxa"/>
            <w:vAlign w:val="center"/>
          </w:tcPr>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5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项目描述</w:t>
            </w:r>
          </w:p>
        </w:tc>
        <w:tc>
          <w:tcPr>
            <w:tcW w:w="6899" w:type="dxa"/>
            <w:vAlign w:val="center"/>
          </w:tcPr>
          <w:p>
            <w:pPr>
              <w:autoSpaceDE w:val="0"/>
              <w:autoSpaceDN w:val="0"/>
              <w:adjustRightInd w:val="0"/>
              <w:spacing w:line="360" w:lineRule="auto"/>
              <w:ind w:right="215"/>
              <w:rPr>
                <w:rFonts w:hAnsi="宋体"/>
                <w:sz w:val="24"/>
              </w:rPr>
            </w:pPr>
          </w:p>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jc w:val="center"/>
              <w:rPr>
                <w:rFonts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0" w:hRule="atLeast"/>
        </w:trPr>
        <w:tc>
          <w:tcPr>
            <w:tcW w:w="2349" w:type="dxa"/>
            <w:vAlign w:val="center"/>
          </w:tcPr>
          <w:p>
            <w:pPr>
              <w:autoSpaceDE w:val="0"/>
              <w:autoSpaceDN w:val="0"/>
              <w:adjustRightInd w:val="0"/>
              <w:spacing w:line="360" w:lineRule="auto"/>
              <w:ind w:right="215"/>
              <w:jc w:val="center"/>
              <w:rPr>
                <w:rFonts w:hAnsi="宋体"/>
                <w:sz w:val="24"/>
              </w:rPr>
            </w:pPr>
            <w:r>
              <w:rPr>
                <w:rFonts w:hint="eastAsia" w:hAnsi="宋体"/>
                <w:sz w:val="24"/>
              </w:rPr>
              <w:t>备注</w:t>
            </w:r>
          </w:p>
        </w:tc>
        <w:tc>
          <w:tcPr>
            <w:tcW w:w="6899" w:type="dxa"/>
            <w:vAlign w:val="center"/>
          </w:tcPr>
          <w:p>
            <w:pPr>
              <w:autoSpaceDE w:val="0"/>
              <w:autoSpaceDN w:val="0"/>
              <w:adjustRightInd w:val="0"/>
              <w:spacing w:line="360" w:lineRule="auto"/>
              <w:ind w:right="215"/>
              <w:jc w:val="center"/>
              <w:rPr>
                <w:rFonts w:hAnsi="宋体"/>
                <w:sz w:val="24"/>
              </w:rPr>
            </w:pPr>
          </w:p>
          <w:p>
            <w:pPr>
              <w:autoSpaceDE w:val="0"/>
              <w:autoSpaceDN w:val="0"/>
              <w:adjustRightInd w:val="0"/>
              <w:spacing w:line="360" w:lineRule="auto"/>
              <w:ind w:right="215"/>
              <w:rPr>
                <w:rFonts w:hAnsi="宋体"/>
                <w:sz w:val="24"/>
              </w:rPr>
            </w:pPr>
          </w:p>
        </w:tc>
      </w:tr>
    </w:tbl>
    <w:p>
      <w:pPr>
        <w:autoSpaceDE w:val="0"/>
        <w:autoSpaceDN w:val="0"/>
        <w:adjustRightInd w:val="0"/>
        <w:spacing w:line="360" w:lineRule="auto"/>
        <w:ind w:right="215"/>
        <w:jc w:val="center"/>
        <w:rPr>
          <w:rFonts w:hAnsi="宋体" w:cs="仿宋_GB2312"/>
          <w:b/>
          <w:sz w:val="32"/>
          <w:szCs w:val="32"/>
        </w:rPr>
      </w:pPr>
    </w:p>
    <w:p>
      <w:pPr>
        <w:autoSpaceDE w:val="0"/>
        <w:autoSpaceDN w:val="0"/>
        <w:adjustRightInd w:val="0"/>
        <w:spacing w:line="360" w:lineRule="auto"/>
        <w:ind w:right="215"/>
        <w:rPr>
          <w:rFonts w:hAnsi="宋体" w:cs="仿宋_GB2312"/>
          <w:b/>
          <w:sz w:val="32"/>
          <w:szCs w:val="32"/>
        </w:rPr>
      </w:pPr>
    </w:p>
    <w:p>
      <w:pPr>
        <w:autoSpaceDE w:val="0"/>
        <w:autoSpaceDN w:val="0"/>
        <w:adjustRightInd w:val="0"/>
        <w:spacing w:line="360" w:lineRule="auto"/>
        <w:ind w:right="215" w:firstLine="420"/>
        <w:rPr>
          <w:rFonts w:hAnsi="宋体"/>
          <w:b/>
          <w:sz w:val="30"/>
          <w:szCs w:val="30"/>
        </w:rPr>
      </w:pPr>
      <w:r>
        <w:rPr>
          <w:rFonts w:hint="eastAsia" w:hAnsi="宋体"/>
          <w:b/>
          <w:sz w:val="30"/>
          <w:szCs w:val="30"/>
        </w:rPr>
        <w:t>2、近年财务状况</w:t>
      </w:r>
    </w:p>
    <w:p>
      <w:pPr>
        <w:autoSpaceDE w:val="0"/>
        <w:autoSpaceDN w:val="0"/>
        <w:adjustRightInd w:val="0"/>
        <w:spacing w:line="360" w:lineRule="auto"/>
        <w:ind w:right="215" w:firstLine="420"/>
        <w:rPr>
          <w:rFonts w:hAnsi="宋体"/>
          <w:b/>
          <w:bCs/>
          <w:sz w:val="24"/>
          <w:szCs w:val="24"/>
        </w:rPr>
      </w:pPr>
      <w:r>
        <w:rPr>
          <w:rFonts w:hint="eastAsia" w:hAnsi="宋体"/>
          <w:sz w:val="24"/>
          <w:szCs w:val="24"/>
        </w:rPr>
        <w:t>备注：在此附经会计师事务所或审计机构审计的财务会计报表，具体年份要求见第二章“投标人须知”的规定。</w:t>
      </w:r>
    </w:p>
    <w:p>
      <w:pPr>
        <w:autoSpaceDE w:val="0"/>
        <w:autoSpaceDN w:val="0"/>
        <w:adjustRightInd w:val="0"/>
        <w:spacing w:line="360" w:lineRule="auto"/>
        <w:ind w:right="215" w:firstLine="420"/>
        <w:rPr>
          <w:rFonts w:hAnsi="宋体"/>
          <w:b/>
          <w:sz w:val="30"/>
          <w:szCs w:val="30"/>
        </w:rPr>
      </w:pPr>
      <w:r>
        <w:rPr>
          <w:rFonts w:hint="eastAsia" w:hAnsi="宋体"/>
          <w:b/>
          <w:sz w:val="30"/>
          <w:szCs w:val="30"/>
        </w:rPr>
        <w:t>3、近年来发生的诉讼及仲裁情况</w:t>
      </w:r>
    </w:p>
    <w:p>
      <w:pPr>
        <w:autoSpaceDE w:val="0"/>
        <w:autoSpaceDN w:val="0"/>
        <w:adjustRightInd w:val="0"/>
        <w:spacing w:line="360" w:lineRule="auto"/>
        <w:ind w:right="215" w:firstLine="420"/>
        <w:rPr>
          <w:rFonts w:hAnsi="宋体"/>
          <w:sz w:val="24"/>
          <w:szCs w:val="24"/>
        </w:rPr>
      </w:pPr>
      <w:r>
        <w:rPr>
          <w:rFonts w:hint="eastAsia" w:hAnsi="宋体"/>
          <w:sz w:val="24"/>
          <w:szCs w:val="24"/>
        </w:rPr>
        <w:t>格式可自行编制。</w:t>
      </w: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autoSpaceDE w:val="0"/>
        <w:autoSpaceDN w:val="0"/>
        <w:adjustRightInd w:val="0"/>
        <w:spacing w:line="360" w:lineRule="auto"/>
        <w:ind w:right="215" w:firstLine="640"/>
        <w:rPr>
          <w:rFonts w:hAnsi="宋体"/>
          <w:bCs/>
          <w:sz w:val="32"/>
          <w:szCs w:val="32"/>
        </w:rPr>
      </w:pPr>
    </w:p>
    <w:p>
      <w:pPr>
        <w:tabs>
          <w:tab w:val="center" w:pos="4739"/>
        </w:tabs>
        <w:ind w:left="180"/>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ind w:left="180"/>
        <w:jc w:val="right"/>
        <w:rPr>
          <w:sz w:val="32"/>
          <w:szCs w:val="32"/>
        </w:rPr>
      </w:pPr>
    </w:p>
    <w:p>
      <w:pPr>
        <w:tabs>
          <w:tab w:val="center" w:pos="4739"/>
        </w:tabs>
        <w:rPr>
          <w:sz w:val="24"/>
        </w:rPr>
      </w:pPr>
    </w:p>
    <w:p>
      <w:pPr>
        <w:tabs>
          <w:tab w:val="center" w:pos="4739"/>
        </w:tabs>
        <w:ind w:left="180"/>
        <w:jc w:val="right"/>
        <w:rPr>
          <w:sz w:val="24"/>
        </w:rPr>
      </w:pPr>
    </w:p>
    <w:p>
      <w:pPr>
        <w:tabs>
          <w:tab w:val="center" w:pos="4739"/>
        </w:tabs>
        <w:ind w:left="180"/>
        <w:jc w:val="right"/>
        <w:rPr>
          <w:sz w:val="32"/>
          <w:szCs w:val="32"/>
        </w:rPr>
      </w:pPr>
    </w:p>
    <w:p>
      <w:pPr>
        <w:tabs>
          <w:tab w:val="center" w:pos="4739"/>
        </w:tabs>
        <w:ind w:left="180"/>
        <w:jc w:val="center"/>
        <w:rPr>
          <w:rFonts w:ascii="黑体" w:eastAsia="黑体"/>
          <w:b/>
          <w:sz w:val="32"/>
        </w:rPr>
      </w:pPr>
      <w:r>
        <w:rPr>
          <w:rFonts w:hint="eastAsia" w:ascii="黑体" w:eastAsia="黑体"/>
          <w:b/>
          <w:sz w:val="32"/>
        </w:rPr>
        <w:t>　</w:t>
      </w:r>
    </w:p>
    <w:p>
      <w:pPr>
        <w:tabs>
          <w:tab w:val="center" w:pos="4739"/>
        </w:tabs>
        <w:ind w:left="180"/>
        <w:jc w:val="center"/>
        <w:rPr>
          <w:rFonts w:ascii="黑体" w:eastAsia="黑体"/>
          <w:bCs/>
          <w:sz w:val="32"/>
        </w:rPr>
      </w:pPr>
      <w:r>
        <w:rPr>
          <w:rFonts w:hint="eastAsia" w:ascii="黑体" w:eastAsia="黑体"/>
          <w:b/>
          <w:sz w:val="32"/>
          <w:u w:val="single"/>
        </w:rPr>
        <w:t xml:space="preserve">(项目名称)     </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84"/>
        </w:rPr>
      </w:pPr>
      <w:r>
        <w:rPr>
          <w:rFonts w:hint="eastAsia" w:ascii="黑体" w:eastAsia="黑体"/>
          <w:b/>
          <w:sz w:val="84"/>
        </w:rPr>
        <w:t>投 标 文 件</w:t>
      </w:r>
    </w:p>
    <w:p>
      <w:pPr>
        <w:tabs>
          <w:tab w:val="center" w:pos="4739"/>
        </w:tabs>
        <w:ind w:left="180"/>
        <w:rPr>
          <w:sz w:val="24"/>
        </w:rPr>
      </w:pPr>
    </w:p>
    <w:p>
      <w:pPr>
        <w:tabs>
          <w:tab w:val="center" w:pos="4739"/>
        </w:tabs>
        <w:ind w:left="180"/>
        <w:jc w:val="center"/>
        <w:rPr>
          <w:b/>
          <w:sz w:val="32"/>
          <w:szCs w:val="32"/>
        </w:rPr>
      </w:pPr>
      <w:r>
        <w:rPr>
          <w:rFonts w:hint="eastAsia"/>
          <w:b/>
          <w:sz w:val="32"/>
          <w:szCs w:val="32"/>
        </w:rPr>
        <w:t>（技术标）</w:t>
      </w:r>
    </w:p>
    <w:p>
      <w:pPr>
        <w:tabs>
          <w:tab w:val="center" w:pos="4739"/>
        </w:tabs>
        <w:ind w:left="180"/>
        <w:rPr>
          <w:b/>
          <w:sz w:val="32"/>
          <w:szCs w:val="32"/>
        </w:rPr>
      </w:pPr>
      <w:r>
        <w:rPr>
          <w:rFonts w:hint="eastAsia"/>
          <w:b/>
          <w:sz w:val="32"/>
          <w:szCs w:val="32"/>
        </w:rPr>
        <w:t xml:space="preserve">               项目编号：</w:t>
      </w: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rPr>
          <w:sz w:val="24"/>
        </w:rPr>
      </w:pPr>
    </w:p>
    <w:p>
      <w:pPr>
        <w:tabs>
          <w:tab w:val="center" w:pos="4739"/>
        </w:tabs>
        <w:ind w:left="180"/>
        <w:rPr>
          <w:sz w:val="24"/>
        </w:rPr>
      </w:pPr>
    </w:p>
    <w:p>
      <w:pPr>
        <w:tabs>
          <w:tab w:val="center" w:pos="4739"/>
        </w:tabs>
        <w:ind w:left="180"/>
        <w:rPr>
          <w:sz w:val="24"/>
        </w:rPr>
      </w:pPr>
    </w:p>
    <w:p>
      <w:pPr>
        <w:tabs>
          <w:tab w:val="center" w:pos="4739"/>
        </w:tabs>
        <w:ind w:left="180"/>
        <w:rPr>
          <w:sz w:val="24"/>
        </w:rPr>
      </w:pPr>
    </w:p>
    <w:p>
      <w:pPr>
        <w:tabs>
          <w:tab w:val="center" w:pos="4739"/>
        </w:tabs>
        <w:ind w:left="180"/>
        <w:jc w:val="center"/>
        <w:rPr>
          <w:rFonts w:ascii="黑体" w:eastAsia="黑体"/>
          <w:b/>
          <w:sz w:val="32"/>
        </w:rPr>
      </w:pPr>
      <w:r>
        <w:rPr>
          <w:rFonts w:hint="eastAsia" w:ascii="黑体" w:eastAsia="黑体"/>
          <w:b/>
          <w:sz w:val="32"/>
        </w:rPr>
        <w:t>投标人:(盖单位章)</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法定代表人或其委托代理人:(签字)</w:t>
      </w:r>
    </w:p>
    <w:p>
      <w:pPr>
        <w:tabs>
          <w:tab w:val="center" w:pos="4739"/>
        </w:tabs>
        <w:ind w:left="180"/>
        <w:jc w:val="center"/>
        <w:rPr>
          <w:rFonts w:ascii="黑体" w:eastAsia="黑体"/>
          <w:b/>
          <w:sz w:val="32"/>
        </w:rPr>
      </w:pPr>
    </w:p>
    <w:p>
      <w:pPr>
        <w:tabs>
          <w:tab w:val="center" w:pos="4739"/>
        </w:tabs>
        <w:ind w:left="180"/>
        <w:jc w:val="center"/>
        <w:rPr>
          <w:rFonts w:ascii="黑体" w:eastAsia="黑体"/>
          <w:b/>
          <w:sz w:val="32"/>
        </w:rPr>
      </w:pPr>
      <w:r>
        <w:rPr>
          <w:rFonts w:hint="eastAsia" w:ascii="黑体" w:eastAsia="黑体"/>
          <w:b/>
          <w:sz w:val="32"/>
        </w:rPr>
        <w:t>年月日</w:t>
      </w:r>
    </w:p>
    <w:p>
      <w:pPr>
        <w:autoSpaceDE w:val="0"/>
        <w:autoSpaceDN w:val="0"/>
        <w:spacing w:line="540" w:lineRule="exact"/>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p>
    <w:p>
      <w:pPr>
        <w:autoSpaceDE w:val="0"/>
        <w:autoSpaceDN w:val="0"/>
        <w:spacing w:line="540" w:lineRule="exact"/>
        <w:jc w:val="center"/>
        <w:rPr>
          <w:rFonts w:hAnsi="宋体" w:cs="宋体"/>
          <w:b/>
          <w:sz w:val="36"/>
          <w:szCs w:val="36"/>
        </w:rPr>
      </w:pPr>
      <w:r>
        <w:rPr>
          <w:rFonts w:hint="eastAsia" w:hAnsi="宋体" w:cs="宋体"/>
          <w:b/>
          <w:sz w:val="36"/>
          <w:szCs w:val="36"/>
        </w:rPr>
        <w:t>技 术 标 目 录</w:t>
      </w:r>
    </w:p>
    <w:p>
      <w:pPr>
        <w:autoSpaceDE w:val="0"/>
        <w:autoSpaceDN w:val="0"/>
        <w:spacing w:line="360" w:lineRule="auto"/>
        <w:jc w:val="center"/>
        <w:rPr>
          <w:rFonts w:ascii="仿宋_GB2312" w:hAnsi="宋体" w:eastAsia="仿宋_GB2312" w:cs="宋体"/>
          <w:b/>
          <w:sz w:val="36"/>
          <w:szCs w:val="36"/>
        </w:rPr>
      </w:pP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1、内容完整性</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2、主要施工方案与技术措施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3、质量管理体系与措施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4、安全管理体系与措施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5、文明施工、环境保护管理体系及施工现场扬尘治理措施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6、工期保证措施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7、拟投入资源配备计划</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8、施工进度表与网络计划图</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9、施工总平面图布置</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10</w:t>
      </w:r>
      <w:r>
        <w:rPr>
          <w:rFonts w:hint="eastAsia" w:hAnsi="宋体" w:cs="宋体"/>
          <w:b/>
          <w:sz w:val="26"/>
          <w:szCs w:val="26"/>
        </w:rPr>
        <w:tab/>
      </w:r>
      <w:r>
        <w:rPr>
          <w:rFonts w:hint="eastAsia" w:hAnsi="宋体" w:cs="宋体"/>
          <w:b/>
          <w:sz w:val="26"/>
          <w:szCs w:val="26"/>
        </w:rPr>
        <w:t>、技术创新的应用实施措施</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11、采用新工艺、新技术、新设备、新材料、BIM等的程度</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12、施工现场实施信息化监控和数据处理</w:t>
      </w:r>
    </w:p>
    <w:p>
      <w:pPr>
        <w:autoSpaceDE w:val="0"/>
        <w:autoSpaceDN w:val="0"/>
        <w:spacing w:line="540" w:lineRule="exact"/>
        <w:ind w:firstLine="520" w:firstLineChars="200"/>
        <w:jc w:val="left"/>
        <w:rPr>
          <w:rFonts w:hAnsi="宋体" w:cs="宋体"/>
          <w:b/>
          <w:sz w:val="26"/>
          <w:szCs w:val="26"/>
        </w:rPr>
      </w:pPr>
      <w:r>
        <w:rPr>
          <w:rFonts w:hint="eastAsia" w:hAnsi="宋体" w:cs="宋体"/>
          <w:b/>
          <w:sz w:val="26"/>
          <w:szCs w:val="26"/>
        </w:rPr>
        <w:t>13、风险管理措施</w:t>
      </w:r>
    </w:p>
    <w:p>
      <w:pPr>
        <w:tabs>
          <w:tab w:val="center" w:pos="4739"/>
        </w:tabs>
        <w:ind w:left="180"/>
        <w:rPr>
          <w:rFonts w:hAnsi="宋体" w:cs="TimesNewRomanPSMT"/>
          <w:sz w:val="18"/>
          <w:szCs w:val="18"/>
        </w:rPr>
      </w:pPr>
    </w:p>
    <w:p>
      <w:pPr>
        <w:autoSpaceDE w:val="0"/>
        <w:autoSpaceDN w:val="0"/>
        <w:adjustRightInd w:val="0"/>
        <w:spacing w:line="420" w:lineRule="exact"/>
        <w:rPr>
          <w:rFonts w:hAnsi="宋体" w:cs="宋体"/>
          <w:b/>
          <w:sz w:val="26"/>
          <w:szCs w:val="26"/>
        </w:rPr>
      </w:pPr>
    </w:p>
    <w:sectPr>
      <w:footerReference r:id="rId10" w:type="first"/>
      <w:footerReference r:id="rId9" w:type="default"/>
      <w:pgSz w:w="11906" w:h="16838"/>
      <w:pgMar w:top="1304" w:right="1134" w:bottom="1304" w:left="1134" w:header="851" w:footer="992" w:gutter="0"/>
      <w:cols w:space="720" w:num="1"/>
      <w:titlePg/>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imesNewRomanPSMT">
    <w:altName w:val="宋体"/>
    <w:panose1 w:val="00000000000000000000"/>
    <w:charset w:val="00"/>
    <w:family w:val="roman"/>
    <w:pitch w:val="default"/>
    <w:sig w:usb0="00000000" w:usb1="00000000" w:usb2="00000010" w:usb3="00000000" w:csb0="00040001" w:csb1="00000000"/>
  </w:font>
  <w:font w:name="华文细黑">
    <w:panose1 w:val="02010600040101010101"/>
    <w:charset w:val="86"/>
    <w:family w:val="auto"/>
    <w:pitch w:val="default"/>
    <w:sig w:usb0="00000287" w:usb1="080F0000" w:usb2="00000000" w:usb3="00000000" w:csb0="0004009F" w:csb1="DFD70000"/>
  </w:font>
  <w:font w:name="仿宋_GB2312">
    <w:altName w:val="仿宋"/>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E1002EFF" w:usb1="C000605B" w:usb2="00000029" w:usb3="00000000" w:csb0="200101FF" w:csb1="2028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modern"/>
    <w:pitch w:val="default"/>
    <w:sig w:usb0="00000003" w:usb1="288F0000" w:usb2="00000006" w:usb3="00000000" w:csb0="00040001" w:csb1="00000000"/>
  </w:font>
  <w:font w:name="等线">
    <w:altName w:val="宋体"/>
    <w:panose1 w:val="00000000000000000000"/>
    <w:charset w:val="86"/>
    <w:family w:val="auto"/>
    <w:pitch w:val="default"/>
    <w:sig w:usb0="00000000" w:usb1="00000000" w:usb2="00000016" w:usb3="00000000" w:csb0="0004000F" w:csb1="00000000"/>
  </w:font>
  <w:font w:name="楷体_GB2312">
    <w:altName w:val="楷体"/>
    <w:panose1 w:val="00000000000000000000"/>
    <w:charset w:val="86"/>
    <w:family w:val="modern"/>
    <w:pitch w:val="default"/>
    <w:sig w:usb0="00000000" w:usb1="00000000" w:usb2="00000010" w:usb3="00000000" w:csb0="00040000" w:csb1="00000000"/>
  </w:font>
  <w:font w:name="方正小标宋简体">
    <w:altName w:val="微软雅黑"/>
    <w:panose1 w:val="00000000000000000000"/>
    <w:charset w:val="86"/>
    <w:family w:val="auto"/>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5" o:spid="_x0000_s2054" o:spt="202" type="#_x0000_t202" style="position:absolute;left:0pt;margin-top:0pt;height:11.65pt;width:4.55pt;mso-position-horizontal:center;mso-position-horizontal-relative:margin;mso-wrap-style:none;z-index:251655168;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 o:spid="_x0000_s2055" o:spt="202" type="#_x0000_t202" style="position:absolute;left:0pt;margin-top:0pt;height:144pt;width:144pt;mso-position-horizontal:center;mso-position-horizontal-relative:margin;mso-wrap-style:none;z-index:25165619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YKKFGbcBAABV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3" o:spid="_x0000_s2053"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WZODKrcBAABWAwAADgAAAAAAAAABACAAAAAiAQAAZHJzL2Uyb0RvYy54bWxQSwUGAAAAAAYA&#10;BgBZAQAASwU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w:t>
                </w:r>
                <w:r>
                  <w:rPr>
                    <w:rFonts w:hint="eastAsia"/>
                    <w:sz w:val="18"/>
                  </w:rPr>
                  <w:fldChar w:fldCharType="end"/>
                </w:r>
              </w:p>
            </w:txbxContent>
          </v:textbox>
        </v:shape>
      </w:pict>
    </w:r>
    <w:r>
      <w:pict>
        <v:shape id="_x0000_s2052" o:spid="_x0000_s2052" o:spt="202" type="#_x0000_t202" style="position:absolute;left:0pt;margin-top:0pt;height:11.65pt;width:4.55pt;mso-position-horizontal:center;mso-position-horizontal-relative:margin;mso-wrap-style:none;z-index:251658240;mso-width-relative:page;mso-height-relative:page;" filled="f" stroked="f" coordsize="21600,21600" o:gfxdata="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UTtW31AAAAAIBAAAPAAAAAAAAAAEAIAAAACIAAABkcnMvZG93bnJldi54bWxQSwECFAAU&#10;AAAACACHTuJABL2/bLwBAABSAwAADgAAAAAAAAABACAAAAAjAQAAZHJzL2Uyb0RvYy54bWxQSwUG&#10;AAAAAAYABgBZAQAAUQUAAAAA&#10;">
          <v:path/>
          <v:fill on="f" focussize="0,0"/>
          <v:stroke on="f" weight="1.25pt" joinstyle="miter"/>
          <v:imagedata o:title=""/>
          <o:lock v:ext="edit"/>
          <v:textbox inset="0mm,0mm,0mm,0mm" style="mso-fit-shape-to-text:t;">
            <w:txbxContent>
              <w:p>
                <w:pPr>
                  <w:snapToGrid w:val="0"/>
                  <w:rPr>
                    <w:sz w:val="18"/>
                  </w:rPr>
                </w:pPr>
                <w:r>
                  <w:rPr>
                    <w:rFonts w:hint="eastAsia"/>
                    <w:sz w:val="18"/>
                  </w:rPr>
                  <w:t>1</w:t>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top w:val="single" w:color="auto" w:sz="4" w:space="0"/>
      </w:pBdr>
      <w:ind w:right="360"/>
      <w:jc w:val="center"/>
    </w:pPr>
    <w:r>
      <w:pict>
        <v:shape id="文本框 14" o:spid="_x0000_s2050"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DgBJoz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33</w:t>
                </w:r>
                <w:r>
                  <w:rPr>
                    <w:rFonts w:hint="eastAsia"/>
                    <w:sz w:val="18"/>
                  </w:rPr>
                  <w:fldChar w:fldCharType="end"/>
                </w:r>
              </w:p>
            </w:txbxContent>
          </v:textbox>
        </v:shape>
      </w:pict>
    </w:r>
    <w:r>
      <w:pict>
        <v:shape id="文本框 7" o:spid="_x0000_s2049" o:spt="202" type="#_x0000_t202" style="position:absolute;left:0pt;margin-left:245.65pt;margin-top:-1.05pt;height:11.65pt;width:4.55pt;mso-position-horizontal-relative:margin;mso-wrap-style:none;z-index:251657216;mso-width-relative:page;mso-height-relative:page;" filled="f" stroked="f" coordsize="21600,21600" o:gfxdata="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">
          <v:path/>
          <v:fill on="f" focussize="0,0"/>
          <v:stroke on="f" weight="1.25pt" joinstyle="miter"/>
          <v:imagedata o:title=""/>
          <o:lock v:ext="edit"/>
          <v:textbox inset="0mm,0mm,0mm,0mm" style="mso-fit-shape-to-text:t;">
            <w:txbxContent>
              <w:p>
                <w:pPr>
                  <w:snapToGrid w:val="0"/>
                  <w:rPr>
                    <w:sz w:val="18"/>
                  </w:rPr>
                </w:pP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Pr>
    <w:r>
      <w:pict>
        <v:shape id="文本框 15" o:spid="_x0000_s2051"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GhpgkvTAAAABQEAAA8AAAAAAAAAAQAgAAAAIgAAAGRycy9kb3ducmV2LnhtbFBLAQIUABQAAAAI&#10;AIdO4kAGsgnTuQEAAFYDAAAOAAAAAAAAAAEAIAAAACIBAABkcnMvZTJvRG9jLnhtbFBLBQYAAAAA&#10;BgAGAFkBAABNBQAAAAA=&#10;">
          <v:path/>
          <v:fill on="f" focussize="0,0"/>
          <v:stroke on="f" weight="1.25pt" joinstyle="miter"/>
          <v:imagedata o:title=""/>
          <o:lock v:ext="edit"/>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r>
      <w:rPr>
        <w:rFonts w:hint="eastAsia"/>
      </w:rPr>
      <w:t>河南永明工程管理有限公司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ascii="华文新魏" w:hAnsi="华文新魏" w:eastAsia="华文新魏" w:cs="华文新魏"/>
        <w:sz w:val="21"/>
        <w:szCs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napToGrid w:val="0"/>
      <w:spacing w:beforeLines="50"/>
      <w:jc w:val="left"/>
      <w:rPr>
        <w:rFonts w:hAnsi="宋体" w:cs="宋体"/>
        <w:b/>
        <w:sz w:val="20"/>
        <w:szCs w:val="22"/>
      </w:rPr>
    </w:pPr>
    <w:r>
      <w:rPr>
        <w:rFonts w:hint="eastAsia" w:hAnsi="宋体" w:cs="宋体"/>
        <w:b/>
        <w:sz w:val="20"/>
        <w:szCs w:val="22"/>
      </w:rPr>
      <w:t xml:space="preserve">华佗路污水提升泵站及附属污水管网工程             </w:t>
    </w:r>
    <w:r>
      <w:rPr>
        <w:rFonts w:hint="eastAsia" w:hAnsi="宋体" w:cs="宋体"/>
        <w:b/>
        <w:sz w:val="20"/>
      </w:rPr>
      <w:t xml:space="preserve">                </w:t>
    </w:r>
    <w:r>
      <w:rPr>
        <w:rFonts w:hint="eastAsia" w:hAnsi="宋体" w:cs="宋体"/>
        <w:b/>
        <w:sz w:val="20"/>
        <w:lang w:val="en-US" w:eastAsia="zh-CN"/>
      </w:rPr>
      <w:t xml:space="preserve">                   </w:t>
    </w:r>
    <w:r>
      <w:rPr>
        <w:rFonts w:hint="eastAsia" w:hAnsi="宋体" w:cs="宋体"/>
        <w:b/>
        <w:sz w:val="20"/>
      </w:rPr>
      <w:t xml:space="preserve"> 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3"/>
      <w:jc w:val="both"/>
      <w:rPr>
        <w:szCs w:val="22"/>
      </w:rPr>
    </w:pPr>
    <w:r>
      <w:rPr>
        <w:rFonts w:hint="eastAsia" w:hAnsi="宋体" w:cs="宋体"/>
        <w:b/>
        <w:sz w:val="20"/>
        <w:szCs w:val="22"/>
        <w:lang w:eastAsia="zh-CN"/>
      </w:rPr>
      <w:t>华佗路污水提升泵站及附属污水管网工程</w:t>
    </w:r>
    <w:r>
      <w:rPr>
        <w:rFonts w:hint="eastAsia" w:hAnsi="宋体" w:cs="宋体"/>
        <w:b/>
        <w:sz w:val="20"/>
        <w:szCs w:val="22"/>
        <w:lang w:val="en-US" w:eastAsia="zh-CN"/>
      </w:rPr>
      <w:t xml:space="preserve">                </w:t>
    </w:r>
    <w:r>
      <w:rPr>
        <w:rFonts w:hint="eastAsia" w:hAnsi="宋体" w:cs="宋体"/>
        <w:b/>
        <w:sz w:val="20"/>
        <w:szCs w:val="22"/>
      </w:rPr>
      <w:t xml:space="preserve">                             </w:t>
    </w:r>
    <w:r>
      <w:rPr>
        <w:rFonts w:hint="eastAsia" w:hAnsi="宋体" w:cs="宋体"/>
        <w:b/>
        <w:sz w:val="20"/>
        <w:szCs w:val="22"/>
        <w:lang w:val="en-US" w:eastAsia="zh-CN"/>
      </w:rPr>
      <w:t xml:space="preserve">     </w:t>
    </w:r>
    <w:r>
      <w:rPr>
        <w:rFonts w:hint="eastAsia" w:hAnsi="宋体" w:cs="宋体"/>
        <w:b/>
        <w:sz w:val="20"/>
        <w:szCs w:val="22"/>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77C70D3"/>
    <w:multiLevelType w:val="singleLevel"/>
    <w:tmpl w:val="F77C70D3"/>
    <w:lvl w:ilvl="0" w:tentative="0">
      <w:start w:val="1"/>
      <w:numFmt w:val="chineseCounting"/>
      <w:suff w:val="space"/>
      <w:lvlText w:val="第%1章"/>
      <w:lvlJc w:val="left"/>
      <w:rPr>
        <w:rFonts w:hint="eastAsia"/>
      </w:rPr>
    </w:lvl>
  </w:abstractNum>
  <w:abstractNum w:abstractNumId="1">
    <w:nsid w:val="0000000C"/>
    <w:multiLevelType w:val="multilevel"/>
    <w:tmpl w:val="0000000C"/>
    <w:lvl w:ilvl="0" w:tentative="0">
      <w:start w:val="3"/>
      <w:numFmt w:val="bullet"/>
      <w:lvlText w:val="□"/>
      <w:lvlJc w:val="left"/>
      <w:pPr>
        <w:tabs>
          <w:tab w:val="left" w:pos="360"/>
        </w:tabs>
        <w:ind w:left="360" w:hanging="360"/>
      </w:pPr>
      <w:rPr>
        <w:rFonts w:hint="eastAsia" w:ascii="宋体" w:hAnsi="宋体" w:eastAsia="宋体" w:cs="Times New Roman"/>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2">
    <w:nsid w:val="576405E1"/>
    <w:multiLevelType w:val="singleLevel"/>
    <w:tmpl w:val="576405E1"/>
    <w:lvl w:ilvl="0" w:tentative="0">
      <w:start w:val="2"/>
      <w:numFmt w:val="decimal"/>
      <w:suff w:val="nothing"/>
      <w:lvlText w:val="%1、"/>
      <w:lvlJc w:val="left"/>
    </w:lvl>
  </w:abstractNum>
  <w:abstractNum w:abstractNumId="3">
    <w:nsid w:val="576406D4"/>
    <w:multiLevelType w:val="singleLevel"/>
    <w:tmpl w:val="576406D4"/>
    <w:lvl w:ilvl="0" w:tentative="0">
      <w:start w:val="4"/>
      <w:numFmt w:val="decimal"/>
      <w:suff w:val="nothing"/>
      <w:lvlText w:val="%1、"/>
      <w:lvlJc w:val="left"/>
    </w:lvl>
  </w:abstractNum>
  <w:abstractNum w:abstractNumId="4">
    <w:nsid w:val="598ADA60"/>
    <w:multiLevelType w:val="singleLevel"/>
    <w:tmpl w:val="598ADA60"/>
    <w:lvl w:ilvl="0" w:tentative="0">
      <w:start w:val="3"/>
      <w:numFmt w:val="decimal"/>
      <w:suff w:val="nothing"/>
      <w:lvlText w:val="%1."/>
      <w:lvlJc w:val="left"/>
    </w:lvl>
  </w:abstractNum>
  <w:abstractNum w:abstractNumId="5">
    <w:nsid w:val="5A716AF5"/>
    <w:multiLevelType w:val="singleLevel"/>
    <w:tmpl w:val="5A716AF5"/>
    <w:lvl w:ilvl="0" w:tentative="0">
      <w:start w:val="6"/>
      <w:numFmt w:val="decimal"/>
      <w:lvlText w:val="%1."/>
      <w:lvlJc w:val="left"/>
      <w:pPr>
        <w:tabs>
          <w:tab w:val="left" w:pos="312"/>
        </w:tabs>
      </w:pPr>
    </w:lvl>
  </w:abstractNum>
  <w:abstractNum w:abstractNumId="6">
    <w:nsid w:val="5A73B3EB"/>
    <w:multiLevelType w:val="singleLevel"/>
    <w:tmpl w:val="5A73B3EB"/>
    <w:lvl w:ilvl="0" w:tentative="0">
      <w:start w:val="1"/>
      <w:numFmt w:val="chineseCounting"/>
      <w:suff w:val="nothing"/>
      <w:lvlText w:val="%1、"/>
      <w:lvlJc w:val="left"/>
    </w:lvl>
  </w:abstractNum>
  <w:num w:numId="1">
    <w:abstractNumId w:val="0"/>
  </w:num>
  <w:num w:numId="2">
    <w:abstractNumId w:val="4"/>
  </w:num>
  <w:num w:numId="3">
    <w:abstractNumId w:val="5"/>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doNotValidateAgainstSchema/>
  <w:doNotDemarcateInvalidXml/>
  <w:hdrShapeDefaults>
    <o:shapelayout v:ext="edit">
      <o:idmap v:ext="edit" data="2"/>
    </o:shapelayout>
  </w:hdrShapeDefaults>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02165"/>
    <w:rsid w:val="00016268"/>
    <w:rsid w:val="000206AB"/>
    <w:rsid w:val="00020C45"/>
    <w:rsid w:val="0002487C"/>
    <w:rsid w:val="000307B7"/>
    <w:rsid w:val="00035D47"/>
    <w:rsid w:val="000443FC"/>
    <w:rsid w:val="00053998"/>
    <w:rsid w:val="00053CB5"/>
    <w:rsid w:val="00054DAF"/>
    <w:rsid w:val="0005578B"/>
    <w:rsid w:val="00056F61"/>
    <w:rsid w:val="00061BCD"/>
    <w:rsid w:val="00062AD4"/>
    <w:rsid w:val="0008358D"/>
    <w:rsid w:val="00092373"/>
    <w:rsid w:val="000948C6"/>
    <w:rsid w:val="0009683D"/>
    <w:rsid w:val="00096FA0"/>
    <w:rsid w:val="000A403B"/>
    <w:rsid w:val="000A720A"/>
    <w:rsid w:val="000C2EC2"/>
    <w:rsid w:val="000C5130"/>
    <w:rsid w:val="000D038F"/>
    <w:rsid w:val="000D70F0"/>
    <w:rsid w:val="000E46A8"/>
    <w:rsid w:val="000E7404"/>
    <w:rsid w:val="000F52B5"/>
    <w:rsid w:val="000F7AAA"/>
    <w:rsid w:val="001009EC"/>
    <w:rsid w:val="00103B66"/>
    <w:rsid w:val="00141371"/>
    <w:rsid w:val="00150E02"/>
    <w:rsid w:val="00157FED"/>
    <w:rsid w:val="001617DE"/>
    <w:rsid w:val="001621DF"/>
    <w:rsid w:val="00170351"/>
    <w:rsid w:val="001722B3"/>
    <w:rsid w:val="00172A27"/>
    <w:rsid w:val="001739E8"/>
    <w:rsid w:val="00173C36"/>
    <w:rsid w:val="00175D56"/>
    <w:rsid w:val="00180CE0"/>
    <w:rsid w:val="00181DB2"/>
    <w:rsid w:val="00190A8C"/>
    <w:rsid w:val="001912DC"/>
    <w:rsid w:val="001A030E"/>
    <w:rsid w:val="001A138C"/>
    <w:rsid w:val="001C7AF9"/>
    <w:rsid w:val="001C7C8B"/>
    <w:rsid w:val="001D2E7F"/>
    <w:rsid w:val="001E2899"/>
    <w:rsid w:val="00200475"/>
    <w:rsid w:val="002132A9"/>
    <w:rsid w:val="00213976"/>
    <w:rsid w:val="002139D0"/>
    <w:rsid w:val="002225A8"/>
    <w:rsid w:val="00223978"/>
    <w:rsid w:val="002259DE"/>
    <w:rsid w:val="00227676"/>
    <w:rsid w:val="002330D7"/>
    <w:rsid w:val="00257165"/>
    <w:rsid w:val="00262141"/>
    <w:rsid w:val="002669E0"/>
    <w:rsid w:val="002838F3"/>
    <w:rsid w:val="00285179"/>
    <w:rsid w:val="00290A21"/>
    <w:rsid w:val="00290B10"/>
    <w:rsid w:val="002924C9"/>
    <w:rsid w:val="002972FE"/>
    <w:rsid w:val="002A278B"/>
    <w:rsid w:val="002A38DB"/>
    <w:rsid w:val="002B6CFD"/>
    <w:rsid w:val="002C15CF"/>
    <w:rsid w:val="002C349A"/>
    <w:rsid w:val="002C54ED"/>
    <w:rsid w:val="002D4257"/>
    <w:rsid w:val="002E3269"/>
    <w:rsid w:val="002E4AC4"/>
    <w:rsid w:val="002E51B6"/>
    <w:rsid w:val="002E5842"/>
    <w:rsid w:val="002E648C"/>
    <w:rsid w:val="00301A07"/>
    <w:rsid w:val="00302C5B"/>
    <w:rsid w:val="00303F06"/>
    <w:rsid w:val="003125E0"/>
    <w:rsid w:val="0032098B"/>
    <w:rsid w:val="00327770"/>
    <w:rsid w:val="00330292"/>
    <w:rsid w:val="00330AB1"/>
    <w:rsid w:val="00332190"/>
    <w:rsid w:val="00332934"/>
    <w:rsid w:val="00340DF7"/>
    <w:rsid w:val="00341545"/>
    <w:rsid w:val="0035126F"/>
    <w:rsid w:val="003512A2"/>
    <w:rsid w:val="00352160"/>
    <w:rsid w:val="003530C2"/>
    <w:rsid w:val="003666F0"/>
    <w:rsid w:val="00386B3C"/>
    <w:rsid w:val="00395337"/>
    <w:rsid w:val="00396B4C"/>
    <w:rsid w:val="003A58DB"/>
    <w:rsid w:val="003A7527"/>
    <w:rsid w:val="003B04D0"/>
    <w:rsid w:val="003B2810"/>
    <w:rsid w:val="003B483B"/>
    <w:rsid w:val="003C01AA"/>
    <w:rsid w:val="003C11C8"/>
    <w:rsid w:val="003D3BEA"/>
    <w:rsid w:val="003D7A9C"/>
    <w:rsid w:val="003E5FBF"/>
    <w:rsid w:val="003F16E6"/>
    <w:rsid w:val="003F789D"/>
    <w:rsid w:val="00405DE4"/>
    <w:rsid w:val="004070FD"/>
    <w:rsid w:val="0041298A"/>
    <w:rsid w:val="00415BC0"/>
    <w:rsid w:val="00415F75"/>
    <w:rsid w:val="00416BF0"/>
    <w:rsid w:val="0042138D"/>
    <w:rsid w:val="00425C54"/>
    <w:rsid w:val="00461496"/>
    <w:rsid w:val="004622E3"/>
    <w:rsid w:val="0047049E"/>
    <w:rsid w:val="00477253"/>
    <w:rsid w:val="00482643"/>
    <w:rsid w:val="00484C1C"/>
    <w:rsid w:val="0048513D"/>
    <w:rsid w:val="00486C55"/>
    <w:rsid w:val="004B40CC"/>
    <w:rsid w:val="004C44A9"/>
    <w:rsid w:val="004C6BC1"/>
    <w:rsid w:val="004C73AA"/>
    <w:rsid w:val="004D2B00"/>
    <w:rsid w:val="004D4388"/>
    <w:rsid w:val="004D6209"/>
    <w:rsid w:val="004E06CE"/>
    <w:rsid w:val="004E26FF"/>
    <w:rsid w:val="004E3880"/>
    <w:rsid w:val="004E3A03"/>
    <w:rsid w:val="004E3E6E"/>
    <w:rsid w:val="004F0547"/>
    <w:rsid w:val="004F1948"/>
    <w:rsid w:val="004F1950"/>
    <w:rsid w:val="004F1E75"/>
    <w:rsid w:val="004F245D"/>
    <w:rsid w:val="005046F1"/>
    <w:rsid w:val="00505474"/>
    <w:rsid w:val="005116D1"/>
    <w:rsid w:val="0051467F"/>
    <w:rsid w:val="00516962"/>
    <w:rsid w:val="005203E6"/>
    <w:rsid w:val="00540B69"/>
    <w:rsid w:val="00552DF2"/>
    <w:rsid w:val="00567406"/>
    <w:rsid w:val="005871D8"/>
    <w:rsid w:val="005B3E0D"/>
    <w:rsid w:val="005C2FC1"/>
    <w:rsid w:val="005C7B38"/>
    <w:rsid w:val="005C7D89"/>
    <w:rsid w:val="005D1C1A"/>
    <w:rsid w:val="005D53E5"/>
    <w:rsid w:val="005E30A9"/>
    <w:rsid w:val="005E55BB"/>
    <w:rsid w:val="005E5771"/>
    <w:rsid w:val="005F0547"/>
    <w:rsid w:val="005F3B57"/>
    <w:rsid w:val="00611C08"/>
    <w:rsid w:val="0061516E"/>
    <w:rsid w:val="00621E39"/>
    <w:rsid w:val="00623E78"/>
    <w:rsid w:val="00625336"/>
    <w:rsid w:val="00631E03"/>
    <w:rsid w:val="0063554E"/>
    <w:rsid w:val="006548A1"/>
    <w:rsid w:val="00661C56"/>
    <w:rsid w:val="00665894"/>
    <w:rsid w:val="00674C0E"/>
    <w:rsid w:val="00676ABD"/>
    <w:rsid w:val="006A3BD6"/>
    <w:rsid w:val="006B5FC6"/>
    <w:rsid w:val="006B72BB"/>
    <w:rsid w:val="006C58EE"/>
    <w:rsid w:val="006D0588"/>
    <w:rsid w:val="006E42B1"/>
    <w:rsid w:val="006F2F1D"/>
    <w:rsid w:val="006F36B1"/>
    <w:rsid w:val="0070132C"/>
    <w:rsid w:val="00710CD6"/>
    <w:rsid w:val="00711825"/>
    <w:rsid w:val="00715474"/>
    <w:rsid w:val="007258B7"/>
    <w:rsid w:val="007304AD"/>
    <w:rsid w:val="0073297D"/>
    <w:rsid w:val="00736997"/>
    <w:rsid w:val="00742227"/>
    <w:rsid w:val="007470EB"/>
    <w:rsid w:val="00751460"/>
    <w:rsid w:val="007545F3"/>
    <w:rsid w:val="00760E93"/>
    <w:rsid w:val="007675A2"/>
    <w:rsid w:val="00773D30"/>
    <w:rsid w:val="00776FC7"/>
    <w:rsid w:val="007909ED"/>
    <w:rsid w:val="00791616"/>
    <w:rsid w:val="007A249B"/>
    <w:rsid w:val="007B5914"/>
    <w:rsid w:val="007D2435"/>
    <w:rsid w:val="007D773A"/>
    <w:rsid w:val="007E4B1C"/>
    <w:rsid w:val="007E6E4C"/>
    <w:rsid w:val="007F00E2"/>
    <w:rsid w:val="007F6169"/>
    <w:rsid w:val="00803617"/>
    <w:rsid w:val="008051A4"/>
    <w:rsid w:val="008100C7"/>
    <w:rsid w:val="0081250A"/>
    <w:rsid w:val="0081767F"/>
    <w:rsid w:val="00827E47"/>
    <w:rsid w:val="00837836"/>
    <w:rsid w:val="00843389"/>
    <w:rsid w:val="00852108"/>
    <w:rsid w:val="00855EAA"/>
    <w:rsid w:val="00860D8A"/>
    <w:rsid w:val="00863BF9"/>
    <w:rsid w:val="00865F45"/>
    <w:rsid w:val="00872131"/>
    <w:rsid w:val="00875F0E"/>
    <w:rsid w:val="00891DB0"/>
    <w:rsid w:val="008929EC"/>
    <w:rsid w:val="00897F7C"/>
    <w:rsid w:val="008A24E2"/>
    <w:rsid w:val="008A58B5"/>
    <w:rsid w:val="008A6301"/>
    <w:rsid w:val="008A6355"/>
    <w:rsid w:val="008B19B5"/>
    <w:rsid w:val="008B2FD3"/>
    <w:rsid w:val="008B3DDD"/>
    <w:rsid w:val="008C021F"/>
    <w:rsid w:val="008D64E5"/>
    <w:rsid w:val="008D753E"/>
    <w:rsid w:val="008E7C19"/>
    <w:rsid w:val="008F2BFD"/>
    <w:rsid w:val="008F593B"/>
    <w:rsid w:val="008F5961"/>
    <w:rsid w:val="009046D3"/>
    <w:rsid w:val="00912C22"/>
    <w:rsid w:val="00913652"/>
    <w:rsid w:val="00914023"/>
    <w:rsid w:val="00915E79"/>
    <w:rsid w:val="0093085A"/>
    <w:rsid w:val="00937662"/>
    <w:rsid w:val="00942D61"/>
    <w:rsid w:val="009509FD"/>
    <w:rsid w:val="00952B0F"/>
    <w:rsid w:val="00953E1B"/>
    <w:rsid w:val="00957B25"/>
    <w:rsid w:val="00960292"/>
    <w:rsid w:val="00970F8A"/>
    <w:rsid w:val="00972DBD"/>
    <w:rsid w:val="009845C0"/>
    <w:rsid w:val="009A435D"/>
    <w:rsid w:val="009A54C5"/>
    <w:rsid w:val="009A7991"/>
    <w:rsid w:val="009B0078"/>
    <w:rsid w:val="009B0DE6"/>
    <w:rsid w:val="009B3CDF"/>
    <w:rsid w:val="009C00AC"/>
    <w:rsid w:val="009C15B6"/>
    <w:rsid w:val="009C3257"/>
    <w:rsid w:val="009C43DC"/>
    <w:rsid w:val="009D4290"/>
    <w:rsid w:val="009E4B4B"/>
    <w:rsid w:val="009E5F99"/>
    <w:rsid w:val="009E63D0"/>
    <w:rsid w:val="009E6D32"/>
    <w:rsid w:val="009F02D3"/>
    <w:rsid w:val="009F6862"/>
    <w:rsid w:val="00A02446"/>
    <w:rsid w:val="00A039CD"/>
    <w:rsid w:val="00A11DD3"/>
    <w:rsid w:val="00A20EE8"/>
    <w:rsid w:val="00A23EC7"/>
    <w:rsid w:val="00A272E1"/>
    <w:rsid w:val="00A403CD"/>
    <w:rsid w:val="00A41FAE"/>
    <w:rsid w:val="00A43E23"/>
    <w:rsid w:val="00A500A7"/>
    <w:rsid w:val="00A50FE4"/>
    <w:rsid w:val="00A5380D"/>
    <w:rsid w:val="00A55322"/>
    <w:rsid w:val="00A728AE"/>
    <w:rsid w:val="00A73254"/>
    <w:rsid w:val="00A74405"/>
    <w:rsid w:val="00A9085F"/>
    <w:rsid w:val="00A926DB"/>
    <w:rsid w:val="00A976FA"/>
    <w:rsid w:val="00A97BBE"/>
    <w:rsid w:val="00AC1F3C"/>
    <w:rsid w:val="00AC4975"/>
    <w:rsid w:val="00AD679E"/>
    <w:rsid w:val="00AD69E7"/>
    <w:rsid w:val="00AE432D"/>
    <w:rsid w:val="00AF07CF"/>
    <w:rsid w:val="00AF2DF3"/>
    <w:rsid w:val="00B02CFE"/>
    <w:rsid w:val="00B14E01"/>
    <w:rsid w:val="00B2037C"/>
    <w:rsid w:val="00B25CD8"/>
    <w:rsid w:val="00B33404"/>
    <w:rsid w:val="00B33A32"/>
    <w:rsid w:val="00B63030"/>
    <w:rsid w:val="00B93546"/>
    <w:rsid w:val="00B97E45"/>
    <w:rsid w:val="00BA111F"/>
    <w:rsid w:val="00BA1328"/>
    <w:rsid w:val="00BA5408"/>
    <w:rsid w:val="00BB795E"/>
    <w:rsid w:val="00BC0E99"/>
    <w:rsid w:val="00BC2BAE"/>
    <w:rsid w:val="00BD2E36"/>
    <w:rsid w:val="00BD6EAA"/>
    <w:rsid w:val="00BE3E23"/>
    <w:rsid w:val="00BF1CA9"/>
    <w:rsid w:val="00BF3412"/>
    <w:rsid w:val="00BF70F4"/>
    <w:rsid w:val="00C0021A"/>
    <w:rsid w:val="00C002B6"/>
    <w:rsid w:val="00C01B57"/>
    <w:rsid w:val="00C02AC5"/>
    <w:rsid w:val="00C03B30"/>
    <w:rsid w:val="00C06FCC"/>
    <w:rsid w:val="00C11EA3"/>
    <w:rsid w:val="00C179DF"/>
    <w:rsid w:val="00C20744"/>
    <w:rsid w:val="00C355B3"/>
    <w:rsid w:val="00C40DF7"/>
    <w:rsid w:val="00C428D3"/>
    <w:rsid w:val="00C50353"/>
    <w:rsid w:val="00C539FF"/>
    <w:rsid w:val="00C616A4"/>
    <w:rsid w:val="00C61E13"/>
    <w:rsid w:val="00C66384"/>
    <w:rsid w:val="00C67ACF"/>
    <w:rsid w:val="00C74F6B"/>
    <w:rsid w:val="00C816D5"/>
    <w:rsid w:val="00C83852"/>
    <w:rsid w:val="00C840A3"/>
    <w:rsid w:val="00C8427C"/>
    <w:rsid w:val="00C85CDF"/>
    <w:rsid w:val="00C8649F"/>
    <w:rsid w:val="00C87258"/>
    <w:rsid w:val="00C9165E"/>
    <w:rsid w:val="00C94803"/>
    <w:rsid w:val="00C96770"/>
    <w:rsid w:val="00C96F90"/>
    <w:rsid w:val="00C97057"/>
    <w:rsid w:val="00CB0725"/>
    <w:rsid w:val="00CB3F73"/>
    <w:rsid w:val="00CB610A"/>
    <w:rsid w:val="00CB7B37"/>
    <w:rsid w:val="00CD6814"/>
    <w:rsid w:val="00CE614A"/>
    <w:rsid w:val="00CF6194"/>
    <w:rsid w:val="00D14B49"/>
    <w:rsid w:val="00D20D21"/>
    <w:rsid w:val="00D21C9E"/>
    <w:rsid w:val="00D26E54"/>
    <w:rsid w:val="00D27C5F"/>
    <w:rsid w:val="00D30BB3"/>
    <w:rsid w:val="00D350A7"/>
    <w:rsid w:val="00D3676F"/>
    <w:rsid w:val="00D37F8D"/>
    <w:rsid w:val="00D40293"/>
    <w:rsid w:val="00D403CF"/>
    <w:rsid w:val="00D44FA6"/>
    <w:rsid w:val="00D52AE8"/>
    <w:rsid w:val="00D62856"/>
    <w:rsid w:val="00D6478B"/>
    <w:rsid w:val="00D763A0"/>
    <w:rsid w:val="00D76418"/>
    <w:rsid w:val="00D80637"/>
    <w:rsid w:val="00D8150C"/>
    <w:rsid w:val="00D823EB"/>
    <w:rsid w:val="00D837D7"/>
    <w:rsid w:val="00DA29A1"/>
    <w:rsid w:val="00DA3EDB"/>
    <w:rsid w:val="00DA3FE5"/>
    <w:rsid w:val="00DA4A9F"/>
    <w:rsid w:val="00DB263C"/>
    <w:rsid w:val="00DC279C"/>
    <w:rsid w:val="00DC3E64"/>
    <w:rsid w:val="00DC607E"/>
    <w:rsid w:val="00DD54AC"/>
    <w:rsid w:val="00DF70FA"/>
    <w:rsid w:val="00DF7149"/>
    <w:rsid w:val="00E07D5E"/>
    <w:rsid w:val="00E25DF7"/>
    <w:rsid w:val="00E27E97"/>
    <w:rsid w:val="00E303D2"/>
    <w:rsid w:val="00E434F6"/>
    <w:rsid w:val="00E44B4D"/>
    <w:rsid w:val="00E47409"/>
    <w:rsid w:val="00E47642"/>
    <w:rsid w:val="00E535EF"/>
    <w:rsid w:val="00E538F9"/>
    <w:rsid w:val="00E73483"/>
    <w:rsid w:val="00E7446C"/>
    <w:rsid w:val="00EA0180"/>
    <w:rsid w:val="00EA5008"/>
    <w:rsid w:val="00EB13C5"/>
    <w:rsid w:val="00EC66BF"/>
    <w:rsid w:val="00F10827"/>
    <w:rsid w:val="00F232E8"/>
    <w:rsid w:val="00F412E3"/>
    <w:rsid w:val="00F417DE"/>
    <w:rsid w:val="00F467A0"/>
    <w:rsid w:val="00F50001"/>
    <w:rsid w:val="00F63C92"/>
    <w:rsid w:val="00F70363"/>
    <w:rsid w:val="00F728FE"/>
    <w:rsid w:val="00F7314E"/>
    <w:rsid w:val="00F779CD"/>
    <w:rsid w:val="00F81F9C"/>
    <w:rsid w:val="00F84455"/>
    <w:rsid w:val="00F9261B"/>
    <w:rsid w:val="00F96773"/>
    <w:rsid w:val="00F96ABA"/>
    <w:rsid w:val="00FA563C"/>
    <w:rsid w:val="00FC0C1C"/>
    <w:rsid w:val="00FC3D20"/>
    <w:rsid w:val="00FD2C2A"/>
    <w:rsid w:val="00FE5119"/>
    <w:rsid w:val="00FF206D"/>
    <w:rsid w:val="00FF29C1"/>
    <w:rsid w:val="00FF4CE4"/>
    <w:rsid w:val="00FF7975"/>
    <w:rsid w:val="01110E06"/>
    <w:rsid w:val="014C4E4F"/>
    <w:rsid w:val="01B401D8"/>
    <w:rsid w:val="01D772A3"/>
    <w:rsid w:val="01F27C77"/>
    <w:rsid w:val="02201428"/>
    <w:rsid w:val="02304C8F"/>
    <w:rsid w:val="023B5027"/>
    <w:rsid w:val="02431DC0"/>
    <w:rsid w:val="0248240F"/>
    <w:rsid w:val="02521712"/>
    <w:rsid w:val="02675512"/>
    <w:rsid w:val="026E716C"/>
    <w:rsid w:val="02CD1577"/>
    <w:rsid w:val="032248BA"/>
    <w:rsid w:val="03587E4D"/>
    <w:rsid w:val="03597E8E"/>
    <w:rsid w:val="037039DE"/>
    <w:rsid w:val="03771167"/>
    <w:rsid w:val="038E41B6"/>
    <w:rsid w:val="04054A2B"/>
    <w:rsid w:val="041729A1"/>
    <w:rsid w:val="0438675C"/>
    <w:rsid w:val="046A0239"/>
    <w:rsid w:val="049F4EFD"/>
    <w:rsid w:val="04F61493"/>
    <w:rsid w:val="05336A3F"/>
    <w:rsid w:val="053D00B6"/>
    <w:rsid w:val="056C4502"/>
    <w:rsid w:val="05707874"/>
    <w:rsid w:val="05A07B6E"/>
    <w:rsid w:val="05E655CF"/>
    <w:rsid w:val="05F65E50"/>
    <w:rsid w:val="06030411"/>
    <w:rsid w:val="061732E5"/>
    <w:rsid w:val="06612B7E"/>
    <w:rsid w:val="0687243C"/>
    <w:rsid w:val="068C1A13"/>
    <w:rsid w:val="0702214E"/>
    <w:rsid w:val="07023B66"/>
    <w:rsid w:val="072221F1"/>
    <w:rsid w:val="07391A2B"/>
    <w:rsid w:val="079E78C0"/>
    <w:rsid w:val="07D17C7C"/>
    <w:rsid w:val="07F44FD9"/>
    <w:rsid w:val="086F58A5"/>
    <w:rsid w:val="089B0FEE"/>
    <w:rsid w:val="089C4071"/>
    <w:rsid w:val="08AB7C23"/>
    <w:rsid w:val="08EC5325"/>
    <w:rsid w:val="092B3D47"/>
    <w:rsid w:val="097F6BFA"/>
    <w:rsid w:val="09E337AF"/>
    <w:rsid w:val="0A702524"/>
    <w:rsid w:val="0A8C0387"/>
    <w:rsid w:val="0A9A5D3D"/>
    <w:rsid w:val="0A9B67F9"/>
    <w:rsid w:val="0AFE4389"/>
    <w:rsid w:val="0B0978FC"/>
    <w:rsid w:val="0B15582D"/>
    <w:rsid w:val="0B3F6A64"/>
    <w:rsid w:val="0B6364EE"/>
    <w:rsid w:val="0B8D3B33"/>
    <w:rsid w:val="0BA57D8E"/>
    <w:rsid w:val="0BAF573C"/>
    <w:rsid w:val="0BF0362D"/>
    <w:rsid w:val="0C057449"/>
    <w:rsid w:val="0C2F476E"/>
    <w:rsid w:val="0C405511"/>
    <w:rsid w:val="0C424F1F"/>
    <w:rsid w:val="0CDB2A0A"/>
    <w:rsid w:val="0D0D6A84"/>
    <w:rsid w:val="0D541298"/>
    <w:rsid w:val="0D65293C"/>
    <w:rsid w:val="0D8F1F77"/>
    <w:rsid w:val="0DE8230F"/>
    <w:rsid w:val="0E0C2AFD"/>
    <w:rsid w:val="0E0E47F0"/>
    <w:rsid w:val="0E1161ED"/>
    <w:rsid w:val="0E121D9A"/>
    <w:rsid w:val="0E2E6AB6"/>
    <w:rsid w:val="0E395223"/>
    <w:rsid w:val="0E3B7750"/>
    <w:rsid w:val="0E7009FF"/>
    <w:rsid w:val="0E72463B"/>
    <w:rsid w:val="0E7A66D6"/>
    <w:rsid w:val="0EA744AE"/>
    <w:rsid w:val="0EAB77A0"/>
    <w:rsid w:val="0EF35716"/>
    <w:rsid w:val="0F1C38A1"/>
    <w:rsid w:val="0F367B25"/>
    <w:rsid w:val="0F540BFC"/>
    <w:rsid w:val="0F5E1E20"/>
    <w:rsid w:val="0F703909"/>
    <w:rsid w:val="0F871AED"/>
    <w:rsid w:val="0FA55865"/>
    <w:rsid w:val="0FCE6FEC"/>
    <w:rsid w:val="0FE11735"/>
    <w:rsid w:val="10063084"/>
    <w:rsid w:val="102A6F1B"/>
    <w:rsid w:val="10660739"/>
    <w:rsid w:val="106F11B4"/>
    <w:rsid w:val="108C2D1E"/>
    <w:rsid w:val="10B250F8"/>
    <w:rsid w:val="10CC1D6A"/>
    <w:rsid w:val="10CF1CAA"/>
    <w:rsid w:val="10DC2540"/>
    <w:rsid w:val="10F16283"/>
    <w:rsid w:val="11596574"/>
    <w:rsid w:val="11A82385"/>
    <w:rsid w:val="11D65CBA"/>
    <w:rsid w:val="11E70DCC"/>
    <w:rsid w:val="1220781A"/>
    <w:rsid w:val="122A013E"/>
    <w:rsid w:val="123021D6"/>
    <w:rsid w:val="124B3A99"/>
    <w:rsid w:val="12A5368B"/>
    <w:rsid w:val="1306646C"/>
    <w:rsid w:val="130C5354"/>
    <w:rsid w:val="1314379E"/>
    <w:rsid w:val="132863AC"/>
    <w:rsid w:val="13396B15"/>
    <w:rsid w:val="13B100AE"/>
    <w:rsid w:val="13C24CD2"/>
    <w:rsid w:val="13E22C50"/>
    <w:rsid w:val="141077CE"/>
    <w:rsid w:val="1416366B"/>
    <w:rsid w:val="141B4934"/>
    <w:rsid w:val="14216B57"/>
    <w:rsid w:val="14574680"/>
    <w:rsid w:val="14772DD6"/>
    <w:rsid w:val="1487448F"/>
    <w:rsid w:val="14B450AE"/>
    <w:rsid w:val="14B67BFC"/>
    <w:rsid w:val="14BD28E4"/>
    <w:rsid w:val="14E56C94"/>
    <w:rsid w:val="14F46B1D"/>
    <w:rsid w:val="151E3969"/>
    <w:rsid w:val="157B5D24"/>
    <w:rsid w:val="15993788"/>
    <w:rsid w:val="15BE121B"/>
    <w:rsid w:val="15E45CEB"/>
    <w:rsid w:val="16180A85"/>
    <w:rsid w:val="161E22D2"/>
    <w:rsid w:val="16740FE7"/>
    <w:rsid w:val="1678257F"/>
    <w:rsid w:val="16883320"/>
    <w:rsid w:val="16DA63EA"/>
    <w:rsid w:val="17234FCC"/>
    <w:rsid w:val="177E7E5E"/>
    <w:rsid w:val="17A72250"/>
    <w:rsid w:val="17B51261"/>
    <w:rsid w:val="17E04FBA"/>
    <w:rsid w:val="181513AA"/>
    <w:rsid w:val="183C420C"/>
    <w:rsid w:val="189916D9"/>
    <w:rsid w:val="18A80767"/>
    <w:rsid w:val="18F76BEE"/>
    <w:rsid w:val="18FF026F"/>
    <w:rsid w:val="191A476F"/>
    <w:rsid w:val="192227C9"/>
    <w:rsid w:val="19376D41"/>
    <w:rsid w:val="19576D93"/>
    <w:rsid w:val="19781F23"/>
    <w:rsid w:val="197D5528"/>
    <w:rsid w:val="1998712F"/>
    <w:rsid w:val="19C373F7"/>
    <w:rsid w:val="19CF0F1F"/>
    <w:rsid w:val="1A031C47"/>
    <w:rsid w:val="1A2D5B43"/>
    <w:rsid w:val="1A4A02D3"/>
    <w:rsid w:val="1AB75FFE"/>
    <w:rsid w:val="1AD86972"/>
    <w:rsid w:val="1B2120AC"/>
    <w:rsid w:val="1B8A146C"/>
    <w:rsid w:val="1BAA7CD3"/>
    <w:rsid w:val="1BF51208"/>
    <w:rsid w:val="1C66055B"/>
    <w:rsid w:val="1C6B0F54"/>
    <w:rsid w:val="1C8708CB"/>
    <w:rsid w:val="1C8F7AE8"/>
    <w:rsid w:val="1C93688D"/>
    <w:rsid w:val="1C9D5B1D"/>
    <w:rsid w:val="1CEC79F8"/>
    <w:rsid w:val="1CF35E70"/>
    <w:rsid w:val="1D3C3646"/>
    <w:rsid w:val="1D5505BA"/>
    <w:rsid w:val="1DA97E12"/>
    <w:rsid w:val="1DC62049"/>
    <w:rsid w:val="1DD90759"/>
    <w:rsid w:val="1E524C7C"/>
    <w:rsid w:val="1E5E3236"/>
    <w:rsid w:val="1E963CF8"/>
    <w:rsid w:val="1E9C1F85"/>
    <w:rsid w:val="1F154FA1"/>
    <w:rsid w:val="1F1B287C"/>
    <w:rsid w:val="1F331BAE"/>
    <w:rsid w:val="1F9C2132"/>
    <w:rsid w:val="1FCC3593"/>
    <w:rsid w:val="20497170"/>
    <w:rsid w:val="20783F34"/>
    <w:rsid w:val="20A278EC"/>
    <w:rsid w:val="20B14A46"/>
    <w:rsid w:val="20D3484E"/>
    <w:rsid w:val="20D47DB9"/>
    <w:rsid w:val="219F1645"/>
    <w:rsid w:val="223873CA"/>
    <w:rsid w:val="22504072"/>
    <w:rsid w:val="226418CC"/>
    <w:rsid w:val="228251F5"/>
    <w:rsid w:val="22AC5A58"/>
    <w:rsid w:val="22C37992"/>
    <w:rsid w:val="22FB6329"/>
    <w:rsid w:val="22FD00BC"/>
    <w:rsid w:val="23885703"/>
    <w:rsid w:val="23BA6F2A"/>
    <w:rsid w:val="23ED5BF9"/>
    <w:rsid w:val="23FE4E88"/>
    <w:rsid w:val="24253A31"/>
    <w:rsid w:val="244F0613"/>
    <w:rsid w:val="245453D0"/>
    <w:rsid w:val="24912C48"/>
    <w:rsid w:val="24AE1CEA"/>
    <w:rsid w:val="252B6E93"/>
    <w:rsid w:val="253A1070"/>
    <w:rsid w:val="25C14379"/>
    <w:rsid w:val="26206288"/>
    <w:rsid w:val="268E0AD7"/>
    <w:rsid w:val="26FD2231"/>
    <w:rsid w:val="271D34AE"/>
    <w:rsid w:val="27A370B0"/>
    <w:rsid w:val="27F01DF4"/>
    <w:rsid w:val="281E0FE5"/>
    <w:rsid w:val="284D791A"/>
    <w:rsid w:val="289A661F"/>
    <w:rsid w:val="28F651DC"/>
    <w:rsid w:val="290A2415"/>
    <w:rsid w:val="292B2876"/>
    <w:rsid w:val="293A6D89"/>
    <w:rsid w:val="29651FC3"/>
    <w:rsid w:val="296B0A15"/>
    <w:rsid w:val="29882E4E"/>
    <w:rsid w:val="29914E24"/>
    <w:rsid w:val="29D827B0"/>
    <w:rsid w:val="29D90988"/>
    <w:rsid w:val="29EF08CA"/>
    <w:rsid w:val="2A2D6002"/>
    <w:rsid w:val="2A3C2B26"/>
    <w:rsid w:val="2A407079"/>
    <w:rsid w:val="2ADE189C"/>
    <w:rsid w:val="2AEF64B9"/>
    <w:rsid w:val="2AF730EF"/>
    <w:rsid w:val="2B0F6C2E"/>
    <w:rsid w:val="2B2926C1"/>
    <w:rsid w:val="2B351489"/>
    <w:rsid w:val="2B661A55"/>
    <w:rsid w:val="2B967A5F"/>
    <w:rsid w:val="2BB53B3F"/>
    <w:rsid w:val="2BE85CD5"/>
    <w:rsid w:val="2BF47537"/>
    <w:rsid w:val="2C41373D"/>
    <w:rsid w:val="2C4338B1"/>
    <w:rsid w:val="2CBD63FA"/>
    <w:rsid w:val="2CD772DA"/>
    <w:rsid w:val="2D071CDA"/>
    <w:rsid w:val="2D0F57E5"/>
    <w:rsid w:val="2DA53C82"/>
    <w:rsid w:val="2E4C12F6"/>
    <w:rsid w:val="2EAD42E7"/>
    <w:rsid w:val="2ED14AA3"/>
    <w:rsid w:val="2EDF2A3C"/>
    <w:rsid w:val="2F2E5819"/>
    <w:rsid w:val="2F8B1FAF"/>
    <w:rsid w:val="2FF41E52"/>
    <w:rsid w:val="30033829"/>
    <w:rsid w:val="300A19BE"/>
    <w:rsid w:val="302D0111"/>
    <w:rsid w:val="303323D8"/>
    <w:rsid w:val="30531075"/>
    <w:rsid w:val="306F0952"/>
    <w:rsid w:val="30721749"/>
    <w:rsid w:val="30837237"/>
    <w:rsid w:val="30BB211F"/>
    <w:rsid w:val="30EA01DB"/>
    <w:rsid w:val="30F34025"/>
    <w:rsid w:val="310F08BA"/>
    <w:rsid w:val="312C43CB"/>
    <w:rsid w:val="31364E4D"/>
    <w:rsid w:val="3163492C"/>
    <w:rsid w:val="317923F6"/>
    <w:rsid w:val="318C6A75"/>
    <w:rsid w:val="31A538B8"/>
    <w:rsid w:val="31A6072E"/>
    <w:rsid w:val="31A815F8"/>
    <w:rsid w:val="31D315D8"/>
    <w:rsid w:val="320D00ED"/>
    <w:rsid w:val="32336393"/>
    <w:rsid w:val="32466E64"/>
    <w:rsid w:val="3297376A"/>
    <w:rsid w:val="32B35085"/>
    <w:rsid w:val="32DC3B5D"/>
    <w:rsid w:val="33C24013"/>
    <w:rsid w:val="33C41099"/>
    <w:rsid w:val="33D134FA"/>
    <w:rsid w:val="33EF731D"/>
    <w:rsid w:val="350267A3"/>
    <w:rsid w:val="352A4911"/>
    <w:rsid w:val="3543129D"/>
    <w:rsid w:val="35E97E5C"/>
    <w:rsid w:val="35F53B18"/>
    <w:rsid w:val="364411F3"/>
    <w:rsid w:val="366833EC"/>
    <w:rsid w:val="37514CA5"/>
    <w:rsid w:val="37541EA4"/>
    <w:rsid w:val="379844FC"/>
    <w:rsid w:val="37AF1E47"/>
    <w:rsid w:val="37B3163C"/>
    <w:rsid w:val="382F4F00"/>
    <w:rsid w:val="38694597"/>
    <w:rsid w:val="38F81758"/>
    <w:rsid w:val="392018B2"/>
    <w:rsid w:val="39AC19F8"/>
    <w:rsid w:val="3A1B55B0"/>
    <w:rsid w:val="3A426B31"/>
    <w:rsid w:val="3AF2191D"/>
    <w:rsid w:val="3B3D2A98"/>
    <w:rsid w:val="3B5102FE"/>
    <w:rsid w:val="3B651539"/>
    <w:rsid w:val="3B81545F"/>
    <w:rsid w:val="3B896933"/>
    <w:rsid w:val="3B9C29C8"/>
    <w:rsid w:val="3BFC0F79"/>
    <w:rsid w:val="3C0330AA"/>
    <w:rsid w:val="3C043ACB"/>
    <w:rsid w:val="3C0A747E"/>
    <w:rsid w:val="3C0E57F7"/>
    <w:rsid w:val="3C0F2C7B"/>
    <w:rsid w:val="3C1079DE"/>
    <w:rsid w:val="3C1975A9"/>
    <w:rsid w:val="3C416BDA"/>
    <w:rsid w:val="3C950DF8"/>
    <w:rsid w:val="3CE2458F"/>
    <w:rsid w:val="3D1E65C8"/>
    <w:rsid w:val="3D2E373B"/>
    <w:rsid w:val="3D715530"/>
    <w:rsid w:val="3DB27522"/>
    <w:rsid w:val="3DBA0DE7"/>
    <w:rsid w:val="3E004613"/>
    <w:rsid w:val="3E0811A4"/>
    <w:rsid w:val="3E0B2E4A"/>
    <w:rsid w:val="3E4132D7"/>
    <w:rsid w:val="3E9D334D"/>
    <w:rsid w:val="3EC260A3"/>
    <w:rsid w:val="3ED830C1"/>
    <w:rsid w:val="3F38344C"/>
    <w:rsid w:val="3F5F5B0A"/>
    <w:rsid w:val="3F6E75BE"/>
    <w:rsid w:val="3F6F3B4F"/>
    <w:rsid w:val="3FD225D7"/>
    <w:rsid w:val="3FED5807"/>
    <w:rsid w:val="401E51CD"/>
    <w:rsid w:val="402F2E6D"/>
    <w:rsid w:val="404101DD"/>
    <w:rsid w:val="41380022"/>
    <w:rsid w:val="413A779B"/>
    <w:rsid w:val="41673933"/>
    <w:rsid w:val="41F91632"/>
    <w:rsid w:val="420B640A"/>
    <w:rsid w:val="42756582"/>
    <w:rsid w:val="43074B6B"/>
    <w:rsid w:val="43122B73"/>
    <w:rsid w:val="43155376"/>
    <w:rsid w:val="431A1093"/>
    <w:rsid w:val="4323517F"/>
    <w:rsid w:val="43515855"/>
    <w:rsid w:val="43FC4765"/>
    <w:rsid w:val="4413719D"/>
    <w:rsid w:val="44190BF7"/>
    <w:rsid w:val="44537DBC"/>
    <w:rsid w:val="44641E1F"/>
    <w:rsid w:val="447C5744"/>
    <w:rsid w:val="44D14757"/>
    <w:rsid w:val="44E86CB8"/>
    <w:rsid w:val="44FD16E5"/>
    <w:rsid w:val="459267A0"/>
    <w:rsid w:val="45F3766A"/>
    <w:rsid w:val="460438ED"/>
    <w:rsid w:val="4634113C"/>
    <w:rsid w:val="465066A1"/>
    <w:rsid w:val="465C610C"/>
    <w:rsid w:val="4685424B"/>
    <w:rsid w:val="468C526C"/>
    <w:rsid w:val="46A20458"/>
    <w:rsid w:val="46E061F1"/>
    <w:rsid w:val="46E23B65"/>
    <w:rsid w:val="46E74935"/>
    <w:rsid w:val="46E813ED"/>
    <w:rsid w:val="47017745"/>
    <w:rsid w:val="472A7533"/>
    <w:rsid w:val="474014A2"/>
    <w:rsid w:val="47645B43"/>
    <w:rsid w:val="47943222"/>
    <w:rsid w:val="47A143A4"/>
    <w:rsid w:val="47A84DA9"/>
    <w:rsid w:val="47C759B2"/>
    <w:rsid w:val="480266A9"/>
    <w:rsid w:val="48651BCD"/>
    <w:rsid w:val="487E013D"/>
    <w:rsid w:val="488B5824"/>
    <w:rsid w:val="48A53B08"/>
    <w:rsid w:val="48AE3B46"/>
    <w:rsid w:val="48B03399"/>
    <w:rsid w:val="48F0581F"/>
    <w:rsid w:val="49032A86"/>
    <w:rsid w:val="492A3FD3"/>
    <w:rsid w:val="493F1D69"/>
    <w:rsid w:val="49594955"/>
    <w:rsid w:val="49AA59B2"/>
    <w:rsid w:val="49CF2911"/>
    <w:rsid w:val="49E50628"/>
    <w:rsid w:val="4A0F57C3"/>
    <w:rsid w:val="4AB11443"/>
    <w:rsid w:val="4ADD0CFA"/>
    <w:rsid w:val="4AEA6F59"/>
    <w:rsid w:val="4B157C35"/>
    <w:rsid w:val="4B8D7C37"/>
    <w:rsid w:val="4B91311E"/>
    <w:rsid w:val="4BCE1CBF"/>
    <w:rsid w:val="4BEC39C9"/>
    <w:rsid w:val="4BF47C24"/>
    <w:rsid w:val="4BFF06A6"/>
    <w:rsid w:val="4C05553D"/>
    <w:rsid w:val="4C563314"/>
    <w:rsid w:val="4C9301B2"/>
    <w:rsid w:val="4CAF06CC"/>
    <w:rsid w:val="4CEC117A"/>
    <w:rsid w:val="4CF20AB9"/>
    <w:rsid w:val="4D105A4F"/>
    <w:rsid w:val="4D2F59D2"/>
    <w:rsid w:val="4D363C0B"/>
    <w:rsid w:val="4D3B6DAA"/>
    <w:rsid w:val="4D4B5C46"/>
    <w:rsid w:val="4D687814"/>
    <w:rsid w:val="4D7F5C38"/>
    <w:rsid w:val="4DBC24D9"/>
    <w:rsid w:val="4DFA6CA7"/>
    <w:rsid w:val="4E1F4CD7"/>
    <w:rsid w:val="4E326B34"/>
    <w:rsid w:val="4E40344D"/>
    <w:rsid w:val="4E5E1C79"/>
    <w:rsid w:val="4ECC0A63"/>
    <w:rsid w:val="4ED11A46"/>
    <w:rsid w:val="4EE52AC1"/>
    <w:rsid w:val="4EEF4738"/>
    <w:rsid w:val="4F2B024A"/>
    <w:rsid w:val="4F760AE0"/>
    <w:rsid w:val="4F817B37"/>
    <w:rsid w:val="4FAA1AA5"/>
    <w:rsid w:val="4FD52FE7"/>
    <w:rsid w:val="50100886"/>
    <w:rsid w:val="50583DB2"/>
    <w:rsid w:val="50673B5C"/>
    <w:rsid w:val="50760C36"/>
    <w:rsid w:val="50945CC5"/>
    <w:rsid w:val="50982913"/>
    <w:rsid w:val="50B3724A"/>
    <w:rsid w:val="50CE42A9"/>
    <w:rsid w:val="50F7617F"/>
    <w:rsid w:val="510420F7"/>
    <w:rsid w:val="513F37E8"/>
    <w:rsid w:val="51411704"/>
    <w:rsid w:val="514B40DB"/>
    <w:rsid w:val="514B43E3"/>
    <w:rsid w:val="51567631"/>
    <w:rsid w:val="5162639F"/>
    <w:rsid w:val="51AA21BB"/>
    <w:rsid w:val="51C36841"/>
    <w:rsid w:val="51F66CD0"/>
    <w:rsid w:val="52AC49F5"/>
    <w:rsid w:val="52AD4347"/>
    <w:rsid w:val="52CA2BF0"/>
    <w:rsid w:val="532C5BCA"/>
    <w:rsid w:val="53C766A5"/>
    <w:rsid w:val="53D424AA"/>
    <w:rsid w:val="53FC307D"/>
    <w:rsid w:val="54153A4D"/>
    <w:rsid w:val="5448549D"/>
    <w:rsid w:val="54563723"/>
    <w:rsid w:val="545C4F7B"/>
    <w:rsid w:val="54A93422"/>
    <w:rsid w:val="54B70268"/>
    <w:rsid w:val="54EC48A0"/>
    <w:rsid w:val="555979C7"/>
    <w:rsid w:val="557B2F88"/>
    <w:rsid w:val="55A6717A"/>
    <w:rsid w:val="55B202EF"/>
    <w:rsid w:val="55B32CFA"/>
    <w:rsid w:val="55CD0C94"/>
    <w:rsid w:val="55CE6CEC"/>
    <w:rsid w:val="55E910B6"/>
    <w:rsid w:val="55E919EE"/>
    <w:rsid w:val="55F877EC"/>
    <w:rsid w:val="55F940B7"/>
    <w:rsid w:val="55FD470E"/>
    <w:rsid w:val="563655E8"/>
    <w:rsid w:val="56365C2E"/>
    <w:rsid w:val="56700214"/>
    <w:rsid w:val="56770197"/>
    <w:rsid w:val="57025219"/>
    <w:rsid w:val="571A030C"/>
    <w:rsid w:val="574040F3"/>
    <w:rsid w:val="57690E4F"/>
    <w:rsid w:val="57706291"/>
    <w:rsid w:val="57893583"/>
    <w:rsid w:val="57935A23"/>
    <w:rsid w:val="57B02BD0"/>
    <w:rsid w:val="57B45167"/>
    <w:rsid w:val="57F51D84"/>
    <w:rsid w:val="57F60E39"/>
    <w:rsid w:val="58075E6C"/>
    <w:rsid w:val="5830091C"/>
    <w:rsid w:val="583E5434"/>
    <w:rsid w:val="58A21C80"/>
    <w:rsid w:val="58F87A38"/>
    <w:rsid w:val="59036AEF"/>
    <w:rsid w:val="591C727C"/>
    <w:rsid w:val="593478C9"/>
    <w:rsid w:val="59402FA3"/>
    <w:rsid w:val="5948761B"/>
    <w:rsid w:val="59B53395"/>
    <w:rsid w:val="59E47CC6"/>
    <w:rsid w:val="5A1A2C4A"/>
    <w:rsid w:val="5A4A12C4"/>
    <w:rsid w:val="5A5574BB"/>
    <w:rsid w:val="5A5D411C"/>
    <w:rsid w:val="5A987FB9"/>
    <w:rsid w:val="5AA736BF"/>
    <w:rsid w:val="5AF01F35"/>
    <w:rsid w:val="5B565EED"/>
    <w:rsid w:val="5B6A2FC8"/>
    <w:rsid w:val="5BB31251"/>
    <w:rsid w:val="5BC04523"/>
    <w:rsid w:val="5BC47140"/>
    <w:rsid w:val="5BC97DE9"/>
    <w:rsid w:val="5BD70891"/>
    <w:rsid w:val="5BF279CB"/>
    <w:rsid w:val="5C244811"/>
    <w:rsid w:val="5C341906"/>
    <w:rsid w:val="5C671D5D"/>
    <w:rsid w:val="5C764759"/>
    <w:rsid w:val="5C780D81"/>
    <w:rsid w:val="5C7A4359"/>
    <w:rsid w:val="5C7E21C5"/>
    <w:rsid w:val="5CB010EE"/>
    <w:rsid w:val="5CDF127B"/>
    <w:rsid w:val="5D0806E6"/>
    <w:rsid w:val="5D6E22AC"/>
    <w:rsid w:val="5E166EBD"/>
    <w:rsid w:val="5E3762D9"/>
    <w:rsid w:val="5E7205D5"/>
    <w:rsid w:val="5EFC3C5C"/>
    <w:rsid w:val="5F136100"/>
    <w:rsid w:val="5F191C14"/>
    <w:rsid w:val="5F2556F8"/>
    <w:rsid w:val="5F472817"/>
    <w:rsid w:val="5F65126D"/>
    <w:rsid w:val="5F780BBF"/>
    <w:rsid w:val="5F851A81"/>
    <w:rsid w:val="5FAA7F21"/>
    <w:rsid w:val="6015103A"/>
    <w:rsid w:val="60182510"/>
    <w:rsid w:val="60527275"/>
    <w:rsid w:val="608B7C87"/>
    <w:rsid w:val="60C50406"/>
    <w:rsid w:val="60CC7456"/>
    <w:rsid w:val="61335E3E"/>
    <w:rsid w:val="613511EF"/>
    <w:rsid w:val="615F4317"/>
    <w:rsid w:val="617846F2"/>
    <w:rsid w:val="6179504F"/>
    <w:rsid w:val="61893A21"/>
    <w:rsid w:val="61E251F3"/>
    <w:rsid w:val="61E55E53"/>
    <w:rsid w:val="62263F49"/>
    <w:rsid w:val="62322573"/>
    <w:rsid w:val="62664464"/>
    <w:rsid w:val="629B426B"/>
    <w:rsid w:val="62AF39C3"/>
    <w:rsid w:val="62CA6F4A"/>
    <w:rsid w:val="62E719F2"/>
    <w:rsid w:val="63046CD6"/>
    <w:rsid w:val="631471BD"/>
    <w:rsid w:val="63180C94"/>
    <w:rsid w:val="63613B44"/>
    <w:rsid w:val="636E5C0D"/>
    <w:rsid w:val="63725411"/>
    <w:rsid w:val="638C029E"/>
    <w:rsid w:val="63A45003"/>
    <w:rsid w:val="63BF2AA4"/>
    <w:rsid w:val="63D40918"/>
    <w:rsid w:val="6452759F"/>
    <w:rsid w:val="64BC309B"/>
    <w:rsid w:val="64DE29BA"/>
    <w:rsid w:val="64F8178D"/>
    <w:rsid w:val="650715F4"/>
    <w:rsid w:val="65A15117"/>
    <w:rsid w:val="65DC2619"/>
    <w:rsid w:val="65EA5858"/>
    <w:rsid w:val="66222AF8"/>
    <w:rsid w:val="666B476D"/>
    <w:rsid w:val="66A100C4"/>
    <w:rsid w:val="66A72D96"/>
    <w:rsid w:val="66B41982"/>
    <w:rsid w:val="66D654FF"/>
    <w:rsid w:val="672F09E2"/>
    <w:rsid w:val="6738785E"/>
    <w:rsid w:val="6791343A"/>
    <w:rsid w:val="67A105DD"/>
    <w:rsid w:val="67B87E56"/>
    <w:rsid w:val="67BD2109"/>
    <w:rsid w:val="67C44765"/>
    <w:rsid w:val="67F3144D"/>
    <w:rsid w:val="680E7CB8"/>
    <w:rsid w:val="685B36EA"/>
    <w:rsid w:val="68961081"/>
    <w:rsid w:val="68B03256"/>
    <w:rsid w:val="696878B4"/>
    <w:rsid w:val="6ADA76E9"/>
    <w:rsid w:val="6AE65093"/>
    <w:rsid w:val="6B5427FA"/>
    <w:rsid w:val="6BC81A9A"/>
    <w:rsid w:val="6BD95B85"/>
    <w:rsid w:val="6BE65B69"/>
    <w:rsid w:val="6CA44DB8"/>
    <w:rsid w:val="6CBD0F9A"/>
    <w:rsid w:val="6CC62C2C"/>
    <w:rsid w:val="6CCD4A60"/>
    <w:rsid w:val="6CFE37CA"/>
    <w:rsid w:val="6D1C0FED"/>
    <w:rsid w:val="6D214955"/>
    <w:rsid w:val="6D531591"/>
    <w:rsid w:val="6D612FC0"/>
    <w:rsid w:val="6D6E32FA"/>
    <w:rsid w:val="6DBD76DE"/>
    <w:rsid w:val="6DC40352"/>
    <w:rsid w:val="6DC67B27"/>
    <w:rsid w:val="6E3D7E02"/>
    <w:rsid w:val="6E636475"/>
    <w:rsid w:val="6E647E42"/>
    <w:rsid w:val="6E794A4F"/>
    <w:rsid w:val="6EAD7E9A"/>
    <w:rsid w:val="6ECB0CA3"/>
    <w:rsid w:val="6EDF1AD6"/>
    <w:rsid w:val="6F0A783D"/>
    <w:rsid w:val="6F2172B3"/>
    <w:rsid w:val="6F223BEA"/>
    <w:rsid w:val="6F2464EF"/>
    <w:rsid w:val="6F2C3765"/>
    <w:rsid w:val="6F493831"/>
    <w:rsid w:val="6FEE322F"/>
    <w:rsid w:val="701F1EAD"/>
    <w:rsid w:val="703D225F"/>
    <w:rsid w:val="703D5C17"/>
    <w:rsid w:val="70A214DF"/>
    <w:rsid w:val="70AB74CF"/>
    <w:rsid w:val="70B53817"/>
    <w:rsid w:val="70D45145"/>
    <w:rsid w:val="7143382D"/>
    <w:rsid w:val="715044D6"/>
    <w:rsid w:val="71817CEE"/>
    <w:rsid w:val="71863CBA"/>
    <w:rsid w:val="71C15203"/>
    <w:rsid w:val="720D0575"/>
    <w:rsid w:val="7254789B"/>
    <w:rsid w:val="72A43286"/>
    <w:rsid w:val="72EE1671"/>
    <w:rsid w:val="730208D7"/>
    <w:rsid w:val="736B1B21"/>
    <w:rsid w:val="739A5F82"/>
    <w:rsid w:val="73CE3686"/>
    <w:rsid w:val="73D535AF"/>
    <w:rsid w:val="743D795A"/>
    <w:rsid w:val="744B3786"/>
    <w:rsid w:val="74CE73EA"/>
    <w:rsid w:val="7508592C"/>
    <w:rsid w:val="75224721"/>
    <w:rsid w:val="755C4181"/>
    <w:rsid w:val="75A41183"/>
    <w:rsid w:val="75C44E39"/>
    <w:rsid w:val="75DC41A0"/>
    <w:rsid w:val="76142A46"/>
    <w:rsid w:val="76634335"/>
    <w:rsid w:val="7668193E"/>
    <w:rsid w:val="767D01C7"/>
    <w:rsid w:val="768B52C6"/>
    <w:rsid w:val="76A907DA"/>
    <w:rsid w:val="76B10C5B"/>
    <w:rsid w:val="76B11FB5"/>
    <w:rsid w:val="76DC63F8"/>
    <w:rsid w:val="770B193F"/>
    <w:rsid w:val="77406F97"/>
    <w:rsid w:val="77486AE3"/>
    <w:rsid w:val="77705083"/>
    <w:rsid w:val="777F6A86"/>
    <w:rsid w:val="77BF286F"/>
    <w:rsid w:val="77DB7F41"/>
    <w:rsid w:val="77FF5915"/>
    <w:rsid w:val="78EC0980"/>
    <w:rsid w:val="78FE3063"/>
    <w:rsid w:val="793A45C1"/>
    <w:rsid w:val="795311B6"/>
    <w:rsid w:val="79AE3B79"/>
    <w:rsid w:val="79CD598D"/>
    <w:rsid w:val="79D544BA"/>
    <w:rsid w:val="79EF427F"/>
    <w:rsid w:val="79FB71AC"/>
    <w:rsid w:val="7A214813"/>
    <w:rsid w:val="7A812C03"/>
    <w:rsid w:val="7AB36004"/>
    <w:rsid w:val="7ACA7F25"/>
    <w:rsid w:val="7AD82E56"/>
    <w:rsid w:val="7AED79A0"/>
    <w:rsid w:val="7B070F47"/>
    <w:rsid w:val="7B291D9A"/>
    <w:rsid w:val="7B2A110A"/>
    <w:rsid w:val="7B3F7685"/>
    <w:rsid w:val="7BA95364"/>
    <w:rsid w:val="7BB327A5"/>
    <w:rsid w:val="7BB92BE3"/>
    <w:rsid w:val="7BCE0B5E"/>
    <w:rsid w:val="7BD357BA"/>
    <w:rsid w:val="7BD83FC3"/>
    <w:rsid w:val="7BF803AC"/>
    <w:rsid w:val="7C4A3F28"/>
    <w:rsid w:val="7C575FB4"/>
    <w:rsid w:val="7C852914"/>
    <w:rsid w:val="7D0509A8"/>
    <w:rsid w:val="7D143198"/>
    <w:rsid w:val="7D5408AF"/>
    <w:rsid w:val="7D5D6FD8"/>
    <w:rsid w:val="7D79759A"/>
    <w:rsid w:val="7D7B4CC5"/>
    <w:rsid w:val="7DBA3498"/>
    <w:rsid w:val="7DF007AE"/>
    <w:rsid w:val="7E043BE2"/>
    <w:rsid w:val="7E64321B"/>
    <w:rsid w:val="7E8D6272"/>
    <w:rsid w:val="7EA102C3"/>
    <w:rsid w:val="7EA212D2"/>
    <w:rsid w:val="7EAD5D01"/>
    <w:rsid w:val="7EB174EA"/>
    <w:rsid w:val="7EDD1569"/>
    <w:rsid w:val="7F002510"/>
    <w:rsid w:val="7F125C1D"/>
    <w:rsid w:val="7F594C28"/>
    <w:rsid w:val="7F69027F"/>
    <w:rsid w:val="7F7E5012"/>
    <w:rsid w:val="7F8F5EBF"/>
    <w:rsid w:val="7FC04ADF"/>
    <w:rsid w:val="7FC338D5"/>
    <w:rsid w:val="7FCB461B"/>
    <w:rsid w:val="7FEF033A"/>
    <w:rsid w:val="7FFE2DB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name="toc 1"/>
    <w:lsdException w:unhideWhenUsed="0" w:uiPriority="0" w:semiHidden="0" w:name="toc 2"/>
    <w:lsdException w:qFormat="1" w:unhideWhenUsed="0" w:uiPriority="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宋体" w:hAnsi="Times New Roman" w:eastAsia="宋体" w:cs="Times New Roman"/>
      <w:sz w:val="34"/>
      <w:lang w:val="en-US" w:eastAsia="zh-CN" w:bidi="ar-SA"/>
    </w:rPr>
  </w:style>
  <w:style w:type="paragraph" w:styleId="4">
    <w:name w:val="heading 1"/>
    <w:basedOn w:val="1"/>
    <w:next w:val="1"/>
    <w:qFormat/>
    <w:uiPriority w:val="0"/>
    <w:pPr>
      <w:keepNext/>
      <w:keepLines/>
      <w:spacing w:before="340" w:after="330" w:line="578" w:lineRule="auto"/>
      <w:outlineLvl w:val="0"/>
    </w:pPr>
    <w:rPr>
      <w:b/>
      <w:bCs/>
      <w:kern w:val="44"/>
      <w:sz w:val="44"/>
      <w:szCs w:val="44"/>
    </w:rPr>
  </w:style>
  <w:style w:type="paragraph" w:styleId="5">
    <w:name w:val="heading 2"/>
    <w:basedOn w:val="1"/>
    <w:next w:val="1"/>
    <w:link w:val="40"/>
    <w:qFormat/>
    <w:uiPriority w:val="0"/>
    <w:pPr>
      <w:keepNext/>
      <w:keepLines/>
      <w:spacing w:before="260" w:after="260" w:line="416" w:lineRule="auto"/>
      <w:outlineLvl w:val="1"/>
    </w:pPr>
    <w:rPr>
      <w:rFonts w:ascii="Arial" w:hAnsi="Arial" w:eastAsia="黑体"/>
      <w:b/>
      <w:bCs/>
      <w:kern w:val="2"/>
      <w:sz w:val="32"/>
      <w:szCs w:val="32"/>
    </w:rPr>
  </w:style>
  <w:style w:type="paragraph" w:styleId="6">
    <w:name w:val="heading 3"/>
    <w:basedOn w:val="1"/>
    <w:next w:val="1"/>
    <w:qFormat/>
    <w:uiPriority w:val="0"/>
    <w:pPr>
      <w:keepNext/>
      <w:keepLines/>
      <w:spacing w:before="260" w:after="260" w:line="416" w:lineRule="auto"/>
      <w:outlineLvl w:val="2"/>
    </w:pPr>
    <w:rPr>
      <w:b/>
      <w:bCs/>
      <w:sz w:val="32"/>
      <w:szCs w:val="32"/>
    </w:rPr>
  </w:style>
  <w:style w:type="paragraph" w:styleId="7">
    <w:name w:val="heading 4"/>
    <w:basedOn w:val="1"/>
    <w:next w:val="1"/>
    <w:qFormat/>
    <w:uiPriority w:val="0"/>
    <w:pPr>
      <w:keepNext/>
      <w:keepLines/>
      <w:spacing w:line="360" w:lineRule="auto"/>
      <w:outlineLvl w:val="3"/>
    </w:pPr>
    <w:rPr>
      <w:rFonts w:ascii="Arial" w:hAnsi="Arial"/>
      <w:b/>
      <w:bCs/>
      <w:szCs w:val="28"/>
    </w:rPr>
  </w:style>
  <w:style w:type="paragraph" w:styleId="8">
    <w:name w:val="heading 5"/>
    <w:basedOn w:val="1"/>
    <w:next w:val="1"/>
    <w:qFormat/>
    <w:uiPriority w:val="0"/>
    <w:pPr>
      <w:keepNext/>
      <w:keepLines/>
      <w:spacing w:before="280" w:after="290" w:line="376" w:lineRule="auto"/>
      <w:outlineLvl w:val="4"/>
    </w:pPr>
    <w:rPr>
      <w:b/>
      <w:bCs/>
      <w:sz w:val="28"/>
      <w:szCs w:val="28"/>
    </w:rPr>
  </w:style>
  <w:style w:type="paragraph" w:styleId="9">
    <w:name w:val="heading 6"/>
    <w:basedOn w:val="1"/>
    <w:next w:val="1"/>
    <w:qFormat/>
    <w:uiPriority w:val="0"/>
    <w:pPr>
      <w:keepNext/>
      <w:keepLines/>
      <w:widowControl/>
      <w:tabs>
        <w:tab w:val="left" w:pos="1440"/>
      </w:tabs>
      <w:spacing w:before="240" w:after="64" w:line="320" w:lineRule="auto"/>
      <w:ind w:left="1152" w:hanging="1152"/>
      <w:jc w:val="left"/>
      <w:outlineLvl w:val="5"/>
    </w:pPr>
    <w:rPr>
      <w:rFonts w:ascii="Arial" w:hAnsi="Arial" w:eastAsia="黑体"/>
      <w:b/>
      <w:bCs/>
      <w:sz w:val="24"/>
    </w:rPr>
  </w:style>
  <w:style w:type="paragraph" w:styleId="10">
    <w:name w:val="heading 7"/>
    <w:basedOn w:val="1"/>
    <w:next w:val="1"/>
    <w:qFormat/>
    <w:uiPriority w:val="0"/>
    <w:pPr>
      <w:keepNext/>
      <w:keepLines/>
      <w:widowControl/>
      <w:tabs>
        <w:tab w:val="left" w:pos="2520"/>
      </w:tabs>
      <w:spacing w:before="240" w:after="64" w:line="320" w:lineRule="auto"/>
      <w:ind w:left="1296" w:hanging="1296"/>
      <w:jc w:val="left"/>
      <w:outlineLvl w:val="6"/>
    </w:pPr>
    <w:rPr>
      <w:b/>
      <w:bCs/>
      <w:sz w:val="24"/>
    </w:rPr>
  </w:style>
  <w:style w:type="paragraph" w:styleId="11">
    <w:name w:val="heading 8"/>
    <w:basedOn w:val="1"/>
    <w:next w:val="1"/>
    <w:qFormat/>
    <w:uiPriority w:val="0"/>
    <w:pPr>
      <w:keepNext/>
      <w:keepLines/>
      <w:widowControl/>
      <w:tabs>
        <w:tab w:val="left" w:pos="1440"/>
      </w:tabs>
      <w:spacing w:before="240" w:after="64" w:line="320" w:lineRule="auto"/>
      <w:ind w:left="1440" w:hanging="1440"/>
      <w:jc w:val="left"/>
      <w:outlineLvl w:val="7"/>
    </w:pPr>
    <w:rPr>
      <w:rFonts w:ascii="Arial" w:hAnsi="Arial" w:eastAsia="黑体"/>
      <w:sz w:val="24"/>
    </w:rPr>
  </w:style>
  <w:style w:type="paragraph" w:styleId="12">
    <w:name w:val="heading 9"/>
    <w:basedOn w:val="1"/>
    <w:next w:val="1"/>
    <w:qFormat/>
    <w:uiPriority w:val="0"/>
    <w:pPr>
      <w:keepNext/>
      <w:keepLines/>
      <w:widowControl/>
      <w:tabs>
        <w:tab w:val="left" w:pos="1584"/>
      </w:tabs>
      <w:spacing w:before="240" w:after="64" w:line="320" w:lineRule="auto"/>
      <w:ind w:left="1584" w:hanging="1584"/>
      <w:jc w:val="left"/>
      <w:outlineLvl w:val="8"/>
    </w:pPr>
    <w:rPr>
      <w:rFonts w:ascii="Arial" w:hAnsi="Arial" w:eastAsia="黑体"/>
      <w:szCs w:val="21"/>
    </w:rPr>
  </w:style>
  <w:style w:type="character" w:default="1" w:styleId="30">
    <w:name w:val="Default Paragraph Font"/>
    <w:semiHidden/>
    <w:unhideWhenUsed/>
    <w:qFormat/>
    <w:uiPriority w:val="1"/>
  </w:style>
  <w:style w:type="table" w:default="1" w:styleId="29">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link w:val="83"/>
    <w:qFormat/>
    <w:uiPriority w:val="0"/>
    <w:pPr>
      <w:ind w:firstLine="420" w:firstLineChars="100"/>
    </w:pPr>
  </w:style>
  <w:style w:type="paragraph" w:styleId="3">
    <w:name w:val="Body Text"/>
    <w:basedOn w:val="1"/>
    <w:qFormat/>
    <w:uiPriority w:val="0"/>
    <w:pPr>
      <w:spacing w:after="120"/>
    </w:pPr>
  </w:style>
  <w:style w:type="paragraph" w:styleId="13">
    <w:name w:val="Normal Indent"/>
    <w:basedOn w:val="1"/>
    <w:qFormat/>
    <w:uiPriority w:val="0"/>
    <w:pPr>
      <w:ind w:firstLine="420" w:firstLineChars="200"/>
    </w:pPr>
  </w:style>
  <w:style w:type="paragraph" w:styleId="14">
    <w:name w:val="Document Map"/>
    <w:basedOn w:val="1"/>
    <w:semiHidden/>
    <w:qFormat/>
    <w:uiPriority w:val="0"/>
    <w:pPr>
      <w:shd w:val="clear" w:color="auto" w:fill="000080"/>
    </w:pPr>
  </w:style>
  <w:style w:type="paragraph" w:styleId="15">
    <w:name w:val="Body Text 3"/>
    <w:basedOn w:val="1"/>
    <w:qFormat/>
    <w:uiPriority w:val="0"/>
    <w:rPr>
      <w:sz w:val="24"/>
    </w:rPr>
  </w:style>
  <w:style w:type="paragraph" w:styleId="16">
    <w:name w:val="Body Text Indent"/>
    <w:basedOn w:val="1"/>
    <w:qFormat/>
    <w:uiPriority w:val="0"/>
    <w:pPr>
      <w:spacing w:after="120"/>
      <w:ind w:left="420" w:leftChars="200"/>
    </w:pPr>
  </w:style>
  <w:style w:type="paragraph" w:styleId="17">
    <w:name w:val="toc 3"/>
    <w:basedOn w:val="1"/>
    <w:next w:val="1"/>
    <w:semiHidden/>
    <w:qFormat/>
    <w:uiPriority w:val="0"/>
    <w:pPr>
      <w:ind w:left="840" w:leftChars="400"/>
    </w:pPr>
  </w:style>
  <w:style w:type="paragraph" w:styleId="18">
    <w:name w:val="Plain Text"/>
    <w:basedOn w:val="1"/>
    <w:link w:val="41"/>
    <w:qFormat/>
    <w:uiPriority w:val="0"/>
    <w:rPr>
      <w:rFonts w:hAnsi="Courier New" w:cs="Courier New"/>
      <w:kern w:val="2"/>
      <w:sz w:val="21"/>
      <w:szCs w:val="21"/>
    </w:rPr>
  </w:style>
  <w:style w:type="paragraph" w:styleId="19">
    <w:name w:val="Date"/>
    <w:basedOn w:val="1"/>
    <w:next w:val="1"/>
    <w:qFormat/>
    <w:uiPriority w:val="0"/>
    <w:pPr>
      <w:ind w:left="100" w:leftChars="2500"/>
    </w:pPr>
  </w:style>
  <w:style w:type="paragraph" w:styleId="20">
    <w:name w:val="Body Text Indent 2"/>
    <w:basedOn w:val="1"/>
    <w:qFormat/>
    <w:uiPriority w:val="0"/>
    <w:pPr>
      <w:spacing w:after="120" w:line="480" w:lineRule="auto"/>
      <w:ind w:left="420" w:leftChars="200"/>
    </w:pPr>
  </w:style>
  <w:style w:type="paragraph" w:styleId="21">
    <w:name w:val="Balloon Text"/>
    <w:basedOn w:val="1"/>
    <w:semiHidden/>
    <w:qFormat/>
    <w:uiPriority w:val="0"/>
    <w:rPr>
      <w:sz w:val="18"/>
      <w:szCs w:val="18"/>
    </w:rPr>
  </w:style>
  <w:style w:type="paragraph" w:styleId="22">
    <w:name w:val="footer"/>
    <w:basedOn w:val="1"/>
    <w:link w:val="50"/>
    <w:qFormat/>
    <w:uiPriority w:val="99"/>
    <w:pPr>
      <w:tabs>
        <w:tab w:val="center" w:pos="4153"/>
        <w:tab w:val="right" w:pos="8306"/>
      </w:tabs>
      <w:snapToGrid w:val="0"/>
      <w:jc w:val="left"/>
    </w:pPr>
    <w:rPr>
      <w:rFonts w:ascii="Times New Roman"/>
      <w:kern w:val="2"/>
      <w:sz w:val="18"/>
      <w:szCs w:val="18"/>
    </w:rPr>
  </w:style>
  <w:style w:type="paragraph" w:styleId="2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4">
    <w:name w:val="toc 1"/>
    <w:basedOn w:val="1"/>
    <w:next w:val="1"/>
    <w:semiHidden/>
    <w:qFormat/>
    <w:uiPriority w:val="0"/>
    <w:pPr>
      <w:tabs>
        <w:tab w:val="right" w:leader="dot" w:pos="9060"/>
      </w:tabs>
      <w:spacing w:line="580" w:lineRule="exact"/>
    </w:pPr>
    <w:rPr>
      <w:rFonts w:ascii="黑体" w:hAnsi="宋体" w:eastAsia="黑体" w:cs="TimesNewRomanPSMT"/>
    </w:rPr>
  </w:style>
  <w:style w:type="paragraph" w:styleId="25">
    <w:name w:val="Body Text Indent 3"/>
    <w:basedOn w:val="1"/>
    <w:qFormat/>
    <w:uiPriority w:val="0"/>
    <w:pPr>
      <w:ind w:firstLine="420" w:firstLineChars="200"/>
    </w:pPr>
    <w:rPr>
      <w:rFonts w:hAnsi="宋体"/>
    </w:rPr>
  </w:style>
  <w:style w:type="paragraph" w:styleId="26">
    <w:name w:val="Normal (Web)"/>
    <w:basedOn w:val="1"/>
    <w:qFormat/>
    <w:uiPriority w:val="99"/>
    <w:pPr>
      <w:widowControl/>
      <w:spacing w:before="100" w:beforeAutospacing="1" w:after="100" w:afterAutospacing="1"/>
      <w:jc w:val="left"/>
    </w:pPr>
    <w:rPr>
      <w:rFonts w:hAnsi="宋体" w:cs="宋体"/>
      <w:sz w:val="24"/>
    </w:rPr>
  </w:style>
  <w:style w:type="paragraph" w:styleId="27">
    <w:name w:val="Title"/>
    <w:basedOn w:val="1"/>
    <w:qFormat/>
    <w:uiPriority w:val="0"/>
    <w:pPr>
      <w:adjustRightInd w:val="0"/>
      <w:spacing w:before="240" w:after="60" w:line="420" w:lineRule="atLeast"/>
      <w:jc w:val="center"/>
      <w:textAlignment w:val="baseline"/>
      <w:outlineLvl w:val="0"/>
    </w:pPr>
    <w:rPr>
      <w:rFonts w:ascii="Arial" w:hAnsi="Arial"/>
      <w:b/>
      <w:sz w:val="32"/>
    </w:rPr>
  </w:style>
  <w:style w:type="paragraph" w:styleId="28">
    <w:name w:val="Body Text First Indent 2"/>
    <w:basedOn w:val="16"/>
    <w:next w:val="1"/>
    <w:link w:val="84"/>
    <w:qFormat/>
    <w:uiPriority w:val="99"/>
    <w:pPr>
      <w:ind w:firstLine="420" w:firstLineChars="200"/>
    </w:pPr>
  </w:style>
  <w:style w:type="character" w:styleId="31">
    <w:name w:val="Strong"/>
    <w:qFormat/>
    <w:uiPriority w:val="22"/>
    <w:rPr>
      <w:b/>
      <w:bCs/>
    </w:rPr>
  </w:style>
  <w:style w:type="character" w:styleId="32">
    <w:name w:val="page number"/>
    <w:basedOn w:val="30"/>
    <w:qFormat/>
    <w:uiPriority w:val="0"/>
  </w:style>
  <w:style w:type="character" w:styleId="33">
    <w:name w:val="FollowedHyperlink"/>
    <w:qFormat/>
    <w:uiPriority w:val="0"/>
    <w:rPr>
      <w:color w:val="000000"/>
      <w:u w:val="none"/>
    </w:rPr>
  </w:style>
  <w:style w:type="character" w:styleId="34">
    <w:name w:val="Emphasis"/>
    <w:basedOn w:val="30"/>
    <w:qFormat/>
    <w:uiPriority w:val="0"/>
    <w:rPr>
      <w:sz w:val="19"/>
      <w:szCs w:val="19"/>
    </w:rPr>
  </w:style>
  <w:style w:type="character" w:styleId="35">
    <w:name w:val="Hyperlink"/>
    <w:qFormat/>
    <w:uiPriority w:val="0"/>
    <w:rPr>
      <w:color w:val="000000"/>
      <w:u w:val="none"/>
    </w:rPr>
  </w:style>
  <w:style w:type="character" w:customStyle="1" w:styleId="36">
    <w:name w:val="hover3"/>
    <w:qFormat/>
    <w:uiPriority w:val="0"/>
    <w:rPr>
      <w:bdr w:val="single" w:color="FFCC33" w:sz="6" w:space="0"/>
    </w:rPr>
  </w:style>
  <w:style w:type="character" w:customStyle="1" w:styleId="37">
    <w:name w:val="tit1"/>
    <w:basedOn w:val="30"/>
    <w:qFormat/>
    <w:uiPriority w:val="0"/>
  </w:style>
  <w:style w:type="character" w:customStyle="1" w:styleId="38">
    <w:name w:val="textcontents"/>
    <w:basedOn w:val="30"/>
    <w:qFormat/>
    <w:uiPriority w:val="0"/>
  </w:style>
  <w:style w:type="character" w:customStyle="1" w:styleId="39">
    <w:name w:val="down"/>
    <w:qFormat/>
    <w:uiPriority w:val="0"/>
    <w:rPr>
      <w:shd w:val="clear" w:color="auto" w:fill="DAEEF9"/>
    </w:rPr>
  </w:style>
  <w:style w:type="character" w:customStyle="1" w:styleId="40">
    <w:name w:val="标题 2 Char"/>
    <w:link w:val="5"/>
    <w:qFormat/>
    <w:uiPriority w:val="0"/>
    <w:rPr>
      <w:rFonts w:ascii="Arial" w:hAnsi="Arial" w:eastAsia="黑体"/>
      <w:b/>
      <w:bCs/>
      <w:kern w:val="2"/>
      <w:sz w:val="32"/>
      <w:szCs w:val="32"/>
      <w:lang w:val="en-US" w:eastAsia="zh-CN" w:bidi="ar-SA"/>
    </w:rPr>
  </w:style>
  <w:style w:type="character" w:customStyle="1" w:styleId="41">
    <w:name w:val="纯文本 Char"/>
    <w:link w:val="18"/>
    <w:qFormat/>
    <w:uiPriority w:val="0"/>
    <w:rPr>
      <w:rFonts w:ascii="宋体" w:hAnsi="Courier New" w:eastAsia="宋体" w:cs="Courier New"/>
      <w:kern w:val="2"/>
      <w:sz w:val="21"/>
      <w:szCs w:val="21"/>
      <w:lang w:val="en-US" w:eastAsia="zh-CN" w:bidi="ar-SA"/>
    </w:rPr>
  </w:style>
  <w:style w:type="character" w:customStyle="1" w:styleId="42">
    <w:name w:val="lsl"/>
    <w:basedOn w:val="30"/>
    <w:qFormat/>
    <w:uiPriority w:val="0"/>
  </w:style>
  <w:style w:type="character" w:customStyle="1" w:styleId="43">
    <w:name w:val="tit"/>
    <w:basedOn w:val="30"/>
    <w:qFormat/>
    <w:uiPriority w:val="0"/>
  </w:style>
  <w:style w:type="character" w:customStyle="1" w:styleId="44">
    <w:name w:val="sl"/>
    <w:basedOn w:val="30"/>
    <w:qFormat/>
    <w:uiPriority w:val="0"/>
  </w:style>
  <w:style w:type="character" w:customStyle="1" w:styleId="45">
    <w:name w:val="up"/>
    <w:basedOn w:val="30"/>
    <w:qFormat/>
    <w:uiPriority w:val="0"/>
  </w:style>
  <w:style w:type="character" w:customStyle="1" w:styleId="46">
    <w:name w:val="lsr"/>
    <w:basedOn w:val="30"/>
    <w:qFormat/>
    <w:uiPriority w:val="0"/>
  </w:style>
  <w:style w:type="character" w:customStyle="1" w:styleId="47">
    <w:name w:val="cpb"/>
    <w:qFormat/>
    <w:uiPriority w:val="0"/>
    <w:rPr>
      <w:color w:val="FFFFFF"/>
    </w:rPr>
  </w:style>
  <w:style w:type="character" w:customStyle="1" w:styleId="48">
    <w:name w:val="sr"/>
    <w:basedOn w:val="30"/>
    <w:qFormat/>
    <w:uiPriority w:val="0"/>
  </w:style>
  <w:style w:type="character" w:customStyle="1" w:styleId="49">
    <w:name w:val="apple-converted-space"/>
    <w:basedOn w:val="30"/>
    <w:qFormat/>
    <w:uiPriority w:val="0"/>
  </w:style>
  <w:style w:type="character" w:customStyle="1" w:styleId="50">
    <w:name w:val="页脚 Char"/>
    <w:link w:val="22"/>
    <w:qFormat/>
    <w:uiPriority w:val="99"/>
    <w:rPr>
      <w:kern w:val="2"/>
      <w:sz w:val="18"/>
      <w:szCs w:val="18"/>
    </w:rPr>
  </w:style>
  <w:style w:type="character" w:customStyle="1" w:styleId="51">
    <w:name w:val="font161"/>
    <w:qFormat/>
    <w:uiPriority w:val="0"/>
    <w:rPr>
      <w:b/>
      <w:bCs/>
      <w:sz w:val="32"/>
      <w:szCs w:val="32"/>
    </w:rPr>
  </w:style>
  <w:style w:type="paragraph" w:customStyle="1" w:styleId="52">
    <w:name w:val="z-窗体顶端1"/>
    <w:basedOn w:val="1"/>
    <w:next w:val="1"/>
    <w:qFormat/>
    <w:uiPriority w:val="0"/>
    <w:pPr>
      <w:pBdr>
        <w:bottom w:val="single" w:color="auto" w:sz="6" w:space="1"/>
      </w:pBdr>
      <w:jc w:val="center"/>
    </w:pPr>
    <w:rPr>
      <w:rFonts w:ascii="Arial"/>
      <w:vanish/>
      <w:sz w:val="16"/>
    </w:rPr>
  </w:style>
  <w:style w:type="paragraph" w:customStyle="1" w:styleId="53">
    <w:name w:val="表格"/>
    <w:basedOn w:val="1"/>
    <w:qFormat/>
    <w:uiPriority w:val="0"/>
    <w:pPr>
      <w:jc w:val="center"/>
      <w:textAlignment w:val="center"/>
    </w:pPr>
    <w:rPr>
      <w:rFonts w:ascii="华文细黑" w:hAnsi="华文细黑"/>
    </w:rPr>
  </w:style>
  <w:style w:type="paragraph" w:customStyle="1" w:styleId="54">
    <w:name w:val="Char Char Char Char Char Char Char Char Char Char Char Char Char Char Char Char"/>
    <w:basedOn w:val="1"/>
    <w:qFormat/>
    <w:uiPriority w:val="0"/>
    <w:pPr>
      <w:snapToGrid w:val="0"/>
      <w:spacing w:line="360" w:lineRule="auto"/>
      <w:ind w:firstLine="200" w:firstLineChars="200"/>
    </w:pPr>
    <w:rPr>
      <w:rFonts w:ascii="Times New Roman"/>
      <w:kern w:val="2"/>
      <w:sz w:val="21"/>
      <w:szCs w:val="24"/>
    </w:rPr>
  </w:style>
  <w:style w:type="paragraph" w:customStyle="1" w:styleId="55">
    <w:name w:val="样式 标题 1 + 黑体 三号 非加粗 居中 段前: 6 磅 段后: 6 磅 行距: 固定值 20 磅"/>
    <w:basedOn w:val="4"/>
    <w:qFormat/>
    <w:uiPriority w:val="0"/>
    <w:pPr>
      <w:spacing w:before="120" w:after="120" w:line="400" w:lineRule="exact"/>
      <w:jc w:val="center"/>
    </w:pPr>
    <w:rPr>
      <w:rFonts w:ascii="黑体" w:hAnsi="黑体" w:eastAsia="黑体" w:cs="宋体"/>
      <w:b w:val="0"/>
      <w:bCs w:val="0"/>
      <w:sz w:val="32"/>
      <w:szCs w:val="20"/>
    </w:rPr>
  </w:style>
  <w:style w:type="paragraph" w:customStyle="1" w:styleId="56">
    <w:name w:val="正文 + 自动设置"/>
    <w:basedOn w:val="4"/>
    <w:qFormat/>
    <w:uiPriority w:val="0"/>
    <w:pPr>
      <w:tabs>
        <w:tab w:val="left" w:pos="840"/>
      </w:tabs>
      <w:spacing w:before="360" w:after="360" w:line="480" w:lineRule="auto"/>
      <w:jc w:val="center"/>
    </w:pPr>
    <w:rPr>
      <w:rFonts w:eastAsia="黑体"/>
      <w:bCs w:val="0"/>
      <w:sz w:val="36"/>
      <w:szCs w:val="20"/>
    </w:rPr>
  </w:style>
  <w:style w:type="paragraph" w:customStyle="1" w:styleId="57">
    <w:name w:val="样式 标题 2 + Times New Roman 四号 非加粗 段前: 5 磅 段后: 0 磅 行距: 固定值 20..."/>
    <w:basedOn w:val="5"/>
    <w:qFormat/>
    <w:uiPriority w:val="0"/>
    <w:pPr>
      <w:spacing w:before="100" w:after="0" w:line="400" w:lineRule="exact"/>
    </w:pPr>
    <w:rPr>
      <w:rFonts w:ascii="Times New Roman" w:hAnsi="Times New Roman" w:cs="宋体"/>
      <w:b w:val="0"/>
      <w:bCs w:val="0"/>
      <w:sz w:val="28"/>
      <w:szCs w:val="20"/>
    </w:rPr>
  </w:style>
  <w:style w:type="paragraph" w:customStyle="1" w:styleId="58">
    <w:name w:val="正文1"/>
    <w:qFormat/>
    <w:uiPriority w:val="0"/>
    <w:pPr>
      <w:widowControl w:val="0"/>
      <w:adjustRightInd w:val="0"/>
      <w:spacing w:line="312" w:lineRule="atLeast"/>
      <w:jc w:val="both"/>
      <w:textAlignment w:val="baseline"/>
    </w:pPr>
    <w:rPr>
      <w:rFonts w:ascii="宋体" w:hAnsi="Times New Roman" w:eastAsia="宋体" w:cs="Times New Roman"/>
      <w:sz w:val="34"/>
      <w:lang w:val="en-US" w:eastAsia="zh-CN" w:bidi="ar-SA"/>
    </w:rPr>
  </w:style>
  <w:style w:type="paragraph" w:customStyle="1" w:styleId="59">
    <w:name w:val="Char1"/>
    <w:basedOn w:val="1"/>
    <w:qFormat/>
    <w:uiPriority w:val="0"/>
    <w:pPr>
      <w:adjustRightInd w:val="0"/>
      <w:spacing w:line="600" w:lineRule="exact"/>
      <w:ind w:firstLine="560" w:firstLineChars="200"/>
      <w:jc w:val="center"/>
    </w:pPr>
  </w:style>
  <w:style w:type="paragraph" w:customStyle="1" w:styleId="60">
    <w:name w:val="Char"/>
    <w:basedOn w:val="1"/>
    <w:qFormat/>
    <w:uiPriority w:val="0"/>
    <w:rPr>
      <w:rFonts w:ascii="仿宋_GB2312" w:eastAsia="仿宋_GB2312"/>
      <w:b/>
      <w:sz w:val="32"/>
      <w:szCs w:val="32"/>
    </w:rPr>
  </w:style>
  <w:style w:type="paragraph" w:customStyle="1" w:styleId="61">
    <w:name w:val="p0"/>
    <w:basedOn w:val="1"/>
    <w:qFormat/>
    <w:uiPriority w:val="0"/>
    <w:pPr>
      <w:widowControl/>
      <w:spacing w:line="408" w:lineRule="auto"/>
      <w:ind w:left="1"/>
      <w:textAlignment w:val="bottom"/>
    </w:pPr>
    <w:rPr>
      <w:color w:val="000000"/>
    </w:rPr>
  </w:style>
  <w:style w:type="paragraph" w:customStyle="1" w:styleId="62">
    <w:name w:val="1"/>
    <w:basedOn w:val="1"/>
    <w:next w:val="1"/>
    <w:qFormat/>
    <w:uiPriority w:val="0"/>
  </w:style>
  <w:style w:type="paragraph" w:customStyle="1" w:styleId="63">
    <w:name w:val="默认段落字体 Para Char Char Char Char Char Char Char"/>
    <w:basedOn w:val="1"/>
    <w:qFormat/>
    <w:uiPriority w:val="0"/>
    <w:rPr>
      <w:rFonts w:ascii="Tahoma" w:hAnsi="Tahoma"/>
      <w:sz w:val="24"/>
    </w:rPr>
  </w:style>
  <w:style w:type="paragraph" w:customStyle="1" w:styleId="64">
    <w:name w:val="6'"/>
    <w:basedOn w:val="1"/>
    <w:qFormat/>
    <w:uiPriority w:val="0"/>
    <w:pPr>
      <w:autoSpaceDE w:val="0"/>
      <w:autoSpaceDN w:val="0"/>
      <w:adjustRightInd w:val="0"/>
      <w:snapToGrid w:val="0"/>
      <w:spacing w:line="320" w:lineRule="exact"/>
      <w:jc w:val="center"/>
      <w:textAlignment w:val="baseline"/>
    </w:pPr>
    <w:rPr>
      <w:spacing w:val="20"/>
      <w:kern w:val="28"/>
    </w:rPr>
  </w:style>
  <w:style w:type="paragraph" w:customStyle="1" w:styleId="65">
    <w:name w:val="表格文字"/>
    <w:basedOn w:val="1"/>
    <w:qFormat/>
    <w:uiPriority w:val="0"/>
    <w:pPr>
      <w:adjustRightInd w:val="0"/>
      <w:spacing w:line="420" w:lineRule="atLeast"/>
      <w:jc w:val="left"/>
      <w:textAlignment w:val="baseline"/>
    </w:pPr>
  </w:style>
  <w:style w:type="paragraph" w:customStyle="1" w:styleId="66">
    <w:name w:val="样式 标题 3 + (中文) 黑体 小四 非加粗 段前: 7.8 磅 段后: 0 磅 行距: 固定值 20 磅"/>
    <w:basedOn w:val="6"/>
    <w:qFormat/>
    <w:uiPriority w:val="0"/>
    <w:pPr>
      <w:spacing w:before="0" w:after="0" w:line="400" w:lineRule="exact"/>
    </w:pPr>
    <w:rPr>
      <w:rFonts w:eastAsia="黑体" w:cs="宋体"/>
      <w:b w:val="0"/>
      <w:bCs w:val="0"/>
      <w:sz w:val="24"/>
      <w:szCs w:val="20"/>
    </w:rPr>
  </w:style>
  <w:style w:type="paragraph" w:customStyle="1" w:styleId="67">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68">
    <w:name w:val="z-窗体底端1"/>
    <w:basedOn w:val="1"/>
    <w:next w:val="1"/>
    <w:qFormat/>
    <w:uiPriority w:val="0"/>
    <w:pPr>
      <w:pBdr>
        <w:top w:val="single" w:color="auto" w:sz="6" w:space="1"/>
      </w:pBdr>
      <w:jc w:val="center"/>
    </w:pPr>
    <w:rPr>
      <w:rFonts w:ascii="Arial"/>
      <w:vanish/>
      <w:sz w:val="16"/>
    </w:rPr>
  </w:style>
  <w:style w:type="paragraph" w:customStyle="1" w:styleId="69">
    <w:name w:val="列出段落1"/>
    <w:basedOn w:val="1"/>
    <w:qFormat/>
    <w:uiPriority w:val="0"/>
    <w:pPr>
      <w:adjustRightInd w:val="0"/>
      <w:snapToGrid w:val="0"/>
      <w:spacing w:line="360" w:lineRule="auto"/>
      <w:ind w:firstLine="420" w:firstLineChars="200"/>
    </w:pPr>
    <w:rPr>
      <w:color w:val="000000"/>
      <w:szCs w:val="21"/>
    </w:rPr>
  </w:style>
  <w:style w:type="paragraph" w:customStyle="1" w:styleId="70">
    <w:name w:val="cjk"/>
    <w:basedOn w:val="1"/>
    <w:qFormat/>
    <w:uiPriority w:val="0"/>
    <w:pPr>
      <w:widowControl/>
      <w:jc w:val="left"/>
    </w:pPr>
    <w:rPr>
      <w:rFonts w:hAnsi="宋体" w:cs="宋体"/>
      <w:sz w:val="24"/>
      <w:szCs w:val="24"/>
    </w:rPr>
  </w:style>
  <w:style w:type="character" w:customStyle="1" w:styleId="71">
    <w:name w:val="15"/>
    <w:qFormat/>
    <w:uiPriority w:val="0"/>
    <w:rPr>
      <w:rFonts w:hint="default" w:ascii="Times New Roman" w:hAnsi="Times New Roman" w:cs="Times New Roman"/>
      <w:color w:val="0000FF"/>
      <w:u w:val="single"/>
    </w:rPr>
  </w:style>
  <w:style w:type="character" w:customStyle="1" w:styleId="72">
    <w:name w:val="red"/>
    <w:basedOn w:val="30"/>
    <w:qFormat/>
    <w:uiPriority w:val="0"/>
    <w:rPr>
      <w:color w:val="FF0000"/>
      <w:sz w:val="18"/>
      <w:szCs w:val="18"/>
    </w:rPr>
  </w:style>
  <w:style w:type="character" w:customStyle="1" w:styleId="73">
    <w:name w:val="red1"/>
    <w:basedOn w:val="30"/>
    <w:qFormat/>
    <w:uiPriority w:val="0"/>
    <w:rPr>
      <w:color w:val="FF0000"/>
      <w:sz w:val="18"/>
      <w:szCs w:val="18"/>
    </w:rPr>
  </w:style>
  <w:style w:type="character" w:customStyle="1" w:styleId="74">
    <w:name w:val="red2"/>
    <w:basedOn w:val="30"/>
    <w:qFormat/>
    <w:uiPriority w:val="0"/>
    <w:rPr>
      <w:color w:val="CC0000"/>
    </w:rPr>
  </w:style>
  <w:style w:type="character" w:customStyle="1" w:styleId="75">
    <w:name w:val="red3"/>
    <w:basedOn w:val="30"/>
    <w:qFormat/>
    <w:uiPriority w:val="0"/>
    <w:rPr>
      <w:color w:val="FF0000"/>
    </w:rPr>
  </w:style>
  <w:style w:type="character" w:customStyle="1" w:styleId="76">
    <w:name w:val="green"/>
    <w:basedOn w:val="30"/>
    <w:qFormat/>
    <w:uiPriority w:val="0"/>
    <w:rPr>
      <w:color w:val="66AE00"/>
      <w:sz w:val="18"/>
      <w:szCs w:val="18"/>
    </w:rPr>
  </w:style>
  <w:style w:type="character" w:customStyle="1" w:styleId="77">
    <w:name w:val="green1"/>
    <w:basedOn w:val="30"/>
    <w:qFormat/>
    <w:uiPriority w:val="0"/>
    <w:rPr>
      <w:color w:val="66AE00"/>
      <w:sz w:val="18"/>
      <w:szCs w:val="18"/>
    </w:rPr>
  </w:style>
  <w:style w:type="character" w:customStyle="1" w:styleId="78">
    <w:name w:val="hover25"/>
    <w:basedOn w:val="30"/>
    <w:qFormat/>
    <w:uiPriority w:val="0"/>
  </w:style>
  <w:style w:type="character" w:customStyle="1" w:styleId="79">
    <w:name w:val="gb-jt"/>
    <w:basedOn w:val="30"/>
    <w:qFormat/>
    <w:uiPriority w:val="0"/>
  </w:style>
  <w:style w:type="character" w:customStyle="1" w:styleId="80">
    <w:name w:val="blue"/>
    <w:basedOn w:val="30"/>
    <w:qFormat/>
    <w:uiPriority w:val="0"/>
    <w:rPr>
      <w:color w:val="0371C6"/>
      <w:sz w:val="21"/>
      <w:szCs w:val="21"/>
    </w:rPr>
  </w:style>
  <w:style w:type="character" w:customStyle="1" w:styleId="81">
    <w:name w:val="right"/>
    <w:basedOn w:val="30"/>
    <w:qFormat/>
    <w:uiPriority w:val="0"/>
    <w:rPr>
      <w:color w:val="999999"/>
      <w:sz w:val="18"/>
      <w:szCs w:val="18"/>
    </w:rPr>
  </w:style>
  <w:style w:type="character" w:customStyle="1" w:styleId="82">
    <w:name w:val="hover24"/>
    <w:basedOn w:val="30"/>
    <w:qFormat/>
    <w:uiPriority w:val="0"/>
  </w:style>
  <w:style w:type="character" w:customStyle="1" w:styleId="83">
    <w:name w:val="正文首行缩进 Char"/>
    <w:basedOn w:val="30"/>
    <w:link w:val="2"/>
    <w:qFormat/>
    <w:uiPriority w:val="0"/>
    <w:rPr>
      <w:rFonts w:ascii="宋体"/>
      <w:sz w:val="34"/>
    </w:rPr>
  </w:style>
  <w:style w:type="character" w:customStyle="1" w:styleId="84">
    <w:name w:val="正文首行缩进 2 Char"/>
    <w:basedOn w:val="30"/>
    <w:link w:val="28"/>
    <w:qFormat/>
    <w:uiPriority w:val="99"/>
    <w:rPr>
      <w:rFonts w:ascii="宋体"/>
      <w:sz w:val="34"/>
    </w:r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2.png"/><Relationship Id="rId12" Type="http://schemas.openxmlformats.org/officeDocument/2006/relationships/image" Target="media/image1.png"/><Relationship Id="rId11" Type="http://schemas.openxmlformats.org/officeDocument/2006/relationships/theme" Target="theme/theme1.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54"/>
    <customShpInfo spid="_x0000_s2055"/>
    <customShpInfo spid="_x0000_s2053"/>
    <customShpInfo spid="_x0000_s2052"/>
    <customShpInfo spid="_x0000_s2050"/>
    <customShpInfo spid="_x0000_s2049"/>
    <customShpInfo spid="_x0000_s205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60</Pages>
  <Words>5300</Words>
  <Characters>30211</Characters>
  <Lines>251</Lines>
  <Paragraphs>70</Paragraphs>
  <TotalTime>0</TotalTime>
  <ScaleCrop>false</ScaleCrop>
  <LinksUpToDate>false</LinksUpToDate>
  <CharactersWithSpaces>35441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2017-07-21T03:22:00Z</dcterms:created>
  <dc:creator>微软用户</dc:creator>
  <cp:lastModifiedBy>永明项目管理有限公司:徐志</cp:lastModifiedBy>
  <cp:lastPrinted>2019-11-04T07:24:00Z</cp:lastPrinted>
  <dcterms:modified xsi:type="dcterms:W3CDTF">2020-01-16T05:03:01Z</dcterms:modified>
  <dc:title>魏武大道曹操饮马河桥工程</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