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隶书" w:eastAsia="微软简隶书"/>
          <w:color w:val="000000"/>
          <w:u w:val="single"/>
        </w:rPr>
      </w:pPr>
      <w:r>
        <w:rPr>
          <w:rFonts w:hint="eastAsia" w:ascii="黑体" w:hAnsi="黑体" w:eastAsia="黑体" w:cs="黑体"/>
          <w:b/>
          <w:bCs/>
          <w:color w:val="000000"/>
          <w:sz w:val="60"/>
          <w:szCs w:val="60"/>
          <w:shd w:val="clear" w:color="auto" w:fill="FFFFFF"/>
          <w:lang w:eastAsia="zh-CN"/>
        </w:rPr>
        <w:t>长葛市城市园林绿化数字化管理系统</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
          <w:bCs w:val="0"/>
          <w:color w:val="000000"/>
          <w:w w:val="90"/>
          <w:sz w:val="84"/>
          <w:szCs w:val="84"/>
        </w:rPr>
      </w:pPr>
      <w:r>
        <w:rPr>
          <w:rFonts w:hint="eastAsia" w:asciiTheme="majorEastAsia" w:hAnsiTheme="majorEastAsia" w:eastAsiaTheme="majorEastAsia" w:cstheme="majorEastAsia"/>
          <w:b/>
          <w:bCs w:val="0"/>
          <w:color w:val="000000"/>
          <w:w w:val="90"/>
          <w:sz w:val="84"/>
          <w:szCs w:val="84"/>
        </w:rPr>
        <w:t>招</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文</w:t>
      </w:r>
      <w:r>
        <w:rPr>
          <w:rFonts w:hint="eastAsia" w:asciiTheme="majorEastAsia" w:hAnsiTheme="majorEastAsia" w:eastAsiaTheme="majorEastAsia" w:cstheme="majorEastAsia"/>
          <w:b/>
          <w:bCs w:val="0"/>
          <w:color w:val="000000"/>
          <w:w w:val="90"/>
          <w:sz w:val="84"/>
          <w:szCs w:val="84"/>
          <w:lang w:val="en-US" w:eastAsia="zh-CN"/>
        </w:rPr>
        <w:t xml:space="preserve"> </w:t>
      </w:r>
      <w:r>
        <w:rPr>
          <w:rFonts w:hint="eastAsia" w:asciiTheme="majorEastAsia" w:hAnsiTheme="majorEastAsia" w:eastAsiaTheme="majorEastAsia" w:cstheme="majorEastAsia"/>
          <w:b/>
          <w:bCs w:val="0"/>
          <w:color w:val="000000"/>
          <w:w w:val="90"/>
          <w:sz w:val="84"/>
          <w:szCs w:val="84"/>
        </w:rPr>
        <w:t>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eastAsia="zh-CN"/>
        </w:rPr>
        <w:t>长招采公字[201</w:t>
      </w:r>
      <w:r>
        <w:rPr>
          <w:rFonts w:hint="eastAsia" w:asciiTheme="majorEastAsia" w:hAnsiTheme="majorEastAsia" w:eastAsiaTheme="majorEastAsia" w:cstheme="majorEastAsia"/>
          <w:b/>
          <w:bCs/>
          <w:color w:val="000000"/>
          <w:sz w:val="36"/>
          <w:szCs w:val="36"/>
          <w:lang w:val="en-US" w:eastAsia="zh-CN"/>
        </w:rPr>
        <w:t>9</w:t>
      </w:r>
      <w:r>
        <w:rPr>
          <w:rFonts w:hint="eastAsia" w:asciiTheme="majorEastAsia" w:hAnsiTheme="majorEastAsia" w:eastAsiaTheme="majorEastAsia" w:cstheme="majorEastAsia"/>
          <w:b/>
          <w:bCs/>
          <w:color w:val="000000"/>
          <w:sz w:val="36"/>
          <w:szCs w:val="36"/>
          <w:lang w:eastAsia="zh-CN"/>
        </w:rPr>
        <w:t>]</w:t>
      </w:r>
      <w:r>
        <w:rPr>
          <w:rFonts w:hint="eastAsia" w:asciiTheme="majorEastAsia" w:hAnsiTheme="majorEastAsia" w:eastAsiaTheme="majorEastAsia" w:cstheme="majorEastAsia"/>
          <w:b/>
          <w:bCs/>
          <w:color w:val="000000"/>
          <w:sz w:val="36"/>
          <w:szCs w:val="36"/>
          <w:lang w:val="en-US" w:eastAsia="zh-CN"/>
        </w:rPr>
        <w:t>111</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长葛市城市管理局</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智远工程管理有限公司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val="en-US" w:eastAsia="zh-CN"/>
        </w:rPr>
        <w:t>十二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44"/>
          <w:szCs w:val="44"/>
        </w:rPr>
        <w:sectPr>
          <w:headerReference r:id="rId4" w:type="first"/>
          <w:headerReference r:id="rId3" w:type="default"/>
          <w:footerReference r:id="rId5" w:type="default"/>
          <w:pgSz w:w="11906" w:h="16838"/>
          <w:pgMar w:top="2098" w:right="1474" w:bottom="1928" w:left="1588" w:header="851" w:footer="992" w:gutter="0"/>
          <w:cols w:space="425" w:num="1"/>
          <w:titlePg/>
          <w:docGrid w:type="lines" w:linePitch="312" w:charSpace="0"/>
        </w:sect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both"/>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智远工程管理有限公司(以下简称代理机构) 受</w:t>
      </w:r>
      <w:r>
        <w:rPr>
          <w:rFonts w:hint="eastAsia" w:cs="仿宋_GB2312" w:asciiTheme="minorEastAsia" w:hAnsiTheme="minorEastAsia" w:eastAsiaTheme="minorEastAsia"/>
          <w:color w:val="000000"/>
          <w:sz w:val="24"/>
          <w:szCs w:val="24"/>
          <w:shd w:val="clear" w:color="auto" w:fill="FFFFFF"/>
          <w:lang w:val="en-US" w:eastAsia="zh-CN"/>
        </w:rPr>
        <w:t>长葛市城市管理局</w:t>
      </w:r>
      <w:r>
        <w:rPr>
          <w:rFonts w:hint="eastAsia" w:cs="仿宋_GB2312" w:asciiTheme="minorEastAsia" w:hAnsiTheme="minorEastAsia" w:eastAsiaTheme="minorEastAsia"/>
          <w:color w:val="000000"/>
          <w:sz w:val="24"/>
          <w:szCs w:val="24"/>
          <w:shd w:val="clear" w:color="auto" w:fill="FFFFFF"/>
          <w:lang w:val="zh-CN"/>
        </w:rPr>
        <w:t>的委托，对长葛市城市园林绿化数字化管理系统项目进行公开招标。现邀请符合本招标文件规定条件的投标人前来投标。</w:t>
      </w:r>
    </w:p>
    <w:p>
      <w:pPr>
        <w:pStyle w:val="23"/>
        <w:widowControl/>
        <w:shd w:val="clear" w:color="auto" w:fill="FFFFFF"/>
        <w:spacing w:line="360" w:lineRule="auto"/>
        <w:contextualSpacing/>
        <w:jc w:val="left"/>
        <w:rPr>
          <w:rFonts w:cs="黑体" w:asciiTheme="minorEastAsia" w:hAnsiTheme="minorEastAsia" w:eastAsiaTheme="minorEastAsia"/>
          <w:b/>
          <w:bCs/>
          <w:color w:val="000000"/>
          <w:sz w:val="24"/>
          <w:szCs w:val="24"/>
        </w:rPr>
      </w:pPr>
      <w:r>
        <w:rPr>
          <w:rFonts w:hint="eastAsia" w:ascii="黑体" w:hAnsi="黑体" w:eastAsia="黑体" w:cs="黑体"/>
          <w:bCs/>
          <w:color w:val="000000"/>
          <w:sz w:val="24"/>
          <w:szCs w:val="24"/>
          <w:shd w:val="clear" w:color="auto" w:fill="FFFFFF"/>
        </w:rPr>
        <w:t xml:space="preserve">    </w:t>
      </w:r>
      <w:r>
        <w:rPr>
          <w:rFonts w:hint="eastAsia" w:cs="黑体" w:asciiTheme="minorEastAsia" w:hAnsiTheme="minorEastAsia" w:eastAsiaTheme="minorEastAsia"/>
          <w:b/>
          <w:bCs/>
          <w:color w:val="000000"/>
          <w:sz w:val="24"/>
          <w:szCs w:val="24"/>
          <w:shd w:val="clear" w:color="auto" w:fill="FFFFFF"/>
        </w:rPr>
        <w:t>一、项目基本情况</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rPr>
        <w:t>（一）项目名</w:t>
      </w:r>
      <w:r>
        <w:rPr>
          <w:rFonts w:hint="eastAsia" w:cs="仿宋_GB2312" w:asciiTheme="minorEastAsia" w:hAnsiTheme="minorEastAsia" w:eastAsiaTheme="minorEastAsia"/>
          <w:color w:val="000000"/>
          <w:sz w:val="24"/>
          <w:szCs w:val="24"/>
          <w:shd w:val="clear" w:color="auto" w:fill="FFFFFF"/>
          <w:lang w:val="zh-CN"/>
        </w:rPr>
        <w:t>称：</w:t>
      </w:r>
      <w:r>
        <w:rPr>
          <w:rFonts w:hint="eastAsia" w:cs="仿宋_GB2312" w:asciiTheme="minorEastAsia" w:hAnsiTheme="minorEastAsia" w:eastAsiaTheme="minorEastAsia"/>
          <w:color w:val="000000"/>
          <w:sz w:val="24"/>
          <w:szCs w:val="24"/>
          <w:shd w:val="clear" w:color="auto" w:fill="FFFFFF"/>
          <w:lang w:val="zh-CN" w:eastAsia="zh-CN"/>
        </w:rPr>
        <w:t>长葛市城市园林绿化数字化管理系统</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（二）项目编号：</w:t>
      </w:r>
      <w:r>
        <w:rPr>
          <w:rFonts w:hint="eastAsia" w:cs="仿宋_GB2312" w:asciiTheme="minorEastAsia" w:hAnsiTheme="minorEastAsia" w:eastAsiaTheme="minorEastAsia"/>
          <w:color w:val="000000"/>
          <w:sz w:val="24"/>
          <w:szCs w:val="24"/>
          <w:shd w:val="clear" w:color="auto" w:fill="FFFFFF"/>
          <w:lang w:val="zh-CN" w:eastAsia="zh-CN"/>
        </w:rPr>
        <w:t>长招采公字[201</w:t>
      </w:r>
      <w:r>
        <w:rPr>
          <w:rFonts w:hint="eastAsia" w:cs="仿宋_GB2312" w:asciiTheme="minorEastAsia" w:hAnsiTheme="minorEastAsia" w:eastAsiaTheme="minorEastAsia"/>
          <w:color w:val="000000"/>
          <w:sz w:val="24"/>
          <w:szCs w:val="24"/>
          <w:shd w:val="clear" w:color="auto" w:fill="FFFFFF"/>
          <w:lang w:val="en-US" w:eastAsia="zh-CN"/>
        </w:rPr>
        <w:t>9</w:t>
      </w:r>
      <w:r>
        <w:rPr>
          <w:rFonts w:hint="eastAsia" w:cs="仿宋_GB2312" w:asciiTheme="minorEastAsia" w:hAnsiTheme="minorEastAsia" w:eastAsiaTheme="minorEastAsia"/>
          <w:color w:val="000000"/>
          <w:sz w:val="24"/>
          <w:szCs w:val="24"/>
          <w:shd w:val="clear" w:color="auto" w:fill="FFFFFF"/>
          <w:lang w:val="zh-CN" w:eastAsia="zh-CN"/>
        </w:rPr>
        <w:t>]</w:t>
      </w:r>
      <w:r>
        <w:rPr>
          <w:rFonts w:hint="eastAsia" w:cs="仿宋_GB2312" w:asciiTheme="minorEastAsia" w:hAnsiTheme="minorEastAsia" w:eastAsiaTheme="minorEastAsia"/>
          <w:color w:val="000000"/>
          <w:sz w:val="24"/>
          <w:szCs w:val="24"/>
          <w:shd w:val="clear" w:color="auto" w:fill="FFFFFF"/>
          <w:lang w:val="en-US" w:eastAsia="zh-CN"/>
        </w:rPr>
        <w:t>111</w:t>
      </w:r>
      <w:r>
        <w:rPr>
          <w:rFonts w:hint="eastAsia" w:cs="仿宋_GB2312" w:asciiTheme="minorEastAsia" w:hAnsiTheme="minorEastAsia" w:eastAsiaTheme="minorEastAsia"/>
          <w:color w:val="000000"/>
          <w:sz w:val="24"/>
          <w:szCs w:val="24"/>
          <w:shd w:val="clear" w:color="auto" w:fill="FFFFFF"/>
          <w:lang w:val="zh-CN" w:eastAsia="zh-CN"/>
        </w:rPr>
        <w:t xml:space="preserve">号  </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 xml:space="preserve">（三）采购方式：公开招标                                                                                                                         </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（四）项目主要内容：包括系统落地调试、遥感影像采集与数据处理分析、基础数据库搭建及软硬件配套等。</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eastAsia="zh-CN"/>
        </w:rPr>
      </w:pPr>
      <w:r>
        <w:rPr>
          <w:rFonts w:hint="eastAsia" w:cs="仿宋_GB2312" w:asciiTheme="minorEastAsia" w:hAnsiTheme="minorEastAsia" w:eastAsiaTheme="minorEastAsia"/>
          <w:color w:val="000000"/>
          <w:sz w:val="24"/>
          <w:szCs w:val="24"/>
          <w:shd w:val="clear" w:color="auto" w:fill="FFFFFF"/>
          <w:lang w:val="zh-CN" w:eastAsia="zh-CN"/>
        </w:rPr>
        <w:t>（五）预算金额（最高限价）：</w:t>
      </w:r>
      <w:r>
        <w:rPr>
          <w:rFonts w:hint="eastAsia" w:cs="仿宋_GB2312" w:asciiTheme="minorEastAsia" w:hAnsiTheme="minorEastAsia" w:eastAsiaTheme="minorEastAsia"/>
          <w:color w:val="000000"/>
          <w:sz w:val="24"/>
          <w:szCs w:val="24"/>
          <w:shd w:val="clear" w:color="auto" w:fill="FFFFFF"/>
          <w:lang w:val="en-US" w:eastAsia="zh-CN"/>
        </w:rPr>
        <w:t>780000.00</w:t>
      </w:r>
      <w:r>
        <w:rPr>
          <w:rFonts w:hint="eastAsia" w:cs="仿宋_GB2312" w:asciiTheme="minorEastAsia" w:hAnsiTheme="minorEastAsia" w:eastAsiaTheme="minorEastAsia"/>
          <w:color w:val="000000"/>
          <w:sz w:val="24"/>
          <w:szCs w:val="24"/>
          <w:shd w:val="clear" w:color="auto" w:fill="FFFFFF"/>
          <w:lang w:val="zh-CN" w:eastAsia="zh-CN"/>
        </w:rPr>
        <w:t>元。</w:t>
      </w:r>
    </w:p>
    <w:p>
      <w:pPr>
        <w:pStyle w:val="23"/>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（六）交付（服务、完工）时间 ：</w:t>
      </w:r>
      <w:bookmarkStart w:id="0" w:name="交付日期"/>
      <w:r>
        <w:rPr>
          <w:rFonts w:hint="eastAsia" w:cs="仿宋_GB2312" w:asciiTheme="minorEastAsia" w:hAnsiTheme="minorEastAsia" w:eastAsiaTheme="minorEastAsia"/>
          <w:color w:val="000000"/>
          <w:sz w:val="24"/>
          <w:szCs w:val="24"/>
          <w:shd w:val="clear" w:color="auto" w:fill="FFFFFF"/>
          <w:lang w:val="en-US" w:eastAsia="zh-CN"/>
        </w:rPr>
        <w:t>合同签后30日历天</w:t>
      </w:r>
      <w:bookmarkEnd w:id="0"/>
      <w:r>
        <w:rPr>
          <w:rFonts w:hint="eastAsia" w:cs="仿宋_GB2312" w:asciiTheme="minorEastAsia" w:hAnsiTheme="minorEastAsia" w:eastAsiaTheme="minorEastAsia"/>
          <w:color w:val="000000"/>
          <w:sz w:val="24"/>
          <w:szCs w:val="24"/>
          <w:shd w:val="clear" w:color="auto" w:fill="FFFFFF"/>
          <w:lang w:val="en-US" w:eastAsia="zh-CN"/>
        </w:rPr>
        <w:t>。</w:t>
      </w:r>
    </w:p>
    <w:p>
      <w:pPr>
        <w:pStyle w:val="23"/>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zh-CN" w:eastAsia="zh-CN"/>
        </w:rPr>
        <w:t>（七）交付（服务、完工）地点：</w:t>
      </w:r>
      <w:r>
        <w:rPr>
          <w:rFonts w:hint="eastAsia" w:ascii="宋体" w:hAnsi="宋体"/>
          <w:bCs/>
          <w:sz w:val="24"/>
          <w:szCs w:val="21"/>
        </w:rPr>
        <w:t>采购人指定地点</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（八）进口产品：不允许。</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（九）分包：不允许。</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二、需要落实的政府采购政策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本项目落实中小微型企业、监狱企业、残疾人福利性单位扶持等相关政府采购政策。</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三、投标人资格要求</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（一）符合《中华人民共和国政府采购法》第二十二条之规定；</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（二）未被列入“信用中国”网站(www.creditchina.gov.cn)失信被执行人、重大税收违法案件当事人名单；“中国政府采购网” (www.ccgp.gov.cn)政府采购严重违法失信行为记录名单</w:t>
      </w:r>
      <w:r>
        <w:rPr>
          <w:rFonts w:hint="eastAsia" w:cs="仿宋_GB2312" w:asciiTheme="minorEastAsia" w:hAnsiTheme="minorEastAsia" w:eastAsiaTheme="minorEastAsia"/>
          <w:color w:val="000000"/>
          <w:sz w:val="24"/>
          <w:szCs w:val="24"/>
          <w:shd w:val="clear" w:color="auto" w:fill="FFFFFF"/>
          <w:lang w:val="en-US" w:eastAsia="zh-CN"/>
        </w:rPr>
        <w:t>；“中国社会组织公共服务平台”网站（www.chinanpo.gov.cn）严重违法失信名单</w:t>
      </w:r>
      <w:r>
        <w:rPr>
          <w:rFonts w:hint="eastAsia" w:cs="仿宋_GB2312" w:asciiTheme="minorEastAsia" w:hAnsiTheme="minorEastAsia" w:eastAsiaTheme="minorEastAsia"/>
          <w:color w:val="000000"/>
          <w:sz w:val="24"/>
          <w:szCs w:val="24"/>
          <w:shd w:val="clear" w:color="auto" w:fill="FFFFFF"/>
          <w:lang w:val="zh-CN"/>
        </w:rPr>
        <w:t>的投标人；</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shd w:val="clear" w:color="auto" w:fill="FFFFFF"/>
          <w:lang w:val="zh-CN"/>
        </w:rPr>
      </w:pPr>
      <w:r>
        <w:rPr>
          <w:rFonts w:hint="eastAsia" w:cs="仿宋_GB2312" w:asciiTheme="minorEastAsia" w:hAnsiTheme="minorEastAsia" w:eastAsiaTheme="minorEastAsia"/>
          <w:color w:val="000000"/>
          <w:sz w:val="24"/>
          <w:szCs w:val="24"/>
          <w:shd w:val="clear" w:color="auto" w:fill="FFFFFF"/>
          <w:lang w:val="zh-CN"/>
        </w:rPr>
        <w:t>（</w:t>
      </w:r>
      <w:r>
        <w:rPr>
          <w:rFonts w:hint="eastAsia" w:cs="仿宋_GB2312" w:asciiTheme="minorEastAsia" w:hAnsiTheme="minorEastAsia" w:eastAsiaTheme="minorEastAsia"/>
          <w:color w:val="000000"/>
          <w:sz w:val="24"/>
          <w:szCs w:val="24"/>
          <w:shd w:val="clear" w:color="auto" w:fill="FFFFFF"/>
          <w:lang w:val="zh-CN" w:eastAsia="zh-CN"/>
        </w:rPr>
        <w:t>三</w:t>
      </w:r>
      <w:r>
        <w:rPr>
          <w:rFonts w:hint="eastAsia" w:cs="仿宋_GB2312" w:asciiTheme="minorEastAsia" w:hAnsiTheme="minorEastAsia" w:eastAsiaTheme="minorEastAsia"/>
          <w:color w:val="000000"/>
          <w:sz w:val="24"/>
          <w:szCs w:val="24"/>
          <w:shd w:val="clear" w:color="auto" w:fill="FFFFFF"/>
          <w:lang w:val="zh-CN"/>
        </w:rPr>
        <w:t>）本次招标不接受联合体投标。</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四、招标文件的获取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五、投标截止时间、开标时间及地点</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（一）投标截止及开标时间</w:t>
      </w:r>
      <w:r>
        <w:rPr>
          <w:rFonts w:hint="eastAsia" w:cs="仿宋_GB2312" w:asciiTheme="minorEastAsia" w:hAnsiTheme="minorEastAsia" w:eastAsiaTheme="minorEastAsia"/>
          <w:color w:val="000000"/>
          <w:sz w:val="24"/>
          <w:szCs w:val="24"/>
          <w:u w:val="single"/>
        </w:rPr>
        <w:t>：</w:t>
      </w:r>
      <w:r>
        <w:rPr>
          <w:rFonts w:hint="eastAsia" w:cs="仿宋_GB2312" w:asciiTheme="minorEastAsia" w:hAnsiTheme="minorEastAsia" w:eastAsiaTheme="minorEastAsia"/>
          <w:color w:val="0000FF"/>
          <w:sz w:val="24"/>
          <w:szCs w:val="24"/>
          <w:u w:val="single"/>
        </w:rPr>
        <w:t>20</w:t>
      </w:r>
      <w:r>
        <w:rPr>
          <w:rFonts w:hint="eastAsia" w:cs="仿宋_GB2312" w:asciiTheme="minorEastAsia" w:hAnsiTheme="minorEastAsia" w:eastAsiaTheme="minorEastAsia"/>
          <w:color w:val="0000FF"/>
          <w:sz w:val="24"/>
          <w:szCs w:val="24"/>
          <w:u w:val="single"/>
          <w:lang w:val="en-US" w:eastAsia="zh-CN"/>
        </w:rPr>
        <w:t>20</w:t>
      </w:r>
      <w:r>
        <w:rPr>
          <w:rFonts w:hint="eastAsia" w:cs="仿宋_GB2312" w:asciiTheme="minorEastAsia" w:hAnsiTheme="minorEastAsia" w:eastAsiaTheme="minorEastAsia"/>
          <w:color w:val="0000FF"/>
          <w:sz w:val="24"/>
          <w:szCs w:val="24"/>
          <w:u w:val="single"/>
        </w:rPr>
        <w:t>年</w:t>
      </w:r>
      <w:r>
        <w:rPr>
          <w:rFonts w:hint="eastAsia" w:cs="仿宋_GB2312" w:asciiTheme="minorEastAsia" w:hAnsiTheme="minorEastAsia" w:eastAsiaTheme="minorEastAsia"/>
          <w:color w:val="0000FF"/>
          <w:sz w:val="24"/>
          <w:szCs w:val="24"/>
          <w:u w:val="single"/>
          <w:lang w:val="en-US" w:eastAsia="zh-CN"/>
        </w:rPr>
        <w:t>1</w:t>
      </w:r>
      <w:r>
        <w:rPr>
          <w:rFonts w:hint="eastAsia" w:cs="仿宋_GB2312" w:asciiTheme="minorEastAsia" w:hAnsiTheme="minorEastAsia" w:eastAsiaTheme="minorEastAsia"/>
          <w:color w:val="0000FF"/>
          <w:sz w:val="24"/>
          <w:szCs w:val="24"/>
          <w:u w:val="single"/>
        </w:rPr>
        <w:t>月</w:t>
      </w:r>
      <w:r>
        <w:rPr>
          <w:rFonts w:hint="eastAsia" w:cs="仿宋_GB2312" w:asciiTheme="minorEastAsia" w:hAnsiTheme="minorEastAsia" w:eastAsiaTheme="minorEastAsia"/>
          <w:color w:val="0000FF"/>
          <w:sz w:val="24"/>
          <w:szCs w:val="24"/>
          <w:u w:val="single"/>
          <w:lang w:val="en-US" w:eastAsia="zh-CN"/>
        </w:rPr>
        <w:t>14</w:t>
      </w:r>
      <w:r>
        <w:rPr>
          <w:rFonts w:hint="eastAsia" w:cs="仿宋_GB2312" w:asciiTheme="minorEastAsia" w:hAnsiTheme="minorEastAsia" w:eastAsiaTheme="minorEastAsia"/>
          <w:color w:val="0000FF"/>
          <w:sz w:val="24"/>
          <w:szCs w:val="24"/>
          <w:u w:val="single"/>
        </w:rPr>
        <w:t>日</w:t>
      </w:r>
      <w:r>
        <w:rPr>
          <w:rFonts w:hint="eastAsia" w:cs="仿宋_GB2312" w:asciiTheme="minorEastAsia" w:hAnsiTheme="minorEastAsia" w:eastAsiaTheme="minorEastAsia"/>
          <w:color w:val="0000FF"/>
          <w:sz w:val="24"/>
          <w:szCs w:val="24"/>
          <w:u w:val="single"/>
          <w:lang w:val="en-US" w:eastAsia="zh-CN"/>
        </w:rPr>
        <w:t>9</w:t>
      </w:r>
      <w:r>
        <w:rPr>
          <w:rFonts w:hint="eastAsia" w:cs="仿宋_GB2312" w:asciiTheme="minorEastAsia" w:hAnsiTheme="minorEastAsia" w:eastAsiaTheme="minorEastAsia"/>
          <w:color w:val="0000FF"/>
          <w:sz w:val="24"/>
          <w:szCs w:val="24"/>
          <w:u w:val="single"/>
        </w:rPr>
        <w:t>时</w:t>
      </w:r>
      <w:r>
        <w:rPr>
          <w:rFonts w:hint="eastAsia" w:cs="仿宋_GB2312" w:asciiTheme="minorEastAsia" w:hAnsiTheme="minorEastAsia" w:eastAsiaTheme="minorEastAsia"/>
          <w:color w:val="0000FF"/>
          <w:sz w:val="24"/>
          <w:szCs w:val="24"/>
          <w:u w:val="single"/>
          <w:lang w:val="en-US" w:eastAsia="zh-CN"/>
        </w:rPr>
        <w:t>00</w:t>
      </w:r>
      <w:r>
        <w:rPr>
          <w:rFonts w:hint="eastAsia" w:cs="仿宋_GB2312" w:asciiTheme="minorEastAsia" w:hAnsiTheme="minorEastAsia" w:eastAsiaTheme="minorEastAsia"/>
          <w:color w:val="0000FF"/>
          <w:sz w:val="24"/>
          <w:szCs w:val="24"/>
          <w:u w:val="single"/>
        </w:rPr>
        <w:t>分</w:t>
      </w:r>
      <w:r>
        <w:rPr>
          <w:rFonts w:hint="eastAsia" w:cs="仿宋_GB2312" w:asciiTheme="minorEastAsia" w:hAnsiTheme="minorEastAsia" w:eastAsiaTheme="minorEastAsia"/>
          <w:color w:val="000000"/>
          <w:sz w:val="24"/>
          <w:szCs w:val="24"/>
        </w:rPr>
        <w:t>（北京时间），逾期提交或不符合规定的投标文件不予接受。</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（二）开标地点：长葛市公共资源交易</w:t>
      </w:r>
      <w:r>
        <w:rPr>
          <w:rFonts w:hint="eastAsia" w:cs="仿宋_GB2312" w:asciiTheme="minorEastAsia" w:hAnsiTheme="minorEastAsia" w:eastAsiaTheme="minorEastAsia"/>
          <w:color w:val="0000FF"/>
          <w:sz w:val="24"/>
          <w:szCs w:val="24"/>
        </w:rPr>
        <w:t>中心开标</w:t>
      </w:r>
      <w:r>
        <w:rPr>
          <w:rFonts w:hint="eastAsia" w:cs="仿宋_GB2312" w:asciiTheme="minorEastAsia" w:hAnsiTheme="minorEastAsia" w:eastAsiaTheme="minorEastAsia"/>
          <w:color w:val="0000FF"/>
          <w:sz w:val="24"/>
          <w:szCs w:val="24"/>
          <w:lang w:val="en-US" w:eastAsia="zh-CN"/>
        </w:rPr>
        <w:t>二</w:t>
      </w:r>
      <w:r>
        <w:rPr>
          <w:rFonts w:hint="eastAsia" w:cs="仿宋_GB2312" w:asciiTheme="minorEastAsia" w:hAnsiTheme="minorEastAsia" w:eastAsiaTheme="minorEastAsia"/>
          <w:color w:val="0000FF"/>
          <w:sz w:val="24"/>
          <w:szCs w:val="24"/>
        </w:rPr>
        <w:t>室</w:t>
      </w:r>
      <w:r>
        <w:rPr>
          <w:rFonts w:hint="eastAsia" w:cs="仿宋_GB2312" w:asciiTheme="minorEastAsia" w:hAnsiTheme="minorEastAsia" w:eastAsiaTheme="minorEastAsia"/>
          <w:color w:val="000000"/>
          <w:sz w:val="24"/>
          <w:szCs w:val="24"/>
        </w:rPr>
        <w:t>（长葛市葛天大道东段商务区6#楼</w:t>
      </w:r>
      <w:r>
        <w:rPr>
          <w:rFonts w:hint="eastAsia" w:cs="仿宋_GB2312" w:asciiTheme="minorEastAsia" w:hAnsiTheme="minorEastAsia" w:eastAsiaTheme="minorEastAsia"/>
          <w:color w:val="000000"/>
          <w:sz w:val="24"/>
          <w:szCs w:val="24"/>
          <w:lang w:val="en-US" w:eastAsia="zh-CN"/>
        </w:rPr>
        <w:t xml:space="preserve"> 4</w:t>
      </w:r>
      <w:r>
        <w:rPr>
          <w:rFonts w:hint="eastAsia" w:cs="仿宋_GB2312" w:asciiTheme="minorEastAsia" w:hAnsiTheme="minorEastAsia" w:eastAsiaTheme="minorEastAsia"/>
          <w:color w:val="0000FF"/>
          <w:sz w:val="24"/>
          <w:szCs w:val="24"/>
        </w:rPr>
        <w:t>楼</w:t>
      </w:r>
      <w:r>
        <w:rPr>
          <w:rFonts w:hint="eastAsia" w:cs="仿宋_GB2312" w:asciiTheme="minorEastAsia" w:hAnsiTheme="minorEastAsia" w:eastAsiaTheme="minorEastAsia"/>
          <w:color w:val="0000FF"/>
          <w:sz w:val="24"/>
          <w:szCs w:val="24"/>
          <w:lang w:val="en-US" w:eastAsia="zh-CN"/>
        </w:rPr>
        <w:t>409</w:t>
      </w:r>
      <w:r>
        <w:rPr>
          <w:rFonts w:hint="eastAsia" w:cs="仿宋_GB2312" w:asciiTheme="minorEastAsia" w:hAnsiTheme="minorEastAsia" w:eastAsiaTheme="minorEastAsia"/>
          <w:color w:val="0000FF"/>
          <w:sz w:val="24"/>
          <w:szCs w:val="24"/>
        </w:rPr>
        <w:t>室）</w:t>
      </w:r>
      <w:r>
        <w:rPr>
          <w:rFonts w:hint="eastAsia" w:cs="仿宋_GB2312" w:asciiTheme="minorEastAsia" w:hAnsiTheme="minorEastAsia" w:eastAsiaTheme="minorEastAsia"/>
          <w:color w:val="000000"/>
          <w:sz w:val="24"/>
          <w:szCs w:val="24"/>
        </w:rPr>
        <w:t>。</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（三） 本项目为全流程电子化交易项目，投标人须提交电子投标文件和纸质投标文件。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1、加密电子投标文件</w:t>
      </w:r>
      <w:r>
        <w:rPr>
          <w:rFonts w:hint="eastAsia" w:cs="宋体" w:asciiTheme="minorEastAsia" w:hAnsiTheme="minorEastAsia"/>
          <w:color w:val="000000"/>
          <w:sz w:val="24"/>
          <w:szCs w:val="24"/>
        </w:rPr>
        <w:t>（</w:t>
      </w:r>
      <w:r>
        <w:rPr>
          <w:rFonts w:asciiTheme="minorEastAsia" w:hAnsiTheme="minorEastAsia" w:eastAsiaTheme="minorEastAsia"/>
          <w:color w:val="000000"/>
          <w:sz w:val="24"/>
          <w:szCs w:val="24"/>
        </w:rPr>
        <w:t>.file</w:t>
      </w:r>
      <w:r>
        <w:rPr>
          <w:rFonts w:hint="eastAsia" w:cs="宋体" w:asciiTheme="minorEastAsia" w:hAnsiTheme="minorEastAsia"/>
          <w:color w:val="000000"/>
          <w:sz w:val="24"/>
          <w:szCs w:val="24"/>
        </w:rPr>
        <w:t>格式）须</w:t>
      </w:r>
      <w:r>
        <w:rPr>
          <w:rFonts w:hint="eastAsia" w:cs="仿宋_GB2312" w:asciiTheme="minorEastAsia" w:hAnsiTheme="minorEastAsia" w:eastAsiaTheme="minorEastAsia"/>
          <w:color w:val="000000"/>
          <w:sz w:val="24"/>
          <w:szCs w:val="24"/>
        </w:rPr>
        <w:t>在投标截止时间（开标时间）前通过《全国公共资源交易平台(河南省</w:t>
      </w:r>
      <w:r>
        <w:rPr>
          <w:rFonts w:hint="eastAsia" w:ascii="MS Mincho" w:hAnsi="MS Mincho" w:eastAsia="MS Mincho" w:cs="MS Mincho"/>
          <w:color w:val="000000"/>
          <w:sz w:val="24"/>
          <w:szCs w:val="24"/>
        </w:rPr>
        <w:t>▪</w:t>
      </w:r>
      <w:r>
        <w:rPr>
          <w:rFonts w:hint="eastAsia" w:ascii="宋体" w:hAnsi="宋体" w:cs="宋体"/>
          <w:color w:val="000000"/>
          <w:sz w:val="24"/>
          <w:szCs w:val="24"/>
        </w:rPr>
        <w:t>许昌市</w:t>
      </w:r>
      <w:r>
        <w:rPr>
          <w:rFonts w:hint="eastAsia" w:cs="仿宋_GB2312" w:asciiTheme="minorEastAsia" w:hAnsiTheme="minorEastAsia" w:eastAsiaTheme="minorEastAsia"/>
          <w:color w:val="000000"/>
          <w:sz w:val="24"/>
          <w:szCs w:val="24"/>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shd w:val="pct10" w:color="auto" w:fill="FFFFFF"/>
        </w:rPr>
      </w:pPr>
      <w:r>
        <w:rPr>
          <w:rFonts w:hint="eastAsia" w:cs="仿宋_GB2312" w:asciiTheme="minorEastAsia" w:hAnsiTheme="minorEastAsia" w:eastAsiaTheme="minorEastAsia"/>
          <w:color w:val="000000"/>
          <w:sz w:val="24"/>
          <w:szCs w:val="24"/>
        </w:rPr>
        <w:t>2、纸质投标文件（正本、副本各1份）和备份文件1份</w:t>
      </w:r>
      <w:r>
        <w:rPr>
          <w:rFonts w:hint="eastAsia" w:hAnsi="宋体"/>
          <w:color w:val="000000"/>
          <w:sz w:val="24"/>
          <w:szCs w:val="24"/>
        </w:rPr>
        <w:t>（使用电子介质存储）</w:t>
      </w:r>
      <w:r>
        <w:rPr>
          <w:rFonts w:hint="eastAsia" w:cs="仿宋_GB2312" w:asciiTheme="minorEastAsia" w:hAnsiTheme="minorEastAsia" w:eastAsiaTheme="minorEastAsia"/>
          <w:color w:val="000000"/>
          <w:sz w:val="24"/>
          <w:szCs w:val="24"/>
        </w:rPr>
        <w:t>在投标截止时间（开标时间）前递交至本项目开标地点。</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六、本次招标公告同时在《河南省政府采购网》、《全国公共资源交易平台（河南省·许昌市）》、《长葛市人民政府门户网站》发布。</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shd w:val="clear" w:color="auto" w:fill="FFFFFF"/>
        </w:rPr>
      </w:pPr>
      <w:r>
        <w:rPr>
          <w:rFonts w:hint="eastAsia" w:cs="黑体" w:asciiTheme="minorEastAsia" w:hAnsiTheme="minorEastAsia" w:eastAsiaTheme="minorEastAsia"/>
          <w:b/>
          <w:bCs/>
          <w:color w:val="000000"/>
          <w:sz w:val="24"/>
          <w:szCs w:val="24"/>
          <w:shd w:val="clear" w:color="auto" w:fill="FFFFFF"/>
        </w:rPr>
        <w:t>七、公告期限</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本招标公告自发布之日起公告期限为5个工作日。</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4"/>
          <w:szCs w:val="24"/>
        </w:rPr>
      </w:pPr>
      <w:r>
        <w:rPr>
          <w:rFonts w:hint="eastAsia" w:cs="黑体" w:asciiTheme="minorEastAsia" w:hAnsiTheme="minorEastAsia" w:eastAsiaTheme="minorEastAsia"/>
          <w:b/>
          <w:bCs/>
          <w:color w:val="000000"/>
          <w:sz w:val="24"/>
          <w:szCs w:val="24"/>
        </w:rPr>
        <w:t>八、联系方式</w:t>
      </w:r>
    </w:p>
    <w:p>
      <w:pPr>
        <w:spacing w:line="360" w:lineRule="exact"/>
        <w:ind w:firstLine="480" w:firstLineChars="200"/>
        <w:rPr>
          <w:rFonts w:hint="eastAsia" w:cs="仿宋_GB2312" w:asciiTheme="minorEastAsia" w:hAnsi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采购人：</w:t>
      </w:r>
      <w:r>
        <w:rPr>
          <w:rFonts w:hint="eastAsia" w:cs="仿宋_GB2312" w:asciiTheme="minorEastAsia" w:hAnsiTheme="minorEastAsia"/>
          <w:color w:val="000000"/>
          <w:kern w:val="2"/>
          <w:sz w:val="24"/>
          <w:szCs w:val="24"/>
          <w:lang w:val="en-US" w:eastAsia="zh-CN" w:bidi="ar-SA"/>
        </w:rPr>
        <w:t>长葛市城市管理局</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 xml:space="preserve">联系人： </w:t>
      </w:r>
      <w:r>
        <w:rPr>
          <w:rFonts w:hint="eastAsia" w:cs="仿宋_GB2312" w:asciiTheme="minorEastAsia" w:hAnsiTheme="minorEastAsia"/>
          <w:color w:val="000000"/>
          <w:kern w:val="2"/>
          <w:sz w:val="24"/>
          <w:szCs w:val="24"/>
          <w:lang w:val="en-US" w:eastAsia="zh-CN" w:bidi="ar-SA"/>
        </w:rPr>
        <w:t>仝主任</w:t>
      </w:r>
      <w:r>
        <w:rPr>
          <w:rFonts w:hint="eastAsia" w:cs="仿宋_GB2312" w:asciiTheme="minorEastAsia" w:hAnsiTheme="minorEastAsia" w:eastAsiaTheme="minorEastAsia"/>
          <w:color w:val="000000"/>
          <w:kern w:val="2"/>
          <w:sz w:val="24"/>
          <w:szCs w:val="24"/>
          <w:lang w:val="en-US" w:eastAsia="zh-CN" w:bidi="ar-SA"/>
        </w:rPr>
        <w:t xml:space="preserve">                     </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联系电话：</w:t>
      </w:r>
      <w:r>
        <w:rPr>
          <w:rFonts w:hint="eastAsia" w:cs="仿宋_GB2312" w:asciiTheme="minorEastAsia" w:hAnsiTheme="minorEastAsia"/>
          <w:color w:val="000000"/>
          <w:kern w:val="2"/>
          <w:sz w:val="24"/>
          <w:szCs w:val="24"/>
          <w:lang w:val="en-US" w:eastAsia="zh-CN" w:bidi="ar-SA"/>
        </w:rPr>
        <w:t>13569480179</w:t>
      </w:r>
      <w:r>
        <w:rPr>
          <w:rFonts w:hint="eastAsia" w:cs="仿宋_GB2312" w:asciiTheme="minorEastAsia" w:hAnsiTheme="minorEastAsia" w:eastAsiaTheme="minorEastAsia"/>
          <w:color w:val="000000"/>
          <w:kern w:val="2"/>
          <w:sz w:val="24"/>
          <w:szCs w:val="24"/>
          <w:lang w:val="en-US" w:eastAsia="zh-CN" w:bidi="ar-SA"/>
        </w:rPr>
        <w:t xml:space="preserve"> </w:t>
      </w:r>
    </w:p>
    <w:p>
      <w:pPr>
        <w:spacing w:line="360" w:lineRule="exact"/>
        <w:ind w:firstLine="480" w:firstLineChars="200"/>
        <w:rPr>
          <w:rFonts w:hint="default"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地址：长葛市</w:t>
      </w:r>
      <w:r>
        <w:rPr>
          <w:rFonts w:hint="eastAsia" w:cs="仿宋_GB2312" w:asciiTheme="minorEastAsia" w:hAnsiTheme="minorEastAsia"/>
          <w:color w:val="000000"/>
          <w:kern w:val="2"/>
          <w:sz w:val="24"/>
          <w:szCs w:val="24"/>
          <w:lang w:val="en-US" w:eastAsia="zh-CN" w:bidi="ar-SA"/>
        </w:rPr>
        <w:t>东区7号楼</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w:t>
      </w:r>
      <w:r>
        <w:rPr>
          <w:rFonts w:hint="eastAsia" w:cs="仿宋_GB2312" w:asciiTheme="minorEastAsia" w:hAnsiTheme="minorEastAsia"/>
          <w:color w:val="000000"/>
          <w:kern w:val="2"/>
          <w:sz w:val="24"/>
          <w:szCs w:val="24"/>
          <w:lang w:val="en-US" w:eastAsia="zh-CN" w:bidi="ar-SA"/>
        </w:rPr>
        <w:t>智远工程管理有限公司</w:t>
      </w:r>
      <w:r>
        <w:rPr>
          <w:rFonts w:hint="eastAsia" w:cs="仿宋_GB2312" w:asciiTheme="minorEastAsia" w:hAnsiTheme="minorEastAsia" w:eastAsiaTheme="minorEastAsia"/>
          <w:color w:val="000000"/>
          <w:kern w:val="2"/>
          <w:sz w:val="24"/>
          <w:szCs w:val="24"/>
          <w:lang w:val="en-US" w:eastAsia="zh-CN" w:bidi="ar-SA"/>
        </w:rPr>
        <w:t xml:space="preserve"> </w:t>
      </w:r>
    </w:p>
    <w:p>
      <w:pPr>
        <w:ind w:firstLine="480" w:firstLineChars="200"/>
        <w:rPr>
          <w:rFonts w:hint="eastAsia" w:ascii="宋体" w:hAnsi="宋体" w:cs="宋体"/>
          <w:color w:val="000000"/>
          <w:sz w:val="24"/>
          <w:shd w:val="clear" w:color="auto" w:fill="FFFFFF"/>
          <w:lang w:val="zh-CN"/>
        </w:rPr>
      </w:pPr>
      <w:r>
        <w:rPr>
          <w:rFonts w:hint="eastAsia" w:ascii="宋体" w:hAnsi="宋体" w:cs="宋体"/>
          <w:color w:val="000000"/>
          <w:sz w:val="24"/>
          <w:shd w:val="clear" w:color="auto" w:fill="FFFFFF"/>
          <w:lang w:val="zh-CN"/>
        </w:rPr>
        <w:t>联系人：王女士       联系电话：13569926910</w:t>
      </w:r>
    </w:p>
    <w:p>
      <w:pPr>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代理机构地址：</w:t>
      </w:r>
      <w:r>
        <w:rPr>
          <w:rFonts w:hint="eastAsia" w:ascii="宋体" w:hAnsi="宋体" w:cs="宋体"/>
          <w:color w:val="000000"/>
          <w:sz w:val="24"/>
          <w:shd w:val="clear" w:color="auto" w:fill="FFFFFF"/>
        </w:rPr>
        <w:t>郑州市高新区莲花街11号纽科企业1号楼</w:t>
      </w:r>
    </w:p>
    <w:p>
      <w:pPr>
        <w:spacing w:line="360" w:lineRule="exact"/>
        <w:ind w:firstLine="482" w:firstLineChars="200"/>
        <w:rPr>
          <w:rFonts w:hint="eastAsia" w:cs="黑体" w:asciiTheme="minorEastAsia" w:hAnsiTheme="minorEastAsia" w:eastAsiaTheme="minorEastAsia"/>
          <w:b/>
          <w:bCs/>
          <w:color w:val="000000"/>
          <w:kern w:val="2"/>
          <w:sz w:val="24"/>
          <w:szCs w:val="24"/>
          <w:lang w:val="en-US" w:eastAsia="zh-CN" w:bidi="ar-SA"/>
        </w:rPr>
      </w:pPr>
      <w:r>
        <w:rPr>
          <w:rFonts w:hint="eastAsia" w:cs="黑体" w:asciiTheme="minorEastAsia" w:hAnsiTheme="minorEastAsia" w:eastAsiaTheme="minorEastAsia"/>
          <w:b/>
          <w:bCs/>
          <w:color w:val="000000"/>
          <w:kern w:val="2"/>
          <w:sz w:val="24"/>
          <w:szCs w:val="24"/>
          <w:lang w:val="en-US" w:eastAsia="zh-CN" w:bidi="ar-SA"/>
        </w:rPr>
        <w:t>九、特别提示：</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1、所有投标单位请时刻关注全国公共资源交易平台（河南省.许昌市），澄清、答疑、变更均在全国公共资源交易平台（河南省.许昌市）发布，不再另行通知。如未及时查看影响其投标，后果自负。</w:t>
      </w:r>
    </w:p>
    <w:p>
      <w:pPr>
        <w:spacing w:line="360" w:lineRule="exact"/>
        <w:ind w:firstLine="480" w:firstLineChars="200"/>
        <w:rPr>
          <w:rFonts w:hint="eastAsia" w:cs="仿宋_GB2312" w:asciiTheme="minorEastAsia" w:hAnsiTheme="minorEastAsia" w:eastAsiaTheme="minorEastAsia"/>
          <w:color w:val="000000"/>
          <w:kern w:val="2"/>
          <w:sz w:val="24"/>
          <w:szCs w:val="24"/>
          <w:lang w:val="en-US" w:eastAsia="zh-CN" w:bidi="ar-SA"/>
        </w:rPr>
      </w:pPr>
      <w:r>
        <w:rPr>
          <w:rFonts w:hint="eastAsia" w:cs="仿宋_GB2312" w:asciiTheme="minorEastAsia" w:hAnsiTheme="minorEastAsia" w:eastAsiaTheme="minorEastAsia"/>
          <w:color w:val="000000"/>
          <w:kern w:val="2"/>
          <w:sz w:val="24"/>
          <w:szCs w:val="24"/>
          <w:lang w:val="en-US" w:eastAsia="zh-CN" w:bidi="ar-SA"/>
        </w:rPr>
        <w:t>2、各投标人对代理公司提供的服务不满意，或认为代理公司在服务过程中有不当行为的，可致电长葛市公共资源交易管理委员会办公室监管股（0374-6189576），经查实后将按规定作出处理。</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31"/>
          <w:rFonts w:hAnsi="宋体"/>
          <w:szCs w:val="21"/>
          <w:highlight w:val="none"/>
        </w:rPr>
        <w:t>http://221.14.6.70:8088/ggzy/</w:t>
      </w:r>
      <w:r>
        <w:rPr>
          <w:rStyle w:val="31"/>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int="eastAsia" w:hAnsi="宋体"/>
          <w:color w:val="000000"/>
          <w:szCs w:val="21"/>
        </w:rPr>
        <w:sectPr>
          <w:footerReference r:id="rId6" w:type="default"/>
          <w:pgSz w:w="11906" w:h="16838"/>
          <w:pgMar w:top="1361" w:right="1247" w:bottom="1361" w:left="1304" w:header="851" w:footer="992" w:gutter="0"/>
          <w:pgNumType w:fmt="decimal" w:start="1"/>
          <w:cols w:space="425" w:num="1"/>
          <w:docGrid w:type="lines" w:linePitch="312" w:charSpace="0"/>
        </w:sect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numPr>
          <w:ilvl w:val="0"/>
          <w:numId w:val="0"/>
        </w:numPr>
        <w:jc w:val="center"/>
        <w:rPr>
          <w:color w:val="auto"/>
        </w:rPr>
      </w:pPr>
      <w:bookmarkStart w:id="1" w:name="_Toc98579610"/>
      <w:bookmarkStart w:id="2" w:name="_Toc98579011"/>
      <w:bookmarkStart w:id="3" w:name="_Toc50276204"/>
      <w:bookmarkStart w:id="4" w:name="_Toc101771372"/>
      <w:bookmarkStart w:id="5" w:name="_Toc41723936"/>
      <w:bookmarkStart w:id="6" w:name="_Toc42313172"/>
      <w:bookmarkStart w:id="7" w:name="_Toc272497418"/>
      <w:bookmarkStart w:id="8" w:name="_Toc98035089"/>
      <w:bookmarkStart w:id="9" w:name="_Toc46308687"/>
      <w:bookmarkStart w:id="10" w:name="_Toc46308531"/>
      <w:bookmarkStart w:id="11" w:name="_Toc98579069"/>
      <w:bookmarkStart w:id="12" w:name="_Toc41884706"/>
      <w:bookmarkStart w:id="13" w:name="_Toc101951263"/>
      <w:bookmarkStart w:id="14" w:name="_Toc98580293"/>
      <w:bookmarkStart w:id="15" w:name="_Toc50276165"/>
      <w:bookmarkStart w:id="16" w:name="_Toc42394517"/>
      <w:bookmarkStart w:id="17" w:name="_Toc42394673"/>
      <w:bookmarkStart w:id="18" w:name="_Toc101775125"/>
      <w:bookmarkStart w:id="19" w:name="_Toc101843125"/>
      <w:bookmarkStart w:id="20" w:name="_Toc175644394"/>
      <w:r>
        <w:rPr>
          <w:rFonts w:hint="eastAsia" w:cs="宋体" w:asciiTheme="majorEastAsia" w:hAnsiTheme="majorEastAsia" w:eastAsiaTheme="majorEastAsia"/>
          <w:b/>
          <w:color w:val="auto"/>
          <w:kern w:val="0"/>
          <w:sz w:val="32"/>
          <w:szCs w:val="32"/>
          <w:lang w:val="en-US" w:eastAsia="zh-CN"/>
        </w:rPr>
        <w:t xml:space="preserve">第二章 </w:t>
      </w:r>
      <w:r>
        <w:rPr>
          <w:rFonts w:hint="eastAsia" w:cs="宋体" w:asciiTheme="majorEastAsia" w:hAnsiTheme="majorEastAsia" w:eastAsiaTheme="majorEastAsia"/>
          <w:b/>
          <w:color w:val="auto"/>
          <w:kern w:val="0"/>
          <w:sz w:val="32"/>
          <w:szCs w:val="32"/>
        </w:rPr>
        <w:t>项目需求</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numPr>
          <w:ilvl w:val="0"/>
          <w:numId w:val="4"/>
        </w:numPr>
        <w:spacing w:line="360" w:lineRule="auto"/>
        <w:ind w:left="1459"/>
        <w:jc w:val="left"/>
        <w:outlineLvl w:val="0"/>
        <w:rPr>
          <w:rFonts w:hint="eastAsia" w:ascii="宋体" w:hAnsi="宋体"/>
          <w:b/>
          <w:sz w:val="28"/>
          <w:szCs w:val="28"/>
        </w:rPr>
      </w:pPr>
      <w:r>
        <w:rPr>
          <w:rFonts w:hint="eastAsia" w:ascii="宋体" w:hAnsi="宋体"/>
          <w:b/>
          <w:sz w:val="28"/>
          <w:szCs w:val="28"/>
        </w:rPr>
        <w:t>服务需求</w:t>
      </w:r>
    </w:p>
    <w:tbl>
      <w:tblPr>
        <w:tblStyle w:val="2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75"/>
        <w:gridCol w:w="5040"/>
        <w:gridCol w:w="72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序号</w:t>
            </w:r>
          </w:p>
        </w:tc>
        <w:tc>
          <w:tcPr>
            <w:tcW w:w="1875" w:type="dxa"/>
          </w:tcPr>
          <w:p>
            <w:pPr>
              <w:pStyle w:val="8"/>
              <w:spacing w:line="440" w:lineRule="exact"/>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名称</w:t>
            </w:r>
          </w:p>
        </w:tc>
        <w:tc>
          <w:tcPr>
            <w:tcW w:w="5040" w:type="dxa"/>
          </w:tcPr>
          <w:p>
            <w:pPr>
              <w:pStyle w:val="8"/>
              <w:spacing w:line="440" w:lineRule="exact"/>
              <w:jc w:val="center"/>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内容</w:t>
            </w:r>
          </w:p>
        </w:tc>
        <w:tc>
          <w:tcPr>
            <w:tcW w:w="720"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单位</w:t>
            </w:r>
          </w:p>
        </w:tc>
        <w:tc>
          <w:tcPr>
            <w:tcW w:w="714"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jc w:val="center"/>
              <w:outlineLvl w:val="2"/>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1</w:t>
            </w:r>
          </w:p>
        </w:tc>
        <w:tc>
          <w:tcPr>
            <w:tcW w:w="1875"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系统落地调试</w:t>
            </w:r>
          </w:p>
        </w:tc>
        <w:tc>
          <w:tcPr>
            <w:tcW w:w="5040" w:type="dxa"/>
          </w:tcPr>
          <w:p>
            <w:pPr>
              <w:pStyle w:val="8"/>
              <w:spacing w:line="440" w:lineRule="exact"/>
              <w:ind w:left="0" w:leftChars="0" w:firstLine="0" w:firstLineChars="0"/>
              <w:outlineLvl w:val="2"/>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eastAsia="zh-CN"/>
              </w:rPr>
              <w:t>园林绿化数字数字化系统（</w:t>
            </w:r>
            <w:r>
              <w:rPr>
                <w:rFonts w:hint="eastAsia" w:ascii="宋体" w:hAnsi="宋体" w:cs="宋体"/>
                <w:b/>
                <w:bCs/>
                <w:sz w:val="24"/>
                <w:szCs w:val="24"/>
                <w:vertAlign w:val="baseline"/>
                <w:lang w:val="en-US" w:eastAsia="zh-CN"/>
              </w:rPr>
              <w:t>B/S</w:t>
            </w:r>
            <w:r>
              <w:rPr>
                <w:rFonts w:hint="eastAsia" w:ascii="宋体" w:hAnsi="宋体" w:cs="宋体"/>
                <w:b/>
                <w:bCs/>
                <w:sz w:val="24"/>
                <w:szCs w:val="24"/>
                <w:vertAlign w:val="baseline"/>
                <w:lang w:eastAsia="zh-CN"/>
              </w:rPr>
              <w:t>）研发及专利使用，系统与河南省级平台的对接和调试，以及系统需求调研、开发、测试、人员培训以及</w:t>
            </w:r>
            <w:r>
              <w:rPr>
                <w:rFonts w:hint="eastAsia" w:ascii="宋体" w:hAnsi="宋体" w:cs="宋体"/>
                <w:b/>
                <w:bCs/>
                <w:sz w:val="24"/>
                <w:szCs w:val="24"/>
                <w:vertAlign w:val="baseline"/>
                <w:lang w:val="en-US" w:eastAsia="zh-CN"/>
              </w:rPr>
              <w:t>1年的跟踪技术服务。</w:t>
            </w:r>
          </w:p>
        </w:tc>
        <w:tc>
          <w:tcPr>
            <w:tcW w:w="720"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项</w:t>
            </w:r>
          </w:p>
        </w:tc>
        <w:tc>
          <w:tcPr>
            <w:tcW w:w="714" w:type="dxa"/>
          </w:tcPr>
          <w:p>
            <w:pPr>
              <w:pStyle w:val="8"/>
              <w:spacing w:line="440" w:lineRule="exact"/>
              <w:outlineLvl w:val="2"/>
              <w:rPr>
                <w:rFonts w:hint="eastAsia" w:ascii="宋体" w:hAnsi="宋体" w:cs="宋体"/>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jc w:val="center"/>
              <w:outlineLvl w:val="2"/>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2</w:t>
            </w:r>
          </w:p>
        </w:tc>
        <w:tc>
          <w:tcPr>
            <w:tcW w:w="1875"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遥感影像采集与数据处理分析</w:t>
            </w:r>
          </w:p>
        </w:tc>
        <w:tc>
          <w:tcPr>
            <w:tcW w:w="5040"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采购高分辨率卫星遥感影像，并对影像进行技术处理和数据提取分析，包括用地分类、绿色信息提取等。</w:t>
            </w:r>
          </w:p>
        </w:tc>
        <w:tc>
          <w:tcPr>
            <w:tcW w:w="720" w:type="dxa"/>
          </w:tcPr>
          <w:p>
            <w:pPr>
              <w:pStyle w:val="8"/>
              <w:spacing w:line="440" w:lineRule="exact"/>
              <w:ind w:left="0" w:leftChars="0" w:firstLine="0" w:firstLineChars="0"/>
              <w:outlineLvl w:val="2"/>
              <w:rPr>
                <w:rFonts w:hint="eastAsia" w:ascii="宋体" w:hAnsi="宋体" w:cs="宋体"/>
                <w:b/>
                <w:bCs/>
                <w:sz w:val="24"/>
                <w:szCs w:val="24"/>
                <w:vertAlign w:val="baseline"/>
              </w:rPr>
            </w:pPr>
            <w:r>
              <w:rPr>
                <w:rFonts w:hint="eastAsia" w:ascii="宋体" w:hAnsi="宋体" w:cs="宋体"/>
                <w:b/>
                <w:bCs/>
                <w:sz w:val="24"/>
                <w:szCs w:val="24"/>
                <w:vertAlign w:val="baseline"/>
                <w:lang w:eastAsia="zh-CN"/>
              </w:rPr>
              <w:t>项</w:t>
            </w:r>
          </w:p>
        </w:tc>
        <w:tc>
          <w:tcPr>
            <w:tcW w:w="714"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jc w:val="center"/>
              <w:outlineLvl w:val="2"/>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3</w:t>
            </w:r>
          </w:p>
        </w:tc>
        <w:tc>
          <w:tcPr>
            <w:tcW w:w="1875"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基础数据库搭建</w:t>
            </w:r>
          </w:p>
        </w:tc>
        <w:tc>
          <w:tcPr>
            <w:tcW w:w="5040" w:type="dxa"/>
          </w:tcPr>
          <w:p>
            <w:pPr>
              <w:pStyle w:val="8"/>
              <w:spacing w:line="440" w:lineRule="exact"/>
              <w:ind w:left="0" w:leftChars="0" w:firstLine="0" w:firstLineChars="0"/>
              <w:outlineLvl w:val="2"/>
              <w:rPr>
                <w:rFonts w:hint="eastAsia" w:ascii="宋体" w:hAnsi="宋体" w:cs="宋体"/>
                <w:b/>
                <w:bCs/>
                <w:sz w:val="24"/>
                <w:szCs w:val="24"/>
                <w:vertAlign w:val="baseline"/>
              </w:rPr>
            </w:pPr>
            <w:r>
              <w:rPr>
                <w:rFonts w:hint="eastAsia" w:ascii="宋体" w:hAnsi="宋体" w:cs="宋体"/>
                <w:b/>
                <w:bCs/>
                <w:sz w:val="24"/>
                <w:szCs w:val="24"/>
                <w:vertAlign w:val="baseline"/>
                <w:lang w:eastAsia="zh-CN"/>
              </w:rPr>
              <w:t>数字园林系统空间数据的校核和修正，园林绿化业务属性数据（公园、居住区、单位、道路等各类绿地建设管养信息和相关图片）的采集和录入，以及数据采集和录入人员的培训等。</w:t>
            </w:r>
          </w:p>
        </w:tc>
        <w:tc>
          <w:tcPr>
            <w:tcW w:w="720" w:type="dxa"/>
          </w:tcPr>
          <w:p>
            <w:pPr>
              <w:pStyle w:val="8"/>
              <w:spacing w:line="440" w:lineRule="exact"/>
              <w:ind w:left="0" w:leftChars="0" w:firstLine="0" w:firstLineChars="0"/>
              <w:outlineLvl w:val="2"/>
              <w:rPr>
                <w:rFonts w:hint="eastAsia" w:ascii="宋体" w:hAnsi="宋体" w:cs="宋体"/>
                <w:b/>
                <w:bCs/>
                <w:sz w:val="24"/>
                <w:szCs w:val="24"/>
                <w:vertAlign w:val="baseline"/>
              </w:rPr>
            </w:pPr>
            <w:r>
              <w:rPr>
                <w:rFonts w:hint="eastAsia" w:ascii="宋体" w:hAnsi="宋体" w:cs="宋体"/>
                <w:b/>
                <w:bCs/>
                <w:sz w:val="24"/>
                <w:szCs w:val="24"/>
                <w:vertAlign w:val="baseline"/>
                <w:lang w:eastAsia="zh-CN"/>
              </w:rPr>
              <w:t>项</w:t>
            </w:r>
          </w:p>
        </w:tc>
        <w:tc>
          <w:tcPr>
            <w:tcW w:w="714" w:type="dxa"/>
          </w:tcPr>
          <w:p>
            <w:pPr>
              <w:pStyle w:val="8"/>
              <w:spacing w:line="440" w:lineRule="exact"/>
              <w:outlineLvl w:val="2"/>
              <w:rPr>
                <w:rFonts w:hint="eastAsia" w:ascii="宋体" w:hAnsi="宋体" w:cs="宋体"/>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jc w:val="center"/>
              <w:outlineLvl w:val="2"/>
              <w:rPr>
                <w:rFonts w:hint="eastAsia" w:ascii="宋体" w:hAnsi="宋体" w:eastAsia="宋体" w:cs="宋体"/>
                <w:b/>
                <w:bCs/>
                <w:sz w:val="24"/>
                <w:szCs w:val="24"/>
                <w:vertAlign w:val="baseline"/>
                <w:lang w:val="en-US" w:eastAsia="zh-CN"/>
              </w:rPr>
            </w:pPr>
          </w:p>
        </w:tc>
        <w:tc>
          <w:tcPr>
            <w:tcW w:w="1875" w:type="dxa"/>
          </w:tcPr>
          <w:p>
            <w:pPr>
              <w:pStyle w:val="8"/>
              <w:spacing w:line="440" w:lineRule="exact"/>
              <w:outlineLvl w:val="2"/>
              <w:rPr>
                <w:rFonts w:hint="eastAsia" w:ascii="宋体" w:hAnsi="宋体" w:eastAsia="宋体" w:cs="宋体"/>
                <w:b/>
                <w:bCs/>
                <w:sz w:val="24"/>
                <w:szCs w:val="24"/>
                <w:vertAlign w:val="baseline"/>
                <w:lang w:eastAsia="zh-CN"/>
              </w:rPr>
            </w:pPr>
          </w:p>
        </w:tc>
        <w:tc>
          <w:tcPr>
            <w:tcW w:w="5040"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基础数据建库，统一空间数据坐标系和投影方式，统一属性数据字段格式，开展空间数据覆盖校验和属性数据格式校验，完成数据标准化处理与入库。</w:t>
            </w:r>
          </w:p>
        </w:tc>
        <w:tc>
          <w:tcPr>
            <w:tcW w:w="720" w:type="dxa"/>
          </w:tcPr>
          <w:p>
            <w:pPr>
              <w:pStyle w:val="8"/>
              <w:spacing w:line="440" w:lineRule="exact"/>
              <w:outlineLvl w:val="2"/>
              <w:rPr>
                <w:rFonts w:hint="eastAsia" w:ascii="宋体" w:hAnsi="宋体" w:cs="宋体"/>
                <w:b/>
                <w:bCs/>
                <w:sz w:val="24"/>
                <w:szCs w:val="24"/>
                <w:vertAlign w:val="baseline"/>
              </w:rPr>
            </w:pPr>
          </w:p>
        </w:tc>
        <w:tc>
          <w:tcPr>
            <w:tcW w:w="714"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详见附表一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8"/>
              <w:spacing w:line="440" w:lineRule="exact"/>
              <w:ind w:left="0" w:leftChars="0" w:firstLine="0" w:firstLineChars="0"/>
              <w:jc w:val="center"/>
              <w:outlineLvl w:val="2"/>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4</w:t>
            </w:r>
          </w:p>
        </w:tc>
        <w:tc>
          <w:tcPr>
            <w:tcW w:w="1875"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软硬件配套</w:t>
            </w:r>
          </w:p>
        </w:tc>
        <w:tc>
          <w:tcPr>
            <w:tcW w:w="5040" w:type="dxa"/>
          </w:tcPr>
          <w:p>
            <w:pPr>
              <w:pStyle w:val="8"/>
              <w:spacing w:line="440" w:lineRule="exact"/>
              <w:ind w:left="0" w:leftChars="0" w:firstLine="0" w:firstLineChars="0"/>
              <w:outlineLvl w:val="2"/>
              <w:rPr>
                <w:rFonts w:hint="eastAsia" w:ascii="宋体" w:hAnsi="宋体" w:eastAsia="宋体" w:cs="宋体"/>
                <w:b/>
                <w:bCs/>
                <w:sz w:val="24"/>
                <w:szCs w:val="24"/>
                <w:vertAlign w:val="baseline"/>
                <w:lang w:eastAsia="zh-CN"/>
              </w:rPr>
            </w:pPr>
            <w:r>
              <w:rPr>
                <w:rFonts w:hint="eastAsia" w:ascii="宋体" w:hAnsi="宋体" w:cs="宋体"/>
                <w:b/>
                <w:bCs/>
                <w:sz w:val="24"/>
                <w:szCs w:val="24"/>
                <w:vertAlign w:val="baseline"/>
                <w:lang w:eastAsia="zh-CN"/>
              </w:rPr>
              <w:t>配备符合系统运行环境要求的相关软硬件设施</w:t>
            </w:r>
          </w:p>
        </w:tc>
        <w:tc>
          <w:tcPr>
            <w:tcW w:w="720" w:type="dxa"/>
          </w:tcPr>
          <w:p>
            <w:pPr>
              <w:pStyle w:val="8"/>
              <w:spacing w:line="440" w:lineRule="exact"/>
              <w:ind w:left="0" w:leftChars="0" w:firstLine="0" w:firstLineChars="0"/>
              <w:outlineLvl w:val="2"/>
              <w:rPr>
                <w:rFonts w:hint="eastAsia" w:ascii="宋体" w:hAnsi="宋体" w:cs="宋体"/>
                <w:b/>
                <w:bCs/>
                <w:sz w:val="24"/>
                <w:szCs w:val="24"/>
                <w:vertAlign w:val="baseline"/>
              </w:rPr>
            </w:pPr>
            <w:r>
              <w:rPr>
                <w:rFonts w:hint="eastAsia" w:ascii="宋体" w:hAnsi="宋体" w:cs="宋体"/>
                <w:b/>
                <w:bCs/>
                <w:sz w:val="24"/>
                <w:szCs w:val="24"/>
                <w:vertAlign w:val="baseline"/>
                <w:lang w:eastAsia="zh-CN"/>
              </w:rPr>
              <w:t>项</w:t>
            </w:r>
          </w:p>
        </w:tc>
        <w:tc>
          <w:tcPr>
            <w:tcW w:w="714" w:type="dxa"/>
          </w:tcPr>
          <w:p>
            <w:pPr>
              <w:pStyle w:val="8"/>
              <w:spacing w:line="440" w:lineRule="exact"/>
              <w:outlineLvl w:val="2"/>
              <w:rPr>
                <w:rFonts w:hint="eastAsia" w:ascii="宋体" w:hAnsi="宋体" w:cs="宋体"/>
                <w:b/>
                <w:bCs/>
                <w:sz w:val="24"/>
                <w:szCs w:val="24"/>
                <w:vertAlign w:val="baseline"/>
              </w:rPr>
            </w:pPr>
          </w:p>
        </w:tc>
      </w:tr>
    </w:tbl>
    <w:p>
      <w:pPr>
        <w:pStyle w:val="8"/>
        <w:spacing w:line="440" w:lineRule="exact"/>
        <w:ind w:firstLine="422" w:firstLineChars="175"/>
        <w:outlineLvl w:val="2"/>
        <w:rPr>
          <w:rFonts w:hint="eastAsia" w:ascii="宋体" w:hAnsi="宋体" w:cs="宋体"/>
          <w:b/>
          <w:bCs/>
          <w:sz w:val="24"/>
          <w:szCs w:val="24"/>
        </w:rPr>
      </w:pPr>
    </w:p>
    <w:p>
      <w:pPr>
        <w:pStyle w:val="8"/>
        <w:spacing w:line="440" w:lineRule="exact"/>
        <w:ind w:firstLine="422" w:firstLineChars="175"/>
        <w:outlineLvl w:val="2"/>
        <w:rPr>
          <w:rFonts w:ascii="宋体" w:hAnsi="宋体" w:cs="宋体"/>
          <w:b/>
          <w:bCs/>
          <w:sz w:val="24"/>
          <w:szCs w:val="24"/>
        </w:rPr>
      </w:pPr>
      <w:r>
        <w:rPr>
          <w:rFonts w:hint="eastAsia" w:ascii="宋体" w:hAnsi="宋体" w:cs="宋体"/>
          <w:b/>
          <w:bCs/>
          <w:sz w:val="24"/>
          <w:szCs w:val="24"/>
        </w:rPr>
        <w:t>1、应用软件系统建设</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（1）城市园林绿化基础数据管理子系统功能要求</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引入高分辨率卫星遥感数据采集方式打造即时动态的数据更新机制，帮助行业管理者准确摸清城市园林绿化家底，为数据资源分析应用提供基础。</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数据采集管理：实现对公园、附属、防护、生产、其它等各类绿地数据，以及城市用地、绿规绿线、古树名木等专题数据和园林绿化评价指标数据的采集，实现基础数据导入导出功能。</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数据浏览查询：实现各类数据图层的动态加载和显示控制，提供基础地图操作工具，以及视图和版面的显示控制功能。</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数据处理编辑：实现对公园绿地、附属绿地、防护绿地、生产绿地、其他绿地、古树名木、植物等城市园林绿化数据的编辑管理。采用专业数据编辑处理工具，提供对空间图层的新建、修复、合并、转换等，对点、线、面等不同类型图斑数据的勾绘、修订、分割、关联、赋值等，以及对属性数据和文件数据的查询、计算、批量导入等维护功能，同时提供编辑控制辅助工具以提高产品的易用性。</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数据校验发布：实现对城市不同时期园林绿化数据的统一更新管理，提供空间数据覆盖校验与属性校验、核心指标测算与发布更新、数据版本更新管理和历史数据下载等功能，形成城市园林绿化时空数据库。</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数据制图输出：提供空间数据制图输出功能，方便园林绿化管理部门生成遥感影像图、用地类型图、公园分布图、古树名木分布图等各种园林绿化专题图，并实现图件的版面管理和整饰设置、打印输出等功能。</w:t>
      </w:r>
    </w:p>
    <w:p>
      <w:pPr>
        <w:numPr>
          <w:ilvl w:val="0"/>
          <w:numId w:val="5"/>
        </w:numPr>
        <w:spacing w:line="440" w:lineRule="exact"/>
        <w:rPr>
          <w:rFonts w:hint="eastAsia" w:ascii="宋体" w:hAnsi="宋体" w:cs="宋体"/>
          <w:sz w:val="24"/>
          <w:szCs w:val="24"/>
        </w:rPr>
      </w:pPr>
      <w:r>
        <w:rPr>
          <w:rFonts w:hint="eastAsia" w:ascii="宋体" w:hAnsi="宋体" w:cs="宋体"/>
          <w:sz w:val="24"/>
          <w:szCs w:val="24"/>
        </w:rPr>
        <w:t>其它辅助工具：支持栅格数据、矢量数据、CAD数据等空间数据的动态加载浏览和图层加载设置，支持用户登录管理。</w:t>
      </w:r>
    </w:p>
    <w:p>
      <w:pPr>
        <w:numPr>
          <w:ilvl w:val="0"/>
          <w:numId w:val="5"/>
        </w:numPr>
        <w:spacing w:line="440" w:lineRule="exact"/>
        <w:rPr>
          <w:rFonts w:ascii="宋体" w:hAnsi="宋体" w:cs="宋体"/>
          <w:sz w:val="24"/>
          <w:szCs w:val="24"/>
        </w:rPr>
      </w:pPr>
      <w:r>
        <w:rPr>
          <w:rFonts w:hint="eastAsia" w:ascii="宋体" w:hAnsi="宋体" w:cs="宋体"/>
          <w:sz w:val="24"/>
          <w:szCs w:val="24"/>
        </w:rPr>
        <w:t>数据上报提交：支持向河南省园林绿化监督管理系统上报绿地、绿线、绿规和古树名木数据等。</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（2）城市园林绿化一张图监管子系统功能要求</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在全面准确摸清城市园林绿化家底的基础上，开展深入的数据挖掘与分析应用，客观、量化的评判城市园林绿化建设水平，为园林监管和辅助领导决策提供全方位数据支持。</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园林绿化地图服务：将城市绿地系统规划数据、绿地建设数据、绿化覆盖数据、评价支撑数据以及园林绿化专题业务数据组织成园林绿化数据资源台账，以电子地图和影像地图结合的方式，实现城市园林空间数据综合展示。</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城市绿地查询统计：针对公园绿地、单位附属绿地、道路附属绿地、居住附属绿地、防护绿地、生产绿地等各类城市主要绿地，以及古树名木和其他业务数据提供灵活的组合查询功能，并提供各类绿地的数据统计报表。</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辅助决策分析：实现绿化覆盖率、绿地率、公园服务半径覆盖率等指标智能测算和对比，方便园林绿化管理部门准确掌握城市绿地建设宏观信息，并通过城市绿地空间分析，为绿地建设和绿地监管提供辅助决策数据。提供城市总体绿化分析、公园服务半径覆盖分析、公园绿地选址推荐、公园绿地规划模拟、地块绿化分析、地类绿化分析、公园入口点可达性分析、古树名木保护范围分析、任意区域绿化分析、防灾避险绿地分析等功能。</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园林绿化综合评价：按照城市园林绿化评价标准和国家园林城市系列标准要求，实现城市园林绿化评价指标实时计算，自动汇总生成评价结果。提供城市园林绿化等级评价、园林城市系列达标评价、评价依据查询等功能。</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园林绿化时空对比：通过不同时期园林绿化专题地图对比，直观展示城市绿地建设和绿地规划实施进展状况。提供多期遥感影像和空间数据浏览对比功能，以及不同时期城市绿化覆盖面积、绿化覆盖率等指标变化对比功能。</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园林绿化监督管理：监督城市绿线范围违法建设情况、监管绿地系统规划实施和古树名木保护等情况；针对城市各类用地绿化覆盖情况进行监测，系统提供预警参数设置和绿地达标预警分析功能。</w:t>
      </w:r>
    </w:p>
    <w:p>
      <w:pPr>
        <w:numPr>
          <w:ilvl w:val="0"/>
          <w:numId w:val="6"/>
        </w:numPr>
        <w:spacing w:line="440" w:lineRule="exact"/>
        <w:rPr>
          <w:rFonts w:hint="eastAsia" w:ascii="宋体" w:hAnsi="宋体" w:cs="宋体"/>
          <w:sz w:val="24"/>
          <w:szCs w:val="24"/>
        </w:rPr>
      </w:pPr>
      <w:r>
        <w:rPr>
          <w:rFonts w:hint="eastAsia" w:ascii="宋体" w:hAnsi="宋体" w:cs="宋体"/>
          <w:sz w:val="24"/>
          <w:szCs w:val="24"/>
        </w:rPr>
        <w:t>应用系统运维管理：提供运行维护统一管理功能，包括对用户、角色、组织机构的管理，以及对应用、数据等访问权限的配置管理功能。提供对系统应用日志的备份管理和数据的备份管理。</w:t>
      </w:r>
    </w:p>
    <w:p>
      <w:pPr>
        <w:numPr>
          <w:ilvl w:val="0"/>
          <w:numId w:val="6"/>
        </w:numPr>
        <w:spacing w:line="440" w:lineRule="exact"/>
        <w:rPr>
          <w:rFonts w:ascii="宋体" w:hAnsi="宋体" w:cs="宋体"/>
          <w:sz w:val="24"/>
          <w:szCs w:val="24"/>
        </w:rPr>
      </w:pPr>
      <w:r>
        <w:rPr>
          <w:rFonts w:hint="eastAsia" w:ascii="宋体" w:hAnsi="宋体" w:cs="宋体"/>
          <w:sz w:val="24"/>
          <w:szCs w:val="24"/>
        </w:rPr>
        <w:t>用户设置：提供用户登录、密码修改、版本设定等功能。</w:t>
      </w:r>
    </w:p>
    <w:p>
      <w:pPr>
        <w:pStyle w:val="8"/>
        <w:spacing w:line="440" w:lineRule="exact"/>
        <w:ind w:firstLine="422" w:firstLineChars="175"/>
        <w:outlineLvl w:val="2"/>
        <w:rPr>
          <w:rFonts w:hint="eastAsia" w:ascii="宋体" w:hAnsi="宋体" w:cs="宋体"/>
          <w:b/>
          <w:bCs/>
          <w:sz w:val="24"/>
          <w:szCs w:val="24"/>
        </w:rPr>
      </w:pPr>
      <w:bookmarkStart w:id="21" w:name="_Hlk104302"/>
      <w:r>
        <w:rPr>
          <w:rFonts w:hint="eastAsia" w:ascii="宋体" w:hAnsi="宋体" w:cs="宋体"/>
          <w:b/>
          <w:bCs/>
          <w:sz w:val="24"/>
          <w:szCs w:val="24"/>
        </w:rPr>
        <w:t>2、信息综合数据库建设</w:t>
      </w:r>
    </w:p>
    <w:p>
      <w:pPr>
        <w:spacing w:line="440" w:lineRule="exact"/>
        <w:ind w:firstLine="470" w:firstLineChars="196"/>
        <w:rPr>
          <w:rFonts w:ascii="宋体" w:hAnsi="宋体" w:cs="宋体"/>
          <w:sz w:val="24"/>
          <w:szCs w:val="24"/>
        </w:rPr>
      </w:pPr>
      <w:r>
        <w:rPr>
          <w:rFonts w:hint="eastAsia" w:ascii="宋体" w:hAnsi="宋体" w:cs="宋体"/>
          <w:sz w:val="24"/>
          <w:szCs w:val="24"/>
        </w:rPr>
        <w:t>包含空间数据库和业务属性数据库两部分。</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（1）绿地空间数据的采集编辑</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基于高分辨率遥感影像把城市建成区（面积约2</w:t>
      </w:r>
      <w:r>
        <w:rPr>
          <w:rFonts w:ascii="宋体" w:hAnsi="宋体" w:cs="宋体"/>
          <w:sz w:val="24"/>
          <w:szCs w:val="24"/>
        </w:rPr>
        <w:t>6</w:t>
      </w:r>
      <w:r>
        <w:rPr>
          <w:rFonts w:hint="eastAsia" w:ascii="宋体" w:hAnsi="宋体" w:cs="宋体"/>
          <w:sz w:val="24"/>
          <w:szCs w:val="24"/>
        </w:rPr>
        <w:t>平方公里）内各类绿地和用地进行分类提取，结合地面调研形成空间数据库，具体包括空间数据的采集、数据的校核和修正、数据变化的跟踪等。</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（2）业务属性信息的采集录入</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业务属性数据是附属于空间数据之上的编码、文档和图片等信息，主要涵盖了各类绿地基础信息（如编码、名称、位置等）、建设信息（如建设、施工、改扩建信息等）、景观信息（如空间布局、特色景观、历史沿革等）、管理信息（如管理机构、管理制度、管养经费等）、现场照片等。</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（3）评价指标信息的采集录入</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对照《城市园林绿化评价标准》和《国家园林城市系列标准》中要求的指标项，对相关信息进行采集录入，包括文件、照片、图纸等各类资料信息。</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（4）数据标准化处理与数据入库</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按照统一的空间数据坐标系和投影方式，对空间数据进行标准化、规范化处理和空间数据覆盖校验检查，按照统一的属性数据字段格式，对属性数据进行格式校验检查。最后，将处理好的空间数据、属性数据、文件数据、图片数据进行统一的数据入库。</w:t>
      </w:r>
    </w:p>
    <w:p>
      <w:pPr>
        <w:pStyle w:val="8"/>
        <w:spacing w:line="440" w:lineRule="exact"/>
        <w:ind w:firstLine="422" w:firstLineChars="175"/>
        <w:outlineLvl w:val="2"/>
        <w:rPr>
          <w:rFonts w:hint="eastAsia" w:ascii="宋体" w:hAnsi="宋体" w:cs="宋体"/>
          <w:b/>
          <w:bCs/>
          <w:sz w:val="24"/>
          <w:szCs w:val="24"/>
        </w:rPr>
      </w:pPr>
      <w:r>
        <w:rPr>
          <w:rFonts w:hint="eastAsia" w:ascii="宋体" w:hAnsi="宋体" w:cs="宋体"/>
          <w:b/>
          <w:bCs/>
          <w:sz w:val="24"/>
          <w:szCs w:val="24"/>
        </w:rPr>
        <w:t>3、</w:t>
      </w:r>
      <w:bookmarkEnd w:id="21"/>
      <w:r>
        <w:rPr>
          <w:rFonts w:hint="eastAsia" w:ascii="宋体" w:hAnsi="宋体" w:cs="宋体"/>
          <w:b/>
          <w:bCs/>
          <w:sz w:val="24"/>
          <w:szCs w:val="24"/>
        </w:rPr>
        <w:t>基础运行环境建设</w:t>
      </w:r>
    </w:p>
    <w:p>
      <w:pPr>
        <w:spacing w:line="440" w:lineRule="exact"/>
        <w:ind w:firstLine="470" w:firstLineChars="196"/>
        <w:rPr>
          <w:rFonts w:hint="eastAsia" w:ascii="宋体" w:hAnsi="宋体" w:cs="宋体"/>
          <w:sz w:val="24"/>
          <w:szCs w:val="24"/>
        </w:rPr>
      </w:pPr>
      <w:r>
        <w:rPr>
          <w:rFonts w:hint="eastAsia" w:ascii="宋体" w:hAnsi="宋体" w:cs="宋体"/>
          <w:sz w:val="24"/>
          <w:szCs w:val="24"/>
        </w:rPr>
        <w:t>为保证系统运行，需配备必要的软硬件设施。</w:t>
      </w:r>
    </w:p>
    <w:p>
      <w:pPr>
        <w:spacing w:line="440" w:lineRule="exact"/>
        <w:ind w:firstLine="472" w:firstLineChars="196"/>
        <w:rPr>
          <w:rFonts w:hint="default" w:ascii="宋体" w:hAnsi="宋体" w:cs="宋体"/>
          <w:sz w:val="24"/>
          <w:szCs w:val="24"/>
          <w:lang w:val="en-US"/>
        </w:rPr>
      </w:pPr>
      <w:r>
        <w:rPr>
          <w:rFonts w:hint="eastAsia" w:ascii="宋体" w:hAnsi="宋体" w:cs="宋体"/>
          <w:b/>
          <w:bCs/>
          <w:sz w:val="24"/>
          <w:szCs w:val="24"/>
          <w:vertAlign w:val="baseline"/>
          <w:lang w:eastAsia="zh-CN"/>
        </w:rPr>
        <w:t>附表一</w:t>
      </w:r>
      <w:r>
        <w:rPr>
          <w:rFonts w:hint="eastAsia" w:ascii="宋体" w:hAnsi="宋体" w:cs="宋体"/>
          <w:b/>
          <w:bCs/>
          <w:sz w:val="24"/>
          <w:szCs w:val="24"/>
          <w:vertAlign w:val="baseline"/>
          <w:lang w:val="en-US" w:eastAsia="zh-CN"/>
        </w:rPr>
        <w:t>:</w:t>
      </w:r>
    </w:p>
    <w:tbl>
      <w:tblPr>
        <w:tblStyle w:val="2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614"/>
        <w:gridCol w:w="4508"/>
        <w:gridCol w:w="631"/>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3" w:type="dxa"/>
            <w:noWrap w:val="0"/>
            <w:vAlign w:val="center"/>
          </w:tcPr>
          <w:p>
            <w:pPr>
              <w:jc w:val="center"/>
              <w:rPr>
                <w:rFonts w:ascii="宋体" w:hAnsi="宋体"/>
                <w:b/>
                <w:szCs w:val="24"/>
              </w:rPr>
            </w:pPr>
            <w:r>
              <w:rPr>
                <w:rFonts w:hint="eastAsia" w:ascii="宋体" w:hAnsi="宋体"/>
                <w:b/>
                <w:szCs w:val="24"/>
              </w:rPr>
              <w:t>序号</w:t>
            </w:r>
          </w:p>
        </w:tc>
        <w:tc>
          <w:tcPr>
            <w:tcW w:w="2614" w:type="dxa"/>
            <w:noWrap w:val="0"/>
            <w:vAlign w:val="center"/>
          </w:tcPr>
          <w:p>
            <w:pPr>
              <w:jc w:val="center"/>
              <w:rPr>
                <w:rFonts w:ascii="宋体" w:hAnsi="宋体"/>
                <w:b/>
                <w:szCs w:val="24"/>
              </w:rPr>
            </w:pPr>
            <w:r>
              <w:rPr>
                <w:rFonts w:hint="eastAsia" w:ascii="宋体" w:hAnsi="宋体"/>
                <w:b/>
                <w:szCs w:val="24"/>
              </w:rPr>
              <w:t>设备名称</w:t>
            </w:r>
          </w:p>
        </w:tc>
        <w:tc>
          <w:tcPr>
            <w:tcW w:w="4508" w:type="dxa"/>
            <w:noWrap w:val="0"/>
            <w:vAlign w:val="center"/>
          </w:tcPr>
          <w:p>
            <w:pPr>
              <w:jc w:val="center"/>
              <w:rPr>
                <w:rFonts w:ascii="宋体" w:hAnsi="宋体"/>
                <w:b/>
                <w:szCs w:val="24"/>
              </w:rPr>
            </w:pPr>
            <w:r>
              <w:rPr>
                <w:rFonts w:hint="eastAsia" w:ascii="宋体" w:hAnsi="宋体"/>
                <w:b/>
                <w:szCs w:val="24"/>
              </w:rPr>
              <w:t>型号规格要求</w:t>
            </w:r>
          </w:p>
        </w:tc>
        <w:tc>
          <w:tcPr>
            <w:tcW w:w="631" w:type="dxa"/>
            <w:noWrap w:val="0"/>
            <w:vAlign w:val="center"/>
          </w:tcPr>
          <w:p>
            <w:pPr>
              <w:jc w:val="center"/>
              <w:rPr>
                <w:rFonts w:hint="eastAsia" w:ascii="宋体" w:hAnsi="宋体" w:eastAsiaTheme="minorEastAsia"/>
                <w:b/>
                <w:szCs w:val="24"/>
                <w:lang w:eastAsia="zh-CN"/>
              </w:rPr>
            </w:pPr>
            <w:r>
              <w:rPr>
                <w:rFonts w:hint="eastAsia" w:ascii="宋体" w:hAnsi="宋体"/>
                <w:b/>
                <w:szCs w:val="24"/>
                <w:lang w:eastAsia="zh-CN"/>
              </w:rPr>
              <w:t>单位</w:t>
            </w:r>
          </w:p>
        </w:tc>
        <w:tc>
          <w:tcPr>
            <w:tcW w:w="631" w:type="dxa"/>
            <w:noWrap w:val="0"/>
            <w:vAlign w:val="center"/>
          </w:tcPr>
          <w:p>
            <w:pPr>
              <w:jc w:val="center"/>
              <w:rPr>
                <w:rFonts w:hint="eastAsia" w:ascii="宋体" w:hAnsi="宋体" w:eastAsiaTheme="minorEastAsia" w:cstheme="minorBidi"/>
                <w:b/>
                <w:kern w:val="2"/>
                <w:sz w:val="21"/>
                <w:szCs w:val="24"/>
                <w:lang w:val="en-US" w:eastAsia="zh-CN" w:bidi="ar-SA"/>
              </w:rPr>
            </w:pPr>
            <w:r>
              <w:rPr>
                <w:rFonts w:hint="eastAsia" w:ascii="宋体" w:hAnsi="宋体"/>
                <w:b/>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3" w:type="dxa"/>
            <w:noWrap w:val="0"/>
            <w:vAlign w:val="center"/>
          </w:tcPr>
          <w:p>
            <w:pPr>
              <w:jc w:val="center"/>
              <w:rPr>
                <w:rFonts w:ascii="宋体" w:hAnsi="宋体"/>
                <w:szCs w:val="24"/>
              </w:rPr>
            </w:pPr>
            <w:r>
              <w:rPr>
                <w:rFonts w:hint="eastAsia" w:ascii="宋体" w:hAnsi="宋体"/>
                <w:szCs w:val="24"/>
              </w:rPr>
              <w:t>1</w:t>
            </w:r>
          </w:p>
        </w:tc>
        <w:tc>
          <w:tcPr>
            <w:tcW w:w="2614" w:type="dxa"/>
            <w:noWrap w:val="0"/>
            <w:vAlign w:val="center"/>
          </w:tcPr>
          <w:p>
            <w:pPr>
              <w:jc w:val="center"/>
              <w:rPr>
                <w:rFonts w:ascii="宋体" w:hAnsi="宋体"/>
                <w:szCs w:val="24"/>
              </w:rPr>
            </w:pPr>
            <w:r>
              <w:rPr>
                <w:rFonts w:hint="eastAsia" w:ascii="宋体" w:hAnsi="宋体"/>
                <w:szCs w:val="24"/>
              </w:rPr>
              <w:t>WEB应用与决策分析服务器</w:t>
            </w:r>
          </w:p>
        </w:tc>
        <w:tc>
          <w:tcPr>
            <w:tcW w:w="4508" w:type="dxa"/>
            <w:noWrap w:val="0"/>
            <w:vAlign w:val="center"/>
          </w:tcPr>
          <w:p>
            <w:pPr>
              <w:jc w:val="left"/>
              <w:rPr>
                <w:rFonts w:ascii="宋体" w:hAnsi="宋体"/>
                <w:szCs w:val="24"/>
              </w:rPr>
            </w:pPr>
            <w:r>
              <w:rPr>
                <w:rFonts w:hint="eastAsia" w:ascii="宋体" w:hAnsi="宋体"/>
                <w:szCs w:val="24"/>
              </w:rPr>
              <w:t>处理器：2颗Intel至强E5-2600 系列 8核2.0G</w:t>
            </w:r>
          </w:p>
          <w:p>
            <w:pPr>
              <w:jc w:val="left"/>
              <w:rPr>
                <w:rFonts w:ascii="宋体" w:hAnsi="宋体"/>
                <w:szCs w:val="24"/>
              </w:rPr>
            </w:pPr>
            <w:r>
              <w:rPr>
                <w:rFonts w:hint="eastAsia" w:ascii="宋体" w:hAnsi="宋体"/>
                <w:szCs w:val="24"/>
              </w:rPr>
              <w:t xml:space="preserve">内存：32GB </w:t>
            </w:r>
          </w:p>
          <w:p>
            <w:pPr>
              <w:jc w:val="left"/>
              <w:rPr>
                <w:rFonts w:ascii="宋体" w:hAnsi="宋体"/>
                <w:szCs w:val="24"/>
              </w:rPr>
            </w:pPr>
            <w:r>
              <w:rPr>
                <w:rFonts w:hint="eastAsia" w:ascii="宋体" w:hAnsi="宋体"/>
                <w:szCs w:val="24"/>
              </w:rPr>
              <w:t>硬盘：4块1T SAS磁盘</w:t>
            </w:r>
          </w:p>
          <w:p>
            <w:pPr>
              <w:jc w:val="left"/>
              <w:rPr>
                <w:rFonts w:ascii="宋体" w:hAnsi="宋体"/>
                <w:szCs w:val="24"/>
              </w:rPr>
            </w:pPr>
            <w:r>
              <w:rPr>
                <w:rFonts w:hint="eastAsia" w:ascii="宋体" w:hAnsi="宋体"/>
                <w:szCs w:val="24"/>
              </w:rPr>
              <w:t>RAID：高性能 RAID卡；2G缓存</w:t>
            </w:r>
          </w:p>
          <w:p>
            <w:pPr>
              <w:jc w:val="left"/>
              <w:rPr>
                <w:rFonts w:ascii="宋体" w:hAnsi="宋体"/>
                <w:szCs w:val="24"/>
              </w:rPr>
            </w:pPr>
            <w:r>
              <w:rPr>
                <w:rFonts w:hint="eastAsia" w:ascii="宋体" w:hAnsi="宋体"/>
                <w:szCs w:val="24"/>
              </w:rPr>
              <w:t>网络控制器：双千兆网口</w:t>
            </w:r>
          </w:p>
        </w:tc>
        <w:tc>
          <w:tcPr>
            <w:tcW w:w="631" w:type="dxa"/>
            <w:noWrap w:val="0"/>
            <w:vAlign w:val="center"/>
          </w:tcPr>
          <w:p>
            <w:pPr>
              <w:jc w:val="center"/>
              <w:rPr>
                <w:rFonts w:hint="eastAsia" w:ascii="宋体" w:hAnsi="宋体" w:eastAsiaTheme="minorEastAsia"/>
                <w:szCs w:val="24"/>
                <w:lang w:eastAsia="zh-CN"/>
              </w:rPr>
            </w:pPr>
            <w:r>
              <w:rPr>
                <w:rFonts w:hint="eastAsia" w:ascii="宋体" w:hAnsi="宋体"/>
                <w:szCs w:val="24"/>
                <w:lang w:eastAsia="zh-CN"/>
              </w:rPr>
              <w:t>台</w:t>
            </w:r>
          </w:p>
        </w:tc>
        <w:tc>
          <w:tcPr>
            <w:tcW w:w="631" w:type="dxa"/>
            <w:noWrap w:val="0"/>
            <w:vAlign w:val="center"/>
          </w:tcPr>
          <w:p>
            <w:pPr>
              <w:jc w:val="center"/>
              <w:rPr>
                <w:rFonts w:hint="eastAsia" w:ascii="宋体" w:hAnsi="宋体" w:eastAsiaTheme="minorEastAsia" w:cstheme="minorBidi"/>
                <w:kern w:val="2"/>
                <w:sz w:val="21"/>
                <w:szCs w:val="24"/>
                <w:lang w:val="en-US" w:eastAsia="zh-CN" w:bidi="ar-SA"/>
              </w:rPr>
            </w:pPr>
            <w:r>
              <w:rPr>
                <w:rFonts w:hint="eastAsia"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3" w:type="dxa"/>
            <w:noWrap w:val="0"/>
            <w:vAlign w:val="center"/>
          </w:tcPr>
          <w:p>
            <w:pPr>
              <w:jc w:val="center"/>
              <w:rPr>
                <w:rFonts w:ascii="宋体" w:hAnsi="宋体"/>
                <w:szCs w:val="24"/>
              </w:rPr>
            </w:pPr>
            <w:r>
              <w:rPr>
                <w:rFonts w:hint="eastAsia" w:ascii="宋体" w:hAnsi="宋体"/>
                <w:szCs w:val="24"/>
              </w:rPr>
              <w:t>2</w:t>
            </w:r>
          </w:p>
        </w:tc>
        <w:tc>
          <w:tcPr>
            <w:tcW w:w="2614" w:type="dxa"/>
            <w:noWrap w:val="0"/>
            <w:vAlign w:val="center"/>
          </w:tcPr>
          <w:p>
            <w:pPr>
              <w:jc w:val="center"/>
              <w:rPr>
                <w:rFonts w:ascii="宋体" w:hAnsi="宋体"/>
                <w:szCs w:val="24"/>
              </w:rPr>
            </w:pPr>
            <w:r>
              <w:rPr>
                <w:rFonts w:hint="eastAsia" w:ascii="宋体" w:hAnsi="宋体"/>
                <w:szCs w:val="24"/>
              </w:rPr>
              <w:t>数据库和G</w:t>
            </w:r>
            <w:r>
              <w:rPr>
                <w:rFonts w:ascii="宋体" w:hAnsi="宋体"/>
                <w:szCs w:val="24"/>
              </w:rPr>
              <w:t>IS</w:t>
            </w:r>
            <w:r>
              <w:rPr>
                <w:rFonts w:hint="eastAsia" w:ascii="宋体" w:hAnsi="宋体"/>
                <w:szCs w:val="24"/>
              </w:rPr>
              <w:t>服务器</w:t>
            </w:r>
          </w:p>
        </w:tc>
        <w:tc>
          <w:tcPr>
            <w:tcW w:w="4508" w:type="dxa"/>
            <w:noWrap w:val="0"/>
            <w:vAlign w:val="center"/>
          </w:tcPr>
          <w:p>
            <w:pPr>
              <w:jc w:val="left"/>
              <w:rPr>
                <w:rFonts w:ascii="宋体" w:hAnsi="宋体"/>
                <w:szCs w:val="24"/>
              </w:rPr>
            </w:pPr>
            <w:r>
              <w:rPr>
                <w:rFonts w:hint="eastAsia" w:ascii="宋体" w:hAnsi="宋体"/>
                <w:szCs w:val="24"/>
              </w:rPr>
              <w:t>处理器：2颗Intel至强E5-2600 系列 8核2.0G</w:t>
            </w:r>
          </w:p>
          <w:p>
            <w:pPr>
              <w:jc w:val="left"/>
              <w:rPr>
                <w:rFonts w:ascii="宋体" w:hAnsi="宋体"/>
                <w:szCs w:val="24"/>
              </w:rPr>
            </w:pPr>
            <w:r>
              <w:rPr>
                <w:rFonts w:hint="eastAsia" w:ascii="宋体" w:hAnsi="宋体"/>
                <w:szCs w:val="24"/>
              </w:rPr>
              <w:t xml:space="preserve">内存：16GB </w:t>
            </w:r>
          </w:p>
          <w:p>
            <w:pPr>
              <w:jc w:val="left"/>
              <w:rPr>
                <w:rFonts w:ascii="宋体" w:hAnsi="宋体"/>
                <w:szCs w:val="24"/>
              </w:rPr>
            </w:pPr>
            <w:r>
              <w:rPr>
                <w:rFonts w:hint="eastAsia" w:ascii="宋体" w:hAnsi="宋体"/>
                <w:szCs w:val="24"/>
              </w:rPr>
              <w:t>硬盘：3块1T SAS磁盘</w:t>
            </w:r>
          </w:p>
          <w:p>
            <w:pPr>
              <w:jc w:val="left"/>
              <w:rPr>
                <w:rFonts w:ascii="宋体" w:hAnsi="宋体"/>
                <w:szCs w:val="24"/>
              </w:rPr>
            </w:pPr>
            <w:r>
              <w:rPr>
                <w:rFonts w:hint="eastAsia" w:ascii="宋体" w:hAnsi="宋体"/>
                <w:szCs w:val="24"/>
              </w:rPr>
              <w:t>RAID：高性能 RAID卡；2G缓存</w:t>
            </w:r>
          </w:p>
          <w:p>
            <w:pPr>
              <w:jc w:val="left"/>
              <w:rPr>
                <w:rFonts w:ascii="宋体" w:hAnsi="宋体"/>
                <w:szCs w:val="24"/>
              </w:rPr>
            </w:pPr>
            <w:r>
              <w:rPr>
                <w:rFonts w:hint="eastAsia" w:ascii="宋体" w:hAnsi="宋体"/>
                <w:szCs w:val="24"/>
              </w:rPr>
              <w:t>网络控制器：双千兆网口</w:t>
            </w:r>
          </w:p>
        </w:tc>
        <w:tc>
          <w:tcPr>
            <w:tcW w:w="631" w:type="dxa"/>
            <w:noWrap w:val="0"/>
            <w:vAlign w:val="center"/>
          </w:tcPr>
          <w:p>
            <w:pPr>
              <w:jc w:val="center"/>
              <w:rPr>
                <w:rFonts w:hint="eastAsia" w:ascii="宋体" w:hAnsi="宋体" w:eastAsiaTheme="minorEastAsia"/>
                <w:szCs w:val="24"/>
                <w:lang w:eastAsia="zh-CN"/>
              </w:rPr>
            </w:pPr>
            <w:r>
              <w:rPr>
                <w:rFonts w:hint="eastAsia" w:ascii="宋体" w:hAnsi="宋体"/>
                <w:szCs w:val="24"/>
                <w:lang w:eastAsia="zh-CN"/>
              </w:rPr>
              <w:t>台</w:t>
            </w:r>
          </w:p>
        </w:tc>
        <w:tc>
          <w:tcPr>
            <w:tcW w:w="631" w:type="dxa"/>
            <w:noWrap w:val="0"/>
            <w:vAlign w:val="center"/>
          </w:tcPr>
          <w:p>
            <w:pPr>
              <w:jc w:val="center"/>
              <w:rPr>
                <w:rFonts w:hint="eastAsia" w:ascii="宋体" w:hAnsi="宋体" w:eastAsiaTheme="minorEastAsia" w:cstheme="minorBidi"/>
                <w:kern w:val="2"/>
                <w:sz w:val="21"/>
                <w:szCs w:val="24"/>
                <w:lang w:val="en-US" w:eastAsia="zh-CN" w:bidi="ar-SA"/>
              </w:rPr>
            </w:pPr>
            <w:r>
              <w:rPr>
                <w:rFonts w:hint="eastAsia"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3" w:type="dxa"/>
            <w:noWrap w:val="0"/>
            <w:vAlign w:val="center"/>
          </w:tcPr>
          <w:p>
            <w:pPr>
              <w:jc w:val="center"/>
              <w:rPr>
                <w:rFonts w:ascii="宋体" w:hAnsi="宋体"/>
                <w:szCs w:val="24"/>
              </w:rPr>
            </w:pPr>
            <w:r>
              <w:rPr>
                <w:rFonts w:ascii="宋体" w:hAnsi="宋体"/>
                <w:szCs w:val="24"/>
              </w:rPr>
              <w:t>3</w:t>
            </w:r>
          </w:p>
        </w:tc>
        <w:tc>
          <w:tcPr>
            <w:tcW w:w="2614" w:type="dxa"/>
            <w:noWrap w:val="0"/>
            <w:vAlign w:val="center"/>
          </w:tcPr>
          <w:p>
            <w:pPr>
              <w:jc w:val="center"/>
              <w:rPr>
                <w:rFonts w:ascii="宋体" w:hAnsi="宋体"/>
                <w:szCs w:val="24"/>
              </w:rPr>
            </w:pPr>
            <w:r>
              <w:rPr>
                <w:rFonts w:hint="eastAsia" w:ascii="宋体" w:hAnsi="宋体"/>
                <w:szCs w:val="24"/>
              </w:rPr>
              <w:t>数据处理电脑</w:t>
            </w:r>
          </w:p>
        </w:tc>
        <w:tc>
          <w:tcPr>
            <w:tcW w:w="4508" w:type="dxa"/>
            <w:noWrap w:val="0"/>
            <w:vAlign w:val="center"/>
          </w:tcPr>
          <w:p>
            <w:pPr>
              <w:jc w:val="left"/>
              <w:rPr>
                <w:rFonts w:ascii="宋体" w:hAnsi="宋体"/>
                <w:szCs w:val="24"/>
              </w:rPr>
            </w:pPr>
            <w:r>
              <w:rPr>
                <w:rFonts w:hint="eastAsia" w:ascii="宋体" w:hAnsi="宋体"/>
                <w:szCs w:val="24"/>
              </w:rPr>
              <w:t>CPU</w:t>
            </w:r>
            <w:r>
              <w:rPr>
                <w:rFonts w:ascii="宋体" w:hAnsi="宋体"/>
                <w:szCs w:val="24"/>
              </w:rPr>
              <w:t>：至强E5系列</w:t>
            </w:r>
            <w:r>
              <w:rPr>
                <w:rFonts w:hint="eastAsia" w:ascii="宋体" w:hAnsi="宋体"/>
                <w:szCs w:val="24"/>
              </w:rPr>
              <w:t xml:space="preserve"> 4</w:t>
            </w:r>
            <w:r>
              <w:rPr>
                <w:rFonts w:ascii="宋体" w:hAnsi="宋体"/>
                <w:szCs w:val="24"/>
              </w:rPr>
              <w:t>核以上</w:t>
            </w:r>
          </w:p>
          <w:p>
            <w:pPr>
              <w:jc w:val="left"/>
              <w:rPr>
                <w:rFonts w:ascii="宋体" w:hAnsi="宋体"/>
                <w:szCs w:val="24"/>
              </w:rPr>
            </w:pPr>
            <w:r>
              <w:rPr>
                <w:rFonts w:ascii="宋体" w:hAnsi="宋体"/>
                <w:szCs w:val="24"/>
              </w:rPr>
              <w:t>显卡：</w:t>
            </w:r>
            <w:r>
              <w:rPr>
                <w:rFonts w:hint="eastAsia" w:ascii="宋体" w:hAnsi="宋体"/>
                <w:szCs w:val="24"/>
              </w:rPr>
              <w:t>4</w:t>
            </w:r>
            <w:r>
              <w:rPr>
                <w:rFonts w:ascii="宋体" w:hAnsi="宋体"/>
                <w:szCs w:val="24"/>
              </w:rPr>
              <w:t>G</w:t>
            </w:r>
            <w:r>
              <w:rPr>
                <w:rFonts w:hint="eastAsia" w:ascii="宋体" w:hAnsi="宋体"/>
                <w:szCs w:val="24"/>
              </w:rPr>
              <w:t>图形专用</w:t>
            </w:r>
            <w:r>
              <w:rPr>
                <w:rFonts w:ascii="宋体" w:hAnsi="宋体"/>
                <w:szCs w:val="24"/>
              </w:rPr>
              <w:t>显卡</w:t>
            </w:r>
          </w:p>
          <w:p>
            <w:pPr>
              <w:jc w:val="left"/>
              <w:rPr>
                <w:rFonts w:ascii="宋体" w:hAnsi="宋体"/>
                <w:szCs w:val="24"/>
              </w:rPr>
            </w:pPr>
            <w:r>
              <w:rPr>
                <w:rFonts w:ascii="宋体" w:hAnsi="宋体"/>
                <w:szCs w:val="24"/>
              </w:rPr>
              <w:t>内存：</w:t>
            </w:r>
            <w:r>
              <w:rPr>
                <w:rFonts w:hint="eastAsia" w:ascii="宋体" w:hAnsi="宋体"/>
                <w:szCs w:val="24"/>
              </w:rPr>
              <w:t>支持DDR4内存，</w:t>
            </w:r>
            <w:r>
              <w:rPr>
                <w:rFonts w:ascii="宋体" w:hAnsi="宋体"/>
                <w:szCs w:val="24"/>
              </w:rPr>
              <w:t>16G</w:t>
            </w:r>
          </w:p>
          <w:p>
            <w:pPr>
              <w:jc w:val="left"/>
              <w:rPr>
                <w:rFonts w:ascii="宋体" w:hAnsi="宋体"/>
                <w:szCs w:val="24"/>
              </w:rPr>
            </w:pPr>
            <w:r>
              <w:rPr>
                <w:rFonts w:ascii="宋体" w:hAnsi="宋体"/>
                <w:szCs w:val="24"/>
              </w:rPr>
              <w:t>存储：</w:t>
            </w:r>
            <w:r>
              <w:rPr>
                <w:rFonts w:hint="eastAsia" w:ascii="宋体" w:hAnsi="宋体"/>
                <w:szCs w:val="24"/>
              </w:rPr>
              <w:t>支持SATA/SAS/SSD硬盘,容量</w:t>
            </w:r>
            <w:r>
              <w:rPr>
                <w:rFonts w:ascii="宋体" w:hAnsi="宋体"/>
                <w:szCs w:val="24"/>
              </w:rPr>
              <w:t>1T以上</w:t>
            </w:r>
          </w:p>
          <w:p>
            <w:pPr>
              <w:jc w:val="left"/>
              <w:rPr>
                <w:rFonts w:ascii="宋体" w:hAnsi="宋体"/>
                <w:szCs w:val="24"/>
              </w:rPr>
            </w:pPr>
            <w:r>
              <w:rPr>
                <w:rFonts w:hint="eastAsia" w:ascii="宋体" w:hAnsi="宋体"/>
                <w:szCs w:val="24"/>
              </w:rPr>
              <w:t>光驱：DVD</w:t>
            </w:r>
            <w:r>
              <w:rPr>
                <w:rFonts w:ascii="宋体" w:hAnsi="宋体" w:cs="Calibri"/>
                <w:szCs w:val="24"/>
              </w:rPr>
              <w:t> </w:t>
            </w:r>
            <w:r>
              <w:rPr>
                <w:rFonts w:hint="eastAsia" w:ascii="宋体" w:hAnsi="宋体"/>
                <w:szCs w:val="24"/>
              </w:rPr>
              <w:t>RW光驱</w:t>
            </w:r>
          </w:p>
          <w:p>
            <w:pPr>
              <w:jc w:val="left"/>
              <w:rPr>
                <w:rFonts w:ascii="宋体" w:hAnsi="宋体"/>
                <w:szCs w:val="24"/>
              </w:rPr>
            </w:pPr>
            <w:r>
              <w:rPr>
                <w:rFonts w:hint="eastAsia" w:ascii="宋体" w:hAnsi="宋体"/>
                <w:szCs w:val="24"/>
              </w:rPr>
              <w:t>网卡：千兆网卡</w:t>
            </w:r>
          </w:p>
        </w:tc>
        <w:tc>
          <w:tcPr>
            <w:tcW w:w="631" w:type="dxa"/>
            <w:noWrap w:val="0"/>
            <w:vAlign w:val="center"/>
          </w:tcPr>
          <w:p>
            <w:pPr>
              <w:jc w:val="center"/>
              <w:rPr>
                <w:rFonts w:hint="eastAsia" w:ascii="宋体" w:hAnsi="宋体" w:eastAsiaTheme="minorEastAsia"/>
                <w:szCs w:val="24"/>
                <w:lang w:eastAsia="zh-CN"/>
              </w:rPr>
            </w:pPr>
            <w:r>
              <w:rPr>
                <w:rFonts w:hint="eastAsia" w:ascii="宋体" w:hAnsi="宋体"/>
                <w:szCs w:val="24"/>
                <w:lang w:eastAsia="zh-CN"/>
              </w:rPr>
              <w:t>台</w:t>
            </w:r>
          </w:p>
        </w:tc>
        <w:tc>
          <w:tcPr>
            <w:tcW w:w="631" w:type="dxa"/>
            <w:noWrap w:val="0"/>
            <w:vAlign w:val="center"/>
          </w:tcPr>
          <w:p>
            <w:pPr>
              <w:jc w:val="center"/>
              <w:rPr>
                <w:rFonts w:hint="eastAsia" w:ascii="宋体" w:hAnsi="宋体" w:eastAsiaTheme="minorEastAsia" w:cstheme="minorBidi"/>
                <w:kern w:val="2"/>
                <w:sz w:val="21"/>
                <w:szCs w:val="24"/>
                <w:lang w:val="en-US" w:eastAsia="zh-CN" w:bidi="ar-SA"/>
              </w:rPr>
            </w:pPr>
            <w:r>
              <w:rPr>
                <w:rFonts w:hint="eastAsia" w:ascii="宋体" w:hAnsi="宋体"/>
                <w:szCs w:val="24"/>
              </w:rPr>
              <w:t>1</w:t>
            </w:r>
          </w:p>
        </w:tc>
      </w:tr>
    </w:tbl>
    <w:p>
      <w:pPr>
        <w:spacing w:line="360" w:lineRule="auto"/>
        <w:ind w:firstLine="480" w:firstLineChars="200"/>
        <w:rPr>
          <w:rFonts w:hint="eastAsia" w:ascii="宋体" w:hAnsi="宋体" w:cs="宋体"/>
          <w:sz w:val="24"/>
          <w:szCs w:val="24"/>
        </w:rPr>
      </w:pPr>
    </w:p>
    <w:p>
      <w:pPr>
        <w:pStyle w:val="8"/>
        <w:spacing w:line="440" w:lineRule="exact"/>
        <w:ind w:firstLine="422" w:firstLineChars="175"/>
        <w:outlineLvl w:val="2"/>
        <w:rPr>
          <w:rFonts w:hint="eastAsia" w:ascii="宋体" w:hAnsi="宋体" w:cs="宋体"/>
          <w:b/>
          <w:bCs/>
          <w:sz w:val="24"/>
          <w:szCs w:val="24"/>
        </w:rPr>
      </w:pPr>
      <w:r>
        <w:rPr>
          <w:rFonts w:ascii="宋体" w:hAnsi="宋体" w:cs="宋体"/>
          <w:b/>
          <w:bCs/>
          <w:sz w:val="24"/>
          <w:szCs w:val="24"/>
        </w:rPr>
        <w:t>4</w:t>
      </w:r>
      <w:r>
        <w:rPr>
          <w:rFonts w:hint="eastAsia" w:ascii="宋体" w:hAnsi="宋体" w:cs="宋体"/>
          <w:b/>
          <w:bCs/>
          <w:sz w:val="24"/>
          <w:szCs w:val="24"/>
        </w:rPr>
        <w:t>、非功能性需求</w:t>
      </w:r>
    </w:p>
    <w:p>
      <w:pPr>
        <w:spacing w:line="440" w:lineRule="exact"/>
        <w:ind w:firstLine="480" w:firstLineChars="200"/>
        <w:rPr>
          <w:rFonts w:hint="eastAsia" w:ascii="宋体" w:hAnsi="宋体" w:cs="宋体"/>
          <w:sz w:val="24"/>
          <w:szCs w:val="24"/>
        </w:rPr>
      </w:pPr>
      <w:bookmarkStart w:id="22" w:name="_Hlk104658"/>
      <w:r>
        <w:rPr>
          <w:rFonts w:hint="eastAsia" w:ascii="宋体" w:hAnsi="宋体" w:cs="宋体"/>
          <w:sz w:val="24"/>
          <w:szCs w:val="24"/>
        </w:rPr>
        <w:t>（1）先进性要求。系统必须采用目前较先进的体系结构，保证数据库系统的安全性和稳定性。</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（2）性能要求。实现数据采集、信息浏览、信息查询、地图展示、空间查询等用户日常操作的平滑流畅，响应时间不得高于5秒。</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（3）稳定性要求。系统应具有高稳定性、较强的容错能力，支持7×24小时的服务能力。系统有效工作时间≥99％，系统故障平均间隔时间≥90天。</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（4）易用性要求。软件界面友好，简单易操作，符合用户操作习惯。能够简单方便地查看、查询、统计相关信息，用户通过简单培训均可以方便地操作系统。</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（5）安全性要求。系统在实施过程中须在数据输入/输出、应用操作以及管理制度等诸多方面保证安全，对系统所有用户进行分级管理，设置不同的角色，每个角色分配不同的操作权限和数据权限。</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6）故障处理与恢复要求。系统在设计时应充分考虑稳定性及对用户误操作的容错功能，保证在正常情况下系统能保持长时间无故障运行。但对于由于不可预见的原因导致的系统故障，应提供故障处理恢复机制使系统在尽可能短的时间内恢复运行，保证系统可用性。</w:t>
      </w:r>
    </w:p>
    <w:p>
      <w:pPr>
        <w:pStyle w:val="8"/>
        <w:spacing w:line="440" w:lineRule="exact"/>
        <w:ind w:firstLine="422" w:firstLineChars="175"/>
        <w:outlineLvl w:val="2"/>
        <w:rPr>
          <w:rFonts w:hint="eastAsia" w:ascii="宋体" w:hAnsi="宋体" w:cs="宋体"/>
          <w:b/>
          <w:bCs/>
          <w:sz w:val="24"/>
          <w:szCs w:val="24"/>
        </w:rPr>
      </w:pPr>
      <w:r>
        <w:rPr>
          <w:rFonts w:ascii="宋体" w:hAnsi="宋体" w:cs="宋体"/>
          <w:b/>
          <w:bCs/>
          <w:sz w:val="24"/>
          <w:szCs w:val="24"/>
        </w:rPr>
        <w:t>5</w:t>
      </w:r>
      <w:r>
        <w:rPr>
          <w:rFonts w:hint="eastAsia" w:ascii="宋体" w:hAnsi="宋体" w:cs="宋体"/>
          <w:b/>
          <w:bCs/>
          <w:sz w:val="24"/>
          <w:szCs w:val="24"/>
        </w:rPr>
        <w:t>、实施管理要求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应该明确陈述项目实施组织与管理结构，主要包括：项目组织结构、项目管理方法、软件开发管理方法、系统开发管理所采用的工具、项目经理或技术负责人的情况说明。投标人在项目执行期间不得随意调整任何人员，如确有特殊情况需要变动某些人员，须经采购人书面同意方可调整。</w:t>
      </w:r>
    </w:p>
    <w:bookmarkEnd w:id="22"/>
    <w:p>
      <w:pPr>
        <w:pStyle w:val="8"/>
        <w:spacing w:line="440" w:lineRule="exact"/>
        <w:ind w:firstLine="422" w:firstLineChars="175"/>
        <w:outlineLvl w:val="2"/>
        <w:rPr>
          <w:rFonts w:hint="eastAsia" w:ascii="宋体" w:hAnsi="宋体" w:cs="宋体"/>
          <w:b/>
          <w:bCs/>
          <w:sz w:val="24"/>
          <w:szCs w:val="24"/>
        </w:rPr>
      </w:pPr>
      <w:bookmarkStart w:id="23" w:name="_Hlk87138"/>
      <w:r>
        <w:rPr>
          <w:rFonts w:ascii="宋体" w:hAnsi="宋体" w:cs="宋体"/>
          <w:b/>
          <w:bCs/>
          <w:sz w:val="24"/>
          <w:szCs w:val="24"/>
        </w:rPr>
        <w:t>6</w:t>
      </w:r>
      <w:r>
        <w:rPr>
          <w:rFonts w:hint="eastAsia" w:ascii="宋体" w:hAnsi="宋体" w:cs="宋体"/>
          <w:b/>
          <w:bCs/>
          <w:sz w:val="24"/>
          <w:szCs w:val="24"/>
        </w:rPr>
        <w:t>、培训要求</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投标人在项目实施过程中必须提供全面的培训，包括面向系统管理员和工作人员的相应培训，投标时提交具体培训内容和培训计划。</w:t>
      </w:r>
    </w:p>
    <w:p>
      <w:pPr>
        <w:pStyle w:val="8"/>
        <w:spacing w:line="440" w:lineRule="exact"/>
        <w:ind w:firstLine="422" w:firstLineChars="175"/>
        <w:outlineLvl w:val="2"/>
        <w:rPr>
          <w:rFonts w:hint="eastAsia" w:ascii="宋体" w:hAnsi="宋体" w:cs="宋体"/>
          <w:b/>
          <w:bCs/>
          <w:sz w:val="24"/>
          <w:szCs w:val="24"/>
        </w:rPr>
      </w:pPr>
      <w:r>
        <w:rPr>
          <w:rFonts w:ascii="宋体" w:hAnsi="宋体" w:cs="宋体"/>
          <w:b/>
          <w:bCs/>
          <w:sz w:val="24"/>
          <w:szCs w:val="24"/>
        </w:rPr>
        <w:t>7</w:t>
      </w:r>
      <w:r>
        <w:rPr>
          <w:rFonts w:hint="eastAsia" w:ascii="宋体" w:hAnsi="宋体" w:cs="宋体"/>
          <w:b/>
          <w:bCs/>
          <w:sz w:val="24"/>
          <w:szCs w:val="24"/>
        </w:rPr>
        <w:t>、项目地点、建设周期等其他要求</w:t>
      </w:r>
    </w:p>
    <w:p>
      <w:pPr>
        <w:spacing w:line="440" w:lineRule="exact"/>
        <w:ind w:firstLine="480" w:firstLineChars="200"/>
        <w:rPr>
          <w:rFonts w:hint="eastAsia" w:ascii="宋体" w:hAnsi="宋体" w:cs="宋体"/>
          <w:sz w:val="24"/>
          <w:szCs w:val="24"/>
        </w:rPr>
      </w:pPr>
      <w:bookmarkStart w:id="24" w:name="_Hlk87023"/>
      <w:r>
        <w:rPr>
          <w:rFonts w:hint="eastAsia" w:ascii="宋体" w:hAnsi="宋体" w:cs="宋体"/>
          <w:sz w:val="24"/>
          <w:szCs w:val="24"/>
        </w:rPr>
        <w:t>（1）建设周期：</w:t>
      </w:r>
      <w:bookmarkStart w:id="25" w:name="_Hlk104827"/>
      <w:r>
        <w:rPr>
          <w:rFonts w:hint="eastAsia" w:ascii="宋体" w:hAnsi="宋体" w:cs="宋体"/>
          <w:color w:val="0000FF"/>
          <w:sz w:val="24"/>
          <w:szCs w:val="24"/>
        </w:rPr>
        <w:t>合同签订之日起</w:t>
      </w:r>
      <w:r>
        <w:rPr>
          <w:rFonts w:hint="eastAsia" w:ascii="宋体" w:hAnsi="宋体" w:cs="宋体"/>
          <w:color w:val="0000FF"/>
          <w:sz w:val="24"/>
          <w:szCs w:val="24"/>
          <w:lang w:val="en-US" w:eastAsia="zh-CN"/>
        </w:rPr>
        <w:t>30日历天</w:t>
      </w:r>
      <w:r>
        <w:rPr>
          <w:rFonts w:hint="eastAsia" w:ascii="宋体" w:hAnsi="宋体" w:cs="宋体"/>
          <w:color w:val="0000FF"/>
          <w:sz w:val="24"/>
          <w:szCs w:val="24"/>
        </w:rPr>
        <w:t>之内</w:t>
      </w:r>
      <w:r>
        <w:rPr>
          <w:rFonts w:hint="eastAsia" w:ascii="宋体" w:hAnsi="宋体" w:cs="宋体"/>
          <w:sz w:val="24"/>
          <w:szCs w:val="24"/>
        </w:rPr>
        <w:t>完成系统建设并投入正式运行，包含需求调研分析、软件开发测试、综合信息数据库建设、软硬件设备采购与集成、上线试运行、系统培训和系统验收等工作。</w:t>
      </w:r>
    </w:p>
    <w:bookmarkEnd w:id="25"/>
    <w:p>
      <w:pPr>
        <w:spacing w:line="440" w:lineRule="exact"/>
        <w:ind w:firstLine="480" w:firstLineChars="200"/>
        <w:rPr>
          <w:rFonts w:hint="eastAsia" w:ascii="宋体" w:hAnsi="宋体" w:cs="宋体"/>
          <w:sz w:val="24"/>
          <w:szCs w:val="24"/>
        </w:rPr>
      </w:pPr>
      <w:r>
        <w:rPr>
          <w:rFonts w:hint="eastAsia" w:ascii="宋体" w:hAnsi="宋体" w:cs="宋体"/>
          <w:sz w:val="24"/>
          <w:szCs w:val="24"/>
        </w:rPr>
        <w:t>（2）交货地点：</w:t>
      </w:r>
      <w:bookmarkStart w:id="26" w:name="_Hlk104885"/>
      <w:r>
        <w:rPr>
          <w:rFonts w:hint="eastAsia" w:ascii="宋体" w:hAnsi="宋体" w:cs="宋体"/>
          <w:sz w:val="24"/>
          <w:szCs w:val="24"/>
        </w:rPr>
        <w:t>采购人指定地点</w:t>
      </w:r>
      <w:bookmarkEnd w:id="26"/>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（3）服务质量标准：符合国家及省现行技术标准和规范；</w:t>
      </w:r>
    </w:p>
    <w:p>
      <w:pPr>
        <w:spacing w:line="440" w:lineRule="exact"/>
        <w:ind w:firstLine="480" w:firstLineChars="200"/>
        <w:rPr>
          <w:rFonts w:hint="eastAsia" w:ascii="宋体" w:hAnsi="宋体" w:cs="宋体"/>
          <w:sz w:val="24"/>
          <w:szCs w:val="24"/>
        </w:rPr>
      </w:pPr>
      <w:r>
        <w:rPr>
          <w:rFonts w:hint="eastAsia" w:ascii="宋体" w:hAnsi="宋体" w:cs="宋体"/>
          <w:bCs/>
          <w:sz w:val="24"/>
          <w:szCs w:val="24"/>
        </w:rPr>
        <w:t>（</w:t>
      </w:r>
      <w:r>
        <w:rPr>
          <w:rFonts w:hint="eastAsia" w:ascii="宋体" w:hAnsi="宋体" w:cs="宋体"/>
          <w:sz w:val="24"/>
          <w:szCs w:val="24"/>
        </w:rPr>
        <w:t>4</w:t>
      </w:r>
      <w:r>
        <w:rPr>
          <w:rFonts w:hint="eastAsia" w:ascii="宋体" w:hAnsi="宋体" w:cs="宋体"/>
          <w:bCs/>
          <w:sz w:val="24"/>
          <w:szCs w:val="24"/>
        </w:rPr>
        <w:t>）完工验收方式：按系统功能和数据清单现场验收。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（5）验收标准</w:t>
      </w:r>
    </w:p>
    <w:p>
      <w:pPr>
        <w:tabs>
          <w:tab w:val="left" w:pos="1701"/>
          <w:tab w:val="left" w:pos="1843"/>
        </w:tabs>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中标人在项目验收时向采购人随软件系统交付相关技术文档和相关数据成果资料，提交的技术文档内容必须与所提供的软件相一致，并应尽可能详细，需提供电子版一份和纸质文档两份。包括但不限于：软件需求文档、软件设计文档、数据库设计文档、安装维护手册、用户操作手册等；双方约定的其他验收标准。</w:t>
      </w:r>
    </w:p>
    <w:bookmarkEnd w:id="23"/>
    <w:bookmarkEnd w:id="24"/>
    <w:p>
      <w:pPr>
        <w:pStyle w:val="8"/>
        <w:spacing w:line="440" w:lineRule="exact"/>
        <w:ind w:firstLine="422" w:firstLineChars="175"/>
        <w:outlineLvl w:val="2"/>
        <w:rPr>
          <w:rFonts w:hint="eastAsia" w:ascii="宋体" w:hAnsi="宋体" w:cs="宋体"/>
          <w:b/>
          <w:bCs/>
          <w:sz w:val="24"/>
          <w:szCs w:val="24"/>
        </w:rPr>
      </w:pPr>
      <w:r>
        <w:rPr>
          <w:rFonts w:ascii="宋体" w:hAnsi="宋体" w:cs="宋体"/>
          <w:b/>
          <w:bCs/>
          <w:sz w:val="24"/>
          <w:szCs w:val="24"/>
        </w:rPr>
        <w:t>8</w:t>
      </w:r>
      <w:r>
        <w:rPr>
          <w:rFonts w:hint="eastAsia" w:ascii="宋体" w:hAnsi="宋体" w:cs="宋体"/>
          <w:b/>
          <w:bCs/>
          <w:sz w:val="24"/>
          <w:szCs w:val="24"/>
        </w:rPr>
        <w:t>、售后服务要求</w:t>
      </w:r>
    </w:p>
    <w:p>
      <w:pPr>
        <w:spacing w:line="440" w:lineRule="exact"/>
        <w:ind w:firstLine="480" w:firstLineChars="200"/>
        <w:rPr>
          <w:rFonts w:hint="eastAsia" w:ascii="宋体" w:hAnsi="宋体" w:cs="宋体"/>
          <w:sz w:val="24"/>
          <w:szCs w:val="24"/>
        </w:rPr>
      </w:pPr>
      <w:bookmarkStart w:id="27" w:name="_Hlk104926"/>
      <w:bookmarkStart w:id="28" w:name="_Hlk86957"/>
      <w:r>
        <w:rPr>
          <w:rFonts w:hint="eastAsia" w:ascii="宋体" w:hAnsi="宋体" w:cs="宋体"/>
          <w:sz w:val="24"/>
          <w:szCs w:val="24"/>
        </w:rPr>
        <w:t>本项目质保期为项目验收合格后</w:t>
      </w:r>
      <w:r>
        <w:rPr>
          <w:rFonts w:ascii="宋体" w:hAnsi="宋体" w:cs="宋体"/>
          <w:sz w:val="24"/>
          <w:szCs w:val="24"/>
        </w:rPr>
        <w:t>1</w:t>
      </w:r>
      <w:r>
        <w:rPr>
          <w:rFonts w:hint="eastAsia" w:ascii="宋体" w:hAnsi="宋体" w:cs="宋体"/>
          <w:sz w:val="24"/>
          <w:szCs w:val="24"/>
        </w:rPr>
        <w:t>年。</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（1）质保期内供应商应提供免费系统维护服务，包括软件维护、缺陷修正、性能提升、功能完善、故障检测，保证软件正常运行。</w:t>
      </w:r>
    </w:p>
    <w:p>
      <w:pPr>
        <w:spacing w:line="440" w:lineRule="exact"/>
        <w:ind w:firstLine="480" w:firstLineChars="200"/>
        <w:rPr>
          <w:rFonts w:hint="eastAsia" w:ascii="宋体" w:hAnsi="宋体"/>
          <w:szCs w:val="21"/>
        </w:rPr>
      </w:pPr>
      <w:r>
        <w:rPr>
          <w:rFonts w:hint="eastAsia" w:ascii="宋体" w:hAnsi="宋体" w:cs="宋体"/>
          <w:sz w:val="24"/>
          <w:szCs w:val="24"/>
        </w:rPr>
        <w:t>（2）</w:t>
      </w:r>
      <w:bookmarkEnd w:id="27"/>
      <w:bookmarkEnd w:id="28"/>
      <w:r>
        <w:rPr>
          <w:rFonts w:hint="eastAsia" w:ascii="宋体" w:hAnsi="宋体" w:cs="宋体"/>
          <w:sz w:val="24"/>
          <w:szCs w:val="24"/>
        </w:rPr>
        <w:t>质保期内供应商应提供7×24小时故障服务响应，系统出现故障时维护工程师应在了解情况后2小时内提供远程协助，如远程服务无法解决，维护工程师应在24小时内到达现场解决故障问题。</w:t>
      </w: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both"/>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color w:val="FF0000"/>
          <w:kern w:val="0"/>
          <w:sz w:val="32"/>
          <w:szCs w:val="32"/>
          <w:lang w:val="en-US" w:eastAsia="zh-CN"/>
        </w:rPr>
      </w:pPr>
    </w:p>
    <w:p>
      <w:pPr>
        <w:numPr>
          <w:ilvl w:val="0"/>
          <w:numId w:val="0"/>
        </w:numPr>
        <w:autoSpaceDE w:val="0"/>
        <w:autoSpaceDN w:val="0"/>
        <w:adjustRightInd w:val="0"/>
        <w:spacing w:line="360" w:lineRule="auto"/>
        <w:ind w:right="-11" w:right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color w:val="FF0000"/>
          <w:kern w:val="0"/>
          <w:sz w:val="32"/>
          <w:szCs w:val="32"/>
          <w:lang w:val="en-US" w:eastAsia="zh-CN"/>
        </w:rPr>
        <w:t>第三章、</w:t>
      </w:r>
      <w:r>
        <w:rPr>
          <w:rFonts w:hint="eastAsia" w:cs="宋体" w:asciiTheme="majorEastAsia" w:hAnsiTheme="majorEastAsia" w:eastAsiaTheme="majorEastAsia"/>
          <w:b/>
          <w:kern w:val="0"/>
          <w:sz w:val="32"/>
          <w:szCs w:val="32"/>
        </w:rPr>
        <w:t>投标人须知前附表</w:t>
      </w:r>
    </w:p>
    <w:p>
      <w:pPr>
        <w:numPr>
          <w:ilvl w:val="0"/>
          <w:numId w:val="0"/>
        </w:numPr>
        <w:autoSpaceDE w:val="0"/>
        <w:autoSpaceDN w:val="0"/>
        <w:adjustRightInd w:val="0"/>
        <w:spacing w:line="360" w:lineRule="auto"/>
        <w:ind w:right="-11" w:rightChars="0"/>
        <w:jc w:val="left"/>
        <w:rPr>
          <w:rFonts w:cs="宋体" w:asciiTheme="majorEastAsia" w:hAnsiTheme="majorEastAsia" w:eastAsiaTheme="majorEastAsia"/>
          <w:b/>
          <w:kern w:val="0"/>
          <w:sz w:val="32"/>
          <w:szCs w:val="32"/>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项目名称：长葛市城市园林绿化数字化管理系统</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项目编号：长招采公字[2019]111号</w:t>
            </w:r>
          </w:p>
          <w:p>
            <w:pPr>
              <w:pStyle w:val="23"/>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项</w:t>
            </w:r>
            <w:r>
              <w:rPr>
                <w:rFonts w:hint="eastAsia" w:cs="仿宋_GB2312" w:asciiTheme="minorEastAsia" w:hAnsiTheme="minorEastAsia" w:eastAsiaTheme="minorEastAsia"/>
                <w:kern w:val="2"/>
                <w:sz w:val="21"/>
                <w:szCs w:val="21"/>
                <w:lang w:val="en-US" w:eastAsia="zh-CN" w:bidi="ar-SA"/>
              </w:rPr>
              <w:t>目内容：包括系统落地调试、遥感影像采集与数据处理分析、基础数据库搭建及软硬件配套等。</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eastAsiaTheme="minorEastAsia"/>
                <w:kern w:val="2"/>
                <w:sz w:val="21"/>
                <w:szCs w:val="21"/>
                <w:lang w:val="en-US" w:eastAsia="zh-CN" w:bidi="ar-SA"/>
              </w:rPr>
              <w:t>项目地址：长葛市</w:t>
            </w:r>
            <w:r>
              <w:rPr>
                <w:rFonts w:hint="eastAsia" w:cs="仿宋_GB2312" w:asciiTheme="minorEastAsia" w:hAnsiTheme="minorEastAsia"/>
                <w:kern w:val="2"/>
                <w:sz w:val="21"/>
                <w:szCs w:val="21"/>
                <w:lang w:val="en-US" w:eastAsia="zh-CN" w:bidi="ar-SA"/>
              </w:rPr>
              <w:t>东区7号楼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0000FF"/>
                <w:szCs w:val="21"/>
              </w:rPr>
            </w:pPr>
            <w:r>
              <w:rPr>
                <w:rFonts w:hint="eastAsia" w:cs="仿宋_GB2312" w:asciiTheme="minorEastAsia" w:hAnsiTheme="minorEastAsia"/>
                <w:color w:val="0000FF"/>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采购人：</w:t>
            </w:r>
            <w:r>
              <w:rPr>
                <w:rFonts w:hint="eastAsia" w:cs="仿宋_GB2312" w:asciiTheme="minorEastAsia" w:hAnsiTheme="minorEastAsia"/>
                <w:color w:val="0000FF"/>
                <w:sz w:val="21"/>
                <w:szCs w:val="21"/>
                <w:shd w:val="clear" w:color="auto" w:fill="FFFFFF"/>
                <w:lang w:val="en-US" w:eastAsia="zh-CN"/>
              </w:rPr>
              <w:t>长葛市城市管理局</w:t>
            </w:r>
          </w:p>
          <w:p>
            <w:pPr>
              <w:autoSpaceDE w:val="0"/>
              <w:autoSpaceDN w:val="0"/>
              <w:adjustRightInd w:val="0"/>
              <w:spacing w:line="360" w:lineRule="auto"/>
              <w:jc w:val="left"/>
              <w:rPr>
                <w:rFonts w:hint="eastAsia" w:cs="仿宋_GB2312" w:asciiTheme="minorEastAsia" w:hAnsiTheme="minorEastAsia" w:eastAsia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 xml:space="preserve">联系人：仝主任         联系电话：13569480179 </w:t>
            </w:r>
          </w:p>
          <w:p>
            <w:pPr>
              <w:autoSpaceDE w:val="0"/>
              <w:autoSpaceDN w:val="0"/>
              <w:adjustRightInd w:val="0"/>
              <w:spacing w:line="360" w:lineRule="auto"/>
              <w:jc w:val="left"/>
              <w:rPr>
                <w:rFonts w:hint="eastAsia" w:cs="仿宋_GB2312" w:asciiTheme="minorEastAsia" w:hAnsiTheme="minorEastAsia" w:eastAsiaTheme="minorEastAsia"/>
                <w:color w:val="0000FF"/>
                <w:sz w:val="21"/>
                <w:szCs w:val="21"/>
                <w:shd w:val="clear" w:color="auto" w:fill="FFFFFF"/>
                <w:lang w:val="en-US" w:eastAsia="zh-CN"/>
              </w:rPr>
            </w:pPr>
            <w:r>
              <w:rPr>
                <w:rFonts w:hint="eastAsia" w:cs="仿宋_GB2312" w:asciiTheme="minorEastAsia" w:hAnsiTheme="minorEastAsia" w:eastAsiaTheme="minorEastAsia"/>
                <w:color w:val="0000FF"/>
                <w:sz w:val="21"/>
                <w:szCs w:val="21"/>
                <w:shd w:val="clear" w:color="auto" w:fill="FFFFFF"/>
                <w:lang w:val="en-US" w:eastAsia="zh-CN"/>
              </w:rPr>
              <w:t>地址：长葛市</w:t>
            </w:r>
            <w:r>
              <w:rPr>
                <w:rFonts w:hint="eastAsia" w:cs="仿宋_GB2312" w:asciiTheme="minorEastAsia" w:hAnsiTheme="minorEastAsia"/>
                <w:color w:val="0000FF"/>
                <w:kern w:val="2"/>
                <w:sz w:val="21"/>
                <w:szCs w:val="21"/>
                <w:lang w:val="en-US" w:eastAsia="zh-CN" w:bidi="ar-SA"/>
              </w:rPr>
              <w:t>东区7号楼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代理机构：智远工程管理有限公司 </w:t>
            </w:r>
          </w:p>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代理机构联系方式：王女士       联系电话：13569926910</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w:t>
            </w:r>
            <w:r>
              <w:rPr>
                <w:rFonts w:hint="eastAsia" w:asciiTheme="minorEastAsia" w:hAnsiTheme="minorEastAsia"/>
                <w:bCs/>
                <w:szCs w:val="21"/>
                <w:highlight w:val="none"/>
                <w:lang w:val="en-US" w:eastAsia="zh-CN"/>
              </w:rPr>
              <w:t>2016年度、2017年度、</w:t>
            </w:r>
            <w:r>
              <w:rPr>
                <w:rFonts w:hint="eastAsia" w:asciiTheme="minorEastAsia" w:hAnsiTheme="minorEastAsia"/>
                <w:bCs/>
                <w:szCs w:val="21"/>
                <w:highlight w:val="none"/>
              </w:rPr>
              <w:t>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hint="eastAsia"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pStyle w:val="12"/>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val="en-US" w:eastAsia="zh-CN" w:bidi="ar"/>
              </w:rPr>
              <w:t>)</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0" w:afterAutospacing="0" w:line="360" w:lineRule="auto"/>
              <w:ind w:right="0"/>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cs="仿宋_GB2312" w:asciiTheme="minorEastAsia" w:hAnsiTheme="minorEastAsia"/>
                <w:b/>
                <w:color w:val="000000"/>
                <w:szCs w:val="21"/>
                <w:shd w:val="clear" w:color="auto" w:fill="FFFFFF"/>
                <w:lang w:val="en-US" w:eastAsia="zh-CN"/>
              </w:rPr>
              <w:t>；“中国社会组织公共服务平台”网站（</w:t>
            </w:r>
            <w:r>
              <w:rPr>
                <w:rFonts w:hint="eastAsia" w:cs="仿宋_GB2312" w:asciiTheme="minorEastAsia" w:hAnsiTheme="minorEastAsia"/>
                <w:b/>
                <w:color w:val="000000"/>
                <w:szCs w:val="21"/>
                <w:shd w:val="clear" w:color="auto" w:fill="FFFFFF"/>
                <w:lang w:val="en-US" w:eastAsia="zh-CN"/>
              </w:rPr>
              <w:t>www.chinanpo.gov.cn）严重违法失信名单的投标人。</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仿宋_GB2312" w:asciiTheme="minorEastAsia" w:hAnsiTheme="minorEastAsia"/>
                <w:b/>
                <w:color w:val="000000"/>
                <w:szCs w:val="21"/>
                <w:highlight w:val="none"/>
                <w:shd w:val="clear" w:color="auto" w:fill="FFFFFF"/>
              </w:rPr>
              <w:t>（</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hint="eastAsia" w:cs="宋体" w:asciiTheme="minorEastAsia" w:hAnsiTheme="minorEastAsia" w:eastAsiaTheme="minorEastAsia"/>
                <w:kern w:val="0"/>
                <w:szCs w:val="21"/>
                <w:highlight w:val="none"/>
                <w:lang w:eastAsia="zh-CN"/>
              </w:rPr>
            </w:pPr>
            <w:r>
              <w:rPr>
                <w:rFonts w:hint="default" w:cs="宋体" w:asciiTheme="minorEastAsia" w:hAnsiTheme="minorEastAsia"/>
                <w:kern w:val="0"/>
                <w:szCs w:val="21"/>
                <w:highlight w:val="none"/>
                <w:lang w:val="en-US" w:eastAsia="zh-CN"/>
              </w:rPr>
              <w:t>③</w:t>
            </w:r>
            <w:r>
              <w:rPr>
                <w:rFonts w:hint="eastAsia" w:cs="宋体" w:asciiTheme="minorEastAsia" w:hAnsiTheme="minorEastAsia"/>
                <w:kern w:val="0"/>
                <w:szCs w:val="21"/>
                <w:highlight w:val="none"/>
                <w:lang w:val="en-US" w:eastAsia="zh-CN"/>
              </w:rPr>
              <w:t>“中国社会组织公共服务平台”（www.chinanpo.gov.cn）</w:t>
            </w:r>
            <w:r>
              <w:rPr>
                <w:rFonts w:hint="eastAsia" w:cs="宋体" w:asciiTheme="minorEastAsia" w:hAnsiTheme="minorEastAsia"/>
                <w:kern w:val="0"/>
                <w:szCs w:val="21"/>
              </w:rPr>
              <w:t>（仅查询社会组织）</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4、信用信息的使用原则：经采购人认定的被列入失信被执行人、重大税收违法案件当事人名单、政府采购严重违法失信行为记录名单</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严重违法失信名单</w:t>
            </w:r>
            <w:r>
              <w:rPr>
                <w:rFonts w:hint="eastAsia" w:cs="宋体" w:asciiTheme="minorEastAsia" w:hAnsiTheme="minorEastAsia"/>
                <w:kern w:val="0"/>
                <w:szCs w:val="21"/>
                <w:highlight w:val="none"/>
              </w:rPr>
              <w:t>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pStyle w:val="23"/>
              <w:widowControl/>
              <w:rPr>
                <w:rFonts w:cs="宋体" w:asciiTheme="minorEastAsia" w:hAnsiTheme="minorEastAsia"/>
                <w:bCs/>
                <w:szCs w:val="21"/>
                <w:lang w:val="zh-CN"/>
              </w:rPr>
            </w:pPr>
            <w:r>
              <w:rPr>
                <w:rFonts w:hint="eastAsia" w:cs="宋体" w:asciiTheme="minorEastAsia" w:hAnsiTheme="minorEastAsia" w:eastAsiaTheme="minorEastAsia"/>
                <w:bCs/>
                <w:kern w:val="2"/>
                <w:sz w:val="21"/>
                <w:szCs w:val="21"/>
                <w:lang w:val="en-US" w:eastAsia="zh-CN" w:bidi="ar-SA"/>
              </w:rPr>
              <w:t>780000</w:t>
            </w:r>
            <w:r>
              <w:rPr>
                <w:rFonts w:hint="eastAsia" w:cs="宋体" w:asciiTheme="minorEastAsia" w:hAnsiTheme="minorEastAsia" w:eastAsiaTheme="minorEastAsia"/>
                <w:bCs/>
                <w:kern w:val="2"/>
                <w:sz w:val="21"/>
                <w:szCs w:val="21"/>
                <w:lang w:val="zh-CN" w:eastAsia="zh-CN" w:bidi="ar-SA"/>
              </w:rPr>
              <w:t>.00元。超出最高限价的投标无效。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en-US" w:eastAsia="zh-CN" w:bidi="ar-SA"/>
              </w:rPr>
              <w:t>20</w:t>
            </w:r>
            <w:r>
              <w:rPr>
                <w:rFonts w:hint="eastAsia" w:cs="仿宋_GB2312" w:asciiTheme="minorEastAsia" w:hAnsiTheme="minorEastAsia"/>
                <w:color w:val="0000FF"/>
                <w:kern w:val="2"/>
                <w:sz w:val="21"/>
                <w:szCs w:val="21"/>
                <w:lang w:val="en-US" w:eastAsia="zh-CN" w:bidi="ar-SA"/>
              </w:rPr>
              <w:t>20</w:t>
            </w:r>
            <w:r>
              <w:rPr>
                <w:rFonts w:hint="eastAsia" w:cs="仿宋_GB2312" w:asciiTheme="minorEastAsia" w:hAnsiTheme="minorEastAsia" w:eastAsiaTheme="minorEastAsia"/>
                <w:color w:val="0000FF"/>
                <w:kern w:val="2"/>
                <w:sz w:val="21"/>
                <w:szCs w:val="21"/>
                <w:lang w:val="zh-CN" w:eastAsia="zh-CN" w:bidi="ar-SA"/>
              </w:rPr>
              <w:t>年</w:t>
            </w:r>
            <w:r>
              <w:rPr>
                <w:rFonts w:hint="eastAsia" w:cs="仿宋_GB2312" w:asciiTheme="minorEastAsia" w:hAnsiTheme="minorEastAsia"/>
                <w:color w:val="0000FF"/>
                <w:kern w:val="2"/>
                <w:sz w:val="21"/>
                <w:szCs w:val="21"/>
                <w:lang w:val="en-US" w:eastAsia="zh-CN" w:bidi="ar-SA"/>
              </w:rPr>
              <w:t>1</w:t>
            </w:r>
            <w:r>
              <w:rPr>
                <w:rFonts w:hint="eastAsia" w:cs="仿宋_GB2312" w:asciiTheme="minorEastAsia" w:hAnsiTheme="minorEastAsia" w:eastAsiaTheme="minorEastAsia"/>
                <w:color w:val="0000FF"/>
                <w:kern w:val="2"/>
                <w:sz w:val="21"/>
                <w:szCs w:val="21"/>
                <w:lang w:val="zh-CN" w:eastAsia="zh-CN" w:bidi="ar-SA"/>
              </w:rPr>
              <w:t>月</w:t>
            </w:r>
            <w:r>
              <w:rPr>
                <w:rFonts w:hint="eastAsia" w:cs="仿宋_GB2312" w:asciiTheme="minorEastAsia" w:hAnsiTheme="minorEastAsia"/>
                <w:color w:val="0000FF"/>
                <w:kern w:val="2"/>
                <w:sz w:val="21"/>
                <w:szCs w:val="21"/>
                <w:lang w:val="en-US" w:eastAsia="zh-CN" w:bidi="ar-SA"/>
              </w:rPr>
              <w:t>14</w:t>
            </w:r>
            <w:r>
              <w:rPr>
                <w:rFonts w:hint="eastAsia" w:cs="仿宋_GB2312" w:asciiTheme="minorEastAsia" w:hAnsiTheme="minorEastAsia" w:eastAsiaTheme="minorEastAsia"/>
                <w:color w:val="0000FF"/>
                <w:kern w:val="2"/>
                <w:sz w:val="21"/>
                <w:szCs w:val="21"/>
                <w:lang w:val="zh-CN" w:eastAsia="zh-CN" w:bidi="ar-SA"/>
              </w:rPr>
              <w:t>日</w:t>
            </w:r>
            <w:r>
              <w:rPr>
                <w:rFonts w:hint="eastAsia" w:cs="仿宋_GB2312" w:asciiTheme="minorEastAsia" w:hAnsiTheme="minorEastAsia"/>
                <w:color w:val="0000FF"/>
                <w:kern w:val="2"/>
                <w:sz w:val="21"/>
                <w:szCs w:val="21"/>
                <w:lang w:val="en-US" w:eastAsia="zh-CN" w:bidi="ar-SA"/>
              </w:rPr>
              <w:t>9</w:t>
            </w:r>
            <w:r>
              <w:rPr>
                <w:rFonts w:hint="eastAsia" w:cs="仿宋_GB2312" w:asciiTheme="minorEastAsia" w:hAnsiTheme="minorEastAsia" w:eastAsiaTheme="minorEastAsia"/>
                <w:color w:val="0000FF"/>
                <w:kern w:val="2"/>
                <w:sz w:val="21"/>
                <w:szCs w:val="21"/>
                <w:lang w:val="zh-CN" w:eastAsia="zh-CN" w:bidi="ar-SA"/>
              </w:rPr>
              <w:t>时</w:t>
            </w:r>
            <w:r>
              <w:rPr>
                <w:rFonts w:hint="eastAsia" w:cs="仿宋_GB2312" w:asciiTheme="minorEastAsia" w:hAnsiTheme="minorEastAsia"/>
                <w:color w:val="0000FF"/>
                <w:kern w:val="2"/>
                <w:sz w:val="21"/>
                <w:szCs w:val="21"/>
                <w:lang w:val="en-US" w:eastAsia="zh-CN" w:bidi="ar-SA"/>
              </w:rPr>
              <w:t>00</w:t>
            </w:r>
            <w:r>
              <w:rPr>
                <w:rFonts w:hint="eastAsia" w:cs="仿宋_GB2312" w:asciiTheme="minorEastAsia" w:hAnsiTheme="minorEastAsia" w:eastAsiaTheme="minorEastAsia"/>
                <w:color w:val="0000FF"/>
                <w:kern w:val="2"/>
                <w:sz w:val="21"/>
                <w:szCs w:val="21"/>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pStyle w:val="23"/>
              <w:widowControl/>
              <w:shd w:val="clear" w:color="auto" w:fill="FFFFFF"/>
              <w:spacing w:line="360" w:lineRule="auto"/>
              <w:ind w:left="420" w:hanging="420" w:hangingChars="200"/>
              <w:contextualSpacing/>
              <w:jc w:val="left"/>
              <w:rPr>
                <w:rFonts w:hint="eastAsia" w:cs="仿宋_GB2312" w:asciiTheme="minorEastAsia" w:hAnsiTheme="minorEastAsia" w:eastAsiaTheme="minorEastAsia"/>
                <w:color w:val="0000FF"/>
                <w:kern w:val="2"/>
                <w:sz w:val="21"/>
                <w:szCs w:val="21"/>
                <w:lang w:val="zh-CN" w:eastAsia="zh-CN" w:bidi="ar-SA"/>
              </w:rPr>
            </w:pPr>
            <w:r>
              <w:rPr>
                <w:rFonts w:hint="eastAsia" w:cs="仿宋_GB2312" w:asciiTheme="minorEastAsia" w:hAnsiTheme="minorEastAsia" w:eastAsiaTheme="minorEastAsia"/>
                <w:color w:val="0000FF"/>
                <w:kern w:val="2"/>
                <w:sz w:val="21"/>
                <w:szCs w:val="21"/>
                <w:lang w:val="zh-CN" w:eastAsia="zh-CN" w:bidi="ar-SA"/>
              </w:rPr>
              <w:t>长葛市公共资源交易中心开标</w:t>
            </w:r>
            <w:r>
              <w:rPr>
                <w:rFonts w:hint="eastAsia" w:cs="仿宋_GB2312" w:asciiTheme="minorEastAsia" w:hAnsiTheme="minorEastAsia" w:eastAsiaTheme="minorEastAsia"/>
                <w:color w:val="0000FF"/>
                <w:kern w:val="2"/>
                <w:sz w:val="21"/>
                <w:szCs w:val="21"/>
                <w:lang w:val="en-US" w:eastAsia="zh-CN" w:bidi="ar-SA"/>
              </w:rPr>
              <w:t>二</w:t>
            </w:r>
            <w:r>
              <w:rPr>
                <w:rFonts w:hint="eastAsia" w:cs="仿宋_GB2312" w:asciiTheme="minorEastAsia" w:hAnsiTheme="minorEastAsia" w:eastAsiaTheme="minorEastAsia"/>
                <w:color w:val="0000FF"/>
                <w:kern w:val="2"/>
                <w:sz w:val="21"/>
                <w:szCs w:val="21"/>
                <w:lang w:val="zh-CN" w:eastAsia="zh-CN" w:bidi="ar-SA"/>
              </w:rPr>
              <w:t>室</w:t>
            </w:r>
            <w:r>
              <w:rPr>
                <w:rFonts w:hint="eastAsia" w:cs="仿宋_GB2312" w:asciiTheme="minorEastAsia" w:hAnsiTheme="minorEastAsia" w:eastAsiaTheme="minorEastAsia"/>
                <w:color w:val="0000FF"/>
                <w:kern w:val="2"/>
                <w:sz w:val="21"/>
                <w:szCs w:val="21"/>
                <w:lang w:val="en-US" w:eastAsia="zh-CN" w:bidi="ar-SA"/>
              </w:rPr>
              <w:t>（长葛市葛天大道东段商务区6#楼4楼409室）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hint="eastAsia" w:cs="仿宋_GB2312" w:asciiTheme="minorEastAsia" w:hAnsiTheme="minorEastAsia" w:eastAsiaTheme="minorEastAsia"/>
                <w:szCs w:val="21"/>
                <w:lang w:val="zh-CN" w:eastAsia="zh-CN"/>
              </w:rPr>
            </w:pPr>
            <w:r>
              <w:rPr>
                <w:rFonts w:hint="eastAsia" w:cs="仿宋_GB2312" w:asciiTheme="minorEastAsia" w:hAnsiTheme="minorEastAsia"/>
                <w:szCs w:val="21"/>
                <w:lang w:eastAsia="zh-CN"/>
              </w:rPr>
              <w:t>按照河南省《</w:t>
            </w:r>
            <w:r>
              <w:rPr>
                <w:rFonts w:hint="eastAsia" w:cs="仿宋_GB2312" w:asciiTheme="minorEastAsia" w:hAnsiTheme="minorEastAsia"/>
                <w:szCs w:val="21"/>
              </w:rPr>
              <w:t>关于优化政府采购营商环境有关问题的通知</w:t>
            </w:r>
            <w:r>
              <w:rPr>
                <w:rFonts w:hint="eastAsia" w:cs="仿宋_GB2312" w:asciiTheme="minorEastAsia" w:hAnsiTheme="minorEastAsia"/>
                <w:szCs w:val="21"/>
                <w:lang w:eastAsia="zh-CN"/>
              </w:rPr>
              <w:t>》（豫财购（</w:t>
            </w:r>
            <w:r>
              <w:rPr>
                <w:rFonts w:hint="eastAsia" w:cs="仿宋_GB2312" w:asciiTheme="minorEastAsia" w:hAnsiTheme="minorEastAsia"/>
                <w:szCs w:val="21"/>
                <w:lang w:val="en-US" w:eastAsia="zh-CN"/>
              </w:rPr>
              <w:t>2019</w:t>
            </w:r>
            <w:r>
              <w:rPr>
                <w:rFonts w:hint="eastAsia" w:cs="仿宋_GB2312" w:asciiTheme="minorEastAsia" w:hAnsiTheme="minorEastAsia"/>
                <w:szCs w:val="21"/>
                <w:lang w:eastAsia="zh-CN"/>
              </w:rPr>
              <w:t>）</w:t>
            </w:r>
            <w:r>
              <w:rPr>
                <w:rFonts w:hint="eastAsia" w:cs="仿宋_GB2312" w:asciiTheme="minorEastAsia" w:hAnsiTheme="minorEastAsia"/>
                <w:szCs w:val="21"/>
                <w:lang w:val="en-US" w:eastAsia="zh-CN"/>
              </w:rPr>
              <w:t>4号文</w:t>
            </w:r>
            <w:r>
              <w:rPr>
                <w:rFonts w:hint="eastAsia" w:cs="仿宋_GB2312" w:asciiTheme="minorEastAsia" w:hAnsiTheme="minorEastAsia"/>
                <w:szCs w:val="21"/>
                <w:lang w:eastAsia="zh-CN"/>
              </w:rPr>
              <w:t>）的要求，不收取保证金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招标公告、中标公告、变更（更正）公告、现场勘察答复等相关信息同时在以下网站发布：《河南省政府采购网》、《全国公共资源交易平台（河南省·许昌市）》、《</w:t>
            </w:r>
            <w:r>
              <w:rPr>
                <w:rFonts w:hint="eastAsia" w:ascii="宋体" w:hAnsi="宋体" w:cs="宋体"/>
                <w:color w:val="000000"/>
                <w:szCs w:val="21"/>
              </w:rPr>
              <w:t>长葛市人民政府门户网站</w:t>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w:t>
            </w:r>
            <w:r>
              <w:rPr>
                <w:rFonts w:hint="eastAsia" w:cs="仿宋_GB2312" w:asciiTheme="minorEastAsia" w:hAnsiTheme="minorEastAsia"/>
                <w:szCs w:val="21"/>
                <w:highlight w:val="none"/>
                <w:lang w:val="en-US" w:eastAsia="zh-CN"/>
              </w:rPr>
              <w:t>1人</w:t>
            </w:r>
            <w:r>
              <w:rPr>
                <w:rFonts w:hint="eastAsia" w:cs="仿宋_GB2312" w:asciiTheme="minorEastAsia" w:hAnsiTheme="minorEastAsia"/>
                <w:szCs w:val="21"/>
                <w:highlight w:val="none"/>
                <w:lang w:val="zh-CN"/>
              </w:rPr>
              <w:t>和评审专家</w:t>
            </w:r>
            <w:r>
              <w:rPr>
                <w:rFonts w:hint="eastAsia" w:cs="仿宋_GB2312" w:asciiTheme="minorEastAsia" w:hAnsiTheme="minorEastAsia"/>
                <w:szCs w:val="21"/>
                <w:highlight w:val="none"/>
                <w:lang w:val="en-US" w:eastAsia="zh-CN"/>
              </w:rPr>
              <w:t>4人</w:t>
            </w:r>
            <w:r>
              <w:rPr>
                <w:rFonts w:hint="eastAsia" w:cs="仿宋_GB2312" w:asciiTheme="minorEastAsia" w:hAnsiTheme="minorEastAsia"/>
                <w:szCs w:val="21"/>
                <w:highlight w:val="none"/>
                <w:lang w:val="zh-CN"/>
              </w:rPr>
              <w:t>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采购人代表及监督人员出席开标会议</w:t>
            </w:r>
          </w:p>
        </w:tc>
        <w:tc>
          <w:tcPr>
            <w:tcW w:w="6813"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履约担保</w:t>
            </w:r>
          </w:p>
        </w:tc>
        <w:tc>
          <w:tcPr>
            <w:tcW w:w="6813" w:type="dxa"/>
            <w:vAlign w:val="center"/>
          </w:tcPr>
          <w:p>
            <w:pPr>
              <w:autoSpaceDE w:val="0"/>
              <w:autoSpaceDN w:val="0"/>
              <w:adjustRightInd w:val="0"/>
              <w:spacing w:line="360" w:lineRule="auto"/>
              <w:rPr>
                <w:rFonts w:hint="eastAsia"/>
                <w:lang w:val="zh-CN"/>
              </w:rPr>
            </w:pPr>
            <w:r>
              <w:rPr>
                <w:rFonts w:hint="eastAsia"/>
                <w:lang w:val="zh-CN"/>
              </w:rPr>
              <w:t>开户行：河南长葛农村商业银行股份有限公司营业部</w:t>
            </w:r>
          </w:p>
          <w:p>
            <w:pPr>
              <w:autoSpaceDE w:val="0"/>
              <w:autoSpaceDN w:val="0"/>
              <w:adjustRightInd w:val="0"/>
              <w:spacing w:line="360" w:lineRule="auto"/>
              <w:rPr>
                <w:rFonts w:hint="eastAsia"/>
                <w:lang w:val="zh-CN"/>
              </w:rPr>
            </w:pPr>
            <w:r>
              <w:rPr>
                <w:rFonts w:hint="eastAsia"/>
                <w:lang w:val="zh-CN"/>
              </w:rPr>
              <w:t>户  名：长葛市公共资源交易中心</w:t>
            </w:r>
          </w:p>
          <w:p>
            <w:pPr>
              <w:autoSpaceDE w:val="0"/>
              <w:autoSpaceDN w:val="0"/>
              <w:adjustRightInd w:val="0"/>
              <w:spacing w:line="360" w:lineRule="auto"/>
              <w:rPr>
                <w:rFonts w:hint="eastAsia"/>
                <w:lang w:val="zh-CN"/>
              </w:rPr>
            </w:pPr>
            <w:r>
              <w:rPr>
                <w:rFonts w:hint="eastAsia"/>
                <w:lang w:val="zh-CN"/>
              </w:rPr>
              <w:t>账  号：</w:t>
            </w:r>
            <w:r>
              <w:rPr>
                <w:rFonts w:hint="eastAsia" w:ascii="宋体" w:hAnsi="宋体" w:cs="宋体"/>
                <w:b/>
                <w:bCs/>
                <w:sz w:val="24"/>
              </w:rPr>
              <w:t>13201001800000552</w:t>
            </w:r>
          </w:p>
          <w:p>
            <w:pPr>
              <w:autoSpaceDE w:val="0"/>
              <w:autoSpaceDN w:val="0"/>
              <w:adjustRightInd w:val="0"/>
              <w:spacing w:line="360" w:lineRule="auto"/>
              <w:rPr>
                <w:rFonts w:hint="eastAsia"/>
                <w:lang w:val="zh-CN"/>
              </w:rPr>
            </w:pPr>
            <w:r>
              <w:rPr>
                <w:rFonts w:hint="eastAsia"/>
                <w:lang w:val="zh-CN"/>
              </w:rPr>
              <w:t>履约</w:t>
            </w:r>
            <w:r>
              <w:rPr>
                <w:rFonts w:hint="eastAsia"/>
                <w:lang w:val="zh-CN" w:eastAsia="zh-CN"/>
              </w:rPr>
              <w:t>担保</w:t>
            </w:r>
            <w:r>
              <w:rPr>
                <w:rFonts w:hint="eastAsia"/>
                <w:lang w:val="zh-CN"/>
              </w:rPr>
              <w:t>的金额：中标金额的10%。</w:t>
            </w:r>
          </w:p>
          <w:p>
            <w:pPr>
              <w:autoSpaceDE w:val="0"/>
              <w:autoSpaceDN w:val="0"/>
              <w:adjustRightInd w:val="0"/>
              <w:spacing w:line="360" w:lineRule="auto"/>
              <w:rPr>
                <w:rFonts w:hint="eastAsia"/>
                <w:lang w:eastAsia="zh-CN"/>
              </w:rPr>
            </w:pPr>
            <w:r>
              <w:rPr>
                <w:rFonts w:hint="eastAsia"/>
                <w:lang w:eastAsia="zh-CN"/>
              </w:rPr>
              <w:t>供应商在汇款时备注部分说明，此为</w:t>
            </w:r>
            <w:r>
              <w:rPr>
                <w:rFonts w:hint="eastAsia"/>
              </w:rPr>
              <w:t>项目编号</w:t>
            </w:r>
            <w:r>
              <w:rPr>
                <w:rFonts w:hint="eastAsia"/>
                <w:u w:val="single"/>
              </w:rPr>
              <w:t>：</w:t>
            </w:r>
            <w:r>
              <w:rPr>
                <w:rFonts w:hint="eastAsia"/>
                <w:u w:val="single"/>
                <w:lang w:val="en-US" w:eastAsia="zh-CN"/>
              </w:rPr>
              <w:t xml:space="preserve">    </w:t>
            </w:r>
            <w:r>
              <w:rPr>
                <w:rFonts w:hint="eastAsia"/>
                <w:lang w:eastAsia="zh-CN"/>
              </w:rPr>
              <w:t>项目的履约担保。</w:t>
            </w:r>
          </w:p>
          <w:p>
            <w:pPr>
              <w:pStyle w:val="24"/>
              <w:ind w:left="0" w:leftChars="0" w:firstLine="0" w:firstLineChars="0"/>
              <w:rPr>
                <w:rFonts w:hint="eastAsia"/>
                <w:lang w:val="zh-CN" w:eastAsia="zh-CN"/>
              </w:rPr>
            </w:pPr>
            <w:r>
              <w:rPr>
                <w:rFonts w:hint="eastAsia" w:asciiTheme="minorHAnsi" w:hAnsiTheme="minorHAnsi" w:eastAsiaTheme="minorEastAsia" w:cstheme="minorBidi"/>
                <w:kern w:val="2"/>
                <w:sz w:val="21"/>
                <w:szCs w:val="22"/>
                <w:lang w:val="en-US" w:eastAsia="zh-CN" w:bidi="ar-SA"/>
              </w:rPr>
              <w:t>中标供应商无正当理由不与采购人订立合同，在签订合同时向采购人提出附加条件或者不按照招标文件要求提交履约担保的，取消其中标资格。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bidi="ar-SA"/>
              </w:rPr>
              <w:t>代理服务费由中标供应商支付，按照差额累计计价法</w:t>
            </w:r>
            <w:r>
              <w:rPr>
                <w:rFonts w:hint="eastAsia" w:ascii="新宋体" w:hAnsi="新宋体" w:eastAsia="新宋体"/>
                <w:szCs w:val="21"/>
                <w:lang w:eastAsia="zh-CN"/>
              </w:rPr>
              <w:t>收取，</w:t>
            </w:r>
            <w:r>
              <w:rPr>
                <w:rFonts w:hint="eastAsia" w:ascii="宋体" w:hAnsi="宋体" w:eastAsia="宋体" w:cs="宋体"/>
                <w:lang w:val="zh-CN" w:bidi="ar-SA"/>
              </w:rPr>
              <w:t>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w:t>
            </w:r>
            <w:r>
              <w:rPr>
                <w:rFonts w:hint="eastAsia" w:ascii="新宋体" w:hAnsi="新宋体" w:eastAsia="新宋体"/>
                <w:szCs w:val="21"/>
                <w:highlight w:val="none"/>
                <w:lang w:eastAsia="zh-CN"/>
              </w:rPr>
              <w:t>代理机构</w:t>
            </w:r>
            <w:r>
              <w:rPr>
                <w:rFonts w:hint="eastAsia" w:ascii="新宋体" w:hAnsi="新宋体" w:eastAsia="新宋体"/>
                <w:szCs w:val="21"/>
                <w:highlight w:val="none"/>
              </w:rPr>
              <w:t>发</w:t>
            </w:r>
            <w:r>
              <w:rPr>
                <w:rFonts w:hint="eastAsia" w:cs="宋体" w:asciiTheme="minorEastAsia" w:hAnsiTheme="minorEastAsia"/>
                <w:bCs/>
                <w:szCs w:val="21"/>
                <w:highlight w:val="none"/>
                <w:lang w:val="zh-CN"/>
              </w:rPr>
              <w:t>送投标报价及分项报价一览表（包含主要中标标的的名称、规格型号、数量、单价、服务要求等）电子文档，并同时通知代理机构。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投标人的投标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 相关信息并进行评审，在评审报告中显示“不同投标人电子投标文件制作硬件特征码”是否</w:t>
            </w:r>
            <w:r>
              <w:rPr>
                <w:rFonts w:hint="eastAsia" w:ascii="ˎ̥" w:hAnsi="ˎ̥"/>
                <w:highlight w:val="none"/>
                <w:lang w:eastAsia="zh-CN"/>
              </w:rPr>
              <w:t>均一致</w:t>
            </w:r>
            <w:r>
              <w:rPr>
                <w:rFonts w:hint="eastAsia" w:ascii="ˎ̥" w:hAnsi="ˎ̥"/>
                <w:highlight w:val="none"/>
              </w:rPr>
              <w:t>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”：“投标人须知前附表”中所述的组织本次招标的代理机构和采购人。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处按规定获取招标文件，并按照招标文件要求向</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提交投标文件的法人、其他组织或者自然人。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3"/>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3.3  </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政府采购活动中查询及使用投标人信用记录的具体要求为：投标人未被列入失信被执行人、重大税收违法案件当事人名单、政府采购严重违法失信行为记录名单</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严重违法失信名单。</w:t>
      </w:r>
      <w:r>
        <w:rPr>
          <w:rFonts w:hint="eastAsia" w:cs="宋体" w:asciiTheme="minorEastAsia" w:hAnsiTheme="minorEastAsia"/>
          <w:kern w:val="0"/>
          <w:szCs w:val="21"/>
        </w:rPr>
        <w:t>（联合体形式投标的，联合体成员存在不良信用记录，视同联合体存在不良信用记录）。</w:t>
      </w:r>
    </w:p>
    <w:p>
      <w:pPr>
        <w:pStyle w:val="43"/>
        <w:numPr>
          <w:ilvl w:val="0"/>
          <w:numId w:val="0"/>
        </w:numPr>
        <w:autoSpaceDE w:val="0"/>
        <w:autoSpaceDN w:val="0"/>
        <w:spacing w:line="360" w:lineRule="auto"/>
        <w:ind w:left="420" w:leftChars="0" w:firstLine="420" w:firstLineChars="2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  （1）查询渠道：“信用中国”网站（www.creditchina.gov.cn）、“中国政府采购网”（www.ccgp.gov.cn）、；“中国社会组织公共服务平台”网站（www.chinanpo.gov.cn）。</w:t>
      </w:r>
      <w:r>
        <w:rPr>
          <w:rFonts w:hint="eastAsia" w:cs="宋体" w:asciiTheme="minorEastAsia" w:hAnsiTheme="minorEastAsia"/>
          <w:kern w:val="0"/>
          <w:szCs w:val="21"/>
        </w:rPr>
        <w:t>；</w:t>
      </w:r>
    </w:p>
    <w:p>
      <w:pPr>
        <w:pStyle w:val="43"/>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3"/>
        <w:numPr>
          <w:ilvl w:val="0"/>
          <w:numId w:val="0"/>
        </w:numPr>
        <w:autoSpaceDE w:val="0"/>
        <w:autoSpaceDN w:val="0"/>
        <w:spacing w:line="360" w:lineRule="auto"/>
        <w:ind w:left="420" w:leftChars="0" w:firstLine="630" w:firstLineChars="300"/>
        <w:contextualSpacing/>
        <w:rPr>
          <w:rFonts w:hint="eastAsia"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均将通过在《河南省政府采购网》、《全国公共资源交易平台（河南省·许昌市）》、《长葛市人民政府门户网站》公开发布。投标人在参与本采购项目招投标活动期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w:t>
      </w:r>
      <w:r>
        <w:rPr>
          <w:rFonts w:hint="eastAsia" w:cs="宋体" w:asciiTheme="minorEastAsia" w:hAnsiTheme="minorEastAsia"/>
          <w:kern w:val="0"/>
          <w:szCs w:val="21"/>
          <w:highlight w:val="none"/>
          <w:lang w:eastAsia="zh-CN"/>
        </w:rPr>
        <w:t>采购人</w:t>
      </w:r>
      <w:r>
        <w:rPr>
          <w:rFonts w:hint="eastAsia" w:cs="宋体" w:asciiTheme="minorEastAsia" w:hAnsiTheme="minorEastAsia"/>
          <w:kern w:val="0"/>
          <w:szCs w:val="21"/>
          <w:highlight w:val="none"/>
        </w:rPr>
        <w:t>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3"/>
        <w:numPr>
          <w:ilvl w:val="0"/>
          <w:numId w:val="9"/>
        </w:numPr>
        <w:autoSpaceDE w:val="0"/>
        <w:autoSpaceDN w:val="0"/>
        <w:spacing w:line="360" w:lineRule="auto"/>
        <w:ind w:firstLineChars="0"/>
        <w:contextualSpacing/>
        <w:rPr>
          <w:rFonts w:ascii="宋体" w:hAnsi="宋体" w:cs="宋体"/>
          <w:kern w:val="0"/>
          <w:szCs w:val="21"/>
          <w:highlight w:val="none"/>
        </w:rPr>
      </w:pPr>
      <w:r>
        <w:rPr>
          <w:rFonts w:hint="eastAsia" w:ascii="宋体" w:hAnsi="宋体" w:cs="宋体"/>
          <w:kern w:val="0"/>
          <w:szCs w:val="21"/>
          <w:highlight w:val="none"/>
        </w:rPr>
        <w:t>收取标准：收取。详见投标人须知前附表。</w:t>
      </w:r>
    </w:p>
    <w:p>
      <w:pPr>
        <w:pStyle w:val="43"/>
        <w:numPr>
          <w:ilvl w:val="1"/>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highlight w:val="none"/>
        </w:rPr>
        <w:t>收取方式：</w:t>
      </w:r>
      <w:r>
        <w:rPr>
          <w:rFonts w:hint="eastAsia" w:ascii="宋体" w:hAnsi="宋体" w:cs="宋体"/>
          <w:kern w:val="0"/>
          <w:szCs w:val="21"/>
          <w:highlight w:val="none"/>
          <w:lang w:val="zh-CN"/>
        </w:rPr>
        <w:t>中标通知书发出前，以现金或转账形式交纳</w:t>
      </w:r>
      <w:r>
        <w:rPr>
          <w:rFonts w:hint="eastAsia" w:ascii="宋体" w:hAnsi="宋体" w:cs="宋体"/>
          <w:kern w:val="0"/>
          <w:szCs w:val="21"/>
          <w:highlight w:val="none"/>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组织现场考察或者召开开标前答疑会的，所有投标人应按“投标人须知前附表”规定的时间、地点前往参加现场考察或者开标前答疑会。投标人如不参加，其风险由投标人自行承担，</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不承担任何责任。</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组织现场考察或者召开答疑会的，应当在招标文件中载明，或者在招标文件公告期满后在财政部门指定的政府采购信息发布媒体和《全国公共资源交易平台（河南省·许昌市）》发布更正公告。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在考察现场和开标前答疑会口头介绍的情况，除</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事后形成书面记录、并以澄清或修改公告的形式发布、构成招标文件的组成部分以外，其他内容仅供投标人在编制投标文件时参考，</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不对投标人据此作出的判断和决策负责。</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可主动地或在解答潜在投标人提出的澄清问题时对招标文件进行修改。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可以对已发出的招标文件进行必要的澄清或者修改。澄清或者修改的内容可能影响投标文件编制的，</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就有关投标事宜的所有来往书面文件均应使用中文。除签名、盖章、专用名称等特殊情形外，以中文以外的文字表述的投标文件视同未提供。</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可要求投标人延长投标有效期。这种要求与答复均应以书面形式提交。投标人可拒绝</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的这种要求，但其投标在原投标有效期期满后将不再有效。同意延长投标有效期的投标人将不会被要求和允许修正其投标。同意延期的投标人在原投标有效期内应享之权利及应负之责任也相应延续。</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0"/>
        </w:numPr>
        <w:autoSpaceDE w:val="0"/>
        <w:autoSpaceDN w:val="0"/>
        <w:spacing w:line="360" w:lineRule="auto"/>
        <w:ind w:left="420" w:leftChars="0"/>
        <w:contextualSpacing/>
        <w:rPr>
          <w:rFonts w:hint="eastAsia" w:cs="宋体" w:asciiTheme="minorEastAsia" w:hAnsiTheme="minorEastAsia"/>
          <w:kern w:val="0"/>
          <w:szCs w:val="21"/>
        </w:rPr>
      </w:pPr>
      <w:r>
        <w:rPr>
          <w:rFonts w:hint="eastAsia" w:cs="宋体" w:asciiTheme="minorEastAsia" w:hAnsiTheme="minorEastAsia"/>
          <w:kern w:val="0"/>
          <w:szCs w:val="21"/>
          <w:lang w:eastAsia="zh-CN"/>
        </w:rPr>
        <w:t>不收取</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w:t>
      </w:r>
      <w:r>
        <w:rPr>
          <w:rFonts w:hint="eastAsia" w:cs="宋体" w:asciiTheme="minorEastAsia" w:hAnsiTheme="minorEastAsia"/>
          <w:kern w:val="0"/>
          <w:szCs w:val="21"/>
          <w:lang w:eastAsia="zh-CN"/>
        </w:rPr>
        <w:t>一起</w:t>
      </w:r>
      <w:r>
        <w:rPr>
          <w:rFonts w:hint="eastAsia" w:cs="宋体" w:asciiTheme="minorEastAsia" w:hAnsiTheme="minorEastAsia"/>
          <w:kern w:val="0"/>
          <w:szCs w:val="21"/>
        </w:rPr>
        <w:t>密封包装</w:t>
      </w:r>
      <w:r>
        <w:rPr>
          <w:rFonts w:hint="eastAsia" w:cs="宋体" w:asciiTheme="minorEastAsia" w:hAnsiTheme="minorEastAsia"/>
          <w:kern w:val="0"/>
          <w:szCs w:val="21"/>
          <w:lang w:eastAsia="zh-CN"/>
        </w:rPr>
        <w:t>并在密封处加盖单位公章</w:t>
      </w:r>
      <w:r>
        <w:rPr>
          <w:rFonts w:hint="eastAsia" w:cs="宋体" w:asciiTheme="minorEastAsia" w:hAnsiTheme="minorEastAsia"/>
          <w:kern w:val="0"/>
          <w:szCs w:val="21"/>
        </w:rPr>
        <w:t>。使用电子介质存储的投标文件单独密封包装，并随纸质投标文件一并提交。</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收到投标文件后，应当如实记载投标文件的送达时间和密封情况，签收保存，并向投标人出具签收回执。任何单位和个人不得在开标前开启投标文件。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可以按本须知第10条规定，通过修改招标文件自行决定酌情延长投标截止期。在此情况下，</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和投标人受投标截止期制约的所有权利和义务均应延长至新的截止日期和时间。投标人按</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修改通知规定的时间递交投标文件。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w:t>
      </w:r>
      <w:r>
        <w:rPr>
          <w:rFonts w:hint="eastAsia" w:cs="宋体" w:asciiTheme="minorEastAsia" w:hAnsiTheme="minorEastAsia"/>
          <w:kern w:val="0"/>
          <w:szCs w:val="21"/>
          <w:lang w:eastAsia="zh-CN"/>
        </w:rPr>
        <w:t>投标人将承担相应责任</w:t>
      </w:r>
      <w:r>
        <w:rPr>
          <w:rFonts w:hint="eastAsia" w:cs="宋体" w:asciiTheme="minorEastAsia" w:hAnsiTheme="minorEastAsia"/>
          <w:kern w:val="0"/>
          <w:szCs w:val="21"/>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将按招标文件规定的时间和地点组织公开开标。开标由代理机构主持，邀请投标人参加。评标委员会成员不得参加开标活动。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应当对开标、评标现场活动进行全程录音录像。录音录像应当清晰可辨，音像资料作为采购文件一并存档。</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w:t>
      </w:r>
      <w:r>
        <w:rPr>
          <w:rFonts w:hint="eastAsia" w:cs="宋体" w:asciiTheme="minorEastAsia" w:hAnsiTheme="minorEastAsia"/>
          <w:kern w:val="0"/>
          <w:szCs w:val="21"/>
          <w:lang w:eastAsia="zh-CN"/>
        </w:rPr>
        <w:t>代表</w:t>
      </w:r>
      <w:r>
        <w:rPr>
          <w:rFonts w:hint="eastAsia" w:cs="宋体" w:asciiTheme="minorEastAsia" w:hAnsiTheme="minorEastAsia"/>
          <w:kern w:val="0"/>
          <w:szCs w:val="21"/>
          <w:lang w:val="en-US" w:eastAsia="zh-CN"/>
        </w:rPr>
        <w:t>1人</w:t>
      </w:r>
      <w:r>
        <w:rPr>
          <w:rFonts w:hint="eastAsia" w:cs="宋体" w:asciiTheme="minorEastAsia" w:hAnsiTheme="minorEastAsia"/>
          <w:kern w:val="0"/>
          <w:szCs w:val="21"/>
        </w:rPr>
        <w:t>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人将依法组建评标委员会，评标委员会由采购人代表</w:t>
      </w:r>
      <w:r>
        <w:rPr>
          <w:rFonts w:hint="eastAsia" w:cs="宋体" w:asciiTheme="minorEastAsia" w:hAnsiTheme="minorEastAsia"/>
          <w:kern w:val="0"/>
          <w:szCs w:val="21"/>
          <w:highlight w:val="none"/>
          <w:lang w:val="en-US" w:eastAsia="zh-CN"/>
        </w:rPr>
        <w:t>1人</w:t>
      </w:r>
      <w:r>
        <w:rPr>
          <w:rFonts w:hint="eastAsia" w:cs="宋体" w:asciiTheme="minorEastAsia" w:hAnsiTheme="minorEastAsia"/>
          <w:kern w:val="0"/>
          <w:szCs w:val="21"/>
          <w:highlight w:val="none"/>
        </w:rPr>
        <w:t>和评审专家</w:t>
      </w:r>
      <w:r>
        <w:rPr>
          <w:rFonts w:hint="eastAsia" w:cs="宋体" w:asciiTheme="minorEastAsia" w:hAnsiTheme="minorEastAsia"/>
          <w:kern w:val="0"/>
          <w:szCs w:val="21"/>
          <w:highlight w:val="none"/>
          <w:lang w:val="en-US" w:eastAsia="zh-CN"/>
        </w:rPr>
        <w:t>4人</w:t>
      </w:r>
      <w:r>
        <w:rPr>
          <w:rFonts w:hint="eastAsia" w:cs="宋体" w:asciiTheme="minorEastAsia" w:hAnsiTheme="minorEastAsia"/>
          <w:kern w:val="0"/>
          <w:szCs w:val="21"/>
          <w:highlight w:val="none"/>
        </w:rPr>
        <w:t>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26.1.1 </w:t>
      </w:r>
      <w:r>
        <w:rPr>
          <w:rFonts w:hint="eastAsia" w:cs="宋体" w:asciiTheme="minorEastAsia" w:hAnsiTheme="minorEastAsia"/>
          <w:kern w:val="0"/>
          <w:szCs w:val="21"/>
          <w:highlight w:val="none"/>
          <w:lang w:eastAsia="zh-CN"/>
        </w:rPr>
        <w:t>采购</w:t>
      </w:r>
      <w:r>
        <w:rPr>
          <w:rFonts w:hint="eastAsia" w:cs="宋体" w:asciiTheme="minorEastAsia" w:hAnsiTheme="minorEastAsia"/>
          <w:kern w:val="0"/>
          <w:szCs w:val="21"/>
          <w:highlight w:val="none"/>
        </w:rPr>
        <w:t>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按照《关于推进全流程电子化交易和在线监管工作有关问题的通知》（许公管办[2019]3号）规定，不同投标人电子投标文件制作硬件特征码（网卡MAC地址、CPU序号、硬盘序列号等）</w:t>
      </w:r>
      <w:r>
        <w:rPr>
          <w:rFonts w:hint="eastAsia" w:ascii="ˎ̥" w:hAnsi="ˎ̥"/>
          <w:highlight w:val="none"/>
          <w:lang w:eastAsia="zh-CN"/>
        </w:rPr>
        <w:t>均一致</w:t>
      </w:r>
      <w:r>
        <w:rPr>
          <w:rFonts w:hint="eastAsia" w:ascii="ˎ̥" w:hAnsi="ˎ̥"/>
          <w:highlight w:val="none"/>
        </w:rPr>
        <w:t>时，视为‘</w:t>
      </w:r>
      <w:r>
        <w:rPr>
          <w:rFonts w:ascii="ˎ̥" w:hAnsi="ˎ̥"/>
          <w:highlight w:val="none"/>
        </w:rPr>
        <w:t>不同</w:t>
      </w:r>
      <w:r>
        <w:rPr>
          <w:rFonts w:hint="eastAsia" w:ascii="ˎ̥" w:hAnsi="ˎ̥"/>
          <w:highlight w:val="none"/>
        </w:rPr>
        <w:t>投标人</w:t>
      </w:r>
      <w:r>
        <w:rPr>
          <w:rFonts w:ascii="ˎ̥" w:hAnsi="ˎ̥"/>
          <w:highlight w:val="none"/>
        </w:rPr>
        <w:t>的</w:t>
      </w:r>
      <w:r>
        <w:rPr>
          <w:rFonts w:hint="eastAsia" w:ascii="ˎ̥" w:hAnsi="ˎ̥"/>
          <w:highlight w:val="none"/>
        </w:rPr>
        <w:t>投标</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投标人</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’，其投标无效。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cs="宋体" w:asciiTheme="minorEastAsia" w:hAnsiTheme="minorEastAsia"/>
          <w:kern w:val="0"/>
          <w:szCs w:val="21"/>
          <w:highlight w:val="none"/>
        </w:rPr>
        <w:t>法律、法规和招标文件规定的其他无效情形。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w:t>
      </w:r>
      <w:r>
        <w:rPr>
          <w:rFonts w:hint="eastAsia" w:cs="宋体" w:asciiTheme="minorEastAsia" w:hAnsiTheme="minorEastAsia"/>
          <w:kern w:val="0"/>
          <w:szCs w:val="21"/>
          <w:lang w:eastAsia="zh-CN"/>
        </w:rPr>
        <w:t>核心产品</w:t>
      </w:r>
      <w:r>
        <w:rPr>
          <w:rFonts w:hint="eastAsia" w:cs="宋体" w:asciiTheme="minorEastAsia" w:hAnsiTheme="minor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w:t>
      </w:r>
      <w:r>
        <w:rPr>
          <w:rFonts w:hint="eastAsia" w:cs="宋体" w:asciiTheme="minorEastAsia" w:hAnsiTheme="minorEastAsia"/>
          <w:kern w:val="0"/>
          <w:szCs w:val="21"/>
          <w:lang w:eastAsia="zh-CN"/>
        </w:rPr>
        <w:t>采购人</w:t>
      </w:r>
      <w:r>
        <w:rPr>
          <w:rFonts w:hint="eastAsia" w:cs="宋体" w:asciiTheme="minorEastAsia" w:hAnsiTheme="minorEastAsia"/>
          <w:kern w:val="0"/>
          <w:szCs w:val="21"/>
        </w:rPr>
        <w:t>在公告中标结果的同时，向中标人发出中标通知书。</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3"/>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w:t>
      </w:r>
      <w:r>
        <w:rPr>
          <w:rFonts w:hint="eastAsia" w:cs="宋体" w:asciiTheme="minorEastAsia" w:hAnsiTheme="minorEastAsia"/>
          <w:b/>
          <w:kern w:val="0"/>
          <w:szCs w:val="21"/>
          <w:lang w:eastAsia="zh-CN"/>
        </w:rPr>
        <w:t>担保</w:t>
      </w:r>
    </w:p>
    <w:p>
      <w:pPr>
        <w:spacing w:line="400" w:lineRule="exact"/>
        <w:ind w:firstLine="840" w:firstLineChars="400"/>
        <w:rPr>
          <w:rFonts w:hint="eastAsia" w:ascii="宋体" w:hAnsi="宋体"/>
          <w:szCs w:val="21"/>
        </w:rPr>
      </w:pPr>
      <w:r>
        <w:rPr>
          <w:rFonts w:hint="eastAsia" w:ascii="宋体" w:hAnsi="宋体"/>
          <w:szCs w:val="21"/>
        </w:rPr>
        <w:t>在签订合同前，中标人应按供应商“ 投标人须知前附表”提交履约</w:t>
      </w:r>
      <w:r>
        <w:rPr>
          <w:rFonts w:hint="eastAsia" w:ascii="宋体" w:hAnsi="宋体"/>
          <w:szCs w:val="21"/>
          <w:lang w:eastAsia="zh-CN"/>
        </w:rPr>
        <w:t>担保</w:t>
      </w:r>
      <w:r>
        <w:rPr>
          <w:rFonts w:hint="eastAsia" w:ascii="宋体" w:hAnsi="宋体"/>
          <w:szCs w:val="21"/>
        </w:rPr>
        <w:t>。</w:t>
      </w:r>
    </w:p>
    <w:p>
      <w:pPr>
        <w:spacing w:line="400" w:lineRule="exact"/>
        <w:rPr>
          <w:rFonts w:hint="eastAsia"/>
          <w:szCs w:val="21"/>
        </w:rPr>
      </w:pP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按照</w:t>
      </w:r>
      <w:r>
        <w:rPr>
          <w:rFonts w:hint="eastAsia" w:ascii="宋体" w:hAnsi="宋体"/>
          <w:szCs w:val="21"/>
        </w:rPr>
        <w:t>“ 投标人须知前附表”提交履约</w:t>
      </w:r>
      <w:r>
        <w:rPr>
          <w:rFonts w:hint="eastAsia" w:ascii="宋体" w:hAnsi="宋体"/>
          <w:szCs w:val="21"/>
          <w:lang w:eastAsia="zh-CN"/>
        </w:rPr>
        <w:t>担保</w:t>
      </w:r>
      <w:r>
        <w:rPr>
          <w:rFonts w:hint="eastAsia" w:ascii="宋体" w:hAnsi="宋体"/>
          <w:szCs w:val="21"/>
        </w:rPr>
        <w:t>的，视为放弃中标，给采购人造成的损失的，中标人还应当予以赔偿。</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ascii="宋体" w:hAnsi="宋体" w:cs="宋体"/>
          <w:b/>
          <w:kern w:val="0"/>
          <w:sz w:val="32"/>
          <w:szCs w:val="32"/>
        </w:rPr>
      </w:pP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29"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29"/>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hint="eastAsia" w:ascii="宋体" w:hAns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6"/>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lang w:eastAsia="zh-CN"/>
        </w:rPr>
        <w:t>由</w:t>
      </w:r>
      <w:r>
        <w:rPr>
          <w:rFonts w:hint="eastAsia" w:asciiTheme="minorEastAsia" w:hAnsiTheme="minorEastAsia"/>
          <w:bCs/>
          <w:szCs w:val="21"/>
          <w:highlight w:val="none"/>
        </w:rPr>
        <w:t>采购人</w:t>
      </w:r>
      <w:r>
        <w:rPr>
          <w:rFonts w:hint="eastAsia" w:asciiTheme="minorEastAsia" w:hAnsiTheme="minorEastAsia"/>
          <w:bCs/>
          <w:szCs w:val="21"/>
          <w:highlight w:val="none"/>
          <w:lang w:eastAsia="zh-CN"/>
        </w:rPr>
        <w:t>代表</w:t>
      </w:r>
      <w:r>
        <w:rPr>
          <w:rFonts w:hint="eastAsia" w:asciiTheme="minorEastAsia" w:hAnsiTheme="minorEastAsia"/>
          <w:bCs/>
          <w:szCs w:val="21"/>
          <w:highlight w:val="none"/>
          <w:lang w:val="en-US" w:eastAsia="zh-CN"/>
        </w:rPr>
        <w:t>1人（需出具委托书）</w:t>
      </w:r>
      <w:r>
        <w:rPr>
          <w:rFonts w:hint="eastAsia" w:asciiTheme="minorEastAsia" w:hAnsiTheme="minorEastAsia"/>
          <w:bCs/>
          <w:szCs w:val="21"/>
          <w:highlight w:val="none"/>
        </w:rPr>
        <w:t>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2016年度、2017年度、</w:t>
            </w:r>
            <w:r>
              <w:rPr>
                <w:rFonts w:hint="eastAsia" w:asciiTheme="minorEastAsia" w:hAnsiTheme="minorEastAsia"/>
                <w:bCs/>
                <w:szCs w:val="21"/>
              </w:rPr>
              <w:t>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imes New Roman" w:hAnsi="Times New Roman" w:cs="宋体"/>
                <w:szCs w:val="21"/>
                <w:lang w:bidi="ar"/>
              </w:rPr>
              <w:t>（新注册公司从注册交纳起计算，不足的视为满足</w:t>
            </w:r>
            <w:r>
              <w:rPr>
                <w:rFonts w:hint="eastAsia" w:ascii="Times New Roman" w:hAnsi="Times New Roman" w:cs="宋体"/>
                <w:szCs w:val="21"/>
                <w:lang w:eastAsia="zh-CN" w:bidi="ar"/>
              </w:rPr>
              <w:t>）</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pPr>
            <w:r>
              <w:rPr>
                <w:rFonts w:hint="eastAsia"/>
              </w:rPr>
              <w:t>政府采购活动中查询及使用投标人信用记录的具体要求为：投标人未被列入</w:t>
            </w:r>
            <w:r>
              <w:t>“信用中国”网站</w:t>
            </w:r>
            <w:r>
              <w:rPr>
                <w:rFonts w:hint="eastAsia"/>
              </w:rPr>
              <w:t>失信被执行人、重大税收违法案件当事人名单、“</w:t>
            </w:r>
            <w:r>
              <w:t>中国政府采购网</w:t>
            </w:r>
            <w:r>
              <w:rPr>
                <w:rFonts w:hint="eastAsia"/>
              </w:rPr>
              <w:t>”政府采购严重违法失信行为记录名单“中国社会组织公共服务平台”网站（</w:t>
            </w:r>
            <w:r>
              <w:t>www.chinanpo.gov.cn</w:t>
            </w:r>
            <w:r>
              <w:rPr>
                <w:rFonts w:hint="eastAsia"/>
              </w:rPr>
              <w:t>）严重违法失信社会组织名单的投标人；（联合体形式投标的，联合体成员存在不良信用记录，视同联合体存在不良信用记录）。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rPr>
                <w:rFonts w:hint="eastAsia"/>
              </w:rPr>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spacing w:line="360" w:lineRule="auto"/>
            </w:pPr>
            <w:r>
              <w:rPr>
                <w:rFonts w:hint="eastAsia"/>
              </w:rPr>
              <w:t>（2）截止时间：同投标截止时间；</w:t>
            </w:r>
          </w:p>
          <w:p>
            <w:pPr>
              <w:spacing w:line="360" w:lineRule="auto"/>
            </w:pPr>
            <w:r>
              <w:rPr>
                <w:rFonts w:hint="eastAsia"/>
              </w:rPr>
              <w:t>（3）信用信息查询记录和证据留存具体方式：经采购人确认的查询结果网页截图作为查询记录和证据，与其他采购文件一并保存；</w:t>
            </w:r>
          </w:p>
          <w:p>
            <w:pPr>
              <w:spacing w:line="360" w:lineRule="auto"/>
              <w:rPr>
                <w:rFonts w:hint="eastAsia"/>
              </w:rPr>
            </w:pPr>
            <w:r>
              <w:rPr>
                <w:rFonts w:hint="eastAsia"/>
              </w:rPr>
              <w:t>（4）信用信息的使用原则：经采购人认定的被列入失信被执行人、重大税收违法案件当事人名单、政府采购严重违法失信行为记录名单的投标人，严重违法失信企业名单（黑名单）、严重违法失信社会组织的投标人，将拒绝其参与本次政府采购活动。</w:t>
            </w:r>
          </w:p>
          <w:p>
            <w:pPr>
              <w:spacing w:line="360" w:lineRule="auto"/>
            </w:pPr>
            <w:r>
              <w:rPr>
                <w:rFonts w:hint="eastAsia" w:cs="宋体" w:asciiTheme="minorEastAsia" w:hAnsiTheme="minorEastAsia"/>
                <w:kern w:val="0"/>
                <w:szCs w:val="21"/>
                <w:highlight w:val="none"/>
              </w:rPr>
              <w:t>5、</w:t>
            </w:r>
            <w:r>
              <w:rPr>
                <w:rFonts w:hint="eastAsia" w:cs="宋体" w:asciiTheme="minorEastAsia" w:hAnsiTheme="minorEastAsia"/>
                <w:kern w:val="0"/>
                <w:szCs w:val="21"/>
                <w:highlight w:val="none"/>
                <w:lang w:eastAsia="zh-CN"/>
              </w:rPr>
              <w:t>投标人无须提供信用记录查询结果网页截屏，</w:t>
            </w:r>
            <w:r>
              <w:rPr>
                <w:rFonts w:hint="eastAsia" w:cs="宋体" w:asciiTheme="minorEastAsia" w:hAnsiTheme="minorEastAsia"/>
                <w:kern w:val="0"/>
                <w:szCs w:val="21"/>
                <w:highlight w:val="none"/>
              </w:rPr>
              <w:t>投标人不良信用记录以采购人</w:t>
            </w:r>
            <w:r>
              <w:rPr>
                <w:rFonts w:hint="eastAsia" w:cs="宋体" w:asciiTheme="minorEastAsia" w:hAnsiTheme="minorEastAsia"/>
                <w:kern w:val="0"/>
                <w:szCs w:val="21"/>
                <w:highlight w:val="none"/>
                <w:lang w:eastAsia="zh-CN"/>
              </w:rPr>
              <w:t>在开标现场</w:t>
            </w:r>
            <w:r>
              <w:rPr>
                <w:rFonts w:hint="eastAsia" w:cs="宋体" w:asciiTheme="minorEastAsia" w:hAnsiTheme="minorEastAsia"/>
                <w:kern w:val="0"/>
                <w:szCs w:val="21"/>
                <w:highlight w:val="none"/>
              </w:rPr>
              <w:t>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b/>
                <w:szCs w:val="21"/>
              </w:rPr>
            </w:pPr>
            <w:r>
              <w:rPr>
                <w:rFonts w:hint="eastAsia" w:ascii="宋体" w:hAnsi="宋体"/>
                <w:b/>
                <w:bCs/>
                <w:sz w:val="24"/>
                <w:szCs w:val="24"/>
                <w:lang w:eastAsia="zh-CN"/>
              </w:rPr>
              <w:t>投标承诺函</w:t>
            </w:r>
          </w:p>
        </w:tc>
        <w:tc>
          <w:tcPr>
            <w:tcW w:w="5954"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b/>
                <w:bCs/>
                <w:szCs w:val="21"/>
              </w:rPr>
            </w:pPr>
            <w:r>
              <w:rPr>
                <w:rFonts w:hint="eastAsia" w:ascii="宋体" w:hAnsi="宋体"/>
                <w:bCs/>
                <w:sz w:val="24"/>
                <w:szCs w:val="24"/>
              </w:rPr>
              <w:t>参考</w:t>
            </w:r>
            <w:r>
              <w:rPr>
                <w:rFonts w:hint="eastAsia" w:ascii="宋体" w:hAnsi="宋体"/>
                <w:bCs/>
                <w:sz w:val="24"/>
                <w:szCs w:val="24"/>
                <w:lang w:eastAsia="zh-CN"/>
              </w:rPr>
              <w:t>采购</w:t>
            </w:r>
            <w:r>
              <w:rPr>
                <w:rFonts w:hint="eastAsia" w:ascii="宋体" w:hAnsi="宋体"/>
                <w:bCs/>
                <w:sz w:val="24"/>
                <w:szCs w:val="24"/>
              </w:rPr>
              <w:t>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Theme="minorEastAsia" w:hAnsiTheme="minorEastAsia" w:eastAsiaTheme="minorEastAsia"/>
                <w:b/>
                <w:szCs w:val="21"/>
                <w:lang w:eastAsia="zh-CN"/>
              </w:rPr>
            </w:pPr>
            <w:r>
              <w:rPr>
                <w:rFonts w:hint="eastAsia" w:asciiTheme="minorEastAsia" w:hAnsiTheme="minorEastAsia"/>
                <w:b/>
                <w:szCs w:val="21"/>
              </w:rPr>
              <w:t>1</w:t>
            </w:r>
            <w:r>
              <w:rPr>
                <w:rFonts w:hint="eastAsia" w:asciiTheme="minorEastAsia" w:hAnsiTheme="minorEastAsia"/>
                <w:b/>
                <w:szCs w:val="21"/>
                <w:lang w:val="en-US" w:eastAsia="zh-CN"/>
              </w:rPr>
              <w:t>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0" w:name="baidusnap2"/>
            <w:bookmarkEnd w:id="30"/>
            <w:r>
              <w:rPr>
                <w:rFonts w:hint="eastAsia" w:cs="仿宋_GB2312" w:asciiTheme="minorEastAsia" w:hAnsiTheme="minorEastAsia"/>
                <w:szCs w:val="21"/>
                <w:lang w:val="zh-CN"/>
              </w:rPr>
              <w:t>提供未为本项目提供整体设计、</w:t>
            </w:r>
            <w:bookmarkStart w:id="31" w:name="baidusnap9"/>
            <w:bookmarkEnd w:id="31"/>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spacing w:line="360" w:lineRule="auto"/>
        <w:ind w:firstLine="480" w:firstLineChars="200"/>
        <w:contextualSpacing/>
        <w:rPr>
          <w:rFonts w:hint="eastAsia"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hint="eastAsia" w:ascii="宋体" w:hAnsi="宋体" w:cs="仿宋_GB2312"/>
          <w:b/>
          <w:szCs w:val="21"/>
          <w:lang w:val="en-US" w:eastAsia="zh-CN"/>
        </w:rPr>
        <w:t>4</w:t>
      </w:r>
      <w:r>
        <w:rPr>
          <w:rFonts w:hint="eastAsia" w:ascii="宋体" w:hAnsi="宋体" w:cs="仿宋_GB2312"/>
          <w:b/>
          <w:szCs w:val="21"/>
          <w:lang w:val="zh-CN"/>
        </w:rPr>
        <w:t>）支持脱贫攻坚（物业服务采购）</w:t>
      </w:r>
    </w:p>
    <w:p>
      <w:pPr>
        <w:tabs>
          <w:tab w:val="left" w:pos="1260"/>
        </w:tabs>
        <w:autoSpaceDE w:val="0"/>
        <w:autoSpaceDN w:val="0"/>
        <w:spacing w:line="360" w:lineRule="auto"/>
        <w:ind w:firstLine="420" w:firstLineChars="200"/>
        <w:contextualSpacing/>
        <w:rPr>
          <w:rFonts w:hint="eastAsia" w:ascii="宋体" w:hAnsi="宋体" w:cs="仿宋_GB2312" w:eastAsiaTheme="minorEastAsia"/>
          <w:szCs w:val="21"/>
          <w:lang w:val="en-US" w:eastAsia="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r>
        <w:rPr>
          <w:rFonts w:hint="eastAsia" w:ascii="宋体" w:hAnsi="宋体" w:cs="仿宋_GB2312"/>
          <w:szCs w:val="21"/>
          <w:lang w:val="en-US" w:eastAsia="zh-CN"/>
        </w:rPr>
        <w:t>.</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w:t>
      </w:r>
      <w:r>
        <w:rPr>
          <w:rFonts w:hint="eastAsia" w:cs="仿宋_GB2312" w:asciiTheme="minorEastAsia" w:hAnsiTheme="minorEastAsia"/>
          <w:b/>
          <w:szCs w:val="21"/>
          <w:highlight w:val="none"/>
          <w:lang w:val="en-US" w:eastAsia="zh-CN"/>
        </w:rPr>
        <w:t>5</w:t>
      </w:r>
      <w:r>
        <w:rPr>
          <w:rFonts w:hint="eastAsia" w:cs="仿宋_GB2312" w:asciiTheme="minorEastAsia" w:hAnsiTheme="minorEastAsia"/>
          <w:b/>
          <w:szCs w:val="21"/>
          <w:highlight w:val="none"/>
          <w:lang w:val="zh-CN"/>
        </w:rPr>
        <w:t>）投标无效情形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pPr w:leftFromText="180" w:rightFromText="180" w:vertAnchor="text" w:horzAnchor="page" w:tblpX="1230" w:tblpY="735"/>
        <w:tblOverlap w:val="never"/>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0"/>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233" w:type="dxa"/>
            <w:gridSpan w:val="2"/>
            <w:vAlign w:val="center"/>
          </w:tcPr>
          <w:p>
            <w:pPr>
              <w:spacing w:line="360" w:lineRule="auto"/>
              <w:jc w:val="center"/>
              <w:rPr>
                <w:rFonts w:asciiTheme="minorEastAsia" w:hAnsiTheme="minorEastAsia"/>
                <w:color w:val="auto"/>
                <w:szCs w:val="21"/>
                <w:highlight w:val="none"/>
              </w:rPr>
            </w:pPr>
            <w:r>
              <w:rPr>
                <w:rFonts w:hint="eastAsia" w:asciiTheme="minorEastAsia" w:hAnsiTheme="minorEastAsia"/>
                <w:color w:val="auto"/>
                <w:szCs w:val="21"/>
                <w:highlight w:val="none"/>
              </w:rPr>
              <w:t>分值构成</w:t>
            </w:r>
          </w:p>
          <w:p>
            <w:pPr>
              <w:snapToGrid w:val="0"/>
              <w:spacing w:beforeLines="50"/>
              <w:jc w:val="center"/>
              <w:rPr>
                <w:rFonts w:ascii="宋体" w:hAnsi="宋体" w:cs="宋体"/>
                <w:b/>
                <w:color w:val="auto"/>
                <w:szCs w:val="21"/>
                <w:highlight w:val="none"/>
              </w:rPr>
            </w:pPr>
            <w:r>
              <w:rPr>
                <w:rFonts w:hint="eastAsia" w:asciiTheme="minorEastAsia" w:hAnsiTheme="minorEastAsia"/>
                <w:color w:val="auto"/>
                <w:szCs w:val="21"/>
                <w:highlight w:val="none"/>
              </w:rPr>
              <w:t>(总分100分)</w:t>
            </w:r>
          </w:p>
        </w:tc>
        <w:tc>
          <w:tcPr>
            <w:tcW w:w="6450" w:type="dxa"/>
            <w:vAlign w:val="center"/>
          </w:tcPr>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价格分值：</w:t>
            </w:r>
            <w:r>
              <w:rPr>
                <w:rFonts w:hint="eastAsia" w:asciiTheme="minorEastAsia" w:hAnsiTheme="minorEastAsia"/>
                <w:color w:val="auto"/>
                <w:szCs w:val="21"/>
                <w:highlight w:val="none"/>
                <w:lang w:val="en-US" w:eastAsia="zh-CN"/>
              </w:rPr>
              <w:t>4</w:t>
            </w:r>
            <w:r>
              <w:rPr>
                <w:rFonts w:hint="eastAsia" w:asciiTheme="minorEastAsia" w:hAnsiTheme="minorEastAsia"/>
                <w:color w:val="auto"/>
                <w:szCs w:val="21"/>
                <w:highlight w:val="none"/>
                <w:u w:val="single"/>
                <w:lang w:val="en-US" w:eastAsia="zh-CN"/>
              </w:rPr>
              <w:t>0</w:t>
            </w:r>
            <w:r>
              <w:rPr>
                <w:rFonts w:hint="eastAsia" w:asciiTheme="minorEastAsia" w:hAnsiTheme="minorEastAsia"/>
                <w:color w:val="auto"/>
                <w:szCs w:val="21"/>
                <w:highlight w:val="none"/>
              </w:rPr>
              <w:t>分</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商务部分：</w:t>
            </w:r>
            <w:r>
              <w:rPr>
                <w:rFonts w:hint="eastAsia" w:asciiTheme="minorEastAsia" w:hAnsiTheme="minorEastAsia"/>
                <w:color w:val="auto"/>
                <w:szCs w:val="21"/>
                <w:highlight w:val="none"/>
                <w:u w:val="single"/>
                <w:lang w:val="en-US" w:eastAsia="zh-CN"/>
              </w:rPr>
              <w:t>32</w:t>
            </w:r>
            <w:r>
              <w:rPr>
                <w:rFonts w:hint="eastAsia" w:asciiTheme="minorEastAsia" w:hAnsiTheme="minorEastAsia"/>
                <w:color w:val="auto"/>
                <w:szCs w:val="21"/>
                <w:highlight w:val="none"/>
              </w:rPr>
              <w:t>分</w:t>
            </w:r>
          </w:p>
          <w:p>
            <w:pPr>
              <w:spacing w:beforeLines="50"/>
              <w:ind w:firstLine="420" w:firstLineChars="200"/>
              <w:rPr>
                <w:rFonts w:ascii="宋体" w:hAnsi="宋体" w:cs="宋体"/>
                <w:b/>
                <w:color w:val="auto"/>
                <w:szCs w:val="21"/>
                <w:highlight w:val="none"/>
              </w:rPr>
            </w:pPr>
            <w:r>
              <w:rPr>
                <w:rFonts w:hint="eastAsia" w:asciiTheme="minorEastAsia" w:hAnsiTheme="minorEastAsia"/>
                <w:color w:val="auto"/>
                <w:szCs w:val="21"/>
                <w:highlight w:val="none"/>
              </w:rPr>
              <w:t>技术部分：</w:t>
            </w:r>
            <w:r>
              <w:rPr>
                <w:rFonts w:hint="eastAsia" w:asciiTheme="minorEastAsia" w:hAnsiTheme="minorEastAsia"/>
                <w:color w:val="auto"/>
                <w:szCs w:val="21"/>
                <w:highlight w:val="none"/>
                <w:u w:val="single"/>
                <w:lang w:val="en-US" w:eastAsia="zh-CN"/>
              </w:rPr>
              <w:t>28</w:t>
            </w:r>
            <w:r>
              <w:rPr>
                <w:rFonts w:hint="eastAsia" w:asciiTheme="minorEastAsia" w:hAnsiTheme="minor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33" w:type="dxa"/>
            <w:vAlign w:val="center"/>
          </w:tcPr>
          <w:p>
            <w:pPr>
              <w:snapToGrid w:val="0"/>
              <w:spacing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评审项</w:t>
            </w:r>
          </w:p>
        </w:tc>
        <w:tc>
          <w:tcPr>
            <w:tcW w:w="1900" w:type="dxa"/>
            <w:vAlign w:val="center"/>
          </w:tcPr>
          <w:p>
            <w:pPr>
              <w:snapToGrid w:val="0"/>
              <w:spacing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6450" w:type="dxa"/>
            <w:vAlign w:val="center"/>
          </w:tcPr>
          <w:p>
            <w:pPr>
              <w:snapToGrid w:val="0"/>
              <w:spacing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w:t>
            </w:r>
            <w:r>
              <w:rPr>
                <w:rFonts w:hint="eastAsia" w:ascii="宋体" w:hAnsi="宋体" w:cs="宋体"/>
                <w:b/>
                <w:color w:val="auto"/>
                <w:szCs w:val="21"/>
                <w:highlight w:val="none"/>
              </w:rPr>
              <w:t>标</w:t>
            </w:r>
            <w:r>
              <w:rPr>
                <w:rFonts w:hint="eastAsia" w:ascii="宋体" w:hAnsi="宋体" w:eastAsia="宋体" w:cs="宋体"/>
                <w:b/>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133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highlight w:val="none"/>
              </w:rPr>
            </w:pPr>
            <w:r>
              <w:rPr>
                <w:rFonts w:hint="eastAsia" w:ascii="宋体" w:hAnsi="宋体" w:eastAsia="宋体" w:cs="宋体"/>
                <w:b w:val="0"/>
                <w:i w:val="0"/>
                <w:color w:val="auto"/>
                <w:kern w:val="2"/>
                <w:sz w:val="21"/>
                <w:szCs w:val="21"/>
                <w:highlight w:val="none"/>
                <w:u w:val="none"/>
                <w:lang w:val="en-US" w:eastAsia="zh-CN" w:bidi="ar"/>
              </w:rPr>
              <w:t>报价部分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highlight w:val="none"/>
              </w:rPr>
            </w:pPr>
            <w:r>
              <w:rPr>
                <w:rFonts w:hint="eastAsia" w:ascii="宋体" w:hAnsi="宋体" w:eastAsia="宋体" w:cs="宋体"/>
                <w:b w:val="0"/>
                <w:i w:val="0"/>
                <w:color w:val="auto"/>
                <w:kern w:val="2"/>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single"/>
                <w:lang w:val="en-US" w:eastAsia="zh-CN" w:bidi="ar"/>
              </w:rPr>
              <w:t>40</w:t>
            </w:r>
            <w:r>
              <w:rPr>
                <w:rFonts w:hint="eastAsia" w:ascii="宋体" w:hAnsi="宋体" w:eastAsia="宋体" w:cs="宋体"/>
                <w:b w:val="0"/>
                <w:i w:val="0"/>
                <w:color w:val="auto"/>
                <w:kern w:val="2"/>
                <w:sz w:val="21"/>
                <w:szCs w:val="21"/>
                <w:highlight w:val="none"/>
                <w:u w:val="none"/>
                <w:lang w:val="en-US" w:eastAsia="zh-CN" w:bidi="ar"/>
              </w:rPr>
              <w:t>分）</w:t>
            </w:r>
          </w:p>
        </w:tc>
        <w:tc>
          <w:tcPr>
            <w:tcW w:w="19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highlight w:val="none"/>
              </w:rPr>
            </w:pPr>
            <w:r>
              <w:rPr>
                <w:rFonts w:hint="eastAsia" w:ascii="宋体" w:hAnsi="宋体" w:eastAsia="宋体" w:cs="宋体"/>
                <w:b w:val="0"/>
                <w:i w:val="0"/>
                <w:color w:val="auto"/>
                <w:kern w:val="2"/>
                <w:sz w:val="21"/>
                <w:szCs w:val="21"/>
                <w:highlight w:val="none"/>
                <w:u w:val="none"/>
                <w:lang w:val="en-US" w:eastAsia="zh-CN" w:bidi="ar"/>
              </w:rPr>
              <w:t>报价</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color w:val="auto"/>
                <w:szCs w:val="21"/>
                <w:highlight w:val="none"/>
              </w:rPr>
            </w:pPr>
            <w:r>
              <w:rPr>
                <w:rFonts w:hint="eastAsia" w:ascii="宋体" w:hAnsi="宋体" w:eastAsia="宋体" w:cs="宋体"/>
                <w:b w:val="0"/>
                <w:i w:val="0"/>
                <w:color w:val="auto"/>
                <w:kern w:val="2"/>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single"/>
                <w:lang w:val="en-US" w:eastAsia="zh-CN" w:bidi="ar"/>
              </w:rPr>
              <w:t> </w:t>
            </w:r>
            <w:r>
              <w:rPr>
                <w:rFonts w:hint="eastAsia" w:ascii="宋体" w:hAnsi="宋体" w:cs="宋体"/>
                <w:b w:val="0"/>
                <w:i w:val="0"/>
                <w:color w:val="auto"/>
                <w:kern w:val="0"/>
                <w:sz w:val="21"/>
                <w:szCs w:val="21"/>
                <w:highlight w:val="none"/>
                <w:u w:val="single"/>
                <w:lang w:val="en-US" w:eastAsia="zh-CN" w:bidi="ar"/>
              </w:rPr>
              <w:t>40</w:t>
            </w:r>
            <w:r>
              <w:rPr>
                <w:rFonts w:hint="eastAsia" w:ascii="宋体" w:hAnsi="宋体" w:eastAsia="宋体" w:cs="宋体"/>
                <w:b w:val="0"/>
                <w:i w:val="0"/>
                <w:color w:val="auto"/>
                <w:kern w:val="2"/>
                <w:sz w:val="21"/>
                <w:szCs w:val="21"/>
                <w:highlight w:val="none"/>
                <w:u w:val="none"/>
                <w:lang w:val="en-US" w:eastAsia="zh-CN" w:bidi="ar"/>
              </w:rPr>
              <w:t>分）</w:t>
            </w:r>
          </w:p>
        </w:tc>
        <w:tc>
          <w:tcPr>
            <w:tcW w:w="6450" w:type="dxa"/>
            <w:vAlign w:val="center"/>
          </w:tcPr>
          <w:p>
            <w:pPr>
              <w:tabs>
                <w:tab w:val="left" w:pos="360"/>
              </w:tabs>
              <w:spacing w:line="360" w:lineRule="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有效供应商中投标价格最低的投标报价为评标基准价，其价格分为满分。</w:t>
            </w:r>
          </w:p>
          <w:p>
            <w:pPr>
              <w:tabs>
                <w:tab w:val="left" w:pos="360"/>
              </w:tabs>
              <w:spacing w:line="360" w:lineRule="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其他供应商的价格分统一按照下列公式计算：</w:t>
            </w:r>
          </w:p>
          <w:p>
            <w:pPr>
              <w:tabs>
                <w:tab w:val="left" w:pos="360"/>
              </w:tabs>
              <w:spacing w:line="360" w:lineRule="auto"/>
              <w:rPr>
                <w:rFonts w:hint="eastAsia" w:ascii="宋体" w:hAnsi="宋体" w:cs="宋体"/>
                <w:kern w:val="0"/>
                <w:sz w:val="22"/>
                <w:szCs w:val="22"/>
                <w:lang w:val="en-US" w:eastAsia="zh-CN"/>
              </w:rPr>
            </w:pPr>
            <w:r>
              <w:rPr>
                <w:rFonts w:hint="eastAsia" w:ascii="宋体" w:hAnsi="宋体" w:cs="宋体"/>
                <w:kern w:val="0"/>
                <w:sz w:val="22"/>
                <w:szCs w:val="22"/>
                <w:lang w:val="en-US" w:eastAsia="zh-CN"/>
              </w:rPr>
              <w:t>投标报价得分=(评标基准价／投标报价)×40%×100。</w:t>
            </w:r>
          </w:p>
          <w:p>
            <w:pPr>
              <w:tabs>
                <w:tab w:val="left" w:pos="360"/>
              </w:tabs>
              <w:spacing w:line="360" w:lineRule="auto"/>
              <w:rPr>
                <w:rFonts w:hint="eastAsia" w:ascii="宋体" w:hAnsi="宋体" w:cs="宋体"/>
                <w:kern w:val="0"/>
                <w:sz w:val="22"/>
                <w:szCs w:val="22"/>
              </w:rPr>
            </w:pPr>
            <w:r>
              <w:rPr>
                <w:rFonts w:hint="eastAsia" w:ascii="宋体" w:hAnsi="宋体" w:cs="宋体"/>
                <w:kern w:val="0"/>
                <w:sz w:val="22"/>
                <w:szCs w:val="22"/>
                <w:lang w:val="en-US" w:eastAsia="zh-CN"/>
              </w:rPr>
              <w:t>注：分值计算保留小数点后两位，小数点后第三位“四舍五入”。</w:t>
            </w:r>
            <w:r>
              <w:rPr>
                <w:rFonts w:hint="eastAsia" w:ascii="宋体" w:hAnsi="宋体" w:cs="宋体"/>
                <w:kern w:val="0"/>
                <w:sz w:val="22"/>
                <w:szCs w:val="22"/>
                <w:lang w:val="en-US" w:eastAsia="zh-CN"/>
              </w:rPr>
              <w:br w:type="textWrapping"/>
            </w:r>
            <w:r>
              <w:rPr>
                <w:rFonts w:hint="eastAsia" w:ascii="宋体" w:hAnsi="宋体" w:cs="宋体"/>
                <w:kern w:val="0"/>
                <w:sz w:val="22"/>
                <w:szCs w:val="22"/>
                <w:lang w:val="en-US" w:eastAsia="zh-CN"/>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333" w:type="dxa"/>
            <w:vMerge w:val="restart"/>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hanging="4" w:hangingChars="2"/>
              <w:jc w:val="center"/>
              <w:rPr>
                <w:b w:val="0"/>
                <w:i w:val="0"/>
                <w:color w:val="auto"/>
                <w:highlight w:val="none"/>
              </w:rPr>
            </w:pPr>
            <w:r>
              <w:rPr>
                <w:rFonts w:hint="eastAsia" w:ascii="宋体" w:hAnsi="宋体" w:eastAsia="宋体" w:cs="宋体"/>
                <w:b w:val="0"/>
                <w:i w:val="0"/>
                <w:color w:val="auto"/>
                <w:kern w:val="2"/>
                <w:sz w:val="21"/>
                <w:szCs w:val="21"/>
                <w:highlight w:val="none"/>
                <w:u w:val="none"/>
                <w:lang w:val="en-US" w:eastAsia="zh-CN" w:bidi="ar"/>
              </w:rPr>
              <w:t>商务部分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ascii="宋体" w:hAnsi="宋体" w:eastAsia="宋体" w:cs="宋体"/>
                <w:color w:val="auto"/>
                <w:szCs w:val="21"/>
                <w:highlight w:val="none"/>
              </w:rPr>
            </w:pPr>
            <w:r>
              <w:rPr>
                <w:rFonts w:hint="eastAsia" w:ascii="宋体" w:hAnsi="宋体" w:eastAsia="宋体" w:cs="宋体"/>
                <w:b w:val="0"/>
                <w:i w:val="0"/>
                <w:color w:val="auto"/>
                <w:kern w:val="2"/>
                <w:sz w:val="21"/>
                <w:szCs w:val="21"/>
                <w:highlight w:val="none"/>
                <w:u w:val="none"/>
                <w:lang w:val="en-US" w:eastAsia="zh-CN" w:bidi="ar"/>
              </w:rPr>
              <w:t>（</w:t>
            </w:r>
            <w:r>
              <w:rPr>
                <w:rFonts w:hint="eastAsia" w:ascii="宋体" w:hAnsi="宋体" w:eastAsia="宋体" w:cs="宋体"/>
                <w:b w:val="0"/>
                <w:i w:val="0"/>
                <w:color w:val="auto"/>
                <w:kern w:val="0"/>
                <w:sz w:val="21"/>
                <w:szCs w:val="21"/>
                <w:highlight w:val="none"/>
                <w:u w:val="single"/>
                <w:lang w:val="en-US" w:eastAsia="zh-CN" w:bidi="ar"/>
              </w:rPr>
              <w:t> </w:t>
            </w:r>
            <w:r>
              <w:rPr>
                <w:rFonts w:hint="eastAsia" w:ascii="宋体" w:hAnsi="宋体" w:cs="宋体"/>
                <w:b w:val="0"/>
                <w:i w:val="0"/>
                <w:color w:val="auto"/>
                <w:kern w:val="0"/>
                <w:sz w:val="21"/>
                <w:szCs w:val="21"/>
                <w:highlight w:val="none"/>
                <w:u w:val="single"/>
                <w:lang w:val="en-US" w:eastAsia="zh-CN" w:bidi="ar"/>
              </w:rPr>
              <w:t>32</w:t>
            </w:r>
            <w:r>
              <w:rPr>
                <w:rFonts w:hint="eastAsia" w:ascii="宋体" w:hAnsi="宋体" w:eastAsia="宋体" w:cs="宋体"/>
                <w:b w:val="0"/>
                <w:i w:val="0"/>
                <w:color w:val="auto"/>
                <w:kern w:val="0"/>
                <w:sz w:val="21"/>
                <w:szCs w:val="21"/>
                <w:highlight w:val="none"/>
                <w:u w:val="single"/>
                <w:lang w:val="en-US" w:eastAsia="zh-CN" w:bidi="ar"/>
              </w:rPr>
              <w:t> </w:t>
            </w:r>
            <w:r>
              <w:rPr>
                <w:rFonts w:hint="eastAsia" w:ascii="宋体" w:hAnsi="宋体" w:eastAsia="宋体" w:cs="宋体"/>
                <w:b w:val="0"/>
                <w:i w:val="0"/>
                <w:color w:val="auto"/>
                <w:kern w:val="2"/>
                <w:sz w:val="21"/>
                <w:szCs w:val="21"/>
                <w:highlight w:val="none"/>
                <w:u w:val="none"/>
                <w:lang w:val="en-US" w:eastAsia="zh-CN" w:bidi="ar"/>
              </w:rPr>
              <w:t>分）</w:t>
            </w:r>
          </w:p>
        </w:tc>
        <w:tc>
          <w:tcPr>
            <w:tcW w:w="19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color w:val="auto"/>
                <w:highlight w:val="none"/>
              </w:rPr>
            </w:pPr>
            <w:r>
              <w:rPr>
                <w:rFonts w:hint="eastAsia" w:ascii="宋体" w:hAnsi="宋体" w:eastAsia="宋体" w:cs="Times New Roman"/>
                <w:b w:val="0"/>
                <w:i w:val="0"/>
                <w:color w:val="auto"/>
                <w:kern w:val="2"/>
                <w:sz w:val="21"/>
                <w:szCs w:val="21"/>
                <w:highlight w:val="none"/>
                <w:u w:val="none"/>
                <w:lang w:val="en-US" w:eastAsia="zh-CN" w:bidi="ar"/>
              </w:rPr>
              <w:t>业绩</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Times New Roman"/>
                <w:color w:val="auto"/>
                <w:szCs w:val="21"/>
                <w:highlight w:val="none"/>
              </w:rPr>
            </w:pPr>
            <w:r>
              <w:rPr>
                <w:rFonts w:hint="eastAsia" w:ascii="宋体" w:hAnsi="宋体" w:eastAsia="宋体" w:cs="Times New Roman"/>
                <w:b w:val="0"/>
                <w:i w:val="0"/>
                <w:color w:val="auto"/>
                <w:kern w:val="2"/>
                <w:sz w:val="21"/>
                <w:szCs w:val="21"/>
                <w:highlight w:val="none"/>
                <w:u w:val="none"/>
                <w:lang w:val="en-US" w:eastAsia="zh-CN" w:bidi="ar"/>
              </w:rPr>
              <w:t>（10分）</w:t>
            </w:r>
          </w:p>
        </w:tc>
        <w:tc>
          <w:tcPr>
            <w:tcW w:w="64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Times New Roman"/>
                <w:b w:val="0"/>
                <w:i w:val="0"/>
                <w:color w:val="000000"/>
                <w:kern w:val="2"/>
                <w:sz w:val="21"/>
                <w:szCs w:val="21"/>
                <w:highlight w:val="none"/>
                <w:u w:val="none"/>
                <w:lang w:val="zh-CN" w:eastAsia="zh-CN" w:bidi="ar"/>
              </w:rPr>
            </w:pPr>
            <w:r>
              <w:rPr>
                <w:rFonts w:hint="eastAsia" w:ascii="宋体" w:hAnsi="宋体" w:cs="宋体"/>
                <w:kern w:val="0"/>
                <w:sz w:val="22"/>
                <w:szCs w:val="22"/>
              </w:rPr>
              <w:t>投标人具有专项服务于城市园林绿化管理的信息化系统项目（如城市园林绿化数字化管理系统项目、智慧园林信息系统项目等）建设经验，201</w:t>
            </w:r>
            <w:r>
              <w:rPr>
                <w:rFonts w:hint="eastAsia" w:ascii="宋体" w:hAnsi="宋体" w:cs="宋体"/>
                <w:kern w:val="0"/>
                <w:sz w:val="22"/>
                <w:szCs w:val="22"/>
                <w:lang w:val="en-US" w:eastAsia="zh-CN"/>
              </w:rPr>
              <w:t>6</w:t>
            </w:r>
            <w:r>
              <w:rPr>
                <w:rFonts w:hint="eastAsia" w:ascii="宋体" w:hAnsi="宋体" w:cs="宋体"/>
                <w:kern w:val="0"/>
                <w:sz w:val="22"/>
                <w:szCs w:val="22"/>
              </w:rPr>
              <w:t>年至今拥有类似项目业绩，</w:t>
            </w:r>
            <w:r>
              <w:rPr>
                <w:rFonts w:hint="eastAsia" w:ascii="宋体" w:hAnsi="宋体" w:cs="宋体"/>
                <w:szCs w:val="21"/>
                <w:highlight w:val="none"/>
                <w:lang w:val="en-US" w:eastAsia="zh-CN"/>
              </w:rPr>
              <w:t>每份业绩的</w:t>
            </w:r>
            <w:r>
              <w:rPr>
                <w:rFonts w:hint="default" w:ascii="宋体" w:hAnsi="宋体" w:cs="宋体"/>
                <w:szCs w:val="21"/>
                <w:highlight w:val="none"/>
                <w:lang w:val="en-US"/>
              </w:rPr>
              <w:t>得</w:t>
            </w:r>
            <w:r>
              <w:rPr>
                <w:rFonts w:hint="eastAsia" w:ascii="宋体" w:hAnsi="宋体" w:cs="宋体"/>
                <w:szCs w:val="21"/>
                <w:highlight w:val="none"/>
                <w:lang w:val="en-US" w:eastAsia="zh-CN"/>
              </w:rPr>
              <w:t>2</w:t>
            </w:r>
            <w:r>
              <w:rPr>
                <w:rFonts w:hint="default" w:ascii="宋体" w:hAnsi="宋体" w:cs="宋体"/>
                <w:szCs w:val="21"/>
                <w:highlight w:val="none"/>
                <w:lang w:val="en-US"/>
              </w:rPr>
              <w:t>分；</w:t>
            </w:r>
            <w:r>
              <w:rPr>
                <w:rFonts w:hint="eastAsia" w:ascii="宋体" w:hAnsi="宋体" w:cs="宋体"/>
                <w:szCs w:val="21"/>
                <w:highlight w:val="none"/>
                <w:lang w:val="en-US" w:eastAsia="zh-CN"/>
              </w:rPr>
              <w:t>最高</w:t>
            </w:r>
            <w:r>
              <w:rPr>
                <w:rFonts w:hint="default" w:ascii="宋体" w:hAnsi="宋体" w:cs="宋体"/>
                <w:szCs w:val="21"/>
                <w:highlight w:val="none"/>
                <w:lang w:val="en-US"/>
              </w:rPr>
              <w:t>得</w:t>
            </w:r>
            <w:r>
              <w:rPr>
                <w:rFonts w:hint="eastAsia" w:ascii="宋体" w:hAnsi="宋体" w:cs="宋体"/>
                <w:szCs w:val="21"/>
                <w:highlight w:val="none"/>
                <w:lang w:val="en-US" w:eastAsia="zh-CN"/>
              </w:rPr>
              <w:t>10</w:t>
            </w:r>
            <w:r>
              <w:rPr>
                <w:rFonts w:hint="default" w:ascii="宋体" w:hAnsi="宋体" w:cs="宋体"/>
                <w:szCs w:val="21"/>
                <w:highlight w:val="none"/>
                <w:lang w:val="en-US"/>
              </w:rPr>
              <w:t>分</w:t>
            </w:r>
            <w:r>
              <w:rPr>
                <w:rFonts w:hint="eastAsia" w:ascii="宋体" w:hAnsi="宋体" w:cs="宋体"/>
                <w:szCs w:val="21"/>
                <w:highlight w:val="none"/>
              </w:rPr>
              <w:t>（以合同签订时间为准）</w:t>
            </w:r>
            <w:r>
              <w:rPr>
                <w:rFonts w:hint="eastAsia" w:ascii="宋体" w:hAnsi="宋体" w:eastAsia="宋体" w:cs="宋体"/>
                <w:kern w:val="0"/>
                <w:sz w:val="21"/>
                <w:szCs w:val="21"/>
                <w:highlight w:val="none"/>
              </w:rPr>
              <w:t>（开标时提供法定媒介中标(成交)公示网页截图、合同、中标通知书</w:t>
            </w:r>
            <w:r>
              <w:rPr>
                <w:rFonts w:hint="eastAsia" w:ascii="Times New Roman" w:hAnsi="Times New Roman"/>
                <w:highlight w:val="none"/>
              </w:rPr>
              <w:t>电子扫描件</w:t>
            </w:r>
            <w:r>
              <w:rPr>
                <w:rFonts w:hint="eastAsia" w:ascii="宋体" w:hAnsi="宋体" w:cs="宋体"/>
                <w:highlight w:val="none"/>
              </w:rPr>
              <w:t>，三者缺一不计分</w:t>
            </w:r>
            <w:r>
              <w:rPr>
                <w:rFonts w:hint="eastAsia" w:ascii="宋体" w:hAnsi="宋体" w:eastAsia="宋体" w:cs="宋体"/>
                <w:kern w:val="0"/>
                <w:sz w:val="21"/>
                <w:szCs w:val="21"/>
                <w:highlight w:val="none"/>
                <w:lang w:eastAsia="zh-CN"/>
              </w:rPr>
              <w:t>）</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33" w:type="dxa"/>
            <w:vMerge w:val="continue"/>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2" w:right="0" w:rightChars="0" w:hanging="4" w:hangingChars="2"/>
              <w:jc w:val="center"/>
              <w:rPr>
                <w:rFonts w:hint="eastAsia" w:ascii="宋体" w:hAnsi="宋体" w:eastAsia="宋体" w:cs="宋体"/>
                <w:b w:val="0"/>
                <w:i w:val="0"/>
                <w:color w:val="auto"/>
                <w:kern w:val="2"/>
                <w:sz w:val="21"/>
                <w:szCs w:val="21"/>
                <w:highlight w:val="none"/>
                <w:u w:val="none"/>
                <w:lang w:val="en-US" w:eastAsia="zh-CN" w:bidi="ar"/>
              </w:rPr>
            </w:pPr>
          </w:p>
        </w:tc>
        <w:tc>
          <w:tcPr>
            <w:tcW w:w="19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Times New Roman"/>
                <w:b w:val="0"/>
                <w:i w:val="0"/>
                <w:color w:val="auto"/>
                <w:kern w:val="2"/>
                <w:sz w:val="21"/>
                <w:szCs w:val="21"/>
                <w:highlight w:val="none"/>
                <w:u w:val="none"/>
                <w:lang w:val="en-US" w:eastAsia="zh-CN" w:bidi="ar"/>
              </w:rPr>
            </w:pPr>
            <w:r>
              <w:rPr>
                <w:rFonts w:hint="eastAsia" w:ascii="宋体" w:hAnsi="宋体" w:eastAsia="宋体" w:cs="Times New Roman"/>
                <w:b w:val="0"/>
                <w:i w:val="0"/>
                <w:color w:val="auto"/>
                <w:kern w:val="2"/>
                <w:sz w:val="21"/>
                <w:szCs w:val="21"/>
                <w:highlight w:val="none"/>
                <w:u w:val="none"/>
                <w:lang w:val="en-US" w:eastAsia="zh-CN" w:bidi="ar"/>
              </w:rPr>
              <w:t>相关软件著作权</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cs="宋体"/>
                <w:color w:val="0000FF"/>
                <w:szCs w:val="21"/>
                <w:highlight w:val="none"/>
                <w:lang w:val="en-US" w:eastAsia="zh-CN"/>
              </w:rPr>
            </w:pPr>
            <w:r>
              <w:rPr>
                <w:rFonts w:hint="eastAsia" w:ascii="宋体" w:hAnsi="宋体" w:eastAsia="宋体" w:cs="Times New Roman"/>
                <w:b w:val="0"/>
                <w:i w:val="0"/>
                <w:color w:val="auto"/>
                <w:kern w:val="2"/>
                <w:sz w:val="21"/>
                <w:szCs w:val="21"/>
                <w:highlight w:val="none"/>
                <w:u w:val="none"/>
                <w:lang w:val="en-US" w:eastAsia="zh-CN" w:bidi="ar"/>
              </w:rPr>
              <w:t>（12分）</w:t>
            </w:r>
          </w:p>
        </w:tc>
        <w:tc>
          <w:tcPr>
            <w:tcW w:w="645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cs="宋体"/>
                <w:color w:val="0000FF"/>
                <w:szCs w:val="21"/>
                <w:highlight w:val="none"/>
                <w:lang w:val="en-US" w:eastAsia="zh-CN"/>
              </w:rPr>
            </w:pPr>
            <w:r>
              <w:rPr>
                <w:rFonts w:hint="eastAsia" w:ascii="宋体" w:hAnsi="宋体" w:cs="宋体"/>
                <w:kern w:val="0"/>
                <w:sz w:val="22"/>
                <w:szCs w:val="22"/>
              </w:rPr>
              <w:t>投标人具有城市园林绿化数字化管理或智慧园林信息系统相关的软件著作权，每</w:t>
            </w:r>
            <w:r>
              <w:rPr>
                <w:rFonts w:hint="eastAsia" w:ascii="宋体" w:hAnsi="宋体" w:cs="宋体"/>
                <w:color w:val="auto"/>
                <w:szCs w:val="21"/>
                <w:highlight w:val="none"/>
              </w:rPr>
              <w:t>提供1个软件著作权证书得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333" w:type="dxa"/>
            <w:vMerge w:val="continue"/>
            <w:vAlign w:val="center"/>
          </w:tcPr>
          <w:p>
            <w:pPr>
              <w:rPr>
                <w:rFonts w:ascii="宋体" w:hAnsi="宋体" w:eastAsia="宋体" w:cs="宋体"/>
                <w:color w:val="auto"/>
                <w:szCs w:val="21"/>
                <w:highlight w:val="none"/>
              </w:rPr>
            </w:pPr>
          </w:p>
        </w:tc>
        <w:tc>
          <w:tcPr>
            <w:tcW w:w="190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kern w:val="0"/>
                <w:sz w:val="22"/>
                <w:szCs w:val="22"/>
              </w:rPr>
            </w:pPr>
            <w:r>
              <w:rPr>
                <w:rFonts w:hint="eastAsia" w:ascii="宋体" w:hAnsi="宋体" w:cs="宋体"/>
                <w:kern w:val="0"/>
                <w:sz w:val="22"/>
                <w:szCs w:val="22"/>
              </w:rPr>
              <w:t>售后服务与培训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highlight w:val="none"/>
                <w:lang w:val="en-US" w:eastAsia="zh-CN"/>
              </w:rPr>
            </w:pPr>
            <w:r>
              <w:rPr>
                <w:rFonts w:hint="eastAsia" w:ascii="宋体" w:hAnsi="宋体" w:cs="宋体"/>
                <w:kern w:val="0"/>
                <w:sz w:val="22"/>
                <w:szCs w:val="22"/>
              </w:rPr>
              <w:t>（</w:t>
            </w:r>
            <w:r>
              <w:rPr>
                <w:rFonts w:hint="eastAsia" w:ascii="宋体" w:hAnsi="宋体" w:cs="宋体"/>
                <w:kern w:val="0"/>
                <w:sz w:val="22"/>
                <w:szCs w:val="22"/>
                <w:lang w:val="en-US" w:eastAsia="zh-CN"/>
              </w:rPr>
              <w:t>10</w:t>
            </w:r>
            <w:r>
              <w:rPr>
                <w:rFonts w:hint="eastAsia" w:ascii="宋体" w:hAnsi="宋体" w:cs="宋体"/>
                <w:kern w:val="0"/>
                <w:sz w:val="22"/>
                <w:szCs w:val="22"/>
              </w:rPr>
              <w:t>分）</w:t>
            </w:r>
          </w:p>
        </w:tc>
        <w:tc>
          <w:tcPr>
            <w:tcW w:w="6450" w:type="dxa"/>
            <w:vAlign w:val="center"/>
          </w:tcPr>
          <w:p>
            <w:pPr>
              <w:tabs>
                <w:tab w:val="left" w:pos="360"/>
              </w:tabs>
              <w:spacing w:line="360" w:lineRule="auto"/>
              <w:rPr>
                <w:rFonts w:hint="eastAsia" w:ascii="宋体" w:hAnsi="宋体" w:cs="宋体" w:eastAsiaTheme="minorEastAsia"/>
                <w:kern w:val="0"/>
                <w:sz w:val="22"/>
                <w:szCs w:val="22"/>
                <w:lang w:val="en-US" w:eastAsia="zh-CN"/>
              </w:rPr>
            </w:pPr>
            <w:r>
              <w:rPr>
                <w:rFonts w:hint="eastAsia" w:ascii="宋体" w:hAnsi="宋体" w:cs="宋体"/>
                <w:kern w:val="0"/>
                <w:sz w:val="22"/>
                <w:szCs w:val="22"/>
              </w:rPr>
              <w:t>1.项目培训方案内容全面、计划合理、措施得当、针对性强，且配备的师资力量雄厚：一般得</w:t>
            </w:r>
            <w:r>
              <w:rPr>
                <w:rFonts w:hint="eastAsia" w:ascii="宋体" w:hAnsi="宋体" w:cs="宋体"/>
                <w:kern w:val="0"/>
                <w:sz w:val="22"/>
                <w:szCs w:val="22"/>
                <w:lang w:val="en-US" w:eastAsia="zh-CN"/>
              </w:rPr>
              <w:t>2</w:t>
            </w:r>
            <w:r>
              <w:rPr>
                <w:rFonts w:hint="eastAsia" w:ascii="宋体" w:hAnsi="宋体" w:cs="宋体"/>
                <w:kern w:val="0"/>
                <w:sz w:val="22"/>
                <w:szCs w:val="22"/>
              </w:rPr>
              <w:t>分</w:t>
            </w:r>
            <w:r>
              <w:rPr>
                <w:rFonts w:hint="eastAsia" w:ascii="宋体" w:hAnsi="宋体" w:cs="宋体"/>
                <w:kern w:val="0"/>
                <w:sz w:val="22"/>
                <w:szCs w:val="22"/>
                <w:lang w:val="en-US" w:eastAsia="zh-CN"/>
              </w:rPr>
              <w:t>，</w:t>
            </w:r>
            <w:r>
              <w:rPr>
                <w:rFonts w:hint="eastAsia" w:ascii="宋体" w:hAnsi="宋体" w:cs="宋体"/>
                <w:kern w:val="0"/>
                <w:sz w:val="22"/>
                <w:szCs w:val="22"/>
                <w:lang w:eastAsia="zh-CN"/>
              </w:rPr>
              <w:t>很好</w:t>
            </w:r>
            <w:r>
              <w:rPr>
                <w:rFonts w:hint="eastAsia" w:ascii="宋体" w:hAnsi="宋体" w:cs="宋体"/>
                <w:kern w:val="0"/>
                <w:sz w:val="22"/>
                <w:szCs w:val="22"/>
              </w:rPr>
              <w:t>得</w:t>
            </w:r>
            <w:r>
              <w:rPr>
                <w:rFonts w:hint="eastAsia" w:ascii="宋体" w:hAnsi="宋体" w:cs="宋体"/>
                <w:kern w:val="0"/>
                <w:sz w:val="22"/>
                <w:szCs w:val="22"/>
                <w:lang w:val="en-US" w:eastAsia="zh-CN"/>
              </w:rPr>
              <w:t>5</w:t>
            </w:r>
            <w:r>
              <w:rPr>
                <w:rFonts w:hint="eastAsia" w:ascii="宋体" w:hAnsi="宋体" w:cs="宋体"/>
                <w:kern w:val="0"/>
                <w:sz w:val="22"/>
                <w:szCs w:val="22"/>
              </w:rPr>
              <w:t>分</w:t>
            </w:r>
            <w:r>
              <w:rPr>
                <w:rFonts w:hint="eastAsia" w:ascii="宋体" w:hAnsi="宋体" w:cs="宋体"/>
                <w:szCs w:val="21"/>
                <w:highlight w:val="none"/>
              </w:rPr>
              <w:t>。</w:t>
            </w:r>
          </w:p>
          <w:p>
            <w:pPr>
              <w:tabs>
                <w:tab w:val="left" w:pos="360"/>
              </w:tabs>
              <w:spacing w:line="360" w:lineRule="auto"/>
              <w:rPr>
                <w:rFonts w:hint="eastAsia" w:ascii="宋体" w:hAnsi="宋体" w:cs="宋体" w:eastAsiaTheme="minorEastAsia"/>
                <w:szCs w:val="21"/>
                <w:highlight w:val="none"/>
                <w:lang w:eastAsia="zh-CN"/>
              </w:rPr>
            </w:pPr>
            <w:r>
              <w:rPr>
                <w:rFonts w:hint="eastAsia" w:ascii="宋体" w:hAnsi="宋体" w:cs="宋体"/>
                <w:kern w:val="0"/>
                <w:sz w:val="22"/>
                <w:szCs w:val="22"/>
              </w:rPr>
              <w:t>2.投标人具有成熟的售后服务体系，投标方案能够充分说明售后服务的内容、方式和流程等具体措施，满足招标文件在售后服务方面的要求：一般得</w:t>
            </w:r>
            <w:r>
              <w:rPr>
                <w:rFonts w:hint="eastAsia" w:ascii="宋体" w:hAnsi="宋体" w:cs="宋体"/>
                <w:kern w:val="0"/>
                <w:sz w:val="22"/>
                <w:szCs w:val="22"/>
                <w:lang w:val="en-US" w:eastAsia="zh-CN"/>
              </w:rPr>
              <w:t>2</w:t>
            </w:r>
            <w:r>
              <w:rPr>
                <w:rFonts w:hint="eastAsia" w:ascii="宋体" w:hAnsi="宋体" w:cs="宋体"/>
                <w:kern w:val="0"/>
                <w:sz w:val="22"/>
                <w:szCs w:val="22"/>
              </w:rPr>
              <w:t>分，</w:t>
            </w:r>
            <w:r>
              <w:rPr>
                <w:rFonts w:hint="eastAsia" w:ascii="宋体" w:hAnsi="宋体" w:cs="宋体"/>
                <w:kern w:val="0"/>
                <w:sz w:val="22"/>
                <w:szCs w:val="22"/>
                <w:lang w:eastAsia="zh-CN"/>
              </w:rPr>
              <w:t>很好</w:t>
            </w:r>
            <w:r>
              <w:rPr>
                <w:rFonts w:hint="eastAsia" w:ascii="宋体" w:hAnsi="宋体" w:cs="宋体"/>
                <w:kern w:val="0"/>
                <w:sz w:val="22"/>
                <w:szCs w:val="22"/>
              </w:rPr>
              <w:t>得</w:t>
            </w:r>
            <w:r>
              <w:rPr>
                <w:rFonts w:hint="eastAsia" w:ascii="宋体" w:hAnsi="宋体" w:cs="宋体"/>
                <w:kern w:val="0"/>
                <w:sz w:val="22"/>
                <w:szCs w:val="22"/>
                <w:lang w:val="en-US" w:eastAsia="zh-CN"/>
              </w:rPr>
              <w:t>5</w:t>
            </w:r>
            <w:r>
              <w:rPr>
                <w:rFonts w:hint="eastAsia" w:ascii="宋体" w:hAnsi="宋体" w:cs="宋体"/>
                <w:kern w:val="0"/>
                <w:sz w:val="22"/>
                <w:szCs w:val="22"/>
              </w:rPr>
              <w:t>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33" w:type="dxa"/>
            <w:vMerge w:val="restart"/>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rFonts w:hint="eastAsia" w:ascii="宋体" w:hAnsi="宋体" w:eastAsia="宋体" w:cs="宋体"/>
                <w:b w:val="0"/>
                <w:i w:val="0"/>
                <w:color w:val="000000"/>
                <w:kern w:val="2"/>
                <w:sz w:val="21"/>
                <w:szCs w:val="21"/>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right="0"/>
              <w:jc w:val="center"/>
              <w:rPr>
                <w:b w:val="0"/>
                <w:i w:val="0"/>
                <w:highlight w:val="none"/>
              </w:rPr>
            </w:pPr>
            <w:r>
              <w:rPr>
                <w:rFonts w:hint="eastAsia" w:ascii="宋体" w:hAnsi="宋体" w:eastAsia="宋体" w:cs="宋体"/>
                <w:b w:val="0"/>
                <w:i w:val="0"/>
                <w:color w:val="000000"/>
                <w:kern w:val="2"/>
                <w:sz w:val="21"/>
                <w:szCs w:val="21"/>
                <w:highlight w:val="none"/>
                <w:u w:val="none"/>
                <w:lang w:val="en-US" w:eastAsia="zh-CN" w:bidi="ar"/>
              </w:rPr>
              <w:t>技术部分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ascii="宋体" w:hAnsi="宋体" w:eastAsia="宋体" w:cs="宋体"/>
                <w:szCs w:val="21"/>
                <w:highlight w:val="none"/>
              </w:rPr>
            </w:pPr>
            <w:r>
              <w:rPr>
                <w:rFonts w:hint="eastAsia"/>
                <w:highlight w:val="none"/>
                <w:lang w:val="en-US" w:eastAsia="zh-CN"/>
              </w:rPr>
              <w:t>（28分）</w:t>
            </w:r>
          </w:p>
        </w:tc>
        <w:tc>
          <w:tcPr>
            <w:tcW w:w="1900"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kern w:val="0"/>
                <w:sz w:val="22"/>
                <w:szCs w:val="22"/>
              </w:rPr>
            </w:pPr>
            <w:r>
              <w:rPr>
                <w:rFonts w:hint="eastAsia" w:ascii="宋体" w:hAnsi="宋体" w:cs="宋体"/>
                <w:kern w:val="0"/>
                <w:sz w:val="22"/>
                <w:szCs w:val="22"/>
              </w:rPr>
              <w:t>需求分析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eastAsiaTheme="minorEastAsia"/>
                <w:b/>
                <w:kern w:val="2"/>
                <w:sz w:val="22"/>
                <w:szCs w:val="22"/>
                <w:lang w:val="en-US" w:eastAsia="zh-CN" w:bidi="ar-SA"/>
              </w:rPr>
            </w:pPr>
            <w:r>
              <w:rPr>
                <w:rFonts w:hint="eastAsia" w:ascii="宋体" w:hAnsi="宋体" w:cs="宋体"/>
                <w:kern w:val="0"/>
                <w:sz w:val="22"/>
                <w:szCs w:val="22"/>
              </w:rPr>
              <w:t>（</w:t>
            </w:r>
            <w:r>
              <w:rPr>
                <w:rFonts w:hint="eastAsia" w:ascii="宋体" w:hAnsi="宋体" w:cs="宋体"/>
                <w:kern w:val="0"/>
                <w:sz w:val="22"/>
                <w:szCs w:val="22"/>
                <w:lang w:val="en-US" w:eastAsia="zh-CN"/>
              </w:rPr>
              <w:t>3</w:t>
            </w:r>
            <w:r>
              <w:rPr>
                <w:rFonts w:hint="eastAsia" w:ascii="宋体" w:hAnsi="宋体" w:cs="宋体"/>
                <w:kern w:val="0"/>
                <w:sz w:val="22"/>
                <w:szCs w:val="22"/>
              </w:rPr>
              <w:t>分）</w:t>
            </w:r>
          </w:p>
        </w:tc>
        <w:tc>
          <w:tcPr>
            <w:tcW w:w="6450" w:type="dxa"/>
            <w:tcBorders>
              <w:right w:val="single" w:color="auto" w:sz="4" w:space="0"/>
            </w:tcBorders>
            <w:vAlign w:val="center"/>
          </w:tcPr>
          <w:p>
            <w:pPr>
              <w:tabs>
                <w:tab w:val="left" w:pos="360"/>
              </w:tabs>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对项目内容和项目业务需求分析理解能力，符合招标方实际需求。一般得</w:t>
            </w:r>
            <w:r>
              <w:rPr>
                <w:rFonts w:ascii="宋体" w:hAnsi="宋体" w:cs="宋体"/>
                <w:kern w:val="0"/>
                <w:sz w:val="22"/>
                <w:szCs w:val="22"/>
              </w:rPr>
              <w:t>1</w:t>
            </w:r>
            <w:r>
              <w:rPr>
                <w:rFonts w:hint="eastAsia" w:ascii="宋体" w:hAnsi="宋体" w:cs="宋体"/>
                <w:kern w:val="0"/>
                <w:sz w:val="22"/>
                <w:szCs w:val="22"/>
              </w:rPr>
              <w:t>分，</w:t>
            </w:r>
            <w:r>
              <w:rPr>
                <w:rFonts w:hint="eastAsia" w:ascii="宋体" w:hAnsi="宋体" w:cs="宋体"/>
                <w:kern w:val="0"/>
                <w:sz w:val="22"/>
                <w:szCs w:val="22"/>
                <w:lang w:eastAsia="zh-CN"/>
              </w:rPr>
              <w:t>很好</w:t>
            </w:r>
            <w:r>
              <w:rPr>
                <w:rFonts w:hint="eastAsia" w:ascii="宋体" w:hAnsi="宋体" w:cs="宋体"/>
                <w:kern w:val="0"/>
                <w:sz w:val="22"/>
                <w:szCs w:val="22"/>
              </w:rPr>
              <w:t>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restart"/>
            <w:tcBorders>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方案设计</w:t>
            </w:r>
          </w:p>
          <w:p>
            <w:pPr>
              <w:widowControl/>
              <w:spacing w:line="360" w:lineRule="auto"/>
              <w:jc w:val="center"/>
              <w:rPr>
                <w:rFonts w:hint="eastAsia" w:ascii="宋体" w:hAnsi="宋体" w:cs="宋体" w:eastAsiaTheme="minorEastAsia"/>
                <w:b/>
                <w:kern w:val="2"/>
                <w:sz w:val="22"/>
                <w:szCs w:val="22"/>
                <w:lang w:val="en-US" w:eastAsia="zh-CN" w:bidi="ar-SA"/>
              </w:rPr>
            </w:pPr>
            <w:r>
              <w:rPr>
                <w:rFonts w:hint="eastAsia" w:ascii="宋体" w:hAnsi="宋体" w:cs="宋体"/>
                <w:kern w:val="0"/>
                <w:sz w:val="22"/>
                <w:szCs w:val="22"/>
              </w:rPr>
              <w:t>（</w:t>
            </w:r>
            <w:r>
              <w:rPr>
                <w:rFonts w:hint="eastAsia" w:ascii="宋体" w:hAnsi="宋体" w:cs="宋体"/>
                <w:kern w:val="0"/>
                <w:sz w:val="22"/>
                <w:szCs w:val="22"/>
                <w:lang w:val="en-US" w:eastAsia="zh-CN"/>
              </w:rPr>
              <w:t>17</w:t>
            </w:r>
            <w:r>
              <w:rPr>
                <w:rFonts w:hint="eastAsia" w:ascii="宋体" w:hAnsi="宋体" w:cs="宋体"/>
                <w:kern w:val="0"/>
                <w:sz w:val="22"/>
                <w:szCs w:val="22"/>
              </w:rPr>
              <w:t>分）</w:t>
            </w:r>
          </w:p>
        </w:tc>
        <w:tc>
          <w:tcPr>
            <w:tcW w:w="6450" w:type="dxa"/>
            <w:tcBorders>
              <w:right w:val="single" w:color="auto" w:sz="4" w:space="0"/>
            </w:tcBorders>
            <w:vAlign w:val="center"/>
          </w:tcPr>
          <w:p>
            <w:pPr>
              <w:widowControl/>
              <w:spacing w:line="360" w:lineRule="auto"/>
              <w:rPr>
                <w:rFonts w:hint="eastAsia" w:ascii="宋体" w:hAnsi="宋体" w:cs="宋体" w:eastAsiaTheme="minorEastAsia"/>
                <w:bCs/>
                <w:kern w:val="2"/>
                <w:sz w:val="22"/>
                <w:szCs w:val="22"/>
                <w:lang w:val="en-US" w:eastAsia="zh-CN" w:bidi="ar-SA"/>
              </w:rPr>
            </w:pPr>
            <w:r>
              <w:rPr>
                <w:rFonts w:hint="eastAsia" w:ascii="宋体" w:hAnsi="宋体" w:cs="宋体"/>
                <w:kern w:val="0"/>
                <w:sz w:val="22"/>
                <w:szCs w:val="22"/>
              </w:rPr>
              <w:t>项目系统框架合理，技术路线可行，总体方案设计完整。一般得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highlight w:val="none"/>
                <w:u w:val="none"/>
                <w:lang w:val="en-US" w:eastAsia="zh-CN" w:bidi="ar"/>
              </w:rPr>
            </w:pP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软件分项设计方案合理可行，功能响应全面，针对性强，满足招标方建设要求：一般得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分，并且能够依据建设需求按功能模块逐项对应提供详细的真实系统界面截图，</w:t>
            </w:r>
            <w:r>
              <w:rPr>
                <w:rFonts w:hint="eastAsia" w:ascii="宋体" w:hAnsi="宋体" w:cs="宋体"/>
                <w:kern w:val="0"/>
                <w:sz w:val="22"/>
                <w:szCs w:val="22"/>
                <w:lang w:eastAsia="zh-CN"/>
              </w:rPr>
              <w:t>加</w:t>
            </w:r>
            <w:r>
              <w:rPr>
                <w:rFonts w:hint="eastAsia" w:ascii="宋体" w:hAnsi="宋体" w:cs="宋体"/>
                <w:kern w:val="0"/>
                <w:sz w:val="22"/>
                <w:szCs w:val="22"/>
                <w:lang w:val="en-US" w:eastAsia="zh-CN"/>
              </w:rPr>
              <w:t>5</w:t>
            </w:r>
            <w:r>
              <w:rPr>
                <w:rFonts w:hint="eastAsia" w:ascii="宋体" w:hAnsi="宋体" w:cs="宋体"/>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highlight w:val="none"/>
                <w:u w:val="none"/>
                <w:lang w:val="en-US" w:eastAsia="zh-CN" w:bidi="ar"/>
              </w:rPr>
            </w:pP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数据建设方案合理可行，数据采集与处理方案完整、透彻、先进，数据库结构设计全面、准确，满足招标方建设要求：一般得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highlight w:val="none"/>
                <w:u w:val="none"/>
                <w:lang w:val="en-US" w:eastAsia="zh-CN" w:bidi="ar"/>
              </w:rPr>
            </w:pP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硬件采购方案各项设备的选型，技术指标满足招标方建设要求：一般得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color w:val="0000FF"/>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restart"/>
            <w:tcBorders>
              <w:right w:val="single" w:color="auto" w:sz="4" w:space="0"/>
            </w:tcBorders>
            <w:vAlign w:val="center"/>
          </w:tcPr>
          <w:p>
            <w:pPr>
              <w:widowControl/>
              <w:spacing w:line="360" w:lineRule="auto"/>
              <w:jc w:val="center"/>
              <w:rPr>
                <w:rFonts w:hint="eastAsia" w:ascii="宋体" w:hAnsi="宋体" w:cs="宋体"/>
                <w:kern w:val="0"/>
                <w:sz w:val="22"/>
                <w:szCs w:val="22"/>
              </w:rPr>
            </w:pPr>
            <w:r>
              <w:rPr>
                <w:rFonts w:hint="eastAsia" w:ascii="宋体" w:hAnsi="宋体" w:cs="宋体"/>
                <w:kern w:val="0"/>
                <w:sz w:val="22"/>
                <w:szCs w:val="22"/>
              </w:rPr>
              <w:t>实施管理</w:t>
            </w:r>
          </w:p>
          <w:p>
            <w:pPr>
              <w:widowControl/>
              <w:spacing w:line="360" w:lineRule="auto"/>
              <w:jc w:val="center"/>
              <w:rPr>
                <w:rFonts w:hint="eastAsia" w:ascii="宋体" w:hAnsi="宋体" w:cs="宋体" w:eastAsiaTheme="minorEastAsia"/>
                <w:b/>
                <w:kern w:val="2"/>
                <w:sz w:val="22"/>
                <w:szCs w:val="22"/>
                <w:lang w:val="en-US" w:eastAsia="zh-CN" w:bidi="ar-SA"/>
              </w:rPr>
            </w:pPr>
            <w:r>
              <w:rPr>
                <w:rFonts w:hint="eastAsia" w:ascii="宋体" w:hAnsi="宋体" w:cs="宋体"/>
                <w:kern w:val="0"/>
                <w:sz w:val="22"/>
                <w:szCs w:val="22"/>
              </w:rPr>
              <w:t>（</w:t>
            </w:r>
            <w:r>
              <w:rPr>
                <w:rFonts w:hint="eastAsia" w:ascii="宋体" w:hAnsi="宋体" w:cs="宋体"/>
                <w:kern w:val="0"/>
                <w:sz w:val="22"/>
                <w:szCs w:val="22"/>
                <w:lang w:val="en-US" w:eastAsia="zh-CN"/>
              </w:rPr>
              <w:t>8</w:t>
            </w:r>
            <w:r>
              <w:rPr>
                <w:rFonts w:hint="eastAsia" w:ascii="宋体" w:hAnsi="宋体" w:cs="宋体"/>
                <w:kern w:val="0"/>
                <w:sz w:val="22"/>
                <w:szCs w:val="22"/>
              </w:rPr>
              <w:t>分）</w:t>
            </w: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项目人员组织、进度计划、质量保证等措施合理，策略完备清晰：一般得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color w:val="0000FF"/>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highlight w:val="none"/>
                <w:u w:val="none"/>
                <w:lang w:val="en-US" w:eastAsia="zh-CN" w:bidi="ar"/>
              </w:rPr>
            </w:pP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项目实施管理、软件开发管理具备可行的合理化的方案：一般得</w:t>
            </w:r>
            <w:r>
              <w:rPr>
                <w:rFonts w:hint="eastAsia" w:ascii="宋体" w:hAnsi="宋体" w:cs="宋体"/>
                <w:kern w:val="0"/>
                <w:sz w:val="22"/>
                <w:szCs w:val="22"/>
                <w:lang w:val="en-US" w:eastAsia="zh-CN"/>
              </w:rPr>
              <w:t>1</w:t>
            </w:r>
            <w:r>
              <w:rPr>
                <w:rFonts w:hint="eastAsia" w:ascii="宋体" w:hAnsi="宋体" w:cs="宋体"/>
                <w:kern w:val="0"/>
                <w:sz w:val="22"/>
                <w:szCs w:val="22"/>
              </w:rPr>
              <w:t>分，很好得</w:t>
            </w:r>
            <w:r>
              <w:rPr>
                <w:rFonts w:hint="eastAsia" w:ascii="宋体" w:hAnsi="宋体" w:cs="宋体"/>
                <w:kern w:val="0"/>
                <w:sz w:val="22"/>
                <w:szCs w:val="22"/>
                <w:lang w:val="en-US" w:eastAsia="zh-CN"/>
              </w:rPr>
              <w:t>3</w:t>
            </w:r>
            <w:r>
              <w:rPr>
                <w:rFonts w:hint="eastAsia" w:ascii="宋体" w:hAnsi="宋体" w:cs="宋体"/>
                <w:kern w:val="0"/>
                <w:sz w:val="22"/>
                <w:szCs w:val="22"/>
              </w:rPr>
              <w:t>分</w:t>
            </w:r>
            <w:r>
              <w:rPr>
                <w:rFonts w:hint="eastAsia" w:ascii="宋体" w:hAnsi="宋体" w:cs="宋体"/>
                <w:color w:val="0000FF"/>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33"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50" w:beforeAutospacing="0" w:after="0" w:afterAutospacing="0"/>
              <w:ind w:left="0" w:leftChars="0" w:right="0" w:rightChars="0"/>
              <w:jc w:val="center"/>
              <w:rPr>
                <w:rFonts w:hint="eastAsia"/>
                <w:highlight w:val="none"/>
                <w:lang w:val="en-US" w:eastAsia="zh-CN"/>
              </w:rPr>
            </w:pPr>
          </w:p>
        </w:tc>
        <w:tc>
          <w:tcPr>
            <w:tcW w:w="1900" w:type="dxa"/>
            <w:vMerge w:val="continue"/>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Times New Roman"/>
                <w:b w:val="0"/>
                <w:i w:val="0"/>
                <w:color w:val="000000"/>
                <w:kern w:val="2"/>
                <w:sz w:val="21"/>
                <w:szCs w:val="21"/>
                <w:highlight w:val="none"/>
                <w:u w:val="none"/>
                <w:lang w:val="en-US" w:eastAsia="zh-CN" w:bidi="ar"/>
              </w:rPr>
            </w:pPr>
          </w:p>
        </w:tc>
        <w:tc>
          <w:tcPr>
            <w:tcW w:w="6450" w:type="dxa"/>
            <w:tcBorders>
              <w:right w:val="single" w:color="auto" w:sz="4" w:space="0"/>
            </w:tcBorders>
            <w:vAlign w:val="center"/>
          </w:tcPr>
          <w:p>
            <w:pPr>
              <w:widowControl/>
              <w:spacing w:line="360" w:lineRule="auto"/>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投标人项目经理具有信息系统项目管理师（高级）专业技术资格证书，得</w:t>
            </w:r>
            <w:r>
              <w:rPr>
                <w:rFonts w:hint="eastAsia" w:ascii="宋体" w:hAnsi="宋体" w:cs="宋体"/>
                <w:kern w:val="0"/>
                <w:sz w:val="22"/>
                <w:szCs w:val="22"/>
                <w:lang w:val="en-US" w:eastAsia="zh-CN"/>
              </w:rPr>
              <w:t>2</w:t>
            </w:r>
            <w:r>
              <w:rPr>
                <w:rFonts w:hint="eastAsia" w:ascii="宋体" w:hAnsi="宋体" w:cs="宋体"/>
                <w:kern w:val="0"/>
                <w:sz w:val="22"/>
                <w:szCs w:val="22"/>
              </w:rPr>
              <w:t>分</w:t>
            </w:r>
            <w:r>
              <w:rPr>
                <w:rFonts w:hint="eastAsia" w:ascii="宋体" w:hAnsi="宋体" w:cs="宋体"/>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683" w:type="dxa"/>
            <w:gridSpan w:val="3"/>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highlight w:val="none"/>
                <w:lang w:val="en-US" w:eastAsia="zh-CN"/>
              </w:rPr>
            </w:pPr>
            <w:r>
              <w:rPr>
                <w:rFonts w:hint="eastAsia" w:ascii="宋体" w:hAnsi="宋体" w:cs="仿宋_GB2312"/>
                <w:sz w:val="21"/>
                <w:szCs w:val="21"/>
                <w:highlight w:val="none"/>
                <w:lang w:val="zh-CN"/>
              </w:rPr>
              <w:t>注：评标标准中所涉及到的证书及材料不需提供原件，均应在电子投标文件中提供原件扫描件（或图片）。</w:t>
            </w:r>
          </w:p>
        </w:tc>
      </w:tr>
    </w:tbl>
    <w:p>
      <w:pPr>
        <w:spacing w:line="360" w:lineRule="auto"/>
        <w:ind w:firstLine="422" w:firstLineChars="200"/>
        <w:rPr>
          <w:rFonts w:hint="eastAsia"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lang w:val="en-GB"/>
        </w:rPr>
        <w:t>b、小型</w:t>
      </w:r>
      <w:r>
        <w:rPr>
          <w:rFonts w:hint="eastAsia" w:ascii="宋体" w:hAnsi="宋体"/>
          <w:bCs/>
          <w:color w:val="auto"/>
          <w:szCs w:val="21"/>
          <w:highlight w:val="none"/>
          <w:lang w:val="en-GB"/>
        </w:rPr>
        <w:t>和微型企业产品包括货物及其提供的服务与工程。</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highlight w:val="none"/>
          <w:lang w:val="en-GB"/>
        </w:rPr>
      </w:pPr>
      <w:r>
        <w:rPr>
          <w:rFonts w:hint="eastAsia" w:ascii="宋体" w:hAnsi="宋体"/>
          <w:bCs/>
          <w:color w:val="auto"/>
          <w:szCs w:val="21"/>
          <w:highlight w:val="none"/>
          <w:lang w:val="en-GB"/>
        </w:rPr>
        <w:t>d、残疾人福利性单位属于小型、微型企业的，不重复享受政策。</w:t>
      </w:r>
    </w:p>
    <w:p>
      <w:pPr>
        <w:spacing w:line="360" w:lineRule="auto"/>
        <w:ind w:firstLine="420" w:firstLineChars="200"/>
        <w:rPr>
          <w:rFonts w:ascii="宋体" w:hAnsi="宋体"/>
          <w:bCs/>
          <w:color w:val="auto"/>
          <w:szCs w:val="21"/>
          <w:highlight w:val="none"/>
          <w:lang w:val="en-GB"/>
        </w:rPr>
      </w:pPr>
      <w:r>
        <w:rPr>
          <w:rFonts w:ascii="宋体" w:hAnsi="宋体"/>
          <w:bCs/>
          <w:color w:val="auto"/>
          <w:szCs w:val="21"/>
          <w:highlight w:val="none"/>
          <w:lang w:val="en-GB"/>
        </w:rPr>
        <w:t>E</w:t>
      </w:r>
      <w:r>
        <w:rPr>
          <w:rFonts w:hint="eastAsia" w:ascii="宋体" w:hAnsi="宋体"/>
          <w:bCs/>
          <w:color w:val="auto"/>
          <w:szCs w:val="21"/>
          <w:highlight w:val="none"/>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cs="仿宋_GB2312" w:asciiTheme="minorEastAsia" w:hAnsiTheme="minorEastAsia"/>
          <w:szCs w:val="21"/>
          <w:lang w:val="zh-CN"/>
        </w:rPr>
        <w:t>投标人对本条第一款情形提出质疑的，采购人或者采购代理机构可以组织原评标委员会进行</w:t>
      </w:r>
      <w:r>
        <w:rPr>
          <w:rFonts w:cs="仿宋_GB2312" w:asciiTheme="minorEastAsia" w:hAnsiTheme="minorEastAsia"/>
          <w:szCs w:val="21"/>
          <w:highlight w:val="none"/>
          <w:lang w:val="zh-CN"/>
        </w:rPr>
        <w:t>重新评审，重新评审改变评标结果的，应当书面报告本级财政部门。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rPr>
        <w:t>分数汇总时，将各评委对某一投标人评分的算术平均值作为该投标人的最终得分。计分过程取至小数点后两位，最终得分按四舍五入取至小数点后两位。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得分、投标报价、投标文件得分都相同的由评标委员会集体商议决定排序。</w:t>
      </w:r>
    </w:p>
    <w:p>
      <w:pPr>
        <w:wordWrap w:val="0"/>
        <w:spacing w:line="360" w:lineRule="auto"/>
        <w:ind w:firstLine="422" w:firstLineChars="200"/>
        <w:contextualSpacing/>
        <w:rPr>
          <w:rFonts w:cs="仿宋_GB2312" w:asciiTheme="minorEastAsia" w:hAnsiTheme="minorEastAsia"/>
          <w:szCs w:val="21"/>
          <w:highlight w:val="none"/>
          <w:lang w:val="zh-CN"/>
        </w:rPr>
      </w:pPr>
      <w:r>
        <w:rPr>
          <w:rFonts w:hint="eastAsia" w:cs="仿宋_GB2312" w:asciiTheme="minorEastAsia" w:hAnsiTheme="minorEastAsia"/>
          <w:b/>
          <w:bCs/>
          <w:szCs w:val="21"/>
          <w:highlight w:val="none"/>
          <w:lang w:val="zh-CN"/>
        </w:rPr>
        <w:t>（8）按照《关于推进全流程电子化交易和在线监管工作有关问题的通知》（许公管办[2019]3号）规定：</w:t>
      </w:r>
      <w:r>
        <w:rPr>
          <w:rFonts w:hint="eastAsia" w:cs="仿宋_GB2312" w:asciiTheme="minorEastAsia" w:hAnsiTheme="minorEastAsia"/>
          <w:szCs w:val="21"/>
          <w:highlight w:val="none"/>
          <w:lang w:val="zh-CN"/>
        </w:rPr>
        <w:t>评标专家应严格按照要求查看“硬件特征码”相关信息并进行评审，在评审报告中显示“不同投标人电子投标文件制作硬件特征码”是否均一致的分析及判定结果。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w:t>
      </w:r>
      <w:r>
        <w:rPr>
          <w:rFonts w:hint="eastAsia" w:cs="仿宋_GB2312" w:asciiTheme="minorEastAsia" w:hAnsiTheme="minorEastAsia"/>
          <w:b/>
          <w:szCs w:val="21"/>
          <w:lang w:val="en-US" w:eastAsia="zh-CN"/>
        </w:rPr>
        <w:t>9</w:t>
      </w:r>
      <w:r>
        <w:rPr>
          <w:rFonts w:hint="eastAsia" w:cs="仿宋_GB2312" w:asciiTheme="minorEastAsia" w:hAnsiTheme="minorEastAsia"/>
          <w:b/>
          <w:szCs w:val="21"/>
          <w:lang w:val="zh-CN"/>
        </w:rPr>
        <w:t>）</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6"/>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3"/>
        <w:spacing w:before="75" w:after="75" w:line="360" w:lineRule="auto"/>
        <w:rPr>
          <w:rFonts w:hint="eastAsia" w:ascii="宋体" w:hAnsi="宋体" w:eastAsia="微软雅黑"/>
          <w:color w:val="000000"/>
          <w:highlight w:val="none"/>
          <w:u w:val="single"/>
        </w:rPr>
      </w:pP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3"/>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3"/>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3"/>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highlight w:val="none"/>
        </w:rPr>
      </w:pPr>
    </w:p>
    <w:p>
      <w:pPr>
        <w:pStyle w:val="16"/>
        <w:spacing w:line="360" w:lineRule="auto"/>
        <w:contextualSpacing/>
        <w:jc w:val="center"/>
        <w:rPr>
          <w:rFonts w:cs="宋体" w:asciiTheme="majorEastAsia" w:hAnsiTheme="majorEastAsia" w:eastAsiaTheme="majorEastAsia"/>
          <w:b/>
          <w:kern w:val="0"/>
          <w:sz w:val="36"/>
          <w:szCs w:val="36"/>
          <w:highlight w:val="none"/>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pStyle w:val="54"/>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bCs/>
                <w:sz w:val="21"/>
              </w:rPr>
            </w:pPr>
            <w:r>
              <w:rPr>
                <w:rFonts w:hint="eastAsia" w:hAnsi="宋体" w:eastAsia="宋体" w:cs="Courier New"/>
                <w:b w:val="0"/>
                <w:bCs/>
                <w:sz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宋体"/>
                <w:b w:val="0"/>
                <w:bCs/>
                <w:kern w:val="2"/>
                <w:sz w:val="21"/>
                <w:lang w:val="zh-CN"/>
              </w:rPr>
              <w:t>法定代表人（单位负责人）</w:t>
            </w:r>
            <w:r>
              <w:rPr>
                <w:rFonts w:hAnsi="宋体" w:eastAsia="宋体" w:cs="宋体"/>
                <w:b w:val="0"/>
                <w:bCs/>
                <w:kern w:val="2"/>
                <w:sz w:val="21"/>
                <w:lang w:val="zh-CN"/>
              </w:rPr>
              <w:t>资</w:t>
            </w:r>
            <w:r>
              <w:rPr>
                <w:rFonts w:hint="eastAsia" w:hAnsi="宋体" w:eastAsia="宋体" w:cs="宋体"/>
                <w:b w:val="0"/>
                <w:bCs/>
                <w:kern w:val="2"/>
                <w:sz w:val="21"/>
                <w:lang w:val="zh-CN"/>
              </w:rPr>
              <w:t>格</w:t>
            </w:r>
            <w:r>
              <w:rPr>
                <w:rFonts w:hAnsi="宋体" w:eastAsia="宋体" w:cs="宋体"/>
                <w:b w:val="0"/>
                <w:bCs/>
                <w:kern w:val="2"/>
                <w:sz w:val="21"/>
                <w:lang w:val="zh-CN"/>
              </w:rPr>
              <w:t>证</w:t>
            </w:r>
            <w:r>
              <w:rPr>
                <w:rFonts w:hint="eastAsia" w:hAnsi="宋体" w:eastAsia="宋体" w:cs="宋体"/>
                <w:b w:val="0"/>
                <w:bCs/>
                <w:kern w:val="2"/>
                <w:sz w:val="21"/>
                <w:lang w:val="zh-CN"/>
              </w:rPr>
              <w:t>明</w:t>
            </w:r>
            <w:r>
              <w:rPr>
                <w:rFonts w:hAnsi="宋体" w:eastAsia="宋体" w:cs="宋体"/>
                <w:b w:val="0"/>
                <w:bCs/>
                <w:kern w:val="2"/>
                <w:sz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sz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bCs/>
                <w:sz w:val="21"/>
              </w:rPr>
            </w:pPr>
            <w:r>
              <w:rPr>
                <w:rFonts w:hint="eastAsia" w:hAnsi="宋体" w:eastAsia="宋体" w:cs="Courier New"/>
                <w:b w:val="0"/>
                <w:bCs/>
                <w:kern w:val="2"/>
                <w:sz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gridSpan w:val="2"/>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技术人员职称证书</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709" w:type="dxa"/>
            <w:vMerge w:val="continue"/>
            <w:tcBorders>
              <w:left w:val="single" w:color="auto" w:sz="6" w:space="0"/>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268" w:type="dxa"/>
            <w:gridSpan w:val="2"/>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微软雅黑"/>
                <w:b w:val="0"/>
                <w:sz w:val="21"/>
              </w:rPr>
              <w:t>用工合同</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6"/>
              <w:kinsoku w:val="0"/>
              <w:overflowPunct w:val="0"/>
              <w:autoSpaceDE w:val="0"/>
              <w:autoSpaceDN w:val="0"/>
              <w:spacing w:line="320" w:lineRule="exact"/>
              <w:rPr>
                <w:rFonts w:hAnsi="宋体" w:cs="微软雅黑"/>
                <w:bCs/>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6"/>
              <w:kinsoku w:val="0"/>
              <w:overflowPunct w:val="0"/>
              <w:autoSpaceDE w:val="0"/>
              <w:autoSpaceDN w:val="0"/>
              <w:spacing w:line="320" w:lineRule="exact"/>
              <w:rPr>
                <w:rFonts w:hAnsi="宋体" w:cs="微软雅黑"/>
                <w:bCs/>
                <w:sz w:val="21"/>
              </w:rPr>
            </w:pPr>
          </w:p>
        </w:tc>
        <w:tc>
          <w:tcPr>
            <w:tcW w:w="2977" w:type="dxa"/>
            <w:gridSpan w:val="3"/>
            <w:tcBorders>
              <w:left w:val="single" w:color="auto" w:sz="6" w:space="0"/>
            </w:tcBorders>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kern w:val="2"/>
                <w:sz w:val="21"/>
              </w:rPr>
              <w:t>供应商相关承诺函或声明</w:t>
            </w:r>
          </w:p>
        </w:tc>
        <w:tc>
          <w:tcPr>
            <w:tcW w:w="1559" w:type="dxa"/>
            <w:noWrap w:val="0"/>
            <w:vAlign w:val="center"/>
          </w:tcPr>
          <w:p>
            <w:pPr>
              <w:pStyle w:val="16"/>
              <w:rPr>
                <w:rFonts w:cs="Courier New"/>
                <w:kern w:val="2"/>
                <w:sz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Courier New"/>
                <w:b w:val="0"/>
                <w:sz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16"/>
              <w:kinsoku w:val="0"/>
              <w:overflowPunct w:val="0"/>
              <w:autoSpaceDE w:val="0"/>
              <w:autoSpaceDN w:val="0"/>
              <w:spacing w:line="320" w:lineRule="exact"/>
              <w:rPr>
                <w:rFonts w:hAnsi="宋体" w:eastAsia="宋体" w:cs="Courier New"/>
                <w:b w:val="0"/>
                <w:sz w:val="21"/>
              </w:rPr>
            </w:pPr>
            <w:r>
              <w:rPr>
                <w:rFonts w:hint="eastAsia" w:hAnsi="宋体" w:eastAsia="宋体" w:cs="微软雅黑"/>
                <w:b w:val="0"/>
                <w:bCs/>
                <w:sz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noWrap w:val="0"/>
            <w:vAlign w:val="center"/>
          </w:tcPr>
          <w:p>
            <w:pPr>
              <w:pStyle w:val="16"/>
              <w:kinsoku w:val="0"/>
              <w:overflowPunct w:val="0"/>
              <w:autoSpaceDE w:val="0"/>
              <w:autoSpaceDN w:val="0"/>
              <w:spacing w:line="320" w:lineRule="exact"/>
              <w:rPr>
                <w:rFonts w:hAnsi="宋体" w:eastAsia="宋体" w:cs="微软雅黑"/>
                <w:b w:val="0"/>
                <w:sz w:val="21"/>
              </w:rPr>
            </w:pPr>
            <w:r>
              <w:rPr>
                <w:rFonts w:hint="eastAsia" w:hAnsi="宋体" w:eastAsia="宋体" w:cs="宋体"/>
                <w:b w:val="0"/>
                <w:kern w:val="2"/>
                <w:sz w:val="21"/>
                <w:lang w:val="zh-CN"/>
              </w:rPr>
              <w:t>投标承诺函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16</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技术方案（演出方案）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政府强制采购节能产品品目清单情况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优先采购节能产品政府采购品目清单情况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优先采购环境标志产品政府采购品目清单情况</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25</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26</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27</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28</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CCC强制性产品认证</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767" w:type="dxa"/>
            <w:gridSpan w:val="3"/>
            <w:vMerge w:val="restart"/>
            <w:noWrap w:val="0"/>
            <w:vAlign w:val="center"/>
          </w:tcPr>
          <w:p>
            <w:pPr>
              <w:rPr>
                <w:rFonts w:hint="eastAsia"/>
              </w:rPr>
            </w:pPr>
            <w:r>
              <w:rPr>
                <w:rFonts w:ascii="宋体" w:hAnsi="宋体" w:cs="宋体"/>
                <w:kern w:val="0"/>
                <w:szCs w:val="21"/>
              </w:rPr>
              <w:t>信息安全产品强制性认证</w:t>
            </w:r>
          </w:p>
        </w:tc>
        <w:tc>
          <w:tcPr>
            <w:tcW w:w="1984" w:type="dxa"/>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认证机构颁发的认证证书</w:t>
            </w:r>
          </w:p>
        </w:tc>
        <w:tc>
          <w:tcPr>
            <w:tcW w:w="1559" w:type="dxa"/>
            <w:vMerge w:val="restart"/>
            <w:noWrap w:val="0"/>
            <w:vAlign w:val="center"/>
          </w:tcPr>
          <w:p>
            <w:pPr>
              <w:jc w:val="center"/>
              <w:rPr>
                <w:szCs w:val="21"/>
              </w:rPr>
            </w:pPr>
          </w:p>
        </w:tc>
        <w:tc>
          <w:tcPr>
            <w:tcW w:w="1560" w:type="dxa"/>
            <w:vMerge w:val="restart"/>
            <w:tcBorders>
              <w:top w:val="single" w:color="auto" w:sz="4" w:space="0"/>
            </w:tcBorders>
            <w:noWrap w:val="0"/>
            <w:vAlign w:val="center"/>
          </w:tcPr>
          <w:p>
            <w:pPr>
              <w:snapToGrid w:val="0"/>
              <w:spacing w:line="400" w:lineRule="exact"/>
              <w:rPr>
                <w:rFonts w:ascii="宋体" w:hAnsi="宋体" w:cs="微软雅黑"/>
                <w:szCs w:val="21"/>
              </w:rPr>
            </w:pPr>
          </w:p>
        </w:tc>
        <w:tc>
          <w:tcPr>
            <w:tcW w:w="2018" w:type="dxa"/>
            <w:vMerge w:val="restart"/>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rPr>
        <w:tc>
          <w:tcPr>
            <w:tcW w:w="468" w:type="dxa"/>
            <w:vMerge w:val="continue"/>
            <w:noWrap w:val="0"/>
            <w:vAlign w:val="center"/>
          </w:tcPr>
          <w:p>
            <w:pPr>
              <w:adjustRightInd w:val="0"/>
              <w:snapToGrid w:val="0"/>
              <w:spacing w:line="400" w:lineRule="exact"/>
              <w:jc w:val="center"/>
              <w:textAlignment w:val="baseline"/>
              <w:rPr>
                <w:rFonts w:hint="eastAsia" w:ascii="宋体" w:hAnsi="宋体" w:cs="微软雅黑"/>
                <w:szCs w:val="21"/>
              </w:rPr>
            </w:pPr>
          </w:p>
        </w:tc>
        <w:tc>
          <w:tcPr>
            <w:tcW w:w="1767" w:type="dxa"/>
            <w:gridSpan w:val="3"/>
            <w:vMerge w:val="continue"/>
            <w:noWrap w:val="0"/>
            <w:vAlign w:val="center"/>
          </w:tcPr>
          <w:p>
            <w:pPr>
              <w:rPr>
                <w:rFonts w:ascii="宋体" w:hAnsi="宋体" w:cs="宋体"/>
                <w:kern w:val="0"/>
                <w:szCs w:val="21"/>
              </w:rPr>
            </w:pPr>
          </w:p>
        </w:tc>
        <w:tc>
          <w:tcPr>
            <w:tcW w:w="1984" w:type="dxa"/>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中国信息安全认证中心官网产品查询结果截图</w:t>
            </w:r>
          </w:p>
        </w:tc>
        <w:tc>
          <w:tcPr>
            <w:tcW w:w="1559" w:type="dxa"/>
            <w:vMerge w:val="continue"/>
            <w:noWrap w:val="0"/>
            <w:vAlign w:val="center"/>
          </w:tcPr>
          <w:p>
            <w:pPr>
              <w:jc w:val="center"/>
              <w:rPr>
                <w:szCs w:val="21"/>
              </w:rPr>
            </w:pPr>
          </w:p>
        </w:tc>
        <w:tc>
          <w:tcPr>
            <w:tcW w:w="1560" w:type="dxa"/>
            <w:vMerge w:val="continue"/>
            <w:noWrap w:val="0"/>
            <w:vAlign w:val="center"/>
          </w:tcPr>
          <w:p>
            <w:pPr>
              <w:snapToGrid w:val="0"/>
              <w:spacing w:line="400" w:lineRule="exact"/>
              <w:rPr>
                <w:rFonts w:ascii="宋体" w:hAnsi="宋体" w:cs="微软雅黑"/>
                <w:szCs w:val="21"/>
              </w:rPr>
            </w:pPr>
          </w:p>
        </w:tc>
        <w:tc>
          <w:tcPr>
            <w:tcW w:w="2018" w:type="dxa"/>
            <w:vMerge w:val="continue"/>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30</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国家级贫困县域注册地证明材料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31</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扶贫部门出具的聘用建档立卡贫困人员身份证明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32</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建档立卡贫困人员社保材料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宋体"/>
                <w:szCs w:val="21"/>
                <w:lang w:val="zh-CN"/>
              </w:rPr>
            </w:pPr>
            <w:r>
              <w:rPr>
                <w:rFonts w:hint="eastAsia" w:ascii="宋体" w:hAnsi="宋体" w:cs="宋体"/>
                <w:szCs w:val="21"/>
                <w:lang w:val="zh-CN"/>
              </w:rPr>
              <w:t>33</w:t>
            </w:r>
          </w:p>
        </w:tc>
        <w:tc>
          <w:tcPr>
            <w:tcW w:w="3751" w:type="dxa"/>
            <w:gridSpan w:val="4"/>
            <w:noWrap w:val="0"/>
            <w:vAlign w:val="center"/>
          </w:tcPr>
          <w:p>
            <w:pPr>
              <w:pStyle w:val="16"/>
              <w:kinsoku w:val="0"/>
              <w:overflowPunct w:val="0"/>
              <w:autoSpaceDE w:val="0"/>
              <w:autoSpaceDN w:val="0"/>
              <w:spacing w:line="320" w:lineRule="exact"/>
              <w:rPr>
                <w:rFonts w:hAnsi="宋体" w:eastAsia="宋体" w:cs="宋体"/>
                <w:b w:val="0"/>
                <w:kern w:val="2"/>
                <w:sz w:val="21"/>
                <w:lang w:val="zh-CN"/>
              </w:rPr>
            </w:pPr>
            <w:r>
              <w:rPr>
                <w:rFonts w:hint="eastAsia" w:hAnsi="宋体" w:eastAsia="宋体" w:cs="宋体"/>
                <w:b w:val="0"/>
                <w:kern w:val="2"/>
                <w:sz w:val="21"/>
                <w:lang w:val="zh-CN"/>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color w:val="000000"/>
          <w:sz w:val="24"/>
          <w:szCs w:val="24"/>
        </w:rPr>
        <w:t>注：</w:t>
      </w:r>
      <w:r>
        <w:rPr>
          <w:rFonts w:hint="eastAsia" w:ascii="楷体" w:hAnsi="楷体" w:eastAsia="楷体"/>
          <w:sz w:val="24"/>
          <w:szCs w:val="24"/>
        </w:rPr>
        <w:t>①本表序号8请按照本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w:t>
      </w:r>
      <w:r>
        <w:rPr>
          <w:rFonts w:hint="eastAsia" w:ascii="楷体" w:hAnsi="楷体" w:eastAsia="楷体"/>
          <w:sz w:val="24"/>
          <w:szCs w:val="24"/>
          <w:lang w:eastAsia="zh-CN"/>
        </w:rPr>
        <w:t>采购</w:t>
      </w:r>
      <w:r>
        <w:rPr>
          <w:rFonts w:hint="eastAsia" w:ascii="楷体" w:hAnsi="楷体" w:eastAsia="楷体"/>
          <w:sz w:val="24"/>
          <w:szCs w:val="24"/>
        </w:rPr>
        <w:t>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both"/>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开标一览表</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427"/>
        <w:gridCol w:w="2265"/>
        <w:gridCol w:w="686"/>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4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2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4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22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asciiTheme="majorEastAsia" w:hAnsiTheme="majorEastAsia" w:eastAsiaTheme="majorEastAsia"/>
          <w:b/>
          <w:snapToGrid w:val="0"/>
          <w:kern w:val="0"/>
          <w:szCs w:val="24"/>
        </w:rPr>
      </w:pPr>
      <w:r>
        <w:rPr>
          <w:rFonts w:hint="eastAsia" w:cs="黑体" w:asciiTheme="minorEastAsia" w:hAnsiTheme="minorEastAsia"/>
          <w:b/>
          <w:bCs/>
          <w:sz w:val="28"/>
          <w:szCs w:val="28"/>
          <w:lang w:val="zh-CN"/>
        </w:rPr>
        <w:t>三、资格审查证明材料</w:t>
      </w:r>
    </w:p>
    <w:p>
      <w:pPr>
        <w:adjustRightInd w:val="0"/>
        <w:spacing w:line="360" w:lineRule="auto"/>
        <w:contextualSpacing/>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 xml:space="preserve">           </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hint="eastAsia" w:asciiTheme="minorEastAsia" w:hAnsiTheme="minorEastAsia"/>
          <w:snapToGrid w:val="0"/>
          <w:kern w:val="0"/>
          <w:szCs w:val="21"/>
          <w:u w:val="single"/>
          <w:lang w:val="en-US" w:eastAsia="zh-CN"/>
        </w:rPr>
        <w:t xml:space="preserve">         </w:t>
      </w:r>
      <w:bookmarkStart w:id="37" w:name="_GoBack"/>
      <w:bookmarkEnd w:id="37"/>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kern w:val="0"/>
          <w:szCs w:val="21"/>
        </w:rPr>
        <w:t>（投标人名称、地址）提交。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lang w:val="en-US" w:eastAsia="zh-CN"/>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w:t>
      </w:r>
      <w:r>
        <w:rPr>
          <w:rFonts w:hint="eastAsia" w:cs="Courier New" w:asciiTheme="minorEastAsia" w:hAnsiTheme="minorEastAsia"/>
          <w:szCs w:val="21"/>
        </w:rPr>
        <w:t>，副本</w:t>
      </w:r>
      <w:r>
        <w:rPr>
          <w:rFonts w:hint="eastAsia" w:cs="Courier New" w:asciiTheme="minorEastAsia" w:hAnsiTheme="minorEastAsia"/>
          <w:szCs w:val="21"/>
          <w:u w:val="single"/>
        </w:rPr>
        <w:t xml:space="preserve">   </w:t>
      </w:r>
      <w:r>
        <w:rPr>
          <w:rFonts w:hint="eastAsia" w:cs="Courier New" w:asciiTheme="minorEastAsia" w:hAnsiTheme="minorEastAsia"/>
          <w:szCs w:val="21"/>
        </w:rPr>
        <w:t>份,</w:t>
      </w:r>
      <w:r>
        <w:rPr>
          <w:rFonts w:hint="eastAsia" w:cs="Arial"/>
        </w:rPr>
        <w:t xml:space="preserve"> 电子版文件一份</w:t>
      </w:r>
      <w:r>
        <w:rPr>
          <w:rFonts w:hint="eastAsia" w:cs="Courier New" w:asciiTheme="minorEastAsia" w:hAnsiTheme="minorEastAsia"/>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w:t>
      </w:r>
      <w:r>
        <w:rPr>
          <w:rFonts w:hint="eastAsia" w:cs="Arial"/>
        </w:rPr>
        <w:t>按招标文件提供的全部货物与相关服务的投标总报价大写</w:t>
      </w:r>
      <w:r>
        <w:rPr>
          <w:rFonts w:hint="eastAsia" w:cs="Arial"/>
          <w:u w:val="single"/>
        </w:rPr>
        <w:t xml:space="preserve">    </w:t>
      </w:r>
      <w:r>
        <w:rPr>
          <w:rFonts w:hint="eastAsia" w:cs="Arial"/>
        </w:rPr>
        <w:t xml:space="preserve"> ,小写</w:t>
      </w:r>
      <w:r>
        <w:rPr>
          <w:rFonts w:hint="eastAsia" w:cs="Arial"/>
          <w:u w:val="single"/>
        </w:rPr>
        <w:t xml:space="preserve">      </w:t>
      </w:r>
      <w:r>
        <w:rPr>
          <w:rFonts w:hint="eastAsia" w:cs="Courier New" w:asciiTheme="minorEastAsia" w:hAnsiTheme="minorEastAsia"/>
          <w:szCs w:val="21"/>
        </w:rPr>
        <w:t>。</w:t>
      </w:r>
    </w:p>
    <w:p>
      <w:pPr>
        <w:pStyle w:val="23"/>
        <w:spacing w:line="360" w:lineRule="auto"/>
        <w:ind w:firstLine="480"/>
        <w:rPr>
          <w:rFonts w:ascii="Arial" w:hAnsi="Arial" w:cs="Arial"/>
          <w:kern w:val="0"/>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w:t>
      </w:r>
      <w:r>
        <w:rPr>
          <w:rFonts w:hint="eastAsia" w:ascii="宋体" w:hAnsi="宋体" w:cs="Arial"/>
          <w:kern w:val="0"/>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三、我方同意按照贵方可能提出的要求而提供与投标有关的任何其它数据、信息或资料。</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四、我方理解贵方不一定接受最低投标价或任何贵方可能收到的投标。</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五、我方如果中标，将保证履行招标文件及其澄清、修改文件（如果有）中的全部责任和义务，按质、按量、按期完成《项目需求》及《合同书》中的全部任务。</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六、我方在此保证所提交的所有文件和全部说明是真实的和正确的。</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八、我方具备《政府采购法》第二十二条规定的条件；承诺如下：</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（1）具有独立承担民事责任能力的在中华人民共和国境内注册的法人或其他组织或自然人，有效的营业执照（或事业法人登记证或身份证等相关证明）。</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（2）我方已依法缴纳了各项税费及社会保险费用，如有需要，可随时向采购人提供近三个月内的相关缴费证明，以便核查。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（3）我方已依法建立健全的财务会计制度，如有需要，可随时向采购人提供相关证明材料，以便核查。</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（4）参加政府采购活动前三年内，在经营活动中没有重大违法记录。</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（5）符合法律、行政法规规定的其他条件。</w:t>
      </w:r>
    </w:p>
    <w:p>
      <w:pPr>
        <w:widowControl/>
        <w:spacing w:before="75" w:after="75" w:line="360" w:lineRule="auto"/>
        <w:ind w:firstLine="510"/>
        <w:rPr>
          <w:rFonts w:ascii="Arial" w:hAnsi="Arial" w:eastAsia="宋体" w:cs="Arial"/>
          <w:kern w:val="0"/>
          <w:sz w:val="24"/>
          <w:szCs w:val="24"/>
        </w:rPr>
      </w:pPr>
      <w:r>
        <w:rPr>
          <w:rFonts w:hint="eastAsia" w:ascii="宋体" w:hAnsi="宋体" w:eastAsia="宋体" w:cs="Arial"/>
          <w:kern w:val="0"/>
          <w:sz w:val="24"/>
          <w:szCs w:val="24"/>
        </w:rPr>
        <w:t>以上内容如有虚假或与事实不符的，评审委员会可将我方做无效投标处理，我方愿意承担相应的法律责任。</w:t>
      </w:r>
    </w:p>
    <w:p>
      <w:pPr>
        <w:widowControl/>
        <w:spacing w:before="75" w:after="75" w:line="360" w:lineRule="auto"/>
        <w:ind w:firstLine="480"/>
        <w:rPr>
          <w:rFonts w:ascii="Arial" w:hAnsi="Arial" w:eastAsia="宋体" w:cs="Arial"/>
          <w:kern w:val="0"/>
          <w:sz w:val="24"/>
          <w:szCs w:val="24"/>
        </w:rPr>
      </w:pPr>
      <w:r>
        <w:rPr>
          <w:rFonts w:hint="eastAsia" w:ascii="宋体" w:hAnsi="宋体" w:eastAsia="宋体" w:cs="Arial"/>
          <w:kern w:val="0"/>
          <w:sz w:val="24"/>
          <w:szCs w:val="24"/>
        </w:rPr>
        <w:t>九、我方具备履行合同所必需的设备和专业技术能力。</w:t>
      </w:r>
    </w:p>
    <w:p>
      <w:pPr>
        <w:widowControl/>
        <w:spacing w:before="75" w:line="360" w:lineRule="auto"/>
        <w:ind w:firstLine="480"/>
        <w:rPr>
          <w:rFonts w:asciiTheme="minorEastAsia" w:hAnsiTheme="minorEastAsia"/>
          <w:szCs w:val="21"/>
        </w:rPr>
      </w:pPr>
      <w:r>
        <w:rPr>
          <w:rFonts w:hint="eastAsia" w:ascii="宋体" w:hAnsi="宋体" w:eastAsia="宋体" w:cs="Arial"/>
          <w:kern w:val="0"/>
          <w:sz w:val="24"/>
          <w:szCs w:val="24"/>
        </w:rPr>
        <w:t>十、我方对在本函及投标文件中所作的所有承诺承担法律责任。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5"/>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5"/>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5"/>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5"/>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5"/>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5"/>
        <w:spacing w:line="480" w:lineRule="auto"/>
        <w:ind w:firstLine="472" w:firstLineChars="225"/>
        <w:jc w:val="left"/>
        <w:rPr>
          <w:rFonts w:asciiTheme="minorEastAsia" w:hAnsiTheme="minorEastAsia"/>
          <w:color w:val="000000"/>
          <w:sz w:val="21"/>
          <w:szCs w:val="21"/>
          <w:highlight w:val="none"/>
        </w:rPr>
      </w:pPr>
    </w:p>
    <w:p>
      <w:pPr>
        <w:pStyle w:val="45"/>
        <w:spacing w:line="480" w:lineRule="auto"/>
        <w:ind w:firstLine="472" w:firstLineChars="225"/>
        <w:jc w:val="left"/>
        <w:rPr>
          <w:rFonts w:asciiTheme="minorEastAsia" w:hAnsiTheme="minorEastAsia"/>
          <w:color w:val="000000"/>
          <w:sz w:val="21"/>
          <w:szCs w:val="21"/>
          <w:highlight w:val="none"/>
        </w:rPr>
      </w:pPr>
    </w:p>
    <w:p>
      <w:pPr>
        <w:pStyle w:val="45"/>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7"/>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32" w:name="_资格证明文件"/>
            <w:bookmarkEnd w:id="32"/>
            <w:bookmarkStart w:id="33"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33"/>
          </w:p>
        </w:tc>
        <w:tc>
          <w:tcPr>
            <w:tcW w:w="4492" w:type="dxa"/>
            <w:gridSpan w:val="2"/>
            <w:vAlign w:val="center"/>
          </w:tcPr>
          <w:p>
            <w:pPr>
              <w:jc w:val="center"/>
              <w:rPr>
                <w:rFonts w:asciiTheme="minorEastAsia" w:hAnsiTheme="minorEastAsia"/>
                <w:szCs w:val="21"/>
                <w:highlight w:val="none"/>
              </w:rPr>
            </w:pPr>
            <w:bookmarkStart w:id="34"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34"/>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widowControl/>
        <w:spacing w:before="100" w:beforeAutospacing="1" w:after="100" w:afterAutospacing="1" w:line="360" w:lineRule="auto"/>
        <w:jc w:val="both"/>
        <w:rPr>
          <w:rFonts w:hint="eastAsia" w:ascii="宋体" w:hAnsi="宋体"/>
          <w:b/>
          <w:bCs/>
          <w:color w:val="000000"/>
          <w:sz w:val="24"/>
          <w:szCs w:val="24"/>
          <w:highlight w:val="none"/>
          <w:lang w:val="zh-CN"/>
        </w:rPr>
      </w:pPr>
    </w:p>
    <w:p>
      <w:pPr>
        <w:pStyle w:val="24"/>
        <w:rPr>
          <w:rFonts w:hint="eastAsia" w:ascii="宋体" w:hAnsi="宋体"/>
          <w:b/>
          <w:bCs/>
          <w:color w:val="000000"/>
          <w:sz w:val="24"/>
          <w:szCs w:val="24"/>
          <w:highlight w:val="none"/>
          <w:lang w:val="zh-CN"/>
        </w:rPr>
      </w:pPr>
    </w:p>
    <w:p>
      <w:pPr>
        <w:pStyle w:val="24"/>
        <w:rPr>
          <w:rFonts w:hint="eastAsia" w:ascii="宋体" w:hAnsi="宋体"/>
          <w:b/>
          <w:bCs/>
          <w:color w:val="000000"/>
          <w:sz w:val="24"/>
          <w:szCs w:val="24"/>
          <w:highlight w:val="none"/>
          <w:lang w:val="zh-CN"/>
        </w:rPr>
      </w:pPr>
    </w:p>
    <w:p>
      <w:pPr>
        <w:pStyle w:val="24"/>
        <w:rPr>
          <w:rFonts w:hint="eastAsia" w:ascii="宋体" w:hAnsi="宋体"/>
          <w:b/>
          <w:bCs/>
          <w:color w:val="000000"/>
          <w:sz w:val="24"/>
          <w:szCs w:val="24"/>
          <w:highlight w:val="none"/>
          <w:lang w:val="zh-CN"/>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p>
    <w:p>
      <w:pPr>
        <w:autoSpaceDE w:val="0"/>
        <w:autoSpaceDN w:val="0"/>
        <w:adjustRightInd w:val="0"/>
        <w:spacing w:line="360" w:lineRule="auto"/>
        <w:jc w:val="center"/>
        <w:outlineLvl w:val="0"/>
        <w:rPr>
          <w:rFonts w:hint="eastAsia" w:ascii="宋体" w:hAnsi="宋体"/>
          <w:b/>
          <w:bCs/>
          <w:sz w:val="24"/>
        </w:rPr>
      </w:pPr>
      <w:r>
        <w:rPr>
          <w:rFonts w:hint="eastAsia" w:ascii="宋体" w:hAnsi="宋体"/>
          <w:b/>
          <w:bCs/>
          <w:sz w:val="24"/>
        </w:rPr>
        <w:t>3.5 投标承诺函</w:t>
      </w:r>
    </w:p>
    <w:p>
      <w:pPr>
        <w:spacing w:line="360" w:lineRule="auto"/>
        <w:rPr>
          <w:rFonts w:hint="eastAsia" w:ascii="宋体" w:hAnsi="宋体"/>
          <w:sz w:val="24"/>
        </w:rPr>
      </w:pPr>
      <w:r>
        <w:rPr>
          <w:rFonts w:hint="eastAsia" w:ascii="宋体" w:hAnsi="宋体"/>
          <w:sz w:val="24"/>
        </w:rPr>
        <w:t>本企业郑重承诺：</w:t>
      </w:r>
    </w:p>
    <w:p>
      <w:pPr>
        <w:spacing w:line="360" w:lineRule="auto"/>
        <w:ind w:firstLine="480" w:firstLineChars="200"/>
        <w:rPr>
          <w:rFonts w:hint="eastAsia" w:ascii="宋体" w:hAnsi="宋体"/>
          <w:sz w:val="24"/>
        </w:rPr>
      </w:pPr>
      <w:r>
        <w:rPr>
          <w:rFonts w:hint="eastAsia" w:ascii="宋体" w:hAnsi="宋体"/>
          <w:sz w:val="24"/>
        </w:rPr>
        <w:t>一、将遵循公开、公平、公正和诚实信用的原则参加</w:t>
      </w:r>
      <w:r>
        <w:rPr>
          <w:rFonts w:ascii="宋体" w:hAnsi="宋体"/>
          <w:sz w:val="24"/>
          <w:u w:val="single"/>
        </w:rPr>
        <w:t>(</w:t>
      </w:r>
      <w:r>
        <w:rPr>
          <w:rFonts w:hint="eastAsia" w:ascii="宋体" w:hAnsi="宋体"/>
          <w:sz w:val="24"/>
          <w:u w:val="single"/>
        </w:rPr>
        <w:t>具体政府采购项目名称）</w:t>
      </w:r>
      <w:r>
        <w:rPr>
          <w:rFonts w:hint="eastAsia" w:ascii="宋体" w:hAnsi="宋体"/>
          <w:sz w:val="24"/>
        </w:rPr>
        <w:t>的投标；</w:t>
      </w:r>
    </w:p>
    <w:p>
      <w:pPr>
        <w:spacing w:line="360" w:lineRule="auto"/>
        <w:ind w:firstLine="480" w:firstLineChars="200"/>
        <w:rPr>
          <w:rFonts w:hint="eastAsia" w:ascii="宋体" w:hAnsi="宋体"/>
          <w:sz w:val="24"/>
        </w:rPr>
      </w:pPr>
      <w:r>
        <w:rPr>
          <w:rFonts w:hint="eastAsia" w:ascii="宋体" w:hAnsi="宋体"/>
          <w:sz w:val="24"/>
        </w:rPr>
        <w:t>二、本次投标所提供的一切材料都是真实、有效、合法的；</w:t>
      </w:r>
    </w:p>
    <w:p>
      <w:pPr>
        <w:spacing w:line="360" w:lineRule="auto"/>
        <w:ind w:firstLine="480" w:firstLineChars="200"/>
        <w:rPr>
          <w:rFonts w:hint="eastAsia" w:ascii="宋体" w:hAnsi="宋体"/>
          <w:sz w:val="24"/>
        </w:rPr>
      </w:pPr>
      <w:r>
        <w:rPr>
          <w:rFonts w:hint="eastAsia" w:ascii="宋体" w:hAnsi="宋体"/>
          <w:sz w:val="24"/>
        </w:rPr>
        <w:t>三、不与其他投标人相互串通投标报价，不排挤其他投标人的公平竞争，不损害采购人或其他投标人的合法权益；</w:t>
      </w:r>
    </w:p>
    <w:p>
      <w:pPr>
        <w:spacing w:line="360" w:lineRule="auto"/>
        <w:ind w:firstLine="480" w:firstLineChars="200"/>
        <w:rPr>
          <w:rFonts w:hint="eastAsia" w:ascii="宋体" w:hAnsi="宋体"/>
          <w:sz w:val="24"/>
        </w:rPr>
      </w:pPr>
      <w:r>
        <w:rPr>
          <w:rFonts w:hint="eastAsia" w:ascii="宋体" w:hAnsi="宋体"/>
          <w:sz w:val="24"/>
        </w:rPr>
        <w:t>四、不与采购人或集中采购机构串通投标，不损害国家利益、社会公共利益或者他人的合法权益；</w:t>
      </w:r>
    </w:p>
    <w:p>
      <w:pPr>
        <w:spacing w:line="360" w:lineRule="auto"/>
        <w:ind w:firstLine="480" w:firstLineChars="200"/>
        <w:rPr>
          <w:rFonts w:hint="eastAsia" w:ascii="宋体" w:hAnsi="宋体"/>
          <w:sz w:val="24"/>
        </w:rPr>
      </w:pPr>
      <w:r>
        <w:rPr>
          <w:rFonts w:hint="eastAsia" w:ascii="宋体" w:hAnsi="宋体"/>
          <w:sz w:val="24"/>
        </w:rPr>
        <w:t>五、不向采购人或者评标委员会成员行贿以牟取中标；</w:t>
      </w:r>
    </w:p>
    <w:p>
      <w:pPr>
        <w:spacing w:line="360" w:lineRule="auto"/>
        <w:ind w:firstLine="480" w:firstLineChars="200"/>
        <w:rPr>
          <w:rFonts w:hint="eastAsia" w:ascii="宋体" w:hAnsi="宋体"/>
          <w:sz w:val="24"/>
        </w:rPr>
      </w:pPr>
      <w:r>
        <w:rPr>
          <w:rFonts w:hint="eastAsia" w:ascii="宋体" w:hAnsi="宋体"/>
          <w:sz w:val="24"/>
        </w:rPr>
        <w:t>六、不以他人名义投标或者以其他方式弄虚作假，骗取中标；</w:t>
      </w:r>
    </w:p>
    <w:p>
      <w:pPr>
        <w:spacing w:line="360" w:lineRule="auto"/>
        <w:ind w:firstLine="480" w:firstLineChars="200"/>
        <w:rPr>
          <w:rFonts w:hint="eastAsia" w:ascii="宋体" w:hAnsi="宋体"/>
          <w:sz w:val="24"/>
        </w:rPr>
      </w:pPr>
      <w:r>
        <w:rPr>
          <w:rFonts w:hint="eastAsia" w:ascii="宋体" w:hAnsi="宋体"/>
          <w:sz w:val="24"/>
        </w:rPr>
        <w:t>七、不扰乱长葛市政府采购市场秩序；</w:t>
      </w:r>
    </w:p>
    <w:p>
      <w:pPr>
        <w:spacing w:line="360" w:lineRule="auto"/>
        <w:ind w:firstLine="480" w:firstLineChars="200"/>
        <w:rPr>
          <w:rFonts w:hint="eastAsia" w:ascii="宋体" w:hAnsi="宋体"/>
          <w:sz w:val="24"/>
        </w:rPr>
      </w:pPr>
      <w:r>
        <w:rPr>
          <w:rFonts w:hint="eastAsia" w:ascii="宋体" w:hAnsi="宋体"/>
          <w:sz w:val="24"/>
        </w:rPr>
        <w:t>八、不在开标后进行虚假恶意投诉；</w:t>
      </w:r>
    </w:p>
    <w:p>
      <w:pPr>
        <w:spacing w:line="360" w:lineRule="auto"/>
        <w:ind w:firstLine="480" w:firstLineChars="200"/>
        <w:rPr>
          <w:rFonts w:hint="eastAsia" w:ascii="宋体" w:hAnsi="宋体"/>
          <w:sz w:val="24"/>
        </w:rPr>
      </w:pPr>
      <w:r>
        <w:rPr>
          <w:rFonts w:hint="eastAsia" w:ascii="宋体" w:hAnsi="宋体"/>
          <w:sz w:val="24"/>
        </w:rPr>
        <w:t>九、中标后不得将招标文件规定不予转包、分包的项目转包、分包于他人。</w:t>
      </w:r>
    </w:p>
    <w:p>
      <w:pPr>
        <w:spacing w:line="360" w:lineRule="auto"/>
        <w:ind w:firstLine="480" w:firstLineChars="200"/>
        <w:rPr>
          <w:rFonts w:ascii="宋体" w:hAnsi="宋体" w:cs="宋体"/>
          <w:sz w:val="24"/>
          <w:szCs w:val="21"/>
          <w:lang w:val="zh-CN"/>
        </w:rPr>
      </w:pPr>
      <w:r>
        <w:rPr>
          <w:rFonts w:hint="eastAsia" w:ascii="宋体" w:hAnsi="宋体" w:cs="宋体"/>
          <w:sz w:val="24"/>
          <w:szCs w:val="21"/>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156" w:beforeLines="50" w:after="156" w:afterLines="50" w:line="360" w:lineRule="auto"/>
        <w:ind w:firstLine="480" w:firstLineChars="200"/>
        <w:rPr>
          <w:rFonts w:ascii="宋体" w:hAnsi="宋体" w:cs="宋体"/>
          <w:sz w:val="24"/>
          <w:szCs w:val="21"/>
          <w:lang w:val="zh-CN"/>
        </w:rPr>
      </w:pP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法定代表人或者被委托人（签字</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hint="eastAsia" w:ascii="宋体" w:hAnsi="宋体" w:cs="宋体"/>
          <w:sz w:val="24"/>
          <w:szCs w:val="21"/>
          <w:lang w:val="zh-CN"/>
        </w:rPr>
      </w:pPr>
      <w:r>
        <w:rPr>
          <w:rFonts w:hint="eastAsia" w:ascii="宋体" w:hAnsi="宋体" w:cs="宋体"/>
          <w:sz w:val="24"/>
          <w:szCs w:val="21"/>
          <w:lang w:val="zh-CN"/>
        </w:rPr>
        <w:t>投标人名称</w:t>
      </w:r>
      <w:r>
        <w:rPr>
          <w:rFonts w:ascii="宋体" w:hAnsi="宋体" w:cs="宋体"/>
          <w:sz w:val="24"/>
          <w:szCs w:val="21"/>
          <w:lang w:val="zh-CN"/>
        </w:rPr>
        <w:t>(</w:t>
      </w:r>
      <w:r>
        <w:rPr>
          <w:rFonts w:hint="eastAsia" w:ascii="宋体" w:hAnsi="宋体" w:cs="宋体"/>
          <w:sz w:val="24"/>
          <w:szCs w:val="21"/>
          <w:lang w:val="zh-CN"/>
        </w:rPr>
        <w:t>盖章</w:t>
      </w:r>
      <w:r>
        <w:rPr>
          <w:rFonts w:ascii="宋体" w:hAnsi="宋体" w:cs="宋体"/>
          <w:sz w:val="24"/>
          <w:szCs w:val="21"/>
          <w:lang w:val="zh-CN"/>
        </w:rPr>
        <w:t>)</w:t>
      </w:r>
      <w:r>
        <w:rPr>
          <w:rFonts w:hint="eastAsia" w:ascii="宋体" w:hAnsi="宋体" w:cs="宋体"/>
          <w:sz w:val="24"/>
          <w:szCs w:val="21"/>
          <w:lang w:val="zh-CN"/>
        </w:rPr>
        <w:t>：</w:t>
      </w:r>
    </w:p>
    <w:p>
      <w:pPr>
        <w:spacing w:before="156" w:beforeLines="50" w:after="156" w:afterLines="50" w:line="360" w:lineRule="auto"/>
        <w:ind w:firstLine="3360" w:firstLineChars="1400"/>
        <w:rPr>
          <w:rFonts w:ascii="宋体" w:hAnsi="宋体" w:cs="宋体"/>
          <w:sz w:val="24"/>
          <w:szCs w:val="21"/>
          <w:lang w:val="zh-CN"/>
        </w:rPr>
      </w:pPr>
      <w:r>
        <w:rPr>
          <w:rFonts w:hint="eastAsia" w:ascii="宋体" w:hAnsi="宋体" w:cs="宋体"/>
          <w:sz w:val="24"/>
          <w:szCs w:val="21"/>
          <w:lang w:val="zh-CN"/>
        </w:rPr>
        <w:t>年</w:t>
      </w:r>
      <w:r>
        <w:rPr>
          <w:rFonts w:ascii="宋体" w:hAnsi="宋体" w:cs="宋体"/>
          <w:sz w:val="24"/>
          <w:szCs w:val="21"/>
          <w:lang w:val="zh-CN"/>
        </w:rPr>
        <w:t xml:space="preserve">  </w:t>
      </w:r>
      <w:r>
        <w:rPr>
          <w:rFonts w:hint="eastAsia" w:ascii="宋体" w:hAnsi="宋体" w:cs="宋体"/>
          <w:sz w:val="24"/>
          <w:szCs w:val="21"/>
          <w:lang w:val="zh-CN"/>
        </w:rPr>
        <w:t>月</w:t>
      </w:r>
      <w:r>
        <w:rPr>
          <w:rFonts w:ascii="宋体" w:hAnsi="宋体" w:cs="宋体"/>
          <w:sz w:val="24"/>
          <w:szCs w:val="21"/>
          <w:lang w:val="zh-CN"/>
        </w:rPr>
        <w:t xml:space="preserve">  </w:t>
      </w:r>
      <w:r>
        <w:rPr>
          <w:rFonts w:hint="eastAsia" w:ascii="宋体" w:hAnsi="宋体" w:cs="宋体"/>
          <w:sz w:val="24"/>
          <w:szCs w:val="21"/>
          <w:lang w:val="zh-CN"/>
        </w:rPr>
        <w:t>日</w:t>
      </w:r>
    </w:p>
    <w:p>
      <w:pPr>
        <w:spacing w:beforeLines="50" w:afterLines="50" w:line="360" w:lineRule="auto"/>
        <w:ind w:firstLine="420" w:firstLineChars="200"/>
        <w:rPr>
          <w:rFonts w:hint="eastAsia" w:cs="宋体" w:asciiTheme="minorEastAsia" w:hAnsiTheme="minorEastAsia"/>
          <w:szCs w:val="21"/>
          <w:highlight w:val="none"/>
          <w:lang w:val="zh-CN"/>
        </w:rPr>
      </w:pPr>
    </w:p>
    <w:p>
      <w:pPr>
        <w:spacing w:beforeLines="50" w:afterLines="50" w:line="360" w:lineRule="auto"/>
        <w:ind w:firstLine="420" w:firstLineChars="200"/>
        <w:rPr>
          <w:rFonts w:hint="eastAsia"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3.6 其他资格证书或材料</w:t>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pStyle w:val="3"/>
        <w:numPr>
          <w:ilvl w:val="0"/>
          <w:numId w:val="0"/>
        </w:numPr>
        <w:rPr>
          <w:lang w:val="zh-CN"/>
        </w:rPr>
      </w:pPr>
    </w:p>
    <w:p>
      <w:pPr>
        <w:pStyle w:val="3"/>
        <w:numPr>
          <w:ilvl w:val="0"/>
          <w:numId w:val="0"/>
        </w:numPr>
        <w:rPr>
          <w:lang w:val="zh-CN"/>
        </w:rPr>
      </w:pPr>
    </w:p>
    <w:p>
      <w:pPr>
        <w:rPr>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pStyle w:val="24"/>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9"/>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9"/>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9"/>
              <w:spacing w:line="360" w:lineRule="auto"/>
              <w:rPr>
                <w:rFonts w:ascii="宋体" w:hAnsi="宋体" w:eastAsia="宋体" w:cs="Times New Roman"/>
                <w:sz w:val="21"/>
                <w:szCs w:val="21"/>
                <w:highlight w:val="none"/>
              </w:rPr>
            </w:pPr>
          </w:p>
        </w:tc>
        <w:tc>
          <w:tcPr>
            <w:tcW w:w="3579" w:type="dxa"/>
            <w:vAlign w:val="center"/>
          </w:tcPr>
          <w:p>
            <w:pPr>
              <w:pStyle w:val="9"/>
              <w:spacing w:line="360" w:lineRule="auto"/>
              <w:rPr>
                <w:rFonts w:ascii="宋体" w:hAnsi="宋体" w:eastAsia="宋体" w:cs="Times New Roman"/>
                <w:sz w:val="21"/>
                <w:szCs w:val="21"/>
                <w:highlight w:val="none"/>
              </w:rPr>
            </w:pPr>
          </w:p>
        </w:tc>
        <w:tc>
          <w:tcPr>
            <w:tcW w:w="1440" w:type="dxa"/>
            <w:vAlign w:val="center"/>
          </w:tcPr>
          <w:p>
            <w:pPr>
              <w:pStyle w:val="9"/>
              <w:spacing w:line="360" w:lineRule="auto"/>
              <w:rPr>
                <w:rFonts w:ascii="宋体" w:hAnsi="宋体" w:eastAsia="宋体" w:cs="Times New Roman"/>
                <w:sz w:val="21"/>
                <w:szCs w:val="21"/>
                <w:highlight w:val="none"/>
              </w:rPr>
            </w:pPr>
          </w:p>
        </w:tc>
        <w:tc>
          <w:tcPr>
            <w:tcW w:w="1706" w:type="dxa"/>
            <w:vAlign w:val="center"/>
          </w:tcPr>
          <w:p>
            <w:pPr>
              <w:pStyle w:val="9"/>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pStyle w:val="24"/>
        <w:rPr>
          <w:rFonts w:hint="eastAsia"/>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both"/>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highlight w:val="none"/>
        </w:rPr>
      </w:pPr>
      <w:bookmarkStart w:id="35" w:name="OLE_LINK14"/>
      <w:bookmarkStart w:id="36" w:name="OLE_LINK13"/>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4.7 残疾人福利性单位声明函</w:t>
      </w:r>
    </w:p>
    <w:bookmarkEnd w:id="35"/>
    <w:bookmarkEnd w:id="36"/>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autoSpaceDE w:val="0"/>
        <w:autoSpaceDN w:val="0"/>
        <w:adjustRightInd w:val="0"/>
        <w:spacing w:line="360" w:lineRule="auto"/>
        <w:jc w:val="center"/>
        <w:outlineLvl w:val="0"/>
        <w:rPr>
          <w:rFonts w:hint="eastAsia" w:ascii="宋体" w:hAnsi="宋体"/>
          <w:b/>
          <w:bCs/>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hint="eastAsia" w:cs="黑体" w:asciiTheme="minorEastAsia" w:hAnsiTheme="minorEastAsia"/>
          <w:b/>
          <w:bCs/>
          <w:sz w:val="28"/>
          <w:szCs w:val="28"/>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pgSz w:w="11906" w:h="16838"/>
      <w:pgMar w:top="2098" w:right="1474" w:bottom="1928"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ESEhnrgEAAEwD&#10;AAAOAAAAAAAAAAEAIAAAAB4BAABkcnMvZTJvRG9jLnhtbFBLBQYAAAAABgAGAFkBAAA+BQ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rPr>
        <w:rFonts w:hint="eastAsia" w:eastAsiaTheme="minorEastAsia"/>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9E3FD4"/>
    <w:multiLevelType w:val="multilevel"/>
    <w:tmpl w:val="109E3FD4"/>
    <w:lvl w:ilvl="0" w:tentative="0">
      <w:start w:val="1"/>
      <w:numFmt w:val="chineseCountingThousand"/>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C57854"/>
    <w:multiLevelType w:val="multilevel"/>
    <w:tmpl w:val="40C57854"/>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13">
    <w:nsid w:val="49A33338"/>
    <w:multiLevelType w:val="multilevel"/>
    <w:tmpl w:val="49A33338"/>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E8"/>
    <w:multiLevelType w:val="singleLevel"/>
    <w:tmpl w:val="59F817E8"/>
    <w:lvl w:ilvl="0" w:tentative="0">
      <w:start w:val="1"/>
      <w:numFmt w:val="chineseCounting"/>
      <w:pStyle w:val="54"/>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5"/>
  </w:num>
  <w:num w:numId="4">
    <w:abstractNumId w:val="3"/>
  </w:num>
  <w:num w:numId="5">
    <w:abstractNumId w:val="12"/>
  </w:num>
  <w:num w:numId="6">
    <w:abstractNumId w:val="13"/>
  </w:num>
  <w:num w:numId="7">
    <w:abstractNumId w:val="8"/>
  </w:num>
  <w:num w:numId="8">
    <w:abstractNumId w:val="16"/>
  </w:num>
  <w:num w:numId="9">
    <w:abstractNumId w:val="9"/>
  </w:num>
  <w:num w:numId="10">
    <w:abstractNumId w:val="5"/>
  </w:num>
  <w:num w:numId="11">
    <w:abstractNumId w:val="6"/>
  </w:num>
  <w:num w:numId="12">
    <w:abstractNumId w:val="18"/>
  </w:num>
  <w:num w:numId="13">
    <w:abstractNumId w:val="11"/>
  </w:num>
  <w:num w:numId="14">
    <w:abstractNumId w:val="17"/>
  </w:num>
  <w:num w:numId="15">
    <w:abstractNumId w:val="4"/>
  </w:num>
  <w:num w:numId="16">
    <w:abstractNumId w:val="7"/>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825D65"/>
    <w:rsid w:val="01AB424F"/>
    <w:rsid w:val="01C03E78"/>
    <w:rsid w:val="024D63D8"/>
    <w:rsid w:val="02631FAF"/>
    <w:rsid w:val="03EA15C2"/>
    <w:rsid w:val="05074704"/>
    <w:rsid w:val="057B354B"/>
    <w:rsid w:val="06185424"/>
    <w:rsid w:val="065276E6"/>
    <w:rsid w:val="06B313E3"/>
    <w:rsid w:val="06C90EA4"/>
    <w:rsid w:val="06CD7033"/>
    <w:rsid w:val="0832787D"/>
    <w:rsid w:val="08D412D3"/>
    <w:rsid w:val="0A582101"/>
    <w:rsid w:val="0B655CE8"/>
    <w:rsid w:val="0CA31D12"/>
    <w:rsid w:val="0CBF17D9"/>
    <w:rsid w:val="0DFA5CFC"/>
    <w:rsid w:val="0EB72163"/>
    <w:rsid w:val="0F02380D"/>
    <w:rsid w:val="1005414B"/>
    <w:rsid w:val="10E64FA4"/>
    <w:rsid w:val="11804543"/>
    <w:rsid w:val="11F00A9A"/>
    <w:rsid w:val="12235046"/>
    <w:rsid w:val="128352CF"/>
    <w:rsid w:val="131A0AC4"/>
    <w:rsid w:val="1346481A"/>
    <w:rsid w:val="13464CFF"/>
    <w:rsid w:val="156C482A"/>
    <w:rsid w:val="16454CB4"/>
    <w:rsid w:val="17873035"/>
    <w:rsid w:val="17B353A0"/>
    <w:rsid w:val="18255157"/>
    <w:rsid w:val="18404E9C"/>
    <w:rsid w:val="196D13D7"/>
    <w:rsid w:val="1A827648"/>
    <w:rsid w:val="1AFA2654"/>
    <w:rsid w:val="1B015016"/>
    <w:rsid w:val="1B5A1594"/>
    <w:rsid w:val="1BC87D4C"/>
    <w:rsid w:val="1BD362FA"/>
    <w:rsid w:val="1C9A6FF9"/>
    <w:rsid w:val="1D1E6020"/>
    <w:rsid w:val="1E126032"/>
    <w:rsid w:val="1E8112E5"/>
    <w:rsid w:val="1EA31AA7"/>
    <w:rsid w:val="1EC1311C"/>
    <w:rsid w:val="1F1F47D2"/>
    <w:rsid w:val="1F8D6D02"/>
    <w:rsid w:val="1FA95CE3"/>
    <w:rsid w:val="203F2A24"/>
    <w:rsid w:val="20F470A4"/>
    <w:rsid w:val="212A0558"/>
    <w:rsid w:val="2159569C"/>
    <w:rsid w:val="218B0935"/>
    <w:rsid w:val="21FD24F1"/>
    <w:rsid w:val="228804EA"/>
    <w:rsid w:val="23007671"/>
    <w:rsid w:val="236F406A"/>
    <w:rsid w:val="23BE10D0"/>
    <w:rsid w:val="2439372E"/>
    <w:rsid w:val="24BC0354"/>
    <w:rsid w:val="25070EFD"/>
    <w:rsid w:val="25D57056"/>
    <w:rsid w:val="26C12EC9"/>
    <w:rsid w:val="27852880"/>
    <w:rsid w:val="279B317D"/>
    <w:rsid w:val="27BC29E9"/>
    <w:rsid w:val="284210C7"/>
    <w:rsid w:val="28D35F51"/>
    <w:rsid w:val="28FC652E"/>
    <w:rsid w:val="290A0DEC"/>
    <w:rsid w:val="2B5B3B51"/>
    <w:rsid w:val="2BA714D8"/>
    <w:rsid w:val="2C0F161B"/>
    <w:rsid w:val="2C635DC2"/>
    <w:rsid w:val="2D0848CD"/>
    <w:rsid w:val="2E5B5E3E"/>
    <w:rsid w:val="2E9540D7"/>
    <w:rsid w:val="2F001A31"/>
    <w:rsid w:val="2F393F98"/>
    <w:rsid w:val="2FAF2705"/>
    <w:rsid w:val="302D68C7"/>
    <w:rsid w:val="30564F66"/>
    <w:rsid w:val="3225518D"/>
    <w:rsid w:val="32482CC0"/>
    <w:rsid w:val="326A2699"/>
    <w:rsid w:val="32A25924"/>
    <w:rsid w:val="33600DF5"/>
    <w:rsid w:val="33813D07"/>
    <w:rsid w:val="33AB71B6"/>
    <w:rsid w:val="33BC3DF7"/>
    <w:rsid w:val="33F73B97"/>
    <w:rsid w:val="3404653E"/>
    <w:rsid w:val="3455367B"/>
    <w:rsid w:val="35966314"/>
    <w:rsid w:val="35DB3970"/>
    <w:rsid w:val="36ED49BA"/>
    <w:rsid w:val="370D49EA"/>
    <w:rsid w:val="37447FA6"/>
    <w:rsid w:val="37E46161"/>
    <w:rsid w:val="381308DA"/>
    <w:rsid w:val="38546615"/>
    <w:rsid w:val="38613288"/>
    <w:rsid w:val="38DE6F8E"/>
    <w:rsid w:val="39541DAE"/>
    <w:rsid w:val="39CC0658"/>
    <w:rsid w:val="39F54F34"/>
    <w:rsid w:val="3A280D71"/>
    <w:rsid w:val="3A434519"/>
    <w:rsid w:val="3AE87E0D"/>
    <w:rsid w:val="3B5A3A5D"/>
    <w:rsid w:val="3BC009CD"/>
    <w:rsid w:val="3BC074EA"/>
    <w:rsid w:val="3BF10CF3"/>
    <w:rsid w:val="3C4B07BF"/>
    <w:rsid w:val="3C8C2AC1"/>
    <w:rsid w:val="3CAA6C0A"/>
    <w:rsid w:val="3CB7674D"/>
    <w:rsid w:val="3E901FF2"/>
    <w:rsid w:val="3E983EFC"/>
    <w:rsid w:val="3F4848BC"/>
    <w:rsid w:val="402D4125"/>
    <w:rsid w:val="404B2C3C"/>
    <w:rsid w:val="409278D1"/>
    <w:rsid w:val="40DC7487"/>
    <w:rsid w:val="41364C09"/>
    <w:rsid w:val="415A48F0"/>
    <w:rsid w:val="41A52CAC"/>
    <w:rsid w:val="41B03356"/>
    <w:rsid w:val="421B1247"/>
    <w:rsid w:val="428A0366"/>
    <w:rsid w:val="431036A3"/>
    <w:rsid w:val="44384375"/>
    <w:rsid w:val="44707CD3"/>
    <w:rsid w:val="44E54D5B"/>
    <w:rsid w:val="457416A3"/>
    <w:rsid w:val="45FA43A4"/>
    <w:rsid w:val="464A19B1"/>
    <w:rsid w:val="466E5A81"/>
    <w:rsid w:val="46CC4BBF"/>
    <w:rsid w:val="470A717B"/>
    <w:rsid w:val="48116900"/>
    <w:rsid w:val="48801D6F"/>
    <w:rsid w:val="49D30015"/>
    <w:rsid w:val="4A592AF5"/>
    <w:rsid w:val="4B3C78AD"/>
    <w:rsid w:val="4BD560FB"/>
    <w:rsid w:val="4C1E4B6B"/>
    <w:rsid w:val="4C480673"/>
    <w:rsid w:val="4CE12B38"/>
    <w:rsid w:val="4CF022B5"/>
    <w:rsid w:val="4CF85226"/>
    <w:rsid w:val="4EBF7A58"/>
    <w:rsid w:val="4F004D7D"/>
    <w:rsid w:val="4F1B2126"/>
    <w:rsid w:val="4F1E46C5"/>
    <w:rsid w:val="4F1F15A6"/>
    <w:rsid w:val="4FEA1E6B"/>
    <w:rsid w:val="504D5D5C"/>
    <w:rsid w:val="50AA04D1"/>
    <w:rsid w:val="51C51BA6"/>
    <w:rsid w:val="51F508C5"/>
    <w:rsid w:val="5245619F"/>
    <w:rsid w:val="52854464"/>
    <w:rsid w:val="52B16985"/>
    <w:rsid w:val="52DC396B"/>
    <w:rsid w:val="53544CEF"/>
    <w:rsid w:val="537D225C"/>
    <w:rsid w:val="53BE2216"/>
    <w:rsid w:val="53C028CE"/>
    <w:rsid w:val="53FC735A"/>
    <w:rsid w:val="54123195"/>
    <w:rsid w:val="543A64F3"/>
    <w:rsid w:val="5484285A"/>
    <w:rsid w:val="553523A8"/>
    <w:rsid w:val="559D305D"/>
    <w:rsid w:val="55E71A1F"/>
    <w:rsid w:val="574C699C"/>
    <w:rsid w:val="57D30076"/>
    <w:rsid w:val="581624D9"/>
    <w:rsid w:val="58906E33"/>
    <w:rsid w:val="58D00519"/>
    <w:rsid w:val="58E42A02"/>
    <w:rsid w:val="58F14610"/>
    <w:rsid w:val="59C37ECE"/>
    <w:rsid w:val="59E8322B"/>
    <w:rsid w:val="5A885D9E"/>
    <w:rsid w:val="5B1F0BB5"/>
    <w:rsid w:val="5C1C1DB9"/>
    <w:rsid w:val="5CAE3B9E"/>
    <w:rsid w:val="5D493BBB"/>
    <w:rsid w:val="5D73605D"/>
    <w:rsid w:val="5DF11DA0"/>
    <w:rsid w:val="5E1D25B5"/>
    <w:rsid w:val="5E421808"/>
    <w:rsid w:val="5F825EDE"/>
    <w:rsid w:val="5F842FAD"/>
    <w:rsid w:val="5F9810BA"/>
    <w:rsid w:val="5FCC0FAA"/>
    <w:rsid w:val="5FD4624D"/>
    <w:rsid w:val="605328B0"/>
    <w:rsid w:val="60607234"/>
    <w:rsid w:val="609827F5"/>
    <w:rsid w:val="60DC2489"/>
    <w:rsid w:val="615D776E"/>
    <w:rsid w:val="625722BD"/>
    <w:rsid w:val="62A27B5F"/>
    <w:rsid w:val="62C1202D"/>
    <w:rsid w:val="63250FF2"/>
    <w:rsid w:val="632D7F14"/>
    <w:rsid w:val="63F36EE2"/>
    <w:rsid w:val="642B11B3"/>
    <w:rsid w:val="64BB253D"/>
    <w:rsid w:val="64FE48A7"/>
    <w:rsid w:val="65186307"/>
    <w:rsid w:val="657272C3"/>
    <w:rsid w:val="65DF0B39"/>
    <w:rsid w:val="66092B9F"/>
    <w:rsid w:val="665553D9"/>
    <w:rsid w:val="66620059"/>
    <w:rsid w:val="667768BC"/>
    <w:rsid w:val="67231B0F"/>
    <w:rsid w:val="68D42E51"/>
    <w:rsid w:val="694B0421"/>
    <w:rsid w:val="69B34518"/>
    <w:rsid w:val="6A1D2A23"/>
    <w:rsid w:val="6A3D240C"/>
    <w:rsid w:val="6AD90909"/>
    <w:rsid w:val="6B02088F"/>
    <w:rsid w:val="6B7E4658"/>
    <w:rsid w:val="6B9664C0"/>
    <w:rsid w:val="6BA54209"/>
    <w:rsid w:val="6C995C66"/>
    <w:rsid w:val="6CCE5F05"/>
    <w:rsid w:val="6CEF7374"/>
    <w:rsid w:val="6D034716"/>
    <w:rsid w:val="6DBA3633"/>
    <w:rsid w:val="6E103C9F"/>
    <w:rsid w:val="6E945AAB"/>
    <w:rsid w:val="6EAB3F30"/>
    <w:rsid w:val="6F873820"/>
    <w:rsid w:val="6FA12CBC"/>
    <w:rsid w:val="6FD807AE"/>
    <w:rsid w:val="70371048"/>
    <w:rsid w:val="7042731D"/>
    <w:rsid w:val="70520FFC"/>
    <w:rsid w:val="70B8125D"/>
    <w:rsid w:val="722E0B00"/>
    <w:rsid w:val="72566FFB"/>
    <w:rsid w:val="72B26E4A"/>
    <w:rsid w:val="73651F27"/>
    <w:rsid w:val="73DD19F3"/>
    <w:rsid w:val="7422173F"/>
    <w:rsid w:val="74AE69E9"/>
    <w:rsid w:val="74E91DA7"/>
    <w:rsid w:val="74FD781A"/>
    <w:rsid w:val="757D07F4"/>
    <w:rsid w:val="75A23ED7"/>
    <w:rsid w:val="75DE062B"/>
    <w:rsid w:val="75E25794"/>
    <w:rsid w:val="760A3DAE"/>
    <w:rsid w:val="768205BA"/>
    <w:rsid w:val="76FE31D4"/>
    <w:rsid w:val="775F1720"/>
    <w:rsid w:val="78126F6B"/>
    <w:rsid w:val="7819078C"/>
    <w:rsid w:val="78735A1C"/>
    <w:rsid w:val="78900EE1"/>
    <w:rsid w:val="79A0212B"/>
    <w:rsid w:val="79D201B7"/>
    <w:rsid w:val="7A004220"/>
    <w:rsid w:val="7A8360E8"/>
    <w:rsid w:val="7AA73389"/>
    <w:rsid w:val="7AD56177"/>
    <w:rsid w:val="7ADF11AF"/>
    <w:rsid w:val="7C282000"/>
    <w:rsid w:val="7C71647F"/>
    <w:rsid w:val="7CEC5C19"/>
    <w:rsid w:val="7CEF089A"/>
    <w:rsid w:val="7E5A0FB8"/>
    <w:rsid w:val="7E711E02"/>
    <w:rsid w:val="7EB648A1"/>
    <w:rsid w:val="7EC80FCB"/>
    <w:rsid w:val="7F976D01"/>
    <w:rsid w:val="7FC5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unhideWhenUsed/>
    <w:qFormat/>
    <w:uiPriority w:val="0"/>
    <w:pPr>
      <w:widowControl w:val="0"/>
      <w:jc w:val="left"/>
    </w:pPr>
    <w:rPr>
      <w:rFonts w:ascii="Calibri" w:hAnsi="Calibri" w:eastAsia="宋体" w:cs="Times New Roman"/>
      <w:sz w:val="20"/>
    </w:rPr>
  </w:style>
  <w:style w:type="paragraph" w:styleId="11">
    <w:name w:val="Body Text 3"/>
    <w:basedOn w:val="1"/>
    <w:link w:val="51"/>
    <w:qFormat/>
    <w:uiPriority w:val="0"/>
    <w:rPr>
      <w:rFonts w:ascii="Times New Roman" w:hAnsi="Times New Roman" w:eastAsia="宋体" w:cs="Times New Roman"/>
      <w:color w:val="FF0000"/>
      <w:sz w:val="24"/>
      <w:szCs w:val="24"/>
    </w:rPr>
  </w:style>
  <w:style w:type="paragraph" w:styleId="12">
    <w:name w:val="Body Text"/>
    <w:basedOn w:val="1"/>
    <w:link w:val="55"/>
    <w:semiHidden/>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6"/>
    <w:qFormat/>
    <w:uiPriority w:val="0"/>
    <w:rPr>
      <w:rFonts w:eastAsia="宋体"/>
      <w:sz w:val="24"/>
    </w:rPr>
  </w:style>
  <w:style w:type="paragraph" w:styleId="17">
    <w:name w:val="Date"/>
    <w:basedOn w:val="1"/>
    <w:next w:val="1"/>
    <w:link w:val="37"/>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2"/>
    <w:next w:val="1"/>
    <w:link w:val="56"/>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Emphasis"/>
    <w:basedOn w:val="27"/>
    <w:qFormat/>
    <w:uiPriority w:val="20"/>
  </w:style>
  <w:style w:type="character" w:styleId="31">
    <w:name w:val="Hyperlink"/>
    <w:basedOn w:val="27"/>
    <w:unhideWhenUsed/>
    <w:qFormat/>
    <w:uiPriority w:val="99"/>
    <w:rPr>
      <w:color w:val="000000"/>
      <w:u w:val="none"/>
    </w:rPr>
  </w:style>
  <w:style w:type="character" w:customStyle="1" w:styleId="32">
    <w:name w:val="标题 1 Char"/>
    <w:basedOn w:val="27"/>
    <w:link w:val="3"/>
    <w:qFormat/>
    <w:uiPriority w:val="0"/>
    <w:rPr>
      <w:rFonts w:ascii="Calibri" w:hAnsi="Calibri" w:eastAsia="宋体" w:cs="Times New Roman"/>
      <w:b/>
      <w:bCs/>
      <w:kern w:val="44"/>
      <w:sz w:val="44"/>
      <w:szCs w:val="44"/>
    </w:rPr>
  </w:style>
  <w:style w:type="character" w:customStyle="1" w:styleId="33">
    <w:name w:val="标题 2 Char"/>
    <w:basedOn w:val="27"/>
    <w:link w:val="4"/>
    <w:qFormat/>
    <w:uiPriority w:val="0"/>
    <w:rPr>
      <w:rFonts w:ascii="Arial" w:hAnsi="Arial" w:eastAsia="黑体" w:cs="Times New Roman"/>
      <w:b/>
      <w:bCs/>
      <w:kern w:val="0"/>
      <w:sz w:val="32"/>
      <w:szCs w:val="32"/>
    </w:rPr>
  </w:style>
  <w:style w:type="character" w:customStyle="1" w:styleId="34">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7"/>
    <w:link w:val="6"/>
    <w:qFormat/>
    <w:uiPriority w:val="0"/>
    <w:rPr>
      <w:rFonts w:ascii="Arial" w:hAnsi="Arial" w:eastAsia="黑体" w:cs="Times New Roman"/>
      <w:b/>
      <w:bCs/>
      <w:kern w:val="0"/>
      <w:sz w:val="28"/>
      <w:szCs w:val="28"/>
    </w:rPr>
  </w:style>
  <w:style w:type="character" w:customStyle="1" w:styleId="36">
    <w:name w:val="纯文本 Char"/>
    <w:basedOn w:val="27"/>
    <w:link w:val="16"/>
    <w:qFormat/>
    <w:uiPriority w:val="0"/>
    <w:rPr>
      <w:rFonts w:eastAsia="宋体"/>
      <w:sz w:val="24"/>
    </w:rPr>
  </w:style>
  <w:style w:type="character" w:customStyle="1" w:styleId="37">
    <w:name w:val="日期 Char"/>
    <w:basedOn w:val="27"/>
    <w:link w:val="17"/>
    <w:qFormat/>
    <w:uiPriority w:val="99"/>
  </w:style>
  <w:style w:type="character" w:customStyle="1" w:styleId="38">
    <w:name w:val="页脚 Char"/>
    <w:basedOn w:val="27"/>
    <w:link w:val="19"/>
    <w:qFormat/>
    <w:uiPriority w:val="99"/>
    <w:rPr>
      <w:sz w:val="18"/>
      <w:szCs w:val="18"/>
    </w:rPr>
  </w:style>
  <w:style w:type="character" w:customStyle="1" w:styleId="39">
    <w:name w:val="页眉 Char"/>
    <w:basedOn w:val="27"/>
    <w:link w:val="20"/>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7"/>
    <w:link w:val="11"/>
    <w:qFormat/>
    <w:uiPriority w:val="0"/>
    <w:rPr>
      <w:rFonts w:ascii="Times New Roman" w:hAnsi="Times New Roman" w:eastAsia="宋体" w:cs="Times New Roman"/>
      <w:color w:val="FF0000"/>
      <w:sz w:val="24"/>
      <w:szCs w:val="24"/>
    </w:rPr>
  </w:style>
  <w:style w:type="character" w:customStyle="1" w:styleId="52">
    <w:name w:val="edittexttarea"/>
    <w:basedOn w:val="27"/>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7"/>
    <w:link w:val="12"/>
    <w:semiHidden/>
    <w:qFormat/>
    <w:uiPriority w:val="99"/>
  </w:style>
  <w:style w:type="character" w:customStyle="1" w:styleId="56">
    <w:name w:val="正文首行缩进 Char"/>
    <w:basedOn w:val="55"/>
    <w:link w:val="24"/>
    <w:qFormat/>
    <w:uiPriority w:val="0"/>
    <w:rPr>
      <w:rFonts w:ascii="宋体" w:hAnsi="Times New Roman" w:eastAsia="宋体" w:cs="Times New Roman"/>
      <w:kern w:val="0"/>
      <w:sz w:val="34"/>
      <w:szCs w:val="20"/>
    </w:rPr>
  </w:style>
  <w:style w:type="character" w:customStyle="1" w:styleId="57">
    <w:name w:val="HTML 预设格式 Char"/>
    <w:basedOn w:val="27"/>
    <w:link w:val="22"/>
    <w:semiHidden/>
    <w:qFormat/>
    <w:uiPriority w:val="99"/>
    <w:rPr>
      <w:rFonts w:ascii="宋体" w:hAnsi="宋体" w:eastAsia="宋体" w:cs="宋体"/>
      <w:kern w:val="0"/>
      <w:sz w:val="24"/>
      <w:szCs w:val="24"/>
    </w:rPr>
  </w:style>
  <w:style w:type="character" w:customStyle="1" w:styleId="58">
    <w:name w:val="正文文本缩进 Char"/>
    <w:link w:val="13"/>
    <w:qFormat/>
    <w:uiPriority w:val="0"/>
    <w:rPr>
      <w:sz w:val="24"/>
    </w:rPr>
  </w:style>
  <w:style w:type="character" w:customStyle="1" w:styleId="59">
    <w:name w:val="正文文本缩进 Char1"/>
    <w:basedOn w:val="27"/>
    <w:link w:val="13"/>
    <w:semiHidden/>
    <w:qFormat/>
    <w:uiPriority w:val="99"/>
  </w:style>
  <w:style w:type="character" w:styleId="60">
    <w:name w:val="Placeholder Text"/>
    <w:basedOn w:val="27"/>
    <w:semiHidden/>
    <w:qFormat/>
    <w:uiPriority w:val="99"/>
    <w:rPr>
      <w:color w:val="808080"/>
    </w:rPr>
  </w:style>
  <w:style w:type="character" w:customStyle="1" w:styleId="61">
    <w:name w:val="批注框文本 Char"/>
    <w:basedOn w:val="27"/>
    <w:link w:val="18"/>
    <w:semiHidden/>
    <w:qFormat/>
    <w:uiPriority w:val="99"/>
    <w:rPr>
      <w:sz w:val="18"/>
      <w:szCs w:val="18"/>
    </w:rPr>
  </w:style>
  <w:style w:type="character" w:customStyle="1" w:styleId="62">
    <w:name w:val="blue"/>
    <w:basedOn w:val="27"/>
    <w:qFormat/>
    <w:uiPriority w:val="0"/>
    <w:rPr>
      <w:color w:val="0371C6"/>
      <w:sz w:val="21"/>
      <w:szCs w:val="21"/>
    </w:rPr>
  </w:style>
  <w:style w:type="character" w:customStyle="1" w:styleId="63">
    <w:name w:val="green"/>
    <w:basedOn w:val="27"/>
    <w:qFormat/>
    <w:uiPriority w:val="0"/>
    <w:rPr>
      <w:color w:val="66AE00"/>
      <w:sz w:val="18"/>
      <w:szCs w:val="18"/>
    </w:rPr>
  </w:style>
  <w:style w:type="character" w:customStyle="1" w:styleId="64">
    <w:name w:val="green1"/>
    <w:basedOn w:val="27"/>
    <w:qFormat/>
    <w:uiPriority w:val="0"/>
    <w:rPr>
      <w:color w:val="66AE00"/>
      <w:sz w:val="18"/>
      <w:szCs w:val="18"/>
    </w:rPr>
  </w:style>
  <w:style w:type="character" w:customStyle="1" w:styleId="65">
    <w:name w:val="red"/>
    <w:basedOn w:val="27"/>
    <w:qFormat/>
    <w:uiPriority w:val="0"/>
    <w:rPr>
      <w:color w:val="FF0000"/>
      <w:sz w:val="18"/>
      <w:szCs w:val="18"/>
    </w:rPr>
  </w:style>
  <w:style w:type="character" w:customStyle="1" w:styleId="66">
    <w:name w:val="red1"/>
    <w:basedOn w:val="27"/>
    <w:qFormat/>
    <w:uiPriority w:val="0"/>
    <w:rPr>
      <w:color w:val="FF0000"/>
      <w:sz w:val="18"/>
      <w:szCs w:val="18"/>
    </w:rPr>
  </w:style>
  <w:style w:type="character" w:customStyle="1" w:styleId="67">
    <w:name w:val="red2"/>
    <w:basedOn w:val="27"/>
    <w:qFormat/>
    <w:uiPriority w:val="0"/>
    <w:rPr>
      <w:color w:val="CC0000"/>
    </w:rPr>
  </w:style>
  <w:style w:type="character" w:customStyle="1" w:styleId="68">
    <w:name w:val="red3"/>
    <w:basedOn w:val="27"/>
    <w:qFormat/>
    <w:uiPriority w:val="0"/>
    <w:rPr>
      <w:color w:val="FF0000"/>
    </w:rPr>
  </w:style>
  <w:style w:type="character" w:customStyle="1" w:styleId="69">
    <w:name w:val="hover25"/>
    <w:basedOn w:val="27"/>
    <w:qFormat/>
    <w:uiPriority w:val="0"/>
  </w:style>
  <w:style w:type="character" w:customStyle="1" w:styleId="70">
    <w:name w:val="gb-jt"/>
    <w:basedOn w:val="27"/>
    <w:qFormat/>
    <w:uiPriority w:val="0"/>
  </w:style>
  <w:style w:type="character" w:customStyle="1" w:styleId="71">
    <w:name w:val="right"/>
    <w:basedOn w:val="27"/>
    <w:qFormat/>
    <w:uiPriority w:val="0"/>
    <w:rPr>
      <w:color w:val="999999"/>
      <w:sz w:val="18"/>
      <w:szCs w:val="18"/>
    </w:rPr>
  </w:style>
  <w:style w:type="paragraph" w:customStyle="1" w:styleId="72">
    <w:name w:val="Table Paragraph"/>
    <w:basedOn w:val="1"/>
    <w:qFormat/>
    <w:uiPriority w:val="1"/>
  </w:style>
  <w:style w:type="character" w:customStyle="1" w:styleId="73">
    <w:name w:val="font22"/>
    <w:basedOn w:val="27"/>
    <w:qFormat/>
    <w:uiPriority w:val="0"/>
    <w:rPr>
      <w:rFonts w:hint="eastAsia" w:ascii="宋体" w:hAnsi="宋体" w:eastAsia="宋体" w:cs="宋体"/>
      <w:color w:val="000000"/>
      <w:sz w:val="22"/>
      <w:szCs w:val="22"/>
      <w:u w:val="none"/>
    </w:rPr>
  </w:style>
  <w:style w:type="paragraph" w:customStyle="1" w:styleId="74">
    <w:name w:val="p0"/>
    <w:basedOn w:val="1"/>
    <w:qFormat/>
    <w:uiPriority w:val="0"/>
    <w:pPr>
      <w:widowControl/>
    </w:pPr>
    <w:rPr>
      <w:rFonts w:ascii="Times New Roman" w:hAnsi="Times New Roman" w:eastAsia="宋体" w:cs="Times New Roman"/>
      <w:kern w:val="0"/>
      <w:szCs w:val="21"/>
    </w:rPr>
  </w:style>
  <w:style w:type="character" w:customStyle="1" w:styleId="75">
    <w:name w:val="font71"/>
    <w:basedOn w:val="27"/>
    <w:qFormat/>
    <w:uiPriority w:val="0"/>
    <w:rPr>
      <w:rFonts w:hint="eastAsia" w:ascii="宋体" w:hAnsi="宋体" w:eastAsia="宋体" w:cs="宋体"/>
      <w:color w:val="FF0000"/>
      <w:sz w:val="24"/>
      <w:szCs w:val="24"/>
      <w:u w:val="none"/>
    </w:rPr>
  </w:style>
  <w:style w:type="character" w:customStyle="1" w:styleId="76">
    <w:name w:val="font01"/>
    <w:basedOn w:val="27"/>
    <w:qFormat/>
    <w:uiPriority w:val="0"/>
    <w:rPr>
      <w:rFonts w:hint="eastAsia" w:ascii="宋体" w:hAnsi="宋体" w:eastAsia="宋体" w:cs="宋体"/>
      <w:b/>
      <w:color w:val="000000"/>
      <w:sz w:val="24"/>
      <w:szCs w:val="24"/>
      <w:u w:val="none"/>
    </w:rPr>
  </w:style>
  <w:style w:type="character" w:customStyle="1" w:styleId="77">
    <w:name w:val="hover"/>
    <w:basedOn w:val="27"/>
    <w:qFormat/>
    <w:uiPriority w:val="0"/>
  </w:style>
  <w:style w:type="character" w:customStyle="1" w:styleId="78">
    <w:name w:val="hover24"/>
    <w:basedOn w:val="27"/>
    <w:qFormat/>
    <w:uiPriority w:val="0"/>
  </w:style>
  <w:style w:type="character" w:customStyle="1" w:styleId="79">
    <w:name w:val="font21"/>
    <w:qFormat/>
    <w:uiPriority w:val="0"/>
    <w:rPr>
      <w:rFonts w:hint="eastAsia" w:ascii="宋体" w:hAnsi="宋体" w:eastAsia="宋体" w:cs="宋体"/>
      <w:color w:val="000000"/>
      <w:sz w:val="18"/>
      <w:szCs w:val="18"/>
      <w:u w:val="none"/>
    </w:rPr>
  </w:style>
  <w:style w:type="character" w:customStyle="1" w:styleId="80">
    <w:name w:val="font11"/>
    <w:basedOn w:val="27"/>
    <w:qFormat/>
    <w:uiPriority w:val="0"/>
    <w:rPr>
      <w:rFonts w:hint="eastAsia" w:ascii="宋体" w:hAnsi="宋体" w:eastAsia="宋体" w:cs="宋体"/>
      <w:b/>
      <w:color w:val="000000"/>
      <w:sz w:val="18"/>
      <w:szCs w:val="18"/>
      <w:u w:val="none"/>
    </w:rPr>
  </w:style>
  <w:style w:type="character" w:customStyle="1" w:styleId="81">
    <w:name w:val="font51"/>
    <w:basedOn w:val="27"/>
    <w:qFormat/>
    <w:uiPriority w:val="0"/>
    <w:rPr>
      <w:rFonts w:hint="default" w:ascii="Times New Roman" w:hAnsi="Times New Roman" w:cs="Times New Roman"/>
      <w:color w:val="000000"/>
      <w:sz w:val="22"/>
      <w:szCs w:val="22"/>
      <w:u w:val="none"/>
    </w:rPr>
  </w:style>
  <w:style w:type="character" w:customStyle="1" w:styleId="82">
    <w:name w:val="font31"/>
    <w:basedOn w:val="27"/>
    <w:qFormat/>
    <w:uiPriority w:val="0"/>
    <w:rPr>
      <w:rFonts w:hint="eastAsia" w:ascii="宋体" w:hAnsi="宋体" w:eastAsia="宋体" w:cs="宋体"/>
      <w:b/>
      <w:color w:val="000000"/>
      <w:sz w:val="22"/>
      <w:szCs w:val="22"/>
      <w:u w:val="none"/>
    </w:rPr>
  </w:style>
  <w:style w:type="paragraph" w:customStyle="1" w:styleId="83">
    <w:name w:val="Char Char1"/>
    <w:basedOn w:val="1"/>
    <w:qFormat/>
    <w:uiPriority w:val="0"/>
    <w:pPr>
      <w:widowControl w:val="0"/>
    </w:pPr>
    <w:rPr>
      <w:rFonts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2</TotalTime>
  <ScaleCrop>false</ScaleCrop>
  <LinksUpToDate>false</LinksUpToDate>
  <CharactersWithSpaces>37441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智远工程管理有限公司:高波</cp:lastModifiedBy>
  <cp:lastPrinted>2019-12-24T03:05:22Z</cp:lastPrinted>
  <dcterms:modified xsi:type="dcterms:W3CDTF">2019-12-24T03:08:18Z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