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jc w:val="center"/>
        <w:rPr>
          <w:rFonts w:hint="eastAsia" w:ascii="黑体" w:hAnsi="黑体" w:eastAsia="黑体" w:cs="黑体"/>
          <w:b w:val="0"/>
          <w:bCs w:val="0"/>
          <w:sz w:val="44"/>
          <w:szCs w:val="44"/>
        </w:rPr>
      </w:pPr>
    </w:p>
    <w:p>
      <w:pPr>
        <w:ind w:firstLine="442" w:firstLineChars="100"/>
        <w:rPr>
          <w:rFonts w:hint="eastAsia" w:ascii="黑体" w:hAnsi="黑体" w:eastAsia="黑体" w:cs="黑体"/>
          <w:b/>
          <w:bCs/>
          <w:sz w:val="48"/>
          <w:szCs w:val="48"/>
        </w:rPr>
      </w:pPr>
      <w:r>
        <w:rPr>
          <w:rFonts w:hint="eastAsia" w:ascii="黑体" w:hAnsi="黑体" w:eastAsia="黑体" w:cs="黑体"/>
          <w:b/>
          <w:bCs/>
          <w:sz w:val="44"/>
          <w:szCs w:val="44"/>
        </w:rPr>
        <w:t>禹州市</w:t>
      </w:r>
      <w:r>
        <w:rPr>
          <w:rFonts w:hint="eastAsia" w:ascii="黑体" w:hAnsi="黑体" w:eastAsia="黑体" w:cs="黑体"/>
          <w:b/>
          <w:bCs/>
          <w:sz w:val="44"/>
          <w:szCs w:val="44"/>
          <w:lang w:eastAsia="zh-CN"/>
        </w:rPr>
        <w:t>污水净化公司聚合硫酸铁采购项目</w:t>
      </w:r>
    </w:p>
    <w:p>
      <w:pPr>
        <w:ind w:firstLine="2409" w:firstLineChars="500"/>
        <w:rPr>
          <w:rFonts w:hint="eastAsia" w:ascii="黑体" w:hAnsi="黑体" w:eastAsia="黑体" w:cs="黑体"/>
          <w:b/>
          <w:bCs/>
          <w:sz w:val="48"/>
          <w:szCs w:val="48"/>
        </w:rPr>
      </w:pPr>
    </w:p>
    <w:p>
      <w:pPr>
        <w:ind w:firstLine="2409" w:firstLineChars="500"/>
        <w:rPr>
          <w:rFonts w:hint="eastAsia" w:ascii="黑体" w:hAnsi="黑体" w:eastAsia="黑体" w:cs="黑体"/>
          <w:b/>
          <w:bCs/>
          <w:sz w:val="48"/>
          <w:szCs w:val="48"/>
        </w:rPr>
      </w:pPr>
    </w:p>
    <w:p>
      <w:pPr>
        <w:ind w:firstLine="2409" w:firstLineChars="500"/>
        <w:rPr>
          <w:rFonts w:ascii="黑体" w:hAnsi="黑体" w:eastAsia="黑体" w:cs="黑体"/>
          <w:b/>
          <w:bCs/>
          <w:sz w:val="48"/>
          <w:szCs w:val="48"/>
        </w:rPr>
      </w:pPr>
      <w:r>
        <w:rPr>
          <w:rFonts w:hint="eastAsia" w:ascii="黑体" w:hAnsi="黑体" w:eastAsia="黑体" w:cs="黑体"/>
          <w:b/>
          <w:bCs/>
          <w:sz w:val="48"/>
          <w:szCs w:val="48"/>
        </w:rPr>
        <w:t>竞争性谈判文件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sz w:val="36"/>
          <w:szCs w:val="36"/>
        </w:rPr>
        <w:t xml:space="preserve"> 项目编号：YZCG-T20</w:t>
      </w:r>
      <w:r>
        <w:rPr>
          <w:rFonts w:hint="eastAsia" w:asciiTheme="majorEastAsia" w:hAnsiTheme="majorEastAsia" w:eastAsiaTheme="majorEastAsia" w:cstheme="majorEastAsia"/>
          <w:sz w:val="36"/>
          <w:szCs w:val="36"/>
          <w:lang w:val="en-US" w:eastAsia="zh-CN"/>
        </w:rPr>
        <w:t>20005</w:t>
      </w:r>
    </w:p>
    <w:p>
      <w:pPr>
        <w:ind w:firstLine="1080" w:firstLineChars="300"/>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rPr>
        <w:t>采购单位：</w:t>
      </w:r>
      <w:r>
        <w:rPr>
          <w:rFonts w:hint="eastAsia" w:asciiTheme="majorEastAsia" w:hAnsiTheme="majorEastAsia" w:eastAsiaTheme="majorEastAsia" w:cstheme="majorEastAsia"/>
          <w:sz w:val="36"/>
          <w:szCs w:val="36"/>
          <w:lang w:eastAsia="zh-CN"/>
        </w:rPr>
        <w:t>禹州市污水净化公司</w:t>
      </w:r>
    </w:p>
    <w:p>
      <w:pPr>
        <w:ind w:firstLine="1080" w:firstLineChars="300"/>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代理机构：禹州市政府采购中心</w:t>
      </w:r>
    </w:p>
    <w:p>
      <w:pPr>
        <w:rPr>
          <w:rFonts w:asciiTheme="majorEastAsia" w:hAnsiTheme="majorEastAsia" w:eastAsiaTheme="majorEastAsia" w:cstheme="majorEastAsia"/>
          <w:b/>
          <w:bCs/>
          <w:sz w:val="36"/>
          <w:szCs w:val="36"/>
        </w:rPr>
      </w:pPr>
    </w:p>
    <w:p>
      <w:pPr>
        <w:pStyle w:val="2"/>
        <w:ind w:firstLine="340"/>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二〇二〇年一月</w:t>
      </w:r>
    </w:p>
    <w:p>
      <w:pPr>
        <w:pStyle w:val="2"/>
        <w:ind w:firstLine="340"/>
      </w:pPr>
    </w:p>
    <w:p>
      <w:pPr>
        <w:pStyle w:val="2"/>
        <w:ind w:firstLine="340"/>
      </w:pPr>
    </w:p>
    <w:p>
      <w:pPr>
        <w:pStyle w:val="2"/>
        <w:ind w:left="0" w:leftChars="0" w:firstLine="0" w:firstLineChars="0"/>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pStyle w:val="2"/>
        <w:rPr>
          <w:rFonts w:hint="eastAsia" w:asciiTheme="majorEastAsia" w:hAnsiTheme="majorEastAsia" w:eastAsiaTheme="majorEastAsia" w:cstheme="majorEastAsia"/>
          <w:b/>
          <w:kern w:val="0"/>
          <w:sz w:val="32"/>
          <w:szCs w:val="32"/>
        </w:rPr>
      </w:pPr>
    </w:p>
    <w:p>
      <w:pPr>
        <w:pStyle w:val="2"/>
        <w:rPr>
          <w:rFonts w:hint="eastAsia" w:asciiTheme="majorEastAsia" w:hAnsiTheme="majorEastAsia" w:eastAsiaTheme="majorEastAsia" w:cstheme="majorEastAsia"/>
          <w:b/>
          <w:kern w:val="0"/>
          <w:sz w:val="32"/>
          <w:szCs w:val="32"/>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widowControl/>
        <w:shd w:val="clear" w:color="auto" w:fill="FFFFFF"/>
        <w:spacing w:line="440" w:lineRule="exact"/>
        <w:jc w:val="left"/>
        <w:rPr>
          <w:rFonts w:ascii="仿宋" w:hAnsi="仿宋" w:eastAsia="仿宋" w:cs="Arial"/>
          <w:color w:val="000000"/>
          <w:kern w:val="0"/>
          <w:sz w:val="32"/>
          <w:szCs w:val="32"/>
        </w:rPr>
      </w:pPr>
    </w:p>
    <w:p>
      <w:pPr>
        <w:spacing w:line="600" w:lineRule="exact"/>
        <w:jc w:val="center"/>
        <w:rPr>
          <w:rFonts w:hint="eastAsia"/>
          <w:b/>
          <w:bCs/>
          <w:sz w:val="32"/>
          <w:szCs w:val="32"/>
          <w:lang w:eastAsia="zh-CN"/>
        </w:rPr>
      </w:pPr>
      <w:r>
        <w:rPr>
          <w:rFonts w:hint="eastAsia"/>
          <w:b/>
          <w:bCs/>
          <w:sz w:val="32"/>
          <w:szCs w:val="32"/>
        </w:rPr>
        <w:t>禹州市</w:t>
      </w:r>
      <w:r>
        <w:rPr>
          <w:rFonts w:hint="eastAsia"/>
          <w:b/>
          <w:bCs/>
          <w:sz w:val="32"/>
          <w:szCs w:val="32"/>
          <w:lang w:eastAsia="zh-CN"/>
        </w:rPr>
        <w:t>污水净化公司聚合硫酸铁采购项目</w:t>
      </w:r>
    </w:p>
    <w:p>
      <w:pPr>
        <w:spacing w:line="600" w:lineRule="exact"/>
        <w:jc w:val="center"/>
        <w:rPr>
          <w:rFonts w:hint="eastAsia" w:eastAsiaTheme="minorEastAsia"/>
          <w:b/>
          <w:bCs/>
          <w:sz w:val="32"/>
          <w:szCs w:val="32"/>
          <w:lang w:val="en-US" w:eastAsia="zh-CN"/>
        </w:rPr>
      </w:pPr>
      <w:r>
        <w:rPr>
          <w:rFonts w:hint="eastAsia"/>
          <w:b/>
          <w:bCs/>
          <w:sz w:val="32"/>
          <w:szCs w:val="32"/>
        </w:rPr>
        <w:t>谈判</w:t>
      </w:r>
      <w:r>
        <w:rPr>
          <w:rFonts w:hint="eastAsia"/>
          <w:b/>
          <w:bCs/>
          <w:sz w:val="32"/>
          <w:szCs w:val="32"/>
          <w:lang w:eastAsia="zh-CN"/>
        </w:rPr>
        <w:t>邀请函</w:t>
      </w:r>
    </w:p>
    <w:p>
      <w:pPr>
        <w:spacing w:line="600" w:lineRule="exact"/>
        <w:jc w:val="center"/>
        <w:rPr>
          <w:b/>
          <w:bCs/>
          <w:sz w:val="44"/>
          <w:szCs w:val="44"/>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污水净化公司</w:t>
      </w:r>
      <w:r>
        <w:rPr>
          <w:rFonts w:hint="eastAsia" w:ascii="新宋体" w:hAnsi="新宋体" w:eastAsia="新宋体" w:cs="新宋体"/>
          <w:sz w:val="24"/>
          <w:szCs w:val="24"/>
        </w:rPr>
        <w:t>的委托，就“禹州市</w:t>
      </w:r>
      <w:r>
        <w:rPr>
          <w:rFonts w:hint="eastAsia" w:ascii="新宋体" w:hAnsi="新宋体" w:eastAsia="新宋体" w:cs="新宋体"/>
          <w:sz w:val="24"/>
          <w:szCs w:val="24"/>
          <w:lang w:eastAsia="zh-CN"/>
        </w:rPr>
        <w:t>污水净化公司聚合硫酸铁采购项目</w:t>
      </w:r>
      <w:r>
        <w:rPr>
          <w:rFonts w:hint="eastAsia" w:ascii="新宋体" w:hAnsi="新宋体" w:eastAsia="新宋体" w:cs="新宋体"/>
          <w:sz w:val="24"/>
          <w:szCs w:val="24"/>
        </w:rPr>
        <w:t>”进行</w:t>
      </w:r>
      <w:r>
        <w:rPr>
          <w:rFonts w:hint="eastAsia" w:ascii="新宋体" w:hAnsi="新宋体" w:eastAsia="新宋体" w:cs="新宋体"/>
          <w:sz w:val="24"/>
          <w:szCs w:val="24"/>
          <w:lang w:eastAsia="zh-CN"/>
        </w:rPr>
        <w:t>竞争性谈判</w:t>
      </w:r>
      <w:r>
        <w:rPr>
          <w:rFonts w:hint="eastAsia" w:ascii="新宋体" w:hAnsi="新宋体" w:eastAsia="新宋体" w:cs="新宋体"/>
          <w:sz w:val="24"/>
          <w:szCs w:val="24"/>
        </w:rPr>
        <w:t>，欢迎合格的投标人前来投标。</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一、</w:t>
      </w:r>
      <w:r>
        <w:rPr>
          <w:rFonts w:hint="eastAsia" w:ascii="新宋体" w:hAnsi="新宋体" w:eastAsia="新宋体" w:cs="新宋体"/>
          <w:b/>
          <w:bCs/>
          <w:sz w:val="24"/>
          <w:szCs w:val="24"/>
        </w:rPr>
        <w:t>项目基本情况</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1、采购人：禹州市</w:t>
      </w:r>
      <w:r>
        <w:rPr>
          <w:rFonts w:hint="eastAsia" w:ascii="新宋体" w:hAnsi="新宋体" w:eastAsia="新宋体" w:cs="新宋体"/>
          <w:sz w:val="24"/>
          <w:szCs w:val="24"/>
          <w:lang w:eastAsia="zh-CN"/>
        </w:rPr>
        <w:t>污水净化公司</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2、项目名称：禹州市</w:t>
      </w:r>
      <w:r>
        <w:rPr>
          <w:rFonts w:hint="eastAsia" w:ascii="新宋体" w:hAnsi="新宋体" w:eastAsia="新宋体" w:cs="新宋体"/>
          <w:sz w:val="24"/>
          <w:szCs w:val="24"/>
          <w:lang w:eastAsia="zh-CN"/>
        </w:rPr>
        <w:t>污水净化公司聚合硫酸铁采购项目</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3、采购编号：YZCG-</w:t>
      </w:r>
      <w:r>
        <w:rPr>
          <w:rFonts w:hint="eastAsia" w:ascii="新宋体" w:hAnsi="新宋体" w:eastAsia="新宋体" w:cs="新宋体"/>
          <w:sz w:val="24"/>
          <w:szCs w:val="24"/>
          <w:lang w:val="en-US" w:eastAsia="zh-CN"/>
        </w:rPr>
        <w:t>T</w:t>
      </w:r>
      <w:r>
        <w:rPr>
          <w:rFonts w:hint="eastAsia" w:ascii="新宋体" w:hAnsi="新宋体" w:eastAsia="新宋体" w:cs="新宋体"/>
          <w:sz w:val="24"/>
          <w:szCs w:val="24"/>
        </w:rPr>
        <w:t>20</w:t>
      </w:r>
      <w:r>
        <w:rPr>
          <w:rFonts w:hint="eastAsia" w:ascii="新宋体" w:hAnsi="新宋体" w:eastAsia="新宋体" w:cs="新宋体"/>
          <w:sz w:val="24"/>
          <w:szCs w:val="24"/>
          <w:lang w:val="en-US" w:eastAsia="zh-CN"/>
        </w:rPr>
        <w:t>20005</w:t>
      </w:r>
      <w:r>
        <w:rPr>
          <w:rFonts w:hint="eastAsia" w:ascii="新宋体" w:hAnsi="新宋体" w:eastAsia="新宋体" w:cs="新宋体"/>
          <w:sz w:val="24"/>
          <w:szCs w:val="24"/>
          <w:lang w:val="en-US" w:eastAsia="zh-CN"/>
        </w:rPr>
        <w:tab/>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4、项目需求：</w:t>
      </w:r>
      <w:r>
        <w:rPr>
          <w:rFonts w:hint="eastAsia" w:ascii="新宋体" w:hAnsi="新宋体" w:eastAsia="新宋体" w:cs="新宋体"/>
          <w:sz w:val="24"/>
          <w:szCs w:val="24"/>
          <w:lang w:eastAsia="zh-CN"/>
        </w:rPr>
        <w:t>聚合硫酸铁</w:t>
      </w:r>
      <w:r>
        <w:rPr>
          <w:rFonts w:hint="eastAsia" w:ascii="新宋体" w:hAnsi="新宋体" w:eastAsia="新宋体" w:cs="新宋体"/>
          <w:sz w:val="24"/>
          <w:szCs w:val="24"/>
        </w:rPr>
        <w:t>（详见</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28</w:t>
      </w:r>
      <w:r>
        <w:rPr>
          <w:rFonts w:hint="eastAsia" w:ascii="新宋体" w:hAnsi="新宋体" w:eastAsia="新宋体" w:cs="新宋体"/>
          <w:sz w:val="24"/>
          <w:szCs w:val="24"/>
        </w:rPr>
        <w:t>万元</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二、需要落实的政府采购政策</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本项目落实节约能源、保护环境、扶持不发达地区和少数民族地区、促进中小企业、监狱企业发展等政府采购政策。（详见谈判文件）</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三、</w:t>
      </w:r>
      <w:r>
        <w:rPr>
          <w:rFonts w:hint="eastAsia" w:ascii="新宋体" w:hAnsi="新宋体" w:eastAsia="新宋体" w:cs="新宋体"/>
          <w:b/>
          <w:bCs/>
          <w:sz w:val="24"/>
          <w:szCs w:val="24"/>
        </w:rPr>
        <w:t>供应商资格要求</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1、符合《政府采购法》第二十二条之规定</w:t>
      </w:r>
      <w:r>
        <w:rPr>
          <w:rFonts w:hint="eastAsia" w:ascii="新宋体" w:hAnsi="新宋体" w:eastAsia="新宋体" w:cs="新宋体"/>
          <w:sz w:val="24"/>
          <w:szCs w:val="24"/>
          <w:lang w:eastAsia="zh-CN"/>
        </w:rPr>
        <w:t>，具有独立法人资格且具有相应的经营范围（以营业执照为准）；</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、被委托人是须是本单位职工，须提供公司为本人缴纳社会保险证明；</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、本项目不接受联合体投标。</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四、获取</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文件的方式、时间、地点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"http://221.14.6.70:8088/ggzy/eps/public/RegistAllJcxx.html"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"http://ggzy.xuchang.gov.cn/"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，自行下载</w:t>
      </w:r>
      <w:r>
        <w:rPr>
          <w:rFonts w:hint="eastAsia" w:ascii="新宋体" w:hAnsi="新宋体" w:eastAsia="新宋体" w:cs="新宋体"/>
          <w:sz w:val="24"/>
          <w:szCs w:val="24"/>
          <w:lang w:val="zh-CN" w:eastAsia="zh-CN"/>
        </w:rPr>
        <w:t>谈判</w:t>
      </w:r>
      <w:r>
        <w:rPr>
          <w:rFonts w:hint="eastAsia" w:ascii="新宋体" w:hAnsi="新宋体" w:eastAsia="新宋体" w:cs="新宋体"/>
          <w:sz w:val="24"/>
          <w:szCs w:val="24"/>
          <w:lang w:val="zh-CN"/>
        </w:rPr>
        <w:t>文件（详见全国公共资源交易平台（河南省·许昌市）“常见问题解答-交易系统操作手册”）。</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3、未通过全国公共资源交易平台（河南省·许昌市）下载</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文件的投标企业，拒收其递交的投标文件。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文件每份售价人民币300元</w:t>
      </w:r>
      <w:r>
        <w:rPr>
          <w:rFonts w:hint="eastAsia" w:ascii="新宋体" w:hAnsi="新宋体" w:eastAsia="新宋体" w:cs="新宋体"/>
          <w:sz w:val="24"/>
          <w:szCs w:val="24"/>
          <w:lang w:eastAsia="zh-CN"/>
        </w:rPr>
        <w:t>（谈判现场现金收取）</w:t>
      </w:r>
      <w:r>
        <w:rPr>
          <w:rFonts w:hint="eastAsia" w:ascii="新宋体" w:hAnsi="新宋体" w:eastAsia="新宋体" w:cs="新宋体"/>
          <w:sz w:val="24"/>
          <w:szCs w:val="24"/>
        </w:rPr>
        <w:t>，于递交投标文件时缴纳给采购代理机构，售后不退。</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五、</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截止时间、</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时间及地点：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截止及</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时间：20</w:t>
      </w: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年</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10</w:t>
      </w:r>
      <w:r>
        <w:rPr>
          <w:rFonts w:hint="eastAsia" w:ascii="新宋体" w:hAnsi="新宋体" w:eastAsia="新宋体" w:cs="新宋体"/>
          <w:sz w:val="24"/>
          <w:szCs w:val="24"/>
        </w:rPr>
        <w:t>日</w:t>
      </w:r>
      <w:r>
        <w:rPr>
          <w:rFonts w:hint="eastAsia" w:ascii="新宋体" w:hAnsi="新宋体" w:eastAsia="新宋体" w:cs="新宋体"/>
          <w:sz w:val="24"/>
          <w:szCs w:val="24"/>
          <w:lang w:val="en-US" w:eastAsia="zh-CN"/>
        </w:rPr>
        <w:t xml:space="preserve">10 ：00 </w:t>
      </w:r>
      <w:r>
        <w:rPr>
          <w:rFonts w:hint="eastAsia" w:ascii="新宋体" w:hAnsi="新宋体" w:eastAsia="新宋体" w:cs="新宋体"/>
          <w:sz w:val="24"/>
          <w:szCs w:val="24"/>
        </w:rPr>
        <w:t>（北京时间），逾期送达或不符合规定的投标文件不予接受。</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地点：禹州市公共资源交易中心第</w:t>
      </w:r>
      <w:r>
        <w:rPr>
          <w:rFonts w:hint="eastAsia" w:ascii="新宋体" w:hAnsi="新宋体" w:eastAsia="新宋体" w:cs="新宋体"/>
          <w:sz w:val="24"/>
          <w:szCs w:val="24"/>
          <w:lang w:eastAsia="zh-CN"/>
        </w:rPr>
        <w:t>二</w:t>
      </w:r>
      <w:r>
        <w:rPr>
          <w:rFonts w:hint="eastAsia" w:ascii="新宋体" w:hAnsi="新宋体" w:eastAsia="新宋体" w:cs="新宋体"/>
          <w:sz w:val="24"/>
          <w:szCs w:val="24"/>
        </w:rPr>
        <w:t xml:space="preserve">开标室（禹州市行政服务中心楼9楼） </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（2）纸质投标文件（正本1份、副本1份）和备份文件1份（使用电子介质存储）在投标截止时间（开标时间）前递交至本项目开标地点。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六、本次招标公告同时在《中国政府采购网》、《河南省政府采购网》、《全国公共资源交易平台（河南省·许昌市）》发布等。</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七、代理机构及采购单位地址、联系人、联系电话</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（一）代理机构：禹州市政府采购中心</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地址：禹州市行政服务中心楼917房间</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联系人：</w:t>
      </w:r>
      <w:r>
        <w:rPr>
          <w:rFonts w:hint="eastAsia" w:ascii="新宋体" w:hAnsi="新宋体" w:eastAsia="新宋体" w:cs="新宋体"/>
          <w:sz w:val="24"/>
          <w:szCs w:val="24"/>
          <w:lang w:eastAsia="zh-CN"/>
        </w:rPr>
        <w:t>付女士</w:t>
      </w:r>
      <w:r>
        <w:rPr>
          <w:rFonts w:hint="eastAsia" w:ascii="新宋体" w:hAnsi="新宋体" w:eastAsia="新宋体" w:cs="新宋体"/>
          <w:sz w:val="24"/>
          <w:szCs w:val="24"/>
        </w:rPr>
        <w:t xml:space="preserve">  联系电话：0374-2077111</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（二）采购单位：禹州市</w:t>
      </w:r>
      <w:r>
        <w:rPr>
          <w:rFonts w:hint="eastAsia" w:ascii="新宋体" w:hAnsi="新宋体" w:eastAsia="新宋体" w:cs="新宋体"/>
          <w:sz w:val="24"/>
          <w:szCs w:val="24"/>
          <w:lang w:eastAsia="zh-CN"/>
        </w:rPr>
        <w:t>污水净化公司</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地址：禹州市</w:t>
      </w:r>
      <w:r>
        <w:rPr>
          <w:rFonts w:hint="eastAsia" w:ascii="新宋体" w:hAnsi="新宋体" w:eastAsia="新宋体" w:cs="新宋体"/>
          <w:sz w:val="24"/>
          <w:szCs w:val="24"/>
          <w:lang w:eastAsia="zh-CN"/>
        </w:rPr>
        <w:t>滨河路东段</w:t>
      </w:r>
    </w:p>
    <w:p>
      <w:pPr>
        <w:keepNext w:val="0"/>
        <w:keepLines w:val="0"/>
        <w:pageBreakBefore w:val="0"/>
        <w:kinsoku/>
        <w:overflowPunct/>
        <w:bidi w:val="0"/>
        <w:spacing w:line="440" w:lineRule="exact"/>
        <w:ind w:firstLine="480" w:firstLineChars="200"/>
        <w:jc w:val="left"/>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rPr>
        <w:t>联系人：</w:t>
      </w:r>
      <w:r>
        <w:rPr>
          <w:rFonts w:hint="eastAsia" w:ascii="新宋体" w:hAnsi="新宋体" w:eastAsia="新宋体" w:cs="新宋体"/>
          <w:sz w:val="24"/>
          <w:szCs w:val="24"/>
          <w:lang w:eastAsia="zh-CN"/>
        </w:rPr>
        <w:t>王女士</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联系电话：</w:t>
      </w:r>
      <w:r>
        <w:rPr>
          <w:rFonts w:hint="eastAsia" w:ascii="新宋体" w:hAnsi="新宋体" w:eastAsia="新宋体" w:cs="新宋体"/>
          <w:sz w:val="24"/>
          <w:szCs w:val="24"/>
          <w:lang w:val="en-US" w:eastAsia="zh-CN"/>
        </w:rPr>
        <w:t>8130767</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20</w:t>
      </w: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年</w:t>
      </w:r>
      <w:r>
        <w:rPr>
          <w:rFonts w:hint="eastAsia" w:ascii="新宋体" w:hAnsi="新宋体" w:eastAsia="新宋体" w:cs="新宋体"/>
          <w:sz w:val="24"/>
          <w:szCs w:val="24"/>
          <w:lang w:val="en-US" w:eastAsia="zh-CN"/>
        </w:rPr>
        <w:t xml:space="preserve">  1 </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w:t>
      </w:r>
      <w:bookmarkStart w:id="81" w:name="_GoBack"/>
      <w:bookmarkEnd w:id="81"/>
      <w:r>
        <w:rPr>
          <w:rFonts w:hint="eastAsia" w:ascii="新宋体" w:hAnsi="新宋体" w:eastAsia="新宋体" w:cs="新宋体"/>
          <w:sz w:val="24"/>
          <w:szCs w:val="24"/>
          <w:lang w:val="en-US" w:eastAsia="zh-CN"/>
        </w:rPr>
        <w:t>16</w:t>
      </w:r>
      <w:r>
        <w:rPr>
          <w:rFonts w:hint="eastAsia" w:ascii="新宋体" w:hAnsi="新宋体" w:eastAsia="新宋体" w:cs="新宋体"/>
          <w:sz w:val="24"/>
          <w:szCs w:val="24"/>
        </w:rPr>
        <w:t>日</w:t>
      </w:r>
    </w:p>
    <w:p>
      <w:pPr>
        <w:spacing w:line="440" w:lineRule="exact"/>
        <w:ind w:firstLine="3600" w:firstLineChars="1500"/>
        <w:rPr>
          <w:rFonts w:hint="eastAsia" w:ascii="新宋体" w:hAnsi="新宋体" w:eastAsia="新宋体" w:cs="新宋体"/>
          <w:sz w:val="24"/>
          <w:szCs w:val="24"/>
        </w:rPr>
      </w:pPr>
    </w:p>
    <w:p>
      <w:pPr>
        <w:widowControl/>
        <w:shd w:val="clear" w:color="auto" w:fill="FFFFFF"/>
        <w:spacing w:line="440" w:lineRule="exact"/>
        <w:jc w:val="left"/>
        <w:rPr>
          <w:rFonts w:hint="eastAsia" w:ascii="新宋体" w:hAnsi="新宋体" w:eastAsia="新宋体" w:cs="新宋体"/>
          <w:color w:val="000000"/>
          <w:kern w:val="0"/>
          <w:sz w:val="24"/>
          <w:szCs w:val="24"/>
        </w:rPr>
      </w:pPr>
    </w:p>
    <w:p>
      <w:pPr>
        <w:spacing w:line="600" w:lineRule="exact"/>
        <w:rPr>
          <w:b/>
          <w:bCs/>
          <w:sz w:val="24"/>
          <w:szCs w:val="24"/>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numPr>
          <w:ilvl w:val="0"/>
          <w:numId w:val="0"/>
        </w:numPr>
        <w:spacing w:line="520" w:lineRule="exact"/>
        <w:ind w:firstLine="723" w:firstLineChars="300"/>
        <w:rPr>
          <w:rFonts w:hint="eastAsia"/>
          <w:lang w:eastAsia="zh-CN"/>
        </w:rPr>
      </w:pPr>
      <w:r>
        <w:rPr>
          <w:rFonts w:hint="eastAsia" w:ascii="新宋体" w:hAnsi="新宋体" w:eastAsia="新宋体" w:cs="新宋体"/>
          <w:b/>
          <w:sz w:val="24"/>
          <w:szCs w:val="24"/>
          <w:lang w:eastAsia="zh-CN"/>
        </w:rPr>
        <w:t>一、</w:t>
      </w:r>
      <w:r>
        <w:rPr>
          <w:rFonts w:hint="eastAsia" w:ascii="新宋体" w:hAnsi="新宋体" w:eastAsia="新宋体" w:cs="新宋体"/>
          <w:b/>
          <w:bCs/>
          <w:sz w:val="24"/>
          <w:szCs w:val="24"/>
        </w:rPr>
        <w:t>本项目需实现的功能或者目标</w:t>
      </w:r>
      <w:r>
        <w:rPr>
          <w:rFonts w:hint="eastAsia" w:ascii="新宋体" w:hAnsi="新宋体" w:eastAsia="新宋体" w:cs="新宋体"/>
          <w:sz w:val="24"/>
          <w:szCs w:val="24"/>
          <w:lang w:eastAsia="zh-CN"/>
        </w:rPr>
        <w:t>：</w:t>
      </w:r>
    </w:p>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具有混凝性能好、矾花密实、沉淀速度快、净水效果明显等特点。</w:t>
      </w:r>
    </w:p>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有显著的脱色、除臭、除油、除磷功效，有极强的去除COD、BOD能力。</w:t>
      </w:r>
    </w:p>
    <w:p>
      <w:pPr>
        <w:widowControl/>
        <w:numPr>
          <w:ilvl w:val="0"/>
          <w:numId w:val="0"/>
        </w:numPr>
        <w:shd w:val="clear" w:color="auto" w:fill="FFFFFF"/>
        <w:spacing w:line="540" w:lineRule="exact"/>
        <w:ind w:firstLine="723" w:firstLineChars="300"/>
        <w:jc w:val="left"/>
        <w:rPr>
          <w:rFonts w:hint="eastAsia" w:ascii="仿宋" w:hAnsi="仿宋" w:eastAsia="仿宋" w:cs="宋体"/>
          <w:color w:val="000000"/>
          <w:kern w:val="0"/>
          <w:sz w:val="28"/>
          <w:szCs w:val="28"/>
        </w:rPr>
      </w:pPr>
      <w:r>
        <w:rPr>
          <w:rFonts w:hint="eastAsia" w:ascii="新宋体" w:hAnsi="新宋体" w:eastAsia="新宋体" w:cs="新宋体"/>
          <w:b/>
          <w:bCs/>
          <w:sz w:val="24"/>
          <w:szCs w:val="24"/>
          <w:lang w:eastAsia="zh-CN"/>
        </w:rPr>
        <w:t>二、</w:t>
      </w:r>
      <w:r>
        <w:rPr>
          <w:rFonts w:hint="eastAsia" w:ascii="新宋体" w:hAnsi="新宋体" w:eastAsia="新宋体" w:cs="新宋体"/>
          <w:b/>
          <w:bCs/>
          <w:sz w:val="24"/>
          <w:szCs w:val="24"/>
        </w:rPr>
        <w:t>采购清单</w:t>
      </w:r>
      <w:r>
        <w:rPr>
          <w:rFonts w:hint="eastAsia" w:ascii="新宋体" w:hAnsi="新宋体" w:eastAsia="新宋体" w:cs="新宋体"/>
          <w:b/>
          <w:bCs/>
          <w:sz w:val="24"/>
          <w:szCs w:val="24"/>
          <w:lang w:eastAsia="zh-CN"/>
        </w:rPr>
        <w:t>：</w:t>
      </w:r>
      <w:r>
        <w:rPr>
          <w:rFonts w:hint="eastAsia" w:ascii="新宋体" w:hAnsi="新宋体" w:eastAsia="新宋体" w:cs="新宋体"/>
          <w:kern w:val="2"/>
          <w:sz w:val="24"/>
          <w:szCs w:val="24"/>
          <w:lang w:val="en-US" w:eastAsia="zh-CN" w:bidi="ar-SA"/>
        </w:rPr>
        <w:t>化学除磷剂，350吨，符合规范标准</w:t>
      </w:r>
    </w:p>
    <w:tbl>
      <w:tblPr>
        <w:tblStyle w:val="23"/>
        <w:tblpPr w:leftFromText="180" w:rightFromText="180" w:vertAnchor="text" w:horzAnchor="page" w:tblpX="1822" w:tblpY="508"/>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526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项目</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26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密度g/cm（20℃）</w:t>
            </w:r>
            <w:r>
              <w:rPr>
                <w:rFonts w:hint="default" w:ascii="新宋体" w:hAnsi="新宋体" w:eastAsia="新宋体" w:cs="新宋体"/>
                <w:kern w:val="2"/>
                <w:sz w:val="24"/>
                <w:szCs w:val="24"/>
                <w:lang w:val="en-US" w:eastAsia="zh-CN" w:bidi="ar-SA"/>
              </w:rPr>
              <w:t>≥</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液体1.45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5260" w:type="dxa"/>
            <w:vAlign w:val="top"/>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全铁的质量分数%</w:t>
            </w:r>
            <w:r>
              <w:rPr>
                <w:rFonts w:hint="default" w:ascii="新宋体" w:hAnsi="新宋体" w:eastAsia="新宋体" w:cs="新宋体"/>
                <w:kern w:val="2"/>
                <w:sz w:val="24"/>
                <w:szCs w:val="24"/>
                <w:lang w:val="en-US" w:eastAsia="zh-CN" w:bidi="ar-SA"/>
              </w:rPr>
              <w:t>≥</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526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还原性物质（以Fe2+计）的质量分数%</w:t>
            </w:r>
            <w:r>
              <w:rPr>
                <w:rFonts w:hint="default" w:ascii="新宋体" w:hAnsi="新宋体" w:eastAsia="新宋体" w:cs="新宋体"/>
                <w:kern w:val="2"/>
                <w:sz w:val="24"/>
                <w:szCs w:val="24"/>
                <w:lang w:val="en-US" w:eastAsia="zh-CN" w:bidi="ar-SA"/>
              </w:rPr>
              <w:t>≤</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526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盐基度%</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526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不溶物的质量分数%</w:t>
            </w:r>
            <w:r>
              <w:rPr>
                <w:rFonts w:hint="default" w:ascii="新宋体" w:hAnsi="新宋体" w:eastAsia="新宋体" w:cs="新宋体"/>
                <w:kern w:val="2"/>
                <w:sz w:val="24"/>
                <w:szCs w:val="24"/>
                <w:lang w:val="en-US" w:eastAsia="zh-CN" w:bidi="ar-SA"/>
              </w:rPr>
              <w:t>≤</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526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PH（1%水溶液）</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526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镉（cd）的质量分数%</w:t>
            </w:r>
            <w:r>
              <w:rPr>
                <w:rFonts w:hint="default" w:ascii="新宋体" w:hAnsi="新宋体" w:eastAsia="新宋体" w:cs="新宋体"/>
                <w:kern w:val="2"/>
                <w:sz w:val="24"/>
                <w:szCs w:val="24"/>
                <w:lang w:val="en-US" w:eastAsia="zh-CN" w:bidi="ar-SA"/>
              </w:rPr>
              <w:t>≤</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526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汞（Hg）的质量分数%</w:t>
            </w:r>
            <w:r>
              <w:rPr>
                <w:rFonts w:hint="default" w:ascii="新宋体" w:hAnsi="新宋体" w:eastAsia="新宋体" w:cs="新宋体"/>
                <w:kern w:val="2"/>
                <w:sz w:val="24"/>
                <w:szCs w:val="24"/>
                <w:lang w:val="en-US" w:eastAsia="zh-CN" w:bidi="ar-SA"/>
              </w:rPr>
              <w:t>≤</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526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铬【Cr（VI）】的质量分数%</w:t>
            </w:r>
            <w:r>
              <w:rPr>
                <w:rFonts w:hint="default" w:ascii="新宋体" w:hAnsi="新宋体" w:eastAsia="新宋体" w:cs="新宋体"/>
                <w:kern w:val="2"/>
                <w:sz w:val="24"/>
                <w:szCs w:val="24"/>
                <w:lang w:val="en-US" w:eastAsia="zh-CN" w:bidi="ar-SA"/>
              </w:rPr>
              <w:t>≤</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526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砷（AS）的质量分数%</w:t>
            </w:r>
            <w:r>
              <w:rPr>
                <w:rFonts w:hint="default" w:ascii="新宋体" w:hAnsi="新宋体" w:eastAsia="新宋体" w:cs="新宋体"/>
                <w:kern w:val="2"/>
                <w:sz w:val="24"/>
                <w:szCs w:val="24"/>
                <w:lang w:val="en-US" w:eastAsia="zh-CN" w:bidi="ar-SA"/>
              </w:rPr>
              <w:t>≤</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526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铅（pb）的质量分数%</w:t>
            </w:r>
            <w:r>
              <w:rPr>
                <w:rFonts w:hint="default" w:ascii="新宋体" w:hAnsi="新宋体" w:eastAsia="新宋体" w:cs="新宋体"/>
                <w:kern w:val="2"/>
                <w:sz w:val="24"/>
                <w:szCs w:val="24"/>
                <w:lang w:val="en-US" w:eastAsia="zh-CN" w:bidi="ar-SA"/>
              </w:rPr>
              <w:t>≤</w:t>
            </w:r>
          </w:p>
        </w:tc>
        <w:tc>
          <w:tcPr>
            <w:tcW w:w="3900" w:type="dxa"/>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0.0005</w:t>
            </w:r>
          </w:p>
        </w:tc>
      </w:tr>
    </w:tbl>
    <w:p>
      <w:pPr>
        <w:pStyle w:val="62"/>
        <w:autoSpaceDN w:val="0"/>
        <w:snapToGrid w:val="0"/>
        <w:spacing w:line="360" w:lineRule="auto"/>
        <w:ind w:firstLine="482" w:firstLineChars="200"/>
        <w:textAlignment w:val="baseline"/>
        <w:rPr>
          <w:rFonts w:hint="eastAsia" w:ascii="新宋体" w:hAnsi="新宋体" w:eastAsia="新宋体" w:cs="新宋体"/>
          <w:b/>
          <w:bCs/>
          <w:sz w:val="24"/>
          <w:szCs w:val="24"/>
          <w:lang w:eastAsia="zh-CN"/>
        </w:rPr>
      </w:pPr>
    </w:p>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p>
    <w:p>
      <w:pPr>
        <w:pStyle w:val="62"/>
        <w:numPr>
          <w:ilvl w:val="0"/>
          <w:numId w:val="0"/>
        </w:numPr>
        <w:autoSpaceDN w:val="0"/>
        <w:snapToGrid w:val="0"/>
        <w:spacing w:line="360" w:lineRule="auto"/>
        <w:ind w:firstLine="482"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b/>
          <w:bCs/>
          <w:sz w:val="24"/>
          <w:szCs w:val="24"/>
          <w:lang w:val="en-US" w:eastAsia="zh-CN"/>
        </w:rPr>
        <w:t>三、</w:t>
      </w:r>
      <w:r>
        <w:rPr>
          <w:rFonts w:hint="eastAsia" w:ascii="新宋体" w:hAnsi="新宋体" w:eastAsia="新宋体" w:cs="新宋体"/>
          <w:b/>
          <w:bCs/>
          <w:sz w:val="24"/>
          <w:szCs w:val="24"/>
        </w:rPr>
        <w:t>采购标的执行标准：</w:t>
      </w:r>
      <w:r>
        <w:rPr>
          <w:rFonts w:hint="eastAsia" w:ascii="新宋体" w:hAnsi="新宋体" w:eastAsia="新宋体" w:cs="新宋体"/>
          <w:kern w:val="2"/>
          <w:sz w:val="24"/>
          <w:szCs w:val="24"/>
          <w:lang w:val="en-US" w:eastAsia="zh-CN" w:bidi="ar-SA"/>
        </w:rPr>
        <w:t>产品指标符合GB14591—2006《水处理剂聚合硫酸铁》国家标准。</w:t>
      </w:r>
    </w:p>
    <w:p>
      <w:pPr>
        <w:pStyle w:val="62"/>
        <w:autoSpaceDN w:val="0"/>
        <w:snapToGrid w:val="0"/>
        <w:spacing w:line="360" w:lineRule="auto"/>
        <w:ind w:firstLine="482" w:firstLineChars="200"/>
        <w:textAlignment w:val="baseline"/>
        <w:rPr>
          <w:rFonts w:hint="eastAsia" w:ascii="新宋体" w:hAnsi="新宋体" w:eastAsia="新宋体" w:cs="新宋体"/>
          <w:sz w:val="24"/>
          <w:szCs w:val="24"/>
          <w:lang w:eastAsia="zh-CN"/>
        </w:rPr>
      </w:pPr>
      <w:r>
        <w:rPr>
          <w:rFonts w:hint="eastAsia" w:ascii="新宋体" w:hAnsi="新宋体" w:eastAsia="新宋体" w:cs="新宋体"/>
          <w:b/>
          <w:bCs/>
          <w:sz w:val="24"/>
          <w:szCs w:val="24"/>
          <w:lang w:eastAsia="zh-CN"/>
        </w:rPr>
        <w:t>四、</w:t>
      </w:r>
      <w:r>
        <w:rPr>
          <w:rFonts w:hint="eastAsia" w:ascii="新宋体" w:hAnsi="新宋体" w:eastAsia="新宋体" w:cs="新宋体"/>
          <w:b/>
          <w:bCs/>
          <w:sz w:val="24"/>
          <w:szCs w:val="24"/>
        </w:rPr>
        <w:t>服务标准、期限、效率等要求</w:t>
      </w:r>
      <w:r>
        <w:rPr>
          <w:rFonts w:hint="eastAsia" w:ascii="新宋体" w:hAnsi="新宋体" w:eastAsia="新宋体" w:cs="新宋体"/>
          <w:sz w:val="24"/>
          <w:szCs w:val="24"/>
        </w:rPr>
        <w:t>：</w:t>
      </w:r>
      <w:r>
        <w:rPr>
          <w:rFonts w:hint="eastAsia" w:ascii="新宋体" w:hAnsi="新宋体" w:eastAsia="新宋体" w:cs="新宋体"/>
          <w:sz w:val="24"/>
          <w:szCs w:val="24"/>
          <w:lang w:eastAsia="zh-CN"/>
        </w:rPr>
        <w:t>满足</w:t>
      </w:r>
      <w:r>
        <w:rPr>
          <w:rFonts w:hint="eastAsia" w:ascii="新宋体" w:hAnsi="新宋体" w:eastAsia="新宋体" w:cs="新宋体"/>
          <w:sz w:val="24"/>
          <w:szCs w:val="24"/>
        </w:rPr>
        <w:t>业主需求</w:t>
      </w:r>
      <w:r>
        <w:rPr>
          <w:rFonts w:hint="eastAsia" w:ascii="新宋体" w:hAnsi="新宋体" w:eastAsia="新宋体" w:cs="新宋体"/>
          <w:sz w:val="24"/>
          <w:szCs w:val="24"/>
          <w:lang w:eastAsia="zh-CN"/>
        </w:rPr>
        <w:t>。</w:t>
      </w:r>
    </w:p>
    <w:p>
      <w:pPr>
        <w:spacing w:line="520" w:lineRule="exact"/>
        <w:ind w:firstLine="482" w:firstLineChars="200"/>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五、</w:t>
      </w:r>
      <w:r>
        <w:rPr>
          <w:rFonts w:hint="eastAsia" w:ascii="新宋体" w:hAnsi="新宋体" w:eastAsia="新宋体" w:cs="新宋体"/>
          <w:b/>
          <w:bCs/>
          <w:sz w:val="24"/>
          <w:szCs w:val="24"/>
        </w:rPr>
        <w:t>验收标准</w:t>
      </w:r>
    </w:p>
    <w:p>
      <w:pPr>
        <w:spacing w:line="5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spacing w:line="5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1、按照国家相关标准、行业标准、地方标准或其他标准、规范验收（与采购标的的执行标准一致，选填）。</w:t>
      </w:r>
    </w:p>
    <w:p>
      <w:pPr>
        <w:spacing w:line="5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2、按照招标文件要求、投标文件响应和承诺验收。</w:t>
      </w:r>
    </w:p>
    <w:p>
      <w:pPr>
        <w:spacing w:line="520" w:lineRule="exact"/>
        <w:ind w:firstLine="482" w:firstLineChars="200"/>
        <w:rPr>
          <w:rFonts w:hint="eastAsia" w:ascii="新宋体" w:hAnsi="新宋体" w:eastAsia="新宋体" w:cs="新宋体"/>
          <w:b/>
          <w:sz w:val="24"/>
          <w:szCs w:val="24"/>
        </w:rPr>
      </w:pPr>
      <w:r>
        <w:rPr>
          <w:rFonts w:hint="eastAsia" w:ascii="新宋体" w:hAnsi="新宋体" w:eastAsia="新宋体" w:cs="新宋体"/>
          <w:b/>
          <w:sz w:val="24"/>
          <w:szCs w:val="24"/>
          <w:lang w:eastAsia="zh-CN"/>
        </w:rPr>
        <w:t>六、</w:t>
      </w:r>
      <w:r>
        <w:rPr>
          <w:rFonts w:hint="eastAsia" w:ascii="新宋体" w:hAnsi="新宋体" w:eastAsia="新宋体" w:cs="新宋体"/>
          <w:b/>
          <w:sz w:val="24"/>
          <w:szCs w:val="24"/>
        </w:rPr>
        <w:t>特别提示：</w:t>
      </w:r>
    </w:p>
    <w:p>
      <w:pPr>
        <w:tabs>
          <w:tab w:val="left" w:pos="5963"/>
        </w:tabs>
        <w:spacing w:line="4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、本招标文件所列需求为最低要求，投标产品不得低于最低要求，否则为无效投标。</w:t>
      </w:r>
    </w:p>
    <w:p>
      <w:pPr>
        <w:tabs>
          <w:tab w:val="left" w:pos="5963"/>
        </w:tabs>
        <w:spacing w:line="4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、投标人应就该项目完整投标，否则为无效投标。</w:t>
      </w:r>
    </w:p>
    <w:p>
      <w:pPr>
        <w:tabs>
          <w:tab w:val="left" w:pos="5963"/>
        </w:tabs>
        <w:spacing w:line="42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、产品必须符合国家质量检测标准和本招标文件规定标准的全新正品现货，供货时须提供随货物《产品合格证》</w:t>
      </w:r>
      <w:r>
        <w:rPr>
          <w:rFonts w:hint="eastAsia" w:ascii="新宋体" w:hAnsi="新宋体" w:eastAsia="新宋体" w:cs="新宋体"/>
          <w:sz w:val="24"/>
          <w:szCs w:val="24"/>
          <w:lang w:eastAsia="zh-CN"/>
        </w:rPr>
        <w:t>。</w:t>
      </w:r>
    </w:p>
    <w:p>
      <w:pPr>
        <w:spacing w:line="420" w:lineRule="exact"/>
        <w:rPr>
          <w:rFonts w:hint="eastAsia" w:ascii="新宋体" w:hAnsi="新宋体" w:eastAsia="新宋体" w:cs="新宋体"/>
          <w:sz w:val="24"/>
          <w:szCs w:val="24"/>
        </w:rPr>
      </w:pPr>
      <w:r>
        <w:rPr>
          <w:rFonts w:hint="eastAsia" w:ascii="新宋体" w:hAnsi="新宋体" w:eastAsia="新宋体" w:cs="新宋体"/>
          <w:sz w:val="24"/>
          <w:szCs w:val="24"/>
        </w:rPr>
        <w:t>　　</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、投标商必须由法定代表人或其授权代表参加开标会议，随时接受谈判小组询问，并予作出书面解答。</w:t>
      </w:r>
    </w:p>
    <w:p>
      <w:pPr>
        <w:wordWrap w:val="0"/>
        <w:topLinePunct/>
        <w:autoSpaceDE w:val="0"/>
        <w:autoSpaceDN w:val="0"/>
        <w:adjustRightInd w:val="0"/>
        <w:snapToGrid w:val="0"/>
        <w:spacing w:line="360" w:lineRule="auto"/>
        <w:ind w:firstLine="482"/>
        <w:rPr>
          <w:rFonts w:hint="eastAsia" w:ascii="新宋体" w:hAnsi="新宋体" w:eastAsia="新宋体" w:cs="新宋体"/>
          <w:bCs/>
          <w:color w:val="FF0000"/>
          <w:sz w:val="24"/>
          <w:szCs w:val="24"/>
          <w:lang w:val="zh-CN"/>
        </w:rPr>
      </w:pPr>
      <w:r>
        <w:rPr>
          <w:rFonts w:hint="eastAsia" w:ascii="新宋体" w:hAnsi="新宋体" w:eastAsia="新宋体" w:cs="新宋体"/>
          <w:bCs/>
          <w:color w:val="FF0000"/>
          <w:sz w:val="24"/>
          <w:szCs w:val="24"/>
          <w:lang w:val="en-US" w:eastAsia="zh-CN"/>
        </w:rPr>
        <w:t>5</w:t>
      </w:r>
      <w:r>
        <w:rPr>
          <w:rFonts w:hint="eastAsia" w:ascii="新宋体" w:hAnsi="新宋体" w:eastAsia="新宋体" w:cs="新宋体"/>
          <w:bCs/>
          <w:color w:val="FF0000"/>
          <w:sz w:val="24"/>
          <w:szCs w:val="24"/>
          <w:lang w:val="zh-CN"/>
        </w:rPr>
        <w:t>、采购人确定中标人后，中标人须向禹州市政府采购中心发送投标报价及分项报价（如果货物需求中有分项的话）一览表电子档，并同时通知采购中心。邮箱：</w:t>
      </w:r>
      <w:r>
        <w:rPr>
          <w:rFonts w:hint="eastAsia" w:ascii="新宋体" w:hAnsi="新宋体" w:eastAsia="新宋体" w:cs="新宋体"/>
          <w:color w:val="FF0000"/>
          <w:sz w:val="24"/>
          <w:szCs w:val="24"/>
        </w:rPr>
        <w:t>yzggzy2076770@163.com</w:t>
      </w:r>
    </w:p>
    <w:p>
      <w:pPr>
        <w:widowControl/>
        <w:shd w:val="clear" w:color="auto" w:fill="FFFFFF"/>
        <w:spacing w:line="360" w:lineRule="auto"/>
        <w:ind w:firstLine="6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、付款方式：</w:t>
      </w:r>
    </w:p>
    <w:p>
      <w:pPr>
        <w:tabs>
          <w:tab w:val="left" w:pos="5963"/>
        </w:tabs>
        <w:spacing w:line="420" w:lineRule="exact"/>
        <w:ind w:firstLine="560" w:firstLineChars="200"/>
        <w:rPr>
          <w:rFonts w:hint="eastAsia" w:ascii="新宋体" w:hAnsi="新宋体" w:eastAsia="新宋体" w:cs="新宋体"/>
          <w:sz w:val="24"/>
          <w:szCs w:val="24"/>
          <w:lang w:val="en-US" w:eastAsia="zh-CN"/>
        </w:rPr>
      </w:pPr>
      <w:r>
        <w:rPr>
          <w:rFonts w:hint="eastAsia" w:ascii="仿宋" w:hAnsi="仿宋" w:eastAsia="仿宋" w:cs="宋体"/>
          <w:color w:val="000000"/>
          <w:kern w:val="0"/>
          <w:sz w:val="28"/>
          <w:szCs w:val="28"/>
        </w:rPr>
        <w:t>（</w:t>
      </w:r>
      <w:r>
        <w:rPr>
          <w:rFonts w:hint="eastAsia" w:ascii="新宋体" w:hAnsi="新宋体" w:eastAsia="新宋体" w:cs="新宋体"/>
          <w:sz w:val="24"/>
          <w:szCs w:val="24"/>
        </w:rPr>
        <w:t>一）支付方式：</w:t>
      </w:r>
      <w:r>
        <w:rPr>
          <w:rFonts w:hint="eastAsia" w:ascii="新宋体" w:hAnsi="新宋体" w:eastAsia="新宋体" w:cs="新宋体"/>
          <w:sz w:val="24"/>
          <w:szCs w:val="24"/>
          <w:lang w:eastAsia="zh-CN"/>
        </w:rPr>
        <w:t>货到付款</w:t>
      </w:r>
    </w:p>
    <w:p>
      <w:pPr>
        <w:tabs>
          <w:tab w:val="left" w:pos="5963"/>
        </w:tabs>
        <w:spacing w:line="42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rPr>
        <w:t>（二）支付时间及条件：</w:t>
      </w:r>
      <w:r>
        <w:rPr>
          <w:rFonts w:hint="eastAsia" w:ascii="新宋体" w:hAnsi="新宋体" w:eastAsia="新宋体" w:cs="新宋体"/>
          <w:sz w:val="24"/>
          <w:szCs w:val="24"/>
          <w:lang w:eastAsia="zh-CN"/>
        </w:rPr>
        <w:t>收到货物验收合格</w:t>
      </w:r>
    </w:p>
    <w:p>
      <w:pPr>
        <w:tabs>
          <w:tab w:val="left" w:pos="5963"/>
        </w:tabs>
        <w:spacing w:line="420" w:lineRule="exact"/>
        <w:ind w:firstLine="480" w:firstLineChars="200"/>
        <w:rPr>
          <w:rFonts w:hint="eastAsia" w:ascii="新宋体" w:hAnsi="新宋体" w:eastAsia="新宋体" w:cs="新宋体"/>
          <w:sz w:val="24"/>
          <w:szCs w:val="24"/>
        </w:rPr>
      </w:pPr>
    </w:p>
    <w:p>
      <w:pPr>
        <w:pStyle w:val="2"/>
        <w:ind w:firstLine="340"/>
        <w:rPr>
          <w:rFonts w:hint="eastAsia" w:ascii="新宋体" w:hAnsi="新宋体" w:eastAsia="新宋体" w:cs="新宋体"/>
          <w:sz w:val="24"/>
          <w:szCs w:val="24"/>
        </w:rPr>
      </w:pPr>
    </w:p>
    <w:p>
      <w:pPr>
        <w:pStyle w:val="2"/>
        <w:ind w:firstLine="340"/>
        <w:rPr>
          <w:rFonts w:hint="eastAsia" w:ascii="新宋体" w:hAnsi="新宋体" w:eastAsia="新宋体" w:cs="新宋体"/>
          <w:sz w:val="24"/>
          <w:szCs w:val="24"/>
        </w:rPr>
      </w:pPr>
    </w:p>
    <w:p>
      <w:pPr>
        <w:pStyle w:val="2"/>
        <w:ind w:left="0" w:leftChars="0" w:firstLine="0" w:firstLineChars="0"/>
      </w:pPr>
    </w:p>
    <w:p>
      <w:pPr>
        <w:pStyle w:val="2"/>
        <w:ind w:left="0" w:leftChars="0" w:firstLine="0" w:firstLineChars="0"/>
      </w:pPr>
    </w:p>
    <w:p>
      <w:pPr>
        <w:pStyle w:val="2"/>
        <w:ind w:left="0" w:leftChars="0" w:firstLine="0" w:firstLineChars="0"/>
      </w:pPr>
    </w:p>
    <w:p>
      <w:pPr>
        <w:numPr>
          <w:ilvl w:val="0"/>
          <w:numId w:val="0"/>
        </w:numPr>
        <w:autoSpaceDE w:val="0"/>
        <w:autoSpaceDN w:val="0"/>
        <w:adjustRightInd w:val="0"/>
        <w:ind w:firstLine="1928" w:firstLineChars="6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val="en-US" w:eastAsia="zh-CN"/>
        </w:rPr>
        <w:t xml:space="preserve">第三章     </w:t>
      </w:r>
      <w:r>
        <w:rPr>
          <w:rFonts w:hint="eastAsia" w:cs="宋体" w:asciiTheme="majorEastAsia" w:hAnsiTheme="majorEastAsia" w:eastAsiaTheme="majorEastAsia"/>
          <w:b/>
          <w:kern w:val="0"/>
          <w:sz w:val="32"/>
          <w:szCs w:val="32"/>
        </w:rPr>
        <w:t>供应商须知前附表</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lang w:eastAsia="zh-CN"/>
              </w:rPr>
            </w:pPr>
            <w:r>
              <w:rPr>
                <w:rFonts w:hint="eastAsia"/>
              </w:rPr>
              <w:t>项目名称：禹州市</w:t>
            </w:r>
            <w:r>
              <w:rPr>
                <w:rFonts w:hint="eastAsia"/>
                <w:lang w:eastAsia="zh-CN"/>
              </w:rPr>
              <w:t>污水净化公司聚合硫酸铁采购项目</w:t>
            </w:r>
          </w:p>
          <w:p>
            <w:pPr>
              <w:autoSpaceDE w:val="0"/>
              <w:autoSpaceDN w:val="0"/>
              <w:adjustRightInd w:val="0"/>
              <w:spacing w:line="360" w:lineRule="auto"/>
              <w:jc w:val="left"/>
              <w:rPr>
                <w:rFonts w:hint="default" w:eastAsiaTheme="minorEastAsia"/>
                <w:lang w:val="en-US" w:eastAsia="zh-CN"/>
              </w:rPr>
            </w:pPr>
            <w:r>
              <w:rPr>
                <w:rFonts w:hint="eastAsia"/>
              </w:rPr>
              <w:t>项目编号：YZCG-T20</w:t>
            </w:r>
            <w:r>
              <w:rPr>
                <w:rFonts w:hint="eastAsia"/>
                <w:lang w:val="en-US" w:eastAsia="zh-CN"/>
              </w:rPr>
              <w:t>20005</w:t>
            </w:r>
          </w:p>
          <w:p>
            <w:pPr>
              <w:autoSpaceDE w:val="0"/>
              <w:autoSpaceDN w:val="0"/>
              <w:adjustRightInd w:val="0"/>
              <w:spacing w:line="360" w:lineRule="auto"/>
              <w:jc w:val="left"/>
              <w:rPr>
                <w:rFonts w:hint="eastAsia"/>
                <w:lang w:eastAsia="zh-CN"/>
              </w:rPr>
            </w:pPr>
            <w:r>
              <w:rPr>
                <w:rFonts w:hint="eastAsia"/>
                <w:lang w:eastAsia="zh-CN"/>
              </w:rPr>
              <w:t>工期：按需求方要求供货</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lang w:eastAsia="zh-CN"/>
              </w:rPr>
              <w:t>项目地址：</w:t>
            </w:r>
            <w:r>
              <w:rPr>
                <w:rFonts w:hint="eastAsia"/>
              </w:rPr>
              <w:t>禹州市</w:t>
            </w:r>
            <w:r>
              <w:rPr>
                <w:rFonts w:hint="eastAsia"/>
                <w:lang w:eastAsia="zh-CN"/>
              </w:rPr>
              <w:t>污水净化公司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rPr>
              <w:t>禹州市</w:t>
            </w:r>
            <w:r>
              <w:rPr>
                <w:rFonts w:hint="eastAsia"/>
                <w:lang w:eastAsia="zh-CN"/>
              </w:rPr>
              <w:t>污水净化公司</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王女士</w:t>
            </w:r>
            <w:r>
              <w:rPr>
                <w:rFonts w:hint="eastAsia" w:cs="仿宋_GB2312" w:asciiTheme="minorEastAsia" w:hAnsiTheme="minorEastAsia"/>
                <w:szCs w:val="21"/>
              </w:rPr>
              <w:t xml:space="preserve">  </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联系电话：</w:t>
            </w:r>
            <w:r>
              <w:rPr>
                <w:rFonts w:hint="eastAsia" w:cs="仿宋_GB2312" w:asciiTheme="minorEastAsia" w:hAnsiTheme="minorEastAsia"/>
                <w:szCs w:val="21"/>
                <w:lang w:val="en-US" w:eastAsia="zh-CN"/>
              </w:rPr>
              <w:t>8130767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付</w:t>
            </w:r>
            <w:r>
              <w:rPr>
                <w:rFonts w:hint="eastAsia" w:cs="仿宋_GB2312" w:asciiTheme="minorEastAsia" w:hAnsiTheme="minorEastAsia"/>
                <w:szCs w:val="21"/>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 xml:space="preserve">本项目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微软雅黑" w:asciiTheme="minorEastAsia" w:hAnsiTheme="minorEastAsia"/>
                <w:b/>
                <w:color w:val="FF0000"/>
                <w:szCs w:val="21"/>
                <w:lang w:val="en-US" w:eastAsia="zh-CN"/>
              </w:rPr>
              <w:t>28</w:t>
            </w:r>
            <w:r>
              <w:rPr>
                <w:rFonts w:hint="eastAsia" w:cs="微软雅黑" w:asciiTheme="minorEastAsia" w:hAnsiTheme="minorEastAsia"/>
                <w:b/>
                <w:color w:val="FF0000"/>
                <w:szCs w:val="21"/>
              </w:rPr>
              <w:t>万</w:t>
            </w:r>
            <w:r>
              <w:rPr>
                <w:rFonts w:hint="eastAsia" w:cs="微软雅黑" w:asciiTheme="minorEastAsia" w:hAnsiTheme="minorEastAsia"/>
                <w:b/>
                <w:color w:val="FF0000"/>
                <w:szCs w:val="21"/>
                <w:lang w:val="zh-CN"/>
              </w:rPr>
              <w:t>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276" w:lineRule="auto"/>
              <w:rPr>
                <w:rFonts w:hint="eastAsia" w:cs="宋体" w:asciiTheme="minorEastAsia" w:hAnsiTheme="minorEastAsia"/>
                <w:bCs/>
                <w:szCs w:val="21"/>
                <w:lang w:val="zh-CN"/>
              </w:rPr>
            </w:pPr>
            <w:r>
              <w:rPr>
                <w:rFonts w:hint="eastAsia" w:cs="宋体" w:asciiTheme="minorEastAsia" w:hAnsiTheme="minorEastAsia"/>
                <w:bCs/>
                <w:szCs w:val="21"/>
                <w:lang w:val="zh-CN"/>
              </w:rPr>
              <w:t>2020年</w:t>
            </w:r>
            <w:r>
              <w:rPr>
                <w:rFonts w:hint="eastAsia" w:cs="宋体" w:asciiTheme="minorEastAsia" w:hAnsiTheme="minorEastAsia"/>
                <w:bCs/>
                <w:szCs w:val="21"/>
                <w:lang w:val="en-US" w:eastAsia="zh-CN"/>
              </w:rPr>
              <w:t>2</w:t>
            </w:r>
            <w:r>
              <w:rPr>
                <w:rFonts w:hint="eastAsia" w:cs="宋体" w:asciiTheme="minorEastAsia" w:hAnsiTheme="minorEastAsia"/>
                <w:bCs/>
                <w:szCs w:val="21"/>
                <w:lang w:val="zh-CN"/>
              </w:rPr>
              <w:t xml:space="preserve">月 </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 xml:space="preserve">日 </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autoSpaceDE w:val="0"/>
              <w:autoSpaceDN w:val="0"/>
              <w:adjustRightInd w:val="0"/>
              <w:spacing w:line="276" w:lineRule="auto"/>
              <w:rPr>
                <w:rFonts w:hint="eastAsia" w:cs="宋体" w:asciiTheme="minorEastAsia" w:hAnsiTheme="minorEastAsia"/>
                <w:bCs/>
                <w:szCs w:val="21"/>
                <w:lang w:val="zh-CN" w:eastAsia="zh-CN"/>
              </w:rPr>
            </w:pPr>
            <w:r>
              <w:rPr>
                <w:rFonts w:hint="eastAsia" w:cs="宋体" w:asciiTheme="minorEastAsia" w:hAnsiTheme="minorEastAsia"/>
                <w:bCs/>
                <w:szCs w:val="21"/>
                <w:lang w:val="en-US" w:eastAsia="zh-CN"/>
              </w:rPr>
              <w:t>1、</w:t>
            </w:r>
            <w:r>
              <w:rPr>
                <w:rFonts w:hint="eastAsia" w:cs="宋体" w:asciiTheme="minorEastAsia" w:hAnsiTheme="minorEastAsia"/>
                <w:bCs/>
                <w:szCs w:val="21"/>
                <w:lang w:val="zh-CN" w:eastAsia="zh-CN"/>
              </w:rPr>
              <w:t>不缴纳。</w:t>
            </w:r>
          </w:p>
          <w:p>
            <w:pPr>
              <w:autoSpaceDE w:val="0"/>
              <w:autoSpaceDN w:val="0"/>
              <w:adjustRightInd w:val="0"/>
              <w:spacing w:line="276" w:lineRule="auto"/>
              <w:rPr>
                <w:rFonts w:cs="仿宋_GB2312" w:asciiTheme="minorEastAsia" w:hAnsiTheme="minorEastAsia"/>
                <w:szCs w:val="21"/>
                <w:lang w:val="zh-CN"/>
              </w:rPr>
            </w:pPr>
            <w:r>
              <w:rPr>
                <w:rFonts w:hint="eastAsia" w:cs="宋体" w:asciiTheme="minorEastAsia" w:hAnsiTheme="minorEastAsia"/>
                <w:bCs/>
                <w:szCs w:val="21"/>
                <w:lang w:val="en-US" w:eastAsia="zh-CN"/>
              </w:rPr>
              <w:t>2、</w:t>
            </w:r>
            <w:r>
              <w:rPr>
                <w:rFonts w:hint="eastAsia" w:cs="宋体" w:asciiTheme="minorEastAsia" w:hAnsiTheme="minorEastAsia"/>
                <w:bCs/>
                <w:szCs w:val="21"/>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hint="eastAsia" w:cs="仿宋_GB2312" w:asciiTheme="minorEastAsia" w:hAnsiTheme="minorEastAsia"/>
                <w:szCs w:val="21"/>
                <w:lang w:val="zh-CN"/>
              </w:rPr>
              <w:t>☑</w:t>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的3%</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ascii="新宋体" w:hAnsi="新宋体" w:eastAsia="新宋体" w:cs="新宋体"/>
                <w:color w:val="FF0000"/>
                <w:sz w:val="24"/>
                <w:szCs w:val="24"/>
              </w:rPr>
              <w:t>yzggzy</w:t>
            </w:r>
            <w:r>
              <w:rPr>
                <w:rFonts w:hint="eastAsia" w:cs="宋体" w:asciiTheme="minorEastAsia" w:hAnsiTheme="minorEastAsia"/>
                <w:bCs/>
                <w:color w:val="FF0000"/>
                <w:sz w:val="24"/>
                <w:szCs w:val="24"/>
              </w:rPr>
              <w:t>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4"/>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4"/>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pStyle w:val="44"/>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4"/>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集中采购机构除收取标书费用外，不收取费用</w:t>
      </w:r>
      <w:r>
        <w:rPr>
          <w:rFonts w:hint="eastAsia" w:cs="宋体" w:asciiTheme="minorEastAsia" w:hAnsiTheme="minorEastAsia"/>
          <w:kern w:val="0"/>
          <w:szCs w:val="21"/>
        </w:rPr>
        <w:t>。</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cs="宋体" w:asciiTheme="minorEastAsia" w:hAnsiTheme="minorEastAsia"/>
          <w:kern w:val="0"/>
          <w:szCs w:val="21"/>
        </w:rPr>
      </w:pPr>
      <w:r>
        <w:rPr>
          <w:rFonts w:hint="eastAsia" w:cs="宋体" w:asciiTheme="minorEastAsia" w:hAnsiTheme="minorEastAsia"/>
          <w:kern w:val="0"/>
          <w:szCs w:val="21"/>
        </w:rPr>
        <w:t>2、如“谈判邀请函</w:t>
      </w:r>
      <w:r>
        <w:rPr>
          <w:rFonts w:cs="宋体" w:asciiTheme="minorEastAsia" w:hAnsiTheme="minorEastAsia"/>
          <w:kern w:val="0"/>
          <w:szCs w:val="21"/>
        </w:rPr>
        <w:t>”</w:t>
      </w:r>
      <w:r>
        <w:rPr>
          <w:rFonts w:hint="eastAsia" w:cs="宋体" w:asciiTheme="minorEastAsia" w:hAnsiTheme="minorEastAsia"/>
          <w:kern w:val="0"/>
          <w:szCs w:val="21"/>
        </w:rPr>
        <w:t>中“谈判截止时间及谈判时间”和“投标人须知前附表”中</w:t>
      </w:r>
      <w:r>
        <w:rPr>
          <w:rFonts w:hint="eastAsia" w:ascii="黑体" w:hAnsi="黑体" w:eastAsia="黑体" w:cs="Arial"/>
          <w:color w:val="000000"/>
          <w:kern w:val="0"/>
          <w:sz w:val="32"/>
          <w:szCs w:val="32"/>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经通知参加谈判的供应商，在谈判结束后还有一次最终报价的机会</w:t>
      </w:r>
      <w:r>
        <w:rPr>
          <w:rFonts w:hint="eastAsia" w:cs="宋体" w:asciiTheme="minorEastAsia" w:hAnsiTheme="minorEastAsia"/>
          <w:kern w:val="0"/>
          <w:szCs w:val="21"/>
        </w:rPr>
        <w:t>。</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 xml:space="preserve">谈判保证金  </w:t>
      </w:r>
    </w:p>
    <w:p>
      <w:pPr>
        <w:pStyle w:val="44"/>
        <w:numPr>
          <w:ilvl w:val="0"/>
          <w:numId w:val="0"/>
        </w:numPr>
        <w:autoSpaceDE w:val="0"/>
        <w:autoSpaceDN w:val="0"/>
        <w:spacing w:line="360" w:lineRule="auto"/>
        <w:ind w:leftChars="0"/>
        <w:contextualSpacing/>
        <w:rPr>
          <w:rFonts w:hint="eastAsia" w:cs="宋体" w:asciiTheme="minorEastAsia" w:hAnsiTheme="minorEastAsia"/>
          <w:b/>
          <w:kern w:val="0"/>
          <w:szCs w:val="21"/>
        </w:rPr>
      </w:pPr>
      <w:r>
        <w:rPr>
          <w:rFonts w:hint="eastAsia" w:cs="宋体" w:asciiTheme="minorEastAsia" w:hAnsiTheme="minorEastAsia"/>
          <w:b/>
          <w:kern w:val="0"/>
          <w:szCs w:val="21"/>
          <w:lang w:val="en-US" w:eastAsia="zh-CN"/>
        </w:rPr>
        <w:t xml:space="preserve">16.1  </w:t>
      </w:r>
      <w:r>
        <w:rPr>
          <w:rFonts w:hint="eastAsia" w:cs="宋体" w:asciiTheme="minorEastAsia" w:hAnsiTheme="minorEastAsia"/>
          <w:b/>
          <w:kern w:val="0"/>
          <w:szCs w:val="21"/>
        </w:rPr>
        <w:t>不缴纳</w:t>
      </w:r>
    </w:p>
    <w:p>
      <w:pPr>
        <w:pStyle w:val="44"/>
        <w:numPr>
          <w:ilvl w:val="0"/>
          <w:numId w:val="0"/>
        </w:numPr>
        <w:autoSpaceDE w:val="0"/>
        <w:autoSpaceDN w:val="0"/>
        <w:spacing w:line="360" w:lineRule="auto"/>
        <w:ind w:leftChars="0"/>
        <w:contextualSpacing/>
        <w:rPr>
          <w:rFonts w:hint="default" w:cs="宋体" w:asciiTheme="minorEastAsia" w:hAnsiTheme="minorEastAsia" w:eastAsiaTheme="minorEastAsia"/>
          <w:b/>
          <w:kern w:val="0"/>
          <w:szCs w:val="21"/>
          <w:lang w:val="en-US" w:eastAsia="zh-CN"/>
        </w:rPr>
      </w:pPr>
      <w:r>
        <w:rPr>
          <w:rFonts w:hint="eastAsia" w:cs="宋体" w:asciiTheme="minorEastAsia" w:hAnsiTheme="minorEastAsia"/>
          <w:b/>
          <w:kern w:val="0"/>
          <w:szCs w:val="21"/>
          <w:lang w:val="en-US" w:eastAsia="zh-CN"/>
        </w:rPr>
        <w:t>16.2  投标人须提供投标承诺函</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17.1</w:t>
      </w:r>
      <w:r>
        <w:rPr>
          <w:rFonts w:hint="eastAsia" w:cs="宋体" w:asciiTheme="minorEastAsia" w:hAnsiTheme="minorEastAsia"/>
          <w:kern w:val="0"/>
          <w:szCs w:val="21"/>
        </w:rPr>
        <w:t>供应商应提交响应文件份数见“供应商须知前附表”。</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4"/>
        <w:numPr>
          <w:ilvl w:val="1"/>
          <w:numId w:val="10"/>
        </w:numPr>
        <w:autoSpaceDE w:val="0"/>
        <w:autoSpaceDN w:val="0"/>
        <w:spacing w:line="360" w:lineRule="auto"/>
        <w:ind w:firstLineChars="0"/>
        <w:contextualSpacing/>
        <w:rPr>
          <w:rFonts w:ascii="ˎ̥" w:hAnsi="ˎ̥"/>
          <w:vanish/>
        </w:rPr>
      </w:pP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4"/>
        <w:numPr>
          <w:ilvl w:val="1"/>
          <w:numId w:val="10"/>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w:t>
      </w:r>
      <w:r>
        <w:rPr>
          <w:rFonts w:hint="eastAsia" w:cs="宋体" w:asciiTheme="minorEastAsia" w:hAnsiTheme="minorEastAsia"/>
          <w:kern w:val="0"/>
          <w:szCs w:val="21"/>
          <w:lang w:eastAsia="zh-CN"/>
        </w:rPr>
        <w:t>承诺函</w:t>
      </w:r>
      <w:r>
        <w:rPr>
          <w:rFonts w:hint="eastAsia" w:cs="宋体" w:asciiTheme="minorEastAsia" w:hAnsiTheme="minorEastAsia"/>
          <w:kern w:val="0"/>
          <w:szCs w:val="21"/>
        </w:rPr>
        <w:t>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响应文件内容模糊不清，无法辨认的；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28.1.6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0"/>
        <w:numPr>
          <w:ilvl w:val="1"/>
          <w:numId w:val="10"/>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4"/>
        <w:numPr>
          <w:ilvl w:val="1"/>
          <w:numId w:val="10"/>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4"/>
        <w:numPr>
          <w:ilvl w:val="1"/>
          <w:numId w:val="10"/>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4"/>
        <w:numPr>
          <w:ilvl w:val="1"/>
          <w:numId w:val="10"/>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4"/>
        <w:numPr>
          <w:ilvl w:val="1"/>
          <w:numId w:val="10"/>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rPr>
        <w:t>提出3</w:t>
      </w:r>
      <w:r>
        <w:rPr>
          <w:rFonts w:ascii="ˎ̥" w:hAnsi="ˎ̥"/>
        </w:rPr>
        <w:t>名成交候选人，并编写评审报告。</w:t>
      </w:r>
    </w:p>
    <w:p>
      <w:pPr>
        <w:tabs>
          <w:tab w:val="left" w:pos="1260"/>
        </w:tabs>
        <w:autoSpaceDE w:val="0"/>
        <w:autoSpaceDN w:val="0"/>
        <w:spacing w:line="360" w:lineRule="auto"/>
        <w:contextualSpacing/>
        <w:rPr>
          <w:rFonts w:cs="宋体" w:asciiTheme="minorEastAsia" w:hAnsiTheme="minorEastAsia"/>
          <w:b/>
          <w:kern w:val="0"/>
          <w:szCs w:val="21"/>
        </w:rPr>
      </w:pPr>
    </w:p>
    <w:p>
      <w:pPr>
        <w:numPr>
          <w:ilvl w:val="0"/>
          <w:numId w:val="15"/>
        </w:num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确定成交供应商和授予合同</w:t>
      </w:r>
    </w:p>
    <w:p>
      <w:pPr>
        <w:tabs>
          <w:tab w:val="left" w:pos="1260"/>
        </w:tabs>
        <w:autoSpaceDE w:val="0"/>
        <w:autoSpaceDN w:val="0"/>
        <w:spacing w:line="360" w:lineRule="auto"/>
        <w:contextualSpacing/>
        <w:rPr>
          <w:rFonts w:cs="宋体" w:asciiTheme="minorEastAsia" w:hAnsiTheme="minorEastAsia"/>
          <w:b/>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19"/>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firstLine="480" w:firstLineChars="200"/>
        <w:contextualSpacing/>
        <w:rPr>
          <w:rFonts w:cs="仿宋_GB2312" w:asciiTheme="minorEastAsia" w:hAnsiTheme="minorEastAsia" w:eastAsiaTheme="minorEastAsia"/>
          <w:szCs w:val="24"/>
          <w:lang w:val="zh-CN"/>
        </w:rPr>
      </w:pPr>
    </w:p>
    <w:p>
      <w:pPr>
        <w:pStyle w:val="14"/>
        <w:spacing w:line="360" w:lineRule="auto"/>
        <w:ind w:firstLine="480" w:firstLineChars="200"/>
        <w:contextualSpacing/>
        <w:rPr>
          <w:rFonts w:cs="仿宋_GB2312" w:asciiTheme="minorEastAsia" w:hAnsiTheme="minorEastAsia" w:eastAsiaTheme="minorEastAsia"/>
          <w:szCs w:val="24"/>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szCs w:val="21"/>
              </w:rPr>
              <w:t>www.creditchina.gov.cn</w:t>
            </w:r>
            <w:r>
              <w:rPr>
                <w:rStyle w:val="28"/>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Cs/>
                <w:szCs w:val="21"/>
              </w:rPr>
            </w:pPr>
            <w:r>
              <w:rPr>
                <w:rFonts w:hint="eastAsia" w:asciiTheme="minorEastAsia" w:hAnsiTheme="minorEastAsia"/>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1、</w:t>
            </w:r>
            <w:r>
              <w:rPr>
                <w:rFonts w:hint="eastAsia" w:cs="仿宋_GB2312" w:asciiTheme="minorEastAsia" w:hAnsiTheme="minorEastAsia"/>
                <w:szCs w:val="21"/>
                <w:lang w:val="zh-CN" w:eastAsia="zh-CN"/>
              </w:rPr>
              <w:t>不收取</w:t>
            </w:r>
          </w:p>
          <w:p>
            <w:pPr>
              <w:spacing w:line="360" w:lineRule="auto"/>
              <w:rPr>
                <w:rFonts w:hint="eastAsia"/>
                <w:lang w:eastAsia="zh-CN"/>
              </w:rPr>
            </w:pP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0"/>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cs="宋体" w:asciiTheme="majorEastAsia" w:hAnsiTheme="majorEastAsia" w:eastAsiaTheme="majorEastAsia"/>
          <w:b/>
          <w:kern w:val="0"/>
          <w:sz w:val="32"/>
          <w:szCs w:val="32"/>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6"/>
        <w:spacing w:after="156" w:line="500" w:lineRule="exact"/>
        <w:rPr>
          <w:rFonts w:ascii="仿宋" w:hAnsi="仿宋" w:eastAsia="仿宋"/>
          <w:szCs w:val="24"/>
        </w:rPr>
      </w:pPr>
      <w:bookmarkStart w:id="0" w:name="_Toc354922980"/>
      <w:bookmarkStart w:id="1" w:name="_Toc326060505"/>
      <w:bookmarkStart w:id="2" w:name="_Toc354404029"/>
      <w:bookmarkStart w:id="3" w:name="_Toc354923119"/>
      <w:bookmarkStart w:id="4" w:name="_Toc357868214"/>
      <w:bookmarkStart w:id="5" w:name="_Toc356744034"/>
      <w:bookmarkStart w:id="6" w:name="_Toc364457259"/>
      <w:bookmarkStart w:id="7" w:name="_Toc355649942"/>
      <w:bookmarkStart w:id="8" w:name="_Toc329278149"/>
      <w:r>
        <w:rPr>
          <w:rFonts w:hint="eastAsia" w:ascii="仿宋" w:hAnsi="仿宋" w:eastAsia="仿宋"/>
          <w:szCs w:val="24"/>
        </w:rPr>
        <w:t>一、词语定义及合同文件</w:t>
      </w:r>
      <w:bookmarkEnd w:id="0"/>
      <w:bookmarkEnd w:id="1"/>
      <w:bookmarkEnd w:id="2"/>
      <w:bookmarkEnd w:id="3"/>
      <w:bookmarkEnd w:id="4"/>
      <w:bookmarkEnd w:id="5"/>
      <w:bookmarkEnd w:id="6"/>
      <w:bookmarkEnd w:id="7"/>
      <w:bookmarkEnd w:id="8"/>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1、合同文件及解释顺序</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合同文件组成及解释顺序:       按照通用条款执行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2、语言文字和适用法律、标准及规范</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2．1本合同除使用汉语外，还使用       无                  语言文字。</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2．2适用法律和法规</w:t>
      </w:r>
    </w:p>
    <w:p>
      <w:pPr>
        <w:spacing w:line="500" w:lineRule="exact"/>
        <w:ind w:firstLine="482"/>
        <w:rPr>
          <w:rFonts w:cs="宋体" w:asciiTheme="minorEastAsia" w:hAnsiTheme="minorEastAsia"/>
          <w:kern w:val="0"/>
          <w:szCs w:val="21"/>
        </w:rPr>
      </w:pPr>
      <w:r>
        <w:rPr>
          <w:rFonts w:hint="eastAsia" w:cs="宋体" w:asciiTheme="minorEastAsia" w:hAnsiTheme="minorEastAsia"/>
          <w:kern w:val="0"/>
          <w:szCs w:val="21"/>
        </w:rPr>
        <w:t>需要明示的法律、行政法规:  国家及省、市的法律、法规、规章、规范性文件及协议条款约定的规章。</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2．3适用标准、规范</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适用标准、规范的名称:</w:t>
      </w:r>
    </w:p>
    <w:p>
      <w:pPr>
        <w:numPr>
          <w:ilvl w:val="1"/>
          <w:numId w:val="21"/>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工程设计要求</w:t>
      </w:r>
    </w:p>
    <w:p>
      <w:pPr>
        <w:numPr>
          <w:ilvl w:val="1"/>
          <w:numId w:val="21"/>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国家、河南省、许昌市现行有关工程的施工及验收规定、规程和标准</w:t>
      </w:r>
    </w:p>
    <w:p>
      <w:pPr>
        <w:numPr>
          <w:ilvl w:val="1"/>
          <w:numId w:val="21"/>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对不在规范验评范围内项目，执行设计院、制造厂家或发包人和承包人双方议定的补充技术标准及本标书的施工技术要求；</w:t>
      </w:r>
    </w:p>
    <w:p>
      <w:pPr>
        <w:numPr>
          <w:ilvl w:val="1"/>
          <w:numId w:val="21"/>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新材料、新工艺必须具有省级以上行业主管部门技术鉴定并须征得发包人和监理单位同意。</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发包人提供标准、规范的时间: 无。</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国内没有相应标准、规范时的约定: 由承包人提供并经发包人和设计单位认可后执行。</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3、图纸</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3．1发包人向承包人提供图纸日期和套数: 合同约定。</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 2发包人对图纸的保密要求: 施工图纸应保密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3. 3使用国外图纸的要求及费用承担:  无  </w:t>
      </w:r>
    </w:p>
    <w:p>
      <w:pPr>
        <w:pStyle w:val="6"/>
        <w:spacing w:after="156" w:line="500" w:lineRule="exact"/>
        <w:rPr>
          <w:rFonts w:cs="宋体" w:asciiTheme="minorEastAsia" w:hAnsiTheme="minorEastAsia" w:eastAsiaTheme="minorEastAsia"/>
          <w:sz w:val="21"/>
          <w:szCs w:val="21"/>
          <w:lang w:val="en-US"/>
        </w:rPr>
      </w:pPr>
      <w:bookmarkStart w:id="9" w:name="_Toc326060506"/>
      <w:bookmarkStart w:id="10" w:name="_Toc357868215"/>
      <w:bookmarkStart w:id="11" w:name="_Toc364457260"/>
      <w:bookmarkStart w:id="12" w:name="_Toc354923120"/>
      <w:bookmarkStart w:id="13" w:name="_Toc329278150"/>
      <w:bookmarkStart w:id="14" w:name="_Toc355649943"/>
      <w:bookmarkStart w:id="15" w:name="_Toc354404030"/>
      <w:bookmarkStart w:id="16" w:name="_Toc354922981"/>
      <w:bookmarkStart w:id="17" w:name="_Toc356744035"/>
      <w:r>
        <w:rPr>
          <w:rFonts w:hint="eastAsia" w:cs="宋体" w:asciiTheme="minorEastAsia" w:hAnsiTheme="minorEastAsia" w:eastAsiaTheme="minorEastAsia"/>
          <w:sz w:val="21"/>
          <w:szCs w:val="21"/>
          <w:lang w:val="en-US"/>
        </w:rPr>
        <w:t>二、双方一般权利和义务</w:t>
      </w:r>
      <w:bookmarkEnd w:id="9"/>
      <w:bookmarkEnd w:id="10"/>
      <w:bookmarkEnd w:id="11"/>
      <w:bookmarkEnd w:id="12"/>
      <w:bookmarkEnd w:id="13"/>
      <w:bookmarkEnd w:id="14"/>
      <w:bookmarkEnd w:id="15"/>
      <w:bookmarkEnd w:id="16"/>
      <w:bookmarkEnd w:id="17"/>
    </w:p>
    <w:p>
      <w:pPr>
        <w:pStyle w:val="14"/>
        <w:spacing w:line="500" w:lineRule="exact"/>
        <w:ind w:firstLine="48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4．工程师</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4．1监理单位委派的工程师</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姓名：   (待定)      职务:    (待定)    </w:t>
      </w:r>
    </w:p>
    <w:p>
      <w:pPr>
        <w:pStyle w:val="60"/>
        <w:spacing w:line="500" w:lineRule="exact"/>
        <w:ind w:left="0" w:right="9" w:firstLine="420" w:firstLineChars="200"/>
        <w:rPr>
          <w:rFonts w:cs="宋体" w:asciiTheme="minorEastAsia" w:hAnsiTheme="minorEastAsia"/>
          <w:sz w:val="21"/>
          <w:szCs w:val="21"/>
        </w:rPr>
      </w:pPr>
      <w:r>
        <w:rPr>
          <w:rFonts w:hint="eastAsia" w:cs="宋体" w:asciiTheme="minorEastAsia" w:hAnsiTheme="minorEastAsia"/>
          <w:sz w:val="21"/>
          <w:szCs w:val="21"/>
        </w:rPr>
        <w:t>发包人委托的职权: 按《建设工程监理规范》(GB50319-2000)执行</w:t>
      </w:r>
    </w:p>
    <w:p>
      <w:pPr>
        <w:spacing w:line="500" w:lineRule="exact"/>
        <w:ind w:firstLine="480"/>
        <w:rPr>
          <w:rFonts w:cs="宋体" w:asciiTheme="minorEastAsia" w:hAnsiTheme="minorEastAsia"/>
          <w:kern w:val="0"/>
          <w:szCs w:val="21"/>
        </w:rPr>
      </w:pPr>
      <w:r>
        <w:rPr>
          <w:rFonts w:hint="eastAsia" w:cs="宋体" w:asciiTheme="minorEastAsia" w:hAnsiTheme="minorEastAsia"/>
          <w:kern w:val="0"/>
          <w:szCs w:val="21"/>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4．2发包人派驻的工程师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姓名：  (待定)         职务:   (待定)     </w:t>
      </w:r>
    </w:p>
    <w:p>
      <w:pPr>
        <w:spacing w:line="500" w:lineRule="exact"/>
        <w:ind w:firstLine="480"/>
        <w:rPr>
          <w:rFonts w:cs="宋体" w:asciiTheme="minorEastAsia" w:hAnsiTheme="minorEastAsia"/>
          <w:kern w:val="0"/>
          <w:szCs w:val="21"/>
        </w:rPr>
      </w:pPr>
      <w:r>
        <w:rPr>
          <w:rFonts w:hint="eastAsia" w:cs="宋体" w:asciiTheme="minorEastAsia" w:hAnsiTheme="minorEastAsia"/>
          <w:kern w:val="0"/>
          <w:szCs w:val="21"/>
        </w:rPr>
        <w:t>职权: 全权负责施工现场的管理和协调工作，并代表发包人对施工中所用材料(设备)的质量进行检验。</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4．3不实行监理的，工程师的职权: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5．项目经理(建造师)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姓名:  (中标项目经理/建造师)      职务:  (待定)  _</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6、发包人工作</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6．1发包人应按约定的时间和要求完成以下工作:</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(1)施工场地具备施工条件的要求及完成的时间： 合同签订后7日内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(3)施工场地与道路的通道开通时间和要求: 已具备。</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(4)工程地质和地下管线资料的提供时间：合同签订日。</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(5)由发包人办理的施工所需证件、批件的名称和完成时间:  合同开工日期前，由承包方负责办理进场的相关手续，发包方配合。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(6)水准点与坐标控制点交验要求：合同开工日期前7天。</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(7)图纸会审和设计交底时间: 合同开工日期前7天。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(8)双方约定发包人应做的其他工作：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6．2发包人委托承包人办理的工作：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7．承包人工作</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招标范围，具体有招标人与中标人协商                    。</w:t>
      </w:r>
    </w:p>
    <w:p>
      <w:pPr>
        <w:pStyle w:val="14"/>
        <w:spacing w:line="500" w:lineRule="exact"/>
        <w:ind w:left="338" w:leftChars="86" w:hanging="157" w:hangingChars="7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7．1承包人应按约定时间和要求，完成以下工作:</w:t>
      </w:r>
    </w:p>
    <w:p>
      <w:pPr>
        <w:pStyle w:val="14"/>
        <w:numPr>
          <w:ilvl w:val="0"/>
          <w:numId w:val="22"/>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需自设计资质等级和业务范围允许的承包人完成的设计文件提交时间：          无      </w:t>
      </w:r>
    </w:p>
    <w:p>
      <w:pPr>
        <w:pStyle w:val="14"/>
        <w:numPr>
          <w:ilvl w:val="0"/>
          <w:numId w:val="22"/>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应提供计划、报表的名称及完成时间:</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开工前7日提交施工组织设计、总进度计划、施工机械和人员使用计划、主要材料供应计划。</w:t>
      </w:r>
    </w:p>
    <w:p>
      <w:pPr>
        <w:pStyle w:val="14"/>
        <w:numPr>
          <w:ilvl w:val="0"/>
          <w:numId w:val="22"/>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承担施工安全保卫工作及非夜间施工照明的责任和要求:设专职安全保卫人员和安全防护设施，负责施工现场安全保卫，费用自理。</w:t>
      </w:r>
    </w:p>
    <w:p>
      <w:pPr>
        <w:pStyle w:val="14"/>
        <w:numPr>
          <w:ilvl w:val="0"/>
          <w:numId w:val="22"/>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向发包人提供的办公和生活房屋及设施的要求:  无   </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需承包人办理的有关施工场地交通、住建、环卫和施工噪音管理等手续: 按照国家、省、市、县有关规定执行。</w:t>
      </w:r>
    </w:p>
    <w:p>
      <w:pPr>
        <w:pStyle w:val="14"/>
        <w:numPr>
          <w:ilvl w:val="0"/>
          <w:numId w:val="22"/>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完工工程成品保护的特殊要求及费用承担:由承包人负责。</w:t>
      </w:r>
    </w:p>
    <w:p>
      <w:pPr>
        <w:pStyle w:val="14"/>
        <w:numPr>
          <w:ilvl w:val="0"/>
          <w:numId w:val="22"/>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22"/>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施工现场清洁卫生的要求：按通用条款，保证每日清理，符合当地有关文明施工的规定，费用由承包方承担。</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(10)按计划完成施工任务。</w:t>
      </w:r>
    </w:p>
    <w:p>
      <w:pPr>
        <w:pStyle w:val="6"/>
        <w:spacing w:after="156" w:line="500" w:lineRule="exact"/>
        <w:rPr>
          <w:rFonts w:cs="宋体" w:asciiTheme="minorEastAsia" w:hAnsiTheme="minorEastAsia" w:eastAsiaTheme="minorEastAsia"/>
          <w:sz w:val="21"/>
          <w:szCs w:val="21"/>
          <w:lang w:val="en-US"/>
        </w:rPr>
      </w:pPr>
      <w:bookmarkStart w:id="18" w:name="_Toc326060507"/>
      <w:bookmarkStart w:id="19" w:name="_Toc354923121"/>
      <w:bookmarkStart w:id="20" w:name="_Toc354922982"/>
      <w:bookmarkStart w:id="21" w:name="_Toc356744036"/>
      <w:bookmarkStart w:id="22" w:name="_Toc357868216"/>
      <w:bookmarkStart w:id="23" w:name="_Toc364457261"/>
      <w:bookmarkStart w:id="24" w:name="_Toc329278151"/>
      <w:bookmarkStart w:id="25" w:name="_Toc354404031"/>
      <w:bookmarkStart w:id="26" w:name="_Toc355649944"/>
      <w:r>
        <w:rPr>
          <w:rFonts w:hint="eastAsia" w:cs="宋体" w:asciiTheme="minorEastAsia" w:hAnsiTheme="minorEastAsia" w:eastAsiaTheme="minorEastAsia"/>
          <w:sz w:val="21"/>
          <w:szCs w:val="21"/>
          <w:lang w:val="en-US"/>
        </w:rPr>
        <w:t>三、施工组织设计和工期</w:t>
      </w:r>
      <w:bookmarkEnd w:id="18"/>
      <w:bookmarkEnd w:id="19"/>
      <w:bookmarkEnd w:id="20"/>
      <w:bookmarkEnd w:id="21"/>
      <w:bookmarkEnd w:id="22"/>
      <w:bookmarkEnd w:id="23"/>
      <w:bookmarkEnd w:id="24"/>
      <w:bookmarkEnd w:id="25"/>
      <w:bookmarkEnd w:id="26"/>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8．进度计划</w:t>
      </w:r>
    </w:p>
    <w:p>
      <w:pPr>
        <w:pStyle w:val="14"/>
        <w:spacing w:line="500" w:lineRule="exact"/>
        <w:ind w:left="1012" w:leftChars="258" w:hanging="470" w:hangingChars="22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8．1承包人提供施工组织设计(施工方案)和进度计划的时间：合同开工日期前7天。工程师确认的时间：7个工作日</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8.2群体工程中有关进度计划的要求：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8.3如发包人需要调整施工顺序时，承包人应无条件响应，额外发生的费用视为已包含在合同价内。</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9．工期延误</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9.2由于承包人的原因造成工期延误，每延迟一天扣除工程款的     ‰。</w:t>
      </w:r>
    </w:p>
    <w:p>
      <w:pPr>
        <w:pStyle w:val="6"/>
        <w:spacing w:after="156" w:line="500" w:lineRule="exact"/>
        <w:rPr>
          <w:rFonts w:cs="宋体" w:asciiTheme="minorEastAsia" w:hAnsiTheme="minorEastAsia" w:eastAsiaTheme="minorEastAsia"/>
          <w:sz w:val="21"/>
          <w:szCs w:val="21"/>
          <w:lang w:val="en-US"/>
        </w:rPr>
      </w:pPr>
      <w:bookmarkStart w:id="27" w:name="_Toc354923122"/>
      <w:bookmarkStart w:id="28" w:name="_Toc357868217"/>
      <w:bookmarkStart w:id="29" w:name="_Toc329278152"/>
      <w:bookmarkStart w:id="30" w:name="_Toc354404032"/>
      <w:bookmarkStart w:id="31" w:name="_Toc354922983"/>
      <w:bookmarkStart w:id="32" w:name="_Toc355649945"/>
      <w:bookmarkStart w:id="33" w:name="_Toc326060508"/>
      <w:bookmarkStart w:id="34" w:name="_Toc364457262"/>
      <w:bookmarkStart w:id="35" w:name="_Toc356744037"/>
      <w:r>
        <w:rPr>
          <w:rFonts w:hint="eastAsia" w:cs="宋体" w:asciiTheme="minorEastAsia" w:hAnsiTheme="minorEastAsia" w:eastAsiaTheme="minorEastAsia"/>
          <w:sz w:val="21"/>
          <w:szCs w:val="21"/>
          <w:lang w:val="en-US"/>
        </w:rPr>
        <w:t>四、质量与验收</w:t>
      </w:r>
      <w:bookmarkEnd w:id="27"/>
      <w:bookmarkEnd w:id="28"/>
      <w:bookmarkEnd w:id="29"/>
      <w:bookmarkEnd w:id="30"/>
      <w:bookmarkEnd w:id="31"/>
      <w:bookmarkEnd w:id="32"/>
      <w:bookmarkEnd w:id="33"/>
      <w:bookmarkEnd w:id="34"/>
      <w:bookmarkEnd w:id="35"/>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10．隐蔽工程验收和执行规范及适用范围</w:t>
      </w:r>
    </w:p>
    <w:p>
      <w:pPr>
        <w:pStyle w:val="14"/>
        <w:numPr>
          <w:ilvl w:val="1"/>
          <w:numId w:val="23"/>
        </w:numPr>
        <w:spacing w:line="500" w:lineRule="exact"/>
        <w:ind w:hanging="27"/>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双方约定隐蔽工程验收部位：按照国家施工及验收规范要求的执行。</w:t>
      </w:r>
    </w:p>
    <w:p>
      <w:p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10.2 适用范围：使用于本项目工程施工。</w:t>
      </w:r>
    </w:p>
    <w:p>
      <w:pPr>
        <w:pStyle w:val="6"/>
        <w:spacing w:after="156" w:line="500" w:lineRule="exact"/>
        <w:rPr>
          <w:rFonts w:cs="宋体" w:asciiTheme="minorEastAsia" w:hAnsiTheme="minorEastAsia" w:eastAsiaTheme="minorEastAsia"/>
          <w:sz w:val="21"/>
          <w:szCs w:val="21"/>
          <w:lang w:val="en-US"/>
        </w:rPr>
      </w:pPr>
      <w:bookmarkStart w:id="36" w:name="_Toc356744038"/>
      <w:bookmarkStart w:id="37" w:name="_Toc355649946"/>
      <w:bookmarkStart w:id="38" w:name="_Toc354404033"/>
      <w:bookmarkStart w:id="39" w:name="_Toc354922984"/>
      <w:bookmarkStart w:id="40" w:name="_Toc357868218"/>
      <w:bookmarkStart w:id="41" w:name="_Toc326060509"/>
      <w:bookmarkStart w:id="42" w:name="_Toc329278153"/>
      <w:bookmarkStart w:id="43" w:name="_Toc354923123"/>
      <w:bookmarkStart w:id="44" w:name="_Toc364457263"/>
      <w:r>
        <w:rPr>
          <w:rFonts w:hint="eastAsia" w:cs="宋体" w:asciiTheme="minorEastAsia" w:hAnsiTheme="minorEastAsia" w:eastAsiaTheme="minorEastAsia"/>
          <w:sz w:val="21"/>
          <w:szCs w:val="21"/>
          <w:lang w:val="en-US"/>
        </w:rPr>
        <w:t>五、安全施工</w:t>
      </w:r>
      <w:bookmarkEnd w:id="36"/>
      <w:bookmarkEnd w:id="37"/>
      <w:bookmarkEnd w:id="38"/>
      <w:bookmarkEnd w:id="39"/>
      <w:bookmarkEnd w:id="40"/>
      <w:bookmarkEnd w:id="41"/>
      <w:bookmarkEnd w:id="42"/>
      <w:bookmarkEnd w:id="43"/>
      <w:bookmarkEnd w:id="44"/>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按合同文本通用条款执行</w:t>
      </w:r>
    </w:p>
    <w:p>
      <w:pPr>
        <w:pStyle w:val="6"/>
        <w:spacing w:after="156" w:line="500" w:lineRule="exact"/>
        <w:rPr>
          <w:rFonts w:cs="宋体" w:asciiTheme="minorEastAsia" w:hAnsiTheme="minorEastAsia" w:eastAsiaTheme="minorEastAsia"/>
          <w:sz w:val="21"/>
          <w:szCs w:val="21"/>
          <w:lang w:val="en-US"/>
        </w:rPr>
      </w:pPr>
      <w:bookmarkStart w:id="45" w:name="_Toc354922985"/>
      <w:bookmarkStart w:id="46" w:name="_Toc354923124"/>
      <w:bookmarkStart w:id="47" w:name="_Toc364457264"/>
      <w:bookmarkStart w:id="48" w:name="_Toc355649947"/>
      <w:bookmarkStart w:id="49" w:name="_Toc356744039"/>
      <w:bookmarkStart w:id="50" w:name="_Toc354404034"/>
      <w:bookmarkStart w:id="51" w:name="_Toc329278154"/>
      <w:bookmarkStart w:id="52" w:name="_Toc326060510"/>
      <w:bookmarkStart w:id="53" w:name="_Toc357868219"/>
      <w:r>
        <w:rPr>
          <w:rFonts w:hint="eastAsia" w:cs="宋体" w:asciiTheme="minorEastAsia" w:hAnsiTheme="minorEastAsia" w:eastAsiaTheme="minorEastAsia"/>
          <w:sz w:val="21"/>
          <w:szCs w:val="21"/>
          <w:lang w:val="en-US"/>
        </w:rPr>
        <w:t>六、合同价款与支付</w:t>
      </w:r>
      <w:bookmarkEnd w:id="45"/>
      <w:bookmarkEnd w:id="46"/>
      <w:bookmarkEnd w:id="47"/>
      <w:bookmarkEnd w:id="48"/>
      <w:bookmarkEnd w:id="49"/>
      <w:bookmarkEnd w:id="50"/>
      <w:bookmarkEnd w:id="51"/>
      <w:bookmarkEnd w:id="52"/>
      <w:bookmarkEnd w:id="53"/>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11．合同价款及调整</w:t>
      </w:r>
    </w:p>
    <w:p>
      <w:pPr>
        <w:pStyle w:val="14"/>
        <w:spacing w:line="360" w:lineRule="auto"/>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当发生下列情况时，合同价可作调整：</w:t>
      </w:r>
    </w:p>
    <w:p>
      <w:pPr>
        <w:pStyle w:val="14"/>
        <w:numPr>
          <w:ilvl w:val="2"/>
          <w:numId w:val="24"/>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发包人相应部门签证后报主管领导批准后的工程变更及工程洽商；</w:t>
      </w:r>
    </w:p>
    <w:p>
      <w:pPr>
        <w:pStyle w:val="14"/>
        <w:numPr>
          <w:ilvl w:val="2"/>
          <w:numId w:val="24"/>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暂估价项目、暂估材料设备及发包人指定的产品价在实际发生前由发包人认可后，按实际发生予以调整，仅计取税金；</w:t>
      </w:r>
    </w:p>
    <w:p>
      <w:pPr>
        <w:pStyle w:val="14"/>
        <w:numPr>
          <w:ilvl w:val="2"/>
          <w:numId w:val="24"/>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发包人提供的地下管网、地下构筑物等资料与现场实际情况不符，而引起的工程处理费用增加，据实调整；</w:t>
      </w:r>
    </w:p>
    <w:p>
      <w:pPr>
        <w:pStyle w:val="14"/>
        <w:numPr>
          <w:ilvl w:val="2"/>
          <w:numId w:val="24"/>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法律、行政法规和国家有关政策变化影响合同价款。</w:t>
      </w:r>
    </w:p>
    <w:p>
      <w:pPr>
        <w:pStyle w:val="14"/>
        <w:spacing w:line="360" w:lineRule="auto"/>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11．2合同价款调整原则及方法：</w:t>
      </w:r>
    </w:p>
    <w:p>
      <w:pPr>
        <w:numPr>
          <w:ilvl w:val="0"/>
          <w:numId w:val="25"/>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增减工程量清单按11.1执行；</w:t>
      </w:r>
    </w:p>
    <w:p>
      <w:pPr>
        <w:numPr>
          <w:ilvl w:val="0"/>
          <w:numId w:val="25"/>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5"/>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1"/>
        <w:spacing w:line="500" w:lineRule="exact"/>
        <w:rPr>
          <w:rFonts w:cs="宋体" w:asciiTheme="minorEastAsia" w:hAnsiTheme="minorEastAsia"/>
          <w:sz w:val="21"/>
        </w:rPr>
      </w:pPr>
      <w:r>
        <w:rPr>
          <w:rFonts w:hint="eastAsia" w:cs="宋体" w:asciiTheme="minorEastAsia" w:hAnsiTheme="minorEastAsia"/>
          <w:sz w:val="21"/>
        </w:rPr>
        <w:t>11．3双方约定合同价款的其他调整因素: 双方协商解决。</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12．工程付款</w:t>
      </w:r>
    </w:p>
    <w:p>
      <w:pPr>
        <w:pStyle w:val="14"/>
        <w:spacing w:line="500" w:lineRule="exact"/>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12．1工程款的支付方式：采取银行转帐结算的形式，由项目所属单位支付；</w:t>
      </w:r>
    </w:p>
    <w:p>
      <w:pPr>
        <w:pStyle w:val="14"/>
        <w:spacing w:line="500" w:lineRule="exact"/>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12．2设计变更和现场经济签证引起的费用在拨付进度款时暂不予考虑。</w:t>
      </w:r>
    </w:p>
    <w:p>
      <w:pPr>
        <w:pStyle w:val="14"/>
        <w:spacing w:line="500" w:lineRule="exact"/>
        <w:ind w:firstLine="577" w:firstLineChars="27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13.工程量增减</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cs="宋体" w:asciiTheme="minorEastAsia" w:hAnsiTheme="minorEastAsia"/>
          <w:kern w:val="0"/>
          <w:szCs w:val="21"/>
        </w:rPr>
      </w:pPr>
      <w:r>
        <w:rPr>
          <w:rFonts w:hint="eastAsia" w:cs="宋体" w:asciiTheme="minorEastAsia" w:hAnsiTheme="minorEastAsia"/>
          <w:kern w:val="0"/>
          <w:szCs w:val="21"/>
        </w:rPr>
        <w:t>14. 投标报价</w:t>
      </w:r>
    </w:p>
    <w:p>
      <w:pPr>
        <w:spacing w:line="500" w:lineRule="exact"/>
        <w:ind w:firstLine="454"/>
        <w:rPr>
          <w:rFonts w:cs="宋体" w:asciiTheme="minorEastAsia" w:hAnsiTheme="minorEastAsia"/>
          <w:kern w:val="0"/>
          <w:szCs w:val="21"/>
        </w:rPr>
      </w:pPr>
      <w:r>
        <w:rPr>
          <w:rFonts w:hint="eastAsia" w:cs="宋体" w:asciiTheme="minorEastAsia" w:hAnsiTheme="minorEastAsia"/>
          <w:kern w:val="0"/>
          <w:szCs w:val="21"/>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cs="宋体" w:asciiTheme="minorEastAsia" w:hAnsiTheme="minorEastAsia"/>
          <w:kern w:val="0"/>
          <w:szCs w:val="21"/>
        </w:rPr>
      </w:pPr>
      <w:r>
        <w:rPr>
          <w:rFonts w:hint="eastAsia" w:cs="宋体" w:asciiTheme="minorEastAsia" w:hAnsiTheme="minorEastAsia"/>
          <w:kern w:val="0"/>
          <w:szCs w:val="21"/>
        </w:rPr>
        <w:t xml:space="preserve">    14.3 投标人只能提出一个不变价格，招标人不接受任何选择价。</w:t>
      </w:r>
    </w:p>
    <w:p>
      <w:pPr>
        <w:pStyle w:val="6"/>
        <w:spacing w:after="156" w:line="500" w:lineRule="exact"/>
        <w:rPr>
          <w:rFonts w:cs="宋体" w:asciiTheme="minorEastAsia" w:hAnsiTheme="minorEastAsia" w:eastAsiaTheme="minorEastAsia"/>
          <w:sz w:val="21"/>
          <w:szCs w:val="21"/>
          <w:lang w:val="en-US"/>
        </w:rPr>
      </w:pPr>
      <w:bookmarkStart w:id="54" w:name="_Toc354404035"/>
      <w:bookmarkStart w:id="55" w:name="_Toc354923125"/>
      <w:bookmarkStart w:id="56" w:name="_Toc329278155"/>
      <w:bookmarkStart w:id="57" w:name="_Toc354922986"/>
      <w:bookmarkStart w:id="58" w:name="_Toc357868220"/>
      <w:bookmarkStart w:id="59" w:name="_Toc364457265"/>
      <w:bookmarkStart w:id="60" w:name="_Toc356744040"/>
      <w:bookmarkStart w:id="61" w:name="_Toc355649948"/>
      <w:bookmarkStart w:id="62" w:name="_Toc326060511"/>
      <w:r>
        <w:rPr>
          <w:rFonts w:hint="eastAsia" w:cs="宋体" w:asciiTheme="minorEastAsia" w:hAnsiTheme="minorEastAsia" w:eastAsiaTheme="minorEastAsia"/>
          <w:sz w:val="21"/>
          <w:szCs w:val="21"/>
          <w:lang w:val="en-US"/>
        </w:rPr>
        <w:t>七、竣工验收与结算</w:t>
      </w:r>
      <w:bookmarkEnd w:id="54"/>
      <w:bookmarkEnd w:id="55"/>
      <w:bookmarkEnd w:id="56"/>
      <w:bookmarkEnd w:id="57"/>
      <w:bookmarkEnd w:id="58"/>
      <w:bookmarkEnd w:id="59"/>
      <w:bookmarkEnd w:id="60"/>
      <w:bookmarkEnd w:id="61"/>
      <w:bookmarkEnd w:id="62"/>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15．竣工验收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15．1承包人提供竣工图的约定：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15．2中间交工工程的范围和竣工时间：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15．3竣工结算：审减金额超过报审金额10%时，超过部分审计费用由施工单位承担，并承担一定的违约责任。</w:t>
      </w:r>
    </w:p>
    <w:p>
      <w:pPr>
        <w:pStyle w:val="14"/>
        <w:spacing w:line="500" w:lineRule="exact"/>
        <w:ind w:firstLine="472" w:firstLineChars="225"/>
        <w:rPr>
          <w:rFonts w:cs="宋体" w:asciiTheme="minorEastAsia" w:hAnsiTheme="minorEastAsia" w:eastAsiaTheme="minorEastAsia"/>
          <w:kern w:val="0"/>
          <w:sz w:val="21"/>
          <w:szCs w:val="21"/>
        </w:rPr>
      </w:pPr>
    </w:p>
    <w:p>
      <w:pPr>
        <w:pStyle w:val="6"/>
        <w:spacing w:after="156" w:line="500" w:lineRule="exact"/>
        <w:rPr>
          <w:rFonts w:cs="宋体" w:asciiTheme="minorEastAsia" w:hAnsiTheme="minorEastAsia" w:eastAsiaTheme="minorEastAsia"/>
          <w:sz w:val="21"/>
          <w:szCs w:val="21"/>
          <w:lang w:val="en-US"/>
        </w:rPr>
      </w:pPr>
      <w:bookmarkStart w:id="63" w:name="_Toc364457266"/>
      <w:bookmarkStart w:id="64" w:name="_Toc329278156"/>
      <w:bookmarkStart w:id="65" w:name="_Toc354922987"/>
      <w:bookmarkStart w:id="66" w:name="_Toc357868221"/>
      <w:bookmarkStart w:id="67" w:name="_Toc326060512"/>
      <w:bookmarkStart w:id="68" w:name="_Toc354404036"/>
      <w:bookmarkStart w:id="69" w:name="_Toc354923126"/>
      <w:bookmarkStart w:id="70" w:name="_Toc355649949"/>
      <w:bookmarkStart w:id="71" w:name="_Toc356744041"/>
      <w:r>
        <w:rPr>
          <w:rFonts w:hint="eastAsia" w:cs="宋体" w:asciiTheme="minorEastAsia" w:hAnsiTheme="minorEastAsia" w:eastAsiaTheme="minorEastAsia"/>
          <w:sz w:val="21"/>
          <w:szCs w:val="21"/>
          <w:lang w:val="en-US"/>
        </w:rPr>
        <w:t>八、违约、索赔和争议</w:t>
      </w:r>
      <w:bookmarkEnd w:id="63"/>
      <w:bookmarkEnd w:id="64"/>
      <w:bookmarkEnd w:id="65"/>
      <w:bookmarkEnd w:id="66"/>
      <w:bookmarkEnd w:id="67"/>
      <w:bookmarkEnd w:id="68"/>
      <w:bookmarkEnd w:id="69"/>
      <w:bookmarkEnd w:id="70"/>
      <w:bookmarkEnd w:id="71"/>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16．违约</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16．1本合同中关于发包人违约的具体责任如下，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本合同通用条款第24条约定发包人违约应承担的违约责任：甲方根据实际情况决定采取处罚措施。</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本合同通用条款第26.4款约定发包人违约应承担的违约责任: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本合同通用条款第33.3款约定发包人违约应承担的违约责任: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双方约定的发包人其他违约责任: 见补充条款。</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16．2本合同中关于承包人违约的具体责任如下: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本合同通用条款第14.2款约定承包人违约承担的违约责任: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本合同通用条款第15.1款约定承包人违约应承担的违约责任: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双方约定的承包人其他违约责任: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17．争议</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17．1双方约定，在履行合同过程中产生争议时:</w:t>
      </w:r>
    </w:p>
    <w:p>
      <w:pPr>
        <w:pStyle w:val="14"/>
        <w:numPr>
          <w:ilvl w:val="0"/>
          <w:numId w:val="26"/>
        </w:numPr>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双方本着友好协商方式解决。</w:t>
      </w:r>
    </w:p>
    <w:p>
      <w:pPr>
        <w:pStyle w:val="14"/>
        <w:numPr>
          <w:ilvl w:val="0"/>
          <w:numId w:val="26"/>
        </w:numPr>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协商不成的，向  工程所在地  人民法院提起诉讼。</w:t>
      </w:r>
    </w:p>
    <w:p>
      <w:pPr>
        <w:pStyle w:val="6"/>
        <w:spacing w:after="156" w:line="500" w:lineRule="exact"/>
        <w:rPr>
          <w:rFonts w:cs="宋体" w:asciiTheme="minorEastAsia" w:hAnsiTheme="minorEastAsia" w:eastAsiaTheme="minorEastAsia"/>
          <w:sz w:val="21"/>
          <w:szCs w:val="21"/>
          <w:lang w:val="en-US"/>
        </w:rPr>
      </w:pPr>
      <w:bookmarkStart w:id="72" w:name="_Toc354923127"/>
      <w:bookmarkStart w:id="73" w:name="_Toc364457267"/>
      <w:bookmarkStart w:id="74" w:name="_Toc326060513"/>
      <w:bookmarkStart w:id="75" w:name="_Toc354922988"/>
      <w:bookmarkStart w:id="76" w:name="_Toc357868222"/>
      <w:bookmarkStart w:id="77" w:name="_Toc329278157"/>
      <w:bookmarkStart w:id="78" w:name="_Toc356744042"/>
      <w:bookmarkStart w:id="79" w:name="_Toc355649950"/>
      <w:bookmarkStart w:id="80" w:name="_Toc354404037"/>
      <w:r>
        <w:rPr>
          <w:rFonts w:hint="eastAsia" w:cs="宋体" w:asciiTheme="minorEastAsia" w:hAnsiTheme="minorEastAsia" w:eastAsiaTheme="minorEastAsia"/>
          <w:sz w:val="21"/>
          <w:szCs w:val="21"/>
          <w:lang w:val="en-US"/>
        </w:rPr>
        <w:t>九、其他</w:t>
      </w:r>
      <w:bookmarkEnd w:id="72"/>
      <w:bookmarkEnd w:id="73"/>
      <w:bookmarkEnd w:id="74"/>
      <w:bookmarkEnd w:id="75"/>
      <w:bookmarkEnd w:id="76"/>
      <w:bookmarkEnd w:id="77"/>
      <w:bookmarkEnd w:id="78"/>
      <w:bookmarkEnd w:id="79"/>
      <w:bookmarkEnd w:id="80"/>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18．工程分包</w:t>
      </w:r>
    </w:p>
    <w:p>
      <w:pPr>
        <w:pStyle w:val="11"/>
        <w:spacing w:line="500" w:lineRule="exact"/>
        <w:ind w:firstLine="472" w:firstLineChars="225"/>
        <w:rPr>
          <w:rFonts w:cs="宋体" w:asciiTheme="minorEastAsia" w:hAnsiTheme="minorEastAsia"/>
          <w:sz w:val="21"/>
          <w:szCs w:val="21"/>
        </w:rPr>
      </w:pPr>
      <w:r>
        <w:rPr>
          <w:rFonts w:hint="eastAsia" w:cs="宋体" w:asciiTheme="minorEastAsia" w:hAnsiTheme="minorEastAsia"/>
          <w:sz w:val="21"/>
          <w:szCs w:val="21"/>
        </w:rPr>
        <w:t>18．1本工程主体工程不允许分包。其他配套专业若确需分包，分包商须经得发包人同意。</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19．不可抗力</w:t>
      </w:r>
    </w:p>
    <w:p>
      <w:pPr>
        <w:pStyle w:val="11"/>
        <w:spacing w:line="500" w:lineRule="exact"/>
        <w:ind w:firstLine="472" w:firstLineChars="225"/>
        <w:rPr>
          <w:rFonts w:cs="宋体" w:asciiTheme="minorEastAsia" w:hAnsiTheme="minorEastAsia"/>
          <w:sz w:val="21"/>
          <w:szCs w:val="21"/>
        </w:rPr>
      </w:pPr>
      <w:r>
        <w:rPr>
          <w:rFonts w:hint="eastAsia" w:cs="宋体" w:asciiTheme="minorEastAsia" w:hAnsiTheme="minorEastAsia"/>
          <w:sz w:val="21"/>
          <w:szCs w:val="21"/>
        </w:rPr>
        <w:t xml:space="preserve">19．1双方关于不可抗力的约定:  所发生的工期相应顺延，但涉及的费用根据国家有关规定由双方分担。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20．保险</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20．1本工程双方约定投保内容如下:</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(l)发包人投保内容: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发包人委托承包人办理的保险事项: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(2)承包人投保内容: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21．担保</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21．1本工程双方约定担保事项如下: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(l)发包人向承包人提供履约担保，担保方式为:    (待定)     担保合同作为本合同附件。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(3)双方约定的其他担保事项: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22．合同份数</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22．1双方约定合同副本份数:正本2份，副本4份</w:t>
      </w:r>
    </w:p>
    <w:p>
      <w:pPr>
        <w:pStyle w:val="14"/>
        <w:spacing w:line="500" w:lineRule="exact"/>
        <w:ind w:firstLine="470" w:firstLineChars="22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23．补充条款</w:t>
      </w:r>
    </w:p>
    <w:p>
      <w:pPr>
        <w:pStyle w:val="14"/>
        <w:spacing w:line="500" w:lineRule="exact"/>
        <w:ind w:firstLine="48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审减金额超过报审金额10%时，超过部分审计费用由施工单位承担，并承担一定的违约责任。</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24．其他未尽事宜由双方协商后确定：</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(1)若承包方未达到双方约定的工程质量要求，承担其由此产生的一切责任。</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(2)经甲乙双方签字盖章后方可生效。</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spacing w:line="360" w:lineRule="auto"/>
        <w:jc w:val="center"/>
        <w:outlineLvl w:val="1"/>
        <w:rPr>
          <w:rFonts w:cs="宋体" w:asciiTheme="minorEastAsia" w:hAnsiTheme="minorEastAsia"/>
          <w:kern w:val="0"/>
          <w:szCs w:val="21"/>
        </w:rPr>
      </w:pPr>
      <w:r>
        <w:rPr>
          <w:rFonts w:hint="eastAsia" w:cs="宋体" w:asciiTheme="minorEastAsia" w:hAnsiTheme="minorEastAsia"/>
          <w:kern w:val="0"/>
          <w:szCs w:val="21"/>
        </w:rPr>
        <w:br w:type="page"/>
      </w:r>
    </w:p>
    <w:p>
      <w:pPr>
        <w:spacing w:line="440" w:lineRule="exact"/>
        <w:ind w:firstLine="482" w:firstLineChars="200"/>
        <w:jc w:val="center"/>
        <w:rPr>
          <w:rFonts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1．本协议书与下列文件一起构成合同文件：</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(l)中标通知书；</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(2)投标函及投标函附录；</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(3)专用合同条款；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(4)通用合同条款；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(5)技术标准和要求；</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 已标价的工程量清单；</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(7)图纸；</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(8)其他合同文件。</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2．上述文件互相补充和解释，如有不明确或不一致之处，以合同约定次序在先者为准。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3．签约合同价：人民币(大写)                元(￥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4．承包人项目经理(建造师)：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5．工程质量符合                     标准。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6．承包人承诺按合同约定承担工程的实施、完成及缺陷修复。</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7．发包人承诺按合同约定的条件、时间和方式向承包人支付合同价款。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8．承包人应按照监理人指示开工，工期为      日历天。</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9．本协议书一式     份，合同双方各执      份。</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10.双方签字盖章后生效。</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11．合同未尽事宜，双方另行签订补充协议。补充协议是合同的组成部分。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发包人：             (单位盖章)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法定代表人或其委托代理人：     (签字)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承包人：             (单位盖章)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法定代表人或其委托代理人：     (签字)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二、第一次报价一览表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6"/>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9"/>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8"/>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pStyle w:val="2"/>
        <w:ind w:firstLine="340"/>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3570" w:firstLineChars="1700"/>
        <w:rPr>
          <w:rFonts w:ascii="宋体" w:hAnsi="宋体"/>
          <w:b/>
          <w:bCs/>
          <w:color w:val="000000"/>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cs="黑体" w:asciiTheme="minorEastAsia" w:hAnsiTheme="minorEastAsia"/>
          <w:b/>
          <w:bCs/>
          <w:sz w:val="44"/>
          <w:szCs w:val="44"/>
          <w:lang w:val="zh-CN"/>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仿宋" w:hAnsi="仿宋" w:eastAsia="仿宋" w:cs="仿宋"/>
          <w:sz w:val="24"/>
          <w:szCs w:val="24"/>
        </w:rPr>
        <w:t xml:space="preserve">    </w:t>
      </w:r>
      <w:r>
        <w:rPr>
          <w:rFonts w:hint="eastAsia" w:ascii="宋体" w:hAnsi="宋体"/>
          <w:b/>
          <w:bCs/>
          <w:color w:val="000000"/>
          <w:sz w:val="24"/>
          <w:szCs w:val="24"/>
        </w:rPr>
        <w:t>4.1分项报价表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675"/>
        <w:gridCol w:w="1160"/>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规格型号</w:t>
            </w:r>
          </w:p>
        </w:tc>
        <w:tc>
          <w:tcPr>
            <w:tcW w:w="11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pPr>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0000000000000000000"/>
    <w:charset w:val="00"/>
    <w:family w:val="decorative"/>
    <w:pitch w:val="default"/>
    <w:sig w:usb0="00000000" w:usb1="00000000" w:usb2="00000000" w:usb3="00000000" w:csb0="00000001" w:csb1="00000000"/>
  </w:font>
  <w:font w:name="仿宋_GB2312">
    <w:altName w:val="仿宋"/>
    <w:panose1 w:val="02010609030101010101"/>
    <w:charset w:val="86"/>
    <w:family w:val="roman"/>
    <w:pitch w:val="default"/>
    <w:sig w:usb0="00000000" w:usb1="00000000" w:usb2="00000000" w:usb3="00000000" w:csb0="0004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7">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00000013"/>
    <w:multiLevelType w:val="singleLevel"/>
    <w:tmpl w:val="00000013"/>
    <w:lvl w:ilvl="0" w:tentative="0">
      <w:start w:val="17"/>
      <w:numFmt w:val="decimal"/>
      <w:suff w:val="nothing"/>
      <w:lvlText w:val="%1、"/>
      <w:lvlJc w:val="left"/>
    </w:lvl>
  </w:abstractNum>
  <w:abstractNum w:abstractNumId="9">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5EFCDC2"/>
    <w:multiLevelType w:val="singleLevel"/>
    <w:tmpl w:val="05EFCDC2"/>
    <w:lvl w:ilvl="0" w:tentative="0">
      <w:start w:val="6"/>
      <w:numFmt w:val="chineseCounting"/>
      <w:suff w:val="nothing"/>
      <w:lvlText w:val="%1、"/>
      <w:lvlJc w:val="left"/>
      <w:rPr>
        <w:rFonts w:hint="eastAsia"/>
      </w:rPr>
    </w:lvl>
  </w:abstractNum>
  <w:abstractNum w:abstractNumId="11">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9F817E8"/>
    <w:multiLevelType w:val="singleLevel"/>
    <w:tmpl w:val="59F817E8"/>
    <w:lvl w:ilvl="0" w:tentative="0">
      <w:start w:val="1"/>
      <w:numFmt w:val="chineseCounting"/>
      <w:pStyle w:val="54"/>
      <w:suff w:val="nothing"/>
      <w:lvlText w:val="%1、"/>
      <w:lvlJc w:val="left"/>
    </w:lvl>
  </w:abstractNum>
  <w:abstractNum w:abstractNumId="2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9"/>
  </w:num>
  <w:num w:numId="3">
    <w:abstractNumId w:val="21"/>
  </w:num>
  <w:num w:numId="4">
    <w:abstractNumId w:val="1"/>
  </w:num>
  <w:num w:numId="5">
    <w:abstractNumId w:val="18"/>
  </w:num>
  <w:num w:numId="6">
    <w:abstractNumId w:val="22"/>
  </w:num>
  <w:num w:numId="7">
    <w:abstractNumId w:val="16"/>
  </w:num>
  <w:num w:numId="8">
    <w:abstractNumId w:val="11"/>
  </w:num>
  <w:num w:numId="9">
    <w:abstractNumId w:val="17"/>
  </w:num>
  <w:num w:numId="10">
    <w:abstractNumId w:val="19"/>
  </w:num>
  <w:num w:numId="11">
    <w:abstractNumId w:val="25"/>
  </w:num>
  <w:num w:numId="12">
    <w:abstractNumId w:val="15"/>
  </w:num>
  <w:num w:numId="13">
    <w:abstractNumId w:val="12"/>
  </w:num>
  <w:num w:numId="14">
    <w:abstractNumId w:val="23"/>
  </w:num>
  <w:num w:numId="15">
    <w:abstractNumId w:val="10"/>
  </w:num>
  <w:num w:numId="16">
    <w:abstractNumId w:val="20"/>
  </w:num>
  <w:num w:numId="17">
    <w:abstractNumId w:val="14"/>
  </w:num>
  <w:num w:numId="18">
    <w:abstractNumId w:val="24"/>
  </w:num>
  <w:num w:numId="19">
    <w:abstractNumId w:val="26"/>
  </w:num>
  <w:num w:numId="20">
    <w:abstractNumId w:val="0"/>
  </w:num>
  <w:num w:numId="21">
    <w:abstractNumId w:val="4"/>
  </w:num>
  <w:num w:numId="22">
    <w:abstractNumId w:val="8"/>
  </w:num>
  <w:num w:numId="23">
    <w:abstractNumId w:val="5"/>
  </w:num>
  <w:num w:numId="24">
    <w:abstractNumId w:val="7"/>
  </w:num>
  <w:num w:numId="25">
    <w:abstractNumId w:val="3"/>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755"/>
    <w:rsid w:val="00025E45"/>
    <w:rsid w:val="0003056A"/>
    <w:rsid w:val="000311FB"/>
    <w:rsid w:val="00032540"/>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63E2"/>
    <w:rsid w:val="00077FF3"/>
    <w:rsid w:val="0008053A"/>
    <w:rsid w:val="00081B52"/>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2096"/>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29C2"/>
    <w:rsid w:val="00183CA5"/>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05BE"/>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5231"/>
    <w:rsid w:val="002907E6"/>
    <w:rsid w:val="002949B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1B4D"/>
    <w:rsid w:val="00322774"/>
    <w:rsid w:val="00332254"/>
    <w:rsid w:val="00333113"/>
    <w:rsid w:val="00333AAE"/>
    <w:rsid w:val="00334874"/>
    <w:rsid w:val="00335C32"/>
    <w:rsid w:val="00336815"/>
    <w:rsid w:val="00337D9B"/>
    <w:rsid w:val="00341BE1"/>
    <w:rsid w:val="00343D66"/>
    <w:rsid w:val="00344EE8"/>
    <w:rsid w:val="00345108"/>
    <w:rsid w:val="00345B36"/>
    <w:rsid w:val="00345E09"/>
    <w:rsid w:val="00347BAF"/>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6AE0"/>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1613"/>
    <w:rsid w:val="00472D4C"/>
    <w:rsid w:val="004738B8"/>
    <w:rsid w:val="00474B4E"/>
    <w:rsid w:val="00475975"/>
    <w:rsid w:val="00475BC1"/>
    <w:rsid w:val="00477E2A"/>
    <w:rsid w:val="00480551"/>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7BB"/>
    <w:rsid w:val="005119C1"/>
    <w:rsid w:val="00512E1D"/>
    <w:rsid w:val="00513627"/>
    <w:rsid w:val="00515E0C"/>
    <w:rsid w:val="00520172"/>
    <w:rsid w:val="00523927"/>
    <w:rsid w:val="00523928"/>
    <w:rsid w:val="00525B29"/>
    <w:rsid w:val="00526033"/>
    <w:rsid w:val="00526360"/>
    <w:rsid w:val="00526575"/>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1F8A"/>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4CC8"/>
    <w:rsid w:val="0061788D"/>
    <w:rsid w:val="006211BD"/>
    <w:rsid w:val="00621788"/>
    <w:rsid w:val="00622134"/>
    <w:rsid w:val="00622FF6"/>
    <w:rsid w:val="00626DBC"/>
    <w:rsid w:val="00632759"/>
    <w:rsid w:val="00633894"/>
    <w:rsid w:val="006341CB"/>
    <w:rsid w:val="00634E5F"/>
    <w:rsid w:val="00636AAD"/>
    <w:rsid w:val="006378BB"/>
    <w:rsid w:val="00637BD3"/>
    <w:rsid w:val="00644E97"/>
    <w:rsid w:val="0064698E"/>
    <w:rsid w:val="00651415"/>
    <w:rsid w:val="006518A6"/>
    <w:rsid w:val="00653408"/>
    <w:rsid w:val="00664B3B"/>
    <w:rsid w:val="006674B6"/>
    <w:rsid w:val="0066760C"/>
    <w:rsid w:val="00670DA1"/>
    <w:rsid w:val="00671218"/>
    <w:rsid w:val="00672CEE"/>
    <w:rsid w:val="0067402F"/>
    <w:rsid w:val="006744B2"/>
    <w:rsid w:val="006775C1"/>
    <w:rsid w:val="006775DE"/>
    <w:rsid w:val="00680403"/>
    <w:rsid w:val="006811AB"/>
    <w:rsid w:val="00681601"/>
    <w:rsid w:val="006822AF"/>
    <w:rsid w:val="0068441A"/>
    <w:rsid w:val="00685CAE"/>
    <w:rsid w:val="00686693"/>
    <w:rsid w:val="00687238"/>
    <w:rsid w:val="0069117B"/>
    <w:rsid w:val="006951C7"/>
    <w:rsid w:val="006956D7"/>
    <w:rsid w:val="00697309"/>
    <w:rsid w:val="006A13FE"/>
    <w:rsid w:val="006A5FAE"/>
    <w:rsid w:val="006B04B2"/>
    <w:rsid w:val="006B0B41"/>
    <w:rsid w:val="006B0DF4"/>
    <w:rsid w:val="006B3B14"/>
    <w:rsid w:val="006B4425"/>
    <w:rsid w:val="006B6FCC"/>
    <w:rsid w:val="006C0258"/>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44E1E"/>
    <w:rsid w:val="00751A03"/>
    <w:rsid w:val="0075246E"/>
    <w:rsid w:val="007530A0"/>
    <w:rsid w:val="00754526"/>
    <w:rsid w:val="0075555D"/>
    <w:rsid w:val="00755EAC"/>
    <w:rsid w:val="00760351"/>
    <w:rsid w:val="00761164"/>
    <w:rsid w:val="0076284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1836"/>
    <w:rsid w:val="007A7C77"/>
    <w:rsid w:val="007B1443"/>
    <w:rsid w:val="007B167E"/>
    <w:rsid w:val="007B3355"/>
    <w:rsid w:val="007C0F76"/>
    <w:rsid w:val="007C23FB"/>
    <w:rsid w:val="007C2A45"/>
    <w:rsid w:val="007C325A"/>
    <w:rsid w:val="007C3465"/>
    <w:rsid w:val="007C4218"/>
    <w:rsid w:val="007C6809"/>
    <w:rsid w:val="007C7CA1"/>
    <w:rsid w:val="007D14C6"/>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0777"/>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37F36"/>
    <w:rsid w:val="00847A1F"/>
    <w:rsid w:val="0085091C"/>
    <w:rsid w:val="008528A2"/>
    <w:rsid w:val="00856E26"/>
    <w:rsid w:val="00857412"/>
    <w:rsid w:val="008629A1"/>
    <w:rsid w:val="008638C4"/>
    <w:rsid w:val="00865204"/>
    <w:rsid w:val="00870DCD"/>
    <w:rsid w:val="00875099"/>
    <w:rsid w:val="008824BB"/>
    <w:rsid w:val="0088488A"/>
    <w:rsid w:val="008868B3"/>
    <w:rsid w:val="008913A0"/>
    <w:rsid w:val="00891F6D"/>
    <w:rsid w:val="00893816"/>
    <w:rsid w:val="00894121"/>
    <w:rsid w:val="0089532C"/>
    <w:rsid w:val="00895CD2"/>
    <w:rsid w:val="00896627"/>
    <w:rsid w:val="008A1317"/>
    <w:rsid w:val="008A3274"/>
    <w:rsid w:val="008A4195"/>
    <w:rsid w:val="008A532F"/>
    <w:rsid w:val="008A735D"/>
    <w:rsid w:val="008B1EBC"/>
    <w:rsid w:val="008B3760"/>
    <w:rsid w:val="008B3BF1"/>
    <w:rsid w:val="008B46D9"/>
    <w:rsid w:val="008B4CCA"/>
    <w:rsid w:val="008B5CFA"/>
    <w:rsid w:val="008B62B1"/>
    <w:rsid w:val="008B6376"/>
    <w:rsid w:val="008B72C1"/>
    <w:rsid w:val="008C0905"/>
    <w:rsid w:val="008C380D"/>
    <w:rsid w:val="008C427B"/>
    <w:rsid w:val="008D0138"/>
    <w:rsid w:val="008D0251"/>
    <w:rsid w:val="008D25AE"/>
    <w:rsid w:val="008D37EF"/>
    <w:rsid w:val="008D4DB3"/>
    <w:rsid w:val="008E2454"/>
    <w:rsid w:val="008E2EA4"/>
    <w:rsid w:val="008E7034"/>
    <w:rsid w:val="008F2CA7"/>
    <w:rsid w:val="00902012"/>
    <w:rsid w:val="009024C2"/>
    <w:rsid w:val="00903C60"/>
    <w:rsid w:val="00910FBF"/>
    <w:rsid w:val="00912E30"/>
    <w:rsid w:val="009130EC"/>
    <w:rsid w:val="00913638"/>
    <w:rsid w:val="00920741"/>
    <w:rsid w:val="00924304"/>
    <w:rsid w:val="009270F3"/>
    <w:rsid w:val="00927464"/>
    <w:rsid w:val="00932A01"/>
    <w:rsid w:val="00932BA0"/>
    <w:rsid w:val="009332CB"/>
    <w:rsid w:val="0093402B"/>
    <w:rsid w:val="00937AB5"/>
    <w:rsid w:val="009407DF"/>
    <w:rsid w:val="00943698"/>
    <w:rsid w:val="00944C89"/>
    <w:rsid w:val="0094603F"/>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290"/>
    <w:rsid w:val="009E1FE4"/>
    <w:rsid w:val="009E2AB7"/>
    <w:rsid w:val="009E34DF"/>
    <w:rsid w:val="009E483D"/>
    <w:rsid w:val="009E4AE9"/>
    <w:rsid w:val="009E6006"/>
    <w:rsid w:val="009E6D58"/>
    <w:rsid w:val="009E76FA"/>
    <w:rsid w:val="009F00B7"/>
    <w:rsid w:val="009F55F0"/>
    <w:rsid w:val="009F6831"/>
    <w:rsid w:val="00A00CC2"/>
    <w:rsid w:val="00A0270D"/>
    <w:rsid w:val="00A03155"/>
    <w:rsid w:val="00A0463D"/>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0D3F"/>
    <w:rsid w:val="00B61575"/>
    <w:rsid w:val="00B64C7A"/>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31B0"/>
    <w:rsid w:val="00BC3FC1"/>
    <w:rsid w:val="00BC45E1"/>
    <w:rsid w:val="00BD0FE7"/>
    <w:rsid w:val="00BD2068"/>
    <w:rsid w:val="00BD2BC9"/>
    <w:rsid w:val="00BD316A"/>
    <w:rsid w:val="00BD3AFF"/>
    <w:rsid w:val="00BE2307"/>
    <w:rsid w:val="00BE5347"/>
    <w:rsid w:val="00BF1DA5"/>
    <w:rsid w:val="00BF21E1"/>
    <w:rsid w:val="00BF7823"/>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5E76"/>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A8"/>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6E0"/>
    <w:rsid w:val="00CF0786"/>
    <w:rsid w:val="00CF0ADC"/>
    <w:rsid w:val="00CF4F24"/>
    <w:rsid w:val="00CF7B44"/>
    <w:rsid w:val="00D00A03"/>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5717B"/>
    <w:rsid w:val="00D60902"/>
    <w:rsid w:val="00D60BC1"/>
    <w:rsid w:val="00D6372E"/>
    <w:rsid w:val="00D65616"/>
    <w:rsid w:val="00D67B74"/>
    <w:rsid w:val="00D70CA0"/>
    <w:rsid w:val="00D717AC"/>
    <w:rsid w:val="00D745F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0F5"/>
    <w:rsid w:val="00E00A80"/>
    <w:rsid w:val="00E033A9"/>
    <w:rsid w:val="00E05333"/>
    <w:rsid w:val="00E07350"/>
    <w:rsid w:val="00E139B5"/>
    <w:rsid w:val="00E155B5"/>
    <w:rsid w:val="00E16A95"/>
    <w:rsid w:val="00E203D7"/>
    <w:rsid w:val="00E2286C"/>
    <w:rsid w:val="00E23924"/>
    <w:rsid w:val="00E2434C"/>
    <w:rsid w:val="00E24944"/>
    <w:rsid w:val="00E24E41"/>
    <w:rsid w:val="00E2572A"/>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6E8A"/>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0CC5"/>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57887"/>
    <w:rsid w:val="00F602EB"/>
    <w:rsid w:val="00F61CEE"/>
    <w:rsid w:val="00F62BD1"/>
    <w:rsid w:val="00F636B5"/>
    <w:rsid w:val="00F6392B"/>
    <w:rsid w:val="00F6477D"/>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6C87"/>
    <w:rsid w:val="01087EB9"/>
    <w:rsid w:val="01873E33"/>
    <w:rsid w:val="01C861C5"/>
    <w:rsid w:val="02042EF4"/>
    <w:rsid w:val="02314E41"/>
    <w:rsid w:val="028E485D"/>
    <w:rsid w:val="02BB5D2E"/>
    <w:rsid w:val="032C493C"/>
    <w:rsid w:val="03B6440A"/>
    <w:rsid w:val="04A6236A"/>
    <w:rsid w:val="053F5432"/>
    <w:rsid w:val="064E7C45"/>
    <w:rsid w:val="06F049E2"/>
    <w:rsid w:val="07BF5E31"/>
    <w:rsid w:val="07F96DEB"/>
    <w:rsid w:val="08D81C3A"/>
    <w:rsid w:val="08ED0258"/>
    <w:rsid w:val="08EF08AA"/>
    <w:rsid w:val="09097ED2"/>
    <w:rsid w:val="09611AE5"/>
    <w:rsid w:val="09B61E03"/>
    <w:rsid w:val="09E74862"/>
    <w:rsid w:val="0A1E34A8"/>
    <w:rsid w:val="0A335D9D"/>
    <w:rsid w:val="0A4B727F"/>
    <w:rsid w:val="0A962F1E"/>
    <w:rsid w:val="0AD81D4C"/>
    <w:rsid w:val="0AED524D"/>
    <w:rsid w:val="0B042130"/>
    <w:rsid w:val="0B391354"/>
    <w:rsid w:val="0B502FD2"/>
    <w:rsid w:val="0BCA6449"/>
    <w:rsid w:val="0C8637F8"/>
    <w:rsid w:val="0CAE7D79"/>
    <w:rsid w:val="0CE7384B"/>
    <w:rsid w:val="0DAC0795"/>
    <w:rsid w:val="0E1D453B"/>
    <w:rsid w:val="0E211F8B"/>
    <w:rsid w:val="0E335042"/>
    <w:rsid w:val="0E7F2542"/>
    <w:rsid w:val="0EA30502"/>
    <w:rsid w:val="0ED93001"/>
    <w:rsid w:val="0F492F98"/>
    <w:rsid w:val="10060191"/>
    <w:rsid w:val="100B4F00"/>
    <w:rsid w:val="10C20E4B"/>
    <w:rsid w:val="110E6C6E"/>
    <w:rsid w:val="115665C0"/>
    <w:rsid w:val="115D39B8"/>
    <w:rsid w:val="11A50019"/>
    <w:rsid w:val="122C725F"/>
    <w:rsid w:val="123F74DC"/>
    <w:rsid w:val="128E3D8E"/>
    <w:rsid w:val="12E50F51"/>
    <w:rsid w:val="13BF63D1"/>
    <w:rsid w:val="13FD3B91"/>
    <w:rsid w:val="14214638"/>
    <w:rsid w:val="143F6CA5"/>
    <w:rsid w:val="149819C8"/>
    <w:rsid w:val="14D058A3"/>
    <w:rsid w:val="15444E7F"/>
    <w:rsid w:val="15E8716E"/>
    <w:rsid w:val="15EE44D7"/>
    <w:rsid w:val="15F146D6"/>
    <w:rsid w:val="16B051B6"/>
    <w:rsid w:val="175E24E1"/>
    <w:rsid w:val="17B078B6"/>
    <w:rsid w:val="18C216D0"/>
    <w:rsid w:val="18F61CE6"/>
    <w:rsid w:val="195E6397"/>
    <w:rsid w:val="197B011F"/>
    <w:rsid w:val="198F1D07"/>
    <w:rsid w:val="19DB09FD"/>
    <w:rsid w:val="1A50262B"/>
    <w:rsid w:val="1A6D388D"/>
    <w:rsid w:val="1A907281"/>
    <w:rsid w:val="1B1C3903"/>
    <w:rsid w:val="1B70335D"/>
    <w:rsid w:val="1B933962"/>
    <w:rsid w:val="1BC27E34"/>
    <w:rsid w:val="1C317F37"/>
    <w:rsid w:val="1C3312D7"/>
    <w:rsid w:val="1C527EEE"/>
    <w:rsid w:val="1CB36692"/>
    <w:rsid w:val="1D8C4188"/>
    <w:rsid w:val="1D90357B"/>
    <w:rsid w:val="1EAC0576"/>
    <w:rsid w:val="1F457DEB"/>
    <w:rsid w:val="1F4F76D7"/>
    <w:rsid w:val="1F5E25BF"/>
    <w:rsid w:val="204C3CC9"/>
    <w:rsid w:val="20ED0E50"/>
    <w:rsid w:val="20FF154F"/>
    <w:rsid w:val="21DF17AC"/>
    <w:rsid w:val="22B643D4"/>
    <w:rsid w:val="2301785C"/>
    <w:rsid w:val="23177121"/>
    <w:rsid w:val="24326801"/>
    <w:rsid w:val="245106F3"/>
    <w:rsid w:val="2461458C"/>
    <w:rsid w:val="24655634"/>
    <w:rsid w:val="24AD6D38"/>
    <w:rsid w:val="24B32A61"/>
    <w:rsid w:val="24D83346"/>
    <w:rsid w:val="25720679"/>
    <w:rsid w:val="25DF5154"/>
    <w:rsid w:val="265B42DF"/>
    <w:rsid w:val="27553E85"/>
    <w:rsid w:val="27A229B2"/>
    <w:rsid w:val="27B5253B"/>
    <w:rsid w:val="283E3CD3"/>
    <w:rsid w:val="288C6375"/>
    <w:rsid w:val="29D14A0E"/>
    <w:rsid w:val="2A4D4EEC"/>
    <w:rsid w:val="2B3F5F01"/>
    <w:rsid w:val="2C0B7CF9"/>
    <w:rsid w:val="2C2E4C48"/>
    <w:rsid w:val="2C377758"/>
    <w:rsid w:val="2D5F028F"/>
    <w:rsid w:val="2DD707ED"/>
    <w:rsid w:val="2E5D642A"/>
    <w:rsid w:val="2EC5794C"/>
    <w:rsid w:val="2F124B1C"/>
    <w:rsid w:val="2F45482D"/>
    <w:rsid w:val="2F477084"/>
    <w:rsid w:val="2F5E419A"/>
    <w:rsid w:val="2FF24A9E"/>
    <w:rsid w:val="305F0D15"/>
    <w:rsid w:val="307D673F"/>
    <w:rsid w:val="30C848E7"/>
    <w:rsid w:val="31324247"/>
    <w:rsid w:val="31C1427F"/>
    <w:rsid w:val="320D3218"/>
    <w:rsid w:val="32985053"/>
    <w:rsid w:val="32B20743"/>
    <w:rsid w:val="32E31462"/>
    <w:rsid w:val="32E81473"/>
    <w:rsid w:val="33817B10"/>
    <w:rsid w:val="33D56F13"/>
    <w:rsid w:val="34280373"/>
    <w:rsid w:val="3439458D"/>
    <w:rsid w:val="345D5D57"/>
    <w:rsid w:val="346E5D8F"/>
    <w:rsid w:val="350A079B"/>
    <w:rsid w:val="35306958"/>
    <w:rsid w:val="35316934"/>
    <w:rsid w:val="356A4DAC"/>
    <w:rsid w:val="35C15576"/>
    <w:rsid w:val="35C46C85"/>
    <w:rsid w:val="364B0EC2"/>
    <w:rsid w:val="36D45DBC"/>
    <w:rsid w:val="37571F09"/>
    <w:rsid w:val="38014F46"/>
    <w:rsid w:val="38E97278"/>
    <w:rsid w:val="38FC4233"/>
    <w:rsid w:val="39073CCD"/>
    <w:rsid w:val="391317D1"/>
    <w:rsid w:val="391E6950"/>
    <w:rsid w:val="3A1A525E"/>
    <w:rsid w:val="3B380893"/>
    <w:rsid w:val="3C175755"/>
    <w:rsid w:val="3C725167"/>
    <w:rsid w:val="3C9839FA"/>
    <w:rsid w:val="3CA6239E"/>
    <w:rsid w:val="3CB04E80"/>
    <w:rsid w:val="3CC67CD4"/>
    <w:rsid w:val="3D96637E"/>
    <w:rsid w:val="3DC372EE"/>
    <w:rsid w:val="3DEC2498"/>
    <w:rsid w:val="3E4F494F"/>
    <w:rsid w:val="3ED82F46"/>
    <w:rsid w:val="3FAD3FCA"/>
    <w:rsid w:val="40BE3049"/>
    <w:rsid w:val="422721F4"/>
    <w:rsid w:val="42547D8B"/>
    <w:rsid w:val="42F23437"/>
    <w:rsid w:val="43663E29"/>
    <w:rsid w:val="44052193"/>
    <w:rsid w:val="444769AF"/>
    <w:rsid w:val="44EA4606"/>
    <w:rsid w:val="458C667A"/>
    <w:rsid w:val="46366161"/>
    <w:rsid w:val="463E6D9A"/>
    <w:rsid w:val="46465AAA"/>
    <w:rsid w:val="467D2F1A"/>
    <w:rsid w:val="46CE1703"/>
    <w:rsid w:val="46E35449"/>
    <w:rsid w:val="46E8208A"/>
    <w:rsid w:val="473960E8"/>
    <w:rsid w:val="477B7C75"/>
    <w:rsid w:val="47A07BC1"/>
    <w:rsid w:val="47A4555A"/>
    <w:rsid w:val="47AF74CC"/>
    <w:rsid w:val="48080763"/>
    <w:rsid w:val="48264474"/>
    <w:rsid w:val="485128BA"/>
    <w:rsid w:val="48737219"/>
    <w:rsid w:val="48C0687E"/>
    <w:rsid w:val="48EE371C"/>
    <w:rsid w:val="49574371"/>
    <w:rsid w:val="49CF3E0F"/>
    <w:rsid w:val="49E32D62"/>
    <w:rsid w:val="4A222BB1"/>
    <w:rsid w:val="4CE713A1"/>
    <w:rsid w:val="4D005CCE"/>
    <w:rsid w:val="4D550000"/>
    <w:rsid w:val="4DE45808"/>
    <w:rsid w:val="4E9448CD"/>
    <w:rsid w:val="4F374C6E"/>
    <w:rsid w:val="4FF65309"/>
    <w:rsid w:val="50560813"/>
    <w:rsid w:val="505F0174"/>
    <w:rsid w:val="50A050A3"/>
    <w:rsid w:val="51352836"/>
    <w:rsid w:val="51A13899"/>
    <w:rsid w:val="520C2784"/>
    <w:rsid w:val="52581E68"/>
    <w:rsid w:val="528771C6"/>
    <w:rsid w:val="531600B4"/>
    <w:rsid w:val="535A1FCB"/>
    <w:rsid w:val="536561B2"/>
    <w:rsid w:val="53FA012A"/>
    <w:rsid w:val="54150FD2"/>
    <w:rsid w:val="544C0545"/>
    <w:rsid w:val="55684A64"/>
    <w:rsid w:val="557F3457"/>
    <w:rsid w:val="55BA027F"/>
    <w:rsid w:val="55C93BF0"/>
    <w:rsid w:val="56626902"/>
    <w:rsid w:val="56700294"/>
    <w:rsid w:val="57D2139A"/>
    <w:rsid w:val="57DF4B76"/>
    <w:rsid w:val="585C571D"/>
    <w:rsid w:val="586B1477"/>
    <w:rsid w:val="589C02B5"/>
    <w:rsid w:val="58A31F4C"/>
    <w:rsid w:val="59484EC2"/>
    <w:rsid w:val="5A85418B"/>
    <w:rsid w:val="5AA342BB"/>
    <w:rsid w:val="5BAE2A99"/>
    <w:rsid w:val="5BC20F3E"/>
    <w:rsid w:val="5C1717D9"/>
    <w:rsid w:val="5C1A7007"/>
    <w:rsid w:val="5C1E368A"/>
    <w:rsid w:val="5C20031E"/>
    <w:rsid w:val="5CB139A0"/>
    <w:rsid w:val="5CD938B8"/>
    <w:rsid w:val="5D280ACB"/>
    <w:rsid w:val="5D823D4C"/>
    <w:rsid w:val="5DA504AA"/>
    <w:rsid w:val="5DD54801"/>
    <w:rsid w:val="5E8E5AC1"/>
    <w:rsid w:val="5E921C4D"/>
    <w:rsid w:val="5EE83EB0"/>
    <w:rsid w:val="5EFB17CA"/>
    <w:rsid w:val="5F4A434F"/>
    <w:rsid w:val="6001186C"/>
    <w:rsid w:val="606E3CED"/>
    <w:rsid w:val="60D16749"/>
    <w:rsid w:val="60DB3FC7"/>
    <w:rsid w:val="614E3A65"/>
    <w:rsid w:val="617D2E49"/>
    <w:rsid w:val="61994186"/>
    <w:rsid w:val="61BC4DC2"/>
    <w:rsid w:val="62F6410D"/>
    <w:rsid w:val="634675E2"/>
    <w:rsid w:val="63520B99"/>
    <w:rsid w:val="638962A8"/>
    <w:rsid w:val="63BF3CCD"/>
    <w:rsid w:val="63F4509F"/>
    <w:rsid w:val="6486046D"/>
    <w:rsid w:val="64BF36B4"/>
    <w:rsid w:val="64C76A4D"/>
    <w:rsid w:val="64FE6613"/>
    <w:rsid w:val="651654D0"/>
    <w:rsid w:val="662A75DE"/>
    <w:rsid w:val="66980FBD"/>
    <w:rsid w:val="67341FB4"/>
    <w:rsid w:val="67F03A67"/>
    <w:rsid w:val="68D23C1D"/>
    <w:rsid w:val="69294622"/>
    <w:rsid w:val="69995CD6"/>
    <w:rsid w:val="69CA0494"/>
    <w:rsid w:val="69FB4D8B"/>
    <w:rsid w:val="6C2234CC"/>
    <w:rsid w:val="6D32159C"/>
    <w:rsid w:val="6D351CF7"/>
    <w:rsid w:val="6E412611"/>
    <w:rsid w:val="6E9976D7"/>
    <w:rsid w:val="6EB746A7"/>
    <w:rsid w:val="6EF32B6E"/>
    <w:rsid w:val="6F13150B"/>
    <w:rsid w:val="6F34277B"/>
    <w:rsid w:val="6F6B3219"/>
    <w:rsid w:val="6F832092"/>
    <w:rsid w:val="6FE8143A"/>
    <w:rsid w:val="7039129F"/>
    <w:rsid w:val="704D75D1"/>
    <w:rsid w:val="70506DB5"/>
    <w:rsid w:val="7072440C"/>
    <w:rsid w:val="7092622D"/>
    <w:rsid w:val="71212C19"/>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7727982"/>
    <w:rsid w:val="77A80A16"/>
    <w:rsid w:val="78143BC7"/>
    <w:rsid w:val="787D7581"/>
    <w:rsid w:val="78AF68A0"/>
    <w:rsid w:val="78C37659"/>
    <w:rsid w:val="790B56C3"/>
    <w:rsid w:val="7B0155BF"/>
    <w:rsid w:val="7BC16393"/>
    <w:rsid w:val="7C1D0C87"/>
    <w:rsid w:val="7D0543E8"/>
    <w:rsid w:val="7D191B50"/>
    <w:rsid w:val="7D426DE3"/>
    <w:rsid w:val="7D7A79B6"/>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40"/>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4"/>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3"/>
    <w:qFormat/>
    <w:uiPriority w:val="0"/>
    <w:rPr>
      <w:rFonts w:ascii="Times New Roman" w:hAnsi="Times New Roman" w:eastAsia="宋体" w:cs="Times New Roman"/>
      <w:color w:val="FF0000"/>
      <w:sz w:val="24"/>
      <w:szCs w:val="24"/>
    </w:rPr>
  </w:style>
  <w:style w:type="paragraph" w:styleId="11">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Balloon Text"/>
    <w:basedOn w:val="1"/>
    <w:link w:val="57"/>
    <w:semiHidden/>
    <w:unhideWhenUsed/>
    <w:qFormat/>
    <w:uiPriority w:val="99"/>
    <w:rPr>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4"/>
    <w:qFormat/>
    <w:uiPriority w:val="0"/>
    <w:rPr>
      <w:rFonts w:ascii="Calibri" w:hAnsi="Calibri" w:eastAsia="宋体" w:cs="Times New Roman"/>
      <w:b/>
      <w:bCs/>
      <w:kern w:val="44"/>
      <w:sz w:val="44"/>
      <w:szCs w:val="44"/>
    </w:rPr>
  </w:style>
  <w:style w:type="character" w:customStyle="1" w:styleId="30">
    <w:name w:val="标题 2 Char"/>
    <w:basedOn w:val="24"/>
    <w:link w:val="5"/>
    <w:qFormat/>
    <w:uiPriority w:val="0"/>
    <w:rPr>
      <w:rFonts w:ascii="Arial" w:hAnsi="Arial" w:eastAsia="黑体" w:cs="Times New Roman"/>
      <w:b/>
      <w:bCs/>
      <w:sz w:val="32"/>
      <w:szCs w:val="32"/>
    </w:rPr>
  </w:style>
  <w:style w:type="character" w:customStyle="1" w:styleId="31">
    <w:name w:val="标题 3 Char"/>
    <w:basedOn w:val="24"/>
    <w:link w:val="6"/>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7"/>
    <w:qFormat/>
    <w:uiPriority w:val="0"/>
    <w:rPr>
      <w:rFonts w:ascii="Arial" w:hAnsi="Arial" w:eastAsia="黑体" w:cs="Times New Roman"/>
      <w:b/>
      <w:bCs/>
      <w:sz w:val="28"/>
      <w:szCs w:val="28"/>
    </w:rPr>
  </w:style>
  <w:style w:type="character" w:customStyle="1" w:styleId="33">
    <w:name w:val="正文文本 3 Char"/>
    <w:basedOn w:val="24"/>
    <w:link w:val="10"/>
    <w:qFormat/>
    <w:uiPriority w:val="0"/>
    <w:rPr>
      <w:rFonts w:ascii="Times New Roman" w:hAnsi="Times New Roman" w:eastAsia="宋体" w:cs="Times New Roman"/>
      <w:color w:val="FF0000"/>
      <w:sz w:val="24"/>
      <w:szCs w:val="24"/>
    </w:rPr>
  </w:style>
  <w:style w:type="character" w:customStyle="1" w:styleId="34">
    <w:name w:val="正文文本 Char"/>
    <w:basedOn w:val="24"/>
    <w:link w:val="3"/>
    <w:semiHidden/>
    <w:qFormat/>
    <w:uiPriority w:val="99"/>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7"/>
    <w:qFormat/>
    <w:uiPriority w:val="99"/>
    <w:rPr>
      <w:sz w:val="18"/>
      <w:szCs w:val="18"/>
    </w:rPr>
  </w:style>
  <w:style w:type="character" w:customStyle="1" w:styleId="38">
    <w:name w:val="页眉 Char"/>
    <w:basedOn w:val="24"/>
    <w:link w:val="18"/>
    <w:qFormat/>
    <w:uiPriority w:val="99"/>
    <w:rPr>
      <w:sz w:val="18"/>
      <w:szCs w:val="18"/>
    </w:rPr>
  </w:style>
  <w:style w:type="character" w:customStyle="1" w:styleId="39">
    <w:name w:val="HTML 预设格式 Char"/>
    <w:basedOn w:val="24"/>
    <w:link w:val="20"/>
    <w:semiHidden/>
    <w:qFormat/>
    <w:uiPriority w:val="99"/>
    <w:rPr>
      <w:rFonts w:ascii="宋体" w:hAnsi="宋体" w:eastAsia="宋体" w:cs="宋体"/>
      <w:kern w:val="0"/>
      <w:sz w:val="24"/>
      <w:szCs w:val="24"/>
    </w:rPr>
  </w:style>
  <w:style w:type="character" w:customStyle="1" w:styleId="40">
    <w:name w:val="正文首行缩进 Char"/>
    <w:basedOn w:val="34"/>
    <w:link w:val="2"/>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1"/>
    <w:qFormat/>
    <w:uiPriority w:val="0"/>
    <w:rPr>
      <w:sz w:val="24"/>
    </w:rPr>
  </w:style>
  <w:style w:type="character" w:customStyle="1" w:styleId="56">
    <w:name w:val="正文文本缩进 Char1"/>
    <w:basedOn w:val="24"/>
    <w:link w:val="11"/>
    <w:semiHidden/>
    <w:qFormat/>
    <w:uiPriority w:val="99"/>
    <w:rPr>
      <w:kern w:val="2"/>
      <w:sz w:val="21"/>
      <w:szCs w:val="22"/>
    </w:rPr>
  </w:style>
  <w:style w:type="character" w:customStyle="1" w:styleId="57">
    <w:name w:val="批注框文本 Char"/>
    <w:basedOn w:val="24"/>
    <w:link w:val="16"/>
    <w:semiHidden/>
    <w:qFormat/>
    <w:uiPriority w:val="99"/>
    <w:rPr>
      <w:kern w:val="2"/>
      <w:sz w:val="18"/>
      <w:szCs w:val="18"/>
    </w:rPr>
  </w:style>
  <w:style w:type="paragraph" w:customStyle="1" w:styleId="58">
    <w:name w:val="*正文"/>
    <w:basedOn w:val="1"/>
    <w:qFormat/>
    <w:uiPriority w:val="0"/>
    <w:pPr>
      <w:keepNext/>
      <w:keepLines/>
      <w:spacing w:line="360" w:lineRule="auto"/>
      <w:ind w:firstLine="200" w:firstLineChars="200"/>
    </w:pPr>
    <w:rPr>
      <w:rFonts w:ascii="宋体" w:hAnsi="宋体"/>
    </w:rPr>
  </w:style>
  <w:style w:type="character" w:customStyle="1" w:styleId="59">
    <w:name w:val="样式 标书正文 + 下划线 Char"/>
    <w:qFormat/>
    <w:uiPriority w:val="0"/>
    <w:rPr>
      <w:rFonts w:eastAsia="Ari"/>
      <w:kern w:val="2"/>
      <w:sz w:val="28"/>
      <w:szCs w:val="28"/>
      <w:u w:val="single"/>
      <w:lang w:val="en-US" w:eastAsia="zh-CN"/>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1">
    <w:name w:val="纯文本1"/>
    <w:basedOn w:val="1"/>
    <w:qFormat/>
    <w:uiPriority w:val="0"/>
    <w:rPr>
      <w:rFonts w:ascii="宋体" w:hAnsi="Courier New"/>
      <w:kern w:val="0"/>
      <w:sz w:val="20"/>
      <w:szCs w:val="21"/>
    </w:rPr>
  </w:style>
  <w:style w:type="paragraph" w:customStyle="1" w:styleId="62">
    <w:name w:val="p0"/>
    <w:basedOn w:val="1"/>
    <w:qFormat/>
    <w:uiPriority w:val="0"/>
    <w:pPr>
      <w:widowControl/>
    </w:pPr>
    <w:rPr>
      <w:kern w:val="0"/>
    </w:rPr>
  </w:style>
  <w:style w:type="character" w:customStyle="1" w:styleId="63">
    <w:name w:val="font61"/>
    <w:basedOn w:val="24"/>
    <w:qFormat/>
    <w:uiPriority w:val="0"/>
    <w:rPr>
      <w:rFonts w:hint="eastAsia" w:ascii="宋体" w:hAnsi="宋体" w:eastAsia="宋体" w:cs="宋体"/>
      <w:color w:val="000000"/>
      <w:sz w:val="22"/>
      <w:szCs w:val="22"/>
      <w:u w:val="none"/>
    </w:rPr>
  </w:style>
  <w:style w:type="character" w:customStyle="1" w:styleId="64">
    <w:name w:val="font31"/>
    <w:basedOn w:val="24"/>
    <w:qFormat/>
    <w:uiPriority w:val="0"/>
    <w:rPr>
      <w:rFonts w:hint="eastAsia" w:ascii="仿宋_GB2312" w:eastAsia="仿宋_GB2312" w:cs="仿宋_GB2312"/>
      <w:color w:val="000000"/>
      <w:sz w:val="22"/>
      <w:szCs w:val="22"/>
      <w:u w:val="none"/>
    </w:rPr>
  </w:style>
  <w:style w:type="character" w:customStyle="1" w:styleId="65">
    <w:name w:val="font21"/>
    <w:basedOn w:val="24"/>
    <w:qFormat/>
    <w:uiPriority w:val="0"/>
    <w:rPr>
      <w:rFonts w:hint="eastAsia" w:ascii="宋体" w:hAnsi="宋体" w:eastAsia="宋体" w:cs="宋体"/>
      <w:color w:val="000000"/>
      <w:sz w:val="20"/>
      <w:szCs w:val="20"/>
      <w:u w:val="none"/>
    </w:rPr>
  </w:style>
  <w:style w:type="character" w:customStyle="1" w:styleId="66">
    <w:name w:val="font41"/>
    <w:basedOn w:val="24"/>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314A6-C450-4BEC-8F64-A576BA8C331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61</Pages>
  <Words>5394</Words>
  <Characters>30747</Characters>
  <Lines>256</Lines>
  <Paragraphs>72</Paragraphs>
  <TotalTime>56</TotalTime>
  <ScaleCrop>false</ScaleCrop>
  <LinksUpToDate>false</LinksUpToDate>
  <CharactersWithSpaces>36069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禹州市公共资源交易中心:艾明辉</cp:lastModifiedBy>
  <cp:lastPrinted>2018-03-20T03:26:00Z</cp:lastPrinted>
  <dcterms:modified xsi:type="dcterms:W3CDTF">2020-01-16T01:45:41Z</dcterms:modified>
  <cp:revision>621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