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sz w:val="72"/>
          <w:szCs w:val="72"/>
        </w:rPr>
      </w:pPr>
      <w:r>
        <w:rPr>
          <w:rFonts w:hint="eastAsia" w:ascii="宋体" w:hAnsi="宋体" w:cs="宋体"/>
          <w:b/>
          <w:bCs/>
          <w:sz w:val="48"/>
          <w:szCs w:val="48"/>
        </w:rPr>
        <w:t>长葛市董村镇盆刘村一事一议村内街道加宽工程和大墙王村一事一议文化广场硬化及排水工程</w:t>
      </w:r>
    </w:p>
    <w:p>
      <w:pPr>
        <w:adjustRightInd w:val="0"/>
        <w:snapToGrid w:val="0"/>
        <w:spacing w:line="276" w:lineRule="auto"/>
        <w:jc w:val="center"/>
        <w:rPr>
          <w:rFonts w:ascii="宋体" w:hAnsi="宋体"/>
          <w:b/>
          <w:sz w:val="72"/>
          <w:szCs w:val="72"/>
        </w:rPr>
      </w:pPr>
    </w:p>
    <w:p>
      <w:pPr>
        <w:adjustRightInd w:val="0"/>
        <w:snapToGrid w:val="0"/>
        <w:spacing w:line="276" w:lineRule="auto"/>
        <w:jc w:val="center"/>
        <w:rPr>
          <w:rFonts w:ascii="宋体" w:hAnsi="宋体"/>
          <w:b/>
          <w:sz w:val="28"/>
        </w:rPr>
      </w:pPr>
      <w:r>
        <w:rPr>
          <w:rFonts w:hint="eastAsia" w:ascii="宋体" w:hAnsi="宋体"/>
          <w:b/>
          <w:sz w:val="72"/>
          <w:szCs w:val="72"/>
        </w:rPr>
        <w:t>竞争性谈判文件</w:t>
      </w:r>
    </w:p>
    <w:p>
      <w:pPr>
        <w:adjustRightInd w:val="0"/>
        <w:snapToGrid w:val="0"/>
        <w:spacing w:line="276" w:lineRule="auto"/>
        <w:jc w:val="center"/>
        <w:rPr>
          <w:rFonts w:ascii="新宋体" w:hAnsi="新宋体" w:eastAsia="新宋体" w:cs="新宋体"/>
          <w:b/>
          <w:bCs/>
          <w:sz w:val="30"/>
          <w:szCs w:val="30"/>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adjustRightInd w:val="0"/>
        <w:snapToGrid w:val="0"/>
        <w:spacing w:line="360" w:lineRule="auto"/>
        <w:ind w:firstLine="422" w:firstLineChars="15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项目编号：长招采竞字【2019】174号</w:t>
      </w:r>
    </w:p>
    <w:p>
      <w:pPr>
        <w:adjustRightInd w:val="0"/>
        <w:snapToGrid w:val="0"/>
        <w:spacing w:line="360" w:lineRule="auto"/>
        <w:ind w:left="1964" w:leftChars="266" w:hanging="1405" w:hangingChars="5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项目名称：</w:t>
      </w:r>
      <w:r>
        <w:rPr>
          <w:rFonts w:hint="eastAsia"/>
          <w:b/>
          <w:sz w:val="28"/>
        </w:rPr>
        <w:t>长葛市董村镇盆刘村一事一议村内街道加宽工程和大墙王村一事一议文化广场硬化及排水工程</w:t>
      </w:r>
    </w:p>
    <w:p>
      <w:pPr>
        <w:adjustRightInd w:val="0"/>
        <w:snapToGrid w:val="0"/>
        <w:spacing w:line="36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采 购 人：长葛市董村镇人民政府</w:t>
      </w:r>
    </w:p>
    <w:p>
      <w:pPr>
        <w:adjustRightInd w:val="0"/>
        <w:snapToGrid w:val="0"/>
        <w:spacing w:line="36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集中采购机构：长葛市公共资源交易中心</w:t>
      </w:r>
    </w:p>
    <w:p>
      <w:pPr>
        <w:adjustRightInd w:val="0"/>
        <w:snapToGrid w:val="0"/>
        <w:spacing w:line="276" w:lineRule="auto"/>
        <w:ind w:firstLine="3357" w:firstLineChars="1045"/>
        <w:rPr>
          <w:rFonts w:cs="黑体" w:asciiTheme="minorEastAsia" w:hAnsiTheme="minorEastAsia"/>
          <w:b/>
          <w:bCs/>
          <w:sz w:val="44"/>
          <w:szCs w:val="44"/>
          <w:lang w:val="zh-CN"/>
        </w:rPr>
        <w:sectPr>
          <w:footerReference r:id="rId3" w:type="default"/>
          <w:pgSz w:w="11906" w:h="16838"/>
          <w:pgMar w:top="2098" w:right="1474" w:bottom="1928" w:left="1588" w:header="851" w:footer="992" w:gutter="0"/>
          <w:cols w:space="0" w:num="1"/>
          <w:docGrid w:type="lines" w:linePitch="312" w:charSpace="0"/>
        </w:sectPr>
      </w:pPr>
      <w:r>
        <w:rPr>
          <w:rFonts w:hint="eastAsia" w:ascii="新宋体" w:hAnsi="新宋体" w:eastAsia="新宋体" w:cs="新宋体"/>
          <w:b/>
          <w:bCs/>
          <w:sz w:val="32"/>
          <w:szCs w:val="32"/>
        </w:rPr>
        <w:t>二0二0年</w:t>
      </w:r>
      <w:r>
        <w:rPr>
          <w:rFonts w:hint="eastAsia" w:ascii="新宋体" w:hAnsi="新宋体" w:eastAsia="新宋体" w:cs="新宋体"/>
          <w:b/>
          <w:bCs/>
          <w:sz w:val="32"/>
          <w:szCs w:val="32"/>
          <w:lang w:eastAsia="zh-CN"/>
        </w:rPr>
        <w:t>一</w:t>
      </w:r>
      <w:r>
        <w:rPr>
          <w:rFonts w:hint="eastAsia" w:ascii="新宋体" w:hAnsi="新宋体" w:eastAsia="新宋体" w:cs="新宋体"/>
          <w:b/>
          <w:bCs/>
          <w:sz w:val="32"/>
          <w:szCs w:val="32"/>
        </w:rPr>
        <w:t>月</w:t>
      </w: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Lines="50" w:line="320" w:lineRule="exact"/>
        <w:ind w:right="521" w:rightChars="248"/>
        <w:rPr>
          <w:rFonts w:ascii="楷体_GB2312" w:hAnsi="宋体" w:eastAsia="楷体_GB2312" w:cs="Arial"/>
          <w:sz w:val="30"/>
          <w:szCs w:val="30"/>
        </w:rPr>
      </w:pPr>
    </w:p>
    <w:p>
      <w:pPr>
        <w:adjustRightInd w:val="0"/>
        <w:snapToGrid w:val="0"/>
        <w:spacing w:afterLines="50" w:line="480" w:lineRule="exact"/>
        <w:ind w:right="-13" w:rightChars="-6" w:firstLine="720" w:firstLineChars="256"/>
        <w:rPr>
          <w:rFonts w:ascii="宋体" w:hAnsi="宋体" w:cs="宋体"/>
          <w:kern w:val="0"/>
          <w:sz w:val="24"/>
          <w:szCs w:val="24"/>
        </w:rPr>
      </w:pPr>
      <w:r>
        <w:rPr>
          <w:rFonts w:hint="eastAsia" w:ascii="宋体" w:hAnsi="宋体" w:cs="Lucida Sans Unicode"/>
          <w:b/>
          <w:sz w:val="28"/>
          <w:szCs w:val="28"/>
        </w:rPr>
        <w:t>说明:</w:t>
      </w:r>
      <w:r>
        <w:rPr>
          <w:rFonts w:hint="eastAsia" w:ascii="宋体" w:hAnsi="宋体" w:cs="宋体"/>
          <w:kern w:val="0"/>
          <w:sz w:val="24"/>
          <w:szCs w:val="24"/>
        </w:rPr>
        <w:t xml:space="preserve"> 采购文件由正文和附件组成，供应商应当完整地阅读、理解构成本采购文件的所有内容。正文和附件如有不一致的地方，须以正文为准。</w:t>
      </w:r>
    </w:p>
    <w:p>
      <w:pPr>
        <w:tabs>
          <w:tab w:val="left" w:pos="2604"/>
        </w:tabs>
        <w:autoSpaceDE w:val="0"/>
        <w:autoSpaceDN w:val="0"/>
        <w:adjustRightInd w:val="0"/>
        <w:spacing w:line="700" w:lineRule="exact"/>
        <w:ind w:firstLine="551"/>
        <w:rPr>
          <w:rFonts w:cs="宋体" w:asciiTheme="majorEastAsia" w:hAnsiTheme="majorEastAsia" w:eastAsiaTheme="majorEastAsia"/>
          <w:b/>
          <w:kern w:val="0"/>
          <w:sz w:val="32"/>
          <w:szCs w:val="32"/>
        </w:rPr>
      </w:pPr>
      <w:r>
        <w:rPr>
          <w:rFonts w:hint="eastAsia" w:ascii="宋体" w:hAnsi="宋体"/>
          <w:b/>
          <w:kern w:val="36"/>
          <w:sz w:val="24"/>
          <w:szCs w:val="24"/>
        </w:rPr>
        <w:br w:type="page"/>
      </w:r>
    </w:p>
    <w:p>
      <w:pPr>
        <w:pStyle w:val="29"/>
        <w:spacing w:line="360" w:lineRule="auto"/>
        <w:ind w:firstLine="420"/>
        <w:contextualSpacing/>
        <w:jc w:val="center"/>
        <w:rPr>
          <w:rFonts w:cs="仿宋_GB2312" w:asciiTheme="minorEastAsia" w:hAnsiTheme="minorEastAsia" w:eastAsiaTheme="minorEastAsia"/>
          <w:sz w:val="21"/>
          <w:szCs w:val="21"/>
          <w:shd w:val="clear" w:color="auto" w:fill="FFFFFF"/>
        </w:rPr>
      </w:pPr>
      <w:r>
        <w:rPr>
          <w:rFonts w:hint="eastAsia" w:asciiTheme="majorEastAsia" w:hAnsiTheme="majorEastAsia" w:eastAsiaTheme="majorEastAsia"/>
          <w:b/>
          <w:sz w:val="32"/>
          <w:szCs w:val="32"/>
        </w:rPr>
        <w:t>第一章 竞争性谈判邀请函</w:t>
      </w:r>
    </w:p>
    <w:p>
      <w:pPr>
        <w:pStyle w:val="29"/>
        <w:spacing w:line="360" w:lineRule="auto"/>
        <w:ind w:firstLine="420"/>
        <w:contextualSpacing/>
      </w:pPr>
      <w:r>
        <w:rPr>
          <w:rFonts w:hint="eastAsia"/>
        </w:rPr>
        <w:t>长葛市公共资源交易中心受长葛市董村镇人民政府的委托，对长葛市董村镇盆刘村一事一议村内街道加宽工程和大墙王村一事一议文化广场硬化及排水工程进行竞争性谈判采购。现邀请符合本谈判文件规定条件的供应商前来谈判。</w:t>
      </w:r>
    </w:p>
    <w:p>
      <w:pPr>
        <w:pStyle w:val="29"/>
        <w:spacing w:line="360" w:lineRule="auto"/>
        <w:contextualSpacing/>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shd w:val="clear" w:color="auto" w:fill="FFFFFF"/>
        </w:rPr>
        <w:t>一、项目基本情况</w:t>
      </w:r>
    </w:p>
    <w:p>
      <w:pPr>
        <w:pStyle w:val="29"/>
        <w:spacing w:line="360" w:lineRule="auto"/>
        <w:ind w:firstLine="420"/>
        <w:contextualSpacing/>
      </w:pPr>
      <w:r>
        <w:rPr>
          <w:rFonts w:hint="eastAsia"/>
        </w:rPr>
        <w:t>（一）项目名称：长葛市董村镇盆刘村一事一议村内街道加宽工程和大墙王村一事一议文化广场硬化及排水工程</w:t>
      </w:r>
    </w:p>
    <w:p>
      <w:pPr>
        <w:pStyle w:val="29"/>
        <w:spacing w:line="360" w:lineRule="auto"/>
        <w:ind w:firstLine="420"/>
        <w:contextualSpacing/>
      </w:pPr>
      <w:r>
        <w:rPr>
          <w:rFonts w:hint="eastAsia"/>
        </w:rPr>
        <w:t>（二）项目编号</w:t>
      </w:r>
      <w:r>
        <w:rPr>
          <w:rFonts w:hint="eastAsia"/>
          <w:lang w:val="zh-CN"/>
        </w:rPr>
        <w:t>：长招采竞字【20</w:t>
      </w:r>
      <w:r>
        <w:rPr>
          <w:rFonts w:hint="eastAsia"/>
        </w:rPr>
        <w:t>19</w:t>
      </w:r>
      <w:r>
        <w:rPr>
          <w:rFonts w:hint="eastAsia"/>
          <w:lang w:val="zh-CN"/>
        </w:rPr>
        <w:t>】</w:t>
      </w:r>
      <w:r>
        <w:rPr>
          <w:rFonts w:hint="eastAsia"/>
        </w:rPr>
        <w:t>174</w:t>
      </w:r>
      <w:r>
        <w:rPr>
          <w:rFonts w:hint="eastAsia"/>
          <w:lang w:val="zh-CN"/>
        </w:rPr>
        <w:t>号</w:t>
      </w:r>
    </w:p>
    <w:p>
      <w:pPr>
        <w:pStyle w:val="29"/>
        <w:spacing w:line="360" w:lineRule="auto"/>
        <w:ind w:firstLine="420"/>
        <w:contextualSpacing/>
      </w:pPr>
      <w:r>
        <w:rPr>
          <w:rFonts w:hint="eastAsia"/>
        </w:rPr>
        <w:t xml:space="preserve">（三）采购方式：竞争性谈判                                                                                                                         </w:t>
      </w:r>
    </w:p>
    <w:p>
      <w:pPr>
        <w:pStyle w:val="29"/>
        <w:spacing w:line="360" w:lineRule="auto"/>
        <w:ind w:firstLine="420"/>
        <w:contextualSpacing/>
      </w:pPr>
      <w:r>
        <w:rPr>
          <w:rFonts w:hint="eastAsia"/>
        </w:rPr>
        <w:t>（四）项目需求：一标段：盆刘村一事一议村内街道加宽工程内容主要包括：路线全长1720米，共11个路段，原路为砼路面，路面宽4.0m。本项目改建工程利用原有路基，其中A3段设计路面宽4.0m，路基宽5.0m；A2、B1段在原有路面的基础两侧加宽0.8m；A3、B2段在原有路面的基础两侧各加宽0.8m；对部分段路面至房屋边采用3cm厚C25砼进行护坡砌筑；路面结构层均为12cm厚C25砼。</w:t>
      </w:r>
    </w:p>
    <w:p>
      <w:pPr>
        <w:pStyle w:val="29"/>
        <w:spacing w:line="360" w:lineRule="auto"/>
        <w:ind w:firstLine="2040" w:firstLineChars="850"/>
        <w:contextualSpacing/>
      </w:pPr>
      <w:r>
        <w:rPr>
          <w:rFonts w:hint="eastAsia"/>
        </w:rPr>
        <w:t>二标段：大墙王村一事一议文化广场硬化及排水工程内容主要包括：路面硬化面积为2144m</w:t>
      </w:r>
      <w:r>
        <w:rPr>
          <w:rFonts w:hint="eastAsia"/>
          <w:vertAlign w:val="superscript"/>
        </w:rPr>
        <w:t>2</w:t>
      </w:r>
      <w:r>
        <w:rPr>
          <w:rFonts w:hint="eastAsia"/>
        </w:rPr>
        <w:t>，路面结构为10cm厚C25砼；砖砌排水沟500米。详细内容见谈判文件及工程量清单。</w:t>
      </w:r>
    </w:p>
    <w:p>
      <w:pPr>
        <w:pStyle w:val="29"/>
        <w:spacing w:line="360" w:lineRule="auto"/>
        <w:ind w:firstLine="420"/>
        <w:contextualSpacing/>
        <w:rPr>
          <w:lang w:val="zh-CN"/>
        </w:rPr>
      </w:pPr>
      <w:r>
        <w:rPr>
          <w:rFonts w:hint="eastAsia"/>
        </w:rPr>
        <w:t>（五）预算金额（</w:t>
      </w:r>
      <w:r>
        <w:rPr>
          <w:rFonts w:hint="eastAsia"/>
          <w:lang w:val="zh-CN"/>
        </w:rPr>
        <w:t>最高限价</w:t>
      </w:r>
      <w:r>
        <w:rPr>
          <w:rFonts w:hint="eastAsia"/>
        </w:rPr>
        <w:t>）：一标包：299228.00</w:t>
      </w:r>
      <w:r>
        <w:rPr>
          <w:rFonts w:hint="eastAsia"/>
          <w:lang w:val="zh-CN"/>
        </w:rPr>
        <w:t>元；</w:t>
      </w:r>
    </w:p>
    <w:p>
      <w:pPr>
        <w:pStyle w:val="29"/>
        <w:spacing w:line="360" w:lineRule="auto"/>
        <w:ind w:firstLine="3840" w:firstLineChars="1600"/>
        <w:contextualSpacing/>
        <w:rPr>
          <w:lang w:val="zh-CN"/>
        </w:rPr>
      </w:pPr>
      <w:r>
        <w:rPr>
          <w:rFonts w:hint="eastAsia"/>
        </w:rPr>
        <w:t>二标包：322539.00</w:t>
      </w:r>
      <w:r>
        <w:rPr>
          <w:rFonts w:hint="eastAsia"/>
          <w:lang w:val="zh-CN"/>
        </w:rPr>
        <w:t>元；</w:t>
      </w:r>
    </w:p>
    <w:p>
      <w:pPr>
        <w:pStyle w:val="29"/>
        <w:spacing w:line="360" w:lineRule="auto"/>
        <w:ind w:firstLine="420"/>
        <w:contextualSpacing/>
      </w:pPr>
      <w:r>
        <w:rPr>
          <w:rFonts w:hint="eastAsia"/>
        </w:rPr>
        <w:t>（六）工期：为合同签订后30日历天内。</w:t>
      </w:r>
    </w:p>
    <w:p>
      <w:pPr>
        <w:pStyle w:val="29"/>
        <w:spacing w:line="360" w:lineRule="auto"/>
        <w:ind w:firstLine="420"/>
        <w:contextualSpacing/>
      </w:pPr>
      <w:r>
        <w:rPr>
          <w:rFonts w:hint="eastAsia"/>
        </w:rPr>
        <w:t>（七）质量标准：合格（符合国家现行规范、规程、规定、标准的要求）。</w:t>
      </w:r>
    </w:p>
    <w:p>
      <w:pPr>
        <w:pStyle w:val="29"/>
        <w:spacing w:line="360" w:lineRule="auto"/>
        <w:ind w:firstLine="420"/>
        <w:contextualSpacing/>
      </w:pPr>
      <w:r>
        <w:rPr>
          <w:rFonts w:hint="eastAsia"/>
        </w:rPr>
        <w:t>（八）分包：不允许。</w:t>
      </w:r>
    </w:p>
    <w:p>
      <w:pPr>
        <w:pStyle w:val="29"/>
        <w:spacing w:line="360" w:lineRule="auto"/>
        <w:ind w:firstLine="420"/>
        <w:contextualSpacing/>
      </w:pPr>
      <w:r>
        <w:rPr>
          <w:rFonts w:hint="eastAsia"/>
        </w:rPr>
        <w:t>（九）资金来源:财政资金。</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二、需要落实的政府采购政策</w:t>
      </w:r>
    </w:p>
    <w:p>
      <w:pPr>
        <w:pStyle w:val="29"/>
        <w:spacing w:line="360" w:lineRule="auto"/>
        <w:ind w:firstLine="420"/>
        <w:contextualSpacing/>
      </w:pPr>
      <w:r>
        <w:rPr>
          <w:rFonts w:hint="eastAsia"/>
        </w:rPr>
        <w:t>本项目落实中小微型企业、监狱企业、残疾人福利性单位扶持等相关政府采购政策。</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三、竞标人资格要求</w:t>
      </w:r>
    </w:p>
    <w:p>
      <w:pPr>
        <w:pStyle w:val="29"/>
        <w:spacing w:line="360" w:lineRule="auto"/>
        <w:ind w:firstLine="420"/>
        <w:contextualSpacing/>
      </w:pPr>
      <w:r>
        <w:rPr>
          <w:rFonts w:hint="eastAsia"/>
        </w:rPr>
        <w:t>1、符合《中华人民共和国政府采购法》第二十二条之规定；</w:t>
      </w:r>
    </w:p>
    <w:p>
      <w:pPr>
        <w:pStyle w:val="29"/>
        <w:spacing w:line="360" w:lineRule="auto"/>
        <w:ind w:firstLine="420"/>
        <w:contextualSpacing/>
        <w:rPr>
          <w:color w:val="000000"/>
        </w:rPr>
      </w:pPr>
      <w:r>
        <w:rPr>
          <w:rFonts w:hint="eastAsia"/>
        </w:rPr>
        <w:t>2、</w:t>
      </w:r>
      <w:r>
        <w:rPr>
          <w:rFonts w:hint="eastAsia"/>
          <w:color w:val="000000"/>
        </w:rPr>
        <w:t>供应商须具备独立法人资格，具有公路工程施工总承包三级（含）以上资质，并且具有有效的安全生产许可证，有良好的财务状况，良好的社会信誉，并在人员、设备、资金等方面具备相应的施工能力；拟任项目经理应具有公路工程专业贰级（含）以上注册建造师资格，取得有效的安全生产考核合格证，且未担任其他在施建设工程的项目经理。</w:t>
      </w:r>
    </w:p>
    <w:p>
      <w:pPr>
        <w:pStyle w:val="29"/>
        <w:spacing w:line="360" w:lineRule="auto"/>
        <w:ind w:firstLine="420"/>
        <w:contextualSpacing/>
      </w:pPr>
      <w:r>
        <w:rPr>
          <w:rFonts w:hint="eastAsia"/>
        </w:rPr>
        <w:t>3、未被列入“信用中国”网站(www.creditchina.gov.cn)失信被执行人、重大税收违法案件当事人名单；“中国政府采购网” (www.ccgp.gov.cn)政府采购严重违法失信行为记录名单的供应商；</w:t>
      </w:r>
    </w:p>
    <w:p>
      <w:pPr>
        <w:pStyle w:val="29"/>
        <w:spacing w:line="360" w:lineRule="auto"/>
        <w:ind w:firstLine="420"/>
        <w:contextualSpacing/>
      </w:pPr>
      <w:r>
        <w:rPr>
          <w:rFonts w:hint="eastAsia"/>
        </w:rPr>
        <w:t xml:space="preserve"> 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29"/>
        <w:spacing w:line="360" w:lineRule="auto"/>
        <w:ind w:firstLine="420"/>
        <w:contextualSpacing/>
      </w:pPr>
      <w:r>
        <w:rPr>
          <w:rFonts w:hint="eastAsia"/>
        </w:rPr>
        <w:t>5、本项目接受联合体投标。</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四、谈判文件的获取</w:t>
      </w:r>
    </w:p>
    <w:p>
      <w:pPr>
        <w:pStyle w:val="29"/>
        <w:spacing w:line="360" w:lineRule="auto"/>
        <w:ind w:firstLine="420"/>
        <w:contextualSpacing/>
      </w:pPr>
      <w:r>
        <w:rPr>
          <w:rFonts w:hint="eastAsia"/>
        </w:rPr>
        <w:t>（一）持CA数字认证证书，登录《全国公共资源交易平台（河南省·许昌市）》“系统用户注册”入口http://221.14.6.70:8088/ggzy/eps/public/RegistAllJcxx.html）进行免费注册登记（详见“常见问题解答-诚信库网上注册相关资料下载”）；</w:t>
      </w:r>
    </w:p>
    <w:p>
      <w:pPr>
        <w:pStyle w:val="29"/>
        <w:spacing w:line="360" w:lineRule="auto"/>
        <w:ind w:firstLine="420"/>
        <w:contextualSpacing/>
      </w:pPr>
      <w:r>
        <w:rPr>
          <w:rFonts w:hint="eastAsia"/>
        </w:rPr>
        <w:t>（二）在谈判响应截止时间前均可登录《全国公共资源交易平台（河南省·许昌市）》“投标人/供应商登录”入口（http://221.14.6.70:8088/ggzy/）自行免费下载竞争性谈判文件（详见“常见问题解答-交易系统操作手册”）。</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五、响应文件提交截止时间及谈判响应截止时间、谈判时间</w:t>
      </w:r>
    </w:p>
    <w:p>
      <w:pPr>
        <w:pStyle w:val="29"/>
        <w:spacing w:line="360" w:lineRule="auto"/>
        <w:ind w:firstLine="420"/>
        <w:contextualSpacing/>
      </w:pPr>
      <w:r>
        <w:rPr>
          <w:rFonts w:hint="eastAsia"/>
        </w:rPr>
        <w:t>1、投标截止及开标时间：2019年</w:t>
      </w:r>
      <w:r>
        <w:rPr>
          <w:rFonts w:hint="eastAsia"/>
          <w:lang w:val="en-US" w:eastAsia="zh-CN"/>
        </w:rPr>
        <w:t>1</w:t>
      </w:r>
      <w:r>
        <w:rPr>
          <w:rFonts w:hint="eastAsia"/>
        </w:rPr>
        <w:t>月</w:t>
      </w:r>
      <w:r>
        <w:rPr>
          <w:rFonts w:hint="eastAsia"/>
          <w:lang w:val="en-US" w:eastAsia="zh-CN"/>
        </w:rPr>
        <w:t>13</w:t>
      </w:r>
      <w:r>
        <w:rPr>
          <w:rFonts w:hint="eastAsia"/>
        </w:rPr>
        <w:t>日</w:t>
      </w:r>
      <w:r>
        <w:rPr>
          <w:rFonts w:hint="eastAsia"/>
          <w:lang w:val="en-US" w:eastAsia="zh-CN"/>
        </w:rPr>
        <w:t>10</w:t>
      </w:r>
      <w:r>
        <w:rPr>
          <w:rFonts w:hint="eastAsia"/>
        </w:rPr>
        <w:t>时</w:t>
      </w:r>
      <w:r>
        <w:rPr>
          <w:rFonts w:hint="eastAsia"/>
          <w:lang w:val="en-US" w:eastAsia="zh-CN"/>
        </w:rPr>
        <w:t>30</w:t>
      </w:r>
      <w:r>
        <w:rPr>
          <w:rFonts w:hint="eastAsia"/>
        </w:rPr>
        <w:t>分（北京时间），逾期提交或不符合规定的谈判响应文件不予接受。</w:t>
      </w:r>
    </w:p>
    <w:p>
      <w:pPr>
        <w:pStyle w:val="29"/>
        <w:spacing w:line="360" w:lineRule="auto"/>
        <w:ind w:firstLine="420"/>
        <w:contextualSpacing/>
      </w:pPr>
      <w:r>
        <w:rPr>
          <w:rFonts w:hint="eastAsia"/>
        </w:rPr>
        <w:t>2、开标地点：长葛市公共资源交易中心开标</w:t>
      </w:r>
      <w:r>
        <w:rPr>
          <w:rFonts w:hint="eastAsia"/>
          <w:lang w:eastAsia="zh-CN"/>
        </w:rPr>
        <w:t>四</w:t>
      </w:r>
      <w:r>
        <w:rPr>
          <w:rFonts w:hint="eastAsia"/>
        </w:rPr>
        <w:t>室（长葛市葛天大道东段商务区6#楼</w:t>
      </w:r>
      <w:r>
        <w:rPr>
          <w:rFonts w:hint="eastAsia"/>
          <w:lang w:val="en-US" w:eastAsia="zh-CN"/>
        </w:rPr>
        <w:t>5</w:t>
      </w:r>
      <w:r>
        <w:rPr>
          <w:rFonts w:hint="eastAsia"/>
        </w:rPr>
        <w:t>楼</w:t>
      </w:r>
      <w:r>
        <w:rPr>
          <w:rFonts w:hint="eastAsia"/>
          <w:lang w:val="en-US" w:eastAsia="zh-CN"/>
        </w:rPr>
        <w:t>507</w:t>
      </w:r>
      <w:r>
        <w:rPr>
          <w:rFonts w:hint="eastAsia"/>
        </w:rPr>
        <w:t>室）</w:t>
      </w:r>
    </w:p>
    <w:p>
      <w:pPr>
        <w:pStyle w:val="29"/>
        <w:spacing w:line="360" w:lineRule="auto"/>
        <w:ind w:firstLine="420"/>
        <w:contextualSpacing/>
      </w:pPr>
      <w:r>
        <w:rPr>
          <w:rFonts w:hint="eastAsia"/>
        </w:rPr>
        <w:t>3、本项目为全流程电子化交易项目，供应商须提交电子投标文件和纸质投标文件。</w:t>
      </w:r>
    </w:p>
    <w:p>
      <w:pPr>
        <w:pStyle w:val="29"/>
        <w:spacing w:line="360" w:lineRule="auto"/>
        <w:ind w:firstLine="420"/>
        <w:contextualSpacing/>
      </w:pPr>
      <w:r>
        <w:rPr>
          <w:rFonts w:hint="eastAsia"/>
        </w:rPr>
        <w:t>3.1、加密电子投标文件（.file格式）须在投标截止时间（开标时间）前通过《全国公共资源交易平台(河南省▪许昌市)》公共资源交易系统成功上传。</w:t>
      </w:r>
    </w:p>
    <w:p>
      <w:pPr>
        <w:pStyle w:val="29"/>
        <w:spacing w:line="360" w:lineRule="auto"/>
        <w:ind w:firstLine="420"/>
        <w:contextualSpacing/>
      </w:pPr>
      <w:r>
        <w:rPr>
          <w:rFonts w:hint="eastAsia"/>
        </w:rPr>
        <w:t>3.2、纸质投标文件（正本1份、副本1份）和备份文件1份（使用电子介质）</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六、本次采购公告同时在《河南省政府采购网》、《全国公共资源交易平台（河南省·许昌市）》、《长葛市人民政府门户网站》发布。</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七、公告期限</w:t>
      </w:r>
    </w:p>
    <w:p>
      <w:pPr>
        <w:pStyle w:val="29"/>
        <w:spacing w:line="360" w:lineRule="auto"/>
        <w:ind w:firstLine="420"/>
        <w:contextualSpacing/>
      </w:pPr>
      <w:r>
        <w:rPr>
          <w:rFonts w:hint="eastAsia"/>
        </w:rPr>
        <w:t>本公告自发布之日起公告期限为3个工作日。</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八、联系方式</w:t>
      </w:r>
    </w:p>
    <w:p>
      <w:pPr>
        <w:adjustRightInd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采购人：长葛市董村镇人民政府</w:t>
      </w:r>
    </w:p>
    <w:p>
      <w:pPr>
        <w:adjustRightInd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 xml:space="preserve">联系人：尹先生  </w:t>
      </w:r>
    </w:p>
    <w:p>
      <w:pPr>
        <w:adjustRightInd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联系电话：15716799899</w:t>
      </w:r>
    </w:p>
    <w:p>
      <w:pPr>
        <w:adjustRightInd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地址：长葛市董村镇</w:t>
      </w:r>
    </w:p>
    <w:p>
      <w:pPr>
        <w:adjustRightInd w:val="0"/>
        <w:snapToGrid w:val="0"/>
        <w:spacing w:line="360" w:lineRule="auto"/>
        <w:ind w:firstLine="960" w:firstLineChars="400"/>
        <w:rPr>
          <w:rFonts w:ascii="宋体" w:hAnsi="宋体" w:cs="宋体"/>
          <w:kern w:val="0"/>
          <w:sz w:val="24"/>
          <w:szCs w:val="24"/>
        </w:rPr>
      </w:pPr>
      <w:r>
        <w:rPr>
          <w:rFonts w:hint="eastAsia" w:ascii="宋体" w:hAnsi="宋体" w:cs="宋体"/>
          <w:kern w:val="0"/>
          <w:sz w:val="24"/>
          <w:szCs w:val="24"/>
        </w:rPr>
        <w:t>集中采购机构：长葛市公共资源交易中心</w:t>
      </w:r>
    </w:p>
    <w:p>
      <w:pPr>
        <w:adjustRightInd w:val="0"/>
        <w:snapToGrid w:val="0"/>
        <w:spacing w:line="360" w:lineRule="auto"/>
        <w:ind w:firstLine="960" w:firstLineChars="400"/>
        <w:rPr>
          <w:rFonts w:ascii="宋体" w:hAnsi="宋体" w:cs="宋体"/>
          <w:kern w:val="0"/>
          <w:sz w:val="24"/>
          <w:szCs w:val="24"/>
        </w:rPr>
      </w:pPr>
      <w:r>
        <w:rPr>
          <w:rFonts w:hint="eastAsia" w:ascii="宋体" w:hAnsi="宋体" w:cs="宋体"/>
          <w:kern w:val="0"/>
          <w:sz w:val="24"/>
          <w:szCs w:val="24"/>
        </w:rPr>
        <w:t>地  址：长葛市葛天大道商务区6号楼</w:t>
      </w:r>
    </w:p>
    <w:p>
      <w:pPr>
        <w:adjustRightInd w:val="0"/>
        <w:snapToGrid w:val="0"/>
        <w:spacing w:line="360" w:lineRule="auto"/>
        <w:ind w:firstLine="960" w:firstLineChars="400"/>
        <w:rPr>
          <w:rFonts w:ascii="宋体" w:hAnsi="宋体" w:cs="宋体"/>
          <w:kern w:val="0"/>
          <w:sz w:val="24"/>
          <w:szCs w:val="24"/>
        </w:rPr>
      </w:pPr>
      <w:r>
        <w:rPr>
          <w:rFonts w:hint="eastAsia" w:ascii="宋体" w:hAnsi="宋体" w:cs="宋体"/>
          <w:kern w:val="0"/>
          <w:sz w:val="24"/>
          <w:szCs w:val="24"/>
        </w:rPr>
        <w:t xml:space="preserve">联系人：政府采购二部    </w:t>
      </w:r>
    </w:p>
    <w:p>
      <w:pPr>
        <w:adjustRightInd w:val="0"/>
        <w:snapToGrid w:val="0"/>
        <w:spacing w:line="360" w:lineRule="auto"/>
        <w:ind w:firstLine="960" w:firstLineChars="400"/>
        <w:rPr>
          <w:rFonts w:ascii="宋体" w:hAnsi="宋体" w:cs="宋体"/>
          <w:kern w:val="0"/>
          <w:sz w:val="24"/>
          <w:szCs w:val="24"/>
        </w:rPr>
      </w:pPr>
      <w:r>
        <w:rPr>
          <w:rFonts w:hint="eastAsia" w:ascii="宋体" w:hAnsi="宋体" w:cs="宋体"/>
          <w:kern w:val="0"/>
          <w:sz w:val="24"/>
          <w:szCs w:val="24"/>
        </w:rPr>
        <w:t xml:space="preserve">联系电话：0374-6189379 </w:t>
      </w:r>
    </w:p>
    <w:p>
      <w:pPr>
        <w:adjustRightInd w:val="0"/>
        <w:snapToGrid w:val="0"/>
        <w:spacing w:line="360" w:lineRule="auto"/>
        <w:ind w:firstLine="1120" w:firstLineChars="400"/>
        <w:jc w:val="right"/>
        <w:rPr>
          <w:rFonts w:ascii="宋体" w:hAnsi="宋体" w:cs="宋体"/>
          <w:color w:val="000000"/>
          <w:kern w:val="0"/>
          <w:sz w:val="28"/>
          <w:szCs w:val="28"/>
          <w:shd w:val="clear" w:color="auto" w:fill="FFFFFF"/>
        </w:rPr>
      </w:pPr>
    </w:p>
    <w:p>
      <w:pPr>
        <w:adjustRightInd w:val="0"/>
        <w:snapToGrid w:val="0"/>
        <w:spacing w:line="360" w:lineRule="auto"/>
        <w:ind w:firstLine="960" w:firstLineChars="400"/>
        <w:jc w:val="right"/>
        <w:rPr>
          <w:rFonts w:ascii="宋体" w:hAnsi="宋体" w:cs="宋体"/>
          <w:kern w:val="0"/>
          <w:sz w:val="24"/>
          <w:szCs w:val="24"/>
        </w:rPr>
      </w:pPr>
      <w:r>
        <w:rPr>
          <w:rFonts w:hint="eastAsia" w:ascii="宋体" w:hAnsi="宋体" w:cs="宋体"/>
          <w:kern w:val="0"/>
          <w:sz w:val="24"/>
          <w:szCs w:val="24"/>
        </w:rPr>
        <w:t>二〇二〇年一月</w:t>
      </w:r>
    </w:p>
    <w:p>
      <w:pPr>
        <w:pStyle w:val="29"/>
        <w:shd w:val="clear" w:color="auto" w:fill="FFFFFF"/>
        <w:spacing w:before="0" w:beforeAutospacing="0" w:after="0" w:afterAutospacing="0" w:line="360" w:lineRule="auto"/>
        <w:ind w:firstLine="482" w:firstLineChars="200"/>
        <w:rPr>
          <w:b/>
          <w:bCs/>
        </w:rPr>
      </w:pPr>
      <w:r>
        <w:rPr>
          <w:rFonts w:hint="eastAsia"/>
          <w:b/>
          <w:shd w:val="clear" w:color="auto" w:fill="FFFFFF"/>
        </w:rPr>
        <w:t>温馨提示：本项目为全流程电子化交易项目，请认真阅读采购文件，并注意以下事项。</w:t>
      </w:r>
    </w:p>
    <w:p>
      <w:pPr>
        <w:pStyle w:val="29"/>
        <w:shd w:val="clear" w:color="auto" w:fill="FFFFFF"/>
        <w:spacing w:before="0" w:beforeAutospacing="0" w:after="0" w:afterAutospacing="0" w:line="360" w:lineRule="auto"/>
        <w:ind w:firstLine="321"/>
      </w:pPr>
      <w:r>
        <w:rPr>
          <w:rFonts w:hint="eastAsia"/>
          <w:b/>
          <w:shd w:val="clear" w:color="auto" w:fill="FFFFFF"/>
        </w:rPr>
        <w:t> 1.供应商应按采购文件规定编制、提交电子响应文件和纸质响应文件。开、评标现场不接受供应商递交的备份电子响应文件和纸质响应文件以外的其他资料。</w:t>
      </w:r>
    </w:p>
    <w:p>
      <w:pPr>
        <w:pStyle w:val="29"/>
        <w:shd w:val="clear" w:color="auto" w:fill="FFFFFF"/>
        <w:spacing w:before="0" w:beforeAutospacing="0" w:after="0" w:afterAutospacing="0" w:line="360" w:lineRule="auto"/>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29"/>
        <w:shd w:val="clear" w:color="auto" w:fill="FFFFFF"/>
        <w:spacing w:before="0" w:beforeAutospacing="0" w:after="0" w:afterAutospacing="0" w:line="360" w:lineRule="auto"/>
        <w:ind w:firstLine="643"/>
      </w:pPr>
      <w:r>
        <w:rPr>
          <w:rFonts w:hint="eastAsia"/>
          <w:b/>
          <w:shd w:val="clear" w:color="auto" w:fill="FFFFFF"/>
        </w:rPr>
        <w:t>3.电子响应文件的制作</w:t>
      </w:r>
    </w:p>
    <w:p>
      <w:pPr>
        <w:pStyle w:val="29"/>
        <w:shd w:val="clear" w:color="auto" w:fill="FFFFFF"/>
        <w:spacing w:before="0" w:beforeAutospacing="0" w:after="0" w:afterAutospacing="0" w:line="360" w:lineRule="auto"/>
        <w:ind w:firstLine="640"/>
      </w:pPr>
      <w:r>
        <w:rPr>
          <w:rFonts w:hint="eastAsia"/>
          <w:shd w:val="clear" w:color="auto" w:fill="FFFFFF"/>
        </w:rPr>
        <w:t>3.1 供应商登录《全国公共资源交易平台(河南省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rPr>
          <w:rFonts w:hint="eastAsia"/>
        </w:rPr>
        <w:fldChar w:fldCharType="begin"/>
      </w:r>
      <w:r>
        <w:instrText xml:space="preserve"> HYPERLINK "http://221.14.6.70:8088/ggzy/" </w:instrText>
      </w:r>
      <w:r>
        <w:rPr>
          <w:rFonts w:hint="eastAsia"/>
        </w:rP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）下载“许昌响应文件制作系统SEARUN V1.1”，按采购文件要求制作电子响应文件。</w:t>
      </w:r>
    </w:p>
    <w:p>
      <w:pPr>
        <w:pStyle w:val="29"/>
        <w:shd w:val="clear" w:color="auto" w:fill="FFFFFF"/>
        <w:spacing w:before="0" w:beforeAutospacing="0" w:after="0" w:afterAutospacing="0" w:line="360" w:lineRule="auto"/>
        <w:ind w:firstLine="640"/>
      </w:pPr>
      <w:r>
        <w:rPr>
          <w:rFonts w:hint="eastAsia"/>
          <w:shd w:val="clear" w:color="auto" w:fill="FFFFFF"/>
        </w:rPr>
        <w:t>电子响应文件的制作，参考《全国公共资源交易平台(河南省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许昌市)》公共资源交易系统——组件下载——交易系统操作手册（供应商、供应商）。</w:t>
      </w:r>
    </w:p>
    <w:p>
      <w:pPr>
        <w:pStyle w:val="29"/>
        <w:shd w:val="clear" w:color="auto" w:fill="FFFFFF"/>
        <w:spacing w:before="0" w:beforeAutospacing="0" w:after="0" w:afterAutospacing="0" w:line="360" w:lineRule="auto"/>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29"/>
        <w:shd w:val="clear" w:color="auto" w:fill="FFFFFF"/>
        <w:spacing w:before="0" w:beforeAutospacing="0" w:after="0" w:afterAutospacing="0" w:line="360" w:lineRule="auto"/>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29"/>
        <w:shd w:val="clear" w:color="auto" w:fill="FFFFFF"/>
        <w:spacing w:before="0" w:beforeAutospacing="0" w:after="0" w:afterAutospacing="0" w:line="360" w:lineRule="auto"/>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29"/>
        <w:shd w:val="clear" w:color="auto" w:fill="FFFFFF"/>
        <w:spacing w:before="0" w:beforeAutospacing="0" w:after="0" w:afterAutospacing="0" w:line="360" w:lineRule="auto"/>
        <w:ind w:firstLine="643"/>
      </w:pPr>
      <w:r>
        <w:rPr>
          <w:rFonts w:hint="eastAsia"/>
          <w:b/>
          <w:shd w:val="clear" w:color="auto" w:fill="FFFFFF"/>
        </w:rPr>
        <w:t>4.加密电子响应文件的提交</w:t>
      </w:r>
    </w:p>
    <w:p>
      <w:pPr>
        <w:pStyle w:val="29"/>
        <w:shd w:val="clear" w:color="auto" w:fill="FFFFFF"/>
        <w:spacing w:before="0" w:beforeAutospacing="0" w:after="0" w:afterAutospacing="0" w:line="360" w:lineRule="auto"/>
        <w:ind w:firstLine="634"/>
      </w:pPr>
      <w:r>
        <w:rPr>
          <w:rFonts w:hint="eastAsia"/>
          <w:shd w:val="clear" w:color="auto" w:fill="FFFFFF"/>
        </w:rPr>
        <w:t>4.1加密电子响应文件应在采购文件规定的投标截止时间（开标时间）之前成功提交至《全国公共资源交易平台(河南省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rPr>
          <w:rFonts w:hint="eastAsia"/>
        </w:rPr>
        <w:fldChar w:fldCharType="begin"/>
      </w:r>
      <w:r>
        <w:instrText xml:space="preserve"> HYPERLINK "http://221.14.6.70:8088/ggzy/" </w:instrText>
      </w:r>
      <w:r>
        <w:rPr>
          <w:rFonts w:hint="eastAsia"/>
        </w:rP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w:t>
      </w:r>
    </w:p>
    <w:p>
      <w:pPr>
        <w:pStyle w:val="29"/>
        <w:shd w:val="clear" w:color="auto" w:fill="FFFFFF"/>
        <w:spacing w:before="0" w:beforeAutospacing="0" w:after="0" w:afterAutospacing="0" w:line="360" w:lineRule="auto"/>
        <w:ind w:firstLine="640"/>
      </w:pPr>
      <w:r>
        <w:rPr>
          <w:rFonts w:hint="eastAsia"/>
          <w:shd w:val="clear" w:color="auto" w:fill="FFFFFF"/>
        </w:rPr>
        <w:t>供应商应充分考虑并预留技术处理和上传数据所需时间。</w:t>
      </w:r>
    </w:p>
    <w:p>
      <w:pPr>
        <w:pStyle w:val="29"/>
        <w:shd w:val="clear" w:color="auto" w:fill="FFFFFF"/>
        <w:spacing w:before="0" w:beforeAutospacing="0" w:after="0" w:afterAutospacing="0" w:line="360" w:lineRule="auto"/>
        <w:ind w:firstLine="640"/>
      </w:pPr>
      <w:r>
        <w:rPr>
          <w:rFonts w:hint="eastAsia"/>
          <w:shd w:val="clear" w:color="auto" w:fill="FFFFFF"/>
        </w:rPr>
        <w:t>4.2供应商对同一项目多个标段进行投标的，加密电子响应文件应按标段分别提交。</w:t>
      </w:r>
    </w:p>
    <w:p>
      <w:pPr>
        <w:pStyle w:val="29"/>
        <w:shd w:val="clear" w:color="auto" w:fill="FFFFFF"/>
        <w:spacing w:before="0" w:beforeAutospacing="0" w:after="0" w:afterAutospacing="0" w:line="360" w:lineRule="auto"/>
        <w:ind w:firstLine="640"/>
      </w:pPr>
      <w:r>
        <w:rPr>
          <w:rFonts w:hint="eastAsia"/>
          <w:shd w:val="clear" w:color="auto" w:fill="FFFFFF"/>
        </w:rPr>
        <w:t>4.3加密电子响应文件成功提交后，供应商应打印“响应文件提交回执单”供开标现场备查。</w:t>
      </w:r>
    </w:p>
    <w:p>
      <w:pPr>
        <w:pStyle w:val="29"/>
        <w:shd w:val="clear" w:color="auto" w:fill="FFFFFF"/>
        <w:spacing w:before="0" w:beforeAutospacing="0" w:after="0" w:afterAutospacing="0" w:line="360" w:lineRule="auto"/>
        <w:ind w:firstLine="643"/>
      </w:pPr>
      <w:r>
        <w:rPr>
          <w:rFonts w:hint="eastAsia"/>
          <w:b/>
          <w:shd w:val="clear" w:color="auto" w:fill="FFFFFF"/>
        </w:rPr>
        <w:t>5.评标依据</w:t>
      </w:r>
    </w:p>
    <w:p>
      <w:pPr>
        <w:pStyle w:val="29"/>
        <w:spacing w:line="360" w:lineRule="auto"/>
        <w:ind w:firstLine="420"/>
        <w:contextualSpacing/>
        <w:rPr>
          <w:rFonts w:cs="黑体" w:asciiTheme="minorEastAsia" w:hAnsiTheme="minorEastAsia" w:eastAsiaTheme="minorEastAsia"/>
          <w:b/>
          <w:bCs/>
          <w:sz w:val="28"/>
          <w:szCs w:val="28"/>
          <w:shd w:val="clear" w:color="auto" w:fill="FFFFFF"/>
        </w:rPr>
      </w:pPr>
      <w:r>
        <w:rPr>
          <w:rFonts w:hint="eastAsia"/>
          <w:shd w:val="clear" w:color="auto" w:fill="FFFFFF"/>
        </w:rPr>
        <w:t>本项目采用全流程电子化交易评标，谈判小组以电子响应文件为依据评标。</w:t>
      </w:r>
    </w:p>
    <w:p>
      <w:pPr>
        <w:pStyle w:val="29"/>
        <w:spacing w:line="360" w:lineRule="auto"/>
        <w:contextualSpacing/>
        <w:jc w:val="center"/>
        <w:rPr>
          <w:b/>
        </w:rPr>
      </w:pPr>
      <w:r>
        <w:rPr>
          <w:rFonts w:cs="仿宋_GB2312"/>
          <w:b/>
        </w:rPr>
        <w:br w:type="page"/>
      </w: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3"/>
        <w:tblW w:w="97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2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502"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226"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226" w:type="dxa"/>
            <w:vAlign w:val="center"/>
          </w:tcPr>
          <w:p>
            <w:pPr>
              <w:spacing w:line="300" w:lineRule="auto"/>
              <w:rPr>
                <w:rFonts w:ascii="宋体" w:hAnsi="宋体" w:cs="宋体"/>
                <w:bCs/>
                <w:szCs w:val="21"/>
              </w:rPr>
            </w:pPr>
            <w:r>
              <w:rPr>
                <w:rFonts w:hint="eastAsia" w:ascii="宋体" w:hAnsi="宋体" w:cs="仿宋_GB2312"/>
              </w:rPr>
              <w:t>长葛市董村镇人民政府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5" w:hRule="atLeast"/>
          <w:jc w:val="center"/>
        </w:trPr>
        <w:tc>
          <w:tcPr>
            <w:tcW w:w="1561" w:type="dxa"/>
            <w:vAlign w:val="center"/>
          </w:tcPr>
          <w:p>
            <w:pPr>
              <w:spacing w:line="300" w:lineRule="auto"/>
              <w:ind w:firstLine="210" w:firstLineChars="100"/>
              <w:rPr>
                <w:rFonts w:ascii="宋体" w:hAnsi="宋体" w:cs="仿宋_GB2312"/>
              </w:rPr>
            </w:pPr>
            <w:r>
              <w:rPr>
                <w:rFonts w:hint="eastAsia" w:ascii="宋体" w:hAnsi="宋体" w:cs="仿宋_GB2312"/>
              </w:rPr>
              <w:t>项目名称</w:t>
            </w:r>
          </w:p>
        </w:tc>
        <w:tc>
          <w:tcPr>
            <w:tcW w:w="8226" w:type="dxa"/>
            <w:vAlign w:val="center"/>
          </w:tcPr>
          <w:p>
            <w:pPr>
              <w:pStyle w:val="29"/>
              <w:shd w:val="clear" w:color="auto" w:fill="FFFFFF"/>
              <w:spacing w:before="0" w:beforeAutospacing="0" w:after="0" w:afterAutospacing="0" w:line="360" w:lineRule="auto"/>
              <w:rPr>
                <w:rFonts w:cs="仿宋_GB2312"/>
              </w:rPr>
            </w:pPr>
            <w:r>
              <w:rPr>
                <w:rFonts w:hint="eastAsia" w:cs="仿宋_GB2312"/>
                <w:kern w:val="2"/>
                <w:sz w:val="21"/>
                <w:szCs w:val="22"/>
              </w:rPr>
              <w:t>长葛市董村镇盆刘村一事一议村内街道加宽工程和大墙王村一事一议文化广场硬化及排水工程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长招采竞字【2019】174号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集中采购机构</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长葛市公共资源交易中心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8"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226"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226"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1.具备《中华人民共和国政府采购法》第二十二条规定的条件及其他特殊条件。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226" w:type="dxa"/>
            <w:vAlign w:val="center"/>
          </w:tcPr>
          <w:p>
            <w:pPr>
              <w:pStyle w:val="29"/>
              <w:spacing w:line="360" w:lineRule="auto"/>
              <w:contextualSpacing/>
              <w:rPr>
                <w:color w:val="000000"/>
              </w:rPr>
            </w:pPr>
            <w:r>
              <w:rPr>
                <w:rFonts w:hint="eastAsia"/>
                <w:bCs/>
                <w:kern w:val="2"/>
                <w:sz w:val="21"/>
                <w:szCs w:val="21"/>
              </w:rPr>
              <w:t>2.</w:t>
            </w:r>
            <w:r>
              <w:rPr>
                <w:rFonts w:hint="eastAsia"/>
                <w:color w:val="000000"/>
              </w:rPr>
              <w:t xml:space="preserve"> 供应商须具备独立法人资格，具有公路工程施工总承包三级（含）以上资质，并且具有有效的安全生产许可证，有良好的财务状况，良好的社会信誉，并在人员、设备、资金等方面具备相应的施工能力；拟任项目经理应具有公路工程专业贰级（含）以上注册建造师资格，取得有效的安全生产考核合格证，且未担任其他在施建设工程的项目经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rPr>
                <w:rFonts w:ascii="宋体" w:hAnsi="宋体" w:cs="宋体"/>
                <w:bCs/>
                <w:szCs w:val="21"/>
              </w:rPr>
            </w:pPr>
            <w:r>
              <w:rPr>
                <w:rFonts w:hint="eastAsia" w:ascii="宋体" w:hAnsi="宋体" w:cs="宋体"/>
                <w:bCs/>
                <w:szCs w:val="21"/>
              </w:rPr>
              <w:t>3.</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hint="eastAsia" w:ascii="宋体" w:hAnsi="宋体" w:cs="宋体"/>
                <w:color w:val="000000"/>
                <w:szCs w:val="21"/>
                <w:shd w:val="clear" w:color="auto" w:fill="FFFFFF"/>
              </w:rPr>
              <w:t>中</w:t>
            </w:r>
            <w:r>
              <w:rPr>
                <w:rFonts w:hint="eastAsia" w:cs="仿宋_GB2312" w:asciiTheme="minorEastAsia" w:hAnsiTheme="minorEastAsia"/>
                <w:b/>
                <w:color w:val="000000"/>
                <w:szCs w:val="21"/>
                <w:shd w:val="clear" w:color="auto" w:fill="FFFFFF"/>
              </w:rPr>
              <w:t xml:space="preserve">国政府采购网” (www.ccgp.gov.cn)政府采购严重违法失信行为记录名单的供应商。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226" w:type="dxa"/>
            <w:vAlign w:val="center"/>
          </w:tcPr>
          <w:p>
            <w:pPr>
              <w:spacing w:line="360" w:lineRule="auto"/>
              <w:rPr>
                <w:rFonts w:ascii="宋体" w:hAnsi="宋体" w:cs="宋体"/>
                <w:bCs/>
                <w:szCs w:val="21"/>
              </w:rPr>
            </w:pPr>
            <w:r>
              <w:rPr>
                <w:rFonts w:hint="eastAsia" w:ascii="宋体" w:hAnsi="宋体" w:cs="宋体"/>
                <w:bCs/>
                <w:szCs w:val="21"/>
              </w:rPr>
              <w:t>1.财政资金。</w:t>
            </w:r>
          </w:p>
          <w:p>
            <w:pPr>
              <w:rPr>
                <w:bCs/>
                <w:szCs w:val="21"/>
              </w:rPr>
            </w:pPr>
            <w:r>
              <w:rPr>
                <w:rFonts w:hint="eastAsia" w:ascii="宋体" w:hAnsi="宋体" w:cs="宋体"/>
                <w:bCs/>
                <w:szCs w:val="21"/>
              </w:rPr>
              <w:t>2. 采购预算：</w:t>
            </w:r>
            <w:r>
              <w:rPr>
                <w:rFonts w:hint="eastAsia"/>
                <w:bCs/>
                <w:szCs w:val="21"/>
              </w:rPr>
              <w:t>一标包：299228.00元；</w:t>
            </w:r>
            <w:r>
              <w:rPr>
                <w:rFonts w:hint="eastAsia" w:ascii="宋体" w:hAnsi="宋体" w:cs="宋体"/>
                <w:bCs/>
                <w:szCs w:val="21"/>
              </w:rPr>
              <w:t>二标包：322539.00元；</w:t>
            </w:r>
          </w:p>
          <w:p>
            <w:pPr>
              <w:spacing w:line="360" w:lineRule="auto"/>
              <w:rPr>
                <w:rFonts w:ascii="宋体" w:hAnsi="宋体" w:cs="宋体"/>
                <w:szCs w:val="21"/>
              </w:rPr>
            </w:pPr>
            <w:r>
              <w:rPr>
                <w:rFonts w:hint="eastAsia" w:ascii="宋体" w:hAnsi="宋体" w:cs="宋体"/>
                <w:bCs/>
                <w:szCs w:val="21"/>
              </w:rPr>
              <w:t>（预算金额为预算上限，超过此预算报价为无效报价）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455"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项目地点</w:t>
            </w:r>
          </w:p>
        </w:tc>
        <w:tc>
          <w:tcPr>
            <w:tcW w:w="8226" w:type="dxa"/>
            <w:vAlign w:val="center"/>
          </w:tcPr>
          <w:p>
            <w:pPr>
              <w:spacing w:line="300" w:lineRule="auto"/>
              <w:rPr>
                <w:rFonts w:ascii="宋体" w:hAnsi="宋体" w:cs="宋体"/>
                <w:szCs w:val="21"/>
              </w:rPr>
            </w:pPr>
            <w:r>
              <w:rPr>
                <w:rFonts w:hint="eastAsia" w:ascii="宋体" w:hAnsi="宋体" w:cs="宋体"/>
                <w:bCs/>
                <w:szCs w:val="21"/>
              </w:rPr>
              <w:t>一标段：盆刘村一事一议村内街道加宽工程；二标段：大墙王村一事一议文化广场硬化及排水工程；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rPr>
                <w:rFonts w:ascii="宋体" w:hAnsi="宋体" w:cs="宋体"/>
                <w:szCs w:val="21"/>
              </w:rPr>
            </w:pPr>
            <w:r>
              <w:rPr>
                <w:rFonts w:hint="eastAsia" w:ascii="宋体" w:hAnsi="宋体" w:cs="宋体"/>
                <w:szCs w:val="21"/>
              </w:rPr>
              <w:t>项目采购内容</w:t>
            </w:r>
          </w:p>
        </w:tc>
        <w:tc>
          <w:tcPr>
            <w:tcW w:w="8226" w:type="dxa"/>
            <w:vAlign w:val="center"/>
          </w:tcPr>
          <w:p>
            <w:pPr>
              <w:pStyle w:val="29"/>
              <w:shd w:val="clear" w:color="auto" w:fill="FFFFFF"/>
              <w:spacing w:before="0" w:beforeAutospacing="0" w:after="0" w:afterAutospacing="0"/>
              <w:ind w:firstLine="556"/>
              <w:rPr>
                <w:bCs/>
                <w:szCs w:val="21"/>
              </w:rPr>
            </w:pPr>
            <w:r>
              <w:rPr>
                <w:rFonts w:hint="eastAsia"/>
                <w:bCs/>
                <w:szCs w:val="21"/>
              </w:rPr>
              <w:t>一标段：盆刘村一事一议村内街道加宽工程内容主要包括：路线全长1720米，共11个路段，原路为砼路面，路面宽4.0m。本项目改建工程利用原有路基，其中A3段设计路面宽4.0m，路基宽5.0m；A2、B1段在原有路面的基础两侧加宽0.8m；A3、B2段在原有路面的基础两侧各加宽0.8m；对部分段路面至房屋边采用3cm厚C25砼进行护坡砌筑；路面结构层均为12cm厚C25砼</w:t>
            </w:r>
          </w:p>
          <w:p>
            <w:pPr>
              <w:pStyle w:val="29"/>
              <w:shd w:val="clear" w:color="auto" w:fill="FFFFFF"/>
              <w:spacing w:before="0" w:beforeAutospacing="0" w:after="0" w:afterAutospacing="0"/>
              <w:ind w:firstLine="556"/>
              <w:rPr>
                <w:bCs/>
                <w:szCs w:val="21"/>
              </w:rPr>
            </w:pPr>
            <w:r>
              <w:rPr>
                <w:rFonts w:hint="eastAsia"/>
                <w:bCs/>
                <w:szCs w:val="21"/>
              </w:rPr>
              <w:t>二标段：大墙王村一事一议文化广场硬化及排水工程内容主要包括：路面硬化面积为2144m</w:t>
            </w:r>
            <w:r>
              <w:rPr>
                <w:rFonts w:hint="eastAsia"/>
                <w:bCs/>
                <w:szCs w:val="21"/>
                <w:vertAlign w:val="superscript"/>
              </w:rPr>
              <w:t>2</w:t>
            </w:r>
            <w:r>
              <w:rPr>
                <w:rFonts w:hint="eastAsia"/>
                <w:bCs/>
                <w:szCs w:val="21"/>
              </w:rPr>
              <w:t>，路面结构为10cm厚C25砼；砖砌排水沟500米。详细内容见谈判文件及工程量清单。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szCs w:val="21"/>
              </w:rPr>
              <w:t>工期</w:t>
            </w:r>
          </w:p>
        </w:tc>
        <w:tc>
          <w:tcPr>
            <w:tcW w:w="8226" w:type="dxa"/>
            <w:vAlign w:val="center"/>
          </w:tcPr>
          <w:p>
            <w:pPr>
              <w:spacing w:line="300" w:lineRule="auto"/>
              <w:rPr>
                <w:rFonts w:ascii="宋体" w:hAnsi="宋体" w:cs="宋体"/>
                <w:szCs w:val="21"/>
              </w:rPr>
            </w:pPr>
            <w:r>
              <w:rPr>
                <w:rFonts w:hint="eastAsia"/>
                <w:shd w:val="clear" w:color="auto" w:fill="FFFFFF"/>
              </w:rPr>
              <w:t>均</w:t>
            </w:r>
            <w:r>
              <w:rPr>
                <w:rFonts w:hint="eastAsia" w:ascii="宋体" w:hAnsi="宋体" w:cs="宋体"/>
                <w:szCs w:val="21"/>
              </w:rPr>
              <w:t>为合同签订后30日历天内。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226" w:type="dxa"/>
            <w:vAlign w:val="center"/>
          </w:tcPr>
          <w:p>
            <w:pPr>
              <w:spacing w:line="300" w:lineRule="auto"/>
              <w:rPr>
                <w:rFonts w:ascii="宋体" w:hAnsi="宋体" w:cs="宋体"/>
                <w:szCs w:val="21"/>
              </w:rPr>
            </w:pPr>
            <w:r>
              <w:rPr>
                <w:rFonts w:hint="eastAsia" w:ascii="宋体" w:hAnsi="宋体" w:cs="宋体"/>
                <w:szCs w:val="21"/>
              </w:rPr>
              <w:t>合格（符合国家现行规范、规程、规定、标准的要求）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226"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226" w:type="dxa"/>
            <w:vAlign w:val="center"/>
          </w:tcPr>
          <w:p>
            <w:pPr>
              <w:spacing w:line="300" w:lineRule="auto"/>
              <w:rPr>
                <w:rFonts w:ascii="宋体" w:hAnsi="宋体"/>
                <w:bCs/>
                <w:szCs w:val="21"/>
              </w:rPr>
            </w:pPr>
            <w:r>
              <w:rPr>
                <w:rFonts w:hint="eastAsia" w:ascii="宋体" w:hAnsi="宋体"/>
                <w:bCs/>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226"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纸质响应文件：正本一份，副本一份。使用格式为“响应文件（供打印）.PDF”的文件。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226"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长葛市公共资源交易中心</w:t>
            </w:r>
            <w:r>
              <w:rPr>
                <w:rFonts w:hint="eastAsia" w:ascii="宋体" w:hAnsi="宋体"/>
                <w:bCs/>
                <w:color w:val="C00000"/>
                <w:szCs w:val="21"/>
                <w:lang w:val="en-US" w:eastAsia="zh-CN"/>
              </w:rPr>
              <w:t>5</w:t>
            </w:r>
            <w:r>
              <w:rPr>
                <w:rFonts w:hint="eastAsia" w:ascii="宋体" w:hAnsi="宋体"/>
                <w:bCs/>
                <w:color w:val="C00000"/>
                <w:szCs w:val="21"/>
              </w:rPr>
              <w:t>楼</w:t>
            </w:r>
            <w:r>
              <w:rPr>
                <w:rFonts w:hint="eastAsia" w:ascii="宋体" w:hAnsi="宋体"/>
                <w:bCs/>
                <w:color w:val="C00000"/>
                <w:szCs w:val="21"/>
                <w:lang w:val="en-US" w:eastAsia="zh-CN"/>
              </w:rPr>
              <w:t>507</w:t>
            </w:r>
            <w:r>
              <w:rPr>
                <w:rFonts w:hint="eastAsia" w:ascii="宋体" w:hAnsi="宋体"/>
                <w:bCs/>
                <w:color w:val="C00000"/>
                <w:szCs w:val="21"/>
              </w:rPr>
              <w:t>室开标</w:t>
            </w:r>
            <w:r>
              <w:rPr>
                <w:rFonts w:hint="eastAsia" w:ascii="宋体" w:hAnsi="宋体"/>
                <w:bCs/>
                <w:color w:val="C00000"/>
                <w:szCs w:val="21"/>
                <w:lang w:eastAsia="zh-CN"/>
              </w:rPr>
              <w:t>四</w:t>
            </w:r>
            <w:r>
              <w:rPr>
                <w:rFonts w:hint="eastAsia" w:ascii="宋体" w:hAnsi="宋体"/>
                <w:bCs/>
                <w:color w:val="C00000"/>
                <w:szCs w:val="21"/>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谈判文件接收截止时间及谈判时间：</w:t>
            </w:r>
            <w:r>
              <w:rPr>
                <w:rFonts w:hint="eastAsia"/>
                <w:color w:val="C00000"/>
                <w:shd w:val="clear" w:color="auto" w:fill="FFFFFF"/>
              </w:rPr>
              <w:t>2019年</w:t>
            </w:r>
            <w:r>
              <w:rPr>
                <w:rFonts w:hint="eastAsia"/>
                <w:color w:val="C00000"/>
                <w:shd w:val="clear" w:color="auto" w:fill="FFFFFF"/>
                <w:lang w:val="en-US" w:eastAsia="zh-CN"/>
              </w:rPr>
              <w:t>1</w:t>
            </w:r>
            <w:r>
              <w:rPr>
                <w:rFonts w:hint="eastAsia"/>
                <w:color w:val="C00000"/>
                <w:shd w:val="clear" w:color="auto" w:fill="FFFFFF"/>
              </w:rPr>
              <w:t>月</w:t>
            </w:r>
            <w:r>
              <w:rPr>
                <w:rFonts w:hint="eastAsia"/>
                <w:color w:val="C00000"/>
                <w:shd w:val="clear" w:color="auto" w:fill="FFFFFF"/>
                <w:lang w:val="en-US" w:eastAsia="zh-CN"/>
              </w:rPr>
              <w:t>13</w:t>
            </w:r>
            <w:r>
              <w:rPr>
                <w:rFonts w:hint="eastAsia"/>
                <w:color w:val="C00000"/>
                <w:shd w:val="clear" w:color="auto" w:fill="FFFFFF"/>
              </w:rPr>
              <w:t xml:space="preserve">日 </w:t>
            </w:r>
            <w:r>
              <w:rPr>
                <w:rFonts w:hint="eastAsia"/>
                <w:color w:val="C00000"/>
                <w:shd w:val="clear" w:color="auto" w:fill="FFFFFF"/>
                <w:lang w:val="en-US" w:eastAsia="zh-CN"/>
              </w:rPr>
              <w:t>10</w:t>
            </w:r>
            <w:r>
              <w:rPr>
                <w:rFonts w:hint="eastAsia"/>
                <w:color w:val="C00000"/>
                <w:shd w:val="clear" w:color="auto" w:fill="FFFFFF"/>
              </w:rPr>
              <w:t>时</w:t>
            </w:r>
            <w:r>
              <w:rPr>
                <w:rFonts w:hint="eastAsia"/>
                <w:color w:val="C00000"/>
                <w:shd w:val="clear" w:color="auto" w:fill="FFFFFF"/>
                <w:lang w:val="en-US" w:eastAsia="zh-CN"/>
              </w:rPr>
              <w:t>30</w:t>
            </w:r>
            <w:r>
              <w:rPr>
                <w:rFonts w:hint="eastAsia"/>
                <w:color w:val="C00000"/>
                <w:shd w:val="clear" w:color="auto" w:fill="FFFFFF"/>
              </w:rPr>
              <w:t>分</w:t>
            </w:r>
            <w:r>
              <w:rPr>
                <w:rFonts w:hint="eastAsia" w:ascii="宋体" w:hAnsi="宋体"/>
                <w:bCs/>
                <w:color w:val="C00000"/>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226"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投标承诺函</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不收取投标保证金，但投标人需出具《投标承诺函》（格式后附）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20" w:lineRule="exact"/>
              <w:rPr>
                <w:rFonts w:ascii="宋体" w:hAnsi="宋体" w:cs="Arial"/>
                <w:bCs/>
                <w:szCs w:val="21"/>
              </w:rPr>
            </w:pPr>
            <w:r>
              <w:rPr>
                <w:rFonts w:hint="eastAsia" w:ascii="宋体" w:hAnsi="宋体" w:cs="Arial"/>
                <w:bCs/>
                <w:szCs w:val="21"/>
              </w:rPr>
              <w:t>履</w:t>
            </w:r>
            <w:r>
              <w:rPr>
                <w:rFonts w:ascii="宋体" w:hAnsi="宋体" w:cs="Arial"/>
                <w:bCs/>
                <w:szCs w:val="21"/>
              </w:rPr>
              <w:t>约</w:t>
            </w:r>
            <w:r>
              <w:rPr>
                <w:rFonts w:hint="eastAsia" w:ascii="宋体" w:hAnsi="宋体" w:cs="Arial"/>
                <w:bCs/>
                <w:szCs w:val="21"/>
              </w:rPr>
              <w:t>保</w:t>
            </w:r>
            <w:r>
              <w:rPr>
                <w:rFonts w:ascii="宋体" w:hAnsi="宋体" w:cs="Arial"/>
                <w:bCs/>
                <w:szCs w:val="21"/>
              </w:rPr>
              <w:t>证金</w:t>
            </w:r>
          </w:p>
        </w:tc>
        <w:tc>
          <w:tcPr>
            <w:tcW w:w="8226" w:type="dxa"/>
            <w:vAlign w:val="center"/>
          </w:tcPr>
          <w:p>
            <w:pPr>
              <w:spacing w:line="320" w:lineRule="exact"/>
              <w:rPr>
                <w:rFonts w:ascii="宋体" w:hAnsi="宋体"/>
                <w:bCs/>
                <w:szCs w:val="21"/>
              </w:rPr>
            </w:pPr>
            <w:r>
              <w:rPr>
                <w:rFonts w:hint="eastAsia" w:ascii="宋体" w:hAnsi="宋体"/>
                <w:bCs/>
                <w:szCs w:val="21"/>
              </w:rPr>
              <w:t>开户银行：中国工商银行股份有限公司长葛支行</w:t>
            </w:r>
          </w:p>
          <w:p>
            <w:pPr>
              <w:spacing w:line="320" w:lineRule="exact"/>
              <w:rPr>
                <w:rFonts w:ascii="宋体" w:hAnsi="宋体"/>
                <w:bCs/>
                <w:szCs w:val="21"/>
              </w:rPr>
            </w:pPr>
            <w:r>
              <w:rPr>
                <w:rFonts w:hint="eastAsia" w:ascii="宋体" w:hAnsi="宋体"/>
                <w:bCs/>
                <w:szCs w:val="21"/>
              </w:rPr>
              <w:t>帐户名称：长葛市公共资源交易中心</w:t>
            </w:r>
          </w:p>
          <w:p>
            <w:pPr>
              <w:spacing w:line="320" w:lineRule="exact"/>
              <w:rPr>
                <w:rFonts w:ascii="宋体" w:hAnsi="宋体"/>
                <w:bCs/>
                <w:szCs w:val="21"/>
              </w:rPr>
            </w:pPr>
            <w:r>
              <w:rPr>
                <w:rFonts w:hint="eastAsia" w:ascii="宋体" w:hAnsi="宋体"/>
                <w:bCs/>
                <w:szCs w:val="21"/>
              </w:rPr>
              <w:t>帐号1708026029200151795</w:t>
            </w:r>
          </w:p>
          <w:p>
            <w:pPr>
              <w:autoSpaceDE w:val="0"/>
              <w:autoSpaceDN w:val="0"/>
              <w:adjustRightInd w:val="0"/>
              <w:spacing w:line="320" w:lineRule="exact"/>
              <w:rPr>
                <w:rFonts w:ascii="宋体" w:hAnsi="宋体" w:cs="Arial"/>
                <w:bCs/>
                <w:szCs w:val="21"/>
              </w:rPr>
            </w:pPr>
            <w:r>
              <w:rPr>
                <w:rFonts w:hint="eastAsia" w:ascii="宋体" w:hAnsi="宋体" w:cs="Arial"/>
                <w:bCs/>
                <w:szCs w:val="21"/>
              </w:rPr>
              <w:t>履约保证金的形式：基本户转账，在中标人签订合同前办理。</w:t>
            </w:r>
          </w:p>
          <w:p>
            <w:pPr>
              <w:spacing w:line="320" w:lineRule="exact"/>
              <w:ind w:right="-88" w:rightChars="-42"/>
              <w:rPr>
                <w:rFonts w:ascii="宋体" w:hAnsi="宋体" w:cs="Arial"/>
                <w:bCs/>
                <w:szCs w:val="21"/>
              </w:rPr>
            </w:pPr>
            <w:r>
              <w:rPr>
                <w:rFonts w:hint="eastAsia" w:ascii="宋体" w:hAnsi="宋体" w:cs="Arial"/>
                <w:bCs/>
                <w:szCs w:val="21"/>
              </w:rPr>
              <w:t>履约保证金的金额：中标金额的10%。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226"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长葛市公共资源交易中心出具授权函。除授权代表外，采购单位委派纪检监察人员对评标过程实施监督的须进入四楼电子监督室，并向采购长葛市公共资源交易中心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hint="eastAsia"/>
              </w:rPr>
              <w:t>本项目不接受联合体参加谈判。</w:t>
            </w:r>
          </w:p>
          <w:p>
            <w:pPr>
              <w:spacing w:line="300" w:lineRule="auto"/>
              <w:rPr>
                <w:rFonts w:ascii="宋体" w:hAnsi="宋体" w:cs="Arial"/>
                <w:bCs/>
                <w:szCs w:val="21"/>
              </w:rPr>
            </w:pPr>
            <w:r>
              <w:rPr>
                <w:rFonts w:hint="eastAsia" w:ascii="宋体" w:hAnsi="宋体" w:cs="Arial"/>
                <w:bCs/>
                <w:szCs w:val="21"/>
              </w:rPr>
              <w:t>5</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w:t>
            </w:r>
            <w:r>
              <w:rPr>
                <w:rFonts w:hint="eastAsia" w:ascii="宋体" w:hAnsi="宋体" w:cs="Arial"/>
                <w:bCs/>
                <w:szCs w:val="21"/>
              </w:rPr>
              <w:t>。</w:t>
            </w:r>
          </w:p>
        </w:tc>
      </w:tr>
    </w:tbl>
    <w:p>
      <w:pPr>
        <w:spacing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3"/>
        <w:tblW w:w="9800" w:type="dxa"/>
        <w:jc w:val="right"/>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2614258"/>
            <w:bookmarkEnd w:id="0"/>
            <w:bookmarkStart w:id="1" w:name="定位_【循环符合性证明材料】_20122314636"/>
            <w:bookmarkEnd w:id="1"/>
            <w:bookmarkStart w:id="2" w:name="定位_【循环符合性证明材料】_201244141212"/>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Arial"/>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autoSpaceDE w:val="0"/>
              <w:autoSpaceDN w:val="0"/>
              <w:adjustRightInd w:val="0"/>
              <w:spacing w:line="360" w:lineRule="auto"/>
              <w:ind w:right="-11"/>
              <w:rPr>
                <w:rFonts w:ascii="宋体" w:hAnsi="宋体" w:cs="Arial"/>
                <w:szCs w:val="21"/>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bCs/>
                <w:szCs w:val="21"/>
              </w:rPr>
            </w:pPr>
            <w:r>
              <w:rPr>
                <w:rFonts w:hint="eastAsia" w:ascii="宋体" w:hAnsi="宋体" w:cs="Arial"/>
                <w:b/>
                <w:bCs/>
                <w:szCs w:val="21"/>
              </w:rPr>
              <w:t>4、投标函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lang w:val="zh-CN"/>
              </w:rPr>
            </w:pPr>
            <w:r>
              <w:rPr>
                <w:rFonts w:hint="eastAsia" w:ascii="宋体" w:hAnsi="宋体" w:cs="Arial"/>
                <w:b/>
                <w:bCs/>
                <w:szCs w:val="21"/>
              </w:rPr>
              <w:t>7</w:t>
            </w:r>
            <w:r>
              <w:rPr>
                <w:rFonts w:hint="eastAsia" w:ascii="宋体" w:hAnsi="宋体" w:cs="Arial"/>
                <w:b/>
                <w:bCs/>
                <w:szCs w:val="21"/>
                <w:lang w:val="zh-CN"/>
              </w:rPr>
              <w:t>、履行合同所必须的设备和专业技术能力的证明材料</w:t>
            </w:r>
          </w:p>
          <w:p>
            <w:pPr>
              <w:spacing w:line="360" w:lineRule="auto"/>
              <w:rPr>
                <w:rFonts w:ascii="宋体" w:hAnsi="宋体" w:cs="Arial"/>
                <w:szCs w:val="21"/>
              </w:rPr>
            </w:pPr>
            <w:r>
              <w:rPr>
                <w:rFonts w:hint="eastAsia" w:ascii="宋体" w:hAnsi="宋体" w:cs="Arial"/>
                <w:szCs w:val="21"/>
                <w:lang w:val="zh-CN"/>
              </w:rPr>
              <w:t>专业技术人员职称证书、用工合同等或者附供应商相关承诺函或声明。（格式自拟）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wordWrap w:val="0"/>
              <w:autoSpaceDE w:val="0"/>
              <w:autoSpaceDN w:val="0"/>
              <w:spacing w:line="360" w:lineRule="auto"/>
              <w:contextualSpacing/>
              <w:jc w:val="left"/>
              <w:rPr>
                <w:rFonts w:cs="宋体" w:asciiTheme="minorEastAsia" w:hAnsiTheme="minorEastAsia"/>
                <w:kern w:val="0"/>
                <w:szCs w:val="21"/>
              </w:rPr>
            </w:pPr>
            <w:r>
              <w:rPr>
                <w:rFonts w:hint="eastAsia" w:ascii="宋体" w:hAnsi="宋体" w:cs="Arial"/>
                <w:b/>
                <w:bCs/>
                <w:szCs w:val="21"/>
              </w:rPr>
              <w:t>8</w:t>
            </w:r>
            <w:r>
              <w:rPr>
                <w:rFonts w:hint="eastAsia" w:ascii="宋体" w:hAnsi="宋体" w:cs="Arial"/>
                <w:b/>
                <w:bCs/>
                <w:szCs w:val="21"/>
                <w:lang w:val="zh-CN"/>
              </w:rPr>
              <w:t>、</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hint="eastAsia" w:ascii="宋体" w:hAnsi="宋体" w:cs="宋体"/>
                <w:color w:val="000000"/>
                <w:szCs w:val="21"/>
                <w:shd w:val="clear" w:color="auto" w:fill="FFFFFF"/>
              </w:rPr>
              <w:t>中</w:t>
            </w:r>
            <w:r>
              <w:rPr>
                <w:rFonts w:hint="eastAsia" w:cs="仿宋_GB2312" w:asciiTheme="minorEastAsia" w:hAnsiTheme="minorEastAsia"/>
                <w:b/>
                <w:color w:val="000000"/>
                <w:szCs w:val="21"/>
                <w:shd w:val="clear" w:color="auto" w:fill="FFFFFF"/>
              </w:rPr>
              <w:t>国政府采购网” (www.ccgp.gov.cn)政府采购严重违法失信行为记录名单的供应商。</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ascii="宋体" w:hAnsi="宋体" w:cs="宋体"/>
                <w:color w:val="000000"/>
                <w:szCs w:val="21"/>
                <w:shd w:val="clear" w:color="auto" w:fill="FFFFFF"/>
              </w:rPr>
            </w:pPr>
            <w:r>
              <w:rPr>
                <w:rFonts w:hint="eastAsia" w:cs="宋体" w:asciiTheme="minorEastAsia" w:hAnsiTheme="minorEastAsia"/>
                <w:kern w:val="0"/>
                <w:szCs w:val="21"/>
              </w:rPr>
              <w:t>②“</w:t>
            </w:r>
            <w:r>
              <w:rPr>
                <w:rFonts w:hint="eastAsia" w:ascii="宋体" w:hAnsi="宋体" w:cs="宋体"/>
                <w:color w:val="000000"/>
                <w:szCs w:val="21"/>
                <w:shd w:val="clear" w:color="auto" w:fill="FFFFFF"/>
              </w:rPr>
              <w:t>中国政府采购网” (www.ccgp.gov.cn)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Arial"/>
                <w:szCs w:val="21"/>
                <w:lang w:val="zh-CN"/>
              </w:rPr>
              <w:t>（5）投标人无须提供信用记录查询结果网页截屏，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宋体"/>
                <w:b/>
                <w:bCs/>
                <w:kern w:val="0"/>
                <w:szCs w:val="21"/>
              </w:rPr>
              <w:t>9、具有相应的业务经营范围。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b/>
                <w:bCs/>
                <w:szCs w:val="21"/>
              </w:rPr>
            </w:pPr>
            <w:r>
              <w:rPr>
                <w:rFonts w:hint="eastAsia" w:ascii="宋体" w:hAnsi="宋体" w:cs="宋体"/>
                <w:b/>
                <w:szCs w:val="21"/>
              </w:rPr>
              <w:t>10、投标</w:t>
            </w:r>
            <w:r>
              <w:rPr>
                <w:rFonts w:hint="eastAsia" w:ascii="宋体" w:hAnsi="宋体" w:cs="Arial"/>
                <w:b/>
                <w:szCs w:val="21"/>
              </w:rPr>
              <w:t>承诺</w:t>
            </w:r>
            <w:r>
              <w:rPr>
                <w:rFonts w:hint="eastAsia" w:ascii="宋体" w:hAnsi="宋体" w:cs="宋体"/>
                <w:b/>
                <w:szCs w:val="21"/>
              </w:rPr>
              <w:t>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bookmarkStart w:id="3" w:name="定位_【循环资格性证明材料】_201244141223"/>
            <w:bookmarkEnd w:id="3"/>
            <w:bookmarkStart w:id="4" w:name="定位_【循环资格性证明材料】_2012261436"/>
            <w:bookmarkEnd w:id="4"/>
            <w:bookmarkStart w:id="5" w:name="定位_【循环资格性证明材料】_20122314645"/>
            <w:bookmarkEnd w:id="5"/>
            <w:r>
              <w:rPr>
                <w:rFonts w:hint="eastAsia" w:ascii="宋体" w:hAnsi="宋体" w:cs="宋体"/>
                <w:bCs/>
                <w:kern w:val="0"/>
                <w:szCs w:val="21"/>
              </w:rPr>
              <w:t>1.</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2.售后服务承诺书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3.施工方案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4.响应文件实质响应情况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Lines="100"/>
        <w:jc w:val="center"/>
        <w:rPr>
          <w:rFonts w:asciiTheme="majorEastAsia" w:hAnsiTheme="majorEastAsia" w:eastAsiaTheme="majorEastAsia"/>
          <w:b/>
          <w:sz w:val="32"/>
          <w:szCs w:val="32"/>
        </w:rPr>
      </w:pPr>
      <w:bookmarkStart w:id="22" w:name="_GoBack"/>
      <w:bookmarkEnd w:id="22"/>
      <w:r>
        <w:rPr>
          <w:rFonts w:hint="eastAsia" w:asciiTheme="majorEastAsia" w:hAnsiTheme="majorEastAsia" w:eastAsiaTheme="majorEastAsia"/>
          <w:b/>
          <w:sz w:val="32"/>
          <w:szCs w:val="32"/>
        </w:rPr>
        <w:br w:type="page"/>
      </w:r>
    </w:p>
    <w:p>
      <w:pPr>
        <w:spacing w:afterLines="100"/>
        <w:jc w:val="center"/>
        <w:rPr>
          <w:rFonts w:ascii="宋体" w:hAnsi="宋体"/>
          <w:b/>
          <w:sz w:val="24"/>
        </w:rPr>
      </w:pPr>
      <w:r>
        <w:rPr>
          <w:rFonts w:hint="eastAsia" w:asciiTheme="majorEastAsia" w:hAnsiTheme="majorEastAsia" w:eastAsiaTheme="majorEastAsia"/>
          <w:b/>
          <w:sz w:val="32"/>
          <w:szCs w:val="32"/>
        </w:rPr>
        <w:t>第四章  采购项目需求及相关要求</w:t>
      </w:r>
    </w:p>
    <w:p>
      <w:pPr>
        <w:spacing w:line="360" w:lineRule="auto"/>
        <w:ind w:firstLine="482" w:firstLineChars="200"/>
        <w:outlineLvl w:val="0"/>
        <w:rPr>
          <w:rFonts w:ascii="宋体" w:hAnsi="宋体" w:cs="宋体"/>
          <w:b/>
          <w:kern w:val="0"/>
          <w:sz w:val="24"/>
          <w:szCs w:val="24"/>
          <w:lang w:val="zh-CN"/>
        </w:rPr>
      </w:pPr>
      <w:r>
        <w:rPr>
          <w:rFonts w:hint="eastAsia" w:ascii="宋体" w:hAnsi="宋体" w:cs="宋体"/>
          <w:b/>
          <w:sz w:val="24"/>
          <w:szCs w:val="24"/>
        </w:rPr>
        <w:t>一、</w:t>
      </w:r>
      <w:r>
        <w:rPr>
          <w:rFonts w:hint="eastAsia" w:ascii="宋体" w:hAnsi="宋体" w:cs="宋体"/>
          <w:b/>
          <w:kern w:val="0"/>
          <w:sz w:val="24"/>
          <w:szCs w:val="24"/>
          <w:lang w:val="zh-CN"/>
        </w:rPr>
        <w:t>采购项目概况</w:t>
      </w:r>
    </w:p>
    <w:p>
      <w:pPr>
        <w:spacing w:line="360" w:lineRule="auto"/>
        <w:ind w:firstLine="480" w:firstLineChars="200"/>
        <w:outlineLvl w:val="0"/>
        <w:rPr>
          <w:rFonts w:ascii="宋体" w:hAnsi="宋体" w:cs="宋体"/>
          <w:bCs/>
          <w:kern w:val="0"/>
          <w:sz w:val="24"/>
          <w:szCs w:val="24"/>
        </w:rPr>
      </w:pPr>
      <w:r>
        <w:rPr>
          <w:rFonts w:hint="eastAsia" w:ascii="宋体" w:hAnsi="宋体" w:cs="宋体"/>
          <w:bCs/>
          <w:kern w:val="0"/>
          <w:sz w:val="24"/>
          <w:szCs w:val="24"/>
        </w:rPr>
        <w:t>一标段：盆刘村一事一议村内街道加宽工程内容主要包括：路线全长1720米，共11个路段，原路为砼路面，路面宽4.0m。本项目改建工程利用原有路基，其中A3段设计路面宽4.0m，路基宽5.0m；A2、B1段在原有路面的基础两侧加宽0.8m；A3、B2段在原有路面的基础两侧各加宽0.8m；对部分段路面至房屋边采用3cm厚C25砼进行护坡砌筑；路面结构层均为12cm厚C25砼</w:t>
      </w:r>
    </w:p>
    <w:p>
      <w:pPr>
        <w:spacing w:line="360" w:lineRule="auto"/>
        <w:ind w:firstLine="480" w:firstLineChars="200"/>
        <w:outlineLvl w:val="0"/>
        <w:rPr>
          <w:rFonts w:ascii="宋体" w:hAnsi="宋体" w:cs="宋体"/>
          <w:bCs/>
          <w:kern w:val="0"/>
          <w:sz w:val="24"/>
          <w:szCs w:val="24"/>
        </w:rPr>
      </w:pPr>
      <w:r>
        <w:rPr>
          <w:rFonts w:hint="eastAsia" w:ascii="宋体" w:hAnsi="宋体" w:cs="宋体"/>
          <w:bCs/>
          <w:kern w:val="0"/>
          <w:sz w:val="24"/>
          <w:szCs w:val="24"/>
        </w:rPr>
        <w:t>二标段：大墙王村一事一议文化广场硬化及排水工程内容主要包括：路面硬化面积为2144m</w:t>
      </w:r>
      <w:r>
        <w:rPr>
          <w:rFonts w:hint="eastAsia" w:ascii="宋体" w:hAnsi="宋体" w:cs="宋体"/>
          <w:bCs/>
          <w:kern w:val="0"/>
          <w:sz w:val="24"/>
          <w:szCs w:val="24"/>
          <w:vertAlign w:val="superscript"/>
        </w:rPr>
        <w:t>2</w:t>
      </w:r>
      <w:r>
        <w:rPr>
          <w:rFonts w:hint="eastAsia" w:ascii="宋体" w:hAnsi="宋体" w:cs="宋体"/>
          <w:bCs/>
          <w:kern w:val="0"/>
          <w:sz w:val="24"/>
          <w:szCs w:val="24"/>
        </w:rPr>
        <w:t>，路面结构为10cm厚C25砼；砖砌排水沟500米。详细内容见谈判文件及工程量清单。</w:t>
      </w:r>
    </w:p>
    <w:p>
      <w:pPr>
        <w:spacing w:line="360" w:lineRule="auto"/>
        <w:ind w:firstLine="482" w:firstLineChars="200"/>
        <w:outlineLvl w:val="0"/>
        <w:rPr>
          <w:rFonts w:ascii="宋体" w:hAnsi="宋体" w:cs="宋体"/>
          <w:kern w:val="0"/>
          <w:sz w:val="28"/>
          <w:szCs w:val="28"/>
          <w:lang w:val="zh-CN"/>
        </w:rPr>
      </w:pPr>
      <w:r>
        <w:rPr>
          <w:rFonts w:hint="eastAsia" w:ascii="宋体" w:hAnsi="宋体" w:cs="宋体"/>
          <w:b/>
          <w:kern w:val="0"/>
          <w:sz w:val="24"/>
          <w:szCs w:val="24"/>
        </w:rPr>
        <w:t>二</w:t>
      </w:r>
      <w:r>
        <w:rPr>
          <w:rFonts w:hint="eastAsia" w:ascii="宋体" w:hAnsi="宋体" w:cs="宋体"/>
          <w:b/>
          <w:kern w:val="0"/>
          <w:sz w:val="24"/>
          <w:szCs w:val="24"/>
          <w:lang w:val="zh-CN"/>
        </w:rPr>
        <w:t>、采购标的执行标准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（需执行的国家相关标准、行业标准、地方标准或其他标准、规范）符合国家及相关行业规定达到合格标准。</w:t>
      </w:r>
    </w:p>
    <w:p>
      <w:pPr>
        <w:spacing w:line="360" w:lineRule="auto"/>
        <w:ind w:firstLine="482" w:firstLineChars="200"/>
        <w:outlineLvl w:val="0"/>
        <w:rPr>
          <w:rFonts w:ascii="宋体" w:hAnsi="宋体" w:cs="宋体"/>
          <w:b/>
          <w:kern w:val="0"/>
          <w:sz w:val="24"/>
          <w:szCs w:val="24"/>
          <w:lang w:val="zh-CN"/>
        </w:rPr>
      </w:pPr>
      <w:r>
        <w:rPr>
          <w:rFonts w:hint="eastAsia" w:ascii="宋体" w:hAnsi="宋体" w:cs="宋体"/>
          <w:b/>
          <w:kern w:val="0"/>
          <w:sz w:val="24"/>
          <w:szCs w:val="24"/>
        </w:rPr>
        <w:t>三</w:t>
      </w:r>
      <w:r>
        <w:rPr>
          <w:rFonts w:hint="eastAsia" w:ascii="宋体" w:hAnsi="宋体" w:cs="宋体"/>
          <w:b/>
          <w:kern w:val="0"/>
          <w:sz w:val="24"/>
          <w:szCs w:val="24"/>
          <w:lang w:val="zh-CN"/>
        </w:rPr>
        <w:t>、投标报价依据说明</w:t>
      </w:r>
    </w:p>
    <w:p>
      <w:pPr>
        <w:spacing w:line="360" w:lineRule="auto"/>
        <w:ind w:firstLine="480" w:firstLineChars="200"/>
        <w:rPr>
          <w:rFonts w:ascii="宋体" w:hAnsi="宋体"/>
          <w:kern w:val="0"/>
          <w:sz w:val="24"/>
          <w:szCs w:val="24"/>
        </w:rPr>
      </w:pPr>
      <w:r>
        <w:rPr>
          <w:rFonts w:hint="eastAsia" w:ascii="宋体" w:hAnsi="宋体"/>
          <w:kern w:val="0"/>
          <w:sz w:val="24"/>
          <w:szCs w:val="24"/>
        </w:rPr>
        <w:t>1、依据建设单位提供的施工图纸；</w:t>
      </w:r>
    </w:p>
    <w:p>
      <w:pPr>
        <w:spacing w:line="360" w:lineRule="auto"/>
        <w:ind w:firstLine="480" w:firstLineChars="200"/>
        <w:rPr>
          <w:rFonts w:ascii="宋体" w:hAnsi="宋体"/>
          <w:kern w:val="0"/>
          <w:sz w:val="24"/>
          <w:szCs w:val="24"/>
        </w:rPr>
      </w:pPr>
      <w:r>
        <w:rPr>
          <w:rFonts w:hint="eastAsia" w:ascii="宋体" w:hAnsi="宋体"/>
          <w:kern w:val="0"/>
          <w:sz w:val="24"/>
          <w:szCs w:val="24"/>
        </w:rPr>
        <w:t>2、清单依据《公路工程建设项目概算预算编制方法》（JTG3830-2018）；</w:t>
      </w:r>
    </w:p>
    <w:p>
      <w:pPr>
        <w:spacing w:line="360" w:lineRule="auto"/>
        <w:ind w:firstLine="480" w:firstLineChars="200"/>
        <w:rPr>
          <w:rFonts w:ascii="宋体" w:hAnsi="宋体"/>
          <w:kern w:val="0"/>
          <w:sz w:val="24"/>
          <w:szCs w:val="24"/>
        </w:rPr>
      </w:pPr>
      <w:r>
        <w:rPr>
          <w:rFonts w:hint="eastAsia" w:ascii="宋体" w:hAnsi="宋体"/>
          <w:kern w:val="0"/>
          <w:sz w:val="24"/>
          <w:szCs w:val="24"/>
        </w:rPr>
        <w:t>3、定额依据《公路工程预算定额》 （JTG/T3832-2018）《公路工程机械台班费用定额》（JTG/T3833-2018）及相关配套文件的规定；</w:t>
      </w:r>
    </w:p>
    <w:p>
      <w:pPr>
        <w:spacing w:line="360" w:lineRule="auto"/>
        <w:ind w:firstLine="480" w:firstLineChars="200"/>
        <w:rPr>
          <w:rFonts w:ascii="宋体" w:hAnsi="宋体"/>
          <w:kern w:val="0"/>
          <w:sz w:val="24"/>
          <w:szCs w:val="24"/>
        </w:rPr>
      </w:pPr>
      <w:r>
        <w:rPr>
          <w:rFonts w:hint="eastAsia" w:ascii="宋体" w:hAnsi="宋体"/>
          <w:kern w:val="0"/>
          <w:sz w:val="24"/>
          <w:szCs w:val="24"/>
        </w:rPr>
        <w:t>4、材料价格按2019年第4期《许昌工程造价信息》，未包含的材料价格参考市场价；</w:t>
      </w:r>
    </w:p>
    <w:p>
      <w:pPr>
        <w:spacing w:line="360" w:lineRule="auto"/>
        <w:ind w:firstLine="480" w:firstLineChars="200"/>
        <w:rPr>
          <w:rFonts w:ascii="宋体" w:hAnsi="宋体"/>
          <w:kern w:val="0"/>
          <w:sz w:val="24"/>
          <w:szCs w:val="24"/>
        </w:rPr>
      </w:pPr>
      <w:r>
        <w:rPr>
          <w:rFonts w:hint="eastAsia" w:ascii="宋体" w:hAnsi="宋体"/>
          <w:kern w:val="0"/>
          <w:sz w:val="24"/>
          <w:szCs w:val="24"/>
        </w:rPr>
        <w:t>5、税金按9%计入；</w:t>
      </w:r>
    </w:p>
    <w:p>
      <w:pPr>
        <w:spacing w:line="360" w:lineRule="auto"/>
        <w:ind w:firstLine="480" w:firstLineChars="200"/>
        <w:outlineLvl w:val="0"/>
        <w:rPr>
          <w:rFonts w:ascii="宋体" w:hAnsi="宋体"/>
          <w:kern w:val="0"/>
          <w:sz w:val="24"/>
          <w:szCs w:val="24"/>
        </w:rPr>
      </w:pPr>
      <w:r>
        <w:rPr>
          <w:rFonts w:hint="eastAsia" w:ascii="宋体" w:hAnsi="宋体"/>
          <w:kern w:val="0"/>
          <w:sz w:val="24"/>
          <w:szCs w:val="24"/>
        </w:rPr>
        <w:t>6、人工费依据按豫交规划【2019】274号文，按108.85元/工日计入。</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rPr>
        <w:t>四</w:t>
      </w:r>
      <w:r>
        <w:rPr>
          <w:rFonts w:hint="eastAsia" w:ascii="宋体" w:hAnsi="宋体" w:cs="宋体"/>
          <w:b/>
          <w:sz w:val="24"/>
          <w:szCs w:val="24"/>
          <w:lang w:val="zh-CN"/>
        </w:rPr>
        <w:t>、验收标准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32"/>
        <w:ind w:left="360" w:leftChars="0" w:firstLine="0" w:firstLineChars="0"/>
        <w:rPr>
          <w:rFonts w:hAnsi="宋体" w:cs="宋体"/>
          <w:szCs w:val="24"/>
        </w:rPr>
      </w:pPr>
      <w:r>
        <w:rPr>
          <w:rFonts w:hint="eastAsia" w:hAnsi="宋体" w:cs="宋体"/>
          <w:szCs w:val="24"/>
        </w:rPr>
        <w:t>1、按照国家相关标准、行业标准、地方标准或其他标准、规范验收。</w:t>
      </w:r>
    </w:p>
    <w:p>
      <w:pPr>
        <w:pStyle w:val="32"/>
        <w:ind w:left="360" w:leftChars="0" w:firstLine="0" w:firstLineChars="0"/>
        <w:rPr>
          <w:rFonts w:hAnsi="宋体" w:cs="宋体"/>
          <w:szCs w:val="24"/>
        </w:rPr>
      </w:pPr>
      <w:r>
        <w:rPr>
          <w:rFonts w:hint="eastAsia" w:hAnsi="宋体" w:cs="宋体"/>
          <w:szCs w:val="24"/>
        </w:rPr>
        <w:t>2、按照招标文件要求、投标文件响应和承诺验收。</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五、其他要求</w:t>
      </w:r>
    </w:p>
    <w:p>
      <w:pPr>
        <w:pStyle w:val="32"/>
        <w:ind w:left="0" w:leftChars="0" w:firstLine="480"/>
      </w:pPr>
      <w:r>
        <w:rPr>
          <w:rFonts w:hint="eastAsia"/>
        </w:rPr>
        <w:t>1、供方在合同规定的工期内不能完工，应向需方支付全部合同金额5%的违约金，需方有权终止合同。</w:t>
      </w:r>
    </w:p>
    <w:p>
      <w:pPr>
        <w:pStyle w:val="32"/>
        <w:ind w:left="0" w:leftChars="0" w:firstLine="480"/>
      </w:pPr>
      <w:r>
        <w:rPr>
          <w:rFonts w:hint="eastAsia"/>
        </w:rPr>
        <w:t>2、因供方原因造成逾期付款，需方不承担责任。</w:t>
      </w:r>
    </w:p>
    <w:p>
      <w:pPr>
        <w:spacing w:line="430" w:lineRule="exact"/>
        <w:jc w:val="center"/>
        <w:rPr>
          <w:rFonts w:asciiTheme="majorEastAsia" w:hAnsiTheme="majorEastAsia" w:eastAsiaTheme="majorEastAsia"/>
          <w:b/>
          <w:sz w:val="32"/>
          <w:szCs w:val="32"/>
        </w:rPr>
      </w:pPr>
    </w:p>
    <w:p>
      <w:pPr>
        <w:spacing w:line="430" w:lineRule="exact"/>
        <w:jc w:val="center"/>
        <w:rPr>
          <w:rFonts w:asciiTheme="majorEastAsia" w:hAnsiTheme="majorEastAsia" w:eastAsiaTheme="majorEastAsia"/>
          <w:b/>
          <w:sz w:val="32"/>
          <w:szCs w:val="32"/>
        </w:rPr>
      </w:pPr>
    </w:p>
    <w:p>
      <w:pPr>
        <w:spacing w:line="430" w:lineRule="exact"/>
        <w:jc w:val="center"/>
        <w:rPr>
          <w:rFonts w:ascii="宋体" w:hAnsi="宋体"/>
          <w:b/>
          <w:kern w:val="0"/>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．长葛市公共资源交易中心应当在评审结束后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长葛市公共资源交易中心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长葛市公共资源交易中心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31"/>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第六</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28"/>
          <w:szCs w:val="28"/>
        </w:rPr>
      </w:pP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Lines="50" w:line="320" w:lineRule="exact"/>
        <w:jc w:val="center"/>
        <w:outlineLvl w:val="0"/>
        <w:rPr>
          <w:b/>
          <w:sz w:val="24"/>
          <w:szCs w:val="24"/>
        </w:rPr>
      </w:pPr>
    </w:p>
    <w:p>
      <w:pPr>
        <w:tabs>
          <w:tab w:val="left" w:pos="3300"/>
          <w:tab w:val="center" w:pos="4776"/>
        </w:tabs>
        <w:spacing w:afterLines="50" w:line="320" w:lineRule="exact"/>
        <w:jc w:val="center"/>
        <w:outlineLvl w:val="0"/>
        <w:rPr>
          <w:b/>
          <w:sz w:val="24"/>
          <w:szCs w:val="24"/>
        </w:rPr>
      </w:pPr>
      <w:r>
        <w:rPr>
          <w:rFonts w:hint="eastAsia"/>
          <w:b/>
          <w:sz w:val="24"/>
          <w:szCs w:val="24"/>
        </w:rPr>
        <w:t>一、总则</w:t>
      </w:r>
    </w:p>
    <w:p>
      <w:pPr>
        <w:tabs>
          <w:tab w:val="left" w:pos="3300"/>
          <w:tab w:val="center" w:pos="4776"/>
        </w:tabs>
        <w:spacing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“采购长葛市公共资源交易中心”是指受采购单位的委托具体组织采购活动采购代理公司。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长葛市公共资源交易中心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第六</w:t>
      </w:r>
      <w:r>
        <w:rPr>
          <w:rFonts w:ascii="宋体" w:hAnsi="宋体" w:cs="Arial"/>
          <w:sz w:val="24"/>
          <w:szCs w:val="24"/>
        </w:rPr>
        <w:t>章</w:t>
      </w:r>
      <w:r>
        <w:rPr>
          <w:rFonts w:hint="eastAsia" w:ascii="宋体" w:hAnsi="宋体" w:cs="Arial"/>
          <w:sz w:val="24"/>
          <w:szCs w:val="24"/>
        </w:rPr>
        <w:t xml:space="preserve">  附件</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ascii="宋体" w:hAnsi="宋体"/>
          <w:b/>
          <w:sz w:val="24"/>
          <w:szCs w:val="24"/>
        </w:rPr>
      </w:pPr>
    </w:p>
    <w:p>
      <w:pPr>
        <w:spacing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长葛市公共资源交易中心不接受可选择的谈判报价。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bCs/>
          <w:sz w:val="24"/>
          <w:szCs w:val="24"/>
        </w:rPr>
      </w:pPr>
      <w:r>
        <w:rPr>
          <w:rFonts w:hint="eastAsia" w:ascii="宋体" w:hAnsi="宋体"/>
          <w:b/>
          <w:sz w:val="24"/>
          <w:szCs w:val="24"/>
        </w:rPr>
        <w:t>16.谈判保证金：</w:t>
      </w:r>
      <w:r>
        <w:rPr>
          <w:rFonts w:hint="eastAsia" w:ascii="宋体" w:hAnsi="宋体"/>
          <w:bCs/>
          <w:sz w:val="24"/>
          <w:szCs w:val="24"/>
        </w:rPr>
        <w:t>不收取</w:t>
      </w:r>
    </w:p>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文件的有效期。这种要求和答复都应以书面形式进行。同意延长有效期的供</w:t>
      </w:r>
      <w:r>
        <w:rPr>
          <w:sz w:val="24"/>
          <w:szCs w:val="24"/>
        </w:rPr>
        <w:t>应商</w:t>
      </w:r>
      <w:r>
        <w:rPr>
          <w:rFonts w:hint="eastAsia"/>
          <w:sz w:val="24"/>
          <w:szCs w:val="24"/>
        </w:rPr>
        <w:t>除按照采购长葛市公共资源交易中心要求修改谈判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spacing w:line="440" w:lineRule="exact"/>
        <w:ind w:firstLine="480" w:firstLineChars="200"/>
        <w:rPr>
          <w:sz w:val="24"/>
          <w:szCs w:val="24"/>
        </w:rPr>
      </w:pPr>
      <w:r>
        <w:rPr>
          <w:rFonts w:hint="eastAsia"/>
          <w:sz w:val="24"/>
          <w:szCs w:val="24"/>
        </w:rPr>
        <w:t>（2）如果要求供</w:t>
      </w:r>
      <w:r>
        <w:rPr>
          <w:sz w:val="24"/>
          <w:szCs w:val="24"/>
        </w:rPr>
        <w:t>应商</w:t>
      </w:r>
      <w:r>
        <w:rPr>
          <w:rFonts w:hint="eastAsia"/>
          <w:sz w:val="24"/>
          <w:szCs w:val="24"/>
        </w:rPr>
        <w:t>提供如U盘等介质，则该介质必须作为响</w:t>
      </w:r>
      <w:r>
        <w:rPr>
          <w:sz w:val="24"/>
          <w:szCs w:val="24"/>
        </w:rPr>
        <w:t>应</w:t>
      </w:r>
      <w:r>
        <w:rPr>
          <w:rFonts w:hint="eastAsia"/>
          <w:sz w:val="24"/>
          <w:szCs w:val="24"/>
        </w:rPr>
        <w:t>文件的一部分单独密封并与谈判</w:t>
      </w:r>
      <w:r>
        <w:rPr>
          <w:sz w:val="24"/>
          <w:szCs w:val="24"/>
        </w:rPr>
        <w:t>响应</w:t>
      </w:r>
      <w:r>
        <w:rPr>
          <w:rFonts w:hint="eastAsia"/>
          <w:sz w:val="24"/>
          <w:szCs w:val="24"/>
        </w:rPr>
        <w:t>文件封装在一个包封中。</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19.3如果供应商未按第19.1条和19.2条要求密封和标记，采购长葛市公共资源交易中心对谈判响应文件的误投、错投或提前启封概不负责。对由此造成提前启封的谈判响应文件，采购机构将予以拒绝，并退回供应商。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有下列情形之一的，采购长葛市公共资源交易中心将拒绝接受其谈判响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w:t>
      </w:r>
      <w:r>
        <w:rPr>
          <w:rFonts w:hint="eastAsia"/>
          <w:sz w:val="24"/>
          <w:szCs w:val="24"/>
        </w:rPr>
        <w:t>编制</w:t>
      </w:r>
      <w:r>
        <w:rPr>
          <w:sz w:val="24"/>
          <w:szCs w:val="24"/>
        </w:rPr>
        <w:t>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w:t>
      </w:r>
      <w:r>
        <w:rPr>
          <w:rFonts w:hint="eastAsia"/>
          <w:sz w:val="24"/>
          <w:szCs w:val="24"/>
        </w:rPr>
        <w:t>编制</w:t>
      </w:r>
      <w:r>
        <w:rPr>
          <w:sz w:val="24"/>
          <w:szCs w:val="24"/>
        </w:rPr>
        <w:t>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。采购长葛市公共资源交易中心</w:t>
      </w:r>
      <w:r>
        <w:rPr>
          <w:sz w:val="24"/>
          <w:szCs w:val="24"/>
        </w:rPr>
        <w:t>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line="440" w:lineRule="exact"/>
        <w:ind w:firstLine="472" w:firstLineChars="196"/>
        <w:rPr>
          <w:rFonts w:ascii="宋体" w:hAnsi="宋体"/>
          <w:b/>
          <w:sz w:val="24"/>
          <w:szCs w:val="24"/>
        </w:rPr>
      </w:pPr>
      <w:r>
        <w:rPr>
          <w:rFonts w:hint="eastAsia" w:ascii="宋体" w:hAnsi="宋体"/>
          <w:b/>
          <w:sz w:val="24"/>
          <w:szCs w:val="24"/>
        </w:rPr>
        <w:t>28.响应文件报价出现前后不一致的修正</w:t>
      </w:r>
    </w:p>
    <w:p>
      <w:pPr>
        <w:autoSpaceDE w:val="0"/>
        <w:autoSpaceDN w:val="0"/>
        <w:spacing w:line="360" w:lineRule="auto"/>
        <w:ind w:left="420"/>
        <w:contextualSpacing/>
        <w:rPr>
          <w:sz w:val="24"/>
          <w:szCs w:val="24"/>
        </w:rPr>
      </w:pPr>
      <w:r>
        <w:rPr>
          <w:rFonts w:hint="eastAsia"/>
          <w:sz w:val="24"/>
          <w:szCs w:val="24"/>
        </w:rPr>
        <w:t>28.1大写金额和小写金额不一致的，以大写金额为准；</w:t>
      </w:r>
    </w:p>
    <w:p>
      <w:pPr>
        <w:autoSpaceDE w:val="0"/>
        <w:autoSpaceDN w:val="0"/>
        <w:spacing w:line="360" w:lineRule="auto"/>
        <w:ind w:firstLine="480" w:firstLineChars="200"/>
        <w:contextualSpacing/>
        <w:rPr>
          <w:sz w:val="24"/>
          <w:szCs w:val="24"/>
        </w:rPr>
      </w:pPr>
      <w:r>
        <w:rPr>
          <w:rFonts w:hint="eastAsia"/>
          <w:sz w:val="24"/>
          <w:szCs w:val="24"/>
        </w:rPr>
        <w:t>28.2单价金额小数点或者百分比有明显错位的，以报价一览表的总价为准，并修改单价；</w:t>
      </w:r>
    </w:p>
    <w:p>
      <w:pPr>
        <w:autoSpaceDE w:val="0"/>
        <w:autoSpaceDN w:val="0"/>
        <w:spacing w:line="360" w:lineRule="auto"/>
        <w:ind w:firstLine="480" w:firstLineChars="200"/>
        <w:contextualSpacing/>
        <w:rPr>
          <w:sz w:val="24"/>
          <w:szCs w:val="24"/>
        </w:rPr>
      </w:pPr>
      <w:r>
        <w:rPr>
          <w:rFonts w:hint="eastAsia"/>
          <w:sz w:val="24"/>
          <w:szCs w:val="24"/>
        </w:rPr>
        <w:t>28.3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29.响应无效情形</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29.1</w:t>
      </w:r>
      <w:r>
        <w:rPr>
          <w:rFonts w:hint="eastAsia" w:cs="宋体" w:asciiTheme="minorEastAsia" w:hAnsiTheme="minorEastAsia"/>
          <w:kern w:val="0"/>
          <w:sz w:val="24"/>
          <w:szCs w:val="21"/>
        </w:rPr>
        <w:t>响应文件属下列情况之一的，按照无效响应处理：</w:t>
      </w:r>
    </w:p>
    <w:p>
      <w:pPr>
        <w:pStyle w:val="32"/>
        <w:ind w:firstLine="480"/>
      </w:pPr>
      <w:r>
        <w:rPr>
          <w:rFonts w:hint="eastAsia" w:cs="宋体" w:asciiTheme="minorEastAsia" w:hAnsiTheme="minorEastAsia"/>
          <w:kern w:val="0"/>
          <w:szCs w:val="21"/>
        </w:rPr>
        <w:t>29.1.1 未按照谈判文件的规定提交《投标承诺函》的；</w:t>
      </w: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autoSpaceDE w:val="0"/>
        <w:autoSpaceDN w:val="0"/>
        <w:spacing w:line="360" w:lineRule="auto"/>
        <w:ind w:left="964"/>
        <w:contextualSpacing/>
        <w:rPr>
          <w:rFonts w:cs="宋体" w:asciiTheme="minorEastAsia" w:hAnsiTheme="minorEastAsia"/>
          <w:kern w:val="0"/>
          <w:sz w:val="24"/>
          <w:szCs w:val="21"/>
        </w:rPr>
      </w:pPr>
      <w:r>
        <w:rPr>
          <w:rFonts w:hint="eastAsia" w:cs="宋体" w:asciiTheme="minorEastAsia" w:hAnsiTheme="minorEastAsia"/>
          <w:kern w:val="0"/>
          <w:sz w:val="24"/>
          <w:szCs w:val="21"/>
        </w:rPr>
        <w:t>29.1.2 响应文件未按招标文件要求签署、盖章的；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29.1.3 不具备谈判文件中规定的资格要求的；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29.1.4 报价超过谈判文件中规定的预算金额的；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29.1.5 响应</w:t>
      </w:r>
      <w:r>
        <w:rPr>
          <w:rFonts w:eastAsia="宋体" w:cs="宋体" w:asciiTheme="minorEastAsia" w:hAnsiTheme="minorEastAsia"/>
          <w:kern w:val="0"/>
          <w:sz w:val="24"/>
          <w:szCs w:val="21"/>
        </w:rPr>
        <w:t>文件含有采购人不能接受的附加条件的</w:t>
      </w:r>
      <w:r>
        <w:rPr>
          <w:rFonts w:hint="eastAsia" w:eastAsia="宋体" w:cs="宋体" w:asciiTheme="minorEastAsia" w:hAnsiTheme="minorEastAsia"/>
          <w:kern w:val="0"/>
          <w:sz w:val="24"/>
          <w:szCs w:val="21"/>
        </w:rPr>
        <w:t>。</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29.2</w:t>
      </w:r>
      <w:r>
        <w:rPr>
          <w:rFonts w:hint="eastAsia" w:cs="宋体" w:asciiTheme="minorEastAsia" w:hAnsiTheme="minorEastAsia"/>
          <w:kern w:val="0"/>
          <w:sz w:val="24"/>
          <w:szCs w:val="21"/>
        </w:rPr>
        <w:t>有下列情形之一的，视为供应商串通谈判，其响应无效：</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29.2.1 不同供应商的响应文件由同一单位或者个人编制；</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29.2.2 不同供应商委托同一单位或者个人办理响应事宜；</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29.2.3 不同供应商的响应文件载明的项目管理成员或者联系人员为同一人；</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29.2.4 不同供应商的响应文件异常一致或者投标报价呈规律性差异；</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29.2.5 不同供应商的响应文件相互混装；</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29.3</w:t>
      </w:r>
      <w:r>
        <w:rPr>
          <w:rFonts w:hint="eastAsia" w:cs="宋体" w:asciiTheme="minorEastAsia" w:hAnsiTheme="minorEastAsia"/>
          <w:kern w:val="0"/>
          <w:sz w:val="24"/>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29.4</w:t>
      </w:r>
      <w:r>
        <w:rPr>
          <w:rFonts w:hint="eastAsia" w:cs="宋体" w:asciiTheme="minorEastAsia" w:hAnsiTheme="minorEastAsia"/>
          <w:kern w:val="0"/>
          <w:sz w:val="24"/>
          <w:szCs w:val="21"/>
        </w:rPr>
        <w:t>按照《关于推进全流程电子化交易和在线监管工作有关问题的通知》（许公管办[2019]3号）规定，不同供应商电子响应文件制作硬件特征码（网卡MAC地址、CPU序号、硬盘序列号等）均一致时，视为‘</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的</w:t>
      </w:r>
      <w:r>
        <w:rPr>
          <w:rFonts w:hint="eastAsia" w:cs="宋体" w:asciiTheme="minorEastAsia" w:hAnsiTheme="minorEastAsia"/>
          <w:kern w:val="0"/>
          <w:sz w:val="24"/>
          <w:szCs w:val="21"/>
        </w:rPr>
        <w:t>响应</w:t>
      </w:r>
      <w:r>
        <w:rPr>
          <w:rFonts w:cs="宋体" w:asciiTheme="minorEastAsia" w:hAnsiTheme="minorEastAsia"/>
          <w:kern w:val="0"/>
          <w:sz w:val="24"/>
          <w:szCs w:val="21"/>
        </w:rPr>
        <w:t>文件由同一单位或者个人编制</w:t>
      </w:r>
      <w:r>
        <w:rPr>
          <w:rFonts w:hint="eastAsia" w:cs="宋体" w:asciiTheme="minorEastAsia" w:hAnsiTheme="minorEastAsia"/>
          <w:kern w:val="0"/>
          <w:sz w:val="24"/>
          <w:szCs w:val="21"/>
        </w:rPr>
        <w:t>’或‘</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委托同一单位或者个人办理</w:t>
      </w:r>
      <w:r>
        <w:rPr>
          <w:rFonts w:hint="eastAsia" w:cs="宋体" w:asciiTheme="minorEastAsia" w:hAnsiTheme="minorEastAsia"/>
          <w:kern w:val="0"/>
          <w:sz w:val="24"/>
          <w:szCs w:val="21"/>
        </w:rPr>
        <w:t>响应</w:t>
      </w:r>
      <w:r>
        <w:rPr>
          <w:rFonts w:cs="宋体" w:asciiTheme="minorEastAsia" w:hAnsiTheme="minorEastAsia"/>
          <w:kern w:val="0"/>
          <w:sz w:val="24"/>
          <w:szCs w:val="21"/>
        </w:rPr>
        <w:t>事宜</w:t>
      </w:r>
      <w:r>
        <w:rPr>
          <w:rFonts w:hint="eastAsia" w:cs="宋体" w:asciiTheme="minorEastAsia" w:hAnsiTheme="minorEastAsia"/>
          <w:kern w:val="0"/>
          <w:sz w:val="24"/>
          <w:szCs w:val="21"/>
        </w:rPr>
        <w:t>’，其谈判响应无效。</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29.5</w:t>
      </w:r>
      <w:r>
        <w:rPr>
          <w:rFonts w:cs="宋体" w:asciiTheme="minorEastAsia" w:hAnsiTheme="minorEastAsia"/>
          <w:kern w:val="0"/>
          <w:sz w:val="24"/>
          <w:szCs w:val="21"/>
        </w:rPr>
        <w:t>法律、法规和</w:t>
      </w:r>
      <w:r>
        <w:rPr>
          <w:rFonts w:hint="eastAsia" w:cs="宋体" w:asciiTheme="minorEastAsia" w:hAnsiTheme="minorEastAsia"/>
          <w:kern w:val="0"/>
          <w:sz w:val="24"/>
          <w:szCs w:val="21"/>
        </w:rPr>
        <w:t>响应</w:t>
      </w:r>
      <w:r>
        <w:rPr>
          <w:rFonts w:cs="宋体" w:asciiTheme="minorEastAsia" w:hAnsiTheme="minorEastAsia"/>
          <w:kern w:val="0"/>
          <w:sz w:val="24"/>
          <w:szCs w:val="21"/>
        </w:rPr>
        <w:t>文件规定的其他无效情形。</w:t>
      </w:r>
    </w:p>
    <w:p>
      <w:pPr>
        <w:spacing w:afterLines="50" w:line="320" w:lineRule="exact"/>
        <w:jc w:val="center"/>
        <w:rPr>
          <w:rFonts w:ascii="宋体" w:hAnsi="宋体"/>
          <w:b/>
          <w:sz w:val="24"/>
          <w:szCs w:val="24"/>
        </w:rPr>
      </w:pPr>
      <w:r>
        <w:rPr>
          <w:rFonts w:hint="eastAsia" w:ascii="宋体" w:hAnsi="宋体"/>
          <w:b/>
          <w:sz w:val="24"/>
          <w:szCs w:val="24"/>
        </w:rPr>
        <w:t>六、授予采购合同</w:t>
      </w:r>
    </w:p>
    <w:p>
      <w:pPr>
        <w:spacing w:afterLines="50" w:line="320" w:lineRule="exact"/>
        <w:ind w:firstLine="472" w:firstLineChars="196"/>
        <w:rPr>
          <w:rFonts w:ascii="宋体" w:hAnsi="宋体"/>
          <w:b/>
          <w:sz w:val="24"/>
          <w:szCs w:val="24"/>
        </w:rPr>
      </w:pPr>
      <w:r>
        <w:rPr>
          <w:rFonts w:hint="eastAsia" w:ascii="宋体" w:hAnsi="宋体"/>
          <w:b/>
          <w:sz w:val="24"/>
          <w:szCs w:val="24"/>
        </w:rPr>
        <w:t>30.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31. 资格后审</w:t>
      </w:r>
    </w:p>
    <w:p>
      <w:pPr>
        <w:spacing w:line="400" w:lineRule="exact"/>
        <w:ind w:firstLine="470" w:firstLineChars="196"/>
        <w:rPr>
          <w:rFonts w:ascii="宋体" w:hAnsi="宋体"/>
          <w:sz w:val="24"/>
          <w:szCs w:val="24"/>
        </w:rPr>
      </w:pPr>
      <w:r>
        <w:rPr>
          <w:rFonts w:hint="eastAsia" w:ascii="宋体" w:hAnsi="宋体"/>
          <w:sz w:val="24"/>
          <w:szCs w:val="24"/>
        </w:rPr>
        <w:t>31.1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32.2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33. 采购</w:t>
      </w:r>
      <w:r>
        <w:rPr>
          <w:rFonts w:ascii="宋体" w:hAnsi="宋体"/>
          <w:b/>
          <w:sz w:val="24"/>
          <w:szCs w:val="24"/>
        </w:rPr>
        <w:t>人或者</w:t>
      </w:r>
      <w:r>
        <w:rPr>
          <w:rFonts w:hint="eastAsia" w:ascii="宋体" w:hAnsi="宋体"/>
          <w:b/>
          <w:sz w:val="24"/>
          <w:szCs w:val="24"/>
        </w:rPr>
        <w:t>采购长葛市公共资源交易中心终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33.1 出现下列情况之一的，采购</w:t>
      </w:r>
      <w:r>
        <w:rPr>
          <w:rFonts w:ascii="宋体" w:hAnsi="宋体"/>
          <w:sz w:val="24"/>
          <w:szCs w:val="24"/>
        </w:rPr>
        <w:t>人或者</w:t>
      </w:r>
      <w:r>
        <w:rPr>
          <w:rFonts w:hint="eastAsia" w:ascii="宋体" w:hAnsi="宋体"/>
          <w:sz w:val="24"/>
          <w:szCs w:val="24"/>
        </w:rPr>
        <w:t>采购长葛市公共资源交易中心应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34.成交通知书</w:t>
      </w:r>
    </w:p>
    <w:p>
      <w:pPr>
        <w:spacing w:line="400" w:lineRule="exact"/>
        <w:ind w:firstLine="470" w:firstLineChars="196"/>
        <w:rPr>
          <w:rFonts w:ascii="宋体" w:hAnsi="宋体"/>
          <w:sz w:val="24"/>
          <w:szCs w:val="24"/>
        </w:rPr>
      </w:pPr>
      <w:r>
        <w:rPr>
          <w:rFonts w:hint="eastAsia" w:ascii="宋体" w:hAnsi="宋体"/>
          <w:sz w:val="24"/>
          <w:szCs w:val="24"/>
        </w:rPr>
        <w:t>34.1在评审小组确定成交供应商后，采购长葛市公共资源交易中心将在指定的采购信息发布媒体上予以公告，公告前采购人对成交候选人的行贿犯罪档案进行查询，有行贿犯罪档案记录的取消成交资格。成交供应商见此公告后可由法定代表人（代表人）或其授权委托人至采购长葛市公共资源交易中心处领取成交通知书。</w:t>
      </w:r>
    </w:p>
    <w:p>
      <w:pPr>
        <w:spacing w:line="400" w:lineRule="exact"/>
        <w:ind w:firstLine="470" w:firstLineChars="196"/>
        <w:rPr>
          <w:rFonts w:ascii="宋体" w:hAnsi="宋体"/>
          <w:sz w:val="24"/>
          <w:szCs w:val="24"/>
        </w:rPr>
      </w:pPr>
      <w:r>
        <w:rPr>
          <w:rFonts w:hint="eastAsia" w:ascii="宋体" w:hAnsi="宋体"/>
          <w:sz w:val="24"/>
          <w:szCs w:val="24"/>
        </w:rPr>
        <w:t>34.2该成交通知书将作为签订采购合同的重要依据，是采购合同的一个组成部分，对</w:t>
      </w:r>
      <w:r>
        <w:rPr>
          <w:rFonts w:ascii="宋体" w:hAnsi="宋体"/>
          <w:sz w:val="24"/>
          <w:szCs w:val="24"/>
        </w:rPr>
        <w:t>采购</w:t>
      </w:r>
      <w:r>
        <w:rPr>
          <w:rFonts w:hint="eastAsia" w:ascii="宋体" w:hAnsi="宋体"/>
          <w:sz w:val="24"/>
          <w:szCs w:val="24"/>
        </w:rPr>
        <w:t>长葛市公共资源交易中心、成交供应商和采购单位具有法律效力。采购人</w:t>
      </w:r>
      <w:r>
        <w:rPr>
          <w:rFonts w:ascii="宋体" w:hAnsi="宋体"/>
          <w:sz w:val="24"/>
          <w:szCs w:val="24"/>
        </w:rPr>
        <w:t>或者委托的采购</w:t>
      </w:r>
      <w:r>
        <w:rPr>
          <w:rFonts w:hint="eastAsia" w:ascii="宋体" w:hAnsi="宋体"/>
          <w:sz w:val="24"/>
          <w:szCs w:val="24"/>
        </w:rPr>
        <w:t>长葛市公共资源交易中心无故改变成交结果、成交供应商无故放弃成交资格或采购单位无正当理由拒签采购合同的都应承担法律责任。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34.3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35.签订采购合同</w:t>
      </w:r>
    </w:p>
    <w:p>
      <w:pPr>
        <w:spacing w:line="400" w:lineRule="exact"/>
        <w:ind w:firstLine="470" w:firstLineChars="196"/>
        <w:rPr>
          <w:rFonts w:ascii="宋体" w:hAnsi="宋体"/>
          <w:sz w:val="24"/>
          <w:szCs w:val="24"/>
        </w:rPr>
      </w:pPr>
      <w:r>
        <w:rPr>
          <w:rFonts w:hint="eastAsia" w:ascii="宋体" w:hAnsi="宋体"/>
          <w:sz w:val="24"/>
          <w:szCs w:val="24"/>
        </w:rPr>
        <w:t>35.1成交供应商在收到成交通知书后，应按成交通知书中规定的时间和地点由法定代表人（代表人）或其授权委托人持成交通知书与采购单位签订采购合同。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35.2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36.3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37.履约保证金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.1 投标成交供应商应在收到成交通知书5日内，按照规定比例（详见采购文件第二章“采购项目基本内容及要求” ）至采购长葛市公共资源交易中心财务部门交纳履约保证金，取消成交供应商的成交资格。</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2采购机构将在成交供应商完成采购合同，并经采购单位验收合格后，凭成交供应商提交的采购长葛市公共资源交易中心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.3 履约保证金用于补偿采购单位因成交供应商不能履行采购合同义务而蒙受的损失。</w:t>
      </w:r>
    </w:p>
    <w:p>
      <w:pPr>
        <w:spacing w:afterLines="50" w:line="320" w:lineRule="exact"/>
        <w:ind w:firstLine="472" w:firstLineChars="196"/>
        <w:rPr>
          <w:rFonts w:ascii="宋体" w:hAnsi="宋体" w:cs="Arial"/>
          <w:b/>
          <w:sz w:val="24"/>
          <w:szCs w:val="24"/>
        </w:rPr>
      </w:pPr>
      <w:r>
        <w:rPr>
          <w:rFonts w:hint="eastAsia" w:ascii="宋体" w:hAnsi="宋体"/>
          <w:b/>
          <w:sz w:val="24"/>
          <w:szCs w:val="24"/>
        </w:rPr>
        <w:t>38.履约验收</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.2采购</w:t>
      </w:r>
      <w:r>
        <w:rPr>
          <w:rFonts w:ascii="宋体" w:hAnsi="宋体"/>
          <w:sz w:val="24"/>
          <w:szCs w:val="24"/>
        </w:rPr>
        <w:t>人或者采购</w:t>
      </w:r>
      <w:r>
        <w:rPr>
          <w:rFonts w:hint="eastAsia" w:ascii="宋体" w:hAnsi="宋体"/>
          <w:sz w:val="24"/>
          <w:szCs w:val="24"/>
        </w:rPr>
        <w:t>长葛市公共资源交易中心</w:t>
      </w:r>
      <w:r>
        <w:rPr>
          <w:rFonts w:ascii="宋体" w:hAnsi="宋体"/>
          <w:sz w:val="24"/>
          <w:szCs w:val="24"/>
        </w:rPr>
        <w:t>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39.其他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p>
    <w:p>
      <w:pPr>
        <w:spacing w:line="480" w:lineRule="exact"/>
        <w:jc w:val="center"/>
        <w:rPr>
          <w:rFonts w:ascii="宋体" w:hAnsi="宋体"/>
          <w:b/>
          <w:sz w:val="24"/>
          <w:szCs w:val="24"/>
        </w:rPr>
      </w:pPr>
    </w:p>
    <w:p>
      <w:pPr>
        <w:spacing w:line="480" w:lineRule="exact"/>
        <w:jc w:val="center"/>
        <w:rPr>
          <w:rFonts w:ascii="宋体" w:hAnsi="宋体"/>
          <w:b/>
          <w:sz w:val="24"/>
          <w:szCs w:val="24"/>
        </w:rPr>
      </w:pP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Lines="50" w:line="320" w:lineRule="exact"/>
        <w:ind w:firstLine="472" w:firstLineChars="196"/>
        <w:rPr>
          <w:rFonts w:ascii="宋体" w:hAnsi="宋体"/>
          <w:b/>
          <w:sz w:val="24"/>
          <w:szCs w:val="24"/>
        </w:rPr>
      </w:pPr>
      <w:r>
        <w:rPr>
          <w:rFonts w:hint="eastAsia" w:ascii="宋体" w:hAnsi="宋体"/>
          <w:b/>
          <w:sz w:val="24"/>
          <w:szCs w:val="24"/>
        </w:rPr>
        <w:t>40.术语的定义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（10）“验收”是指采购人或采购长葛市公共资源交易中心依据强制性的国家技术质量规范和采购合同规定，确认采购合同项下的货物符合采购合同规定的活动。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采购长葛市公共资源交易中心发布的采购文本。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2"/>
        <w:spacing w:after="0" w:line="400" w:lineRule="exact"/>
        <w:rPr>
          <w:rFonts w:ascii="宋体" w:hAnsi="宋体"/>
          <w:b/>
          <w:sz w:val="24"/>
          <w:szCs w:val="24"/>
        </w:rPr>
      </w:pPr>
      <w:r>
        <w:rPr>
          <w:rFonts w:hint="eastAsia" w:ascii="宋体" w:hAnsi="宋体"/>
          <w:b/>
          <w:sz w:val="24"/>
          <w:szCs w:val="24"/>
        </w:rPr>
        <w:t>41.来源地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42. 技术规范与技术规格</w:t>
      </w:r>
    </w:p>
    <w:p>
      <w:pPr>
        <w:spacing w:line="400" w:lineRule="exact"/>
        <w:ind w:firstLine="360" w:firstLineChars="150"/>
        <w:rPr>
          <w:rFonts w:ascii="宋体" w:hAnsi="宋体"/>
          <w:sz w:val="24"/>
          <w:szCs w:val="24"/>
        </w:rPr>
      </w:pPr>
      <w:r>
        <w:rPr>
          <w:rFonts w:hint="eastAsia" w:ascii="宋体" w:hAnsi="宋体"/>
          <w:sz w:val="24"/>
          <w:szCs w:val="24"/>
        </w:rPr>
        <w:t>42.1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42.2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Lines="50" w:line="320" w:lineRule="exact"/>
        <w:ind w:firstLine="472" w:firstLineChars="196"/>
        <w:rPr>
          <w:rFonts w:ascii="宋体" w:hAnsi="宋体"/>
          <w:b/>
          <w:sz w:val="24"/>
          <w:szCs w:val="24"/>
        </w:rPr>
      </w:pPr>
      <w:r>
        <w:rPr>
          <w:rFonts w:hint="eastAsia" w:ascii="宋体" w:hAnsi="宋体"/>
          <w:b/>
          <w:sz w:val="24"/>
          <w:szCs w:val="24"/>
        </w:rPr>
        <w:t>43.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44. 包装要求</w:t>
      </w:r>
    </w:p>
    <w:p>
      <w:pPr>
        <w:spacing w:line="400" w:lineRule="exact"/>
        <w:ind w:firstLine="360" w:firstLineChars="150"/>
        <w:rPr>
          <w:rFonts w:ascii="宋体" w:hAnsi="宋体"/>
          <w:sz w:val="24"/>
          <w:szCs w:val="24"/>
        </w:rPr>
      </w:pPr>
      <w:r>
        <w:rPr>
          <w:rFonts w:hint="eastAsia" w:ascii="宋体" w:hAnsi="宋体"/>
          <w:sz w:val="24"/>
          <w:szCs w:val="24"/>
        </w:rPr>
        <w:t>44.1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44.2每一个包装箱内应附一份详细装箱单和质量合格证书。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45.交货方式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46.装运通知</w:t>
      </w:r>
    </w:p>
    <w:p>
      <w:pPr>
        <w:spacing w:line="400" w:lineRule="exact"/>
        <w:ind w:firstLine="360" w:firstLineChars="150"/>
        <w:rPr>
          <w:rFonts w:ascii="宋体" w:hAnsi="宋体"/>
          <w:sz w:val="24"/>
          <w:szCs w:val="24"/>
        </w:rPr>
      </w:pPr>
      <w:r>
        <w:rPr>
          <w:rFonts w:hint="eastAsia" w:ascii="宋体" w:hAnsi="宋体"/>
          <w:sz w:val="24"/>
          <w:szCs w:val="24"/>
        </w:rPr>
        <w:t>46.1在将采购合同约定的货物备妥待运输后的24小时之内，卖方应将采购合同号、货号、数量、毛重、总体积（立方米）、发票金额、运输工具名称及装运日期，以书面形式通知买方。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46.2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47.付款</w:t>
      </w:r>
    </w:p>
    <w:p>
      <w:pPr>
        <w:spacing w:line="400" w:lineRule="exact"/>
        <w:ind w:firstLine="360" w:firstLineChars="150"/>
        <w:rPr>
          <w:rFonts w:ascii="宋体" w:hAnsi="宋体"/>
          <w:sz w:val="24"/>
          <w:szCs w:val="24"/>
        </w:rPr>
      </w:pPr>
      <w:r>
        <w:rPr>
          <w:rFonts w:hint="eastAsia" w:ascii="宋体" w:hAnsi="宋体"/>
          <w:sz w:val="24"/>
          <w:szCs w:val="24"/>
        </w:rPr>
        <w:t>47.1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47.2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48. 附带（伴随）服务</w:t>
      </w:r>
    </w:p>
    <w:p>
      <w:pPr>
        <w:spacing w:line="400" w:lineRule="exact"/>
        <w:ind w:firstLine="360" w:firstLineChars="150"/>
        <w:rPr>
          <w:rFonts w:ascii="宋体" w:hAnsi="宋体"/>
          <w:sz w:val="24"/>
          <w:szCs w:val="24"/>
        </w:rPr>
      </w:pPr>
      <w:r>
        <w:rPr>
          <w:rFonts w:hint="eastAsia" w:ascii="宋体" w:hAnsi="宋体"/>
          <w:sz w:val="24"/>
          <w:szCs w:val="24"/>
        </w:rPr>
        <w:t>48.1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48.2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49. 质量保证期</w:t>
      </w:r>
    </w:p>
    <w:p>
      <w:pPr>
        <w:spacing w:line="400" w:lineRule="exact"/>
        <w:ind w:firstLine="470" w:firstLineChars="196"/>
        <w:rPr>
          <w:rFonts w:ascii="宋体" w:hAnsi="宋体"/>
          <w:sz w:val="24"/>
          <w:szCs w:val="24"/>
        </w:rPr>
      </w:pPr>
      <w:r>
        <w:rPr>
          <w:rFonts w:hint="eastAsia" w:ascii="宋体" w:hAnsi="宋体"/>
          <w:sz w:val="24"/>
          <w:szCs w:val="24"/>
        </w:rPr>
        <w:t>49.1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49.2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49.3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50.质量保证</w:t>
      </w:r>
    </w:p>
    <w:p>
      <w:pPr>
        <w:spacing w:line="400" w:lineRule="exact"/>
        <w:ind w:firstLine="470" w:firstLineChars="196"/>
        <w:rPr>
          <w:rFonts w:ascii="宋体" w:hAnsi="宋体"/>
          <w:sz w:val="24"/>
          <w:szCs w:val="24"/>
        </w:rPr>
      </w:pPr>
      <w:r>
        <w:rPr>
          <w:rFonts w:hint="eastAsia" w:ascii="宋体" w:hAnsi="宋体"/>
          <w:sz w:val="24"/>
          <w:szCs w:val="24"/>
        </w:rPr>
        <w:t>50.1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50.2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50.3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50.4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51.检验和验收</w:t>
      </w:r>
    </w:p>
    <w:p>
      <w:pPr>
        <w:spacing w:line="400" w:lineRule="exact"/>
        <w:ind w:firstLine="470" w:firstLineChars="196"/>
        <w:rPr>
          <w:rFonts w:ascii="宋体" w:hAnsi="宋体"/>
          <w:sz w:val="24"/>
          <w:szCs w:val="24"/>
        </w:rPr>
      </w:pPr>
      <w:r>
        <w:rPr>
          <w:rFonts w:hint="eastAsia" w:ascii="宋体" w:hAnsi="宋体"/>
          <w:sz w:val="24"/>
          <w:szCs w:val="24"/>
        </w:rPr>
        <w:t>51.1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51.2货物运抵现场后，买方或采购长葛市公共资源交易中心应在采购合同规定的时间内组织验收，并在“采购项目验收报告单”上签字。“采购项目验收报告单”将作为申请付款文件的一部分。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51.3如果任何被检验或测试的货物不能满足采购文件规定的技术规格的要求，买方可以拒绝接受该货物，卖方应更换被拒绝的货物，或者免费进行必要的维修以满足采购文件规定的技术规格的要求。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51.4由买方或采购机构按照规定组织对货物进行检查验收。发生的相关费用由卖方承担。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52.索赔</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53.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54. 不可抗力</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55.税费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56. 争议的解决</w:t>
      </w:r>
    </w:p>
    <w:p>
      <w:pPr>
        <w:spacing w:line="400" w:lineRule="exact"/>
        <w:ind w:firstLine="472" w:firstLineChars="196"/>
        <w:rPr>
          <w:rFonts w:ascii="宋体" w:hAnsi="宋体"/>
          <w:sz w:val="24"/>
          <w:szCs w:val="24"/>
        </w:rPr>
      </w:pPr>
      <w:bookmarkStart w:id="7" w:name="_Toc80502600"/>
      <w:bookmarkStart w:id="8" w:name="_Toc80458943"/>
      <w:r>
        <w:rPr>
          <w:rFonts w:hint="eastAsia" w:ascii="宋体" w:hAnsi="宋体"/>
          <w:b/>
          <w:sz w:val="24"/>
          <w:szCs w:val="24"/>
        </w:rPr>
        <w:t>56</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.4 在仲裁（或诉讼）期间，除正在进行仲裁（或诉讼）的部分外，采购合同其他部分继续执行。</w:t>
      </w:r>
      <w:bookmarkEnd w:id="7"/>
      <w:bookmarkEnd w:id="8"/>
    </w:p>
    <w:p>
      <w:pPr>
        <w:spacing w:line="400" w:lineRule="exact"/>
        <w:ind w:firstLine="472" w:firstLineChars="196"/>
        <w:rPr>
          <w:rFonts w:ascii="宋体" w:hAnsi="宋体"/>
          <w:b/>
          <w:sz w:val="24"/>
          <w:szCs w:val="24"/>
        </w:rPr>
      </w:pPr>
      <w:r>
        <w:rPr>
          <w:rFonts w:hint="eastAsia" w:ascii="宋体" w:hAnsi="宋体"/>
          <w:b/>
          <w:sz w:val="24"/>
          <w:szCs w:val="24"/>
        </w:rPr>
        <w:t>57. 违约终止采购合同</w:t>
      </w:r>
    </w:p>
    <w:p>
      <w:pPr>
        <w:spacing w:line="400" w:lineRule="exact"/>
        <w:ind w:firstLine="472" w:firstLineChars="196"/>
        <w:rPr>
          <w:rFonts w:ascii="宋体" w:hAnsi="宋体"/>
          <w:sz w:val="24"/>
          <w:szCs w:val="24"/>
        </w:rPr>
      </w:pPr>
      <w:bookmarkStart w:id="9" w:name="_Toc80458944"/>
      <w:bookmarkStart w:id="10" w:name="_Toc80502601"/>
      <w:r>
        <w:rPr>
          <w:rFonts w:hint="eastAsia" w:ascii="宋体" w:hAnsi="宋体"/>
          <w:b/>
          <w:sz w:val="24"/>
          <w:szCs w:val="24"/>
        </w:rPr>
        <w:t>57</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57</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9"/>
      <w:bookmarkEnd w:id="10"/>
    </w:p>
    <w:p>
      <w:pPr>
        <w:spacing w:line="400" w:lineRule="exact"/>
        <w:ind w:firstLine="472" w:firstLineChars="196"/>
        <w:rPr>
          <w:rFonts w:ascii="宋体" w:hAnsi="宋体"/>
          <w:b/>
          <w:sz w:val="24"/>
          <w:szCs w:val="24"/>
        </w:rPr>
      </w:pPr>
      <w:r>
        <w:rPr>
          <w:rFonts w:hint="eastAsia" w:ascii="宋体" w:hAnsi="宋体"/>
          <w:b/>
          <w:sz w:val="24"/>
          <w:szCs w:val="24"/>
        </w:rPr>
        <w:t>58. 破产终止采购合同</w:t>
      </w:r>
    </w:p>
    <w:p>
      <w:pPr>
        <w:spacing w:line="400" w:lineRule="exact"/>
        <w:ind w:firstLine="470" w:firstLineChars="196"/>
        <w:rPr>
          <w:rFonts w:ascii="宋体" w:hAnsi="宋体"/>
          <w:sz w:val="24"/>
          <w:szCs w:val="24"/>
        </w:rPr>
      </w:pPr>
      <w:bookmarkStart w:id="11" w:name="_Toc80458945"/>
      <w:bookmarkStart w:id="12" w:name="_Toc80502602"/>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59. 转让和分包</w:t>
      </w:r>
    </w:p>
    <w:p>
      <w:pPr>
        <w:spacing w:line="400" w:lineRule="exact"/>
        <w:ind w:firstLine="470" w:firstLineChars="196"/>
        <w:rPr>
          <w:rFonts w:ascii="宋体" w:hAnsi="宋体"/>
          <w:sz w:val="24"/>
          <w:szCs w:val="24"/>
        </w:rPr>
      </w:pPr>
      <w:bookmarkStart w:id="13" w:name="_Toc80458946"/>
      <w:bookmarkStart w:id="14" w:name="_Toc80502603"/>
      <w:r>
        <w:rPr>
          <w:rFonts w:hint="eastAsia" w:ascii="宋体" w:hAnsi="宋体"/>
          <w:sz w:val="24"/>
          <w:szCs w:val="24"/>
        </w:rPr>
        <w:t>59.1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59.2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60.合同修改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61.通知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62.适用法律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63. 合同生效</w:t>
      </w:r>
    </w:p>
    <w:p>
      <w:pPr>
        <w:spacing w:line="400" w:lineRule="exact"/>
        <w:ind w:firstLine="470" w:firstLineChars="196"/>
        <w:rPr>
          <w:rFonts w:ascii="宋体" w:hAnsi="宋体"/>
          <w:sz w:val="24"/>
          <w:szCs w:val="24"/>
        </w:rPr>
      </w:pPr>
      <w:bookmarkStart w:id="15" w:name="_Toc80458948"/>
      <w:bookmarkStart w:id="16" w:name="_Toc80502605"/>
      <w:r>
        <w:rPr>
          <w:rFonts w:hint="eastAsia" w:ascii="宋体" w:hAnsi="宋体"/>
          <w:sz w:val="24"/>
          <w:szCs w:val="24"/>
        </w:rPr>
        <w:t>63.1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63.2 采购合同一式三份，以中文书就，具同等法律效力。买卖双方、采购长葛市公共资源交易中心各执一份。</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64.补充条款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本合同一式三份，以中文书就，具备同等法律效力。买卖双方、采购长葛市公共资源交易中心各执一份。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  </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897"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widowControl/>
        <w:jc w:val="left"/>
        <w:rPr>
          <w:rFonts w:ascii="宋体" w:hAnsi="宋体"/>
          <w:b/>
          <w:kern w:val="0"/>
          <w:sz w:val="24"/>
          <w:szCs w:val="24"/>
        </w:rPr>
      </w:pPr>
    </w:p>
    <w:p>
      <w:pPr>
        <w:spacing w:line="480" w:lineRule="exact"/>
        <w:rPr>
          <w:rFonts w:ascii="宋体" w:hAnsi="宋体"/>
          <w:b/>
          <w:kern w:val="0"/>
          <w:sz w:val="24"/>
          <w:szCs w:val="24"/>
        </w:rPr>
      </w:pPr>
    </w:p>
    <w:p>
      <w:pPr>
        <w:spacing w:line="480" w:lineRule="exact"/>
        <w:rPr>
          <w:rFonts w:ascii="宋体" w:hAnsi="宋体"/>
          <w:b/>
          <w:kern w:val="0"/>
          <w:sz w:val="24"/>
          <w:szCs w:val="24"/>
        </w:rPr>
      </w:pPr>
    </w:p>
    <w:p>
      <w:pPr>
        <w:spacing w:line="480" w:lineRule="exact"/>
        <w:rPr>
          <w:rFonts w:ascii="宋体" w:hAnsi="宋体"/>
          <w:b/>
          <w:kern w:val="12"/>
          <w:sz w:val="24"/>
          <w:szCs w:val="24"/>
        </w:rPr>
      </w:pPr>
      <w:r>
        <w:rPr>
          <w:rFonts w:hint="eastAsia" w:ascii="宋体" w:hAnsi="宋体"/>
          <w:b/>
          <w:kern w:val="0"/>
          <w:sz w:val="24"/>
          <w:szCs w:val="24"/>
        </w:rPr>
        <w:t>格式2</w:t>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一、 响应文件有关格式</w:t>
      </w:r>
    </w:p>
    <w:p>
      <w:pPr>
        <w:pStyle w:val="122"/>
        <w:tabs>
          <w:tab w:val="left" w:pos="660"/>
          <w:tab w:val="clear" w:pos="709"/>
        </w:tabs>
        <w:snapToGrid w:val="0"/>
        <w:spacing w:line="400" w:lineRule="exact"/>
        <w:ind w:left="0" w:firstLine="0"/>
        <w:rPr>
          <w:rFonts w:cs="黑体"/>
          <w:color w:val="auto"/>
          <w:kern w:val="2"/>
          <w:sz w:val="28"/>
          <w:szCs w:val="28"/>
          <w:lang w:val="zh-CN"/>
        </w:rPr>
      </w:pPr>
      <w:r>
        <w:rPr>
          <w:rFonts w:hint="eastAsia" w:cs="黑体"/>
          <w:color w:val="auto"/>
          <w:kern w:val="2"/>
          <w:sz w:val="28"/>
          <w:szCs w:val="28"/>
          <w:lang w:val="zh-CN"/>
        </w:rPr>
        <w:t>一、投标人应答索引表</w:t>
      </w:r>
    </w:p>
    <w:tbl>
      <w:tblPr>
        <w:tblStyle w:val="33"/>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20"/>
              <w:kinsoku w:val="0"/>
              <w:overflowPunct w:val="0"/>
              <w:autoSpaceDE w:val="0"/>
              <w:autoSpaceDN w:val="0"/>
              <w:spacing w:line="320" w:lineRule="exact"/>
              <w:rPr>
                <w:rFonts w:hAnsi="宋体"/>
              </w:rPr>
            </w:pPr>
            <w:r>
              <w:rPr>
                <w:rFonts w:hint="eastAsia" w:hAnsi="宋体"/>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20"/>
              <w:kinsoku w:val="0"/>
              <w:overflowPunct w:val="0"/>
              <w:autoSpaceDE w:val="0"/>
              <w:autoSpaceDN w:val="0"/>
              <w:spacing w:line="320" w:lineRule="exact"/>
              <w:rPr>
                <w:rFonts w:hAnsi="宋体"/>
              </w:rPr>
            </w:pPr>
            <w:r>
              <w:rPr>
                <w:rFonts w:hint="eastAsia" w:hAnsi="宋体" w:cs="宋体"/>
                <w:bCs/>
                <w:lang w:val="zh-CN"/>
              </w:rPr>
              <w:t>法定代表人（单位负责人）</w:t>
            </w:r>
            <w:r>
              <w:rPr>
                <w:rFonts w:hAnsi="宋体" w:cs="宋体"/>
                <w:bCs/>
                <w:lang w:val="zh-CN"/>
              </w:rPr>
              <w:t>资</w:t>
            </w:r>
            <w:r>
              <w:rPr>
                <w:rFonts w:hint="eastAsia" w:hAnsi="宋体" w:cs="宋体"/>
                <w:bCs/>
                <w:lang w:val="zh-CN"/>
              </w:rPr>
              <w:t>格</w:t>
            </w:r>
            <w:r>
              <w:rPr>
                <w:rFonts w:hAnsi="宋体" w:cs="宋体"/>
                <w:bCs/>
                <w:lang w:val="zh-CN"/>
              </w:rPr>
              <w:t>证</w:t>
            </w:r>
            <w:r>
              <w:rPr>
                <w:rFonts w:hint="eastAsia" w:hAnsi="宋体" w:cs="宋体"/>
                <w:bCs/>
                <w:lang w:val="zh-CN"/>
              </w:rPr>
              <w:t>明</w:t>
            </w:r>
            <w:r>
              <w:rPr>
                <w:rFonts w:hAnsi="宋体" w:cs="宋体"/>
                <w:bCs/>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20"/>
              <w:kinsoku w:val="0"/>
              <w:overflowPunct w:val="0"/>
              <w:autoSpaceDE w:val="0"/>
              <w:autoSpaceDN w:val="0"/>
              <w:spacing w:line="320" w:lineRule="exact"/>
              <w:rPr>
                <w:rFonts w:hAnsi="宋体"/>
              </w:rPr>
            </w:pPr>
            <w:r>
              <w:rPr>
                <w:rFonts w:hint="eastAsia" w:hAnsi="宋体"/>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20"/>
              <w:kinsoku w:val="0"/>
              <w:overflowPunct w:val="0"/>
              <w:autoSpaceDE w:val="0"/>
              <w:autoSpaceDN w:val="0"/>
              <w:spacing w:line="320" w:lineRule="exact"/>
              <w:rPr>
                <w:rFonts w:hAnsi="宋体"/>
              </w:rPr>
            </w:pPr>
            <w:r>
              <w:rPr>
                <w:rFonts w:hint="eastAsia" w:hAnsi="宋体"/>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20"/>
              <w:kinsoku w:val="0"/>
              <w:overflowPunct w:val="0"/>
              <w:autoSpaceDE w:val="0"/>
              <w:autoSpaceDN w:val="0"/>
              <w:spacing w:line="320" w:lineRule="exact"/>
              <w:rPr>
                <w:rFonts w:hAnsi="宋体"/>
              </w:rPr>
            </w:pPr>
            <w:r>
              <w:rPr>
                <w:rFonts w:hint="eastAsia" w:hAnsi="宋体"/>
                <w:bCs/>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709" w:type="dxa"/>
            <w:gridSpan w:val="2"/>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技术人员职称证书</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709" w:type="dxa"/>
            <w:gridSpan w:val="2"/>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用工合同</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977" w:type="dxa"/>
            <w:gridSpan w:val="3"/>
            <w:tcBorders>
              <w:left w:val="single" w:color="auto" w:sz="6" w:space="0"/>
            </w:tcBorders>
            <w:vAlign w:val="center"/>
          </w:tcPr>
          <w:p>
            <w:pPr>
              <w:pStyle w:val="20"/>
              <w:kinsoku w:val="0"/>
              <w:overflowPunct w:val="0"/>
              <w:autoSpaceDE w:val="0"/>
              <w:autoSpaceDN w:val="0"/>
              <w:spacing w:line="320" w:lineRule="exact"/>
              <w:rPr>
                <w:rFonts w:hAnsi="宋体" w:cs="微软雅黑"/>
                <w:bCs/>
              </w:rPr>
            </w:pPr>
            <w:r>
              <w:rPr>
                <w:rFonts w:hint="eastAsia" w:hAnsi="宋体"/>
                <w:bCs/>
              </w:rPr>
              <w:t>供应商相关承诺函或声明</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tcBorders>
              <w:bottom w:val="sing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rPr>
              <w:t>没有重大违法记录的声明</w:t>
            </w:r>
          </w:p>
        </w:tc>
        <w:tc>
          <w:tcPr>
            <w:tcW w:w="1559" w:type="dxa"/>
            <w:tcBorders>
              <w:bottom w:val="single" w:color="auto" w:sz="4" w:space="0"/>
            </w:tcBorders>
            <w:vAlign w:val="center"/>
          </w:tcPr>
          <w:p>
            <w:pPr>
              <w:jc w:val="center"/>
              <w:rPr>
                <w:szCs w:val="21"/>
              </w:rPr>
            </w:pPr>
          </w:p>
        </w:tc>
        <w:tc>
          <w:tcPr>
            <w:tcW w:w="1560" w:type="dxa"/>
            <w:tcBorders>
              <w:bottom w:val="single" w:color="auto" w:sz="4" w:space="0"/>
            </w:tcBorders>
            <w:vAlign w:val="center"/>
          </w:tcPr>
          <w:p>
            <w:pPr>
              <w:snapToGrid w:val="0"/>
              <w:spacing w:line="400" w:lineRule="exact"/>
              <w:rPr>
                <w:rFonts w:ascii="宋体" w:hAnsi="宋体" w:cs="微软雅黑"/>
                <w:szCs w:val="21"/>
              </w:rPr>
            </w:pPr>
          </w:p>
        </w:tc>
        <w:tc>
          <w:tcPr>
            <w:tcW w:w="2018" w:type="dxa"/>
            <w:tcBorders>
              <w:bottom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tcBorders>
              <w:top w:val="single" w:color="auto" w:sz="4" w:space="0"/>
              <w:left w:val="single" w:color="auto" w:sz="4" w:space="0"/>
              <w:bottom w:val="single" w:color="auto" w:sz="4" w:space="0"/>
              <w:right w:val="single" w:color="auto" w:sz="4" w:space="0"/>
            </w:tcBorders>
            <w:vAlign w:val="center"/>
          </w:tcPr>
          <w:p>
            <w:pPr>
              <w:pStyle w:val="20"/>
              <w:kinsoku w:val="0"/>
              <w:overflowPunct w:val="0"/>
              <w:autoSpaceDE w:val="0"/>
              <w:autoSpaceDN w:val="0"/>
              <w:spacing w:line="320" w:lineRule="exact"/>
              <w:rPr>
                <w:rFonts w:hAnsi="宋体"/>
              </w:rPr>
            </w:pPr>
            <w:r>
              <w:rPr>
                <w:rFonts w:hint="eastAsia" w:hAnsi="宋体" w:cs="微软雅黑"/>
                <w:bCs/>
              </w:rPr>
              <w:t>供应商须具备的特殊资质证书</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tcBorders>
              <w:top w:val="sing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cs="宋体"/>
                <w:bCs/>
                <w:lang w:val="zh-CN"/>
              </w:rPr>
              <w:t>投标承诺函</w:t>
            </w:r>
          </w:p>
        </w:tc>
        <w:tc>
          <w:tcPr>
            <w:tcW w:w="1559" w:type="dxa"/>
            <w:tcBorders>
              <w:top w:val="single" w:color="auto" w:sz="4" w:space="0"/>
            </w:tcBorders>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4"/>
            <w:vAlign w:val="center"/>
          </w:tcPr>
          <w:p>
            <w:pPr>
              <w:pStyle w:val="20"/>
              <w:kinsoku w:val="0"/>
              <w:overflowPunct w:val="0"/>
              <w:autoSpaceDE w:val="0"/>
              <w:autoSpaceDN w:val="0"/>
              <w:spacing w:line="320" w:lineRule="exact"/>
              <w:rPr>
                <w:rFonts w:hAnsi="宋体" w:cs="宋体"/>
                <w:bCs/>
                <w:lang w:val="zh-CN"/>
              </w:rPr>
            </w:pPr>
            <w:r>
              <w:rPr>
                <w:rFonts w:hint="eastAsia" w:hAnsi="宋体" w:cs="宋体"/>
                <w:bCs/>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4"/>
            <w:vAlign w:val="center"/>
          </w:tcPr>
          <w:p>
            <w:pPr>
              <w:pStyle w:val="20"/>
              <w:kinsoku w:val="0"/>
              <w:overflowPunct w:val="0"/>
              <w:autoSpaceDE w:val="0"/>
              <w:autoSpaceDN w:val="0"/>
              <w:spacing w:line="320" w:lineRule="exact"/>
              <w:rPr>
                <w:rFonts w:hAnsi="宋体" w:cs="宋体"/>
                <w:bCs/>
                <w:lang w:val="zh-CN"/>
              </w:rPr>
            </w:pPr>
            <w:r>
              <w:rPr>
                <w:rFonts w:hint="eastAsia" w:hAnsi="宋体" w:cs="宋体"/>
                <w:bCs/>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16</w:t>
            </w:r>
          </w:p>
        </w:tc>
        <w:tc>
          <w:tcPr>
            <w:tcW w:w="3751" w:type="dxa"/>
            <w:gridSpan w:val="4"/>
            <w:vAlign w:val="center"/>
          </w:tcPr>
          <w:p>
            <w:pPr>
              <w:pStyle w:val="20"/>
              <w:kinsoku w:val="0"/>
              <w:overflowPunct w:val="0"/>
              <w:autoSpaceDE w:val="0"/>
              <w:autoSpaceDN w:val="0"/>
              <w:spacing w:line="320" w:lineRule="exact"/>
              <w:rPr>
                <w:rFonts w:hAnsi="宋体" w:cs="宋体"/>
                <w:bCs/>
                <w:lang w:val="zh-CN"/>
              </w:rPr>
            </w:pPr>
            <w:r>
              <w:rPr>
                <w:rFonts w:hint="eastAsia" w:hAnsi="宋体" w:cs="仿宋_GB2312"/>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仿宋_GB2312"/>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CCC强制性产品认证</w:t>
            </w:r>
          </w:p>
        </w:tc>
        <w:tc>
          <w:tcPr>
            <w:tcW w:w="2693" w:type="dxa"/>
            <w:gridSpan w:val="2"/>
            <w:tcBorders>
              <w:left w:val="sing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cs="宋体"/>
                <w:bCs/>
                <w:lang w:val="zh-CN"/>
              </w:rPr>
              <w:t>所投产品符合国家强制性要求承诺函</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20"/>
              <w:kinsoku w:val="0"/>
              <w:overflowPunct w:val="0"/>
              <w:autoSpaceDE w:val="0"/>
              <w:autoSpaceDN w:val="0"/>
              <w:spacing w:line="320" w:lineRule="exact"/>
              <w:rPr>
                <w:rFonts w:hAnsi="宋体" w:cs="宋体"/>
              </w:rPr>
            </w:pPr>
            <w:r>
              <w:rPr>
                <w:rFonts w:hAnsi="宋体" w:cs="宋体"/>
              </w:rPr>
              <w:t>信息安全产品强制性认证</w:t>
            </w:r>
          </w:p>
        </w:tc>
        <w:tc>
          <w:tcPr>
            <w:tcW w:w="2693" w:type="dxa"/>
            <w:gridSpan w:val="2"/>
            <w:tcBorders>
              <w:left w:val="single" w:color="auto" w:sz="4" w:space="0"/>
            </w:tcBorders>
            <w:vAlign w:val="center"/>
          </w:tcPr>
          <w:p>
            <w:pPr>
              <w:pStyle w:val="20"/>
              <w:kinsoku w:val="0"/>
              <w:overflowPunct w:val="0"/>
              <w:autoSpaceDE w:val="0"/>
              <w:autoSpaceDN w:val="0"/>
              <w:spacing w:line="320" w:lineRule="exact"/>
              <w:rPr>
                <w:rFonts w:hAnsi="宋体" w:cs="宋体"/>
                <w:bCs/>
                <w:lang w:val="zh-CN"/>
              </w:rPr>
            </w:pPr>
            <w:r>
              <w:rPr>
                <w:rFonts w:hint="eastAsia" w:hAnsi="宋体" w:cs="宋体"/>
              </w:rPr>
              <w:t>认证机构颁发的认证证书</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20"/>
              <w:kinsoku w:val="0"/>
              <w:overflowPunct w:val="0"/>
              <w:autoSpaceDE w:val="0"/>
              <w:autoSpaceDN w:val="0"/>
              <w:spacing w:line="320" w:lineRule="exact"/>
              <w:rPr>
                <w:rFonts w:hAnsi="宋体" w:cs="宋体"/>
                <w:bCs/>
                <w:lang w:val="zh-CN"/>
              </w:rPr>
            </w:pPr>
          </w:p>
        </w:tc>
        <w:tc>
          <w:tcPr>
            <w:tcW w:w="2693" w:type="dxa"/>
            <w:gridSpan w:val="2"/>
            <w:tcBorders>
              <w:left w:val="single" w:color="auto" w:sz="4" w:space="0"/>
            </w:tcBorders>
            <w:vAlign w:val="center"/>
          </w:tcPr>
          <w:p>
            <w:pPr>
              <w:pStyle w:val="20"/>
              <w:kinsoku w:val="0"/>
              <w:overflowPunct w:val="0"/>
              <w:autoSpaceDE w:val="0"/>
              <w:autoSpaceDN w:val="0"/>
              <w:spacing w:line="320" w:lineRule="exact"/>
              <w:rPr>
                <w:rFonts w:hAnsi="宋体" w:cs="宋体"/>
                <w:bCs/>
                <w:lang w:val="zh-CN"/>
              </w:rPr>
            </w:pPr>
            <w:r>
              <w:rPr>
                <w:rFonts w:hint="eastAsia" w:hAnsi="宋体" w:cs="宋体"/>
              </w:rPr>
              <w:t>中国信息安全认证中心官网产品查询结果截图</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r>
        <w:rPr>
          <w:rFonts w:hint="eastAsia" w:hAnsi="宋体" w:cs="黑体"/>
          <w:b/>
          <w:bCs/>
          <w:kern w:val="2"/>
          <w:sz w:val="44"/>
          <w:szCs w:val="44"/>
          <w:lang w:val="zh-CN"/>
        </w:rPr>
        <w:t>二、报价一览表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3"/>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16"/>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pStyle w:val="20"/>
        <w:spacing w:line="360" w:lineRule="auto"/>
        <w:jc w:val="center"/>
        <w:rPr>
          <w:rFonts w:hAnsi="宋体"/>
          <w:b/>
          <w:snapToGrid w:val="0"/>
          <w:sz w:val="36"/>
          <w:szCs w:val="36"/>
        </w:rPr>
      </w:pPr>
      <w:r>
        <w:rPr>
          <w:rFonts w:hint="eastAsia" w:hAnsi="宋体"/>
          <w:b/>
          <w:snapToGrid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根据贵方（项目名称、项目编号）采购的采购公告及谈判邀请，_______（姓名和职务）被正式授权并代表供应商（供应商名称、地址）提交。</w:t>
      </w:r>
    </w:p>
    <w:p>
      <w:pPr>
        <w:pStyle w:val="20"/>
        <w:spacing w:line="360" w:lineRule="auto"/>
        <w:ind w:firstLine="480" w:firstLineChars="200"/>
        <w:contextualSpacing/>
        <w:rPr>
          <w:rFonts w:hAnsi="宋体"/>
          <w:snapToGrid w:val="0"/>
          <w:sz w:val="24"/>
          <w:szCs w:val="24"/>
        </w:rPr>
      </w:pPr>
      <w:r>
        <w:rPr>
          <w:rFonts w:hint="eastAsia" w:hAnsi="宋体"/>
          <w:snapToGrid w:val="0"/>
          <w:sz w:val="24"/>
          <w:szCs w:val="24"/>
        </w:rPr>
        <w:t>我方确认收到贵方提供的（项目名称、项目编号）采购文件的全部内容。</w:t>
      </w:r>
    </w:p>
    <w:p>
      <w:pPr>
        <w:pStyle w:val="20"/>
        <w:spacing w:line="360" w:lineRule="auto"/>
        <w:ind w:firstLine="480" w:firstLineChars="200"/>
        <w:contextualSpacing/>
        <w:rPr>
          <w:rFonts w:hAnsi="宋体"/>
          <w:snapToGrid w:val="0"/>
          <w:sz w:val="24"/>
          <w:szCs w:val="24"/>
        </w:rPr>
      </w:pPr>
      <w:r>
        <w:rPr>
          <w:rFonts w:hint="eastAsia" w:hAnsi="宋体"/>
          <w:snapToGrid w:val="0"/>
          <w:sz w:val="24"/>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hAnsi="宋体"/>
          <w:sz w:val="24"/>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作为供应商正式授权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在此提交的响应文件，正本一份，副本一份,</w:t>
      </w:r>
      <w:r>
        <w:rPr>
          <w:rFonts w:hint="eastAsia" w:cs="Arial"/>
          <w:sz w:val="24"/>
          <w:szCs w:val="24"/>
        </w:rPr>
        <w:t xml:space="preserve"> 电子版文件一份</w:t>
      </w:r>
      <w:r>
        <w:rPr>
          <w:rFonts w:hint="eastAsia" w:ascii="宋体" w:hAnsi="宋体"/>
          <w:snapToGrid w:val="0"/>
          <w:kern w:val="0"/>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w:t>
      </w:r>
      <w:r>
        <w:rPr>
          <w:rFonts w:hint="eastAsia" w:cs="Arial"/>
          <w:sz w:val="24"/>
          <w:szCs w:val="24"/>
        </w:rPr>
        <w:t xml:space="preserve">大写 </w:t>
      </w:r>
      <w:r>
        <w:rPr>
          <w:rFonts w:hint="eastAsia" w:cs="Arial"/>
          <w:sz w:val="24"/>
          <w:szCs w:val="24"/>
          <w:u w:val="single"/>
        </w:rPr>
        <w:t xml:space="preserve">    </w:t>
      </w:r>
      <w:r>
        <w:rPr>
          <w:rFonts w:hint="eastAsia" w:ascii="宋体" w:hAnsi="宋体" w:cs="Courier New"/>
          <w:sz w:val="24"/>
          <w:szCs w:val="24"/>
        </w:rPr>
        <w:t>,小写</w:t>
      </w:r>
      <w:r>
        <w:rPr>
          <w:rFonts w:hint="eastAsia" w:ascii="宋体" w:hAnsi="宋体" w:cs="Courier New"/>
          <w:sz w:val="24"/>
          <w:szCs w:val="24"/>
          <w:u w:val="single"/>
        </w:rPr>
        <w:t xml:space="preserve">    </w:t>
      </w:r>
      <w:r>
        <w:rPr>
          <w:rFonts w:hint="eastAsia" w:ascii="宋体" w:hAnsi="宋体" w:cs="Courier New"/>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二、本响应文件的有效期为投标截止时间起</w:t>
      </w:r>
      <w:r>
        <w:rPr>
          <w:rFonts w:hint="eastAsia" w:ascii="宋体" w:hAnsi="宋体" w:cs="Courier New"/>
          <w:sz w:val="24"/>
          <w:szCs w:val="24"/>
          <w:u w:val="single"/>
        </w:rPr>
        <w:t xml:space="preserve">     </w:t>
      </w:r>
      <w:r>
        <w:rPr>
          <w:rFonts w:hint="eastAsia" w:ascii="宋体" w:hAnsi="宋体" w:cs="Courier New"/>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三、我方同意按照贵方可能提出的要求而提供与投标有关的任何其它数据、信息或资料。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四、我方理解贵方不一定接受最低投标价或任何贵方可能收到的投标。</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五、我方如果成交，将保证履行采购文件及其澄清、修改文件（如果有）中的全部责任和义务，按质、按量、按期完成《项目需求》及《合同书》中的全部任务。</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六、我方在此保证所提交的所有文件和全部说明是真实的和正确的,未提供虚假的资格证书及业绩证明材料谋取中标，若存在虚假证书或者业绩证明材料的违规违法行为，承担法律责任，接受财政部门的处罚。</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八、我方具备《政府采购法》第二十二条规定的条件；承诺如下：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（2）我方已依法缴纳了各项税费及社会保险费用，如有需要，可随时向采购人提供近四个月内的相关缴费证明，以便核查。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（3）我方已依法建立健全的财务会计制度，如有需要，可随时向采购人提供相关证明材料，以便核查。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（4）参加政府采购活动前三年内，在经营活动中没有重大违法记录。</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（5）符合法律、行政法规规定的其他条件。</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以上内容如有虚假或与事实不符的，评审委员会可将我方做无效投标处理，我方愿意承担相应的法律责任。</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九、我方具备履行合同所必需的设备和专业技术能力。</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十、我方对在本函及响应文件中所作的所有承诺承担法律责任。</w:t>
      </w: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r>
        <w:rPr>
          <w:rFonts w:hint="eastAsia" w:ascii="宋体" w:hAnsi="宋体" w:cs="宋体"/>
          <w:sz w:val="24"/>
          <w:szCs w:val="24"/>
        </w:rPr>
        <w:t>.  邮政编码：</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电    话：</w:t>
      </w:r>
      <w:r>
        <w:rPr>
          <w:rFonts w:hint="eastAsia" w:ascii="宋体" w:hAnsi="宋体" w:cs="宋体"/>
          <w:sz w:val="24"/>
          <w:szCs w:val="24"/>
          <w:u w:val="single"/>
        </w:rPr>
        <w:t xml:space="preserve">                    </w:t>
      </w:r>
      <w:r>
        <w:rPr>
          <w:rFonts w:hint="eastAsia" w:ascii="宋体" w:hAnsi="宋体" w:cs="宋体"/>
          <w:sz w:val="24"/>
          <w:szCs w:val="24"/>
        </w:rPr>
        <w:t>.  传    真：</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w:t>
      </w:r>
      <w:r>
        <w:rPr>
          <w:rFonts w:hint="eastAsia" w:ascii="宋体" w:hAnsi="宋体" w:cs="宋体"/>
          <w:sz w:val="24"/>
          <w:szCs w:val="24"/>
          <w:u w:val="single"/>
        </w:rPr>
        <w:t xml:space="preserve">               </w:t>
      </w:r>
      <w:r>
        <w:rPr>
          <w:rFonts w:hint="eastAsia" w:ascii="宋体" w:hAnsi="宋体" w:cs="宋体"/>
          <w:sz w:val="24"/>
          <w:szCs w:val="24"/>
        </w:rPr>
        <w:t>.  职    务：</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供应商法定代表人（或法定代表人授权代表）签字或盖章：</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供应商名称（盖章）：</w:t>
      </w:r>
      <w:r>
        <w:rPr>
          <w:rFonts w:hint="eastAsia" w:ascii="宋体" w:hAnsi="宋体" w:cs="宋体"/>
          <w:sz w:val="24"/>
          <w:szCs w:val="24"/>
          <w:u w:val="single"/>
        </w:rPr>
        <w:t xml:space="preserve"> </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pStyle w:val="32"/>
        <w:ind w:firstLine="482"/>
        <w:rPr>
          <w:rFonts w:hAnsi="宋体"/>
          <w:b/>
          <w:bCs/>
          <w:szCs w:val="24"/>
        </w:rPr>
      </w:pPr>
    </w:p>
    <w:p>
      <w:pPr>
        <w:pStyle w:val="32"/>
        <w:ind w:firstLine="482"/>
        <w:rPr>
          <w:rFonts w:hAnsi="宋体"/>
          <w:b/>
          <w:bCs/>
          <w:szCs w:val="24"/>
        </w:rPr>
      </w:pPr>
    </w:p>
    <w:p>
      <w:pPr>
        <w:pStyle w:val="32"/>
        <w:ind w:firstLine="482"/>
        <w:rPr>
          <w:rFonts w:hAnsi="宋体"/>
          <w:b/>
          <w:bCs/>
          <w:szCs w:val="24"/>
        </w:rPr>
      </w:pPr>
    </w:p>
    <w:p>
      <w:pPr>
        <w:spacing w:line="480" w:lineRule="exact"/>
        <w:jc w:val="center"/>
        <w:rPr>
          <w:rFonts w:ascii="宋体" w:hAnsi="宋体"/>
          <w:b/>
          <w:bCs/>
          <w:sz w:val="24"/>
          <w:szCs w:val="24"/>
        </w:rPr>
      </w:pPr>
      <w:r>
        <w:rPr>
          <w:rFonts w:hint="eastAsia" w:ascii="宋体" w:hAnsi="宋体"/>
          <w:b/>
          <w:bCs/>
          <w:sz w:val="24"/>
          <w:szCs w:val="24"/>
        </w:rPr>
        <w:t>3.2 法定代表人</w:t>
      </w:r>
      <w:r>
        <w:rPr>
          <w:rFonts w:ascii="宋体" w:hAnsi="宋体"/>
          <w:b/>
          <w:bCs/>
          <w:sz w:val="24"/>
          <w:szCs w:val="24"/>
        </w:rPr>
        <w:t>资</w:t>
      </w:r>
      <w:r>
        <w:rPr>
          <w:rFonts w:hint="eastAsia" w:ascii="宋体" w:hAnsi="宋体"/>
          <w:b/>
          <w:bCs/>
          <w:sz w:val="24"/>
          <w:szCs w:val="24"/>
        </w:rPr>
        <w:t>格</w:t>
      </w:r>
      <w:r>
        <w:rPr>
          <w:rFonts w:ascii="宋体" w:hAnsi="宋体"/>
          <w:b/>
          <w:bCs/>
          <w:sz w:val="24"/>
          <w:szCs w:val="24"/>
        </w:rPr>
        <w:t>证</w:t>
      </w:r>
      <w:r>
        <w:rPr>
          <w:rFonts w:hint="eastAsia" w:ascii="宋体" w:hAnsi="宋体"/>
          <w:b/>
          <w:bCs/>
          <w:sz w:val="24"/>
          <w:szCs w:val="24"/>
        </w:rPr>
        <w:t>明</w:t>
      </w:r>
      <w:r>
        <w:rPr>
          <w:rFonts w:ascii="宋体" w:hAnsi="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125"/>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地址：</w:t>
      </w:r>
    </w:p>
    <w:p>
      <w:pPr>
        <w:pStyle w:val="125"/>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5"/>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5"/>
        <w:spacing w:line="480" w:lineRule="auto"/>
        <w:ind w:firstLine="540" w:firstLineChars="225"/>
        <w:jc w:val="left"/>
        <w:rPr>
          <w:rFonts w:hAnsi="宋体"/>
          <w:szCs w:val="24"/>
        </w:rPr>
      </w:pPr>
    </w:p>
    <w:p>
      <w:pPr>
        <w:pStyle w:val="125"/>
        <w:spacing w:line="480" w:lineRule="auto"/>
        <w:ind w:firstLine="540" w:firstLineChars="225"/>
        <w:jc w:val="left"/>
        <w:rPr>
          <w:rFonts w:hAnsi="宋体"/>
          <w:szCs w:val="24"/>
        </w:rPr>
      </w:pPr>
    </w:p>
    <w:p>
      <w:pPr>
        <w:pStyle w:val="125"/>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125"/>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4"/>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3"/>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 xml:space="preserve">法人姓名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 xml:space="preserve">姓名，职务  </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17" w:name="_资格证明文件"/>
            <w:bookmarkEnd w:id="17"/>
            <w:bookmarkStart w:id="18" w:name="_Toc364329026"/>
            <w:r>
              <w:rPr>
                <w:rFonts w:hint="eastAsia" w:ascii="宋体" w:hAnsi="宋体"/>
                <w:sz w:val="24"/>
                <w:szCs w:val="24"/>
              </w:rPr>
              <w:t>法定代表人授权代表身份证（正面）</w:t>
            </w:r>
            <w:bookmarkEnd w:id="18"/>
          </w:p>
        </w:tc>
        <w:tc>
          <w:tcPr>
            <w:tcW w:w="4492" w:type="dxa"/>
            <w:gridSpan w:val="2"/>
            <w:vAlign w:val="center"/>
          </w:tcPr>
          <w:p>
            <w:pPr>
              <w:jc w:val="center"/>
              <w:rPr>
                <w:rFonts w:ascii="宋体" w:hAnsi="宋体"/>
                <w:sz w:val="24"/>
                <w:szCs w:val="24"/>
              </w:rPr>
            </w:pPr>
            <w:bookmarkStart w:id="19" w:name="_Toc364329027"/>
            <w:r>
              <w:rPr>
                <w:rFonts w:hint="eastAsia" w:ascii="宋体" w:hAnsi="宋体"/>
                <w:sz w:val="24"/>
                <w:szCs w:val="24"/>
              </w:rPr>
              <w:t>法定代表人授权代表身份证（反面）</w:t>
            </w:r>
            <w:bookmarkEnd w:id="19"/>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sz w:val="36"/>
          <w:szCs w:val="36"/>
        </w:rPr>
        <w:t>3.5 投标承诺函</w:t>
      </w:r>
    </w:p>
    <w:p>
      <w:pPr>
        <w:spacing w:beforeLines="50" w:afterLines="50" w:line="360" w:lineRule="auto"/>
        <w:contextualSpacing/>
        <w:rPr>
          <w:rFonts w:ascii="宋体" w:hAnsi="宋体" w:cs="宋体"/>
          <w:szCs w:val="21"/>
          <w:lang w:val="zh-CN"/>
        </w:rPr>
      </w:pPr>
      <w:r>
        <w:rPr>
          <w:rFonts w:hint="eastAsia" w:ascii="宋体" w:hAnsi="宋体"/>
          <w:b/>
          <w:bCs/>
          <w:color w:val="000000"/>
          <w:sz w:val="24"/>
          <w:szCs w:val="24"/>
        </w:rPr>
        <w:t>（采购人）</w:t>
      </w:r>
      <w:r>
        <w:rPr>
          <w:rFonts w:ascii="宋体" w:hAnsi="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cs="宋体"/>
          <w:szCs w:val="21"/>
          <w:lang w:val="zh-CN"/>
        </w:rPr>
        <w:t>经研究，我</w:t>
      </w:r>
      <w:r>
        <w:rPr>
          <w:rFonts w:hint="eastAsia" w:cs="宋体" w:asciiTheme="minorEastAsia" w:hAnsiTheme="minorEastAsia"/>
          <w:szCs w:val="21"/>
          <w:lang w:val="zh-CN"/>
        </w:rPr>
        <w:t>方自愿参与贵方</w:t>
      </w:r>
      <w:r>
        <w:rPr>
          <w:rFonts w:hint="eastAsia" w:ascii="宋体" w:hAnsi="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cs="宋体"/>
          <w:szCs w:val="21"/>
          <w:u w:val="single"/>
          <w:lang w:val="zh-CN"/>
        </w:rPr>
        <w:t xml:space="preserve"> </w:t>
      </w:r>
      <w:r>
        <w:rPr>
          <w:rFonts w:ascii="宋体" w:hAnsi="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cs="宋体"/>
          <w:szCs w:val="21"/>
          <w:u w:val="single"/>
          <w:lang w:val="zh-CN"/>
        </w:rPr>
        <w:t>_</w:t>
      </w:r>
      <w:r>
        <w:rPr>
          <w:rFonts w:hint="eastAsia" w:cs="宋体" w:asciiTheme="minorEastAsia" w:hAnsiTheme="minorEastAsia"/>
          <w:szCs w:val="21"/>
          <w:lang w:val="zh-CN"/>
        </w:rPr>
        <w:t>（招标编号、项目名称）的</w:t>
      </w:r>
      <w:r>
        <w:rPr>
          <w:rFonts w:ascii="宋体" w:hAnsi="宋体" w:cs="宋体"/>
          <w:szCs w:val="21"/>
          <w:lang w:val="zh-CN"/>
        </w:rPr>
        <w:t>投标，</w:t>
      </w:r>
      <w:r>
        <w:rPr>
          <w:rFonts w:hint="eastAsia" w:cs="宋体" w:asciiTheme="minorEastAsia" w:hAnsiTheme="minorEastAsia"/>
          <w:szCs w:val="21"/>
          <w:lang w:val="zh-CN"/>
        </w:rPr>
        <w:t>将</w:t>
      </w:r>
      <w:r>
        <w:rPr>
          <w:rFonts w:ascii="宋体" w:hAnsi="宋体" w:cs="宋体"/>
          <w:szCs w:val="21"/>
          <w:lang w:val="zh-CN"/>
        </w:rPr>
        <w:t>严格</w:t>
      </w:r>
      <w:r>
        <w:rPr>
          <w:rFonts w:hint="eastAsia" w:cs="宋体" w:asciiTheme="minorEastAsia" w:hAnsiTheme="minorEastAsia"/>
          <w:szCs w:val="21"/>
          <w:lang w:val="zh-CN"/>
        </w:rPr>
        <w:t>遵守</w:t>
      </w:r>
      <w:r>
        <w:rPr>
          <w:rFonts w:ascii="宋体" w:hAnsi="宋体" w:cs="宋体"/>
          <w:szCs w:val="21"/>
          <w:lang w:val="zh-CN"/>
        </w:rPr>
        <w:t>《</w:t>
      </w:r>
      <w:r>
        <w:rPr>
          <w:rFonts w:hint="eastAsia" w:cs="宋体" w:asciiTheme="minorEastAsia" w:hAnsiTheme="minorEastAsia"/>
          <w:szCs w:val="21"/>
          <w:lang w:val="zh-CN"/>
        </w:rPr>
        <w:t>中华人民共和国政府采购</w:t>
      </w:r>
      <w:r>
        <w:rPr>
          <w:rFonts w:ascii="宋体" w:hAnsi="宋体" w:cs="宋体"/>
          <w:szCs w:val="21"/>
          <w:lang w:val="zh-CN"/>
        </w:rPr>
        <w:t>法》等</w:t>
      </w:r>
      <w:r>
        <w:rPr>
          <w:rFonts w:hint="eastAsia" w:cs="宋体" w:asciiTheme="minorEastAsia" w:hAnsiTheme="minorEastAsia"/>
          <w:szCs w:val="21"/>
          <w:lang w:val="zh-CN"/>
        </w:rPr>
        <w:t>相关</w:t>
      </w:r>
      <w:r>
        <w:rPr>
          <w:rFonts w:ascii="宋体" w:hAnsi="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firstLine="4357" w:firstLineChars="2075"/>
        <w:rPr>
          <w:rFonts w:cs="Arial" w:asciiTheme="minorEastAsia" w:hAnsiTheme="minorEastAsia"/>
          <w:color w:val="000000"/>
          <w:szCs w:val="21"/>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rPr>
          <w:rFonts w:ascii="宋体" w:cs="宋体"/>
          <w:szCs w:val="21"/>
          <w:lang w:val="zh-CN"/>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spacing w:line="480" w:lineRule="exact"/>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r>
        <w:rPr>
          <w:rFonts w:hint="eastAsia" w:ascii="宋体" w:hAnsi="宋体"/>
          <w:b/>
          <w:bCs/>
          <w:sz w:val="36"/>
          <w:szCs w:val="36"/>
        </w:rPr>
        <w:t>4.1  已标价的工程量清单</w:t>
      </w: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r>
        <w:rPr>
          <w:rFonts w:hint="eastAsia" w:ascii="宋体" w:hAnsi="宋体"/>
          <w:b/>
          <w:bCs/>
          <w:sz w:val="36"/>
          <w:szCs w:val="36"/>
        </w:rPr>
        <w:t>4.2</w:t>
      </w:r>
      <w:r>
        <w:rPr>
          <w:rFonts w:hint="eastAsia" w:hAnsi="宋体"/>
          <w:b/>
          <w:snapToGrid w:val="0"/>
          <w:kern w:val="0"/>
          <w:sz w:val="36"/>
          <w:szCs w:val="36"/>
        </w:rPr>
        <w:t>施工方案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Cs w:val="21"/>
          <w:lang w:val="zh-CN"/>
        </w:rPr>
        <w:t>供应商根据谈判文件要求自行编制</w:t>
      </w:r>
      <w:r>
        <w:rPr>
          <w:rFonts w:hint="eastAsia" w:ascii="宋体" w:hAnsi="宋体" w:cs="宋体"/>
          <w:sz w:val="24"/>
          <w:szCs w:val="24"/>
          <w:lang w:val="zh-CN"/>
        </w:rPr>
        <w:t>）</w:t>
      </w: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widowControl/>
        <w:jc w:val="center"/>
        <w:rPr>
          <w:rFonts w:ascii="宋体" w:hAnsi="宋体"/>
          <w:b/>
          <w:bCs/>
          <w:sz w:val="36"/>
          <w:szCs w:val="36"/>
        </w:rPr>
      </w:pPr>
      <w:r>
        <w:rPr>
          <w:rFonts w:hint="eastAsia" w:ascii="宋体" w:hAnsi="宋体"/>
          <w:b/>
          <w:bCs/>
          <w:sz w:val="36"/>
          <w:szCs w:val="36"/>
        </w:rPr>
        <w:t>4.3项目管理机构配备情况</w:t>
      </w:r>
    </w:p>
    <w:p>
      <w:pPr>
        <w:spacing w:afterLines="100" w:line="420" w:lineRule="exact"/>
        <w:jc w:val="center"/>
        <w:rPr>
          <w:rFonts w:ascii="宋体" w:hAnsi="宋体" w:cs="宋体"/>
          <w:sz w:val="24"/>
          <w:szCs w:val="24"/>
        </w:rPr>
      </w:pPr>
      <w:r>
        <w:rPr>
          <w:rFonts w:hint="eastAsia" w:ascii="宋体" w:hAnsi="宋体" w:cs="宋体"/>
          <w:sz w:val="24"/>
          <w:szCs w:val="24"/>
        </w:rPr>
        <w:t>（一）项目管理机构组成表</w:t>
      </w:r>
    </w:p>
    <w:tbl>
      <w:tblPr>
        <w:tblStyle w:val="33"/>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职务</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姓名</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职称</w:t>
            </w:r>
          </w:p>
        </w:tc>
        <w:tc>
          <w:tcPr>
            <w:tcW w:w="5200" w:type="dxa"/>
            <w:gridSpan w:val="5"/>
            <w:vAlign w:val="center"/>
          </w:tcPr>
          <w:p>
            <w:pPr>
              <w:spacing w:line="0" w:lineRule="atLeast"/>
              <w:jc w:val="center"/>
              <w:rPr>
                <w:rFonts w:ascii="宋体" w:hAnsi="宋体" w:cs="宋体"/>
                <w:szCs w:val="21"/>
              </w:rPr>
            </w:pPr>
            <w:r>
              <w:rPr>
                <w:rFonts w:hint="eastAsia" w:ascii="宋体" w:hAnsi="宋体" w:cs="宋体"/>
                <w:szCs w:val="21"/>
              </w:rPr>
              <w:t>执业或职业资格证明</w:t>
            </w:r>
          </w:p>
        </w:tc>
        <w:tc>
          <w:tcPr>
            <w:tcW w:w="720" w:type="dxa"/>
            <w:vMerge w:val="restart"/>
            <w:vAlign w:val="center"/>
          </w:tcPr>
          <w:p>
            <w:pPr>
              <w:spacing w:line="0" w:lineRule="atLeas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r>
              <w:rPr>
                <w:rFonts w:hint="eastAsia" w:ascii="宋体" w:hAnsi="宋体" w:cs="宋体"/>
                <w:szCs w:val="21"/>
              </w:rPr>
              <w:t>证书</w:t>
            </w:r>
          </w:p>
          <w:p>
            <w:pPr>
              <w:spacing w:line="0" w:lineRule="atLeast"/>
              <w:jc w:val="center"/>
              <w:rPr>
                <w:rFonts w:ascii="宋体" w:hAnsi="宋体" w:cs="宋体"/>
                <w:szCs w:val="21"/>
              </w:rPr>
            </w:pPr>
            <w:r>
              <w:rPr>
                <w:rFonts w:hint="eastAsia" w:ascii="宋体" w:hAnsi="宋体" w:cs="宋体"/>
                <w:szCs w:val="21"/>
              </w:rPr>
              <w:t>名称</w:t>
            </w:r>
          </w:p>
        </w:tc>
        <w:tc>
          <w:tcPr>
            <w:tcW w:w="849" w:type="dxa"/>
            <w:vAlign w:val="center"/>
          </w:tcPr>
          <w:p>
            <w:pPr>
              <w:spacing w:line="0" w:lineRule="atLeast"/>
              <w:jc w:val="center"/>
              <w:rPr>
                <w:rFonts w:ascii="宋体" w:hAnsi="宋体" w:cs="宋体"/>
                <w:szCs w:val="21"/>
              </w:rPr>
            </w:pPr>
            <w:r>
              <w:rPr>
                <w:rFonts w:hint="eastAsia" w:ascii="宋体" w:hAnsi="宋体" w:cs="宋体"/>
                <w:szCs w:val="21"/>
              </w:rPr>
              <w:t>级别</w:t>
            </w:r>
          </w:p>
        </w:tc>
        <w:tc>
          <w:tcPr>
            <w:tcW w:w="868" w:type="dxa"/>
            <w:vAlign w:val="center"/>
          </w:tcPr>
          <w:p>
            <w:pPr>
              <w:spacing w:line="0" w:lineRule="atLeast"/>
              <w:jc w:val="center"/>
              <w:rPr>
                <w:rFonts w:ascii="宋体" w:hAnsi="宋体" w:cs="宋体"/>
                <w:szCs w:val="21"/>
              </w:rPr>
            </w:pPr>
            <w:r>
              <w:rPr>
                <w:rFonts w:hint="eastAsia" w:ascii="宋体" w:hAnsi="宋体" w:cs="宋体"/>
                <w:szCs w:val="21"/>
              </w:rPr>
              <w:t>证号</w:t>
            </w:r>
          </w:p>
        </w:tc>
        <w:tc>
          <w:tcPr>
            <w:tcW w:w="936" w:type="dxa"/>
            <w:vAlign w:val="center"/>
          </w:tcPr>
          <w:p>
            <w:pPr>
              <w:spacing w:line="0" w:lineRule="atLeast"/>
              <w:jc w:val="center"/>
              <w:rPr>
                <w:rFonts w:ascii="宋体" w:hAnsi="宋体" w:cs="宋体"/>
                <w:szCs w:val="21"/>
              </w:rPr>
            </w:pPr>
            <w:r>
              <w:rPr>
                <w:rFonts w:hint="eastAsia" w:ascii="宋体" w:hAnsi="宋体" w:cs="宋体"/>
                <w:szCs w:val="21"/>
              </w:rPr>
              <w:t>专业</w:t>
            </w:r>
          </w:p>
        </w:tc>
        <w:tc>
          <w:tcPr>
            <w:tcW w:w="1298" w:type="dxa"/>
            <w:vAlign w:val="center"/>
          </w:tcPr>
          <w:p>
            <w:pPr>
              <w:spacing w:line="0" w:lineRule="atLeast"/>
              <w:jc w:val="center"/>
              <w:rPr>
                <w:rFonts w:ascii="宋体" w:hAnsi="宋体" w:cs="宋体"/>
                <w:szCs w:val="21"/>
              </w:rPr>
            </w:pPr>
            <w:r>
              <w:rPr>
                <w:rFonts w:hint="eastAsia" w:ascii="宋体" w:hAnsi="宋体" w:cs="宋体"/>
                <w:szCs w:val="21"/>
              </w:rPr>
              <w:t>养老保险</w:t>
            </w:r>
          </w:p>
        </w:tc>
        <w:tc>
          <w:tcPr>
            <w:tcW w:w="720" w:type="dxa"/>
            <w:vMerge w:val="continue"/>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p>
        </w:tc>
        <w:tc>
          <w:tcPr>
            <w:tcW w:w="849" w:type="dxa"/>
            <w:vAlign w:val="center"/>
          </w:tcPr>
          <w:p>
            <w:pPr>
              <w:spacing w:line="0" w:lineRule="atLeast"/>
              <w:jc w:val="center"/>
              <w:rPr>
                <w:rFonts w:ascii="宋体" w:hAnsi="宋体" w:cs="宋体"/>
                <w:szCs w:val="21"/>
              </w:rPr>
            </w:pPr>
          </w:p>
        </w:tc>
        <w:tc>
          <w:tcPr>
            <w:tcW w:w="868" w:type="dxa"/>
            <w:vAlign w:val="center"/>
          </w:tcPr>
          <w:p>
            <w:pPr>
              <w:spacing w:line="0" w:lineRule="atLeast"/>
              <w:jc w:val="center"/>
              <w:rPr>
                <w:rFonts w:ascii="宋体" w:hAnsi="宋体" w:cs="宋体"/>
                <w:szCs w:val="21"/>
              </w:rPr>
            </w:pPr>
          </w:p>
        </w:tc>
        <w:tc>
          <w:tcPr>
            <w:tcW w:w="936" w:type="dxa"/>
            <w:vAlign w:val="center"/>
          </w:tcPr>
          <w:p>
            <w:pPr>
              <w:spacing w:line="0" w:lineRule="atLeast"/>
              <w:jc w:val="center"/>
              <w:rPr>
                <w:rFonts w:ascii="宋体" w:hAnsi="宋体" w:cs="宋体"/>
                <w:szCs w:val="21"/>
              </w:rPr>
            </w:pPr>
          </w:p>
        </w:tc>
        <w:tc>
          <w:tcPr>
            <w:tcW w:w="1298" w:type="dxa"/>
            <w:vAlign w:val="center"/>
          </w:tcPr>
          <w:p>
            <w:pPr>
              <w:spacing w:line="0" w:lineRule="atLeast"/>
              <w:jc w:val="center"/>
              <w:rPr>
                <w:rFonts w:ascii="宋体" w:hAnsi="宋体" w:cs="宋体"/>
                <w:szCs w:val="21"/>
              </w:rPr>
            </w:pPr>
          </w:p>
        </w:tc>
        <w:tc>
          <w:tcPr>
            <w:tcW w:w="720"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bl>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spacing w:afterLines="100" w:line="420" w:lineRule="exact"/>
        <w:jc w:val="center"/>
        <w:rPr>
          <w:rFonts w:ascii="宋体" w:hAnsi="宋体" w:cs="宋体"/>
          <w:sz w:val="24"/>
          <w:szCs w:val="24"/>
        </w:rPr>
      </w:pPr>
      <w:r>
        <w:rPr>
          <w:rFonts w:hint="eastAsia" w:ascii="宋体" w:hAnsi="宋体" w:cs="宋体"/>
          <w:sz w:val="24"/>
          <w:szCs w:val="24"/>
        </w:rPr>
        <w:t>（二）主要人员简历表</w:t>
      </w:r>
    </w:p>
    <w:tbl>
      <w:tblPr>
        <w:tblStyle w:val="33"/>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022"/>
        <w:gridCol w:w="17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4" w:type="dxa"/>
          </w:tcPr>
          <w:p>
            <w:pPr>
              <w:jc w:val="center"/>
              <w:rPr>
                <w:rFonts w:ascii="宋体" w:hAnsi="宋体"/>
                <w:szCs w:val="21"/>
              </w:rPr>
            </w:pPr>
            <w:r>
              <w:rPr>
                <w:rFonts w:hint="eastAsia" w:ascii="宋体" w:hAnsi="宋体"/>
                <w:szCs w:val="21"/>
              </w:rPr>
              <w:t>岗位名称</w:t>
            </w:r>
          </w:p>
        </w:tc>
        <w:tc>
          <w:tcPr>
            <w:tcW w:w="5952" w:type="dxa"/>
            <w:gridSpan w:val="3"/>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姓    名</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年    龄</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64" w:type="dxa"/>
          </w:tcPr>
          <w:p>
            <w:pPr>
              <w:jc w:val="center"/>
              <w:rPr>
                <w:rFonts w:ascii="宋体" w:hAnsi="宋体"/>
                <w:szCs w:val="21"/>
              </w:rPr>
            </w:pPr>
            <w:r>
              <w:rPr>
                <w:rFonts w:hint="eastAsia" w:ascii="宋体" w:hAnsi="宋体"/>
                <w:szCs w:val="21"/>
              </w:rPr>
              <w:t>性    别</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毕业学校</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学历和专业</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毕业时间</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64" w:type="dxa"/>
          </w:tcPr>
          <w:p>
            <w:pPr>
              <w:jc w:val="center"/>
              <w:rPr>
                <w:rFonts w:ascii="宋体" w:hAnsi="宋体"/>
                <w:szCs w:val="21"/>
              </w:rPr>
            </w:pPr>
            <w:r>
              <w:rPr>
                <w:rFonts w:hint="eastAsia" w:ascii="宋体" w:hAnsi="宋体"/>
                <w:szCs w:val="21"/>
              </w:rPr>
              <w:t>专业职称</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工作年限</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464" w:type="dxa"/>
            <w:vAlign w:val="center"/>
          </w:tcPr>
          <w:p>
            <w:pPr>
              <w:jc w:val="center"/>
              <w:rPr>
                <w:rFonts w:ascii="宋体" w:hAnsi="宋体"/>
                <w:szCs w:val="21"/>
              </w:rPr>
            </w:pPr>
            <w:r>
              <w:rPr>
                <w:rFonts w:hint="eastAsia" w:ascii="宋体" w:hAnsi="宋体"/>
                <w:szCs w:val="21"/>
              </w:rPr>
              <w:t>主要工作业绩</w:t>
            </w:r>
          </w:p>
          <w:p>
            <w:pPr>
              <w:jc w:val="center"/>
              <w:rPr>
                <w:rFonts w:ascii="宋体" w:hAnsi="宋体"/>
                <w:szCs w:val="21"/>
              </w:rPr>
            </w:pPr>
            <w:r>
              <w:rPr>
                <w:rFonts w:hint="eastAsia" w:ascii="宋体" w:hAnsi="宋体"/>
                <w:szCs w:val="21"/>
              </w:rPr>
              <w:t>及担任的主要工作</w:t>
            </w:r>
          </w:p>
          <w:p>
            <w:pPr>
              <w:jc w:val="center"/>
              <w:rPr>
                <w:rFonts w:ascii="宋体" w:hAnsi="宋体"/>
                <w:szCs w:val="21"/>
              </w:rPr>
            </w:pPr>
          </w:p>
        </w:tc>
        <w:tc>
          <w:tcPr>
            <w:tcW w:w="5952" w:type="dxa"/>
            <w:gridSpan w:val="3"/>
          </w:tcPr>
          <w:p>
            <w:pPr>
              <w:rPr>
                <w:rFonts w:ascii="宋体" w:hAnsi="宋体"/>
                <w:szCs w:val="21"/>
              </w:rPr>
            </w:pPr>
          </w:p>
        </w:tc>
      </w:tr>
    </w:tbl>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4.4</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widowControl/>
        <w:jc w:val="center"/>
        <w:rPr>
          <w:rFonts w:ascii="宋体" w:hAnsi="宋体"/>
          <w:b/>
          <w:bCs/>
          <w:sz w:val="36"/>
          <w:szCs w:val="36"/>
        </w:rPr>
      </w:pPr>
      <w:r>
        <w:rPr>
          <w:rFonts w:ascii="宋体" w:hAnsi="宋体"/>
          <w:b/>
          <w:bCs/>
          <w:sz w:val="36"/>
          <w:szCs w:val="36"/>
        </w:rPr>
        <w:br w:type="page"/>
      </w:r>
      <w:r>
        <w:rPr>
          <w:rFonts w:hint="eastAsia" w:ascii="宋体" w:hAnsi="宋体"/>
          <w:b/>
          <w:bCs/>
          <w:sz w:val="36"/>
          <w:szCs w:val="36"/>
        </w:rPr>
        <w:t>4.5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0" w:name="OLE_LINK13"/>
      <w:bookmarkStart w:id="21" w:name="OLE_LINK14"/>
    </w:p>
    <w:p>
      <w:pPr>
        <w:spacing w:line="360" w:lineRule="auto"/>
        <w:jc w:val="center"/>
        <w:rPr>
          <w:rFonts w:ascii="宋体" w:hAnsi="宋体"/>
          <w:b/>
          <w:bCs/>
          <w:sz w:val="36"/>
          <w:szCs w:val="36"/>
        </w:rPr>
      </w:pPr>
      <w:r>
        <w:rPr>
          <w:rFonts w:hint="eastAsia" w:ascii="宋体" w:hAnsi="宋体"/>
          <w:b/>
          <w:bCs/>
          <w:sz w:val="36"/>
          <w:szCs w:val="36"/>
        </w:rPr>
        <w:t>4.6 残疾人福利性单位声明函</w:t>
      </w:r>
    </w:p>
    <w:bookmarkEnd w:id="20"/>
    <w:bookmarkEnd w:id="21"/>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16"/>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p>
    <w:p>
      <w:pPr>
        <w:pStyle w:val="17"/>
        <w:spacing w:line="480" w:lineRule="exact"/>
        <w:ind w:firstLine="0" w:firstLineChars="0"/>
        <w:rPr>
          <w:rFonts w:hAnsi="宋体"/>
          <w:b/>
          <w:bCs/>
          <w:position w:val="6"/>
          <w:szCs w:val="24"/>
        </w:rPr>
      </w:pPr>
    </w:p>
    <w:p>
      <w:pPr>
        <w:pStyle w:val="16"/>
      </w:pPr>
    </w:p>
    <w:sectPr>
      <w:headerReference r:id="rId5" w:type="first"/>
      <w:headerReference r:id="rId4" w:type="default"/>
      <w:footerReference r:id="rId6" w:type="default"/>
      <w:footerReference r:id="rId7"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 w:name="华文中宋">
    <w:altName w:val="宋体"/>
    <w:panose1 w:val="00000000000000000000"/>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隶书">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roman"/>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pLHrFgIAABcEAAAOAAAAAAAA&#10;AAEAIAAAAB8BAABkcnMvZTJvRG9jLnhtbFBLBQYAAAAABgAGAFkBAACn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Cs w:val="21"/>
        <w:u w:val="single"/>
      </w:rPr>
    </w:pPr>
  </w:p>
  <w:p>
    <w:pPr>
      <w:pStyle w:val="24"/>
      <w:rPr>
        <w:rFonts w:ascii="宋体" w:hAnsi="宋体"/>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2</w:t>
                          </w:r>
                          <w:r>
                            <w:rPr>
                              <w:rFonts w:ascii="宋体" w:hAnsi="宋体" w:cs="Arial"/>
                              <w:color w:val="000000"/>
                              <w:szCs w:val="21"/>
                            </w:rPr>
                            <w:fldChar w:fldCharType="end"/>
                          </w:r>
                          <w:r>
                            <w:rPr>
                              <w:rFonts w:ascii="宋体" w:hAnsi="宋体" w:cs="Arial"/>
                              <w:color w:val="000000"/>
                              <w:szCs w:val="21"/>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v:fill on="f" focussize="0,0"/>
              <v:stroke on="f"/>
              <v:imagedata o:title=""/>
              <o:lock v:ext="edit" aspectratio="f"/>
              <v:textbox inset="0mm,0mm,0mm,0mm" style="mso-fit-shape-to-text:t;">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2</w:t>
                    </w:r>
                    <w:r>
                      <w:rPr>
                        <w:rFonts w:ascii="宋体" w:hAnsi="宋体" w:cs="Arial"/>
                        <w:color w:val="000000"/>
                        <w:szCs w:val="21"/>
                      </w:rPr>
                      <w:fldChar w:fldCharType="end"/>
                    </w:r>
                    <w:r>
                      <w:rPr>
                        <w:rFonts w:ascii="宋体" w:hAnsi="宋体" w:cs="Arial"/>
                        <w:color w:val="000000"/>
                        <w:szCs w:val="21"/>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r>
      <w:fldChar w:fldCharType="begin"/>
    </w:r>
    <w:r>
      <w:rPr>
        <w:rStyle w:val="37"/>
      </w:rPr>
      <w:instrText xml:space="preserve">PAGE  </w:instrText>
    </w:r>
    <w:r>
      <w:fldChar w:fldCharType="separate"/>
    </w:r>
    <w:r>
      <w:rPr>
        <w:rStyle w:val="37"/>
      </w:rPr>
      <w:t>53</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101"/>
      <w:lvlText w:val="%1"/>
      <w:lvlJc w:val="left"/>
      <w:pPr>
        <w:ind w:left="432" w:hanging="432"/>
      </w:pPr>
      <w:rPr>
        <w:b w:val="0"/>
      </w:rPr>
    </w:lvl>
    <w:lvl w:ilvl="1" w:tentative="0">
      <w:start w:val="1"/>
      <w:numFmt w:val="decimal"/>
      <w:pStyle w:val="117"/>
      <w:lvlText w:val="%1.%2"/>
      <w:lvlJc w:val="left"/>
      <w:pPr>
        <w:ind w:left="576" w:hanging="576"/>
      </w:pPr>
      <w:rPr>
        <w:rFonts w:ascii="黑体" w:hAnsi="黑体" w:eastAsia="黑体"/>
        <w:b w:val="0"/>
      </w:rPr>
    </w:lvl>
    <w:lvl w:ilvl="2" w:tentative="0">
      <w:start w:val="1"/>
      <w:numFmt w:val="decimal"/>
      <w:pStyle w:val="99"/>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4"/>
      <w:lvlText w:val="%1.%2.%3.%4.%5"/>
      <w:lvlJc w:val="left"/>
      <w:pPr>
        <w:ind w:left="1008" w:hanging="1008"/>
      </w:pPr>
      <w:rPr>
        <w:rFonts w:ascii="黑体" w:hAnsi="黑体" w:eastAsia="黑体"/>
        <w:b w:val="0"/>
      </w:rPr>
    </w:lvl>
    <w:lvl w:ilvl="5" w:tentative="0">
      <w:start w:val="1"/>
      <w:numFmt w:val="decimal"/>
      <w:pStyle w:val="96"/>
      <w:lvlText w:val="%1.%2.%3.%4.%5.%6"/>
      <w:lvlJc w:val="left"/>
      <w:pPr>
        <w:ind w:left="1152" w:hanging="1152"/>
      </w:pPr>
      <w:rPr>
        <w:rFonts w:ascii="黑体" w:hAnsi="黑体" w:eastAsia="黑体"/>
        <w:lang w:val="en-US"/>
      </w:rPr>
    </w:lvl>
    <w:lvl w:ilvl="6" w:tentative="0">
      <w:start w:val="1"/>
      <w:numFmt w:val="decimal"/>
      <w:pStyle w:val="107"/>
      <w:lvlText w:val="%1.%2.%3.%4.%5.%6.%7"/>
      <w:lvlJc w:val="left"/>
      <w:pPr>
        <w:ind w:left="1296" w:hanging="1296"/>
      </w:pPr>
      <w:rPr>
        <w:rFonts w:ascii="黑体" w:hAnsi="黑体" w:eastAsia="黑体"/>
        <w:b w:val="0"/>
      </w:rPr>
    </w:lvl>
    <w:lvl w:ilvl="7" w:tentative="0">
      <w:start w:val="1"/>
      <w:numFmt w:val="decimal"/>
      <w:pStyle w:val="115"/>
      <w:lvlText w:val="%1.%2.%3.%4.%5.%6.%7.%8"/>
      <w:lvlJc w:val="left"/>
      <w:pPr>
        <w:ind w:left="1440" w:hanging="1440"/>
      </w:pPr>
    </w:lvl>
    <w:lvl w:ilvl="8" w:tentative="0">
      <w:start w:val="1"/>
      <w:numFmt w:val="decimal"/>
      <w:pStyle w:val="104"/>
      <w:lvlText w:val="%1.%2.%3.%4.%5.%6.%7.%8.%9"/>
      <w:lvlJc w:val="left"/>
      <w:pPr>
        <w:ind w:left="1584" w:hanging="1584"/>
      </w:pPr>
    </w:lvl>
  </w:abstractNum>
  <w:abstractNum w:abstractNumId="3">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78"/>
    <w:rsid w:val="000027E3"/>
    <w:rsid w:val="0000280B"/>
    <w:rsid w:val="000040BC"/>
    <w:rsid w:val="000070BC"/>
    <w:rsid w:val="00010EC1"/>
    <w:rsid w:val="00012967"/>
    <w:rsid w:val="00016ADE"/>
    <w:rsid w:val="00024261"/>
    <w:rsid w:val="00024A54"/>
    <w:rsid w:val="00031BDF"/>
    <w:rsid w:val="00032F3E"/>
    <w:rsid w:val="00033B29"/>
    <w:rsid w:val="00036C15"/>
    <w:rsid w:val="00045F13"/>
    <w:rsid w:val="00052339"/>
    <w:rsid w:val="00054164"/>
    <w:rsid w:val="00064A63"/>
    <w:rsid w:val="00065CF8"/>
    <w:rsid w:val="00067E55"/>
    <w:rsid w:val="0007274D"/>
    <w:rsid w:val="000729D1"/>
    <w:rsid w:val="00073360"/>
    <w:rsid w:val="0007392C"/>
    <w:rsid w:val="000762A5"/>
    <w:rsid w:val="00083FF9"/>
    <w:rsid w:val="00084172"/>
    <w:rsid w:val="00090786"/>
    <w:rsid w:val="00090867"/>
    <w:rsid w:val="00092CE2"/>
    <w:rsid w:val="00093E40"/>
    <w:rsid w:val="0009527D"/>
    <w:rsid w:val="00095BB3"/>
    <w:rsid w:val="000A0E87"/>
    <w:rsid w:val="000A2791"/>
    <w:rsid w:val="000A307D"/>
    <w:rsid w:val="000A4DE2"/>
    <w:rsid w:val="000A6239"/>
    <w:rsid w:val="000B4E76"/>
    <w:rsid w:val="000C053D"/>
    <w:rsid w:val="000C05C3"/>
    <w:rsid w:val="000C4C8C"/>
    <w:rsid w:val="000C5049"/>
    <w:rsid w:val="000C7C7E"/>
    <w:rsid w:val="000D124A"/>
    <w:rsid w:val="000D15AB"/>
    <w:rsid w:val="000D2739"/>
    <w:rsid w:val="000E1D53"/>
    <w:rsid w:val="000E2FB6"/>
    <w:rsid w:val="000E6A62"/>
    <w:rsid w:val="000E6C81"/>
    <w:rsid w:val="000E7AB6"/>
    <w:rsid w:val="000F2EF6"/>
    <w:rsid w:val="000F6460"/>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0B02"/>
    <w:rsid w:val="0015421E"/>
    <w:rsid w:val="00154676"/>
    <w:rsid w:val="0015546D"/>
    <w:rsid w:val="0016206F"/>
    <w:rsid w:val="00163255"/>
    <w:rsid w:val="001638C0"/>
    <w:rsid w:val="001638F0"/>
    <w:rsid w:val="00172A27"/>
    <w:rsid w:val="00172D5B"/>
    <w:rsid w:val="00184AD5"/>
    <w:rsid w:val="00184F40"/>
    <w:rsid w:val="00185641"/>
    <w:rsid w:val="00191A32"/>
    <w:rsid w:val="00191E6E"/>
    <w:rsid w:val="00192DB7"/>
    <w:rsid w:val="00195776"/>
    <w:rsid w:val="001A1B03"/>
    <w:rsid w:val="001A7320"/>
    <w:rsid w:val="001B0374"/>
    <w:rsid w:val="001B3D09"/>
    <w:rsid w:val="001B4D1D"/>
    <w:rsid w:val="001B62BF"/>
    <w:rsid w:val="001C07B0"/>
    <w:rsid w:val="001C41E0"/>
    <w:rsid w:val="001C71C4"/>
    <w:rsid w:val="001D024F"/>
    <w:rsid w:val="001D0B80"/>
    <w:rsid w:val="001D1A11"/>
    <w:rsid w:val="001D3A7E"/>
    <w:rsid w:val="001D565C"/>
    <w:rsid w:val="001D630C"/>
    <w:rsid w:val="001E414C"/>
    <w:rsid w:val="001E4BD9"/>
    <w:rsid w:val="001E6A80"/>
    <w:rsid w:val="001F031B"/>
    <w:rsid w:val="001F2555"/>
    <w:rsid w:val="001F2690"/>
    <w:rsid w:val="001F5DC6"/>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18F7"/>
    <w:rsid w:val="00252A2B"/>
    <w:rsid w:val="00252CB8"/>
    <w:rsid w:val="00253722"/>
    <w:rsid w:val="00256356"/>
    <w:rsid w:val="002575D3"/>
    <w:rsid w:val="0026055F"/>
    <w:rsid w:val="002615A9"/>
    <w:rsid w:val="00263E7B"/>
    <w:rsid w:val="0026437B"/>
    <w:rsid w:val="00274F7D"/>
    <w:rsid w:val="00274FAB"/>
    <w:rsid w:val="00276101"/>
    <w:rsid w:val="002765EB"/>
    <w:rsid w:val="00280360"/>
    <w:rsid w:val="00284094"/>
    <w:rsid w:val="00285CBB"/>
    <w:rsid w:val="0028747D"/>
    <w:rsid w:val="002913F4"/>
    <w:rsid w:val="0029433C"/>
    <w:rsid w:val="00295072"/>
    <w:rsid w:val="002A5696"/>
    <w:rsid w:val="002A6901"/>
    <w:rsid w:val="002B0431"/>
    <w:rsid w:val="002B084C"/>
    <w:rsid w:val="002B0E47"/>
    <w:rsid w:val="002B51CA"/>
    <w:rsid w:val="002B5A17"/>
    <w:rsid w:val="002B75E0"/>
    <w:rsid w:val="002C1F02"/>
    <w:rsid w:val="002D472E"/>
    <w:rsid w:val="002E226E"/>
    <w:rsid w:val="002E3A88"/>
    <w:rsid w:val="002F0268"/>
    <w:rsid w:val="002F04B1"/>
    <w:rsid w:val="002F1DF1"/>
    <w:rsid w:val="002F6D2A"/>
    <w:rsid w:val="00301668"/>
    <w:rsid w:val="00304731"/>
    <w:rsid w:val="0031027A"/>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654"/>
    <w:rsid w:val="003509B3"/>
    <w:rsid w:val="00350DE3"/>
    <w:rsid w:val="003531F5"/>
    <w:rsid w:val="00353A2E"/>
    <w:rsid w:val="003542AC"/>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672A"/>
    <w:rsid w:val="003A15FF"/>
    <w:rsid w:val="003A301A"/>
    <w:rsid w:val="003A6DE8"/>
    <w:rsid w:val="003B01E5"/>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1A28"/>
    <w:rsid w:val="003F2AD5"/>
    <w:rsid w:val="003F5BCA"/>
    <w:rsid w:val="003F6EEB"/>
    <w:rsid w:val="003F7688"/>
    <w:rsid w:val="00400EF4"/>
    <w:rsid w:val="00402988"/>
    <w:rsid w:val="00406F7D"/>
    <w:rsid w:val="004079E7"/>
    <w:rsid w:val="004163F5"/>
    <w:rsid w:val="004167A5"/>
    <w:rsid w:val="00416B53"/>
    <w:rsid w:val="00426DAA"/>
    <w:rsid w:val="00436524"/>
    <w:rsid w:val="00436846"/>
    <w:rsid w:val="00437FCC"/>
    <w:rsid w:val="00441AFD"/>
    <w:rsid w:val="00442BBA"/>
    <w:rsid w:val="0045152C"/>
    <w:rsid w:val="00451EF9"/>
    <w:rsid w:val="00455393"/>
    <w:rsid w:val="00457143"/>
    <w:rsid w:val="00473CF5"/>
    <w:rsid w:val="0047586B"/>
    <w:rsid w:val="00477864"/>
    <w:rsid w:val="004873F8"/>
    <w:rsid w:val="00487966"/>
    <w:rsid w:val="004958A8"/>
    <w:rsid w:val="004A1C0E"/>
    <w:rsid w:val="004A1FA0"/>
    <w:rsid w:val="004A316F"/>
    <w:rsid w:val="004B05CC"/>
    <w:rsid w:val="004B0F7E"/>
    <w:rsid w:val="004B58A3"/>
    <w:rsid w:val="004B71EA"/>
    <w:rsid w:val="004C0DC3"/>
    <w:rsid w:val="004C2D8C"/>
    <w:rsid w:val="004C449E"/>
    <w:rsid w:val="004C543E"/>
    <w:rsid w:val="004D09C9"/>
    <w:rsid w:val="004D33C3"/>
    <w:rsid w:val="004D718D"/>
    <w:rsid w:val="004E02F5"/>
    <w:rsid w:val="004E0A9C"/>
    <w:rsid w:val="004E0FFA"/>
    <w:rsid w:val="004E1F29"/>
    <w:rsid w:val="004E30E6"/>
    <w:rsid w:val="004E432C"/>
    <w:rsid w:val="004F4DE4"/>
    <w:rsid w:val="004F5519"/>
    <w:rsid w:val="004F72D1"/>
    <w:rsid w:val="00500747"/>
    <w:rsid w:val="0050206C"/>
    <w:rsid w:val="005036A2"/>
    <w:rsid w:val="00504449"/>
    <w:rsid w:val="00504AFC"/>
    <w:rsid w:val="00505210"/>
    <w:rsid w:val="00505F1C"/>
    <w:rsid w:val="00530277"/>
    <w:rsid w:val="005313D1"/>
    <w:rsid w:val="00531E09"/>
    <w:rsid w:val="0053268B"/>
    <w:rsid w:val="00533CC3"/>
    <w:rsid w:val="00533FF6"/>
    <w:rsid w:val="00540B52"/>
    <w:rsid w:val="00541B99"/>
    <w:rsid w:val="00542D9F"/>
    <w:rsid w:val="005432A0"/>
    <w:rsid w:val="00545619"/>
    <w:rsid w:val="00545D3F"/>
    <w:rsid w:val="00546557"/>
    <w:rsid w:val="00546C73"/>
    <w:rsid w:val="00552794"/>
    <w:rsid w:val="00554EF2"/>
    <w:rsid w:val="0055747C"/>
    <w:rsid w:val="00557B10"/>
    <w:rsid w:val="00560DC4"/>
    <w:rsid w:val="00561F20"/>
    <w:rsid w:val="005654C8"/>
    <w:rsid w:val="005665F0"/>
    <w:rsid w:val="00575E03"/>
    <w:rsid w:val="00576276"/>
    <w:rsid w:val="00576876"/>
    <w:rsid w:val="0057731C"/>
    <w:rsid w:val="00580D18"/>
    <w:rsid w:val="0058398A"/>
    <w:rsid w:val="00586B47"/>
    <w:rsid w:val="00587486"/>
    <w:rsid w:val="0059043F"/>
    <w:rsid w:val="00591666"/>
    <w:rsid w:val="00595F0F"/>
    <w:rsid w:val="005A2CC3"/>
    <w:rsid w:val="005B2B5A"/>
    <w:rsid w:val="005B472E"/>
    <w:rsid w:val="005B7D84"/>
    <w:rsid w:val="005C0BB0"/>
    <w:rsid w:val="005C2165"/>
    <w:rsid w:val="005C547A"/>
    <w:rsid w:val="005D2A8F"/>
    <w:rsid w:val="005E4196"/>
    <w:rsid w:val="005E657B"/>
    <w:rsid w:val="005F0D58"/>
    <w:rsid w:val="005F38F6"/>
    <w:rsid w:val="005F4CDB"/>
    <w:rsid w:val="00602A88"/>
    <w:rsid w:val="0060323B"/>
    <w:rsid w:val="00612492"/>
    <w:rsid w:val="00613350"/>
    <w:rsid w:val="00614DA9"/>
    <w:rsid w:val="00622051"/>
    <w:rsid w:val="00624266"/>
    <w:rsid w:val="00625BD3"/>
    <w:rsid w:val="00643135"/>
    <w:rsid w:val="00644C85"/>
    <w:rsid w:val="00646F11"/>
    <w:rsid w:val="00650AEE"/>
    <w:rsid w:val="00651A81"/>
    <w:rsid w:val="00652820"/>
    <w:rsid w:val="00657E5B"/>
    <w:rsid w:val="00661713"/>
    <w:rsid w:val="006644DD"/>
    <w:rsid w:val="00674153"/>
    <w:rsid w:val="00674930"/>
    <w:rsid w:val="00674B2C"/>
    <w:rsid w:val="00682472"/>
    <w:rsid w:val="006828D5"/>
    <w:rsid w:val="00682C70"/>
    <w:rsid w:val="0068359E"/>
    <w:rsid w:val="0068680D"/>
    <w:rsid w:val="00686F36"/>
    <w:rsid w:val="006901D0"/>
    <w:rsid w:val="00690EF7"/>
    <w:rsid w:val="00692498"/>
    <w:rsid w:val="0069292D"/>
    <w:rsid w:val="006964DE"/>
    <w:rsid w:val="006A5C26"/>
    <w:rsid w:val="006A6FC4"/>
    <w:rsid w:val="006B7940"/>
    <w:rsid w:val="006C03F2"/>
    <w:rsid w:val="006C0F3C"/>
    <w:rsid w:val="006C139A"/>
    <w:rsid w:val="006C2CE4"/>
    <w:rsid w:val="006C33D4"/>
    <w:rsid w:val="006C45BC"/>
    <w:rsid w:val="006C616B"/>
    <w:rsid w:val="006D2D77"/>
    <w:rsid w:val="006D5AF5"/>
    <w:rsid w:val="006E1086"/>
    <w:rsid w:val="006E2870"/>
    <w:rsid w:val="006E5CBD"/>
    <w:rsid w:val="006E7857"/>
    <w:rsid w:val="006F1DF5"/>
    <w:rsid w:val="006F2674"/>
    <w:rsid w:val="006F57DF"/>
    <w:rsid w:val="006F6B2C"/>
    <w:rsid w:val="006F73CD"/>
    <w:rsid w:val="00705530"/>
    <w:rsid w:val="0070739C"/>
    <w:rsid w:val="007105B8"/>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6ADD"/>
    <w:rsid w:val="007578EF"/>
    <w:rsid w:val="007606F2"/>
    <w:rsid w:val="00763F42"/>
    <w:rsid w:val="0077194D"/>
    <w:rsid w:val="00773B39"/>
    <w:rsid w:val="00773EF6"/>
    <w:rsid w:val="00776D20"/>
    <w:rsid w:val="00791E9B"/>
    <w:rsid w:val="00793015"/>
    <w:rsid w:val="007958CE"/>
    <w:rsid w:val="00795F6B"/>
    <w:rsid w:val="007971B7"/>
    <w:rsid w:val="007975DB"/>
    <w:rsid w:val="007A2A40"/>
    <w:rsid w:val="007A5E53"/>
    <w:rsid w:val="007A6613"/>
    <w:rsid w:val="007A6797"/>
    <w:rsid w:val="007A7C6E"/>
    <w:rsid w:val="007A7DC9"/>
    <w:rsid w:val="007A7F77"/>
    <w:rsid w:val="007B19EE"/>
    <w:rsid w:val="007B55EB"/>
    <w:rsid w:val="007C42E6"/>
    <w:rsid w:val="007C467C"/>
    <w:rsid w:val="007C56B2"/>
    <w:rsid w:val="007D274F"/>
    <w:rsid w:val="007D3B08"/>
    <w:rsid w:val="007D3FA3"/>
    <w:rsid w:val="007D43AE"/>
    <w:rsid w:val="007D6744"/>
    <w:rsid w:val="007E0D72"/>
    <w:rsid w:val="007E2DD8"/>
    <w:rsid w:val="007E5345"/>
    <w:rsid w:val="007E5551"/>
    <w:rsid w:val="007E57AE"/>
    <w:rsid w:val="007E5C43"/>
    <w:rsid w:val="007E6DEF"/>
    <w:rsid w:val="00801885"/>
    <w:rsid w:val="008030E4"/>
    <w:rsid w:val="00806EF2"/>
    <w:rsid w:val="008120FF"/>
    <w:rsid w:val="008123F1"/>
    <w:rsid w:val="00812A0C"/>
    <w:rsid w:val="00813A85"/>
    <w:rsid w:val="00815899"/>
    <w:rsid w:val="00823775"/>
    <w:rsid w:val="00825764"/>
    <w:rsid w:val="00827452"/>
    <w:rsid w:val="0083094B"/>
    <w:rsid w:val="008330A0"/>
    <w:rsid w:val="00833A90"/>
    <w:rsid w:val="00836A8F"/>
    <w:rsid w:val="0084695D"/>
    <w:rsid w:val="00847493"/>
    <w:rsid w:val="00852B92"/>
    <w:rsid w:val="00856159"/>
    <w:rsid w:val="00857B64"/>
    <w:rsid w:val="008605B7"/>
    <w:rsid w:val="00860EFE"/>
    <w:rsid w:val="008616E8"/>
    <w:rsid w:val="00875D86"/>
    <w:rsid w:val="008806AC"/>
    <w:rsid w:val="00881171"/>
    <w:rsid w:val="008820B8"/>
    <w:rsid w:val="00882EB2"/>
    <w:rsid w:val="00891F34"/>
    <w:rsid w:val="00895A5F"/>
    <w:rsid w:val="00896F34"/>
    <w:rsid w:val="008A02C2"/>
    <w:rsid w:val="008A3D41"/>
    <w:rsid w:val="008A3FC4"/>
    <w:rsid w:val="008A41B8"/>
    <w:rsid w:val="008A4709"/>
    <w:rsid w:val="008B3583"/>
    <w:rsid w:val="008B3639"/>
    <w:rsid w:val="008B72D3"/>
    <w:rsid w:val="008C07F8"/>
    <w:rsid w:val="008C3D01"/>
    <w:rsid w:val="008C664F"/>
    <w:rsid w:val="008C7A71"/>
    <w:rsid w:val="008C7B76"/>
    <w:rsid w:val="008D4419"/>
    <w:rsid w:val="008D4718"/>
    <w:rsid w:val="008D4F27"/>
    <w:rsid w:val="008E181A"/>
    <w:rsid w:val="00901DF6"/>
    <w:rsid w:val="009027BD"/>
    <w:rsid w:val="00905994"/>
    <w:rsid w:val="00907E24"/>
    <w:rsid w:val="00911748"/>
    <w:rsid w:val="0091212E"/>
    <w:rsid w:val="00913B39"/>
    <w:rsid w:val="0091549E"/>
    <w:rsid w:val="0091565F"/>
    <w:rsid w:val="00920D0C"/>
    <w:rsid w:val="00921376"/>
    <w:rsid w:val="00924F0B"/>
    <w:rsid w:val="00925A0E"/>
    <w:rsid w:val="00925ACC"/>
    <w:rsid w:val="00931677"/>
    <w:rsid w:val="009336E8"/>
    <w:rsid w:val="00934857"/>
    <w:rsid w:val="00940073"/>
    <w:rsid w:val="00943010"/>
    <w:rsid w:val="0094480C"/>
    <w:rsid w:val="0095398A"/>
    <w:rsid w:val="00955DA0"/>
    <w:rsid w:val="00957287"/>
    <w:rsid w:val="00962DE3"/>
    <w:rsid w:val="00965829"/>
    <w:rsid w:val="0096775A"/>
    <w:rsid w:val="00967ACA"/>
    <w:rsid w:val="0097175F"/>
    <w:rsid w:val="0097406B"/>
    <w:rsid w:val="009759C7"/>
    <w:rsid w:val="009767D6"/>
    <w:rsid w:val="00981FE4"/>
    <w:rsid w:val="0098430F"/>
    <w:rsid w:val="00984CFA"/>
    <w:rsid w:val="00990EFF"/>
    <w:rsid w:val="00995528"/>
    <w:rsid w:val="009A24A0"/>
    <w:rsid w:val="009A3135"/>
    <w:rsid w:val="009A3A35"/>
    <w:rsid w:val="009A4228"/>
    <w:rsid w:val="009A42DE"/>
    <w:rsid w:val="009A5572"/>
    <w:rsid w:val="009A6F4B"/>
    <w:rsid w:val="009B0BD4"/>
    <w:rsid w:val="009B13CD"/>
    <w:rsid w:val="009B5994"/>
    <w:rsid w:val="009C2215"/>
    <w:rsid w:val="009C4A64"/>
    <w:rsid w:val="009C6DD0"/>
    <w:rsid w:val="009C7029"/>
    <w:rsid w:val="009E3850"/>
    <w:rsid w:val="00A05849"/>
    <w:rsid w:val="00A060C8"/>
    <w:rsid w:val="00A064D1"/>
    <w:rsid w:val="00A075BD"/>
    <w:rsid w:val="00A07A42"/>
    <w:rsid w:val="00A10427"/>
    <w:rsid w:val="00A11CBE"/>
    <w:rsid w:val="00A15025"/>
    <w:rsid w:val="00A1549B"/>
    <w:rsid w:val="00A16C2D"/>
    <w:rsid w:val="00A245F8"/>
    <w:rsid w:val="00A27AB3"/>
    <w:rsid w:val="00A27D3C"/>
    <w:rsid w:val="00A456AB"/>
    <w:rsid w:val="00A45DF3"/>
    <w:rsid w:val="00A4772C"/>
    <w:rsid w:val="00A552FC"/>
    <w:rsid w:val="00A56AFA"/>
    <w:rsid w:val="00A579B6"/>
    <w:rsid w:val="00A63B81"/>
    <w:rsid w:val="00A65D66"/>
    <w:rsid w:val="00A65E74"/>
    <w:rsid w:val="00A6603F"/>
    <w:rsid w:val="00A66F84"/>
    <w:rsid w:val="00A82B8C"/>
    <w:rsid w:val="00A85C24"/>
    <w:rsid w:val="00A865D4"/>
    <w:rsid w:val="00A91184"/>
    <w:rsid w:val="00AA10EC"/>
    <w:rsid w:val="00AA4C5B"/>
    <w:rsid w:val="00AA6E39"/>
    <w:rsid w:val="00AB2462"/>
    <w:rsid w:val="00AB24E6"/>
    <w:rsid w:val="00AB4CFC"/>
    <w:rsid w:val="00AB5AF5"/>
    <w:rsid w:val="00AB6D58"/>
    <w:rsid w:val="00AB767B"/>
    <w:rsid w:val="00AC5796"/>
    <w:rsid w:val="00AC7586"/>
    <w:rsid w:val="00AD07D8"/>
    <w:rsid w:val="00AE1379"/>
    <w:rsid w:val="00AE28AD"/>
    <w:rsid w:val="00AE515D"/>
    <w:rsid w:val="00AF2375"/>
    <w:rsid w:val="00B01A74"/>
    <w:rsid w:val="00B01C49"/>
    <w:rsid w:val="00B01FA9"/>
    <w:rsid w:val="00B0204A"/>
    <w:rsid w:val="00B02C1D"/>
    <w:rsid w:val="00B036F6"/>
    <w:rsid w:val="00B05118"/>
    <w:rsid w:val="00B05CCE"/>
    <w:rsid w:val="00B20907"/>
    <w:rsid w:val="00B22057"/>
    <w:rsid w:val="00B26C70"/>
    <w:rsid w:val="00B35F5B"/>
    <w:rsid w:val="00B4536D"/>
    <w:rsid w:val="00B47191"/>
    <w:rsid w:val="00B47F04"/>
    <w:rsid w:val="00B51081"/>
    <w:rsid w:val="00B51278"/>
    <w:rsid w:val="00B521FF"/>
    <w:rsid w:val="00B56054"/>
    <w:rsid w:val="00B57368"/>
    <w:rsid w:val="00B65BDE"/>
    <w:rsid w:val="00B715AC"/>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1DA3"/>
    <w:rsid w:val="00BC45C4"/>
    <w:rsid w:val="00BC55C9"/>
    <w:rsid w:val="00BD1B1D"/>
    <w:rsid w:val="00BD5216"/>
    <w:rsid w:val="00BD7B1F"/>
    <w:rsid w:val="00BE0B61"/>
    <w:rsid w:val="00BE2D1D"/>
    <w:rsid w:val="00BE5447"/>
    <w:rsid w:val="00BE582C"/>
    <w:rsid w:val="00BE78CD"/>
    <w:rsid w:val="00BE7AB1"/>
    <w:rsid w:val="00BF48EE"/>
    <w:rsid w:val="00BF5CE0"/>
    <w:rsid w:val="00BF6399"/>
    <w:rsid w:val="00C031B5"/>
    <w:rsid w:val="00C03FCA"/>
    <w:rsid w:val="00C04F9F"/>
    <w:rsid w:val="00C06901"/>
    <w:rsid w:val="00C17FD6"/>
    <w:rsid w:val="00C217CA"/>
    <w:rsid w:val="00C227D3"/>
    <w:rsid w:val="00C24895"/>
    <w:rsid w:val="00C25D2E"/>
    <w:rsid w:val="00C270EE"/>
    <w:rsid w:val="00C27911"/>
    <w:rsid w:val="00C27F71"/>
    <w:rsid w:val="00C33BD6"/>
    <w:rsid w:val="00C35723"/>
    <w:rsid w:val="00C41F0E"/>
    <w:rsid w:val="00C43A23"/>
    <w:rsid w:val="00C468CB"/>
    <w:rsid w:val="00C50713"/>
    <w:rsid w:val="00C52424"/>
    <w:rsid w:val="00C53764"/>
    <w:rsid w:val="00C537F0"/>
    <w:rsid w:val="00C5790C"/>
    <w:rsid w:val="00C64059"/>
    <w:rsid w:val="00C643BD"/>
    <w:rsid w:val="00C70254"/>
    <w:rsid w:val="00C70B89"/>
    <w:rsid w:val="00C70CEA"/>
    <w:rsid w:val="00C72439"/>
    <w:rsid w:val="00C7356B"/>
    <w:rsid w:val="00C73687"/>
    <w:rsid w:val="00C747B1"/>
    <w:rsid w:val="00C76453"/>
    <w:rsid w:val="00C77386"/>
    <w:rsid w:val="00C844CD"/>
    <w:rsid w:val="00C908A3"/>
    <w:rsid w:val="00C94938"/>
    <w:rsid w:val="00C95875"/>
    <w:rsid w:val="00C95DE7"/>
    <w:rsid w:val="00C96A27"/>
    <w:rsid w:val="00CA060E"/>
    <w:rsid w:val="00CA101A"/>
    <w:rsid w:val="00CA2AA2"/>
    <w:rsid w:val="00CA4171"/>
    <w:rsid w:val="00CA4C58"/>
    <w:rsid w:val="00CA4D37"/>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1FCA"/>
    <w:rsid w:val="00D123E0"/>
    <w:rsid w:val="00D12A29"/>
    <w:rsid w:val="00D14148"/>
    <w:rsid w:val="00D147B8"/>
    <w:rsid w:val="00D15DCF"/>
    <w:rsid w:val="00D16DDB"/>
    <w:rsid w:val="00D17319"/>
    <w:rsid w:val="00D3022C"/>
    <w:rsid w:val="00D316DE"/>
    <w:rsid w:val="00D32F45"/>
    <w:rsid w:val="00D338F3"/>
    <w:rsid w:val="00D35770"/>
    <w:rsid w:val="00D36880"/>
    <w:rsid w:val="00D37E0D"/>
    <w:rsid w:val="00D37FDA"/>
    <w:rsid w:val="00D4001D"/>
    <w:rsid w:val="00D4205B"/>
    <w:rsid w:val="00D43060"/>
    <w:rsid w:val="00D54A32"/>
    <w:rsid w:val="00D54A47"/>
    <w:rsid w:val="00D55D2D"/>
    <w:rsid w:val="00D56115"/>
    <w:rsid w:val="00D649AC"/>
    <w:rsid w:val="00D70CE4"/>
    <w:rsid w:val="00D70D25"/>
    <w:rsid w:val="00D70E62"/>
    <w:rsid w:val="00D73238"/>
    <w:rsid w:val="00D7502D"/>
    <w:rsid w:val="00D7530C"/>
    <w:rsid w:val="00D8210D"/>
    <w:rsid w:val="00D8323B"/>
    <w:rsid w:val="00D83B8D"/>
    <w:rsid w:val="00D843D5"/>
    <w:rsid w:val="00D851E7"/>
    <w:rsid w:val="00D85E68"/>
    <w:rsid w:val="00D868D1"/>
    <w:rsid w:val="00D8700E"/>
    <w:rsid w:val="00D95B4E"/>
    <w:rsid w:val="00D96E80"/>
    <w:rsid w:val="00D97E4B"/>
    <w:rsid w:val="00DA15FF"/>
    <w:rsid w:val="00DA1923"/>
    <w:rsid w:val="00DA3B87"/>
    <w:rsid w:val="00DB397F"/>
    <w:rsid w:val="00DB77C6"/>
    <w:rsid w:val="00DB7E09"/>
    <w:rsid w:val="00DC0E66"/>
    <w:rsid w:val="00DC5662"/>
    <w:rsid w:val="00DC6B53"/>
    <w:rsid w:val="00DC78ED"/>
    <w:rsid w:val="00DC7957"/>
    <w:rsid w:val="00DD5BFC"/>
    <w:rsid w:val="00DD6706"/>
    <w:rsid w:val="00DD6845"/>
    <w:rsid w:val="00DD7788"/>
    <w:rsid w:val="00DE1AD7"/>
    <w:rsid w:val="00DF0304"/>
    <w:rsid w:val="00E00166"/>
    <w:rsid w:val="00E00B75"/>
    <w:rsid w:val="00E0271C"/>
    <w:rsid w:val="00E02DE5"/>
    <w:rsid w:val="00E0382A"/>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4EBB"/>
    <w:rsid w:val="00E553AE"/>
    <w:rsid w:val="00E5761E"/>
    <w:rsid w:val="00E616C1"/>
    <w:rsid w:val="00E72C19"/>
    <w:rsid w:val="00E76AA8"/>
    <w:rsid w:val="00E85073"/>
    <w:rsid w:val="00E86D71"/>
    <w:rsid w:val="00E872D5"/>
    <w:rsid w:val="00E904B5"/>
    <w:rsid w:val="00E92FE8"/>
    <w:rsid w:val="00E97309"/>
    <w:rsid w:val="00EA54F5"/>
    <w:rsid w:val="00EB1FCD"/>
    <w:rsid w:val="00EC24C8"/>
    <w:rsid w:val="00EC5FD2"/>
    <w:rsid w:val="00EC653B"/>
    <w:rsid w:val="00ED0869"/>
    <w:rsid w:val="00EE0196"/>
    <w:rsid w:val="00EE1B64"/>
    <w:rsid w:val="00EE5A08"/>
    <w:rsid w:val="00EF1E8A"/>
    <w:rsid w:val="00EF3C72"/>
    <w:rsid w:val="00EF56FC"/>
    <w:rsid w:val="00EF610A"/>
    <w:rsid w:val="00F00C5E"/>
    <w:rsid w:val="00F00FD7"/>
    <w:rsid w:val="00F0168F"/>
    <w:rsid w:val="00F02931"/>
    <w:rsid w:val="00F06652"/>
    <w:rsid w:val="00F06D3A"/>
    <w:rsid w:val="00F07A81"/>
    <w:rsid w:val="00F07CC7"/>
    <w:rsid w:val="00F10DD3"/>
    <w:rsid w:val="00F11483"/>
    <w:rsid w:val="00F13045"/>
    <w:rsid w:val="00F138F9"/>
    <w:rsid w:val="00F21949"/>
    <w:rsid w:val="00F22D06"/>
    <w:rsid w:val="00F25A10"/>
    <w:rsid w:val="00F31BF1"/>
    <w:rsid w:val="00F32A93"/>
    <w:rsid w:val="00F3381F"/>
    <w:rsid w:val="00F4162E"/>
    <w:rsid w:val="00F439D7"/>
    <w:rsid w:val="00F44DEA"/>
    <w:rsid w:val="00F4527A"/>
    <w:rsid w:val="00F45EC7"/>
    <w:rsid w:val="00F53CE3"/>
    <w:rsid w:val="00F552FC"/>
    <w:rsid w:val="00F5640E"/>
    <w:rsid w:val="00F56A27"/>
    <w:rsid w:val="00F56D81"/>
    <w:rsid w:val="00F57CAA"/>
    <w:rsid w:val="00F612A7"/>
    <w:rsid w:val="00F64399"/>
    <w:rsid w:val="00F70867"/>
    <w:rsid w:val="00F714C4"/>
    <w:rsid w:val="00F71A83"/>
    <w:rsid w:val="00F75594"/>
    <w:rsid w:val="00F820A8"/>
    <w:rsid w:val="00F826DE"/>
    <w:rsid w:val="00F82708"/>
    <w:rsid w:val="00F83E0D"/>
    <w:rsid w:val="00F83FD3"/>
    <w:rsid w:val="00F8672F"/>
    <w:rsid w:val="00F93441"/>
    <w:rsid w:val="00F95A5A"/>
    <w:rsid w:val="00F962FE"/>
    <w:rsid w:val="00FA09D4"/>
    <w:rsid w:val="00FA4109"/>
    <w:rsid w:val="00FA4467"/>
    <w:rsid w:val="00FA46E1"/>
    <w:rsid w:val="00FA72F8"/>
    <w:rsid w:val="00FB3697"/>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22119"/>
    <w:rsid w:val="012D0115"/>
    <w:rsid w:val="012E08FA"/>
    <w:rsid w:val="015D4C17"/>
    <w:rsid w:val="016F7352"/>
    <w:rsid w:val="01A44B44"/>
    <w:rsid w:val="01AC5049"/>
    <w:rsid w:val="01B91BC1"/>
    <w:rsid w:val="01C5534A"/>
    <w:rsid w:val="022547A5"/>
    <w:rsid w:val="02656992"/>
    <w:rsid w:val="02834957"/>
    <w:rsid w:val="0295658F"/>
    <w:rsid w:val="029F1E76"/>
    <w:rsid w:val="02AA226C"/>
    <w:rsid w:val="02D47D1E"/>
    <w:rsid w:val="032F2F41"/>
    <w:rsid w:val="033F778B"/>
    <w:rsid w:val="0351778C"/>
    <w:rsid w:val="03597BB0"/>
    <w:rsid w:val="03697175"/>
    <w:rsid w:val="03960C45"/>
    <w:rsid w:val="03CD01C1"/>
    <w:rsid w:val="03F35D05"/>
    <w:rsid w:val="03FB46A9"/>
    <w:rsid w:val="04403BCF"/>
    <w:rsid w:val="05046BDC"/>
    <w:rsid w:val="0509798A"/>
    <w:rsid w:val="05493F08"/>
    <w:rsid w:val="054B6A7E"/>
    <w:rsid w:val="05650C0A"/>
    <w:rsid w:val="056D5FCF"/>
    <w:rsid w:val="05C843C9"/>
    <w:rsid w:val="0612312C"/>
    <w:rsid w:val="063211C1"/>
    <w:rsid w:val="067C3307"/>
    <w:rsid w:val="06FA6BDC"/>
    <w:rsid w:val="07543619"/>
    <w:rsid w:val="07A45B36"/>
    <w:rsid w:val="07CA3A37"/>
    <w:rsid w:val="07E9701F"/>
    <w:rsid w:val="083F7081"/>
    <w:rsid w:val="08507AC3"/>
    <w:rsid w:val="088B2AB6"/>
    <w:rsid w:val="08C51F17"/>
    <w:rsid w:val="08CF54DB"/>
    <w:rsid w:val="08D4680C"/>
    <w:rsid w:val="092E53B1"/>
    <w:rsid w:val="096D32A9"/>
    <w:rsid w:val="09A600A0"/>
    <w:rsid w:val="09A8079E"/>
    <w:rsid w:val="09E17638"/>
    <w:rsid w:val="09FB1B9F"/>
    <w:rsid w:val="0A21279D"/>
    <w:rsid w:val="0A236FF4"/>
    <w:rsid w:val="0A4128EE"/>
    <w:rsid w:val="0A53407A"/>
    <w:rsid w:val="0A57152F"/>
    <w:rsid w:val="0A825EB5"/>
    <w:rsid w:val="0A8309D1"/>
    <w:rsid w:val="0A860FFB"/>
    <w:rsid w:val="0A8932C1"/>
    <w:rsid w:val="0A913948"/>
    <w:rsid w:val="0AD314F2"/>
    <w:rsid w:val="0ADF21C3"/>
    <w:rsid w:val="0B2D4B66"/>
    <w:rsid w:val="0B4A7F31"/>
    <w:rsid w:val="0B827BFF"/>
    <w:rsid w:val="0BAE7727"/>
    <w:rsid w:val="0BD62FE8"/>
    <w:rsid w:val="0C1F55C1"/>
    <w:rsid w:val="0C2F0136"/>
    <w:rsid w:val="0C4E66AA"/>
    <w:rsid w:val="0C631321"/>
    <w:rsid w:val="0C95499C"/>
    <w:rsid w:val="0C9E727D"/>
    <w:rsid w:val="0CAC0DCE"/>
    <w:rsid w:val="0CC13E98"/>
    <w:rsid w:val="0CC63F0A"/>
    <w:rsid w:val="0CD27F7B"/>
    <w:rsid w:val="0D327597"/>
    <w:rsid w:val="0DB83337"/>
    <w:rsid w:val="0DFC3101"/>
    <w:rsid w:val="0E3F2BF8"/>
    <w:rsid w:val="0E8526DE"/>
    <w:rsid w:val="0E8A0B38"/>
    <w:rsid w:val="0F1B193F"/>
    <w:rsid w:val="0FAA40BA"/>
    <w:rsid w:val="10772D1D"/>
    <w:rsid w:val="10780D82"/>
    <w:rsid w:val="107E416D"/>
    <w:rsid w:val="10D52198"/>
    <w:rsid w:val="11304488"/>
    <w:rsid w:val="113605B2"/>
    <w:rsid w:val="113C19D0"/>
    <w:rsid w:val="11A46367"/>
    <w:rsid w:val="11A73FC2"/>
    <w:rsid w:val="11D2331E"/>
    <w:rsid w:val="11F92BB1"/>
    <w:rsid w:val="120C7431"/>
    <w:rsid w:val="123D37EC"/>
    <w:rsid w:val="127B1065"/>
    <w:rsid w:val="12B65988"/>
    <w:rsid w:val="12E67338"/>
    <w:rsid w:val="12F802BA"/>
    <w:rsid w:val="12F86756"/>
    <w:rsid w:val="1308275A"/>
    <w:rsid w:val="13133489"/>
    <w:rsid w:val="13343754"/>
    <w:rsid w:val="135925DF"/>
    <w:rsid w:val="136731DF"/>
    <w:rsid w:val="13851EEC"/>
    <w:rsid w:val="13AF2D54"/>
    <w:rsid w:val="13B27C3E"/>
    <w:rsid w:val="13E253DB"/>
    <w:rsid w:val="141C2F08"/>
    <w:rsid w:val="15267F9C"/>
    <w:rsid w:val="153F65E8"/>
    <w:rsid w:val="15591C45"/>
    <w:rsid w:val="15864884"/>
    <w:rsid w:val="15964577"/>
    <w:rsid w:val="159B7FB3"/>
    <w:rsid w:val="15BD1DD2"/>
    <w:rsid w:val="160B3E63"/>
    <w:rsid w:val="1653056C"/>
    <w:rsid w:val="1667328A"/>
    <w:rsid w:val="16EF655D"/>
    <w:rsid w:val="17653CBD"/>
    <w:rsid w:val="179740BF"/>
    <w:rsid w:val="17F507D1"/>
    <w:rsid w:val="17F872D1"/>
    <w:rsid w:val="180010FF"/>
    <w:rsid w:val="18200BD4"/>
    <w:rsid w:val="188B1EE8"/>
    <w:rsid w:val="18FA7659"/>
    <w:rsid w:val="19117150"/>
    <w:rsid w:val="191C7CEB"/>
    <w:rsid w:val="1935292C"/>
    <w:rsid w:val="19442542"/>
    <w:rsid w:val="19806EAA"/>
    <w:rsid w:val="19AA7D6A"/>
    <w:rsid w:val="1A290D6B"/>
    <w:rsid w:val="1A5943FB"/>
    <w:rsid w:val="1AC32709"/>
    <w:rsid w:val="1ACB042B"/>
    <w:rsid w:val="1ACB74F2"/>
    <w:rsid w:val="1AD243E4"/>
    <w:rsid w:val="1AEC4D8D"/>
    <w:rsid w:val="1B6C4927"/>
    <w:rsid w:val="1B770DD3"/>
    <w:rsid w:val="1BAD3A92"/>
    <w:rsid w:val="1BB0202F"/>
    <w:rsid w:val="1BE65CC8"/>
    <w:rsid w:val="1BEA00D1"/>
    <w:rsid w:val="1C2D1DE9"/>
    <w:rsid w:val="1C4944F8"/>
    <w:rsid w:val="1CB00BB2"/>
    <w:rsid w:val="1CD57818"/>
    <w:rsid w:val="1D5A5F68"/>
    <w:rsid w:val="1D701CCD"/>
    <w:rsid w:val="1D704579"/>
    <w:rsid w:val="1D92164F"/>
    <w:rsid w:val="1E1E191D"/>
    <w:rsid w:val="1E9761E8"/>
    <w:rsid w:val="1EBA5ED6"/>
    <w:rsid w:val="1EBD273E"/>
    <w:rsid w:val="1EC822B2"/>
    <w:rsid w:val="1EFF2FCF"/>
    <w:rsid w:val="1F294332"/>
    <w:rsid w:val="1F3E54F1"/>
    <w:rsid w:val="1F8F306A"/>
    <w:rsid w:val="1FB766D1"/>
    <w:rsid w:val="20562A02"/>
    <w:rsid w:val="20784C7B"/>
    <w:rsid w:val="20B136DD"/>
    <w:rsid w:val="20BF2B7F"/>
    <w:rsid w:val="20E31259"/>
    <w:rsid w:val="20E368D6"/>
    <w:rsid w:val="20E51E55"/>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4FA7DA2"/>
    <w:rsid w:val="2521507B"/>
    <w:rsid w:val="255A0B53"/>
    <w:rsid w:val="25A332DE"/>
    <w:rsid w:val="25E647FE"/>
    <w:rsid w:val="25E675FC"/>
    <w:rsid w:val="26373B7B"/>
    <w:rsid w:val="263F1C3A"/>
    <w:rsid w:val="2719221F"/>
    <w:rsid w:val="271E0072"/>
    <w:rsid w:val="27726A4E"/>
    <w:rsid w:val="27C44396"/>
    <w:rsid w:val="27C667CD"/>
    <w:rsid w:val="27DE7413"/>
    <w:rsid w:val="28563C31"/>
    <w:rsid w:val="2874223A"/>
    <w:rsid w:val="287B643B"/>
    <w:rsid w:val="289C0077"/>
    <w:rsid w:val="28A84234"/>
    <w:rsid w:val="28B67EBB"/>
    <w:rsid w:val="28D13EA4"/>
    <w:rsid w:val="28E36D76"/>
    <w:rsid w:val="29570A11"/>
    <w:rsid w:val="29845795"/>
    <w:rsid w:val="299D39D4"/>
    <w:rsid w:val="29A44AFC"/>
    <w:rsid w:val="29CB45B7"/>
    <w:rsid w:val="29D36C55"/>
    <w:rsid w:val="29FF5201"/>
    <w:rsid w:val="2A0E633A"/>
    <w:rsid w:val="2AB2778A"/>
    <w:rsid w:val="2ABC3520"/>
    <w:rsid w:val="2B2C0D2C"/>
    <w:rsid w:val="2BA25B80"/>
    <w:rsid w:val="2BB658F9"/>
    <w:rsid w:val="2BFB34B8"/>
    <w:rsid w:val="2C1E0077"/>
    <w:rsid w:val="2C7A6B94"/>
    <w:rsid w:val="2CAD4518"/>
    <w:rsid w:val="2CD67175"/>
    <w:rsid w:val="2D417888"/>
    <w:rsid w:val="2D6362D3"/>
    <w:rsid w:val="2D937FF8"/>
    <w:rsid w:val="2E4F24A0"/>
    <w:rsid w:val="2EFC4487"/>
    <w:rsid w:val="2F4F1DE1"/>
    <w:rsid w:val="2FB35F57"/>
    <w:rsid w:val="304013FC"/>
    <w:rsid w:val="30482DAE"/>
    <w:rsid w:val="30EB3D78"/>
    <w:rsid w:val="30EE28D0"/>
    <w:rsid w:val="31405B68"/>
    <w:rsid w:val="31AA22DA"/>
    <w:rsid w:val="31FB7DDB"/>
    <w:rsid w:val="32181373"/>
    <w:rsid w:val="321B56DB"/>
    <w:rsid w:val="32436CE6"/>
    <w:rsid w:val="329B2BF7"/>
    <w:rsid w:val="32C21237"/>
    <w:rsid w:val="335D6266"/>
    <w:rsid w:val="33732267"/>
    <w:rsid w:val="33C1433C"/>
    <w:rsid w:val="33CC19CE"/>
    <w:rsid w:val="33FA3703"/>
    <w:rsid w:val="340705DB"/>
    <w:rsid w:val="348914E4"/>
    <w:rsid w:val="348D5FF7"/>
    <w:rsid w:val="34C53782"/>
    <w:rsid w:val="35341B14"/>
    <w:rsid w:val="35494F7D"/>
    <w:rsid w:val="35D30274"/>
    <w:rsid w:val="366A5C4C"/>
    <w:rsid w:val="36F44449"/>
    <w:rsid w:val="37826D6C"/>
    <w:rsid w:val="37C416F7"/>
    <w:rsid w:val="37D903CC"/>
    <w:rsid w:val="3855531C"/>
    <w:rsid w:val="397C0EA0"/>
    <w:rsid w:val="39CF104F"/>
    <w:rsid w:val="39FA5B2B"/>
    <w:rsid w:val="3A062657"/>
    <w:rsid w:val="3A197023"/>
    <w:rsid w:val="3BBD3196"/>
    <w:rsid w:val="3C20303D"/>
    <w:rsid w:val="3C372864"/>
    <w:rsid w:val="3C5B5E1C"/>
    <w:rsid w:val="3C837E1D"/>
    <w:rsid w:val="3C8662DA"/>
    <w:rsid w:val="3CB66F48"/>
    <w:rsid w:val="3DA76EFE"/>
    <w:rsid w:val="3DCD75E3"/>
    <w:rsid w:val="3DF63399"/>
    <w:rsid w:val="3E1E3807"/>
    <w:rsid w:val="3E5F19E9"/>
    <w:rsid w:val="3E7C7F4D"/>
    <w:rsid w:val="3E9B2C01"/>
    <w:rsid w:val="3F140E9A"/>
    <w:rsid w:val="3F7457AF"/>
    <w:rsid w:val="3F751903"/>
    <w:rsid w:val="3F933318"/>
    <w:rsid w:val="3FAA42E9"/>
    <w:rsid w:val="3FB869B8"/>
    <w:rsid w:val="3FBD7529"/>
    <w:rsid w:val="403D36F4"/>
    <w:rsid w:val="40471266"/>
    <w:rsid w:val="40560D75"/>
    <w:rsid w:val="40621376"/>
    <w:rsid w:val="411323F3"/>
    <w:rsid w:val="41273207"/>
    <w:rsid w:val="41543EE9"/>
    <w:rsid w:val="41625951"/>
    <w:rsid w:val="416C1384"/>
    <w:rsid w:val="41B660BB"/>
    <w:rsid w:val="420324FD"/>
    <w:rsid w:val="423D4D75"/>
    <w:rsid w:val="428F78D3"/>
    <w:rsid w:val="42C54B18"/>
    <w:rsid w:val="42F16083"/>
    <w:rsid w:val="43010BD1"/>
    <w:rsid w:val="43420C0E"/>
    <w:rsid w:val="43717460"/>
    <w:rsid w:val="43EA4668"/>
    <w:rsid w:val="43FC54AB"/>
    <w:rsid w:val="440304BA"/>
    <w:rsid w:val="4456107B"/>
    <w:rsid w:val="450D3E1C"/>
    <w:rsid w:val="45132963"/>
    <w:rsid w:val="455970FD"/>
    <w:rsid w:val="45AA691F"/>
    <w:rsid w:val="45B87217"/>
    <w:rsid w:val="45C3553F"/>
    <w:rsid w:val="45C80224"/>
    <w:rsid w:val="45DA43EA"/>
    <w:rsid w:val="45F7069B"/>
    <w:rsid w:val="460322AD"/>
    <w:rsid w:val="460E5C70"/>
    <w:rsid w:val="462214C7"/>
    <w:rsid w:val="464152AB"/>
    <w:rsid w:val="47036F6C"/>
    <w:rsid w:val="477830D2"/>
    <w:rsid w:val="47877DCA"/>
    <w:rsid w:val="478F4A4C"/>
    <w:rsid w:val="47C73EC2"/>
    <w:rsid w:val="47F86F91"/>
    <w:rsid w:val="4837716B"/>
    <w:rsid w:val="48391728"/>
    <w:rsid w:val="4864773D"/>
    <w:rsid w:val="486D17CE"/>
    <w:rsid w:val="4872481A"/>
    <w:rsid w:val="48C01F1D"/>
    <w:rsid w:val="48D945F2"/>
    <w:rsid w:val="494E0F64"/>
    <w:rsid w:val="49796E27"/>
    <w:rsid w:val="49C40DF6"/>
    <w:rsid w:val="49C837F9"/>
    <w:rsid w:val="4A2D0812"/>
    <w:rsid w:val="4A6B74F9"/>
    <w:rsid w:val="4A6D24FF"/>
    <w:rsid w:val="4B1A5880"/>
    <w:rsid w:val="4B71793A"/>
    <w:rsid w:val="4B923520"/>
    <w:rsid w:val="4BE05207"/>
    <w:rsid w:val="4C083B05"/>
    <w:rsid w:val="4C8706B6"/>
    <w:rsid w:val="4CA95CA7"/>
    <w:rsid w:val="4CEB2F56"/>
    <w:rsid w:val="4CF16D8A"/>
    <w:rsid w:val="4D25409B"/>
    <w:rsid w:val="4D2729A1"/>
    <w:rsid w:val="4D8209F2"/>
    <w:rsid w:val="4D896328"/>
    <w:rsid w:val="4DA3332E"/>
    <w:rsid w:val="4DD92CC9"/>
    <w:rsid w:val="4DF14440"/>
    <w:rsid w:val="4E570C2E"/>
    <w:rsid w:val="4E691682"/>
    <w:rsid w:val="4E741BBC"/>
    <w:rsid w:val="4E9149D5"/>
    <w:rsid w:val="4F004713"/>
    <w:rsid w:val="4F411E86"/>
    <w:rsid w:val="4F5C4B3F"/>
    <w:rsid w:val="4F84505F"/>
    <w:rsid w:val="4FD1347A"/>
    <w:rsid w:val="500E6070"/>
    <w:rsid w:val="504317A7"/>
    <w:rsid w:val="50527E65"/>
    <w:rsid w:val="50A908CA"/>
    <w:rsid w:val="50F55889"/>
    <w:rsid w:val="514A5ED5"/>
    <w:rsid w:val="51E45484"/>
    <w:rsid w:val="51F26482"/>
    <w:rsid w:val="52127757"/>
    <w:rsid w:val="525B7DD4"/>
    <w:rsid w:val="529F4F80"/>
    <w:rsid w:val="52A476B1"/>
    <w:rsid w:val="53651314"/>
    <w:rsid w:val="536875F6"/>
    <w:rsid w:val="53B71302"/>
    <w:rsid w:val="53BE0B3F"/>
    <w:rsid w:val="541D7038"/>
    <w:rsid w:val="54440277"/>
    <w:rsid w:val="544717E3"/>
    <w:rsid w:val="5451299D"/>
    <w:rsid w:val="546A6786"/>
    <w:rsid w:val="555722B0"/>
    <w:rsid w:val="55843B7E"/>
    <w:rsid w:val="559823B8"/>
    <w:rsid w:val="55AE23A0"/>
    <w:rsid w:val="55C60C46"/>
    <w:rsid w:val="55CE391A"/>
    <w:rsid w:val="55E90A4C"/>
    <w:rsid w:val="565C3D2E"/>
    <w:rsid w:val="56665AA9"/>
    <w:rsid w:val="56676289"/>
    <w:rsid w:val="56A32CC7"/>
    <w:rsid w:val="56B56ECE"/>
    <w:rsid w:val="56D6303A"/>
    <w:rsid w:val="573864B2"/>
    <w:rsid w:val="579656BA"/>
    <w:rsid w:val="57BC22EE"/>
    <w:rsid w:val="584039DC"/>
    <w:rsid w:val="584E700C"/>
    <w:rsid w:val="585C0B4D"/>
    <w:rsid w:val="585C6A07"/>
    <w:rsid w:val="587009B8"/>
    <w:rsid w:val="58A84444"/>
    <w:rsid w:val="58D43AA4"/>
    <w:rsid w:val="596651B9"/>
    <w:rsid w:val="5A344950"/>
    <w:rsid w:val="5A551D6A"/>
    <w:rsid w:val="5A5C3958"/>
    <w:rsid w:val="5A6761CC"/>
    <w:rsid w:val="5A686AF3"/>
    <w:rsid w:val="5ADA4BD5"/>
    <w:rsid w:val="5B3777E2"/>
    <w:rsid w:val="5B3D2C5B"/>
    <w:rsid w:val="5B8F6B0D"/>
    <w:rsid w:val="5BA42C23"/>
    <w:rsid w:val="5C611FE0"/>
    <w:rsid w:val="5C8A6A7F"/>
    <w:rsid w:val="5CB36E60"/>
    <w:rsid w:val="5CCC2F80"/>
    <w:rsid w:val="5CD41561"/>
    <w:rsid w:val="5D324280"/>
    <w:rsid w:val="5D7C7178"/>
    <w:rsid w:val="5DA5352D"/>
    <w:rsid w:val="5E5A12C4"/>
    <w:rsid w:val="5E88036F"/>
    <w:rsid w:val="5EBA127A"/>
    <w:rsid w:val="5EC823E0"/>
    <w:rsid w:val="5F2D0585"/>
    <w:rsid w:val="5F7F62DB"/>
    <w:rsid w:val="5F810DC4"/>
    <w:rsid w:val="5FAD16ED"/>
    <w:rsid w:val="60736117"/>
    <w:rsid w:val="60941165"/>
    <w:rsid w:val="609C1A85"/>
    <w:rsid w:val="60A66C3C"/>
    <w:rsid w:val="60DB5548"/>
    <w:rsid w:val="61481D34"/>
    <w:rsid w:val="62046AE2"/>
    <w:rsid w:val="62537A75"/>
    <w:rsid w:val="627153F8"/>
    <w:rsid w:val="62A34D91"/>
    <w:rsid w:val="62ED3579"/>
    <w:rsid w:val="63270485"/>
    <w:rsid w:val="63387204"/>
    <w:rsid w:val="63634AA9"/>
    <w:rsid w:val="63911B91"/>
    <w:rsid w:val="63D55D55"/>
    <w:rsid w:val="63E85DBB"/>
    <w:rsid w:val="64052471"/>
    <w:rsid w:val="642F3463"/>
    <w:rsid w:val="644957BC"/>
    <w:rsid w:val="644A79A7"/>
    <w:rsid w:val="654736FD"/>
    <w:rsid w:val="66495E90"/>
    <w:rsid w:val="665B21E1"/>
    <w:rsid w:val="666B659C"/>
    <w:rsid w:val="667D7C35"/>
    <w:rsid w:val="66B137E9"/>
    <w:rsid w:val="66B540ED"/>
    <w:rsid w:val="66D519C9"/>
    <w:rsid w:val="66DF69C2"/>
    <w:rsid w:val="675B3DD3"/>
    <w:rsid w:val="67AF2518"/>
    <w:rsid w:val="67C245FA"/>
    <w:rsid w:val="67E858EB"/>
    <w:rsid w:val="68075FA1"/>
    <w:rsid w:val="681A4E23"/>
    <w:rsid w:val="69077E9F"/>
    <w:rsid w:val="693D28E3"/>
    <w:rsid w:val="69C27B82"/>
    <w:rsid w:val="6A0E6A75"/>
    <w:rsid w:val="6A1C17E5"/>
    <w:rsid w:val="6ABA08C1"/>
    <w:rsid w:val="6AE9324E"/>
    <w:rsid w:val="6B1F2E86"/>
    <w:rsid w:val="6B5E4527"/>
    <w:rsid w:val="6BBB51C4"/>
    <w:rsid w:val="6C0A1C09"/>
    <w:rsid w:val="6C4B0F58"/>
    <w:rsid w:val="6C511995"/>
    <w:rsid w:val="6C5B1639"/>
    <w:rsid w:val="6C71644E"/>
    <w:rsid w:val="6CDA5121"/>
    <w:rsid w:val="6D04469C"/>
    <w:rsid w:val="6D0B07B6"/>
    <w:rsid w:val="6D773602"/>
    <w:rsid w:val="6DA24987"/>
    <w:rsid w:val="6DE36C6F"/>
    <w:rsid w:val="6DE668DD"/>
    <w:rsid w:val="6E1F380D"/>
    <w:rsid w:val="6E7C1A7C"/>
    <w:rsid w:val="6E961609"/>
    <w:rsid w:val="6E9D6C43"/>
    <w:rsid w:val="6EB71A31"/>
    <w:rsid w:val="6EC56D4A"/>
    <w:rsid w:val="6F353E41"/>
    <w:rsid w:val="6F3F55F0"/>
    <w:rsid w:val="6F450411"/>
    <w:rsid w:val="6F646419"/>
    <w:rsid w:val="6F9B3A2C"/>
    <w:rsid w:val="6FC43A72"/>
    <w:rsid w:val="6FFE7454"/>
    <w:rsid w:val="70597661"/>
    <w:rsid w:val="7071477C"/>
    <w:rsid w:val="70F76A59"/>
    <w:rsid w:val="7192467D"/>
    <w:rsid w:val="719E3960"/>
    <w:rsid w:val="71A0304F"/>
    <w:rsid w:val="728B5D82"/>
    <w:rsid w:val="72AF27EE"/>
    <w:rsid w:val="72B33E38"/>
    <w:rsid w:val="72D17DE3"/>
    <w:rsid w:val="72DE19D9"/>
    <w:rsid w:val="72DE5846"/>
    <w:rsid w:val="731F65D2"/>
    <w:rsid w:val="735B155E"/>
    <w:rsid w:val="735D08DE"/>
    <w:rsid w:val="736D29E1"/>
    <w:rsid w:val="73DB551B"/>
    <w:rsid w:val="73FB06A5"/>
    <w:rsid w:val="74213957"/>
    <w:rsid w:val="745F66ED"/>
    <w:rsid w:val="74857FF0"/>
    <w:rsid w:val="748D53A3"/>
    <w:rsid w:val="74996878"/>
    <w:rsid w:val="74A40D07"/>
    <w:rsid w:val="74B07D3F"/>
    <w:rsid w:val="74CE35A7"/>
    <w:rsid w:val="74E90345"/>
    <w:rsid w:val="74FD1133"/>
    <w:rsid w:val="756532D7"/>
    <w:rsid w:val="75B7322A"/>
    <w:rsid w:val="75EB695D"/>
    <w:rsid w:val="765F7C55"/>
    <w:rsid w:val="76620DD1"/>
    <w:rsid w:val="76E6019F"/>
    <w:rsid w:val="778C25A1"/>
    <w:rsid w:val="77944E76"/>
    <w:rsid w:val="7809439C"/>
    <w:rsid w:val="787E4D80"/>
    <w:rsid w:val="78C114A6"/>
    <w:rsid w:val="78E443F3"/>
    <w:rsid w:val="78FC788A"/>
    <w:rsid w:val="79826C53"/>
    <w:rsid w:val="79D46A44"/>
    <w:rsid w:val="79F838F2"/>
    <w:rsid w:val="7A17238D"/>
    <w:rsid w:val="7A7F0DE9"/>
    <w:rsid w:val="7A7F26E4"/>
    <w:rsid w:val="7AB35E28"/>
    <w:rsid w:val="7ADB562F"/>
    <w:rsid w:val="7AF45559"/>
    <w:rsid w:val="7B472661"/>
    <w:rsid w:val="7B505A98"/>
    <w:rsid w:val="7B556ACF"/>
    <w:rsid w:val="7B7A24D1"/>
    <w:rsid w:val="7B8D20BF"/>
    <w:rsid w:val="7BBA04AD"/>
    <w:rsid w:val="7BBE296A"/>
    <w:rsid w:val="7C1C2800"/>
    <w:rsid w:val="7C8F2142"/>
    <w:rsid w:val="7C9F4D22"/>
    <w:rsid w:val="7CB01E5A"/>
    <w:rsid w:val="7CFA0A36"/>
    <w:rsid w:val="7CFF77E6"/>
    <w:rsid w:val="7D02404E"/>
    <w:rsid w:val="7D910386"/>
    <w:rsid w:val="7DB027D0"/>
    <w:rsid w:val="7EC34349"/>
    <w:rsid w:val="7F0F7C4D"/>
    <w:rsid w:val="7F557A18"/>
    <w:rsid w:val="7FB01993"/>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1"/>
    <w:qFormat/>
    <w:uiPriority w:val="9"/>
    <w:pPr>
      <w:keepNext/>
      <w:keepLines/>
      <w:spacing w:before="340" w:after="330" w:line="576" w:lineRule="auto"/>
      <w:outlineLvl w:val="0"/>
    </w:pPr>
    <w:rPr>
      <w:b/>
      <w:kern w:val="44"/>
      <w:sz w:val="44"/>
      <w:szCs w:val="20"/>
    </w:rPr>
  </w:style>
  <w:style w:type="paragraph" w:styleId="3">
    <w:name w:val="heading 2"/>
    <w:basedOn w:val="1"/>
    <w:next w:val="1"/>
    <w:link w:val="76"/>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58"/>
    <w:qFormat/>
    <w:uiPriority w:val="0"/>
    <w:pPr>
      <w:keepNext/>
      <w:keepLines/>
      <w:spacing w:before="260" w:after="260" w:line="415" w:lineRule="auto"/>
      <w:outlineLvl w:val="2"/>
    </w:pPr>
    <w:rPr>
      <w:b/>
      <w:sz w:val="32"/>
      <w:szCs w:val="20"/>
    </w:rPr>
  </w:style>
  <w:style w:type="paragraph" w:styleId="5">
    <w:name w:val="heading 4"/>
    <w:basedOn w:val="1"/>
    <w:next w:val="1"/>
    <w:link w:val="54"/>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8">
    <w:name w:val="heading 7"/>
    <w:basedOn w:val="1"/>
    <w:next w:val="1"/>
    <w:link w:val="42"/>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9">
    <w:name w:val="heading 8"/>
    <w:basedOn w:val="1"/>
    <w:next w:val="1"/>
    <w:link w:val="8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0">
    <w:name w:val="heading 9"/>
    <w:basedOn w:val="1"/>
    <w:next w:val="1"/>
    <w:link w:val="44"/>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2">
    <w:name w:val="caption"/>
    <w:basedOn w:val="1"/>
    <w:next w:val="1"/>
    <w:qFormat/>
    <w:uiPriority w:val="0"/>
    <w:rPr>
      <w:rFonts w:ascii="Arial" w:hAnsi="Arial" w:eastAsia="黑体" w:cs="Arial"/>
      <w:sz w:val="20"/>
      <w:szCs w:val="20"/>
    </w:rPr>
  </w:style>
  <w:style w:type="paragraph" w:styleId="13">
    <w:name w:val="Document Map"/>
    <w:basedOn w:val="1"/>
    <w:link w:val="69"/>
    <w:qFormat/>
    <w:uiPriority w:val="0"/>
    <w:rPr>
      <w:rFonts w:ascii="宋体"/>
      <w:kern w:val="0"/>
      <w:sz w:val="18"/>
      <w:szCs w:val="18"/>
    </w:rPr>
  </w:style>
  <w:style w:type="paragraph" w:styleId="14">
    <w:name w:val="annotation text"/>
    <w:basedOn w:val="1"/>
    <w:link w:val="60"/>
    <w:qFormat/>
    <w:uiPriority w:val="0"/>
    <w:pPr>
      <w:jc w:val="left"/>
    </w:pPr>
  </w:style>
  <w:style w:type="paragraph" w:styleId="15">
    <w:name w:val="Body Text 3"/>
    <w:basedOn w:val="1"/>
    <w:link w:val="49"/>
    <w:qFormat/>
    <w:uiPriority w:val="0"/>
    <w:pPr>
      <w:spacing w:after="120"/>
    </w:pPr>
    <w:rPr>
      <w:sz w:val="16"/>
      <w:szCs w:val="20"/>
    </w:rPr>
  </w:style>
  <w:style w:type="paragraph" w:styleId="16">
    <w:name w:val="Body Text"/>
    <w:basedOn w:val="1"/>
    <w:link w:val="65"/>
    <w:qFormat/>
    <w:uiPriority w:val="0"/>
    <w:pPr>
      <w:adjustRightInd w:val="0"/>
      <w:spacing w:after="120" w:line="360" w:lineRule="atLeast"/>
      <w:jc w:val="left"/>
      <w:textAlignment w:val="baseline"/>
    </w:pPr>
    <w:rPr>
      <w:kern w:val="0"/>
      <w:sz w:val="24"/>
      <w:szCs w:val="20"/>
    </w:rPr>
  </w:style>
  <w:style w:type="paragraph" w:styleId="17">
    <w:name w:val="Body Text Indent"/>
    <w:basedOn w:val="1"/>
    <w:link w:val="74"/>
    <w:qFormat/>
    <w:uiPriority w:val="0"/>
    <w:pPr>
      <w:spacing w:line="360" w:lineRule="auto"/>
      <w:ind w:firstLine="480" w:firstLineChars="200"/>
    </w:pPr>
    <w:rPr>
      <w:rFonts w:ascii="宋体"/>
      <w:sz w:val="24"/>
      <w:szCs w:val="20"/>
    </w:rPr>
  </w:style>
  <w:style w:type="paragraph" w:styleId="18">
    <w:name w:val="Block Text"/>
    <w:basedOn w:val="1"/>
    <w:qFormat/>
    <w:uiPriority w:val="0"/>
    <w:pPr>
      <w:spacing w:line="360" w:lineRule="auto"/>
      <w:ind w:left="1155" w:right="3840" w:firstLine="420"/>
    </w:pPr>
    <w:rPr>
      <w:sz w:val="24"/>
      <w:szCs w:val="20"/>
    </w:rPr>
  </w:style>
  <w:style w:type="paragraph" w:styleId="19">
    <w:name w:val="toc 3"/>
    <w:basedOn w:val="1"/>
    <w:next w:val="1"/>
    <w:qFormat/>
    <w:uiPriority w:val="0"/>
    <w:pPr>
      <w:spacing w:line="360" w:lineRule="auto"/>
      <w:jc w:val="center"/>
    </w:pPr>
    <w:rPr>
      <w:rFonts w:ascii="宋体" w:hAnsi="宋体"/>
      <w:iCs/>
      <w:sz w:val="32"/>
      <w:szCs w:val="24"/>
    </w:rPr>
  </w:style>
  <w:style w:type="paragraph" w:styleId="20">
    <w:name w:val="Plain Text"/>
    <w:basedOn w:val="1"/>
    <w:link w:val="55"/>
    <w:qFormat/>
    <w:uiPriority w:val="0"/>
    <w:pPr>
      <w:adjustRightInd w:val="0"/>
      <w:spacing w:line="360" w:lineRule="atLeast"/>
      <w:jc w:val="left"/>
      <w:textAlignment w:val="baseline"/>
    </w:pPr>
    <w:rPr>
      <w:rFonts w:ascii="宋体" w:hAnsi="Courier New"/>
      <w:kern w:val="0"/>
      <w:szCs w:val="21"/>
    </w:rPr>
  </w:style>
  <w:style w:type="paragraph" w:styleId="21">
    <w:name w:val="Date"/>
    <w:basedOn w:val="1"/>
    <w:next w:val="1"/>
    <w:link w:val="62"/>
    <w:qFormat/>
    <w:uiPriority w:val="0"/>
    <w:rPr>
      <w:sz w:val="24"/>
      <w:szCs w:val="20"/>
    </w:rPr>
  </w:style>
  <w:style w:type="paragraph" w:styleId="22">
    <w:name w:val="Body Text Indent 2"/>
    <w:basedOn w:val="1"/>
    <w:link w:val="87"/>
    <w:qFormat/>
    <w:uiPriority w:val="99"/>
    <w:pPr>
      <w:spacing w:after="120" w:line="480" w:lineRule="auto"/>
      <w:ind w:left="420" w:leftChars="200"/>
    </w:pPr>
    <w:rPr>
      <w:szCs w:val="20"/>
    </w:rPr>
  </w:style>
  <w:style w:type="paragraph" w:styleId="23">
    <w:name w:val="Balloon Text"/>
    <w:basedOn w:val="1"/>
    <w:link w:val="50"/>
    <w:qFormat/>
    <w:uiPriority w:val="0"/>
    <w:rPr>
      <w:kern w:val="0"/>
      <w:sz w:val="18"/>
      <w:szCs w:val="18"/>
    </w:rPr>
  </w:style>
  <w:style w:type="paragraph" w:styleId="24">
    <w:name w:val="footer"/>
    <w:basedOn w:val="1"/>
    <w:link w:val="86"/>
    <w:qFormat/>
    <w:uiPriority w:val="0"/>
    <w:pPr>
      <w:tabs>
        <w:tab w:val="center" w:pos="4153"/>
        <w:tab w:val="right" w:pos="8306"/>
      </w:tabs>
      <w:snapToGrid w:val="0"/>
      <w:jc w:val="left"/>
    </w:pPr>
    <w:rPr>
      <w:kern w:val="0"/>
      <w:sz w:val="18"/>
      <w:szCs w:val="18"/>
    </w:rPr>
  </w:style>
  <w:style w:type="paragraph" w:styleId="25">
    <w:name w:val="header"/>
    <w:basedOn w:val="1"/>
    <w:link w:val="73"/>
    <w:qFormat/>
    <w:uiPriority w:val="0"/>
    <w:pPr>
      <w:pBdr>
        <w:bottom w:val="single" w:color="auto" w:sz="6" w:space="1"/>
      </w:pBdr>
      <w:tabs>
        <w:tab w:val="center" w:pos="4153"/>
        <w:tab w:val="right" w:pos="8306"/>
      </w:tabs>
      <w:snapToGrid w:val="0"/>
      <w:jc w:val="center"/>
    </w:pPr>
    <w:rPr>
      <w:kern w:val="0"/>
      <w:sz w:val="18"/>
      <w:szCs w:val="18"/>
    </w:rPr>
  </w:style>
  <w:style w:type="paragraph" w:styleId="26">
    <w:name w:val="List"/>
    <w:basedOn w:val="1"/>
    <w:qFormat/>
    <w:uiPriority w:val="0"/>
    <w:pPr>
      <w:ind w:left="420" w:hanging="420"/>
    </w:pPr>
    <w:rPr>
      <w:rFonts w:eastAsia="楷体_GB2312"/>
      <w:sz w:val="32"/>
      <w:szCs w:val="20"/>
    </w:rPr>
  </w:style>
  <w:style w:type="paragraph" w:styleId="27">
    <w:name w:val="Body Text Indent 3"/>
    <w:basedOn w:val="1"/>
    <w:link w:val="46"/>
    <w:qFormat/>
    <w:uiPriority w:val="0"/>
    <w:pPr>
      <w:adjustRightInd w:val="0"/>
      <w:spacing w:after="120" w:line="360" w:lineRule="atLeast"/>
      <w:ind w:left="420" w:leftChars="200"/>
      <w:jc w:val="left"/>
      <w:textAlignment w:val="baseline"/>
    </w:pPr>
    <w:rPr>
      <w:kern w:val="0"/>
      <w:sz w:val="16"/>
      <w:szCs w:val="16"/>
    </w:rPr>
  </w:style>
  <w:style w:type="paragraph" w:styleId="28">
    <w:name w:val="Body Text 2"/>
    <w:basedOn w:val="1"/>
    <w:link w:val="43"/>
    <w:qFormat/>
    <w:uiPriority w:val="0"/>
    <w:pPr>
      <w:adjustRightInd w:val="0"/>
      <w:spacing w:after="120" w:line="480" w:lineRule="auto"/>
      <w:jc w:val="left"/>
      <w:textAlignment w:val="baseline"/>
    </w:pPr>
    <w:rPr>
      <w:kern w:val="0"/>
      <w:sz w:val="24"/>
      <w:szCs w:val="20"/>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0">
    <w:name w:val="annotation subject"/>
    <w:basedOn w:val="14"/>
    <w:next w:val="14"/>
    <w:link w:val="57"/>
    <w:qFormat/>
    <w:uiPriority w:val="0"/>
    <w:rPr>
      <w:b/>
      <w:bCs/>
    </w:rPr>
  </w:style>
  <w:style w:type="paragraph" w:styleId="31">
    <w:name w:val="Body Text First Indent"/>
    <w:basedOn w:val="16"/>
    <w:link w:val="53"/>
    <w:qFormat/>
    <w:uiPriority w:val="0"/>
    <w:pPr>
      <w:ind w:firstLine="420" w:firstLineChars="100"/>
    </w:pPr>
  </w:style>
  <w:style w:type="paragraph" w:styleId="32">
    <w:name w:val="Body Text First Indent 2"/>
    <w:basedOn w:val="17"/>
    <w:qFormat/>
    <w:uiPriority w:val="99"/>
    <w:pPr>
      <w:tabs>
        <w:tab w:val="left" w:pos="945"/>
        <w:tab w:val="left" w:pos="1155"/>
      </w:tabs>
      <w:spacing w:after="120"/>
      <w:ind w:left="420" w:leftChars="200" w:firstLine="420"/>
    </w:pPr>
  </w:style>
  <w:style w:type="table" w:styleId="34">
    <w:name w:val="Table Grid"/>
    <w:basedOn w:val="3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qFormat/>
    <w:uiPriority w:val="0"/>
    <w:rPr>
      <w:color w:val="444444"/>
      <w:u w:val="none"/>
    </w:rPr>
  </w:style>
  <w:style w:type="character" w:styleId="39">
    <w:name w:val="Emphasis"/>
    <w:qFormat/>
    <w:uiPriority w:val="0"/>
  </w:style>
  <w:style w:type="character" w:styleId="40">
    <w:name w:val="Hyperlink"/>
    <w:basedOn w:val="35"/>
    <w:qFormat/>
    <w:uiPriority w:val="0"/>
    <w:rPr>
      <w:color w:val="444444"/>
      <w:u w:val="none"/>
    </w:rPr>
  </w:style>
  <w:style w:type="character" w:styleId="41">
    <w:name w:val="annotation reference"/>
    <w:qFormat/>
    <w:uiPriority w:val="0"/>
    <w:rPr>
      <w:sz w:val="21"/>
      <w:szCs w:val="21"/>
    </w:rPr>
  </w:style>
  <w:style w:type="character" w:customStyle="1" w:styleId="42">
    <w:name w:val="标题 7 Char"/>
    <w:link w:val="8"/>
    <w:qFormat/>
    <w:uiPriority w:val="0"/>
    <w:rPr>
      <w:rFonts w:ascii="Times New Roman" w:hAnsi="Times New Roman"/>
      <w:b/>
      <w:bCs/>
      <w:sz w:val="24"/>
      <w:szCs w:val="24"/>
    </w:rPr>
  </w:style>
  <w:style w:type="character" w:customStyle="1" w:styleId="43">
    <w:name w:val="正文文本 2 Char"/>
    <w:link w:val="28"/>
    <w:qFormat/>
    <w:uiPriority w:val="0"/>
    <w:rPr>
      <w:rFonts w:ascii="Times New Roman" w:hAnsi="Times New Roman"/>
      <w:sz w:val="24"/>
    </w:rPr>
  </w:style>
  <w:style w:type="character" w:customStyle="1" w:styleId="44">
    <w:name w:val="标题 9 Char"/>
    <w:link w:val="10"/>
    <w:qFormat/>
    <w:uiPriority w:val="0"/>
    <w:rPr>
      <w:rFonts w:ascii="Arial" w:hAnsi="Arial" w:eastAsia="黑体"/>
      <w:sz w:val="21"/>
      <w:szCs w:val="21"/>
    </w:rPr>
  </w:style>
  <w:style w:type="character" w:customStyle="1" w:styleId="45">
    <w:name w:val="red1"/>
    <w:qFormat/>
    <w:uiPriority w:val="0"/>
    <w:rPr>
      <w:color w:val="FF0000"/>
      <w:sz w:val="18"/>
      <w:szCs w:val="18"/>
    </w:rPr>
  </w:style>
  <w:style w:type="character" w:customStyle="1" w:styleId="46">
    <w:name w:val="正文文本缩进 3 Char"/>
    <w:link w:val="27"/>
    <w:qFormat/>
    <w:uiPriority w:val="0"/>
    <w:rPr>
      <w:rFonts w:ascii="Times New Roman" w:hAnsi="Times New Roman"/>
      <w:sz w:val="16"/>
      <w:szCs w:val="16"/>
    </w:rPr>
  </w:style>
  <w:style w:type="character" w:customStyle="1" w:styleId="47">
    <w:name w:val="hover25"/>
    <w:basedOn w:val="35"/>
    <w:qFormat/>
    <w:uiPriority w:val="0"/>
  </w:style>
  <w:style w:type="character" w:customStyle="1" w:styleId="48">
    <w:name w:val="页码1"/>
    <w:basedOn w:val="35"/>
    <w:qFormat/>
    <w:uiPriority w:val="0"/>
  </w:style>
  <w:style w:type="character" w:customStyle="1" w:styleId="49">
    <w:name w:val="正文文本 3 Char"/>
    <w:link w:val="15"/>
    <w:qFormat/>
    <w:uiPriority w:val="0"/>
    <w:rPr>
      <w:rFonts w:ascii="Times New Roman" w:hAnsi="Times New Roman"/>
      <w:kern w:val="2"/>
      <w:sz w:val="16"/>
    </w:rPr>
  </w:style>
  <w:style w:type="character" w:customStyle="1" w:styleId="50">
    <w:name w:val="批注框文本 Char"/>
    <w:link w:val="23"/>
    <w:qFormat/>
    <w:uiPriority w:val="0"/>
    <w:rPr>
      <w:sz w:val="18"/>
      <w:szCs w:val="18"/>
    </w:rPr>
  </w:style>
  <w:style w:type="character" w:customStyle="1" w:styleId="51">
    <w:name w:val="green1"/>
    <w:qFormat/>
    <w:uiPriority w:val="0"/>
    <w:rPr>
      <w:color w:val="66AE00"/>
      <w:sz w:val="18"/>
      <w:szCs w:val="18"/>
    </w:rPr>
  </w:style>
  <w:style w:type="character" w:customStyle="1" w:styleId="52">
    <w:name w:val="right"/>
    <w:qFormat/>
    <w:uiPriority w:val="0"/>
    <w:rPr>
      <w:color w:val="999999"/>
      <w:sz w:val="18"/>
      <w:szCs w:val="18"/>
    </w:rPr>
  </w:style>
  <w:style w:type="character" w:customStyle="1" w:styleId="53">
    <w:name w:val="正文首行缩进 Char"/>
    <w:link w:val="31"/>
    <w:qFormat/>
    <w:uiPriority w:val="0"/>
    <w:rPr>
      <w:sz w:val="24"/>
    </w:rPr>
  </w:style>
  <w:style w:type="character" w:customStyle="1" w:styleId="54">
    <w:name w:val="标题 4 Char"/>
    <w:link w:val="5"/>
    <w:qFormat/>
    <w:uiPriority w:val="0"/>
    <w:rPr>
      <w:rFonts w:ascii="Arial" w:hAnsi="Arial" w:eastAsia="黑体"/>
      <w:b/>
      <w:bCs/>
      <w:sz w:val="28"/>
      <w:szCs w:val="28"/>
    </w:rPr>
  </w:style>
  <w:style w:type="character" w:customStyle="1" w:styleId="55">
    <w:name w:val="纯文本 Char"/>
    <w:link w:val="20"/>
    <w:qFormat/>
    <w:uiPriority w:val="99"/>
    <w:rPr>
      <w:rFonts w:ascii="宋体" w:hAnsi="Courier New" w:cs="Courier New"/>
      <w:sz w:val="21"/>
      <w:szCs w:val="21"/>
    </w:rPr>
  </w:style>
  <w:style w:type="character" w:customStyle="1" w:styleId="56">
    <w:name w:val="green"/>
    <w:qFormat/>
    <w:uiPriority w:val="0"/>
    <w:rPr>
      <w:color w:val="66AE00"/>
      <w:sz w:val="18"/>
      <w:szCs w:val="18"/>
    </w:rPr>
  </w:style>
  <w:style w:type="character" w:customStyle="1" w:styleId="57">
    <w:name w:val="批注主题 Char"/>
    <w:link w:val="30"/>
    <w:qFormat/>
    <w:uiPriority w:val="0"/>
    <w:rPr>
      <w:b/>
      <w:bCs/>
      <w:kern w:val="2"/>
      <w:sz w:val="21"/>
      <w:szCs w:val="22"/>
    </w:rPr>
  </w:style>
  <w:style w:type="character" w:customStyle="1" w:styleId="58">
    <w:name w:val="标题 3 Char"/>
    <w:link w:val="4"/>
    <w:qFormat/>
    <w:uiPriority w:val="0"/>
    <w:rPr>
      <w:rFonts w:ascii="Times New Roman" w:hAnsi="Times New Roman"/>
      <w:b/>
      <w:kern w:val="2"/>
      <w:sz w:val="32"/>
    </w:rPr>
  </w:style>
  <w:style w:type="character" w:customStyle="1" w:styleId="59">
    <w:name w:val="标题 5 Char"/>
    <w:link w:val="6"/>
    <w:qFormat/>
    <w:uiPriority w:val="0"/>
    <w:rPr>
      <w:rFonts w:ascii="Times New Roman" w:hAnsi="Times New Roman"/>
      <w:b/>
      <w:bCs/>
      <w:sz w:val="28"/>
      <w:szCs w:val="28"/>
    </w:rPr>
  </w:style>
  <w:style w:type="character" w:customStyle="1" w:styleId="60">
    <w:name w:val="批注文字 Char"/>
    <w:link w:val="14"/>
    <w:qFormat/>
    <w:uiPriority w:val="0"/>
    <w:rPr>
      <w:kern w:val="2"/>
      <w:sz w:val="21"/>
      <w:szCs w:val="22"/>
    </w:rPr>
  </w:style>
  <w:style w:type="character" w:customStyle="1" w:styleId="61">
    <w:name w:val="标题 1 Char"/>
    <w:link w:val="2"/>
    <w:qFormat/>
    <w:uiPriority w:val="9"/>
    <w:rPr>
      <w:rFonts w:ascii="Times New Roman" w:hAnsi="Times New Roman"/>
      <w:b/>
      <w:kern w:val="44"/>
      <w:sz w:val="44"/>
    </w:rPr>
  </w:style>
  <w:style w:type="character" w:customStyle="1" w:styleId="62">
    <w:name w:val="日期 Char"/>
    <w:link w:val="21"/>
    <w:qFormat/>
    <w:uiPriority w:val="0"/>
    <w:rPr>
      <w:rFonts w:ascii="Times New Roman" w:hAnsi="Times New Roman"/>
      <w:kern w:val="2"/>
      <w:sz w:val="24"/>
    </w:rPr>
  </w:style>
  <w:style w:type="character" w:customStyle="1" w:styleId="63">
    <w:name w:val="lw_collapsiblearea_title1"/>
    <w:qFormat/>
    <w:uiPriority w:val="0"/>
    <w:rPr>
      <w:rFonts w:hint="default" w:ascii="Segoe UI" w:hAnsi="Segoe UI" w:cs="Segoe UI"/>
      <w:b/>
      <w:bCs/>
      <w:color w:val="3F529C"/>
      <w:sz w:val="37"/>
      <w:szCs w:val="37"/>
    </w:rPr>
  </w:style>
  <w:style w:type="character" w:customStyle="1" w:styleId="64">
    <w:name w:val="red2"/>
    <w:qFormat/>
    <w:uiPriority w:val="0"/>
    <w:rPr>
      <w:color w:val="FF0000"/>
      <w:sz w:val="18"/>
      <w:szCs w:val="18"/>
    </w:rPr>
  </w:style>
  <w:style w:type="character" w:customStyle="1" w:styleId="65">
    <w:name w:val="正文文本 Char"/>
    <w:link w:val="16"/>
    <w:qFormat/>
    <w:uiPriority w:val="0"/>
    <w:rPr>
      <w:rFonts w:ascii="Times New Roman" w:hAnsi="Times New Roman"/>
      <w:sz w:val="24"/>
    </w:rPr>
  </w:style>
  <w:style w:type="character" w:customStyle="1" w:styleId="66">
    <w:name w:val="parameter"/>
    <w:basedOn w:val="35"/>
    <w:qFormat/>
    <w:uiPriority w:val="0"/>
  </w:style>
  <w:style w:type="character" w:customStyle="1" w:styleId="67">
    <w:name w:val="input"/>
    <w:qFormat/>
    <w:uiPriority w:val="0"/>
    <w:rPr>
      <w:b/>
      <w:bCs/>
    </w:rPr>
  </w:style>
  <w:style w:type="character" w:customStyle="1" w:styleId="68">
    <w:name w:val="label"/>
    <w:qFormat/>
    <w:uiPriority w:val="0"/>
    <w:rPr>
      <w:b/>
      <w:bCs/>
    </w:rPr>
  </w:style>
  <w:style w:type="character" w:customStyle="1" w:styleId="69">
    <w:name w:val="文档结构图 Char"/>
    <w:link w:val="13"/>
    <w:qFormat/>
    <w:uiPriority w:val="0"/>
    <w:rPr>
      <w:rFonts w:ascii="宋体" w:eastAsia="宋体"/>
      <w:sz w:val="18"/>
      <w:szCs w:val="18"/>
    </w:rPr>
  </w:style>
  <w:style w:type="character" w:customStyle="1" w:styleId="70">
    <w:name w:val="form-textarea-print1"/>
    <w:qFormat/>
    <w:uiPriority w:val="0"/>
    <w:rPr>
      <w:sz w:val="18"/>
      <w:szCs w:val="18"/>
    </w:rPr>
  </w:style>
  <w:style w:type="character" w:customStyle="1" w:styleId="71">
    <w:name w:val="red"/>
    <w:qFormat/>
    <w:uiPriority w:val="0"/>
    <w:rPr>
      <w:color w:val="FF0000"/>
    </w:rPr>
  </w:style>
  <w:style w:type="character" w:customStyle="1" w:styleId="72">
    <w:name w:val="标题 6 Char"/>
    <w:link w:val="7"/>
    <w:qFormat/>
    <w:uiPriority w:val="0"/>
    <w:rPr>
      <w:rFonts w:ascii="Arial" w:hAnsi="Arial" w:eastAsia="黑体"/>
      <w:b/>
      <w:bCs/>
      <w:sz w:val="24"/>
      <w:szCs w:val="24"/>
    </w:rPr>
  </w:style>
  <w:style w:type="character" w:customStyle="1" w:styleId="73">
    <w:name w:val="页眉 Char"/>
    <w:link w:val="25"/>
    <w:qFormat/>
    <w:uiPriority w:val="0"/>
    <w:rPr>
      <w:sz w:val="18"/>
      <w:szCs w:val="18"/>
    </w:rPr>
  </w:style>
  <w:style w:type="character" w:customStyle="1" w:styleId="74">
    <w:name w:val="正文文本缩进 Char"/>
    <w:link w:val="17"/>
    <w:qFormat/>
    <w:uiPriority w:val="0"/>
    <w:rPr>
      <w:rFonts w:ascii="宋体" w:hAnsi="Times New Roman"/>
      <w:kern w:val="2"/>
      <w:sz w:val="24"/>
    </w:rPr>
  </w:style>
  <w:style w:type="character" w:customStyle="1" w:styleId="75">
    <w:name w:val="tgtsentence"/>
    <w:basedOn w:val="35"/>
    <w:qFormat/>
    <w:uiPriority w:val="0"/>
  </w:style>
  <w:style w:type="character" w:customStyle="1" w:styleId="76">
    <w:name w:val="标题 2 Char"/>
    <w:link w:val="3"/>
    <w:qFormat/>
    <w:uiPriority w:val="9"/>
    <w:rPr>
      <w:rFonts w:ascii="Arial" w:hAnsi="Arial" w:eastAsia="黑体"/>
      <w:b/>
      <w:bCs/>
      <w:sz w:val="32"/>
      <w:szCs w:val="32"/>
    </w:rPr>
  </w:style>
  <w:style w:type="character" w:customStyle="1" w:styleId="77">
    <w:name w:val="font81"/>
    <w:basedOn w:val="35"/>
    <w:qFormat/>
    <w:uiPriority w:val="0"/>
    <w:rPr>
      <w:rFonts w:hint="eastAsia" w:ascii="宋体" w:hAnsi="宋体" w:eastAsia="宋体" w:cs="宋体"/>
      <w:color w:val="000000"/>
      <w:sz w:val="18"/>
      <w:szCs w:val="18"/>
      <w:u w:val="none"/>
    </w:rPr>
  </w:style>
  <w:style w:type="character" w:customStyle="1" w:styleId="78">
    <w:name w:val="列出段落 Char"/>
    <w:link w:val="79"/>
    <w:qFormat/>
    <w:uiPriority w:val="0"/>
    <w:rPr>
      <w:bCs/>
      <w:kern w:val="2"/>
      <w:sz w:val="21"/>
    </w:rPr>
  </w:style>
  <w:style w:type="paragraph" w:customStyle="1" w:styleId="79">
    <w:name w:val="列出段落1"/>
    <w:basedOn w:val="1"/>
    <w:link w:val="78"/>
    <w:qFormat/>
    <w:uiPriority w:val="0"/>
    <w:pPr>
      <w:ind w:firstLine="420" w:firstLineChars="200"/>
    </w:pPr>
    <w:rPr>
      <w:bCs/>
      <w:szCs w:val="20"/>
    </w:rPr>
  </w:style>
  <w:style w:type="character" w:customStyle="1" w:styleId="80">
    <w:name w:val="gb-jt"/>
    <w:basedOn w:val="35"/>
    <w:qFormat/>
    <w:uiPriority w:val="0"/>
  </w:style>
  <w:style w:type="character" w:customStyle="1" w:styleId="81">
    <w:name w:val="blue"/>
    <w:qFormat/>
    <w:uiPriority w:val="0"/>
    <w:rPr>
      <w:color w:val="0371C6"/>
      <w:sz w:val="21"/>
      <w:szCs w:val="21"/>
    </w:rPr>
  </w:style>
  <w:style w:type="character" w:customStyle="1" w:styleId="82">
    <w:name w:val="hover"/>
    <w:basedOn w:val="35"/>
    <w:qFormat/>
    <w:uiPriority w:val="0"/>
  </w:style>
  <w:style w:type="character" w:customStyle="1" w:styleId="83">
    <w:name w:val="font11"/>
    <w:basedOn w:val="35"/>
    <w:qFormat/>
    <w:uiPriority w:val="0"/>
    <w:rPr>
      <w:rFonts w:hint="eastAsia" w:ascii="宋体" w:hAnsi="宋体" w:eastAsia="宋体" w:cs="宋体"/>
      <w:color w:val="000000"/>
      <w:sz w:val="21"/>
      <w:szCs w:val="21"/>
      <w:u w:val="none"/>
    </w:rPr>
  </w:style>
  <w:style w:type="character" w:customStyle="1" w:styleId="84">
    <w:name w:val="font91"/>
    <w:basedOn w:val="35"/>
    <w:qFormat/>
    <w:uiPriority w:val="0"/>
    <w:rPr>
      <w:rFonts w:hint="eastAsia" w:ascii="宋体" w:hAnsi="宋体" w:eastAsia="宋体" w:cs="宋体"/>
      <w:color w:val="000000"/>
      <w:sz w:val="18"/>
      <w:szCs w:val="18"/>
      <w:u w:val="none"/>
      <w:vertAlign w:val="superscript"/>
    </w:rPr>
  </w:style>
  <w:style w:type="character" w:customStyle="1" w:styleId="85">
    <w:name w:val="标题 8 Char"/>
    <w:link w:val="9"/>
    <w:qFormat/>
    <w:uiPriority w:val="0"/>
    <w:rPr>
      <w:rFonts w:ascii="Arial" w:hAnsi="Arial" w:eastAsia="黑体"/>
      <w:sz w:val="24"/>
      <w:szCs w:val="24"/>
    </w:rPr>
  </w:style>
  <w:style w:type="character" w:customStyle="1" w:styleId="86">
    <w:name w:val="页脚 Char"/>
    <w:link w:val="24"/>
    <w:qFormat/>
    <w:uiPriority w:val="0"/>
    <w:rPr>
      <w:sz w:val="18"/>
      <w:szCs w:val="18"/>
    </w:rPr>
  </w:style>
  <w:style w:type="character" w:customStyle="1" w:styleId="87">
    <w:name w:val="正文文本缩进 2 Char"/>
    <w:link w:val="22"/>
    <w:qFormat/>
    <w:uiPriority w:val="99"/>
    <w:rPr>
      <w:rFonts w:ascii="Times New Roman" w:hAnsi="Times New Roman"/>
      <w:kern w:val="2"/>
      <w:sz w:val="21"/>
    </w:rPr>
  </w:style>
  <w:style w:type="character" w:customStyle="1" w:styleId="88">
    <w:name w:val="Char Char8"/>
    <w:qFormat/>
    <w:uiPriority w:val="0"/>
    <w:rPr>
      <w:rFonts w:ascii="Arial" w:hAnsi="Arial" w:eastAsia="黑体"/>
      <w:b/>
      <w:bCs/>
      <w:kern w:val="2"/>
      <w:sz w:val="32"/>
      <w:szCs w:val="32"/>
      <w:lang w:val="en-US" w:eastAsia="zh-CN" w:bidi="ar-SA"/>
    </w:rPr>
  </w:style>
  <w:style w:type="character" w:customStyle="1" w:styleId="89">
    <w:name w:val="font01"/>
    <w:basedOn w:val="35"/>
    <w:qFormat/>
    <w:uiPriority w:val="0"/>
    <w:rPr>
      <w:rFonts w:hint="eastAsia" w:ascii="宋体" w:hAnsi="宋体" w:eastAsia="宋体" w:cs="宋体"/>
      <w:color w:val="000000"/>
      <w:sz w:val="21"/>
      <w:szCs w:val="21"/>
      <w:u w:val="none"/>
      <w:vertAlign w:val="superscript"/>
    </w:rPr>
  </w:style>
  <w:style w:type="character" w:customStyle="1" w:styleId="90">
    <w:name w:val="code"/>
    <w:basedOn w:val="35"/>
    <w:qFormat/>
    <w:uiPriority w:val="0"/>
  </w:style>
  <w:style w:type="paragraph" w:customStyle="1" w:styleId="91">
    <w:name w:val="样式 标题 2 + 宋体 五号 非加粗 黑色"/>
    <w:basedOn w:val="3"/>
    <w:qFormat/>
    <w:uiPriority w:val="0"/>
    <w:rPr>
      <w:rFonts w:ascii="宋体" w:hAnsi="宋体" w:eastAsia="宋体"/>
      <w:b w:val="0"/>
      <w:bCs w:val="0"/>
      <w:color w:val="000000"/>
      <w:sz w:val="21"/>
    </w:rPr>
  </w:style>
  <w:style w:type="paragraph" w:customStyle="1" w:styleId="92">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3">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4">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5">
    <w:name w:val="Char Char Char Char"/>
    <w:basedOn w:val="1"/>
    <w:qFormat/>
    <w:uiPriority w:val="0"/>
    <w:rPr>
      <w:rFonts w:ascii="Tahoma" w:hAnsi="Tahoma"/>
      <w:sz w:val="24"/>
      <w:szCs w:val="20"/>
    </w:rPr>
  </w:style>
  <w:style w:type="paragraph" w:customStyle="1" w:styleId="96">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7">
    <w:name w:val="Char1 Char Char Char Char Char Char Char"/>
    <w:basedOn w:val="1"/>
    <w:qFormat/>
    <w:uiPriority w:val="0"/>
    <w:rPr>
      <w:rFonts w:ascii="Tahoma" w:hAnsi="Tahoma"/>
      <w:sz w:val="24"/>
      <w:szCs w:val="30"/>
    </w:rPr>
  </w:style>
  <w:style w:type="paragraph" w:customStyle="1" w:styleId="98">
    <w:name w:val="PMstyle"/>
    <w:qFormat/>
    <w:uiPriority w:val="0"/>
    <w:rPr>
      <w:rFonts w:ascii="Tahoma" w:hAnsi="Tahoma" w:eastAsia="宋体" w:cs="Times New Roman"/>
      <w:sz w:val="22"/>
      <w:lang w:val="en-US" w:eastAsia="zh-CN" w:bidi="ar-SA"/>
    </w:rPr>
  </w:style>
  <w:style w:type="paragraph" w:customStyle="1" w:styleId="99">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0">
    <w:name w:val="p18"/>
    <w:basedOn w:val="1"/>
    <w:qFormat/>
    <w:uiPriority w:val="0"/>
    <w:pPr>
      <w:widowControl/>
      <w:spacing w:line="440" w:lineRule="atLeast"/>
    </w:pPr>
    <w:rPr>
      <w:rFonts w:ascii="宋体" w:hAnsi="宋体" w:cs="宋体"/>
      <w:kern w:val="0"/>
      <w:sz w:val="24"/>
      <w:szCs w:val="24"/>
    </w:rPr>
  </w:style>
  <w:style w:type="paragraph" w:customStyle="1" w:styleId="101">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2">
    <w:name w:val="Char Char1 Char Char Char Char Char Char"/>
    <w:basedOn w:val="1"/>
    <w:qFormat/>
    <w:uiPriority w:val="0"/>
    <w:pPr>
      <w:widowControl/>
      <w:spacing w:after="160" w:line="240" w:lineRule="exact"/>
      <w:jc w:val="left"/>
    </w:pPr>
    <w:rPr>
      <w:szCs w:val="20"/>
    </w:rPr>
  </w:style>
  <w:style w:type="paragraph" w:customStyle="1" w:styleId="103">
    <w:name w:val="Char Char1 Char Char Char Char Char Char1"/>
    <w:basedOn w:val="1"/>
    <w:qFormat/>
    <w:uiPriority w:val="0"/>
    <w:pPr>
      <w:widowControl/>
      <w:spacing w:after="160" w:line="240" w:lineRule="exact"/>
      <w:jc w:val="left"/>
    </w:pPr>
  </w:style>
  <w:style w:type="paragraph" w:customStyle="1" w:styleId="104">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5">
    <w:name w:val="标书正文文本"/>
    <w:basedOn w:val="1"/>
    <w:qFormat/>
    <w:uiPriority w:val="0"/>
    <w:pPr>
      <w:spacing w:line="360" w:lineRule="auto"/>
      <w:ind w:firstLine="420"/>
    </w:pPr>
    <w:rPr>
      <w:rFonts w:eastAsia="楷体_GB2312" w:cs="宋体"/>
      <w:bCs/>
      <w:sz w:val="28"/>
      <w:szCs w:val="20"/>
    </w:rPr>
  </w:style>
  <w:style w:type="paragraph" w:customStyle="1" w:styleId="106">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7">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8">
    <w:name w:val="p0"/>
    <w:basedOn w:val="1"/>
    <w:qFormat/>
    <w:uiPriority w:val="0"/>
    <w:pPr>
      <w:widowControl/>
    </w:pPr>
    <w:rPr>
      <w:kern w:val="0"/>
      <w:szCs w:val="21"/>
    </w:rPr>
  </w:style>
  <w:style w:type="paragraph" w:customStyle="1" w:styleId="109">
    <w:name w:val="p16"/>
    <w:basedOn w:val="1"/>
    <w:qFormat/>
    <w:uiPriority w:val="0"/>
    <w:pPr>
      <w:widowControl/>
      <w:spacing w:after="120"/>
      <w:ind w:firstLine="210"/>
      <w:jc w:val="left"/>
    </w:pPr>
    <w:rPr>
      <w:kern w:val="0"/>
      <w:sz w:val="20"/>
      <w:szCs w:val="20"/>
    </w:rPr>
  </w:style>
  <w:style w:type="paragraph" w:customStyle="1" w:styleId="110">
    <w:name w:val="p21"/>
    <w:basedOn w:val="1"/>
    <w:qFormat/>
    <w:uiPriority w:val="0"/>
    <w:pPr>
      <w:widowControl/>
      <w:spacing w:after="120"/>
    </w:pPr>
    <w:rPr>
      <w:kern w:val="0"/>
      <w:szCs w:val="21"/>
    </w:rPr>
  </w:style>
  <w:style w:type="paragraph" w:customStyle="1" w:styleId="111">
    <w:name w:val="样式 标题 1 + 四号 居中 段前: 12 磅 段后: 12 磅 行距: 单倍行距"/>
    <w:basedOn w:val="2"/>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2">
    <w:name w:val="样式 样式 标题 2 + 宋体 五号 非加粗 黑色 + 段前: 6 磅 段后: 0 磅 行距: 单倍行距"/>
    <w:basedOn w:val="91"/>
    <w:qFormat/>
    <w:uiPriority w:val="0"/>
  </w:style>
  <w:style w:type="paragraph" w:customStyle="1" w:styleId="113">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4">
    <w:name w:val="p19"/>
    <w:basedOn w:val="1"/>
    <w:qFormat/>
    <w:uiPriority w:val="0"/>
    <w:pPr>
      <w:widowControl/>
    </w:pPr>
    <w:rPr>
      <w:rFonts w:ascii="宋体" w:hAnsi="宋体" w:cs="宋体"/>
      <w:kern w:val="0"/>
      <w:szCs w:val="21"/>
    </w:rPr>
  </w:style>
  <w:style w:type="paragraph" w:customStyle="1" w:styleId="115">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6">
    <w:name w:val="Char1"/>
    <w:basedOn w:val="1"/>
    <w:qFormat/>
    <w:uiPriority w:val="0"/>
    <w:pPr>
      <w:adjustRightInd w:val="0"/>
      <w:spacing w:line="600" w:lineRule="exact"/>
      <w:ind w:firstLine="560" w:firstLineChars="200"/>
      <w:jc w:val="center"/>
    </w:pPr>
    <w:rPr>
      <w:szCs w:val="24"/>
    </w:rPr>
  </w:style>
  <w:style w:type="paragraph" w:customStyle="1" w:styleId="117">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8">
    <w:name w:val="font21"/>
    <w:basedOn w:val="35"/>
    <w:qFormat/>
    <w:uiPriority w:val="0"/>
    <w:rPr>
      <w:rFonts w:hint="eastAsia" w:ascii="宋体" w:hAnsi="宋体" w:eastAsia="宋体" w:cs="宋体"/>
      <w:color w:val="000000"/>
      <w:sz w:val="22"/>
      <w:szCs w:val="22"/>
      <w:u w:val="none"/>
    </w:rPr>
  </w:style>
  <w:style w:type="character" w:customStyle="1" w:styleId="119">
    <w:name w:val="font31"/>
    <w:basedOn w:val="35"/>
    <w:qFormat/>
    <w:uiPriority w:val="0"/>
    <w:rPr>
      <w:rFonts w:hint="eastAsia" w:ascii="宋体" w:hAnsi="宋体" w:eastAsia="宋体" w:cs="宋体"/>
      <w:color w:val="000000"/>
      <w:sz w:val="22"/>
      <w:szCs w:val="22"/>
      <w:u w:val="none"/>
    </w:rPr>
  </w:style>
  <w:style w:type="character" w:customStyle="1" w:styleId="120">
    <w:name w:val="red3"/>
    <w:basedOn w:val="35"/>
    <w:qFormat/>
    <w:uiPriority w:val="0"/>
    <w:rPr>
      <w:color w:val="FF0000"/>
    </w:rPr>
  </w:style>
  <w:style w:type="character" w:customStyle="1" w:styleId="121">
    <w:name w:val="hover24"/>
    <w:basedOn w:val="35"/>
    <w:qFormat/>
    <w:uiPriority w:val="0"/>
  </w:style>
  <w:style w:type="paragraph" w:customStyle="1" w:styleId="122">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3">
    <w:name w:val="日期1"/>
    <w:basedOn w:val="1"/>
    <w:next w:val="1"/>
    <w:qFormat/>
    <w:uiPriority w:val="0"/>
    <w:rPr>
      <w:rFonts w:ascii="Calibri" w:hAnsi="Calibri"/>
      <w:sz w:val="24"/>
    </w:rPr>
  </w:style>
  <w:style w:type="paragraph" w:customStyle="1" w:styleId="124">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5">
    <w:name w:val="正文文本缩进1"/>
    <w:basedOn w:val="1"/>
    <w:qFormat/>
    <w:uiPriority w:val="0"/>
    <w:pPr>
      <w:spacing w:line="360" w:lineRule="auto"/>
      <w:ind w:firstLine="480" w:firstLineChars="200"/>
    </w:pPr>
    <w:rPr>
      <w:rFonts w:ascii="宋体" w:hAnsi="Calibri"/>
      <w:sz w:val="24"/>
    </w:rPr>
  </w:style>
  <w:style w:type="paragraph" w:customStyle="1" w:styleId="126">
    <w:name w:val="正文段落"/>
    <w:basedOn w:val="1"/>
    <w:qFormat/>
    <w:uiPriority w:val="99"/>
    <w:pPr>
      <w:tabs>
        <w:tab w:val="left" w:pos="0"/>
      </w:tabs>
      <w:spacing w:line="600" w:lineRule="exact"/>
      <w:ind w:firstLine="560" w:firstLineChars="200"/>
      <w:jc w:val="left"/>
    </w:pPr>
    <w:rPr>
      <w:kern w:val="0"/>
      <w:sz w:val="28"/>
      <w:szCs w:val="30"/>
    </w:rPr>
  </w:style>
  <w:style w:type="paragraph" w:styleId="127">
    <w:name w:val="List Paragraph"/>
    <w:basedOn w:val="1"/>
    <w:unhideWhenUsed/>
    <w:qFormat/>
    <w:uiPriority w:val="99"/>
    <w:pPr>
      <w:ind w:firstLine="420" w:firstLineChars="200"/>
    </w:pPr>
    <w:rPr>
      <w:rFonts w:asciiTheme="minorHAnsi" w:hAnsiTheme="minorHAnsi" w:eastAsiaTheme="minorEastAsia" w:cstheme="minorBidi"/>
    </w:rPr>
  </w:style>
  <w:style w:type="character" w:customStyle="1" w:styleId="128">
    <w:name w:val="纯文本 字符"/>
    <w:qFormat/>
    <w:uiPriority w:val="0"/>
    <w:rPr>
      <w:rFonts w:ascii="宋体" w:hAnsi="Courier New" w:eastAsia="仿宋_GB2312"/>
      <w:b/>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27072</Words>
  <Characters>4134</Characters>
  <Lines>34</Lines>
  <Paragraphs>62</Paragraphs>
  <TotalTime>1</TotalTime>
  <ScaleCrop>false</ScaleCrop>
  <LinksUpToDate>false</LinksUpToDate>
  <CharactersWithSpaces>31144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2018-11-22T00:37:00Z</dcterms:created>
  <dc:creator>USER</dc:creator>
  <cp:lastModifiedBy>长葛市公共资源交易中心:王丹丹</cp:lastModifiedBy>
  <cp:lastPrinted>2019-08-14T05:16:00Z</cp:lastPrinted>
  <dcterms:modified xsi:type="dcterms:W3CDTF">2020-01-06T09:21:01Z</dcterms:modified>
  <dc:title>许昌市市直政府采购项目</dc:title>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