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jc w:val="center"/>
        <w:rPr>
          <w:rFonts w:hint="default" w:ascii="黑体" w:hAnsi="黑体" w:eastAsia="黑体" w:cs="黑体"/>
          <w:b/>
          <w:bCs w:val="0"/>
          <w:w w:val="90"/>
          <w:sz w:val="48"/>
          <w:szCs w:val="48"/>
          <w:lang w:val="en-US" w:eastAsia="zh-CN"/>
        </w:rPr>
      </w:pPr>
      <w:r>
        <w:rPr>
          <w:rFonts w:hint="eastAsia" w:ascii="黑体" w:hAnsi="黑体" w:eastAsia="黑体" w:cs="黑体"/>
          <w:b/>
          <w:bCs w:val="0"/>
          <w:w w:val="90"/>
          <w:sz w:val="48"/>
          <w:szCs w:val="48"/>
          <w:lang w:val="en-US" w:eastAsia="zh-CN"/>
        </w:rPr>
        <w:t>禹州市顺店镇人民政府公务用车采购项目</w:t>
      </w:r>
    </w:p>
    <w:p>
      <w:pPr>
        <w:jc w:val="center"/>
        <w:rPr>
          <w:rFonts w:hint="eastAsia" w:ascii="华文隶书" w:eastAsia="华文隶书"/>
          <w:bCs/>
          <w:w w:val="90"/>
          <w:sz w:val="44"/>
          <w:szCs w:val="44"/>
          <w:lang w:eastAsia="zh-CN"/>
        </w:rPr>
      </w:pPr>
    </w:p>
    <w:p>
      <w:pPr>
        <w:jc w:val="center"/>
        <w:rPr>
          <w:rFonts w:hint="eastAsia" w:ascii="华文隶书" w:eastAsia="华文隶书"/>
          <w:b/>
          <w:bCs w:val="0"/>
          <w:w w:val="90"/>
          <w:sz w:val="48"/>
          <w:szCs w:val="48"/>
          <w:lang w:eastAsia="zh-CN"/>
        </w:rPr>
      </w:pPr>
    </w:p>
    <w:p>
      <w:pPr>
        <w:jc w:val="center"/>
        <w:rPr>
          <w:rFonts w:hint="eastAsia" w:ascii="华文隶书" w:eastAsia="华文隶书"/>
          <w:b/>
          <w:bCs w:val="0"/>
          <w:w w:val="90"/>
          <w:sz w:val="48"/>
          <w:szCs w:val="48"/>
          <w:lang w:eastAsia="zh-CN"/>
        </w:rPr>
      </w:pPr>
    </w:p>
    <w:p>
      <w:pPr>
        <w:jc w:val="center"/>
        <w:rPr>
          <w:rFonts w:hint="eastAsia" w:ascii="黑体" w:hAnsi="黑体" w:eastAsia="黑体" w:cs="黑体"/>
          <w:b/>
          <w:bCs w:val="0"/>
          <w:w w:val="90"/>
          <w:sz w:val="48"/>
          <w:szCs w:val="48"/>
        </w:rPr>
      </w:pPr>
      <w:r>
        <w:rPr>
          <w:rFonts w:hint="eastAsia" w:ascii="黑体" w:hAnsi="黑体" w:eastAsia="黑体" w:cs="黑体"/>
          <w:b/>
          <w:bCs w:val="0"/>
          <w:w w:val="90"/>
          <w:sz w:val="48"/>
          <w:szCs w:val="48"/>
          <w:lang w:eastAsia="zh-CN"/>
        </w:rPr>
        <w:t>竞争性谈判</w:t>
      </w:r>
      <w:r>
        <w:rPr>
          <w:rFonts w:hint="eastAsia" w:ascii="黑体" w:hAnsi="黑体" w:eastAsia="黑体" w:cs="黑体"/>
          <w:b/>
          <w:bCs w:val="0"/>
          <w:w w:val="90"/>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YZCG-T2020004</w:t>
      </w:r>
    </w:p>
    <w:p>
      <w:pPr>
        <w:ind w:firstLine="1080" w:firstLineChars="300"/>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val="0"/>
          <w:bCs w:val="0"/>
          <w:sz w:val="36"/>
          <w:szCs w:val="36"/>
        </w:rPr>
        <w:t>采购单位：</w:t>
      </w:r>
      <w:r>
        <w:rPr>
          <w:rFonts w:hint="eastAsia" w:asciiTheme="majorEastAsia" w:hAnsiTheme="majorEastAsia" w:eastAsiaTheme="majorEastAsia" w:cstheme="majorEastAsia"/>
          <w:b w:val="0"/>
          <w:bCs w:val="0"/>
          <w:sz w:val="36"/>
          <w:szCs w:val="36"/>
          <w:lang w:eastAsia="zh-CN"/>
        </w:rPr>
        <w:t>禹州市</w:t>
      </w:r>
      <w:r>
        <w:rPr>
          <w:rFonts w:hint="eastAsia" w:asciiTheme="majorEastAsia" w:hAnsiTheme="majorEastAsia" w:eastAsiaTheme="majorEastAsia" w:cstheme="majorEastAsia"/>
          <w:b w:val="0"/>
          <w:bCs w:val="0"/>
          <w:sz w:val="36"/>
          <w:szCs w:val="36"/>
          <w:lang w:val="en-US" w:eastAsia="zh-CN"/>
        </w:rPr>
        <w:t>顺店镇人民政府</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w:t>
      </w:r>
      <w:r>
        <w:rPr>
          <w:rFonts w:hint="eastAsia" w:asciiTheme="majorEastAsia" w:hAnsiTheme="majorEastAsia" w:eastAsiaTheme="majorEastAsia" w:cstheme="majorEastAsia"/>
          <w:b/>
          <w:bCs/>
          <w:sz w:val="36"/>
          <w:szCs w:val="36"/>
          <w:lang w:val="en-US" w:eastAsia="zh-CN"/>
        </w:rPr>
        <w:t>一</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spacing w:line="600" w:lineRule="exact"/>
        <w:jc w:val="center"/>
        <w:rPr>
          <w:rFonts w:hint="default"/>
          <w:b/>
          <w:bCs/>
          <w:sz w:val="36"/>
          <w:szCs w:val="36"/>
          <w:lang w:val="en-US" w:eastAsia="zh-CN"/>
        </w:rPr>
      </w:pPr>
      <w:r>
        <w:rPr>
          <w:rFonts w:hint="eastAsia"/>
          <w:b/>
          <w:bCs/>
          <w:sz w:val="36"/>
          <w:szCs w:val="36"/>
          <w:lang w:val="en-US" w:eastAsia="zh-CN"/>
        </w:rPr>
        <w:t>禹州市顺店镇人民政府公务用车采购项目</w:t>
      </w:r>
    </w:p>
    <w:p>
      <w:pPr>
        <w:spacing w:line="600" w:lineRule="exact"/>
        <w:jc w:val="center"/>
        <w:rPr>
          <w:rFonts w:hint="eastAsia"/>
          <w:b/>
          <w:bCs/>
          <w:sz w:val="36"/>
          <w:szCs w:val="36"/>
          <w:lang w:eastAsia="zh-CN"/>
        </w:rPr>
      </w:pPr>
      <w:r>
        <w:rPr>
          <w:rFonts w:hint="eastAsia"/>
          <w:b/>
          <w:bCs/>
          <w:sz w:val="36"/>
          <w:szCs w:val="36"/>
          <w:lang w:eastAsia="zh-CN"/>
        </w:rPr>
        <w:t>谈判邀请函</w:t>
      </w:r>
    </w:p>
    <w:p>
      <w:pPr>
        <w:spacing w:line="600" w:lineRule="exact"/>
        <w:jc w:val="center"/>
        <w:rPr>
          <w:rFonts w:hint="eastAsia"/>
          <w:b/>
          <w:bCs/>
          <w:sz w:val="36"/>
          <w:szCs w:val="36"/>
          <w:lang w:eastAsia="zh-CN"/>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w:t>
      </w:r>
      <w:r>
        <w:rPr>
          <w:rFonts w:hint="eastAsia" w:ascii="新宋体" w:hAnsi="新宋体" w:eastAsia="新宋体" w:cs="新宋体"/>
          <w:sz w:val="24"/>
          <w:szCs w:val="24"/>
          <w:lang w:eastAsia="zh-CN"/>
        </w:rPr>
        <w:t>禹州市</w:t>
      </w:r>
      <w:r>
        <w:rPr>
          <w:rFonts w:hint="eastAsia" w:ascii="新宋体" w:hAnsi="新宋体" w:eastAsia="新宋体" w:cs="新宋体"/>
          <w:sz w:val="24"/>
          <w:szCs w:val="24"/>
          <w:lang w:val="en-US" w:eastAsia="zh-CN"/>
        </w:rPr>
        <w:t>顺店镇人民政府</w:t>
      </w:r>
      <w:r>
        <w:rPr>
          <w:rFonts w:hint="eastAsia" w:ascii="新宋体" w:hAnsi="新宋体" w:eastAsia="新宋体" w:cs="新宋体"/>
          <w:sz w:val="24"/>
          <w:szCs w:val="24"/>
        </w:rPr>
        <w:t>的委托，就“</w:t>
      </w:r>
      <w:r>
        <w:rPr>
          <w:rFonts w:hint="eastAsia" w:ascii="新宋体" w:hAnsi="新宋体" w:eastAsia="新宋体" w:cs="新宋体"/>
          <w:sz w:val="24"/>
          <w:szCs w:val="24"/>
          <w:lang w:val="en-US" w:eastAsia="zh-CN"/>
        </w:rPr>
        <w:t>禹州市顺店镇人民政府公务用车采购项目</w:t>
      </w:r>
      <w:r>
        <w:rPr>
          <w:rFonts w:hint="eastAsia" w:ascii="新宋体" w:hAnsi="新宋体" w:eastAsia="新宋体" w:cs="新宋体"/>
          <w:sz w:val="24"/>
          <w:szCs w:val="24"/>
        </w:rPr>
        <w:t>”进行</w:t>
      </w:r>
      <w:r>
        <w:rPr>
          <w:rFonts w:hint="eastAsia" w:ascii="新宋体" w:hAnsi="新宋体" w:eastAsia="新宋体" w:cs="新宋体"/>
          <w:sz w:val="24"/>
          <w:szCs w:val="24"/>
          <w:lang w:eastAsia="zh-CN"/>
        </w:rPr>
        <w:t>竞争性谈判</w:t>
      </w:r>
      <w:r>
        <w:rPr>
          <w:rFonts w:hint="eastAsia" w:ascii="新宋体" w:hAnsi="新宋体" w:eastAsia="新宋体" w:cs="新宋体"/>
          <w:sz w:val="24"/>
          <w:szCs w:val="24"/>
        </w:rPr>
        <w:t>，欢迎合格的投标人前来投标。</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lang w:eastAsia="zh-CN"/>
        </w:rPr>
        <w:t>一、</w:t>
      </w:r>
      <w:r>
        <w:rPr>
          <w:rFonts w:hint="eastAsia" w:ascii="新宋体" w:hAnsi="新宋体" w:eastAsia="新宋体" w:cs="新宋体"/>
          <w:b/>
          <w:bCs/>
          <w:sz w:val="24"/>
          <w:szCs w:val="24"/>
        </w:rPr>
        <w:t>项目基本情况</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1、采购人：</w:t>
      </w:r>
      <w:r>
        <w:rPr>
          <w:rFonts w:hint="eastAsia" w:ascii="新宋体" w:hAnsi="新宋体" w:eastAsia="新宋体" w:cs="新宋体"/>
          <w:sz w:val="24"/>
          <w:szCs w:val="24"/>
          <w:lang w:val="en-US" w:eastAsia="zh-CN"/>
        </w:rPr>
        <w:t>禹州市顺店镇人民政府</w:t>
      </w:r>
    </w:p>
    <w:p>
      <w:pPr>
        <w:keepNext w:val="0"/>
        <w:keepLines w:val="0"/>
        <w:pageBreakBefore w:val="0"/>
        <w:kinsoku/>
        <w:overflowPunct/>
        <w:bidi w:val="0"/>
        <w:spacing w:line="440" w:lineRule="exact"/>
        <w:ind w:firstLine="480" w:firstLineChars="200"/>
        <w:jc w:val="left"/>
        <w:textAlignment w:val="auto"/>
        <w:rPr>
          <w:rFonts w:hint="default" w:ascii="新宋体" w:hAnsi="新宋体" w:eastAsia="新宋体" w:cs="新宋体"/>
          <w:sz w:val="24"/>
          <w:szCs w:val="24"/>
          <w:lang w:val="en-US"/>
        </w:rPr>
      </w:pPr>
      <w:r>
        <w:rPr>
          <w:rFonts w:hint="eastAsia" w:ascii="新宋体" w:hAnsi="新宋体" w:eastAsia="新宋体" w:cs="新宋体"/>
          <w:sz w:val="24"/>
          <w:szCs w:val="24"/>
        </w:rPr>
        <w:t>2、项目名称：</w:t>
      </w:r>
      <w:r>
        <w:rPr>
          <w:rFonts w:hint="eastAsia" w:ascii="新宋体" w:hAnsi="新宋体" w:eastAsia="新宋体" w:cs="新宋体"/>
          <w:sz w:val="24"/>
          <w:szCs w:val="24"/>
          <w:lang w:val="en-US" w:eastAsia="zh-CN"/>
        </w:rPr>
        <w:t>禹州市顺店镇人民政府公务用车采购项目</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3、采购编号：YZCG-T20</w:t>
      </w:r>
      <w:r>
        <w:rPr>
          <w:rFonts w:hint="eastAsia" w:ascii="新宋体" w:hAnsi="新宋体" w:eastAsia="新宋体" w:cs="新宋体"/>
          <w:sz w:val="24"/>
          <w:szCs w:val="24"/>
          <w:lang w:val="en-US" w:eastAsia="zh-CN"/>
        </w:rPr>
        <w:t>20004</w:t>
      </w:r>
      <w:r>
        <w:rPr>
          <w:rFonts w:hint="eastAsia" w:ascii="新宋体" w:hAnsi="新宋体" w:eastAsia="新宋体" w:cs="新宋体"/>
          <w:sz w:val="24"/>
          <w:szCs w:val="24"/>
          <w:lang w:val="en-US" w:eastAsia="zh-CN"/>
        </w:rPr>
        <w:tab/>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4、项目需求：</w:t>
      </w:r>
      <w:r>
        <w:rPr>
          <w:rFonts w:hint="eastAsia" w:ascii="新宋体" w:hAnsi="新宋体" w:eastAsia="新宋体" w:cs="新宋体"/>
          <w:sz w:val="24"/>
          <w:szCs w:val="24"/>
          <w:lang w:val="en-US" w:eastAsia="zh-CN"/>
        </w:rPr>
        <w:t>公务用车两辆</w:t>
      </w:r>
      <w:r>
        <w:rPr>
          <w:rFonts w:hint="eastAsia" w:ascii="新宋体" w:hAnsi="新宋体" w:eastAsia="新宋体" w:cs="新宋体"/>
          <w:sz w:val="24"/>
          <w:szCs w:val="24"/>
        </w:rPr>
        <w:t>（详见</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文件）</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5、采购预算：</w:t>
      </w:r>
      <w:r>
        <w:rPr>
          <w:rFonts w:hint="eastAsia" w:ascii="新宋体" w:hAnsi="新宋体" w:eastAsia="新宋体" w:cs="新宋体"/>
          <w:sz w:val="24"/>
          <w:szCs w:val="24"/>
          <w:lang w:val="en-US" w:eastAsia="zh-CN"/>
        </w:rPr>
        <w:t>22</w:t>
      </w:r>
      <w:r>
        <w:rPr>
          <w:rFonts w:hint="eastAsia" w:ascii="新宋体" w:hAnsi="新宋体" w:eastAsia="新宋体" w:cs="新宋体"/>
          <w:sz w:val="24"/>
          <w:szCs w:val="24"/>
        </w:rPr>
        <w:t>万元</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二、需要落实的政府采购政策</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本项目落实节约能源、保护环境、扶持不发达地区和少数民族地区、促进中小企业、监狱企业发展等政府采购政策。（详见谈判文件）</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lang w:eastAsia="zh-CN"/>
        </w:rPr>
        <w:t>三、</w:t>
      </w:r>
      <w:r>
        <w:rPr>
          <w:rFonts w:hint="eastAsia" w:ascii="新宋体" w:hAnsi="新宋体" w:eastAsia="新宋体" w:cs="新宋体"/>
          <w:b/>
          <w:bCs/>
          <w:sz w:val="24"/>
          <w:szCs w:val="24"/>
        </w:rPr>
        <w:t>供应商资格要求</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rPr>
        <w:t>1、符合《政府采购法》第二十二条之规定</w:t>
      </w:r>
      <w:r>
        <w:rPr>
          <w:rFonts w:hint="eastAsia" w:ascii="新宋体" w:hAnsi="新宋体" w:eastAsia="新宋体" w:cs="新宋体"/>
          <w:sz w:val="24"/>
          <w:szCs w:val="24"/>
          <w:lang w:eastAsia="zh-CN"/>
        </w:rPr>
        <w:t>，供应商须具有独立法人资格及相应经营范围（以营业执照为准）；</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、被委托人须是本单位职工，须提供公司为本人缴纳社会保险证明；</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、本项目不接受联合体投标。</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四、获取</w:t>
      </w:r>
      <w:r>
        <w:rPr>
          <w:rFonts w:hint="eastAsia" w:ascii="新宋体" w:hAnsi="新宋体" w:eastAsia="新宋体" w:cs="新宋体"/>
          <w:b/>
          <w:bCs/>
          <w:sz w:val="24"/>
          <w:szCs w:val="24"/>
          <w:lang w:eastAsia="zh-CN"/>
        </w:rPr>
        <w:t>谈判</w:t>
      </w:r>
      <w:r>
        <w:rPr>
          <w:rFonts w:hint="eastAsia" w:ascii="新宋体" w:hAnsi="新宋体" w:eastAsia="新宋体" w:cs="新宋体"/>
          <w:b/>
          <w:bCs/>
          <w:sz w:val="24"/>
          <w:szCs w:val="24"/>
        </w:rPr>
        <w:t>文件的方式、时间、地点</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"http://221.14.6.70:8088/ggzy/eps/public/RegistAllJcxx.html"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　2、在投标截止时间前登录</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"http://ggzy.xuchang.gov.cn/"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，自行下载</w:t>
      </w:r>
      <w:r>
        <w:rPr>
          <w:rFonts w:hint="eastAsia" w:ascii="新宋体" w:hAnsi="新宋体" w:eastAsia="新宋体" w:cs="新宋体"/>
          <w:sz w:val="24"/>
          <w:szCs w:val="24"/>
          <w:lang w:val="zh-CN" w:eastAsia="zh-CN"/>
        </w:rPr>
        <w:t>谈判</w:t>
      </w:r>
      <w:r>
        <w:rPr>
          <w:rFonts w:hint="eastAsia" w:ascii="新宋体" w:hAnsi="新宋体" w:eastAsia="新宋体" w:cs="新宋体"/>
          <w:sz w:val="24"/>
          <w:szCs w:val="24"/>
          <w:lang w:val="zh-CN"/>
        </w:rPr>
        <w:t>文件（详见全国公共资源交易平台（河南省·许昌市）“常见问题解答-交易系统操作手册”）。</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文件的投标企业，拒收其递交的投标文件。</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文件每份售价人民币300元</w:t>
      </w:r>
      <w:r>
        <w:rPr>
          <w:rFonts w:hint="eastAsia" w:ascii="新宋体" w:hAnsi="新宋体" w:eastAsia="新宋体" w:cs="新宋体"/>
          <w:sz w:val="24"/>
          <w:szCs w:val="24"/>
          <w:lang w:eastAsia="zh-CN"/>
        </w:rPr>
        <w:t>（谈判现场现金收取）</w:t>
      </w:r>
      <w:r>
        <w:rPr>
          <w:rFonts w:hint="eastAsia" w:ascii="新宋体" w:hAnsi="新宋体" w:eastAsia="新宋体" w:cs="新宋体"/>
          <w:sz w:val="24"/>
          <w:szCs w:val="24"/>
        </w:rPr>
        <w:t>，于递交投标文件时缴纳给采购代理机构，售后不退。</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五、</w:t>
      </w:r>
      <w:r>
        <w:rPr>
          <w:rFonts w:hint="eastAsia" w:ascii="新宋体" w:hAnsi="新宋体" w:eastAsia="新宋体" w:cs="新宋体"/>
          <w:b/>
          <w:bCs/>
          <w:sz w:val="24"/>
          <w:szCs w:val="24"/>
          <w:lang w:eastAsia="zh-CN"/>
        </w:rPr>
        <w:t>谈判</w:t>
      </w:r>
      <w:r>
        <w:rPr>
          <w:rFonts w:hint="eastAsia" w:ascii="新宋体" w:hAnsi="新宋体" w:eastAsia="新宋体" w:cs="新宋体"/>
          <w:b/>
          <w:bCs/>
          <w:sz w:val="24"/>
          <w:szCs w:val="24"/>
        </w:rPr>
        <w:t>截止时间、</w:t>
      </w:r>
      <w:r>
        <w:rPr>
          <w:rFonts w:hint="eastAsia" w:ascii="新宋体" w:hAnsi="新宋体" w:eastAsia="新宋体" w:cs="新宋体"/>
          <w:b/>
          <w:bCs/>
          <w:sz w:val="24"/>
          <w:szCs w:val="24"/>
          <w:lang w:eastAsia="zh-CN"/>
        </w:rPr>
        <w:t>谈判</w:t>
      </w:r>
      <w:r>
        <w:rPr>
          <w:rFonts w:hint="eastAsia" w:ascii="新宋体" w:hAnsi="新宋体" w:eastAsia="新宋体" w:cs="新宋体"/>
          <w:b/>
          <w:bCs/>
          <w:sz w:val="24"/>
          <w:szCs w:val="24"/>
        </w:rPr>
        <w:t>时间及地点：</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截止及</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时间：20</w:t>
      </w:r>
      <w:r>
        <w:rPr>
          <w:rFonts w:hint="eastAsia" w:ascii="新宋体" w:hAnsi="新宋体" w:eastAsia="新宋体" w:cs="新宋体"/>
          <w:sz w:val="24"/>
          <w:szCs w:val="24"/>
          <w:lang w:val="en-US" w:eastAsia="zh-CN"/>
        </w:rPr>
        <w:t>20</w:t>
      </w:r>
      <w:r>
        <w:rPr>
          <w:rFonts w:hint="eastAsia" w:ascii="新宋体" w:hAnsi="新宋体" w:eastAsia="新宋体" w:cs="新宋体"/>
          <w:sz w:val="24"/>
          <w:szCs w:val="24"/>
        </w:rPr>
        <w:t>年</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日</w:t>
      </w:r>
      <w:r>
        <w:rPr>
          <w:rFonts w:hint="eastAsia" w:ascii="新宋体" w:hAnsi="新宋体" w:eastAsia="新宋体" w:cs="新宋体"/>
          <w:sz w:val="24"/>
          <w:szCs w:val="24"/>
          <w:lang w:val="en-US" w:eastAsia="zh-CN"/>
        </w:rPr>
        <w:t xml:space="preserve">15 ：00 </w:t>
      </w:r>
      <w:r>
        <w:rPr>
          <w:rFonts w:hint="eastAsia" w:ascii="新宋体" w:hAnsi="新宋体" w:eastAsia="新宋体" w:cs="新宋体"/>
          <w:sz w:val="24"/>
          <w:szCs w:val="24"/>
        </w:rPr>
        <w:t>（北京时间），逾期送达或不符合规定的投标文件不予接受。</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eastAsia="zh-CN"/>
        </w:rPr>
        <w:t>谈判</w:t>
      </w:r>
      <w:r>
        <w:rPr>
          <w:rFonts w:hint="eastAsia" w:ascii="新宋体" w:hAnsi="新宋体" w:eastAsia="新宋体" w:cs="新宋体"/>
          <w:sz w:val="24"/>
          <w:szCs w:val="24"/>
        </w:rPr>
        <w:t>地点：禹州市公共资源交易中心第</w:t>
      </w:r>
      <w:r>
        <w:rPr>
          <w:rFonts w:hint="eastAsia" w:ascii="新宋体" w:hAnsi="新宋体" w:eastAsia="新宋体" w:cs="新宋体"/>
          <w:sz w:val="24"/>
          <w:szCs w:val="24"/>
          <w:lang w:val="en-US" w:eastAsia="zh-CN"/>
        </w:rPr>
        <w:t>二</w:t>
      </w:r>
      <w:r>
        <w:rPr>
          <w:rFonts w:hint="eastAsia" w:ascii="新宋体" w:hAnsi="新宋体" w:eastAsia="新宋体" w:cs="新宋体"/>
          <w:sz w:val="24"/>
          <w:szCs w:val="24"/>
        </w:rPr>
        <w:t xml:space="preserve">开标室（禹州市行政服务中心楼9楼） </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3、本项目为全流程电子化交易项目，投标人须提交电子投标文件和纸质投标文件。</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（2）纸质投标文件（正本1份、副本1份）和备份文件1份（使用电子介质存储）在投标截止时间（开标时间）前递交至本项目开标地点。</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六、本次招标公告同时在《中国政府采购网》、《河南省政府采购网》、《全国公共资源交易平台（河南省·许昌市）》发布等。</w:t>
      </w:r>
    </w:p>
    <w:p>
      <w:pPr>
        <w:keepNext w:val="0"/>
        <w:keepLines w:val="0"/>
        <w:pageBreakBefore w:val="0"/>
        <w:kinsoku/>
        <w:overflowPunct/>
        <w:bidi w:val="0"/>
        <w:spacing w:line="440" w:lineRule="exact"/>
        <w:ind w:firstLine="482" w:firstLineChars="200"/>
        <w:jc w:val="left"/>
        <w:textAlignment w:val="auto"/>
        <w:rPr>
          <w:rFonts w:hint="eastAsia" w:ascii="新宋体" w:hAnsi="新宋体" w:eastAsia="新宋体" w:cs="新宋体"/>
          <w:b/>
          <w:bCs/>
          <w:sz w:val="24"/>
          <w:szCs w:val="24"/>
        </w:rPr>
      </w:pPr>
      <w:r>
        <w:rPr>
          <w:rFonts w:hint="eastAsia" w:ascii="新宋体" w:hAnsi="新宋体" w:eastAsia="新宋体" w:cs="新宋体"/>
          <w:b/>
          <w:bCs/>
          <w:sz w:val="24"/>
          <w:szCs w:val="24"/>
        </w:rPr>
        <w:t>七、代理机构及采购单位地址、联系人、联系电话</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（一）代理机构：禹州市政府采购中心</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地址：禹州市行政服务中心楼917房间</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联系人：</w:t>
      </w:r>
      <w:r>
        <w:rPr>
          <w:rFonts w:hint="eastAsia" w:ascii="新宋体" w:hAnsi="新宋体" w:eastAsia="新宋体" w:cs="新宋体"/>
          <w:sz w:val="24"/>
          <w:szCs w:val="24"/>
          <w:lang w:val="en-US" w:eastAsia="zh-CN"/>
        </w:rPr>
        <w:t>李</w:t>
      </w:r>
      <w:r>
        <w:rPr>
          <w:rFonts w:hint="eastAsia" w:ascii="新宋体" w:hAnsi="新宋体" w:eastAsia="新宋体" w:cs="新宋体"/>
          <w:sz w:val="24"/>
          <w:szCs w:val="24"/>
          <w:lang w:eastAsia="zh-CN"/>
        </w:rPr>
        <w:t>女士</w:t>
      </w:r>
      <w:r>
        <w:rPr>
          <w:rFonts w:hint="eastAsia" w:ascii="新宋体" w:hAnsi="新宋体" w:eastAsia="新宋体" w:cs="新宋体"/>
          <w:sz w:val="24"/>
          <w:szCs w:val="24"/>
        </w:rPr>
        <w:t xml:space="preserve">  联系电话：0374-2077111</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（二）采购单位：</w:t>
      </w:r>
      <w:r>
        <w:rPr>
          <w:rFonts w:hint="eastAsia" w:ascii="新宋体" w:hAnsi="新宋体" w:eastAsia="新宋体" w:cs="新宋体"/>
          <w:sz w:val="24"/>
          <w:szCs w:val="24"/>
          <w:lang w:eastAsia="zh-CN"/>
        </w:rPr>
        <w:t>禹州市</w:t>
      </w:r>
      <w:r>
        <w:rPr>
          <w:rFonts w:hint="eastAsia" w:ascii="新宋体" w:hAnsi="新宋体" w:eastAsia="新宋体" w:cs="新宋体"/>
          <w:sz w:val="24"/>
          <w:szCs w:val="24"/>
          <w:lang w:val="en-US" w:eastAsia="zh-CN"/>
        </w:rPr>
        <w:t>顺店镇人民政府</w:t>
      </w:r>
    </w:p>
    <w:p>
      <w:pPr>
        <w:keepNext w:val="0"/>
        <w:keepLines w:val="0"/>
        <w:pageBreakBefore w:val="0"/>
        <w:kinsoku/>
        <w:overflowPunct/>
        <w:bidi w:val="0"/>
        <w:spacing w:line="440" w:lineRule="exact"/>
        <w:ind w:firstLine="480" w:firstLineChars="200"/>
        <w:jc w:val="left"/>
        <w:textAlignment w:val="auto"/>
        <w:rPr>
          <w:rFonts w:hint="default" w:ascii="新宋体" w:hAnsi="新宋体" w:eastAsia="新宋体" w:cs="新宋体"/>
          <w:sz w:val="24"/>
          <w:szCs w:val="24"/>
          <w:lang w:val="en-US" w:eastAsia="zh-CN"/>
        </w:rPr>
      </w:pPr>
      <w:r>
        <w:rPr>
          <w:rFonts w:hint="eastAsia" w:ascii="新宋体" w:hAnsi="新宋体" w:eastAsia="新宋体" w:cs="新宋体"/>
          <w:sz w:val="24"/>
          <w:szCs w:val="24"/>
        </w:rPr>
        <w:t>地址：</w:t>
      </w:r>
      <w:r>
        <w:rPr>
          <w:rFonts w:hint="eastAsia" w:ascii="新宋体" w:hAnsi="新宋体" w:eastAsia="新宋体" w:cs="新宋体"/>
          <w:sz w:val="24"/>
          <w:szCs w:val="24"/>
          <w:lang w:eastAsia="zh-CN"/>
        </w:rPr>
        <w:t>禹州市</w:t>
      </w:r>
      <w:r>
        <w:rPr>
          <w:rFonts w:hint="eastAsia" w:ascii="新宋体" w:hAnsi="新宋体" w:eastAsia="新宋体" w:cs="新宋体"/>
          <w:sz w:val="24"/>
          <w:szCs w:val="24"/>
          <w:lang w:val="en-US" w:eastAsia="zh-CN"/>
        </w:rPr>
        <w:t>顺店镇</w:t>
      </w:r>
    </w:p>
    <w:p>
      <w:pPr>
        <w:keepNext w:val="0"/>
        <w:keepLines w:val="0"/>
        <w:pageBreakBefore w:val="0"/>
        <w:kinsoku/>
        <w:overflowPunct/>
        <w:bidi w:val="0"/>
        <w:spacing w:line="440" w:lineRule="exact"/>
        <w:ind w:firstLine="480" w:firstLineChars="200"/>
        <w:jc w:val="left"/>
        <w:textAlignment w:val="auto"/>
        <w:rPr>
          <w:rFonts w:hint="default" w:ascii="新宋体" w:hAnsi="新宋体" w:eastAsia="新宋体" w:cs="新宋体"/>
          <w:sz w:val="24"/>
          <w:szCs w:val="24"/>
          <w:lang w:val="en-US" w:eastAsia="zh-CN"/>
        </w:rPr>
      </w:pPr>
      <w:r>
        <w:rPr>
          <w:rFonts w:hint="eastAsia" w:ascii="新宋体" w:hAnsi="新宋体" w:eastAsia="新宋体" w:cs="新宋体"/>
          <w:sz w:val="24"/>
          <w:szCs w:val="24"/>
        </w:rPr>
        <w:t>联系人：</w:t>
      </w:r>
      <w:r>
        <w:rPr>
          <w:rFonts w:hint="eastAsia" w:ascii="新宋体" w:hAnsi="新宋体" w:eastAsia="新宋体" w:cs="新宋体"/>
          <w:sz w:val="24"/>
          <w:szCs w:val="24"/>
          <w:lang w:val="en-US" w:eastAsia="zh-CN"/>
        </w:rPr>
        <w:t>罗</w:t>
      </w:r>
      <w:r>
        <w:rPr>
          <w:rFonts w:hint="eastAsia" w:ascii="新宋体" w:hAnsi="新宋体" w:eastAsia="新宋体" w:cs="新宋体"/>
          <w:sz w:val="24"/>
          <w:szCs w:val="24"/>
          <w:lang w:eastAsia="zh-CN"/>
        </w:rPr>
        <w:t>先生</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联系电话：</w:t>
      </w:r>
      <w:r>
        <w:rPr>
          <w:rFonts w:hint="eastAsia" w:ascii="新宋体" w:hAnsi="新宋体" w:eastAsia="新宋体" w:cs="新宋体"/>
          <w:sz w:val="24"/>
          <w:szCs w:val="24"/>
          <w:lang w:val="en-US" w:eastAsia="zh-CN"/>
        </w:rPr>
        <w:t>13782282881</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p>
    <w:p>
      <w:pPr>
        <w:keepNext w:val="0"/>
        <w:keepLines w:val="0"/>
        <w:pageBreakBefore w:val="0"/>
        <w:kinsoku/>
        <w:overflowPunct/>
        <w:bidi w:val="0"/>
        <w:spacing w:line="440" w:lineRule="exact"/>
        <w:ind w:firstLine="480" w:firstLineChars="200"/>
        <w:jc w:val="right"/>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20</w:t>
      </w:r>
      <w:r>
        <w:rPr>
          <w:rFonts w:hint="eastAsia" w:ascii="新宋体" w:hAnsi="新宋体" w:eastAsia="新宋体" w:cs="新宋体"/>
          <w:sz w:val="24"/>
          <w:szCs w:val="24"/>
          <w:lang w:val="en-US" w:eastAsia="zh-CN"/>
        </w:rPr>
        <w:t>20</w:t>
      </w:r>
      <w:r>
        <w:rPr>
          <w:rFonts w:hint="eastAsia" w:ascii="新宋体" w:hAnsi="新宋体" w:eastAsia="新宋体" w:cs="新宋体"/>
          <w:sz w:val="24"/>
          <w:szCs w:val="24"/>
        </w:rPr>
        <w:t>年</w:t>
      </w:r>
      <w:r>
        <w:rPr>
          <w:rFonts w:hint="eastAsia" w:ascii="新宋体" w:hAnsi="新宋体" w:eastAsia="新宋体" w:cs="新宋体"/>
          <w:sz w:val="24"/>
          <w:szCs w:val="24"/>
          <w:lang w:val="en-US" w:eastAsia="zh-CN"/>
        </w:rPr>
        <w:t xml:space="preserve"> 1</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13 </w:t>
      </w:r>
      <w:r>
        <w:rPr>
          <w:rFonts w:hint="eastAsia" w:ascii="新宋体" w:hAnsi="新宋体" w:eastAsia="新宋体" w:cs="新宋体"/>
          <w:sz w:val="24"/>
          <w:szCs w:val="24"/>
        </w:rPr>
        <w:t>日</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p>
    <w:p>
      <w:pPr>
        <w:spacing w:line="600" w:lineRule="exact"/>
        <w:jc w:val="center"/>
        <w:rPr>
          <w:rFonts w:hint="eastAsia"/>
          <w:b/>
          <w:bCs/>
          <w:sz w:val="36"/>
          <w:szCs w:val="36"/>
          <w:lang w:eastAsia="zh-CN"/>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9"/>
          <w:rFonts w:hAnsi="宋体"/>
          <w:szCs w:val="21"/>
        </w:rPr>
        <w:t>http://221.14.6.70:8088/ggzy/</w:t>
      </w:r>
      <w:r>
        <w:rPr>
          <w:rStyle w:val="29"/>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采用全流程电子化交易评审时，谈判小组以电子响应文件为依据评审。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pStyle w:val="2"/>
        <w:rPr>
          <w:rFonts w:hint="eastAsia"/>
        </w:rPr>
      </w:pPr>
    </w:p>
    <w:p>
      <w:pPr>
        <w:jc w:val="both"/>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firstLineChars="200"/>
        <w:contextualSpacing/>
        <w:jc w:val="left"/>
        <w:rPr>
          <w:rFonts w:hint="eastAsia" w:ascii="新宋体" w:hAnsi="新宋体" w:eastAsia="新宋体" w:cs="新宋体"/>
          <w:b/>
          <w:bCs/>
          <w:color w:val="000000"/>
          <w:sz w:val="24"/>
          <w:szCs w:val="24"/>
          <w:shd w:val="clear" w:color="auto" w:fill="FFFFFF"/>
          <w:lang w:eastAsia="zh-CN"/>
        </w:rPr>
      </w:pPr>
      <w:r>
        <w:rPr>
          <w:rFonts w:hint="eastAsia" w:ascii="新宋体" w:hAnsi="新宋体" w:eastAsia="新宋体" w:cs="新宋体"/>
          <w:b/>
          <w:bCs/>
          <w:color w:val="000000"/>
          <w:sz w:val="24"/>
          <w:szCs w:val="24"/>
          <w:shd w:val="clear" w:color="auto" w:fill="FFFFFF"/>
        </w:rPr>
        <w:t>本项目需实现的功能或者目标</w:t>
      </w:r>
      <w:r>
        <w:rPr>
          <w:rFonts w:hint="eastAsia" w:ascii="新宋体" w:hAnsi="新宋体" w:eastAsia="新宋体" w:cs="新宋体"/>
          <w:b/>
          <w:bCs/>
          <w:color w:val="000000"/>
          <w:sz w:val="24"/>
          <w:szCs w:val="24"/>
          <w:shd w:val="clear" w:color="auto" w:fill="FFFFFF"/>
          <w:lang w:val="en-US" w:eastAsia="zh-CN"/>
        </w:rPr>
        <w:t>:</w:t>
      </w:r>
    </w:p>
    <w:p>
      <w:pPr>
        <w:widowControl/>
        <w:spacing w:line="360" w:lineRule="auto"/>
        <w:ind w:firstLine="960" w:firstLineChars="400"/>
        <w:jc w:val="both"/>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lang w:val="en-US" w:eastAsia="zh-CN"/>
        </w:rPr>
        <w:t>采购车辆用于事务保障和机要通讯，提高工作效率。</w:t>
      </w:r>
    </w:p>
    <w:p>
      <w:pPr>
        <w:widowControl/>
        <w:numPr>
          <w:ilvl w:val="0"/>
          <w:numId w:val="5"/>
        </w:numPr>
        <w:spacing w:line="500" w:lineRule="exact"/>
        <w:ind w:left="0" w:leftChars="0" w:firstLine="482" w:firstLineChars="200"/>
        <w:jc w:val="left"/>
        <w:rPr>
          <w:rFonts w:hint="eastAsia"/>
        </w:rPr>
      </w:pPr>
      <w:r>
        <w:rPr>
          <w:rFonts w:hint="eastAsia" w:ascii="新宋体" w:hAnsi="新宋体" w:eastAsia="新宋体" w:cs="新宋体"/>
          <w:b/>
          <w:bCs/>
          <w:color w:val="000000"/>
          <w:sz w:val="24"/>
          <w:szCs w:val="24"/>
          <w:shd w:val="clear" w:color="auto" w:fill="FFFFFF"/>
          <w:lang w:eastAsia="zh-CN"/>
        </w:rPr>
        <w:t>采购内容：</w:t>
      </w:r>
    </w:p>
    <w:p>
      <w:pPr>
        <w:widowControl/>
        <w:shd w:val="clear" w:color="auto" w:fill="FFFFFF"/>
        <w:spacing w:line="360" w:lineRule="auto"/>
        <w:ind w:firstLine="600"/>
        <w:jc w:val="left"/>
        <w:rPr>
          <w:rFonts w:ascii="仿宋_GB2312" w:hAnsi="仿宋_GB2312" w:eastAsia="仿宋_GB2312" w:cs="仿宋_GB2312"/>
          <w:color w:val="000000"/>
          <w:kern w:val="0"/>
          <w:sz w:val="24"/>
          <w:szCs w:val="28"/>
        </w:rPr>
      </w:pPr>
    </w:p>
    <w:tbl>
      <w:tblPr>
        <w:tblStyle w:val="23"/>
        <w:tblW w:w="9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7"/>
        <w:gridCol w:w="992"/>
        <w:gridCol w:w="5670"/>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rPr>
            </w:pPr>
            <w:r>
              <w:rPr>
                <w:rFonts w:hint="eastAsia"/>
              </w:rPr>
              <w:t>序号</w:t>
            </w:r>
          </w:p>
        </w:tc>
        <w:tc>
          <w:tcPr>
            <w:tcW w:w="9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rPr>
            </w:pPr>
            <w:r>
              <w:rPr>
                <w:rFonts w:hint="eastAsia"/>
              </w:rPr>
              <w:t>货物</w:t>
            </w:r>
          </w:p>
          <w:p>
            <w:pPr>
              <w:pStyle w:val="2"/>
              <w:ind w:left="0" w:leftChars="0" w:firstLine="0" w:firstLineChars="0"/>
              <w:rPr>
                <w:rFonts w:hint="eastAsia"/>
              </w:rPr>
            </w:pPr>
            <w:r>
              <w:rPr>
                <w:rFonts w:hint="eastAsia"/>
              </w:rPr>
              <w:t>名称</w:t>
            </w:r>
          </w:p>
        </w:tc>
        <w:tc>
          <w:tcPr>
            <w:tcW w:w="567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rPr>
                <w:rFonts w:hint="eastAsia"/>
              </w:rPr>
            </w:pPr>
            <w:r>
              <w:rPr>
                <w:rFonts w:hint="eastAsia"/>
              </w:rPr>
              <w:t>技术规格及主要参数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rPr>
            </w:pPr>
            <w:r>
              <w:rPr>
                <w:rFonts w:hint="eastAsia"/>
              </w:rPr>
              <w:t>单位</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rP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lang w:val="en-US" w:eastAsia="zh-CN"/>
              </w:rPr>
            </w:pPr>
            <w:r>
              <w:rPr>
                <w:rFonts w:hint="eastAsia"/>
                <w:lang w:val="en-US" w:eastAsia="zh-CN"/>
              </w:rPr>
              <w:t>1</w:t>
            </w:r>
          </w:p>
        </w:tc>
        <w:tc>
          <w:tcPr>
            <w:tcW w:w="9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lang w:eastAsia="zh-CN"/>
              </w:rPr>
            </w:pPr>
            <w:r>
              <w:rPr>
                <w:rFonts w:hint="eastAsia"/>
                <w:lang w:eastAsia="zh-CN"/>
              </w:rPr>
              <w:t>事务保障用车</w:t>
            </w:r>
          </w:p>
        </w:tc>
        <w:tc>
          <w:tcPr>
            <w:tcW w:w="567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lang w:val="en-US" w:eastAsia="zh-CN"/>
              </w:rPr>
            </w:pPr>
            <w:r>
              <w:rPr>
                <w:rFonts w:hint="eastAsia"/>
                <w:lang w:eastAsia="zh-CN"/>
              </w:rPr>
              <w:t>发动机功率</w:t>
            </w:r>
            <w:r>
              <w:rPr>
                <w:rFonts w:hint="eastAsia"/>
                <w:lang w:val="en-US" w:eastAsia="zh-CN"/>
              </w:rPr>
              <w:t>121千瓦，5座自动挡，</w:t>
            </w:r>
            <w:r>
              <w:rPr>
                <w:rFonts w:hint="eastAsia"/>
                <w:lang w:eastAsia="zh-CN"/>
              </w:rPr>
              <w:t>排量</w:t>
            </w:r>
            <w:r>
              <w:rPr>
                <w:rFonts w:hint="eastAsia"/>
                <w:lang w:val="en-US" w:eastAsia="zh-CN"/>
              </w:rPr>
              <w:t>1.3T,黑色，轴距小于2830mm，长4933mm，宽1854mm，高1476mm。</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lang w:eastAsia="zh-CN"/>
              </w:rPr>
            </w:pPr>
            <w:r>
              <w:rPr>
                <w:rFonts w:hint="eastAsia"/>
                <w:lang w:eastAsia="zh-CN"/>
              </w:rPr>
              <w:t>辆</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lang w:val="en-US" w:eastAsia="zh-CN"/>
              </w:rPr>
            </w:pPr>
            <w:r>
              <w:rPr>
                <w:rFonts w:hint="eastAsia"/>
                <w:lang w:val="en-US" w:eastAsia="zh-CN"/>
              </w:rPr>
              <w:t>2</w:t>
            </w:r>
          </w:p>
        </w:tc>
        <w:tc>
          <w:tcPr>
            <w:tcW w:w="9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lang w:eastAsia="zh-CN"/>
              </w:rPr>
            </w:pPr>
            <w:r>
              <w:rPr>
                <w:rFonts w:hint="eastAsia"/>
                <w:lang w:eastAsia="zh-CN"/>
              </w:rPr>
              <w:t>机要通讯用车</w:t>
            </w:r>
          </w:p>
        </w:tc>
        <w:tc>
          <w:tcPr>
            <w:tcW w:w="567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lang w:val="en-US" w:eastAsia="zh-CN"/>
              </w:rPr>
            </w:pPr>
            <w:r>
              <w:rPr>
                <w:rFonts w:hint="eastAsia"/>
                <w:lang w:eastAsia="zh-CN"/>
              </w:rPr>
              <w:t>发动机功率</w:t>
            </w:r>
            <w:r>
              <w:rPr>
                <w:rFonts w:hint="eastAsia"/>
                <w:lang w:val="en-US" w:eastAsia="zh-CN"/>
              </w:rPr>
              <w:t>108千瓦，排量为1.5T，7座手动挡，白色，轴距小于或等于2750mm，长4695mm，宽1835mm，高1750mm。</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lang w:val="en-US" w:eastAsia="zh-CN"/>
              </w:rPr>
            </w:pPr>
            <w:r>
              <w:rPr>
                <w:rFonts w:hint="eastAsia"/>
                <w:lang w:eastAsia="zh-CN"/>
              </w:rPr>
              <w:t>辆</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2"/>
              <w:ind w:left="0" w:leftChars="0" w:firstLine="0" w:firstLineChars="0"/>
              <w:rPr>
                <w:rFonts w:hint="eastAsia"/>
                <w:lang w:val="en-US" w:eastAsia="zh-CN"/>
              </w:rPr>
            </w:pPr>
            <w:r>
              <w:rPr>
                <w:rFonts w:hint="eastAsia"/>
                <w:lang w:val="en-US" w:eastAsia="zh-CN"/>
              </w:rPr>
              <w:t>1</w:t>
            </w:r>
          </w:p>
        </w:tc>
      </w:tr>
    </w:tbl>
    <w:p>
      <w:pPr>
        <w:pStyle w:val="2"/>
        <w:ind w:left="0" w:leftChars="0" w:firstLine="420" w:firstLineChars="200"/>
        <w:rPr>
          <w:rFonts w:hint="eastAsia"/>
          <w:lang w:val="en-US" w:eastAsia="zh-CN"/>
        </w:rPr>
      </w:pPr>
      <w:r>
        <w:rPr>
          <w:rFonts w:hint="eastAsia"/>
          <w:lang w:val="en-US" w:eastAsia="zh-CN"/>
        </w:rPr>
        <w:t xml:space="preserve"> </w:t>
      </w:r>
    </w:p>
    <w:p>
      <w:pPr>
        <w:widowControl/>
        <w:numPr>
          <w:ilvl w:val="0"/>
          <w:numId w:val="5"/>
        </w:numPr>
        <w:shd w:val="clear" w:color="auto" w:fill="FFFFFF"/>
        <w:spacing w:line="400" w:lineRule="exact"/>
        <w:ind w:left="0" w:leftChars="0" w:firstLine="482" w:firstLineChars="200"/>
        <w:contextualSpacing/>
        <w:jc w:val="left"/>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rPr>
        <w:t>采购标的执行标准</w:t>
      </w:r>
      <w:r>
        <w:rPr>
          <w:rFonts w:hint="eastAsia" w:ascii="新宋体" w:hAnsi="新宋体" w:eastAsia="新宋体" w:cs="新宋体"/>
          <w:b/>
          <w:bCs/>
          <w:color w:val="000000"/>
          <w:kern w:val="0"/>
          <w:sz w:val="24"/>
          <w:szCs w:val="24"/>
          <w:lang w:eastAsia="zh-CN"/>
        </w:rPr>
        <w:t>：</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执行国家相关标准。</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1、强制性产品认证</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2、信息安全产品强制性认证</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如投标人所投产品被列入《信息安全产品强制性认证目录》，投标人不能提供出此目录范畴外的替代品并须在投标文件中提供：</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（1）中国信息安全认证中心官网(http://www.isccc.gov.cn/index.shtml)产品查询结果截图并加盖投标人公章；</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（2）中国信息安全认证中心颁发的《中国国家信息安全产品认证证书》的原件扫描件(或图片)并加盖投标人公章。</w:t>
      </w: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注:仅需提供序号（1）~（2）其中之一即可。</w:t>
      </w:r>
    </w:p>
    <w:p>
      <w:pPr>
        <w:widowControl/>
        <w:shd w:val="clear" w:color="auto" w:fill="FFFFFF"/>
        <w:spacing w:line="360" w:lineRule="auto"/>
        <w:ind w:firstLine="6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lang w:val="en-US" w:eastAsia="zh-CN"/>
        </w:rPr>
        <w:t>四</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b/>
          <w:bCs/>
          <w:color w:val="000000"/>
          <w:kern w:val="0"/>
          <w:sz w:val="24"/>
          <w:szCs w:val="24"/>
        </w:rPr>
        <w:t>验收标准</w:t>
      </w:r>
    </w:p>
    <w:p>
      <w:pPr>
        <w:widowControl/>
        <w:shd w:val="clear" w:color="auto" w:fill="FFFFFF"/>
        <w:spacing w:line="400" w:lineRule="exact"/>
        <w:ind w:firstLine="480" w:firstLineChars="200"/>
        <w:contextualSpacing/>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400" w:lineRule="exact"/>
        <w:ind w:firstLine="480" w:firstLineChars="200"/>
        <w:contextualSpacing/>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1、按照国家相关标准、行业标准验收；</w:t>
      </w:r>
    </w:p>
    <w:p>
      <w:pPr>
        <w:widowControl/>
        <w:shd w:val="clear" w:color="auto" w:fill="FFFFFF"/>
        <w:spacing w:line="400" w:lineRule="exact"/>
        <w:ind w:firstLine="480" w:firstLineChars="200"/>
        <w:contextualSpacing/>
        <w:jc w:val="left"/>
        <w:rPr>
          <w:rFonts w:ascii="仿宋" w:hAnsi="仿宋" w:eastAsia="仿宋" w:cs="宋体"/>
          <w:color w:val="000000"/>
          <w:kern w:val="0"/>
          <w:sz w:val="32"/>
          <w:szCs w:val="32"/>
        </w:rPr>
      </w:pPr>
      <w:r>
        <w:rPr>
          <w:rFonts w:hint="eastAsia" w:ascii="新宋体" w:hAnsi="新宋体" w:eastAsia="新宋体" w:cs="新宋体"/>
          <w:sz w:val="24"/>
          <w:szCs w:val="24"/>
          <w:lang w:val="zh-CN"/>
        </w:rPr>
        <w:t>2、按照招标文件要求、投标文件响应和承诺验收；</w:t>
      </w:r>
    </w:p>
    <w:p>
      <w:pPr>
        <w:widowControl/>
        <w:shd w:val="clear" w:color="auto" w:fill="FFFFFF"/>
        <w:spacing w:line="360" w:lineRule="auto"/>
        <w:ind w:firstLine="600"/>
        <w:jc w:val="left"/>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lang w:val="en-US" w:eastAsia="zh-CN"/>
        </w:rPr>
        <w:t>五</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b/>
          <w:bCs/>
          <w:color w:val="000000"/>
          <w:kern w:val="0"/>
          <w:sz w:val="24"/>
          <w:szCs w:val="24"/>
        </w:rPr>
        <w:t>采购标的的其他技术、服务等要求</w:t>
      </w:r>
      <w:r>
        <w:rPr>
          <w:rFonts w:hint="eastAsia" w:ascii="新宋体" w:hAnsi="新宋体" w:eastAsia="新宋体" w:cs="新宋体"/>
          <w:b/>
          <w:bCs/>
          <w:color w:val="000000"/>
          <w:kern w:val="0"/>
          <w:sz w:val="24"/>
          <w:szCs w:val="24"/>
          <w:lang w:eastAsia="zh-CN"/>
        </w:rPr>
        <w:t>：</w:t>
      </w:r>
    </w:p>
    <w:p>
      <w:pPr>
        <w:widowControl/>
        <w:shd w:val="clear" w:color="auto" w:fill="FFFFFF"/>
        <w:spacing w:line="360" w:lineRule="auto"/>
        <w:ind w:firstLine="600"/>
        <w:jc w:val="left"/>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供应商应负责安装、技术培训、指导、服务、调试，确保设备正常运行。</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lang w:val="zh-CN"/>
        </w:rPr>
        <w:t>以上要求为最低要求，投标商不得低于以上要求，否则为无效响应文件。</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eastAsia="zh-CN"/>
        </w:rPr>
      </w:pPr>
      <w:r>
        <w:rPr>
          <w:rFonts w:hint="eastAsia" w:ascii="新宋体" w:hAnsi="新宋体" w:eastAsia="新宋体" w:cs="新宋体"/>
          <w:color w:val="000000"/>
          <w:kern w:val="0"/>
          <w:sz w:val="24"/>
          <w:szCs w:val="24"/>
          <w:lang w:val="en-US" w:eastAsia="zh-CN"/>
        </w:rPr>
        <w:t>2、</w:t>
      </w:r>
      <w:r>
        <w:rPr>
          <w:rFonts w:hint="eastAsia" w:ascii="新宋体" w:hAnsi="新宋体" w:eastAsia="新宋体" w:cs="新宋体"/>
          <w:color w:val="000000"/>
          <w:kern w:val="0"/>
          <w:sz w:val="24"/>
          <w:szCs w:val="24"/>
          <w:lang w:val="zh-CN" w:eastAsia="zh-CN"/>
        </w:rPr>
        <w:t>供应商须明确响应产品的厂家、产地、品牌、型号、详细参数，否则为无效响应。</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eastAsia="zh-CN"/>
        </w:rPr>
      </w:pPr>
      <w:r>
        <w:rPr>
          <w:rFonts w:hint="eastAsia" w:ascii="新宋体" w:hAnsi="新宋体" w:eastAsia="新宋体" w:cs="新宋体"/>
          <w:color w:val="000000"/>
          <w:kern w:val="0"/>
          <w:sz w:val="24"/>
          <w:szCs w:val="24"/>
          <w:lang w:val="en-US" w:eastAsia="zh-CN"/>
        </w:rPr>
        <w:t>3</w:t>
      </w:r>
      <w:r>
        <w:rPr>
          <w:rFonts w:hint="eastAsia" w:ascii="新宋体" w:hAnsi="新宋体" w:eastAsia="新宋体" w:cs="新宋体"/>
          <w:color w:val="000000"/>
          <w:kern w:val="0"/>
          <w:sz w:val="24"/>
          <w:szCs w:val="24"/>
          <w:lang w:val="zh-CN" w:eastAsia="zh-CN"/>
        </w:rPr>
        <w:t>、所响应产品必须符合国家环保要求，符合国家质量检测标准和本谈判文件规定标准的全新正品现货。</w:t>
      </w:r>
    </w:p>
    <w:p>
      <w:pPr>
        <w:pStyle w:val="2"/>
        <w:rPr>
          <w:rFonts w:hint="eastAsia" w:eastAsia="新宋体"/>
          <w:lang w:val="en-US" w:eastAsia="zh-CN"/>
        </w:rPr>
      </w:pPr>
      <w:r>
        <w:rPr>
          <w:rFonts w:hint="eastAsia" w:ascii="新宋体" w:hAnsi="新宋体" w:eastAsia="新宋体" w:cs="新宋体"/>
          <w:color w:val="000000"/>
          <w:kern w:val="0"/>
          <w:sz w:val="24"/>
          <w:szCs w:val="24"/>
          <w:lang w:val="en-US" w:eastAsia="zh-CN"/>
        </w:rPr>
        <w:t>4、本项目为交钥匙工程，采购方不再承担费用。</w:t>
      </w:r>
    </w:p>
    <w:p>
      <w:pPr>
        <w:widowControl/>
        <w:shd w:val="clear" w:color="auto" w:fill="FFFFFF"/>
        <w:spacing w:line="360" w:lineRule="auto"/>
        <w:ind w:firstLine="600"/>
        <w:jc w:val="left"/>
        <w:rPr>
          <w:rFonts w:hint="eastAsia" w:ascii="新宋体" w:hAnsi="新宋体" w:eastAsia="新宋体" w:cs="新宋体"/>
          <w:color w:val="000000"/>
          <w:kern w:val="0"/>
          <w:sz w:val="24"/>
          <w:szCs w:val="24"/>
          <w:lang w:val="zh-CN"/>
        </w:rPr>
      </w:pP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lang w:val="zh-CN"/>
        </w:rPr>
        <w:t>、投标商须有合理的工作方案，否则为无效响应文件 。</w:t>
      </w:r>
    </w:p>
    <w:p>
      <w:pPr>
        <w:widowControl/>
        <w:shd w:val="clear" w:color="auto" w:fill="FFFFFF"/>
        <w:spacing w:line="360" w:lineRule="auto"/>
        <w:ind w:firstLine="600"/>
        <w:jc w:val="left"/>
        <w:rPr>
          <w:rFonts w:hint="eastAsia" w:ascii="新宋体" w:hAnsi="新宋体" w:eastAsia="新宋体" w:cs="新宋体"/>
          <w:sz w:val="24"/>
          <w:szCs w:val="24"/>
          <w:lang w:val="zh-CN"/>
        </w:rPr>
      </w:pPr>
      <w:r>
        <w:rPr>
          <w:rFonts w:hint="eastAsia" w:ascii="新宋体" w:hAnsi="新宋体" w:eastAsia="新宋体" w:cs="新宋体"/>
          <w:color w:val="000000"/>
          <w:kern w:val="0"/>
          <w:sz w:val="24"/>
          <w:szCs w:val="24"/>
          <w:lang w:val="en-US" w:eastAsia="zh-CN"/>
        </w:rPr>
        <w:t>6</w:t>
      </w:r>
      <w:r>
        <w:rPr>
          <w:rFonts w:hint="eastAsia" w:ascii="新宋体" w:hAnsi="新宋体" w:eastAsia="新宋体" w:cs="新宋体"/>
          <w:color w:val="000000"/>
          <w:kern w:val="0"/>
          <w:sz w:val="24"/>
          <w:szCs w:val="24"/>
          <w:lang w:val="zh-CN"/>
        </w:rPr>
        <w:t>、投标人应就该项目完整投标（报价含运输费、税费等综合费</w:t>
      </w:r>
      <w:r>
        <w:rPr>
          <w:rFonts w:hint="eastAsia" w:ascii="新宋体" w:hAnsi="新宋体" w:eastAsia="新宋体" w:cs="新宋体"/>
          <w:sz w:val="24"/>
          <w:szCs w:val="24"/>
          <w:lang w:val="zh-CN"/>
        </w:rPr>
        <w:t>用），否则为无效响应文件。</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lang w:val="zh-CN"/>
        </w:rPr>
        <w:t>、投标商必须由法定代表人或其授权代表参加开标会议，随时接受谈判小组询问，并予作出书面解答。</w:t>
      </w:r>
    </w:p>
    <w:p>
      <w:pPr>
        <w:wordWrap w:val="0"/>
        <w:topLinePunct/>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lang w:val="zh-CN"/>
        </w:rPr>
        <w:t>采购人确定成交人后，中标人须向禹州市政府采购中心发送投标报价及分项报价（如果货物需求中有分项的话）一览表电子档，并同时通知采购中心。邮箱：</w:t>
      </w:r>
      <w:r>
        <w:rPr>
          <w:rFonts w:hint="eastAsia" w:ascii="新宋体" w:hAnsi="新宋体" w:eastAsia="新宋体" w:cs="新宋体"/>
          <w:sz w:val="24"/>
          <w:szCs w:val="24"/>
          <w:lang w:val="zh-CN"/>
        </w:rPr>
        <w:fldChar w:fldCharType="begin"/>
      </w:r>
      <w:r>
        <w:rPr>
          <w:rFonts w:hint="eastAsia" w:ascii="新宋体" w:hAnsi="新宋体" w:eastAsia="新宋体" w:cs="新宋体"/>
          <w:sz w:val="24"/>
          <w:szCs w:val="24"/>
          <w:lang w:val="zh-CN"/>
        </w:rPr>
        <w:instrText xml:space="preserve"> HYPERLINK "mailto:YZGGZY2076770@163.com" </w:instrText>
      </w:r>
      <w:r>
        <w:rPr>
          <w:rFonts w:hint="eastAsia" w:ascii="新宋体" w:hAnsi="新宋体" w:eastAsia="新宋体" w:cs="新宋体"/>
          <w:sz w:val="24"/>
          <w:szCs w:val="24"/>
          <w:lang w:val="zh-CN"/>
        </w:rPr>
        <w:fldChar w:fldCharType="separate"/>
      </w:r>
      <w:r>
        <w:rPr>
          <w:rFonts w:hint="eastAsia" w:ascii="新宋体" w:hAnsi="新宋体" w:eastAsia="新宋体" w:cs="新宋体"/>
          <w:sz w:val="24"/>
          <w:szCs w:val="24"/>
          <w:lang w:val="zh-CN"/>
        </w:rPr>
        <w:t>YZGGZY2076770@163.com</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00"/>
        <w:jc w:val="left"/>
        <w:textAlignment w:val="auto"/>
        <w:outlineLvl w:val="9"/>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六、付款方式 ：</w:t>
      </w:r>
      <w:r>
        <w:rPr>
          <w:rFonts w:hint="eastAsia" w:ascii="新宋体" w:hAnsi="新宋体" w:eastAsia="新宋体" w:cs="新宋体"/>
          <w:sz w:val="24"/>
          <w:szCs w:val="24"/>
          <w:lang w:val="en-US" w:eastAsia="zh-CN"/>
        </w:rPr>
        <w:t>以签订合同为准</w:t>
      </w:r>
    </w:p>
    <w:p>
      <w:pPr>
        <w:pStyle w:val="2"/>
        <w:ind w:left="0" w:leftChars="0" w:firstLine="0" w:firstLineChars="0"/>
        <w:rPr>
          <w:rFonts w:hint="eastAsia"/>
        </w:rPr>
      </w:pPr>
    </w:p>
    <w:p>
      <w:pPr>
        <w:pStyle w:val="2"/>
        <w:ind w:left="0" w:leftChars="0" w:firstLine="0" w:firstLineChars="0"/>
        <w:rPr>
          <w:rFonts w:hint="eastAsia"/>
        </w:rPr>
      </w:pPr>
    </w:p>
    <w:p>
      <w:pPr>
        <w:pStyle w:val="2"/>
        <w:ind w:left="0" w:leftChars="0" w:firstLine="0" w:firstLineChars="0"/>
        <w:rPr>
          <w:rFonts w:hint="eastAsia" w:eastAsiaTheme="minorEastAsia"/>
          <w:lang w:eastAsia="zh-CN"/>
        </w:rPr>
      </w:pPr>
    </w:p>
    <w:p>
      <w:pPr>
        <w:pStyle w:val="2"/>
        <w:ind w:left="0" w:leftChars="0" w:firstLine="0" w:firstLineChars="0"/>
        <w:rPr>
          <w:rFonts w:hint="eastAsia" w:eastAsiaTheme="minorEastAsia"/>
          <w:lang w:eastAsia="zh-CN"/>
        </w:rPr>
      </w:pPr>
      <w:bookmarkStart w:id="83" w:name="_GoBack"/>
      <w:bookmarkEnd w:id="83"/>
    </w:p>
    <w:p>
      <w:pPr>
        <w:numPr>
          <w:ilvl w:val="0"/>
          <w:numId w:val="0"/>
        </w:numPr>
        <w:autoSpaceDE w:val="0"/>
        <w:autoSpaceDN w:val="0"/>
        <w:adjustRightInd w:val="0"/>
        <w:ind w:leftChars="0" w:firstLine="2711" w:firstLineChars="900"/>
        <w:jc w:val="both"/>
        <w:rPr>
          <w:rFonts w:hint="eastAsia" w:ascii="新宋体" w:hAnsi="新宋体" w:eastAsia="新宋体" w:cs="新宋体"/>
          <w:b/>
          <w:kern w:val="0"/>
          <w:sz w:val="30"/>
          <w:szCs w:val="30"/>
        </w:rPr>
      </w:pPr>
      <w:r>
        <w:rPr>
          <w:rFonts w:hint="eastAsia" w:ascii="新宋体" w:hAnsi="新宋体" w:eastAsia="新宋体" w:cs="新宋体"/>
          <w:b/>
          <w:kern w:val="0"/>
          <w:sz w:val="30"/>
          <w:szCs w:val="30"/>
          <w:lang w:eastAsia="zh-CN"/>
        </w:rPr>
        <w:t>第三章</w:t>
      </w:r>
      <w:r>
        <w:rPr>
          <w:rFonts w:hint="eastAsia" w:ascii="新宋体" w:hAnsi="新宋体" w:eastAsia="新宋体" w:cs="新宋体"/>
          <w:b/>
          <w:kern w:val="0"/>
          <w:sz w:val="30"/>
          <w:szCs w:val="30"/>
          <w:lang w:val="en-US" w:eastAsia="zh-CN"/>
        </w:rPr>
        <w:t xml:space="preserve">  </w:t>
      </w:r>
      <w:r>
        <w:rPr>
          <w:rFonts w:hint="eastAsia" w:ascii="新宋体" w:hAnsi="新宋体" w:eastAsia="新宋体" w:cs="新宋体"/>
          <w:b/>
          <w:kern w:val="0"/>
          <w:sz w:val="30"/>
          <w:szCs w:val="30"/>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81"/>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81"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00"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00"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val="en-US" w:eastAsia="zh-CN"/>
              </w:rPr>
              <w:t>禹州市顺店镇人民政府公务用车采购项目</w:t>
            </w:r>
          </w:p>
          <w:p>
            <w:pPr>
              <w:autoSpaceDE w:val="0"/>
              <w:autoSpaceDN w:val="0"/>
              <w:adjustRightInd w:val="0"/>
              <w:spacing w:line="360" w:lineRule="auto"/>
              <w:jc w:val="left"/>
              <w:rPr>
                <w:rFonts w:hint="default" w:cs="仿宋_GB2312" w:asciiTheme="minorEastAsia" w:hAnsi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YZCG-T2020004</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交付（服务、完工）时间：</w:t>
            </w:r>
            <w:r>
              <w:rPr>
                <w:rFonts w:hint="eastAsia" w:cs="仿宋_GB2312" w:asciiTheme="minorEastAsia" w:hAnsiTheme="minorEastAsia"/>
                <w:szCs w:val="21"/>
                <w:lang w:eastAsia="zh-CN"/>
              </w:rPr>
              <w:t>合同签订后</w:t>
            </w:r>
            <w:r>
              <w:rPr>
                <w:rFonts w:hint="eastAsia" w:cs="仿宋_GB2312" w:asciiTheme="minorEastAsia" w:hAnsiTheme="minorEastAsia"/>
                <w:szCs w:val="21"/>
                <w:lang w:val="en-US" w:eastAsia="zh-CN"/>
              </w:rPr>
              <w:t>60日历天</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项目地址：禹州市</w:t>
            </w:r>
            <w:r>
              <w:rPr>
                <w:rFonts w:hint="eastAsia" w:cs="仿宋_GB2312" w:asciiTheme="minorEastAsia" w:hAnsiTheme="minorEastAsia"/>
                <w:szCs w:val="21"/>
                <w:lang w:eastAsia="zh-CN"/>
              </w:rPr>
              <w:t>顺店镇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00" w:type="dxa"/>
            <w:vAlign w:val="center"/>
          </w:tcPr>
          <w:p>
            <w:pPr>
              <w:keepNext w:val="0"/>
              <w:keepLines w:val="0"/>
              <w:pageBreakBefore w:val="0"/>
              <w:widowControl/>
              <w:shd w:val="clear" w:color="auto" w:fill="FFFFFF"/>
              <w:kinsoku/>
              <w:overflowPunct/>
              <w:bidi w:val="0"/>
              <w:spacing w:line="440" w:lineRule="exact"/>
              <w:jc w:val="left"/>
              <w:textAlignment w:val="auto"/>
              <w:rPr>
                <w:rFonts w:hint="eastAsia"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禹州市顺店镇人民政府</w:t>
            </w:r>
          </w:p>
          <w:p>
            <w:pPr>
              <w:keepNext w:val="0"/>
              <w:keepLines w:val="0"/>
              <w:pageBreakBefore w:val="0"/>
              <w:widowControl/>
              <w:shd w:val="clear" w:color="auto" w:fill="FFFFFF"/>
              <w:kinsoku/>
              <w:overflowPunct/>
              <w:bidi w:val="0"/>
              <w:spacing w:line="440" w:lineRule="exact"/>
              <w:jc w:val="left"/>
              <w:textAlignment w:val="auto"/>
              <w:rPr>
                <w:rFonts w:hint="default" w:cs="仿宋_GB2312" w:asciiTheme="minorEastAsia" w:hAnsiTheme="minorEastAsia" w:eastAsiaTheme="minorEastAsia"/>
                <w:szCs w:val="21"/>
                <w:lang w:val="en-US" w:eastAsia="zh-CN"/>
              </w:rPr>
            </w:pPr>
            <w:r>
              <w:rPr>
                <w:rFonts w:hint="default" w:cs="仿宋_GB2312" w:asciiTheme="minorEastAsia" w:hAnsiTheme="minorEastAsia" w:eastAsiaTheme="minorEastAsia"/>
                <w:szCs w:val="21"/>
                <w:lang w:val="en-US" w:eastAsia="zh-CN"/>
              </w:rPr>
              <w:t>联系人：罗先生    联系电话：13782282881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00" w:type="dxa"/>
            <w:vAlign w:val="center"/>
          </w:tcPr>
          <w:p>
            <w:pPr>
              <w:keepNext w:val="0"/>
              <w:keepLines w:val="0"/>
              <w:pageBreakBefore w:val="0"/>
              <w:widowControl/>
              <w:shd w:val="clear" w:color="auto" w:fill="FFFFFF"/>
              <w:kinsoku/>
              <w:overflowPunct/>
              <w:bidi w:val="0"/>
              <w:spacing w:line="440" w:lineRule="exact"/>
              <w:jc w:val="left"/>
              <w:textAlignment w:val="auto"/>
              <w:rPr>
                <w:rFonts w:hint="eastAsia" w:cs="仿宋_GB2312" w:asciiTheme="minorEastAsia" w:hAnsiTheme="minorEastAsia"/>
                <w:szCs w:val="21"/>
              </w:rPr>
            </w:pPr>
            <w:r>
              <w:rPr>
                <w:rFonts w:hint="eastAsia" w:cs="仿宋_GB2312" w:asciiTheme="minorEastAsia" w:hAnsiTheme="minorEastAsia"/>
                <w:szCs w:val="21"/>
              </w:rPr>
              <w:t>地址：禹州市行政服务中心楼9楼</w:t>
            </w:r>
          </w:p>
          <w:p>
            <w:pPr>
              <w:keepNext w:val="0"/>
              <w:keepLines w:val="0"/>
              <w:pageBreakBefore w:val="0"/>
              <w:widowControl/>
              <w:shd w:val="clear" w:color="auto" w:fill="FFFFFF"/>
              <w:kinsoku/>
              <w:overflowPunct/>
              <w:bidi w:val="0"/>
              <w:spacing w:line="440" w:lineRule="exact"/>
              <w:jc w:val="left"/>
              <w:textAlignment w:val="auto"/>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李</w:t>
            </w:r>
            <w:r>
              <w:rPr>
                <w:rFonts w:hint="eastAsia" w:cs="仿宋_GB2312" w:asciiTheme="minorEastAsia" w:hAnsiTheme="minorEastAsia"/>
                <w:szCs w:val="21"/>
                <w:lang w:eastAsia="zh-CN"/>
              </w:rPr>
              <w:t>女士</w:t>
            </w:r>
            <w:r>
              <w:rPr>
                <w:rFonts w:hint="eastAsia" w:cs="仿宋_GB2312" w:asciiTheme="minorEastAsia" w:hAnsiTheme="minorEastAsia"/>
                <w:szCs w:val="21"/>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00"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zh-CN"/>
              </w:rPr>
              <w:t>1、企业法人营业执照或营业执照。（企业提供）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rPr>
                <w:lang w:val="zh-CN"/>
              </w:rPr>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rPr>
                <w:lang w:val="zh-CN"/>
              </w:rPr>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rPr>
              <w:t>“</w:t>
            </w:r>
            <w:r>
              <w:t>中国政府采购网</w:t>
            </w:r>
            <w:r>
              <w:rPr>
                <w:rFonts w:hint="eastAsia"/>
              </w:rPr>
              <w:t>”</w:t>
            </w:r>
            <w:r>
              <w:t xml:space="preserve"> (www.ccgp.gov.cn)政府采购严重违法失信行为记录名单的</w:t>
            </w:r>
            <w:r>
              <w:rPr>
                <w:rFonts w:hint="eastAsia"/>
              </w:rPr>
              <w:t>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2、截止时间：同谈判响应截止时间；</w:t>
            </w:r>
          </w:p>
          <w:p>
            <w:pPr>
              <w:autoSpaceDE w:val="0"/>
              <w:autoSpaceDN w:val="0"/>
              <w:spacing w:line="360" w:lineRule="auto"/>
              <w:contextualSpacing/>
            </w:pPr>
            <w:r>
              <w:rPr>
                <w:rFonts w:hint="eastAsia"/>
              </w:rPr>
              <w:t>3、信用信息查询记录和证据留存具体方式：经谈判小组确认的查询结果网页截图作为查询记录和证据，与其他采购文件一并保存；</w:t>
            </w:r>
          </w:p>
          <w:p>
            <w:pPr>
              <w:autoSpaceDE w:val="0"/>
              <w:autoSpaceDN w:val="0"/>
              <w:spacing w:line="360" w:lineRule="auto"/>
              <w:contextualSpacing/>
            </w:pPr>
            <w:r>
              <w:rPr>
                <w:rFonts w:hint="eastAsia"/>
              </w:rPr>
              <w:t>4、信用信息的使用原则：经谈判小组认定的被列入失信被执行人、重大税收违法案件当事人名单、政府采购严重违法失信行为记录名单、严重违法失信社会组织名单的供应商，将拒绝其参与本次政府采购活动。</w:t>
            </w:r>
          </w:p>
          <w:p>
            <w:pPr>
              <w:autoSpaceDE w:val="0"/>
              <w:autoSpaceDN w:val="0"/>
              <w:spacing w:line="360" w:lineRule="auto"/>
              <w:contextualSpacing/>
              <w:rPr>
                <w:rFonts w:hint="eastAsia"/>
              </w:rPr>
            </w:pPr>
            <w:r>
              <w:rPr>
                <w:rFonts w:hint="eastAsia"/>
              </w:rPr>
              <w:t>5、供应商不良信用记录以谈判小组查询结果为准，谈判小组查询之后，网站信息发生的任何变更不再作为评审依据，供应商自行提供的与网站信息不一致的其他证明材料亦不作为评审依据。</w:t>
            </w:r>
          </w:p>
          <w:p>
            <w:pPr>
              <w:keepNext w:val="0"/>
              <w:keepLines w:val="0"/>
              <w:pageBreakBefore w:val="0"/>
              <w:kinsoku/>
              <w:overflowPunct/>
              <w:bidi w:val="0"/>
              <w:spacing w:line="440" w:lineRule="exact"/>
              <w:textAlignment w:val="auto"/>
              <w:rPr>
                <w:rFonts w:hint="eastAsia" w:eastAsiaTheme="minorEastAsia"/>
                <w:lang w:eastAsia="zh-CN"/>
              </w:rPr>
            </w:pPr>
            <w:r>
              <w:rPr>
                <w:rFonts w:hint="eastAsia" w:cs="宋体" w:asciiTheme="minorEastAsia" w:hAnsiTheme="minorEastAsia"/>
                <w:kern w:val="0"/>
                <w:szCs w:val="21"/>
                <w:lang w:eastAsia="zh-CN"/>
              </w:rPr>
              <w:t>八</w:t>
            </w:r>
            <w:r>
              <w:rPr>
                <w:rFonts w:hint="eastAsia" w:ascii="仿宋" w:hAnsi="仿宋" w:eastAsia="仿宋" w:cs="仿宋_GB2312"/>
                <w:sz w:val="32"/>
                <w:szCs w:val="32"/>
              </w:rPr>
              <w:t>、</w:t>
            </w:r>
            <w:r>
              <w:rPr>
                <w:rFonts w:hint="eastAsia"/>
              </w:rPr>
              <w:t>被委托人须是本单位职工，须提供公司为本人缴纳社会保险证明</w:t>
            </w:r>
            <w:r>
              <w:rPr>
                <w:rFonts w:hint="eastAsia"/>
                <w:lang w:val="en-US" w:eastAsia="zh-CN"/>
              </w:rPr>
              <w:t>(登陆网站</w:t>
            </w:r>
            <w:r>
              <w:rPr>
                <w:rFonts w:hint="eastAsia" w:ascii="新宋体" w:hAnsi="新宋体" w:eastAsia="新宋体" w:cs="新宋体"/>
                <w:sz w:val="24"/>
                <w:szCs w:val="24"/>
                <w:lang w:val="en-US" w:eastAsia="zh-CN"/>
              </w:rPr>
              <w:fldChar w:fldCharType="begin"/>
            </w:r>
            <w:r>
              <w:rPr>
                <w:rFonts w:hint="eastAsia" w:ascii="新宋体" w:hAnsi="新宋体" w:eastAsia="新宋体" w:cs="新宋体"/>
                <w:sz w:val="24"/>
                <w:szCs w:val="24"/>
                <w:lang w:val="en-US" w:eastAsia="zh-CN"/>
              </w:rPr>
              <w:instrText xml:space="preserve"> HYPERLINK "http://222.143.34.121/" </w:instrText>
            </w:r>
            <w:r>
              <w:rPr>
                <w:rFonts w:hint="eastAsia" w:ascii="新宋体" w:hAnsi="新宋体" w:eastAsia="新宋体" w:cs="新宋体"/>
                <w:sz w:val="24"/>
                <w:szCs w:val="24"/>
                <w:lang w:val="en-US" w:eastAsia="zh-CN"/>
              </w:rPr>
              <w:fldChar w:fldCharType="separate"/>
            </w:r>
            <w:r>
              <w:rPr>
                <w:rStyle w:val="29"/>
                <w:rFonts w:hint="eastAsia" w:ascii="新宋体" w:hAnsi="新宋体" w:eastAsia="新宋体" w:cs="新宋体"/>
                <w:sz w:val="24"/>
                <w:szCs w:val="24"/>
                <w:lang w:val="en-US" w:eastAsia="zh-CN"/>
              </w:rPr>
              <w:t>http://222.143.34.121/</w:t>
            </w:r>
            <w:r>
              <w:rPr>
                <w:rFonts w:hint="eastAsia" w:ascii="新宋体" w:hAnsi="新宋体" w:eastAsia="新宋体" w:cs="新宋体"/>
                <w:sz w:val="24"/>
                <w:szCs w:val="24"/>
                <w:lang w:val="en-US" w:eastAsia="zh-CN"/>
              </w:rPr>
              <w:fldChar w:fldCharType="end"/>
            </w:r>
            <w:r>
              <w:rPr>
                <w:rFonts w:hint="eastAsia"/>
                <w:lang w:val="en-US" w:eastAsia="zh-CN"/>
              </w:rPr>
              <w:t>自行查询，个人办事通道-马上注册-登录-查询打印-证明打印）</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00"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00" w:type="dxa"/>
            <w:vAlign w:val="center"/>
          </w:tcPr>
          <w:p>
            <w:pPr>
              <w:autoSpaceDE w:val="0"/>
              <w:autoSpaceDN w:val="0"/>
              <w:adjustRightInd w:val="0"/>
              <w:spacing w:line="276" w:lineRule="auto"/>
              <w:rPr>
                <w:rFonts w:hint="eastAsia" w:cs="宋体" w:asciiTheme="minorEastAsia" w:hAnsiTheme="minorEastAsia" w:eastAsiaTheme="minorEastAsia"/>
                <w:bCs/>
                <w:szCs w:val="21"/>
                <w:lang w:val="en-US" w:eastAsia="zh-CN"/>
              </w:rPr>
            </w:pPr>
            <w:r>
              <w:rPr>
                <w:rFonts w:hint="eastAsia" w:cs="宋体" w:asciiTheme="minorEastAsia" w:hAnsiTheme="minorEastAsia"/>
                <w:bCs/>
                <w:szCs w:val="21"/>
                <w:lang w:val="en-US" w:eastAsia="zh-CN"/>
              </w:rPr>
              <w:t>22万元，</w:t>
            </w:r>
            <w:r>
              <w:rPr>
                <w:rFonts w:hint="eastAsia" w:cs="宋体" w:asciiTheme="minorEastAsia" w:hAnsiTheme="minorEastAsia"/>
                <w:bCs/>
                <w:szCs w:val="21"/>
                <w:lang w:val="zh-CN"/>
              </w:rPr>
              <w:t>超出预算金额的响应无效</w:t>
            </w:r>
            <w:r>
              <w:rPr>
                <w:rFonts w:hint="eastAsia" w:cs="宋体" w:asciiTheme="minorEastAsia" w:hAnsiTheme="minorEastAsia"/>
                <w:bCs/>
                <w:szCs w:val="21"/>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00"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00"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00"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00"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81"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00"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81"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00"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20</w:t>
            </w:r>
            <w:r>
              <w:rPr>
                <w:rFonts w:hint="eastAsia" w:cs="宋体" w:asciiTheme="minorEastAsia" w:hAnsiTheme="minorEastAsia"/>
                <w:bCs/>
                <w:szCs w:val="21"/>
                <w:lang w:val="en-US" w:eastAsia="zh-CN"/>
              </w:rPr>
              <w:t>20</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2</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5</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15:00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00"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81"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00" w:type="dxa"/>
            <w:vAlign w:val="center"/>
          </w:tcPr>
          <w:p>
            <w:pPr>
              <w:numPr>
                <w:ilvl w:val="0"/>
                <w:numId w:val="0"/>
              </w:numPr>
              <w:tabs>
                <w:tab w:val="left" w:pos="1260"/>
              </w:tabs>
              <w:autoSpaceDE w:val="0"/>
              <w:autoSpaceDN w:val="0"/>
              <w:spacing w:line="360" w:lineRule="auto"/>
              <w:contextualSpacing/>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1.不收取。</w:t>
            </w:r>
          </w:p>
          <w:p>
            <w:pPr>
              <w:numPr>
                <w:ilvl w:val="0"/>
                <w:numId w:val="0"/>
              </w:numPr>
              <w:tabs>
                <w:tab w:val="left" w:pos="1260"/>
              </w:tabs>
              <w:autoSpaceDE w:val="0"/>
              <w:autoSpaceDN w:val="0"/>
              <w:spacing w:line="360" w:lineRule="auto"/>
              <w:contextualSpacing/>
              <w:rPr>
                <w:rFonts w:hint="default" w:cs="仿宋_GB2312" w:asciiTheme="minorEastAsia" w:hAnsiTheme="minorEastAsia"/>
                <w:szCs w:val="21"/>
                <w:lang w:val="en-US" w:eastAsia="zh-CN"/>
              </w:rPr>
            </w:pPr>
            <w:r>
              <w:rPr>
                <w:rFonts w:hint="eastAsia" w:cs="仿宋_GB2312" w:asciiTheme="minorEastAsia" w:hAnsiTheme="minorEastAsia"/>
                <w:szCs w:val="21"/>
                <w:lang w:val="en-US" w:eastAsia="zh-CN"/>
              </w:rPr>
              <w:t>2.投标人须做出承诺。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81"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00"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81"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00"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00"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00"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00"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81"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00"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81"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00"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00"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00"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00"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00"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00"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81"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00"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pStyle w:val="2"/>
        <w:ind w:left="0" w:leftChars="0" w:firstLine="0" w:firstLineChars="0"/>
        <w:rPr>
          <w:rFonts w:hint="eastAsia" w:cs="宋体" w:asciiTheme="majorEastAsia" w:hAnsiTheme="majorEastAsia" w:eastAsiaTheme="majorEastAsia"/>
          <w:b/>
          <w:kern w:val="0"/>
          <w:sz w:val="32"/>
          <w:szCs w:val="32"/>
          <w:lang w:eastAsia="zh-CN"/>
        </w:rPr>
      </w:pPr>
    </w:p>
    <w:p>
      <w:pPr>
        <w:pStyle w:val="2"/>
        <w:ind w:left="0" w:leftChars="0" w:firstLine="0" w:firstLineChars="0"/>
        <w:rPr>
          <w:rFonts w:hint="eastAsia" w:cs="宋体" w:asciiTheme="majorEastAsia" w:hAnsiTheme="majorEastAsia" w:eastAsiaTheme="majorEastAsia"/>
          <w:b/>
          <w:kern w:val="0"/>
          <w:sz w:val="32"/>
          <w:szCs w:val="32"/>
          <w:lang w:eastAsia="zh-CN"/>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5"/>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5"/>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5"/>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5"/>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5"/>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5"/>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社会组织名单的响应人，将拒绝其参与本次政府采购活动。</w:t>
      </w:r>
    </w:p>
    <w:p>
      <w:pPr>
        <w:pStyle w:val="45"/>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5"/>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5"/>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5"/>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5"/>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5"/>
        <w:numPr>
          <w:ilvl w:val="0"/>
          <w:numId w:val="0"/>
        </w:numPr>
        <w:autoSpaceDE w:val="0"/>
        <w:autoSpaceDN w:val="0"/>
        <w:spacing w:line="360" w:lineRule="auto"/>
        <w:ind w:leftChars="0"/>
        <w:contextualSpacing/>
        <w:rPr>
          <w:rFonts w:hint="eastAsia"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16.1 不收取。</w:t>
      </w:r>
    </w:p>
    <w:p>
      <w:pPr>
        <w:pStyle w:val="45"/>
        <w:numPr>
          <w:ilvl w:val="0"/>
          <w:numId w:val="0"/>
        </w:numPr>
        <w:autoSpaceDE w:val="0"/>
        <w:autoSpaceDN w:val="0"/>
        <w:spacing w:line="360" w:lineRule="auto"/>
        <w:ind w:leftChars="0"/>
        <w:contextualSpacing/>
        <w:rPr>
          <w:rFonts w:hint="default" w:cs="宋体" w:asciiTheme="minorEastAsia" w:hAnsiTheme="minorEastAsia"/>
          <w:b/>
          <w:kern w:val="0"/>
          <w:szCs w:val="21"/>
          <w:lang w:val="en-US" w:eastAsia="zh-CN"/>
        </w:rPr>
      </w:pPr>
      <w:r>
        <w:rPr>
          <w:rFonts w:hint="eastAsia" w:cs="宋体" w:asciiTheme="minorEastAsia" w:hAnsiTheme="minorEastAsia"/>
          <w:b/>
          <w:kern w:val="0"/>
          <w:szCs w:val="21"/>
          <w:lang w:val="en-US" w:eastAsia="zh-CN"/>
        </w:rPr>
        <w:t>16.2 投标人须做出承诺。</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5"/>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5"/>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5"/>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5"/>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5"/>
        <w:numPr>
          <w:ilvl w:val="1"/>
          <w:numId w:val="11"/>
        </w:numPr>
        <w:autoSpaceDE w:val="0"/>
        <w:autoSpaceDN w:val="0"/>
        <w:spacing w:line="360" w:lineRule="auto"/>
        <w:ind w:firstLineChars="0"/>
        <w:contextualSpacing/>
        <w:rPr>
          <w:rFonts w:ascii="ˎ̥" w:hAnsi="ˎ̥"/>
          <w:vanish/>
        </w:rPr>
      </w:pP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5"/>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5"/>
        <w:numPr>
          <w:ilvl w:val="0"/>
          <w:numId w:val="6"/>
        </w:numPr>
        <w:autoSpaceDE w:val="0"/>
        <w:autoSpaceDN w:val="0"/>
        <w:spacing w:line="360" w:lineRule="auto"/>
        <w:ind w:firstLineChars="0"/>
        <w:contextualSpacing/>
        <w:rPr>
          <w:rFonts w:cs="宋体" w:asciiTheme="minorEastAsia" w:hAnsiTheme="minorEastAsia"/>
          <w:vanish/>
          <w:kern w:val="0"/>
          <w:szCs w:val="21"/>
        </w:rPr>
      </w:pPr>
    </w:p>
    <w:p>
      <w:pPr>
        <w:pStyle w:val="45"/>
        <w:numPr>
          <w:ilvl w:val="0"/>
          <w:numId w:val="6"/>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5"/>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5"/>
        <w:numPr>
          <w:ilvl w:val="1"/>
          <w:numId w:val="11"/>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5"/>
        <w:numPr>
          <w:ilvl w:val="0"/>
          <w:numId w:val="15"/>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w:t>
      </w:r>
      <w:r>
        <w:rPr>
          <w:rFonts w:hint="eastAsia" w:cs="宋体" w:asciiTheme="minorEastAsia" w:hAnsiTheme="minorEastAsia"/>
          <w:kern w:val="0"/>
          <w:szCs w:val="21"/>
          <w:lang w:eastAsia="zh-CN"/>
        </w:rPr>
        <w:t>承诺函</w:t>
      </w:r>
      <w:r>
        <w:rPr>
          <w:rFonts w:hint="eastAsia" w:cs="宋体" w:asciiTheme="minorEastAsia" w:hAnsiTheme="minorEastAsia"/>
          <w:kern w:val="0"/>
          <w:szCs w:val="21"/>
        </w:rPr>
        <w:t>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5"/>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5"/>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5"/>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1"/>
        <w:numPr>
          <w:ilvl w:val="1"/>
          <w:numId w:val="11"/>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5"/>
        <w:numPr>
          <w:ilvl w:val="1"/>
          <w:numId w:val="11"/>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5"/>
        <w:numPr>
          <w:ilvl w:val="1"/>
          <w:numId w:val="11"/>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5"/>
        <w:numPr>
          <w:ilvl w:val="1"/>
          <w:numId w:val="11"/>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5"/>
        <w:numPr>
          <w:ilvl w:val="1"/>
          <w:numId w:val="11"/>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5"/>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16"/>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5"/>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5"/>
        <w:numPr>
          <w:ilvl w:val="0"/>
          <w:numId w:val="17"/>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5"/>
        <w:numPr>
          <w:ilvl w:val="1"/>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5"/>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5"/>
        <w:numPr>
          <w:ilvl w:val="0"/>
          <w:numId w:val="11"/>
        </w:numPr>
        <w:autoSpaceDE w:val="0"/>
        <w:autoSpaceDN w:val="0"/>
        <w:spacing w:line="360" w:lineRule="auto"/>
        <w:ind w:firstLineChars="0"/>
        <w:contextualSpacing/>
        <w:rPr>
          <w:rFonts w:cs="宋体" w:asciiTheme="minorEastAsia" w:hAnsiTheme="minorEastAsia"/>
          <w:vanish/>
          <w:kern w:val="0"/>
          <w:szCs w:val="21"/>
        </w:rPr>
      </w:pP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5"/>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5"/>
        <w:numPr>
          <w:ilvl w:val="1"/>
          <w:numId w:val="11"/>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5"/>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5"/>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5"/>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5"/>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5"/>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5"/>
        <w:numPr>
          <w:ilvl w:val="0"/>
          <w:numId w:val="20"/>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5"/>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5"/>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5"/>
        <w:numPr>
          <w:ilvl w:val="0"/>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5"/>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5"/>
        <w:autoSpaceDE w:val="0"/>
        <w:autoSpaceDN w:val="0"/>
        <w:spacing w:line="360" w:lineRule="auto"/>
        <w:ind w:left="964" w:firstLine="0" w:firstLineChars="0"/>
        <w:contextualSpacing/>
        <w:rPr>
          <w:rFonts w:cs="宋体" w:asciiTheme="minorEastAsia" w:hAnsiTheme="minorEastAsia"/>
          <w:kern w:val="0"/>
          <w:szCs w:val="21"/>
        </w:rPr>
      </w:pPr>
    </w:p>
    <w:p>
      <w:pPr>
        <w:pStyle w:val="45"/>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szCs w:val="21"/>
              </w:rPr>
              <w:t>www.creditchina.gov.cn</w:t>
            </w:r>
            <w:r>
              <w:rPr>
                <w:rStyle w:val="29"/>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cs="仿宋_GB2312" w:asciiTheme="minorEastAsia" w:hAnsiTheme="minorEastAsia"/>
                <w:color w:val="000000"/>
                <w:szCs w:val="21"/>
                <w:lang w:val="en-US" w:eastAsia="zh-CN"/>
              </w:rPr>
            </w:pPr>
            <w:r>
              <w:rPr>
                <w:rFonts w:hint="eastAsia" w:cs="仿宋_GB2312" w:asciiTheme="minorEastAsia" w:hAnsiTheme="minorEastAsia"/>
                <w:color w:val="00000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eastAsiaTheme="minorEastAsia"/>
                <w:b/>
                <w:szCs w:val="21"/>
                <w:lang w:eastAsia="zh-CN"/>
              </w:rPr>
            </w:pPr>
            <w:r>
              <w:rPr>
                <w:rFonts w:hint="eastAsia" w:cs="仿宋_GB2312" w:asciiTheme="minorEastAsia" w:hAnsiTheme="minorEastAsia"/>
                <w:szCs w:val="21"/>
                <w:lang w:val="zh-CN" w:eastAsia="zh-CN"/>
              </w:rPr>
              <w:t>是否按照谈判文件要求在谈判文件中做出承诺。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lang w:val="zh-CN"/>
              </w:rPr>
            </w:pPr>
            <w:r>
              <w:rPr>
                <w:rFonts w:hint="eastAsia"/>
                <w:lang w:val="zh-CN"/>
              </w:rPr>
              <w:t>（1）法定代表人身份证明或提供法定代表人授权委托书及被授权人身份证明和社保证明。（法人提供）</w:t>
            </w:r>
          </w:p>
          <w:p>
            <w:pPr>
              <w:spacing w:line="360" w:lineRule="auto"/>
              <w:rPr>
                <w:rFonts w:hint="eastAsia"/>
                <w:lang w:val="zh-CN"/>
              </w:rPr>
            </w:pPr>
            <w:r>
              <w:rPr>
                <w:rFonts w:hint="eastAsia"/>
                <w:lang w:val="zh-CN"/>
              </w:rPr>
              <w:t>（2）单位负责人身份证明或提供单位负责人授权委托书及被授权人身份证明和社保证明。（非法人提供）</w:t>
            </w:r>
          </w:p>
          <w:p>
            <w:pPr>
              <w:spacing w:line="360" w:lineRule="auto"/>
              <w:rPr>
                <w:rFonts w:hint="eastAsia"/>
                <w:lang w:val="zh-CN"/>
              </w:rPr>
            </w:pPr>
            <w:r>
              <w:rPr>
                <w:rFonts w:hint="eastAsia"/>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lang w:val="zh-CN"/>
              </w:rPr>
            </w:pPr>
            <w:r>
              <w:rPr>
                <w:rFonts w:hint="eastAsia"/>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lang w:val="zh-CN"/>
              </w:rPr>
            </w:pPr>
            <w:r>
              <w:rPr>
                <w:rFonts w:hint="eastAsia"/>
                <w:lang w:val="zh-CN"/>
              </w:rPr>
              <w:t>③供应商为自然人的，无需填写法定代表人授权书。</w:t>
            </w:r>
          </w:p>
          <w:p>
            <w:pPr>
              <w:pStyle w:val="2"/>
              <w:ind w:left="0" w:leftChars="0" w:firstLine="0" w:firstLineChars="0"/>
              <w:rPr>
                <w:rFonts w:hint="eastAsia" w:cs="仿宋_GB2312" w:asciiTheme="minorEastAsia" w:hAnsiTheme="minorEastAsia"/>
                <w:szCs w:val="21"/>
                <w:lang w:val="zh-CN"/>
              </w:rPr>
            </w:pPr>
            <w:r>
              <w:rPr>
                <w:rFonts w:hint="eastAsia" w:asciiTheme="minorHAnsi" w:hAnsiTheme="minorHAnsi" w:eastAsiaTheme="minorEastAsia" w:cstheme="minorBidi"/>
                <w:kern w:val="2"/>
                <w:sz w:val="21"/>
                <w:szCs w:val="22"/>
                <w:lang w:val="zh-CN" w:eastAsia="zh-CN" w:bidi="ar-SA"/>
              </w:rPr>
              <w:t>注：社保查询</w:t>
            </w:r>
            <w:r>
              <w:rPr>
                <w:rFonts w:hint="eastAsia" w:asciiTheme="minorHAnsi" w:hAnsiTheme="minorHAnsi" w:eastAsiaTheme="minorEastAsia" w:cstheme="minorBidi"/>
                <w:kern w:val="2"/>
                <w:sz w:val="21"/>
                <w:szCs w:val="22"/>
                <w:lang w:val="en-US" w:eastAsia="zh-CN" w:bidi="ar-SA"/>
              </w:rPr>
              <w:t>登陆网站</w:t>
            </w:r>
            <w:r>
              <w:rPr>
                <w:rFonts w:hint="eastAsia" w:ascii="新宋体" w:hAnsi="新宋体" w:eastAsia="新宋体" w:cs="新宋体"/>
                <w:sz w:val="24"/>
                <w:szCs w:val="24"/>
                <w:lang w:val="en-US" w:eastAsia="zh-CN"/>
              </w:rPr>
              <w:fldChar w:fldCharType="begin"/>
            </w:r>
            <w:r>
              <w:rPr>
                <w:rFonts w:hint="eastAsia" w:ascii="新宋体" w:hAnsi="新宋体" w:eastAsia="新宋体" w:cs="新宋体"/>
                <w:sz w:val="24"/>
                <w:szCs w:val="24"/>
                <w:lang w:val="en-US" w:eastAsia="zh-CN"/>
              </w:rPr>
              <w:instrText xml:space="preserve"> HYPERLINK "http://222.143.34.121/" </w:instrText>
            </w:r>
            <w:r>
              <w:rPr>
                <w:rFonts w:hint="eastAsia" w:ascii="新宋体" w:hAnsi="新宋体" w:eastAsia="新宋体" w:cs="新宋体"/>
                <w:sz w:val="24"/>
                <w:szCs w:val="24"/>
                <w:lang w:val="en-US" w:eastAsia="zh-CN"/>
              </w:rPr>
              <w:fldChar w:fldCharType="separate"/>
            </w:r>
            <w:r>
              <w:rPr>
                <w:rStyle w:val="29"/>
                <w:rFonts w:hint="eastAsia" w:ascii="新宋体" w:hAnsi="新宋体" w:eastAsia="新宋体" w:cs="新宋体"/>
                <w:sz w:val="24"/>
                <w:szCs w:val="24"/>
                <w:lang w:val="en-US" w:eastAsia="zh-CN"/>
              </w:rPr>
              <w:t>http://222.143.34.121/</w:t>
            </w:r>
            <w:r>
              <w:rPr>
                <w:rFonts w:hint="eastAsia" w:ascii="新宋体" w:hAnsi="新宋体" w:eastAsia="新宋体" w:cs="新宋体"/>
                <w:sz w:val="24"/>
                <w:szCs w:val="24"/>
                <w:lang w:val="en-US" w:eastAsia="zh-CN"/>
              </w:rPr>
              <w:fldChar w:fldCharType="end"/>
            </w:r>
            <w:r>
              <w:rPr>
                <w:rFonts w:hint="eastAsia" w:asciiTheme="minorHAnsi" w:hAnsiTheme="minorHAnsi" w:eastAsiaTheme="minorEastAsia" w:cstheme="minorBidi"/>
                <w:kern w:val="2"/>
                <w:sz w:val="21"/>
                <w:szCs w:val="22"/>
                <w:lang w:val="en-US" w:eastAsia="zh-CN" w:bidi="ar-SA"/>
              </w:rPr>
              <w:t>自行查询，个人办事通道-马上注册-登录-查询打印-证明打印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numPr>
          <w:ilvl w:val="0"/>
          <w:numId w:val="21"/>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4"/>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color w:val="000000"/>
          <w:u w:val="single"/>
        </w:rPr>
      </w:pPr>
    </w:p>
    <w:p>
      <w:pPr>
        <w:pStyle w:val="14"/>
        <w:spacing w:line="360" w:lineRule="auto"/>
        <w:contextualSpacing/>
        <w:jc w:val="center"/>
        <w:rPr>
          <w:rFonts w:cs="宋体" w:asciiTheme="majorEastAsia" w:hAnsiTheme="majorEastAsia" w:eastAsiaTheme="majorEastAsia"/>
          <w:b/>
          <w:kern w:val="0"/>
          <w:sz w:val="36"/>
          <w:szCs w:val="36"/>
        </w:rPr>
      </w:pPr>
    </w:p>
    <w:p>
      <w:pPr>
        <w:pStyle w:val="5"/>
        <w:spacing w:line="500" w:lineRule="exact"/>
        <w:jc w:val="center"/>
        <w:rPr>
          <w:rFonts w:hint="eastAsia" w:ascii="仿宋" w:hAnsi="仿宋" w:eastAsia="仿宋"/>
          <w:bCs w:val="0"/>
          <w:color w:val="000000"/>
          <w:sz w:val="24"/>
          <w:szCs w:val="24"/>
        </w:rPr>
      </w:pPr>
      <w:bookmarkStart w:id="0" w:name="_Toc356744034"/>
      <w:bookmarkStart w:id="1" w:name="_Toc357868214"/>
      <w:bookmarkStart w:id="2" w:name="_Toc364457259"/>
      <w:bookmarkStart w:id="3" w:name="_Toc354922980"/>
      <w:bookmarkStart w:id="4" w:name="_Toc326060505"/>
      <w:bookmarkStart w:id="5" w:name="_Toc329278149"/>
      <w:bookmarkStart w:id="6" w:name="_Toc355649942"/>
      <w:bookmarkStart w:id="7" w:name="_Toc354404029"/>
      <w:bookmarkStart w:id="8" w:name="_Toc354923119"/>
      <w:r>
        <w:rPr>
          <w:rFonts w:hint="eastAsia" w:ascii="仿宋" w:hAnsi="仿宋" w:eastAsia="仿宋"/>
          <w:bCs w:val="0"/>
          <w:color w:val="000000"/>
          <w:sz w:val="24"/>
          <w:szCs w:val="24"/>
        </w:rPr>
        <w:t>一、词语定义及合同文件</w:t>
      </w:r>
      <w:bookmarkEnd w:id="0"/>
      <w:bookmarkEnd w:id="1"/>
      <w:bookmarkEnd w:id="2"/>
      <w:bookmarkEnd w:id="3"/>
      <w:bookmarkEnd w:id="4"/>
      <w:bookmarkEnd w:id="5"/>
      <w:bookmarkEnd w:id="6"/>
      <w:bookmarkEnd w:id="7"/>
      <w:bookmarkEnd w:id="8"/>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1、合同文件及解释顺序</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合同文件组成及解释顺序:       按照通用条款执行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2、语言文字和适用法律、标准及规范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2．1本合同除使用汉语外，还使用       无                  语言文字。</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2．2适用法律和法规</w:t>
      </w:r>
    </w:p>
    <w:p>
      <w:pPr>
        <w:spacing w:line="500" w:lineRule="exact"/>
        <w:ind w:firstLine="482"/>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需要明示的法律、行政法规:  国家及省、市的法律、法规、规章、规范性文件及协议条款约定的规章。</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2．3适用标准、规范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适用标准、规范的名称:</w:t>
      </w:r>
    </w:p>
    <w:p>
      <w:pPr>
        <w:numPr>
          <w:ilvl w:val="1"/>
          <w:numId w:val="22"/>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工程设计要求</w:t>
      </w:r>
    </w:p>
    <w:p>
      <w:pPr>
        <w:numPr>
          <w:ilvl w:val="1"/>
          <w:numId w:val="22"/>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国家、河南省、许昌市现行有关工程的施工及验收规定、规程和标准</w:t>
      </w:r>
    </w:p>
    <w:p>
      <w:pPr>
        <w:numPr>
          <w:ilvl w:val="1"/>
          <w:numId w:val="22"/>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对不在规范验评范围内项目，执行设计院、制造厂家或发包人和承包人双方议定的补充技术标准及本标书的施工技术要求；</w:t>
      </w:r>
    </w:p>
    <w:p>
      <w:pPr>
        <w:numPr>
          <w:ilvl w:val="1"/>
          <w:numId w:val="22"/>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新材料、新工艺必须具有省级以上行业主管部门技术鉴定并须征得发包人和监理单位同意。</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发包人提供标准、规范的时间: 无。</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国内没有相应标准、规范时的约定: 由承包人提供并经发包人和设计单位认可后执行。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3、图纸</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3．1发包人向承包人提供图纸日期和套数: 合同约定。</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 2发包人对图纸的保密要求: 施工图纸应保密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3. 3使用国外图纸的要求及费用承担:  无  </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9" w:name="_Toc357868215"/>
      <w:bookmarkStart w:id="10" w:name="_Toc354923120"/>
      <w:bookmarkStart w:id="11" w:name="_Toc354922981"/>
      <w:bookmarkStart w:id="12" w:name="_Toc355649943"/>
      <w:bookmarkStart w:id="13" w:name="_Toc326060506"/>
      <w:bookmarkStart w:id="14" w:name="_Toc329278150"/>
      <w:bookmarkStart w:id="15" w:name="_Toc356744035"/>
      <w:bookmarkStart w:id="16" w:name="_Toc354404030"/>
      <w:bookmarkStart w:id="17" w:name="_Toc364457260"/>
      <w:r>
        <w:rPr>
          <w:rFonts w:hint="eastAsia" w:cs="宋体" w:asciiTheme="minorEastAsia" w:hAnsiTheme="minorEastAsia" w:eastAsiaTheme="minorEastAsia"/>
          <w:kern w:val="0"/>
          <w:sz w:val="21"/>
          <w:szCs w:val="21"/>
          <w:lang w:val="en-US" w:eastAsia="zh-CN" w:bidi="ar-SA"/>
        </w:rPr>
        <w:t>二、双方一般权利和义务</w:t>
      </w:r>
      <w:bookmarkEnd w:id="9"/>
      <w:bookmarkEnd w:id="10"/>
      <w:bookmarkEnd w:id="11"/>
      <w:bookmarkEnd w:id="12"/>
      <w:bookmarkEnd w:id="13"/>
      <w:bookmarkEnd w:id="14"/>
      <w:bookmarkEnd w:id="15"/>
      <w:bookmarkEnd w:id="16"/>
      <w:bookmarkEnd w:id="17"/>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4．1监理单位委派的工程师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pStyle w:val="60"/>
        <w:spacing w:line="500" w:lineRule="exact"/>
        <w:ind w:left="0" w:right="9"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发包人委托的职权: 按《建设工程监理规范》(GB50319-2000)执行</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4．2发包人派驻的工程师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职权: 全权负责施工现场的管理和协调工作，并代表发包人对施工中所用材料(设备)的质量进行检验。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4．3不实行监理的，工程师的职权: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5．项目经理(建造师)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姓名:  (中标项目经理/建造师)      职务:  (待定)  _</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6、发包人工作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6．1发包人应按约定的时间和要求完成以下工作: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(1)施工场地具备施工条件的要求及完成的时间： 合同签订后7日内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(2)将施工所需的水、电、电讯线路接至施工场地的时间、地点和供应要求：施工所需的水、电、电讯线路已经具备条件，施工中所产生的费用由承包人负担。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(3)施工场地与道路的通道开通时间和要求: 已具备。</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(4)工程地质和地下管线资料的提供时间：合同签订日。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(5)由发包人办理的施工所需证件、批件的名称和完成时间:  合同开工日期前，由承包方负责办理进场的相关手续，发包方配合。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(6)水准点与坐标控制点交验要求：合同开工日期前7天。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(7)图纸会审和设计交底时间: 合同开工日期前7天。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(8)双方约定发包人应做的其他工作：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6．2发包人委托承包人办理的工作：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7．承包人工作</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招标范围，具体有招标人与中标人协商                    。</w:t>
      </w:r>
    </w:p>
    <w:p>
      <w:pPr>
        <w:pStyle w:val="14"/>
        <w:spacing w:line="500" w:lineRule="exact"/>
        <w:ind w:left="338" w:leftChars="86" w:hanging="157" w:hangingChars="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7．1承包人应按约定时间和要求，完成以下工作:</w:t>
      </w:r>
    </w:p>
    <w:p>
      <w:pPr>
        <w:pStyle w:val="14"/>
        <w:numPr>
          <w:ilvl w:val="0"/>
          <w:numId w:val="23"/>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需自设计资质等级和业务范围允许的承包人完成的设计文件提交时间：          无      </w:t>
      </w:r>
    </w:p>
    <w:p>
      <w:pPr>
        <w:pStyle w:val="14"/>
        <w:numPr>
          <w:ilvl w:val="0"/>
          <w:numId w:val="23"/>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应提供计划、报表的名称及完成时间:</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开工前7日提交施工组织设计、总进度计划、施工机械和人员使用计划、主要材料供应计划。</w:t>
      </w:r>
    </w:p>
    <w:p>
      <w:pPr>
        <w:pStyle w:val="14"/>
        <w:numPr>
          <w:ilvl w:val="0"/>
          <w:numId w:val="23"/>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承担施工安全保卫工作及非夜间施工照明的责任和要求:设专职安全保卫人员和安全防护设施，负责施工现场安全保卫，费用自理。</w:t>
      </w:r>
    </w:p>
    <w:p>
      <w:pPr>
        <w:pStyle w:val="14"/>
        <w:numPr>
          <w:ilvl w:val="0"/>
          <w:numId w:val="23"/>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向发包人提供的办公和生活房屋及设施的要求:  无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需承包人办理的有关施工场地交通、住建、环卫和施工噪音管理等手续: 按照国家、省、市、县有关规定执行。</w:t>
      </w:r>
    </w:p>
    <w:p>
      <w:pPr>
        <w:pStyle w:val="14"/>
        <w:numPr>
          <w:ilvl w:val="0"/>
          <w:numId w:val="23"/>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完工工程成品保护的特殊要求及费用承担:由承包人负责。</w:t>
      </w:r>
    </w:p>
    <w:p>
      <w:pPr>
        <w:pStyle w:val="14"/>
        <w:numPr>
          <w:ilvl w:val="0"/>
          <w:numId w:val="23"/>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4"/>
        <w:numPr>
          <w:ilvl w:val="0"/>
          <w:numId w:val="23"/>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施工现场清洁卫生的要求：按通用条款，保证每日清理，符合当地有关文明施工的规定，费用由承包方承担。</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(10)按计划完成施工任务。</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18" w:name="_Toc364457261"/>
      <w:bookmarkStart w:id="19" w:name="_Toc354404031"/>
      <w:bookmarkStart w:id="20" w:name="_Toc354922982"/>
      <w:bookmarkStart w:id="21" w:name="_Toc326060507"/>
      <w:bookmarkStart w:id="22" w:name="_Toc354923121"/>
      <w:bookmarkStart w:id="23" w:name="_Toc356744036"/>
      <w:bookmarkStart w:id="24" w:name="_Toc355649944"/>
      <w:bookmarkStart w:id="25" w:name="_Toc329278151"/>
      <w:bookmarkStart w:id="26" w:name="_Toc357868216"/>
      <w:r>
        <w:rPr>
          <w:rFonts w:hint="eastAsia" w:cs="宋体" w:asciiTheme="minorEastAsia" w:hAnsiTheme="minorEastAsia" w:eastAsiaTheme="minorEastAsia"/>
          <w:kern w:val="0"/>
          <w:sz w:val="21"/>
          <w:szCs w:val="21"/>
          <w:lang w:val="en-US" w:eastAsia="zh-CN" w:bidi="ar-SA"/>
        </w:rPr>
        <w:t>三、施工组织设计和工期</w:t>
      </w:r>
      <w:bookmarkEnd w:id="18"/>
      <w:bookmarkEnd w:id="19"/>
      <w:bookmarkEnd w:id="20"/>
      <w:bookmarkEnd w:id="21"/>
      <w:bookmarkEnd w:id="22"/>
      <w:bookmarkEnd w:id="23"/>
      <w:bookmarkEnd w:id="24"/>
      <w:bookmarkEnd w:id="25"/>
      <w:bookmarkEnd w:id="26"/>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8．进度计划</w:t>
      </w:r>
    </w:p>
    <w:p>
      <w:pPr>
        <w:pStyle w:val="14"/>
        <w:spacing w:line="500" w:lineRule="exact"/>
        <w:ind w:left="1012" w:leftChars="258" w:hanging="470" w:hanging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8．1承包人提供施工组织设计(施工方案)和进度计划的时间：合同开工日期前7天。工程师确认的时间：7个工作日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8.2群体工程中有关进度计划的要求：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8.3如发包人需要调整施工顺序时，承包人应无条件响应，额外发生的费用视为已包含在合同价内。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9．工期延误</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9.2由于承包人的原因造成工期延误，每延迟一天扣除工程款的     ‰。</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27" w:name="_Toc356744037"/>
      <w:bookmarkStart w:id="28" w:name="_Toc355649945"/>
      <w:bookmarkStart w:id="29" w:name="_Toc354404032"/>
      <w:bookmarkStart w:id="30" w:name="_Toc354923122"/>
      <w:bookmarkStart w:id="31" w:name="_Toc357868217"/>
      <w:bookmarkStart w:id="32" w:name="_Toc326060508"/>
      <w:bookmarkStart w:id="33" w:name="_Toc329278152"/>
      <w:bookmarkStart w:id="34" w:name="_Toc354922983"/>
      <w:bookmarkStart w:id="35" w:name="_Toc364457262"/>
      <w:r>
        <w:rPr>
          <w:rFonts w:hint="eastAsia" w:cs="宋体" w:asciiTheme="minorEastAsia" w:hAnsiTheme="minorEastAsia" w:eastAsiaTheme="minorEastAsia"/>
          <w:kern w:val="0"/>
          <w:sz w:val="21"/>
          <w:szCs w:val="21"/>
          <w:lang w:val="en-US" w:eastAsia="zh-CN" w:bidi="ar-SA"/>
        </w:rPr>
        <w:t>四、质量与验收</w:t>
      </w:r>
      <w:bookmarkEnd w:id="27"/>
      <w:bookmarkEnd w:id="28"/>
      <w:bookmarkEnd w:id="29"/>
      <w:bookmarkEnd w:id="30"/>
      <w:bookmarkEnd w:id="31"/>
      <w:bookmarkEnd w:id="32"/>
      <w:bookmarkEnd w:id="33"/>
      <w:bookmarkEnd w:id="34"/>
      <w:bookmarkEnd w:id="35"/>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10．隐蔽工程验收和执行规范及适用范围</w:t>
      </w:r>
    </w:p>
    <w:p>
      <w:pPr>
        <w:pStyle w:val="14"/>
        <w:numPr>
          <w:ilvl w:val="1"/>
          <w:numId w:val="24"/>
        </w:numPr>
        <w:spacing w:line="500" w:lineRule="exact"/>
        <w:ind w:hanging="27"/>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双方约定隐蔽工程验收部位：按照国家施工及验收规范要求的执行。</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10.2 适用范围：使用于本项目工程施工。</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36" w:name="_Toc326060509"/>
      <w:bookmarkStart w:id="37" w:name="_Toc354404033"/>
      <w:bookmarkStart w:id="38" w:name="_Toc357868218"/>
      <w:bookmarkStart w:id="39" w:name="_Toc355649946"/>
      <w:bookmarkStart w:id="40" w:name="_Toc364457263"/>
      <w:bookmarkStart w:id="41" w:name="_Toc354923123"/>
      <w:bookmarkStart w:id="42" w:name="_Toc329278153"/>
      <w:bookmarkStart w:id="43" w:name="_Toc356744038"/>
      <w:bookmarkStart w:id="44" w:name="_Toc354922984"/>
      <w:r>
        <w:rPr>
          <w:rFonts w:hint="eastAsia" w:cs="宋体" w:asciiTheme="minorEastAsia" w:hAnsiTheme="minorEastAsia" w:eastAsiaTheme="minorEastAsia"/>
          <w:kern w:val="0"/>
          <w:sz w:val="21"/>
          <w:szCs w:val="21"/>
          <w:lang w:val="en-US" w:eastAsia="zh-CN" w:bidi="ar-SA"/>
        </w:rPr>
        <w:t>五、安全施工</w:t>
      </w:r>
      <w:bookmarkEnd w:id="36"/>
      <w:bookmarkEnd w:id="37"/>
      <w:bookmarkEnd w:id="38"/>
      <w:bookmarkEnd w:id="39"/>
      <w:bookmarkEnd w:id="40"/>
      <w:bookmarkEnd w:id="41"/>
      <w:bookmarkEnd w:id="42"/>
      <w:bookmarkEnd w:id="43"/>
      <w:bookmarkEnd w:id="44"/>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按合同文本通用条款执行</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45" w:name="_Toc329278154"/>
      <w:bookmarkStart w:id="46" w:name="_Toc355649947"/>
      <w:bookmarkStart w:id="47" w:name="_Toc326060510"/>
      <w:bookmarkStart w:id="48" w:name="_Toc364457264"/>
      <w:bookmarkStart w:id="49" w:name="_Toc356744039"/>
      <w:bookmarkStart w:id="50" w:name="_Toc354404034"/>
      <w:bookmarkStart w:id="51" w:name="_Toc354922985"/>
      <w:bookmarkStart w:id="52" w:name="_Toc357868219"/>
      <w:bookmarkStart w:id="53" w:name="_Toc354923124"/>
      <w:r>
        <w:rPr>
          <w:rFonts w:hint="eastAsia" w:cs="宋体" w:asciiTheme="minorEastAsia" w:hAnsiTheme="minorEastAsia" w:eastAsiaTheme="minorEastAsia"/>
          <w:kern w:val="0"/>
          <w:sz w:val="21"/>
          <w:szCs w:val="21"/>
          <w:lang w:val="en-US" w:eastAsia="zh-CN" w:bidi="ar-SA"/>
        </w:rPr>
        <w:t>六、合同价款与支付</w:t>
      </w:r>
      <w:bookmarkEnd w:id="45"/>
      <w:bookmarkEnd w:id="46"/>
      <w:bookmarkEnd w:id="47"/>
      <w:bookmarkEnd w:id="48"/>
      <w:bookmarkEnd w:id="49"/>
      <w:bookmarkEnd w:id="50"/>
      <w:bookmarkEnd w:id="51"/>
      <w:bookmarkEnd w:id="52"/>
      <w:bookmarkEnd w:id="53"/>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11．合同价款及调整</w:t>
      </w:r>
    </w:p>
    <w:p>
      <w:pPr>
        <w:pStyle w:val="14"/>
        <w:spacing w:line="360" w:lineRule="auto"/>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4"/>
        <w:spacing w:line="360" w:lineRule="auto"/>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当发生下列情况时，合同价可作调整：</w:t>
      </w:r>
    </w:p>
    <w:p>
      <w:pPr>
        <w:pStyle w:val="14"/>
        <w:numPr>
          <w:ilvl w:val="2"/>
          <w:numId w:val="25"/>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发包人相应部门签证后报主管领导批准后的工程变更及工程洽商；</w:t>
      </w:r>
    </w:p>
    <w:p>
      <w:pPr>
        <w:pStyle w:val="14"/>
        <w:numPr>
          <w:ilvl w:val="2"/>
          <w:numId w:val="25"/>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暂估价项目、暂估材料设备及发包人指定的产品价在实际发生前由发包人认可后，按实际发生予以调整，仅计取税金；</w:t>
      </w:r>
    </w:p>
    <w:p>
      <w:pPr>
        <w:pStyle w:val="14"/>
        <w:numPr>
          <w:ilvl w:val="2"/>
          <w:numId w:val="25"/>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发包人提供的地下管网、地下构筑物等资料与现场实际情况不符，而引起的工程处理费用增加，据实调整；</w:t>
      </w:r>
    </w:p>
    <w:p>
      <w:pPr>
        <w:pStyle w:val="14"/>
        <w:numPr>
          <w:ilvl w:val="2"/>
          <w:numId w:val="25"/>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法律、行政法规和国家有关政策变化影响合同价款。</w:t>
      </w:r>
    </w:p>
    <w:p>
      <w:pPr>
        <w:pStyle w:val="14"/>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11．2合同价款调整原则及方法：</w:t>
      </w:r>
    </w:p>
    <w:p>
      <w:pPr>
        <w:numPr>
          <w:ilvl w:val="0"/>
          <w:numId w:val="26"/>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增减工程量清单按11.1执行；</w:t>
      </w:r>
    </w:p>
    <w:p>
      <w:pPr>
        <w:numPr>
          <w:ilvl w:val="0"/>
          <w:numId w:val="26"/>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26"/>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1"/>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11．3双方约定合同价款的其他调整因素: 双方协商解决。</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12．工程付款</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12．1工程款的支付方式：采取银行转帐结算的形式，由项目所属单位支付；</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12．2设计变更和现场经济签证引起的费用在拨付进度款时暂不予考虑。</w:t>
      </w:r>
    </w:p>
    <w:p>
      <w:pPr>
        <w:pStyle w:val="14"/>
        <w:spacing w:line="500" w:lineRule="exact"/>
        <w:ind w:firstLine="577" w:firstLineChars="2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13.工程量增减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 投标报价</w:t>
      </w:r>
    </w:p>
    <w:p>
      <w:pPr>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14.3 投标人只能提出一个不变价格，招标人不接受任何选择价。</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54" w:name="_Toc364457265"/>
      <w:bookmarkStart w:id="55" w:name="_Toc356744040"/>
      <w:bookmarkStart w:id="56" w:name="_Toc329278155"/>
      <w:bookmarkStart w:id="57" w:name="_Toc355649948"/>
      <w:bookmarkStart w:id="58" w:name="_Toc354923125"/>
      <w:bookmarkStart w:id="59" w:name="_Toc326060511"/>
      <w:bookmarkStart w:id="60" w:name="_Toc354404035"/>
      <w:bookmarkStart w:id="61" w:name="_Toc357868220"/>
      <w:bookmarkStart w:id="62" w:name="_Toc354922986"/>
      <w:r>
        <w:rPr>
          <w:rFonts w:hint="eastAsia" w:cs="宋体" w:asciiTheme="minorEastAsia" w:hAnsiTheme="minorEastAsia" w:eastAsiaTheme="minorEastAsia"/>
          <w:kern w:val="0"/>
          <w:sz w:val="21"/>
          <w:szCs w:val="21"/>
          <w:lang w:val="en-US" w:eastAsia="zh-CN" w:bidi="ar-SA"/>
        </w:rPr>
        <w:t>七、竣工验收与结算</w:t>
      </w:r>
      <w:bookmarkEnd w:id="54"/>
      <w:bookmarkEnd w:id="55"/>
      <w:bookmarkEnd w:id="56"/>
      <w:bookmarkEnd w:id="57"/>
      <w:bookmarkEnd w:id="58"/>
      <w:bookmarkEnd w:id="59"/>
      <w:bookmarkEnd w:id="60"/>
      <w:bookmarkEnd w:id="61"/>
      <w:bookmarkEnd w:id="62"/>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15．竣工验收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15．1承包人提供竣工图的约定：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15．2中间交工工程的范围和竣工时间：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15．3竣工结算：审减金额超过报审金额10%时，超过部分审计费用由施工单位承担，并承担一定的违约责任。</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63" w:name="_Toc355649949"/>
      <w:bookmarkStart w:id="64" w:name="_Toc357868221"/>
      <w:bookmarkStart w:id="65" w:name="_Toc354404036"/>
      <w:bookmarkStart w:id="66" w:name="_Toc326060512"/>
      <w:bookmarkStart w:id="67" w:name="_Toc364457266"/>
      <w:bookmarkStart w:id="68" w:name="_Toc329278156"/>
      <w:bookmarkStart w:id="69" w:name="_Toc354923126"/>
      <w:bookmarkStart w:id="70" w:name="_Toc354922987"/>
      <w:bookmarkStart w:id="71" w:name="_Toc356744041"/>
      <w:r>
        <w:rPr>
          <w:rFonts w:hint="eastAsia" w:cs="宋体" w:asciiTheme="minorEastAsia" w:hAnsiTheme="minorEastAsia" w:eastAsiaTheme="minorEastAsia"/>
          <w:kern w:val="0"/>
          <w:sz w:val="21"/>
          <w:szCs w:val="21"/>
          <w:lang w:val="en-US" w:eastAsia="zh-CN" w:bidi="ar-SA"/>
        </w:rPr>
        <w:t>八、违约、索赔和争议</w:t>
      </w:r>
      <w:bookmarkEnd w:id="63"/>
      <w:bookmarkEnd w:id="64"/>
      <w:bookmarkEnd w:id="65"/>
      <w:bookmarkEnd w:id="66"/>
      <w:bookmarkEnd w:id="67"/>
      <w:bookmarkEnd w:id="68"/>
      <w:bookmarkEnd w:id="69"/>
      <w:bookmarkEnd w:id="70"/>
      <w:bookmarkEnd w:id="71"/>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16．违约</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16．1本合同中关于发包人违约的具体责任如下，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本合同通用条款第24条约定发包人违约应承担的违约责任：甲方根据实际情况决定采取处罚措施。</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本合同通用条款第26.4款约定发包人违约应承担的违约责任: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本合同通用条款第33.3款约定发包人违约应承担的违约责任: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双方约定的发包人其他违约责任: 见补充条款。</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16．2本合同中关于承包人违约的具体责任如下: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本合同通用条款第14.2款约定承包人违约承担的违约责任: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本合同通用条款第15.1款约定承包人违约应承担的违约责任: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双方约定的承包人其他违约责任: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17．争议</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17．1双方约定，在履行合同过程中产生争议时:</w:t>
      </w:r>
    </w:p>
    <w:p>
      <w:pPr>
        <w:pStyle w:val="14"/>
        <w:numPr>
          <w:ilvl w:val="0"/>
          <w:numId w:val="27"/>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双方本着友好协商方式解决。</w:t>
      </w:r>
    </w:p>
    <w:p>
      <w:pPr>
        <w:pStyle w:val="14"/>
        <w:numPr>
          <w:ilvl w:val="0"/>
          <w:numId w:val="27"/>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协商不成的，向  工程所在地  人民法院提起诉讼。</w:t>
      </w:r>
    </w:p>
    <w:p>
      <w:pPr>
        <w:pStyle w:val="5"/>
        <w:spacing w:line="500" w:lineRule="exact"/>
        <w:jc w:val="center"/>
        <w:rPr>
          <w:rFonts w:hint="eastAsia" w:cs="宋体" w:asciiTheme="minorEastAsia" w:hAnsiTheme="minorEastAsia" w:eastAsiaTheme="minorEastAsia"/>
          <w:kern w:val="0"/>
          <w:sz w:val="21"/>
          <w:szCs w:val="21"/>
          <w:lang w:val="en-US" w:eastAsia="zh-CN" w:bidi="ar-SA"/>
        </w:rPr>
      </w:pPr>
      <w:bookmarkStart w:id="72" w:name="_Toc364457267"/>
      <w:bookmarkStart w:id="73" w:name="_Toc329278157"/>
      <w:bookmarkStart w:id="74" w:name="_Toc356744042"/>
      <w:bookmarkStart w:id="75" w:name="_Toc357868222"/>
      <w:bookmarkStart w:id="76" w:name="_Toc326060513"/>
      <w:bookmarkStart w:id="77" w:name="_Toc354404037"/>
      <w:bookmarkStart w:id="78" w:name="_Toc355649950"/>
      <w:bookmarkStart w:id="79" w:name="_Toc354923127"/>
      <w:bookmarkStart w:id="80" w:name="_Toc354922988"/>
      <w:r>
        <w:rPr>
          <w:rFonts w:hint="eastAsia" w:cs="宋体" w:asciiTheme="minorEastAsia" w:hAnsiTheme="minorEastAsia" w:eastAsiaTheme="minorEastAsia"/>
          <w:kern w:val="0"/>
          <w:sz w:val="21"/>
          <w:szCs w:val="21"/>
          <w:lang w:val="en-US" w:eastAsia="zh-CN" w:bidi="ar-SA"/>
        </w:rPr>
        <w:t>九、其他</w:t>
      </w:r>
      <w:bookmarkEnd w:id="72"/>
      <w:bookmarkEnd w:id="73"/>
      <w:bookmarkEnd w:id="74"/>
      <w:bookmarkEnd w:id="75"/>
      <w:bookmarkEnd w:id="76"/>
      <w:bookmarkEnd w:id="77"/>
      <w:bookmarkEnd w:id="78"/>
      <w:bookmarkEnd w:id="79"/>
      <w:bookmarkEnd w:id="80"/>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18．工程分包</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18．1本工程主体工程不允许分包。其他配套专业若确需分包，分包商须经得发包人同意。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19．不可抗力</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19．1双方关于不可抗力的约定:  所发生的工期相应顺延，但涉及的费用根据国家有关规定由双方分担。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20．保险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20．1本工程双方约定投保内容如下:</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(l)发包人投保内容: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发包人委托承包人办理的保险事项: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(2)承包人投保内容: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21．担保</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21．1本工程双方约定担保事项如下: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(l)发包人向承包人提供履约担保，担保方式为:    (待定)     担保合同作为本合同附件。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(2)承包人向发包人提供履约担保，担保方式为:   中标人在接到中标通知书后10日内，按中标价的5%交纳履约保证金，以转账或电汇交纳至到招标人指定账户。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(3)双方约定的其他担保事项: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22．合同份数</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22．1双方约定合同副本份数:正本2份，副本4份</w:t>
      </w:r>
    </w:p>
    <w:p>
      <w:pPr>
        <w:pStyle w:val="14"/>
        <w:spacing w:line="500" w:lineRule="exact"/>
        <w:ind w:firstLine="470" w:firstLine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23．补充条款</w:t>
      </w:r>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审减金额超过报审金额10%时，超过部分审计费用由施工单位承担，并承担一定的违约责任。</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24．其他未尽事宜由双方协商后确定：</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(1)若承包方未达到双方约定的工程质量要求，承担其由此产生的一切责任。</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(2)经甲乙双方签字盖章后方可生效。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spacing w:line="360" w:lineRule="auto"/>
        <w:jc w:val="center"/>
        <w:outlineLvl w:val="1"/>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br w:type="page"/>
      </w:r>
    </w:p>
    <w:p>
      <w:pPr>
        <w:spacing w:line="440" w:lineRule="exact"/>
        <w:ind w:firstLine="482" w:firstLineChars="200"/>
        <w:jc w:val="center"/>
        <w:rPr>
          <w:rFonts w:hint="eastAsia"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1．本协议书与下列文件一起构成合同文件：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(l)中标通知书；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(2)投标函及投标函附录；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(3)专用合同条款；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(4)通用合同条款；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(5)技术标准和要求；</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 已标价的工程量清单；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(7)图纸；</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(8)其他合同文件。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2．上述文件互相补充和解释，如有不明确或不一致之处，以合同约定次序在先者为准。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3．签约合同价：人民币(大写)                元(￥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4．承包人项目经理(建造师)：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5．工程质量符合                     标准。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6．承包人承诺按合同约定承担工程的实施、完成及缺陷修复。</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7．发包人承诺按合同约定的条件、时间和方式向承包人支付合同价款。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8．承包人应按照监理人指示开工，工期为      日历天。</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9．本协议书一式     份，合同双方各执      份。</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10.双方签字盖章后生效。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11．合同未尽事宜，双方另行签订补充协议。补充协议是合同的组成部分。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承包人：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5"/>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CellMar>
            <w:top w:w="0" w:type="dxa"/>
            <w:left w:w="108" w:type="dxa"/>
            <w:bottom w:w="0" w:type="dxa"/>
            <w:right w:w="108" w:type="dxa"/>
          </w:tblCellMar>
        </w:tblPrEx>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 w:val="36"/>
          <w:szCs w:val="36"/>
        </w:rPr>
      </w:pPr>
      <w:r>
        <w:rPr>
          <w:rFonts w:hint="eastAsia" w:cs="黑体" w:asciiTheme="minorEastAsia" w:hAnsiTheme="minorEastAsia"/>
          <w:b/>
          <w:bCs/>
          <w:sz w:val="28"/>
          <w:szCs w:val="28"/>
          <w:lang w:val="zh-CN"/>
        </w:rPr>
        <w:t>三、资格审查证明材料</w:t>
      </w:r>
    </w:p>
    <w:p>
      <w:pPr>
        <w:pStyle w:val="14"/>
        <w:spacing w:line="360" w:lineRule="auto"/>
        <w:jc w:val="both"/>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780" w:firstLineChars="180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7"/>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7"/>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firstLine="472" w:firstLineChars="225"/>
        <w:jc w:val="left"/>
        <w:rPr>
          <w:rFonts w:asciiTheme="minorEastAsia" w:hAnsiTheme="minorEastAsia"/>
          <w:color w:val="000000"/>
          <w:sz w:val="21"/>
          <w:szCs w:val="21"/>
        </w:rPr>
      </w:pPr>
    </w:p>
    <w:p>
      <w:pPr>
        <w:pStyle w:val="47"/>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7"/>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50"/>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9"/>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numPr>
          <w:ilvl w:val="0"/>
          <w:numId w:val="29"/>
        </w:numPr>
        <w:autoSpaceDE w:val="0"/>
        <w:autoSpaceDN w:val="0"/>
        <w:adjustRightInd w:val="0"/>
        <w:spacing w:line="360" w:lineRule="auto"/>
        <w:jc w:val="center"/>
        <w:rPr>
          <w:rFonts w:hint="eastAsia" w:cs="黑体" w:asciiTheme="minorEastAsia" w:hAnsiTheme="minorEastAsia"/>
          <w:b/>
          <w:bCs/>
          <w:sz w:val="28"/>
          <w:szCs w:val="28"/>
          <w:lang w:val="zh-CN"/>
        </w:rPr>
      </w:pPr>
      <w:r>
        <w:rPr>
          <w:rFonts w:hint="eastAsia" w:cs="黑体" w:asciiTheme="minorEastAsia" w:hAnsiTheme="minorEastAsia"/>
          <w:b/>
          <w:bCs/>
          <w:sz w:val="28"/>
          <w:szCs w:val="28"/>
          <w:lang w:val="zh-CN"/>
        </w:rPr>
        <w:t>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hint="eastAsia"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w:t>
            </w:r>
          </w:p>
          <w:p>
            <w:pPr>
              <w:pStyle w:val="8"/>
              <w:jc w:val="center"/>
              <w:rPr>
                <w:rFonts w:ascii="宋体" w:hAnsi="宋体" w:eastAsia="宋体" w:cs="宋体"/>
                <w:b/>
                <w:bCs/>
                <w:sz w:val="21"/>
                <w:szCs w:val="21"/>
              </w:rPr>
            </w:pPr>
            <w:r>
              <w:rPr>
                <w:rFonts w:hint="eastAsia" w:ascii="宋体" w:hAnsi="宋体" w:eastAsia="宋体" w:cs="宋体"/>
                <w:b/>
                <w:bCs/>
                <w:sz w:val="21"/>
                <w:szCs w:val="21"/>
              </w:rPr>
              <w:t>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81" w:name="OLE_LINK14"/>
      <w:bookmarkStart w:id="82" w:name="OLE_LINK13"/>
      <w:r>
        <w:rPr>
          <w:rFonts w:hint="eastAsia" w:ascii="宋体" w:hAnsi="宋体"/>
          <w:b/>
          <w:bCs/>
          <w:color w:val="000000"/>
          <w:sz w:val="24"/>
          <w:szCs w:val="24"/>
        </w:rPr>
        <w:t>4.</w:t>
      </w:r>
      <w:r>
        <w:rPr>
          <w:rFonts w:hint="eastAsia" w:ascii="宋体" w:hAnsi="宋体"/>
          <w:b/>
          <w:bCs/>
          <w:color w:val="000000"/>
          <w:sz w:val="24"/>
          <w:szCs w:val="24"/>
          <w:lang w:val="en-US" w:eastAsia="zh-CN"/>
        </w:rPr>
        <w:t>6</w:t>
      </w:r>
      <w:r>
        <w:rPr>
          <w:rFonts w:hint="eastAsia" w:ascii="宋体" w:hAnsi="宋体"/>
          <w:b/>
          <w:bCs/>
          <w:color w:val="000000"/>
          <w:sz w:val="24"/>
          <w:szCs w:val="24"/>
        </w:rPr>
        <w:t xml:space="preserve"> 残疾人福利性单位声明函</w:t>
      </w:r>
    </w:p>
    <w:bookmarkEnd w:id="81"/>
    <w:bookmarkEnd w:id="82"/>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7</w:t>
      </w:r>
      <w:r>
        <w:rPr>
          <w:rFonts w:hint="eastAsia" w:ascii="宋体" w:hAnsi="宋体"/>
          <w:b/>
          <w:bCs/>
          <w:color w:val="000000"/>
          <w:sz w:val="24"/>
          <w:szCs w:val="24"/>
        </w:rPr>
        <w:t xml:space="preserve">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spacing w:line="500" w:lineRule="exact"/>
        <w:outlineLvl w:val="0"/>
        <w:rPr>
          <w:rFonts w:hint="eastAsia" w:ascii="仿宋" w:hAnsi="仿宋" w:eastAsia="仿宋" w:cs="仿宋"/>
          <w:sz w:val="24"/>
          <w:szCs w:val="24"/>
        </w:rPr>
      </w:pPr>
      <w:r>
        <w:rPr>
          <w:rFonts w:hint="eastAsia" w:ascii="仿宋" w:hAnsi="仿宋" w:eastAsia="仿宋" w:cs="仿宋"/>
          <w:sz w:val="24"/>
          <w:szCs w:val="24"/>
        </w:rPr>
        <w:t xml:space="preserve">          </w:t>
      </w:r>
    </w:p>
    <w:p>
      <w:pPr>
        <w:spacing w:line="500" w:lineRule="exact"/>
        <w:outlineLvl w:val="0"/>
        <w:rPr>
          <w:rFonts w:hint="eastAsia" w:ascii="仿宋" w:hAnsi="仿宋" w:eastAsia="仿宋" w:cs="仿宋"/>
          <w:sz w:val="24"/>
          <w:szCs w:val="24"/>
        </w:rPr>
      </w:pPr>
    </w:p>
    <w:p>
      <w:pPr>
        <w:spacing w:line="500" w:lineRule="exact"/>
        <w:outlineLvl w:val="0"/>
        <w:rPr>
          <w:rFonts w:hint="eastAsia" w:ascii="仿宋" w:hAnsi="仿宋" w:eastAsia="仿宋" w:cs="仿宋"/>
          <w:b/>
          <w:sz w:val="24"/>
          <w:szCs w:val="24"/>
        </w:rPr>
      </w:pPr>
      <w:r>
        <w:rPr>
          <w:rFonts w:hint="eastAsia" w:ascii="仿宋" w:hAnsi="仿宋" w:eastAsia="仿宋" w:cs="仿宋"/>
          <w:sz w:val="24"/>
          <w:szCs w:val="24"/>
        </w:rPr>
        <w:t xml:space="preserve">                 </w:t>
      </w:r>
    </w:p>
    <w:p>
      <w:pPr>
        <w:spacing w:line="500" w:lineRule="exact"/>
        <w:jc w:val="center"/>
        <w:outlineLvl w:val="0"/>
        <w:rPr>
          <w:rFonts w:hint="eastAsia" w:ascii="仿宋" w:hAnsi="仿宋" w:eastAsia="仿宋" w:cs="仿宋"/>
          <w:b/>
          <w:sz w:val="24"/>
          <w:szCs w:val="24"/>
        </w:rPr>
      </w:pPr>
    </w:p>
    <w:p>
      <w:pPr>
        <w:tabs>
          <w:tab w:val="left" w:pos="1439"/>
        </w:tabs>
        <w:spacing w:line="500" w:lineRule="exact"/>
        <w:outlineLvl w:val="0"/>
        <w:rPr>
          <w:rFonts w:hint="eastAsia" w:ascii="仿宋" w:hAnsi="仿宋" w:eastAsia="仿宋" w:cs="仿宋"/>
          <w:sz w:val="24"/>
          <w:szCs w:val="24"/>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
    <w:altName w:val="Arial"/>
    <w:panose1 w:val="020B0604020202020204"/>
    <w:charset w:val="00"/>
    <w:family w:val="decorative"/>
    <w:pitch w:val="default"/>
    <w:sig w:usb0="00000000" w:usb1="00000000" w:usb2="00000000" w:usb3="00000000" w:csb0="00000001" w:csb1="00000000"/>
  </w:font>
  <w:font w:name="华文隶书">
    <w:altName w:val="微软雅黑"/>
    <w:panose1 w:val="02010800040101010101"/>
    <w:charset w:val="86"/>
    <w:family w:val="auto"/>
    <w:pitch w:val="default"/>
    <w:sig w:usb0="00000000" w:usb1="0000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decorative"/>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CE02190D"/>
    <w:multiLevelType w:val="singleLevel"/>
    <w:tmpl w:val="CE02190D"/>
    <w:lvl w:ilvl="0" w:tentative="0">
      <w:start w:val="4"/>
      <w:numFmt w:val="chineseCounting"/>
      <w:suff w:val="nothing"/>
      <w:lvlText w:val="%1、"/>
      <w:lvlJc w:val="left"/>
      <w:rPr>
        <w:rFonts w:hint="eastAsia"/>
      </w:rPr>
    </w:lvl>
  </w:abstractNum>
  <w:abstractNum w:abstractNumId="2">
    <w:nsid w:val="DBD26914"/>
    <w:multiLevelType w:val="singleLevel"/>
    <w:tmpl w:val="DBD26914"/>
    <w:lvl w:ilvl="0" w:tentative="0">
      <w:start w:val="1"/>
      <w:numFmt w:val="chineseCounting"/>
      <w:suff w:val="space"/>
      <w:lvlText w:val="第%1章"/>
      <w:lvlJc w:val="left"/>
      <w:rPr>
        <w:rFonts w:hint="eastAsia"/>
      </w:rPr>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0A"/>
    <w:multiLevelType w:val="singleLevel"/>
    <w:tmpl w:val="0000000A"/>
    <w:lvl w:ilvl="0" w:tentative="0">
      <w:start w:val="1"/>
      <w:numFmt w:val="decimal"/>
      <w:suff w:val="nothing"/>
      <w:lvlText w:val="（%1）"/>
      <w:lvlJc w:val="left"/>
    </w:lvl>
  </w:abstractNum>
  <w:abstractNum w:abstractNumId="5">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8">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9">
    <w:nsid w:val="00000013"/>
    <w:multiLevelType w:val="singleLevel"/>
    <w:tmpl w:val="00000013"/>
    <w:lvl w:ilvl="0" w:tentative="0">
      <w:start w:val="17"/>
      <w:numFmt w:val="decimal"/>
      <w:suff w:val="nothing"/>
      <w:lvlText w:val="%1、"/>
      <w:lvlJc w:val="left"/>
    </w:lvl>
  </w:abstractNum>
  <w:abstractNum w:abstractNumId="10">
    <w:nsid w:val="00000014"/>
    <w:multiLevelType w:val="multilevel"/>
    <w:tmpl w:val="00000014"/>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05EFCDC2"/>
    <w:multiLevelType w:val="singleLevel"/>
    <w:tmpl w:val="05EFCDC2"/>
    <w:lvl w:ilvl="0" w:tentative="0">
      <w:start w:val="6"/>
      <w:numFmt w:val="chineseCounting"/>
      <w:suff w:val="nothing"/>
      <w:lvlText w:val="%1、"/>
      <w:lvlJc w:val="left"/>
      <w:rPr>
        <w:rFonts w:hint="eastAsia"/>
      </w:rPr>
    </w:lvl>
  </w:abstractNum>
  <w:abstractNum w:abstractNumId="1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9F817E8"/>
    <w:multiLevelType w:val="singleLevel"/>
    <w:tmpl w:val="59F817E8"/>
    <w:lvl w:ilvl="0" w:tentative="0">
      <w:start w:val="1"/>
      <w:numFmt w:val="chineseCounting"/>
      <w:pStyle w:val="55"/>
      <w:suff w:val="nothing"/>
      <w:lvlText w:val="%1、"/>
      <w:lvlJc w:val="left"/>
    </w:lvl>
  </w:abstractNum>
  <w:abstractNum w:abstractNumId="2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54E4703"/>
    <w:multiLevelType w:val="singleLevel"/>
    <w:tmpl w:val="754E4703"/>
    <w:lvl w:ilvl="0" w:tentative="0">
      <w:start w:val="1"/>
      <w:numFmt w:val="chineseCounting"/>
      <w:suff w:val="nothing"/>
      <w:lvlText w:val="%1、"/>
      <w:lvlJc w:val="left"/>
      <w:rPr>
        <w:rFonts w:hint="eastAsia"/>
      </w:rPr>
    </w:lvl>
  </w:abstractNum>
  <w:abstractNum w:abstractNumId="2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0"/>
  </w:num>
  <w:num w:numId="3">
    <w:abstractNumId w:val="22"/>
  </w:num>
  <w:num w:numId="4">
    <w:abstractNumId w:val="2"/>
  </w:num>
  <w:num w:numId="5">
    <w:abstractNumId w:val="26"/>
  </w:num>
  <w:num w:numId="6">
    <w:abstractNumId w:val="19"/>
  </w:num>
  <w:num w:numId="7">
    <w:abstractNumId w:val="23"/>
  </w:num>
  <w:num w:numId="8">
    <w:abstractNumId w:val="17"/>
  </w:num>
  <w:num w:numId="9">
    <w:abstractNumId w:val="12"/>
  </w:num>
  <w:num w:numId="10">
    <w:abstractNumId w:val="18"/>
  </w:num>
  <w:num w:numId="11">
    <w:abstractNumId w:val="20"/>
  </w:num>
  <w:num w:numId="12">
    <w:abstractNumId w:val="27"/>
  </w:num>
  <w:num w:numId="13">
    <w:abstractNumId w:val="16"/>
  </w:num>
  <w:num w:numId="14">
    <w:abstractNumId w:val="13"/>
  </w:num>
  <w:num w:numId="15">
    <w:abstractNumId w:val="24"/>
  </w:num>
  <w:num w:numId="16">
    <w:abstractNumId w:val="11"/>
  </w:num>
  <w:num w:numId="17">
    <w:abstractNumId w:val="21"/>
  </w:num>
  <w:num w:numId="18">
    <w:abstractNumId w:val="15"/>
  </w:num>
  <w:num w:numId="19">
    <w:abstractNumId w:val="25"/>
  </w:num>
  <w:num w:numId="20">
    <w:abstractNumId w:val="28"/>
  </w:num>
  <w:num w:numId="21">
    <w:abstractNumId w:val="0"/>
  </w:num>
  <w:num w:numId="22">
    <w:abstractNumId w:val="5"/>
  </w:num>
  <w:num w:numId="23">
    <w:abstractNumId w:val="9"/>
  </w:num>
  <w:num w:numId="24">
    <w:abstractNumId w:val="6"/>
  </w:num>
  <w:num w:numId="25">
    <w:abstractNumId w:val="8"/>
  </w:num>
  <w:num w:numId="26">
    <w:abstractNumId w:val="4"/>
  </w:num>
  <w:num w:numId="27">
    <w:abstractNumId w:val="7"/>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A03053"/>
    <w:rsid w:val="02042EF4"/>
    <w:rsid w:val="02314E41"/>
    <w:rsid w:val="032328D6"/>
    <w:rsid w:val="032C493C"/>
    <w:rsid w:val="033328EF"/>
    <w:rsid w:val="03466DBD"/>
    <w:rsid w:val="03625DE6"/>
    <w:rsid w:val="037A21B9"/>
    <w:rsid w:val="03C27924"/>
    <w:rsid w:val="043311CA"/>
    <w:rsid w:val="0487636C"/>
    <w:rsid w:val="04A6236A"/>
    <w:rsid w:val="053F5432"/>
    <w:rsid w:val="056F0F14"/>
    <w:rsid w:val="064E7C45"/>
    <w:rsid w:val="06827910"/>
    <w:rsid w:val="06BE2947"/>
    <w:rsid w:val="07BF5E31"/>
    <w:rsid w:val="07F96DEB"/>
    <w:rsid w:val="08ED0258"/>
    <w:rsid w:val="08EF08AA"/>
    <w:rsid w:val="098E131E"/>
    <w:rsid w:val="09B61E03"/>
    <w:rsid w:val="0A115352"/>
    <w:rsid w:val="0A1E34A8"/>
    <w:rsid w:val="0A2241D5"/>
    <w:rsid w:val="0A76756E"/>
    <w:rsid w:val="0AED524D"/>
    <w:rsid w:val="0B042130"/>
    <w:rsid w:val="0B391354"/>
    <w:rsid w:val="0B5E7673"/>
    <w:rsid w:val="0BC90D2B"/>
    <w:rsid w:val="0BE05F44"/>
    <w:rsid w:val="0CAE7D79"/>
    <w:rsid w:val="0CC96F90"/>
    <w:rsid w:val="0CEC5736"/>
    <w:rsid w:val="0DAC0795"/>
    <w:rsid w:val="0DF14212"/>
    <w:rsid w:val="0E566FF8"/>
    <w:rsid w:val="0F1267F0"/>
    <w:rsid w:val="0F492F98"/>
    <w:rsid w:val="100B4F00"/>
    <w:rsid w:val="10C51C5D"/>
    <w:rsid w:val="10DC7FC8"/>
    <w:rsid w:val="10ED3EAB"/>
    <w:rsid w:val="10F67161"/>
    <w:rsid w:val="110E6C6E"/>
    <w:rsid w:val="115D39B8"/>
    <w:rsid w:val="1197185B"/>
    <w:rsid w:val="122C725F"/>
    <w:rsid w:val="128E3D8E"/>
    <w:rsid w:val="12E50F51"/>
    <w:rsid w:val="13BF63D1"/>
    <w:rsid w:val="13D62CC1"/>
    <w:rsid w:val="140960EE"/>
    <w:rsid w:val="14214638"/>
    <w:rsid w:val="14835A31"/>
    <w:rsid w:val="149819C8"/>
    <w:rsid w:val="14B173D9"/>
    <w:rsid w:val="14D058A3"/>
    <w:rsid w:val="15944BF3"/>
    <w:rsid w:val="15EE44D7"/>
    <w:rsid w:val="164C7048"/>
    <w:rsid w:val="16B051B6"/>
    <w:rsid w:val="170E412F"/>
    <w:rsid w:val="172058D8"/>
    <w:rsid w:val="17B078B6"/>
    <w:rsid w:val="18113DC5"/>
    <w:rsid w:val="197867EF"/>
    <w:rsid w:val="197B011F"/>
    <w:rsid w:val="198F1D07"/>
    <w:rsid w:val="199C1C79"/>
    <w:rsid w:val="1A2B7FB5"/>
    <w:rsid w:val="1A7701C4"/>
    <w:rsid w:val="1A78540F"/>
    <w:rsid w:val="1A80684D"/>
    <w:rsid w:val="1AB52480"/>
    <w:rsid w:val="1B70335D"/>
    <w:rsid w:val="1B731D38"/>
    <w:rsid w:val="1BC27E34"/>
    <w:rsid w:val="1C317F37"/>
    <w:rsid w:val="1C527EEE"/>
    <w:rsid w:val="1C9A0EFB"/>
    <w:rsid w:val="1CA2458C"/>
    <w:rsid w:val="1D162A3A"/>
    <w:rsid w:val="1D7E1DFE"/>
    <w:rsid w:val="1D90357B"/>
    <w:rsid w:val="1EAC0576"/>
    <w:rsid w:val="1EB37B65"/>
    <w:rsid w:val="1ED663D2"/>
    <w:rsid w:val="1F457DEB"/>
    <w:rsid w:val="1F4F76D7"/>
    <w:rsid w:val="1F5E25BF"/>
    <w:rsid w:val="20275104"/>
    <w:rsid w:val="204C3CC9"/>
    <w:rsid w:val="20ED0E50"/>
    <w:rsid w:val="20FF154F"/>
    <w:rsid w:val="216551D5"/>
    <w:rsid w:val="21DF17AC"/>
    <w:rsid w:val="22351C2F"/>
    <w:rsid w:val="224255AF"/>
    <w:rsid w:val="22A56C1A"/>
    <w:rsid w:val="22B643D4"/>
    <w:rsid w:val="2301785C"/>
    <w:rsid w:val="23C004BB"/>
    <w:rsid w:val="24326801"/>
    <w:rsid w:val="24585EF7"/>
    <w:rsid w:val="2461458C"/>
    <w:rsid w:val="24D632FF"/>
    <w:rsid w:val="24D83346"/>
    <w:rsid w:val="255516DF"/>
    <w:rsid w:val="256D2F51"/>
    <w:rsid w:val="25720679"/>
    <w:rsid w:val="25B74681"/>
    <w:rsid w:val="25DF5154"/>
    <w:rsid w:val="25F75E26"/>
    <w:rsid w:val="265B42DF"/>
    <w:rsid w:val="26AB2969"/>
    <w:rsid w:val="26CA7A12"/>
    <w:rsid w:val="27A229B2"/>
    <w:rsid w:val="27B5253B"/>
    <w:rsid w:val="281A0202"/>
    <w:rsid w:val="283E3CD3"/>
    <w:rsid w:val="29F50784"/>
    <w:rsid w:val="2B240881"/>
    <w:rsid w:val="2B3F5F01"/>
    <w:rsid w:val="2C0B7CF9"/>
    <w:rsid w:val="2C1A7732"/>
    <w:rsid w:val="2C2E4C48"/>
    <w:rsid w:val="2C434247"/>
    <w:rsid w:val="2C8C1C8E"/>
    <w:rsid w:val="2C8D5BCC"/>
    <w:rsid w:val="2CAB37C5"/>
    <w:rsid w:val="2CB164D3"/>
    <w:rsid w:val="2CF962B5"/>
    <w:rsid w:val="2D5F028F"/>
    <w:rsid w:val="2D6C7AF4"/>
    <w:rsid w:val="2DD31A50"/>
    <w:rsid w:val="2EFE41AF"/>
    <w:rsid w:val="2F124B1C"/>
    <w:rsid w:val="2F45482D"/>
    <w:rsid w:val="2F477084"/>
    <w:rsid w:val="2FE113B9"/>
    <w:rsid w:val="2FF24A9E"/>
    <w:rsid w:val="305F0D15"/>
    <w:rsid w:val="307D673F"/>
    <w:rsid w:val="31114858"/>
    <w:rsid w:val="31324247"/>
    <w:rsid w:val="31AC3B9C"/>
    <w:rsid w:val="31D442A9"/>
    <w:rsid w:val="320D3218"/>
    <w:rsid w:val="328448EE"/>
    <w:rsid w:val="32985053"/>
    <w:rsid w:val="32B20743"/>
    <w:rsid w:val="32E31462"/>
    <w:rsid w:val="32F65921"/>
    <w:rsid w:val="33006C0E"/>
    <w:rsid w:val="340A14ED"/>
    <w:rsid w:val="34280373"/>
    <w:rsid w:val="3439458D"/>
    <w:rsid w:val="345D5D57"/>
    <w:rsid w:val="350A079B"/>
    <w:rsid w:val="35306958"/>
    <w:rsid w:val="353C4CB4"/>
    <w:rsid w:val="35C46C85"/>
    <w:rsid w:val="35F5306F"/>
    <w:rsid w:val="35F6337B"/>
    <w:rsid w:val="36143E1C"/>
    <w:rsid w:val="36D45DBC"/>
    <w:rsid w:val="36EC5CD6"/>
    <w:rsid w:val="3749027E"/>
    <w:rsid w:val="37B96E50"/>
    <w:rsid w:val="391E6950"/>
    <w:rsid w:val="398F43B6"/>
    <w:rsid w:val="39FC1D92"/>
    <w:rsid w:val="3A0C6200"/>
    <w:rsid w:val="3A1A525E"/>
    <w:rsid w:val="3A304721"/>
    <w:rsid w:val="3ACC560C"/>
    <w:rsid w:val="3B380893"/>
    <w:rsid w:val="3B605B3C"/>
    <w:rsid w:val="3B685AA6"/>
    <w:rsid w:val="3C175755"/>
    <w:rsid w:val="3C3F74A1"/>
    <w:rsid w:val="3C725167"/>
    <w:rsid w:val="3C761C0C"/>
    <w:rsid w:val="3C9839FA"/>
    <w:rsid w:val="3CB04E80"/>
    <w:rsid w:val="3CBC3D5E"/>
    <w:rsid w:val="3CC67CD4"/>
    <w:rsid w:val="3D282818"/>
    <w:rsid w:val="3D96637E"/>
    <w:rsid w:val="3DC9142F"/>
    <w:rsid w:val="3DEC2498"/>
    <w:rsid w:val="3E034405"/>
    <w:rsid w:val="3E6A2C34"/>
    <w:rsid w:val="3F473038"/>
    <w:rsid w:val="40A52D5C"/>
    <w:rsid w:val="40BE3049"/>
    <w:rsid w:val="41021623"/>
    <w:rsid w:val="41247764"/>
    <w:rsid w:val="41A27F86"/>
    <w:rsid w:val="41D9414F"/>
    <w:rsid w:val="41DE3A48"/>
    <w:rsid w:val="41EC1401"/>
    <w:rsid w:val="4215759B"/>
    <w:rsid w:val="42547D8B"/>
    <w:rsid w:val="42730160"/>
    <w:rsid w:val="42CE0022"/>
    <w:rsid w:val="42F23437"/>
    <w:rsid w:val="43663E29"/>
    <w:rsid w:val="44D2564B"/>
    <w:rsid w:val="44EA4606"/>
    <w:rsid w:val="454C2B70"/>
    <w:rsid w:val="456904DA"/>
    <w:rsid w:val="458C667A"/>
    <w:rsid w:val="4596458F"/>
    <w:rsid w:val="46366161"/>
    <w:rsid w:val="46465AAA"/>
    <w:rsid w:val="467D2F1A"/>
    <w:rsid w:val="46CE1703"/>
    <w:rsid w:val="46E35449"/>
    <w:rsid w:val="473960E8"/>
    <w:rsid w:val="47A07BC1"/>
    <w:rsid w:val="47F90D8B"/>
    <w:rsid w:val="48080763"/>
    <w:rsid w:val="485128BA"/>
    <w:rsid w:val="48737219"/>
    <w:rsid w:val="48C0687E"/>
    <w:rsid w:val="48EE371C"/>
    <w:rsid w:val="49574371"/>
    <w:rsid w:val="49CF3E0F"/>
    <w:rsid w:val="49D43420"/>
    <w:rsid w:val="49FE565E"/>
    <w:rsid w:val="4A222BB1"/>
    <w:rsid w:val="4A2E459B"/>
    <w:rsid w:val="4A8219C9"/>
    <w:rsid w:val="4B6833BC"/>
    <w:rsid w:val="4D005CCE"/>
    <w:rsid w:val="4D9B0DFF"/>
    <w:rsid w:val="4DAF7610"/>
    <w:rsid w:val="4DE45808"/>
    <w:rsid w:val="4E1E36AE"/>
    <w:rsid w:val="4E9448CD"/>
    <w:rsid w:val="4ECA5CC8"/>
    <w:rsid w:val="4F374C6E"/>
    <w:rsid w:val="4F6D6B91"/>
    <w:rsid w:val="4F7E129A"/>
    <w:rsid w:val="4F9A0B39"/>
    <w:rsid w:val="4FF65309"/>
    <w:rsid w:val="505F0174"/>
    <w:rsid w:val="50A050A3"/>
    <w:rsid w:val="50D3003E"/>
    <w:rsid w:val="50F7348B"/>
    <w:rsid w:val="51352836"/>
    <w:rsid w:val="515E1EEA"/>
    <w:rsid w:val="51A13899"/>
    <w:rsid w:val="51FD06C0"/>
    <w:rsid w:val="52581E68"/>
    <w:rsid w:val="5266084B"/>
    <w:rsid w:val="528771C6"/>
    <w:rsid w:val="52CF3A2B"/>
    <w:rsid w:val="5300214C"/>
    <w:rsid w:val="531600B4"/>
    <w:rsid w:val="535A1FCB"/>
    <w:rsid w:val="536561B2"/>
    <w:rsid w:val="538F3DF4"/>
    <w:rsid w:val="53FA012A"/>
    <w:rsid w:val="540A639D"/>
    <w:rsid w:val="544C0545"/>
    <w:rsid w:val="55591025"/>
    <w:rsid w:val="55684A64"/>
    <w:rsid w:val="557F3457"/>
    <w:rsid w:val="5635316C"/>
    <w:rsid w:val="56626902"/>
    <w:rsid w:val="567A60F1"/>
    <w:rsid w:val="57B8361E"/>
    <w:rsid w:val="57D2139A"/>
    <w:rsid w:val="57D77ADD"/>
    <w:rsid w:val="57DF4B76"/>
    <w:rsid w:val="58057299"/>
    <w:rsid w:val="5882354E"/>
    <w:rsid w:val="58A31F4C"/>
    <w:rsid w:val="599D701F"/>
    <w:rsid w:val="59C836F2"/>
    <w:rsid w:val="5B9B1474"/>
    <w:rsid w:val="5BAE2A99"/>
    <w:rsid w:val="5BED49A4"/>
    <w:rsid w:val="5C0E02BC"/>
    <w:rsid w:val="5C1717D9"/>
    <w:rsid w:val="5C20031E"/>
    <w:rsid w:val="5C61170E"/>
    <w:rsid w:val="5C71214E"/>
    <w:rsid w:val="5C87321A"/>
    <w:rsid w:val="5CB139A0"/>
    <w:rsid w:val="5CD938B8"/>
    <w:rsid w:val="5D1F61F2"/>
    <w:rsid w:val="5D741D9C"/>
    <w:rsid w:val="5D8A71D2"/>
    <w:rsid w:val="5D95607F"/>
    <w:rsid w:val="5DD54801"/>
    <w:rsid w:val="5DE56A37"/>
    <w:rsid w:val="5E4758E5"/>
    <w:rsid w:val="5E8E5AC1"/>
    <w:rsid w:val="5E921C4D"/>
    <w:rsid w:val="5EB45B8B"/>
    <w:rsid w:val="5EE83EB0"/>
    <w:rsid w:val="5F4A434F"/>
    <w:rsid w:val="5FD542E1"/>
    <w:rsid w:val="6001186C"/>
    <w:rsid w:val="60614B4F"/>
    <w:rsid w:val="614E3A65"/>
    <w:rsid w:val="61BC4DC2"/>
    <w:rsid w:val="62183117"/>
    <w:rsid w:val="62677C6F"/>
    <w:rsid w:val="62886DAA"/>
    <w:rsid w:val="632C0931"/>
    <w:rsid w:val="634675E2"/>
    <w:rsid w:val="638962A8"/>
    <w:rsid w:val="639C401C"/>
    <w:rsid w:val="63F4509F"/>
    <w:rsid w:val="64041CCC"/>
    <w:rsid w:val="642060FA"/>
    <w:rsid w:val="64BF36B4"/>
    <w:rsid w:val="64C76A4D"/>
    <w:rsid w:val="64F83C5B"/>
    <w:rsid w:val="64FE6613"/>
    <w:rsid w:val="656D5F6B"/>
    <w:rsid w:val="65BF2A76"/>
    <w:rsid w:val="66980FBD"/>
    <w:rsid w:val="66E921DE"/>
    <w:rsid w:val="672B39CE"/>
    <w:rsid w:val="67341FB4"/>
    <w:rsid w:val="67906B31"/>
    <w:rsid w:val="67F03A67"/>
    <w:rsid w:val="684735A5"/>
    <w:rsid w:val="68881403"/>
    <w:rsid w:val="69294622"/>
    <w:rsid w:val="696572B2"/>
    <w:rsid w:val="69995CD6"/>
    <w:rsid w:val="69CA0494"/>
    <w:rsid w:val="69FB4D8B"/>
    <w:rsid w:val="6A571054"/>
    <w:rsid w:val="6AB1213C"/>
    <w:rsid w:val="6AB35606"/>
    <w:rsid w:val="6B004557"/>
    <w:rsid w:val="6C2234CC"/>
    <w:rsid w:val="6C41469C"/>
    <w:rsid w:val="6C541469"/>
    <w:rsid w:val="6C582EA2"/>
    <w:rsid w:val="6C863FC4"/>
    <w:rsid w:val="6CAC6174"/>
    <w:rsid w:val="6D32159C"/>
    <w:rsid w:val="6D351CF7"/>
    <w:rsid w:val="6EB746A7"/>
    <w:rsid w:val="6F34277B"/>
    <w:rsid w:val="6F832092"/>
    <w:rsid w:val="6FE36BD0"/>
    <w:rsid w:val="704D75D1"/>
    <w:rsid w:val="70506DB5"/>
    <w:rsid w:val="7072440C"/>
    <w:rsid w:val="7092622D"/>
    <w:rsid w:val="70D66EEA"/>
    <w:rsid w:val="70F02C62"/>
    <w:rsid w:val="71323FFD"/>
    <w:rsid w:val="718D577F"/>
    <w:rsid w:val="71A516A7"/>
    <w:rsid w:val="71CB356E"/>
    <w:rsid w:val="71EC2A56"/>
    <w:rsid w:val="723972A7"/>
    <w:rsid w:val="72591F44"/>
    <w:rsid w:val="737E090F"/>
    <w:rsid w:val="73A932F4"/>
    <w:rsid w:val="741756AE"/>
    <w:rsid w:val="741A563C"/>
    <w:rsid w:val="74E651D2"/>
    <w:rsid w:val="751414C1"/>
    <w:rsid w:val="752B0740"/>
    <w:rsid w:val="755446EC"/>
    <w:rsid w:val="755E1E93"/>
    <w:rsid w:val="75752706"/>
    <w:rsid w:val="75AB4839"/>
    <w:rsid w:val="76015A01"/>
    <w:rsid w:val="764D727E"/>
    <w:rsid w:val="767C5E46"/>
    <w:rsid w:val="76905AFE"/>
    <w:rsid w:val="769A0F40"/>
    <w:rsid w:val="76B625A7"/>
    <w:rsid w:val="76D609C3"/>
    <w:rsid w:val="771F6DC1"/>
    <w:rsid w:val="787D7581"/>
    <w:rsid w:val="78AF68A0"/>
    <w:rsid w:val="78C15F7F"/>
    <w:rsid w:val="78C37659"/>
    <w:rsid w:val="790B56C3"/>
    <w:rsid w:val="7A4C53AF"/>
    <w:rsid w:val="7A7404E6"/>
    <w:rsid w:val="7AEB5510"/>
    <w:rsid w:val="7BC16393"/>
    <w:rsid w:val="7C1D0C87"/>
    <w:rsid w:val="7C39335E"/>
    <w:rsid w:val="7DB132F4"/>
    <w:rsid w:val="7DE1586C"/>
    <w:rsid w:val="7E4C7A10"/>
    <w:rsid w:val="7E583278"/>
    <w:rsid w:val="7E77242D"/>
    <w:rsid w:val="7EB52D4A"/>
    <w:rsid w:val="7EC43622"/>
    <w:rsid w:val="7EEC1A19"/>
    <w:rsid w:val="7F0A2998"/>
    <w:rsid w:val="7F0B0D76"/>
    <w:rsid w:val="7F130E11"/>
    <w:rsid w:val="7F1B47A2"/>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4"/>
    <w:qFormat/>
    <w:uiPriority w:val="0"/>
    <w:rPr>
      <w:rFonts w:ascii="Times New Roman" w:hAnsi="Times New Roman" w:eastAsia="宋体" w:cs="Times New Roman"/>
      <w:color w:val="FF0000"/>
      <w:sz w:val="24"/>
      <w:szCs w:val="24"/>
    </w:rPr>
  </w:style>
  <w:style w:type="paragraph" w:styleId="10">
    <w:name w:val="Body Text"/>
    <w:basedOn w:val="1"/>
    <w:link w:val="35"/>
    <w:semiHidden/>
    <w:unhideWhenUsed/>
    <w:qFormat/>
    <w:uiPriority w:val="99"/>
    <w:pPr>
      <w:spacing w:after="120"/>
    </w:pPr>
  </w:style>
  <w:style w:type="paragraph" w:styleId="11">
    <w:name w:val="Body Text Indent"/>
    <w:basedOn w:val="1"/>
    <w:link w:val="57"/>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Balloon Text"/>
    <w:basedOn w:val="1"/>
    <w:link w:val="58"/>
    <w:semiHidden/>
    <w:unhideWhenUsed/>
    <w:qFormat/>
    <w:uiPriority w:val="99"/>
    <w:rPr>
      <w:sz w:val="18"/>
      <w:szCs w:val="18"/>
    </w:rPr>
  </w:style>
  <w:style w:type="paragraph" w:styleId="17">
    <w:name w:val="footer"/>
    <w:basedOn w:val="1"/>
    <w:link w:val="38"/>
    <w:unhideWhenUsed/>
    <w:qFormat/>
    <w:uiPriority w:val="99"/>
    <w:pPr>
      <w:tabs>
        <w:tab w:val="center" w:pos="4153"/>
        <w:tab w:val="right" w:pos="8306"/>
      </w:tabs>
      <w:snapToGrid w:val="0"/>
      <w:jc w:val="left"/>
    </w:pPr>
    <w:rPr>
      <w:sz w:val="18"/>
      <w:szCs w:val="18"/>
    </w:rPr>
  </w:style>
  <w:style w:type="paragraph" w:styleId="18">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4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41"/>
    <w:qFormat/>
    <w:uiPriority w:val="0"/>
    <w:pPr>
      <w:ind w:firstLine="420" w:firstLineChars="100"/>
    </w:pPr>
    <w:rPr>
      <w:rFonts w:ascii="宋体" w:hAnsi="Times New Roman" w:eastAsia="宋体" w:cs="Times New Roman"/>
      <w:kern w:val="0"/>
      <w:sz w:val="34"/>
      <w:szCs w:val="20"/>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character" w:customStyle="1" w:styleId="30">
    <w:name w:val="标题 1 Char"/>
    <w:basedOn w:val="25"/>
    <w:link w:val="3"/>
    <w:qFormat/>
    <w:uiPriority w:val="0"/>
    <w:rPr>
      <w:rFonts w:ascii="Calibri" w:hAnsi="Calibri" w:eastAsia="宋体" w:cs="Times New Roman"/>
      <w:b/>
      <w:bCs/>
      <w:kern w:val="44"/>
      <w:sz w:val="44"/>
      <w:szCs w:val="44"/>
    </w:rPr>
  </w:style>
  <w:style w:type="character" w:customStyle="1" w:styleId="31">
    <w:name w:val="标题 2 Char"/>
    <w:basedOn w:val="25"/>
    <w:link w:val="4"/>
    <w:qFormat/>
    <w:uiPriority w:val="0"/>
    <w:rPr>
      <w:rFonts w:ascii="Arial" w:hAnsi="Arial" w:eastAsia="黑体" w:cs="Times New Roman"/>
      <w:b/>
      <w:bCs/>
      <w:sz w:val="32"/>
      <w:szCs w:val="32"/>
    </w:rPr>
  </w:style>
  <w:style w:type="character" w:customStyle="1" w:styleId="32">
    <w:name w:val="标题 3 Char"/>
    <w:basedOn w:val="25"/>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5"/>
    <w:link w:val="6"/>
    <w:qFormat/>
    <w:uiPriority w:val="0"/>
    <w:rPr>
      <w:rFonts w:ascii="Arial" w:hAnsi="Arial" w:eastAsia="黑体" w:cs="Times New Roman"/>
      <w:b/>
      <w:bCs/>
      <w:sz w:val="28"/>
      <w:szCs w:val="28"/>
    </w:rPr>
  </w:style>
  <w:style w:type="character" w:customStyle="1" w:styleId="34">
    <w:name w:val="正文文本 3 Char"/>
    <w:basedOn w:val="25"/>
    <w:link w:val="9"/>
    <w:qFormat/>
    <w:uiPriority w:val="0"/>
    <w:rPr>
      <w:rFonts w:ascii="Times New Roman" w:hAnsi="Times New Roman" w:eastAsia="宋体" w:cs="Times New Roman"/>
      <w:color w:val="FF0000"/>
      <w:sz w:val="24"/>
      <w:szCs w:val="24"/>
    </w:rPr>
  </w:style>
  <w:style w:type="character" w:customStyle="1" w:styleId="35">
    <w:name w:val="正文文本 Char"/>
    <w:basedOn w:val="25"/>
    <w:link w:val="10"/>
    <w:semiHidden/>
    <w:qFormat/>
    <w:uiPriority w:val="99"/>
  </w:style>
  <w:style w:type="character" w:customStyle="1" w:styleId="36">
    <w:name w:val="纯文本 Char"/>
    <w:basedOn w:val="25"/>
    <w:link w:val="14"/>
    <w:qFormat/>
    <w:uiPriority w:val="0"/>
    <w:rPr>
      <w:rFonts w:eastAsia="宋体"/>
      <w:sz w:val="24"/>
    </w:rPr>
  </w:style>
  <w:style w:type="character" w:customStyle="1" w:styleId="37">
    <w:name w:val="日期 Char"/>
    <w:basedOn w:val="25"/>
    <w:link w:val="15"/>
    <w:qFormat/>
    <w:uiPriority w:val="99"/>
  </w:style>
  <w:style w:type="character" w:customStyle="1" w:styleId="38">
    <w:name w:val="页脚 Char"/>
    <w:basedOn w:val="25"/>
    <w:link w:val="17"/>
    <w:qFormat/>
    <w:uiPriority w:val="99"/>
    <w:rPr>
      <w:sz w:val="18"/>
      <w:szCs w:val="18"/>
    </w:rPr>
  </w:style>
  <w:style w:type="character" w:customStyle="1" w:styleId="39">
    <w:name w:val="页眉 Char"/>
    <w:basedOn w:val="25"/>
    <w:link w:val="18"/>
    <w:qFormat/>
    <w:uiPriority w:val="99"/>
    <w:rPr>
      <w:sz w:val="18"/>
      <w:szCs w:val="18"/>
    </w:rPr>
  </w:style>
  <w:style w:type="character" w:customStyle="1" w:styleId="40">
    <w:name w:val="HTML 预设格式 Char"/>
    <w:basedOn w:val="25"/>
    <w:link w:val="20"/>
    <w:semiHidden/>
    <w:qFormat/>
    <w:uiPriority w:val="99"/>
    <w:rPr>
      <w:rFonts w:ascii="宋体" w:hAnsi="宋体" w:eastAsia="宋体" w:cs="宋体"/>
      <w:kern w:val="0"/>
      <w:sz w:val="24"/>
      <w:szCs w:val="24"/>
    </w:rPr>
  </w:style>
  <w:style w:type="character" w:customStyle="1" w:styleId="41">
    <w:name w:val="正文首行缩进 Char"/>
    <w:basedOn w:val="35"/>
    <w:link w:val="22"/>
    <w:qFormat/>
    <w:uiPriority w:val="0"/>
    <w:rPr>
      <w:rFonts w:ascii="宋体" w:hAnsi="Times New Roman" w:eastAsia="宋体" w:cs="Times New Roman"/>
      <w:kern w:val="0"/>
      <w:sz w:val="34"/>
      <w:szCs w:val="20"/>
    </w:rPr>
  </w:style>
  <w:style w:type="character" w:customStyle="1" w:styleId="42">
    <w:name w:val="纯文本 Char1"/>
    <w:qFormat/>
    <w:uiPriority w:val="0"/>
    <w:rPr>
      <w:rFonts w:eastAsia="宋体"/>
      <w:sz w:val="24"/>
    </w:rPr>
  </w:style>
  <w:style w:type="paragraph" w:customStyle="1" w:styleId="4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4">
    <w:name w:val="列出段落1"/>
    <w:basedOn w:val="1"/>
    <w:qFormat/>
    <w:uiPriority w:val="34"/>
    <w:pPr>
      <w:ind w:firstLine="420" w:firstLineChars="200"/>
    </w:pPr>
  </w:style>
  <w:style w:type="paragraph" w:styleId="45">
    <w:name w:val="List Paragraph"/>
    <w:basedOn w:val="1"/>
    <w:unhideWhenUsed/>
    <w:qFormat/>
    <w:uiPriority w:val="99"/>
    <w:pPr>
      <w:ind w:firstLine="420" w:firstLineChars="200"/>
    </w:pPr>
  </w:style>
  <w:style w:type="character" w:customStyle="1" w:styleId="46">
    <w:name w:val="正文文本缩进 Char Char"/>
    <w:link w:val="47"/>
    <w:qFormat/>
    <w:uiPriority w:val="0"/>
    <w:rPr>
      <w:rFonts w:ascii="宋体"/>
      <w:sz w:val="24"/>
    </w:rPr>
  </w:style>
  <w:style w:type="paragraph" w:customStyle="1" w:styleId="47">
    <w:name w:val="正文文本缩进1"/>
    <w:basedOn w:val="1"/>
    <w:link w:val="46"/>
    <w:qFormat/>
    <w:uiPriority w:val="0"/>
    <w:pPr>
      <w:spacing w:line="360" w:lineRule="auto"/>
      <w:ind w:firstLine="480" w:firstLineChars="200"/>
    </w:pPr>
    <w:rPr>
      <w:rFonts w:ascii="宋体"/>
      <w:sz w:val="24"/>
    </w:rPr>
  </w:style>
  <w:style w:type="character" w:customStyle="1" w:styleId="48">
    <w:name w:val="日期 Char Char"/>
    <w:link w:val="49"/>
    <w:qFormat/>
    <w:uiPriority w:val="0"/>
    <w:rPr>
      <w:sz w:val="24"/>
    </w:rPr>
  </w:style>
  <w:style w:type="paragraph" w:customStyle="1" w:styleId="49">
    <w:name w:val="日期1"/>
    <w:basedOn w:val="1"/>
    <w:next w:val="1"/>
    <w:link w:val="48"/>
    <w:qFormat/>
    <w:uiPriority w:val="0"/>
    <w:rPr>
      <w:sz w:val="24"/>
    </w:rPr>
  </w:style>
  <w:style w:type="paragraph" w:customStyle="1" w:styleId="5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1">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2">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3">
    <w:name w:val="edittexttarea"/>
    <w:basedOn w:val="25"/>
    <w:qFormat/>
    <w:uiPriority w:val="0"/>
  </w:style>
  <w:style w:type="paragraph" w:customStyle="1" w:styleId="54">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6">
    <w:name w:val="正文文本缩进 Char"/>
    <w:link w:val="11"/>
    <w:qFormat/>
    <w:uiPriority w:val="0"/>
    <w:rPr>
      <w:sz w:val="24"/>
    </w:rPr>
  </w:style>
  <w:style w:type="character" w:customStyle="1" w:styleId="57">
    <w:name w:val="正文文本缩进 Char1"/>
    <w:basedOn w:val="25"/>
    <w:link w:val="11"/>
    <w:semiHidden/>
    <w:qFormat/>
    <w:uiPriority w:val="99"/>
    <w:rPr>
      <w:kern w:val="2"/>
      <w:sz w:val="21"/>
      <w:szCs w:val="22"/>
    </w:rPr>
  </w:style>
  <w:style w:type="character" w:customStyle="1" w:styleId="58">
    <w:name w:val="批注框文本 Char"/>
    <w:basedOn w:val="25"/>
    <w:link w:val="16"/>
    <w:semiHidden/>
    <w:qFormat/>
    <w:uiPriority w:val="99"/>
    <w:rPr>
      <w:kern w:val="2"/>
      <w:sz w:val="18"/>
      <w:szCs w:val="18"/>
    </w:rPr>
  </w:style>
  <w:style w:type="character" w:customStyle="1" w:styleId="59">
    <w:name w:val="样式 标书正文 + 下划线 Char"/>
    <w:qFormat/>
    <w:uiPriority w:val="0"/>
    <w:rPr>
      <w:rFonts w:eastAsia="Ari"/>
      <w:kern w:val="2"/>
      <w:sz w:val="28"/>
      <w:szCs w:val="28"/>
      <w:u w:val="single"/>
      <w:lang w:val="en-US" w:eastAsia="zh-CN"/>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1">
    <w:name w:val="Plain Text"/>
    <w:basedOn w:val="1"/>
    <w:qFormat/>
    <w:uiPriority w:val="0"/>
    <w:rPr>
      <w:rFonts w:ascii="宋体" w:hAnsi="Courier New"/>
      <w:kern w:val="0"/>
      <w:sz w:val="20"/>
      <w:szCs w:val="21"/>
    </w:rPr>
  </w:style>
  <w:style w:type="paragraph" w:customStyle="1" w:styleId="62">
    <w:name w:val="无间隔1"/>
    <w:basedOn w:val="1"/>
    <w:qFormat/>
    <w:uiPriority w:val="0"/>
    <w:pPr>
      <w:spacing w:line="400" w:lineRule="exact"/>
    </w:pPr>
    <w:rPr>
      <w:sz w:val="24"/>
    </w:rPr>
  </w:style>
  <w:style w:type="paragraph" w:styleId="6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8</TotalTime>
  <ScaleCrop>false</ScaleCrop>
  <LinksUpToDate>false</LinksUpToDate>
  <CharactersWithSpaces>34645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禹州市公共资源交易中心:艾明辉</cp:lastModifiedBy>
  <cp:lastPrinted>2018-03-20T03:26:00Z</cp:lastPrinted>
  <dcterms:modified xsi:type="dcterms:W3CDTF">2020-01-13T07:45:53Z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