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0" w:firstLineChars="300"/>
        <w:jc w:val="center"/>
        <w:rPr>
          <w:rFonts w:hint="eastAsia" w:ascii="黑体" w:hAnsi="黑体" w:eastAsia="黑体" w:cs="黑体"/>
          <w:b w:val="0"/>
          <w:bCs w:val="0"/>
          <w:sz w:val="44"/>
          <w:szCs w:val="44"/>
        </w:rPr>
      </w:pPr>
      <w:bookmarkStart w:id="81" w:name="_GoBack"/>
    </w:p>
    <w:p>
      <w:pPr>
        <w:jc w:val="center"/>
        <w:rPr>
          <w:rFonts w:hint="eastAsia" w:ascii="黑体" w:hAnsi="黑体" w:eastAsia="黑体" w:cs="黑体"/>
          <w:kern w:val="0"/>
          <w:sz w:val="36"/>
          <w:szCs w:val="36"/>
        </w:rPr>
      </w:pPr>
      <w:r>
        <w:rPr>
          <w:rFonts w:hint="eastAsia" w:ascii="黑体" w:hAnsi="黑体" w:eastAsia="黑体" w:cs="黑体"/>
          <w:kern w:val="0"/>
          <w:sz w:val="36"/>
          <w:szCs w:val="36"/>
        </w:rPr>
        <w:t>中共禹州市委老干部局</w:t>
      </w:r>
    </w:p>
    <w:p>
      <w:pPr>
        <w:jc w:val="center"/>
        <w:rPr>
          <w:rFonts w:hint="eastAsia" w:ascii="黑体" w:hAnsi="黑体" w:eastAsia="黑体" w:cs="黑体"/>
          <w:kern w:val="0"/>
          <w:sz w:val="36"/>
          <w:szCs w:val="36"/>
        </w:rPr>
      </w:pPr>
      <w:r>
        <w:rPr>
          <w:rFonts w:hint="eastAsia" w:ascii="黑体" w:hAnsi="黑体" w:eastAsia="黑体" w:cs="黑体"/>
          <w:kern w:val="0"/>
          <w:sz w:val="36"/>
          <w:szCs w:val="36"/>
        </w:rPr>
        <w:t>2020年春节看望慰问离退休老干部物品采购项目</w:t>
      </w:r>
    </w:p>
    <w:p>
      <w:pPr>
        <w:ind w:firstLine="2209" w:firstLineChars="500"/>
        <w:rPr>
          <w:rFonts w:hint="eastAsia" w:ascii="黑体" w:hAnsi="黑体" w:eastAsia="黑体" w:cs="黑体"/>
          <w:b/>
          <w:bCs/>
          <w:sz w:val="44"/>
          <w:szCs w:val="44"/>
        </w:rPr>
      </w:pPr>
    </w:p>
    <w:p>
      <w:pPr>
        <w:ind w:firstLine="2409" w:firstLineChars="500"/>
        <w:rPr>
          <w:rFonts w:hint="eastAsia" w:ascii="黑体" w:hAnsi="黑体" w:eastAsia="黑体" w:cs="黑体"/>
          <w:b/>
          <w:bCs/>
          <w:sz w:val="48"/>
          <w:szCs w:val="48"/>
        </w:rPr>
      </w:pPr>
    </w:p>
    <w:p>
      <w:pPr>
        <w:ind w:firstLine="2409" w:firstLineChars="500"/>
        <w:rPr>
          <w:rFonts w:hint="eastAsia" w:ascii="黑体" w:hAnsi="黑体" w:eastAsia="黑体" w:cs="黑体"/>
          <w:b/>
          <w:bCs/>
          <w:sz w:val="48"/>
          <w:szCs w:val="48"/>
        </w:rPr>
      </w:pPr>
    </w:p>
    <w:p>
      <w:pPr>
        <w:ind w:firstLine="2409" w:firstLineChars="500"/>
        <w:rPr>
          <w:rFonts w:hint="eastAsia" w:ascii="黑体" w:hAnsi="黑体" w:eastAsia="黑体" w:cs="黑体"/>
          <w:b/>
          <w:bCs/>
          <w:sz w:val="48"/>
          <w:szCs w:val="48"/>
        </w:rPr>
      </w:pPr>
    </w:p>
    <w:p>
      <w:pPr>
        <w:ind w:firstLine="2409" w:firstLineChars="500"/>
        <w:rPr>
          <w:rFonts w:ascii="黑体" w:hAnsi="黑体" w:eastAsia="黑体" w:cs="黑体"/>
          <w:b/>
          <w:bCs/>
          <w:sz w:val="48"/>
          <w:szCs w:val="48"/>
        </w:rPr>
      </w:pPr>
      <w:r>
        <w:rPr>
          <w:rFonts w:hint="eastAsia" w:ascii="黑体" w:hAnsi="黑体" w:eastAsia="黑体" w:cs="黑体"/>
          <w:b/>
          <w:bCs/>
          <w:sz w:val="48"/>
          <w:szCs w:val="48"/>
        </w:rPr>
        <w:t>竞争性谈判文件</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Theme="majorEastAsia" w:hAnsiTheme="majorEastAsia" w:eastAsiaTheme="majorEastAsia" w:cstheme="majorEastAsia"/>
          <w:sz w:val="36"/>
          <w:szCs w:val="36"/>
        </w:rPr>
      </w:pPr>
      <w:r>
        <w:rPr>
          <w:rFonts w:hint="eastAsia" w:asciiTheme="majorEastAsia" w:hAnsiTheme="majorEastAsia" w:eastAsiaTheme="majorEastAsia" w:cstheme="majorEastAsia"/>
          <w:b/>
          <w:bCs/>
          <w:sz w:val="36"/>
          <w:szCs w:val="36"/>
        </w:rPr>
        <w:t xml:space="preserve">     </w:t>
      </w:r>
      <w:r>
        <w:rPr>
          <w:rFonts w:hint="eastAsia" w:asciiTheme="majorEastAsia" w:hAnsiTheme="majorEastAsia" w:eastAsiaTheme="majorEastAsia" w:cstheme="majorEastAsia"/>
          <w:sz w:val="36"/>
          <w:szCs w:val="36"/>
        </w:rPr>
        <w:t xml:space="preserve"> 项目编号：YZCG-T2019</w:t>
      </w:r>
      <w:r>
        <w:rPr>
          <w:rFonts w:hint="eastAsia" w:asciiTheme="majorEastAsia" w:hAnsiTheme="majorEastAsia" w:eastAsiaTheme="majorEastAsia" w:cstheme="majorEastAsia"/>
          <w:sz w:val="36"/>
          <w:szCs w:val="36"/>
          <w:lang w:val="en-US" w:eastAsia="zh-CN"/>
        </w:rPr>
        <w:t>3</w:t>
      </w:r>
      <w:r>
        <w:rPr>
          <w:rFonts w:hint="eastAsia" w:asciiTheme="majorEastAsia" w:hAnsiTheme="majorEastAsia" w:eastAsiaTheme="majorEastAsia" w:cstheme="majorEastAsia"/>
          <w:sz w:val="36"/>
          <w:szCs w:val="36"/>
        </w:rPr>
        <w:t>69</w:t>
      </w:r>
    </w:p>
    <w:p>
      <w:pPr>
        <w:ind w:firstLine="1080" w:firstLineChars="300"/>
        <w:rPr>
          <w:rFonts w:asciiTheme="majorEastAsia" w:hAnsiTheme="majorEastAsia" w:eastAsiaTheme="majorEastAsia" w:cstheme="majorEastAsia"/>
          <w:sz w:val="36"/>
          <w:szCs w:val="36"/>
        </w:rPr>
      </w:pPr>
      <w:r>
        <w:rPr>
          <w:rFonts w:hint="eastAsia" w:asciiTheme="majorEastAsia" w:hAnsiTheme="majorEastAsia" w:eastAsiaTheme="majorEastAsia" w:cstheme="majorEastAsia"/>
          <w:sz w:val="36"/>
          <w:szCs w:val="36"/>
        </w:rPr>
        <w:t>采购单位：中共禹州市委老干部局</w:t>
      </w:r>
    </w:p>
    <w:p>
      <w:pPr>
        <w:ind w:firstLine="1080" w:firstLineChars="300"/>
        <w:rPr>
          <w:rFonts w:asciiTheme="majorEastAsia" w:hAnsiTheme="majorEastAsia" w:eastAsiaTheme="majorEastAsia" w:cstheme="majorEastAsia"/>
          <w:sz w:val="36"/>
          <w:szCs w:val="36"/>
        </w:rPr>
      </w:pPr>
      <w:r>
        <w:rPr>
          <w:rFonts w:hint="eastAsia" w:asciiTheme="majorEastAsia" w:hAnsiTheme="majorEastAsia" w:eastAsiaTheme="majorEastAsia" w:cstheme="majorEastAsia"/>
          <w:sz w:val="36"/>
          <w:szCs w:val="36"/>
        </w:rPr>
        <w:t>代理机构：禹州市政府采购中心</w:t>
      </w:r>
    </w:p>
    <w:p>
      <w:pPr>
        <w:rPr>
          <w:rFonts w:asciiTheme="majorEastAsia" w:hAnsiTheme="majorEastAsia" w:eastAsiaTheme="majorEastAsia" w:cstheme="majorEastAsia"/>
          <w:b/>
          <w:bCs/>
          <w:sz w:val="36"/>
          <w:szCs w:val="36"/>
        </w:rPr>
      </w:pPr>
    </w:p>
    <w:p>
      <w:pPr>
        <w:pStyle w:val="2"/>
        <w:ind w:firstLine="340"/>
      </w:pP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二〇二〇年一月</w:t>
      </w:r>
    </w:p>
    <w:p>
      <w:pPr>
        <w:pStyle w:val="2"/>
        <w:ind w:firstLine="340"/>
      </w:pPr>
    </w:p>
    <w:p>
      <w:pPr>
        <w:pStyle w:val="2"/>
        <w:ind w:firstLine="340"/>
      </w:pPr>
    </w:p>
    <w:p>
      <w:pPr>
        <w:pStyle w:val="2"/>
        <w:ind w:left="0" w:leftChars="0" w:firstLine="0" w:firstLineChars="0"/>
      </w:pPr>
    </w:p>
    <w:p>
      <w:pPr>
        <w:autoSpaceDE w:val="0"/>
        <w:autoSpaceDN w:val="0"/>
        <w:adjustRightInd w:val="0"/>
        <w:spacing w:line="700" w:lineRule="exact"/>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谈判邀请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采购需求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供应商须知前附表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供应商须知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二、采购文件说明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三、响应文件的编制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四、响应文件的递交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五、谈判和评审</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六、确认成交供应商和授予合同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资格审查与评审</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0"/>
          <w:szCs w:val="30"/>
        </w:rPr>
        <w:t>合同书格式及合同条款</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响应文件有关格式</w:t>
      </w:r>
    </w:p>
    <w:p>
      <w:pPr>
        <w:widowControl/>
        <w:jc w:val="left"/>
        <w:rPr>
          <w:rFonts w:ascii="宋体" w:hAnsi="宋体" w:eastAsia="宋体" w:cs="宋体"/>
          <w:b/>
          <w:sz w:val="36"/>
          <w:szCs w:val="36"/>
          <w:shd w:val="clear" w:color="auto" w:fill="FFFFFF"/>
        </w:rPr>
      </w:pPr>
    </w:p>
    <w:p>
      <w:pPr>
        <w:numPr>
          <w:ilvl w:val="0"/>
          <w:numId w:val="4"/>
        </w:num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谈判邀请</w:t>
      </w:r>
    </w:p>
    <w:p>
      <w:pPr>
        <w:widowControl/>
        <w:shd w:val="clear" w:color="auto" w:fill="FFFFFF"/>
        <w:spacing w:line="440" w:lineRule="exact"/>
        <w:jc w:val="left"/>
        <w:rPr>
          <w:rFonts w:ascii="仿宋" w:hAnsi="仿宋" w:eastAsia="仿宋" w:cs="Arial"/>
          <w:color w:val="000000"/>
          <w:kern w:val="0"/>
          <w:sz w:val="32"/>
          <w:szCs w:val="32"/>
        </w:rPr>
      </w:pPr>
    </w:p>
    <w:p>
      <w:pPr>
        <w:spacing w:line="600" w:lineRule="exact"/>
        <w:jc w:val="center"/>
        <w:rPr>
          <w:rFonts w:hint="eastAsia"/>
          <w:b/>
          <w:bCs/>
          <w:sz w:val="32"/>
          <w:szCs w:val="32"/>
        </w:rPr>
      </w:pPr>
      <w:r>
        <w:rPr>
          <w:rFonts w:hint="eastAsia"/>
          <w:b/>
          <w:bCs/>
          <w:sz w:val="32"/>
          <w:szCs w:val="32"/>
        </w:rPr>
        <w:t>中共禹州市委老干部局</w:t>
      </w:r>
    </w:p>
    <w:p>
      <w:pPr>
        <w:spacing w:line="600" w:lineRule="exact"/>
        <w:jc w:val="center"/>
        <w:rPr>
          <w:rFonts w:hint="eastAsia"/>
          <w:b/>
          <w:bCs/>
          <w:sz w:val="32"/>
          <w:szCs w:val="32"/>
        </w:rPr>
      </w:pPr>
      <w:r>
        <w:rPr>
          <w:rFonts w:hint="eastAsia"/>
          <w:b/>
          <w:bCs/>
          <w:sz w:val="32"/>
          <w:szCs w:val="32"/>
        </w:rPr>
        <w:t>2020年春节看望慰问离退休老干部物品采购项目</w:t>
      </w:r>
    </w:p>
    <w:p>
      <w:pPr>
        <w:spacing w:line="600" w:lineRule="exact"/>
        <w:jc w:val="center"/>
        <w:rPr>
          <w:rFonts w:hint="eastAsia" w:eastAsiaTheme="minorEastAsia"/>
          <w:b/>
          <w:bCs/>
          <w:sz w:val="32"/>
          <w:szCs w:val="32"/>
          <w:lang w:val="en-US" w:eastAsia="zh-CN"/>
        </w:rPr>
      </w:pPr>
      <w:r>
        <w:rPr>
          <w:rFonts w:hint="eastAsia"/>
          <w:b/>
          <w:bCs/>
          <w:sz w:val="32"/>
          <w:szCs w:val="32"/>
        </w:rPr>
        <w:t>竞争性谈判</w:t>
      </w:r>
      <w:r>
        <w:rPr>
          <w:rFonts w:hint="eastAsia"/>
          <w:b/>
          <w:bCs/>
          <w:sz w:val="32"/>
          <w:szCs w:val="32"/>
          <w:lang w:eastAsia="zh-CN"/>
        </w:rPr>
        <w:t>邀请函</w:t>
      </w:r>
    </w:p>
    <w:p>
      <w:pPr>
        <w:spacing w:line="600" w:lineRule="exact"/>
        <w:jc w:val="center"/>
        <w:rPr>
          <w:b/>
          <w:bCs/>
          <w:sz w:val="44"/>
          <w:szCs w:val="44"/>
        </w:rPr>
      </w:pPr>
    </w:p>
    <w:p>
      <w:pPr>
        <w:spacing w:line="4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禹州市政府采购中心受中共禹州市委老干部局的委托，就“中共禹州市委老干部局2020年春节看望慰问离退休老干部物品采购项目”进行竞争性谈判，欢迎合格的投标人前来投标。</w:t>
      </w:r>
    </w:p>
    <w:p>
      <w:pPr>
        <w:widowControl/>
        <w:numPr>
          <w:ilvl w:val="0"/>
          <w:numId w:val="5"/>
        </w:numPr>
        <w:shd w:val="clear" w:color="auto" w:fill="FFFFFF"/>
        <w:spacing w:line="440" w:lineRule="exact"/>
        <w:ind w:firstLine="482"/>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项目基本情况</w:t>
      </w:r>
    </w:p>
    <w:p>
      <w:pPr>
        <w:widowControl/>
        <w:shd w:val="clear" w:color="auto" w:fill="FFFFFF"/>
        <w:spacing w:line="44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1、采购人：中共禹州市委老干部局</w:t>
      </w:r>
    </w:p>
    <w:p>
      <w:pPr>
        <w:widowControl/>
        <w:shd w:val="clear" w:color="auto" w:fill="FFFFFF"/>
        <w:spacing w:line="440" w:lineRule="exact"/>
        <w:jc w:val="left"/>
        <w:rPr>
          <w:rFonts w:hint="eastAsia" w:ascii="新宋体" w:hAnsi="新宋体" w:eastAsia="新宋体" w:cs="新宋体"/>
          <w:sz w:val="24"/>
          <w:szCs w:val="24"/>
        </w:rPr>
      </w:pPr>
      <w:r>
        <w:rPr>
          <w:rFonts w:hint="eastAsia" w:ascii="新宋体" w:hAnsi="新宋体" w:eastAsia="新宋体" w:cs="新宋体"/>
          <w:color w:val="000000"/>
          <w:kern w:val="0"/>
          <w:sz w:val="24"/>
          <w:szCs w:val="24"/>
        </w:rPr>
        <w:t>2、项目名称：</w:t>
      </w:r>
      <w:r>
        <w:rPr>
          <w:rFonts w:hint="eastAsia" w:ascii="新宋体" w:hAnsi="新宋体" w:eastAsia="新宋体" w:cs="新宋体"/>
          <w:sz w:val="24"/>
          <w:szCs w:val="24"/>
        </w:rPr>
        <w:t>中共禹州市委老干部局2020年春节看望慰问离退休老干部物品采购项目</w:t>
      </w:r>
    </w:p>
    <w:p>
      <w:pPr>
        <w:widowControl/>
        <w:shd w:val="clear" w:color="auto" w:fill="FFFFFF"/>
        <w:spacing w:line="440" w:lineRule="exact"/>
        <w:jc w:val="left"/>
        <w:rPr>
          <w:rFonts w:hint="eastAsia" w:ascii="新宋体" w:hAnsi="新宋体" w:eastAsia="新宋体" w:cs="新宋体"/>
          <w:sz w:val="24"/>
          <w:szCs w:val="24"/>
        </w:rPr>
      </w:pPr>
      <w:r>
        <w:rPr>
          <w:rFonts w:hint="eastAsia" w:ascii="新宋体" w:hAnsi="新宋体" w:eastAsia="新宋体" w:cs="新宋体"/>
          <w:color w:val="000000"/>
          <w:kern w:val="0"/>
          <w:sz w:val="24"/>
          <w:szCs w:val="24"/>
        </w:rPr>
        <w:t>3、采购编号：</w:t>
      </w:r>
      <w:r>
        <w:rPr>
          <w:rFonts w:hint="eastAsia" w:ascii="新宋体" w:hAnsi="新宋体" w:eastAsia="新宋体" w:cs="新宋体"/>
          <w:sz w:val="24"/>
          <w:szCs w:val="24"/>
        </w:rPr>
        <w:t>YZCG-T2019369</w:t>
      </w:r>
    </w:p>
    <w:p>
      <w:pPr>
        <w:widowControl/>
        <w:shd w:val="clear" w:color="auto" w:fill="FFFFFF"/>
        <w:spacing w:line="440" w:lineRule="exact"/>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4、项目需求：米面油</w:t>
      </w:r>
      <w:r>
        <w:rPr>
          <w:rFonts w:hint="eastAsia" w:ascii="新宋体" w:hAnsi="新宋体" w:eastAsia="新宋体" w:cs="新宋体"/>
          <w:color w:val="000000"/>
          <w:kern w:val="0"/>
          <w:sz w:val="24"/>
          <w:szCs w:val="24"/>
          <w:lang w:eastAsia="zh-CN"/>
        </w:rPr>
        <w:t>一批</w:t>
      </w:r>
      <w:r>
        <w:rPr>
          <w:rFonts w:hint="eastAsia" w:ascii="新宋体" w:hAnsi="新宋体" w:eastAsia="新宋体" w:cs="新宋体"/>
          <w:sz w:val="24"/>
          <w:szCs w:val="24"/>
        </w:rPr>
        <w:t>（详见谈判文件）</w:t>
      </w:r>
    </w:p>
    <w:p>
      <w:pPr>
        <w:widowControl/>
        <w:shd w:val="clear" w:color="auto" w:fill="FFFFFF"/>
        <w:spacing w:line="44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5、采购预算：38.1840万元</w:t>
      </w:r>
    </w:p>
    <w:p>
      <w:pPr>
        <w:widowControl/>
        <w:shd w:val="clear" w:color="auto" w:fill="FFFFFF"/>
        <w:spacing w:line="440" w:lineRule="exact"/>
        <w:ind w:firstLine="354" w:firstLineChars="147"/>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二、需要落实的政府采购政策</w:t>
      </w:r>
    </w:p>
    <w:p>
      <w:pPr>
        <w:widowControl/>
        <w:shd w:val="clear" w:color="auto" w:fill="FFFFFF"/>
        <w:spacing w:line="440" w:lineRule="exact"/>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本项目落实节约能源、保护环境、扶持不发达地区和少数民族地区、促进中小企业、监狱企业发展等政府采购政策。（详见谈判文件）</w:t>
      </w:r>
    </w:p>
    <w:p>
      <w:pPr>
        <w:widowControl/>
        <w:numPr>
          <w:ilvl w:val="0"/>
          <w:numId w:val="5"/>
        </w:numPr>
        <w:shd w:val="clear" w:color="auto" w:fill="FFFFFF"/>
        <w:spacing w:line="440" w:lineRule="exact"/>
        <w:ind w:firstLine="482"/>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供应商资格要求</w:t>
      </w:r>
    </w:p>
    <w:p>
      <w:pPr>
        <w:widowControl/>
        <w:shd w:val="clear" w:color="auto" w:fill="FFFFFF"/>
        <w:spacing w:line="440" w:lineRule="exact"/>
        <w:ind w:left="900" w:leftChars="200" w:hanging="480" w:hangingChars="200"/>
        <w:jc w:val="left"/>
        <w:rPr>
          <w:rFonts w:hint="eastAsia" w:ascii="新宋体" w:hAnsi="新宋体" w:eastAsia="新宋体" w:cs="新宋体"/>
          <w:sz w:val="24"/>
          <w:szCs w:val="24"/>
        </w:rPr>
      </w:pPr>
      <w:r>
        <w:rPr>
          <w:rFonts w:hint="eastAsia" w:ascii="新宋体" w:hAnsi="新宋体" w:eastAsia="新宋体" w:cs="新宋体"/>
          <w:sz w:val="24"/>
          <w:szCs w:val="24"/>
        </w:rPr>
        <w:t>1、符合《政府采购法》第二十二条之规定，具有相应的经营范围（以营业执照为准）；</w:t>
      </w:r>
    </w:p>
    <w:p>
      <w:pPr>
        <w:widowControl/>
        <w:shd w:val="clear" w:color="auto" w:fill="FFFFFF"/>
        <w:spacing w:line="440" w:lineRule="exact"/>
        <w:ind w:left="360" w:firstLine="120" w:firstLineChars="50"/>
        <w:jc w:val="left"/>
        <w:rPr>
          <w:rFonts w:hint="eastAsia" w:ascii="新宋体" w:hAnsi="新宋体" w:eastAsia="新宋体" w:cs="新宋体"/>
          <w:sz w:val="24"/>
          <w:szCs w:val="24"/>
        </w:rPr>
      </w:pPr>
      <w:r>
        <w:rPr>
          <w:rFonts w:hint="eastAsia" w:ascii="新宋体" w:hAnsi="新宋体" w:eastAsia="新宋体" w:cs="新宋体"/>
          <w:sz w:val="24"/>
          <w:szCs w:val="24"/>
        </w:rPr>
        <w:t xml:space="preserve">2、供应商须具有《食品流通许可证》或《食品经营许可证》 </w:t>
      </w:r>
    </w:p>
    <w:p>
      <w:pPr>
        <w:widowControl/>
        <w:shd w:val="clear" w:color="auto" w:fill="FFFFFF"/>
        <w:spacing w:line="400" w:lineRule="exact"/>
        <w:ind w:left="482"/>
        <w:jc w:val="left"/>
        <w:rPr>
          <w:rFonts w:hint="eastAsia" w:ascii="新宋体" w:hAnsi="新宋体" w:eastAsia="新宋体" w:cs="新宋体"/>
          <w:sz w:val="24"/>
          <w:szCs w:val="24"/>
        </w:rPr>
      </w:pPr>
      <w:r>
        <w:rPr>
          <w:rFonts w:hint="eastAsia" w:ascii="新宋体" w:hAnsi="新宋体" w:eastAsia="新宋体" w:cs="新宋体"/>
          <w:sz w:val="24"/>
          <w:szCs w:val="24"/>
        </w:rPr>
        <w:t>3、被委托人须是本单位职工，须提供公司为本人缴纳社会保险证明：查询网站</w:t>
      </w:r>
      <w:r>
        <w:rPr>
          <w:rFonts w:hint="eastAsia" w:ascii="新宋体" w:hAnsi="新宋体" w:eastAsia="新宋体" w:cs="新宋体"/>
          <w:sz w:val="24"/>
          <w:szCs w:val="24"/>
        </w:rPr>
        <w:fldChar w:fldCharType="begin"/>
      </w:r>
      <w:r>
        <w:rPr>
          <w:rFonts w:hint="eastAsia" w:ascii="新宋体" w:hAnsi="新宋体" w:eastAsia="新宋体" w:cs="新宋体"/>
          <w:sz w:val="24"/>
          <w:szCs w:val="24"/>
        </w:rPr>
        <w:instrText xml:space="preserve">http://222.143.34.121/"</w:instrText>
      </w:r>
      <w:r>
        <w:rPr>
          <w:rFonts w:hint="eastAsia" w:ascii="新宋体" w:hAnsi="新宋体" w:eastAsia="新宋体" w:cs="新宋体"/>
          <w:sz w:val="24"/>
          <w:szCs w:val="24"/>
        </w:rPr>
        <w:fldChar w:fldCharType="separate"/>
      </w:r>
      <w:r>
        <w:rPr>
          <w:rStyle w:val="28"/>
          <w:rFonts w:hint="eastAsia" w:ascii="新宋体" w:hAnsi="新宋体" w:eastAsia="新宋体" w:cs="新宋体"/>
          <w:sz w:val="24"/>
          <w:szCs w:val="24"/>
        </w:rPr>
        <w:t>http://222.143.34.121/</w:t>
      </w:r>
      <w:r>
        <w:rPr>
          <w:rStyle w:val="28"/>
          <w:rFonts w:hint="eastAsia" w:ascii="新宋体" w:hAnsi="新宋体" w:eastAsia="新宋体" w:cs="新宋体"/>
          <w:sz w:val="24"/>
          <w:szCs w:val="24"/>
        </w:rPr>
        <w:fldChar w:fldCharType="end"/>
      </w:r>
    </w:p>
    <w:p>
      <w:pPr>
        <w:spacing w:line="400" w:lineRule="exact"/>
        <w:ind w:firstLine="360" w:firstLineChars="150"/>
        <w:rPr>
          <w:rFonts w:hint="eastAsia" w:ascii="新宋体" w:hAnsi="新宋体" w:eastAsia="新宋体" w:cs="新宋体"/>
          <w:sz w:val="24"/>
          <w:szCs w:val="24"/>
        </w:rPr>
      </w:pPr>
      <w:r>
        <w:rPr>
          <w:rFonts w:hint="eastAsia" w:ascii="新宋体" w:hAnsi="新宋体" w:eastAsia="新宋体" w:cs="新宋体"/>
          <w:sz w:val="24"/>
          <w:szCs w:val="24"/>
        </w:rPr>
        <w:t>4、本项目不接受联合体投标。</w:t>
      </w:r>
    </w:p>
    <w:p>
      <w:pPr>
        <w:widowControl/>
        <w:shd w:val="clear" w:color="auto" w:fill="FFFFFF"/>
        <w:spacing w:line="440" w:lineRule="exact"/>
        <w:ind w:firstLine="482"/>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四、获取谈判文件的方式、时间、地点</w:t>
      </w:r>
    </w:p>
    <w:p>
      <w:pPr>
        <w:wordWrap w:val="0"/>
        <w:topLinePunct/>
        <w:snapToGrid w:val="0"/>
        <w:spacing w:line="44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1</w:t>
      </w:r>
      <w:r>
        <w:rPr>
          <w:rFonts w:hint="eastAsia" w:ascii="新宋体" w:hAnsi="新宋体" w:eastAsia="新宋体" w:cs="新宋体"/>
          <w:sz w:val="24"/>
          <w:szCs w:val="24"/>
          <w:lang w:val="zh-CN"/>
        </w:rPr>
        <w:t>、持</w:t>
      </w:r>
      <w:r>
        <w:rPr>
          <w:rFonts w:hint="eastAsia" w:ascii="新宋体" w:hAnsi="新宋体" w:eastAsia="新宋体" w:cs="新宋体"/>
          <w:sz w:val="24"/>
          <w:szCs w:val="24"/>
        </w:rPr>
        <w:t>CA</w:t>
      </w:r>
      <w:r>
        <w:rPr>
          <w:rFonts w:hint="eastAsia" w:ascii="新宋体" w:hAnsi="新宋体" w:eastAsia="新宋体" w:cs="新宋体"/>
          <w:sz w:val="24"/>
          <w:szCs w:val="24"/>
          <w:lang w:val="zh-CN"/>
        </w:rPr>
        <w:t>数字认证证书</w:t>
      </w:r>
      <w:r>
        <w:rPr>
          <w:rFonts w:hint="eastAsia" w:ascii="新宋体" w:hAnsi="新宋体" w:eastAsia="新宋体" w:cs="新宋体"/>
          <w:sz w:val="24"/>
          <w:szCs w:val="24"/>
        </w:rPr>
        <w:t>，</w:t>
      </w:r>
      <w:r>
        <w:rPr>
          <w:rFonts w:hint="eastAsia" w:ascii="新宋体" w:hAnsi="新宋体" w:eastAsia="新宋体" w:cs="新宋体"/>
          <w:sz w:val="24"/>
          <w:szCs w:val="24"/>
          <w:lang w:val="zh-CN"/>
        </w:rPr>
        <w:t>登录</w:t>
      </w:r>
      <w:r>
        <w:rPr>
          <w:rFonts w:hint="eastAsia" w:ascii="新宋体" w:hAnsi="新宋体" w:eastAsia="新宋体" w:cs="新宋体"/>
          <w:sz w:val="24"/>
          <w:szCs w:val="24"/>
        </w:rPr>
        <w:fldChar w:fldCharType="begin"/>
      </w:r>
      <w:r>
        <w:rPr>
          <w:rFonts w:hint="eastAsia" w:ascii="新宋体" w:hAnsi="新宋体" w:eastAsia="新宋体" w:cs="新宋体"/>
          <w:sz w:val="24"/>
          <w:szCs w:val="24"/>
        </w:rPr>
        <w:instrText xml:space="preserve"> HYPERLINK "http://221.14.6.70:8088/ggzy/eps/public/RegistAllJcxx.html" </w:instrText>
      </w:r>
      <w:r>
        <w:rPr>
          <w:rFonts w:hint="eastAsia" w:ascii="新宋体" w:hAnsi="新宋体" w:eastAsia="新宋体" w:cs="新宋体"/>
          <w:sz w:val="24"/>
          <w:szCs w:val="24"/>
        </w:rPr>
        <w:fldChar w:fldCharType="separate"/>
      </w:r>
      <w:r>
        <w:rPr>
          <w:rStyle w:val="28"/>
          <w:rFonts w:hint="eastAsia" w:ascii="新宋体" w:hAnsi="新宋体" w:eastAsia="新宋体" w:cs="新宋体"/>
          <w:sz w:val="24"/>
          <w:szCs w:val="24"/>
        </w:rPr>
        <w:t>http://221.14.6.70:8088/ggzy/eps/public/RegistAllJcxx.html</w:t>
      </w:r>
      <w:r>
        <w:rPr>
          <w:rStyle w:val="28"/>
          <w:rFonts w:hint="eastAsia" w:ascii="新宋体" w:hAnsi="新宋体" w:eastAsia="新宋体" w:cs="新宋体"/>
          <w:sz w:val="24"/>
          <w:szCs w:val="24"/>
        </w:rPr>
        <w:fldChar w:fldCharType="end"/>
      </w:r>
      <w:r>
        <w:rPr>
          <w:rFonts w:hint="eastAsia" w:ascii="新宋体" w:hAnsi="新宋体" w:eastAsia="新宋体" w:cs="新宋体"/>
          <w:sz w:val="24"/>
          <w:szCs w:val="24"/>
          <w:lang w:val="zh-CN"/>
        </w:rPr>
        <w:t>进行免费注册登记</w:t>
      </w:r>
      <w:r>
        <w:rPr>
          <w:rFonts w:hint="eastAsia" w:ascii="新宋体" w:hAnsi="新宋体" w:eastAsia="新宋体" w:cs="新宋体"/>
          <w:sz w:val="24"/>
          <w:szCs w:val="24"/>
        </w:rPr>
        <w:t>（</w:t>
      </w:r>
      <w:r>
        <w:rPr>
          <w:rFonts w:hint="eastAsia" w:ascii="新宋体" w:hAnsi="新宋体" w:eastAsia="新宋体" w:cs="新宋体"/>
          <w:sz w:val="24"/>
          <w:szCs w:val="24"/>
          <w:lang w:val="zh-CN"/>
        </w:rPr>
        <w:t>详见全国公共资源交易平台</w:t>
      </w:r>
      <w:r>
        <w:rPr>
          <w:rFonts w:hint="eastAsia" w:ascii="新宋体" w:hAnsi="新宋体" w:eastAsia="新宋体" w:cs="新宋体"/>
          <w:sz w:val="24"/>
          <w:szCs w:val="24"/>
        </w:rPr>
        <w:t>（</w:t>
      </w:r>
      <w:r>
        <w:rPr>
          <w:rFonts w:hint="eastAsia" w:ascii="新宋体" w:hAnsi="新宋体" w:eastAsia="新宋体" w:cs="新宋体"/>
          <w:sz w:val="24"/>
          <w:szCs w:val="24"/>
          <w:lang w:val="zh-CN"/>
        </w:rPr>
        <w:t>河南省</w:t>
      </w:r>
      <w:r>
        <w:rPr>
          <w:rFonts w:hint="eastAsia" w:ascii="新宋体" w:hAnsi="新宋体" w:eastAsia="新宋体" w:cs="新宋体"/>
          <w:sz w:val="24"/>
          <w:szCs w:val="24"/>
        </w:rPr>
        <w:t>·</w:t>
      </w:r>
      <w:r>
        <w:rPr>
          <w:rFonts w:hint="eastAsia" w:ascii="新宋体" w:hAnsi="新宋体" w:eastAsia="新宋体" w:cs="新宋体"/>
          <w:sz w:val="24"/>
          <w:szCs w:val="24"/>
          <w:lang w:val="zh-CN"/>
        </w:rPr>
        <w:t>许昌市</w:t>
      </w:r>
      <w:r>
        <w:rPr>
          <w:rFonts w:hint="eastAsia" w:ascii="新宋体" w:hAnsi="新宋体" w:eastAsia="新宋体" w:cs="新宋体"/>
          <w:sz w:val="24"/>
          <w:szCs w:val="24"/>
        </w:rPr>
        <w:t>）“</w:t>
      </w:r>
      <w:r>
        <w:rPr>
          <w:rFonts w:hint="eastAsia" w:ascii="新宋体" w:hAnsi="新宋体" w:eastAsia="新宋体" w:cs="新宋体"/>
          <w:sz w:val="24"/>
          <w:szCs w:val="24"/>
          <w:lang w:val="zh-CN"/>
        </w:rPr>
        <w:t>常见问题解答</w:t>
      </w:r>
      <w:r>
        <w:rPr>
          <w:rFonts w:hint="eastAsia" w:ascii="新宋体" w:hAnsi="新宋体" w:eastAsia="新宋体" w:cs="新宋体"/>
          <w:sz w:val="24"/>
          <w:szCs w:val="24"/>
        </w:rPr>
        <w:t>-</w:t>
      </w:r>
      <w:r>
        <w:rPr>
          <w:rFonts w:hint="eastAsia" w:ascii="新宋体" w:hAnsi="新宋体" w:eastAsia="新宋体" w:cs="新宋体"/>
          <w:sz w:val="24"/>
          <w:szCs w:val="24"/>
          <w:lang w:val="zh-CN"/>
        </w:rPr>
        <w:t>诚信库网上注册相关资料下载</w:t>
      </w:r>
      <w:r>
        <w:rPr>
          <w:rFonts w:hint="eastAsia" w:ascii="新宋体" w:hAnsi="新宋体" w:eastAsia="新宋体" w:cs="新宋体"/>
          <w:sz w:val="24"/>
          <w:szCs w:val="24"/>
        </w:rPr>
        <w:t>”）；</w:t>
      </w:r>
    </w:p>
    <w:p>
      <w:pPr>
        <w:wordWrap w:val="0"/>
        <w:topLinePunct/>
        <w:autoSpaceDE w:val="0"/>
        <w:autoSpaceDN w:val="0"/>
        <w:adjustRightInd w:val="0"/>
        <w:snapToGrid w:val="0"/>
        <w:spacing w:line="440" w:lineRule="exact"/>
        <w:ind w:firstLine="482"/>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　2、在投标截止时间前登录</w:t>
      </w:r>
      <w:r>
        <w:rPr>
          <w:rFonts w:hint="eastAsia" w:ascii="新宋体" w:hAnsi="新宋体" w:eastAsia="新宋体" w:cs="新宋体"/>
          <w:sz w:val="24"/>
          <w:szCs w:val="24"/>
        </w:rPr>
        <w:fldChar w:fldCharType="begin"/>
      </w:r>
      <w:r>
        <w:rPr>
          <w:rFonts w:hint="eastAsia" w:ascii="新宋体" w:hAnsi="新宋体" w:eastAsia="新宋体" w:cs="新宋体"/>
          <w:sz w:val="24"/>
          <w:szCs w:val="24"/>
        </w:rPr>
        <w:instrText xml:space="preserve"> HYPERLINK "http://221.14.6.70:8088/ggzy/" </w:instrText>
      </w:r>
      <w:r>
        <w:rPr>
          <w:rFonts w:hint="eastAsia" w:ascii="新宋体" w:hAnsi="新宋体" w:eastAsia="新宋体" w:cs="新宋体"/>
          <w:sz w:val="24"/>
          <w:szCs w:val="24"/>
        </w:rPr>
        <w:fldChar w:fldCharType="separate"/>
      </w:r>
      <w:r>
        <w:rPr>
          <w:rStyle w:val="28"/>
          <w:rFonts w:hint="eastAsia" w:ascii="新宋体" w:hAnsi="新宋体" w:eastAsia="新宋体" w:cs="新宋体"/>
          <w:sz w:val="24"/>
          <w:szCs w:val="24"/>
          <w:lang w:val="zh-CN"/>
        </w:rPr>
        <w:t>http://ggzy.xuchang.gov.cn</w:t>
      </w:r>
      <w:r>
        <w:rPr>
          <w:rStyle w:val="28"/>
          <w:rFonts w:hint="eastAsia" w:ascii="新宋体" w:hAnsi="新宋体" w:eastAsia="新宋体" w:cs="新宋体"/>
          <w:sz w:val="24"/>
          <w:szCs w:val="24"/>
          <w:lang w:val="zh-CN"/>
        </w:rPr>
        <w:fldChar w:fldCharType="end"/>
      </w:r>
      <w:r>
        <w:rPr>
          <w:rFonts w:hint="eastAsia" w:ascii="新宋体" w:hAnsi="新宋体" w:eastAsia="新宋体" w:cs="新宋体"/>
          <w:sz w:val="24"/>
          <w:szCs w:val="24"/>
          <w:lang w:val="zh-CN"/>
        </w:rPr>
        <w:t>，自行下载招标文件（详见全国公共资源交易平台（河南省·许昌市）“常见问题解答-交易系统操作手册”）。</w:t>
      </w:r>
    </w:p>
    <w:p>
      <w:pPr>
        <w:spacing w:line="440" w:lineRule="exact"/>
        <w:rPr>
          <w:rFonts w:hint="eastAsia" w:ascii="新宋体" w:hAnsi="新宋体" w:eastAsia="新宋体" w:cs="新宋体"/>
          <w:sz w:val="24"/>
          <w:szCs w:val="24"/>
        </w:rPr>
      </w:pPr>
      <w:r>
        <w:rPr>
          <w:rFonts w:hint="eastAsia" w:ascii="新宋体" w:hAnsi="新宋体" w:eastAsia="新宋体" w:cs="新宋体"/>
          <w:sz w:val="24"/>
          <w:szCs w:val="24"/>
        </w:rPr>
        <w:t>　　3、未通过全国公共资源交易平台（河南省·许昌市）下载招标文件的投标企业，拒收其递交的投标文件。</w:t>
      </w:r>
    </w:p>
    <w:p>
      <w:pPr>
        <w:spacing w:line="440" w:lineRule="exact"/>
        <w:ind w:firstLine="640"/>
        <w:rPr>
          <w:rFonts w:hint="eastAsia" w:ascii="新宋体" w:hAnsi="新宋体" w:eastAsia="新宋体" w:cs="新宋体"/>
          <w:sz w:val="24"/>
          <w:szCs w:val="24"/>
        </w:rPr>
      </w:pPr>
      <w:r>
        <w:rPr>
          <w:rFonts w:hint="eastAsia" w:ascii="新宋体" w:hAnsi="新宋体" w:eastAsia="新宋体" w:cs="新宋体"/>
          <w:sz w:val="24"/>
          <w:szCs w:val="24"/>
        </w:rPr>
        <w:t>4、谈判文件每份售价人民币300元（谈判现场现金收取），于递交投标文件时缴纳给采购代理机构，售后不退。</w:t>
      </w:r>
    </w:p>
    <w:p>
      <w:pPr>
        <w:widowControl/>
        <w:shd w:val="clear" w:color="auto" w:fill="FFFFFF"/>
        <w:spacing w:line="440" w:lineRule="exact"/>
        <w:ind w:firstLine="482"/>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五、谈判截止时间、谈判时间及地点：</w:t>
      </w:r>
    </w:p>
    <w:p>
      <w:pPr>
        <w:widowControl/>
        <w:shd w:val="clear" w:color="auto" w:fill="FFFFFF"/>
        <w:spacing w:line="440" w:lineRule="exact"/>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1、谈判截止及谈判时间：2020年1月</w:t>
      </w:r>
      <w:r>
        <w:rPr>
          <w:rFonts w:hint="eastAsia" w:ascii="新宋体" w:hAnsi="新宋体" w:eastAsia="新宋体" w:cs="新宋体"/>
          <w:color w:val="000000"/>
          <w:kern w:val="0"/>
          <w:sz w:val="24"/>
          <w:szCs w:val="24"/>
          <w:lang w:val="en-US" w:eastAsia="zh-CN"/>
        </w:rPr>
        <w:t>8</w:t>
      </w:r>
      <w:r>
        <w:rPr>
          <w:rFonts w:hint="eastAsia" w:ascii="新宋体" w:hAnsi="新宋体" w:eastAsia="新宋体" w:cs="新宋体"/>
          <w:color w:val="000000"/>
          <w:kern w:val="0"/>
          <w:sz w:val="24"/>
          <w:szCs w:val="24"/>
        </w:rPr>
        <w:t>日15：00（北京时间），逾期送达或不符合规定的投标文件不予接受。</w:t>
      </w:r>
    </w:p>
    <w:p>
      <w:pPr>
        <w:widowControl/>
        <w:shd w:val="clear" w:color="auto" w:fill="FFFFFF"/>
        <w:spacing w:line="440" w:lineRule="exact"/>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2、谈判地点：</w:t>
      </w:r>
      <w:r>
        <w:rPr>
          <w:rFonts w:hint="eastAsia" w:ascii="新宋体" w:hAnsi="新宋体" w:eastAsia="新宋体" w:cs="新宋体"/>
          <w:sz w:val="24"/>
          <w:szCs w:val="24"/>
        </w:rPr>
        <w:t>禹州市公共资源交易中心第二开标室（禹州市</w:t>
      </w:r>
      <w:r>
        <w:rPr>
          <w:rFonts w:hint="eastAsia" w:ascii="新宋体" w:hAnsi="新宋体" w:eastAsia="新宋体" w:cs="新宋体"/>
          <w:color w:val="000000"/>
          <w:kern w:val="0"/>
          <w:sz w:val="24"/>
          <w:szCs w:val="24"/>
        </w:rPr>
        <w:t xml:space="preserve">行政服务中心楼9楼） </w:t>
      </w:r>
    </w:p>
    <w:p>
      <w:pPr>
        <w:spacing w:line="44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3、本项目为全流程电子化交易项目，投标人须提交电子投标文件和纸质投标文件。</w:t>
      </w:r>
    </w:p>
    <w:p>
      <w:pPr>
        <w:spacing w:line="44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（1）加密电子投标文件（.file格式）须在投标截止时间（开标时间）前通过《全国公共资源交易平台(河南省▪许昌市)》公共资源交易系统成功上传。</w:t>
      </w:r>
    </w:p>
    <w:p>
      <w:pPr>
        <w:spacing w:line="44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（2）纸质投标文件（正本1份、副本1份）和备份文件1份（使用电子介质存储）在投标截止时间（开标时间）前递交至本项目开标地点。</w:t>
      </w:r>
    </w:p>
    <w:p>
      <w:pPr>
        <w:widowControl/>
        <w:shd w:val="clear" w:color="auto" w:fill="FFFFFF"/>
        <w:spacing w:line="440" w:lineRule="exact"/>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六、本次招标公告同时在《中国政府采购网》、《河南省政府采购网》、《全国公共资源交易平台（河南省·许昌市）》发布等。</w:t>
      </w:r>
    </w:p>
    <w:p>
      <w:pPr>
        <w:spacing w:line="440" w:lineRule="exact"/>
        <w:rPr>
          <w:rFonts w:hint="eastAsia" w:ascii="新宋体" w:hAnsi="新宋体" w:eastAsia="新宋体" w:cs="新宋体"/>
          <w:sz w:val="24"/>
          <w:szCs w:val="24"/>
        </w:rPr>
      </w:pPr>
      <w:r>
        <w:rPr>
          <w:rFonts w:hint="eastAsia" w:ascii="新宋体" w:hAnsi="新宋体" w:eastAsia="新宋体" w:cs="新宋体"/>
          <w:sz w:val="24"/>
          <w:szCs w:val="24"/>
        </w:rPr>
        <w:t>七、代理机构及采购单位地址、联系人、联系电话</w:t>
      </w:r>
    </w:p>
    <w:p>
      <w:pPr>
        <w:spacing w:line="440" w:lineRule="exact"/>
        <w:rPr>
          <w:rFonts w:hint="eastAsia" w:ascii="新宋体" w:hAnsi="新宋体" w:eastAsia="新宋体" w:cs="新宋体"/>
          <w:sz w:val="24"/>
          <w:szCs w:val="24"/>
        </w:rPr>
      </w:pPr>
      <w:r>
        <w:rPr>
          <w:rFonts w:hint="eastAsia" w:ascii="新宋体" w:hAnsi="新宋体" w:eastAsia="新宋体" w:cs="新宋体"/>
          <w:sz w:val="24"/>
          <w:szCs w:val="24"/>
        </w:rPr>
        <w:t>（一）代理机构：禹州市政府采购中心</w:t>
      </w:r>
    </w:p>
    <w:p>
      <w:pPr>
        <w:spacing w:line="440" w:lineRule="exact"/>
        <w:rPr>
          <w:rFonts w:hint="eastAsia" w:ascii="新宋体" w:hAnsi="新宋体" w:eastAsia="新宋体" w:cs="新宋体"/>
          <w:sz w:val="24"/>
          <w:szCs w:val="24"/>
        </w:rPr>
      </w:pPr>
      <w:r>
        <w:rPr>
          <w:rFonts w:hint="eastAsia" w:ascii="新宋体" w:hAnsi="新宋体" w:eastAsia="新宋体" w:cs="新宋体"/>
          <w:sz w:val="24"/>
          <w:szCs w:val="24"/>
        </w:rPr>
        <w:t>地址：禹州市行政服务中心楼917房间</w:t>
      </w:r>
    </w:p>
    <w:p>
      <w:pPr>
        <w:spacing w:line="440" w:lineRule="exact"/>
        <w:rPr>
          <w:rFonts w:hint="eastAsia" w:ascii="新宋体" w:hAnsi="新宋体" w:eastAsia="新宋体" w:cs="新宋体"/>
          <w:sz w:val="24"/>
          <w:szCs w:val="24"/>
        </w:rPr>
      </w:pPr>
      <w:r>
        <w:rPr>
          <w:rFonts w:hint="eastAsia" w:ascii="新宋体" w:hAnsi="新宋体" w:eastAsia="新宋体" w:cs="新宋体"/>
          <w:sz w:val="24"/>
          <w:szCs w:val="24"/>
        </w:rPr>
        <w:t>联系人：郭女士    联系电话：0374-2077111</w:t>
      </w:r>
    </w:p>
    <w:p>
      <w:pPr>
        <w:widowControl/>
        <w:shd w:val="clear" w:color="auto" w:fill="FFFFFF"/>
        <w:spacing w:line="440" w:lineRule="exact"/>
        <w:jc w:val="left"/>
        <w:rPr>
          <w:rFonts w:hint="eastAsia" w:ascii="新宋体" w:hAnsi="新宋体" w:eastAsia="新宋体" w:cs="新宋体"/>
          <w:sz w:val="24"/>
          <w:szCs w:val="24"/>
        </w:rPr>
      </w:pPr>
      <w:r>
        <w:rPr>
          <w:rFonts w:hint="eastAsia" w:ascii="新宋体" w:hAnsi="新宋体" w:eastAsia="新宋体" w:cs="新宋体"/>
          <w:color w:val="000000"/>
          <w:kern w:val="0"/>
          <w:sz w:val="24"/>
          <w:szCs w:val="24"/>
        </w:rPr>
        <w:t>（二）采购单位：</w:t>
      </w:r>
      <w:r>
        <w:rPr>
          <w:rFonts w:hint="eastAsia" w:ascii="新宋体" w:hAnsi="新宋体" w:eastAsia="新宋体" w:cs="新宋体"/>
          <w:sz w:val="24"/>
          <w:szCs w:val="24"/>
        </w:rPr>
        <w:t>中共禹州市委老干部局</w:t>
      </w:r>
    </w:p>
    <w:p>
      <w:pPr>
        <w:widowControl/>
        <w:shd w:val="clear" w:color="auto" w:fill="FFFFFF"/>
        <w:spacing w:line="400" w:lineRule="exact"/>
        <w:ind w:left="48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地址：禹州市禹王大道</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联系人：张女士   联系电话：13700890706</w:t>
      </w:r>
    </w:p>
    <w:p>
      <w:pPr>
        <w:spacing w:line="440" w:lineRule="exact"/>
        <w:ind w:firstLine="4560" w:firstLineChars="1900"/>
        <w:rPr>
          <w:rFonts w:hint="eastAsia" w:ascii="新宋体" w:hAnsi="新宋体" w:eastAsia="新宋体" w:cs="新宋体"/>
          <w:sz w:val="24"/>
          <w:szCs w:val="24"/>
        </w:rPr>
      </w:pPr>
      <w:r>
        <w:rPr>
          <w:rFonts w:hint="eastAsia" w:ascii="新宋体" w:hAnsi="新宋体" w:eastAsia="新宋体" w:cs="新宋体"/>
          <w:sz w:val="24"/>
          <w:szCs w:val="24"/>
        </w:rPr>
        <w:t xml:space="preserve">   </w:t>
      </w:r>
    </w:p>
    <w:p>
      <w:pPr>
        <w:spacing w:line="440" w:lineRule="exact"/>
        <w:ind w:firstLine="3600" w:firstLineChars="1500"/>
        <w:rPr>
          <w:rFonts w:hint="eastAsia" w:ascii="新宋体" w:hAnsi="新宋体" w:eastAsia="新宋体" w:cs="新宋体"/>
          <w:sz w:val="24"/>
          <w:szCs w:val="24"/>
        </w:rPr>
      </w:pPr>
      <w:r>
        <w:rPr>
          <w:rFonts w:hint="eastAsia" w:ascii="新宋体" w:hAnsi="新宋体" w:eastAsia="新宋体" w:cs="新宋体"/>
          <w:sz w:val="24"/>
          <w:szCs w:val="24"/>
        </w:rPr>
        <w:t xml:space="preserve">  </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rPr>
        <w:t>2020年 1月2日</w:t>
      </w:r>
    </w:p>
    <w:p>
      <w:pPr>
        <w:widowControl/>
        <w:shd w:val="clear" w:color="auto" w:fill="FFFFFF"/>
        <w:spacing w:line="440" w:lineRule="exact"/>
        <w:jc w:val="left"/>
        <w:rPr>
          <w:rFonts w:hint="eastAsia" w:ascii="新宋体" w:hAnsi="新宋体" w:eastAsia="新宋体" w:cs="新宋体"/>
          <w:color w:val="000000"/>
          <w:kern w:val="0"/>
          <w:sz w:val="24"/>
          <w:szCs w:val="24"/>
        </w:rPr>
      </w:pPr>
    </w:p>
    <w:p>
      <w:pPr>
        <w:spacing w:line="600" w:lineRule="exact"/>
        <w:rPr>
          <w:b/>
          <w:bCs/>
          <w:sz w:val="24"/>
          <w:szCs w:val="24"/>
        </w:rPr>
      </w:pP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本项目为全流程电子化交易项目，请认真阅读谈判文件，并注意以下事项。</w:t>
      </w:r>
    </w:p>
    <w:p>
      <w:pPr>
        <w:pStyle w:val="2"/>
        <w:ind w:firstLine="320"/>
        <w:rPr>
          <w:rFonts w:ascii="仿宋_GB2312" w:eastAsia="仿宋_GB2312"/>
          <w:b/>
          <w:sz w:val="32"/>
          <w:szCs w:val="32"/>
        </w:rPr>
      </w:pP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供应商应按谈判文件规定编制、提交电子响应文件和纸质响应文件。谈判响应文件递交地点、谈判现场不接受供应商递交的备份电子响应文件和纸质响应文件以外的其他资料。</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电子文件下载、制作、提交期间和谈判响应文件递交（</w:t>
      </w:r>
      <w:r>
        <w:rPr>
          <w:rFonts w:hint="eastAsia" w:hAnsi="宋体"/>
          <w:szCs w:val="21"/>
        </w:rPr>
        <w:t>电子响应文件的解密</w:t>
      </w:r>
      <w:r>
        <w:rPr>
          <w:rFonts w:hint="eastAsia" w:hAnsi="宋体"/>
          <w:b/>
          <w:color w:val="000000"/>
          <w:szCs w:val="21"/>
        </w:rPr>
        <w:t>）环节，供应商须使用</w:t>
      </w:r>
      <w:r>
        <w:rPr>
          <w:rFonts w:hAnsi="宋体"/>
          <w:b/>
          <w:color w:val="000000"/>
          <w:szCs w:val="21"/>
        </w:rPr>
        <w:t>CA数字证书</w:t>
      </w:r>
      <w:r>
        <w:rPr>
          <w:rFonts w:hint="eastAsia" w:hAnsi="宋体"/>
          <w:b/>
          <w:color w:val="000000"/>
          <w:szCs w:val="21"/>
        </w:rPr>
        <w:t>（证书须在有效期内）</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电子响应文件的制作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供应商登录《全国公共资源交易平台</w:t>
      </w:r>
      <w:r>
        <w:rPr>
          <w:rFonts w:hint="eastAsia" w:asciiTheme="majorEastAsia" w:hAnsiTheme="majorEastAsia" w:eastAsiaTheme="majorEastAsia"/>
          <w:color w:val="000000"/>
          <w:sz w:val="24"/>
          <w:szCs w:val="24"/>
        </w:rPr>
        <w:t>(</w:t>
      </w:r>
      <w:r>
        <w:rPr>
          <w:rFonts w:hint="eastAsia" w:hAnsi="宋体"/>
          <w:color w:val="000000"/>
          <w:sz w:val="24"/>
          <w:szCs w:val="24"/>
        </w:rPr>
        <w:t>河南省</w:t>
      </w:r>
      <w:r>
        <w:rPr>
          <w:rFonts w:hint="eastAsia" w:ascii="MS Mincho" w:hAnsi="MS Mincho" w:eastAsia="MS Mincho" w:cs="MS Mincho"/>
          <w:color w:val="000000"/>
          <w:sz w:val="24"/>
          <w:szCs w:val="24"/>
        </w:rPr>
        <w:t>▪</w:t>
      </w:r>
      <w:r>
        <w:rPr>
          <w:rFonts w:hint="eastAsia" w:ascii="宋体" w:hAnsi="宋体" w:eastAsia="宋体" w:cs="宋体"/>
          <w:color w:val="000000"/>
          <w:sz w:val="24"/>
          <w:szCs w:val="24"/>
        </w:rPr>
        <w:t>许昌市</w:t>
      </w:r>
      <w:r>
        <w:rPr>
          <w:rFonts w:hint="eastAsia" w:asciiTheme="minorEastAsia" w:hAnsiTheme="minorEastAsia"/>
          <w:color w:val="000000"/>
          <w:sz w:val="24"/>
          <w:szCs w:val="24"/>
        </w:rPr>
        <w:t>)</w:t>
      </w:r>
      <w:r>
        <w:rPr>
          <w:rFonts w:hint="eastAsia" w:hAnsi="宋体"/>
          <w:color w:val="000000"/>
          <w:sz w:val="24"/>
          <w:szCs w:val="24"/>
        </w:rPr>
        <w:t>》公共资源交易系统（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）下载“许昌投标文件制作系统SEARUN 最新版本”，按谈判文件要求制作电子响应文件。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电子响应文件的制作，参考《全国公共资源交易平台</w:t>
      </w:r>
      <w:r>
        <w:rPr>
          <w:rFonts w:hint="eastAsia" w:asciiTheme="minorEastAsia" w:hAnsiTheme="minorEastAsia"/>
          <w:color w:val="000000"/>
          <w:sz w:val="24"/>
          <w:szCs w:val="24"/>
        </w:rPr>
        <w:t>(</w:t>
      </w:r>
      <w:r>
        <w:rPr>
          <w:rFonts w:hint="eastAsia" w:hAnsi="宋体"/>
          <w:color w:val="000000"/>
          <w:sz w:val="24"/>
          <w:szCs w:val="24"/>
        </w:rPr>
        <w:t>河南省</w:t>
      </w:r>
      <w:r>
        <w:rPr>
          <w:rFonts w:hint="eastAsia" w:ascii="MS Mincho" w:hAnsi="MS Mincho" w:eastAsia="MS Mincho" w:cs="MS Mincho"/>
          <w:color w:val="000000"/>
          <w:sz w:val="24"/>
          <w:szCs w:val="24"/>
        </w:rPr>
        <w:t>▪</w:t>
      </w:r>
      <w:r>
        <w:rPr>
          <w:rFonts w:hint="eastAsia" w:ascii="宋体" w:hAnsi="宋体" w:eastAsia="宋体" w:cs="宋体"/>
          <w:color w:val="000000"/>
          <w:sz w:val="24"/>
          <w:szCs w:val="24"/>
        </w:rPr>
        <w:t>许昌市</w:t>
      </w:r>
      <w:r>
        <w:rPr>
          <w:rFonts w:hint="eastAsia" w:asciiTheme="minorEastAsia" w:hAnsiTheme="minorEastAsia"/>
          <w:color w:val="000000"/>
          <w:sz w:val="24"/>
          <w:szCs w:val="24"/>
        </w:rPr>
        <w:t>)</w:t>
      </w:r>
      <w:r>
        <w:rPr>
          <w:rFonts w:hint="eastAsia" w:hAnsi="宋体"/>
          <w:color w:val="000000"/>
          <w:sz w:val="24"/>
          <w:szCs w:val="24"/>
        </w:rPr>
        <w:t>》公共资源交易系统——组件下载——交易系统操作手册（投标人、供应商）。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供应商须将谈判文件要求的资质、业绩、荣誉及相关人员证明材料等资料原件扫描件（或图片）制作到所提交的电子响应文件中。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供应商对同一项目多个标段进行报价的，应分别下载所响应标段的谈判文件，按标段制作电子响应文件，并</w:t>
      </w:r>
      <w:r>
        <w:rPr>
          <w:rFonts w:hAnsi="宋体"/>
          <w:color w:val="000000"/>
          <w:sz w:val="24"/>
          <w:szCs w:val="24"/>
        </w:rPr>
        <w:t>按</w:t>
      </w:r>
      <w:r>
        <w:rPr>
          <w:rFonts w:hint="eastAsia" w:hAnsi="宋体"/>
          <w:color w:val="000000"/>
          <w:sz w:val="24"/>
          <w:szCs w:val="24"/>
        </w:rPr>
        <w:t>谈判</w:t>
      </w:r>
      <w:r>
        <w:rPr>
          <w:rFonts w:hAnsi="宋体"/>
          <w:color w:val="000000"/>
          <w:sz w:val="24"/>
          <w:szCs w:val="24"/>
        </w:rPr>
        <w:t>文件要求在相应位置加盖</w:t>
      </w:r>
      <w:r>
        <w:rPr>
          <w:rFonts w:hint="eastAsia" w:hAnsi="宋体"/>
          <w:color w:val="000000"/>
          <w:sz w:val="24"/>
          <w:szCs w:val="24"/>
        </w:rPr>
        <w:t>供应商</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”的文件用于电子响应使用，后缀名为“.PDF”的文件用于打印纸质响应文件，名称为“备份”的文件夹使用电子介质存储，供谈判响应文件递交现场备用。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电子响应文件的提交</w:t>
      </w:r>
    </w:p>
    <w:p>
      <w:pPr>
        <w:tabs>
          <w:tab w:val="left" w:pos="7095"/>
        </w:tabs>
        <w:spacing w:line="360" w:lineRule="auto"/>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电子响应文件应在谈判文件规定的谈判响应截止时间（谈判时间）之前成功提交至《全国公共资源交易平台(河南省</w:t>
      </w:r>
      <w:r>
        <w:rPr>
          <w:rFonts w:hint="eastAsia" w:ascii="MS Mincho" w:hAnsi="MS Mincho" w:eastAsia="MS Mincho" w:cs="MS Mincho"/>
          <w:color w:val="000000"/>
          <w:sz w:val="24"/>
          <w:szCs w:val="24"/>
        </w:rPr>
        <w:t>▪</w:t>
      </w:r>
      <w:r>
        <w:rPr>
          <w:rFonts w:hint="eastAsia" w:ascii="宋体" w:hAnsi="宋体" w:eastAsia="宋体" w:cs="宋体"/>
          <w:color w:val="000000"/>
          <w:sz w:val="24"/>
          <w:szCs w:val="24"/>
        </w:rPr>
        <w:t>许昌市</w:t>
      </w:r>
      <w:r>
        <w:rPr>
          <w:rFonts w:hint="eastAsia" w:hAnsi="宋体"/>
          <w:color w:val="000000"/>
          <w:sz w:val="24"/>
          <w:szCs w:val="24"/>
        </w:rPr>
        <w:t>)》公共资源交易系统（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供应商应充分考虑并预留技术处理和上传数据所需时间。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供应商对同一项目多个标段进行报价的，加密电子响应文件应按标段分别提交。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电子响应文件成功提交后，供应商应打印“投标文件提交回执单”供谈判响应文件递交现场备查。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评审依据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采用全流程电子化交易评审时，谈判小组以电子响应文件为依据评审。</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全流程电子化交易如因系统异常情况无法完成，将以人工方式进行。谈判小组以纸质响应文件为依据评审。</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第二章 采购需求</w:t>
      </w:r>
    </w:p>
    <w:p>
      <w:pPr>
        <w:numPr>
          <w:ilvl w:val="0"/>
          <w:numId w:val="6"/>
        </w:numPr>
        <w:spacing w:line="520" w:lineRule="exact"/>
        <w:rPr>
          <w:rFonts w:hint="eastAsia" w:ascii="新宋体" w:hAnsi="新宋体" w:eastAsia="新宋体" w:cs="新宋体"/>
          <w:b/>
          <w:sz w:val="24"/>
          <w:szCs w:val="24"/>
        </w:rPr>
      </w:pPr>
      <w:r>
        <w:rPr>
          <w:rFonts w:hint="eastAsia" w:ascii="新宋体" w:hAnsi="新宋体" w:eastAsia="新宋体" w:cs="新宋体"/>
          <w:b/>
          <w:sz w:val="24"/>
          <w:szCs w:val="24"/>
        </w:rPr>
        <w:t>采购需求</w:t>
      </w:r>
    </w:p>
    <w:p>
      <w:pPr>
        <w:pStyle w:val="44"/>
        <w:widowControl/>
        <w:numPr>
          <w:ilvl w:val="0"/>
          <w:numId w:val="7"/>
        </w:numPr>
        <w:shd w:val="clear" w:color="auto" w:fill="FFFFFF"/>
        <w:spacing w:line="540" w:lineRule="exact"/>
        <w:ind w:firstLineChars="0"/>
        <w:jc w:val="left"/>
        <w:rPr>
          <w:rFonts w:hint="eastAsia" w:ascii="新宋体" w:hAnsi="新宋体" w:eastAsia="新宋体" w:cs="新宋体"/>
          <w:sz w:val="24"/>
          <w:szCs w:val="24"/>
        </w:rPr>
      </w:pPr>
      <w:r>
        <w:rPr>
          <w:rFonts w:hint="eastAsia" w:ascii="新宋体" w:hAnsi="新宋体" w:eastAsia="新宋体" w:cs="新宋体"/>
          <w:b/>
          <w:bCs/>
          <w:sz w:val="24"/>
          <w:szCs w:val="24"/>
        </w:rPr>
        <w:t>本项目需实现的功能或者目标</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慰问老干部</w:t>
      </w:r>
    </w:p>
    <w:p>
      <w:pPr>
        <w:widowControl/>
        <w:numPr>
          <w:ilvl w:val="0"/>
          <w:numId w:val="8"/>
        </w:numPr>
        <w:shd w:val="clear" w:color="auto" w:fill="FFFFFF"/>
        <w:spacing w:line="540" w:lineRule="exact"/>
        <w:ind w:firstLine="600"/>
        <w:jc w:val="left"/>
        <w:rPr>
          <w:rFonts w:hint="eastAsia" w:ascii="新宋体" w:hAnsi="新宋体" w:eastAsia="新宋体" w:cs="新宋体"/>
          <w:b/>
          <w:bCs/>
          <w:sz w:val="24"/>
          <w:szCs w:val="24"/>
        </w:rPr>
      </w:pPr>
      <w:r>
        <w:rPr>
          <w:rFonts w:hint="eastAsia" w:ascii="新宋体" w:hAnsi="新宋体" w:eastAsia="新宋体" w:cs="新宋体"/>
          <w:b/>
          <w:bCs/>
          <w:sz w:val="24"/>
          <w:szCs w:val="24"/>
        </w:rPr>
        <w:t>采购清单</w:t>
      </w:r>
      <w:r>
        <w:rPr>
          <w:rFonts w:hint="eastAsia" w:ascii="新宋体" w:hAnsi="新宋体" w:eastAsia="新宋体" w:cs="新宋体"/>
          <w:b/>
          <w:bCs/>
          <w:sz w:val="24"/>
          <w:szCs w:val="24"/>
          <w:lang w:eastAsia="zh-CN"/>
        </w:rPr>
        <w:t>：</w:t>
      </w:r>
    </w:p>
    <w:tbl>
      <w:tblPr>
        <w:tblStyle w:val="2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1611"/>
        <w:gridCol w:w="2922"/>
        <w:gridCol w:w="903"/>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2" w:type="dxa"/>
          </w:tcPr>
          <w:p>
            <w:pPr>
              <w:pStyle w:val="62"/>
              <w:autoSpaceDN w:val="0"/>
              <w:snapToGrid w:val="0"/>
              <w:spacing w:line="360" w:lineRule="auto"/>
              <w:jc w:val="center"/>
              <w:textAlignment w:val="baseline"/>
              <w:rPr>
                <w:rFonts w:hint="eastAsia" w:ascii="新宋体" w:hAnsi="新宋体" w:eastAsia="新宋体" w:cs="新宋体"/>
                <w:b/>
                <w:bCs/>
                <w:sz w:val="24"/>
                <w:szCs w:val="24"/>
              </w:rPr>
            </w:pPr>
            <w:r>
              <w:rPr>
                <w:rFonts w:hint="eastAsia" w:ascii="新宋体" w:hAnsi="新宋体" w:eastAsia="新宋体" w:cs="新宋体"/>
                <w:b/>
                <w:bCs/>
                <w:sz w:val="24"/>
                <w:szCs w:val="24"/>
              </w:rPr>
              <w:t>序号</w:t>
            </w:r>
          </w:p>
        </w:tc>
        <w:tc>
          <w:tcPr>
            <w:tcW w:w="1611" w:type="dxa"/>
          </w:tcPr>
          <w:p>
            <w:pPr>
              <w:pStyle w:val="62"/>
              <w:autoSpaceDN w:val="0"/>
              <w:snapToGrid w:val="0"/>
              <w:spacing w:line="360" w:lineRule="auto"/>
              <w:jc w:val="center"/>
              <w:textAlignment w:val="baseline"/>
              <w:rPr>
                <w:rFonts w:hint="eastAsia" w:ascii="新宋体" w:hAnsi="新宋体" w:eastAsia="新宋体" w:cs="新宋体"/>
                <w:b/>
                <w:bCs/>
                <w:sz w:val="24"/>
                <w:szCs w:val="24"/>
              </w:rPr>
            </w:pPr>
            <w:r>
              <w:rPr>
                <w:rFonts w:hint="eastAsia" w:ascii="新宋体" w:hAnsi="新宋体" w:eastAsia="新宋体" w:cs="新宋体"/>
                <w:b/>
                <w:bCs/>
                <w:sz w:val="24"/>
                <w:szCs w:val="24"/>
              </w:rPr>
              <w:t>名称</w:t>
            </w:r>
          </w:p>
        </w:tc>
        <w:tc>
          <w:tcPr>
            <w:tcW w:w="2922" w:type="dxa"/>
          </w:tcPr>
          <w:p>
            <w:pPr>
              <w:pStyle w:val="62"/>
              <w:autoSpaceDN w:val="0"/>
              <w:snapToGrid w:val="0"/>
              <w:spacing w:line="360" w:lineRule="auto"/>
              <w:jc w:val="center"/>
              <w:textAlignment w:val="baseline"/>
              <w:rPr>
                <w:rFonts w:hint="eastAsia" w:ascii="新宋体" w:hAnsi="新宋体" w:eastAsia="新宋体" w:cs="新宋体"/>
                <w:b/>
                <w:bCs/>
                <w:sz w:val="24"/>
                <w:szCs w:val="24"/>
              </w:rPr>
            </w:pPr>
            <w:r>
              <w:rPr>
                <w:rFonts w:hint="eastAsia" w:ascii="新宋体" w:hAnsi="新宋体" w:eastAsia="新宋体" w:cs="新宋体"/>
                <w:b/>
                <w:bCs/>
                <w:sz w:val="24"/>
                <w:szCs w:val="24"/>
              </w:rPr>
              <w:t>产品规格</w:t>
            </w:r>
          </w:p>
        </w:tc>
        <w:tc>
          <w:tcPr>
            <w:tcW w:w="903" w:type="dxa"/>
          </w:tcPr>
          <w:p>
            <w:pPr>
              <w:pStyle w:val="62"/>
              <w:autoSpaceDN w:val="0"/>
              <w:snapToGrid w:val="0"/>
              <w:spacing w:line="360" w:lineRule="auto"/>
              <w:jc w:val="center"/>
              <w:textAlignment w:val="baseline"/>
              <w:rPr>
                <w:rFonts w:hint="eastAsia" w:ascii="新宋体" w:hAnsi="新宋体" w:eastAsia="新宋体" w:cs="新宋体"/>
                <w:b/>
                <w:bCs/>
                <w:sz w:val="24"/>
                <w:szCs w:val="24"/>
              </w:rPr>
            </w:pPr>
            <w:r>
              <w:rPr>
                <w:rFonts w:hint="eastAsia" w:ascii="新宋体" w:hAnsi="新宋体" w:eastAsia="新宋体" w:cs="新宋体"/>
                <w:b/>
                <w:bCs/>
                <w:sz w:val="24"/>
                <w:szCs w:val="24"/>
              </w:rPr>
              <w:t>单位</w:t>
            </w:r>
          </w:p>
        </w:tc>
        <w:tc>
          <w:tcPr>
            <w:tcW w:w="1812" w:type="dxa"/>
          </w:tcPr>
          <w:p>
            <w:pPr>
              <w:pStyle w:val="62"/>
              <w:autoSpaceDN w:val="0"/>
              <w:snapToGrid w:val="0"/>
              <w:spacing w:line="360" w:lineRule="auto"/>
              <w:jc w:val="center"/>
              <w:textAlignment w:val="baseline"/>
              <w:rPr>
                <w:rFonts w:hint="eastAsia" w:ascii="新宋体" w:hAnsi="新宋体" w:eastAsia="新宋体" w:cs="新宋体"/>
                <w:b/>
                <w:bCs/>
                <w:sz w:val="24"/>
                <w:szCs w:val="24"/>
              </w:rPr>
            </w:pPr>
            <w:r>
              <w:rPr>
                <w:rFonts w:hint="eastAsia" w:ascii="新宋体" w:hAnsi="新宋体" w:eastAsia="新宋体" w:cs="新宋体"/>
                <w:b/>
                <w:bCs/>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2" w:type="dxa"/>
          </w:tcPr>
          <w:p>
            <w:pPr>
              <w:pStyle w:val="62"/>
              <w:autoSpaceDN w:val="0"/>
              <w:snapToGrid w:val="0"/>
              <w:spacing w:line="360" w:lineRule="auto"/>
              <w:jc w:val="center"/>
              <w:textAlignment w:val="baseline"/>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1611" w:type="dxa"/>
          </w:tcPr>
          <w:p>
            <w:pPr>
              <w:pStyle w:val="62"/>
              <w:autoSpaceDN w:val="0"/>
              <w:snapToGrid w:val="0"/>
              <w:spacing w:line="360" w:lineRule="auto"/>
              <w:jc w:val="center"/>
              <w:textAlignment w:val="baseline"/>
              <w:rPr>
                <w:rFonts w:hint="eastAsia" w:ascii="新宋体" w:hAnsi="新宋体" w:eastAsia="新宋体" w:cs="新宋体"/>
                <w:sz w:val="24"/>
                <w:szCs w:val="24"/>
              </w:rPr>
            </w:pPr>
            <w:r>
              <w:rPr>
                <w:rFonts w:hint="eastAsia" w:ascii="新宋体" w:hAnsi="新宋体" w:eastAsia="新宋体" w:cs="新宋体"/>
                <w:sz w:val="24"/>
                <w:szCs w:val="24"/>
              </w:rPr>
              <w:t>葵花油</w:t>
            </w:r>
          </w:p>
        </w:tc>
        <w:tc>
          <w:tcPr>
            <w:tcW w:w="2922" w:type="dxa"/>
          </w:tcPr>
          <w:p>
            <w:pPr>
              <w:pStyle w:val="62"/>
              <w:autoSpaceDN w:val="0"/>
              <w:snapToGrid w:val="0"/>
              <w:spacing w:line="360" w:lineRule="auto"/>
              <w:jc w:val="center"/>
              <w:textAlignment w:val="baseline"/>
              <w:rPr>
                <w:rFonts w:hint="eastAsia" w:ascii="新宋体" w:hAnsi="新宋体" w:eastAsia="新宋体" w:cs="新宋体"/>
                <w:sz w:val="24"/>
                <w:szCs w:val="24"/>
              </w:rPr>
            </w:pPr>
            <w:r>
              <w:rPr>
                <w:rFonts w:hint="eastAsia" w:ascii="新宋体" w:hAnsi="新宋体" w:eastAsia="新宋体" w:cs="新宋体"/>
                <w:sz w:val="24"/>
                <w:szCs w:val="24"/>
              </w:rPr>
              <w:t>5升/桶</w:t>
            </w:r>
          </w:p>
        </w:tc>
        <w:tc>
          <w:tcPr>
            <w:tcW w:w="903" w:type="dxa"/>
          </w:tcPr>
          <w:p>
            <w:pPr>
              <w:pStyle w:val="62"/>
              <w:autoSpaceDN w:val="0"/>
              <w:snapToGrid w:val="0"/>
              <w:spacing w:line="360" w:lineRule="auto"/>
              <w:jc w:val="center"/>
              <w:textAlignment w:val="baseline"/>
              <w:rPr>
                <w:rFonts w:hint="eastAsia" w:ascii="新宋体" w:hAnsi="新宋体" w:eastAsia="新宋体" w:cs="新宋体"/>
                <w:sz w:val="24"/>
                <w:szCs w:val="24"/>
              </w:rPr>
            </w:pPr>
            <w:r>
              <w:rPr>
                <w:rFonts w:hint="eastAsia" w:ascii="新宋体" w:hAnsi="新宋体" w:eastAsia="新宋体" w:cs="新宋体"/>
                <w:sz w:val="24"/>
                <w:szCs w:val="24"/>
              </w:rPr>
              <w:t>桶</w:t>
            </w:r>
          </w:p>
        </w:tc>
        <w:tc>
          <w:tcPr>
            <w:tcW w:w="1812" w:type="dxa"/>
          </w:tcPr>
          <w:p>
            <w:pPr>
              <w:pStyle w:val="62"/>
              <w:autoSpaceDN w:val="0"/>
              <w:snapToGrid w:val="0"/>
              <w:spacing w:line="360" w:lineRule="auto"/>
              <w:jc w:val="center"/>
              <w:textAlignment w:val="baseline"/>
              <w:rPr>
                <w:rFonts w:hint="eastAsia" w:ascii="新宋体" w:hAnsi="新宋体" w:eastAsia="新宋体" w:cs="新宋体"/>
                <w:sz w:val="24"/>
                <w:szCs w:val="24"/>
              </w:rPr>
            </w:pPr>
            <w:r>
              <w:rPr>
                <w:rFonts w:hint="eastAsia" w:ascii="新宋体" w:hAnsi="新宋体" w:eastAsia="新宋体" w:cs="新宋体"/>
                <w:sz w:val="24"/>
                <w:szCs w:val="24"/>
              </w:rPr>
              <w:t>1032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2" w:type="dxa"/>
          </w:tcPr>
          <w:p>
            <w:pPr>
              <w:pStyle w:val="62"/>
              <w:autoSpaceDN w:val="0"/>
              <w:snapToGrid w:val="0"/>
              <w:spacing w:line="360" w:lineRule="auto"/>
              <w:jc w:val="center"/>
              <w:textAlignment w:val="baseline"/>
              <w:rPr>
                <w:rFonts w:hint="eastAsia" w:ascii="新宋体" w:hAnsi="新宋体" w:eastAsia="新宋体" w:cs="新宋体"/>
                <w:sz w:val="24"/>
                <w:szCs w:val="24"/>
              </w:rPr>
            </w:pPr>
            <w:r>
              <w:rPr>
                <w:rFonts w:hint="eastAsia" w:ascii="新宋体" w:hAnsi="新宋体" w:eastAsia="新宋体" w:cs="新宋体"/>
                <w:sz w:val="24"/>
                <w:szCs w:val="24"/>
              </w:rPr>
              <w:t>2</w:t>
            </w:r>
          </w:p>
        </w:tc>
        <w:tc>
          <w:tcPr>
            <w:tcW w:w="1611" w:type="dxa"/>
          </w:tcPr>
          <w:p>
            <w:pPr>
              <w:pStyle w:val="62"/>
              <w:autoSpaceDN w:val="0"/>
              <w:snapToGrid w:val="0"/>
              <w:spacing w:line="360" w:lineRule="auto"/>
              <w:jc w:val="center"/>
              <w:textAlignment w:val="baseline"/>
              <w:rPr>
                <w:rFonts w:hint="eastAsia" w:ascii="新宋体" w:hAnsi="新宋体" w:eastAsia="新宋体" w:cs="新宋体"/>
                <w:sz w:val="24"/>
                <w:szCs w:val="24"/>
              </w:rPr>
            </w:pPr>
            <w:r>
              <w:rPr>
                <w:rFonts w:hint="eastAsia" w:ascii="新宋体" w:hAnsi="新宋体" w:eastAsia="新宋体" w:cs="新宋体"/>
                <w:sz w:val="24"/>
                <w:szCs w:val="24"/>
              </w:rPr>
              <w:t>原阳米</w:t>
            </w:r>
          </w:p>
        </w:tc>
        <w:tc>
          <w:tcPr>
            <w:tcW w:w="2922" w:type="dxa"/>
          </w:tcPr>
          <w:p>
            <w:pPr>
              <w:pStyle w:val="62"/>
              <w:autoSpaceDN w:val="0"/>
              <w:snapToGrid w:val="0"/>
              <w:spacing w:line="360" w:lineRule="auto"/>
              <w:jc w:val="center"/>
              <w:textAlignment w:val="baseline"/>
              <w:rPr>
                <w:rFonts w:hint="eastAsia" w:ascii="新宋体" w:hAnsi="新宋体" w:eastAsia="新宋体" w:cs="新宋体"/>
                <w:sz w:val="24"/>
                <w:szCs w:val="24"/>
                <w:lang w:val="en-US" w:eastAsia="zh-CN"/>
              </w:rPr>
            </w:pPr>
            <w:r>
              <w:rPr>
                <w:rFonts w:hint="eastAsia" w:ascii="新宋体" w:hAnsi="新宋体" w:eastAsia="新宋体" w:cs="新宋体"/>
                <w:sz w:val="24"/>
                <w:szCs w:val="24"/>
              </w:rPr>
              <w:t>一级黄金晴</w:t>
            </w:r>
            <w:r>
              <w:rPr>
                <w:rFonts w:hint="eastAsia" w:ascii="新宋体" w:hAnsi="新宋体" w:eastAsia="新宋体" w:cs="新宋体"/>
                <w:sz w:val="24"/>
                <w:szCs w:val="24"/>
                <w:lang w:val="en-US" w:eastAsia="zh-CN"/>
              </w:rPr>
              <w:t xml:space="preserve">  </w:t>
            </w:r>
          </w:p>
          <w:p>
            <w:pPr>
              <w:pStyle w:val="62"/>
              <w:autoSpaceDN w:val="0"/>
              <w:snapToGrid w:val="0"/>
              <w:spacing w:line="360" w:lineRule="auto"/>
              <w:jc w:val="center"/>
              <w:textAlignment w:val="baseline"/>
              <w:rPr>
                <w:rFonts w:hint="eastAsia" w:ascii="新宋体" w:hAnsi="新宋体" w:eastAsia="新宋体" w:cs="新宋体"/>
                <w:sz w:val="24"/>
                <w:szCs w:val="24"/>
              </w:rPr>
            </w:pPr>
            <w:r>
              <w:rPr>
                <w:rFonts w:hint="eastAsia" w:ascii="新宋体" w:hAnsi="新宋体" w:eastAsia="新宋体" w:cs="新宋体"/>
                <w:sz w:val="24"/>
                <w:szCs w:val="24"/>
              </w:rPr>
              <w:t>10公斤/袋</w:t>
            </w:r>
          </w:p>
        </w:tc>
        <w:tc>
          <w:tcPr>
            <w:tcW w:w="903" w:type="dxa"/>
          </w:tcPr>
          <w:p>
            <w:pPr>
              <w:pStyle w:val="62"/>
              <w:autoSpaceDN w:val="0"/>
              <w:snapToGrid w:val="0"/>
              <w:spacing w:line="360" w:lineRule="auto"/>
              <w:jc w:val="center"/>
              <w:textAlignment w:val="baseline"/>
              <w:rPr>
                <w:rFonts w:hint="eastAsia" w:ascii="新宋体" w:hAnsi="新宋体" w:eastAsia="新宋体" w:cs="新宋体"/>
                <w:sz w:val="24"/>
                <w:szCs w:val="24"/>
              </w:rPr>
            </w:pPr>
            <w:r>
              <w:rPr>
                <w:rFonts w:hint="eastAsia" w:ascii="新宋体" w:hAnsi="新宋体" w:eastAsia="新宋体" w:cs="新宋体"/>
                <w:sz w:val="24"/>
                <w:szCs w:val="24"/>
              </w:rPr>
              <w:t>袋</w:t>
            </w:r>
          </w:p>
        </w:tc>
        <w:tc>
          <w:tcPr>
            <w:tcW w:w="1812" w:type="dxa"/>
          </w:tcPr>
          <w:p>
            <w:pPr>
              <w:pStyle w:val="62"/>
              <w:autoSpaceDN w:val="0"/>
              <w:snapToGrid w:val="0"/>
              <w:spacing w:line="360" w:lineRule="auto"/>
              <w:jc w:val="center"/>
              <w:textAlignment w:val="baseline"/>
              <w:rPr>
                <w:rFonts w:hint="eastAsia" w:ascii="新宋体" w:hAnsi="新宋体" w:eastAsia="新宋体" w:cs="新宋体"/>
                <w:sz w:val="24"/>
                <w:szCs w:val="24"/>
              </w:rPr>
            </w:pPr>
            <w:r>
              <w:rPr>
                <w:rFonts w:hint="eastAsia" w:ascii="新宋体" w:hAnsi="新宋体" w:eastAsia="新宋体" w:cs="新宋体"/>
                <w:sz w:val="24"/>
                <w:szCs w:val="24"/>
              </w:rPr>
              <w:t>1032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2" w:type="dxa"/>
          </w:tcPr>
          <w:p>
            <w:pPr>
              <w:pStyle w:val="62"/>
              <w:autoSpaceDN w:val="0"/>
              <w:snapToGrid w:val="0"/>
              <w:spacing w:line="360" w:lineRule="auto"/>
              <w:jc w:val="center"/>
              <w:textAlignment w:val="baseline"/>
              <w:rPr>
                <w:rFonts w:hint="eastAsia" w:ascii="新宋体" w:hAnsi="新宋体" w:eastAsia="新宋体" w:cs="新宋体"/>
                <w:sz w:val="24"/>
                <w:szCs w:val="24"/>
              </w:rPr>
            </w:pPr>
            <w:r>
              <w:rPr>
                <w:rFonts w:hint="eastAsia" w:ascii="新宋体" w:hAnsi="新宋体" w:eastAsia="新宋体" w:cs="新宋体"/>
                <w:sz w:val="24"/>
                <w:szCs w:val="24"/>
              </w:rPr>
              <w:t>3</w:t>
            </w:r>
          </w:p>
        </w:tc>
        <w:tc>
          <w:tcPr>
            <w:tcW w:w="1611" w:type="dxa"/>
          </w:tcPr>
          <w:p>
            <w:pPr>
              <w:pStyle w:val="62"/>
              <w:autoSpaceDN w:val="0"/>
              <w:snapToGrid w:val="0"/>
              <w:spacing w:line="360" w:lineRule="auto"/>
              <w:jc w:val="center"/>
              <w:textAlignment w:val="baseline"/>
              <w:rPr>
                <w:rFonts w:hint="eastAsia" w:ascii="新宋体" w:hAnsi="新宋体" w:eastAsia="新宋体" w:cs="新宋体"/>
                <w:sz w:val="24"/>
                <w:szCs w:val="24"/>
              </w:rPr>
            </w:pPr>
            <w:r>
              <w:rPr>
                <w:rFonts w:hint="eastAsia" w:ascii="新宋体" w:hAnsi="新宋体" w:eastAsia="新宋体" w:cs="新宋体"/>
                <w:sz w:val="24"/>
                <w:szCs w:val="24"/>
              </w:rPr>
              <w:t>红枣</w:t>
            </w:r>
          </w:p>
        </w:tc>
        <w:tc>
          <w:tcPr>
            <w:tcW w:w="2922" w:type="dxa"/>
          </w:tcPr>
          <w:p>
            <w:pPr>
              <w:pStyle w:val="62"/>
              <w:autoSpaceDN w:val="0"/>
              <w:snapToGrid w:val="0"/>
              <w:spacing w:line="360" w:lineRule="auto"/>
              <w:jc w:val="center"/>
              <w:textAlignment w:val="baseline"/>
              <w:rPr>
                <w:rFonts w:hint="eastAsia" w:ascii="新宋体" w:hAnsi="新宋体" w:eastAsia="新宋体" w:cs="新宋体"/>
                <w:sz w:val="24"/>
                <w:szCs w:val="24"/>
              </w:rPr>
            </w:pPr>
            <w:r>
              <w:rPr>
                <w:rFonts w:hint="eastAsia" w:ascii="新宋体" w:hAnsi="新宋体" w:eastAsia="新宋体" w:cs="新宋体"/>
                <w:sz w:val="24"/>
                <w:szCs w:val="24"/>
              </w:rPr>
              <w:t>新疆一级灰枣</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rPr>
              <w:t>3斤</w:t>
            </w:r>
            <w:r>
              <w:rPr>
                <w:rFonts w:hint="eastAsia" w:ascii="新宋体" w:hAnsi="新宋体" w:eastAsia="新宋体" w:cs="新宋体"/>
                <w:sz w:val="24"/>
                <w:szCs w:val="24"/>
                <w:lang w:val="en-US" w:eastAsia="zh-CN"/>
              </w:rPr>
              <w:t>/袋</w:t>
            </w:r>
          </w:p>
        </w:tc>
        <w:tc>
          <w:tcPr>
            <w:tcW w:w="903" w:type="dxa"/>
          </w:tcPr>
          <w:p>
            <w:pPr>
              <w:pStyle w:val="62"/>
              <w:autoSpaceDN w:val="0"/>
              <w:snapToGrid w:val="0"/>
              <w:spacing w:line="360" w:lineRule="auto"/>
              <w:jc w:val="center"/>
              <w:textAlignment w:val="baseline"/>
              <w:rPr>
                <w:rFonts w:hint="eastAsia" w:ascii="新宋体" w:hAnsi="新宋体" w:eastAsia="新宋体" w:cs="新宋体"/>
                <w:sz w:val="24"/>
                <w:szCs w:val="24"/>
              </w:rPr>
            </w:pPr>
            <w:r>
              <w:rPr>
                <w:rFonts w:hint="eastAsia" w:ascii="新宋体" w:hAnsi="新宋体" w:eastAsia="新宋体" w:cs="新宋体"/>
                <w:sz w:val="24"/>
                <w:szCs w:val="24"/>
              </w:rPr>
              <w:t>袋</w:t>
            </w:r>
          </w:p>
        </w:tc>
        <w:tc>
          <w:tcPr>
            <w:tcW w:w="1812" w:type="dxa"/>
          </w:tcPr>
          <w:p>
            <w:pPr>
              <w:pStyle w:val="62"/>
              <w:autoSpaceDN w:val="0"/>
              <w:snapToGrid w:val="0"/>
              <w:spacing w:line="360" w:lineRule="auto"/>
              <w:jc w:val="center"/>
              <w:textAlignment w:val="baseline"/>
              <w:rPr>
                <w:rFonts w:hint="eastAsia" w:ascii="新宋体" w:hAnsi="新宋体" w:eastAsia="新宋体" w:cs="新宋体"/>
                <w:sz w:val="24"/>
                <w:szCs w:val="24"/>
              </w:rPr>
            </w:pPr>
            <w:r>
              <w:rPr>
                <w:rFonts w:hint="eastAsia" w:ascii="新宋体" w:hAnsi="新宋体" w:eastAsia="新宋体" w:cs="新宋体"/>
                <w:sz w:val="24"/>
                <w:szCs w:val="24"/>
              </w:rPr>
              <w:t>1032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1812" w:type="dxa"/>
          </w:tcPr>
          <w:p>
            <w:pPr>
              <w:pStyle w:val="62"/>
              <w:autoSpaceDN w:val="0"/>
              <w:snapToGrid w:val="0"/>
              <w:spacing w:line="360" w:lineRule="auto"/>
              <w:jc w:val="center"/>
              <w:textAlignment w:val="baseline"/>
              <w:rPr>
                <w:rFonts w:hint="eastAsia" w:ascii="新宋体" w:hAnsi="新宋体" w:eastAsia="新宋体" w:cs="新宋体"/>
                <w:sz w:val="24"/>
                <w:szCs w:val="24"/>
              </w:rPr>
            </w:pPr>
            <w:r>
              <w:rPr>
                <w:rFonts w:hint="eastAsia" w:ascii="新宋体" w:hAnsi="新宋体" w:eastAsia="新宋体" w:cs="新宋体"/>
                <w:sz w:val="24"/>
                <w:szCs w:val="24"/>
              </w:rPr>
              <w:t>4</w:t>
            </w:r>
          </w:p>
        </w:tc>
        <w:tc>
          <w:tcPr>
            <w:tcW w:w="1611" w:type="dxa"/>
          </w:tcPr>
          <w:p>
            <w:pPr>
              <w:pStyle w:val="62"/>
              <w:autoSpaceDN w:val="0"/>
              <w:snapToGrid w:val="0"/>
              <w:spacing w:line="360" w:lineRule="auto"/>
              <w:jc w:val="center"/>
              <w:textAlignment w:val="baseline"/>
              <w:rPr>
                <w:rFonts w:hint="eastAsia" w:ascii="新宋体" w:hAnsi="新宋体" w:eastAsia="新宋体" w:cs="新宋体"/>
                <w:sz w:val="24"/>
                <w:szCs w:val="24"/>
              </w:rPr>
            </w:pPr>
            <w:r>
              <w:rPr>
                <w:rFonts w:hint="eastAsia" w:ascii="新宋体" w:hAnsi="新宋体" w:eastAsia="新宋体" w:cs="新宋体"/>
                <w:sz w:val="24"/>
                <w:szCs w:val="24"/>
              </w:rPr>
              <w:t>面粉</w:t>
            </w:r>
          </w:p>
        </w:tc>
        <w:tc>
          <w:tcPr>
            <w:tcW w:w="2922" w:type="dxa"/>
          </w:tcPr>
          <w:p>
            <w:pPr>
              <w:pStyle w:val="62"/>
              <w:autoSpaceDN w:val="0"/>
              <w:snapToGrid w:val="0"/>
              <w:spacing w:line="360" w:lineRule="auto"/>
              <w:jc w:val="center"/>
              <w:textAlignment w:val="baseline"/>
              <w:rPr>
                <w:rFonts w:hint="default"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rPr>
              <w:t>10公斤</w:t>
            </w:r>
            <w:r>
              <w:rPr>
                <w:rFonts w:hint="eastAsia" w:ascii="新宋体" w:hAnsi="新宋体" w:eastAsia="新宋体" w:cs="新宋体"/>
                <w:sz w:val="24"/>
                <w:szCs w:val="24"/>
                <w:lang w:val="en-US" w:eastAsia="zh-CN"/>
              </w:rPr>
              <w:t>/袋</w:t>
            </w:r>
          </w:p>
        </w:tc>
        <w:tc>
          <w:tcPr>
            <w:tcW w:w="903" w:type="dxa"/>
          </w:tcPr>
          <w:p>
            <w:pPr>
              <w:pStyle w:val="62"/>
              <w:autoSpaceDN w:val="0"/>
              <w:snapToGrid w:val="0"/>
              <w:spacing w:line="360" w:lineRule="auto"/>
              <w:jc w:val="center"/>
              <w:textAlignment w:val="baseline"/>
              <w:rPr>
                <w:rFonts w:hint="eastAsia" w:ascii="新宋体" w:hAnsi="新宋体" w:eastAsia="新宋体" w:cs="新宋体"/>
                <w:sz w:val="24"/>
                <w:szCs w:val="24"/>
              </w:rPr>
            </w:pPr>
            <w:r>
              <w:rPr>
                <w:rFonts w:hint="eastAsia" w:ascii="新宋体" w:hAnsi="新宋体" w:eastAsia="新宋体" w:cs="新宋体"/>
                <w:sz w:val="24"/>
                <w:szCs w:val="24"/>
              </w:rPr>
              <w:t>袋</w:t>
            </w:r>
          </w:p>
        </w:tc>
        <w:tc>
          <w:tcPr>
            <w:tcW w:w="1812" w:type="dxa"/>
          </w:tcPr>
          <w:p>
            <w:pPr>
              <w:pStyle w:val="62"/>
              <w:autoSpaceDN w:val="0"/>
              <w:snapToGrid w:val="0"/>
              <w:spacing w:line="360" w:lineRule="auto"/>
              <w:jc w:val="center"/>
              <w:textAlignment w:val="baseline"/>
              <w:rPr>
                <w:rFonts w:hint="eastAsia" w:ascii="新宋体" w:hAnsi="新宋体" w:eastAsia="新宋体" w:cs="新宋体"/>
                <w:sz w:val="24"/>
                <w:szCs w:val="24"/>
              </w:rPr>
            </w:pPr>
            <w:r>
              <w:rPr>
                <w:rFonts w:hint="eastAsia" w:ascii="新宋体" w:hAnsi="新宋体" w:eastAsia="新宋体" w:cs="新宋体"/>
                <w:sz w:val="24"/>
                <w:szCs w:val="24"/>
              </w:rPr>
              <w:t>1032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812" w:type="dxa"/>
          </w:tcPr>
          <w:p>
            <w:pPr>
              <w:pStyle w:val="62"/>
              <w:autoSpaceDN w:val="0"/>
              <w:snapToGrid w:val="0"/>
              <w:spacing w:line="360" w:lineRule="auto"/>
              <w:jc w:val="center"/>
              <w:textAlignment w:val="baseline"/>
              <w:rPr>
                <w:rFonts w:hint="eastAsia" w:ascii="新宋体" w:hAnsi="新宋体" w:eastAsia="新宋体" w:cs="新宋体"/>
                <w:sz w:val="24"/>
                <w:szCs w:val="24"/>
              </w:rPr>
            </w:pPr>
            <w:r>
              <w:rPr>
                <w:rFonts w:hint="eastAsia" w:ascii="新宋体" w:hAnsi="新宋体" w:eastAsia="新宋体" w:cs="新宋体"/>
                <w:sz w:val="24"/>
                <w:szCs w:val="24"/>
              </w:rPr>
              <w:t>5</w:t>
            </w:r>
          </w:p>
        </w:tc>
        <w:tc>
          <w:tcPr>
            <w:tcW w:w="1611" w:type="dxa"/>
          </w:tcPr>
          <w:p>
            <w:pPr>
              <w:pStyle w:val="62"/>
              <w:autoSpaceDN w:val="0"/>
              <w:snapToGrid w:val="0"/>
              <w:spacing w:line="360" w:lineRule="auto"/>
              <w:jc w:val="center"/>
              <w:textAlignment w:val="baseline"/>
              <w:rPr>
                <w:rFonts w:hint="eastAsia" w:ascii="新宋体" w:hAnsi="新宋体" w:eastAsia="新宋体" w:cs="新宋体"/>
                <w:sz w:val="24"/>
                <w:szCs w:val="24"/>
              </w:rPr>
            </w:pPr>
            <w:r>
              <w:rPr>
                <w:rFonts w:hint="eastAsia" w:ascii="新宋体" w:hAnsi="新宋体" w:eastAsia="新宋体" w:cs="新宋体"/>
                <w:sz w:val="24"/>
                <w:szCs w:val="24"/>
              </w:rPr>
              <w:t>口乐</w:t>
            </w:r>
          </w:p>
        </w:tc>
        <w:tc>
          <w:tcPr>
            <w:tcW w:w="2922" w:type="dxa"/>
          </w:tcPr>
          <w:p>
            <w:pPr>
              <w:pStyle w:val="62"/>
              <w:autoSpaceDN w:val="0"/>
              <w:snapToGrid w:val="0"/>
              <w:spacing w:line="360" w:lineRule="auto"/>
              <w:jc w:val="center"/>
              <w:textAlignment w:val="baseline"/>
              <w:rPr>
                <w:rFonts w:hint="default" w:ascii="新宋体" w:hAnsi="新宋体" w:eastAsia="新宋体" w:cs="新宋体"/>
                <w:sz w:val="24"/>
                <w:szCs w:val="24"/>
                <w:lang w:val="en-US" w:eastAsia="zh-CN"/>
              </w:rPr>
            </w:pPr>
            <w:r>
              <w:rPr>
                <w:rFonts w:hint="eastAsia" w:ascii="新宋体" w:hAnsi="新宋体" w:eastAsia="新宋体" w:cs="新宋体"/>
                <w:sz w:val="24"/>
                <w:szCs w:val="24"/>
              </w:rPr>
              <w:t>12瓶</w:t>
            </w:r>
            <w:r>
              <w:rPr>
                <w:rFonts w:hint="eastAsia" w:ascii="新宋体" w:hAnsi="新宋体" w:eastAsia="新宋体" w:cs="新宋体"/>
                <w:sz w:val="24"/>
                <w:szCs w:val="24"/>
                <w:lang w:val="en-US" w:eastAsia="zh-CN"/>
              </w:rPr>
              <w:t>/箱</w:t>
            </w:r>
          </w:p>
        </w:tc>
        <w:tc>
          <w:tcPr>
            <w:tcW w:w="903" w:type="dxa"/>
          </w:tcPr>
          <w:p>
            <w:pPr>
              <w:pStyle w:val="62"/>
              <w:autoSpaceDN w:val="0"/>
              <w:snapToGrid w:val="0"/>
              <w:spacing w:line="360" w:lineRule="auto"/>
              <w:jc w:val="center"/>
              <w:textAlignment w:val="baseline"/>
              <w:rPr>
                <w:rFonts w:hint="eastAsia" w:ascii="新宋体" w:hAnsi="新宋体" w:eastAsia="新宋体" w:cs="新宋体"/>
                <w:sz w:val="24"/>
                <w:szCs w:val="24"/>
              </w:rPr>
            </w:pPr>
            <w:r>
              <w:rPr>
                <w:rFonts w:hint="eastAsia" w:ascii="新宋体" w:hAnsi="新宋体" w:eastAsia="新宋体" w:cs="新宋体"/>
                <w:sz w:val="24"/>
                <w:szCs w:val="24"/>
              </w:rPr>
              <w:t>箱</w:t>
            </w:r>
          </w:p>
        </w:tc>
        <w:tc>
          <w:tcPr>
            <w:tcW w:w="1812" w:type="dxa"/>
          </w:tcPr>
          <w:p>
            <w:pPr>
              <w:pStyle w:val="62"/>
              <w:autoSpaceDN w:val="0"/>
              <w:snapToGrid w:val="0"/>
              <w:spacing w:line="360" w:lineRule="auto"/>
              <w:jc w:val="center"/>
              <w:textAlignment w:val="baseline"/>
              <w:rPr>
                <w:rFonts w:hint="eastAsia" w:ascii="新宋体" w:hAnsi="新宋体" w:eastAsia="新宋体" w:cs="新宋体"/>
                <w:sz w:val="24"/>
                <w:szCs w:val="24"/>
              </w:rPr>
            </w:pPr>
            <w:r>
              <w:rPr>
                <w:rFonts w:hint="eastAsia" w:ascii="新宋体" w:hAnsi="新宋体" w:eastAsia="新宋体" w:cs="新宋体"/>
                <w:sz w:val="24"/>
                <w:szCs w:val="24"/>
              </w:rPr>
              <w:t>1032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2" w:type="dxa"/>
          </w:tcPr>
          <w:p>
            <w:pPr>
              <w:pStyle w:val="62"/>
              <w:autoSpaceDN w:val="0"/>
              <w:snapToGrid w:val="0"/>
              <w:spacing w:line="360" w:lineRule="auto"/>
              <w:jc w:val="center"/>
              <w:textAlignment w:val="baseline"/>
              <w:rPr>
                <w:rFonts w:hint="eastAsia" w:ascii="新宋体" w:hAnsi="新宋体" w:eastAsia="新宋体" w:cs="新宋体"/>
                <w:sz w:val="24"/>
                <w:szCs w:val="24"/>
              </w:rPr>
            </w:pPr>
            <w:r>
              <w:rPr>
                <w:rFonts w:hint="eastAsia" w:ascii="新宋体" w:hAnsi="新宋体" w:eastAsia="新宋体" w:cs="新宋体"/>
                <w:sz w:val="24"/>
                <w:szCs w:val="24"/>
              </w:rPr>
              <w:t>6</w:t>
            </w:r>
          </w:p>
        </w:tc>
        <w:tc>
          <w:tcPr>
            <w:tcW w:w="1611" w:type="dxa"/>
          </w:tcPr>
          <w:p>
            <w:pPr>
              <w:pStyle w:val="62"/>
              <w:autoSpaceDN w:val="0"/>
              <w:snapToGrid w:val="0"/>
              <w:spacing w:line="360" w:lineRule="auto"/>
              <w:jc w:val="center"/>
              <w:textAlignment w:val="baseline"/>
              <w:rPr>
                <w:rFonts w:hint="eastAsia" w:ascii="新宋体" w:hAnsi="新宋体" w:eastAsia="新宋体" w:cs="新宋体"/>
                <w:sz w:val="24"/>
                <w:szCs w:val="24"/>
              </w:rPr>
            </w:pPr>
            <w:r>
              <w:rPr>
                <w:rFonts w:hint="eastAsia" w:ascii="新宋体" w:hAnsi="新宋体" w:eastAsia="新宋体" w:cs="新宋体"/>
                <w:sz w:val="24"/>
                <w:szCs w:val="24"/>
              </w:rPr>
              <w:t>糖块</w:t>
            </w:r>
          </w:p>
        </w:tc>
        <w:tc>
          <w:tcPr>
            <w:tcW w:w="2922" w:type="dxa"/>
          </w:tcPr>
          <w:p>
            <w:pPr>
              <w:pStyle w:val="62"/>
              <w:autoSpaceDN w:val="0"/>
              <w:snapToGrid w:val="0"/>
              <w:spacing w:line="360" w:lineRule="auto"/>
              <w:jc w:val="center"/>
              <w:textAlignment w:val="baseline"/>
              <w:rPr>
                <w:rFonts w:hint="eastAsia" w:ascii="新宋体" w:hAnsi="新宋体" w:eastAsia="新宋体" w:cs="新宋体"/>
                <w:sz w:val="24"/>
                <w:szCs w:val="24"/>
              </w:rPr>
            </w:pPr>
            <w:r>
              <w:rPr>
                <w:rFonts w:hint="eastAsia" w:ascii="新宋体" w:hAnsi="新宋体" w:eastAsia="新宋体" w:cs="新宋体"/>
                <w:sz w:val="24"/>
                <w:szCs w:val="24"/>
              </w:rPr>
              <w:t>糖礼包</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rPr>
              <w:t>5斤</w:t>
            </w:r>
            <w:r>
              <w:rPr>
                <w:rFonts w:hint="eastAsia" w:ascii="新宋体" w:hAnsi="新宋体" w:eastAsia="新宋体" w:cs="新宋体"/>
                <w:sz w:val="24"/>
                <w:szCs w:val="24"/>
                <w:lang w:val="en-US" w:eastAsia="zh-CN"/>
              </w:rPr>
              <w:t>/</w:t>
            </w:r>
            <w:r>
              <w:rPr>
                <w:rFonts w:hint="eastAsia" w:ascii="新宋体" w:hAnsi="新宋体" w:eastAsia="新宋体" w:cs="新宋体"/>
                <w:sz w:val="24"/>
                <w:szCs w:val="24"/>
              </w:rPr>
              <w:t>袋</w:t>
            </w:r>
          </w:p>
        </w:tc>
        <w:tc>
          <w:tcPr>
            <w:tcW w:w="903" w:type="dxa"/>
          </w:tcPr>
          <w:p>
            <w:pPr>
              <w:pStyle w:val="62"/>
              <w:autoSpaceDN w:val="0"/>
              <w:snapToGrid w:val="0"/>
              <w:spacing w:line="360" w:lineRule="auto"/>
              <w:jc w:val="center"/>
              <w:textAlignment w:val="baseline"/>
              <w:rPr>
                <w:rFonts w:hint="eastAsia" w:ascii="新宋体" w:hAnsi="新宋体" w:eastAsia="新宋体" w:cs="新宋体"/>
                <w:sz w:val="24"/>
                <w:szCs w:val="24"/>
              </w:rPr>
            </w:pPr>
            <w:r>
              <w:rPr>
                <w:rFonts w:hint="eastAsia" w:ascii="新宋体" w:hAnsi="新宋体" w:eastAsia="新宋体" w:cs="新宋体"/>
                <w:sz w:val="24"/>
                <w:szCs w:val="24"/>
              </w:rPr>
              <w:t>袋</w:t>
            </w:r>
          </w:p>
        </w:tc>
        <w:tc>
          <w:tcPr>
            <w:tcW w:w="1812" w:type="dxa"/>
          </w:tcPr>
          <w:p>
            <w:pPr>
              <w:pStyle w:val="62"/>
              <w:autoSpaceDN w:val="0"/>
              <w:snapToGrid w:val="0"/>
              <w:spacing w:line="360" w:lineRule="auto"/>
              <w:jc w:val="center"/>
              <w:textAlignment w:val="baseline"/>
              <w:rPr>
                <w:rFonts w:hint="eastAsia" w:ascii="新宋体" w:hAnsi="新宋体" w:eastAsia="新宋体" w:cs="新宋体"/>
                <w:sz w:val="24"/>
                <w:szCs w:val="24"/>
              </w:rPr>
            </w:pPr>
            <w:r>
              <w:rPr>
                <w:rFonts w:hint="eastAsia" w:ascii="新宋体" w:hAnsi="新宋体" w:eastAsia="新宋体" w:cs="新宋体"/>
                <w:sz w:val="24"/>
                <w:szCs w:val="24"/>
              </w:rPr>
              <w:t>1032</w:t>
            </w:r>
          </w:p>
        </w:tc>
      </w:tr>
    </w:tbl>
    <w:p>
      <w:pPr>
        <w:pStyle w:val="62"/>
        <w:autoSpaceDN w:val="0"/>
        <w:snapToGrid w:val="0"/>
        <w:spacing w:line="360" w:lineRule="auto"/>
        <w:textAlignment w:val="baseline"/>
        <w:rPr>
          <w:rFonts w:hint="eastAsia" w:ascii="新宋体" w:hAnsi="新宋体" w:eastAsia="新宋体" w:cs="新宋体"/>
          <w:sz w:val="24"/>
          <w:szCs w:val="24"/>
        </w:rPr>
      </w:pPr>
    </w:p>
    <w:p>
      <w:pPr>
        <w:pStyle w:val="62"/>
        <w:autoSpaceDN w:val="0"/>
        <w:snapToGrid w:val="0"/>
        <w:spacing w:line="360" w:lineRule="auto"/>
        <w:ind w:firstLine="482" w:firstLineChars="200"/>
        <w:textAlignment w:val="baseline"/>
        <w:rPr>
          <w:rFonts w:hint="eastAsia" w:ascii="新宋体" w:hAnsi="新宋体" w:eastAsia="新宋体" w:cs="新宋体"/>
          <w:sz w:val="24"/>
          <w:szCs w:val="24"/>
          <w:lang w:eastAsia="zh-CN"/>
        </w:rPr>
      </w:pPr>
      <w:r>
        <w:rPr>
          <w:rFonts w:hint="eastAsia" w:ascii="新宋体" w:hAnsi="新宋体" w:eastAsia="新宋体" w:cs="新宋体"/>
          <w:b/>
          <w:bCs/>
          <w:sz w:val="24"/>
          <w:szCs w:val="24"/>
        </w:rPr>
        <w:t>（三）采购标的执行标准：</w:t>
      </w:r>
      <w:r>
        <w:rPr>
          <w:rFonts w:hint="eastAsia" w:ascii="新宋体" w:hAnsi="新宋体" w:eastAsia="新宋体" w:cs="新宋体"/>
          <w:sz w:val="24"/>
          <w:szCs w:val="24"/>
        </w:rPr>
        <w:t>需执行的国家相关标准、行业标准</w:t>
      </w:r>
      <w:r>
        <w:rPr>
          <w:rFonts w:hint="eastAsia" w:ascii="新宋体" w:hAnsi="新宋体" w:eastAsia="新宋体" w:cs="新宋体"/>
          <w:sz w:val="24"/>
          <w:szCs w:val="24"/>
          <w:lang w:eastAsia="zh-CN"/>
        </w:rPr>
        <w:t>。</w:t>
      </w:r>
    </w:p>
    <w:p>
      <w:pPr>
        <w:pStyle w:val="62"/>
        <w:autoSpaceDN w:val="0"/>
        <w:snapToGrid w:val="0"/>
        <w:spacing w:line="360" w:lineRule="auto"/>
        <w:ind w:firstLine="482" w:firstLineChars="200"/>
        <w:textAlignment w:val="baseline"/>
        <w:rPr>
          <w:rFonts w:hint="eastAsia" w:ascii="新宋体" w:hAnsi="新宋体" w:eastAsia="新宋体" w:cs="新宋体"/>
          <w:sz w:val="24"/>
          <w:szCs w:val="24"/>
          <w:lang w:eastAsia="zh-CN"/>
        </w:rPr>
      </w:pPr>
      <w:r>
        <w:rPr>
          <w:rFonts w:hint="eastAsia" w:ascii="新宋体" w:hAnsi="新宋体" w:eastAsia="新宋体" w:cs="新宋体"/>
          <w:b/>
          <w:bCs/>
          <w:sz w:val="24"/>
          <w:szCs w:val="24"/>
        </w:rPr>
        <w:t>（四）服务标准、期限、效率等要求</w:t>
      </w:r>
      <w:r>
        <w:rPr>
          <w:rFonts w:hint="eastAsia" w:ascii="新宋体" w:hAnsi="新宋体" w:eastAsia="新宋体" w:cs="新宋体"/>
          <w:sz w:val="24"/>
          <w:szCs w:val="24"/>
        </w:rPr>
        <w:t>：</w:t>
      </w:r>
      <w:r>
        <w:rPr>
          <w:rFonts w:hint="eastAsia" w:ascii="新宋体" w:hAnsi="新宋体" w:eastAsia="新宋体" w:cs="新宋体"/>
          <w:sz w:val="24"/>
          <w:szCs w:val="24"/>
          <w:lang w:eastAsia="zh-CN"/>
        </w:rPr>
        <w:t>满足</w:t>
      </w:r>
      <w:r>
        <w:rPr>
          <w:rFonts w:hint="eastAsia" w:ascii="新宋体" w:hAnsi="新宋体" w:eastAsia="新宋体" w:cs="新宋体"/>
          <w:sz w:val="24"/>
          <w:szCs w:val="24"/>
        </w:rPr>
        <w:t>业主需求</w:t>
      </w:r>
      <w:r>
        <w:rPr>
          <w:rFonts w:hint="eastAsia" w:ascii="新宋体" w:hAnsi="新宋体" w:eastAsia="新宋体" w:cs="新宋体"/>
          <w:sz w:val="24"/>
          <w:szCs w:val="24"/>
          <w:lang w:eastAsia="zh-CN"/>
        </w:rPr>
        <w:t>。</w:t>
      </w:r>
    </w:p>
    <w:p>
      <w:pPr>
        <w:spacing w:line="52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（五）验收标准</w:t>
      </w:r>
    </w:p>
    <w:p>
      <w:pPr>
        <w:spacing w:line="52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由采购人成立验收小组,按照采购合同的约定对中标人履约情况进行验收。验收时,按照采购合同的约定对每一项技术、服务、安全标准的履约情况进行确认。验收结束后由验收小组出具验收报告,列明各项标准的验收情况及项目总体评价,由验收双方共同签署。</w:t>
      </w:r>
    </w:p>
    <w:p>
      <w:pPr>
        <w:spacing w:line="52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1、按照国家相关标准、行业标准、地方标准或其他标准、规范验收（与采购标的的执行标准一致，选填）。</w:t>
      </w:r>
    </w:p>
    <w:p>
      <w:pPr>
        <w:spacing w:line="52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2、按照招标文件要求、投标文件响应和承诺验收。</w:t>
      </w:r>
    </w:p>
    <w:p>
      <w:pPr>
        <w:spacing w:line="520" w:lineRule="exact"/>
        <w:ind w:firstLine="482" w:firstLineChars="200"/>
        <w:rPr>
          <w:rFonts w:hint="eastAsia" w:ascii="新宋体" w:hAnsi="新宋体" w:eastAsia="新宋体" w:cs="新宋体"/>
          <w:b/>
          <w:sz w:val="24"/>
          <w:szCs w:val="24"/>
        </w:rPr>
      </w:pPr>
      <w:r>
        <w:rPr>
          <w:rFonts w:hint="eastAsia" w:ascii="新宋体" w:hAnsi="新宋体" w:eastAsia="新宋体" w:cs="新宋体"/>
          <w:b/>
          <w:sz w:val="24"/>
          <w:szCs w:val="24"/>
        </w:rPr>
        <w:t>二、特别提示：</w:t>
      </w:r>
    </w:p>
    <w:p>
      <w:pPr>
        <w:tabs>
          <w:tab w:val="left" w:pos="5963"/>
        </w:tabs>
        <w:spacing w:line="42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1</w:t>
      </w:r>
      <w:r>
        <w:rPr>
          <w:rFonts w:hint="eastAsia" w:ascii="新宋体" w:hAnsi="新宋体" w:eastAsia="新宋体" w:cs="新宋体"/>
          <w:sz w:val="24"/>
          <w:szCs w:val="24"/>
        </w:rPr>
        <w:t>、本招标文件所列需求为最低要求，投标产品不得低于最低要求，否则为无效投标。</w:t>
      </w:r>
    </w:p>
    <w:p>
      <w:pPr>
        <w:tabs>
          <w:tab w:val="left" w:pos="5963"/>
        </w:tabs>
        <w:spacing w:line="42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2</w:t>
      </w:r>
      <w:r>
        <w:rPr>
          <w:rFonts w:hint="eastAsia" w:ascii="新宋体" w:hAnsi="新宋体" w:eastAsia="新宋体" w:cs="新宋体"/>
          <w:sz w:val="24"/>
          <w:szCs w:val="24"/>
        </w:rPr>
        <w:t>、投标人应就该项目完整投标，否则为无效投标。</w:t>
      </w:r>
    </w:p>
    <w:p>
      <w:pPr>
        <w:tabs>
          <w:tab w:val="left" w:pos="5963"/>
        </w:tabs>
        <w:spacing w:line="420" w:lineRule="exact"/>
        <w:ind w:firstLine="480" w:firstLineChars="200"/>
        <w:rPr>
          <w:rFonts w:hint="eastAsia" w:ascii="新宋体" w:hAnsi="新宋体" w:eastAsia="新宋体" w:cs="新宋体"/>
          <w:sz w:val="24"/>
          <w:szCs w:val="24"/>
          <w:lang w:eastAsia="zh-CN"/>
        </w:rPr>
      </w:pPr>
      <w:r>
        <w:rPr>
          <w:rFonts w:hint="eastAsia" w:ascii="新宋体" w:hAnsi="新宋体" w:eastAsia="新宋体" w:cs="新宋体"/>
          <w:sz w:val="24"/>
          <w:szCs w:val="24"/>
          <w:lang w:val="en-US" w:eastAsia="zh-CN"/>
        </w:rPr>
        <w:t>3</w:t>
      </w:r>
      <w:r>
        <w:rPr>
          <w:rFonts w:hint="eastAsia" w:ascii="新宋体" w:hAnsi="新宋体" w:eastAsia="新宋体" w:cs="新宋体"/>
          <w:sz w:val="24"/>
          <w:szCs w:val="24"/>
        </w:rPr>
        <w:t>、产品必须符合国家质量检测标准和本招标文件规定标准的全新正品现货，供货时须提供随货物《产品合格证》</w:t>
      </w:r>
      <w:r>
        <w:rPr>
          <w:rFonts w:hint="eastAsia" w:ascii="新宋体" w:hAnsi="新宋体" w:eastAsia="新宋体" w:cs="新宋体"/>
          <w:sz w:val="24"/>
          <w:szCs w:val="24"/>
          <w:lang w:eastAsia="zh-CN"/>
        </w:rPr>
        <w:t>。</w:t>
      </w:r>
    </w:p>
    <w:p>
      <w:pPr>
        <w:spacing w:line="420" w:lineRule="exact"/>
        <w:rPr>
          <w:rFonts w:hint="eastAsia" w:ascii="新宋体" w:hAnsi="新宋体" w:eastAsia="新宋体" w:cs="新宋体"/>
          <w:sz w:val="24"/>
          <w:szCs w:val="24"/>
        </w:rPr>
      </w:pPr>
      <w:r>
        <w:rPr>
          <w:rFonts w:hint="eastAsia" w:ascii="新宋体" w:hAnsi="新宋体" w:eastAsia="新宋体" w:cs="新宋体"/>
          <w:sz w:val="24"/>
          <w:szCs w:val="24"/>
        </w:rPr>
        <w:t>　　</w:t>
      </w:r>
      <w:r>
        <w:rPr>
          <w:rFonts w:hint="eastAsia" w:ascii="新宋体" w:hAnsi="新宋体" w:eastAsia="新宋体" w:cs="新宋体"/>
          <w:sz w:val="24"/>
          <w:szCs w:val="24"/>
          <w:lang w:val="en-US" w:eastAsia="zh-CN"/>
        </w:rPr>
        <w:t>4</w:t>
      </w:r>
      <w:r>
        <w:rPr>
          <w:rFonts w:hint="eastAsia" w:ascii="新宋体" w:hAnsi="新宋体" w:eastAsia="新宋体" w:cs="新宋体"/>
          <w:sz w:val="24"/>
          <w:szCs w:val="24"/>
        </w:rPr>
        <w:t>、投标商必须由法定代表人或其授权代表参加开标会议，随时接受谈判小组询问，并予作出书面解答。</w:t>
      </w:r>
    </w:p>
    <w:p>
      <w:pPr>
        <w:wordWrap w:val="0"/>
        <w:topLinePunct/>
        <w:autoSpaceDE w:val="0"/>
        <w:autoSpaceDN w:val="0"/>
        <w:adjustRightInd w:val="0"/>
        <w:snapToGrid w:val="0"/>
        <w:spacing w:line="360" w:lineRule="auto"/>
        <w:ind w:firstLine="482"/>
        <w:rPr>
          <w:rFonts w:hint="eastAsia" w:ascii="新宋体" w:hAnsi="新宋体" w:eastAsia="新宋体" w:cs="新宋体"/>
          <w:bCs/>
          <w:color w:val="FF0000"/>
          <w:sz w:val="24"/>
          <w:szCs w:val="24"/>
          <w:lang w:val="zh-CN"/>
        </w:rPr>
      </w:pPr>
      <w:r>
        <w:rPr>
          <w:rFonts w:hint="eastAsia" w:ascii="新宋体" w:hAnsi="新宋体" w:eastAsia="新宋体" w:cs="新宋体"/>
          <w:bCs/>
          <w:color w:val="FF0000"/>
          <w:sz w:val="24"/>
          <w:szCs w:val="24"/>
          <w:lang w:val="en-US" w:eastAsia="zh-CN"/>
        </w:rPr>
        <w:t>5</w:t>
      </w:r>
      <w:r>
        <w:rPr>
          <w:rFonts w:hint="eastAsia" w:ascii="新宋体" w:hAnsi="新宋体" w:eastAsia="新宋体" w:cs="新宋体"/>
          <w:bCs/>
          <w:color w:val="FF0000"/>
          <w:sz w:val="24"/>
          <w:szCs w:val="24"/>
          <w:lang w:val="zh-CN"/>
        </w:rPr>
        <w:t>、采购人确定中标人后，中标人须向禹州市政府采购中心发送投标报价及分项报价（如果货物需求中有分项的话）一览表电子档，并同时通知采购中心。邮箱：</w:t>
      </w:r>
      <w:r>
        <w:rPr>
          <w:rFonts w:hint="eastAsia" w:ascii="新宋体" w:hAnsi="新宋体" w:eastAsia="新宋体" w:cs="新宋体"/>
          <w:color w:val="FF0000"/>
          <w:sz w:val="24"/>
          <w:szCs w:val="24"/>
        </w:rPr>
        <w:t>yzggzy2076770@163.com</w:t>
      </w:r>
    </w:p>
    <w:p>
      <w:pPr>
        <w:tabs>
          <w:tab w:val="left" w:pos="5963"/>
        </w:tabs>
        <w:spacing w:line="42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6</w:t>
      </w:r>
      <w:r>
        <w:rPr>
          <w:rFonts w:hint="eastAsia" w:ascii="新宋体" w:hAnsi="新宋体" w:eastAsia="新宋体" w:cs="新宋体"/>
          <w:sz w:val="24"/>
          <w:szCs w:val="24"/>
        </w:rPr>
        <w:t>、付款方式：以签订合同为准。</w:t>
      </w:r>
    </w:p>
    <w:p>
      <w:pPr>
        <w:pStyle w:val="2"/>
        <w:ind w:firstLine="340"/>
        <w:rPr>
          <w:rFonts w:hint="eastAsia" w:ascii="新宋体" w:hAnsi="新宋体" w:eastAsia="新宋体" w:cs="新宋体"/>
          <w:sz w:val="24"/>
          <w:szCs w:val="24"/>
        </w:rPr>
      </w:pPr>
    </w:p>
    <w:p>
      <w:pPr>
        <w:pStyle w:val="2"/>
        <w:ind w:firstLine="340"/>
        <w:rPr>
          <w:rFonts w:hint="eastAsia" w:ascii="新宋体" w:hAnsi="新宋体" w:eastAsia="新宋体" w:cs="新宋体"/>
          <w:sz w:val="24"/>
          <w:szCs w:val="24"/>
        </w:rPr>
      </w:pPr>
    </w:p>
    <w:p>
      <w:pPr>
        <w:pStyle w:val="2"/>
        <w:ind w:firstLine="340"/>
        <w:rPr>
          <w:rFonts w:hint="eastAsia" w:ascii="新宋体" w:hAnsi="新宋体" w:eastAsia="新宋体" w:cs="新宋体"/>
          <w:sz w:val="24"/>
          <w:szCs w:val="24"/>
        </w:rPr>
      </w:pPr>
    </w:p>
    <w:p>
      <w:pPr>
        <w:pStyle w:val="2"/>
        <w:ind w:firstLine="340"/>
        <w:rPr>
          <w:rFonts w:hint="eastAsia" w:ascii="新宋体" w:hAnsi="新宋体" w:eastAsia="新宋体" w:cs="新宋体"/>
          <w:sz w:val="24"/>
          <w:szCs w:val="24"/>
        </w:rPr>
      </w:pPr>
    </w:p>
    <w:p>
      <w:pPr>
        <w:pStyle w:val="2"/>
        <w:ind w:firstLine="340"/>
        <w:rPr>
          <w:rFonts w:hint="eastAsia" w:ascii="新宋体" w:hAnsi="新宋体" w:eastAsia="新宋体" w:cs="新宋体"/>
          <w:sz w:val="24"/>
          <w:szCs w:val="24"/>
        </w:rPr>
      </w:pPr>
    </w:p>
    <w:p>
      <w:pPr>
        <w:pStyle w:val="2"/>
        <w:ind w:firstLine="340"/>
      </w:pPr>
    </w:p>
    <w:p>
      <w:pPr>
        <w:pStyle w:val="2"/>
        <w:ind w:firstLine="340"/>
      </w:pPr>
    </w:p>
    <w:p>
      <w:pPr>
        <w:numPr>
          <w:ilvl w:val="0"/>
          <w:numId w:val="4"/>
        </w:numPr>
        <w:autoSpaceDE w:val="0"/>
        <w:autoSpaceDN w:val="0"/>
        <w:adjustRightInd w:val="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供应商须知前附表</w:t>
      </w:r>
    </w:p>
    <w:tbl>
      <w:tblPr>
        <w:tblStyle w:val="22"/>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项目名称：中共禹州市委老干部局2020年春节看望慰问离退休老干部物品采购项目</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项目编号：YZCG-T2019369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名称：中共禹州市委老干部局</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联系人：张女士    联系电话：</w:t>
            </w:r>
            <w:r>
              <w:rPr>
                <w:rFonts w:cs="仿宋_GB2312" w:asciiTheme="minorEastAsia" w:hAnsiTheme="minorEastAsia"/>
                <w:szCs w:val="21"/>
              </w:rPr>
              <w:t>13700890706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地址：禹州市行政服务中心楼9楼</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联系人：郭女士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供应商资格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autoSpaceDE w:val="0"/>
              <w:autoSpaceDN w:val="0"/>
              <w:adjustRightInd w:val="0"/>
              <w:spacing w:line="360" w:lineRule="auto"/>
              <w:jc w:val="left"/>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参加本次政府采购项目谈判响应截止时间前三个月内任意一个月缴纳税收凭据。（依法免税的供应商，应提供相应文件证明依法免税）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①相关设备的购置发票、专业技术人员职称证书、用工合同等；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供应商“</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w:t>
            </w:r>
            <w:r>
              <w:rPr>
                <w:rFonts w:hint="eastAsia" w:cs="仿宋_GB2312" w:asciiTheme="minorEastAsia" w:hAnsiTheme="minorEastAsia"/>
                <w:b/>
                <w:color w:val="000000"/>
                <w:szCs w:val="21"/>
                <w:shd w:val="clear" w:color="auto" w:fill="FFFFFF"/>
              </w:rPr>
              <w:t>供应商</w:t>
            </w:r>
            <w:r>
              <w:rPr>
                <w:rFonts w:hint="eastAsia" w:cs="宋体" w:asciiTheme="minorEastAsia" w:hAnsiTheme="minorEastAsia"/>
                <w:b/>
                <w:bCs/>
                <w:szCs w:val="21"/>
                <w:lang w:val="zh-CN"/>
              </w:rPr>
              <w:t>；</w:t>
            </w:r>
            <w:r>
              <w:rPr>
                <w:rFonts w:hint="eastAsia" w:cs="仿宋_GB2312" w:asciiTheme="minorEastAsia" w:hAnsiTheme="minorEastAsia"/>
                <w:b/>
                <w:color w:val="000000"/>
                <w:szCs w:val="21"/>
                <w:shd w:val="clear" w:color="auto" w:fill="FFFFFF"/>
              </w:rPr>
              <w:t>“中国社会组织公共服务平台”网站（</w:t>
            </w:r>
            <w:r>
              <w:rPr>
                <w:rFonts w:cs="仿宋_GB2312" w:asciiTheme="minorEastAsia" w:hAnsiTheme="minorEastAsia"/>
                <w:b/>
                <w:color w:val="000000"/>
                <w:szCs w:val="21"/>
                <w:shd w:val="clear" w:color="auto" w:fill="FFFFFF"/>
              </w:rPr>
              <w:t>www.chinanpo.gov.cn</w:t>
            </w:r>
            <w:r>
              <w:rPr>
                <w:rFonts w:hint="eastAsia" w:cs="仿宋_GB2312" w:asciiTheme="minorEastAsia" w:hAnsiTheme="minorEastAsia"/>
                <w:b/>
                <w:color w:val="000000"/>
                <w:szCs w:val="21"/>
                <w:shd w:val="clear" w:color="auto" w:fill="FFFFFF"/>
              </w:rPr>
              <w:t>）严重违法失信社会组织名单的供应商（</w:t>
            </w:r>
            <w:r>
              <w:rPr>
                <w:rFonts w:hint="eastAsia" w:cs="宋体" w:asciiTheme="minorEastAsia" w:hAnsiTheme="minorEastAsia"/>
                <w:kern w:val="0"/>
                <w:szCs w:val="21"/>
              </w:rPr>
              <w:t>联合体形式响应的，联合体成员存在不良信用记录，视同联合体存在不良信用记录）。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2、截止时间：同谈判响应截止时间；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3、信用信息查询记录和证据留存具体方式：经谈判小组确认的查询结果网页截图作为查询记录和证据，与其他采购文件一并保存；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谈判小组认定的被列入失信被执行人、重大税收违法案件当事人名单、政府采购严重违法失信行为记录名单的供应商、严重违法失信社会组织名单的供应商，将拒绝其参与本次政府采购活动。</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pPr>
              <w:spacing w:line="400" w:lineRule="exact"/>
              <w:rPr>
                <w:rFonts w:cs="仿宋_GB2312" w:asciiTheme="minorEastAsia" w:hAnsiTheme="minorEastAsia"/>
                <w:szCs w:val="21"/>
              </w:rPr>
            </w:pPr>
            <w:r>
              <w:rPr>
                <w:rFonts w:hint="eastAsia" w:cs="宋体" w:asciiTheme="minorEastAsia" w:hAnsiTheme="minorEastAsia"/>
                <w:kern w:val="0"/>
                <w:szCs w:val="21"/>
              </w:rPr>
              <w:t>八、被委托人须是本单位职工，须提供公司为本人缴纳社会保险证明；查询网站</w:t>
            </w:r>
            <w:r>
              <w:rPr>
                <w:rFonts w:cs="宋体" w:asciiTheme="minorEastAsia" w:hAnsiTheme="minorEastAsia"/>
                <w:kern w:val="0"/>
                <w:szCs w:val="21"/>
              </w:rPr>
              <w:fldChar w:fldCharType="begin"/>
            </w:r>
            <w:r>
              <w:rPr>
                <w:rFonts w:cs="宋体" w:asciiTheme="minorEastAsia" w:hAnsiTheme="minorEastAsia"/>
                <w:kern w:val="0"/>
                <w:szCs w:val="21"/>
              </w:rPr>
              <w:instrText xml:space="preserve">http://222.143.34.121/"</w:instrText>
            </w:r>
            <w:r>
              <w:rPr>
                <w:rFonts w:cs="宋体" w:asciiTheme="minorEastAsia" w:hAnsiTheme="minorEastAsia"/>
                <w:kern w:val="0"/>
                <w:szCs w:val="21"/>
              </w:rPr>
              <w:fldChar w:fldCharType="separate"/>
            </w:r>
            <w:r>
              <w:rPr>
                <w:rFonts w:cs="宋体" w:asciiTheme="minorEastAsia" w:hAnsiTheme="minorEastAsia"/>
                <w:kern w:val="0"/>
                <w:szCs w:val="21"/>
              </w:rPr>
              <w:t>http://222.143.34.121/</w:t>
            </w:r>
            <w:r>
              <w:rPr>
                <w:rFonts w:cs="宋体" w:asciiTheme="minorEastAsia" w:hAnsiTheme="minorEastAsia"/>
                <w:kern w:val="0"/>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联合体响应</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 xml:space="preserve">本项目 </w:t>
            </w: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预算金额</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微软雅黑" w:asciiTheme="minorEastAsia" w:hAnsiTheme="minorEastAsia"/>
                <w:b/>
                <w:color w:val="FF0000"/>
                <w:szCs w:val="21"/>
              </w:rPr>
              <w:t>38.1840万</w:t>
            </w:r>
            <w:r>
              <w:rPr>
                <w:rFonts w:hint="eastAsia" w:cs="微软雅黑" w:asciiTheme="minorEastAsia" w:hAnsiTheme="minorEastAsia"/>
                <w:b/>
                <w:color w:val="FF0000"/>
                <w:szCs w:val="21"/>
                <w:lang w:val="zh-CN"/>
              </w:rPr>
              <w:t>元</w:t>
            </w:r>
            <w:r>
              <w:rPr>
                <w:rFonts w:hint="eastAsia" w:cs="宋体" w:asciiTheme="minorEastAsia" w:hAnsiTheme="minorEastAsia"/>
                <w:bCs/>
                <w:szCs w:val="21"/>
                <w:lang w:val="zh-CN"/>
              </w:rPr>
              <w:t>，超出预算金额的响应无效。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w:t>
            </w:r>
            <w:r>
              <w:rPr>
                <w:rFonts w:cs="宋体" w:asciiTheme="minorEastAsia" w:hAnsiTheme="minorEastAsia"/>
                <w:bCs/>
                <w:szCs w:val="21"/>
                <w:lang w:val="zh-CN"/>
              </w:rPr>
              <w:t>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谈判有效期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60天（自</w:t>
            </w:r>
            <w:r>
              <w:rPr>
                <w:rFonts w:hint="eastAsia" w:cs="宋体" w:asciiTheme="minorEastAsia" w:hAnsiTheme="minorEastAsia"/>
                <w:kern w:val="0"/>
                <w:szCs w:val="21"/>
              </w:rPr>
              <w:t>提交谈判响应文件的截止之日起算</w:t>
            </w:r>
            <w:r>
              <w:rPr>
                <w:rFonts w:hint="eastAsia" w:cs="仿宋_GB2312" w:asciiTheme="minorEastAsia" w:hAnsi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hint="eastAsia" w:cs="宋体" w:asciiTheme="minorEastAsia" w:hAnsiTheme="minorEastAsia"/>
                <w:bCs/>
                <w:szCs w:val="21"/>
                <w:lang w:val="zh-CN"/>
              </w:rPr>
              <w:t>成交供应商</w:t>
            </w:r>
            <w:r>
              <w:rPr>
                <w:rFonts w:cs="宋体" w:asciiTheme="minorEastAsia" w:hAnsiTheme="minorEastAsia"/>
                <w:bCs/>
                <w:szCs w:val="21"/>
                <w:lang w:val="zh-CN"/>
              </w:rPr>
              <w:t>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谈判响应截止及</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谈判时间</w:t>
            </w:r>
          </w:p>
        </w:tc>
        <w:tc>
          <w:tcPr>
            <w:tcW w:w="6813" w:type="dxa"/>
            <w:vAlign w:val="center"/>
          </w:tcPr>
          <w:p>
            <w:pPr>
              <w:autoSpaceDE w:val="0"/>
              <w:autoSpaceDN w:val="0"/>
              <w:adjustRightInd w:val="0"/>
              <w:spacing w:line="276" w:lineRule="auto"/>
              <w:rPr>
                <w:rFonts w:hint="eastAsia" w:cs="宋体" w:asciiTheme="minorEastAsia" w:hAnsiTheme="minorEastAsia"/>
                <w:bCs/>
                <w:szCs w:val="21"/>
                <w:lang w:val="zh-CN"/>
              </w:rPr>
            </w:pPr>
            <w:r>
              <w:rPr>
                <w:rFonts w:hint="eastAsia" w:cs="宋体" w:asciiTheme="minorEastAsia" w:hAnsiTheme="minorEastAsia"/>
                <w:bCs/>
                <w:szCs w:val="21"/>
                <w:lang w:val="zh-CN"/>
              </w:rPr>
              <w:t>2020年 1月 9日 15：00（</w:t>
            </w:r>
            <w:r>
              <w:rPr>
                <w:rFonts w:hint="eastAsia" w:cs="宋体" w:asciiTheme="minorEastAsia" w:hAnsiTheme="minorEastAsia"/>
                <w:bCs/>
                <w:szCs w:val="21"/>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递交谈判响应文件</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谈判保证金</w:t>
            </w:r>
          </w:p>
        </w:tc>
        <w:tc>
          <w:tcPr>
            <w:tcW w:w="6813" w:type="dxa"/>
            <w:vAlign w:val="center"/>
          </w:tcPr>
          <w:p>
            <w:pPr>
              <w:autoSpaceDE w:val="0"/>
              <w:autoSpaceDN w:val="0"/>
              <w:adjustRightInd w:val="0"/>
              <w:spacing w:line="276" w:lineRule="auto"/>
              <w:rPr>
                <w:rFonts w:hint="eastAsia" w:cs="宋体" w:asciiTheme="minorEastAsia" w:hAnsiTheme="minorEastAsia"/>
                <w:bCs/>
                <w:szCs w:val="21"/>
                <w:lang w:val="zh-CN" w:eastAsia="zh-CN"/>
              </w:rPr>
            </w:pPr>
            <w:r>
              <w:rPr>
                <w:rFonts w:hint="eastAsia" w:cs="宋体" w:asciiTheme="minorEastAsia" w:hAnsiTheme="minorEastAsia"/>
                <w:bCs/>
                <w:szCs w:val="21"/>
                <w:lang w:val="en-US" w:eastAsia="zh-CN"/>
              </w:rPr>
              <w:t>1、</w:t>
            </w:r>
            <w:r>
              <w:rPr>
                <w:rFonts w:hint="eastAsia" w:cs="宋体" w:asciiTheme="minorEastAsia" w:hAnsiTheme="minorEastAsia"/>
                <w:bCs/>
                <w:szCs w:val="21"/>
                <w:lang w:val="zh-CN" w:eastAsia="zh-CN"/>
              </w:rPr>
              <w:t>不缴纳。</w:t>
            </w:r>
          </w:p>
          <w:p>
            <w:pPr>
              <w:autoSpaceDE w:val="0"/>
              <w:autoSpaceDN w:val="0"/>
              <w:adjustRightInd w:val="0"/>
              <w:spacing w:line="276" w:lineRule="auto"/>
              <w:rPr>
                <w:rFonts w:cs="仿宋_GB2312" w:asciiTheme="minorEastAsia" w:hAnsiTheme="minorEastAsia"/>
                <w:szCs w:val="21"/>
                <w:lang w:val="zh-CN"/>
              </w:rPr>
            </w:pPr>
            <w:r>
              <w:rPr>
                <w:rFonts w:hint="eastAsia" w:cs="宋体" w:asciiTheme="minorEastAsia" w:hAnsiTheme="minorEastAsia"/>
                <w:bCs/>
                <w:szCs w:val="21"/>
                <w:lang w:val="en-US" w:eastAsia="zh-CN"/>
              </w:rPr>
              <w:t>2、</w:t>
            </w:r>
            <w:r>
              <w:rPr>
                <w:rFonts w:hint="eastAsia" w:cs="宋体" w:asciiTheme="minorEastAsia" w:hAnsiTheme="minorEastAsia"/>
                <w:bCs/>
                <w:szCs w:val="21"/>
                <w:lang w:val="zh-CN" w:eastAsia="zh-CN"/>
              </w:rPr>
              <w:t>投标人须提供投标承诺函。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谈判公告、成交公告、变更（更正）公告、现场勘察答复等相关信息同时在以下网站发布：《中国政府采购网》、《河南省政府采购网》、《全国公共资源交易平台（河南省·许昌市）》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谈判文件时间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谈判响应截止时间3个工作日前（</w:t>
            </w:r>
            <w:r>
              <w:rPr>
                <w:rFonts w:hint="eastAsia" w:cs="仿宋_GB2312" w:asciiTheme="minorEastAsia" w:hAnsiTheme="minorEastAsia"/>
                <w:szCs w:val="21"/>
                <w:lang w:val="zh-CN"/>
              </w:rPr>
              <w:t>澄清内容可能影响谈判响应文件编制的）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供应商对采购文件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响应文件份数</w:t>
            </w:r>
          </w:p>
        </w:tc>
        <w:tc>
          <w:tcPr>
            <w:tcW w:w="6813" w:type="dxa"/>
            <w:vAlign w:val="center"/>
          </w:tcPr>
          <w:p>
            <w:pPr>
              <w:autoSpaceDE w:val="0"/>
              <w:autoSpaceDN w:val="0"/>
              <w:adjustRightInd w:val="0"/>
              <w:spacing w:line="360" w:lineRule="auto"/>
              <w:rPr>
                <w:rFonts w:cs="宋体" w:asciiTheme="minorEastAsia" w:hAnsiTheme="minorEastAsia"/>
                <w:color w:val="000000"/>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电子响应文件：成功上传至《全国公共资源交易平台（河南省·许昌市）》公共资源交易系统加密电子响应文件1份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w:t>
            </w:r>
            <w:r>
              <w:rPr>
                <w:rFonts w:hint="eastAsia" w:ascii="新宋体" w:hAnsi="新宋体" w:eastAsia="新宋体"/>
                <w:szCs w:val="21"/>
              </w:rPr>
              <w:t>副本一份</w:t>
            </w:r>
            <w:r>
              <w:rPr>
                <w:rFonts w:hint="eastAsia" w:cs="仿宋_GB2312" w:asciiTheme="minorEastAsia" w:hAnsiTheme="minorEastAsia"/>
                <w:szCs w:val="21"/>
              </w:rPr>
              <w:t>。使用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电子响应文件：按谈判文件要求加盖供应商电子印章和法人电子印章。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纸质响应文件：投标文件封面加盖供应商公章（响应文件是指供应商电子响应文件制作完成后生成的后缀名为</w:t>
            </w:r>
            <w:r>
              <w:rPr>
                <w:rFonts w:hint="eastAsia" w:hAnsi="宋体"/>
                <w:color w:val="000000"/>
                <w:szCs w:val="21"/>
              </w:rPr>
              <w:t>“.PDF”的文件</w:t>
            </w:r>
            <w:r>
              <w:rPr>
                <w:rFonts w:hint="eastAsia" w:ascii="新宋体" w:hAnsi="新宋体" w:eastAsia="新宋体"/>
                <w:szCs w:val="21"/>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谈判小组组建</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由采购人代表和评审专家组成，其中评审专家的人数不少于谈判小组成员总数的三分之二。评审专家从政府采购评审专家库中随机抽取。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21</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评审方法</w:t>
            </w:r>
          </w:p>
        </w:tc>
        <w:tc>
          <w:tcPr>
            <w:tcW w:w="6813" w:type="dxa"/>
            <w:vAlign w:val="center"/>
          </w:tcPr>
          <w:p>
            <w:pPr>
              <w:autoSpaceDE w:val="0"/>
              <w:autoSpaceDN w:val="0"/>
              <w:adjustRightInd w:val="0"/>
              <w:spacing w:line="360" w:lineRule="auto"/>
              <w:rPr>
                <w:rFonts w:ascii="新宋体" w:hAnsi="新宋体" w:eastAsia="新宋体"/>
                <w:szCs w:val="21"/>
              </w:rPr>
            </w:pPr>
            <w:r>
              <w:rPr>
                <w:rFonts w:hint="eastAsia"/>
                <w:color w:val="000000"/>
              </w:rPr>
              <w:t>质量和服务均能满足谈判文件实质性响应要求且最后报价最低的原则确定成交供应商</w:t>
            </w:r>
            <w:r>
              <w:rPr>
                <w:rFonts w:hint="eastAsia" w:ascii="新宋体" w:hAnsi="新宋体" w:eastAsia="新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采购单位委派代表参加谈判小组的，须向集中采购机构出具授权函。除授权代表外，采购单位委派纪检监察人员对谈判过程实施监督的须进入</w:t>
            </w:r>
            <w:r>
              <w:rPr>
                <w:rFonts w:hint="eastAsia" w:cs="仿宋_GB2312" w:asciiTheme="minorEastAsia" w:hAnsiTheme="minorEastAsia"/>
                <w:szCs w:val="21"/>
              </w:rPr>
              <w:t>g禹州</w:t>
            </w:r>
            <w:r>
              <w:rPr>
                <w:rFonts w:hint="eastAsia" w:cs="仿宋_GB2312" w:asciiTheme="minorEastAsia" w:hAnsiTheme="minorEastAsia"/>
                <w:szCs w:val="21"/>
                <w:lang w:val="zh-CN"/>
              </w:rPr>
              <w:t>市公共资源交易中心九楼电子监督室，并向集中采购机构机构出具授权函，且不得超过2人。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hint="eastAsia" w:cs="仿宋_GB2312" w:asciiTheme="minorEastAsia" w:hAnsiTheme="minorEastAsia"/>
                <w:szCs w:val="21"/>
                <w:lang w:val="zh-CN"/>
              </w:rPr>
              <w:t>☑</w:t>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w:t>
            </w:r>
            <w:r>
              <w:rPr>
                <w:rFonts w:hint="eastAsia" w:cs="宋体" w:asciiTheme="minorEastAsia" w:hAnsiTheme="minorEastAsia"/>
                <w:color w:val="333333"/>
                <w:szCs w:val="21"/>
              </w:rPr>
              <w:t>要求提交。履约保证金的数额为合同金额</w:t>
            </w:r>
            <w:r>
              <w:rPr>
                <w:rFonts w:hint="eastAsia" w:ascii="新宋体" w:hAnsi="新宋体" w:eastAsia="新宋体"/>
                <w:szCs w:val="21"/>
              </w:rPr>
              <w:t>的3%</w:t>
            </w:r>
            <w:r>
              <w:rPr>
                <w:rFonts w:hint="eastAsia" w:cs="宋体" w:asciiTheme="minorEastAsia" w:hAnsiTheme="minorEastAsia"/>
                <w:color w:val="333333"/>
                <w:szCs w:val="21"/>
              </w:rPr>
              <w:t>。成交供应商以支票、汇票、本票或者金融机构、担保机构出具的保函等非现金形式向采购人提交。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成交供应商</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需提交的资料</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成交供应商在接到成交通知时，须</w:t>
            </w:r>
            <w:r>
              <w:rPr>
                <w:rFonts w:hint="eastAsia" w:ascii="新宋体" w:hAnsi="新宋体" w:eastAsia="新宋体"/>
                <w:szCs w:val="21"/>
              </w:rPr>
              <w:t>向禹州市公共资源交易中心交易见证部发</w:t>
            </w:r>
            <w:r>
              <w:rPr>
                <w:rFonts w:hint="eastAsia" w:cs="宋体" w:asciiTheme="minorEastAsia" w:hAnsiTheme="minorEastAsia"/>
                <w:bCs/>
                <w:szCs w:val="21"/>
                <w:lang w:val="zh-CN"/>
              </w:rPr>
              <w:t>送响应报价及分项报价一览表（包含主要成交标的的名称、规格型号、数量、单价、服务要求等）电子文档，并同时电话告知交易见证部。</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 xml:space="preserve"> </w:t>
            </w:r>
            <w:r>
              <w:rPr>
                <w:rFonts w:hint="eastAsia" w:cs="宋体" w:asciiTheme="minorEastAsia" w:hAnsiTheme="minorEastAsia"/>
                <w:bCs/>
                <w:sz w:val="24"/>
                <w:szCs w:val="24"/>
                <w:lang w:val="zh-CN"/>
              </w:rPr>
              <w:t>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YZGGZY2076770</w:t>
            </w:r>
            <w:r>
              <w:rPr>
                <w:rFonts w:hint="eastAsia" w:cs="宋体" w:asciiTheme="minorEastAsia" w:hAnsiTheme="minorEastAsia"/>
                <w:bCs/>
                <w:color w:val="FF0000"/>
                <w:sz w:val="24"/>
                <w:szCs w:val="24"/>
                <w:lang w:val="zh-CN"/>
              </w:rPr>
              <w:t>@163.com。</w:t>
            </w:r>
            <w:r>
              <w:rPr>
                <w:rFonts w:hint="eastAsia" w:cs="宋体" w:asciiTheme="minorEastAsia" w:hAnsiTheme="minorEastAsia"/>
                <w:bCs/>
                <w:szCs w:val="21"/>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□否。供应商响应时须提供纸质响应文件。供应商资质、业绩、荣誉及相关人员证明材料等资料原件根据谈判文件要求提供。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Cs w:val="21"/>
                <w:lang w:val="zh-CN"/>
              </w:rPr>
            </w:pPr>
            <w:r>
              <w:rPr>
                <w:rFonts w:hint="eastAsia" w:cs="宋体" w:asciiTheme="minorEastAsia" w:hAnsiTheme="minorEastAsia"/>
                <w:bCs/>
                <w:color w:val="FF0000"/>
                <w:szCs w:val="21"/>
                <w:lang w:val="zh-CN"/>
              </w:rPr>
              <w:t>特别提示</w:t>
            </w:r>
          </w:p>
        </w:tc>
        <w:tc>
          <w:tcPr>
            <w:tcW w:w="6813" w:type="dxa"/>
            <w:vAlign w:val="center"/>
          </w:tcPr>
          <w:p>
            <w:pPr>
              <w:autoSpaceDE w:val="0"/>
              <w:autoSpaceDN w:val="0"/>
              <w:adjustRightInd w:val="0"/>
              <w:spacing w:line="360" w:lineRule="auto"/>
              <w:contextualSpacing/>
              <w:rPr>
                <w:rFonts w:ascii="ˎ̥" w:hAnsi="ˎ̥"/>
                <w:color w:val="FF0000"/>
              </w:rPr>
            </w:pPr>
            <w:r>
              <w:rPr>
                <w:rFonts w:hint="eastAsia" w:ascii="ˎ̥" w:hAnsi="ˎ̥"/>
                <w:color w:val="FF0000"/>
              </w:rPr>
              <w:t>按照《关于推进全流程电子化交易和在线监管工作有关问题的通知》（许公管办[2019]3号）规定：</w:t>
            </w:r>
          </w:p>
          <w:p>
            <w:pPr>
              <w:autoSpaceDE w:val="0"/>
              <w:autoSpaceDN w:val="0"/>
              <w:adjustRightInd w:val="0"/>
              <w:spacing w:line="360" w:lineRule="auto"/>
              <w:contextualSpacing/>
              <w:rPr>
                <w:rFonts w:ascii="ˎ̥" w:hAnsi="ˎ̥"/>
                <w:color w:val="FF0000"/>
              </w:rPr>
            </w:pPr>
            <w:r>
              <w:rPr>
                <w:rFonts w:hint="eastAsia" w:ascii="ˎ̥" w:hAnsi="ˎ̥"/>
                <w:color w:val="FF0000"/>
              </w:rPr>
              <w:t>不同供应商电子响应文件制作硬件特征码（网卡MAC地址、CPU序号、硬盘序列号等）雷同时，视为‘</w:t>
            </w:r>
            <w:r>
              <w:rPr>
                <w:rFonts w:ascii="ˎ̥" w:hAnsi="ˎ̥"/>
                <w:color w:val="FF0000"/>
              </w:rPr>
              <w:t>不同</w:t>
            </w:r>
            <w:r>
              <w:rPr>
                <w:rFonts w:hint="eastAsia" w:ascii="ˎ̥" w:hAnsi="ˎ̥"/>
                <w:color w:val="FF0000"/>
              </w:rPr>
              <w:t>供应商</w:t>
            </w:r>
            <w:r>
              <w:rPr>
                <w:rFonts w:ascii="ˎ̥" w:hAnsi="ˎ̥"/>
                <w:color w:val="FF0000"/>
              </w:rPr>
              <w:t>的</w:t>
            </w:r>
            <w:r>
              <w:rPr>
                <w:rFonts w:hint="eastAsia" w:ascii="ˎ̥" w:hAnsi="ˎ̥"/>
                <w:color w:val="FF0000"/>
              </w:rPr>
              <w:t>响应</w:t>
            </w:r>
            <w:r>
              <w:rPr>
                <w:rFonts w:ascii="ˎ̥" w:hAnsi="ˎ̥"/>
                <w:color w:val="FF0000"/>
              </w:rPr>
              <w:t>文件由同一单位或者个人编制</w:t>
            </w:r>
            <w:r>
              <w:rPr>
                <w:rFonts w:hint="eastAsia" w:ascii="ˎ̥" w:hAnsi="ˎ̥"/>
                <w:color w:val="FF0000"/>
              </w:rPr>
              <w:t>’或‘</w:t>
            </w:r>
            <w:r>
              <w:rPr>
                <w:rFonts w:ascii="ˎ̥" w:hAnsi="ˎ̥"/>
                <w:color w:val="FF0000"/>
              </w:rPr>
              <w:t>不同</w:t>
            </w:r>
            <w:r>
              <w:rPr>
                <w:rFonts w:hint="eastAsia" w:ascii="ˎ̥" w:hAnsi="ˎ̥"/>
                <w:color w:val="FF0000"/>
              </w:rPr>
              <w:t>供应商</w:t>
            </w:r>
            <w:r>
              <w:rPr>
                <w:rFonts w:ascii="ˎ̥" w:hAnsi="ˎ̥"/>
                <w:color w:val="FF0000"/>
              </w:rPr>
              <w:t>委托同一单位或者个人办理</w:t>
            </w:r>
            <w:r>
              <w:rPr>
                <w:rFonts w:hint="eastAsia" w:ascii="ˎ̥" w:hAnsi="ˎ̥"/>
                <w:color w:val="FF0000"/>
              </w:rPr>
              <w:t>响应</w:t>
            </w:r>
            <w:r>
              <w:rPr>
                <w:rFonts w:ascii="ˎ̥" w:hAnsi="ˎ̥"/>
                <w:color w:val="FF0000"/>
              </w:rPr>
              <w:t>事宜</w:t>
            </w:r>
            <w:r>
              <w:rPr>
                <w:rFonts w:hint="eastAsia" w:ascii="ˎ̥" w:hAnsi="ˎ̥"/>
                <w:color w:val="FF0000"/>
              </w:rPr>
              <w:t>’，其谈判响应无效。</w:t>
            </w:r>
          </w:p>
          <w:p>
            <w:pPr>
              <w:autoSpaceDE w:val="0"/>
              <w:autoSpaceDN w:val="0"/>
              <w:adjustRightInd w:val="0"/>
              <w:spacing w:line="360" w:lineRule="auto"/>
              <w:contextualSpacing/>
              <w:rPr>
                <w:rFonts w:hAnsi="宋体" w:cs="宋体"/>
                <w:color w:val="FF0000"/>
                <w:szCs w:val="21"/>
                <w:lang w:val="zh-CN"/>
              </w:rPr>
            </w:pPr>
            <w:r>
              <w:rPr>
                <w:rFonts w:hint="eastAsia" w:ascii="ˎ̥" w:hAnsi="ˎ̥"/>
                <w:color w:val="FF0000"/>
              </w:rPr>
              <w:t>评审专家应严格按照要求查看“硬件特征码”相关信息并进行评审，在评审报告中显示“不同供应商电子响应文件制作硬件特征码”是否雷同的分析及判定结果。</w:t>
            </w:r>
          </w:p>
        </w:tc>
      </w:tr>
    </w:tbl>
    <w:p>
      <w:pPr>
        <w:pStyle w:val="2"/>
        <w:ind w:firstLine="0" w:firstLineChars="0"/>
        <w:rPr>
          <w:rFonts w:cs="宋体" w:asciiTheme="majorEastAsia" w:hAnsiTheme="majorEastAsia" w:eastAsiaTheme="majorEastAsia"/>
          <w:b/>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供应商须知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4"/>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4"/>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本谈判文件仅适用于本次“采购邀请”</w:t>
      </w:r>
      <w:r>
        <w:rPr>
          <w:rFonts w:hint="eastAsia" w:ascii="宋体" w:hAnsi="宋体"/>
          <w:szCs w:val="21"/>
        </w:rPr>
        <w:t xml:space="preserve"> 和“供应商须知前附表”中所述采购项目的采购。</w:t>
      </w:r>
    </w:p>
    <w:p>
      <w:pPr>
        <w:pStyle w:val="44"/>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本谈判文件解释权属于“采购邀请”</w:t>
      </w:r>
      <w:r>
        <w:rPr>
          <w:rFonts w:hint="eastAsia" w:ascii="宋体" w:hAnsi="宋体"/>
          <w:szCs w:val="21"/>
        </w:rPr>
        <w:t xml:space="preserve"> 和“供应商须知前附表”</w:t>
      </w:r>
      <w:r>
        <w:rPr>
          <w:rFonts w:hint="eastAsia" w:cs="宋体" w:asciiTheme="minorEastAsia" w:hAnsiTheme="minorEastAsia"/>
          <w:kern w:val="0"/>
          <w:szCs w:val="21"/>
        </w:rPr>
        <w:t>所述的采购人、集中采购机构。</w:t>
      </w:r>
    </w:p>
    <w:p>
      <w:pPr>
        <w:pStyle w:val="44"/>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44"/>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w:t>
      </w:r>
      <w:r>
        <w:rPr>
          <w:rFonts w:hint="eastAsia" w:ascii="宋体" w:hAnsi="宋体"/>
          <w:szCs w:val="21"/>
        </w:rPr>
        <w:t xml:space="preserve"> 系指</w:t>
      </w:r>
      <w:r>
        <w:rPr>
          <w:rFonts w:hint="eastAsia" w:cs="宋体" w:asciiTheme="minorEastAsia" w:hAnsiTheme="minorEastAsia"/>
          <w:kern w:val="0"/>
          <w:szCs w:val="21"/>
        </w:rPr>
        <w:t>“供应商须知前附表”中所述的采购项目。</w:t>
      </w:r>
    </w:p>
    <w:p>
      <w:pPr>
        <w:pStyle w:val="44"/>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w:t>
      </w:r>
      <w:r>
        <w:rPr>
          <w:rFonts w:hint="eastAsia" w:ascii="宋体" w:hAnsi="宋体"/>
          <w:szCs w:val="21"/>
        </w:rPr>
        <w:t>系指“供应商须知前附表”中所述的组织本次采购的集中采购机构和采购人。</w:t>
      </w:r>
    </w:p>
    <w:p>
      <w:pPr>
        <w:pStyle w:val="44"/>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“供应商”系指从采购人、集中采购机构处按规定获取谈判文件，并按照谈判文件向采购人、集中采购机构提交响应文件的供应商。</w:t>
      </w:r>
    </w:p>
    <w:p>
      <w:pPr>
        <w:pStyle w:val="44"/>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“成交供应商”系指成交的供应商。</w:t>
      </w:r>
    </w:p>
    <w:p>
      <w:pPr>
        <w:pStyle w:val="44"/>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color w:val="000000"/>
          <w:szCs w:val="21"/>
        </w:rPr>
        <w:t>“甲方”系指采购人。</w:t>
      </w:r>
    </w:p>
    <w:p>
      <w:pPr>
        <w:pStyle w:val="44"/>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“乙方”系指成交并向采购人提供服务的供应商。</w:t>
      </w:r>
    </w:p>
    <w:p>
      <w:pPr>
        <w:pStyle w:val="44"/>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“服务”系指磋商文件规定的供应商为完成采购项目所需承担的全部义务。</w:t>
      </w:r>
    </w:p>
    <w:p>
      <w:pPr>
        <w:pStyle w:val="44"/>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840" w:leftChars="400"/>
        <w:contextualSpacing/>
        <w:rPr>
          <w:rFonts w:cs="宋体" w:asciiTheme="minorEastAsia" w:hAnsiTheme="minorEastAsia"/>
          <w:kern w:val="0"/>
          <w:szCs w:val="21"/>
        </w:rPr>
      </w:pPr>
      <w:r>
        <w:rPr>
          <w:rFonts w:hint="eastAsia" w:cs="宋体" w:asciiTheme="minorEastAsia" w:hAnsiTheme="minorEastAsia"/>
          <w:kern w:val="0"/>
          <w:szCs w:val="21"/>
        </w:rPr>
        <w:t>2.8.1  谈判</w:t>
      </w:r>
      <w:r>
        <w:rPr>
          <w:rFonts w:cs="宋体" w:asciiTheme="minorEastAsia" w:hAnsiTheme="minorEastAsia"/>
          <w:kern w:val="0"/>
          <w:szCs w:val="21"/>
        </w:rPr>
        <w:t>文件列明不允许或未列明允许进口产品参加</w:t>
      </w:r>
      <w:r>
        <w:rPr>
          <w:rFonts w:hint="eastAsia" w:cs="宋体" w:asciiTheme="minorEastAsia" w:hAnsiTheme="minorEastAsia"/>
          <w:kern w:val="0"/>
          <w:szCs w:val="21"/>
        </w:rPr>
        <w:t>响应</w:t>
      </w:r>
      <w:r>
        <w:rPr>
          <w:rFonts w:cs="宋体" w:asciiTheme="minorEastAsia" w:hAnsiTheme="minorEastAsia"/>
          <w:kern w:val="0"/>
          <w:szCs w:val="21"/>
        </w:rPr>
        <w:t>的，均视为拒绝进口产品参加</w:t>
      </w:r>
      <w:r>
        <w:rPr>
          <w:rFonts w:hint="eastAsia" w:cs="宋体" w:asciiTheme="minorEastAsia" w:hAnsiTheme="minorEastAsia"/>
          <w:kern w:val="0"/>
          <w:szCs w:val="21"/>
        </w:rPr>
        <w:t>响应</w:t>
      </w:r>
      <w:r>
        <w:rPr>
          <w:rFonts w:cs="宋体" w:asciiTheme="minorEastAsia" w:hAnsiTheme="minorEastAsia"/>
          <w:kern w:val="0"/>
          <w:szCs w:val="21"/>
        </w:rPr>
        <w:t>。</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2.8.2  </w:t>
      </w:r>
      <w:r>
        <w:rPr>
          <w:rFonts w:cs="宋体" w:asciiTheme="minorEastAsia" w:hAnsiTheme="minorEastAsia"/>
          <w:kern w:val="0"/>
          <w:szCs w:val="21"/>
        </w:rPr>
        <w:t>如</w:t>
      </w:r>
      <w:r>
        <w:rPr>
          <w:rFonts w:hint="eastAsia" w:cs="宋体" w:asciiTheme="minorEastAsia" w:hAnsiTheme="minorEastAsia"/>
          <w:kern w:val="0"/>
          <w:szCs w:val="21"/>
        </w:rPr>
        <w:t>响应</w:t>
      </w:r>
      <w:r>
        <w:rPr>
          <w:rFonts w:cs="宋体" w:asciiTheme="minorEastAsia" w:hAnsiTheme="minorEastAsia"/>
          <w:kern w:val="0"/>
          <w:szCs w:val="21"/>
        </w:rPr>
        <w:t>文件中已说明，经财政部门审核同意，允许部分或全部产品采购进口产品，</w:t>
      </w:r>
      <w:r>
        <w:rPr>
          <w:rFonts w:hint="eastAsia" w:cs="宋体" w:asciiTheme="minorEastAsia" w:hAnsiTheme="minorEastAsia"/>
          <w:kern w:val="0"/>
          <w:szCs w:val="21"/>
        </w:rPr>
        <w:t>供应商</w:t>
      </w:r>
      <w:r>
        <w:rPr>
          <w:rFonts w:cs="宋体" w:asciiTheme="minorEastAsia" w:hAnsiTheme="minorEastAsia"/>
          <w:kern w:val="0"/>
          <w:szCs w:val="21"/>
        </w:rPr>
        <w:t>既可提供本国产品，也可以提供进口产品。</w:t>
      </w:r>
    </w:p>
    <w:p>
      <w:pPr>
        <w:pStyle w:val="44"/>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合格的供应商</w:t>
      </w:r>
    </w:p>
    <w:p>
      <w:pPr>
        <w:pStyle w:val="44"/>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在中华人民共和国境内注册，具有本项目生产、制造、供应或实施能力，符合、承认并承诺履行本磋商文件各项规定的法人、其他组织或者自然人。</w:t>
      </w:r>
    </w:p>
    <w:p>
      <w:pPr>
        <w:pStyle w:val="44"/>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符合本项目“采购邀请”和“供应商须知前附表”中规定的合格供应商所必须具备的条件。</w:t>
      </w:r>
    </w:p>
    <w:p>
      <w:pPr>
        <w:pStyle w:val="44"/>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政府采购活动中查询及使用响应人信用记录的具体要求为：响应人未被列入失信被执行人、重大税收违法案件当事人名单、政府采购严重违法失信行为记录名单、严重违法失信社会组织名单（联合体形式响应的，联合体成员存在不良信用记录，视同联合体存在不良信用记录）。</w:t>
      </w:r>
    </w:p>
    <w:p>
      <w:pPr>
        <w:pStyle w:val="44"/>
        <w:autoSpaceDE w:val="0"/>
        <w:autoSpaceDN w:val="0"/>
        <w:spacing w:line="360" w:lineRule="auto"/>
        <w:ind w:left="991" w:leftChars="472" w:firstLine="0" w:firstLineChars="0"/>
        <w:contextualSpacing/>
        <w:rPr>
          <w:rFonts w:cs="宋体" w:asciiTheme="minorEastAsia" w:hAnsiTheme="minorEastAsia"/>
          <w:kern w:val="0"/>
          <w:szCs w:val="21"/>
        </w:rPr>
      </w:pPr>
      <w:r>
        <w:rPr>
          <w:rFonts w:hint="eastAsia" w:cs="宋体" w:asciiTheme="minorEastAsia" w:hAnsiTheme="minorEastAsia"/>
          <w:kern w:val="0"/>
          <w:szCs w:val="21"/>
        </w:rPr>
        <w:t>（1）查询渠道：“信用中国”网站（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w:t>
      </w:r>
    </w:p>
    <w:p>
      <w:pPr>
        <w:pStyle w:val="44"/>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（2）截止时间：同响应截止时间。</w:t>
      </w:r>
    </w:p>
    <w:p>
      <w:pPr>
        <w:pStyle w:val="44"/>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（3）信用信息查询记录和证据留存具体方式：经谈判小组确认的查询结果网页截图作为查询记录和证据，与其他采购文件一并保存。</w:t>
      </w:r>
    </w:p>
    <w:p>
      <w:pPr>
        <w:pStyle w:val="44"/>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谈判小组认定的被列入失信被执行人、重大税收违法案件当事人名单、政府采购严重违法失信行为记录名单、严重违法失信社会组织名单的响应人，将拒绝其参与本次政府采购活动。</w:t>
      </w:r>
    </w:p>
    <w:p>
      <w:pPr>
        <w:pStyle w:val="44"/>
        <w:autoSpaceDE w:val="0"/>
        <w:autoSpaceDN w:val="0"/>
        <w:spacing w:line="360" w:lineRule="auto"/>
        <w:ind w:left="850" w:leftChars="405" w:firstLine="0" w:firstLineChars="0"/>
        <w:contextualSpacing/>
        <w:rPr>
          <w:rFonts w:cs="宋体" w:asciiTheme="minorEastAsia" w:hAnsiTheme="minorEastAsia"/>
          <w:kern w:val="0"/>
          <w:szCs w:val="21"/>
        </w:rPr>
      </w:pPr>
      <w:r>
        <w:rPr>
          <w:rFonts w:hint="eastAsia" w:cs="宋体" w:asciiTheme="minorEastAsia" w:hAnsiTheme="minor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pPr>
        <w:pStyle w:val="44"/>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单位负责人为同一人或者存在直接控股、管理关系的不同供应商，不得同时参加本项目报价。违反规定的，相关响应均无效。</w:t>
      </w:r>
    </w:p>
    <w:p>
      <w:pPr>
        <w:pStyle w:val="44"/>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为采购项目提供整体设计、规范编制或者项目管理、监理、检测等服务的供应商，不得再参加该采购项目的其他采购活动。</w:t>
      </w:r>
    </w:p>
    <w:p>
      <w:pPr>
        <w:pStyle w:val="44"/>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“采购邀请”和“供应商须知前附表”规定接受联合体响应的，除应符合本章第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pStyle w:val="44"/>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3.6.1    在响应文件中向采购人提交联合体协议书，明确联合体各方承担的工作和义务；</w:t>
      </w:r>
    </w:p>
    <w:p>
      <w:pPr>
        <w:pStyle w:val="44"/>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pStyle w:val="44"/>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3.6.3    采购人根据采购项目的特殊要求规定供应商特定条件的，联合体各方中至少应当有一方符合采购规定的特定条件。</w:t>
      </w:r>
    </w:p>
    <w:p>
      <w:pPr>
        <w:pStyle w:val="44"/>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3.6.4    联合体各方不得再单独参加或者与其他供应商另外组成联合体参加同一合同项下的政府采购活动。</w:t>
      </w:r>
    </w:p>
    <w:p>
      <w:pPr>
        <w:pStyle w:val="44"/>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 xml:space="preserve">3.6.5    </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pStyle w:val="44"/>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44"/>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4"/>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pPr>
        <w:pStyle w:val="44"/>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供应商所提供的服务应当没有侵犯任何第三方的知识产权、技术秘密等合法权利。</w:t>
      </w:r>
    </w:p>
    <w:p>
      <w:pPr>
        <w:pStyle w:val="44"/>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如供应商所投产品被列入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4"/>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不论采购的结果如何，供应商均应自行承担所有与谈判有关的全部费用，采购人、集中采购机构在任何情况下均无义务和责任承担这些费用。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44"/>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谈判公告、谈判文件澄清或修改公告、成交公告以及延长响应文件提交截止时间等与采购活动有关的通知，采购人、集中采购机构均将通过在《中国政府采购网》、《河南省政府采购网》、《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pPr>
        <w:pStyle w:val="44"/>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代理费用</w:t>
      </w:r>
    </w:p>
    <w:p>
      <w:pPr>
        <w:pStyle w:val="44"/>
        <w:autoSpaceDE w:val="0"/>
        <w:autoSpaceDN w:val="0"/>
        <w:spacing w:line="360" w:lineRule="auto"/>
        <w:contextualSpacing/>
        <w:rPr>
          <w:rFonts w:cs="宋体" w:asciiTheme="minorEastAsia" w:hAnsiTheme="minorEastAsia"/>
          <w:kern w:val="0"/>
          <w:szCs w:val="21"/>
        </w:rPr>
      </w:pPr>
      <w:r>
        <w:rPr>
          <w:rFonts w:hint="eastAsia" w:cs="微软雅黑"/>
          <w:color w:val="000000"/>
        </w:rPr>
        <w:t>集中采购机构除收取标书费用外，不收取费用</w:t>
      </w:r>
      <w:r>
        <w:rPr>
          <w:rFonts w:hint="eastAsia" w:cs="宋体" w:asciiTheme="minorEastAsia" w:hAnsiTheme="minorEastAsia"/>
          <w:kern w:val="0"/>
          <w:szCs w:val="21"/>
        </w:rPr>
        <w:t>。</w:t>
      </w:r>
    </w:p>
    <w:p>
      <w:pPr>
        <w:pStyle w:val="44"/>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1、本“供应商须知”的条款如与“采购邀请”、“采购需求”、“供应商须知前附表”和“谈判和评审”就同一内容的表述不一致的，以“采购邀请”、“ 采购需求”、“供应商须知前附表”和“谈判和评审”中规定的内容为准。</w:t>
      </w:r>
    </w:p>
    <w:p>
      <w:pPr>
        <w:autoSpaceDE w:val="0"/>
        <w:autoSpaceDN w:val="0"/>
        <w:adjustRightInd w:val="0"/>
        <w:spacing w:line="360" w:lineRule="auto"/>
        <w:jc w:val="left"/>
        <w:rPr>
          <w:rFonts w:cs="宋体" w:asciiTheme="minorEastAsia" w:hAnsiTheme="minorEastAsia"/>
          <w:kern w:val="0"/>
          <w:szCs w:val="21"/>
        </w:rPr>
      </w:pPr>
      <w:r>
        <w:rPr>
          <w:rFonts w:hint="eastAsia" w:cs="宋体" w:asciiTheme="minorEastAsia" w:hAnsiTheme="minorEastAsia"/>
          <w:kern w:val="0"/>
          <w:szCs w:val="21"/>
        </w:rPr>
        <w:t>2、如“谈判邀请函</w:t>
      </w:r>
      <w:r>
        <w:rPr>
          <w:rFonts w:cs="宋体" w:asciiTheme="minorEastAsia" w:hAnsiTheme="minorEastAsia"/>
          <w:kern w:val="0"/>
          <w:szCs w:val="21"/>
        </w:rPr>
        <w:t>”</w:t>
      </w:r>
      <w:r>
        <w:rPr>
          <w:rFonts w:hint="eastAsia" w:cs="宋体" w:asciiTheme="minorEastAsia" w:hAnsiTheme="minorEastAsia"/>
          <w:kern w:val="0"/>
          <w:szCs w:val="21"/>
        </w:rPr>
        <w:t>中“谈判截止时间及谈判时间”和“投标人须知前附表”中</w:t>
      </w:r>
      <w:r>
        <w:rPr>
          <w:rFonts w:hint="eastAsia" w:ascii="黑体" w:hAnsi="黑体" w:eastAsia="黑体" w:cs="Arial"/>
          <w:color w:val="000000"/>
          <w:kern w:val="0"/>
          <w:sz w:val="32"/>
          <w:szCs w:val="32"/>
        </w:rPr>
        <w:t>“</w:t>
      </w:r>
      <w:r>
        <w:rPr>
          <w:rFonts w:hint="eastAsia" w:cs="宋体" w:asciiTheme="minorEastAsia" w:hAnsiTheme="minorEastAsia"/>
          <w:bCs/>
          <w:szCs w:val="21"/>
          <w:lang w:val="zh-CN"/>
        </w:rPr>
        <w:t>谈判响应截止及谈判时间”不一致的，以《河南省政府采购网》发布的“谈判响应截止及谈判时间”为准。</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二、谈判文件说明</w:t>
      </w:r>
    </w:p>
    <w:p>
      <w:pPr>
        <w:pStyle w:val="44"/>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谈判文件构成</w:t>
      </w:r>
    </w:p>
    <w:p>
      <w:pPr>
        <w:pStyle w:val="44"/>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（1）采购邀请（竞争性谈判公告）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（2）采购需求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（3）供应商须知前附表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（4）供应商须知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（7）合同书格式及合同条款</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（8）响应文件有关格式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（9）本项目谈判文件的澄清、答复、修改、补充内容（如有的话）</w:t>
      </w:r>
    </w:p>
    <w:p>
      <w:pPr>
        <w:pStyle w:val="44"/>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pPr>
        <w:pStyle w:val="44"/>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44"/>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谈判文件的澄清或修改</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10.1 在谈判响应截止期前，无论出于何种原因，采购人可主动地或在解答供应商提出的澄清问题时对谈判文件进行修改。</w:t>
      </w:r>
    </w:p>
    <w:p>
      <w:pPr>
        <w:pStyle w:val="44"/>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44"/>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澄清或修改公告的内容为谈判文件的组成部分，并对供应商具有约束力。当谈判文件与澄清或修改公告就同一内容的表述不一致时，以最后发出的文件内容为准。</w:t>
      </w:r>
    </w:p>
    <w:p>
      <w:pPr>
        <w:pStyle w:val="44"/>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如果澄清或者修改发出的时间距规定的谈判响应截止时间不足3个工作日的，采购人、集中采购机构将顺延提交响应文件的截止时间。</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三、响应文件的编制</w:t>
      </w:r>
    </w:p>
    <w:p>
      <w:pPr>
        <w:pStyle w:val="44"/>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响应文件的语言及计量单位</w:t>
      </w:r>
    </w:p>
    <w:p>
      <w:pPr>
        <w:pStyle w:val="44"/>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pPr>
        <w:pStyle w:val="44"/>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响应文件计量单位，谈判文件已有明确规定的，使用谈判文件规定的计量单位；谈判文件没有规定的，一律采用中华人民共和国法定计量单位。</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报价</w:t>
      </w:r>
    </w:p>
    <w:p>
      <w:pPr>
        <w:pStyle w:val="44"/>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本次谈判项目的报价均以人民币为计算单位。</w:t>
      </w:r>
    </w:p>
    <w:p>
      <w:pPr>
        <w:pStyle w:val="44"/>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采购人不得向供应商索要或者接受其给予的赠品、回扣或者与采购无关的其他商品、服务。</w:t>
      </w:r>
    </w:p>
    <w:p>
      <w:pPr>
        <w:pStyle w:val="44"/>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供应商应对项目要求的全部内容进行报价，少报漏报将导致其响应为非实质性响应予以拒绝。</w:t>
      </w:r>
    </w:p>
    <w:p>
      <w:pPr>
        <w:pStyle w:val="44"/>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国家相关规定，结合自身服务水平和承受能力进行第二次报价（即最终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hint="eastAsia" w:ascii="宋体" w:hAnsi="宋体"/>
          <w:color w:val="000000"/>
          <w:szCs w:val="21"/>
        </w:rPr>
        <w:t>经通知参加谈判的供应商，在谈判结束后还有一次最终报价的机会</w:t>
      </w:r>
      <w:r>
        <w:rPr>
          <w:rFonts w:hint="eastAsia" w:cs="宋体" w:asciiTheme="minorEastAsia" w:hAnsiTheme="minorEastAsia"/>
          <w:kern w:val="0"/>
          <w:szCs w:val="21"/>
        </w:rPr>
        <w:t>。</w:t>
      </w:r>
    </w:p>
    <w:p>
      <w:pPr>
        <w:pStyle w:val="44"/>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本项目所涉及的运输、施工、安装、集成、调试、验收、备品和工具等费用均包含在响应报价中。</w:t>
      </w:r>
    </w:p>
    <w:p>
      <w:pPr>
        <w:pStyle w:val="44"/>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报价不得高于本项目预算金额，且不低于成本价。供应商的响应报价高于预算金额（项目控制金额上限）的，该供应商的响应文件将被视为非实质性响应予以拒绝。</w:t>
      </w:r>
    </w:p>
    <w:p>
      <w:pPr>
        <w:pStyle w:val="44"/>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最低报价不能做为成交的保证。</w:t>
      </w:r>
    </w:p>
    <w:p>
      <w:pPr>
        <w:pStyle w:val="44"/>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响应文件有效期</w:t>
      </w:r>
    </w:p>
    <w:p>
      <w:pPr>
        <w:pStyle w:val="44"/>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pPr>
        <w:pStyle w:val="44"/>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w:t>
      </w:r>
      <w:r>
        <w:rPr>
          <w:rFonts w:hint="eastAsia" w:cs="微软雅黑"/>
          <w:color w:val="000000"/>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cs="宋体" w:asciiTheme="minorEastAsia" w:hAnsiTheme="minorEastAsia"/>
          <w:kern w:val="0"/>
          <w:szCs w:val="21"/>
        </w:rPr>
        <w:t>。</w:t>
      </w:r>
    </w:p>
    <w:p>
      <w:pPr>
        <w:pStyle w:val="44"/>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成交供应商的响应文件作为项目合同的附件，其有效期至成交供应商全部合同义务履行完毕为止。</w:t>
      </w:r>
    </w:p>
    <w:p>
      <w:pPr>
        <w:pStyle w:val="44"/>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响应文件构成</w:t>
      </w:r>
    </w:p>
    <w:p>
      <w:pPr>
        <w:pStyle w:val="44"/>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响应文件的构成应符合法律法规及谈判文件的要求。</w:t>
      </w:r>
    </w:p>
    <w:p>
      <w:pPr>
        <w:pStyle w:val="44"/>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供应商应当按照谈判文件的要求编制响应文件。响应文件应当对谈判文件提出的要求和条件作出明确响应。</w:t>
      </w:r>
    </w:p>
    <w:p>
      <w:pPr>
        <w:pStyle w:val="44"/>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响应文件由资格证明材料、符合性证明材料、其它材料等组成。</w:t>
      </w:r>
    </w:p>
    <w:p>
      <w:pPr>
        <w:pStyle w:val="44"/>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pPr>
        <w:pStyle w:val="44"/>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”的文件用于电子响应使用，后缀名为“.PDF”的文件用于打印纸质响应文件，名称为“备份”的文件夹使用电子介质存储，供谈判响应文件递交现场备用。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电子响应文件制作技术咨询：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pStyle w:val="44"/>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响应文件格式</w:t>
      </w:r>
    </w:p>
    <w:p>
      <w:pPr>
        <w:pStyle w:val="44"/>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pPr>
        <w:pStyle w:val="44"/>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供应商应按谈判文件提供的格式编写响应文件。谈判文件未提供标准格式的供应商可自行拟定。</w:t>
      </w:r>
    </w:p>
    <w:p>
      <w:pPr>
        <w:pStyle w:val="44"/>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 xml:space="preserve">谈判保证金  </w:t>
      </w:r>
    </w:p>
    <w:p>
      <w:pPr>
        <w:pStyle w:val="44"/>
        <w:numPr>
          <w:numId w:val="0"/>
        </w:numPr>
        <w:autoSpaceDE w:val="0"/>
        <w:autoSpaceDN w:val="0"/>
        <w:spacing w:line="360" w:lineRule="auto"/>
        <w:ind w:leftChars="0"/>
        <w:contextualSpacing/>
        <w:rPr>
          <w:rFonts w:hint="eastAsia" w:cs="宋体" w:asciiTheme="minorEastAsia" w:hAnsiTheme="minorEastAsia"/>
          <w:b/>
          <w:kern w:val="0"/>
          <w:szCs w:val="21"/>
        </w:rPr>
      </w:pPr>
      <w:r>
        <w:rPr>
          <w:rFonts w:hint="eastAsia" w:cs="宋体" w:asciiTheme="minorEastAsia" w:hAnsiTheme="minorEastAsia"/>
          <w:b/>
          <w:kern w:val="0"/>
          <w:szCs w:val="21"/>
          <w:lang w:val="en-US" w:eastAsia="zh-CN"/>
        </w:rPr>
        <w:t xml:space="preserve">16.1  </w:t>
      </w:r>
      <w:r>
        <w:rPr>
          <w:rFonts w:hint="eastAsia" w:cs="宋体" w:asciiTheme="minorEastAsia" w:hAnsiTheme="minorEastAsia"/>
          <w:b/>
          <w:kern w:val="0"/>
          <w:szCs w:val="21"/>
        </w:rPr>
        <w:t>不缴纳</w:t>
      </w:r>
    </w:p>
    <w:p>
      <w:pPr>
        <w:pStyle w:val="44"/>
        <w:numPr>
          <w:numId w:val="0"/>
        </w:numPr>
        <w:autoSpaceDE w:val="0"/>
        <w:autoSpaceDN w:val="0"/>
        <w:spacing w:line="360" w:lineRule="auto"/>
        <w:ind w:leftChars="0"/>
        <w:contextualSpacing/>
        <w:rPr>
          <w:rFonts w:hint="default" w:cs="宋体" w:asciiTheme="minorEastAsia" w:hAnsiTheme="minorEastAsia" w:eastAsiaTheme="minorEastAsia"/>
          <w:b/>
          <w:kern w:val="0"/>
          <w:szCs w:val="21"/>
          <w:lang w:val="en-US" w:eastAsia="zh-CN"/>
        </w:rPr>
      </w:pPr>
      <w:r>
        <w:rPr>
          <w:rFonts w:hint="eastAsia" w:cs="宋体" w:asciiTheme="minorEastAsia" w:hAnsiTheme="minorEastAsia"/>
          <w:b/>
          <w:kern w:val="0"/>
          <w:szCs w:val="21"/>
          <w:lang w:val="en-US" w:eastAsia="zh-CN"/>
        </w:rPr>
        <w:t>16.2  投标人须提供投标承诺函</w:t>
      </w:r>
    </w:p>
    <w:p>
      <w:pPr>
        <w:pStyle w:val="44"/>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谈判文件的数量和签署盖章</w:t>
      </w:r>
    </w:p>
    <w:p>
      <w:pPr>
        <w:pStyle w:val="44"/>
        <w:numPr>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17.1</w:t>
      </w:r>
      <w:r>
        <w:rPr>
          <w:rFonts w:hint="eastAsia" w:cs="宋体" w:asciiTheme="minorEastAsia" w:hAnsiTheme="minorEastAsia"/>
          <w:kern w:val="0"/>
          <w:szCs w:val="21"/>
        </w:rPr>
        <w:t>供应商应提交响应文件份数见“供应商须知前附表”。</w:t>
      </w:r>
    </w:p>
    <w:p>
      <w:pPr>
        <w:pStyle w:val="44"/>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在谈判文件中已明示需盖章及签名之处，电子响应文件应按谈判文件要求加盖供应商电子印章和法人电子印章或授权代表电子印章。</w:t>
      </w:r>
    </w:p>
    <w:p>
      <w:pPr>
        <w:pStyle w:val="44"/>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纸质响应文件是指供应商电子响应文件制作完成后生成的后缀名为“.PDF”的文件打印的响应文件。纸质响应文件正本和副本封面上应清楚标明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字样；一旦正本和副本内容不一致时，以正本为准。纸质响应文件的正本及所有副本的封面均须由供应商加盖供应商公章。</w:t>
      </w:r>
    </w:p>
    <w:p>
      <w:pPr>
        <w:pStyle w:val="44"/>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纸质响应文件副本可以是纸质响应文件的正本复印而成。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四、响应文件的递交</w:t>
      </w:r>
    </w:p>
    <w:p>
      <w:pPr>
        <w:pStyle w:val="44"/>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响应文件的密封</w:t>
      </w:r>
    </w:p>
    <w:p>
      <w:pPr>
        <w:pStyle w:val="44"/>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供应商应将纸质响应文件“正本”、“ 副本”密封包装。使用电子介质存储的响应文件单独密封包装，并随纸质响应文件一并提交。</w:t>
      </w:r>
    </w:p>
    <w:p>
      <w:pPr>
        <w:pStyle w:val="44"/>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响应文件如果未按规定密封，采购人、集中采购机构将拒绝接收。</w:t>
      </w:r>
    </w:p>
    <w:p>
      <w:pPr>
        <w:pStyle w:val="44"/>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谈判响应截止时间</w:t>
      </w:r>
    </w:p>
    <w:p>
      <w:pPr>
        <w:pStyle w:val="44"/>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供应商必须在“采购邀请”和“供应商须知前附表”中规定的谈判响应文件截止时间前，将所有响应文件送达谈判文件指定的地点。</w:t>
      </w:r>
      <w:r>
        <w:rPr>
          <w:rFonts w:hint="eastAsia" w:cs="微软雅黑"/>
          <w:color w:val="000000"/>
        </w:rPr>
        <w:t>在递交截止时间以后送达的响应文件，</w:t>
      </w:r>
      <w:r>
        <w:rPr>
          <w:rFonts w:hint="eastAsia" w:cs="宋体" w:asciiTheme="minorEastAsia" w:hAnsiTheme="minorEastAsia"/>
          <w:kern w:val="0"/>
          <w:szCs w:val="21"/>
        </w:rPr>
        <w:t>采购人、集中采购机构</w:t>
      </w:r>
      <w:r>
        <w:rPr>
          <w:rFonts w:hint="eastAsia" w:cs="微软雅黑"/>
          <w:color w:val="000000"/>
        </w:rPr>
        <w:t>将予以拒绝。</w:t>
      </w:r>
    </w:p>
    <w:p>
      <w:pPr>
        <w:pStyle w:val="44"/>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pPr>
        <w:pStyle w:val="44"/>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迟交的响应文件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谈判响应文件截止时间之后送达/上传的响应文件，采购人、集中采购机构将将拒绝接收。</w:t>
      </w:r>
    </w:p>
    <w:p>
      <w:pPr>
        <w:pStyle w:val="44"/>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响应文件的修改和撤回</w:t>
      </w:r>
    </w:p>
    <w:p>
      <w:pPr>
        <w:pStyle w:val="44"/>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供应商在谈判响应截止时间前，对所递交的纸质响应文件进行补充、修改或者撤回的，须书面通知采购人和集中采购机构。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供应商应当在谈判响应截止时间前完成电子响应文件的提交，可以补充、修改或撤回。谈判响应截止时间前未完成电子响应文件提交、取得“投标文件提交回执单”的，视为撤回响应文件。</w:t>
      </w:r>
    </w:p>
    <w:p>
      <w:pPr>
        <w:pStyle w:val="44"/>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供应商补充、修改的内容并作为响应文件的组成部分。补充或修改应当按谈判文件要求签署、盖章、密封、递交，并应注明“修改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44"/>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供应商不得在投标有效期内撤销响应文件</w:t>
      </w:r>
    </w:p>
    <w:p>
      <w:pPr>
        <w:pStyle w:val="44"/>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除供应商须知前附表另有规定外，供应商所提交的电子响应文件、纸质响应文件及电子介质存储的备份文件不予退还。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五、谈判和评审</w:t>
      </w:r>
    </w:p>
    <w:p>
      <w:pPr>
        <w:pStyle w:val="44"/>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响应文件密封情况检查及解密</w:t>
      </w:r>
    </w:p>
    <w:p>
      <w:pPr>
        <w:pStyle w:val="44"/>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仿宋_GB2312" w:asciiTheme="minorEastAsia" w:hAnsiTheme="minorEastAsia"/>
          <w:color w:val="000000"/>
          <w:szCs w:val="21"/>
        </w:rPr>
        <w:t>谈判响应截止时间</w:t>
      </w:r>
      <w:r>
        <w:rPr>
          <w:rFonts w:hint="eastAsia" w:cs="宋体" w:asciiTheme="minorEastAsia" w:hAnsiTheme="minorEastAsia"/>
          <w:kern w:val="0"/>
          <w:szCs w:val="21"/>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（1）电子谈判文件的解密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全流程电子化交易项目电子谈判文件采用双重加密。解密需分标段进行两次解密。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供应商解密：供应商使用本单位CA数字证书远程或现场进行解密。需递交响应文件现场使用一体机进行解密的，请在集中采购机构引导下进行。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集中采购机构解密：集中采购机构</w:t>
      </w:r>
      <w:r>
        <w:rPr>
          <w:rFonts w:cs="宋体" w:asciiTheme="minorEastAsia" w:hAnsiTheme="minorEastAsia"/>
          <w:kern w:val="0"/>
          <w:szCs w:val="21"/>
        </w:rPr>
        <w:t>按</w:t>
      </w:r>
      <w:r>
        <w:rPr>
          <w:rFonts w:hint="eastAsia" w:cs="宋体" w:asciiTheme="minorEastAsia" w:hAnsiTheme="minorEastAsia"/>
          <w:kern w:val="0"/>
          <w:szCs w:val="21"/>
        </w:rPr>
        <w:t>电子响应文件到达交易系统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电子响应文件解密异常情况处理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因电子交易系统异常无法解密电子响应文件的，使用纸质响应文件以人工方式进行。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pPr>
        <w:pStyle w:val="44"/>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供应商不足3家的，本项目谈判活动终止。</w:t>
      </w:r>
    </w:p>
    <w:p>
      <w:pPr>
        <w:pStyle w:val="44"/>
        <w:numPr>
          <w:ilvl w:val="0"/>
          <w:numId w:val="1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谈判小组组成</w:t>
      </w:r>
    </w:p>
    <w:p>
      <w:pPr>
        <w:pStyle w:val="44"/>
        <w:numPr>
          <w:ilvl w:val="0"/>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采购人将依法组建谈判小组，谈判小组</w:t>
      </w:r>
      <w:r>
        <w:rPr>
          <w:rFonts w:ascii="ˎ̥" w:hAnsi="ˎ̥"/>
        </w:rPr>
        <w:t>由采购人代表和评审专家共3人以上单数组成，其中评审专家人数不得少于竞争性谈判小组成员总数</w:t>
      </w:r>
      <w:r>
        <w:rPr>
          <w:rFonts w:hint="eastAsia" w:cs="宋体" w:asciiTheme="minorEastAsia" w:hAnsiTheme="minorEastAsia"/>
          <w:kern w:val="0"/>
          <w:szCs w:val="21"/>
        </w:rPr>
        <w:t>的三分之二。评审专家依法从政府采购评审专家库中随机抽取。</w:t>
      </w:r>
    </w:p>
    <w:p>
      <w:pPr>
        <w:autoSpaceDE w:val="0"/>
        <w:autoSpaceDN w:val="0"/>
        <w:spacing w:line="360" w:lineRule="auto"/>
        <w:ind w:left="2156" w:leftChars="452" w:hanging="1207" w:hangingChars="575"/>
        <w:contextualSpacing/>
        <w:rPr>
          <w:rFonts w:cs="宋体" w:asciiTheme="minorEastAsia" w:hAnsiTheme="minorEastAsia"/>
          <w:kern w:val="0"/>
          <w:szCs w:val="21"/>
        </w:rPr>
      </w:pPr>
      <w:r>
        <w:rPr>
          <w:rFonts w:hint="eastAsia" w:cs="宋体" w:asciiTheme="minorEastAsia" w:hAnsiTheme="minorEastAsia"/>
          <w:kern w:val="0"/>
          <w:szCs w:val="21"/>
        </w:rPr>
        <w:t>24.1.1     采购人将依法组建谈判小组，谈判小组由评审专家组成，成员人数应当为</w:t>
      </w:r>
      <w:r>
        <w:rPr>
          <w:rFonts w:ascii="ˎ̥" w:hAnsi="ˎ̥"/>
        </w:rPr>
        <w:t>3人以上单数组成</w:t>
      </w:r>
      <w:r>
        <w:rPr>
          <w:rFonts w:hint="eastAsia" w:cs="宋体" w:asciiTheme="minorEastAsia" w:hAnsiTheme="minorEastAsia"/>
          <w:kern w:val="0"/>
          <w:szCs w:val="21"/>
        </w:rPr>
        <w:t>。评审专家依法从政府采购评审专家库中随机抽取。</w:t>
      </w:r>
    </w:p>
    <w:p>
      <w:pPr>
        <w:autoSpaceDE w:val="0"/>
        <w:autoSpaceDN w:val="0"/>
        <w:spacing w:line="360" w:lineRule="auto"/>
        <w:ind w:left="2156" w:leftChars="473" w:hanging="1163" w:hangingChars="554"/>
        <w:contextualSpacing/>
        <w:rPr>
          <w:rFonts w:cs="宋体" w:asciiTheme="minorEastAsia" w:hAnsiTheme="minorEastAsia"/>
          <w:kern w:val="0"/>
          <w:szCs w:val="21"/>
        </w:rPr>
      </w:pPr>
      <w:r>
        <w:rPr>
          <w:rFonts w:hint="eastAsia" w:cs="宋体" w:asciiTheme="minorEastAsia" w:hAnsiTheme="minorEastAsia"/>
          <w:kern w:val="0"/>
          <w:szCs w:val="21"/>
        </w:rPr>
        <w:t xml:space="preserve">24.1.2     </w:t>
      </w:r>
      <w:r>
        <w:rPr>
          <w:rFonts w:ascii="ˎ̥" w:hAnsi="ˎ̥"/>
        </w:rPr>
        <w:t>达到公开招标数额标准的货物或者服务采购项目，或者达到招标规模标准的政府采购工程，竞争性谈判小组应当由5人以上单数组成</w:t>
      </w:r>
      <w:r>
        <w:rPr>
          <w:rFonts w:hint="eastAsia" w:ascii="ˎ̥" w:hAnsi="ˎ̥"/>
        </w:rPr>
        <w:t>。</w:t>
      </w:r>
    </w:p>
    <w:p>
      <w:pPr>
        <w:pStyle w:val="44"/>
        <w:numPr>
          <w:ilvl w:val="1"/>
          <w:numId w:val="14"/>
        </w:numPr>
        <w:autoSpaceDE w:val="0"/>
        <w:autoSpaceDN w:val="0"/>
        <w:spacing w:line="360" w:lineRule="auto"/>
        <w:ind w:firstLineChars="0"/>
        <w:contextualSpacing/>
        <w:rPr>
          <w:rFonts w:ascii="ˎ̥" w:hAnsi="ˎ̥"/>
          <w:vanish/>
        </w:rPr>
      </w:pPr>
    </w:p>
    <w:p>
      <w:pPr>
        <w:pStyle w:val="44"/>
        <w:numPr>
          <w:ilvl w:val="1"/>
          <w:numId w:val="14"/>
        </w:numPr>
        <w:autoSpaceDE w:val="0"/>
        <w:autoSpaceDN w:val="0"/>
        <w:spacing w:line="360" w:lineRule="auto"/>
        <w:ind w:firstLineChars="0"/>
        <w:contextualSpacing/>
        <w:rPr>
          <w:rFonts w:cs="宋体" w:asciiTheme="minorEastAsia" w:hAnsiTheme="minorEastAsia"/>
          <w:kern w:val="0"/>
          <w:szCs w:val="21"/>
        </w:rPr>
      </w:pPr>
      <w:r>
        <w:rPr>
          <w:rFonts w:ascii="ˎ̥" w:hAnsi="ˎ̥"/>
        </w:rPr>
        <w:t>采购人不得以评审专家身份参加本部门或本单位采购项目的评审</w:t>
      </w:r>
      <w:r>
        <w:rPr>
          <w:rFonts w:hint="eastAsia" w:cs="宋体" w:asciiTheme="minorEastAsia" w:hAnsiTheme="minorEastAsia"/>
          <w:kern w:val="0"/>
          <w:szCs w:val="21"/>
        </w:rPr>
        <w:t>。</w:t>
      </w:r>
    </w:p>
    <w:p>
      <w:pPr>
        <w:pStyle w:val="44"/>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谈判小组成员与供应商存在下列利害关系之一的,应当回避:</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24.3.1     </w:t>
      </w:r>
      <w:r>
        <w:rPr>
          <w:rFonts w:hint="eastAsia" w:ascii="ˎ̥" w:hAnsi="ˎ̥"/>
        </w:rPr>
        <w:t>参加采购活动前三年内,与供应商存在劳动关系,或者担任过供应商的董事、监事,或者是供应商的控股股东或实际控制人；</w:t>
      </w:r>
    </w:p>
    <w:p>
      <w:pPr>
        <w:autoSpaceDE w:val="0"/>
        <w:autoSpaceDN w:val="0"/>
        <w:spacing w:line="360" w:lineRule="auto"/>
        <w:ind w:left="2123" w:leftChars="451" w:hanging="1176" w:hangingChars="560"/>
        <w:contextualSpacing/>
        <w:rPr>
          <w:rFonts w:ascii="ˎ̥" w:hAnsi="ˎ̥"/>
        </w:rPr>
      </w:pPr>
      <w:r>
        <w:rPr>
          <w:rFonts w:hint="eastAsia" w:cs="宋体" w:asciiTheme="minorEastAsia" w:hAnsiTheme="minorEastAsia"/>
          <w:kern w:val="0"/>
          <w:szCs w:val="21"/>
        </w:rPr>
        <w:t xml:space="preserve">24.3.2     </w:t>
      </w:r>
      <w:r>
        <w:rPr>
          <w:rFonts w:hint="eastAsia" w:ascii="ˎ̥" w:hAnsi="ˎ̥"/>
        </w:rPr>
        <w:t>与供应商的法定代表人或者负责人有夫妻、直系血亲、三代以内旁系血亲或者近姻亲关系；</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24.3.3     </w:t>
      </w:r>
      <w:r>
        <w:rPr>
          <w:rFonts w:hint="eastAsia" w:ascii="ˎ̥" w:hAnsi="ˎ̥"/>
        </w:rPr>
        <w:t>与供应商有其他可能影响政府采购活动公平、公正进行的关系。</w:t>
      </w:r>
    </w:p>
    <w:p>
      <w:pPr>
        <w:pStyle w:val="44"/>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评审专家发现本人与参加采购活动的供应商有利害关系的,应当主动提出回避。采购人或者集中采购机构发现评审专家与参加采购活动的供应商有利害关系的,应当要求其回避。</w:t>
      </w:r>
    </w:p>
    <w:p>
      <w:pPr>
        <w:pStyle w:val="44"/>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采购人不得担任谈判小组组长。</w:t>
      </w:r>
    </w:p>
    <w:p>
      <w:pPr>
        <w:pStyle w:val="44"/>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谈判小组成员名单在成交结果公告前应当保密。</w:t>
      </w:r>
    </w:p>
    <w:p>
      <w:pPr>
        <w:pStyle w:val="44"/>
        <w:numPr>
          <w:ilvl w:val="0"/>
          <w:numId w:val="1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资格审查和符合性审查</w:t>
      </w:r>
    </w:p>
    <w:p>
      <w:pPr>
        <w:pStyle w:val="44"/>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资格审查：谈判小组依据有关法律法规和谈判文件的规定对供应商的资格进行审查。</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b/>
          <w:kern w:val="0"/>
          <w:szCs w:val="21"/>
        </w:rPr>
        <w:t>本项目具体资格审查详见（第六章 资格审查与评审）</w:t>
      </w:r>
      <w:r>
        <w:rPr>
          <w:rFonts w:hint="eastAsia" w:cs="宋体" w:asciiTheme="minorEastAsia" w:hAnsiTheme="minorEastAsia"/>
          <w:kern w:val="0"/>
          <w:szCs w:val="21"/>
        </w:rPr>
        <w:t>。</w:t>
      </w:r>
    </w:p>
    <w:p>
      <w:pPr>
        <w:pStyle w:val="44"/>
        <w:numPr>
          <w:ilvl w:val="0"/>
          <w:numId w:val="9"/>
        </w:numPr>
        <w:autoSpaceDE w:val="0"/>
        <w:autoSpaceDN w:val="0"/>
        <w:spacing w:line="360" w:lineRule="auto"/>
        <w:ind w:firstLineChars="0"/>
        <w:contextualSpacing/>
        <w:rPr>
          <w:rFonts w:cs="宋体" w:asciiTheme="minorEastAsia" w:hAnsiTheme="minorEastAsia"/>
          <w:vanish/>
          <w:kern w:val="0"/>
          <w:szCs w:val="21"/>
        </w:rPr>
      </w:pPr>
    </w:p>
    <w:p>
      <w:pPr>
        <w:pStyle w:val="44"/>
        <w:numPr>
          <w:ilvl w:val="0"/>
          <w:numId w:val="9"/>
        </w:numPr>
        <w:autoSpaceDE w:val="0"/>
        <w:autoSpaceDN w:val="0"/>
        <w:spacing w:line="360" w:lineRule="auto"/>
        <w:ind w:firstLineChars="0"/>
        <w:contextualSpacing/>
        <w:rPr>
          <w:rFonts w:cs="宋体" w:asciiTheme="minorEastAsia" w:hAnsiTheme="minorEastAsia"/>
          <w:vanish/>
          <w:kern w:val="0"/>
          <w:szCs w:val="21"/>
        </w:rPr>
      </w:pPr>
    </w:p>
    <w:p>
      <w:pPr>
        <w:pStyle w:val="44"/>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符合性审查：</w:t>
      </w:r>
      <w:r>
        <w:rPr>
          <w:rFonts w:hint="eastAsia" w:ascii="宋体" w:hAnsi="宋体" w:cs="微软雅黑"/>
          <w:szCs w:val="21"/>
        </w:rPr>
        <w:t>依据谈判文件的规定，从响应文件的有效性、完整性和对谈判文件的响应程度进行审查，以确定是否对谈判文件的全部实质性要求作出响应。</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1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响应文件的澄清</w:t>
      </w:r>
    </w:p>
    <w:p>
      <w:pPr>
        <w:pStyle w:val="44"/>
        <w:numPr>
          <w:ilvl w:val="0"/>
          <w:numId w:val="17"/>
        </w:numPr>
        <w:autoSpaceDE w:val="0"/>
        <w:autoSpaceDN w:val="0"/>
        <w:spacing w:line="360" w:lineRule="auto"/>
        <w:ind w:firstLineChars="0"/>
        <w:contextualSpacing/>
        <w:rPr>
          <w:rFonts w:cs="宋体" w:asciiTheme="minorEastAsia" w:hAnsiTheme="minorEastAsia"/>
          <w:kern w:val="0"/>
          <w:szCs w:val="21"/>
        </w:rPr>
      </w:pPr>
      <w:r>
        <w:rPr>
          <w:rFonts w:ascii="ˎ̥" w:hAnsi="ˎ̥"/>
        </w:rPr>
        <w:t>谈判小组在对响应文件的有效性、完整性和响应程度进行审查时，可以要求供应商对响应文件中含义不明确、同类问题表述不一致或者有明显文字和计算错误的内容等作出必要的澄清、说明或者更正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cs="宋体" w:asciiTheme="minorEastAsia" w:hAnsiTheme="minorEastAsia"/>
          <w:kern w:val="0"/>
          <w:szCs w:val="21"/>
        </w:rPr>
        <w:t>。</w:t>
      </w:r>
      <w:r>
        <w:rPr>
          <w:rFonts w:ascii="ˎ̥" w:hAnsi="ˎ̥"/>
        </w:rPr>
        <w:t>供应商的澄清、说明或者更正不得超出响应文件的范围或者改变响应文件的实质性内容</w:t>
      </w:r>
      <w:r>
        <w:rPr>
          <w:rFonts w:hint="eastAsia" w:ascii="ˎ̥" w:hAnsi="ˎ̥"/>
        </w:rPr>
        <w:t>。</w:t>
      </w:r>
    </w:p>
    <w:p>
      <w:pPr>
        <w:pStyle w:val="44"/>
        <w:numPr>
          <w:ilvl w:val="1"/>
          <w:numId w:val="14"/>
        </w:numPr>
        <w:autoSpaceDE w:val="0"/>
        <w:autoSpaceDN w:val="0"/>
        <w:spacing w:line="360" w:lineRule="auto"/>
        <w:ind w:firstLineChars="0"/>
        <w:contextualSpacing/>
        <w:rPr>
          <w:rFonts w:cs="宋体" w:asciiTheme="minorEastAsia" w:hAnsiTheme="minorEastAsia"/>
          <w:vanish/>
          <w:kern w:val="0"/>
          <w:szCs w:val="21"/>
        </w:rPr>
      </w:pPr>
    </w:p>
    <w:p>
      <w:pPr>
        <w:pStyle w:val="44"/>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。投标人的澄清、说明或者补正不得超出</w:t>
      </w:r>
      <w:r>
        <w:rPr>
          <w:rFonts w:hint="eastAsia" w:cs="宋体" w:asciiTheme="minorEastAsia" w:hAnsiTheme="minorEastAsia"/>
          <w:kern w:val="0"/>
          <w:szCs w:val="21"/>
        </w:rPr>
        <w:t>投标文件的范围或者改变投标文件的实质性内容。</w:t>
      </w:r>
    </w:p>
    <w:p>
      <w:pPr>
        <w:pStyle w:val="44"/>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供应商的澄清文件是其响应文件的组成部分。</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1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响应文件报价出现前后不一致的修正</w:t>
      </w:r>
    </w:p>
    <w:p>
      <w:pPr>
        <w:pStyle w:val="44"/>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44"/>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44"/>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autoSpaceDE w:val="0"/>
        <w:autoSpaceDN w:val="0"/>
        <w:spacing w:line="360" w:lineRule="auto"/>
        <w:ind w:left="964"/>
        <w:contextualSpacing/>
        <w:rPr>
          <w:rFonts w:cs="宋体" w:asciiTheme="minorEastAsia" w:hAnsiTheme="minorEastAsia"/>
          <w:kern w:val="0"/>
          <w:szCs w:val="21"/>
        </w:rPr>
      </w:pPr>
    </w:p>
    <w:p>
      <w:pPr>
        <w:pStyle w:val="44"/>
        <w:numPr>
          <w:ilvl w:val="0"/>
          <w:numId w:val="1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响应无效情形</w:t>
      </w:r>
    </w:p>
    <w:p>
      <w:pPr>
        <w:pStyle w:val="44"/>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响应文件属下列情况之一的，按照无效响应处理：</w:t>
      </w:r>
    </w:p>
    <w:p>
      <w:pPr>
        <w:pStyle w:val="44"/>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8"/>
        </w:numPr>
        <w:autoSpaceDE w:val="0"/>
        <w:autoSpaceDN w:val="0"/>
        <w:spacing w:line="360" w:lineRule="auto"/>
        <w:ind w:firstLine="0" w:firstLineChars="0"/>
        <w:contextualSpacing/>
        <w:rPr>
          <w:rFonts w:cs="宋体" w:asciiTheme="minorEastAsia" w:hAnsiTheme="minorEastAsia"/>
          <w:kern w:val="0"/>
          <w:szCs w:val="21"/>
        </w:rPr>
      </w:pPr>
      <w:r>
        <w:rPr>
          <w:rFonts w:hint="eastAsia" w:cs="宋体" w:asciiTheme="minorEastAsia" w:hAnsiTheme="minorEastAsia"/>
          <w:kern w:val="0"/>
          <w:szCs w:val="21"/>
        </w:rPr>
        <w:t>未按照谈判文件的规定提交投标</w:t>
      </w:r>
      <w:r>
        <w:rPr>
          <w:rFonts w:hint="eastAsia" w:cs="宋体" w:asciiTheme="minorEastAsia" w:hAnsiTheme="minorEastAsia"/>
          <w:kern w:val="0"/>
          <w:szCs w:val="21"/>
          <w:lang w:eastAsia="zh-CN"/>
        </w:rPr>
        <w:t>承诺函</w:t>
      </w:r>
      <w:r>
        <w:rPr>
          <w:rFonts w:hint="eastAsia" w:cs="宋体" w:asciiTheme="minorEastAsia" w:hAnsiTheme="minorEastAsia"/>
          <w:kern w:val="0"/>
          <w:szCs w:val="21"/>
        </w:rPr>
        <w:t>的；</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28.1.2     响应文件未按招标文件要求签署、盖章的；</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28.1.3     不具备谈判文件中规定的资格要求的；</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28.1.4     报价超过谈判文件中规定的预算金额的；</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28.1.5    响应文件内容模糊不清，无法辨认的；</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28.1.6    响应</w:t>
      </w:r>
      <w:r>
        <w:rPr>
          <w:rFonts w:cs="宋体" w:asciiTheme="minorEastAsia" w:hAnsiTheme="minorEastAsia"/>
          <w:kern w:val="0"/>
          <w:szCs w:val="21"/>
        </w:rPr>
        <w:t>文件含有采购人不能接受的附加条件的</w:t>
      </w:r>
      <w:r>
        <w:rPr>
          <w:rFonts w:hint="eastAsia" w:cs="宋体" w:asciiTheme="minorEastAsia" w:hAnsiTheme="minorEastAsia"/>
          <w:kern w:val="0"/>
          <w:szCs w:val="21"/>
        </w:rPr>
        <w:t>。</w:t>
      </w:r>
    </w:p>
    <w:p>
      <w:pPr>
        <w:pStyle w:val="44"/>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有下列情形之一的，视为供应商串通谈判，其响应无效：</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28.2.1     不同供应商的响应文件由同一单位或者个人编制；</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28.2.2     不同供应商委托同一单位或者个人办理响应事宜；</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28.2.3     不同供应商的响应文件载明的项目管理成员或者联系人员为同一人；</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28.2.4     不同供应商的响应文件异常一致或者投标报价呈规律性差异；</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28.2.5     不同供应商的响应文件相互混装；</w:t>
      </w:r>
    </w:p>
    <w:p>
      <w:pPr>
        <w:pStyle w:val="44"/>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pPr>
        <w:pStyle w:val="44"/>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’，其谈判响应无效。</w:t>
      </w:r>
    </w:p>
    <w:p>
      <w:pPr>
        <w:pStyle w:val="44"/>
        <w:numPr>
          <w:ilvl w:val="1"/>
          <w:numId w:val="14"/>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w:t>
      </w:r>
      <w:r>
        <w:rPr>
          <w:rFonts w:hint="eastAsia" w:cs="宋体" w:asciiTheme="minorEastAsia" w:hAnsiTheme="minorEastAsia"/>
          <w:kern w:val="0"/>
          <w:szCs w:val="21"/>
        </w:rPr>
        <w:t>响应</w:t>
      </w:r>
      <w:r>
        <w:rPr>
          <w:rFonts w:cs="宋体" w:asciiTheme="minorEastAsia" w:hAnsiTheme="minorEastAsia"/>
          <w:kern w:val="0"/>
          <w:szCs w:val="21"/>
        </w:rPr>
        <w:t>文件规定的其他无效情形。</w:t>
      </w:r>
    </w:p>
    <w:p>
      <w:pPr>
        <w:pStyle w:val="44"/>
        <w:numPr>
          <w:ilvl w:val="0"/>
          <w:numId w:val="1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响应文件评审与谈判</w:t>
      </w:r>
    </w:p>
    <w:p>
      <w:pPr>
        <w:pStyle w:val="44"/>
        <w:numPr>
          <w:ilvl w:val="1"/>
          <w:numId w:val="14"/>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hint="eastAsia" w:cs="宋体" w:asciiTheme="minorEastAsia" w:hAnsiTheme="minorEastAsia"/>
          <w:kern w:val="0"/>
          <w:szCs w:val="21"/>
        </w:rPr>
        <w:t>。</w:t>
      </w:r>
    </w:p>
    <w:p>
      <w:pPr>
        <w:pStyle w:val="44"/>
        <w:numPr>
          <w:ilvl w:val="1"/>
          <w:numId w:val="14"/>
        </w:numPr>
        <w:autoSpaceDE w:val="0"/>
        <w:autoSpaceDN w:val="0"/>
        <w:spacing w:line="360" w:lineRule="auto"/>
        <w:ind w:firstLineChars="0"/>
        <w:contextualSpacing/>
        <w:rPr>
          <w:rFonts w:cs="宋体" w:asciiTheme="minorEastAsia" w:hAnsiTheme="minorEastAsia"/>
          <w:kern w:val="0"/>
          <w:szCs w:val="21"/>
        </w:rPr>
      </w:pPr>
      <w:r>
        <w:rPr>
          <w:rFonts w:ascii="ˎ̥" w:hAnsi="ˎ̥"/>
        </w:rPr>
        <w:t>谈判小组所有成员应当集中与单一供应商分别进行谈判，并给予所有参加谈判的供应商平等的谈判机会</w:t>
      </w:r>
      <w:r>
        <w:rPr>
          <w:rFonts w:hint="eastAsia" w:ascii="ˎ̥" w:hAnsi="ˎ̥"/>
        </w:rPr>
        <w:t>。</w:t>
      </w:r>
    </w:p>
    <w:p>
      <w:pPr>
        <w:pStyle w:val="50"/>
        <w:numPr>
          <w:ilvl w:val="1"/>
          <w:numId w:val="14"/>
        </w:numPr>
        <w:spacing w:line="400" w:lineRule="exact"/>
        <w:rPr>
          <w:rFonts w:cs="微软雅黑"/>
          <w:color w:val="000000"/>
        </w:rPr>
      </w:pPr>
      <w:r>
        <w:rPr>
          <w:rFonts w:hint="eastAsia" w:cs="微软雅黑"/>
          <w:color w:val="000000"/>
        </w:rPr>
        <w:t>在谈判中，谈判的任何一方不得透露与谈判有关的其他供应商的技术资料、价格和其他信息。</w:t>
      </w:r>
    </w:p>
    <w:p>
      <w:pPr>
        <w:pStyle w:val="44"/>
        <w:numPr>
          <w:ilvl w:val="1"/>
          <w:numId w:val="14"/>
        </w:numPr>
        <w:autoSpaceDE w:val="0"/>
        <w:autoSpaceDN w:val="0"/>
        <w:spacing w:line="360" w:lineRule="auto"/>
        <w:ind w:firstLineChars="0"/>
        <w:contextualSpacing/>
        <w:rPr>
          <w:rFonts w:cs="宋体" w:asciiTheme="minorEastAsia" w:hAnsiTheme="minorEastAsia"/>
          <w:kern w:val="0"/>
          <w:szCs w:val="21"/>
        </w:rPr>
      </w:pPr>
      <w:r>
        <w:rPr>
          <w:rFonts w:ascii="ˎ̥" w:hAnsi="ˎ̥"/>
        </w:rPr>
        <w:t>在谈判过程中，谈判小组可以根据谈判文件和谈判情况实质性变动采购需求中的技术、服务要求以及合同草案条款，但不得变动谈判文件中的其他内容。实质性变动的内容，须经采购人代表确认</w:t>
      </w:r>
      <w:r>
        <w:rPr>
          <w:rFonts w:hint="eastAsia" w:ascii="ˎ̥" w:hAnsi="ˎ̥"/>
        </w:rPr>
        <w:t>。</w:t>
      </w:r>
    </w:p>
    <w:p>
      <w:pPr>
        <w:autoSpaceDE w:val="0"/>
        <w:autoSpaceDN w:val="0"/>
        <w:spacing w:line="360" w:lineRule="auto"/>
        <w:ind w:left="964"/>
        <w:contextualSpacing/>
        <w:rPr>
          <w:rFonts w:ascii="ˎ̥" w:hAnsi="ˎ̥"/>
        </w:rPr>
      </w:pPr>
      <w:r>
        <w:rPr>
          <w:rFonts w:ascii="ˎ̥" w:hAnsi="ˎ̥"/>
        </w:rPr>
        <w:t>对谈判文件作出的实质性变动是谈判文件的有效组成部分，谈判小组应当及时以书面形式同时通知所有参加谈判的供应商</w:t>
      </w:r>
      <w:r>
        <w:rPr>
          <w:rFonts w:hint="eastAsia" w:ascii="ˎ̥" w:hAnsi="ˎ̥"/>
        </w:rPr>
        <w:t>。</w:t>
      </w:r>
    </w:p>
    <w:p>
      <w:pPr>
        <w:autoSpaceDE w:val="0"/>
        <w:autoSpaceDN w:val="0"/>
        <w:spacing w:line="360" w:lineRule="auto"/>
        <w:ind w:left="964"/>
        <w:contextualSpacing/>
        <w:rPr>
          <w:rFonts w:ascii="ˎ̥" w:hAnsi="ˎ̥"/>
        </w:rPr>
      </w:pPr>
      <w:r>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hint="eastAsia" w:ascii="ˎ̥" w:hAnsi="ˎ̥"/>
        </w:rPr>
        <w:t>。</w:t>
      </w:r>
    </w:p>
    <w:p>
      <w:pPr>
        <w:pStyle w:val="44"/>
        <w:numPr>
          <w:ilvl w:val="1"/>
          <w:numId w:val="14"/>
        </w:numPr>
        <w:autoSpaceDE w:val="0"/>
        <w:autoSpaceDN w:val="0"/>
        <w:spacing w:line="360" w:lineRule="auto"/>
        <w:ind w:firstLineChars="0"/>
        <w:contextualSpacing/>
        <w:rPr>
          <w:rFonts w:ascii="ˎ̥" w:hAnsi="ˎ̥"/>
        </w:rPr>
      </w:pPr>
      <w:r>
        <w:rPr>
          <w:rFonts w:ascii="ˎ̥" w:hAnsi="ˎ̥"/>
        </w:rPr>
        <w:t>谈判文件能够详细列明采购标的的技术、服务要求的，谈判结束后，谈判小组应当要求所有继续参加谈判的供应商在规定时间内提交最后报价</w:t>
      </w:r>
      <w:r>
        <w:rPr>
          <w:rFonts w:hint="eastAsia" w:ascii="ˎ̥" w:hAnsi="ˎ̥"/>
        </w:rPr>
        <w:t>（供应商最终报价不能高于第一次报价，采购人改变技术需求的除外）</w:t>
      </w:r>
      <w:r>
        <w:rPr>
          <w:rFonts w:ascii="ˎ̥" w:hAnsi="ˎ̥"/>
        </w:rPr>
        <w:t>，提交最后报价的供应商不得少于3家</w:t>
      </w:r>
      <w:r>
        <w:rPr>
          <w:rFonts w:hint="eastAsia" w:ascii="ˎ̥" w:hAnsi="ˎ̥"/>
        </w:rPr>
        <w:t>。</w:t>
      </w:r>
    </w:p>
    <w:p>
      <w:pPr>
        <w:autoSpaceDE w:val="0"/>
        <w:autoSpaceDN w:val="0"/>
        <w:spacing w:line="360" w:lineRule="auto"/>
        <w:ind w:left="964"/>
        <w:contextualSpacing/>
        <w:rPr>
          <w:rFonts w:ascii="ˎ̥" w:hAnsi="ˎ̥"/>
        </w:rPr>
      </w:pPr>
      <w:r>
        <w:rPr>
          <w:rFonts w:ascii="ˎ̥" w:hAnsi="ˎ̥"/>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r>
        <w:rPr>
          <w:rFonts w:hint="eastAsia" w:ascii="ˎ̥" w:hAnsi="ˎ̥"/>
        </w:rPr>
        <w:t>。</w:t>
      </w:r>
    </w:p>
    <w:p>
      <w:pPr>
        <w:pStyle w:val="44"/>
        <w:numPr>
          <w:ilvl w:val="1"/>
          <w:numId w:val="14"/>
        </w:numPr>
        <w:autoSpaceDE w:val="0"/>
        <w:autoSpaceDN w:val="0"/>
        <w:spacing w:line="360" w:lineRule="auto"/>
        <w:ind w:firstLineChars="0"/>
        <w:contextualSpacing/>
        <w:rPr>
          <w:rFonts w:ascii="ˎ̥" w:hAnsi="ˎ̥"/>
        </w:rPr>
      </w:pPr>
      <w:r>
        <w:rPr>
          <w:rFonts w:ascii="ˎ̥" w:hAnsi="ˎ̥"/>
        </w:rPr>
        <w:t>最后报价是供应商响应文件的有效组成部分。</w:t>
      </w:r>
    </w:p>
    <w:p>
      <w:pPr>
        <w:pStyle w:val="44"/>
        <w:numPr>
          <w:ilvl w:val="1"/>
          <w:numId w:val="14"/>
        </w:numPr>
        <w:autoSpaceDE w:val="0"/>
        <w:autoSpaceDN w:val="0"/>
        <w:spacing w:line="360" w:lineRule="auto"/>
        <w:ind w:firstLineChars="0"/>
        <w:contextualSpacing/>
        <w:rPr>
          <w:rFonts w:ascii="ˎ̥" w:hAnsi="ˎ̥"/>
        </w:rPr>
      </w:pPr>
      <w:r>
        <w:rPr>
          <w:rFonts w:ascii="ˎ̥" w:hAnsi="ˎ̥"/>
        </w:rPr>
        <w:t>已提交响应文件的供应商，在提交最后报价之前，可以根据谈判情况退出谈判。</w:t>
      </w:r>
    </w:p>
    <w:p>
      <w:pPr>
        <w:pStyle w:val="44"/>
        <w:numPr>
          <w:ilvl w:val="1"/>
          <w:numId w:val="14"/>
        </w:numPr>
        <w:autoSpaceDE w:val="0"/>
        <w:autoSpaceDN w:val="0"/>
        <w:spacing w:line="360" w:lineRule="auto"/>
        <w:ind w:firstLineChars="0"/>
        <w:contextualSpacing/>
        <w:rPr>
          <w:rFonts w:ascii="ˎ̥" w:hAnsi="ˎ̥"/>
        </w:rPr>
      </w:pPr>
      <w:r>
        <w:rPr>
          <w:rFonts w:hint="eastAsia" w:ascii="ˎ̥" w:hAnsi="ˎ̥"/>
        </w:rPr>
        <w:t>按照《关于推进全流程电子化交易和在线监管工作有关问题的通知》（许公管办[2019]3号）规定，评审专家应严格按照要求查看“硬件特征码相” 关信息并进行评审。</w:t>
      </w:r>
    </w:p>
    <w:p>
      <w:pPr>
        <w:pStyle w:val="44"/>
        <w:numPr>
          <w:ilvl w:val="0"/>
          <w:numId w:val="1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评审方法与提出成交候选人</w:t>
      </w:r>
    </w:p>
    <w:p>
      <w:pPr>
        <w:pStyle w:val="44"/>
        <w:autoSpaceDE w:val="0"/>
        <w:autoSpaceDN w:val="0"/>
        <w:spacing w:line="360" w:lineRule="auto"/>
        <w:ind w:left="424" w:leftChars="202" w:firstLine="0" w:firstLineChars="0"/>
        <w:contextualSpacing/>
        <w:rPr>
          <w:rFonts w:cs="宋体" w:asciiTheme="minorEastAsia" w:hAnsiTheme="minorEastAsia"/>
          <w:kern w:val="0"/>
          <w:szCs w:val="21"/>
        </w:rPr>
      </w:pPr>
      <w:r>
        <w:rPr>
          <w:rFonts w:ascii="ˎ̥" w:hAnsi="ˎ̥"/>
        </w:rPr>
        <w:t>谈判小组应当从质量和服务均能满足采购文件实质性响应要求的供应商中，按照最后报价由低到高的顺序</w:t>
      </w:r>
      <w:r>
        <w:rPr>
          <w:rFonts w:hint="eastAsia" w:ascii="ˎ̥" w:hAnsi="ˎ̥"/>
        </w:rPr>
        <w:t>提出3</w:t>
      </w:r>
      <w:r>
        <w:rPr>
          <w:rFonts w:ascii="ˎ̥" w:hAnsi="ˎ̥"/>
        </w:rPr>
        <w:t>名成交候选人，并编写评审报告。</w:t>
      </w:r>
    </w:p>
    <w:p>
      <w:pPr>
        <w:tabs>
          <w:tab w:val="left" w:pos="1260"/>
        </w:tabs>
        <w:autoSpaceDE w:val="0"/>
        <w:autoSpaceDN w:val="0"/>
        <w:spacing w:line="360" w:lineRule="auto"/>
        <w:contextualSpacing/>
        <w:rPr>
          <w:rFonts w:cs="宋体" w:asciiTheme="minorEastAsia" w:hAnsiTheme="minorEastAsia"/>
          <w:b/>
          <w:kern w:val="0"/>
          <w:szCs w:val="21"/>
        </w:rPr>
      </w:pPr>
    </w:p>
    <w:p>
      <w:pPr>
        <w:numPr>
          <w:ilvl w:val="0"/>
          <w:numId w:val="19"/>
        </w:num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确定成交供应商和授予合同</w:t>
      </w:r>
    </w:p>
    <w:p>
      <w:pPr>
        <w:tabs>
          <w:tab w:val="left" w:pos="1260"/>
        </w:tabs>
        <w:autoSpaceDE w:val="0"/>
        <w:autoSpaceDN w:val="0"/>
        <w:spacing w:line="360" w:lineRule="auto"/>
        <w:contextualSpacing/>
        <w:rPr>
          <w:rFonts w:cs="宋体" w:asciiTheme="minorEastAsia" w:hAnsiTheme="minorEastAsia"/>
          <w:b/>
          <w:kern w:val="0"/>
          <w:szCs w:val="21"/>
        </w:rPr>
      </w:pPr>
    </w:p>
    <w:p>
      <w:pPr>
        <w:pStyle w:val="44"/>
        <w:numPr>
          <w:ilvl w:val="0"/>
          <w:numId w:val="1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确定成交供应商</w:t>
      </w:r>
    </w:p>
    <w:p>
      <w:pPr>
        <w:pStyle w:val="44"/>
        <w:numPr>
          <w:ilvl w:val="0"/>
          <w:numId w:val="20"/>
        </w:numPr>
        <w:autoSpaceDE w:val="0"/>
        <w:autoSpaceDN w:val="0"/>
        <w:spacing w:line="360" w:lineRule="auto"/>
        <w:ind w:firstLineChars="0"/>
        <w:contextualSpacing/>
        <w:rPr>
          <w:rFonts w:cs="宋体" w:asciiTheme="minorEastAsia" w:hAnsiTheme="minorEastAsia"/>
          <w:kern w:val="0"/>
          <w:szCs w:val="21"/>
        </w:rPr>
      </w:pPr>
      <w:r>
        <w:rPr>
          <w:rFonts w:ascii="ˎ̥" w:hAnsi="ˎ̥"/>
        </w:rPr>
        <w:t>采购人应当在收到评审报告后5个工作日内，从评审报告提出的成交候选人中，根据质量和服务均能满足采购文件实质性响应要求且最后报价最低的原则确定成交供应商</w:t>
      </w:r>
      <w:r>
        <w:rPr>
          <w:rFonts w:hint="eastAsia" w:cs="宋体" w:asciiTheme="minorEastAsia" w:hAnsiTheme="minorEastAsia"/>
          <w:kern w:val="0"/>
          <w:szCs w:val="21"/>
        </w:rPr>
        <w:t>。</w:t>
      </w:r>
    </w:p>
    <w:p>
      <w:pPr>
        <w:pStyle w:val="44"/>
        <w:numPr>
          <w:ilvl w:val="1"/>
          <w:numId w:val="21"/>
        </w:numPr>
        <w:autoSpaceDE w:val="0"/>
        <w:autoSpaceDN w:val="0"/>
        <w:spacing w:line="360" w:lineRule="auto"/>
        <w:ind w:firstLineChars="0"/>
        <w:contextualSpacing/>
        <w:rPr>
          <w:rFonts w:cs="宋体" w:asciiTheme="minorEastAsia" w:hAnsiTheme="minorEastAsia"/>
          <w:kern w:val="0"/>
          <w:szCs w:val="21"/>
        </w:rPr>
      </w:pPr>
      <w:r>
        <w:rPr>
          <w:rFonts w:ascii="ˎ̥" w:hAnsi="ˎ̥"/>
        </w:rPr>
        <w:t>采购人逾期未确定成交供应商且不提出异议的，视为确定评审报告提出的最后报价最低的供应商为成交供应商</w:t>
      </w:r>
      <w:r>
        <w:rPr>
          <w:rFonts w:hint="eastAsia" w:ascii="ˎ̥" w:hAnsi="ˎ̥"/>
        </w:rPr>
        <w:t>。</w:t>
      </w:r>
    </w:p>
    <w:p>
      <w:pPr>
        <w:pStyle w:val="44"/>
        <w:numPr>
          <w:ilvl w:val="0"/>
          <w:numId w:val="21"/>
        </w:numPr>
        <w:autoSpaceDE w:val="0"/>
        <w:autoSpaceDN w:val="0"/>
        <w:spacing w:line="360" w:lineRule="auto"/>
        <w:ind w:firstLineChars="0"/>
        <w:contextualSpacing/>
        <w:rPr>
          <w:rFonts w:cs="宋体" w:asciiTheme="minorEastAsia" w:hAnsiTheme="minorEastAsia"/>
          <w:b/>
          <w:kern w:val="0"/>
          <w:szCs w:val="21"/>
        </w:rPr>
      </w:pPr>
      <w:r>
        <w:rPr>
          <w:rFonts w:hint="eastAsia" w:cs="微软雅黑"/>
        </w:rPr>
        <w:t>在谈判采购中，出现下列情形之一的，采购人应当终止竞争性谈判采购活动，发布项目终止公告并说明原因，重新开展采购活动：</w:t>
      </w:r>
    </w:p>
    <w:p>
      <w:pPr>
        <w:pStyle w:val="44"/>
        <w:numPr>
          <w:ilvl w:val="0"/>
          <w:numId w:val="14"/>
        </w:numPr>
        <w:autoSpaceDE w:val="0"/>
        <w:autoSpaceDN w:val="0"/>
        <w:spacing w:line="360" w:lineRule="auto"/>
        <w:ind w:firstLineChars="0"/>
        <w:contextualSpacing/>
        <w:rPr>
          <w:rFonts w:cs="宋体" w:asciiTheme="minorEastAsia" w:hAnsiTheme="minorEastAsia"/>
          <w:vanish/>
          <w:kern w:val="0"/>
          <w:szCs w:val="21"/>
        </w:rPr>
      </w:pPr>
    </w:p>
    <w:p>
      <w:pPr>
        <w:pStyle w:val="44"/>
        <w:numPr>
          <w:ilvl w:val="1"/>
          <w:numId w:val="14"/>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因情况变化，不再符合规定的竞争性谈判采购方式适用情形的；</w:t>
      </w:r>
    </w:p>
    <w:p>
      <w:pPr>
        <w:pStyle w:val="44"/>
        <w:numPr>
          <w:ilvl w:val="1"/>
          <w:numId w:val="14"/>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出现影响采购公正的违法、违规行为的</w:t>
      </w:r>
      <w:r>
        <w:rPr>
          <w:rFonts w:hint="eastAsia" w:cs="宋体" w:asciiTheme="minorEastAsia" w:hAnsiTheme="minorEastAsia"/>
          <w:kern w:val="0"/>
          <w:szCs w:val="21"/>
        </w:rPr>
        <w:t>；</w:t>
      </w:r>
    </w:p>
    <w:p>
      <w:pPr>
        <w:pStyle w:val="44"/>
        <w:numPr>
          <w:ilvl w:val="1"/>
          <w:numId w:val="14"/>
        </w:numPr>
        <w:autoSpaceDE w:val="0"/>
        <w:autoSpaceDN w:val="0"/>
        <w:spacing w:line="360" w:lineRule="auto"/>
        <w:ind w:firstLineChars="0"/>
        <w:contextualSpacing/>
        <w:rPr>
          <w:rFonts w:ascii="ˎ̥" w:hAnsi="ˎ̥"/>
        </w:rPr>
      </w:pPr>
      <w:r>
        <w:rPr>
          <w:rFonts w:hint="eastAsia" w:ascii="ˎ̥" w:hAnsi="ˎ̥"/>
        </w:rPr>
        <w:t>在采购过程中符合竞争要求的供应商或者报价未超过采购预算的供应商不足3家的，但《政府采购非招标采购方式管理办法》第二十七条第二款规定的情形除外。</w:t>
      </w:r>
    </w:p>
    <w:p>
      <w:pPr>
        <w:pStyle w:val="44"/>
        <w:numPr>
          <w:ilvl w:val="0"/>
          <w:numId w:val="2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成交公告、发出成交通知书</w:t>
      </w:r>
    </w:p>
    <w:p>
      <w:pPr>
        <w:pStyle w:val="44"/>
        <w:numPr>
          <w:ilvl w:val="0"/>
          <w:numId w:val="2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采购人确认成交供应商后，采购人在公告成交结果的同时，向成交供应商发出成交通知书。</w:t>
      </w:r>
    </w:p>
    <w:p>
      <w:pPr>
        <w:pStyle w:val="44"/>
        <w:numPr>
          <w:ilvl w:val="1"/>
          <w:numId w:val="2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成交通知书发出后，采购人不得违法改变成交结果，成交供应商无正当理由不得放弃成交。</w:t>
      </w:r>
    </w:p>
    <w:p>
      <w:pPr>
        <w:pStyle w:val="44"/>
        <w:numPr>
          <w:ilvl w:val="1"/>
          <w:numId w:val="2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成交供应商在接到成交通知时，须向集中采购机构发送谈判报价及分项报价一览表（包含主要成交标的的名称、规格型号、数量、单价、服务要求等）电子文档，并同时电话告知集中采购机构联系人。</w:t>
      </w:r>
    </w:p>
    <w:p>
      <w:pPr>
        <w:pStyle w:val="44"/>
        <w:numPr>
          <w:ilvl w:val="0"/>
          <w:numId w:val="2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44"/>
        <w:numPr>
          <w:ilvl w:val="0"/>
          <w:numId w:val="2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供应商认为谈判文件、采购过程和成交结果使自己的权益受到损害的，可以按照《政府采购质疑和投诉办法》（财政部令第94号）提出质疑。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pStyle w:val="44"/>
        <w:numPr>
          <w:ilvl w:val="0"/>
          <w:numId w:val="23"/>
        </w:numPr>
        <w:autoSpaceDE w:val="0"/>
        <w:autoSpaceDN w:val="0"/>
        <w:spacing w:line="360" w:lineRule="auto"/>
        <w:ind w:left="2127" w:hanging="1134" w:firstLineChars="0"/>
        <w:contextualSpacing/>
        <w:rPr>
          <w:rFonts w:cs="宋体" w:asciiTheme="minorEastAsia" w:hAnsiTheme="minorEastAsia"/>
          <w:kern w:val="0"/>
          <w:szCs w:val="21"/>
        </w:rPr>
      </w:pPr>
      <w:r>
        <w:rPr>
          <w:rFonts w:hint="eastAsia" w:cs="宋体" w:asciiTheme="minorEastAsia" w:hAnsiTheme="minorEastAsia"/>
          <w:kern w:val="0"/>
          <w:szCs w:val="21"/>
        </w:rPr>
        <w:t>对谈判文件提出质疑的，供应商应</w:t>
      </w:r>
      <w:r>
        <w:rPr>
          <w:rFonts w:cs="宋体" w:asciiTheme="minorEastAsia" w:hAnsiTheme="minorEastAsia"/>
          <w:kern w:val="0"/>
          <w:szCs w:val="21"/>
        </w:rPr>
        <w:t>已依法获取</w:t>
      </w:r>
      <w:r>
        <w:rPr>
          <w:rFonts w:hint="eastAsia" w:cs="宋体" w:asciiTheme="minorEastAsia" w:hAnsiTheme="minorEastAsia"/>
          <w:kern w:val="0"/>
          <w:szCs w:val="21"/>
        </w:rPr>
        <w:t>谈判</w:t>
      </w:r>
      <w:r>
        <w:rPr>
          <w:rFonts w:cs="宋体" w:asciiTheme="minorEastAsia" w:hAnsiTheme="minorEastAsia"/>
          <w:kern w:val="0"/>
          <w:szCs w:val="21"/>
        </w:rPr>
        <w:t>文件</w:t>
      </w:r>
      <w:r>
        <w:rPr>
          <w:rFonts w:hint="eastAsia" w:cs="宋体" w:asciiTheme="minorEastAsia" w:hAnsiTheme="minorEastAsia"/>
          <w:kern w:val="0"/>
          <w:szCs w:val="21"/>
        </w:rPr>
        <w:t>，且应当在</w:t>
      </w:r>
      <w:r>
        <w:rPr>
          <w:rFonts w:cs="宋体" w:asciiTheme="minorEastAsia" w:hAnsiTheme="minorEastAsia"/>
          <w:kern w:val="0"/>
          <w:szCs w:val="21"/>
        </w:rPr>
        <w:t>获取</w:t>
      </w:r>
      <w:r>
        <w:rPr>
          <w:rFonts w:hint="eastAsia" w:cs="宋体" w:asciiTheme="minorEastAsia" w:hAnsiTheme="minorEastAsia"/>
          <w:kern w:val="0"/>
          <w:szCs w:val="21"/>
        </w:rPr>
        <w:t>谈判</w:t>
      </w:r>
      <w:r>
        <w:rPr>
          <w:rFonts w:cs="宋体" w:asciiTheme="minorEastAsia" w:hAnsiTheme="minorEastAsia"/>
          <w:kern w:val="0"/>
          <w:szCs w:val="21"/>
        </w:rPr>
        <w:t>文件或者</w:t>
      </w:r>
      <w:r>
        <w:rPr>
          <w:rFonts w:hint="eastAsia" w:cs="宋体" w:asciiTheme="minorEastAsia" w:hAnsiTheme="minorEastAsia"/>
          <w:kern w:val="0"/>
          <w:szCs w:val="21"/>
        </w:rPr>
        <w:t>谈判</w:t>
      </w:r>
      <w:r>
        <w:rPr>
          <w:rFonts w:cs="宋体" w:asciiTheme="minorEastAsia" w:hAnsiTheme="minorEastAsia"/>
          <w:kern w:val="0"/>
          <w:szCs w:val="21"/>
        </w:rPr>
        <w:t>文件公告期限届满之日起7个工作日内</w:t>
      </w:r>
      <w:r>
        <w:rPr>
          <w:rFonts w:hint="eastAsia" w:cs="宋体" w:asciiTheme="minorEastAsia" w:hAnsiTheme="minorEastAsia"/>
          <w:kern w:val="0"/>
          <w:szCs w:val="21"/>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34.1.2     对采购过程提出质疑的，为各采购程序环节结束之日起七个工作日内，以书面形式向采购人和采购代理机构一次性提出；</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34.1.3     对成交结果提出质疑的，为成交结果公告期限届满之日起七个工作日内，以书面形式向采购人和采购代理机构一次性提出。</w:t>
      </w:r>
    </w:p>
    <w:p>
      <w:pPr>
        <w:pStyle w:val="44"/>
        <w:numPr>
          <w:ilvl w:val="1"/>
          <w:numId w:val="21"/>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w:t>
      </w:r>
      <w:r>
        <w:rPr>
          <w:rFonts w:hint="eastAsia" w:cs="宋体" w:asciiTheme="minorEastAsia" w:hAnsiTheme="minorEastAsia"/>
          <w:kern w:val="0"/>
          <w:szCs w:val="21"/>
        </w:rPr>
        <w:t>成交</w:t>
      </w:r>
      <w:r>
        <w:rPr>
          <w:rFonts w:cs="宋体" w:asciiTheme="minorEastAsia" w:hAnsiTheme="minorEastAsia"/>
          <w:kern w:val="0"/>
          <w:szCs w:val="21"/>
        </w:rPr>
        <w:t>结果构成影响的，继续开展采购活动；认为供应商质疑成立且影响或者可能影响</w:t>
      </w:r>
      <w:r>
        <w:rPr>
          <w:rFonts w:hint="eastAsia" w:cs="宋体" w:asciiTheme="minorEastAsia" w:hAnsiTheme="minorEastAsia"/>
          <w:kern w:val="0"/>
          <w:szCs w:val="21"/>
        </w:rPr>
        <w:t>成交</w:t>
      </w:r>
      <w:r>
        <w:rPr>
          <w:rFonts w:cs="宋体" w:asciiTheme="minorEastAsia" w:hAnsiTheme="minorEastAsia"/>
          <w:kern w:val="0"/>
          <w:szCs w:val="21"/>
        </w:rPr>
        <w:t>结果的，按照下列情况处理：</w:t>
      </w:r>
    </w:p>
    <w:p>
      <w:pPr>
        <w:autoSpaceDE w:val="0"/>
        <w:autoSpaceDN w:val="0"/>
        <w:spacing w:line="360" w:lineRule="auto"/>
        <w:ind w:left="2125" w:leftChars="450" w:hanging="1180" w:hangingChars="562"/>
        <w:contextualSpacing/>
        <w:rPr>
          <w:rFonts w:cs="宋体" w:asciiTheme="minorEastAsia" w:hAnsiTheme="minorEastAsia"/>
          <w:kern w:val="0"/>
          <w:szCs w:val="21"/>
        </w:rPr>
      </w:pPr>
      <w:r>
        <w:rPr>
          <w:rFonts w:hint="eastAsia" w:cs="宋体" w:asciiTheme="minorEastAsia" w:hAnsiTheme="minorEastAsia"/>
          <w:kern w:val="0"/>
          <w:szCs w:val="21"/>
        </w:rPr>
        <w:t xml:space="preserve">34.2.1     </w:t>
      </w:r>
      <w:r>
        <w:rPr>
          <w:rFonts w:cs="宋体" w:asciiTheme="minorEastAsia" w:hAnsiTheme="minorEastAsia"/>
          <w:kern w:val="0"/>
          <w:szCs w:val="21"/>
        </w:rPr>
        <w:t>对</w:t>
      </w:r>
      <w:r>
        <w:rPr>
          <w:rFonts w:hint="eastAsia" w:cs="宋体" w:asciiTheme="minorEastAsia" w:hAnsiTheme="minorEastAsia"/>
          <w:kern w:val="0"/>
          <w:szCs w:val="21"/>
        </w:rPr>
        <w:t>谈判</w:t>
      </w:r>
      <w:r>
        <w:rPr>
          <w:rFonts w:cs="宋体" w:asciiTheme="minorEastAsia" w:hAnsiTheme="minorEastAsia"/>
          <w:kern w:val="0"/>
          <w:szCs w:val="21"/>
        </w:rPr>
        <w:t>文件提出的质疑，依法通过澄清或者修改可以继续开展采购活动的，澄清或者修改</w:t>
      </w:r>
      <w:r>
        <w:rPr>
          <w:rFonts w:hint="eastAsia" w:cs="宋体" w:asciiTheme="minorEastAsia" w:hAnsiTheme="minorEastAsia"/>
          <w:kern w:val="0"/>
          <w:szCs w:val="21"/>
        </w:rPr>
        <w:t>谈判</w:t>
      </w:r>
      <w:r>
        <w:rPr>
          <w:rFonts w:cs="宋体" w:asciiTheme="minorEastAsia" w:hAnsiTheme="minorEastAsia"/>
          <w:kern w:val="0"/>
          <w:szCs w:val="21"/>
        </w:rPr>
        <w:t>文件后继续开展采购活动；否则应当修改</w:t>
      </w:r>
      <w:r>
        <w:rPr>
          <w:rFonts w:hint="eastAsia" w:cs="宋体" w:asciiTheme="minorEastAsia" w:hAnsiTheme="minorEastAsia"/>
          <w:kern w:val="0"/>
          <w:szCs w:val="21"/>
        </w:rPr>
        <w:t>谈判</w:t>
      </w:r>
      <w:r>
        <w:rPr>
          <w:rFonts w:cs="宋体" w:asciiTheme="minorEastAsia" w:hAnsiTheme="minorEastAsia"/>
          <w:kern w:val="0"/>
          <w:szCs w:val="21"/>
        </w:rPr>
        <w:t>文件后重新开展采购活动。</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 xml:space="preserve">34.2.2     </w:t>
      </w:r>
      <w:r>
        <w:rPr>
          <w:rFonts w:cs="宋体" w:asciiTheme="minorEastAsia" w:hAnsiTheme="minorEastAsia"/>
          <w:kern w:val="0"/>
          <w:szCs w:val="21"/>
        </w:rPr>
        <w:t>对采购过程、</w:t>
      </w:r>
      <w:r>
        <w:rPr>
          <w:rFonts w:hint="eastAsia" w:cs="宋体" w:asciiTheme="minorEastAsia" w:hAnsiTheme="minorEastAsia"/>
          <w:kern w:val="0"/>
          <w:szCs w:val="21"/>
        </w:rPr>
        <w:t>成交</w:t>
      </w:r>
      <w:r>
        <w:rPr>
          <w:rFonts w:cs="宋体" w:asciiTheme="minorEastAsia" w:hAnsiTheme="minorEastAsia"/>
          <w:kern w:val="0"/>
          <w:szCs w:val="21"/>
        </w:rPr>
        <w:t>结果提出的质疑，合格供应商符合法定数量时，可以从合格的</w:t>
      </w:r>
      <w:r>
        <w:rPr>
          <w:rFonts w:hint="eastAsia" w:cs="宋体" w:asciiTheme="minorEastAsia" w:hAnsiTheme="minorEastAsia"/>
          <w:kern w:val="0"/>
          <w:szCs w:val="21"/>
        </w:rPr>
        <w:t>成交候选人</w:t>
      </w:r>
      <w:r>
        <w:rPr>
          <w:rFonts w:cs="宋体" w:asciiTheme="minorEastAsia" w:hAnsiTheme="minorEastAsia"/>
          <w:kern w:val="0"/>
          <w:szCs w:val="21"/>
        </w:rPr>
        <w:t>中另行确定</w:t>
      </w:r>
      <w:r>
        <w:rPr>
          <w:rFonts w:hint="eastAsia" w:cs="宋体" w:asciiTheme="minorEastAsia" w:hAnsiTheme="minorEastAsia"/>
          <w:kern w:val="0"/>
          <w:szCs w:val="21"/>
        </w:rPr>
        <w:t>成交</w:t>
      </w:r>
      <w:r>
        <w:rPr>
          <w:rFonts w:cs="宋体" w:asciiTheme="minorEastAsia" w:hAnsiTheme="minorEastAsia"/>
          <w:kern w:val="0"/>
          <w:szCs w:val="21"/>
        </w:rPr>
        <w:t>供应商的，应当依法另行确定</w:t>
      </w:r>
      <w:r>
        <w:rPr>
          <w:rFonts w:hint="eastAsia" w:cs="宋体" w:asciiTheme="minorEastAsia" w:hAnsiTheme="minorEastAsia"/>
          <w:kern w:val="0"/>
          <w:szCs w:val="21"/>
        </w:rPr>
        <w:t>成交</w:t>
      </w:r>
      <w:r>
        <w:rPr>
          <w:rFonts w:cs="宋体" w:asciiTheme="minorEastAsia" w:hAnsiTheme="minorEastAsia"/>
          <w:kern w:val="0"/>
          <w:szCs w:val="21"/>
        </w:rPr>
        <w:t>供应商；否则应当重新开展采购活动。</w:t>
      </w:r>
    </w:p>
    <w:p>
      <w:pPr>
        <w:pStyle w:val="44"/>
        <w:numPr>
          <w:ilvl w:val="0"/>
          <w:numId w:val="2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pStyle w:val="44"/>
        <w:numPr>
          <w:ilvl w:val="0"/>
          <w:numId w:val="22"/>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采购人与成交供应商应当在成交通知书发出之日起30日内，按照</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文件确定的合同文本以及采购标的、规格型号、采购金额、采购数量、技术和服务要求等事项签订政府采购合同</w:t>
      </w:r>
      <w:r>
        <w:rPr>
          <w:rFonts w:hint="eastAsia" w:cs="宋体" w:asciiTheme="minorEastAsia" w:hAnsiTheme="minorEastAsia"/>
          <w:kern w:val="0"/>
          <w:szCs w:val="21"/>
        </w:rPr>
        <w:t>。</w:t>
      </w:r>
    </w:p>
    <w:p>
      <w:pPr>
        <w:pStyle w:val="44"/>
        <w:numPr>
          <w:ilvl w:val="1"/>
          <w:numId w:val="21"/>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采购人不得向成交供应商提出超出采购文件以外的任何要求作为签订合同的条件，不得与成交供应商订立背离</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文件确定的合同文本以及采购标的、规格型号、采购金额、采购数量、技术和服务要求等实质性内容的协议</w:t>
      </w:r>
      <w:r>
        <w:rPr>
          <w:rFonts w:hint="eastAsia" w:cs="宋体" w:asciiTheme="minorEastAsia" w:hAnsiTheme="minorEastAsia"/>
          <w:kern w:val="0"/>
          <w:szCs w:val="21"/>
        </w:rPr>
        <w:t>。</w:t>
      </w:r>
    </w:p>
    <w:p>
      <w:pPr>
        <w:pStyle w:val="44"/>
        <w:numPr>
          <w:ilvl w:val="0"/>
          <w:numId w:val="2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rPr>
          <w:rFonts w:cs="宋体" w:asciiTheme="majorEastAsia" w:hAnsiTheme="majorEastAsia" w:eastAsiaTheme="majorEastAsia"/>
          <w:b/>
          <w:kern w:val="0"/>
          <w:sz w:val="36"/>
          <w:szCs w:val="36"/>
        </w:rPr>
      </w:pPr>
      <w:r>
        <w:rPr>
          <w:rFonts w:hint="eastAsia" w:cs="宋体" w:asciiTheme="minorEastAsia" w:hAnsiTheme="minor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pStyle w:val="14"/>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一、</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二、支持监狱企业发展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三、促进残疾人就业</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3、成交人为残疾人福利性单位的，招标人应当随成交结果同时公告其《残疾人福利性单位声明函》，接受社会监督。</w:t>
      </w:r>
    </w:p>
    <w:p>
      <w:pPr>
        <w:pStyle w:val="14"/>
        <w:spacing w:line="360" w:lineRule="auto"/>
        <w:ind w:firstLine="480" w:firstLineChars="200"/>
        <w:contextualSpacing/>
        <w:rPr>
          <w:rFonts w:cs="仿宋_GB2312" w:asciiTheme="minorEastAsia" w:hAnsiTheme="minorEastAsia" w:eastAsiaTheme="minorEastAsia"/>
          <w:szCs w:val="24"/>
          <w:lang w:val="zh-CN"/>
        </w:rPr>
      </w:pPr>
    </w:p>
    <w:p>
      <w:pPr>
        <w:pStyle w:val="14"/>
        <w:spacing w:line="360" w:lineRule="auto"/>
        <w:ind w:firstLine="480" w:firstLineChars="200"/>
        <w:contextualSpacing/>
        <w:rPr>
          <w:rFonts w:cs="仿宋_GB2312" w:asciiTheme="minorEastAsia" w:hAnsiTheme="minorEastAsia" w:eastAsiaTheme="minorEastAsia"/>
          <w:szCs w:val="24"/>
          <w:lang w:val="zh-CN"/>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4"/>
        <w:spacing w:line="360" w:lineRule="auto"/>
        <w:contextualSpacing/>
        <w:rPr>
          <w:rFonts w:cs="仿宋_GB2312" w:asciiTheme="minorEastAsia" w:hAnsiTheme="minorEastAsia"/>
          <w:lang w:val="zh-CN"/>
        </w:rPr>
      </w:pPr>
    </w:p>
    <w:p>
      <w:pPr>
        <w:pStyle w:val="14"/>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asciiTheme="minorEastAsia" w:hAnsiTheme="minorEastAsia"/>
          <w:bCs/>
          <w:szCs w:val="21"/>
        </w:rPr>
        <w:t>（一）谈判小组依法对供应商资格进行审查</w:t>
      </w:r>
      <w:r>
        <w:rPr>
          <w:rFonts w:cs="仿宋_GB2312" w:asciiTheme="minorEastAsia" w:hAnsiTheme="minorEastAsia"/>
          <w:szCs w:val="21"/>
          <w:lang w:val="zh-CN"/>
        </w:rPr>
        <w:t>。</w:t>
      </w:r>
      <w:r>
        <w:rPr>
          <w:rFonts w:hint="eastAsia" w:cs="仿宋_GB2312" w:asciiTheme="minorEastAsia" w:hAnsiTheme="minorEastAsia"/>
          <w:szCs w:val="21"/>
          <w:lang w:val="zh-CN"/>
        </w:rPr>
        <w:t>确定符合资格的供应商不少于3家，将</w:t>
      </w:r>
      <w:r>
        <w:rPr>
          <w:rFonts w:ascii="ˎ̥" w:hAnsi="ˎ̥"/>
        </w:rPr>
        <w:t>对响应文件的有效性、完整性和响应程度进行审查</w:t>
      </w:r>
      <w:r>
        <w:rPr>
          <w:rFonts w:hint="eastAsia" w:ascii="ˎ̥" w:hAnsi="ˎ̥"/>
        </w:rPr>
        <w:t>并对响应文件进行评审</w:t>
      </w:r>
      <w:r>
        <w:rPr>
          <w:rFonts w:hint="eastAsia" w:cs="仿宋_GB2312" w:asciiTheme="minorEastAsia" w:hAnsiTheme="minorEastAsia"/>
          <w:szCs w:val="21"/>
          <w:lang w:val="zh-CN"/>
        </w:rPr>
        <w:t>。</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投标截止时间前三个月内任意一个月缴纳税收凭据。（依法免税的供应商，应提供相应文件证明依法免税）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投标截止时间前三个月内任意一个月缴纳社会保险凭据。（依法不需要缴纳社会保障资金的供应商，应提供相应文件证明依法不需要缴纳社会保障资金）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spacing w:line="360" w:lineRule="auto"/>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如无重大违法记录请按照谈判文件提供格式填写。</w:t>
            </w:r>
          </w:p>
          <w:p>
            <w:pPr>
              <w:spacing w:line="360" w:lineRule="auto"/>
              <w:jc w:val="left"/>
              <w:rPr>
                <w:rFonts w:asciiTheme="minorEastAsia" w:hAnsiTheme="minorEastAsia"/>
                <w:b/>
                <w:bCs/>
                <w:szCs w:val="21"/>
              </w:rPr>
            </w:pPr>
            <w:r>
              <w:rPr>
                <w:rFonts w:hint="eastAsia" w:asciiTheme="minorEastAsia" w:hAnsiTheme="minor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政府采购活动中查询及使用供应商信用记录的具体要求为：供应商未被列入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）严重违法失信社会组织名单的供应商</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8"/>
                <w:rFonts w:hint="eastAsia" w:asciiTheme="minorEastAsia" w:hAnsiTheme="minorEastAsia"/>
                <w:szCs w:val="21"/>
              </w:rPr>
              <w:t>www.creditchina.gov.cn</w:t>
            </w:r>
            <w:r>
              <w:rPr>
                <w:rStyle w:val="28"/>
                <w:rFonts w:hint="eastAsia" w:asciiTheme="minorEastAsia" w:hAnsiTheme="minorEastAsia"/>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w:t>
            </w:r>
            <w:r>
              <w:rPr>
                <w:rFonts w:hint="eastAsia" w:cs="宋体" w:asciiTheme="minorEastAsia" w:hAnsiTheme="minorEastAsia"/>
                <w:kern w:val="0"/>
                <w:szCs w:val="21"/>
              </w:rPr>
              <w:t>谈判小组</w:t>
            </w:r>
            <w:r>
              <w:rPr>
                <w:rFonts w:hint="eastAsia" w:asciiTheme="minorEastAsia" w:hAnsiTheme="minorEastAsia"/>
                <w:bCs/>
                <w:szCs w:val="21"/>
              </w:rPr>
              <w:t>确认确认的查询结果网页截图作为查询记录和证据，与其他采购文件一并保存；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w:t>
            </w:r>
            <w:r>
              <w:rPr>
                <w:rFonts w:hint="eastAsia" w:cs="宋体" w:asciiTheme="minorEastAsia" w:hAnsiTheme="minorEastAsia"/>
                <w:kern w:val="0"/>
                <w:szCs w:val="21"/>
              </w:rPr>
              <w:t>谈判小组</w:t>
            </w:r>
            <w:r>
              <w:rPr>
                <w:rFonts w:hint="eastAsia" w:asciiTheme="minorEastAsia" w:hAnsiTheme="minorEastAsia"/>
                <w:bCs/>
                <w:szCs w:val="21"/>
              </w:rPr>
              <w:t>确认认定的被列入失信被执行人、重大税收违法案件当事人名单、政府采购严重违法失信行为记录名单的供应商，</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的供应商，将拒绝其参与本次政府采购活动。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供应商须具备的特殊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Cs/>
                <w:szCs w:val="21"/>
              </w:rPr>
            </w:pPr>
            <w:r>
              <w:rPr>
                <w:rFonts w:hint="eastAsia" w:asciiTheme="minorEastAsia" w:hAnsiTheme="minorEastAsia"/>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谈判</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投标报价是否超出谈判文件中规定的预算金额，超出预算金额的报价无效。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谈判保证金</w:t>
            </w:r>
          </w:p>
        </w:tc>
        <w:tc>
          <w:tcPr>
            <w:tcW w:w="5954" w:type="dxa"/>
            <w:vAlign w:val="center"/>
          </w:tcPr>
          <w:p>
            <w:pPr>
              <w:spacing w:line="360" w:lineRule="auto"/>
              <w:rPr>
                <w:rFonts w:hint="eastAsia" w:cs="仿宋_GB2312" w:asciiTheme="minorEastAsia" w:hAnsiTheme="minorEastAsia"/>
                <w:szCs w:val="21"/>
                <w:lang w:val="zh-CN" w:eastAsia="zh-CN"/>
              </w:rPr>
            </w:pPr>
            <w:r>
              <w:rPr>
                <w:rFonts w:hint="eastAsia" w:cs="仿宋_GB2312" w:asciiTheme="minorEastAsia" w:hAnsiTheme="minorEastAsia"/>
                <w:szCs w:val="21"/>
                <w:lang w:val="en-US" w:eastAsia="zh-CN"/>
              </w:rPr>
              <w:t>1、</w:t>
            </w:r>
            <w:r>
              <w:rPr>
                <w:rFonts w:hint="eastAsia" w:cs="仿宋_GB2312" w:asciiTheme="minorEastAsia" w:hAnsiTheme="minorEastAsia"/>
                <w:szCs w:val="21"/>
                <w:lang w:val="zh-CN" w:eastAsia="zh-CN"/>
              </w:rPr>
              <w:t>不收取</w:t>
            </w:r>
          </w:p>
          <w:p>
            <w:pPr>
              <w:spacing w:line="360" w:lineRule="auto"/>
              <w:rPr>
                <w:rFonts w:hint="eastAsia"/>
                <w:lang w:eastAsia="zh-CN"/>
              </w:rPr>
            </w:pPr>
            <w:r>
              <w:rPr>
                <w:rFonts w:hint="eastAsia" w:cs="仿宋_GB2312" w:asciiTheme="minorEastAsia" w:hAnsiTheme="minorEastAsia"/>
                <w:szCs w:val="21"/>
                <w:lang w:val="en-US" w:eastAsia="zh-CN"/>
              </w:rPr>
              <w:t>2、</w:t>
            </w:r>
            <w:r>
              <w:rPr>
                <w:rFonts w:hint="eastAsia" w:cs="仿宋_GB2312" w:asciiTheme="minorEastAsia" w:hAnsiTheme="minorEastAsia"/>
                <w:szCs w:val="21"/>
                <w:lang w:val="zh-CN" w:eastAsia="zh-CN"/>
              </w:rPr>
              <w:t>投标人须提供投标承诺函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谈判文件接受联合体投标且供应商为联合体的，供应商应提供本协议；否则无须提供。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13</w:t>
            </w:r>
          </w:p>
        </w:tc>
        <w:tc>
          <w:tcPr>
            <w:tcW w:w="2410" w:type="dxa"/>
            <w:vAlign w:val="center"/>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①企业（银行、保险、石油石化、电力、电信等行业除外）、事业单位和社会团体以法人身份参加谈判的，法定代表人应与实际提交的“营业执照等证明文件”载明的一致。</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③供应商为自然人的，无需填写法定代表人授权书。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供应商提供未为本项目提供整体设计、规范编制或者项目管理、监理、检测等服务承诺函（承诺函格式自拟）。</w:t>
            </w:r>
          </w:p>
          <w:p>
            <w:pPr>
              <w:spacing w:line="360" w:lineRule="auto"/>
              <w:rPr>
                <w:rFonts w:asciiTheme="minorEastAsia" w:hAnsiTheme="minorEastAsia"/>
                <w:bCs/>
                <w:szCs w:val="21"/>
              </w:rPr>
            </w:pPr>
          </w:p>
        </w:tc>
      </w:tr>
    </w:tbl>
    <w:p>
      <w:pPr>
        <w:pStyle w:val="14"/>
        <w:spacing w:line="360" w:lineRule="auto"/>
        <w:ind w:firstLine="482" w:firstLineChars="200"/>
        <w:contextualSpacing/>
        <w:rPr>
          <w:rFonts w:cs="仿宋_GB2312" w:asciiTheme="minorEastAsia" w:hAnsiTheme="minorEastAsia" w:eastAsiaTheme="minorEastAsia"/>
          <w:b/>
          <w:szCs w:val="24"/>
          <w:lang w:val="zh-CN"/>
        </w:rPr>
      </w:pPr>
    </w:p>
    <w:p>
      <w:pPr>
        <w:pStyle w:val="14"/>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二、评审</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（一）评审方法</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所有谈判和最终报价结束后，由谈判小组根据最终报价文件，对最终报价文件进行评审，从质量和服务均能满足采购文件实质性响应要求的供应商中，按照最后报价由低到高的顺序提出</w:t>
      </w:r>
      <w:r>
        <w:rPr>
          <w:rFonts w:cs="仿宋_GB2312" w:asciiTheme="minorEastAsia" w:hAnsiTheme="minorEastAsia" w:eastAsiaTheme="minorEastAsia"/>
          <w:sz w:val="21"/>
          <w:szCs w:val="21"/>
          <w:lang w:val="zh-CN"/>
        </w:rPr>
        <w:t>3</w:t>
      </w:r>
      <w:r>
        <w:rPr>
          <w:rFonts w:hint="eastAsia" w:cs="仿宋_GB2312" w:asciiTheme="minorEastAsia" w:hAnsiTheme="minorEastAsia" w:eastAsiaTheme="minorEastAsia"/>
          <w:sz w:val="21"/>
          <w:szCs w:val="21"/>
          <w:lang w:val="zh-CN"/>
        </w:rPr>
        <w:t>名成交候选人。根据规定</w:t>
      </w:r>
      <w:r>
        <w:rPr>
          <w:rFonts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lang w:val="zh-CN"/>
        </w:rPr>
        <w:t>采购人按照成交候选人排名顺序确定成交供应商。</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（二）落实政府采购政策及强制性认证</w:t>
      </w:r>
    </w:p>
    <w:p>
      <w:pPr>
        <w:pStyle w:val="14"/>
        <w:spacing w:line="360" w:lineRule="auto"/>
        <w:ind w:firstLine="422" w:firstLineChars="200"/>
        <w:contextualSpacing/>
        <w:jc w:val="left"/>
        <w:rPr>
          <w:rFonts w:cs="仿宋_GB2312" w:asciiTheme="minorEastAsia" w:hAnsiTheme="minorEastAsia"/>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因落实政府采购政策进行价格调整的，以调整后的价格计算报价。</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落实政府采购政策计算报价</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552"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非联合体供应商</w:t>
            </w:r>
          </w:p>
        </w:tc>
        <w:tc>
          <w:tcPr>
            <w:tcW w:w="2552"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color w:val="000000"/>
                <w:szCs w:val="21"/>
                <w:lang w:val="en-GB"/>
              </w:rPr>
            </w:pPr>
            <w:r>
              <w:rPr>
                <w:rFonts w:hint="eastAsia"/>
                <w:color w:val="000000"/>
                <w:szCs w:val="21"/>
                <w:lang w:val="en-GB"/>
              </w:rPr>
              <w:t>评审价格＝响应最终报价—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6%</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ascii="宋体" w:hAnsi="宋体"/>
                <w:szCs w:val="21"/>
                <w:u w:val="single"/>
              </w:rPr>
              <w:t>2</w:t>
            </w:r>
            <w:r>
              <w:rPr>
                <w:rFonts w:hint="eastAsia" w:ascii="宋体" w:hAnsi="宋体"/>
                <w:szCs w:val="21"/>
              </w:rPr>
              <w:t>%</w:t>
            </w:r>
          </w:p>
        </w:tc>
        <w:tc>
          <w:tcPr>
            <w:tcW w:w="2835"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评审价格＝响应最终报价×</w:t>
            </w:r>
            <w:r>
              <w:rPr>
                <w:rFonts w:hint="eastAsia" w:ascii="宋体" w:hAnsi="宋体"/>
                <w:color w:val="000000" w:themeColor="text1"/>
                <w:szCs w:val="21"/>
              </w:rPr>
              <w:t>(1-</w:t>
            </w:r>
            <w:r>
              <w:rPr>
                <w:rFonts w:ascii="宋体" w:hAnsi="宋体"/>
                <w:color w:val="000000" w:themeColor="text1"/>
                <w:szCs w:val="21"/>
                <w:u w:val="single"/>
              </w:rPr>
              <w:t>2</w:t>
            </w:r>
            <w:r>
              <w:rPr>
                <w:rFonts w:hint="eastAsia" w:ascii="宋体" w:hAnsi="宋体"/>
                <w:color w:val="000000" w:themeColor="text1"/>
                <w:szCs w:val="21"/>
                <w:u w:val="single"/>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color w:val="000000"/>
                <w:szCs w:val="21"/>
                <w:lang w:val="en-GB"/>
              </w:rPr>
            </w:pPr>
            <w:r>
              <w:rPr>
                <w:rFonts w:hint="eastAsia"/>
                <w:color w:val="000000"/>
                <w:szCs w:val="21"/>
                <w:lang w:val="en-GB"/>
              </w:rPr>
              <w:t>评审价格＝响应最终报价—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color w:val="000000"/>
                <w:szCs w:val="21"/>
                <w:lang w:val="en-GB"/>
              </w:rPr>
            </w:pPr>
            <w:r>
              <w:rPr>
                <w:rFonts w:hint="eastAsia"/>
                <w:color w:val="000000"/>
                <w:szCs w:val="21"/>
                <w:lang w:val="en-GB"/>
              </w:rPr>
              <w:t>评审价格＝响应最终报价—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w:t>
            </w:r>
            <w:r>
              <w:rPr>
                <w:rFonts w:hint="eastAsia" w:cs="仿宋_GB2312" w:asciiTheme="minorEastAsia" w:hAnsiTheme="minorEastAsia"/>
                <w:szCs w:val="21"/>
                <w:lang w:val="zh-CN"/>
              </w:rPr>
              <w:t>谈判小组审查、评价</w:t>
            </w:r>
            <w:r>
              <w:rPr>
                <w:rFonts w:cs="仿宋_GB2312" w:asciiTheme="minorEastAsia" w:hAnsiTheme="minorEastAsia"/>
                <w:szCs w:val="21"/>
                <w:lang w:val="zh-CN"/>
              </w:rPr>
              <w:t>，</w:t>
            </w:r>
            <w:r>
              <w:rPr>
                <w:rFonts w:hint="eastAsia" w:cs="仿宋_GB2312" w:asciiTheme="minorEastAsia" w:hAnsiTheme="minorEastAsia"/>
                <w:szCs w:val="21"/>
                <w:lang w:val="zh-CN"/>
              </w:rPr>
              <w:t>响应文件符合谈判</w:t>
            </w:r>
            <w:r>
              <w:rPr>
                <w:rFonts w:cs="仿宋_GB2312" w:asciiTheme="minorEastAsia" w:hAnsiTheme="minorEastAsia"/>
                <w:szCs w:val="21"/>
                <w:lang w:val="zh-CN"/>
              </w:rPr>
              <w:t>文件</w:t>
            </w:r>
            <w:r>
              <w:rPr>
                <w:rFonts w:hint="eastAsia" w:cs="仿宋_GB2312" w:asciiTheme="minorEastAsia" w:hAnsiTheme="minorEastAsia"/>
                <w:szCs w:val="21"/>
                <w:lang w:val="zh-CN"/>
              </w:rPr>
              <w:t>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评审价格由低到高的顺序提出</w:t>
            </w:r>
            <w:r>
              <w:rPr>
                <w:rFonts w:cs="仿宋_GB2312" w:asciiTheme="minorEastAsia" w:hAnsiTheme="minorEastAsia"/>
                <w:szCs w:val="21"/>
                <w:lang w:val="zh-CN"/>
              </w:rPr>
              <w:t>3</w:t>
            </w:r>
            <w:r>
              <w:rPr>
                <w:rFonts w:hint="eastAsia" w:cs="仿宋_GB2312" w:asciiTheme="minorEastAsia" w:hAnsiTheme="minorEastAsia"/>
                <w:szCs w:val="21"/>
                <w:lang w:val="zh-CN"/>
              </w:rPr>
              <w:t>名成交候选人。</w:t>
            </w:r>
          </w:p>
        </w:tc>
      </w:tr>
    </w:tbl>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备注：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a、不接受联合体响应的项目，本表中第2项、第3项情形不适用。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ascii="宋体" w:hAnsi="宋体"/>
          <w:bCs/>
          <w:color w:val="FF0000"/>
          <w:szCs w:val="21"/>
          <w:lang w:val="en-GB"/>
        </w:rPr>
      </w:pPr>
      <w:r>
        <w:rPr>
          <w:rFonts w:hint="eastAsia" w:cs="仿宋_GB2312" w:asciiTheme="minorEastAsia" w:hAnsiTheme="minorEastAsia"/>
          <w:szCs w:val="21"/>
          <w:lang w:val="zh-CN"/>
        </w:rPr>
        <w:t>d、残疾人福利性单位属于小型、微型企业的，不重复享受政策</w:t>
      </w:r>
      <w:r>
        <w:rPr>
          <w:rFonts w:hint="eastAsia" w:ascii="宋体" w:hAnsi="宋体"/>
          <w:bCs/>
          <w:color w:val="FF0000"/>
          <w:szCs w:val="21"/>
          <w:lang w:val="en-GB"/>
        </w:rPr>
        <w:t>。</w:t>
      </w:r>
    </w:p>
    <w:p>
      <w:pPr>
        <w:spacing w:line="360" w:lineRule="auto"/>
        <w:ind w:firstLine="420" w:firstLineChars="200"/>
        <w:rPr>
          <w:rFonts w:cs="仿宋_GB2312" w:asciiTheme="minorEastAsia" w:hAnsiTheme="minorEastAsia"/>
          <w:szCs w:val="21"/>
          <w:lang w:val="zh-CN"/>
        </w:rPr>
      </w:pPr>
      <w:r>
        <w:rPr>
          <w:rFonts w:cs="仿宋_GB2312" w:asciiTheme="minorEastAsia" w:hAnsiTheme="minorEastAsia"/>
          <w:szCs w:val="21"/>
          <w:lang w:val="zh-CN"/>
        </w:rPr>
        <w:t>E</w:t>
      </w:r>
      <w:r>
        <w:rPr>
          <w:rFonts w:hint="eastAsia" w:cs="仿宋_GB2312" w:asciiTheme="minorEastAsia" w:hAnsiTheme="minorEastAsia"/>
          <w:szCs w:val="21"/>
          <w:lang w:val="zh-CN"/>
        </w:rPr>
        <w:t>、小型和微型企业不包括民办非企业单位。</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hint="eastAsia" w:cs="仿宋_GB2312" w:asciiTheme="minorEastAsia" w:hAnsiTheme="minorEastAsia" w:eastAsiaTheme="minorEastAsia"/>
          <w:b/>
          <w:sz w:val="21"/>
          <w:szCs w:val="21"/>
          <w:lang w:val="zh-CN"/>
        </w:rPr>
        <w:t>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（1）如供应商所响应产品属于“中国强制性产品认证”（3C认证）范围内,则必须承诺采用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（2）供应商所响应产品如被列入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则响应文件中应根据本项目谈判文件“第二章 采购需求”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）产品查询结果截图并加盖供应商公章；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颁发的《中国国家信息安全产品认证证书》加盖供应商公章的原件扫描件（或图片）。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pStyle w:val="14"/>
        <w:numPr>
          <w:ilvl w:val="0"/>
          <w:numId w:val="24"/>
        </w:numPr>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谈判小组编写评审报告。</w:t>
      </w:r>
    </w:p>
    <w:p>
      <w:pPr>
        <w:wordWrap w:val="0"/>
        <w:spacing w:line="360" w:lineRule="auto"/>
        <w:ind w:firstLine="480" w:firstLineChars="200"/>
        <w:contextualSpacing/>
        <w:rPr>
          <w:rFonts w:cs="宋体" w:asciiTheme="majorEastAsia" w:hAnsiTheme="majorEastAsia" w:eastAsiaTheme="majorEastAsia"/>
          <w:b/>
          <w:kern w:val="0"/>
          <w:sz w:val="32"/>
          <w:szCs w:val="32"/>
        </w:rPr>
      </w:pPr>
      <w:r>
        <w:rPr>
          <w:rFonts w:hint="eastAsia" w:ascii="楷体" w:hAnsi="楷体" w:eastAsia="楷体" w:cs="仿宋_GB2312"/>
          <w:color w:val="FF0000"/>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4"/>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（此合同仅供参考。以最终采购人与中标人签定的合同条款为准进行公示，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最终签定合同的主要条款不能与招标文件有冲突）</w:t>
      </w:r>
    </w:p>
    <w:p>
      <w:pPr>
        <w:pStyle w:val="21"/>
        <w:spacing w:before="75" w:after="75" w:line="360" w:lineRule="auto"/>
        <w:rPr>
          <w:rFonts w:ascii="宋体" w:hAnsi="宋体" w:eastAsia="微软雅黑"/>
          <w:color w:val="000000"/>
          <w:u w:val="single"/>
        </w:rPr>
      </w:pPr>
    </w:p>
    <w:p>
      <w:pPr>
        <w:pStyle w:val="14"/>
        <w:spacing w:line="360" w:lineRule="auto"/>
        <w:contextualSpacing/>
        <w:jc w:val="center"/>
        <w:rPr>
          <w:rFonts w:cs="宋体" w:asciiTheme="majorEastAsia" w:hAnsiTheme="majorEastAsia" w:eastAsiaTheme="majorEastAsia"/>
          <w:b/>
          <w:kern w:val="0"/>
          <w:sz w:val="36"/>
          <w:szCs w:val="36"/>
        </w:rPr>
      </w:pPr>
    </w:p>
    <w:p>
      <w:pPr>
        <w:pStyle w:val="6"/>
        <w:spacing w:after="156" w:line="500" w:lineRule="exact"/>
        <w:rPr>
          <w:rFonts w:ascii="仿宋" w:hAnsi="仿宋" w:eastAsia="仿宋"/>
          <w:szCs w:val="24"/>
        </w:rPr>
      </w:pPr>
      <w:bookmarkStart w:id="0" w:name="_Toc355649942"/>
      <w:bookmarkStart w:id="1" w:name="_Toc356744034"/>
      <w:bookmarkStart w:id="2" w:name="_Toc354404029"/>
      <w:bookmarkStart w:id="3" w:name="_Toc329278149"/>
      <w:bookmarkStart w:id="4" w:name="_Toc354922980"/>
      <w:bookmarkStart w:id="5" w:name="_Toc326060505"/>
      <w:bookmarkStart w:id="6" w:name="_Toc364457259"/>
      <w:bookmarkStart w:id="7" w:name="_Toc357868214"/>
      <w:bookmarkStart w:id="8" w:name="_Toc354923119"/>
      <w:r>
        <w:rPr>
          <w:rFonts w:hint="eastAsia" w:ascii="仿宋" w:hAnsi="仿宋" w:eastAsia="仿宋"/>
          <w:szCs w:val="24"/>
        </w:rPr>
        <w:t>一、词语定义及合同文件</w:t>
      </w:r>
      <w:bookmarkEnd w:id="0"/>
      <w:bookmarkEnd w:id="1"/>
      <w:bookmarkEnd w:id="2"/>
      <w:bookmarkEnd w:id="3"/>
      <w:bookmarkEnd w:id="4"/>
      <w:bookmarkEnd w:id="5"/>
      <w:bookmarkEnd w:id="6"/>
      <w:bookmarkEnd w:id="7"/>
      <w:bookmarkEnd w:id="8"/>
    </w:p>
    <w:p>
      <w:pPr>
        <w:pStyle w:val="14"/>
        <w:spacing w:line="500" w:lineRule="exact"/>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    1、合同文件及解释顺序</w:t>
      </w:r>
    </w:p>
    <w:p>
      <w:pPr>
        <w:pStyle w:val="14"/>
        <w:spacing w:line="500" w:lineRule="exact"/>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    合同文件组成及解释顺序:       按照通用条款执行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2、语言文字和适用法律、标准及规范</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2．1本合同除使用汉语外，还使用       无                  语言文字。</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2．2适用法律和法规</w:t>
      </w:r>
    </w:p>
    <w:p>
      <w:pPr>
        <w:spacing w:line="500" w:lineRule="exact"/>
        <w:ind w:firstLine="482"/>
        <w:rPr>
          <w:rFonts w:cs="宋体" w:asciiTheme="minorEastAsia" w:hAnsiTheme="minorEastAsia"/>
          <w:kern w:val="0"/>
          <w:szCs w:val="21"/>
        </w:rPr>
      </w:pPr>
      <w:r>
        <w:rPr>
          <w:rFonts w:hint="eastAsia" w:cs="宋体" w:asciiTheme="minorEastAsia" w:hAnsiTheme="minorEastAsia"/>
          <w:kern w:val="0"/>
          <w:szCs w:val="21"/>
        </w:rPr>
        <w:t>需要明示的法律、行政法规:  国家及省、市的法律、法规、规章、规范性文件及协议条款约定的规章。</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2．3适用标准、规范</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适用标准、规范的名称:</w:t>
      </w:r>
    </w:p>
    <w:p>
      <w:pPr>
        <w:numPr>
          <w:ilvl w:val="1"/>
          <w:numId w:val="25"/>
        </w:numPr>
        <w:tabs>
          <w:tab w:val="left" w:pos="0"/>
          <w:tab w:val="clear" w:pos="1200"/>
        </w:tabs>
        <w:spacing w:line="500" w:lineRule="exact"/>
        <w:ind w:left="0" w:firstLine="540"/>
        <w:rPr>
          <w:rFonts w:cs="宋体" w:asciiTheme="minorEastAsia" w:hAnsiTheme="minorEastAsia"/>
          <w:kern w:val="0"/>
          <w:szCs w:val="21"/>
        </w:rPr>
      </w:pPr>
      <w:r>
        <w:rPr>
          <w:rFonts w:hint="eastAsia" w:cs="宋体" w:asciiTheme="minorEastAsia" w:hAnsiTheme="minorEastAsia"/>
          <w:kern w:val="0"/>
          <w:szCs w:val="21"/>
        </w:rPr>
        <w:t>工程设计要求</w:t>
      </w:r>
    </w:p>
    <w:p>
      <w:pPr>
        <w:numPr>
          <w:ilvl w:val="1"/>
          <w:numId w:val="25"/>
        </w:numPr>
        <w:tabs>
          <w:tab w:val="left" w:pos="0"/>
          <w:tab w:val="clear" w:pos="1200"/>
        </w:tabs>
        <w:spacing w:line="500" w:lineRule="exact"/>
        <w:ind w:left="0" w:firstLine="540"/>
        <w:rPr>
          <w:rFonts w:cs="宋体" w:asciiTheme="minorEastAsia" w:hAnsiTheme="minorEastAsia"/>
          <w:kern w:val="0"/>
          <w:szCs w:val="21"/>
        </w:rPr>
      </w:pPr>
      <w:r>
        <w:rPr>
          <w:rFonts w:hint="eastAsia" w:cs="宋体" w:asciiTheme="minorEastAsia" w:hAnsiTheme="minorEastAsia"/>
          <w:kern w:val="0"/>
          <w:szCs w:val="21"/>
        </w:rPr>
        <w:t>国家、河南省、许昌市现行有关工程的施工及验收规定、规程和标准</w:t>
      </w:r>
    </w:p>
    <w:p>
      <w:pPr>
        <w:numPr>
          <w:ilvl w:val="1"/>
          <w:numId w:val="25"/>
        </w:numPr>
        <w:tabs>
          <w:tab w:val="left" w:pos="0"/>
          <w:tab w:val="clear" w:pos="1200"/>
        </w:tabs>
        <w:spacing w:line="500" w:lineRule="exact"/>
        <w:ind w:left="0" w:firstLine="540"/>
        <w:rPr>
          <w:rFonts w:cs="宋体" w:asciiTheme="minorEastAsia" w:hAnsiTheme="minorEastAsia"/>
          <w:kern w:val="0"/>
          <w:szCs w:val="21"/>
        </w:rPr>
      </w:pPr>
      <w:r>
        <w:rPr>
          <w:rFonts w:hint="eastAsia" w:cs="宋体" w:asciiTheme="minorEastAsia" w:hAnsiTheme="minorEastAsia"/>
          <w:kern w:val="0"/>
          <w:szCs w:val="21"/>
        </w:rPr>
        <w:t>对不在规范验评范围内项目，执行设计院、制造厂家或发包人和承包人双方议定的补充技术标准及本标书的施工技术要求；</w:t>
      </w:r>
    </w:p>
    <w:p>
      <w:pPr>
        <w:numPr>
          <w:ilvl w:val="1"/>
          <w:numId w:val="25"/>
        </w:numPr>
        <w:tabs>
          <w:tab w:val="left" w:pos="0"/>
          <w:tab w:val="clear" w:pos="1200"/>
        </w:tabs>
        <w:spacing w:line="500" w:lineRule="exact"/>
        <w:ind w:left="0" w:firstLine="540"/>
        <w:rPr>
          <w:rFonts w:cs="宋体" w:asciiTheme="minorEastAsia" w:hAnsiTheme="minorEastAsia"/>
          <w:kern w:val="0"/>
          <w:szCs w:val="21"/>
        </w:rPr>
      </w:pPr>
      <w:r>
        <w:rPr>
          <w:rFonts w:hint="eastAsia" w:cs="宋体" w:asciiTheme="minorEastAsia" w:hAnsiTheme="minorEastAsia"/>
          <w:kern w:val="0"/>
          <w:szCs w:val="21"/>
        </w:rPr>
        <w:t>新材料、新工艺必须具有省级以上行业主管部门技术鉴定并须征得发包人和监理单位同意。</w:t>
      </w:r>
    </w:p>
    <w:p>
      <w:pPr>
        <w:pStyle w:val="14"/>
        <w:spacing w:line="500" w:lineRule="exact"/>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发包人提供标准、规范的时间: 无。</w:t>
      </w:r>
    </w:p>
    <w:p>
      <w:pPr>
        <w:pStyle w:val="14"/>
        <w:spacing w:line="500" w:lineRule="exact"/>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国内没有相应标准、规范时的约定: 由承包人提供并经发包人和设计单位认可后执行。</w:t>
      </w:r>
    </w:p>
    <w:p>
      <w:pPr>
        <w:pStyle w:val="14"/>
        <w:spacing w:line="500" w:lineRule="exact"/>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3、图纸</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3．1发包人向承包人提供图纸日期和套数: 合同约定。</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3. 2发包人对图纸的保密要求: 施工图纸应保密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3. 3使用国外图纸的要求及费用承担:  无  </w:t>
      </w:r>
    </w:p>
    <w:p>
      <w:pPr>
        <w:pStyle w:val="6"/>
        <w:spacing w:after="156" w:line="500" w:lineRule="exact"/>
        <w:rPr>
          <w:rFonts w:cs="宋体" w:asciiTheme="minorEastAsia" w:hAnsiTheme="minorEastAsia" w:eastAsiaTheme="minorEastAsia"/>
          <w:sz w:val="21"/>
          <w:szCs w:val="21"/>
          <w:lang w:val="en-US"/>
        </w:rPr>
      </w:pPr>
      <w:bookmarkStart w:id="9" w:name="_Toc326060506"/>
      <w:bookmarkStart w:id="10" w:name="_Toc357868215"/>
      <w:bookmarkStart w:id="11" w:name="_Toc355649943"/>
      <w:bookmarkStart w:id="12" w:name="_Toc356744035"/>
      <w:bookmarkStart w:id="13" w:name="_Toc354923120"/>
      <w:bookmarkStart w:id="14" w:name="_Toc354922981"/>
      <w:bookmarkStart w:id="15" w:name="_Toc354404030"/>
      <w:bookmarkStart w:id="16" w:name="_Toc364457260"/>
      <w:bookmarkStart w:id="17" w:name="_Toc329278150"/>
      <w:r>
        <w:rPr>
          <w:rFonts w:hint="eastAsia" w:cs="宋体" w:asciiTheme="minorEastAsia" w:hAnsiTheme="minorEastAsia" w:eastAsiaTheme="minorEastAsia"/>
          <w:sz w:val="21"/>
          <w:szCs w:val="21"/>
          <w:lang w:val="en-US"/>
        </w:rPr>
        <w:t>二、双方一般权利和义务</w:t>
      </w:r>
      <w:bookmarkEnd w:id="9"/>
      <w:bookmarkEnd w:id="10"/>
      <w:bookmarkEnd w:id="11"/>
      <w:bookmarkEnd w:id="12"/>
      <w:bookmarkEnd w:id="13"/>
      <w:bookmarkEnd w:id="14"/>
      <w:bookmarkEnd w:id="15"/>
      <w:bookmarkEnd w:id="16"/>
      <w:bookmarkEnd w:id="17"/>
    </w:p>
    <w:p>
      <w:pPr>
        <w:pStyle w:val="14"/>
        <w:spacing w:line="500" w:lineRule="exact"/>
        <w:ind w:firstLine="48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4．工程师</w:t>
      </w:r>
    </w:p>
    <w:p>
      <w:pPr>
        <w:pStyle w:val="14"/>
        <w:spacing w:line="500" w:lineRule="exact"/>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4．1监理单位委派的工程师</w:t>
      </w:r>
    </w:p>
    <w:p>
      <w:pPr>
        <w:pStyle w:val="14"/>
        <w:spacing w:line="500" w:lineRule="exact"/>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姓名：   (待定)      职务:    (待定)    </w:t>
      </w:r>
    </w:p>
    <w:p>
      <w:pPr>
        <w:pStyle w:val="60"/>
        <w:spacing w:line="500" w:lineRule="exact"/>
        <w:ind w:left="0" w:right="9" w:firstLine="420" w:firstLineChars="200"/>
        <w:rPr>
          <w:rFonts w:cs="宋体" w:asciiTheme="minorEastAsia" w:hAnsiTheme="minorEastAsia"/>
          <w:sz w:val="21"/>
          <w:szCs w:val="21"/>
        </w:rPr>
      </w:pPr>
      <w:r>
        <w:rPr>
          <w:rFonts w:hint="eastAsia" w:cs="宋体" w:asciiTheme="minorEastAsia" w:hAnsiTheme="minorEastAsia"/>
          <w:sz w:val="21"/>
          <w:szCs w:val="21"/>
        </w:rPr>
        <w:t>发包人委托的职权: 按《建设工程监理规范》(GB50319-2000)执行</w:t>
      </w:r>
    </w:p>
    <w:p>
      <w:pPr>
        <w:spacing w:line="500" w:lineRule="exact"/>
        <w:ind w:firstLine="480"/>
        <w:rPr>
          <w:rFonts w:cs="宋体" w:asciiTheme="minorEastAsia" w:hAnsiTheme="minorEastAsia"/>
          <w:kern w:val="0"/>
          <w:szCs w:val="21"/>
        </w:rPr>
      </w:pPr>
      <w:r>
        <w:rPr>
          <w:rFonts w:hint="eastAsia" w:cs="宋体" w:asciiTheme="minorEastAsia" w:hAnsiTheme="minorEastAsia"/>
          <w:kern w:val="0"/>
          <w:szCs w:val="21"/>
        </w:rPr>
        <w:t xml:space="preserve">需要取得发包人批准才能行使的职权：设计变更、发布开(停)工令、工期顺延签认、工程量及费用增减的签认、主要材料的确定、不称职技术(管理)人员撤换建议权、发包人认为须取得批准方可实施的其它重要事项等监理合同中赋予监理工程师的职权。 </w:t>
      </w:r>
    </w:p>
    <w:p>
      <w:pPr>
        <w:pStyle w:val="14"/>
        <w:spacing w:line="500" w:lineRule="exact"/>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4．2发包人派驻的工程师</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姓名：  (待定)         职务:   (待定)     </w:t>
      </w:r>
    </w:p>
    <w:p>
      <w:pPr>
        <w:spacing w:line="500" w:lineRule="exact"/>
        <w:ind w:firstLine="480"/>
        <w:rPr>
          <w:rFonts w:cs="宋体" w:asciiTheme="minorEastAsia" w:hAnsiTheme="minorEastAsia"/>
          <w:kern w:val="0"/>
          <w:szCs w:val="21"/>
        </w:rPr>
      </w:pPr>
      <w:r>
        <w:rPr>
          <w:rFonts w:hint="eastAsia" w:cs="宋体" w:asciiTheme="minorEastAsia" w:hAnsiTheme="minorEastAsia"/>
          <w:kern w:val="0"/>
          <w:szCs w:val="21"/>
        </w:rPr>
        <w:t>职权: 全权负责施工现场的管理和协调工作，并代表发包人对施工中所用材料(设备)的质量进行检验。</w:t>
      </w:r>
    </w:p>
    <w:p>
      <w:pPr>
        <w:pStyle w:val="14"/>
        <w:spacing w:line="500" w:lineRule="exact"/>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4．3不实行监理的，工程师的职权:  //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5．项目经理(建造师)</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姓名:  (中标项目经理/建造师)      职务:  (待定)  _</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6、发包人工作</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6．1发包人应按约定的时间和要求完成以下工作:</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(1)施工场地具备施工条件的要求及完成的时间： 合同签订后7日内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(2)将施工所需的水、电、电讯线路接至施工场地的时间、地点和供应要求：施工所需的水、电、电讯线路已经具备条件，施工中所产生的费用由承包人负担。</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(3)施工场地与道路的通道开通时间和要求: 已具备。</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(4)工程地质和地下管线资料的提供时间：合同签订日。</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(5)由发包人办理的施工所需证件、批件的名称和完成时间:  合同开工日期前，由承包方负责办理进场的相关手续，发包方配合。</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(6)水准点与坐标控制点交验要求：合同开工日期前7天。</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(7)图纸会审和设计交底时间: 合同开工日期前7天。 </w:t>
      </w:r>
    </w:p>
    <w:p>
      <w:pPr>
        <w:pStyle w:val="14"/>
        <w:spacing w:line="500" w:lineRule="exact"/>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    (8)双方约定发包人应做的其他工作：      无     </w:t>
      </w:r>
    </w:p>
    <w:p>
      <w:pPr>
        <w:pStyle w:val="14"/>
        <w:spacing w:line="500" w:lineRule="exact"/>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    6．2发包人委托承包人办理的工作：       无      </w:t>
      </w:r>
    </w:p>
    <w:p>
      <w:pPr>
        <w:pStyle w:val="14"/>
        <w:spacing w:line="500" w:lineRule="exact"/>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    7．承包人工作</w:t>
      </w:r>
    </w:p>
    <w:p>
      <w:pPr>
        <w:pStyle w:val="14"/>
        <w:spacing w:line="500" w:lineRule="exact"/>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           招标范围，具体有招标人与中标人协商                    。</w:t>
      </w:r>
    </w:p>
    <w:p>
      <w:pPr>
        <w:pStyle w:val="14"/>
        <w:spacing w:line="500" w:lineRule="exact"/>
        <w:ind w:left="338" w:leftChars="86" w:hanging="157" w:hangingChars="7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   7．1承包人应按约定时间和要求，完成以下工作:</w:t>
      </w:r>
    </w:p>
    <w:p>
      <w:pPr>
        <w:pStyle w:val="14"/>
        <w:numPr>
          <w:ilvl w:val="0"/>
          <w:numId w:val="26"/>
        </w:numPr>
        <w:tabs>
          <w:tab w:val="left" w:pos="900"/>
          <w:tab w:val="left" w:pos="1620"/>
        </w:tabs>
        <w:spacing w:line="500" w:lineRule="exact"/>
        <w:ind w:firstLine="454"/>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需自设计资质等级和业务范围允许的承包人完成的设计文件提交时间：          无      </w:t>
      </w:r>
    </w:p>
    <w:p>
      <w:pPr>
        <w:pStyle w:val="14"/>
        <w:numPr>
          <w:ilvl w:val="0"/>
          <w:numId w:val="26"/>
        </w:numPr>
        <w:tabs>
          <w:tab w:val="left" w:pos="900"/>
          <w:tab w:val="left" w:pos="1620"/>
        </w:tabs>
        <w:spacing w:line="500" w:lineRule="exact"/>
        <w:ind w:firstLine="454"/>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应提供计划、报表的名称及完成时间:</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开工前7日提交施工组织设计、总进度计划、施工机械和人员使用计划、主要材料供应计划。</w:t>
      </w:r>
    </w:p>
    <w:p>
      <w:pPr>
        <w:pStyle w:val="14"/>
        <w:numPr>
          <w:ilvl w:val="0"/>
          <w:numId w:val="26"/>
        </w:numPr>
        <w:tabs>
          <w:tab w:val="left" w:pos="900"/>
          <w:tab w:val="left" w:pos="1620"/>
        </w:tabs>
        <w:spacing w:line="500" w:lineRule="exact"/>
        <w:ind w:firstLine="454"/>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承担施工安全保卫工作及非夜间施工照明的责任和要求:设专职安全保卫人员和安全防护设施，负责施工现场安全保卫，费用自理。</w:t>
      </w:r>
    </w:p>
    <w:p>
      <w:pPr>
        <w:pStyle w:val="14"/>
        <w:numPr>
          <w:ilvl w:val="0"/>
          <w:numId w:val="26"/>
        </w:numPr>
        <w:tabs>
          <w:tab w:val="left" w:pos="900"/>
          <w:tab w:val="left" w:pos="1620"/>
        </w:tabs>
        <w:spacing w:line="500" w:lineRule="exact"/>
        <w:ind w:firstLine="454"/>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向发包人提供的办公和生活房屋及设施的要求:  无   </w:t>
      </w:r>
    </w:p>
    <w:p>
      <w:pPr>
        <w:pStyle w:val="14"/>
        <w:spacing w:line="500" w:lineRule="exact"/>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需承包人办理的有关施工场地交通、住建、环卫和施工噪音管理等手续: 按照国家、省、市、县有关规定执行。</w:t>
      </w:r>
    </w:p>
    <w:p>
      <w:pPr>
        <w:pStyle w:val="14"/>
        <w:numPr>
          <w:ilvl w:val="0"/>
          <w:numId w:val="26"/>
        </w:numPr>
        <w:tabs>
          <w:tab w:val="left" w:pos="900"/>
          <w:tab w:val="left" w:pos="1620"/>
        </w:tabs>
        <w:spacing w:line="500" w:lineRule="exact"/>
        <w:ind w:firstLine="454"/>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完工工程成品保护的特殊要求及费用承担:由承包人负责。</w:t>
      </w:r>
    </w:p>
    <w:p>
      <w:pPr>
        <w:pStyle w:val="14"/>
        <w:numPr>
          <w:ilvl w:val="0"/>
          <w:numId w:val="26"/>
        </w:numPr>
        <w:tabs>
          <w:tab w:val="left" w:pos="900"/>
          <w:tab w:val="left" w:pos="1620"/>
        </w:tabs>
        <w:spacing w:line="500" w:lineRule="exact"/>
        <w:ind w:firstLine="454"/>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施工场地周围地下管线和邻近建筑物、构筑物(含文物保护建筑)、古树名木的保护要求及费用承担: 按照按照国家、省、市有关规定和投标文件的有关承诺执行。由于承包人造成的一切损失由承包人承担。</w:t>
      </w:r>
    </w:p>
    <w:p>
      <w:pPr>
        <w:pStyle w:val="14"/>
        <w:numPr>
          <w:ilvl w:val="0"/>
          <w:numId w:val="26"/>
        </w:numPr>
        <w:tabs>
          <w:tab w:val="left" w:pos="900"/>
          <w:tab w:val="left" w:pos="1620"/>
        </w:tabs>
        <w:spacing w:line="500" w:lineRule="exact"/>
        <w:ind w:firstLine="454"/>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施工现场清洁卫生的要求：按通用条款，保证每日清理，符合当地有关文明施工的规定，费用由承包方承担。</w:t>
      </w:r>
    </w:p>
    <w:p>
      <w:pPr>
        <w:pStyle w:val="14"/>
        <w:spacing w:line="500" w:lineRule="exact"/>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(8)协调处理施工场地周围地下管线和邻近建筑物、构筑物(含文物保护建筑)、古树名木的保护工作: 场地周围地下管线和邻近建筑物、构筑物的保护工作由承包人负责并承担费用；文物保护建筑、古树名木的保护由施工单位负责，保护费用由承包人承担。</w:t>
      </w:r>
    </w:p>
    <w:p>
      <w:pPr>
        <w:pStyle w:val="14"/>
        <w:tabs>
          <w:tab w:val="left" w:pos="1620"/>
        </w:tabs>
        <w:spacing w:line="500" w:lineRule="exact"/>
        <w:ind w:firstLine="210" w:firstLineChars="1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(9)双方约定承包人应做的其他工作：① 投标文件中确定的项目部的成员必须坚守工作岗位，不得更换。对发包人提出的不合格的项目部工作人员，承包人必须及时更换，所更换人员的资质应不低于被更换人员。项目部组成人员的资格证书、岗位证书必须经过考核备案。② 投标人拟投入现场的施工机械设备必须满足施工要求，并保证及时到位，其主要设备应为承包人自己的设备。承包人投入现场的施工机械和设备必须经过检验或审验合格，并提交检验报告原件。③ 负责竣工资料的整理并完成向档案馆的归档工作。④ 本工程在施工过程中如存在多个单位同时作业，承包人必须顾全大局，相互协作，在人员、设备、工序、时间等方面密切配合，严格服从发包人和监理单位的协调指挥；承包人须积极协调单位工程内各分包人的施工，积极协调解决施工过程中存在的各类问题，确保工程顺利进行；承包人应处理好与相邻施工单位的施工接口关系，否则，发包人有权要求承包人整改或另行指定其他单位来完成相关配合工作，其发生的费用从承包人的工程进度款中扣除，并不需要承包人同意；承包人应始终采取各种合理的预防措施，保证正常的施工秩序，保证现场及第三人的财产和人身安全，若在施工现场发生的一切损失赔偿责任，由承包人承担。 </w:t>
      </w:r>
    </w:p>
    <w:p>
      <w:pPr>
        <w:pStyle w:val="14"/>
        <w:tabs>
          <w:tab w:val="left" w:pos="1620"/>
        </w:tabs>
        <w:spacing w:line="500" w:lineRule="exact"/>
        <w:ind w:firstLine="210" w:firstLineChars="1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(10)按计划完成施工任务。</w:t>
      </w:r>
    </w:p>
    <w:p>
      <w:pPr>
        <w:pStyle w:val="6"/>
        <w:spacing w:after="156" w:line="500" w:lineRule="exact"/>
        <w:rPr>
          <w:rFonts w:cs="宋体" w:asciiTheme="minorEastAsia" w:hAnsiTheme="minorEastAsia" w:eastAsiaTheme="minorEastAsia"/>
          <w:sz w:val="21"/>
          <w:szCs w:val="21"/>
          <w:lang w:val="en-US"/>
        </w:rPr>
      </w:pPr>
      <w:bookmarkStart w:id="18" w:name="_Toc356744036"/>
      <w:bookmarkStart w:id="19" w:name="_Toc354923121"/>
      <w:bookmarkStart w:id="20" w:name="_Toc354922982"/>
      <w:bookmarkStart w:id="21" w:name="_Toc357868216"/>
      <w:bookmarkStart w:id="22" w:name="_Toc364457261"/>
      <w:bookmarkStart w:id="23" w:name="_Toc326060507"/>
      <w:bookmarkStart w:id="24" w:name="_Toc329278151"/>
      <w:bookmarkStart w:id="25" w:name="_Toc354404031"/>
      <w:bookmarkStart w:id="26" w:name="_Toc355649944"/>
      <w:r>
        <w:rPr>
          <w:rFonts w:hint="eastAsia" w:cs="宋体" w:asciiTheme="minorEastAsia" w:hAnsiTheme="minorEastAsia" w:eastAsiaTheme="minorEastAsia"/>
          <w:sz w:val="21"/>
          <w:szCs w:val="21"/>
          <w:lang w:val="en-US"/>
        </w:rPr>
        <w:t>三、施工组织设计和工期</w:t>
      </w:r>
      <w:bookmarkEnd w:id="18"/>
      <w:bookmarkEnd w:id="19"/>
      <w:bookmarkEnd w:id="20"/>
      <w:bookmarkEnd w:id="21"/>
      <w:bookmarkEnd w:id="22"/>
      <w:bookmarkEnd w:id="23"/>
      <w:bookmarkEnd w:id="24"/>
      <w:bookmarkEnd w:id="25"/>
      <w:bookmarkEnd w:id="26"/>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8．进度计划</w:t>
      </w:r>
    </w:p>
    <w:p>
      <w:pPr>
        <w:pStyle w:val="14"/>
        <w:spacing w:line="500" w:lineRule="exact"/>
        <w:ind w:left="1012" w:leftChars="258" w:hanging="470" w:hangingChars="224"/>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8．1承包人提供施工组织设计(施工方案)和进度计划的时间：合同开工日期前7天。工程师确认的时间：7个工作日</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8.2群体工程中有关进度计划的要求：    无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8.3如发包人需要调整施工顺序时，承包人应无条件响应，额外发生的费用视为已包含在合同价内。</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9．工期延误</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9．1双方约定工期顺延的其他情况:1.重大设计变更和经监理工程师及发包人代表确认的情况。2.招标人提供的地下管网，地下构筑物等资料与现场实际情况不符而增加的工期；3.由于自然及社会因素造成的不可抗力原因而影响工程施工时。</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9.2由于承包人的原因造成工期延误，每延迟一天扣除工程款的     ‰。</w:t>
      </w:r>
    </w:p>
    <w:p>
      <w:pPr>
        <w:pStyle w:val="6"/>
        <w:spacing w:after="156" w:line="500" w:lineRule="exact"/>
        <w:rPr>
          <w:rFonts w:cs="宋体" w:asciiTheme="minorEastAsia" w:hAnsiTheme="minorEastAsia" w:eastAsiaTheme="minorEastAsia"/>
          <w:sz w:val="21"/>
          <w:szCs w:val="21"/>
          <w:lang w:val="en-US"/>
        </w:rPr>
      </w:pPr>
      <w:bookmarkStart w:id="27" w:name="_Toc364457262"/>
      <w:bookmarkStart w:id="28" w:name="_Toc356744037"/>
      <w:bookmarkStart w:id="29" w:name="_Toc354923122"/>
      <w:bookmarkStart w:id="30" w:name="_Toc355649945"/>
      <w:bookmarkStart w:id="31" w:name="_Toc357868217"/>
      <w:bookmarkStart w:id="32" w:name="_Toc354404032"/>
      <w:bookmarkStart w:id="33" w:name="_Toc329278152"/>
      <w:bookmarkStart w:id="34" w:name="_Toc326060508"/>
      <w:bookmarkStart w:id="35" w:name="_Toc354922983"/>
      <w:r>
        <w:rPr>
          <w:rFonts w:hint="eastAsia" w:cs="宋体" w:asciiTheme="minorEastAsia" w:hAnsiTheme="minorEastAsia" w:eastAsiaTheme="minorEastAsia"/>
          <w:sz w:val="21"/>
          <w:szCs w:val="21"/>
          <w:lang w:val="en-US"/>
        </w:rPr>
        <w:t>四、质量与验收</w:t>
      </w:r>
      <w:bookmarkEnd w:id="27"/>
      <w:bookmarkEnd w:id="28"/>
      <w:bookmarkEnd w:id="29"/>
      <w:bookmarkEnd w:id="30"/>
      <w:bookmarkEnd w:id="31"/>
      <w:bookmarkEnd w:id="32"/>
      <w:bookmarkEnd w:id="33"/>
      <w:bookmarkEnd w:id="34"/>
      <w:bookmarkEnd w:id="35"/>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10．隐蔽工程验收和执行规范及适用范围</w:t>
      </w:r>
    </w:p>
    <w:p>
      <w:pPr>
        <w:pStyle w:val="14"/>
        <w:numPr>
          <w:ilvl w:val="1"/>
          <w:numId w:val="27"/>
        </w:numPr>
        <w:spacing w:line="500" w:lineRule="exact"/>
        <w:ind w:hanging="27"/>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双方约定隐蔽工程验收部位：按照国家施工及验收规范要求的执行。</w:t>
      </w:r>
    </w:p>
    <w:p>
      <w:pPr>
        <w:spacing w:line="50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10.2 适用范围：使用于本项目工程施工。</w:t>
      </w:r>
    </w:p>
    <w:p>
      <w:pPr>
        <w:pStyle w:val="6"/>
        <w:spacing w:after="156" w:line="500" w:lineRule="exact"/>
        <w:rPr>
          <w:rFonts w:cs="宋体" w:asciiTheme="minorEastAsia" w:hAnsiTheme="minorEastAsia" w:eastAsiaTheme="minorEastAsia"/>
          <w:sz w:val="21"/>
          <w:szCs w:val="21"/>
          <w:lang w:val="en-US"/>
        </w:rPr>
      </w:pPr>
      <w:bookmarkStart w:id="36" w:name="_Toc354404033"/>
      <w:bookmarkStart w:id="37" w:name="_Toc354922984"/>
      <w:bookmarkStart w:id="38" w:name="_Toc355649946"/>
      <w:bookmarkStart w:id="39" w:name="_Toc357868218"/>
      <w:bookmarkStart w:id="40" w:name="_Toc356744038"/>
      <w:bookmarkStart w:id="41" w:name="_Toc326060509"/>
      <w:bookmarkStart w:id="42" w:name="_Toc329278153"/>
      <w:bookmarkStart w:id="43" w:name="_Toc354923123"/>
      <w:bookmarkStart w:id="44" w:name="_Toc364457263"/>
      <w:r>
        <w:rPr>
          <w:rFonts w:hint="eastAsia" w:cs="宋体" w:asciiTheme="minorEastAsia" w:hAnsiTheme="minorEastAsia" w:eastAsiaTheme="minorEastAsia"/>
          <w:sz w:val="21"/>
          <w:szCs w:val="21"/>
          <w:lang w:val="en-US"/>
        </w:rPr>
        <w:t>五、安全施工</w:t>
      </w:r>
      <w:bookmarkEnd w:id="36"/>
      <w:bookmarkEnd w:id="37"/>
      <w:bookmarkEnd w:id="38"/>
      <w:bookmarkEnd w:id="39"/>
      <w:bookmarkEnd w:id="40"/>
      <w:bookmarkEnd w:id="41"/>
      <w:bookmarkEnd w:id="42"/>
      <w:bookmarkEnd w:id="43"/>
      <w:bookmarkEnd w:id="44"/>
    </w:p>
    <w:p>
      <w:pPr>
        <w:pStyle w:val="14"/>
        <w:spacing w:line="500" w:lineRule="exact"/>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按合同文本通用条款执行</w:t>
      </w:r>
    </w:p>
    <w:p>
      <w:pPr>
        <w:pStyle w:val="6"/>
        <w:spacing w:after="156" w:line="500" w:lineRule="exact"/>
        <w:rPr>
          <w:rFonts w:cs="宋体" w:asciiTheme="minorEastAsia" w:hAnsiTheme="minorEastAsia" w:eastAsiaTheme="minorEastAsia"/>
          <w:sz w:val="21"/>
          <w:szCs w:val="21"/>
          <w:lang w:val="en-US"/>
        </w:rPr>
      </w:pPr>
      <w:bookmarkStart w:id="45" w:name="_Toc356744039"/>
      <w:bookmarkStart w:id="46" w:name="_Toc354922985"/>
      <w:bookmarkStart w:id="47" w:name="_Toc364457264"/>
      <w:bookmarkStart w:id="48" w:name="_Toc355649947"/>
      <w:bookmarkStart w:id="49" w:name="_Toc354404034"/>
      <w:bookmarkStart w:id="50" w:name="_Toc329278154"/>
      <w:bookmarkStart w:id="51" w:name="_Toc326060510"/>
      <w:bookmarkStart w:id="52" w:name="_Toc354923124"/>
      <w:bookmarkStart w:id="53" w:name="_Toc357868219"/>
      <w:r>
        <w:rPr>
          <w:rFonts w:hint="eastAsia" w:cs="宋体" w:asciiTheme="minorEastAsia" w:hAnsiTheme="minorEastAsia" w:eastAsiaTheme="minorEastAsia"/>
          <w:sz w:val="21"/>
          <w:szCs w:val="21"/>
          <w:lang w:val="en-US"/>
        </w:rPr>
        <w:t>六、合同价款与支付</w:t>
      </w:r>
      <w:bookmarkEnd w:id="45"/>
      <w:bookmarkEnd w:id="46"/>
      <w:bookmarkEnd w:id="47"/>
      <w:bookmarkEnd w:id="48"/>
      <w:bookmarkEnd w:id="49"/>
      <w:bookmarkEnd w:id="50"/>
      <w:bookmarkEnd w:id="51"/>
      <w:bookmarkEnd w:id="52"/>
      <w:bookmarkEnd w:id="53"/>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11．合同价款及调整</w:t>
      </w:r>
    </w:p>
    <w:p>
      <w:pPr>
        <w:pStyle w:val="14"/>
        <w:spacing w:line="360" w:lineRule="auto"/>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11．1本合同价款采用  固定单价  方式确定。措施费用、其他费用中的总包服务费及承包人为施工便利做出的变更及洽商产生的费用不得调整。实际发生的分部分项工程的工程量与招标文件及答疑提供的相应清单工程量增减工程量清单按实核增核减。</w:t>
      </w:r>
    </w:p>
    <w:p>
      <w:pPr>
        <w:pStyle w:val="14"/>
        <w:spacing w:line="360" w:lineRule="auto"/>
        <w:ind w:firstLine="525" w:firstLineChars="25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当发生下列情况时，合同价可作调整：</w:t>
      </w:r>
    </w:p>
    <w:p>
      <w:pPr>
        <w:pStyle w:val="14"/>
        <w:numPr>
          <w:ilvl w:val="2"/>
          <w:numId w:val="28"/>
        </w:numPr>
        <w:spacing w:line="360" w:lineRule="auto"/>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发包人相应部门签证后报主管领导批准后的工程变更及工程洽商；</w:t>
      </w:r>
    </w:p>
    <w:p>
      <w:pPr>
        <w:pStyle w:val="14"/>
        <w:numPr>
          <w:ilvl w:val="2"/>
          <w:numId w:val="28"/>
        </w:numPr>
        <w:spacing w:line="360" w:lineRule="auto"/>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暂估价项目、暂估材料设备及发包人指定的产品价在实际发生前由发包人认可后，按实际发生予以调整，仅计取税金；</w:t>
      </w:r>
    </w:p>
    <w:p>
      <w:pPr>
        <w:pStyle w:val="14"/>
        <w:numPr>
          <w:ilvl w:val="2"/>
          <w:numId w:val="28"/>
        </w:numPr>
        <w:spacing w:line="360" w:lineRule="auto"/>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发包人提供的地下管网、地下构筑物等资料与现场实际情况不符，而引起的工程处理费用增加，据实调整；</w:t>
      </w:r>
    </w:p>
    <w:p>
      <w:pPr>
        <w:pStyle w:val="14"/>
        <w:numPr>
          <w:ilvl w:val="2"/>
          <w:numId w:val="28"/>
        </w:numPr>
        <w:spacing w:line="360" w:lineRule="auto"/>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法律、行政法规和国家有关政策变化影响合同价款。</w:t>
      </w:r>
    </w:p>
    <w:p>
      <w:pPr>
        <w:pStyle w:val="14"/>
        <w:spacing w:line="360" w:lineRule="auto"/>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 11．2合同价款调整原则及方法：</w:t>
      </w:r>
    </w:p>
    <w:p>
      <w:pPr>
        <w:numPr>
          <w:ilvl w:val="0"/>
          <w:numId w:val="29"/>
        </w:numPr>
        <w:spacing w:line="50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增减工程量清单按11.1执行；</w:t>
      </w:r>
    </w:p>
    <w:p>
      <w:pPr>
        <w:numPr>
          <w:ilvl w:val="0"/>
          <w:numId w:val="29"/>
        </w:numPr>
        <w:spacing w:line="50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除专用合同条款应有约定外，因变更引起的价格调整按照本款约定处理：①已标价工程量清单中有适用于变更工作的子目的，采用该子目的单价；②已标价工程量清单中无适用于变更工作的子目的，但有类似子目的，可在合理范围内参照类似子目的单价，由监理人与承包人商定变更工作的单价后，报发包人审核批准(发包人批准前应由造价部门出具审核意见)；③已标价工程量清单中无适用或类似子目的单价，即新增项目，参照省定额站颁布的施工期间的定额、费用标准、价格信息，由监理人与承包人商定变更工作的单价后，报发包人审核批准(发包人批准前应由造价部门出具审核意见)。以上价格调整均应考虑承包人中标价与投标总价相比的优惠率，以及不予计取的措施费用。</w:t>
      </w:r>
    </w:p>
    <w:p>
      <w:pPr>
        <w:numPr>
          <w:ilvl w:val="0"/>
          <w:numId w:val="29"/>
        </w:numPr>
        <w:spacing w:line="50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材料变更时价格确定：①承包人在投标文件中价格明细表已有的材料，按承包人材料价格明细所列的材料单价计算(风险范围以外的，按(5)款确定)；②承包人材料价格明细表中没有的材料，参照许昌市造价办发布的《许昌市建设工程材料基准价格信息》在施工期间发布的材料单价计算；③许昌市造价办发布的《许昌市建设工程材料基准价格信息》没有公布的材料，由承包人提出适当的价格，经发包人确认签字后，予以认可。</w:t>
      </w:r>
    </w:p>
    <w:p>
      <w:pPr>
        <w:pStyle w:val="61"/>
        <w:spacing w:line="500" w:lineRule="exact"/>
        <w:rPr>
          <w:rFonts w:cs="宋体" w:asciiTheme="minorEastAsia" w:hAnsiTheme="minorEastAsia"/>
          <w:sz w:val="21"/>
        </w:rPr>
      </w:pPr>
      <w:r>
        <w:rPr>
          <w:rFonts w:hint="eastAsia" w:cs="宋体" w:asciiTheme="minorEastAsia" w:hAnsiTheme="minorEastAsia"/>
          <w:sz w:val="21"/>
        </w:rPr>
        <w:t>11．3双方约定合同价款的其他调整因素: 双方协商解决。</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12．工程付款</w:t>
      </w:r>
    </w:p>
    <w:p>
      <w:pPr>
        <w:pStyle w:val="14"/>
        <w:spacing w:line="500" w:lineRule="exact"/>
        <w:ind w:firstLine="525" w:firstLineChars="25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12．1工程款的支付方式：采取银行转帐结算的形式，由项目所属单位支付；</w:t>
      </w:r>
    </w:p>
    <w:p>
      <w:pPr>
        <w:pStyle w:val="14"/>
        <w:spacing w:line="500" w:lineRule="exact"/>
        <w:ind w:firstLine="525" w:firstLineChars="25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12．2设计变更和现场经济签证引起的费用在拨付进度款时暂不予考虑。</w:t>
      </w:r>
    </w:p>
    <w:p>
      <w:pPr>
        <w:pStyle w:val="14"/>
        <w:spacing w:line="500" w:lineRule="exact"/>
        <w:ind w:firstLine="577" w:firstLineChars="27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12．3双方约定的工程款(进度款)支付方式： 工程竣工验收之前，可申请已完成工程量的80% ；竣工验收完成后支付至总合同价的80%，在决算报告通过审计后支付至审定金额的95%；剩余5%做为质量保证金，待质保期满后支付。</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13.工程量增减</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因发包人或设计单位提出的设计变更，导致工程内容的任何变化，承包人均须无条件先执行，其工程量增减按实计算、综合单价按本合同专用条款有关规定执行。</w:t>
      </w:r>
    </w:p>
    <w:p>
      <w:pPr>
        <w:spacing w:line="500" w:lineRule="exact"/>
        <w:ind w:firstLine="499" w:firstLineChars="238"/>
        <w:rPr>
          <w:rFonts w:cs="宋体" w:asciiTheme="minorEastAsia" w:hAnsiTheme="minorEastAsia"/>
          <w:kern w:val="0"/>
          <w:szCs w:val="21"/>
        </w:rPr>
      </w:pPr>
      <w:r>
        <w:rPr>
          <w:rFonts w:hint="eastAsia" w:cs="宋体" w:asciiTheme="minorEastAsia" w:hAnsiTheme="minorEastAsia"/>
          <w:kern w:val="0"/>
          <w:szCs w:val="21"/>
        </w:rPr>
        <w:t>14. 投标报价</w:t>
      </w:r>
    </w:p>
    <w:p>
      <w:pPr>
        <w:spacing w:line="500" w:lineRule="exact"/>
        <w:ind w:firstLine="454"/>
        <w:rPr>
          <w:rFonts w:cs="宋体" w:asciiTheme="minorEastAsia" w:hAnsiTheme="minorEastAsia"/>
          <w:kern w:val="0"/>
          <w:szCs w:val="21"/>
        </w:rPr>
      </w:pPr>
      <w:r>
        <w:rPr>
          <w:rFonts w:hint="eastAsia" w:cs="宋体" w:asciiTheme="minorEastAsia" w:hAnsiTheme="minorEastAsia"/>
          <w:kern w:val="0"/>
          <w:szCs w:val="21"/>
        </w:rPr>
        <w:t>14.1 投标报价应包括招标文件所确定的招标范围内相应图纸的全部内容，以及为完成上述内容所必须的临时工程、材料、劳务及所需的全部费用；</w:t>
      </w:r>
    </w:p>
    <w:p>
      <w:pPr>
        <w:spacing w:line="50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14.2 投标人应充分考虑施工期间政策和价格风险，以及所有根据合同或其它原因应由投标人支付的税金和其它应交纳的费用一并计入总报价，中标后不作调整；</w:t>
      </w:r>
    </w:p>
    <w:p>
      <w:pPr>
        <w:adjustRightInd w:val="0"/>
        <w:spacing w:line="500" w:lineRule="exact"/>
        <w:rPr>
          <w:rFonts w:cs="宋体" w:asciiTheme="minorEastAsia" w:hAnsiTheme="minorEastAsia"/>
          <w:kern w:val="0"/>
          <w:szCs w:val="21"/>
        </w:rPr>
      </w:pPr>
      <w:r>
        <w:rPr>
          <w:rFonts w:hint="eastAsia" w:cs="宋体" w:asciiTheme="minorEastAsia" w:hAnsiTheme="minorEastAsia"/>
          <w:kern w:val="0"/>
          <w:szCs w:val="21"/>
        </w:rPr>
        <w:t xml:space="preserve">    14.3 投标人只能提出一个不变价格，招标人不接受任何选择价。</w:t>
      </w:r>
    </w:p>
    <w:p>
      <w:pPr>
        <w:pStyle w:val="6"/>
        <w:spacing w:after="156" w:line="500" w:lineRule="exact"/>
        <w:rPr>
          <w:rFonts w:cs="宋体" w:asciiTheme="minorEastAsia" w:hAnsiTheme="minorEastAsia" w:eastAsiaTheme="minorEastAsia"/>
          <w:sz w:val="21"/>
          <w:szCs w:val="21"/>
          <w:lang w:val="en-US"/>
        </w:rPr>
      </w:pPr>
      <w:bookmarkStart w:id="54" w:name="_Toc329278155"/>
      <w:bookmarkStart w:id="55" w:name="_Toc354404035"/>
      <w:bookmarkStart w:id="56" w:name="_Toc356744040"/>
      <w:bookmarkStart w:id="57" w:name="_Toc355649948"/>
      <w:bookmarkStart w:id="58" w:name="_Toc357868220"/>
      <w:bookmarkStart w:id="59" w:name="_Toc354923125"/>
      <w:bookmarkStart w:id="60" w:name="_Toc364457265"/>
      <w:bookmarkStart w:id="61" w:name="_Toc326060511"/>
      <w:bookmarkStart w:id="62" w:name="_Toc354922986"/>
      <w:r>
        <w:rPr>
          <w:rFonts w:hint="eastAsia" w:cs="宋体" w:asciiTheme="minorEastAsia" w:hAnsiTheme="minorEastAsia" w:eastAsiaTheme="minorEastAsia"/>
          <w:sz w:val="21"/>
          <w:szCs w:val="21"/>
          <w:lang w:val="en-US"/>
        </w:rPr>
        <w:t>七、竣工验收与结算</w:t>
      </w:r>
      <w:bookmarkEnd w:id="54"/>
      <w:bookmarkEnd w:id="55"/>
      <w:bookmarkEnd w:id="56"/>
      <w:bookmarkEnd w:id="57"/>
      <w:bookmarkEnd w:id="58"/>
      <w:bookmarkEnd w:id="59"/>
      <w:bookmarkEnd w:id="60"/>
      <w:bookmarkEnd w:id="61"/>
      <w:bookmarkEnd w:id="62"/>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15．竣工验收</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15．1承包人提供竣工图的约定：        (待定)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                                     //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15．2中间交工工程的范围和竣工时间：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15．3竣工结算：审减金额超过报审金额10%时，超过部分审计费用由施工单位承担，并承担一定的违约责任。</w:t>
      </w:r>
    </w:p>
    <w:p>
      <w:pPr>
        <w:pStyle w:val="14"/>
        <w:spacing w:line="500" w:lineRule="exact"/>
        <w:ind w:firstLine="472" w:firstLineChars="225"/>
        <w:rPr>
          <w:rFonts w:cs="宋体" w:asciiTheme="minorEastAsia" w:hAnsiTheme="minorEastAsia" w:eastAsiaTheme="minorEastAsia"/>
          <w:kern w:val="0"/>
          <w:sz w:val="21"/>
          <w:szCs w:val="21"/>
        </w:rPr>
      </w:pPr>
    </w:p>
    <w:p>
      <w:pPr>
        <w:pStyle w:val="6"/>
        <w:spacing w:after="156" w:line="500" w:lineRule="exact"/>
        <w:rPr>
          <w:rFonts w:cs="宋体" w:asciiTheme="minorEastAsia" w:hAnsiTheme="minorEastAsia" w:eastAsiaTheme="minorEastAsia"/>
          <w:sz w:val="21"/>
          <w:szCs w:val="21"/>
          <w:lang w:val="en-US"/>
        </w:rPr>
      </w:pPr>
      <w:bookmarkStart w:id="63" w:name="_Toc364457266"/>
      <w:bookmarkStart w:id="64" w:name="_Toc329278156"/>
      <w:bookmarkStart w:id="65" w:name="_Toc354922987"/>
      <w:bookmarkStart w:id="66" w:name="_Toc357868221"/>
      <w:bookmarkStart w:id="67" w:name="_Toc354923126"/>
      <w:bookmarkStart w:id="68" w:name="_Toc326060512"/>
      <w:bookmarkStart w:id="69" w:name="_Toc356744041"/>
      <w:bookmarkStart w:id="70" w:name="_Toc354404036"/>
      <w:bookmarkStart w:id="71" w:name="_Toc355649949"/>
      <w:r>
        <w:rPr>
          <w:rFonts w:hint="eastAsia" w:cs="宋体" w:asciiTheme="minorEastAsia" w:hAnsiTheme="minorEastAsia" w:eastAsiaTheme="minorEastAsia"/>
          <w:sz w:val="21"/>
          <w:szCs w:val="21"/>
          <w:lang w:val="en-US"/>
        </w:rPr>
        <w:t>八、违约、索赔和争议</w:t>
      </w:r>
      <w:bookmarkEnd w:id="63"/>
      <w:bookmarkEnd w:id="64"/>
      <w:bookmarkEnd w:id="65"/>
      <w:bookmarkEnd w:id="66"/>
      <w:bookmarkEnd w:id="67"/>
      <w:bookmarkEnd w:id="68"/>
      <w:bookmarkEnd w:id="69"/>
      <w:bookmarkEnd w:id="70"/>
      <w:bookmarkEnd w:id="71"/>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16．违约</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16．1本合同中关于发包人违约的具体责任如下，</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本合同通用条款第24条约定发包人违约应承担的违约责任：甲方根据实际情况决定采取处罚措施。</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本合同通用条款第26.4款约定发包人违约应承担的违约责任:     //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本合同通用条款第33.3款约定发包人违约应承担的违约责任:     //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双方约定的发包人其他违约责任: 见补充条款。</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16．2本合同中关于承包人违约的具体责任如下:</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本合同通用条款第14.2款约定承包人违约承担的违约责任:  (待定)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本合同通用条款第15.1款约定承包人违约应承担的违约责任:  (待定)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双方约定的承包人其他违约责任:   (待定)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17．争议</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17．1双方约定，在履行合同过程中产生争议时:</w:t>
      </w:r>
    </w:p>
    <w:p>
      <w:pPr>
        <w:pStyle w:val="14"/>
        <w:numPr>
          <w:ilvl w:val="0"/>
          <w:numId w:val="30"/>
        </w:numPr>
        <w:spacing w:line="500" w:lineRule="exact"/>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双方本着友好协商方式解决。</w:t>
      </w:r>
    </w:p>
    <w:p>
      <w:pPr>
        <w:pStyle w:val="14"/>
        <w:numPr>
          <w:ilvl w:val="0"/>
          <w:numId w:val="30"/>
        </w:numPr>
        <w:spacing w:line="500" w:lineRule="exact"/>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协商不成的，向  工程所在地  人民法院提起诉讼。</w:t>
      </w:r>
    </w:p>
    <w:p>
      <w:pPr>
        <w:pStyle w:val="6"/>
        <w:spacing w:after="156" w:line="500" w:lineRule="exact"/>
        <w:rPr>
          <w:rFonts w:cs="宋体" w:asciiTheme="minorEastAsia" w:hAnsiTheme="minorEastAsia" w:eastAsiaTheme="minorEastAsia"/>
          <w:sz w:val="21"/>
          <w:szCs w:val="21"/>
          <w:lang w:val="en-US"/>
        </w:rPr>
      </w:pPr>
      <w:bookmarkStart w:id="72" w:name="_Toc354923127"/>
      <w:bookmarkStart w:id="73" w:name="_Toc326060513"/>
      <w:bookmarkStart w:id="74" w:name="_Toc357868222"/>
      <w:bookmarkStart w:id="75" w:name="_Toc364457267"/>
      <w:bookmarkStart w:id="76" w:name="_Toc354922988"/>
      <w:bookmarkStart w:id="77" w:name="_Toc329278157"/>
      <w:bookmarkStart w:id="78" w:name="_Toc356744042"/>
      <w:bookmarkStart w:id="79" w:name="_Toc355649950"/>
      <w:bookmarkStart w:id="80" w:name="_Toc354404037"/>
      <w:r>
        <w:rPr>
          <w:rFonts w:hint="eastAsia" w:cs="宋体" w:asciiTheme="minorEastAsia" w:hAnsiTheme="minorEastAsia" w:eastAsiaTheme="minorEastAsia"/>
          <w:sz w:val="21"/>
          <w:szCs w:val="21"/>
          <w:lang w:val="en-US"/>
        </w:rPr>
        <w:t>九、其他</w:t>
      </w:r>
      <w:bookmarkEnd w:id="72"/>
      <w:bookmarkEnd w:id="73"/>
      <w:bookmarkEnd w:id="74"/>
      <w:bookmarkEnd w:id="75"/>
      <w:bookmarkEnd w:id="76"/>
      <w:bookmarkEnd w:id="77"/>
      <w:bookmarkEnd w:id="78"/>
      <w:bookmarkEnd w:id="79"/>
      <w:bookmarkEnd w:id="80"/>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18．工程分包</w:t>
      </w:r>
    </w:p>
    <w:p>
      <w:pPr>
        <w:pStyle w:val="11"/>
        <w:spacing w:line="500" w:lineRule="exact"/>
        <w:ind w:firstLine="472" w:firstLineChars="225"/>
        <w:rPr>
          <w:rFonts w:cs="宋体" w:asciiTheme="minorEastAsia" w:hAnsiTheme="minorEastAsia"/>
          <w:sz w:val="21"/>
          <w:szCs w:val="21"/>
        </w:rPr>
      </w:pPr>
      <w:r>
        <w:rPr>
          <w:rFonts w:hint="eastAsia" w:cs="宋体" w:asciiTheme="minorEastAsia" w:hAnsiTheme="minorEastAsia"/>
          <w:sz w:val="21"/>
          <w:szCs w:val="21"/>
        </w:rPr>
        <w:t>18．1本工程主体工程不允许分包。其他配套专业若确需分包，分包商须经得发包人同意。</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19．不可抗力</w:t>
      </w:r>
    </w:p>
    <w:p>
      <w:pPr>
        <w:pStyle w:val="11"/>
        <w:spacing w:line="500" w:lineRule="exact"/>
        <w:ind w:firstLine="472" w:firstLineChars="225"/>
        <w:rPr>
          <w:rFonts w:cs="宋体" w:asciiTheme="minorEastAsia" w:hAnsiTheme="minorEastAsia"/>
          <w:sz w:val="21"/>
          <w:szCs w:val="21"/>
        </w:rPr>
      </w:pPr>
      <w:r>
        <w:rPr>
          <w:rFonts w:hint="eastAsia" w:cs="宋体" w:asciiTheme="minorEastAsia" w:hAnsiTheme="minorEastAsia"/>
          <w:sz w:val="21"/>
          <w:szCs w:val="21"/>
        </w:rPr>
        <w:t xml:space="preserve">19．1双方关于不可抗力的约定:  所发生的工期相应顺延，但涉及的费用根据国家有关规定由双方分担。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20．保险</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20．1本工程双方约定投保内容如下:</w:t>
      </w:r>
    </w:p>
    <w:p>
      <w:pPr>
        <w:pStyle w:val="14"/>
        <w:spacing w:line="500" w:lineRule="exact"/>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(l)发包人投保内容:      无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发包人委托承包人办理的保险事项:    无          </w:t>
      </w:r>
    </w:p>
    <w:p>
      <w:pPr>
        <w:pStyle w:val="14"/>
        <w:spacing w:line="500" w:lineRule="exact"/>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    (2)承包人投保内容:       无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21．担保</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21．1本工程双方约定担保事项如下:</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(l)发包人向承包人提供履约担保，担保方式为:    (待定)     担保合同作为本合同附件。</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(2)承包人向发包人提供履约担保，担保方式为:   中标人在接到中标通知书后10日内，按中标价的5%交纳履约保证金，以转账或电汇交纳至到招标人指定账户。    </w:t>
      </w:r>
    </w:p>
    <w:p>
      <w:pPr>
        <w:pStyle w:val="14"/>
        <w:spacing w:line="500" w:lineRule="exact"/>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    (3)双方约定的其他担保事项:               (待定)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22．合同份数</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22．1双方约定合同副本份数:正本2份，副本4份</w:t>
      </w:r>
    </w:p>
    <w:p>
      <w:pPr>
        <w:pStyle w:val="14"/>
        <w:spacing w:line="500" w:lineRule="exact"/>
        <w:ind w:firstLine="470" w:firstLineChars="224"/>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23．补充条款</w:t>
      </w:r>
    </w:p>
    <w:p>
      <w:pPr>
        <w:pStyle w:val="14"/>
        <w:spacing w:line="500" w:lineRule="exact"/>
        <w:ind w:firstLine="48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审减金额超过报审金额10%时，超过部分审计费用由施工单位承担，并承担一定的违约责任。</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24．其他未尽事宜由双方协商后确定：</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(1)若承包方未达到双方约定的工程质量要求，承担其由此产生的一切责任。</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(2)经甲乙双方签字盖章后方可生效。</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p>
    <w:p>
      <w:pPr>
        <w:spacing w:line="360" w:lineRule="auto"/>
        <w:jc w:val="center"/>
        <w:outlineLvl w:val="1"/>
        <w:rPr>
          <w:rFonts w:cs="宋体" w:asciiTheme="minorEastAsia" w:hAnsiTheme="minorEastAsia"/>
          <w:kern w:val="0"/>
          <w:szCs w:val="21"/>
        </w:rPr>
      </w:pPr>
      <w:r>
        <w:rPr>
          <w:rFonts w:hint="eastAsia" w:cs="宋体" w:asciiTheme="minorEastAsia" w:hAnsiTheme="minorEastAsia"/>
          <w:kern w:val="0"/>
          <w:szCs w:val="21"/>
        </w:rPr>
        <w:br w:type="page"/>
      </w:r>
    </w:p>
    <w:p>
      <w:pPr>
        <w:spacing w:line="440" w:lineRule="exact"/>
        <w:ind w:firstLine="482" w:firstLineChars="200"/>
        <w:jc w:val="center"/>
        <w:rPr>
          <w:rFonts w:ascii="仿宋" w:hAnsi="仿宋" w:eastAsia="仿宋"/>
          <w:b/>
          <w:sz w:val="24"/>
          <w:szCs w:val="24"/>
        </w:rPr>
      </w:pPr>
      <w:r>
        <w:rPr>
          <w:rFonts w:hint="eastAsia" w:ascii="仿宋" w:hAnsi="仿宋" w:eastAsia="仿宋"/>
          <w:b/>
          <w:sz w:val="24"/>
          <w:szCs w:val="24"/>
        </w:rPr>
        <w:t>合同协议书</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 xml:space="preserve">                     (发包人名称，以下简称“发包人” )为实施           (项目名称)，己接受                  (承包人名称，以下简称“承包人” )对该项目工程施工的投标。发包人和承包人共同达成如下协议。</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1．本协议书与下列文件一起构成合同文件：</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(l)中标通知书；</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(2)投标函及投标函附录；</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(3)专用合同条款；</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(4)通用合同条款；</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(5)技术标准和要求；</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(6) 已标价的工程量清单；</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(7)图纸；</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(8)其他合同文件。</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2．上述文件互相补充和解释，如有不明确或不一致之处，以合同约定次序在先者为准。</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3．签约合同价：人民币(大写)                元(￥              )。</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 xml:space="preserve">4．承包人项目经理(建造师)：                     </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5．工程质量符合                     标准。</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6．承包人承诺按合同约定承担工程的实施、完成及缺陷修复。</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7．发包人承诺按合同约定的条件、时间和方式向承包人支付合同价款。</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8．承包人应按照监理人指示开工，工期为      日历天。</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9．本协议书一式     份，合同双方各执      份。</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10.双方签字盖章后生效。</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11．合同未尽事宜，双方另行签订补充协议。补充协议是合同的组成部分。</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 xml:space="preserve">发包人：             (单位盖章)             </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 xml:space="preserve">法定代表人或其委托代理人：     (签字)     </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 xml:space="preserve">承包人：             (单位盖章)           </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 xml:space="preserve">法定代表人或其委托代理人：     (签字)     </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 xml:space="preserve">  </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p>
    <w:p>
      <w:pPr>
        <w:pStyle w:val="14"/>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黑体" w:asciiTheme="minorEastAsia" w:hAnsiTheme="minorEastAsia"/>
          <w:b/>
          <w:bCs/>
          <w:sz w:val="44"/>
          <w:szCs w:val="44"/>
          <w:lang w:val="zh-CN"/>
        </w:rPr>
      </w:pPr>
      <w:r>
        <w:rPr>
          <w:rFonts w:hint="eastAsia" w:cs="宋体" w:asciiTheme="majorEastAsia" w:hAnsiTheme="majorEastAsia" w:eastAsiaTheme="majorEastAsia"/>
          <w:b/>
          <w:kern w:val="0"/>
          <w:sz w:val="32"/>
          <w:szCs w:val="32"/>
        </w:rPr>
        <w:t>第八章 响应文件有关格式</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54"/>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r>
        <w:rPr>
          <w:rFonts w:hint="eastAsia" w:cs="黑体" w:asciiTheme="minorEastAsia" w:hAnsiTheme="minorEastAsia" w:eastAsiaTheme="minorEastAsia"/>
          <w:color w:val="auto"/>
          <w:kern w:val="2"/>
          <w:sz w:val="28"/>
          <w:szCs w:val="28"/>
          <w:lang w:val="zh-CN"/>
        </w:rPr>
        <w:t>一、投标人应答索引表</w:t>
      </w:r>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3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3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3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供应商相关承诺函或声明</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供应商须具备的特殊资质证书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谈判承诺函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供应商与参加本项目投标的其他供应商之间，单位负责人不为同一人并且不存在直接控股、管理关系承诺函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4"/>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注：①本表序号8请按照本谈判文件 “第六章资格审查与评审”资格审查表中序号3要求，根据所提供经审计财务报告、基本开户银行资信证明、银行资信证明、政府采购投标担保函情况填写其中一项即可。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②本表序号10请按照本谈判文件 “第六章资格审查与评审”资格审查表中序号6要求提供，根据所提供证明材料或承诺函（声明）情况填写其中一项即可。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二、第一次报价一览表</w:t>
      </w:r>
    </w:p>
    <w:p>
      <w:pPr>
        <w:pStyle w:val="14"/>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日期：年月日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2、如谈判公告明确项目交付日期以年为单位，本表应填写完成该项目的年限。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4"/>
        <w:spacing w:line="360" w:lineRule="auto"/>
        <w:rPr>
          <w:rFonts w:asciiTheme="majorEastAsia" w:hAnsiTheme="majorEastAsia" w:eastAsiaTheme="majorEastAsia"/>
          <w:b/>
          <w:snapToGrid w:val="0"/>
          <w:kern w:val="0"/>
          <w:szCs w:val="24"/>
        </w:rPr>
      </w:pPr>
    </w:p>
    <w:p>
      <w:pPr>
        <w:pStyle w:val="14"/>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4"/>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_（项目名称、招标编号）采购的竞争性谈判公告及谈判邀请，_______（姓名和职务）被正式授权并代表供应商（供应商名称、地址）提交。</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我方确认收到贵方提供的（项目名称、招标编号）谈判文件的全部内容。</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hint="eastAsia" w:asciiTheme="minorEastAsia" w:hAnsiTheme="minorEastAsia" w:eastAsiaTheme="minorEastAsia"/>
          <w:sz w:val="21"/>
          <w:szCs w:val="21"/>
        </w:rPr>
        <w:t>已完全理解并接受谈判文件的各项规定和要求及资金支付规定，对谈判文件的合理性、合法性不再有异议。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(供应商名称)     </w:t>
      </w:r>
      <w:r>
        <w:rPr>
          <w:rFonts w:hint="eastAsia" w:asciiTheme="minorEastAsia" w:hAnsiTheme="minorEastAsia"/>
          <w:snapToGrid w:val="0"/>
          <w:kern w:val="0"/>
          <w:szCs w:val="21"/>
        </w:rPr>
        <w:t>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代表我方全权处理有关本项目谈判响应的一切事宜。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在此提交的响应文件，正本一份，副本一份。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我方已完全明白谈判文件的所有条款要求，并申明如下：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一、按谈判文件提供的全部货物与相关服务的响应总价详见《报价一览表》。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谈判文件的有效期为谈判响应截止时间起天。如成交，有效期将延至供货终止日为止。在此提交的资格证明文件均至谈判响应文件有效期截止日有效，如有在有效期内失效的，我方承诺在成交后补齐一切手续，保证所有资格证明文件能在签订采购合同时直至采购合同终止日有效。</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三、我方明白并同意，在规定的谈判响应时间截止之后，响应有效期之内撤销谈判响应的，则贵方将不予退还谈判保证金。</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四、我方同意按照贵方可能提出的要求而提供与谈判响应有关的任何其它数据、信息或资料。</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五、我方理解贵方不一定接受最低响应价或任何贵方可能收到的谈判响应。</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六、我方如果成交，将保证履行谈判文件及其澄清、修改文件（如果有）中的全部责任和义务，按质、按量、按期完成《采购需求》及《合同书》中的全部任务。</w:t>
      </w:r>
    </w:p>
    <w:p>
      <w:pPr>
        <w:pStyle w:val="21"/>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以上内容如有虚假或与事实不符的，谈判小组可将</w:t>
      </w:r>
      <w:r>
        <w:rPr>
          <w:rFonts w:hint="eastAsia" w:cs="Arial" w:asciiTheme="minorEastAsia" w:hAnsiTheme="minorEastAsia"/>
          <w:szCs w:val="21"/>
        </w:rPr>
        <w:t>我方做无效投标处理，我方愿意承担相应的法律责任。</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我方对在本函及响应文件中所作的所有承诺承担法律责任。</w:t>
      </w: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所有与本项目谈判有关的一切正式往来请寄：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供应商代表姓名：.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6"/>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6"/>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6"/>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6"/>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供应商名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竞争性谈判</w:t>
      </w:r>
      <w:r>
        <w:rPr>
          <w:rFonts w:asciiTheme="minorEastAsia" w:hAnsiTheme="minorEastAsia"/>
          <w:color w:val="000000"/>
          <w:sz w:val="21"/>
          <w:szCs w:val="21"/>
        </w:rPr>
        <w:t>项目</w:t>
      </w:r>
      <w:r>
        <w:rPr>
          <w:rFonts w:hint="eastAsia" w:asciiTheme="minorEastAsia" w:hAnsiTheme="minorEastAsia"/>
          <w:color w:val="000000"/>
          <w:sz w:val="21"/>
          <w:szCs w:val="21"/>
        </w:rPr>
        <w:t>的响应</w:t>
      </w:r>
      <w:r>
        <w:rPr>
          <w:rFonts w:asciiTheme="minorEastAsia" w:hAnsiTheme="minorEastAsia"/>
          <w:color w:val="000000"/>
          <w:sz w:val="21"/>
          <w:szCs w:val="21"/>
        </w:rPr>
        <w:t>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的响应文件及合同的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6"/>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6"/>
        <w:spacing w:line="480" w:lineRule="auto"/>
        <w:ind w:firstLine="472" w:firstLineChars="225"/>
        <w:jc w:val="left"/>
        <w:rPr>
          <w:rFonts w:asciiTheme="minorEastAsia" w:hAnsiTheme="minorEastAsia"/>
          <w:color w:val="000000"/>
          <w:sz w:val="21"/>
          <w:szCs w:val="21"/>
        </w:rPr>
      </w:pPr>
    </w:p>
    <w:p>
      <w:pPr>
        <w:pStyle w:val="46"/>
        <w:spacing w:line="480" w:lineRule="auto"/>
        <w:ind w:firstLine="472" w:firstLineChars="225"/>
        <w:jc w:val="left"/>
        <w:rPr>
          <w:rFonts w:asciiTheme="minorEastAsia" w:hAnsiTheme="minorEastAsia"/>
          <w:color w:val="000000"/>
          <w:sz w:val="21"/>
          <w:szCs w:val="21"/>
        </w:rPr>
      </w:pPr>
    </w:p>
    <w:p>
      <w:pPr>
        <w:pStyle w:val="46"/>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6"/>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供应商名称（并加盖公章）：</w:t>
      </w:r>
    </w:p>
    <w:p>
      <w:pPr>
        <w:pStyle w:val="49"/>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8"/>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加本竞争性谈判</w:t>
      </w:r>
      <w:r>
        <w:rPr>
          <w:rFonts w:asciiTheme="minorEastAsia" w:hAnsiTheme="minorEastAsia"/>
          <w:bCs/>
          <w:color w:val="000000"/>
          <w:kern w:val="12"/>
          <w:szCs w:val="21"/>
        </w:rPr>
        <w:t>项目</w:t>
      </w:r>
      <w:r>
        <w:rPr>
          <w:rFonts w:hint="eastAsia" w:asciiTheme="minorEastAsia" w:hAnsiTheme="minorEastAsia"/>
          <w:bCs/>
          <w:color w:val="000000"/>
          <w:kern w:val="12"/>
          <w:szCs w:val="21"/>
        </w:rPr>
        <w:t>响应的，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供应商名称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以我方的名义参加贵方______________________项目的谈判响应活动，并代表我方全权办理针对上述项目的谈判、响应文件澄清、签约等一切具体事务和签署相关文件。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p>
        </w:tc>
        <w:tc>
          <w:tcPr>
            <w:tcW w:w="4492"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谈判承诺函</w:t>
      </w:r>
    </w:p>
    <w:p>
      <w:pPr>
        <w:pStyle w:val="2"/>
        <w:ind w:firstLine="340"/>
      </w:pP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本企业郑重承诺：</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一、将遵循公开、公平、公正和诚实信用的原则参加(</w:t>
      </w:r>
      <w:r>
        <w:rPr>
          <w:rFonts w:hint="eastAsia" w:asciiTheme="minorEastAsia" w:hAnsiTheme="minorEastAsia" w:eastAsiaTheme="minorEastAsia" w:cstheme="minorBidi"/>
          <w:color w:val="FF0000"/>
          <w:sz w:val="21"/>
          <w:szCs w:val="21"/>
        </w:rPr>
        <w:t>具体政府采购项目名称</w:t>
      </w:r>
      <w:r>
        <w:rPr>
          <w:rFonts w:hint="eastAsia" w:asciiTheme="minorEastAsia" w:hAnsiTheme="minorEastAsia" w:eastAsiaTheme="minorEastAsia" w:cstheme="minorBidi"/>
          <w:color w:val="000000"/>
          <w:sz w:val="21"/>
          <w:szCs w:val="21"/>
        </w:rPr>
        <w:t>）的投标;</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 xml:space="preserve">二、本次投标所提供的一切材料都是真实、有效、合法的; </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三、不与其他投标人相互串通投标报价，不排挤其他投标人的公平竞争，不损害采购人或其他投标人的合法权益;</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四、不与采购人或集中采购机构串通投标，不损害国家利益、社会公共利益或者他人的合法权益;</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五、不向采购人或者</w:t>
      </w:r>
      <w:r>
        <w:fldChar w:fldCharType="begin"/>
      </w:r>
      <w:r>
        <w:instrText xml:space="preserve"> HYPERLINK "http://www.cbi360.net/hyjd/1zt102.html" \t "https://www.cbi360.net/hyjd/20170619/_blank" </w:instrText>
      </w:r>
      <w:r>
        <w:fldChar w:fldCharType="separate"/>
      </w:r>
      <w:r>
        <w:rPr>
          <w:rFonts w:hint="eastAsia" w:asciiTheme="minorEastAsia" w:hAnsiTheme="minorEastAsia" w:eastAsiaTheme="minorEastAsia" w:cstheme="minorBidi"/>
          <w:color w:val="000000"/>
          <w:sz w:val="21"/>
          <w:szCs w:val="21"/>
        </w:rPr>
        <w:t>评标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委员会成员行贿以牟取</w:t>
      </w:r>
      <w:r>
        <w:fldChar w:fldCharType="begin"/>
      </w:r>
      <w:r>
        <w:instrText xml:space="preserve"> HYPERLINK "http://hhb.cbi360.net/TenderBangSoso.aspx" \t "https://www.cbi360.net/hyjd/20170619/_blank" </w:instrText>
      </w:r>
      <w:r>
        <w:fldChar w:fldCharType="separate"/>
      </w:r>
      <w:r>
        <w:rPr>
          <w:rFonts w:hint="eastAsia" w:asciiTheme="minorEastAsia" w:hAnsiTheme="minorEastAsia" w:eastAsiaTheme="minorEastAsia" w:cstheme="minorBidi"/>
          <w:color w:val="000000"/>
          <w:sz w:val="21"/>
          <w:szCs w:val="21"/>
        </w:rPr>
        <w:t>中标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六、不以他人名义投标或者以其他方式弄虚作假，骗取中标;</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七、不扰乱禹州市政府采购市场秩序;</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八、不在</w:t>
      </w:r>
      <w:r>
        <w:fldChar w:fldCharType="begin"/>
      </w:r>
      <w:r>
        <w:instrText xml:space="preserve"> HYPERLINK "http://www.cbi360.net/hyjd/1zt99.html" \t "https://www.cbi360.net/hyjd/20170619/_blank" </w:instrText>
      </w:r>
      <w:r>
        <w:fldChar w:fldCharType="separate"/>
      </w:r>
      <w:r>
        <w:rPr>
          <w:rFonts w:hint="eastAsia" w:asciiTheme="minorEastAsia" w:hAnsiTheme="minorEastAsia" w:eastAsiaTheme="minorEastAsia" w:cstheme="minorBidi"/>
          <w:color w:val="000000"/>
          <w:sz w:val="21"/>
          <w:szCs w:val="21"/>
        </w:rPr>
        <w:t>开标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后进行虚假恶意投诉;</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九、中标后不得将</w:t>
      </w:r>
      <w:r>
        <w:fldChar w:fldCharType="begin"/>
      </w:r>
      <w:r>
        <w:instrText xml:space="preserve"> HYPERLINK "http://www.cbi360.net/hyjd/1zt49.html" \t "https://www.cbi360.net/hyjd/20170619/_blank" </w:instrText>
      </w:r>
      <w:r>
        <w:fldChar w:fldCharType="separate"/>
      </w:r>
      <w:r>
        <w:rPr>
          <w:rFonts w:hint="eastAsia" w:asciiTheme="minorEastAsia" w:hAnsiTheme="minorEastAsia" w:eastAsiaTheme="minorEastAsia" w:cstheme="minorBidi"/>
          <w:color w:val="000000"/>
          <w:sz w:val="21"/>
          <w:szCs w:val="21"/>
        </w:rPr>
        <w:t>招标文件</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规定不予转包、分包的项目转包、分包于他人。</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pStyle w:val="21"/>
        <w:widowControl/>
        <w:shd w:val="clear" w:color="auto" w:fill="FFFFFF"/>
        <w:spacing w:after="300" w:line="336" w:lineRule="atLeast"/>
        <w:rPr>
          <w:rFonts w:asciiTheme="minorEastAsia" w:hAnsiTheme="minorEastAsia" w:eastAsiaTheme="minorEastAsia" w:cstheme="minorBidi"/>
          <w:color w:val="000000"/>
          <w:sz w:val="21"/>
          <w:szCs w:val="21"/>
        </w:rPr>
      </w:pPr>
    </w:p>
    <w:p>
      <w:pPr>
        <w:pStyle w:val="21"/>
        <w:widowControl/>
        <w:shd w:val="clear" w:color="auto" w:fill="FFFFFF"/>
        <w:spacing w:after="300" w:line="336" w:lineRule="atLeast"/>
        <w:ind w:firstLine="3570" w:firstLineChars="17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投标商名称(盖章)：</w:t>
      </w:r>
    </w:p>
    <w:p>
      <w:pPr>
        <w:pStyle w:val="21"/>
        <w:widowControl/>
        <w:shd w:val="clear" w:color="auto" w:fill="FFFFFF"/>
        <w:spacing w:after="300" w:line="336" w:lineRule="atLeast"/>
        <w:ind w:firstLine="3570" w:firstLineChars="1700"/>
        <w:rPr>
          <w:rFonts w:ascii="宋体" w:hAnsi="宋体"/>
          <w:b/>
          <w:bCs/>
          <w:color w:val="000000"/>
        </w:rPr>
      </w:pPr>
      <w:r>
        <w:rPr>
          <w:rFonts w:hint="eastAsia" w:asciiTheme="minorEastAsia" w:hAnsiTheme="minorEastAsia" w:eastAsiaTheme="minorEastAsia" w:cstheme="minorBidi"/>
          <w:color w:val="000000"/>
          <w:sz w:val="21"/>
          <w:szCs w:val="21"/>
        </w:rPr>
        <w:t>年  月  日</w:t>
      </w: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cs="黑体" w:asciiTheme="minorEastAsia" w:hAnsiTheme="minorEastAsia"/>
          <w:b/>
          <w:bCs/>
          <w:sz w:val="44"/>
          <w:szCs w:val="44"/>
          <w:lang w:val="zh-CN"/>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仿宋" w:hAnsi="仿宋" w:eastAsia="仿宋" w:cs="仿宋"/>
          <w:sz w:val="24"/>
          <w:szCs w:val="24"/>
        </w:rPr>
        <w:t xml:space="preserve">    </w:t>
      </w:r>
      <w:r>
        <w:rPr>
          <w:rFonts w:hint="eastAsia" w:ascii="宋体" w:hAnsi="宋体"/>
          <w:b/>
          <w:bCs/>
          <w:color w:val="000000"/>
          <w:sz w:val="24"/>
          <w:szCs w:val="24"/>
        </w:rPr>
        <w:t>4.1分项报价表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品牌规格型号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322" w:type="dxa"/>
        <w:tblInd w:w="0" w:type="dxa"/>
        <w:tblLayout w:type="fixed"/>
        <w:tblCellMar>
          <w:top w:w="0" w:type="dxa"/>
          <w:left w:w="108" w:type="dxa"/>
          <w:bottom w:w="0" w:type="dxa"/>
          <w:right w:w="108" w:type="dxa"/>
        </w:tblCellMar>
      </w:tblPr>
      <w:tblGrid>
        <w:gridCol w:w="675"/>
        <w:gridCol w:w="1418"/>
        <w:gridCol w:w="1675"/>
        <w:gridCol w:w="1160"/>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9"/>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lang w:eastAsia="zh-CN"/>
              </w:rPr>
              <w:t>品牌</w:t>
            </w:r>
            <w:r>
              <w:rPr>
                <w:rFonts w:hint="eastAsia" w:ascii="宋体" w:hAnsi="宋体" w:eastAsia="宋体" w:cs="宋体"/>
                <w:b/>
                <w:bCs/>
                <w:sz w:val="21"/>
                <w:szCs w:val="21"/>
              </w:rPr>
              <w:t>规格型号</w:t>
            </w:r>
          </w:p>
        </w:tc>
        <w:tc>
          <w:tcPr>
            <w:tcW w:w="11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9"/>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9"/>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9"/>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67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1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67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1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（供应商根据谈判文件要求自行编制）</w:t>
      </w:r>
    </w:p>
    <w:p>
      <w:pPr>
        <w:snapToGrid w:val="0"/>
        <w:spacing w:line="360" w:lineRule="auto"/>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9"/>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（供应商根据谈判文件要求自行编制）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2、如供应商为联合投标的，联合供应商需分别填写上述《中小企业声明函》。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残疾人福利性单位声明函</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Pr>
        <w:autoSpaceDE w:val="0"/>
        <w:autoSpaceDN w:val="0"/>
        <w:adjustRightInd w:val="0"/>
        <w:spacing w:line="360" w:lineRule="auto"/>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供应商所投产品涉及国家有属强制性规定的，须承诺其所投产品符合国家强制性要求（如CCC认证，格式自拟）</w:t>
      </w:r>
    </w:p>
    <w:p>
      <w:pPr>
        <w:autoSpaceDE w:val="0"/>
        <w:autoSpaceDN w:val="0"/>
        <w:adjustRightInd w:val="0"/>
        <w:spacing w:line="360" w:lineRule="auto"/>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w:t>
      </w:r>
      <w:r>
        <w:rPr>
          <w:rFonts w:hint="eastAsia" w:ascii="宋体" w:hAnsi="宋体"/>
          <w:b/>
          <w:bCs/>
          <w:color w:val="000000"/>
          <w:sz w:val="28"/>
          <w:szCs w:val="28"/>
        </w:rPr>
        <w:t>谈判</w:t>
      </w:r>
      <w:r>
        <w:rPr>
          <w:rFonts w:ascii="宋体" w:hAnsi="宋体"/>
          <w:b/>
          <w:bCs/>
          <w:color w:val="000000"/>
          <w:sz w:val="28"/>
          <w:szCs w:val="28"/>
        </w:rPr>
        <w:t>文件另有规定外，</w:t>
      </w:r>
      <w:r>
        <w:rPr>
          <w:rFonts w:hint="eastAsia" w:ascii="宋体" w:hAnsi="宋体"/>
          <w:b/>
          <w:bCs/>
          <w:color w:val="000000"/>
          <w:sz w:val="28"/>
          <w:szCs w:val="28"/>
        </w:rPr>
        <w:t>供应商</w:t>
      </w:r>
      <w:r>
        <w:rPr>
          <w:rFonts w:ascii="宋体" w:hAnsi="宋体"/>
          <w:b/>
          <w:bCs/>
          <w:color w:val="000000"/>
          <w:sz w:val="28"/>
          <w:szCs w:val="28"/>
        </w:rPr>
        <w:t>认为需要提交的其他证明材料或资料加盖</w:t>
      </w:r>
      <w:r>
        <w:rPr>
          <w:rFonts w:hint="eastAsia" w:ascii="宋体" w:hAnsi="宋体"/>
          <w:b/>
          <w:bCs/>
          <w:color w:val="000000"/>
          <w:sz w:val="28"/>
          <w:szCs w:val="28"/>
        </w:rPr>
        <w:t>供应商</w:t>
      </w:r>
      <w:r>
        <w:rPr>
          <w:rFonts w:ascii="宋体" w:hAnsi="宋体"/>
          <w:b/>
          <w:bCs/>
          <w:color w:val="000000"/>
          <w:sz w:val="28"/>
          <w:szCs w:val="28"/>
        </w:rPr>
        <w:t>公章后应在此项下提交。</w:t>
      </w:r>
    </w:p>
    <w:p>
      <w:pPr>
        <w:spacing w:line="360" w:lineRule="auto"/>
      </w:pPr>
    </w:p>
    <w:p/>
    <w:p/>
    <w:p/>
    <w:p/>
    <w:p/>
    <w:p/>
    <w:bookmarkEnd w:id="81"/>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
    <w:altName w:val="Arial"/>
    <w:panose1 w:val="00000000000000000000"/>
    <w:charset w:val="00"/>
    <w:family w:val="decorative"/>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roman"/>
    <w:pitch w:val="default"/>
    <w:sig w:usb0="00000001" w:usb1="080E0000" w:usb2="00000000" w:usb3="00000000" w:csb0="00040000" w:csb1="00000000"/>
  </w:font>
  <w:font w:name="微软简隶书">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TimesNewRomanPSMT">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v:path/>
          <v:fill on="f" focussize="0,0"/>
          <v:stroke on="f" joinstyle="miter"/>
          <v:imagedata o:title=""/>
          <o:lock v:ext="edit"/>
          <v:textbox inset="0mm,0mm,0mm,0mm" style="mso-fit-shape-to-text:t;">
            <w:txbxContent>
              <w:p>
                <w:pPr>
                  <w:pStyle w:val="17"/>
                </w:pPr>
                <w:r>
                  <w:fldChar w:fldCharType="begin"/>
                </w:r>
                <w:r>
                  <w:instrText xml:space="preserve"> PAGE  \* MERGEFORMAT </w:instrText>
                </w:r>
                <w:r>
                  <w:fldChar w:fldCharType="separate"/>
                </w:r>
                <w:r>
                  <w:t>13</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054E63"/>
    <w:multiLevelType w:val="singleLevel"/>
    <w:tmpl w:val="99054E63"/>
    <w:lvl w:ilvl="0" w:tentative="0">
      <w:start w:val="3"/>
      <w:numFmt w:val="chineseCounting"/>
      <w:suff w:val="nothing"/>
      <w:lvlText w:val="%1、"/>
      <w:lvlJc w:val="left"/>
      <w:rPr>
        <w:rFonts w:hint="eastAsia"/>
      </w:rPr>
    </w:lvl>
  </w:abstractNum>
  <w:abstractNum w:abstractNumId="1">
    <w:nsid w:val="DBD26914"/>
    <w:multiLevelType w:val="singleLevel"/>
    <w:tmpl w:val="DBD26914"/>
    <w:lvl w:ilvl="0" w:tentative="0">
      <w:start w:val="1"/>
      <w:numFmt w:val="chineseCounting"/>
      <w:suff w:val="space"/>
      <w:lvlText w:val="第%1章"/>
      <w:lvlJc w:val="left"/>
      <w:rPr>
        <w:rFonts w:hint="eastAsia"/>
      </w:rPr>
    </w:lvl>
  </w:abstractNum>
  <w:abstractNum w:abstractNumId="2">
    <w:nsid w:val="00000006"/>
    <w:multiLevelType w:val="multilevel"/>
    <w:tmpl w:val="00000006"/>
    <w:lvl w:ilvl="0" w:tentative="0">
      <w:start w:val="1"/>
      <w:numFmt w:val="chineseCountingThousand"/>
      <w:pStyle w:val="4"/>
      <w:suff w:val="nothing"/>
      <w:lvlText w:val="第%1部分"/>
      <w:lvlJc w:val="center"/>
      <w:pPr>
        <w:ind w:left="-288" w:firstLine="288"/>
      </w:pPr>
      <w:rPr>
        <w:rFonts w:hint="eastAsia"/>
        <w:sz w:val="28"/>
        <w:szCs w:val="28"/>
      </w:rPr>
    </w:lvl>
    <w:lvl w:ilvl="1" w:tentative="0">
      <w:start w:val="1"/>
      <w:numFmt w:val="chineseCountingThousand"/>
      <w:pStyle w:val="5"/>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7"/>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0000000A"/>
    <w:multiLevelType w:val="singleLevel"/>
    <w:tmpl w:val="0000000A"/>
    <w:lvl w:ilvl="0" w:tentative="0">
      <w:start w:val="1"/>
      <w:numFmt w:val="decimal"/>
      <w:suff w:val="nothing"/>
      <w:lvlText w:val="（%1）"/>
      <w:lvlJc w:val="left"/>
    </w:lvl>
  </w:abstractNum>
  <w:abstractNum w:abstractNumId="4">
    <w:nsid w:val="0000000D"/>
    <w:multiLevelType w:val="multilevel"/>
    <w:tmpl w:val="0000000D"/>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5">
    <w:nsid w:val="0000000F"/>
    <w:multiLevelType w:val="multilevel"/>
    <w:tmpl w:val="0000000F"/>
    <w:lvl w:ilvl="0" w:tentative="0">
      <w:start w:val="1"/>
      <w:numFmt w:val="decimal"/>
      <w:lvlText w:val="%1."/>
      <w:lvlJc w:val="left"/>
      <w:pPr>
        <w:tabs>
          <w:tab w:val="left" w:pos="425"/>
        </w:tabs>
        <w:ind w:left="425" w:hanging="425"/>
      </w:pPr>
      <w:rPr>
        <w:rFonts w:hint="eastAsia"/>
      </w:rPr>
    </w:lvl>
    <w:lvl w:ilvl="1" w:tentative="0">
      <w:start w:val="1"/>
      <w:numFmt w:val="none"/>
      <w:lvlText w:val="10.1"/>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00000010"/>
    <w:multiLevelType w:val="multilevel"/>
    <w:tmpl w:val="00000010"/>
    <w:lvl w:ilvl="0" w:tentative="0">
      <w:start w:val="1"/>
      <w:numFmt w:val="decimal"/>
      <w:lvlText w:val="（%1）"/>
      <w:lvlJc w:val="left"/>
      <w:pPr>
        <w:tabs>
          <w:tab w:val="left" w:pos="1260"/>
        </w:tabs>
        <w:ind w:left="1260" w:hanging="720"/>
      </w:pPr>
      <w:rPr>
        <w:rFonts w:hint="default"/>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7">
    <w:nsid w:val="00000011"/>
    <w:multiLevelType w:val="multilevel"/>
    <w:tmpl w:val="00000011"/>
    <w:lvl w:ilvl="0" w:tentative="0">
      <w:start w:val="1"/>
      <w:numFmt w:val="decimal"/>
      <w:lvlText w:val="%1、"/>
      <w:lvlJc w:val="left"/>
      <w:pPr>
        <w:tabs>
          <w:tab w:val="left" w:pos="720"/>
        </w:tabs>
        <w:ind w:left="720" w:hanging="720"/>
      </w:pPr>
      <w:rPr>
        <w:rFonts w:hint="eastAsia"/>
      </w:rPr>
    </w:lvl>
    <w:lvl w:ilvl="1" w:tentative="0">
      <w:start w:val="1"/>
      <w:numFmt w:val="decimal"/>
      <w:lvlText w:val="%2、"/>
      <w:lvlJc w:val="left"/>
      <w:pPr>
        <w:tabs>
          <w:tab w:val="left" w:pos="720"/>
        </w:tabs>
        <w:ind w:left="720" w:hanging="720"/>
      </w:pPr>
      <w:rPr>
        <w:rFonts w:hint="eastAsia"/>
      </w:rPr>
    </w:lvl>
    <w:lvl w:ilvl="2" w:tentative="0">
      <w:start w:val="1"/>
      <w:numFmt w:val="decimal"/>
      <w:lvlText w:val="（%3）"/>
      <w:lvlJc w:val="left"/>
      <w:pPr>
        <w:tabs>
          <w:tab w:val="left" w:pos="1140"/>
        </w:tabs>
        <w:ind w:left="1140" w:hanging="720"/>
      </w:pPr>
      <w:rPr>
        <w:rFonts w:hint="eastAsia"/>
      </w:r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8">
    <w:nsid w:val="00000013"/>
    <w:multiLevelType w:val="singleLevel"/>
    <w:tmpl w:val="00000013"/>
    <w:lvl w:ilvl="0" w:tentative="0">
      <w:start w:val="17"/>
      <w:numFmt w:val="decimal"/>
      <w:suff w:val="nothing"/>
      <w:lvlText w:val="%1、"/>
      <w:lvlJc w:val="left"/>
    </w:lvl>
  </w:abstractNum>
  <w:abstractNum w:abstractNumId="9">
    <w:nsid w:val="00000014"/>
    <w:multiLevelType w:val="multilevel"/>
    <w:tmpl w:val="00000014"/>
    <w:lvl w:ilvl="0" w:tentative="0">
      <w:start w:val="1"/>
      <w:numFmt w:val="decimal"/>
      <w:pStyle w:val="50"/>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0">
    <w:nsid w:val="05EFCDC2"/>
    <w:multiLevelType w:val="singleLevel"/>
    <w:tmpl w:val="05EFCDC2"/>
    <w:lvl w:ilvl="0" w:tentative="0">
      <w:start w:val="6"/>
      <w:numFmt w:val="chineseCounting"/>
      <w:suff w:val="nothing"/>
      <w:lvlText w:val="%1、"/>
      <w:lvlJc w:val="left"/>
      <w:rPr>
        <w:rFonts w:hint="eastAsia"/>
      </w:rPr>
    </w:lvl>
  </w:abstractNum>
  <w:abstractNum w:abstractNumId="11">
    <w:nsid w:val="06F5198E"/>
    <w:multiLevelType w:val="multilevel"/>
    <w:tmpl w:val="06F5198E"/>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AF92C7A"/>
    <w:multiLevelType w:val="multilevel"/>
    <w:tmpl w:val="0AF92C7A"/>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12655F48"/>
    <w:multiLevelType w:val="multilevel"/>
    <w:tmpl w:val="12655F48"/>
    <w:lvl w:ilvl="0" w:tentative="0">
      <w:start w:val="3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eastAsia="宋体" w:asciiTheme="minorEastAsia" w:hAnsi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5">
    <w:nsid w:val="14DF6468"/>
    <w:multiLevelType w:val="multilevel"/>
    <w:tmpl w:val="14DF6468"/>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1E3D4831"/>
    <w:multiLevelType w:val="multilevel"/>
    <w:tmpl w:val="1E3D4831"/>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9">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asciiTheme="minorEastAsia" w:hAnsiTheme="minorEastAsia" w:eastAsia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0">
    <w:nsid w:val="3807CAC4"/>
    <w:multiLevelType w:val="singleLevel"/>
    <w:tmpl w:val="3807CAC4"/>
    <w:lvl w:ilvl="0" w:tentative="0">
      <w:start w:val="1"/>
      <w:numFmt w:val="chineseCounting"/>
      <w:suff w:val="nothing"/>
      <w:lvlText w:val="%1、"/>
      <w:lvlJc w:val="left"/>
      <w:rPr>
        <w:rFonts w:hint="eastAsia"/>
      </w:rPr>
    </w:lvl>
  </w:abstractNum>
  <w:abstractNum w:abstractNumId="21">
    <w:nsid w:val="3E114617"/>
    <w:multiLevelType w:val="multilevel"/>
    <w:tmpl w:val="3E114617"/>
    <w:lvl w:ilvl="0" w:tentative="0">
      <w:start w:val="3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59F817E8"/>
    <w:multiLevelType w:val="singleLevel"/>
    <w:tmpl w:val="59F817E8"/>
    <w:lvl w:ilvl="0" w:tentative="0">
      <w:start w:val="1"/>
      <w:numFmt w:val="chineseCounting"/>
      <w:pStyle w:val="54"/>
      <w:suff w:val="nothing"/>
      <w:lvlText w:val="%1、"/>
      <w:lvlJc w:val="left"/>
    </w:lvl>
  </w:abstractNum>
  <w:abstractNum w:abstractNumId="23">
    <w:nsid w:val="5A051E9E"/>
    <w:multiLevelType w:val="singleLevel"/>
    <w:tmpl w:val="5A051E9E"/>
    <w:lvl w:ilvl="0" w:tentative="0">
      <w:start w:val="1"/>
      <w:numFmt w:val="chineseCounting"/>
      <w:suff w:val="nothing"/>
      <w:lvlText w:val="%1、"/>
      <w:lvlJc w:val="left"/>
    </w:lvl>
  </w:abstractNum>
  <w:abstractNum w:abstractNumId="24">
    <w:nsid w:val="6817507C"/>
    <w:multiLevelType w:val="singleLevel"/>
    <w:tmpl w:val="6817507C"/>
    <w:lvl w:ilvl="0" w:tentative="0">
      <w:start w:val="2"/>
      <w:numFmt w:val="chineseCounting"/>
      <w:suff w:val="nothing"/>
      <w:lvlText w:val="（%1）"/>
      <w:lvlJc w:val="left"/>
      <w:rPr>
        <w:rFonts w:hint="eastAsia"/>
        <w:lang w:val="en-US"/>
      </w:rPr>
    </w:lvl>
  </w:abstractNum>
  <w:abstractNum w:abstractNumId="25">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6">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74123228"/>
    <w:multiLevelType w:val="multilevel"/>
    <w:tmpl w:val="74123228"/>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771D6206"/>
    <w:multiLevelType w:val="multilevel"/>
    <w:tmpl w:val="771D6206"/>
    <w:lvl w:ilvl="0" w:tentative="0">
      <w:start w:val="1"/>
      <w:numFmt w:val="japaneseCounting"/>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9">
    <w:nsid w:val="7D5C114A"/>
    <w:multiLevelType w:val="multilevel"/>
    <w:tmpl w:val="7D5C114A"/>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7D767924"/>
    <w:multiLevelType w:val="multilevel"/>
    <w:tmpl w:val="7D767924"/>
    <w:lvl w:ilvl="0" w:tentative="0">
      <w:start w:val="34"/>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9"/>
  </w:num>
  <w:num w:numId="3">
    <w:abstractNumId w:val="22"/>
  </w:num>
  <w:num w:numId="4">
    <w:abstractNumId w:val="1"/>
  </w:num>
  <w:num w:numId="5">
    <w:abstractNumId w:val="23"/>
  </w:num>
  <w:num w:numId="6">
    <w:abstractNumId w:val="20"/>
  </w:num>
  <w:num w:numId="7">
    <w:abstractNumId w:val="28"/>
  </w:num>
  <w:num w:numId="8">
    <w:abstractNumId w:val="24"/>
  </w:num>
  <w:num w:numId="9">
    <w:abstractNumId w:val="18"/>
  </w:num>
  <w:num w:numId="10">
    <w:abstractNumId w:val="25"/>
  </w:num>
  <w:num w:numId="11">
    <w:abstractNumId w:val="16"/>
  </w:num>
  <w:num w:numId="12">
    <w:abstractNumId w:val="11"/>
  </w:num>
  <w:num w:numId="13">
    <w:abstractNumId w:val="17"/>
  </w:num>
  <w:num w:numId="14">
    <w:abstractNumId w:val="19"/>
  </w:num>
  <w:num w:numId="15">
    <w:abstractNumId w:val="29"/>
  </w:num>
  <w:num w:numId="16">
    <w:abstractNumId w:val="15"/>
  </w:num>
  <w:num w:numId="17">
    <w:abstractNumId w:val="12"/>
  </w:num>
  <w:num w:numId="18">
    <w:abstractNumId w:val="26"/>
  </w:num>
  <w:num w:numId="19">
    <w:abstractNumId w:val="10"/>
  </w:num>
  <w:num w:numId="20">
    <w:abstractNumId w:val="21"/>
  </w:num>
  <w:num w:numId="21">
    <w:abstractNumId w:val="14"/>
  </w:num>
  <w:num w:numId="22">
    <w:abstractNumId w:val="27"/>
  </w:num>
  <w:num w:numId="23">
    <w:abstractNumId w:val="30"/>
  </w:num>
  <w:num w:numId="24">
    <w:abstractNumId w:val="0"/>
  </w:num>
  <w:num w:numId="25">
    <w:abstractNumId w:val="4"/>
  </w:num>
  <w:num w:numId="26">
    <w:abstractNumId w:val="8"/>
  </w:num>
  <w:num w:numId="27">
    <w:abstractNumId w:val="5"/>
  </w:num>
  <w:num w:numId="28">
    <w:abstractNumId w:val="7"/>
  </w:num>
  <w:num w:numId="29">
    <w:abstractNumId w:val="3"/>
  </w:num>
  <w:num w:numId="30">
    <w:abstractNumId w:val="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51389"/>
    <w:rsid w:val="00001390"/>
    <w:rsid w:val="00001AAB"/>
    <w:rsid w:val="0000220B"/>
    <w:rsid w:val="000028B5"/>
    <w:rsid w:val="00003C00"/>
    <w:rsid w:val="00003D13"/>
    <w:rsid w:val="00006D15"/>
    <w:rsid w:val="0000789F"/>
    <w:rsid w:val="00010A8E"/>
    <w:rsid w:val="00010FAB"/>
    <w:rsid w:val="000159BD"/>
    <w:rsid w:val="00015CB5"/>
    <w:rsid w:val="0001677B"/>
    <w:rsid w:val="00016ECB"/>
    <w:rsid w:val="00020755"/>
    <w:rsid w:val="00025E45"/>
    <w:rsid w:val="0003056A"/>
    <w:rsid w:val="000311FB"/>
    <w:rsid w:val="00032540"/>
    <w:rsid w:val="000327E2"/>
    <w:rsid w:val="000328B5"/>
    <w:rsid w:val="00032AF5"/>
    <w:rsid w:val="0003398D"/>
    <w:rsid w:val="0003470E"/>
    <w:rsid w:val="00034E53"/>
    <w:rsid w:val="0003556C"/>
    <w:rsid w:val="0003677A"/>
    <w:rsid w:val="000400E2"/>
    <w:rsid w:val="00040A19"/>
    <w:rsid w:val="00040F65"/>
    <w:rsid w:val="0004289A"/>
    <w:rsid w:val="00043FBC"/>
    <w:rsid w:val="000463C9"/>
    <w:rsid w:val="00047B44"/>
    <w:rsid w:val="00052D94"/>
    <w:rsid w:val="000530F0"/>
    <w:rsid w:val="000609FD"/>
    <w:rsid w:val="00061CC7"/>
    <w:rsid w:val="00063640"/>
    <w:rsid w:val="0007075F"/>
    <w:rsid w:val="00073DCF"/>
    <w:rsid w:val="00075875"/>
    <w:rsid w:val="000763D3"/>
    <w:rsid w:val="000763E2"/>
    <w:rsid w:val="00077FF3"/>
    <w:rsid w:val="0008053A"/>
    <w:rsid w:val="00081B52"/>
    <w:rsid w:val="00082C6E"/>
    <w:rsid w:val="00086DE9"/>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7B6E"/>
    <w:rsid w:val="001008C2"/>
    <w:rsid w:val="00102096"/>
    <w:rsid w:val="00104301"/>
    <w:rsid w:val="001052E3"/>
    <w:rsid w:val="00110C26"/>
    <w:rsid w:val="00111A8C"/>
    <w:rsid w:val="00111C75"/>
    <w:rsid w:val="0011232C"/>
    <w:rsid w:val="0011325E"/>
    <w:rsid w:val="0011409A"/>
    <w:rsid w:val="00116DCD"/>
    <w:rsid w:val="00117D5D"/>
    <w:rsid w:val="001219B2"/>
    <w:rsid w:val="00122334"/>
    <w:rsid w:val="001236C4"/>
    <w:rsid w:val="00124CC1"/>
    <w:rsid w:val="001262C8"/>
    <w:rsid w:val="00126FB1"/>
    <w:rsid w:val="001276EF"/>
    <w:rsid w:val="00131FB7"/>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5379"/>
    <w:rsid w:val="0016721F"/>
    <w:rsid w:val="00170D72"/>
    <w:rsid w:val="0017193E"/>
    <w:rsid w:val="00175D7E"/>
    <w:rsid w:val="00177313"/>
    <w:rsid w:val="00177750"/>
    <w:rsid w:val="001829C2"/>
    <w:rsid w:val="00183CA5"/>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21A9"/>
    <w:rsid w:val="00212788"/>
    <w:rsid w:val="00216728"/>
    <w:rsid w:val="00217EDF"/>
    <w:rsid w:val="002232E0"/>
    <w:rsid w:val="002237C7"/>
    <w:rsid w:val="00223E42"/>
    <w:rsid w:val="002274E5"/>
    <w:rsid w:val="0023037F"/>
    <w:rsid w:val="00235E0B"/>
    <w:rsid w:val="00237179"/>
    <w:rsid w:val="00237336"/>
    <w:rsid w:val="00243B01"/>
    <w:rsid w:val="00245322"/>
    <w:rsid w:val="00247570"/>
    <w:rsid w:val="00247938"/>
    <w:rsid w:val="00252EA6"/>
    <w:rsid w:val="002533E9"/>
    <w:rsid w:val="0025419C"/>
    <w:rsid w:val="0025544A"/>
    <w:rsid w:val="002567BE"/>
    <w:rsid w:val="00257257"/>
    <w:rsid w:val="00257C33"/>
    <w:rsid w:val="0026050A"/>
    <w:rsid w:val="002605BE"/>
    <w:rsid w:val="00261A16"/>
    <w:rsid w:val="00263C0C"/>
    <w:rsid w:val="00264FDB"/>
    <w:rsid w:val="0026501C"/>
    <w:rsid w:val="00266A53"/>
    <w:rsid w:val="00266F38"/>
    <w:rsid w:val="002704F0"/>
    <w:rsid w:val="00272238"/>
    <w:rsid w:val="00272AE2"/>
    <w:rsid w:val="00273414"/>
    <w:rsid w:val="00273F1D"/>
    <w:rsid w:val="0027728C"/>
    <w:rsid w:val="002804A3"/>
    <w:rsid w:val="00281155"/>
    <w:rsid w:val="00281AD7"/>
    <w:rsid w:val="00282790"/>
    <w:rsid w:val="00285231"/>
    <w:rsid w:val="002907E6"/>
    <w:rsid w:val="002949B9"/>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78F6"/>
    <w:rsid w:val="002D0D13"/>
    <w:rsid w:val="002D11F7"/>
    <w:rsid w:val="002D6B1C"/>
    <w:rsid w:val="002E1FAE"/>
    <w:rsid w:val="002E3055"/>
    <w:rsid w:val="002E60F6"/>
    <w:rsid w:val="002E744B"/>
    <w:rsid w:val="002F06BA"/>
    <w:rsid w:val="002F7C32"/>
    <w:rsid w:val="00302A87"/>
    <w:rsid w:val="0030425C"/>
    <w:rsid w:val="0030587D"/>
    <w:rsid w:val="003067AE"/>
    <w:rsid w:val="0031527C"/>
    <w:rsid w:val="00316537"/>
    <w:rsid w:val="00316973"/>
    <w:rsid w:val="00316D67"/>
    <w:rsid w:val="00317177"/>
    <w:rsid w:val="0032071E"/>
    <w:rsid w:val="00320855"/>
    <w:rsid w:val="00321B4D"/>
    <w:rsid w:val="00322774"/>
    <w:rsid w:val="00332254"/>
    <w:rsid w:val="00333113"/>
    <w:rsid w:val="00333AAE"/>
    <w:rsid w:val="00334874"/>
    <w:rsid w:val="00335C32"/>
    <w:rsid w:val="00336815"/>
    <w:rsid w:val="00337D9B"/>
    <w:rsid w:val="00341BE1"/>
    <w:rsid w:val="00344EE8"/>
    <w:rsid w:val="00345108"/>
    <w:rsid w:val="00345B36"/>
    <w:rsid w:val="00345E09"/>
    <w:rsid w:val="00347BAF"/>
    <w:rsid w:val="00350E1D"/>
    <w:rsid w:val="0035386D"/>
    <w:rsid w:val="00354B6F"/>
    <w:rsid w:val="00354DF6"/>
    <w:rsid w:val="00356510"/>
    <w:rsid w:val="00360DAD"/>
    <w:rsid w:val="003620CD"/>
    <w:rsid w:val="00362359"/>
    <w:rsid w:val="003650E5"/>
    <w:rsid w:val="00365286"/>
    <w:rsid w:val="00365BDD"/>
    <w:rsid w:val="00366838"/>
    <w:rsid w:val="003708B7"/>
    <w:rsid w:val="00370DFF"/>
    <w:rsid w:val="00372753"/>
    <w:rsid w:val="00373F74"/>
    <w:rsid w:val="00376F8E"/>
    <w:rsid w:val="0037723D"/>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B5BE5"/>
    <w:rsid w:val="003B7DDB"/>
    <w:rsid w:val="003B7FB3"/>
    <w:rsid w:val="003C013E"/>
    <w:rsid w:val="003C1A3D"/>
    <w:rsid w:val="003C3022"/>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06AE0"/>
    <w:rsid w:val="00410A25"/>
    <w:rsid w:val="004117D0"/>
    <w:rsid w:val="00411D64"/>
    <w:rsid w:val="00414D08"/>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FF0"/>
    <w:rsid w:val="00453B62"/>
    <w:rsid w:val="00454B40"/>
    <w:rsid w:val="00460FA6"/>
    <w:rsid w:val="00461772"/>
    <w:rsid w:val="0046214B"/>
    <w:rsid w:val="0046220D"/>
    <w:rsid w:val="004661DD"/>
    <w:rsid w:val="004661DE"/>
    <w:rsid w:val="00467546"/>
    <w:rsid w:val="004675C8"/>
    <w:rsid w:val="004676F5"/>
    <w:rsid w:val="004713E9"/>
    <w:rsid w:val="00471613"/>
    <w:rsid w:val="00472D4C"/>
    <w:rsid w:val="004738B8"/>
    <w:rsid w:val="00474B4E"/>
    <w:rsid w:val="00475975"/>
    <w:rsid w:val="00475BC1"/>
    <w:rsid w:val="00477E2A"/>
    <w:rsid w:val="00480551"/>
    <w:rsid w:val="00482475"/>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3FD7"/>
    <w:rsid w:val="004F551F"/>
    <w:rsid w:val="004F68CC"/>
    <w:rsid w:val="004F6FBD"/>
    <w:rsid w:val="004F7042"/>
    <w:rsid w:val="004F797A"/>
    <w:rsid w:val="004F7B53"/>
    <w:rsid w:val="0050133C"/>
    <w:rsid w:val="0050216B"/>
    <w:rsid w:val="005021E8"/>
    <w:rsid w:val="005034F7"/>
    <w:rsid w:val="005075CA"/>
    <w:rsid w:val="00510715"/>
    <w:rsid w:val="00510D29"/>
    <w:rsid w:val="005117BB"/>
    <w:rsid w:val="005119C1"/>
    <w:rsid w:val="00512E1D"/>
    <w:rsid w:val="00513627"/>
    <w:rsid w:val="00515E0C"/>
    <w:rsid w:val="00520172"/>
    <w:rsid w:val="00523927"/>
    <w:rsid w:val="00523928"/>
    <w:rsid w:val="00525B29"/>
    <w:rsid w:val="00526033"/>
    <w:rsid w:val="00526360"/>
    <w:rsid w:val="00526575"/>
    <w:rsid w:val="00527005"/>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1F8A"/>
    <w:rsid w:val="00564009"/>
    <w:rsid w:val="005645C2"/>
    <w:rsid w:val="00570BD7"/>
    <w:rsid w:val="00572C46"/>
    <w:rsid w:val="00573136"/>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118DE"/>
    <w:rsid w:val="00614CC8"/>
    <w:rsid w:val="0061788D"/>
    <w:rsid w:val="006211BD"/>
    <w:rsid w:val="00621788"/>
    <w:rsid w:val="00622134"/>
    <w:rsid w:val="00622FF6"/>
    <w:rsid w:val="00626DBC"/>
    <w:rsid w:val="00632759"/>
    <w:rsid w:val="00633894"/>
    <w:rsid w:val="006341CB"/>
    <w:rsid w:val="00634E5F"/>
    <w:rsid w:val="00636AAD"/>
    <w:rsid w:val="006378BB"/>
    <w:rsid w:val="00637BD3"/>
    <w:rsid w:val="00644E97"/>
    <w:rsid w:val="0064698E"/>
    <w:rsid w:val="00651415"/>
    <w:rsid w:val="006518A6"/>
    <w:rsid w:val="00653408"/>
    <w:rsid w:val="00664B3B"/>
    <w:rsid w:val="006674B6"/>
    <w:rsid w:val="0066760C"/>
    <w:rsid w:val="00670DA1"/>
    <w:rsid w:val="00671218"/>
    <w:rsid w:val="00672CEE"/>
    <w:rsid w:val="0067402F"/>
    <w:rsid w:val="006744B2"/>
    <w:rsid w:val="006775C1"/>
    <w:rsid w:val="006775DE"/>
    <w:rsid w:val="00680403"/>
    <w:rsid w:val="006811AB"/>
    <w:rsid w:val="00681601"/>
    <w:rsid w:val="006822AF"/>
    <w:rsid w:val="0068441A"/>
    <w:rsid w:val="00685CAE"/>
    <w:rsid w:val="00686693"/>
    <w:rsid w:val="00687238"/>
    <w:rsid w:val="0069117B"/>
    <w:rsid w:val="006951C7"/>
    <w:rsid w:val="006956D7"/>
    <w:rsid w:val="00697309"/>
    <w:rsid w:val="006A13FE"/>
    <w:rsid w:val="006A5FAE"/>
    <w:rsid w:val="006B04B2"/>
    <w:rsid w:val="006B0B41"/>
    <w:rsid w:val="006B0DF4"/>
    <w:rsid w:val="006B3B14"/>
    <w:rsid w:val="006B4425"/>
    <w:rsid w:val="006B6FCC"/>
    <w:rsid w:val="006C0258"/>
    <w:rsid w:val="006C2307"/>
    <w:rsid w:val="006C33F0"/>
    <w:rsid w:val="006C4D95"/>
    <w:rsid w:val="006C575E"/>
    <w:rsid w:val="006C6C4B"/>
    <w:rsid w:val="006C7EC8"/>
    <w:rsid w:val="006D1C9F"/>
    <w:rsid w:val="006D24FE"/>
    <w:rsid w:val="006D3FBB"/>
    <w:rsid w:val="006D6526"/>
    <w:rsid w:val="006D77FA"/>
    <w:rsid w:val="006D7995"/>
    <w:rsid w:val="006E1073"/>
    <w:rsid w:val="006E14EB"/>
    <w:rsid w:val="006E2C2C"/>
    <w:rsid w:val="006E2EB4"/>
    <w:rsid w:val="006E3CDB"/>
    <w:rsid w:val="006E42C7"/>
    <w:rsid w:val="006E49F1"/>
    <w:rsid w:val="006E5294"/>
    <w:rsid w:val="006E6699"/>
    <w:rsid w:val="006E69A9"/>
    <w:rsid w:val="006E7595"/>
    <w:rsid w:val="006E7D75"/>
    <w:rsid w:val="006F1560"/>
    <w:rsid w:val="006F3EF5"/>
    <w:rsid w:val="006F42BD"/>
    <w:rsid w:val="006F4C1F"/>
    <w:rsid w:val="006F6735"/>
    <w:rsid w:val="006F7B0C"/>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44E1E"/>
    <w:rsid w:val="00751A03"/>
    <w:rsid w:val="0075246E"/>
    <w:rsid w:val="007530A0"/>
    <w:rsid w:val="00754526"/>
    <w:rsid w:val="0075555D"/>
    <w:rsid w:val="00755EAC"/>
    <w:rsid w:val="00760351"/>
    <w:rsid w:val="00761164"/>
    <w:rsid w:val="0076284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1836"/>
    <w:rsid w:val="007A7C77"/>
    <w:rsid w:val="007B1443"/>
    <w:rsid w:val="007B167E"/>
    <w:rsid w:val="007B3355"/>
    <w:rsid w:val="007C0F76"/>
    <w:rsid w:val="007C23FB"/>
    <w:rsid w:val="007C2A45"/>
    <w:rsid w:val="007C325A"/>
    <w:rsid w:val="007C3465"/>
    <w:rsid w:val="007C4218"/>
    <w:rsid w:val="007C6809"/>
    <w:rsid w:val="007C7CA1"/>
    <w:rsid w:val="007D14C6"/>
    <w:rsid w:val="007D2628"/>
    <w:rsid w:val="007D2BA0"/>
    <w:rsid w:val="007D37EB"/>
    <w:rsid w:val="007D3BF6"/>
    <w:rsid w:val="007D6EF3"/>
    <w:rsid w:val="007D75B8"/>
    <w:rsid w:val="007E0167"/>
    <w:rsid w:val="007E24F9"/>
    <w:rsid w:val="007E2A0C"/>
    <w:rsid w:val="007E4337"/>
    <w:rsid w:val="007F1CC8"/>
    <w:rsid w:val="007F1D12"/>
    <w:rsid w:val="007F6309"/>
    <w:rsid w:val="007F7141"/>
    <w:rsid w:val="00800777"/>
    <w:rsid w:val="008048C6"/>
    <w:rsid w:val="00804FB3"/>
    <w:rsid w:val="00805456"/>
    <w:rsid w:val="00805CFD"/>
    <w:rsid w:val="008066AC"/>
    <w:rsid w:val="00810B9A"/>
    <w:rsid w:val="008123F9"/>
    <w:rsid w:val="00813462"/>
    <w:rsid w:val="008147AE"/>
    <w:rsid w:val="00814D8F"/>
    <w:rsid w:val="00815F3D"/>
    <w:rsid w:val="00815F60"/>
    <w:rsid w:val="008162F1"/>
    <w:rsid w:val="00820CAD"/>
    <w:rsid w:val="008219F4"/>
    <w:rsid w:val="00822AC8"/>
    <w:rsid w:val="00827FEC"/>
    <w:rsid w:val="00834D27"/>
    <w:rsid w:val="00836566"/>
    <w:rsid w:val="008375D0"/>
    <w:rsid w:val="00837834"/>
    <w:rsid w:val="00837F36"/>
    <w:rsid w:val="00847A1F"/>
    <w:rsid w:val="0085091C"/>
    <w:rsid w:val="008528A2"/>
    <w:rsid w:val="00856E26"/>
    <w:rsid w:val="00857412"/>
    <w:rsid w:val="008629A1"/>
    <w:rsid w:val="008638C4"/>
    <w:rsid w:val="00865204"/>
    <w:rsid w:val="00870DCD"/>
    <w:rsid w:val="00875099"/>
    <w:rsid w:val="008824BB"/>
    <w:rsid w:val="0088488A"/>
    <w:rsid w:val="008868B3"/>
    <w:rsid w:val="008913A0"/>
    <w:rsid w:val="00891F6D"/>
    <w:rsid w:val="00893816"/>
    <w:rsid w:val="00894121"/>
    <w:rsid w:val="0089532C"/>
    <w:rsid w:val="00895CD2"/>
    <w:rsid w:val="00896627"/>
    <w:rsid w:val="008A1317"/>
    <w:rsid w:val="008A3274"/>
    <w:rsid w:val="008A4195"/>
    <w:rsid w:val="008A532F"/>
    <w:rsid w:val="008A735D"/>
    <w:rsid w:val="008B1EBC"/>
    <w:rsid w:val="008B3760"/>
    <w:rsid w:val="008B3BF1"/>
    <w:rsid w:val="008B46D9"/>
    <w:rsid w:val="008B4CCA"/>
    <w:rsid w:val="008B5CFA"/>
    <w:rsid w:val="008B62B1"/>
    <w:rsid w:val="008B6376"/>
    <w:rsid w:val="008B72C1"/>
    <w:rsid w:val="008C0905"/>
    <w:rsid w:val="008C380D"/>
    <w:rsid w:val="008C427B"/>
    <w:rsid w:val="008D0138"/>
    <w:rsid w:val="008D0251"/>
    <w:rsid w:val="008D25AE"/>
    <w:rsid w:val="008D37EF"/>
    <w:rsid w:val="008D4DB3"/>
    <w:rsid w:val="008E2454"/>
    <w:rsid w:val="008E2EA4"/>
    <w:rsid w:val="008E7034"/>
    <w:rsid w:val="008F2CA7"/>
    <w:rsid w:val="00902012"/>
    <w:rsid w:val="009024C2"/>
    <w:rsid w:val="00903C60"/>
    <w:rsid w:val="00910FBF"/>
    <w:rsid w:val="00912E30"/>
    <w:rsid w:val="009130EC"/>
    <w:rsid w:val="00913638"/>
    <w:rsid w:val="00920741"/>
    <w:rsid w:val="00924304"/>
    <w:rsid w:val="009270F3"/>
    <w:rsid w:val="00927464"/>
    <w:rsid w:val="00932A01"/>
    <w:rsid w:val="00932BA0"/>
    <w:rsid w:val="009332CB"/>
    <w:rsid w:val="0093402B"/>
    <w:rsid w:val="00937AB5"/>
    <w:rsid w:val="009407DF"/>
    <w:rsid w:val="00943698"/>
    <w:rsid w:val="00944C89"/>
    <w:rsid w:val="0094603F"/>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569C"/>
    <w:rsid w:val="009A6F9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290"/>
    <w:rsid w:val="009E1FE4"/>
    <w:rsid w:val="009E2AB7"/>
    <w:rsid w:val="009E34DF"/>
    <w:rsid w:val="009E483D"/>
    <w:rsid w:val="009E4AE9"/>
    <w:rsid w:val="009E6006"/>
    <w:rsid w:val="009E6D58"/>
    <w:rsid w:val="009E76FA"/>
    <w:rsid w:val="009F00B7"/>
    <w:rsid w:val="009F55F0"/>
    <w:rsid w:val="009F6831"/>
    <w:rsid w:val="00A00CC2"/>
    <w:rsid w:val="00A0270D"/>
    <w:rsid w:val="00A03155"/>
    <w:rsid w:val="00A0463D"/>
    <w:rsid w:val="00A05160"/>
    <w:rsid w:val="00A0544A"/>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4E4A"/>
    <w:rsid w:val="00A44E77"/>
    <w:rsid w:val="00A45511"/>
    <w:rsid w:val="00A45E7F"/>
    <w:rsid w:val="00A46195"/>
    <w:rsid w:val="00A46A87"/>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0C43"/>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887"/>
    <w:rsid w:val="00AA0FE4"/>
    <w:rsid w:val="00AA16B6"/>
    <w:rsid w:val="00AA265E"/>
    <w:rsid w:val="00AB24BA"/>
    <w:rsid w:val="00AB2A56"/>
    <w:rsid w:val="00AB7551"/>
    <w:rsid w:val="00AC0D4D"/>
    <w:rsid w:val="00AC11DA"/>
    <w:rsid w:val="00AC1376"/>
    <w:rsid w:val="00AC4329"/>
    <w:rsid w:val="00AC5B3F"/>
    <w:rsid w:val="00AC62A0"/>
    <w:rsid w:val="00AC6B92"/>
    <w:rsid w:val="00AD1F5C"/>
    <w:rsid w:val="00AD30A0"/>
    <w:rsid w:val="00AD310A"/>
    <w:rsid w:val="00AD32B6"/>
    <w:rsid w:val="00AD43D5"/>
    <w:rsid w:val="00AD5C9F"/>
    <w:rsid w:val="00AE0428"/>
    <w:rsid w:val="00AE23CC"/>
    <w:rsid w:val="00AE36B8"/>
    <w:rsid w:val="00AE65F4"/>
    <w:rsid w:val="00AE77C7"/>
    <w:rsid w:val="00AF539A"/>
    <w:rsid w:val="00B0198A"/>
    <w:rsid w:val="00B0319F"/>
    <w:rsid w:val="00B03F40"/>
    <w:rsid w:val="00B04227"/>
    <w:rsid w:val="00B042A9"/>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426B"/>
    <w:rsid w:val="00B34826"/>
    <w:rsid w:val="00B34E29"/>
    <w:rsid w:val="00B36E12"/>
    <w:rsid w:val="00B40238"/>
    <w:rsid w:val="00B40771"/>
    <w:rsid w:val="00B40C10"/>
    <w:rsid w:val="00B40C7E"/>
    <w:rsid w:val="00B414C8"/>
    <w:rsid w:val="00B4170E"/>
    <w:rsid w:val="00B42CD4"/>
    <w:rsid w:val="00B43A28"/>
    <w:rsid w:val="00B45553"/>
    <w:rsid w:val="00B523B5"/>
    <w:rsid w:val="00B60910"/>
    <w:rsid w:val="00B60D3F"/>
    <w:rsid w:val="00B61575"/>
    <w:rsid w:val="00B64C7A"/>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4B89"/>
    <w:rsid w:val="00BA6105"/>
    <w:rsid w:val="00BB0481"/>
    <w:rsid w:val="00BB17CE"/>
    <w:rsid w:val="00BB1EC0"/>
    <w:rsid w:val="00BB391E"/>
    <w:rsid w:val="00BB4D42"/>
    <w:rsid w:val="00BB4EA2"/>
    <w:rsid w:val="00BB6CC2"/>
    <w:rsid w:val="00BC01E9"/>
    <w:rsid w:val="00BC05E7"/>
    <w:rsid w:val="00BC31B0"/>
    <w:rsid w:val="00BC3FC1"/>
    <w:rsid w:val="00BC45E1"/>
    <w:rsid w:val="00BD0FE7"/>
    <w:rsid w:val="00BD2068"/>
    <w:rsid w:val="00BD2BC9"/>
    <w:rsid w:val="00BD316A"/>
    <w:rsid w:val="00BD3AFF"/>
    <w:rsid w:val="00BE2307"/>
    <w:rsid w:val="00BE5347"/>
    <w:rsid w:val="00BF1DA5"/>
    <w:rsid w:val="00BF21E1"/>
    <w:rsid w:val="00BF7823"/>
    <w:rsid w:val="00C00EB4"/>
    <w:rsid w:val="00C02C34"/>
    <w:rsid w:val="00C02DE2"/>
    <w:rsid w:val="00C06F9E"/>
    <w:rsid w:val="00C07CED"/>
    <w:rsid w:val="00C124C8"/>
    <w:rsid w:val="00C1466C"/>
    <w:rsid w:val="00C1514A"/>
    <w:rsid w:val="00C1518E"/>
    <w:rsid w:val="00C23622"/>
    <w:rsid w:val="00C23E9E"/>
    <w:rsid w:val="00C24818"/>
    <w:rsid w:val="00C30E18"/>
    <w:rsid w:val="00C3322D"/>
    <w:rsid w:val="00C35E76"/>
    <w:rsid w:val="00C36189"/>
    <w:rsid w:val="00C36302"/>
    <w:rsid w:val="00C36AF9"/>
    <w:rsid w:val="00C414AD"/>
    <w:rsid w:val="00C430C9"/>
    <w:rsid w:val="00C45EEC"/>
    <w:rsid w:val="00C46442"/>
    <w:rsid w:val="00C4751F"/>
    <w:rsid w:val="00C51319"/>
    <w:rsid w:val="00C556A9"/>
    <w:rsid w:val="00C638EC"/>
    <w:rsid w:val="00C658CC"/>
    <w:rsid w:val="00C70AB4"/>
    <w:rsid w:val="00C7189B"/>
    <w:rsid w:val="00C727B1"/>
    <w:rsid w:val="00C731CA"/>
    <w:rsid w:val="00C75A26"/>
    <w:rsid w:val="00C8587D"/>
    <w:rsid w:val="00C86AC5"/>
    <w:rsid w:val="00C87210"/>
    <w:rsid w:val="00C87865"/>
    <w:rsid w:val="00C9258B"/>
    <w:rsid w:val="00C932A1"/>
    <w:rsid w:val="00C9518E"/>
    <w:rsid w:val="00C956D7"/>
    <w:rsid w:val="00C9592D"/>
    <w:rsid w:val="00C970BB"/>
    <w:rsid w:val="00C97CAB"/>
    <w:rsid w:val="00CA0494"/>
    <w:rsid w:val="00CA2C12"/>
    <w:rsid w:val="00CA6EA8"/>
    <w:rsid w:val="00CB13C7"/>
    <w:rsid w:val="00CB1755"/>
    <w:rsid w:val="00CB3DB2"/>
    <w:rsid w:val="00CB5066"/>
    <w:rsid w:val="00CB5576"/>
    <w:rsid w:val="00CC43A2"/>
    <w:rsid w:val="00CC4FD6"/>
    <w:rsid w:val="00CC5DB4"/>
    <w:rsid w:val="00CD4CBE"/>
    <w:rsid w:val="00CD6E1B"/>
    <w:rsid w:val="00CD76D3"/>
    <w:rsid w:val="00CD7E6D"/>
    <w:rsid w:val="00CE0F39"/>
    <w:rsid w:val="00CE74A6"/>
    <w:rsid w:val="00CF06E0"/>
    <w:rsid w:val="00CF0786"/>
    <w:rsid w:val="00CF0ADC"/>
    <w:rsid w:val="00CF4F24"/>
    <w:rsid w:val="00CF7B44"/>
    <w:rsid w:val="00D00A03"/>
    <w:rsid w:val="00D03037"/>
    <w:rsid w:val="00D0553A"/>
    <w:rsid w:val="00D0563A"/>
    <w:rsid w:val="00D05D6B"/>
    <w:rsid w:val="00D10F92"/>
    <w:rsid w:val="00D11037"/>
    <w:rsid w:val="00D1649F"/>
    <w:rsid w:val="00D167E5"/>
    <w:rsid w:val="00D21019"/>
    <w:rsid w:val="00D227B2"/>
    <w:rsid w:val="00D228EB"/>
    <w:rsid w:val="00D23E27"/>
    <w:rsid w:val="00D26DDF"/>
    <w:rsid w:val="00D31F0B"/>
    <w:rsid w:val="00D33A35"/>
    <w:rsid w:val="00D35049"/>
    <w:rsid w:val="00D409E1"/>
    <w:rsid w:val="00D44821"/>
    <w:rsid w:val="00D461B1"/>
    <w:rsid w:val="00D5147A"/>
    <w:rsid w:val="00D54C29"/>
    <w:rsid w:val="00D56164"/>
    <w:rsid w:val="00D5717B"/>
    <w:rsid w:val="00D60902"/>
    <w:rsid w:val="00D60BC1"/>
    <w:rsid w:val="00D6372E"/>
    <w:rsid w:val="00D65616"/>
    <w:rsid w:val="00D67B74"/>
    <w:rsid w:val="00D70CA0"/>
    <w:rsid w:val="00D717AC"/>
    <w:rsid w:val="00D745FC"/>
    <w:rsid w:val="00D74DC7"/>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70EB"/>
    <w:rsid w:val="00DB2AD7"/>
    <w:rsid w:val="00DB4C7C"/>
    <w:rsid w:val="00DB723C"/>
    <w:rsid w:val="00DB748A"/>
    <w:rsid w:val="00DC1CA1"/>
    <w:rsid w:val="00DC2987"/>
    <w:rsid w:val="00DC3DBB"/>
    <w:rsid w:val="00DC5A3D"/>
    <w:rsid w:val="00DD116A"/>
    <w:rsid w:val="00DD1648"/>
    <w:rsid w:val="00DD17E4"/>
    <w:rsid w:val="00DD1CF6"/>
    <w:rsid w:val="00DD1DAA"/>
    <w:rsid w:val="00DD43EB"/>
    <w:rsid w:val="00DD5441"/>
    <w:rsid w:val="00DD66CF"/>
    <w:rsid w:val="00DE0880"/>
    <w:rsid w:val="00DE35E7"/>
    <w:rsid w:val="00DE3E9A"/>
    <w:rsid w:val="00DE4F7B"/>
    <w:rsid w:val="00DE58C3"/>
    <w:rsid w:val="00DF233C"/>
    <w:rsid w:val="00DF493C"/>
    <w:rsid w:val="00DF664B"/>
    <w:rsid w:val="00E000F5"/>
    <w:rsid w:val="00E00A80"/>
    <w:rsid w:val="00E033A9"/>
    <w:rsid w:val="00E05333"/>
    <w:rsid w:val="00E07350"/>
    <w:rsid w:val="00E139B5"/>
    <w:rsid w:val="00E155B5"/>
    <w:rsid w:val="00E16A95"/>
    <w:rsid w:val="00E203D7"/>
    <w:rsid w:val="00E2286C"/>
    <w:rsid w:val="00E23924"/>
    <w:rsid w:val="00E2434C"/>
    <w:rsid w:val="00E24944"/>
    <w:rsid w:val="00E24E41"/>
    <w:rsid w:val="00E2572A"/>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76E8A"/>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0CC5"/>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3384"/>
    <w:rsid w:val="00EE37D3"/>
    <w:rsid w:val="00EE38E4"/>
    <w:rsid w:val="00EE4B90"/>
    <w:rsid w:val="00EE51BD"/>
    <w:rsid w:val="00EF0AA9"/>
    <w:rsid w:val="00EF38CD"/>
    <w:rsid w:val="00EF43F2"/>
    <w:rsid w:val="00EF444C"/>
    <w:rsid w:val="00EF4CE3"/>
    <w:rsid w:val="00EF56E4"/>
    <w:rsid w:val="00EF5803"/>
    <w:rsid w:val="00EF684F"/>
    <w:rsid w:val="00EF69A2"/>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24831"/>
    <w:rsid w:val="00F30ABD"/>
    <w:rsid w:val="00F31EB3"/>
    <w:rsid w:val="00F3359B"/>
    <w:rsid w:val="00F43428"/>
    <w:rsid w:val="00F43DCE"/>
    <w:rsid w:val="00F44074"/>
    <w:rsid w:val="00F4626B"/>
    <w:rsid w:val="00F463EA"/>
    <w:rsid w:val="00F51389"/>
    <w:rsid w:val="00F51ED8"/>
    <w:rsid w:val="00F51FCE"/>
    <w:rsid w:val="00F54292"/>
    <w:rsid w:val="00F5466E"/>
    <w:rsid w:val="00F57519"/>
    <w:rsid w:val="00F57887"/>
    <w:rsid w:val="00F602EB"/>
    <w:rsid w:val="00F61CEE"/>
    <w:rsid w:val="00F62BD1"/>
    <w:rsid w:val="00F636B5"/>
    <w:rsid w:val="00F6392B"/>
    <w:rsid w:val="00F6477D"/>
    <w:rsid w:val="00F66293"/>
    <w:rsid w:val="00F66967"/>
    <w:rsid w:val="00F66D61"/>
    <w:rsid w:val="00F678C9"/>
    <w:rsid w:val="00F67F31"/>
    <w:rsid w:val="00F71411"/>
    <w:rsid w:val="00F721F4"/>
    <w:rsid w:val="00F74989"/>
    <w:rsid w:val="00F75216"/>
    <w:rsid w:val="00F82BD9"/>
    <w:rsid w:val="00F847FE"/>
    <w:rsid w:val="00F849D7"/>
    <w:rsid w:val="00F8547E"/>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050"/>
    <w:rsid w:val="00FE2F78"/>
    <w:rsid w:val="00FE43E1"/>
    <w:rsid w:val="00FE6095"/>
    <w:rsid w:val="00FE61C6"/>
    <w:rsid w:val="00FF0578"/>
    <w:rsid w:val="00FF1858"/>
    <w:rsid w:val="00FF33EB"/>
    <w:rsid w:val="00FF3F01"/>
    <w:rsid w:val="00FF3F5D"/>
    <w:rsid w:val="00FF4EA4"/>
    <w:rsid w:val="00FF4F57"/>
    <w:rsid w:val="00FF6C87"/>
    <w:rsid w:val="01087EB9"/>
    <w:rsid w:val="01873E33"/>
    <w:rsid w:val="01C861C5"/>
    <w:rsid w:val="02042EF4"/>
    <w:rsid w:val="02314E41"/>
    <w:rsid w:val="028E485D"/>
    <w:rsid w:val="02BB5D2E"/>
    <w:rsid w:val="032C493C"/>
    <w:rsid w:val="03B6440A"/>
    <w:rsid w:val="04A6236A"/>
    <w:rsid w:val="053F5432"/>
    <w:rsid w:val="064E7C45"/>
    <w:rsid w:val="06F049E2"/>
    <w:rsid w:val="07BF5E31"/>
    <w:rsid w:val="07F96DEB"/>
    <w:rsid w:val="08D81C3A"/>
    <w:rsid w:val="08ED0258"/>
    <w:rsid w:val="08EF08AA"/>
    <w:rsid w:val="09097ED2"/>
    <w:rsid w:val="09611AE5"/>
    <w:rsid w:val="09B61E03"/>
    <w:rsid w:val="0A1E34A8"/>
    <w:rsid w:val="0A335D9D"/>
    <w:rsid w:val="0A4B727F"/>
    <w:rsid w:val="0A962F1E"/>
    <w:rsid w:val="0AD81D4C"/>
    <w:rsid w:val="0AED524D"/>
    <w:rsid w:val="0B042130"/>
    <w:rsid w:val="0B391354"/>
    <w:rsid w:val="0B502FD2"/>
    <w:rsid w:val="0BCA6449"/>
    <w:rsid w:val="0C8637F8"/>
    <w:rsid w:val="0CAE7D79"/>
    <w:rsid w:val="0CE7384B"/>
    <w:rsid w:val="0DAC0795"/>
    <w:rsid w:val="0E1D453B"/>
    <w:rsid w:val="0E211F8B"/>
    <w:rsid w:val="0E7F2542"/>
    <w:rsid w:val="0EA30502"/>
    <w:rsid w:val="0ED93001"/>
    <w:rsid w:val="0F492F98"/>
    <w:rsid w:val="10060191"/>
    <w:rsid w:val="100B4F00"/>
    <w:rsid w:val="10C20E4B"/>
    <w:rsid w:val="110E6C6E"/>
    <w:rsid w:val="115665C0"/>
    <w:rsid w:val="115D39B8"/>
    <w:rsid w:val="11A50019"/>
    <w:rsid w:val="122C725F"/>
    <w:rsid w:val="123F74DC"/>
    <w:rsid w:val="128E3D8E"/>
    <w:rsid w:val="12E50F51"/>
    <w:rsid w:val="13BF63D1"/>
    <w:rsid w:val="13FD3B91"/>
    <w:rsid w:val="14214638"/>
    <w:rsid w:val="143F6CA5"/>
    <w:rsid w:val="149819C8"/>
    <w:rsid w:val="14D058A3"/>
    <w:rsid w:val="15444E7F"/>
    <w:rsid w:val="15E8716E"/>
    <w:rsid w:val="15EE44D7"/>
    <w:rsid w:val="15F146D6"/>
    <w:rsid w:val="16B051B6"/>
    <w:rsid w:val="175E24E1"/>
    <w:rsid w:val="17B078B6"/>
    <w:rsid w:val="18C216D0"/>
    <w:rsid w:val="195E6397"/>
    <w:rsid w:val="197B011F"/>
    <w:rsid w:val="198F1D07"/>
    <w:rsid w:val="19DB09FD"/>
    <w:rsid w:val="1A50262B"/>
    <w:rsid w:val="1A6D388D"/>
    <w:rsid w:val="1A907281"/>
    <w:rsid w:val="1B1C3903"/>
    <w:rsid w:val="1B70335D"/>
    <w:rsid w:val="1B933962"/>
    <w:rsid w:val="1BC27E34"/>
    <w:rsid w:val="1C317F37"/>
    <w:rsid w:val="1C3312D7"/>
    <w:rsid w:val="1C527EEE"/>
    <w:rsid w:val="1CB36692"/>
    <w:rsid w:val="1D8C4188"/>
    <w:rsid w:val="1D90357B"/>
    <w:rsid w:val="1EAC0576"/>
    <w:rsid w:val="1F457DEB"/>
    <w:rsid w:val="1F4F76D7"/>
    <w:rsid w:val="1F5E25BF"/>
    <w:rsid w:val="204C3CC9"/>
    <w:rsid w:val="20ED0E50"/>
    <w:rsid w:val="20FF154F"/>
    <w:rsid w:val="21DF17AC"/>
    <w:rsid w:val="22B643D4"/>
    <w:rsid w:val="2301785C"/>
    <w:rsid w:val="23177121"/>
    <w:rsid w:val="24326801"/>
    <w:rsid w:val="245106F3"/>
    <w:rsid w:val="2461458C"/>
    <w:rsid w:val="24655634"/>
    <w:rsid w:val="24AD6D38"/>
    <w:rsid w:val="24D83346"/>
    <w:rsid w:val="25720679"/>
    <w:rsid w:val="25DF5154"/>
    <w:rsid w:val="265B42DF"/>
    <w:rsid w:val="27553E85"/>
    <w:rsid w:val="27A229B2"/>
    <w:rsid w:val="27B5253B"/>
    <w:rsid w:val="283E3CD3"/>
    <w:rsid w:val="288C6375"/>
    <w:rsid w:val="29D14A0E"/>
    <w:rsid w:val="2A4D4EEC"/>
    <w:rsid w:val="2B3F5F01"/>
    <w:rsid w:val="2C0B7CF9"/>
    <w:rsid w:val="2C2E4C48"/>
    <w:rsid w:val="2D5F028F"/>
    <w:rsid w:val="2DD707ED"/>
    <w:rsid w:val="2E5D642A"/>
    <w:rsid w:val="2EC5794C"/>
    <w:rsid w:val="2F124B1C"/>
    <w:rsid w:val="2F45482D"/>
    <w:rsid w:val="2F477084"/>
    <w:rsid w:val="2F5E419A"/>
    <w:rsid w:val="2FF24A9E"/>
    <w:rsid w:val="305F0D15"/>
    <w:rsid w:val="307D673F"/>
    <w:rsid w:val="31324247"/>
    <w:rsid w:val="31C1427F"/>
    <w:rsid w:val="320D3218"/>
    <w:rsid w:val="32985053"/>
    <w:rsid w:val="32B20743"/>
    <w:rsid w:val="32E31462"/>
    <w:rsid w:val="32E81473"/>
    <w:rsid w:val="33817B10"/>
    <w:rsid w:val="33D56F13"/>
    <w:rsid w:val="34280373"/>
    <w:rsid w:val="3439458D"/>
    <w:rsid w:val="345D5D57"/>
    <w:rsid w:val="346E5D8F"/>
    <w:rsid w:val="350A079B"/>
    <w:rsid w:val="35306958"/>
    <w:rsid w:val="35316934"/>
    <w:rsid w:val="35C15576"/>
    <w:rsid w:val="35C46C85"/>
    <w:rsid w:val="364B0EC2"/>
    <w:rsid w:val="36D45DBC"/>
    <w:rsid w:val="37571F09"/>
    <w:rsid w:val="38014F46"/>
    <w:rsid w:val="38E97278"/>
    <w:rsid w:val="38FC4233"/>
    <w:rsid w:val="39073CCD"/>
    <w:rsid w:val="391E6950"/>
    <w:rsid w:val="3A1A525E"/>
    <w:rsid w:val="3B380893"/>
    <w:rsid w:val="3C175755"/>
    <w:rsid w:val="3C725167"/>
    <w:rsid w:val="3C9839FA"/>
    <w:rsid w:val="3CB04E80"/>
    <w:rsid w:val="3CC67CD4"/>
    <w:rsid w:val="3D96637E"/>
    <w:rsid w:val="3DC372EE"/>
    <w:rsid w:val="3DEC2498"/>
    <w:rsid w:val="3E4F494F"/>
    <w:rsid w:val="3ED82F46"/>
    <w:rsid w:val="3FAD3FCA"/>
    <w:rsid w:val="40BE3049"/>
    <w:rsid w:val="422721F4"/>
    <w:rsid w:val="42547D8B"/>
    <w:rsid w:val="42F23437"/>
    <w:rsid w:val="43663E29"/>
    <w:rsid w:val="44052193"/>
    <w:rsid w:val="444769AF"/>
    <w:rsid w:val="44EA4606"/>
    <w:rsid w:val="458C667A"/>
    <w:rsid w:val="46366161"/>
    <w:rsid w:val="46465AAA"/>
    <w:rsid w:val="467D2F1A"/>
    <w:rsid w:val="46CE1703"/>
    <w:rsid w:val="46E35449"/>
    <w:rsid w:val="473960E8"/>
    <w:rsid w:val="477B7C75"/>
    <w:rsid w:val="47A07BC1"/>
    <w:rsid w:val="47A4555A"/>
    <w:rsid w:val="48080763"/>
    <w:rsid w:val="48264474"/>
    <w:rsid w:val="485128BA"/>
    <w:rsid w:val="48737219"/>
    <w:rsid w:val="48C0687E"/>
    <w:rsid w:val="48EE371C"/>
    <w:rsid w:val="49574371"/>
    <w:rsid w:val="49CF3E0F"/>
    <w:rsid w:val="49E32D62"/>
    <w:rsid w:val="4A222BB1"/>
    <w:rsid w:val="4CE713A1"/>
    <w:rsid w:val="4D005CCE"/>
    <w:rsid w:val="4D550000"/>
    <w:rsid w:val="4DE45808"/>
    <w:rsid w:val="4E9448CD"/>
    <w:rsid w:val="4F374C6E"/>
    <w:rsid w:val="4FF65309"/>
    <w:rsid w:val="50560813"/>
    <w:rsid w:val="505F0174"/>
    <w:rsid w:val="50A050A3"/>
    <w:rsid w:val="51352836"/>
    <w:rsid w:val="51A13899"/>
    <w:rsid w:val="520C2784"/>
    <w:rsid w:val="52581E68"/>
    <w:rsid w:val="528771C6"/>
    <w:rsid w:val="531600B4"/>
    <w:rsid w:val="535A1FCB"/>
    <w:rsid w:val="536561B2"/>
    <w:rsid w:val="53FA012A"/>
    <w:rsid w:val="54150FD2"/>
    <w:rsid w:val="544C0545"/>
    <w:rsid w:val="55684A64"/>
    <w:rsid w:val="557F3457"/>
    <w:rsid w:val="55BA027F"/>
    <w:rsid w:val="56626902"/>
    <w:rsid w:val="56700294"/>
    <w:rsid w:val="57D2139A"/>
    <w:rsid w:val="57DF4B76"/>
    <w:rsid w:val="585C571D"/>
    <w:rsid w:val="586B1477"/>
    <w:rsid w:val="58A31F4C"/>
    <w:rsid w:val="59484EC2"/>
    <w:rsid w:val="5A85418B"/>
    <w:rsid w:val="5AA342BB"/>
    <w:rsid w:val="5BAE2A99"/>
    <w:rsid w:val="5BC20F3E"/>
    <w:rsid w:val="5C1717D9"/>
    <w:rsid w:val="5C1A7007"/>
    <w:rsid w:val="5C1E368A"/>
    <w:rsid w:val="5C20031E"/>
    <w:rsid w:val="5CB139A0"/>
    <w:rsid w:val="5CD938B8"/>
    <w:rsid w:val="5D280ACB"/>
    <w:rsid w:val="5D823D4C"/>
    <w:rsid w:val="5DD54801"/>
    <w:rsid w:val="5E8E5AC1"/>
    <w:rsid w:val="5E921C4D"/>
    <w:rsid w:val="5EE83EB0"/>
    <w:rsid w:val="5EFB17CA"/>
    <w:rsid w:val="5F4A434F"/>
    <w:rsid w:val="6001186C"/>
    <w:rsid w:val="60D16749"/>
    <w:rsid w:val="60DB3FC7"/>
    <w:rsid w:val="614E3A65"/>
    <w:rsid w:val="617D2E49"/>
    <w:rsid w:val="61994186"/>
    <w:rsid w:val="61BC4DC2"/>
    <w:rsid w:val="62F6410D"/>
    <w:rsid w:val="634675E2"/>
    <w:rsid w:val="63520B99"/>
    <w:rsid w:val="638962A8"/>
    <w:rsid w:val="63BF3CCD"/>
    <w:rsid w:val="63F4509F"/>
    <w:rsid w:val="6486046D"/>
    <w:rsid w:val="64BF36B4"/>
    <w:rsid w:val="64C76A4D"/>
    <w:rsid w:val="64FE6613"/>
    <w:rsid w:val="651654D0"/>
    <w:rsid w:val="662A75DE"/>
    <w:rsid w:val="66980FBD"/>
    <w:rsid w:val="67341FB4"/>
    <w:rsid w:val="67F03A67"/>
    <w:rsid w:val="68D23C1D"/>
    <w:rsid w:val="69294622"/>
    <w:rsid w:val="69995CD6"/>
    <w:rsid w:val="69CA0494"/>
    <w:rsid w:val="69FB4D8B"/>
    <w:rsid w:val="6C2234CC"/>
    <w:rsid w:val="6D32159C"/>
    <w:rsid w:val="6D351CF7"/>
    <w:rsid w:val="6E412611"/>
    <w:rsid w:val="6EB746A7"/>
    <w:rsid w:val="6EF32B6E"/>
    <w:rsid w:val="6F13150B"/>
    <w:rsid w:val="6F34277B"/>
    <w:rsid w:val="6F832092"/>
    <w:rsid w:val="6FE8143A"/>
    <w:rsid w:val="7039129F"/>
    <w:rsid w:val="704D75D1"/>
    <w:rsid w:val="70506DB5"/>
    <w:rsid w:val="7072440C"/>
    <w:rsid w:val="7092622D"/>
    <w:rsid w:val="71212C19"/>
    <w:rsid w:val="71CB356E"/>
    <w:rsid w:val="71EC2A56"/>
    <w:rsid w:val="737E090F"/>
    <w:rsid w:val="741756AE"/>
    <w:rsid w:val="741A563C"/>
    <w:rsid w:val="751414C1"/>
    <w:rsid w:val="755446EC"/>
    <w:rsid w:val="755E1E93"/>
    <w:rsid w:val="75752706"/>
    <w:rsid w:val="75AB4839"/>
    <w:rsid w:val="76015A01"/>
    <w:rsid w:val="76721B44"/>
    <w:rsid w:val="767C5E46"/>
    <w:rsid w:val="76B625A7"/>
    <w:rsid w:val="770C5354"/>
    <w:rsid w:val="78143BC7"/>
    <w:rsid w:val="787D7581"/>
    <w:rsid w:val="78AF68A0"/>
    <w:rsid w:val="78C37659"/>
    <w:rsid w:val="790B56C3"/>
    <w:rsid w:val="7B0155BF"/>
    <w:rsid w:val="7BC16393"/>
    <w:rsid w:val="7C1D0C87"/>
    <w:rsid w:val="7D0543E8"/>
    <w:rsid w:val="7D191B50"/>
    <w:rsid w:val="7D426DE3"/>
    <w:rsid w:val="7D7A79B6"/>
    <w:rsid w:val="7DE1586C"/>
    <w:rsid w:val="7E4C7A10"/>
    <w:rsid w:val="7E4D2297"/>
    <w:rsid w:val="7E583278"/>
    <w:rsid w:val="7EB52D4A"/>
    <w:rsid w:val="7EC43622"/>
    <w:rsid w:val="7ECA7D27"/>
    <w:rsid w:val="7EEC1A19"/>
    <w:rsid w:val="7EF735F0"/>
    <w:rsid w:val="7F0A2998"/>
    <w:rsid w:val="7F0B0D76"/>
    <w:rsid w:val="7F130E11"/>
    <w:rsid w:val="7FF93B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9"/>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5">
    <w:name w:val="heading 2"/>
    <w:basedOn w:val="1"/>
    <w:next w:val="1"/>
    <w:link w:val="30"/>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6">
    <w:name w:val="heading 3"/>
    <w:basedOn w:val="1"/>
    <w:next w:val="1"/>
    <w:link w:val="31"/>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7">
    <w:name w:val="heading 4"/>
    <w:basedOn w:val="1"/>
    <w:next w:val="1"/>
    <w:link w:val="32"/>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4">
    <w:name w:val="Default Paragraph Font"/>
    <w:semiHidden/>
    <w:unhideWhenUsed/>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40"/>
    <w:qFormat/>
    <w:uiPriority w:val="0"/>
    <w:pPr>
      <w:ind w:firstLine="420" w:firstLineChars="100"/>
    </w:pPr>
    <w:rPr>
      <w:rFonts w:ascii="宋体" w:hAnsi="Times New Roman" w:eastAsia="宋体" w:cs="Times New Roman"/>
      <w:kern w:val="0"/>
      <w:sz w:val="34"/>
      <w:szCs w:val="20"/>
    </w:rPr>
  </w:style>
  <w:style w:type="paragraph" w:styleId="3">
    <w:name w:val="Body Text"/>
    <w:basedOn w:val="1"/>
    <w:link w:val="34"/>
    <w:semiHidden/>
    <w:unhideWhenUsed/>
    <w:qFormat/>
    <w:uiPriority w:val="99"/>
    <w:pPr>
      <w:spacing w:after="120"/>
    </w:pPr>
  </w:style>
  <w:style w:type="paragraph" w:styleId="8">
    <w:name w:val="Normal Indent"/>
    <w:basedOn w:val="1"/>
    <w:qFormat/>
    <w:uiPriority w:val="0"/>
    <w:pPr>
      <w:ind w:firstLine="425"/>
    </w:pPr>
    <w:rPr>
      <w:rFonts w:ascii="Times New Roman" w:hAnsi="Times New Roman" w:eastAsia="宋体" w:cs="Times New Roman"/>
      <w:szCs w:val="20"/>
    </w:rPr>
  </w:style>
  <w:style w:type="paragraph" w:styleId="9">
    <w:name w:val="caption"/>
    <w:basedOn w:val="1"/>
    <w:next w:val="1"/>
    <w:qFormat/>
    <w:uiPriority w:val="0"/>
    <w:rPr>
      <w:rFonts w:ascii="Arial" w:hAnsi="Arial" w:eastAsia="黑体" w:cs="Arial"/>
      <w:sz w:val="20"/>
      <w:szCs w:val="20"/>
    </w:rPr>
  </w:style>
  <w:style w:type="paragraph" w:styleId="10">
    <w:name w:val="Body Text 3"/>
    <w:basedOn w:val="1"/>
    <w:link w:val="33"/>
    <w:qFormat/>
    <w:uiPriority w:val="0"/>
    <w:rPr>
      <w:rFonts w:ascii="Times New Roman" w:hAnsi="Times New Roman" w:eastAsia="宋体" w:cs="Times New Roman"/>
      <w:color w:val="FF0000"/>
      <w:sz w:val="24"/>
      <w:szCs w:val="24"/>
    </w:rPr>
  </w:style>
  <w:style w:type="paragraph" w:styleId="11">
    <w:name w:val="Body Text Indent"/>
    <w:basedOn w:val="1"/>
    <w:link w:val="56"/>
    <w:qFormat/>
    <w:uiPriority w:val="0"/>
    <w:pPr>
      <w:adjustRightInd w:val="0"/>
      <w:spacing w:after="120" w:line="360" w:lineRule="atLeast"/>
      <w:ind w:left="420" w:leftChars="200"/>
      <w:jc w:val="left"/>
      <w:textAlignment w:val="baseline"/>
    </w:pPr>
    <w:rPr>
      <w:kern w:val="0"/>
      <w:sz w:val="24"/>
      <w:szCs w:val="20"/>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5"/>
    <w:qFormat/>
    <w:uiPriority w:val="0"/>
    <w:rPr>
      <w:rFonts w:eastAsia="宋体"/>
      <w:sz w:val="24"/>
    </w:rPr>
  </w:style>
  <w:style w:type="paragraph" w:styleId="15">
    <w:name w:val="Date"/>
    <w:basedOn w:val="1"/>
    <w:next w:val="1"/>
    <w:link w:val="36"/>
    <w:unhideWhenUsed/>
    <w:qFormat/>
    <w:uiPriority w:val="99"/>
    <w:pPr>
      <w:ind w:left="100" w:leftChars="2500"/>
    </w:pPr>
  </w:style>
  <w:style w:type="paragraph" w:styleId="16">
    <w:name w:val="Balloon Text"/>
    <w:basedOn w:val="1"/>
    <w:link w:val="57"/>
    <w:semiHidden/>
    <w:unhideWhenUsed/>
    <w:qFormat/>
    <w:uiPriority w:val="99"/>
    <w:rPr>
      <w:sz w:val="18"/>
      <w:szCs w:val="18"/>
    </w:rPr>
  </w:style>
  <w:style w:type="paragraph" w:styleId="17">
    <w:name w:val="footer"/>
    <w:basedOn w:val="1"/>
    <w:link w:val="37"/>
    <w:unhideWhenUsed/>
    <w:qFormat/>
    <w:uiPriority w:val="99"/>
    <w:pPr>
      <w:tabs>
        <w:tab w:val="center" w:pos="4153"/>
        <w:tab w:val="right" w:pos="8306"/>
      </w:tabs>
      <w:snapToGrid w:val="0"/>
      <w:jc w:val="left"/>
    </w:pPr>
    <w:rPr>
      <w:sz w:val="18"/>
      <w:szCs w:val="18"/>
    </w:rPr>
  </w:style>
  <w:style w:type="paragraph" w:styleId="18">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0">
    <w:name w:val="HTML Preformatted"/>
    <w:basedOn w:val="1"/>
    <w:link w:val="39"/>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1">
    <w:name w:val="Normal (Web)"/>
    <w:basedOn w:val="1"/>
    <w:qFormat/>
    <w:uiPriority w:val="99"/>
    <w:rPr>
      <w:rFonts w:ascii="Calibri" w:hAnsi="Calibri" w:eastAsia="宋体" w:cs="Times New Roman"/>
      <w:sz w:val="24"/>
      <w:szCs w:val="24"/>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5">
    <w:name w:val="Strong"/>
    <w:basedOn w:val="24"/>
    <w:qFormat/>
    <w:uiPriority w:val="22"/>
    <w:rPr>
      <w:b/>
      <w:bCs/>
    </w:rPr>
  </w:style>
  <w:style w:type="character" w:styleId="26">
    <w:name w:val="FollowedHyperlink"/>
    <w:basedOn w:val="24"/>
    <w:semiHidden/>
    <w:unhideWhenUsed/>
    <w:qFormat/>
    <w:uiPriority w:val="99"/>
    <w:rPr>
      <w:color w:val="800080" w:themeColor="followedHyperlink"/>
      <w:u w:val="single"/>
    </w:rPr>
  </w:style>
  <w:style w:type="character" w:styleId="27">
    <w:name w:val="Emphasis"/>
    <w:basedOn w:val="24"/>
    <w:qFormat/>
    <w:uiPriority w:val="20"/>
    <w:rPr>
      <w:i/>
      <w:iCs/>
    </w:rPr>
  </w:style>
  <w:style w:type="character" w:styleId="28">
    <w:name w:val="Hyperlink"/>
    <w:basedOn w:val="24"/>
    <w:unhideWhenUsed/>
    <w:qFormat/>
    <w:uiPriority w:val="99"/>
    <w:rPr>
      <w:color w:val="0000FF"/>
      <w:u w:val="single"/>
    </w:rPr>
  </w:style>
  <w:style w:type="character" w:customStyle="1" w:styleId="29">
    <w:name w:val="标题 1 Char"/>
    <w:basedOn w:val="24"/>
    <w:link w:val="4"/>
    <w:qFormat/>
    <w:uiPriority w:val="0"/>
    <w:rPr>
      <w:rFonts w:ascii="Calibri" w:hAnsi="Calibri" w:eastAsia="宋体" w:cs="Times New Roman"/>
      <w:b/>
      <w:bCs/>
      <w:kern w:val="44"/>
      <w:sz w:val="44"/>
      <w:szCs w:val="44"/>
    </w:rPr>
  </w:style>
  <w:style w:type="character" w:customStyle="1" w:styleId="30">
    <w:name w:val="标题 2 Char"/>
    <w:basedOn w:val="24"/>
    <w:link w:val="5"/>
    <w:qFormat/>
    <w:uiPriority w:val="0"/>
    <w:rPr>
      <w:rFonts w:ascii="Arial" w:hAnsi="Arial" w:eastAsia="黑体" w:cs="Times New Roman"/>
      <w:b/>
      <w:bCs/>
      <w:sz w:val="32"/>
      <w:szCs w:val="32"/>
    </w:rPr>
  </w:style>
  <w:style w:type="character" w:customStyle="1" w:styleId="31">
    <w:name w:val="标题 3 Char"/>
    <w:basedOn w:val="24"/>
    <w:link w:val="6"/>
    <w:qFormat/>
    <w:uiPriority w:val="0"/>
    <w:rPr>
      <w:rFonts w:ascii="宋体" w:hAnsi="宋体" w:eastAsia="宋体" w:cs="Times New Roman"/>
      <w:b/>
      <w:color w:val="000000"/>
      <w:kern w:val="0"/>
      <w:sz w:val="24"/>
      <w:szCs w:val="20"/>
      <w:lang w:val="en-GB"/>
    </w:rPr>
  </w:style>
  <w:style w:type="character" w:customStyle="1" w:styleId="32">
    <w:name w:val="标题 4 Char"/>
    <w:basedOn w:val="24"/>
    <w:link w:val="7"/>
    <w:qFormat/>
    <w:uiPriority w:val="0"/>
    <w:rPr>
      <w:rFonts w:ascii="Arial" w:hAnsi="Arial" w:eastAsia="黑体" w:cs="Times New Roman"/>
      <w:b/>
      <w:bCs/>
      <w:sz w:val="28"/>
      <w:szCs w:val="28"/>
    </w:rPr>
  </w:style>
  <w:style w:type="character" w:customStyle="1" w:styleId="33">
    <w:name w:val="正文文本 3 Char"/>
    <w:basedOn w:val="24"/>
    <w:link w:val="10"/>
    <w:qFormat/>
    <w:uiPriority w:val="0"/>
    <w:rPr>
      <w:rFonts w:ascii="Times New Roman" w:hAnsi="Times New Roman" w:eastAsia="宋体" w:cs="Times New Roman"/>
      <w:color w:val="FF0000"/>
      <w:sz w:val="24"/>
      <w:szCs w:val="24"/>
    </w:rPr>
  </w:style>
  <w:style w:type="character" w:customStyle="1" w:styleId="34">
    <w:name w:val="正文文本 Char"/>
    <w:basedOn w:val="24"/>
    <w:link w:val="3"/>
    <w:semiHidden/>
    <w:qFormat/>
    <w:uiPriority w:val="99"/>
  </w:style>
  <w:style w:type="character" w:customStyle="1" w:styleId="35">
    <w:name w:val="纯文本 Char"/>
    <w:basedOn w:val="24"/>
    <w:link w:val="14"/>
    <w:qFormat/>
    <w:uiPriority w:val="0"/>
    <w:rPr>
      <w:rFonts w:eastAsia="宋体"/>
      <w:sz w:val="24"/>
    </w:rPr>
  </w:style>
  <w:style w:type="character" w:customStyle="1" w:styleId="36">
    <w:name w:val="日期 Char"/>
    <w:basedOn w:val="24"/>
    <w:link w:val="15"/>
    <w:qFormat/>
    <w:uiPriority w:val="99"/>
  </w:style>
  <w:style w:type="character" w:customStyle="1" w:styleId="37">
    <w:name w:val="页脚 Char"/>
    <w:basedOn w:val="24"/>
    <w:link w:val="17"/>
    <w:qFormat/>
    <w:uiPriority w:val="99"/>
    <w:rPr>
      <w:sz w:val="18"/>
      <w:szCs w:val="18"/>
    </w:rPr>
  </w:style>
  <w:style w:type="character" w:customStyle="1" w:styleId="38">
    <w:name w:val="页眉 Char"/>
    <w:basedOn w:val="24"/>
    <w:link w:val="18"/>
    <w:qFormat/>
    <w:uiPriority w:val="99"/>
    <w:rPr>
      <w:sz w:val="18"/>
      <w:szCs w:val="18"/>
    </w:rPr>
  </w:style>
  <w:style w:type="character" w:customStyle="1" w:styleId="39">
    <w:name w:val="HTML 预设格式 Char"/>
    <w:basedOn w:val="24"/>
    <w:link w:val="20"/>
    <w:semiHidden/>
    <w:qFormat/>
    <w:uiPriority w:val="99"/>
    <w:rPr>
      <w:rFonts w:ascii="宋体" w:hAnsi="宋体" w:eastAsia="宋体" w:cs="宋体"/>
      <w:kern w:val="0"/>
      <w:sz w:val="24"/>
      <w:szCs w:val="24"/>
    </w:rPr>
  </w:style>
  <w:style w:type="character" w:customStyle="1" w:styleId="40">
    <w:name w:val="正文首行缩进 Char"/>
    <w:basedOn w:val="34"/>
    <w:link w:val="2"/>
    <w:qFormat/>
    <w:uiPriority w:val="0"/>
    <w:rPr>
      <w:rFonts w:ascii="宋体" w:hAnsi="Times New Roman" w:eastAsia="宋体" w:cs="Times New Roman"/>
      <w:kern w:val="0"/>
      <w:sz w:val="34"/>
      <w:szCs w:val="20"/>
    </w:rPr>
  </w:style>
  <w:style w:type="character" w:customStyle="1" w:styleId="41">
    <w:name w:val="纯文本 Char1"/>
    <w:qFormat/>
    <w:uiPriority w:val="0"/>
    <w:rPr>
      <w:rFonts w:eastAsia="宋体"/>
      <w:sz w:val="24"/>
    </w:rPr>
  </w:style>
  <w:style w:type="paragraph" w:customStyle="1" w:styleId="42">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3">
    <w:name w:val="列出段落1"/>
    <w:basedOn w:val="1"/>
    <w:qFormat/>
    <w:uiPriority w:val="34"/>
    <w:pPr>
      <w:ind w:firstLine="420" w:firstLineChars="200"/>
    </w:pPr>
  </w:style>
  <w:style w:type="paragraph" w:styleId="44">
    <w:name w:val="List Paragraph"/>
    <w:basedOn w:val="1"/>
    <w:unhideWhenUsed/>
    <w:qFormat/>
    <w:uiPriority w:val="99"/>
    <w:pPr>
      <w:ind w:firstLine="420" w:firstLineChars="200"/>
    </w:pPr>
  </w:style>
  <w:style w:type="character" w:customStyle="1" w:styleId="45">
    <w:name w:val="正文文本缩进 Char Char"/>
    <w:link w:val="46"/>
    <w:qFormat/>
    <w:uiPriority w:val="0"/>
    <w:rPr>
      <w:rFonts w:ascii="宋体"/>
      <w:sz w:val="24"/>
    </w:rPr>
  </w:style>
  <w:style w:type="paragraph" w:customStyle="1" w:styleId="46">
    <w:name w:val="正文文本缩进1"/>
    <w:basedOn w:val="1"/>
    <w:link w:val="45"/>
    <w:qFormat/>
    <w:uiPriority w:val="0"/>
    <w:pPr>
      <w:spacing w:line="360" w:lineRule="auto"/>
      <w:ind w:firstLine="480" w:firstLineChars="200"/>
    </w:pPr>
    <w:rPr>
      <w:rFonts w:ascii="宋体"/>
      <w:sz w:val="24"/>
    </w:rPr>
  </w:style>
  <w:style w:type="character" w:customStyle="1" w:styleId="47">
    <w:name w:val="日期 Char Char"/>
    <w:link w:val="48"/>
    <w:qFormat/>
    <w:uiPriority w:val="0"/>
    <w:rPr>
      <w:sz w:val="24"/>
    </w:rPr>
  </w:style>
  <w:style w:type="paragraph" w:customStyle="1" w:styleId="48">
    <w:name w:val="日期1"/>
    <w:basedOn w:val="1"/>
    <w:next w:val="1"/>
    <w:link w:val="47"/>
    <w:qFormat/>
    <w:uiPriority w:val="0"/>
    <w:rPr>
      <w:sz w:val="24"/>
    </w:rPr>
  </w:style>
  <w:style w:type="paragraph" w:customStyle="1" w:styleId="49">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50">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1">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2">
    <w:name w:val="edittexttarea"/>
    <w:basedOn w:val="24"/>
    <w:qFormat/>
    <w:uiPriority w:val="0"/>
  </w:style>
  <w:style w:type="paragraph" w:customStyle="1" w:styleId="53">
    <w:name w:val="样式 标题 1 + 四号 居中 段前: 12 磅 段后: 12 磅 行距: 单倍行距"/>
    <w:basedOn w:val="4"/>
    <w:qFormat/>
    <w:uiPriority w:val="0"/>
    <w:pPr>
      <w:spacing w:before="240" w:after="240" w:line="240" w:lineRule="auto"/>
      <w:ind w:left="-288"/>
      <w:jc w:val="center"/>
    </w:pPr>
    <w:rPr>
      <w:rFonts w:cs="宋体"/>
      <w:sz w:val="28"/>
      <w:szCs w:val="20"/>
    </w:rPr>
  </w:style>
  <w:style w:type="paragraph" w:customStyle="1" w:styleId="54">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5">
    <w:name w:val="正文文本缩进 Char"/>
    <w:link w:val="11"/>
    <w:qFormat/>
    <w:uiPriority w:val="0"/>
    <w:rPr>
      <w:sz w:val="24"/>
    </w:rPr>
  </w:style>
  <w:style w:type="character" w:customStyle="1" w:styleId="56">
    <w:name w:val="正文文本缩进 Char1"/>
    <w:basedOn w:val="24"/>
    <w:link w:val="11"/>
    <w:semiHidden/>
    <w:qFormat/>
    <w:uiPriority w:val="99"/>
    <w:rPr>
      <w:kern w:val="2"/>
      <w:sz w:val="21"/>
      <w:szCs w:val="22"/>
    </w:rPr>
  </w:style>
  <w:style w:type="character" w:customStyle="1" w:styleId="57">
    <w:name w:val="批注框文本 Char"/>
    <w:basedOn w:val="24"/>
    <w:link w:val="16"/>
    <w:semiHidden/>
    <w:qFormat/>
    <w:uiPriority w:val="99"/>
    <w:rPr>
      <w:kern w:val="2"/>
      <w:sz w:val="18"/>
      <w:szCs w:val="18"/>
    </w:rPr>
  </w:style>
  <w:style w:type="paragraph" w:customStyle="1" w:styleId="58">
    <w:name w:val="*正文"/>
    <w:basedOn w:val="1"/>
    <w:qFormat/>
    <w:uiPriority w:val="0"/>
    <w:pPr>
      <w:keepNext/>
      <w:keepLines/>
      <w:spacing w:line="360" w:lineRule="auto"/>
      <w:ind w:firstLine="200" w:firstLineChars="200"/>
    </w:pPr>
    <w:rPr>
      <w:rFonts w:ascii="宋体" w:hAnsi="宋体"/>
    </w:rPr>
  </w:style>
  <w:style w:type="character" w:customStyle="1" w:styleId="59">
    <w:name w:val="样式 标书正文 + 下划线 Char"/>
    <w:qFormat/>
    <w:uiPriority w:val="0"/>
    <w:rPr>
      <w:rFonts w:eastAsia="Ari"/>
      <w:kern w:val="2"/>
      <w:sz w:val="28"/>
      <w:szCs w:val="28"/>
      <w:u w:val="single"/>
      <w:lang w:val="en-US" w:eastAsia="zh-CN"/>
    </w:rPr>
  </w:style>
  <w:style w:type="paragraph" w:customStyle="1" w:styleId="60">
    <w:name w:val="Blockquote"/>
    <w:basedOn w:val="1"/>
    <w:qFormat/>
    <w:uiPriority w:val="0"/>
    <w:pPr>
      <w:autoSpaceDE w:val="0"/>
      <w:autoSpaceDN w:val="0"/>
      <w:adjustRightInd w:val="0"/>
      <w:spacing w:before="100" w:after="100"/>
      <w:ind w:left="360" w:right="360"/>
      <w:jc w:val="left"/>
    </w:pPr>
    <w:rPr>
      <w:kern w:val="0"/>
      <w:sz w:val="24"/>
    </w:rPr>
  </w:style>
  <w:style w:type="paragraph" w:customStyle="1" w:styleId="61">
    <w:name w:val="纯文本1"/>
    <w:basedOn w:val="1"/>
    <w:qFormat/>
    <w:uiPriority w:val="0"/>
    <w:rPr>
      <w:rFonts w:ascii="宋体" w:hAnsi="Courier New"/>
      <w:kern w:val="0"/>
      <w:sz w:val="20"/>
      <w:szCs w:val="21"/>
    </w:rPr>
  </w:style>
  <w:style w:type="paragraph" w:customStyle="1" w:styleId="62">
    <w:name w:val="p0"/>
    <w:basedOn w:val="1"/>
    <w:qFormat/>
    <w:uiPriority w:val="0"/>
    <w:pPr>
      <w:widowControl/>
    </w:pPr>
    <w:rPr>
      <w:kern w:val="0"/>
    </w:rPr>
  </w:style>
  <w:style w:type="character" w:customStyle="1" w:styleId="63">
    <w:name w:val="font61"/>
    <w:basedOn w:val="24"/>
    <w:qFormat/>
    <w:uiPriority w:val="0"/>
    <w:rPr>
      <w:rFonts w:hint="eastAsia" w:ascii="宋体" w:hAnsi="宋体" w:eastAsia="宋体" w:cs="宋体"/>
      <w:color w:val="000000"/>
      <w:sz w:val="22"/>
      <w:szCs w:val="22"/>
      <w:u w:val="none"/>
    </w:rPr>
  </w:style>
  <w:style w:type="character" w:customStyle="1" w:styleId="64">
    <w:name w:val="font31"/>
    <w:basedOn w:val="24"/>
    <w:uiPriority w:val="0"/>
    <w:rPr>
      <w:rFonts w:hint="eastAsia" w:ascii="仿宋_GB2312" w:eastAsia="仿宋_GB2312" w:cs="仿宋_GB2312"/>
      <w:color w:val="000000"/>
      <w:sz w:val="22"/>
      <w:szCs w:val="22"/>
      <w:u w:val="none"/>
    </w:rPr>
  </w:style>
  <w:style w:type="character" w:customStyle="1" w:styleId="65">
    <w:name w:val="font21"/>
    <w:basedOn w:val="24"/>
    <w:qFormat/>
    <w:uiPriority w:val="0"/>
    <w:rPr>
      <w:rFonts w:hint="eastAsia" w:ascii="宋体" w:hAnsi="宋体" w:eastAsia="宋体" w:cs="宋体"/>
      <w:color w:val="000000"/>
      <w:sz w:val="20"/>
      <w:szCs w:val="20"/>
      <w:u w:val="none"/>
    </w:rPr>
  </w:style>
  <w:style w:type="character" w:customStyle="1" w:styleId="66">
    <w:name w:val="font41"/>
    <w:basedOn w:val="24"/>
    <w:qFormat/>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2314A6-C450-4BEC-8F64-A576BA8C3317}">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61</Pages>
  <Words>5394</Words>
  <Characters>30747</Characters>
  <Lines>256</Lines>
  <Paragraphs>72</Paragraphs>
  <TotalTime>24</TotalTime>
  <ScaleCrop>false</ScaleCrop>
  <LinksUpToDate>false</LinksUpToDate>
  <CharactersWithSpaces>36069</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2018-08-06T02:30:00Z</dcterms:created>
  <dc:creator>许昌市公共资源交易中心:孟莉</dc:creator>
  <cp:lastModifiedBy>禹州市公共资源交易中心:郭亚青</cp:lastModifiedBy>
  <cp:lastPrinted>2018-03-20T03:26:00Z</cp:lastPrinted>
  <dcterms:modified xsi:type="dcterms:W3CDTF">2020-01-02T08:03:23Z</dcterms:modified>
  <cp:revision>621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