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ascii="宋体" w:hAnsi="宋体" w:cs="宋体"/>
          <w:b/>
          <w:sz w:val="32"/>
          <w:szCs w:val="32"/>
        </w:rPr>
      </w:pPr>
      <w:bookmarkStart w:id="0" w:name="_GoBack"/>
      <w:bookmarkEnd w:id="0"/>
      <w:r>
        <w:rPr>
          <w:rFonts w:hint="eastAsia" w:ascii="宋体" w:hAnsi="宋体" w:cs="宋体"/>
          <w:b/>
          <w:sz w:val="32"/>
          <w:szCs w:val="32"/>
        </w:rPr>
        <w:t xml:space="preserve">  采购需求</w:t>
      </w:r>
    </w:p>
    <w:p>
      <w:pPr>
        <w:jc w:val="center"/>
        <w:rPr>
          <w:sz w:val="32"/>
          <w:szCs w:val="32"/>
        </w:rPr>
      </w:pPr>
      <w:r>
        <w:rPr>
          <w:rFonts w:hint="eastAsia"/>
          <w:sz w:val="32"/>
          <w:szCs w:val="32"/>
        </w:rPr>
        <w:t>一、货物采购清单</w:t>
      </w:r>
    </w:p>
    <w:tbl>
      <w:tblPr>
        <w:tblStyle w:val="4"/>
        <w:tblpPr w:leftFromText="180" w:rightFromText="180" w:vertAnchor="text" w:horzAnchor="margin" w:tblpY="107"/>
        <w:tblW w:w="9055" w:type="dxa"/>
        <w:tblInd w:w="0" w:type="dxa"/>
        <w:tblLayout w:type="fixed"/>
        <w:tblCellMar>
          <w:top w:w="15" w:type="dxa"/>
          <w:left w:w="15" w:type="dxa"/>
          <w:bottom w:w="15" w:type="dxa"/>
          <w:right w:w="15" w:type="dxa"/>
        </w:tblCellMar>
      </w:tblPr>
      <w:tblGrid>
        <w:gridCol w:w="1012"/>
        <w:gridCol w:w="3362"/>
        <w:gridCol w:w="1056"/>
        <w:gridCol w:w="1056"/>
        <w:gridCol w:w="1101"/>
        <w:gridCol w:w="1468"/>
      </w:tblGrid>
      <w:tr>
        <w:tblPrEx>
          <w:tblCellMar>
            <w:top w:w="15" w:type="dxa"/>
            <w:left w:w="15" w:type="dxa"/>
            <w:bottom w:w="15" w:type="dxa"/>
            <w:right w:w="15" w:type="dxa"/>
          </w:tblCellMar>
        </w:tblPrEx>
        <w:trPr>
          <w:trHeight w:val="390" w:hRule="atLeast"/>
        </w:trPr>
        <w:tc>
          <w:tcPr>
            <w:tcW w:w="1012" w:type="dxa"/>
            <w:tcBorders>
              <w:top w:val="single" w:color="000000" w:sz="12"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eastAsia="仿宋_GB2312"/>
                <w:kern w:val="0"/>
                <w:sz w:val="20"/>
                <w:szCs w:val="20"/>
              </w:rPr>
              <w:t>序号</w:t>
            </w:r>
          </w:p>
        </w:tc>
        <w:tc>
          <w:tcPr>
            <w:tcW w:w="3362" w:type="dxa"/>
            <w:tcBorders>
              <w:top w:val="single" w:color="000000" w:sz="12"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eastAsia="仿宋_GB2312"/>
                <w:kern w:val="0"/>
                <w:sz w:val="20"/>
                <w:szCs w:val="20"/>
              </w:rPr>
              <w:t>工程或费用名称</w:t>
            </w:r>
          </w:p>
        </w:tc>
        <w:tc>
          <w:tcPr>
            <w:tcW w:w="1056" w:type="dxa"/>
            <w:tcBorders>
              <w:top w:val="single" w:color="000000" w:sz="12"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eastAsia="仿宋_GB2312"/>
                <w:kern w:val="0"/>
                <w:sz w:val="20"/>
                <w:szCs w:val="20"/>
              </w:rPr>
              <w:t>单位</w:t>
            </w:r>
          </w:p>
        </w:tc>
        <w:tc>
          <w:tcPr>
            <w:tcW w:w="1056" w:type="dxa"/>
            <w:tcBorders>
              <w:top w:val="single" w:color="000000" w:sz="12"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eastAsia="仿宋_GB2312"/>
                <w:kern w:val="0"/>
                <w:sz w:val="20"/>
                <w:szCs w:val="20"/>
              </w:rPr>
              <w:t>数量</w:t>
            </w:r>
          </w:p>
        </w:tc>
        <w:tc>
          <w:tcPr>
            <w:tcW w:w="1101" w:type="dxa"/>
            <w:tcBorders>
              <w:top w:val="single" w:color="000000" w:sz="12"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eastAsia="仿宋_GB2312"/>
                <w:kern w:val="0"/>
                <w:sz w:val="20"/>
                <w:szCs w:val="20"/>
              </w:rPr>
              <w:t>单价（元）</w:t>
            </w:r>
          </w:p>
        </w:tc>
        <w:tc>
          <w:tcPr>
            <w:tcW w:w="1468" w:type="dxa"/>
            <w:tcBorders>
              <w:top w:val="single" w:color="000000" w:sz="12"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sz w:val="20"/>
                <w:szCs w:val="20"/>
              </w:rPr>
            </w:pPr>
            <w:r>
              <w:rPr>
                <w:rFonts w:eastAsia="仿宋_GB2312"/>
                <w:kern w:val="0"/>
                <w:sz w:val="20"/>
                <w:szCs w:val="20"/>
              </w:rPr>
              <w:t>合价(万元)</w:t>
            </w: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b/>
                <w:kern w:val="0"/>
                <w:sz w:val="20"/>
                <w:szCs w:val="20"/>
              </w:rPr>
            </w:pPr>
            <w:r>
              <w:rPr>
                <w:rFonts w:hint="eastAsia" w:eastAsia="仿宋_GB2312"/>
                <w:b/>
                <w:kern w:val="0"/>
                <w:sz w:val="20"/>
                <w:szCs w:val="20"/>
              </w:rPr>
              <w:t>一</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b/>
                <w:kern w:val="0"/>
                <w:sz w:val="20"/>
                <w:szCs w:val="20"/>
              </w:rPr>
            </w:pPr>
            <w:r>
              <w:rPr>
                <w:rFonts w:eastAsia="仿宋_GB2312"/>
                <w:kern w:val="0"/>
                <w:sz w:val="20"/>
                <w:szCs w:val="20"/>
              </w:rPr>
              <w:t>机井计量设施</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eastAsia="仿宋_GB2312"/>
                <w:sz w:val="20"/>
                <w:szCs w:val="20"/>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eastAsia="仿宋_GB2312"/>
                <w:sz w:val="20"/>
                <w:szCs w:val="20"/>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eastAsia="仿宋_GB2312"/>
                <w:sz w:val="20"/>
                <w:szCs w:val="20"/>
              </w:rPr>
            </w:pP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r>
              <w:rPr>
                <w:rFonts w:hint="eastAsia" w:ascii="仿宋_GB2312" w:hAnsi="宋体" w:eastAsia="仿宋_GB2312" w:cs="仿宋_GB2312"/>
                <w:kern w:val="0"/>
                <w:sz w:val="20"/>
                <w:szCs w:val="20"/>
              </w:rPr>
              <w:t xml:space="preserve"> </w:t>
            </w: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（一）</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eastAsia="仿宋_GB2312"/>
                <w:kern w:val="0"/>
                <w:sz w:val="20"/>
                <w:szCs w:val="20"/>
              </w:rPr>
              <w:t>机井计量设施</w:t>
            </w:r>
            <w:r>
              <w:rPr>
                <w:rFonts w:hint="eastAsia" w:eastAsia="仿宋_GB2312"/>
                <w:kern w:val="0"/>
                <w:sz w:val="20"/>
                <w:szCs w:val="20"/>
              </w:rPr>
              <w:t>（智能井房）</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eastAsia="仿宋_GB2312"/>
                <w:sz w:val="20"/>
                <w:szCs w:val="20"/>
              </w:rPr>
            </w:pPr>
            <w:r>
              <w:rPr>
                <w:rFonts w:hint="eastAsia" w:eastAsia="仿宋_GB2312"/>
                <w:sz w:val="20"/>
                <w:szCs w:val="20"/>
              </w:rPr>
              <w:t>套</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208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r>
              <w:rPr>
                <w:rFonts w:hint="eastAsia" w:ascii="仿宋_GB2312" w:hAnsi="宋体" w:eastAsia="仿宋_GB2312" w:cs="仿宋_GB2312"/>
                <w:kern w:val="0"/>
                <w:sz w:val="20"/>
                <w:szCs w:val="20"/>
              </w:rPr>
              <w:t xml:space="preserve"> </w:t>
            </w: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1</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eastAsia="仿宋_GB2312"/>
                <w:kern w:val="0"/>
                <w:sz w:val="20"/>
                <w:szCs w:val="20"/>
              </w:rPr>
              <w:t>玻璃钢井房（680mm*680mm*1500mm）</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eastAsia="仿宋_GB2312"/>
                <w:kern w:val="0"/>
                <w:sz w:val="20"/>
                <w:szCs w:val="20"/>
              </w:rPr>
              <w:t>座</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2</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农田灌溉智能控制系统(内含电量计量/水量计量采集模块/支持红外抄表/RS485通讯口/内置缺相过流保护模块</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eastAsia="仿宋_GB2312"/>
                <w:kern w:val="0"/>
                <w:sz w:val="20"/>
                <w:szCs w:val="20"/>
              </w:rPr>
              <w:t>套</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3</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GPRS通讯模块(无线GPRS双中心/380V交流供电)</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块</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4</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类机翼涡轮流量计(DN80/内置RF无线通讯模块/高能量电流/无需外接电源)</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5</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监测中心托管费(含5年费用 GPRS数据卡)</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处</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6</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基础数据录入费</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处</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7</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首部枢纽连接</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处</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8</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管道堵头等辅助配件</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处</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9</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蝶阀（DN80）</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个</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10</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止回阀（DN80）</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个</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11</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排气阀(自动排气阀)</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个</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spacing w:line="400" w:lineRule="exact"/>
              <w:jc w:val="center"/>
              <w:rPr>
                <w:rFonts w:eastAsia="仿宋_GB2312"/>
                <w:kern w:val="0"/>
                <w:sz w:val="20"/>
                <w:szCs w:val="20"/>
              </w:rPr>
            </w:pPr>
            <w:r>
              <w:rPr>
                <w:rFonts w:hint="eastAsia" w:ascii="新宋体" w:hAnsi="新宋体" w:eastAsia="新宋体"/>
              </w:rPr>
              <w:t>（二）</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IC卡</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张</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5972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spacing w:line="400" w:lineRule="exact"/>
              <w:jc w:val="center"/>
              <w:rPr>
                <w:rFonts w:eastAsia="仿宋_GB2312"/>
                <w:kern w:val="0"/>
                <w:sz w:val="20"/>
                <w:szCs w:val="20"/>
              </w:rPr>
            </w:pPr>
            <w:r>
              <w:rPr>
                <w:rFonts w:hint="eastAsia" w:ascii="新宋体" w:hAnsi="新宋体" w:eastAsia="新宋体"/>
              </w:rPr>
              <w:t>3</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智能充值管理终端（内部嵌入全智能处理系统，操作者通过键盘输入实现对智能IC卡的读写操作，并且操作的全过程有中文信息提示，实现友好的人机沟通）</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套</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r>
      <w:tr>
        <w:tblPrEx>
          <w:tblCellMar>
            <w:top w:w="15" w:type="dxa"/>
            <w:left w:w="15" w:type="dxa"/>
            <w:bottom w:w="15" w:type="dxa"/>
            <w:right w:w="15" w:type="dxa"/>
          </w:tblCellMar>
        </w:tblPrEx>
        <w:trPr>
          <w:trHeight w:val="502" w:hRule="atLeast"/>
        </w:trPr>
        <w:tc>
          <w:tcPr>
            <w:tcW w:w="1012" w:type="dxa"/>
            <w:tcBorders>
              <w:top w:val="single" w:color="000000" w:sz="4" w:space="0"/>
              <w:left w:val="single" w:color="000000" w:sz="12"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eastAsia="仿宋_GB2312"/>
                <w:b/>
                <w:kern w:val="0"/>
                <w:sz w:val="20"/>
                <w:szCs w:val="20"/>
              </w:rPr>
              <w:t>第二部分</w:t>
            </w:r>
          </w:p>
        </w:tc>
        <w:tc>
          <w:tcPr>
            <w:tcW w:w="33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eastAsia="仿宋_GB2312"/>
                <w:b/>
                <w:kern w:val="0"/>
                <w:sz w:val="20"/>
                <w:szCs w:val="20"/>
              </w:rPr>
              <w:t>水价改革相关支出</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eastAsia="仿宋_GB2312"/>
                <w:kern w:val="0"/>
                <w:sz w:val="20"/>
                <w:szCs w:val="20"/>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eastAsia="仿宋_GB2312"/>
                <w:kern w:val="0"/>
                <w:sz w:val="20"/>
                <w:szCs w:val="20"/>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eastAsia="仿宋_GB2312"/>
                <w:kern w:val="0"/>
                <w:sz w:val="20"/>
                <w:szCs w:val="20"/>
              </w:rPr>
            </w:pP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shd w:val="clear" w:color="auto" w:fill="auto"/>
            <w:noWrap w:val="0"/>
            <w:vAlign w:val="center"/>
          </w:tcPr>
          <w:p>
            <w:pPr>
              <w:widowControl/>
              <w:spacing w:line="400" w:lineRule="exact"/>
              <w:jc w:val="center"/>
              <w:textAlignment w:val="center"/>
              <w:rPr>
                <w:rFonts w:eastAsia="仿宋_GB2312"/>
                <w:b/>
                <w:sz w:val="20"/>
                <w:szCs w:val="20"/>
              </w:rPr>
            </w:pPr>
            <w:r>
              <w:rPr>
                <w:rFonts w:eastAsia="仿宋_GB2312"/>
                <w:kern w:val="0"/>
                <w:sz w:val="20"/>
                <w:szCs w:val="20"/>
              </w:rPr>
              <w:t>一</w:t>
            </w:r>
          </w:p>
        </w:tc>
        <w:tc>
          <w:tcPr>
            <w:tcW w:w="33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eastAsia="仿宋_GB2312"/>
                <w:b/>
                <w:sz w:val="20"/>
                <w:szCs w:val="20"/>
              </w:rPr>
            </w:pPr>
            <w:r>
              <w:rPr>
                <w:rFonts w:eastAsia="仿宋_GB2312"/>
                <w:kern w:val="0"/>
                <w:sz w:val="20"/>
                <w:szCs w:val="20"/>
              </w:rPr>
              <w:t>协会建设费用</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eastAsia="仿宋_GB2312"/>
                <w:sz w:val="20"/>
                <w:szCs w:val="20"/>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eastAsia="仿宋_GB2312"/>
                <w:sz w:val="20"/>
                <w:szCs w:val="20"/>
              </w:rPr>
            </w:pP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eastAsia="仿宋_GB2312"/>
                <w:sz w:val="20"/>
                <w:szCs w:val="20"/>
              </w:rPr>
            </w:pP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 xml:space="preserve"> </w:t>
            </w: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shd w:val="clear" w:color="auto" w:fill="auto"/>
            <w:noWrap w:val="0"/>
            <w:vAlign w:val="center"/>
          </w:tcPr>
          <w:p>
            <w:pPr>
              <w:widowControl/>
              <w:spacing w:line="400" w:lineRule="exact"/>
              <w:jc w:val="center"/>
              <w:textAlignment w:val="center"/>
              <w:rPr>
                <w:rFonts w:eastAsia="仿宋_GB2312"/>
                <w:sz w:val="20"/>
                <w:szCs w:val="20"/>
              </w:rPr>
            </w:pPr>
            <w:r>
              <w:rPr>
                <w:rFonts w:eastAsia="仿宋_GB2312"/>
                <w:kern w:val="0"/>
                <w:sz w:val="20"/>
                <w:szCs w:val="20"/>
              </w:rPr>
              <w:t>1</w:t>
            </w:r>
          </w:p>
        </w:tc>
        <w:tc>
          <w:tcPr>
            <w:tcW w:w="33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协会各项管理制度牌、协会标志牌</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套</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18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sz w:val="20"/>
                <w:szCs w:val="20"/>
              </w:rPr>
            </w:pPr>
            <w:r>
              <w:rPr>
                <w:rFonts w:hint="eastAsia" w:eastAsia="仿宋_GB2312"/>
                <w:kern w:val="0"/>
                <w:sz w:val="20"/>
                <w:szCs w:val="20"/>
              </w:rPr>
              <w:t xml:space="preserve"> </w:t>
            </w: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shd w:val="clear" w:color="auto" w:fill="auto"/>
            <w:noWrap w:val="0"/>
            <w:vAlign w:val="center"/>
          </w:tcPr>
          <w:p>
            <w:pPr>
              <w:widowControl/>
              <w:spacing w:line="400" w:lineRule="exact"/>
              <w:jc w:val="center"/>
              <w:textAlignment w:val="center"/>
              <w:rPr>
                <w:rFonts w:eastAsia="仿宋_GB2312"/>
                <w:kern w:val="0"/>
                <w:sz w:val="20"/>
                <w:szCs w:val="20"/>
              </w:rPr>
            </w:pPr>
            <w:r>
              <w:rPr>
                <w:rFonts w:eastAsia="仿宋_GB2312"/>
                <w:kern w:val="0"/>
                <w:sz w:val="20"/>
                <w:szCs w:val="20"/>
              </w:rPr>
              <w:t>2</w:t>
            </w:r>
          </w:p>
        </w:tc>
        <w:tc>
          <w:tcPr>
            <w:tcW w:w="33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输入、输出终端</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eastAsia="仿宋_GB2312"/>
                <w:kern w:val="0"/>
                <w:sz w:val="20"/>
                <w:szCs w:val="20"/>
              </w:rPr>
              <w:t>台</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shd w:val="clear" w:color="auto" w:fill="auto"/>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二</w:t>
            </w:r>
          </w:p>
        </w:tc>
        <w:tc>
          <w:tcPr>
            <w:tcW w:w="33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乡镇级农业水价综合改革系统软件（B/S 版客户端软件： </w:t>
            </w:r>
          </w:p>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1.项目基础信息：项目区域乡镇、村庄、机井、农户基础信息的统计、记录、编辑、存储；      </w:t>
            </w:r>
          </w:p>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2.取水计量管控信息化，保证用水量数据的准确性；    </w:t>
            </w:r>
          </w:p>
          <w:p>
            <w:pPr>
              <w:widowControl/>
              <w:spacing w:line="400" w:lineRule="exact"/>
              <w:jc w:val="center"/>
              <w:textAlignment w:val="center"/>
              <w:rPr>
                <w:rFonts w:eastAsia="仿宋_GB2312"/>
                <w:kern w:val="0"/>
                <w:sz w:val="20"/>
                <w:szCs w:val="20"/>
              </w:rPr>
            </w:pPr>
            <w:r>
              <w:rPr>
                <w:rFonts w:hint="eastAsia" w:eastAsia="仿宋_GB2312"/>
                <w:kern w:val="0"/>
                <w:sz w:val="20"/>
                <w:szCs w:val="20"/>
              </w:rPr>
              <w:t>3.各级不同范围的用水统计、查询；</w:t>
            </w:r>
          </w:p>
          <w:p>
            <w:pPr>
              <w:widowControl/>
              <w:spacing w:line="400" w:lineRule="exact"/>
              <w:jc w:val="center"/>
              <w:textAlignment w:val="center"/>
              <w:rPr>
                <w:rFonts w:eastAsia="仿宋_GB2312"/>
                <w:kern w:val="0"/>
                <w:sz w:val="20"/>
                <w:szCs w:val="20"/>
              </w:rPr>
            </w:pPr>
            <w:r>
              <w:rPr>
                <w:rFonts w:hint="eastAsia" w:eastAsia="仿宋_GB2312"/>
                <w:kern w:val="0"/>
                <w:sz w:val="20"/>
                <w:szCs w:val="20"/>
              </w:rPr>
              <w:t>4.农户灌溉数据统计、分析、灌溉规律分析；</w:t>
            </w:r>
          </w:p>
          <w:p>
            <w:pPr>
              <w:widowControl/>
              <w:spacing w:line="400" w:lineRule="exact"/>
              <w:jc w:val="center"/>
              <w:textAlignment w:val="center"/>
              <w:rPr>
                <w:rFonts w:eastAsia="仿宋_GB2312"/>
                <w:kern w:val="0"/>
                <w:sz w:val="20"/>
                <w:szCs w:val="20"/>
              </w:rPr>
            </w:pPr>
            <w:r>
              <w:rPr>
                <w:rFonts w:hint="eastAsia" w:eastAsia="仿宋_GB2312"/>
                <w:kern w:val="0"/>
                <w:sz w:val="20"/>
                <w:szCs w:val="20"/>
              </w:rPr>
              <w:t>5.水权水价改革费用收取，水价改革台账；</w:t>
            </w:r>
          </w:p>
          <w:p>
            <w:pPr>
              <w:widowControl/>
              <w:spacing w:line="400" w:lineRule="exact"/>
              <w:jc w:val="center"/>
              <w:textAlignment w:val="center"/>
              <w:rPr>
                <w:rFonts w:eastAsia="仿宋_GB2312"/>
                <w:kern w:val="0"/>
                <w:sz w:val="20"/>
                <w:szCs w:val="20"/>
              </w:rPr>
            </w:pPr>
            <w:r>
              <w:rPr>
                <w:rFonts w:hint="eastAsia" w:eastAsia="仿宋_GB2312"/>
                <w:kern w:val="0"/>
                <w:sz w:val="20"/>
                <w:szCs w:val="20"/>
              </w:rPr>
              <w:t>6.奖补数据、台账分析、导出、打印；</w:t>
            </w:r>
          </w:p>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7.剩余水权的按政策调整，支持结转回购及交易；      </w:t>
            </w:r>
          </w:p>
          <w:p>
            <w:pPr>
              <w:widowControl/>
              <w:spacing w:line="400" w:lineRule="exact"/>
              <w:jc w:val="center"/>
              <w:textAlignment w:val="center"/>
              <w:rPr>
                <w:rFonts w:eastAsia="仿宋_GB2312"/>
                <w:kern w:val="0"/>
                <w:sz w:val="20"/>
                <w:szCs w:val="20"/>
              </w:rPr>
            </w:pPr>
            <w:r>
              <w:rPr>
                <w:rFonts w:hint="eastAsia" w:eastAsia="仿宋_GB2312"/>
                <w:kern w:val="0"/>
                <w:sz w:val="20"/>
                <w:szCs w:val="20"/>
              </w:rPr>
              <w:t>支持不同级别操作用户及操作权限，适应水价改革的管理需要；）</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套</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2</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r>
      <w:tr>
        <w:tblPrEx>
          <w:tblCellMar>
            <w:top w:w="15" w:type="dxa"/>
            <w:left w:w="15" w:type="dxa"/>
            <w:bottom w:w="15" w:type="dxa"/>
            <w:right w:w="15" w:type="dxa"/>
          </w:tblCellMar>
        </w:tblPrEx>
        <w:trPr>
          <w:trHeight w:val="390" w:hRule="atLeast"/>
        </w:trPr>
        <w:tc>
          <w:tcPr>
            <w:tcW w:w="1012" w:type="dxa"/>
            <w:tcBorders>
              <w:top w:val="single" w:color="000000" w:sz="4" w:space="0"/>
              <w:left w:val="single" w:color="000000" w:sz="12" w:space="0"/>
              <w:bottom w:val="single" w:color="000000" w:sz="4" w:space="0"/>
              <w:right w:val="single" w:color="000000" w:sz="4" w:space="0"/>
            </w:tcBorders>
            <w:shd w:val="clear" w:color="auto" w:fill="auto"/>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三</w:t>
            </w:r>
          </w:p>
        </w:tc>
        <w:tc>
          <w:tcPr>
            <w:tcW w:w="33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村级农业水价综合改革系统</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eastAsia="仿宋_GB2312"/>
                <w:kern w:val="0"/>
                <w:sz w:val="20"/>
                <w:szCs w:val="20"/>
              </w:rPr>
              <w:t>套</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18</w:t>
            </w:r>
          </w:p>
        </w:tc>
        <w:tc>
          <w:tcPr>
            <w:tcW w:w="11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c>
          <w:tcPr>
            <w:tcW w:w="1468" w:type="dxa"/>
            <w:tcBorders>
              <w:top w:val="single" w:color="000000" w:sz="4" w:space="0"/>
              <w:left w:val="single" w:color="000000" w:sz="4" w:space="0"/>
              <w:bottom w:val="single" w:color="000000" w:sz="4" w:space="0"/>
              <w:right w:val="single" w:color="000000" w:sz="12" w:space="0"/>
            </w:tcBorders>
            <w:noWrap w:val="0"/>
            <w:vAlign w:val="center"/>
          </w:tcPr>
          <w:p>
            <w:pPr>
              <w:widowControl/>
              <w:spacing w:line="400" w:lineRule="exact"/>
              <w:jc w:val="center"/>
              <w:textAlignment w:val="center"/>
              <w:rPr>
                <w:rFonts w:eastAsia="仿宋_GB2312"/>
                <w:kern w:val="0"/>
                <w:sz w:val="20"/>
                <w:szCs w:val="20"/>
              </w:rPr>
            </w:pPr>
            <w:r>
              <w:rPr>
                <w:rFonts w:hint="eastAsia" w:eastAsia="仿宋_GB2312"/>
                <w:kern w:val="0"/>
                <w:sz w:val="20"/>
                <w:szCs w:val="20"/>
              </w:rPr>
              <w:t xml:space="preserve"> </w:t>
            </w:r>
          </w:p>
        </w:tc>
      </w:tr>
    </w:tbl>
    <w:p>
      <w:pPr>
        <w:spacing w:line="400" w:lineRule="exact"/>
        <w:ind w:firstLine="422" w:firstLineChars="200"/>
        <w:rPr>
          <w:rFonts w:hint="eastAsia"/>
          <w:b/>
          <w:szCs w:val="21"/>
        </w:rPr>
      </w:pPr>
      <w:r>
        <w:rPr>
          <w:rFonts w:hint="eastAsia"/>
          <w:b/>
          <w:szCs w:val="21"/>
        </w:rPr>
        <w:t>二、其它要求</w:t>
      </w:r>
    </w:p>
    <w:p>
      <w:pPr>
        <w:numPr>
          <w:ilvl w:val="0"/>
          <w:numId w:val="1"/>
        </w:numPr>
        <w:spacing w:line="400" w:lineRule="exact"/>
        <w:ind w:firstLine="420" w:firstLineChars="200"/>
        <w:rPr>
          <w:rFonts w:hint="eastAsia"/>
          <w:szCs w:val="21"/>
        </w:rPr>
      </w:pPr>
      <w:r>
        <w:rPr>
          <w:rFonts w:hint="eastAsia" w:cs="宋体"/>
          <w:szCs w:val="21"/>
        </w:rPr>
        <w:t>投</w:t>
      </w:r>
      <w:r>
        <w:rPr>
          <w:rFonts w:hint="eastAsia"/>
          <w:szCs w:val="21"/>
        </w:rPr>
        <w:t>标人须明确所投产品的生产厂家、型号、详细参数。以上参数为最低配置，不响应的为无效投标（注明品牌型号的为参考配置，供应商可以在满足使用要求且不低于该配置的基础上提供其他产品）。投标人应提供证明材料加以印证。</w:t>
      </w:r>
    </w:p>
    <w:p>
      <w:pPr>
        <w:numPr>
          <w:ilvl w:val="0"/>
          <w:numId w:val="1"/>
        </w:numPr>
        <w:spacing w:line="400" w:lineRule="exact"/>
        <w:ind w:firstLine="420" w:firstLineChars="200"/>
        <w:rPr>
          <w:szCs w:val="21"/>
        </w:rPr>
      </w:pPr>
      <w:r>
        <w:rPr>
          <w:rFonts w:hint="eastAsia"/>
          <w:szCs w:val="21"/>
        </w:rPr>
        <w:t>货物需求表中要求提供的产品技术证明文件等，投标文件文件中必须按要求提供，否则为未响应招标文件要求。</w:t>
      </w:r>
    </w:p>
    <w:p>
      <w:pPr>
        <w:numPr>
          <w:ilvl w:val="0"/>
          <w:numId w:val="1"/>
        </w:numPr>
        <w:spacing w:line="400" w:lineRule="exact"/>
        <w:ind w:firstLine="420" w:firstLineChars="200"/>
        <w:rPr>
          <w:szCs w:val="21"/>
        </w:rPr>
      </w:pPr>
      <w:r>
        <w:rPr>
          <w:rFonts w:hint="eastAsia"/>
          <w:szCs w:val="21"/>
        </w:rPr>
        <w:t>必须符合国家质量检测标准和本招</w:t>
      </w:r>
      <w:r>
        <w:rPr>
          <w:szCs w:val="21"/>
        </w:rPr>
        <w:t>标</w:t>
      </w:r>
      <w:r>
        <w:rPr>
          <w:rFonts w:hint="eastAsia"/>
          <w:szCs w:val="21"/>
        </w:rPr>
        <w:t>文件规定标准，提供随货物相关质量证明文件。投标时投标文件中需提供所投产品厂家发布的产品技术参数证明材料可另册装订。</w:t>
      </w:r>
    </w:p>
    <w:p>
      <w:pPr>
        <w:numPr>
          <w:ilvl w:val="0"/>
          <w:numId w:val="1"/>
        </w:numPr>
        <w:spacing w:line="400" w:lineRule="exact"/>
        <w:ind w:firstLine="420" w:firstLineChars="200"/>
        <w:rPr>
          <w:rFonts w:hint="eastAsia"/>
          <w:szCs w:val="21"/>
        </w:rPr>
      </w:pPr>
      <w:r>
        <w:rPr>
          <w:rFonts w:hint="eastAsia"/>
          <w:szCs w:val="21"/>
        </w:rPr>
        <w:t>专利权：供应商应保证用户在使用该货物或其任何一部分时不受第三方提出侵犯其专利权、商标权和工业设计权等起诉。</w:t>
      </w:r>
    </w:p>
    <w:p>
      <w:pPr>
        <w:numPr>
          <w:ilvl w:val="0"/>
          <w:numId w:val="1"/>
        </w:numPr>
        <w:spacing w:line="400" w:lineRule="exact"/>
        <w:ind w:firstLine="420" w:firstLineChars="200"/>
        <w:rPr>
          <w:rFonts w:hint="eastAsia"/>
          <w:szCs w:val="21"/>
        </w:rPr>
      </w:pPr>
      <w:r>
        <w:rPr>
          <w:rFonts w:hint="eastAsia"/>
          <w:szCs w:val="21"/>
        </w:rPr>
        <w:t>验收：验收标准按采购文件规定执行。全部安装调试结束后，申请最终验收，甲方将根据乙方的书面申请，在乙方的见证下委托相关单位抽取评委进行项目最终验收。如果验收不合格，双方合同自动解除，乙方产生的设备运输、安装、调试等所有费用乙方自身承担。</w:t>
      </w:r>
    </w:p>
    <w:p>
      <w:pPr>
        <w:spacing w:line="400" w:lineRule="exact"/>
        <w:ind w:firstLine="420" w:firstLineChars="200"/>
        <w:rPr>
          <w:rFonts w:hint="eastAsia"/>
          <w:szCs w:val="21"/>
        </w:rPr>
      </w:pPr>
      <w:r>
        <w:rPr>
          <w:rFonts w:hint="eastAsia"/>
          <w:szCs w:val="21"/>
        </w:rPr>
        <w:t>6.质保期一年，从项目最终验收合格之日起计算。</w:t>
      </w:r>
    </w:p>
    <w:p>
      <w:pPr>
        <w:spacing w:line="400" w:lineRule="exact"/>
        <w:ind w:firstLine="420" w:firstLineChars="200"/>
        <w:rPr>
          <w:rFonts w:hint="eastAsia"/>
          <w:szCs w:val="21"/>
        </w:rPr>
      </w:pPr>
      <w:r>
        <w:rPr>
          <w:rFonts w:hint="eastAsia"/>
          <w:szCs w:val="21"/>
        </w:rPr>
        <w:t>7.售后服务及培训：按采购文件及投标文件相应条款执行。</w:t>
      </w:r>
    </w:p>
    <w:p>
      <w:pPr>
        <w:spacing w:line="400" w:lineRule="exact"/>
        <w:ind w:firstLine="420" w:firstLineChars="200"/>
        <w:rPr>
          <w:rFonts w:hint="eastAsia"/>
          <w:szCs w:val="21"/>
        </w:rPr>
      </w:pPr>
      <w:r>
        <w:rPr>
          <w:rFonts w:hint="eastAsia"/>
          <w:szCs w:val="21"/>
        </w:rPr>
        <w:t>8.本项目为交钥匙工程，投标报价为总包价,包括运输、施工、安装、材料等购置、测试、验收、技术培训、售后服务所产生的费用等，招标采购人不另行支付任何其他费用。</w:t>
      </w:r>
    </w:p>
    <w:p>
      <w:r>
        <w:rPr>
          <w:rFonts w:hint="eastAsia"/>
          <w:szCs w:val="21"/>
        </w:rPr>
        <w:t>9.结算方式：设备安装完毕、调试、试运行、预验收合格付</w:t>
      </w:r>
      <w:r>
        <w:rPr>
          <w:rFonts w:hint="eastAsia"/>
          <w:szCs w:val="21"/>
          <w:u w:val="single"/>
        </w:rPr>
        <w:t>总价款</w:t>
      </w:r>
      <w:r>
        <w:rPr>
          <w:rFonts w:hint="eastAsia"/>
          <w:b/>
          <w:bCs/>
          <w:szCs w:val="21"/>
          <w:u w:val="single"/>
        </w:rPr>
        <w:t>80%</w:t>
      </w:r>
      <w:r>
        <w:rPr>
          <w:rFonts w:hint="eastAsia"/>
          <w:szCs w:val="21"/>
        </w:rPr>
        <w:t>，</w:t>
      </w:r>
      <w:r>
        <w:rPr>
          <w:rFonts w:hint="eastAsia"/>
          <w:szCs w:val="21"/>
          <w:shd w:val="clear" w:color="auto" w:fill="FFFFFF"/>
        </w:rPr>
        <w:t>在本</w:t>
      </w:r>
      <w:r>
        <w:rPr>
          <w:rFonts w:hint="eastAsia"/>
          <w:szCs w:val="21"/>
        </w:rPr>
        <w:t>工程竣工验收合格并经审计部门审计结束</w:t>
      </w:r>
      <w:r>
        <w:rPr>
          <w:rFonts w:hint="eastAsia"/>
          <w:szCs w:val="21"/>
          <w:shd w:val="clear" w:color="auto" w:fill="FFFFFF"/>
        </w:rPr>
        <w:t>，将审计决算金额报长葛市政府相关部门同意后，据实拨付审计结果总价款的</w:t>
      </w:r>
      <w:r>
        <w:rPr>
          <w:rFonts w:hint="eastAsia"/>
          <w:b/>
          <w:bCs/>
          <w:szCs w:val="21"/>
          <w:u w:val="single"/>
          <w:shd w:val="clear" w:color="auto" w:fill="FFFFFF"/>
        </w:rPr>
        <w:t>95%</w:t>
      </w:r>
      <w:r>
        <w:rPr>
          <w:rFonts w:hint="eastAsia"/>
          <w:szCs w:val="21"/>
          <w:shd w:val="clear" w:color="auto" w:fill="FFFFFF"/>
        </w:rPr>
        <w:t xml:space="preserve"> ,（其中预留总工程款</w:t>
      </w:r>
      <w:r>
        <w:rPr>
          <w:rFonts w:hint="eastAsia"/>
          <w:b/>
          <w:bCs/>
          <w:szCs w:val="21"/>
          <w:u w:val="single"/>
          <w:shd w:val="clear" w:color="auto" w:fill="FFFFFF"/>
        </w:rPr>
        <w:t>5％</w:t>
      </w:r>
      <w:r>
        <w:rPr>
          <w:rFonts w:hint="eastAsia"/>
          <w:szCs w:val="21"/>
          <w:shd w:val="clear" w:color="auto" w:fill="FFFFFF"/>
        </w:rPr>
        <w:t>作为质保金，质保期满无重大质量问题结清余款）</w:t>
      </w:r>
      <w:r>
        <w:rPr>
          <w:rFonts w:hint="eastAsia" w:cs="Calibri"/>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90AAD"/>
    <w:multiLevelType w:val="singleLevel"/>
    <w:tmpl w:val="59890AA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0991"/>
    <w:rsid w:val="0C6702DF"/>
    <w:rsid w:val="127A01AE"/>
    <w:rsid w:val="1C7F775B"/>
    <w:rsid w:val="208826DF"/>
    <w:rsid w:val="71603D55"/>
    <w:rsid w:val="75886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adjustRightInd/>
      <w:spacing w:line="240" w:lineRule="auto"/>
      <w:ind w:firstLine="420" w:firstLineChars="100"/>
      <w:jc w:val="both"/>
      <w:textAlignment w:val="auto"/>
    </w:pPr>
    <w:rPr>
      <w:rFonts w:eastAsia="宋体"/>
      <w:b w:val="0"/>
      <w:kern w:val="2"/>
      <w:sz w:val="21"/>
      <w:szCs w:val="22"/>
    </w:rPr>
  </w:style>
  <w:style w:type="paragraph" w:styleId="3">
    <w:name w:val="Body Text"/>
    <w:basedOn w:val="1"/>
    <w:qFormat/>
    <w:uiPriority w:val="0"/>
    <w:pPr>
      <w:adjustRightInd w:val="0"/>
      <w:spacing w:after="120" w:line="360" w:lineRule="atLeast"/>
      <w:jc w:val="left"/>
      <w:textAlignment w:val="baseline"/>
    </w:pPr>
    <w:rPr>
      <w:rFonts w:eastAsia="仿宋_GB2312"/>
      <w:b/>
      <w:kern w:val="0"/>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2019-12-17T03:22:59Z</dcterms:created>
  <dc:creator>Administrator</dc:creator>
  <cp:lastModifiedBy>智远工程管理有限公司:高波</cp:lastModifiedBy>
  <dcterms:modified xsi:type="dcterms:W3CDTF">2019-12-17T03:23:22Z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