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10"/>
        </w:tabs>
        <w:jc w:val="center"/>
        <w:rPr>
          <w:rFonts w:cs="仿宋" w:asciiTheme="majorEastAsia" w:hAnsiTheme="majorEastAsia" w:eastAsiaTheme="majorEastAsia"/>
          <w:b/>
          <w:color w:val="000000"/>
          <w:spacing w:val="-16"/>
          <w:w w:val="90"/>
          <w:kern w:val="22"/>
          <w:sz w:val="72"/>
          <w:szCs w:val="72"/>
        </w:rPr>
      </w:pPr>
      <w:r>
        <w:rPr>
          <w:rFonts w:hint="eastAsia" w:cs="仿宋" w:asciiTheme="majorEastAsia" w:hAnsiTheme="majorEastAsia" w:eastAsiaTheme="majorEastAsia"/>
          <w:b/>
          <w:bCs/>
          <w:color w:val="000000"/>
          <w:sz w:val="56"/>
          <w:szCs w:val="56"/>
          <w:shd w:val="clear" w:color="auto" w:fill="FFFFFF"/>
        </w:rPr>
        <w:t>长葛市老城区次干道及支路雨污分流工程设计</w:t>
      </w:r>
    </w:p>
    <w:p>
      <w:pPr>
        <w:jc w:val="center"/>
        <w:rPr>
          <w:rFonts w:cs="仿宋" w:asciiTheme="majorEastAsia" w:hAnsiTheme="majorEastAsia" w:eastAsiaTheme="majorEastAsia"/>
          <w:b/>
          <w:color w:val="000000"/>
          <w:spacing w:val="-16"/>
          <w:w w:val="90"/>
          <w:kern w:val="22"/>
          <w:sz w:val="72"/>
          <w:szCs w:val="72"/>
        </w:rPr>
      </w:pPr>
    </w:p>
    <w:p>
      <w:pPr>
        <w:jc w:val="center"/>
        <w:rPr>
          <w:rFonts w:cs="仿宋" w:asciiTheme="majorEastAsia" w:hAnsiTheme="majorEastAsia" w:eastAsiaTheme="majorEastAsia"/>
          <w:b/>
          <w:color w:val="000000"/>
          <w:spacing w:val="-16"/>
          <w:w w:val="90"/>
          <w:kern w:val="22"/>
          <w:sz w:val="72"/>
          <w:szCs w:val="72"/>
        </w:rPr>
      </w:pPr>
    </w:p>
    <w:p>
      <w:pPr>
        <w:jc w:val="center"/>
        <w:rPr>
          <w:rFonts w:cs="仿宋" w:asciiTheme="majorEastAsia" w:hAnsiTheme="majorEastAsia" w:eastAsiaTheme="majorEastAsia"/>
          <w:b/>
          <w:color w:val="000000"/>
          <w:spacing w:val="-16"/>
          <w:w w:val="90"/>
          <w:kern w:val="22"/>
          <w:sz w:val="72"/>
          <w:szCs w:val="72"/>
        </w:rPr>
      </w:pPr>
      <w:r>
        <w:rPr>
          <w:rFonts w:hint="eastAsia" w:cs="仿宋" w:asciiTheme="majorEastAsia" w:hAnsiTheme="majorEastAsia" w:eastAsiaTheme="majorEastAsia"/>
          <w:b/>
          <w:color w:val="000000"/>
          <w:spacing w:val="-16"/>
          <w:w w:val="90"/>
          <w:kern w:val="22"/>
          <w:sz w:val="72"/>
          <w:szCs w:val="72"/>
        </w:rPr>
        <w:t>招  标  文  件</w:t>
      </w:r>
    </w:p>
    <w:p>
      <w:pPr>
        <w:pStyle w:val="2"/>
        <w:rPr>
          <w:rFonts w:cs="仿宋" w:asciiTheme="majorEastAsia" w:hAnsiTheme="majorEastAsia" w:eastAsiaTheme="majorEastAsia"/>
          <w:b w:val="0"/>
          <w:color w:val="000000"/>
          <w:spacing w:val="-16"/>
          <w:w w:val="90"/>
          <w:kern w:val="22"/>
          <w:sz w:val="72"/>
          <w:szCs w:val="72"/>
        </w:rPr>
      </w:pPr>
      <w:r>
        <w:rPr>
          <w:sz w:val="28"/>
          <w:szCs w:val="28"/>
        </w:rPr>
        <w:drawing>
          <wp:anchor distT="0" distB="0" distL="114300" distR="114300" simplePos="0" relativeHeight="251658240" behindDoc="0" locked="0" layoutInCell="1" allowOverlap="1">
            <wp:simplePos x="0" y="0"/>
            <wp:positionH relativeFrom="margin">
              <wp:posOffset>1513840</wp:posOffset>
            </wp:positionH>
            <wp:positionV relativeFrom="margin">
              <wp:posOffset>3627120</wp:posOffset>
            </wp:positionV>
            <wp:extent cx="2610485" cy="2205990"/>
            <wp:effectExtent l="0" t="0" r="18415" b="3810"/>
            <wp:wrapSquare wrapText="bothSides"/>
            <wp:docPr id="1" name="图片 2" descr="11111111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111111图片1"/>
                    <pic:cNvPicPr>
                      <a:picLocks noChangeAspect="1"/>
                    </pic:cNvPicPr>
                  </pic:nvPicPr>
                  <pic:blipFill>
                    <a:blip r:embed="rId12" cstate="print"/>
                    <a:stretch>
                      <a:fillRect/>
                    </a:stretch>
                  </pic:blipFill>
                  <pic:spPr>
                    <a:xfrm>
                      <a:off x="0" y="0"/>
                      <a:ext cx="2610485" cy="2205990"/>
                    </a:xfrm>
                    <a:prstGeom prst="rect">
                      <a:avLst/>
                    </a:prstGeom>
                    <a:noFill/>
                    <a:ln>
                      <a:noFill/>
                    </a:ln>
                  </pic:spPr>
                </pic:pic>
              </a:graphicData>
            </a:graphic>
          </wp:anchor>
        </w:drawing>
      </w:r>
    </w:p>
    <w:p>
      <w:pPr>
        <w:rPr>
          <w:rFonts w:cs="仿宋" w:asciiTheme="majorEastAsia" w:hAnsiTheme="majorEastAsia" w:eastAsiaTheme="majorEastAsia"/>
          <w:b/>
          <w:color w:val="000000"/>
          <w:spacing w:val="-16"/>
          <w:w w:val="90"/>
          <w:kern w:val="22"/>
          <w:sz w:val="72"/>
          <w:szCs w:val="72"/>
        </w:rPr>
      </w:pPr>
    </w:p>
    <w:p>
      <w:pPr>
        <w:pStyle w:val="2"/>
        <w:rPr>
          <w:rFonts w:cs="仿宋" w:asciiTheme="majorEastAsia" w:hAnsiTheme="majorEastAsia" w:eastAsiaTheme="majorEastAsia"/>
        </w:rPr>
      </w:pPr>
    </w:p>
    <w:p>
      <w:pPr>
        <w:ind w:firstLine="1899" w:firstLineChars="591"/>
        <w:rPr>
          <w:rFonts w:cs="仿宋" w:asciiTheme="majorEastAsia" w:hAnsiTheme="majorEastAsia" w:eastAsiaTheme="majorEastAsia"/>
          <w:b/>
          <w:color w:val="000000"/>
          <w:sz w:val="32"/>
          <w:szCs w:val="32"/>
        </w:rPr>
      </w:pPr>
    </w:p>
    <w:p>
      <w:pPr>
        <w:ind w:firstLine="1899" w:firstLineChars="591"/>
        <w:rPr>
          <w:rFonts w:cs="仿宋" w:asciiTheme="majorEastAsia" w:hAnsiTheme="majorEastAsia" w:eastAsiaTheme="majorEastAsia"/>
          <w:b/>
          <w:color w:val="000000"/>
          <w:sz w:val="32"/>
          <w:szCs w:val="32"/>
        </w:rPr>
      </w:pPr>
    </w:p>
    <w:p>
      <w:pPr>
        <w:ind w:firstLine="1899" w:firstLineChars="591"/>
        <w:rPr>
          <w:rFonts w:cs="仿宋" w:asciiTheme="majorEastAsia" w:hAnsiTheme="majorEastAsia" w:eastAsiaTheme="majorEastAsia"/>
        </w:rPr>
      </w:pPr>
      <w:r>
        <w:rPr>
          <w:rFonts w:hint="eastAsia" w:cs="仿宋" w:asciiTheme="majorEastAsia" w:hAnsiTheme="majorEastAsia" w:eastAsiaTheme="majorEastAsia"/>
          <w:b/>
          <w:color w:val="000000"/>
          <w:sz w:val="32"/>
          <w:szCs w:val="32"/>
        </w:rPr>
        <w:t xml:space="preserve">采购编号：长招采公字【2019】101号   </w:t>
      </w:r>
    </w:p>
    <w:p>
      <w:pPr>
        <w:pStyle w:val="105"/>
        <w:tabs>
          <w:tab w:val="left" w:pos="1980"/>
        </w:tabs>
        <w:spacing w:line="360" w:lineRule="auto"/>
        <w:ind w:firstLine="1928" w:firstLineChars="600"/>
        <w:rPr>
          <w:rFonts w:hAnsi="宋体" w:cs="黑体"/>
          <w:b/>
          <w:color w:val="auto"/>
          <w:sz w:val="32"/>
          <w:szCs w:val="32"/>
        </w:rPr>
      </w:pPr>
      <w:r>
        <w:rPr>
          <w:rFonts w:hint="eastAsia" w:cs="仿宋" w:asciiTheme="majorEastAsia" w:hAnsiTheme="majorEastAsia" w:eastAsiaTheme="majorEastAsia"/>
          <w:b/>
          <w:sz w:val="32"/>
          <w:szCs w:val="32"/>
        </w:rPr>
        <w:t>采购单位</w:t>
      </w:r>
      <w:r>
        <w:rPr>
          <w:rFonts w:hint="eastAsia" w:cs="仿宋" w:asciiTheme="majorEastAsia" w:hAnsiTheme="majorEastAsia" w:eastAsiaTheme="majorEastAsia"/>
          <w:b/>
          <w:sz w:val="36"/>
          <w:szCs w:val="36"/>
        </w:rPr>
        <w:t>：</w:t>
      </w:r>
      <w:r>
        <w:rPr>
          <w:rFonts w:hint="eastAsia" w:hAnsi="宋体" w:cs="黑体"/>
          <w:b/>
          <w:color w:val="auto"/>
          <w:sz w:val="32"/>
          <w:szCs w:val="32"/>
        </w:rPr>
        <w:t>长葛市住房和城乡建设局</w:t>
      </w:r>
    </w:p>
    <w:p>
      <w:pPr>
        <w:spacing w:line="800" w:lineRule="exact"/>
        <w:ind w:firstLine="1928" w:firstLineChars="600"/>
        <w:rPr>
          <w:rFonts w:cs="仿宋" w:asciiTheme="majorEastAsia" w:hAnsiTheme="majorEastAsia" w:eastAsiaTheme="majorEastAsia"/>
          <w:b/>
          <w:color w:val="000000"/>
          <w:sz w:val="32"/>
          <w:szCs w:val="32"/>
        </w:rPr>
      </w:pPr>
      <w:r>
        <w:rPr>
          <w:rFonts w:hint="eastAsia" w:cs="仿宋" w:asciiTheme="majorEastAsia" w:hAnsiTheme="majorEastAsia" w:eastAsiaTheme="majorEastAsia"/>
          <w:b/>
          <w:color w:val="000000"/>
          <w:sz w:val="32"/>
          <w:szCs w:val="32"/>
        </w:rPr>
        <w:t>代理机构：河南华明工程造价咨询有限公司</w:t>
      </w:r>
    </w:p>
    <w:p>
      <w:pPr>
        <w:spacing w:line="800" w:lineRule="exact"/>
        <w:ind w:firstLine="3511" w:firstLineChars="1093"/>
        <w:rPr>
          <w:rFonts w:cs="仿宋" w:asciiTheme="majorEastAsia" w:hAnsiTheme="majorEastAsia" w:eastAsiaTheme="majorEastAsia"/>
          <w:b/>
          <w:color w:val="333333"/>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86" w:bottom="1167" w:left="1380" w:header="851" w:footer="992" w:gutter="0"/>
          <w:pgNumType w:start="1"/>
          <w:cols w:space="720" w:num="1"/>
          <w:titlePg/>
          <w:docGrid w:type="lines" w:linePitch="312" w:charSpace="0"/>
        </w:sectPr>
      </w:pPr>
      <w:r>
        <w:rPr>
          <w:rFonts w:hint="eastAsia" w:cs="仿宋" w:asciiTheme="majorEastAsia" w:hAnsiTheme="majorEastAsia" w:eastAsiaTheme="majorEastAsia"/>
          <w:b/>
          <w:color w:val="000000"/>
          <w:sz w:val="32"/>
          <w:szCs w:val="32"/>
        </w:rPr>
        <w:t>二零一九年十二月</w:t>
      </w:r>
    </w:p>
    <w:p>
      <w:pPr>
        <w:jc w:val="center"/>
        <w:rPr>
          <w:rFonts w:cs="仿宋" w:asciiTheme="majorEastAsia" w:hAnsiTheme="majorEastAsia" w:eastAsiaTheme="majorEastAsia"/>
          <w:b/>
          <w:color w:val="000000" w:themeColor="text1"/>
          <w:sz w:val="28"/>
          <w:szCs w:val="28"/>
        </w:rPr>
      </w:pPr>
      <w:r>
        <w:rPr>
          <w:rFonts w:hint="eastAsia" w:cs="仿宋" w:asciiTheme="majorEastAsia" w:hAnsiTheme="majorEastAsia" w:eastAsiaTheme="majorEastAsia"/>
          <w:b/>
          <w:color w:val="000000" w:themeColor="text1"/>
          <w:sz w:val="32"/>
          <w:szCs w:val="32"/>
        </w:rPr>
        <w:t>供应商失信行为惩戒告知</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2" w:firstLineChars="200"/>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不符合投诉（举报）受理条件，被告知后仍进行重复投诉（举报），或多头投诉（举报）的。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3.其他虚假恶意投诉（举报）情况。</w:t>
      </w:r>
    </w:p>
    <w:p>
      <w:pPr>
        <w:ind w:firstLine="562" w:firstLineChars="200"/>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2" w:firstLineChars="200"/>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三、供应商（供应商）及其从业人员的不良行为记录期限一般为6—24个月。</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（一）存在下列行为之一的，记录期限为6个月：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1.采用不正当手段干扰交易活动正常进行的；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2.不服从现场工作人员管理，扰乱开评标秩序的；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3.在投标截止时间后撤回投标文件的；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4.质疑（异议）、投诉提供的证据证明系非法取得的。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5.一年内供应商质疑（异议）后无故撤销质疑（异议）2次（含2次）以上的；</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（二）存在下列行为之一的，记录期限为12个月：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1.捏造、歪曲事实或提供虚假不实的证据恶意投诉，影响交易活动正常进行的；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2.质疑（异议）投诉（举报）双方当事人无正当理由拒不配合调查处理或不参加质证的；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3.未提供有效证明材料支持其主张，经行政监督部门2次及以上书面答复，仍缠诉或多方投诉的；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4.未按交易文件主要内容签订合同的；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（三）存在下列行为之一的，记录期限为18个月：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1.在确定中标人之前就投标价格、投标方案等实质性内容与招标人（采购人）进行合同谈判的；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2.无正当理由放弃中标（成交）资格的；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3.中标（成交）后，不按招标文件规定提交履约担保的；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4.中标（成交）后，无正当理由未在规定期限内与招标人签订合同的；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5.拒绝接受或者阻挠公管办和行政监督部门依法进行监督检查的。</w:t>
      </w:r>
    </w:p>
    <w:p>
      <w:pPr>
        <w:ind w:firstLine="562" w:firstLineChars="200"/>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1.供应商互相串通投标或者与招标人串通投标，供应商以向招标人或者评标委员会成员行贿的手段谋取中标的；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2.投标时提供虚假材料，或以受让、借用、涂改、盗用、伪造资质证书或年检记录、图章、签名，使用虚假身份证件以及其他弄虚作假的方式参与投标的；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5.中标人不按照与招标人订立的合同履行义务，情节严重的；</w:t>
      </w:r>
    </w:p>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7.其它违反诚信原则或公共资源交易管理规定影响恶劣的行为。</w:t>
      </w:r>
    </w:p>
    <w:p>
      <w:pPr>
        <w:jc w:val="center"/>
        <w:rPr>
          <w:rFonts w:cs="仿宋" w:asciiTheme="majorEastAsia" w:hAnsiTheme="majorEastAsia" w:eastAsiaTheme="majorEastAsia"/>
          <w:sz w:val="28"/>
          <w:szCs w:val="28"/>
        </w:rPr>
      </w:pPr>
    </w:p>
    <w:p>
      <w:pPr>
        <w:jc w:val="center"/>
        <w:rPr>
          <w:rFonts w:cs="仿宋" w:asciiTheme="majorEastAsia" w:hAnsiTheme="majorEastAsia" w:eastAsiaTheme="majorEastAsia"/>
          <w:sz w:val="28"/>
          <w:szCs w:val="28"/>
        </w:rPr>
      </w:pPr>
    </w:p>
    <w:p>
      <w:pPr>
        <w:jc w:val="center"/>
        <w:rPr>
          <w:rFonts w:cs="仿宋" w:asciiTheme="majorEastAsia" w:hAnsiTheme="majorEastAsia" w:eastAsiaTheme="majorEastAsia"/>
          <w:sz w:val="28"/>
          <w:szCs w:val="28"/>
        </w:rPr>
      </w:pPr>
    </w:p>
    <w:p>
      <w:pPr>
        <w:jc w:val="center"/>
        <w:rPr>
          <w:rFonts w:cs="仿宋" w:asciiTheme="majorEastAsia" w:hAnsiTheme="majorEastAsia" w:eastAsiaTheme="majorEastAsia"/>
          <w:sz w:val="28"/>
          <w:szCs w:val="28"/>
        </w:rPr>
      </w:pPr>
    </w:p>
    <w:p>
      <w:pPr>
        <w:jc w:val="center"/>
        <w:rPr>
          <w:rFonts w:cs="仿宋" w:asciiTheme="majorEastAsia" w:hAnsiTheme="majorEastAsia" w:eastAsiaTheme="majorEastAsia"/>
          <w:sz w:val="28"/>
          <w:szCs w:val="28"/>
        </w:rPr>
      </w:pPr>
    </w:p>
    <w:p>
      <w:pPr>
        <w:jc w:val="center"/>
        <w:rPr>
          <w:rFonts w:cs="仿宋" w:asciiTheme="majorEastAsia" w:hAnsiTheme="majorEastAsia" w:eastAsiaTheme="majorEastAsia"/>
          <w:sz w:val="28"/>
          <w:szCs w:val="28"/>
        </w:rPr>
      </w:pPr>
    </w:p>
    <w:p>
      <w:pPr>
        <w:jc w:val="center"/>
        <w:rPr>
          <w:rFonts w:cs="仿宋" w:asciiTheme="majorEastAsia" w:hAnsiTheme="majorEastAsia" w:eastAsiaTheme="majorEastAsia"/>
          <w:sz w:val="28"/>
          <w:szCs w:val="28"/>
        </w:rPr>
      </w:pPr>
    </w:p>
    <w:p>
      <w:pPr>
        <w:jc w:val="center"/>
        <w:rPr>
          <w:rFonts w:cs="仿宋" w:asciiTheme="majorEastAsia" w:hAnsiTheme="majorEastAsia" w:eastAsiaTheme="majorEastAsia"/>
          <w:b/>
          <w:kern w:val="0"/>
          <w:sz w:val="28"/>
          <w:szCs w:val="28"/>
        </w:rPr>
      </w:pPr>
    </w:p>
    <w:p>
      <w:pPr>
        <w:jc w:val="center"/>
        <w:rPr>
          <w:rFonts w:cs="仿宋" w:asciiTheme="majorEastAsia" w:hAnsiTheme="majorEastAsia" w:eastAsiaTheme="majorEastAsia"/>
          <w:b/>
          <w:kern w:val="0"/>
          <w:sz w:val="28"/>
          <w:szCs w:val="28"/>
        </w:rPr>
      </w:pPr>
    </w:p>
    <w:p>
      <w:pPr>
        <w:jc w:val="center"/>
        <w:rPr>
          <w:rFonts w:cs="仿宋" w:asciiTheme="majorEastAsia" w:hAnsiTheme="majorEastAsia" w:eastAsiaTheme="majorEastAsia"/>
          <w:b/>
          <w:kern w:val="0"/>
          <w:sz w:val="32"/>
          <w:szCs w:val="32"/>
        </w:rPr>
      </w:pPr>
    </w:p>
    <w:p>
      <w:pPr>
        <w:rPr>
          <w:rFonts w:cs="仿宋" w:asciiTheme="majorEastAsia" w:hAnsiTheme="majorEastAsia" w:eastAsiaTheme="majorEastAsia"/>
          <w:b/>
          <w:kern w:val="0"/>
          <w:sz w:val="32"/>
          <w:szCs w:val="32"/>
        </w:rPr>
      </w:pPr>
    </w:p>
    <w:p>
      <w:pPr>
        <w:pStyle w:val="32"/>
      </w:pPr>
    </w:p>
    <w:p>
      <w:pPr>
        <w:pStyle w:val="32"/>
      </w:pPr>
    </w:p>
    <w:p>
      <w:pPr>
        <w:pStyle w:val="32"/>
      </w:pPr>
    </w:p>
    <w:p>
      <w:pPr>
        <w:pStyle w:val="32"/>
      </w:pPr>
    </w:p>
    <w:p>
      <w:pPr>
        <w:jc w:val="center"/>
        <w:rPr>
          <w:rFonts w:cs="仿宋" w:asciiTheme="majorEastAsia" w:hAnsiTheme="majorEastAsia" w:eastAsiaTheme="majorEastAsia"/>
          <w:b/>
          <w:kern w:val="0"/>
          <w:sz w:val="28"/>
          <w:szCs w:val="28"/>
        </w:rPr>
      </w:pPr>
    </w:p>
    <w:sdt>
      <w:sdtPr>
        <w:rPr>
          <w:rFonts w:ascii="宋体" w:hAnsi="宋体"/>
          <w:sz w:val="28"/>
          <w:szCs w:val="28"/>
        </w:rPr>
        <w:id w:val="147467025"/>
        <w:docPartObj>
          <w:docPartGallery w:val="Table of Contents"/>
          <w:docPartUnique/>
        </w:docPartObj>
      </w:sdtPr>
      <w:sdtEndPr>
        <w:rPr>
          <w:rFonts w:ascii="Times New Roman" w:hAnsi="Times New Roman"/>
          <w:sz w:val="21"/>
          <w:szCs w:val="24"/>
        </w:rPr>
      </w:sdtEndPr>
      <w:sdtContent>
        <w:p>
          <w:pPr>
            <w:jc w:val="center"/>
            <w:rPr>
              <w:sz w:val="28"/>
              <w:szCs w:val="28"/>
            </w:rPr>
          </w:pPr>
          <w:r>
            <w:rPr>
              <w:rFonts w:ascii="宋体" w:hAnsi="宋体"/>
              <w:sz w:val="28"/>
              <w:szCs w:val="28"/>
            </w:rPr>
            <w:t>目录</w:t>
          </w:r>
        </w:p>
        <w:p>
          <w:pPr>
            <w:pStyle w:val="102"/>
            <w:tabs>
              <w:tab w:val="right" w:leader="dot" w:pos="9740"/>
            </w:tabs>
            <w:rPr>
              <w:sz w:val="28"/>
              <w:szCs w:val="28"/>
            </w:rPr>
          </w:pPr>
          <w:r>
            <w:fldChar w:fldCharType="begin"/>
          </w:r>
          <w:r>
            <w:instrText xml:space="preserve"> HYPERLINK \l "_Toc4802_WPSOffice_Level1" </w:instrText>
          </w:r>
          <w:r>
            <w:fldChar w:fldCharType="separate"/>
          </w:r>
          <w:r>
            <w:rPr>
              <w:rFonts w:hint="eastAsia" w:cs="宋体" w:asciiTheme="majorEastAsia" w:hAnsiTheme="majorEastAsia" w:eastAsiaTheme="majorEastAsia"/>
              <w:sz w:val="28"/>
              <w:szCs w:val="28"/>
            </w:rPr>
            <w:t>第一章 招标公告</w:t>
          </w:r>
          <w:r>
            <w:rPr>
              <w:sz w:val="28"/>
              <w:szCs w:val="28"/>
            </w:rPr>
            <w:tab/>
          </w:r>
          <w:r>
            <w:rPr>
              <w:rFonts w:hint="eastAsia"/>
              <w:sz w:val="28"/>
              <w:szCs w:val="28"/>
            </w:rPr>
            <w:t>7</w:t>
          </w:r>
          <w:r>
            <w:rPr>
              <w:rFonts w:hint="eastAsia"/>
              <w:sz w:val="28"/>
              <w:szCs w:val="28"/>
            </w:rPr>
            <w:fldChar w:fldCharType="end"/>
          </w:r>
        </w:p>
        <w:p>
          <w:pPr>
            <w:pStyle w:val="102"/>
            <w:tabs>
              <w:tab w:val="right" w:leader="dot" w:pos="9740"/>
            </w:tabs>
            <w:rPr>
              <w:sz w:val="28"/>
              <w:szCs w:val="28"/>
            </w:rPr>
          </w:pPr>
          <w:r>
            <w:fldChar w:fldCharType="begin"/>
          </w:r>
          <w:r>
            <w:instrText xml:space="preserve"> HYPERLINK \l "_Toc12560_WPSOffice_Level1" </w:instrText>
          </w:r>
          <w:r>
            <w:fldChar w:fldCharType="separate"/>
          </w:r>
          <w:r>
            <w:rPr>
              <w:rFonts w:hint="eastAsia" w:cs="宋体" w:asciiTheme="majorEastAsia" w:hAnsiTheme="majorEastAsia" w:eastAsiaTheme="majorEastAsia"/>
              <w:sz w:val="28"/>
              <w:szCs w:val="28"/>
            </w:rPr>
            <w:t>第二章项目需求</w:t>
          </w:r>
          <w:r>
            <w:rPr>
              <w:sz w:val="28"/>
              <w:szCs w:val="28"/>
            </w:rPr>
            <w:tab/>
          </w:r>
          <w:r>
            <w:rPr>
              <w:rFonts w:hint="eastAsia"/>
              <w:sz w:val="28"/>
              <w:szCs w:val="28"/>
            </w:rPr>
            <w:t>1</w:t>
          </w:r>
          <w:r>
            <w:rPr>
              <w:rFonts w:hint="eastAsia"/>
              <w:sz w:val="28"/>
              <w:szCs w:val="28"/>
            </w:rPr>
            <w:fldChar w:fldCharType="end"/>
          </w:r>
          <w:r>
            <w:rPr>
              <w:rFonts w:hint="eastAsia"/>
              <w:sz w:val="28"/>
              <w:szCs w:val="28"/>
            </w:rPr>
            <w:t>1</w:t>
          </w:r>
        </w:p>
        <w:p>
          <w:pPr>
            <w:pStyle w:val="102"/>
            <w:tabs>
              <w:tab w:val="right" w:leader="dot" w:pos="9740"/>
            </w:tabs>
            <w:rPr>
              <w:sz w:val="28"/>
              <w:szCs w:val="28"/>
            </w:rPr>
          </w:pPr>
          <w:r>
            <w:fldChar w:fldCharType="begin"/>
          </w:r>
          <w:r>
            <w:instrText xml:space="preserve"> HYPERLINK \l "_Toc15496_WPSOffice_Level1" </w:instrText>
          </w:r>
          <w:r>
            <w:fldChar w:fldCharType="separate"/>
          </w:r>
          <w:r>
            <w:rPr>
              <w:rFonts w:hint="eastAsia" w:cs="仿宋" w:asciiTheme="majorEastAsia" w:hAnsiTheme="majorEastAsia" w:eastAsiaTheme="majorEastAsia"/>
              <w:sz w:val="28"/>
              <w:szCs w:val="28"/>
            </w:rPr>
            <w:t>第三章投标人须知前附表</w:t>
          </w:r>
          <w:r>
            <w:rPr>
              <w:sz w:val="28"/>
              <w:szCs w:val="28"/>
            </w:rPr>
            <w:tab/>
          </w:r>
          <w:r>
            <w:rPr>
              <w:rFonts w:hint="eastAsia"/>
              <w:sz w:val="28"/>
              <w:szCs w:val="28"/>
            </w:rPr>
            <w:t>1</w:t>
          </w:r>
          <w:r>
            <w:rPr>
              <w:rFonts w:hint="eastAsia"/>
              <w:sz w:val="28"/>
              <w:szCs w:val="28"/>
            </w:rPr>
            <w:fldChar w:fldCharType="end"/>
          </w:r>
          <w:r>
            <w:rPr>
              <w:rFonts w:hint="eastAsia"/>
              <w:sz w:val="28"/>
              <w:szCs w:val="28"/>
            </w:rPr>
            <w:t>3</w:t>
          </w:r>
        </w:p>
        <w:p>
          <w:pPr>
            <w:pStyle w:val="102"/>
            <w:tabs>
              <w:tab w:val="right" w:leader="dot" w:pos="9740"/>
            </w:tabs>
            <w:rPr>
              <w:sz w:val="28"/>
              <w:szCs w:val="28"/>
            </w:rPr>
          </w:pPr>
          <w:r>
            <w:fldChar w:fldCharType="begin"/>
          </w:r>
          <w:r>
            <w:instrText xml:space="preserve"> HYPERLINK \l "_Toc16313_WPSOffice_Level1" </w:instrText>
          </w:r>
          <w:r>
            <w:fldChar w:fldCharType="separate"/>
          </w:r>
          <w:r>
            <w:rPr>
              <w:rFonts w:hint="eastAsia" w:cs="宋体" w:asciiTheme="majorEastAsia" w:hAnsiTheme="majorEastAsia" w:eastAsiaTheme="majorEastAsia"/>
              <w:sz w:val="28"/>
              <w:szCs w:val="28"/>
            </w:rPr>
            <w:t>第四章 投标人须知</w:t>
          </w:r>
          <w:r>
            <w:rPr>
              <w:sz w:val="28"/>
              <w:szCs w:val="28"/>
            </w:rPr>
            <w:tab/>
          </w:r>
          <w:r>
            <w:rPr>
              <w:rFonts w:hint="eastAsia"/>
              <w:sz w:val="28"/>
              <w:szCs w:val="28"/>
            </w:rPr>
            <w:t>1</w:t>
          </w:r>
          <w:r>
            <w:rPr>
              <w:rFonts w:hint="eastAsia"/>
              <w:sz w:val="28"/>
              <w:szCs w:val="28"/>
            </w:rPr>
            <w:fldChar w:fldCharType="end"/>
          </w:r>
          <w:r>
            <w:rPr>
              <w:rFonts w:hint="eastAsia"/>
              <w:sz w:val="28"/>
              <w:szCs w:val="28"/>
            </w:rPr>
            <w:t>7</w:t>
          </w:r>
        </w:p>
        <w:p>
          <w:pPr>
            <w:pStyle w:val="102"/>
            <w:tabs>
              <w:tab w:val="right" w:leader="dot" w:pos="9740"/>
            </w:tabs>
            <w:rPr>
              <w:sz w:val="28"/>
              <w:szCs w:val="28"/>
            </w:rPr>
          </w:pPr>
          <w:r>
            <w:fldChar w:fldCharType="begin"/>
          </w:r>
          <w:r>
            <w:instrText xml:space="preserve"> HYPERLINK \l "_Toc22984_WPSOffice_Level1" </w:instrText>
          </w:r>
          <w:r>
            <w:fldChar w:fldCharType="separate"/>
          </w:r>
          <w:r>
            <w:rPr>
              <w:rFonts w:hint="eastAsia" w:cs="宋体" w:asciiTheme="majorEastAsia" w:hAnsiTheme="majorEastAsia" w:eastAsiaTheme="majorEastAsia"/>
              <w:sz w:val="28"/>
              <w:szCs w:val="28"/>
            </w:rPr>
            <w:t>第五章 政府采购政策功能</w:t>
          </w:r>
          <w:r>
            <w:rPr>
              <w:sz w:val="28"/>
              <w:szCs w:val="28"/>
            </w:rPr>
            <w:tab/>
          </w:r>
          <w:r>
            <w:rPr>
              <w:rFonts w:hint="eastAsia"/>
              <w:sz w:val="28"/>
              <w:szCs w:val="28"/>
            </w:rPr>
            <w:t>3</w:t>
          </w:r>
          <w:r>
            <w:rPr>
              <w:rFonts w:hint="eastAsia"/>
              <w:sz w:val="28"/>
              <w:szCs w:val="28"/>
            </w:rPr>
            <w:fldChar w:fldCharType="end"/>
          </w:r>
          <w:r>
            <w:rPr>
              <w:rFonts w:hint="eastAsia"/>
              <w:sz w:val="28"/>
              <w:szCs w:val="28"/>
            </w:rPr>
            <w:t>1</w:t>
          </w:r>
        </w:p>
        <w:p>
          <w:pPr>
            <w:pStyle w:val="102"/>
            <w:tabs>
              <w:tab w:val="right" w:leader="dot" w:pos="9740"/>
            </w:tabs>
            <w:rPr>
              <w:sz w:val="28"/>
              <w:szCs w:val="28"/>
            </w:rPr>
          </w:pPr>
          <w:r>
            <w:fldChar w:fldCharType="begin"/>
          </w:r>
          <w:r>
            <w:instrText xml:space="preserve"> HYPERLINK \l "_Toc9065_WPSOffice_Level1" </w:instrText>
          </w:r>
          <w:r>
            <w:fldChar w:fldCharType="separate"/>
          </w:r>
          <w:r>
            <w:rPr>
              <w:rFonts w:hint="eastAsia" w:cs="仿宋" w:asciiTheme="majorEastAsia" w:hAnsiTheme="majorEastAsia" w:eastAsiaTheme="majorEastAsia"/>
              <w:sz w:val="28"/>
              <w:szCs w:val="28"/>
            </w:rPr>
            <w:t>第六章资格审查与评标</w:t>
          </w:r>
          <w:r>
            <w:rPr>
              <w:sz w:val="28"/>
              <w:szCs w:val="28"/>
            </w:rPr>
            <w:tab/>
          </w:r>
          <w:r>
            <w:rPr>
              <w:rFonts w:hint="eastAsia"/>
              <w:sz w:val="28"/>
              <w:szCs w:val="28"/>
            </w:rPr>
            <w:t>3</w:t>
          </w:r>
          <w:r>
            <w:rPr>
              <w:rFonts w:hint="eastAsia"/>
              <w:sz w:val="28"/>
              <w:szCs w:val="28"/>
            </w:rPr>
            <w:fldChar w:fldCharType="end"/>
          </w:r>
          <w:r>
            <w:rPr>
              <w:rFonts w:hint="eastAsia"/>
              <w:sz w:val="28"/>
              <w:szCs w:val="28"/>
            </w:rPr>
            <w:t>3</w:t>
          </w:r>
        </w:p>
        <w:p>
          <w:pPr>
            <w:pStyle w:val="102"/>
            <w:tabs>
              <w:tab w:val="right" w:leader="dot" w:pos="9740"/>
            </w:tabs>
            <w:rPr>
              <w:sz w:val="28"/>
              <w:szCs w:val="28"/>
            </w:rPr>
          </w:pPr>
          <w:r>
            <w:fldChar w:fldCharType="begin"/>
          </w:r>
          <w:r>
            <w:instrText xml:space="preserve"> HYPERLINK \l "_Toc14094_WPSOffice_Level1" </w:instrText>
          </w:r>
          <w:r>
            <w:fldChar w:fldCharType="separate"/>
          </w:r>
          <w:r>
            <w:rPr>
              <w:rFonts w:hint="eastAsia" w:cs="仿宋" w:asciiTheme="majorEastAsia" w:hAnsiTheme="majorEastAsia" w:eastAsiaTheme="majorEastAsia"/>
              <w:sz w:val="28"/>
              <w:szCs w:val="28"/>
            </w:rPr>
            <w:t>第七章合同条款及格式</w:t>
          </w:r>
          <w:r>
            <w:rPr>
              <w:sz w:val="28"/>
              <w:szCs w:val="28"/>
            </w:rPr>
            <w:tab/>
          </w:r>
          <w:r>
            <w:rPr>
              <w:rFonts w:hint="eastAsia"/>
              <w:sz w:val="28"/>
              <w:szCs w:val="28"/>
            </w:rPr>
            <w:t>4</w:t>
          </w:r>
          <w:r>
            <w:rPr>
              <w:rFonts w:hint="eastAsia"/>
              <w:sz w:val="28"/>
              <w:szCs w:val="28"/>
            </w:rPr>
            <w:fldChar w:fldCharType="end"/>
          </w:r>
          <w:r>
            <w:rPr>
              <w:rFonts w:hint="eastAsia"/>
              <w:sz w:val="28"/>
              <w:szCs w:val="28"/>
            </w:rPr>
            <w:t>1</w:t>
          </w:r>
        </w:p>
        <w:p>
          <w:pPr>
            <w:pStyle w:val="102"/>
            <w:tabs>
              <w:tab w:val="right" w:leader="dot" w:pos="9740"/>
            </w:tabs>
            <w:rPr>
              <w:sz w:val="28"/>
              <w:szCs w:val="28"/>
            </w:rPr>
          </w:pPr>
          <w:r>
            <w:fldChar w:fldCharType="begin"/>
          </w:r>
          <w:r>
            <w:instrText xml:space="preserve"> HYPERLINK \l "_Toc17078_WPSOffice_Level1" </w:instrText>
          </w:r>
          <w:r>
            <w:fldChar w:fldCharType="separate"/>
          </w:r>
          <w:r>
            <w:rPr>
              <w:rFonts w:hint="eastAsia" w:cs="宋体" w:asciiTheme="majorEastAsia" w:hAnsiTheme="majorEastAsia" w:eastAsiaTheme="majorEastAsia"/>
              <w:sz w:val="28"/>
              <w:szCs w:val="28"/>
            </w:rPr>
            <w:t>第八章 投标文件有关格式</w:t>
          </w:r>
          <w:r>
            <w:rPr>
              <w:sz w:val="28"/>
              <w:szCs w:val="28"/>
            </w:rPr>
            <w:tab/>
          </w:r>
          <w:r>
            <w:rPr>
              <w:rFonts w:hint="eastAsia"/>
              <w:sz w:val="28"/>
              <w:szCs w:val="28"/>
            </w:rPr>
            <w:t>4</w:t>
          </w:r>
          <w:r>
            <w:rPr>
              <w:rFonts w:hint="eastAsia"/>
              <w:sz w:val="28"/>
              <w:szCs w:val="28"/>
            </w:rPr>
            <w:fldChar w:fldCharType="end"/>
          </w:r>
          <w:r>
            <w:rPr>
              <w:rFonts w:hint="eastAsia"/>
              <w:sz w:val="28"/>
              <w:szCs w:val="28"/>
            </w:rPr>
            <w:t>4</w:t>
          </w:r>
        </w:p>
        <w:p>
          <w:pPr>
            <w:jc w:val="center"/>
            <w:rPr>
              <w:rFonts w:cs="仿宋" w:asciiTheme="majorEastAsia" w:hAnsiTheme="majorEastAsia" w:eastAsiaTheme="majorEastAsia"/>
              <w:b/>
              <w:kern w:val="0"/>
              <w:sz w:val="36"/>
              <w:szCs w:val="32"/>
            </w:rPr>
          </w:pPr>
        </w:p>
      </w:sdtContent>
    </w:sdt>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jc w:val="center"/>
        <w:rPr>
          <w:rFonts w:cs="仿宋" w:asciiTheme="majorEastAsia" w:hAnsiTheme="majorEastAsia" w:eastAsiaTheme="majorEastAsia"/>
          <w:b/>
          <w:kern w:val="0"/>
          <w:sz w:val="36"/>
          <w:szCs w:val="32"/>
        </w:rPr>
      </w:pPr>
    </w:p>
    <w:p>
      <w:pPr>
        <w:widowControl/>
        <w:shd w:val="clear" w:color="auto" w:fill="FFFFFF"/>
        <w:spacing w:line="315" w:lineRule="atLeast"/>
        <w:rPr>
          <w:rFonts w:cs="宋体" w:asciiTheme="majorEastAsia" w:hAnsiTheme="majorEastAsia" w:eastAsiaTheme="majorEastAsia"/>
          <w:b/>
          <w:color w:val="000000"/>
          <w:sz w:val="36"/>
          <w:szCs w:val="36"/>
          <w:shd w:val="clear" w:color="auto" w:fill="FFFFFF"/>
        </w:rPr>
      </w:pPr>
      <w:bookmarkStart w:id="0" w:name="_Toc4802_WPSOffice_Level1"/>
    </w:p>
    <w:p>
      <w:pPr>
        <w:widowControl/>
        <w:shd w:val="clear" w:color="auto" w:fill="FFFFFF"/>
        <w:spacing w:line="315" w:lineRule="atLeast"/>
        <w:ind w:firstLine="723" w:firstLineChars="200"/>
        <w:jc w:val="center"/>
        <w:rPr>
          <w:rFonts w:cs="仿宋_GB2312" w:asciiTheme="majorEastAsia" w:hAnsiTheme="majorEastAsia" w:eastAsiaTheme="majorEastAsia"/>
          <w:color w:val="000000"/>
          <w:sz w:val="32"/>
          <w:szCs w:val="32"/>
          <w:shd w:val="clear" w:color="auto" w:fill="FFFFFF"/>
        </w:rPr>
      </w:pPr>
      <w:r>
        <w:rPr>
          <w:rFonts w:hint="eastAsia" w:cs="宋体" w:asciiTheme="majorEastAsia" w:hAnsiTheme="majorEastAsia" w:eastAsiaTheme="majorEastAsia"/>
          <w:b/>
          <w:color w:val="000000"/>
          <w:sz w:val="36"/>
          <w:szCs w:val="36"/>
          <w:shd w:val="clear" w:color="auto" w:fill="FFFFFF"/>
        </w:rPr>
        <w:t xml:space="preserve">第一章 </w:t>
      </w:r>
      <w:bookmarkEnd w:id="0"/>
      <w:r>
        <w:rPr>
          <w:rFonts w:hint="eastAsia" w:cs="宋体" w:asciiTheme="majorEastAsia" w:hAnsiTheme="majorEastAsia" w:eastAsiaTheme="majorEastAsia"/>
          <w:b/>
          <w:color w:val="000000"/>
          <w:sz w:val="36"/>
          <w:szCs w:val="36"/>
          <w:shd w:val="clear" w:color="auto" w:fill="FFFFFF"/>
        </w:rPr>
        <w:t>招标公告</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河南华明工程造价咨询有限公司受“长葛市住房和城乡建设局”的委托，就“长葛市老城区次干道及支路雨污分流工程设计”进行公开招标采购，欢迎合格的投标人前来投标。</w:t>
      </w:r>
    </w:p>
    <w:p>
      <w:pPr>
        <w:pStyle w:val="22"/>
        <w:widowControl/>
        <w:shd w:val="clear" w:color="auto" w:fill="FFFFFF"/>
        <w:spacing w:line="360" w:lineRule="auto"/>
        <w:ind w:firstLine="562" w:firstLineChars="200"/>
        <w:contextualSpacing/>
        <w:rPr>
          <w:rFonts w:cs="仿宋" w:asciiTheme="majorEastAsia" w:hAnsiTheme="majorEastAsia" w:eastAsiaTheme="majorEastAsia"/>
          <w:sz w:val="28"/>
          <w:shd w:val="clear" w:color="auto" w:fill="FFFFFF"/>
        </w:rPr>
      </w:pPr>
      <w:r>
        <w:rPr>
          <w:rFonts w:hint="eastAsia" w:cs="仿宋" w:asciiTheme="majorEastAsia" w:hAnsiTheme="majorEastAsia" w:eastAsiaTheme="majorEastAsia"/>
          <w:b/>
          <w:bCs/>
          <w:sz w:val="28"/>
          <w:shd w:val="clear" w:color="auto" w:fill="FFFFFF"/>
        </w:rPr>
        <w:t>一</w:t>
      </w:r>
      <w:r>
        <w:rPr>
          <w:rFonts w:hint="eastAsia" w:cs="仿宋" w:asciiTheme="majorEastAsia" w:hAnsiTheme="majorEastAsia" w:eastAsiaTheme="majorEastAsia"/>
          <w:b/>
          <w:kern w:val="2"/>
          <w:szCs w:val="21"/>
        </w:rPr>
        <w:t>、项目基本情况</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1.1项目名称：长葛市老城区次干道及支路雨污分流工程设计；</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1.2招标编号：长招采公字【2019】101号</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1.3工程设计服务内容：主要内容有对潩水路南段、八七路、建设路南段、长社路、益民街、文明街、铭心路、王庄街、市兴街育才街、车站街等11条次干道及支路雨污分流。计划新敷设d300-d800雨污水主管网约13315米:;井口加固Φ1250雨水检查井107座;井口加固Φ1000雨水检查井155座；新建偏沟式双篦雨水口524座；原雨水口封堵盖板564座等设计服务。</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1.4标包划分：本项目分为一个标包；</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1.5预算金额(最高限价)：431148.42元；</w:t>
      </w:r>
    </w:p>
    <w:p>
      <w:pPr>
        <w:pStyle w:val="22"/>
        <w:widowControl/>
        <w:shd w:val="clear" w:color="auto" w:fill="FFFFFF"/>
        <w:spacing w:line="360" w:lineRule="auto"/>
        <w:ind w:firstLine="420"/>
        <w:contextualSpacing/>
        <w:rPr>
          <w:rFonts w:cs="仿宋" w:asciiTheme="majorEastAsia" w:hAnsiTheme="majorEastAsia" w:eastAsiaTheme="majorEastAsia"/>
          <w:color w:val="000000" w:themeColor="text1"/>
          <w:szCs w:val="21"/>
        </w:rPr>
      </w:pPr>
      <w:r>
        <w:rPr>
          <w:rFonts w:hint="eastAsia" w:cs="仿宋" w:asciiTheme="majorEastAsia" w:hAnsiTheme="majorEastAsia" w:eastAsiaTheme="majorEastAsia"/>
          <w:szCs w:val="21"/>
        </w:rPr>
        <w:t>1.6交付（服务、完工）时间</w:t>
      </w:r>
      <w:r>
        <w:rPr>
          <w:rFonts w:hint="eastAsia" w:cs="仿宋" w:asciiTheme="majorEastAsia" w:hAnsiTheme="majorEastAsia" w:eastAsiaTheme="majorEastAsia"/>
          <w:color w:val="000000" w:themeColor="text1"/>
          <w:szCs w:val="21"/>
        </w:rPr>
        <w:t>：合同签订后10日历天内完成。</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1.7交付（服务、完工）地点：采购人指定交货地点</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二、需要落实的政府采购政策</w:t>
      </w:r>
    </w:p>
    <w:p>
      <w:pPr>
        <w:pStyle w:val="22"/>
        <w:widowControl/>
        <w:shd w:val="clear" w:color="auto" w:fill="FFFFFF"/>
        <w:spacing w:line="360" w:lineRule="auto"/>
        <w:ind w:firstLine="420"/>
        <w:contextualSpacing/>
        <w:rPr>
          <w:rFonts w:cs="仿宋_GB2312" w:asciiTheme="majorEastAsia" w:hAnsiTheme="majorEastAsia" w:eastAsiaTheme="majorEastAsia"/>
          <w:color w:val="000000"/>
          <w:shd w:val="clear" w:color="auto" w:fill="FFFFFF"/>
        </w:rPr>
      </w:pPr>
      <w:r>
        <w:rPr>
          <w:rFonts w:hint="eastAsia" w:cs="仿宋_GB2312" w:asciiTheme="majorEastAsia" w:hAnsiTheme="majorEastAsia" w:eastAsiaTheme="majorEastAsia"/>
          <w:color w:val="000000"/>
          <w:shd w:val="clear" w:color="auto" w:fill="FFFFFF"/>
        </w:rPr>
        <w:t>本项目落实</w:t>
      </w:r>
      <w:r>
        <w:rPr>
          <w:rFonts w:hint="eastAsia" w:cs="仿宋_GB2312" w:asciiTheme="majorEastAsia" w:hAnsiTheme="majorEastAsia" w:eastAsiaTheme="majorEastAsia"/>
          <w:color w:val="000000"/>
          <w:u w:val="single"/>
          <w:shd w:val="clear" w:color="auto" w:fill="FFFFFF"/>
        </w:rPr>
        <w:t>节能环保</w:t>
      </w:r>
      <w:r>
        <w:rPr>
          <w:rFonts w:hint="eastAsia" w:cs="仿宋_GB2312" w:asciiTheme="majorEastAsia" w:hAnsiTheme="majorEastAsia" w:eastAsiaTheme="majorEastAsia"/>
          <w:color w:val="000000"/>
          <w:shd w:val="clear" w:color="auto" w:fill="FFFFFF"/>
        </w:rPr>
        <w:t>、</w:t>
      </w:r>
      <w:r>
        <w:rPr>
          <w:rFonts w:hint="eastAsia" w:cs="仿宋_GB2312" w:asciiTheme="majorEastAsia" w:hAnsiTheme="majorEastAsia" w:eastAsiaTheme="majorEastAsia"/>
          <w:color w:val="000000"/>
          <w:u w:val="single"/>
          <w:shd w:val="clear" w:color="auto" w:fill="FFFFFF"/>
        </w:rPr>
        <w:t>中小微型企业</w:t>
      </w:r>
      <w:r>
        <w:rPr>
          <w:rFonts w:hint="eastAsia" w:cs="仿宋_GB2312" w:asciiTheme="majorEastAsia" w:hAnsiTheme="majorEastAsia" w:eastAsiaTheme="majorEastAsia"/>
          <w:color w:val="000000"/>
          <w:shd w:val="clear" w:color="auto" w:fill="FFFFFF"/>
        </w:rPr>
        <w:t>、</w:t>
      </w:r>
      <w:r>
        <w:rPr>
          <w:rFonts w:hint="eastAsia" w:cs="仿宋_GB2312" w:asciiTheme="majorEastAsia" w:hAnsiTheme="majorEastAsia" w:eastAsiaTheme="majorEastAsia"/>
          <w:color w:val="000000"/>
          <w:u w:val="single"/>
          <w:shd w:val="clear" w:color="auto" w:fill="FFFFFF"/>
        </w:rPr>
        <w:t>监狱企业</w:t>
      </w:r>
      <w:r>
        <w:rPr>
          <w:rFonts w:hint="eastAsia" w:cs="仿宋_GB2312" w:asciiTheme="majorEastAsia" w:hAnsiTheme="majorEastAsia" w:eastAsiaTheme="majorEastAsia"/>
          <w:color w:val="000000"/>
          <w:shd w:val="clear" w:color="auto" w:fill="FFFFFF"/>
        </w:rPr>
        <w:t>、</w:t>
      </w:r>
      <w:r>
        <w:rPr>
          <w:rFonts w:hint="eastAsia" w:cs="仿宋_GB2312" w:asciiTheme="majorEastAsia" w:hAnsiTheme="majorEastAsia" w:eastAsiaTheme="majorEastAsia"/>
          <w:color w:val="000000"/>
          <w:u w:val="single"/>
          <w:shd w:val="clear" w:color="auto" w:fill="FFFFFF"/>
        </w:rPr>
        <w:t>残疾人福利性单位</w:t>
      </w:r>
      <w:r>
        <w:rPr>
          <w:rFonts w:hint="eastAsia" w:cs="仿宋_GB2312" w:asciiTheme="majorEastAsia" w:hAnsiTheme="majorEastAsia" w:eastAsiaTheme="majorEastAsia"/>
          <w:color w:val="000000"/>
          <w:shd w:val="clear" w:color="auto" w:fill="FFFFFF"/>
        </w:rPr>
        <w:t>扶持等相关政府采购政策。</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三、投标人资格要求</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3.1符合《中华人民共和国政府采购法》第二十二条规定。</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3.2投标人须具有</w:t>
      </w:r>
      <w:r>
        <w:rPr>
          <w:rFonts w:hint="eastAsia"/>
        </w:rPr>
        <w:t>建设行政主管部门颁发的</w:t>
      </w:r>
      <w:r>
        <w:rPr>
          <w:rFonts w:hint="eastAsia"/>
          <w:bCs/>
        </w:rPr>
        <w:t>市政行业（排水工程）专业设计乙级及以上资质或市政行业设计乙级及以上资质或工程设计综合甲级资质</w:t>
      </w:r>
      <w:r>
        <w:rPr>
          <w:rFonts w:hint="eastAsia"/>
        </w:rPr>
        <w:t>，并在人员、设备、资金等方面具有相应的设计能力。</w:t>
      </w:r>
      <w:r>
        <w:rPr>
          <w:rFonts w:hint="eastAsia" w:cs="仿宋" w:asciiTheme="majorEastAsia" w:hAnsiTheme="majorEastAsia" w:eastAsiaTheme="majorEastAsia"/>
          <w:szCs w:val="21"/>
        </w:rPr>
        <w:t>项目负责人须具有相关专业中级及以上职称。</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3.3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3.4未被列入“信用中国”网站(www.creditchina.gov.cn)失信被执行人、重大税收违法案件当事人名单；“中国政府采购网”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3.5本项目不接受联合体投标。</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四、招标文件的获取</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（一）网上下载招标文件</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2、在投标截止时间前均可登录《全国公共资源交易平台（河南省·许昌市）》“投标人/供应商登录”入口（http://221.14.6.70:8088/ggzy/）自行下载招标文件（详见“常见问题解答-交易系统操作手册”）。</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五、投标截止时间、开标时间及地点</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（一）投标截止及开标时间：20</w:t>
      </w:r>
      <w:r>
        <w:rPr>
          <w:rFonts w:hint="eastAsia" w:cs="仿宋" w:asciiTheme="majorEastAsia" w:hAnsiTheme="majorEastAsia" w:eastAsiaTheme="majorEastAsia"/>
          <w:szCs w:val="21"/>
          <w:lang w:val="en-US" w:eastAsia="zh-CN"/>
        </w:rPr>
        <w:t>20</w:t>
      </w:r>
      <w:r>
        <w:rPr>
          <w:rFonts w:hint="eastAsia" w:cs="仿宋" w:asciiTheme="majorEastAsia" w:hAnsiTheme="majorEastAsia" w:eastAsiaTheme="majorEastAsia"/>
          <w:szCs w:val="21"/>
        </w:rPr>
        <w:t>年</w:t>
      </w:r>
      <w:r>
        <w:rPr>
          <w:rFonts w:hint="eastAsia" w:cs="仿宋" w:asciiTheme="majorEastAsia" w:hAnsiTheme="majorEastAsia" w:eastAsiaTheme="majorEastAsia"/>
          <w:szCs w:val="21"/>
          <w:lang w:val="en-US" w:eastAsia="zh-CN"/>
        </w:rPr>
        <w:t>1</w:t>
      </w:r>
      <w:r>
        <w:rPr>
          <w:rFonts w:hint="eastAsia" w:cs="仿宋" w:asciiTheme="majorEastAsia" w:hAnsiTheme="majorEastAsia" w:eastAsiaTheme="majorEastAsia"/>
          <w:szCs w:val="21"/>
        </w:rPr>
        <w:t>月</w:t>
      </w:r>
      <w:r>
        <w:rPr>
          <w:rFonts w:hint="eastAsia" w:cs="仿宋" w:asciiTheme="majorEastAsia" w:hAnsiTheme="majorEastAsia" w:eastAsiaTheme="majorEastAsia"/>
          <w:szCs w:val="21"/>
          <w:lang w:val="en-US" w:eastAsia="zh-CN"/>
        </w:rPr>
        <w:t>3</w:t>
      </w:r>
      <w:r>
        <w:rPr>
          <w:rFonts w:hint="eastAsia" w:cs="仿宋" w:asciiTheme="majorEastAsia" w:hAnsiTheme="majorEastAsia" w:eastAsiaTheme="majorEastAsia"/>
          <w:szCs w:val="21"/>
        </w:rPr>
        <w:t>日</w:t>
      </w:r>
      <w:r>
        <w:rPr>
          <w:rFonts w:hint="eastAsia" w:cs="仿宋" w:asciiTheme="majorEastAsia" w:hAnsiTheme="majorEastAsia" w:eastAsiaTheme="majorEastAsia"/>
          <w:szCs w:val="21"/>
          <w:lang w:val="en-US" w:eastAsia="zh-CN"/>
        </w:rPr>
        <w:t>9</w:t>
      </w:r>
      <w:r>
        <w:rPr>
          <w:rFonts w:hint="eastAsia" w:cs="仿宋" w:asciiTheme="majorEastAsia" w:hAnsiTheme="majorEastAsia" w:eastAsiaTheme="majorEastAsia"/>
          <w:szCs w:val="21"/>
        </w:rPr>
        <w:t>时</w:t>
      </w:r>
      <w:r>
        <w:rPr>
          <w:rFonts w:hint="eastAsia" w:cs="仿宋" w:asciiTheme="majorEastAsia" w:hAnsiTheme="majorEastAsia" w:eastAsiaTheme="majorEastAsia"/>
          <w:szCs w:val="21"/>
          <w:lang w:val="en-US" w:eastAsia="zh-CN"/>
        </w:rPr>
        <w:t>00</w:t>
      </w:r>
      <w:r>
        <w:rPr>
          <w:rFonts w:hint="eastAsia" w:cs="仿宋" w:asciiTheme="majorEastAsia" w:hAnsiTheme="majorEastAsia" w:eastAsiaTheme="majorEastAsia"/>
          <w:szCs w:val="21"/>
        </w:rPr>
        <w:t>分（北京时间），逾期提交或不符合规定的投标文件不予接受。</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（二）开标地点：长葛市葛天大道东段商务区6#楼</w:t>
      </w:r>
      <w:r>
        <w:rPr>
          <w:rFonts w:hint="eastAsia" w:cs="仿宋" w:asciiTheme="majorEastAsia" w:hAnsiTheme="majorEastAsia" w:eastAsiaTheme="majorEastAsia"/>
          <w:szCs w:val="21"/>
          <w:lang w:eastAsia="zh-CN"/>
        </w:rPr>
        <w:t>四</w:t>
      </w:r>
      <w:r>
        <w:rPr>
          <w:rFonts w:hint="eastAsia" w:cs="仿宋" w:asciiTheme="majorEastAsia" w:hAnsiTheme="majorEastAsia" w:eastAsiaTheme="majorEastAsia"/>
          <w:szCs w:val="21"/>
        </w:rPr>
        <w:t>楼开标</w:t>
      </w:r>
      <w:r>
        <w:rPr>
          <w:rFonts w:hint="eastAsia" w:cs="仿宋" w:asciiTheme="majorEastAsia" w:hAnsiTheme="majorEastAsia" w:eastAsiaTheme="majorEastAsia"/>
          <w:szCs w:val="21"/>
          <w:lang w:eastAsia="zh-CN"/>
        </w:rPr>
        <w:t>二</w:t>
      </w:r>
      <w:r>
        <w:rPr>
          <w:rFonts w:hint="eastAsia" w:cs="仿宋" w:asciiTheme="majorEastAsia" w:hAnsiTheme="majorEastAsia" w:eastAsiaTheme="majorEastAsia"/>
          <w:szCs w:val="21"/>
        </w:rPr>
        <w:t>室。</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（三）本项目为全流程电子化交易项目，投标人须提交电子投标文件和纸质投标文件。</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1、加密电子投标文件（.file格式）须在投标截止时间（开标时间）前通过《全国公共资源交易平台(河南省</w:t>
      </w:r>
      <w:r>
        <w:rPr>
          <w:rFonts w:hint="eastAsia" w:eastAsia="MS Mincho" w:cs="MS Mincho" w:asciiTheme="majorEastAsia" w:hAnsiTheme="majorEastAsia"/>
          <w:szCs w:val="21"/>
        </w:rPr>
        <w:t>▪</w:t>
      </w:r>
      <w:r>
        <w:rPr>
          <w:rFonts w:hint="eastAsia" w:cs="仿宋" w:asciiTheme="majorEastAsia" w:hAnsiTheme="majorEastAsia" w:eastAsiaTheme="majorEastAsia"/>
          <w:szCs w:val="21"/>
        </w:rPr>
        <w:t>许昌市)》公共资源交易系统成功上传。</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2、纸质投标文件（正本、副本各1份）和备份文件1份（使用电子介质存储）在投标截止时间（开标时间）前递交至本项目开标地点。</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六、本次招标公告同时在《河南省政府采购网》、《全国公共资源交易平台（河南省·许昌市）》、《长葛市人民政府门户网站》发布。</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七、公告期限</w:t>
      </w:r>
    </w:p>
    <w:p>
      <w:pPr>
        <w:pStyle w:val="22"/>
        <w:widowControl/>
        <w:shd w:val="clear" w:color="auto" w:fill="FFFFFF"/>
        <w:spacing w:line="360" w:lineRule="auto"/>
        <w:ind w:firstLine="420"/>
        <w:contextualSpacing/>
        <w:rPr>
          <w:rFonts w:cs="仿宋" w:asciiTheme="majorEastAsia" w:hAnsiTheme="majorEastAsia" w:eastAsiaTheme="majorEastAsia"/>
          <w:szCs w:val="21"/>
        </w:rPr>
      </w:pPr>
      <w:r>
        <w:rPr>
          <w:rFonts w:hint="eastAsia" w:cs="仿宋" w:asciiTheme="majorEastAsia" w:hAnsiTheme="majorEastAsia" w:eastAsiaTheme="majorEastAsia"/>
          <w:szCs w:val="21"/>
        </w:rPr>
        <w:t>本招标公告自发布之日起公告期限为5个工作日。</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八、联系方式</w:t>
      </w:r>
    </w:p>
    <w:p>
      <w:pPr>
        <w:ind w:firstLine="720" w:firstLineChars="300"/>
        <w:rPr>
          <w:rFonts w:cs="仿宋" w:asciiTheme="majorEastAsia" w:hAnsiTheme="majorEastAsia" w:eastAsiaTheme="majorEastAsia"/>
          <w:kern w:val="0"/>
          <w:sz w:val="24"/>
          <w:szCs w:val="21"/>
        </w:rPr>
      </w:pPr>
      <w:r>
        <w:rPr>
          <w:rFonts w:hint="eastAsia" w:cs="仿宋" w:asciiTheme="majorEastAsia" w:hAnsiTheme="majorEastAsia" w:eastAsiaTheme="majorEastAsia"/>
          <w:kern w:val="0"/>
          <w:sz w:val="24"/>
          <w:szCs w:val="21"/>
        </w:rPr>
        <w:t>采购人：长葛市住房和城乡建设局</w:t>
      </w:r>
    </w:p>
    <w:p>
      <w:pPr>
        <w:spacing w:line="360" w:lineRule="auto"/>
        <w:ind w:firstLine="480" w:firstLineChars="200"/>
        <w:rPr>
          <w:rFonts w:cs="仿宋" w:asciiTheme="majorEastAsia" w:hAnsiTheme="majorEastAsia" w:eastAsiaTheme="majorEastAsia"/>
          <w:kern w:val="0"/>
          <w:sz w:val="24"/>
          <w:szCs w:val="21"/>
        </w:rPr>
      </w:pPr>
      <w:r>
        <w:rPr>
          <w:rFonts w:hint="eastAsia" w:cs="仿宋" w:asciiTheme="majorEastAsia" w:hAnsiTheme="majorEastAsia" w:eastAsiaTheme="majorEastAsia"/>
          <w:kern w:val="0"/>
          <w:sz w:val="24"/>
          <w:szCs w:val="21"/>
        </w:rPr>
        <w:t>联系人：袁先生   联系电话：13137438059</w:t>
      </w:r>
    </w:p>
    <w:p>
      <w:pPr>
        <w:spacing w:line="360" w:lineRule="auto"/>
        <w:ind w:firstLine="480" w:firstLineChars="200"/>
        <w:rPr>
          <w:rFonts w:cs="仿宋" w:asciiTheme="majorEastAsia" w:hAnsiTheme="majorEastAsia" w:eastAsiaTheme="majorEastAsia"/>
          <w:kern w:val="0"/>
          <w:sz w:val="24"/>
          <w:szCs w:val="21"/>
        </w:rPr>
      </w:pPr>
      <w:r>
        <w:rPr>
          <w:rFonts w:hint="eastAsia" w:cs="仿宋" w:asciiTheme="majorEastAsia" w:hAnsiTheme="majorEastAsia" w:eastAsiaTheme="majorEastAsia"/>
          <w:kern w:val="0"/>
          <w:sz w:val="24"/>
          <w:szCs w:val="21"/>
        </w:rPr>
        <w:t>地址:长葛市葛天大道6号楼</w:t>
      </w:r>
    </w:p>
    <w:p>
      <w:pPr>
        <w:spacing w:line="360" w:lineRule="auto"/>
        <w:ind w:firstLine="480" w:firstLineChars="200"/>
        <w:rPr>
          <w:rFonts w:cs="仿宋" w:asciiTheme="majorEastAsia" w:hAnsiTheme="majorEastAsia" w:eastAsiaTheme="majorEastAsia"/>
          <w:kern w:val="0"/>
          <w:sz w:val="24"/>
          <w:szCs w:val="21"/>
        </w:rPr>
      </w:pPr>
      <w:r>
        <w:rPr>
          <w:rFonts w:hint="eastAsia" w:cs="仿宋" w:asciiTheme="majorEastAsia" w:hAnsiTheme="majorEastAsia" w:eastAsiaTheme="majorEastAsia"/>
          <w:kern w:val="0"/>
          <w:sz w:val="24"/>
          <w:szCs w:val="21"/>
        </w:rPr>
        <w:t>招标代理机构：河南华明工程造价咨询有限公司</w:t>
      </w:r>
    </w:p>
    <w:p>
      <w:pPr>
        <w:spacing w:line="360" w:lineRule="auto"/>
        <w:ind w:firstLine="480" w:firstLineChars="200"/>
        <w:rPr>
          <w:rFonts w:cs="仿宋" w:asciiTheme="majorEastAsia" w:hAnsiTheme="majorEastAsia" w:eastAsiaTheme="majorEastAsia"/>
          <w:kern w:val="0"/>
          <w:sz w:val="24"/>
          <w:szCs w:val="21"/>
        </w:rPr>
      </w:pPr>
      <w:r>
        <w:rPr>
          <w:rFonts w:hint="eastAsia" w:cs="仿宋" w:asciiTheme="majorEastAsia" w:hAnsiTheme="majorEastAsia" w:eastAsiaTheme="majorEastAsia"/>
          <w:kern w:val="0"/>
          <w:sz w:val="24"/>
          <w:szCs w:val="21"/>
        </w:rPr>
        <w:t xml:space="preserve">联系人：谭女士   联系电话：15537426779 </w:t>
      </w:r>
    </w:p>
    <w:p>
      <w:pPr>
        <w:spacing w:line="360" w:lineRule="auto"/>
        <w:ind w:firstLine="480" w:firstLineChars="200"/>
        <w:rPr>
          <w:rFonts w:cs="仿宋" w:asciiTheme="majorEastAsia" w:hAnsiTheme="majorEastAsia" w:eastAsiaTheme="majorEastAsia"/>
          <w:b/>
          <w:sz w:val="24"/>
          <w:szCs w:val="21"/>
        </w:rPr>
      </w:pPr>
      <w:r>
        <w:rPr>
          <w:rFonts w:hint="eastAsia" w:cs="仿宋" w:asciiTheme="majorEastAsia" w:hAnsiTheme="majorEastAsia" w:eastAsiaTheme="majorEastAsia"/>
          <w:kern w:val="0"/>
          <w:sz w:val="24"/>
          <w:szCs w:val="21"/>
        </w:rPr>
        <w:t xml:space="preserve">地址：郑州市高新开发区西三环283号国家大学科技园（东区）18号楼14层 </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b/>
          <w:kern w:val="2"/>
          <w:szCs w:val="21"/>
        </w:rPr>
        <w:t>九、特别提示：</w:t>
      </w:r>
    </w:p>
    <w:p>
      <w:pPr>
        <w:pStyle w:val="22"/>
        <w:widowControl/>
        <w:shd w:val="clear" w:color="auto" w:fill="FFFFFF"/>
        <w:spacing w:line="360" w:lineRule="auto"/>
        <w:ind w:firstLine="420"/>
        <w:contextualSpacing/>
        <w:rPr>
          <w:rFonts w:cs="仿宋" w:asciiTheme="majorEastAsia" w:hAnsiTheme="majorEastAsia" w:eastAsiaTheme="majorEastAsia"/>
          <w:b/>
          <w:kern w:val="2"/>
          <w:szCs w:val="21"/>
        </w:rPr>
      </w:pPr>
      <w:r>
        <w:rPr>
          <w:rFonts w:hint="eastAsia" w:cs="仿宋" w:asciiTheme="majorEastAsia" w:hAnsiTheme="majorEastAsia" w:eastAsiaTheme="majorEastAsia"/>
          <w:szCs w:val="21"/>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cs="仿宋" w:asciiTheme="majorEastAsia" w:hAnsiTheme="majorEastAsia" w:eastAsiaTheme="majorEastAsia"/>
          <w:kern w:val="0"/>
          <w:sz w:val="24"/>
          <w:szCs w:val="21"/>
        </w:rPr>
      </w:pPr>
      <w:r>
        <w:rPr>
          <w:rFonts w:hint="eastAsia" w:cs="仿宋" w:asciiTheme="majorEastAsia" w:hAnsiTheme="majorEastAsia" w:eastAsiaTheme="majorEastAsia"/>
          <w:kern w:val="0"/>
          <w:sz w:val="24"/>
          <w:szCs w:val="21"/>
        </w:rPr>
        <w:t xml:space="preserve">2、各投标人对代理公司提供的服务不满意，或认为代理公司在服务过程中有不当行为的，可致电长葛市公共资源交易管理委员会办公室监管股（0374-6189576），经查实后将视情况作出处理。 </w:t>
      </w:r>
    </w:p>
    <w:p>
      <w:pPr>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温馨提示：</w:t>
      </w:r>
    </w:p>
    <w:p>
      <w:pPr>
        <w:spacing w:line="360" w:lineRule="auto"/>
        <w:ind w:firstLine="482" w:firstLineChars="200"/>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本项目为全流程电子化交易项目，请认真阅读招标文件，并注意以下事项。</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2.电子文件下载、制作、提交期间和开标（</w:t>
      </w:r>
      <w:r>
        <w:rPr>
          <w:rFonts w:hint="eastAsia" w:cs="仿宋" w:asciiTheme="majorEastAsia" w:hAnsiTheme="majorEastAsia" w:eastAsiaTheme="majorEastAsia"/>
          <w:sz w:val="24"/>
          <w:szCs w:val="21"/>
        </w:rPr>
        <w:t>电子投标文件的解密</w:t>
      </w:r>
      <w:r>
        <w:rPr>
          <w:rFonts w:hint="eastAsia" w:cs="仿宋" w:asciiTheme="majorEastAsia" w:hAnsiTheme="majorEastAsia" w:eastAsiaTheme="majorEastAsia"/>
          <w:b/>
          <w:sz w:val="24"/>
          <w:szCs w:val="21"/>
        </w:rPr>
        <w:t>）环节，投标人须使用CA数字证书（证书须在有效期内）。</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3.电子投标文件的制作</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3.1投标人登录《全国公共资源交易平台(河南省</w:t>
      </w:r>
      <w:r>
        <w:rPr>
          <w:rFonts w:hint="eastAsia" w:eastAsia="MS Mincho" w:cs="MS Mincho" w:asciiTheme="majorEastAsia" w:hAnsiTheme="majorEastAsia"/>
          <w:sz w:val="24"/>
          <w:szCs w:val="21"/>
        </w:rPr>
        <w:t>▪</w:t>
      </w:r>
      <w:r>
        <w:rPr>
          <w:rFonts w:hint="eastAsia" w:cs="仿宋" w:asciiTheme="majorEastAsia" w:hAnsiTheme="majorEastAsia" w:eastAsiaTheme="majorEastAsia"/>
          <w:sz w:val="24"/>
          <w:szCs w:val="21"/>
        </w:rPr>
        <w:t>许昌市)》公共资源交易系统（</w:t>
      </w:r>
      <w:r>
        <w:fldChar w:fldCharType="begin"/>
      </w:r>
      <w:r>
        <w:instrText xml:space="preserve"> HYPERLINK "http://221.14.6.70:8088/ggzy/" </w:instrText>
      </w:r>
      <w:r>
        <w:fldChar w:fldCharType="separate"/>
      </w:r>
      <w:r>
        <w:rPr>
          <w:rStyle w:val="31"/>
          <w:rFonts w:hint="eastAsia" w:cs="仿宋" w:asciiTheme="majorEastAsia" w:hAnsiTheme="majorEastAsia" w:eastAsiaTheme="majorEastAsia"/>
          <w:color w:val="auto"/>
          <w:sz w:val="24"/>
          <w:szCs w:val="21"/>
        </w:rPr>
        <w:t>http://221.14.6.70:8088/ggzy/</w:t>
      </w:r>
      <w:r>
        <w:rPr>
          <w:rStyle w:val="31"/>
          <w:rFonts w:hint="eastAsia" w:cs="仿宋" w:asciiTheme="majorEastAsia" w:hAnsiTheme="majorEastAsia" w:eastAsiaTheme="majorEastAsia"/>
          <w:color w:val="auto"/>
          <w:sz w:val="24"/>
          <w:szCs w:val="21"/>
        </w:rPr>
        <w:fldChar w:fldCharType="end"/>
      </w:r>
      <w:r>
        <w:rPr>
          <w:rFonts w:hint="eastAsia" w:cs="仿宋" w:asciiTheme="majorEastAsia" w:hAnsiTheme="majorEastAsia" w:eastAsiaTheme="majorEastAsia"/>
          <w:sz w:val="24"/>
          <w:szCs w:val="21"/>
        </w:rPr>
        <w:t>）下载“许昌投标文件制作系统SEARUN V1.1”，按招标文件要求制作电子投标文件。</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电子投标文件的制作，参考《全国公共资源交易平台(河南省</w:t>
      </w:r>
      <w:r>
        <w:rPr>
          <w:rFonts w:hint="eastAsia" w:eastAsia="MS Mincho" w:cs="MS Mincho" w:asciiTheme="majorEastAsia" w:hAnsiTheme="majorEastAsia"/>
          <w:sz w:val="24"/>
          <w:szCs w:val="21"/>
        </w:rPr>
        <w:t>▪</w:t>
      </w:r>
      <w:r>
        <w:rPr>
          <w:rFonts w:hint="eastAsia" w:cs="仿宋" w:asciiTheme="majorEastAsia" w:hAnsiTheme="majorEastAsia" w:eastAsiaTheme="majorEastAsia"/>
          <w:sz w:val="24"/>
          <w:szCs w:val="21"/>
        </w:rPr>
        <w:t>许昌市)》公共资源交易系统——组件下载——交易系统操作手册（投标人、供应商）。</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3.2投标人须将招标文件要求的资质、业绩、荣誉及相关人员证明材料等资料原件扫描件（或图片）制作到所提交的电子投标文件中。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4.加密电子投标文件的提交</w:t>
      </w:r>
    </w:p>
    <w:p>
      <w:pPr>
        <w:tabs>
          <w:tab w:val="left" w:pos="7095"/>
        </w:tabs>
        <w:spacing w:line="360" w:lineRule="auto"/>
        <w:ind w:left="525" w:leftChars="25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4.1加密电子投标文件应在招标文件规定的投标截止时间（开标时间）之前成功提交至《全国公共资源交易平台(河南省</w:t>
      </w:r>
      <w:r>
        <w:rPr>
          <w:rFonts w:hint="eastAsia" w:eastAsia="MS Mincho" w:cs="MS Mincho" w:asciiTheme="majorEastAsia" w:hAnsiTheme="majorEastAsia"/>
          <w:sz w:val="24"/>
          <w:szCs w:val="21"/>
        </w:rPr>
        <w:t>▪</w:t>
      </w:r>
      <w:r>
        <w:rPr>
          <w:rFonts w:hint="eastAsia" w:cs="仿宋" w:asciiTheme="majorEastAsia" w:hAnsiTheme="majorEastAsia" w:eastAsiaTheme="majorEastAsia"/>
          <w:sz w:val="24"/>
          <w:szCs w:val="21"/>
        </w:rPr>
        <w:t>许昌市)》公共资源交易系统（</w:t>
      </w:r>
      <w:r>
        <w:fldChar w:fldCharType="begin"/>
      </w:r>
      <w:r>
        <w:instrText xml:space="preserve"> HYPERLINK "http://221.14.6.70:8088/ggzy/" </w:instrText>
      </w:r>
      <w:r>
        <w:fldChar w:fldCharType="separate"/>
      </w:r>
      <w:r>
        <w:rPr>
          <w:rStyle w:val="31"/>
          <w:rFonts w:hint="eastAsia" w:cs="仿宋" w:asciiTheme="majorEastAsia" w:hAnsiTheme="majorEastAsia" w:eastAsiaTheme="majorEastAsia"/>
          <w:color w:val="auto"/>
          <w:sz w:val="24"/>
          <w:szCs w:val="21"/>
        </w:rPr>
        <w:t>http://221.14.6.70:8088/ggzy/</w:t>
      </w:r>
      <w:r>
        <w:rPr>
          <w:rStyle w:val="31"/>
          <w:rFonts w:hint="eastAsia" w:cs="仿宋" w:asciiTheme="majorEastAsia" w:hAnsiTheme="majorEastAsia" w:eastAsiaTheme="majorEastAsia"/>
          <w:color w:val="auto"/>
          <w:sz w:val="24"/>
          <w:szCs w:val="21"/>
        </w:rPr>
        <w:fldChar w:fldCharType="end"/>
      </w:r>
      <w:r>
        <w:rPr>
          <w:rFonts w:hint="eastAsia" w:cs="仿宋" w:asciiTheme="majorEastAsia" w:hAnsiTheme="majorEastAsia" w:eastAsiaTheme="majorEastAsia"/>
          <w:sz w:val="24"/>
          <w:szCs w:val="21"/>
        </w:rPr>
        <w:t>）。</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投标人应充分考虑并预留技术处理和上传数据所需时间。</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4.2 投标人对同一项目多个标段进行投标的，加密电子投标文件应按标段分别提交。</w:t>
      </w:r>
    </w:p>
    <w:p>
      <w:pPr>
        <w:tabs>
          <w:tab w:val="left" w:pos="7095"/>
        </w:tabs>
        <w:spacing w:line="360" w:lineRule="auto"/>
        <w:ind w:firstLine="480" w:firstLineChars="200"/>
        <w:contextualSpacing/>
        <w:rPr>
          <w:rFonts w:cs="仿宋" w:asciiTheme="majorEastAsia" w:hAnsiTheme="majorEastAsia" w:eastAsiaTheme="majorEastAsia"/>
          <w:sz w:val="24"/>
          <w:szCs w:val="21"/>
        </w:rPr>
      </w:pPr>
      <w:r>
        <w:rPr>
          <w:rFonts w:hint="eastAsia" w:cs="仿宋" w:asciiTheme="majorEastAsia" w:hAnsiTheme="majorEastAsia" w:eastAsiaTheme="majorEastAsia"/>
          <w:sz w:val="24"/>
          <w:szCs w:val="21"/>
        </w:rPr>
        <w:t>4.3 加密电子投标文件成功提交后，投标人应打印“投标文件提交回执单”供开标现场备查。</w:t>
      </w:r>
    </w:p>
    <w:p>
      <w:pPr>
        <w:tabs>
          <w:tab w:val="left" w:pos="7095"/>
        </w:tabs>
        <w:spacing w:line="360" w:lineRule="auto"/>
        <w:ind w:firstLine="482" w:firstLineChars="200"/>
        <w:contextualSpacing/>
        <w:rPr>
          <w:rFonts w:cs="仿宋" w:asciiTheme="majorEastAsia" w:hAnsiTheme="majorEastAsia" w:eastAsiaTheme="majorEastAsia"/>
          <w:b/>
          <w:sz w:val="24"/>
          <w:szCs w:val="21"/>
        </w:rPr>
      </w:pPr>
      <w:r>
        <w:rPr>
          <w:rFonts w:hint="eastAsia" w:cs="仿宋" w:asciiTheme="majorEastAsia" w:hAnsiTheme="majorEastAsia" w:eastAsiaTheme="majorEastAsia"/>
          <w:b/>
          <w:sz w:val="24"/>
          <w:szCs w:val="21"/>
        </w:rPr>
        <w:t>5.评标依据</w:t>
      </w:r>
    </w:p>
    <w:p>
      <w:pPr>
        <w:tabs>
          <w:tab w:val="left" w:pos="7095"/>
        </w:tabs>
        <w:spacing w:line="360" w:lineRule="auto"/>
        <w:ind w:firstLine="480" w:firstLineChars="200"/>
        <w:contextualSpacing/>
        <w:rPr>
          <w:rFonts w:cs="宋体" w:asciiTheme="majorEastAsia" w:hAnsiTheme="majorEastAsia" w:eastAsiaTheme="majorEastAsia"/>
          <w:b/>
          <w:kern w:val="0"/>
          <w:sz w:val="36"/>
          <w:szCs w:val="36"/>
        </w:rPr>
      </w:pPr>
      <w:r>
        <w:rPr>
          <w:rFonts w:hint="eastAsia" w:cs="仿宋" w:asciiTheme="majorEastAsia" w:hAnsiTheme="majorEastAsia" w:eastAsiaTheme="majorEastAsia"/>
          <w:sz w:val="24"/>
          <w:szCs w:val="21"/>
        </w:rPr>
        <w:t>5.1采用全流程电子化交易评标时，评标委员会以电子投标文件为依据评标。</w:t>
      </w:r>
      <w:bookmarkStart w:id="1" w:name="_Toc12560_WPSOffice_Level1"/>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p>
    <w:p>
      <w:pPr>
        <w:spacing w:afterLines="50"/>
        <w:rPr>
          <w:rFonts w:cs="宋体" w:asciiTheme="majorEastAsia" w:hAnsiTheme="majorEastAsia" w:eastAsiaTheme="majorEastAsia"/>
          <w:b/>
          <w:kern w:val="0"/>
          <w:sz w:val="36"/>
          <w:szCs w:val="36"/>
        </w:rPr>
      </w:pPr>
    </w:p>
    <w:p>
      <w:pPr>
        <w:spacing w:afterLines="5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第二章项目需求</w:t>
      </w:r>
      <w:bookmarkEnd w:id="1"/>
    </w:p>
    <w:p>
      <w:pPr>
        <w:numPr>
          <w:ilvl w:val="0"/>
          <w:numId w:val="3"/>
        </w:numPr>
        <w:spacing w:line="360" w:lineRule="auto"/>
        <w:rPr>
          <w:rFonts w:ascii="黑体" w:hAnsi="宋体" w:cs="宋体"/>
          <w:b/>
          <w:kern w:val="0"/>
          <w:sz w:val="28"/>
          <w:szCs w:val="28"/>
        </w:rPr>
      </w:pPr>
      <w:bookmarkStart w:id="2" w:name="_Toc15496_WPSOffice_Level1"/>
      <w:r>
        <w:rPr>
          <w:rFonts w:hint="eastAsia" w:ascii="黑体" w:hAnsi="宋体" w:cs="宋体"/>
          <w:b/>
          <w:kern w:val="0"/>
          <w:sz w:val="28"/>
          <w:szCs w:val="28"/>
        </w:rPr>
        <w:t>采购内容及要求：</w:t>
      </w:r>
    </w:p>
    <w:p>
      <w:pPr>
        <w:numPr>
          <w:ilvl w:val="0"/>
          <w:numId w:val="4"/>
        </w:numPr>
        <w:spacing w:line="360" w:lineRule="auto"/>
        <w:ind w:firstLine="482" w:firstLineChars="200"/>
        <w:rPr>
          <w:rFonts w:ascii="宋体" w:hAnsi="宋体" w:cs="宋体"/>
          <w:sz w:val="24"/>
        </w:rPr>
      </w:pPr>
      <w:r>
        <w:rPr>
          <w:rFonts w:hint="eastAsia" w:ascii="宋体" w:hAnsi="宋体" w:cs="宋体"/>
          <w:b/>
          <w:bCs/>
          <w:sz w:val="24"/>
        </w:rPr>
        <w:t>采购内容：</w:t>
      </w:r>
      <w:r>
        <w:rPr>
          <w:rFonts w:hint="eastAsia" w:ascii="宋体" w:hAnsi="宋体" w:cs="宋体"/>
          <w:sz w:val="24"/>
        </w:rPr>
        <w:t>主要内容有对潩水路南段、八七路、建设路南段、长社路、益民街、文明街、铭心路、王庄街、市兴街育才街、车站街等11条次干道及支路雨污分流。计划新敷设d300-d800雨污水主管网约13315米:;井口加固Φ1250雨水检查井107座;井口加固Φ1000雨水检查井155座；新建偏沟式双篦雨水口524座；原雨水口封堵盖板564座等设计服务。</w:t>
      </w:r>
    </w:p>
    <w:p>
      <w:pPr>
        <w:numPr>
          <w:ilvl w:val="0"/>
          <w:numId w:val="4"/>
        </w:numPr>
        <w:spacing w:line="360" w:lineRule="auto"/>
        <w:ind w:firstLine="482" w:firstLineChars="200"/>
        <w:rPr>
          <w:rFonts w:ascii="宋体" w:hAnsi="宋体" w:cs="宋体"/>
          <w:b/>
          <w:bCs/>
          <w:sz w:val="24"/>
        </w:rPr>
      </w:pPr>
      <w:r>
        <w:rPr>
          <w:rFonts w:hint="eastAsia" w:ascii="宋体" w:hAnsi="宋体" w:cs="宋体"/>
          <w:b/>
          <w:bCs/>
          <w:sz w:val="24"/>
        </w:rPr>
        <w:t>2、投标人资格要求</w:t>
      </w:r>
    </w:p>
    <w:p>
      <w:pPr>
        <w:spacing w:line="360" w:lineRule="auto"/>
        <w:ind w:firstLine="480" w:firstLineChars="200"/>
        <w:rPr>
          <w:rFonts w:ascii="宋体" w:hAnsi="宋体" w:cs="宋体"/>
          <w:sz w:val="24"/>
        </w:rPr>
      </w:pPr>
      <w:r>
        <w:rPr>
          <w:rFonts w:hint="eastAsia" w:ascii="宋体" w:hAnsi="宋体" w:cs="宋体"/>
          <w:sz w:val="24"/>
        </w:rPr>
        <w:t>2.1符合《中华人民共和国政府采购法》第二十二条规定。</w:t>
      </w:r>
    </w:p>
    <w:p>
      <w:pPr>
        <w:pStyle w:val="22"/>
        <w:widowControl/>
        <w:shd w:val="clear" w:color="auto" w:fill="FFFFFF"/>
        <w:spacing w:before="0" w:beforeAutospacing="0" w:after="0" w:afterAutospacing="0" w:line="360" w:lineRule="auto"/>
        <w:ind w:firstLine="480" w:firstLineChars="200"/>
        <w:contextualSpacing/>
        <w:rPr>
          <w:rFonts w:ascii="宋体" w:hAnsi="宋体" w:cs="宋体"/>
        </w:rPr>
      </w:pPr>
      <w:r>
        <w:rPr>
          <w:rFonts w:hint="eastAsia" w:ascii="宋体" w:hAnsi="宋体" w:cs="宋体"/>
        </w:rPr>
        <w:t>2.2</w:t>
      </w:r>
      <w:r>
        <w:rPr>
          <w:rFonts w:hint="eastAsia" w:cs="仿宋" w:asciiTheme="majorEastAsia" w:hAnsiTheme="majorEastAsia" w:eastAsiaTheme="majorEastAsia"/>
          <w:szCs w:val="21"/>
        </w:rPr>
        <w:t>投标人须具有建设行政主管部门颁发的市政行业（排水工程）专业设计乙级及以上资质或市政行业设计乙级及以上资质或工程设计综合甲级资质，并在人员、设备、资金等方面具有相应的设计能力。项目负责人须具有相关专业中级及以上职称。</w:t>
      </w:r>
    </w:p>
    <w:p>
      <w:pPr>
        <w:spacing w:line="360" w:lineRule="auto"/>
        <w:ind w:firstLine="480" w:firstLineChars="200"/>
        <w:rPr>
          <w:rFonts w:ascii="宋体" w:hAnsi="宋体" w:cs="宋体"/>
          <w:sz w:val="24"/>
        </w:rPr>
      </w:pPr>
      <w:r>
        <w:rPr>
          <w:rFonts w:hint="eastAsia" w:ascii="宋体" w:hAnsi="宋体" w:cs="宋体"/>
          <w:sz w:val="24"/>
        </w:rPr>
        <w:t>2.3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440" w:lineRule="exact"/>
        <w:ind w:firstLine="480" w:firstLineChars="200"/>
        <w:rPr>
          <w:rFonts w:ascii="宋体" w:hAnsi="宋体" w:cs="宋体"/>
          <w:sz w:val="24"/>
        </w:rPr>
      </w:pPr>
      <w:r>
        <w:rPr>
          <w:rFonts w:hint="eastAsia" w:ascii="宋体" w:hAnsi="宋体" w:cs="宋体"/>
          <w:sz w:val="24"/>
        </w:rPr>
        <w:t>2.4未被列入“信用中国”网站(www.creditchina.gov.cn)失信被执行人、重大税收违法案件当事人名单；“中国政府采购网”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spacing w:line="440" w:lineRule="exact"/>
        <w:ind w:firstLine="480" w:firstLineChars="200"/>
        <w:rPr>
          <w:rFonts w:ascii="宋体" w:hAnsi="宋体" w:cs="宋体"/>
          <w:sz w:val="24"/>
        </w:rPr>
      </w:pPr>
      <w:r>
        <w:rPr>
          <w:rFonts w:hint="eastAsia" w:ascii="宋体" w:hAnsi="宋体" w:cs="宋体"/>
          <w:sz w:val="24"/>
        </w:rPr>
        <w:t>2.5本次招标不接受联合体投标。</w:t>
      </w:r>
    </w:p>
    <w:p>
      <w:pPr>
        <w:spacing w:line="360" w:lineRule="auto"/>
        <w:rPr>
          <w:rFonts w:ascii="黑体" w:hAnsi="宋体" w:cs="宋体"/>
          <w:b/>
          <w:kern w:val="0"/>
          <w:sz w:val="28"/>
          <w:szCs w:val="28"/>
        </w:rPr>
      </w:pPr>
      <w:r>
        <w:rPr>
          <w:rFonts w:hint="eastAsia" w:ascii="黑体" w:hAnsi="宋体" w:cs="宋体"/>
          <w:b/>
          <w:kern w:val="0"/>
          <w:sz w:val="28"/>
          <w:szCs w:val="28"/>
        </w:rPr>
        <w:t>二、其他要求</w:t>
      </w:r>
    </w:p>
    <w:p>
      <w:pPr>
        <w:spacing w:line="360" w:lineRule="auto"/>
        <w:ind w:firstLine="480" w:firstLineChars="200"/>
        <w:rPr>
          <w:rFonts w:ascii="宋体" w:hAnsi="宋体" w:cs="宋体"/>
          <w:sz w:val="24"/>
        </w:rPr>
      </w:pPr>
      <w:r>
        <w:rPr>
          <w:rFonts w:hint="eastAsia" w:ascii="宋体" w:hAnsi="宋体" w:cs="宋体"/>
          <w:sz w:val="24"/>
        </w:rPr>
        <w:t>1、本次采购不接受联合体投标。</w:t>
      </w:r>
    </w:p>
    <w:p>
      <w:pPr>
        <w:spacing w:line="360" w:lineRule="auto"/>
        <w:ind w:firstLine="480" w:firstLineChars="200"/>
        <w:rPr>
          <w:rFonts w:ascii="宋体" w:hAnsi="宋体"/>
          <w:sz w:val="24"/>
        </w:rPr>
      </w:pPr>
      <w:r>
        <w:rPr>
          <w:rFonts w:hint="eastAsia" w:ascii="宋体" w:hAnsi="宋体" w:cs="宋体"/>
          <w:sz w:val="24"/>
        </w:rPr>
        <w:t>2、</w:t>
      </w:r>
      <w:r>
        <w:rPr>
          <w:rFonts w:hint="eastAsia" w:ascii="宋体" w:hAnsi="宋体"/>
          <w:sz w:val="24"/>
        </w:rPr>
        <w:t>服务期限：自合同签订之日起10日内</w:t>
      </w:r>
    </w:p>
    <w:p>
      <w:pPr>
        <w:spacing w:line="360" w:lineRule="auto"/>
        <w:ind w:firstLine="480" w:firstLineChars="200"/>
        <w:rPr>
          <w:rFonts w:ascii="宋体" w:hAnsi="宋体"/>
          <w:bCs/>
          <w:sz w:val="24"/>
        </w:rPr>
      </w:pPr>
      <w:r>
        <w:rPr>
          <w:rFonts w:hint="eastAsia" w:ascii="宋体" w:hAnsi="宋体"/>
          <w:bCs/>
          <w:sz w:val="24"/>
        </w:rPr>
        <w:t>3、</w:t>
      </w:r>
      <w:bookmarkStart w:id="3" w:name="定位_【交货地点】_201042105043"/>
      <w:bookmarkEnd w:id="3"/>
      <w:r>
        <w:rPr>
          <w:rFonts w:hint="eastAsia" w:ascii="宋体" w:hAnsi="宋体"/>
          <w:bCs/>
          <w:sz w:val="24"/>
        </w:rPr>
        <w:t>付款方式：按实际签订合同为准</w:t>
      </w:r>
    </w:p>
    <w:p>
      <w:pPr>
        <w:spacing w:line="360" w:lineRule="auto"/>
        <w:ind w:firstLine="480" w:firstLineChars="200"/>
        <w:rPr>
          <w:rFonts w:ascii="宋体" w:hAnsi="宋体" w:cs="宋体"/>
          <w:sz w:val="24"/>
        </w:rPr>
      </w:pPr>
      <w:r>
        <w:rPr>
          <w:rFonts w:hint="eastAsia" w:ascii="宋体" w:hAnsi="宋体"/>
          <w:bCs/>
          <w:sz w:val="24"/>
        </w:rPr>
        <w:t>4、</w:t>
      </w:r>
      <w:r>
        <w:rPr>
          <w:rFonts w:hint="eastAsia" w:ascii="宋体" w:hAnsi="宋体" w:cs="宋体"/>
          <w:sz w:val="24"/>
        </w:rPr>
        <w:t>投标单位必须由</w:t>
      </w:r>
      <w:r>
        <w:rPr>
          <w:rFonts w:hint="eastAsia" w:ascii="宋体" w:hAnsi="宋体" w:cs="宋体"/>
          <w:b/>
          <w:bCs/>
          <w:sz w:val="24"/>
        </w:rPr>
        <w:t>法定代表人（单位负责人）或委托代理人参加开标会</w:t>
      </w:r>
      <w:r>
        <w:rPr>
          <w:rFonts w:hint="eastAsia" w:ascii="宋体" w:hAnsi="宋体" w:cs="宋体"/>
          <w:sz w:val="24"/>
        </w:rPr>
        <w:t>，随时接受评委询问，并予以解答。</w:t>
      </w:r>
    </w:p>
    <w:p>
      <w:pPr>
        <w:spacing w:line="360" w:lineRule="auto"/>
        <w:ind w:firstLine="480" w:firstLineChars="200"/>
        <w:rPr>
          <w:rFonts w:ascii="宋体" w:hAnsi="宋体" w:cs="宋体"/>
          <w:sz w:val="24"/>
        </w:rPr>
      </w:pPr>
      <w:r>
        <w:rPr>
          <w:rFonts w:hint="eastAsia" w:ascii="宋体" w:hAnsi="宋体" w:cs="宋体"/>
          <w:sz w:val="24"/>
        </w:rPr>
        <w:t>5、投标单位必须严格遵守开标制度，在规定时间内参加投标，否则将取消投标资格。</w:t>
      </w:r>
    </w:p>
    <w:p>
      <w:pPr>
        <w:ind w:firstLine="480" w:firstLineChars="200"/>
      </w:pPr>
      <w:r>
        <w:rPr>
          <w:rFonts w:hint="eastAsia" w:ascii="宋体" w:hAnsi="宋体" w:cs="宋体"/>
          <w:sz w:val="24"/>
        </w:rPr>
        <w:t>6、投标人的投标文件,需密封投标，因未按招标文件要求密封造成的泄密，采购方概不负责任。</w:t>
      </w:r>
      <w:r>
        <w:rPr>
          <w:rFonts w:hint="eastAsia" w:ascii="宋体" w:hAnsi="宋体" w:cs="宋体"/>
          <w:sz w:val="24"/>
        </w:rPr>
        <w:br w:type="textWrapping"/>
      </w:r>
      <w:r>
        <w:rPr>
          <w:rFonts w:hint="eastAsia" w:ascii="宋体" w:hAnsi="宋体" w:cs="宋体"/>
          <w:sz w:val="24"/>
        </w:rPr>
        <w:t>7、</w:t>
      </w:r>
      <w:r>
        <w:rPr>
          <w:rFonts w:hint="eastAsia" w:ascii="宋体" w:hAnsi="宋体" w:cs="宋体"/>
          <w:kern w:val="0"/>
          <w:sz w:val="24"/>
        </w:rPr>
        <w:t>本采购文件所列需求为最低要求，投标人的服务不得低于最低要求。</w:t>
      </w:r>
    </w:p>
    <w:p>
      <w:pPr>
        <w:pageBreakBefore/>
        <w:autoSpaceDE w:val="0"/>
        <w:autoSpaceDN w:val="0"/>
        <w:adjustRightInd w:val="0"/>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第三章投标人须知前附表</w:t>
      </w:r>
      <w:bookmarkEnd w:id="2"/>
    </w:p>
    <w:p>
      <w:pPr>
        <w:autoSpaceDE w:val="0"/>
        <w:autoSpaceDN w:val="0"/>
        <w:adjustRightInd w:val="0"/>
        <w:spacing w:line="360" w:lineRule="auto"/>
        <w:ind w:right="-11"/>
        <w:jc w:val="left"/>
        <w:rPr>
          <w:rFonts w:asciiTheme="majorEastAsia" w:hAnsiTheme="majorEastAsia" w:eastAsiaTheme="majorEastAsia"/>
        </w:rPr>
      </w:pPr>
      <w:r>
        <w:rPr>
          <w:rFonts w:hint="eastAsia" w:cs="微软雅黑" w:asciiTheme="majorEastAsia" w:hAnsiTheme="majorEastAsia" w:eastAsiaTheme="majorEastAsia"/>
          <w:b/>
          <w:color w:val="FF0000"/>
          <w:sz w:val="24"/>
        </w:rPr>
        <w:t>招标文件中凡标有★条款均为实质性要求条款，投标文件须完全响应，未实质响应的，按照无效投标处理。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序号</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条款名称</w:t>
            </w:r>
          </w:p>
        </w:tc>
        <w:tc>
          <w:tcPr>
            <w:tcW w:w="6813" w:type="dxa"/>
            <w:vAlign w:val="center"/>
          </w:tcPr>
          <w:p>
            <w:pPr>
              <w:autoSpaceDE w:val="0"/>
              <w:autoSpaceDN w:val="0"/>
              <w:adjustRightInd w:val="0"/>
              <w:spacing w:line="276" w:lineRule="auto"/>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采购项目</w:t>
            </w:r>
          </w:p>
        </w:tc>
        <w:tc>
          <w:tcPr>
            <w:tcW w:w="6813" w:type="dxa"/>
          </w:tcPr>
          <w:p>
            <w:pPr>
              <w:pStyle w:val="22"/>
              <w:widowControl/>
              <w:shd w:val="clear" w:color="auto" w:fill="FFFFFF"/>
              <w:spacing w:line="360" w:lineRule="auto"/>
              <w:contextualSpacing/>
              <w:rPr>
                <w:rFonts w:cs="仿宋" w:asciiTheme="majorEastAsia" w:hAnsiTheme="majorEastAsia" w:eastAsiaTheme="majorEastAsia"/>
                <w:kern w:val="2"/>
                <w:sz w:val="21"/>
              </w:rPr>
            </w:pPr>
            <w:r>
              <w:rPr>
                <w:rFonts w:hint="eastAsia" w:cs="仿宋" w:asciiTheme="majorEastAsia" w:hAnsiTheme="majorEastAsia" w:eastAsiaTheme="majorEastAsia"/>
                <w:kern w:val="2"/>
                <w:sz w:val="21"/>
              </w:rPr>
              <w:t>项目名称：长葛市老城区次干道及支路雨污分流工程设计</w:t>
            </w:r>
          </w:p>
          <w:p>
            <w:pPr>
              <w:pStyle w:val="22"/>
              <w:widowControl/>
              <w:shd w:val="clear" w:color="auto" w:fill="FFFFFF"/>
              <w:spacing w:line="360" w:lineRule="auto"/>
              <w:contextualSpacing/>
              <w:rPr>
                <w:rFonts w:cs="仿宋" w:asciiTheme="majorEastAsia" w:hAnsiTheme="majorEastAsia" w:eastAsiaTheme="majorEastAsia"/>
                <w:kern w:val="2"/>
                <w:sz w:val="21"/>
              </w:rPr>
            </w:pPr>
            <w:r>
              <w:rPr>
                <w:rFonts w:hint="eastAsia" w:cs="仿宋" w:asciiTheme="majorEastAsia" w:hAnsiTheme="majorEastAsia" w:eastAsiaTheme="majorEastAsia"/>
                <w:kern w:val="2"/>
                <w:sz w:val="21"/>
              </w:rPr>
              <w:t>项目编号：长招采公字【2019】101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采购人</w:t>
            </w:r>
          </w:p>
        </w:tc>
        <w:tc>
          <w:tcPr>
            <w:tcW w:w="6813" w:type="dxa"/>
            <w:vAlign w:val="center"/>
          </w:tcPr>
          <w:p>
            <w:pPr>
              <w:rPr>
                <w:rFonts w:cs="仿宋" w:asciiTheme="majorEastAsia" w:hAnsiTheme="majorEastAsia" w:eastAsiaTheme="majorEastAsia"/>
              </w:rPr>
            </w:pPr>
            <w:r>
              <w:rPr>
                <w:rFonts w:hint="eastAsia" w:cs="仿宋" w:asciiTheme="majorEastAsia" w:hAnsiTheme="majorEastAsia" w:eastAsiaTheme="majorEastAsia"/>
              </w:rPr>
              <w:t>采购人：长葛市住房和城乡建设局</w:t>
            </w:r>
          </w:p>
          <w:p>
            <w:pPr>
              <w:spacing w:line="360" w:lineRule="auto"/>
              <w:rPr>
                <w:rFonts w:cs="仿宋" w:asciiTheme="majorEastAsia" w:hAnsiTheme="majorEastAsia" w:eastAsiaTheme="majorEastAsia"/>
              </w:rPr>
            </w:pPr>
            <w:r>
              <w:rPr>
                <w:rFonts w:hint="eastAsia" w:cs="仿宋" w:asciiTheme="majorEastAsia" w:hAnsiTheme="majorEastAsia" w:eastAsiaTheme="majorEastAsia"/>
              </w:rPr>
              <w:t>联系人：袁先生   联系电话：13137438059</w:t>
            </w:r>
          </w:p>
          <w:p>
            <w:pPr>
              <w:spacing w:line="360" w:lineRule="auto"/>
              <w:rPr>
                <w:rFonts w:cs="仿宋" w:asciiTheme="majorEastAsia" w:hAnsiTheme="majorEastAsia" w:eastAsiaTheme="majorEastAsia"/>
              </w:rPr>
            </w:pPr>
            <w:r>
              <w:rPr>
                <w:rFonts w:hint="eastAsia" w:cs="仿宋" w:asciiTheme="majorEastAsia" w:hAnsiTheme="majorEastAsia" w:eastAsiaTheme="majorEastAsia"/>
              </w:rPr>
              <w:t>地址:长葛市葛天大道6号楼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3</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代理机构</w:t>
            </w:r>
          </w:p>
        </w:tc>
        <w:tc>
          <w:tcPr>
            <w:tcW w:w="6813" w:type="dxa"/>
            <w:vAlign w:val="center"/>
          </w:tcPr>
          <w:p>
            <w:pPr>
              <w:spacing w:line="360" w:lineRule="auto"/>
              <w:rPr>
                <w:rFonts w:cs="仿宋" w:asciiTheme="majorEastAsia" w:hAnsiTheme="majorEastAsia" w:eastAsiaTheme="majorEastAsia"/>
              </w:rPr>
            </w:pPr>
            <w:r>
              <w:rPr>
                <w:rFonts w:hint="eastAsia" w:cs="仿宋" w:asciiTheme="majorEastAsia" w:hAnsiTheme="majorEastAsia" w:eastAsiaTheme="majorEastAsia"/>
              </w:rPr>
              <w:t>招标代理机构：河南华明工程造价咨询有限公司</w:t>
            </w:r>
          </w:p>
          <w:p>
            <w:pPr>
              <w:spacing w:line="360" w:lineRule="auto"/>
              <w:rPr>
                <w:rFonts w:cs="仿宋" w:asciiTheme="majorEastAsia" w:hAnsiTheme="majorEastAsia" w:eastAsiaTheme="majorEastAsia"/>
              </w:rPr>
            </w:pPr>
            <w:r>
              <w:rPr>
                <w:rFonts w:hint="eastAsia" w:cs="仿宋" w:asciiTheme="majorEastAsia" w:hAnsiTheme="majorEastAsia" w:eastAsiaTheme="majorEastAsia"/>
              </w:rPr>
              <w:t xml:space="preserve">联系人：谭女士   联系电话：15537426779 </w:t>
            </w:r>
          </w:p>
          <w:p>
            <w:pPr>
              <w:spacing w:line="360" w:lineRule="auto"/>
              <w:rPr>
                <w:rFonts w:cs="仿宋" w:asciiTheme="majorEastAsia" w:hAnsiTheme="majorEastAsia" w:eastAsiaTheme="majorEastAsia"/>
              </w:rPr>
            </w:pPr>
            <w:r>
              <w:rPr>
                <w:rFonts w:hint="eastAsia" w:cs="仿宋" w:asciiTheme="majorEastAsia" w:hAnsiTheme="majorEastAsia" w:eastAsiaTheme="majorEastAsia"/>
              </w:rPr>
              <w:t xml:space="preserve">地址：郑州市高新开发区西三环283号国家大学科技园（东区）18号楼14层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4</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微软雅黑" w:asciiTheme="majorEastAsia" w:hAnsiTheme="majorEastAsia" w:eastAsiaTheme="majorEastAsia"/>
                <w:b/>
                <w:color w:val="FF0000"/>
                <w:sz w:val="24"/>
              </w:rPr>
              <w:t>★</w:t>
            </w:r>
            <w:r>
              <w:rPr>
                <w:rFonts w:hint="eastAsia" w:cs="仿宋" w:asciiTheme="majorEastAsia" w:hAnsiTheme="majorEastAsia" w:eastAsiaTheme="majorEastAsia"/>
                <w:szCs w:val="21"/>
              </w:rPr>
              <w:t>投标人资格</w:t>
            </w:r>
          </w:p>
        </w:tc>
        <w:tc>
          <w:tcPr>
            <w:tcW w:w="6813" w:type="dxa"/>
            <w:vAlign w:val="center"/>
          </w:tcPr>
          <w:p>
            <w:pPr>
              <w:autoSpaceDE w:val="0"/>
              <w:autoSpaceDN w:val="0"/>
              <w:contextualSpacing/>
              <w:rPr>
                <w:rFonts w:cs="仿宋" w:asciiTheme="majorEastAsia" w:hAnsiTheme="majorEastAsia" w:eastAsiaTheme="majorEastAsia"/>
                <w:bCs/>
                <w:szCs w:val="21"/>
              </w:rPr>
            </w:pPr>
            <w:r>
              <w:rPr>
                <w:rFonts w:hint="eastAsia" w:cs="仿宋" w:asciiTheme="majorEastAsia" w:hAnsiTheme="majorEastAsia" w:eastAsiaTheme="majorEastAsia"/>
                <w:bCs/>
                <w:szCs w:val="21"/>
              </w:rPr>
              <w:t>1、符合《中华人民共和国政府采购法》第二十二条规定。</w:t>
            </w:r>
          </w:p>
          <w:p>
            <w:pPr>
              <w:pStyle w:val="22"/>
              <w:widowControl/>
              <w:shd w:val="clear" w:color="auto" w:fill="FFFFFF"/>
              <w:contextualSpacing/>
              <w:rPr>
                <w:rFonts w:cs="仿宋" w:asciiTheme="majorEastAsia" w:hAnsiTheme="majorEastAsia" w:eastAsiaTheme="majorEastAsia"/>
                <w:bCs/>
                <w:kern w:val="2"/>
                <w:sz w:val="21"/>
                <w:szCs w:val="21"/>
              </w:rPr>
            </w:pPr>
            <w:r>
              <w:rPr>
                <w:rFonts w:hint="eastAsia" w:cs="仿宋" w:asciiTheme="majorEastAsia" w:hAnsiTheme="majorEastAsia" w:eastAsiaTheme="majorEastAsia"/>
                <w:bCs/>
                <w:kern w:val="2"/>
                <w:sz w:val="21"/>
                <w:szCs w:val="21"/>
              </w:rPr>
              <w:t>2、投标人须具有建设行政主管部门颁发的市政行业（排水工程）专业设计乙级及以上资质或市政行业设计乙级及以上资质或工程设计综合甲级资质，并在人员、设备、资金等方面具有相应的设计能力。项目负责人须具有相关专业中级及以上职称。</w:t>
            </w:r>
          </w:p>
          <w:p>
            <w:pPr>
              <w:autoSpaceDE w:val="0"/>
              <w:autoSpaceDN w:val="0"/>
              <w:spacing w:line="360" w:lineRule="auto"/>
              <w:contextualSpacing/>
              <w:rPr>
                <w:rFonts w:cs="仿宋" w:asciiTheme="majorEastAsia" w:hAnsiTheme="majorEastAsia" w:eastAsiaTheme="majorEastAsia"/>
                <w:bCs/>
                <w:szCs w:val="21"/>
              </w:rPr>
            </w:pPr>
            <w:r>
              <w:rPr>
                <w:rFonts w:hint="eastAsia" w:cs="仿宋" w:asciiTheme="majorEastAsia" w:hAnsiTheme="majorEastAsia" w:eastAsiaTheme="majorEastAsia"/>
                <w:bCs/>
                <w:szCs w:val="21"/>
              </w:rPr>
              <w:t>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autoSpaceDE w:val="0"/>
              <w:autoSpaceDN w:val="0"/>
              <w:spacing w:line="360" w:lineRule="auto"/>
              <w:contextualSpacing/>
              <w:rPr>
                <w:rFonts w:cs="仿宋" w:asciiTheme="majorEastAsia" w:hAnsiTheme="majorEastAsia" w:eastAsiaTheme="majorEastAsia"/>
                <w:bCs/>
                <w:szCs w:val="21"/>
              </w:rPr>
            </w:pPr>
            <w:r>
              <w:rPr>
                <w:rFonts w:hint="eastAsia" w:cs="仿宋" w:asciiTheme="majorEastAsia" w:hAnsiTheme="majorEastAsia" w:eastAsiaTheme="majorEastAsia"/>
                <w:bCs/>
                <w:szCs w:val="21"/>
              </w:rPr>
              <w:t>4、未被列入“信用中国”网站(www.creditchina.gov.cn)失信被执行人、重大税收违法案件当事人名单；“中国政府采购网”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(www.ccgp.gov.cn)网站的政府采购严重违法失信行为记录名单的供应商；“中国社会组织公共服务平台”网站（www.chinanpo.gov.cn）严重违法失信名单的供应商。</w:t>
            </w:r>
          </w:p>
          <w:p>
            <w:pPr>
              <w:autoSpaceDE w:val="0"/>
              <w:autoSpaceDN w:val="0"/>
              <w:spacing w:line="360" w:lineRule="auto"/>
              <w:contextualSpacing/>
              <w:rPr>
                <w:rFonts w:cs="仿宋" w:asciiTheme="majorEastAsia" w:hAnsiTheme="majorEastAsia" w:eastAsiaTheme="majorEastAsia"/>
                <w:bCs/>
                <w:szCs w:val="21"/>
              </w:rPr>
            </w:pPr>
            <w:r>
              <w:rPr>
                <w:rFonts w:hint="eastAsia" w:cs="仿宋" w:asciiTheme="majorEastAsia" w:hAnsiTheme="majorEastAsia" w:eastAsiaTheme="majorEastAsia"/>
                <w:bCs/>
                <w:szCs w:val="21"/>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5</w:t>
            </w:r>
          </w:p>
        </w:tc>
        <w:tc>
          <w:tcPr>
            <w:tcW w:w="2268" w:type="dxa"/>
            <w:vAlign w:val="center"/>
          </w:tcPr>
          <w:p>
            <w:pPr>
              <w:autoSpaceDE w:val="0"/>
              <w:autoSpaceDN w:val="0"/>
              <w:adjustRightInd w:val="0"/>
              <w:spacing w:line="276" w:lineRule="auto"/>
              <w:jc w:val="center"/>
              <w:rPr>
                <w:rFonts w:cs="宋体" w:asciiTheme="majorEastAsia" w:hAnsiTheme="majorEastAsia" w:eastAsiaTheme="majorEastAsia"/>
                <w:bCs/>
                <w:sz w:val="24"/>
                <w:lang w:val="zh-CN"/>
              </w:rPr>
            </w:pPr>
            <w:r>
              <w:rPr>
                <w:rFonts w:hint="eastAsia" w:cs="微软雅黑" w:asciiTheme="majorEastAsia" w:hAnsiTheme="majorEastAsia" w:eastAsiaTheme="majorEastAsia"/>
                <w:b/>
                <w:color w:val="FF0000"/>
                <w:sz w:val="24"/>
              </w:rPr>
              <w:t>★</w:t>
            </w:r>
            <w:r>
              <w:rPr>
                <w:rFonts w:hint="eastAsia" w:cs="仿宋" w:asciiTheme="majorEastAsia" w:hAnsiTheme="majorEastAsia" w:eastAsiaTheme="majorEastAsia"/>
                <w:szCs w:val="21"/>
              </w:rPr>
              <w:t>联合体投标</w:t>
            </w:r>
          </w:p>
        </w:tc>
        <w:tc>
          <w:tcPr>
            <w:tcW w:w="6813" w:type="dxa"/>
            <w:vAlign w:val="center"/>
          </w:tcPr>
          <w:p>
            <w:pPr>
              <w:autoSpaceDE w:val="0"/>
              <w:autoSpaceDN w:val="0"/>
              <w:adjustRightInd w:val="0"/>
              <w:spacing w:line="276" w:lineRule="auto"/>
              <w:rPr>
                <w:rFonts w:cs="仿宋" w:asciiTheme="majorEastAsia" w:hAnsiTheme="majorEastAsia" w:eastAsiaTheme="majorEastAsia"/>
                <w:bCs/>
                <w:szCs w:val="21"/>
                <w:lang w:val="zh-CN"/>
              </w:rPr>
            </w:pPr>
            <w:r>
              <w:rPr>
                <w:rFonts w:hint="eastAsia" w:cs="仿宋" w:asciiTheme="majorEastAsia" w:hAnsiTheme="majorEastAsia" w:eastAsiaTheme="majorEastAsia"/>
                <w:kern w:val="0"/>
                <w:szCs w:val="21"/>
              </w:rPr>
              <w:t>本项目</w:t>
            </w: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kern w:val="0"/>
                <w:szCs w:val="21"/>
              </w:rPr>
              <w:t>不接受</w:t>
            </w:r>
            <w:r>
              <w:rPr>
                <w:rFonts w:hint="eastAsia" w:cs="仿宋" w:asciiTheme="majorEastAsia" w:hAnsiTheme="majorEastAsia" w:eastAsiaTheme="majorEastAsia"/>
                <w:bCs/>
                <w:szCs w:val="21"/>
                <w:lang w:val="zh-CN"/>
              </w:rPr>
              <w:t>□接受</w:t>
            </w:r>
            <w:r>
              <w:rPr>
                <w:rFonts w:hint="eastAsia" w:cs="仿宋" w:asciiTheme="majorEastAsia" w:hAnsiTheme="majorEastAsia" w:eastAsiaTheme="maj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6</w:t>
            </w:r>
          </w:p>
        </w:tc>
        <w:tc>
          <w:tcPr>
            <w:tcW w:w="2268" w:type="dxa"/>
            <w:vAlign w:val="center"/>
          </w:tcPr>
          <w:p>
            <w:pPr>
              <w:autoSpaceDE w:val="0"/>
              <w:autoSpaceDN w:val="0"/>
              <w:adjustRightInd w:val="0"/>
              <w:spacing w:line="276" w:lineRule="auto"/>
              <w:jc w:val="center"/>
              <w:rPr>
                <w:rFonts w:cs="宋体" w:asciiTheme="majorEastAsia" w:hAnsiTheme="majorEastAsia" w:eastAsiaTheme="majorEastAsia"/>
                <w:bCs/>
                <w:sz w:val="24"/>
                <w:lang w:val="zh-CN"/>
              </w:rPr>
            </w:pPr>
            <w:r>
              <w:rPr>
                <w:rFonts w:hint="eastAsia" w:cs="微软雅黑" w:asciiTheme="majorEastAsia" w:hAnsiTheme="majorEastAsia" w:eastAsiaTheme="majorEastAsia"/>
                <w:b/>
                <w:color w:val="FF0000"/>
                <w:sz w:val="24"/>
              </w:rPr>
              <w:t>★</w:t>
            </w:r>
            <w:r>
              <w:rPr>
                <w:rFonts w:hint="eastAsia" w:cs="仿宋" w:asciiTheme="majorEastAsia" w:hAnsiTheme="majorEastAsia" w:eastAsiaTheme="majorEastAsia"/>
                <w:szCs w:val="21"/>
              </w:rPr>
              <w:t>最高限价</w:t>
            </w:r>
          </w:p>
        </w:tc>
        <w:tc>
          <w:tcPr>
            <w:tcW w:w="6813" w:type="dxa"/>
            <w:vAlign w:val="center"/>
          </w:tcPr>
          <w:p>
            <w:pPr>
              <w:autoSpaceDE w:val="0"/>
              <w:autoSpaceDN w:val="0"/>
              <w:adjustRightInd w:val="0"/>
              <w:spacing w:line="276" w:lineRule="auto"/>
              <w:rPr>
                <w:rFonts w:cs="仿宋" w:asciiTheme="majorEastAsia" w:hAnsiTheme="majorEastAsia" w:eastAsiaTheme="majorEastAsia"/>
                <w:kern w:val="0"/>
                <w:szCs w:val="21"/>
                <w:lang w:val="zh-CN"/>
              </w:rPr>
            </w:pPr>
            <w:r>
              <w:rPr>
                <w:rFonts w:hint="eastAsia" w:cs="仿宋" w:asciiTheme="majorEastAsia" w:hAnsiTheme="majorEastAsia" w:eastAsiaTheme="majorEastAsia"/>
                <w:kern w:val="0"/>
                <w:szCs w:val="21"/>
              </w:rPr>
              <w:t>431148.42</w:t>
            </w:r>
            <w:r>
              <w:rPr>
                <w:rFonts w:hint="eastAsia" w:cs="仿宋" w:asciiTheme="majorEastAsia" w:hAnsiTheme="majorEastAsia" w:eastAsiaTheme="majorEastAsia"/>
                <w:kern w:val="0"/>
                <w:szCs w:val="21"/>
                <w:lang w:val="zh-CN"/>
              </w:rPr>
              <w:t>元</w:t>
            </w:r>
          </w:p>
          <w:p>
            <w:pPr>
              <w:autoSpaceDE w:val="0"/>
              <w:autoSpaceDN w:val="0"/>
              <w:adjustRightInd w:val="0"/>
              <w:spacing w:line="276" w:lineRule="auto"/>
              <w:rPr>
                <w:rFonts w:cs="仿宋" w:asciiTheme="majorEastAsia" w:hAnsiTheme="majorEastAsia" w:eastAsiaTheme="majorEastAsia"/>
                <w:bCs/>
                <w:szCs w:val="21"/>
                <w:lang w:val="zh-CN"/>
              </w:rPr>
            </w:pPr>
            <w:r>
              <w:rPr>
                <w:rFonts w:hint="eastAsia" w:cs="仿宋" w:asciiTheme="majorEastAsia" w:hAnsiTheme="majorEastAsia" w:eastAsiaTheme="majorEastAsia"/>
                <w:kern w:val="0"/>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7</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现场考察</w:t>
            </w:r>
          </w:p>
        </w:tc>
        <w:tc>
          <w:tcPr>
            <w:tcW w:w="6813" w:type="dxa"/>
            <w:vAlign w:val="center"/>
          </w:tcPr>
          <w:p>
            <w:pPr>
              <w:autoSpaceDE w:val="0"/>
              <w:autoSpaceDN w:val="0"/>
              <w:adjustRightInd w:val="0"/>
              <w:spacing w:line="360" w:lineRule="auto"/>
              <w:rPr>
                <w:rFonts w:cs="仿宋" w:asciiTheme="majorEastAsia" w:hAnsiTheme="majorEastAsia" w:eastAsiaTheme="majorEastAsia"/>
                <w:kern w:val="0"/>
                <w:szCs w:val="21"/>
                <w:lang w:val="zh-CN"/>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不组织</w:t>
            </w:r>
          </w:p>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b/>
                <w:bCs/>
                <w:szCs w:val="21"/>
                <w:lang w:val="zh-CN"/>
              </w:rPr>
              <w:t>□</w:t>
            </w:r>
            <w:r>
              <w:rPr>
                <w:rFonts w:hint="eastAsia" w:cs="仿宋" w:asciiTheme="majorEastAsia" w:hAnsiTheme="majorEastAsia" w:eastAsiaTheme="majorEastAsia"/>
                <w:bCs/>
                <w:szCs w:val="21"/>
                <w:lang w:val="zh-CN"/>
              </w:rPr>
              <w:t>组织，时间：地点：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8</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开标前答疑会</w:t>
            </w:r>
          </w:p>
        </w:tc>
        <w:tc>
          <w:tcPr>
            <w:tcW w:w="6813"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9</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进口产品参与</w:t>
            </w:r>
          </w:p>
        </w:tc>
        <w:tc>
          <w:tcPr>
            <w:tcW w:w="6813" w:type="dxa"/>
            <w:vAlign w:val="center"/>
          </w:tcPr>
          <w:p>
            <w:pPr>
              <w:autoSpaceDE w:val="0"/>
              <w:autoSpaceDN w:val="0"/>
              <w:adjustRightInd w:val="0"/>
              <w:spacing w:line="276" w:lineRule="auto"/>
              <w:rPr>
                <w:rFonts w:cs="仿宋" w:asciiTheme="majorEastAsia" w:hAnsiTheme="majorEastAsia" w:eastAsiaTheme="majorEastAsia"/>
                <w:szCs w:val="21"/>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不允许</w:t>
            </w:r>
            <w:r>
              <w:rPr>
                <w:rFonts w:hint="eastAsia" w:cs="仿宋" w:asciiTheme="majorEastAsia" w:hAnsiTheme="majorEastAsia" w:eastAsiaTheme="majorEastAsia"/>
                <w:b/>
                <w:bCs/>
                <w:szCs w:val="21"/>
                <w:lang w:val="zh-CN"/>
              </w:rPr>
              <w:t>□</w:t>
            </w:r>
            <w:r>
              <w:rPr>
                <w:rFonts w:hint="eastAsia" w:cs="仿宋" w:asciiTheme="majorEastAsia" w:hAnsiTheme="majorEastAsia" w:eastAsiaTheme="maj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10</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微软雅黑" w:asciiTheme="majorEastAsia" w:hAnsiTheme="majorEastAsia" w:eastAsiaTheme="majorEastAsia"/>
                <w:b/>
                <w:color w:val="FF0000"/>
                <w:sz w:val="24"/>
              </w:rPr>
              <w:t>★</w:t>
            </w:r>
            <w:r>
              <w:rPr>
                <w:rFonts w:hint="eastAsia" w:cs="仿宋" w:asciiTheme="majorEastAsia" w:hAnsiTheme="majorEastAsia" w:eastAsiaTheme="majorEastAsia"/>
                <w:szCs w:val="21"/>
              </w:rPr>
              <w:t>投标有效期</w:t>
            </w:r>
          </w:p>
        </w:tc>
        <w:tc>
          <w:tcPr>
            <w:tcW w:w="6813" w:type="dxa"/>
            <w:vAlign w:val="center"/>
          </w:tcPr>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szCs w:val="21"/>
              </w:rPr>
              <w:t>60天（自</w:t>
            </w:r>
            <w:r>
              <w:rPr>
                <w:rFonts w:hint="eastAsia" w:cs="仿宋" w:asciiTheme="majorEastAsia" w:hAnsiTheme="majorEastAsia" w:eastAsiaTheme="majorEastAsia"/>
                <w:kern w:val="0"/>
                <w:szCs w:val="21"/>
              </w:rPr>
              <w:t>提交投标文件的截止之日起算</w:t>
            </w:r>
            <w:r>
              <w:rPr>
                <w:rFonts w:hint="eastAsia" w:cs="仿宋" w:asciiTheme="majorEastAsia" w:hAnsiTheme="majorEastAsia" w:eastAsiaTheme="majorEastAsia"/>
                <w:szCs w:val="21"/>
              </w:rPr>
              <w:t>）</w:t>
            </w:r>
          </w:p>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szCs w:val="21"/>
                <w:lang w:val="zh-CN"/>
              </w:rPr>
              <w:t>中标人投标有效期延至合同验收之日，</w:t>
            </w:r>
            <w:r>
              <w:rPr>
                <w:rFonts w:hint="eastAsia" w:cs="仿宋" w:asciiTheme="majorEastAsia" w:hAnsiTheme="majorEastAsia" w:eastAsiaTheme="maj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11</w:t>
            </w:r>
          </w:p>
        </w:tc>
        <w:tc>
          <w:tcPr>
            <w:tcW w:w="2268" w:type="dxa"/>
            <w:vAlign w:val="center"/>
          </w:tcPr>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bCs/>
                <w:szCs w:val="21"/>
                <w:lang w:val="zh-CN"/>
              </w:rPr>
              <w:t>中标人将本项目非主体、非关键性工作分包</w:t>
            </w:r>
          </w:p>
        </w:tc>
        <w:tc>
          <w:tcPr>
            <w:tcW w:w="6813" w:type="dxa"/>
            <w:vAlign w:val="center"/>
          </w:tcPr>
          <w:p>
            <w:pPr>
              <w:autoSpaceDE w:val="0"/>
              <w:autoSpaceDN w:val="0"/>
              <w:adjustRightInd w:val="0"/>
              <w:spacing w:line="276" w:lineRule="auto"/>
              <w:rPr>
                <w:rFonts w:cs="仿宋" w:asciiTheme="majorEastAsia" w:hAnsiTheme="majorEastAsia" w:eastAsiaTheme="majorEastAsia"/>
                <w:szCs w:val="21"/>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不允许</w:t>
            </w:r>
            <w:r>
              <w:rPr>
                <w:rFonts w:hint="eastAsia" w:cs="仿宋" w:asciiTheme="majorEastAsia" w:hAnsiTheme="majorEastAsia" w:eastAsiaTheme="majorEastAsia"/>
                <w:b/>
                <w:bCs/>
                <w:szCs w:val="21"/>
                <w:lang w:val="zh-CN"/>
              </w:rPr>
              <w:sym w:font="Wingdings 2" w:char="00A3"/>
            </w:r>
            <w:r>
              <w:rPr>
                <w:rFonts w:hint="eastAsia" w:cs="仿宋" w:asciiTheme="majorEastAsia" w:hAnsiTheme="majorEastAsia" w:eastAsiaTheme="maj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12</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bCs/>
                <w:color w:val="000000" w:themeColor="text1"/>
                <w:szCs w:val="21"/>
                <w:lang w:val="zh-CN"/>
              </w:rPr>
            </w:pPr>
            <w:r>
              <w:rPr>
                <w:rFonts w:hint="eastAsia" w:cs="仿宋" w:asciiTheme="majorEastAsia" w:hAnsiTheme="majorEastAsia" w:eastAsiaTheme="majorEastAsia"/>
                <w:bCs/>
                <w:color w:val="000000" w:themeColor="text1"/>
                <w:szCs w:val="21"/>
                <w:lang w:val="zh-CN"/>
              </w:rPr>
              <w:t>投标截止及开标时间</w:t>
            </w:r>
          </w:p>
        </w:tc>
        <w:tc>
          <w:tcPr>
            <w:tcW w:w="6813" w:type="dxa"/>
            <w:vAlign w:val="center"/>
          </w:tcPr>
          <w:p>
            <w:pPr>
              <w:autoSpaceDE w:val="0"/>
              <w:autoSpaceDN w:val="0"/>
              <w:adjustRightInd w:val="0"/>
              <w:spacing w:line="360" w:lineRule="auto"/>
              <w:rPr>
                <w:rFonts w:cs="仿宋" w:asciiTheme="majorEastAsia" w:hAnsiTheme="majorEastAsia" w:eastAsiaTheme="majorEastAsia"/>
                <w:color w:val="000000" w:themeColor="text1"/>
                <w:szCs w:val="21"/>
                <w:lang w:val="zh-CN"/>
              </w:rPr>
            </w:pPr>
            <w:r>
              <w:rPr>
                <w:rFonts w:hint="eastAsia" w:cs="仿宋" w:asciiTheme="majorEastAsia" w:hAnsiTheme="majorEastAsia" w:eastAsiaTheme="majorEastAsia"/>
                <w:color w:val="000000" w:themeColor="text1"/>
                <w:szCs w:val="21"/>
                <w:lang w:val="zh-CN"/>
              </w:rPr>
              <w:t>20</w:t>
            </w:r>
            <w:r>
              <w:rPr>
                <w:rFonts w:hint="eastAsia" w:cs="仿宋" w:asciiTheme="majorEastAsia" w:hAnsiTheme="majorEastAsia" w:eastAsiaTheme="majorEastAsia"/>
                <w:color w:val="000000" w:themeColor="text1"/>
                <w:szCs w:val="21"/>
                <w:lang w:val="en-US" w:eastAsia="zh-CN"/>
              </w:rPr>
              <w:t>20</w:t>
            </w:r>
            <w:r>
              <w:rPr>
                <w:rFonts w:hint="eastAsia" w:cs="仿宋" w:asciiTheme="majorEastAsia" w:hAnsiTheme="majorEastAsia" w:eastAsiaTheme="majorEastAsia"/>
                <w:color w:val="000000" w:themeColor="text1"/>
                <w:szCs w:val="21"/>
                <w:lang w:val="zh-CN"/>
              </w:rPr>
              <w:t>年</w:t>
            </w:r>
            <w:r>
              <w:rPr>
                <w:rFonts w:hint="eastAsia" w:cs="仿宋" w:asciiTheme="majorEastAsia" w:hAnsiTheme="majorEastAsia" w:eastAsiaTheme="majorEastAsia"/>
                <w:color w:val="000000" w:themeColor="text1"/>
                <w:szCs w:val="21"/>
                <w:lang w:val="en-US" w:eastAsia="zh-CN"/>
              </w:rPr>
              <w:t>1</w:t>
            </w:r>
            <w:r>
              <w:rPr>
                <w:rFonts w:hint="eastAsia" w:cs="仿宋" w:asciiTheme="majorEastAsia" w:hAnsiTheme="majorEastAsia" w:eastAsiaTheme="majorEastAsia"/>
                <w:color w:val="000000" w:themeColor="text1"/>
                <w:szCs w:val="21"/>
                <w:lang w:val="zh-CN"/>
              </w:rPr>
              <w:t>月</w:t>
            </w:r>
            <w:r>
              <w:rPr>
                <w:rFonts w:hint="eastAsia" w:cs="仿宋" w:asciiTheme="majorEastAsia" w:hAnsiTheme="majorEastAsia" w:eastAsiaTheme="majorEastAsia"/>
                <w:color w:val="000000" w:themeColor="text1"/>
                <w:szCs w:val="21"/>
                <w:lang w:val="en-US" w:eastAsia="zh-CN"/>
              </w:rPr>
              <w:t>3</w:t>
            </w:r>
            <w:r>
              <w:rPr>
                <w:rFonts w:hint="eastAsia" w:cs="仿宋" w:asciiTheme="majorEastAsia" w:hAnsiTheme="majorEastAsia" w:eastAsiaTheme="majorEastAsia"/>
                <w:color w:val="000000" w:themeColor="text1"/>
                <w:szCs w:val="21"/>
                <w:lang w:val="zh-CN"/>
              </w:rPr>
              <w:t>日</w:t>
            </w:r>
            <w:r>
              <w:rPr>
                <w:rFonts w:hint="eastAsia" w:cs="仿宋" w:asciiTheme="majorEastAsia" w:hAnsiTheme="majorEastAsia" w:eastAsiaTheme="majorEastAsia"/>
                <w:color w:val="000000" w:themeColor="text1"/>
                <w:szCs w:val="21"/>
                <w:lang w:val="en-US" w:eastAsia="zh-CN"/>
              </w:rPr>
              <w:t>9</w:t>
            </w:r>
            <w:r>
              <w:rPr>
                <w:rFonts w:hint="eastAsia" w:cs="仿宋" w:asciiTheme="majorEastAsia" w:hAnsiTheme="majorEastAsia" w:eastAsiaTheme="majorEastAsia"/>
                <w:color w:val="000000" w:themeColor="text1"/>
                <w:szCs w:val="21"/>
                <w:lang w:val="zh-CN"/>
              </w:rPr>
              <w:t>时</w:t>
            </w:r>
            <w:r>
              <w:rPr>
                <w:rFonts w:hint="eastAsia" w:cs="仿宋" w:asciiTheme="majorEastAsia" w:hAnsiTheme="majorEastAsia" w:eastAsiaTheme="majorEastAsia"/>
                <w:color w:val="000000" w:themeColor="text1"/>
                <w:szCs w:val="21"/>
                <w:lang w:val="en-US" w:eastAsia="zh-CN"/>
              </w:rPr>
              <w:t>00</w:t>
            </w:r>
            <w:r>
              <w:rPr>
                <w:rFonts w:hint="eastAsia" w:cs="仿宋" w:asciiTheme="majorEastAsia" w:hAnsiTheme="majorEastAsia" w:eastAsiaTheme="majorEastAsia"/>
                <w:color w:val="000000" w:themeColor="text1"/>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13</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递交投标文件</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及开标地点</w:t>
            </w:r>
          </w:p>
        </w:tc>
        <w:tc>
          <w:tcPr>
            <w:tcW w:w="6813" w:type="dxa"/>
            <w:vAlign w:val="center"/>
          </w:tcPr>
          <w:p>
            <w:pPr>
              <w:autoSpaceDE w:val="0"/>
              <w:autoSpaceDN w:val="0"/>
              <w:adjustRightInd w:val="0"/>
              <w:spacing w:line="360" w:lineRule="auto"/>
              <w:ind w:left="420" w:hanging="420" w:hangingChars="200"/>
              <w:rPr>
                <w:rFonts w:cs="仿宋" w:asciiTheme="majorEastAsia" w:hAnsiTheme="majorEastAsia" w:eastAsiaTheme="majorEastAsia"/>
                <w:szCs w:val="21"/>
                <w:lang w:val="zh-CN"/>
              </w:rPr>
            </w:pPr>
            <w:r>
              <w:rPr>
                <w:rFonts w:hint="eastAsia" w:cs="仿宋" w:asciiTheme="majorEastAsia" w:hAnsiTheme="majorEastAsia" w:eastAsiaTheme="majorEastAsia"/>
                <w:szCs w:val="21"/>
                <w:lang w:val="zh-CN"/>
              </w:rPr>
              <w:t>长葛市公共资源交易中心</w:t>
            </w:r>
            <w:r>
              <w:rPr>
                <w:rFonts w:hint="eastAsia" w:cs="仿宋" w:asciiTheme="majorEastAsia" w:hAnsiTheme="majorEastAsia" w:eastAsiaTheme="majorEastAsia"/>
                <w:color w:val="000000" w:themeColor="text1"/>
                <w:szCs w:val="21"/>
                <w:lang w:val="zh-CN"/>
              </w:rPr>
              <w:t>(长葛市葛天大道东段商务区6#楼四楼开标二室)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14</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kern w:val="0"/>
                <w:szCs w:val="21"/>
              </w:rPr>
              <w:t>投标保证金</w:t>
            </w:r>
          </w:p>
        </w:tc>
        <w:tc>
          <w:tcPr>
            <w:tcW w:w="6813" w:type="dxa"/>
            <w:vAlign w:val="center"/>
          </w:tcPr>
          <w:p>
            <w:pPr>
              <w:autoSpaceDE w:val="0"/>
              <w:autoSpaceDN w:val="0"/>
              <w:adjustRightInd w:val="0"/>
              <w:spacing w:line="360" w:lineRule="auto"/>
              <w:rPr>
                <w:rFonts w:cs="仿宋" w:asciiTheme="majorEastAsia" w:hAnsiTheme="majorEastAsia" w:eastAsiaTheme="majorEastAsia"/>
                <w:szCs w:val="21"/>
                <w:lang w:val="zh-CN"/>
              </w:rPr>
            </w:pPr>
            <w:r>
              <w:rPr>
                <w:rFonts w:hint="eastAsia" w:cs="仿宋" w:asciiTheme="majorEastAsia" w:hAnsiTheme="majorEastAsia" w:eastAsiaTheme="majorEastAsia"/>
                <w:szCs w:val="21"/>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15</w:t>
            </w:r>
          </w:p>
        </w:tc>
        <w:tc>
          <w:tcPr>
            <w:tcW w:w="2268"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公告发布</w:t>
            </w:r>
          </w:p>
        </w:tc>
        <w:tc>
          <w:tcPr>
            <w:tcW w:w="6813"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招标公告、中标公告、变更（更正）公告、现场勘察答复等相关信息同时在以下网站发布：《河南省政府采购网》、《全国公共资源交易平台（河南省·许昌市）》、《长葛市人民政府门户网站》发布。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16</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采购人澄清或修改</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招标文件时间</w:t>
            </w:r>
          </w:p>
        </w:tc>
        <w:tc>
          <w:tcPr>
            <w:tcW w:w="6813"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在投标截止时间至少15日前，通过全国公共资源交易平台（河南省.许昌市）交易系统电子平台发出；不足15日的，采购人或者采购代理机构应当顺延提交投标文件的截止时间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17</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投标人对采购文件</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质疑截止时间</w:t>
            </w:r>
          </w:p>
        </w:tc>
        <w:tc>
          <w:tcPr>
            <w:tcW w:w="6813"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18</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投标文件份数</w:t>
            </w:r>
          </w:p>
        </w:tc>
        <w:tc>
          <w:tcPr>
            <w:tcW w:w="6813" w:type="dxa"/>
            <w:vAlign w:val="center"/>
          </w:tcPr>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电子投标文件：成功上传至《全国公共资源交易平台（河南省·许昌市）》公共资源交易系统加密电子投标文件1份</w:t>
            </w:r>
            <w:r>
              <w:rPr>
                <w:rFonts w:hint="eastAsia" w:cs="仿宋" w:asciiTheme="majorEastAsia" w:hAnsiTheme="majorEastAsia" w:eastAsiaTheme="majorEastAsia"/>
                <w:szCs w:val="21"/>
                <w:lang w:val="zh-CN"/>
              </w:rPr>
              <w:t>（文件格式为： XXX公司XXX项目编号.file）。</w:t>
            </w:r>
            <w:r>
              <w:rPr>
                <w:rFonts w:hint="eastAsia" w:cs="仿宋" w:asciiTheme="majorEastAsia" w:hAnsiTheme="majorEastAsia" w:eastAsiaTheme="majorEastAsia"/>
                <w:szCs w:val="21"/>
              </w:rPr>
              <w:t>使用电子介质存储的备份文件1份（文件格式为：名称为“备份”的文件夹）。</w:t>
            </w:r>
          </w:p>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纸质投标文件：正本</w:t>
            </w:r>
            <w:r>
              <w:rPr>
                <w:rFonts w:hint="eastAsia" w:cs="仿宋" w:asciiTheme="majorEastAsia" w:hAnsiTheme="majorEastAsia" w:eastAsiaTheme="majorEastAsia"/>
                <w:b/>
                <w:szCs w:val="21"/>
              </w:rPr>
              <w:t>一</w:t>
            </w:r>
            <w:r>
              <w:rPr>
                <w:rFonts w:hint="eastAsia" w:cs="仿宋" w:asciiTheme="majorEastAsia" w:hAnsiTheme="majorEastAsia" w:eastAsiaTheme="majorEastAsia"/>
                <w:szCs w:val="21"/>
              </w:rPr>
              <w:t>份，副本一份。使用格式为“投标文件（供打印）.PDF”的文件</w:t>
            </w:r>
          </w:p>
          <w:p>
            <w:pPr>
              <w:autoSpaceDE w:val="0"/>
              <w:autoSpaceDN w:val="0"/>
              <w:adjustRightInd w:val="0"/>
              <w:spacing w:line="360" w:lineRule="auto"/>
              <w:rPr>
                <w:rFonts w:cs="仿宋" w:asciiTheme="majorEastAsia" w:hAnsiTheme="majorEastAsia" w:eastAsiaTheme="majorEastAsia"/>
                <w:bCs/>
                <w:szCs w:val="21"/>
                <w:highlight w:val="lightGray"/>
                <w:lang w:val="zh-CN"/>
              </w:rPr>
            </w:pPr>
            <w:r>
              <w:rPr>
                <w:rFonts w:hint="eastAsia" w:cs="仿宋" w:asciiTheme="majorEastAsia" w:hAnsiTheme="majorEastAsia" w:eastAsiaTheme="majorEastAsia"/>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19</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投标文件的</w:t>
            </w:r>
          </w:p>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签署盖章</w:t>
            </w:r>
          </w:p>
        </w:tc>
        <w:tc>
          <w:tcPr>
            <w:tcW w:w="6813" w:type="dxa"/>
            <w:vAlign w:val="center"/>
          </w:tcPr>
          <w:p>
            <w:pPr>
              <w:autoSpaceDE w:val="0"/>
              <w:autoSpaceDN w:val="0"/>
              <w:adjustRightInd w:val="0"/>
              <w:spacing w:line="420" w:lineRule="exact"/>
              <w:rPr>
                <w:rFonts w:cs="仿宋" w:asciiTheme="majorEastAsia" w:hAnsiTheme="majorEastAsia" w:eastAsiaTheme="majorEastAsia"/>
                <w:szCs w:val="21"/>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电子投标文件：按招标文件要求加盖投标人电子印章和法人电子印章。</w:t>
            </w:r>
          </w:p>
          <w:p>
            <w:pPr>
              <w:autoSpaceDE w:val="0"/>
              <w:autoSpaceDN w:val="0"/>
              <w:adjustRightInd w:val="0"/>
              <w:spacing w:line="420" w:lineRule="exact"/>
              <w:rPr>
                <w:rFonts w:cs="仿宋" w:asciiTheme="majorEastAsia" w:hAnsiTheme="majorEastAsia" w:eastAsiaTheme="majorEastAsia"/>
                <w:szCs w:val="21"/>
                <w:highlight w:val="lightGray"/>
              </w:rPr>
            </w:pPr>
            <w:r>
              <w:rPr>
                <w:rFonts w:hint="eastAsia"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 eq \o\ac(□,√)</w:instrText>
            </w:r>
            <w:r>
              <w:rPr>
                <w:rFonts w:hint="eastAsia" w:cs="仿宋" w:asciiTheme="majorEastAsia" w:hAnsiTheme="majorEastAsia" w:eastAsiaTheme="majorEastAsia"/>
                <w:b/>
                <w:szCs w:val="21"/>
              </w:rPr>
              <w:fldChar w:fldCharType="end"/>
            </w:r>
            <w:r>
              <w:rPr>
                <w:rFonts w:hint="eastAsia" w:cs="仿宋" w:asciiTheme="majorEastAsia" w:hAnsiTheme="majorEastAsia" w:eastAsiaTheme="majorEastAsia"/>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20</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评标委员会组建</w:t>
            </w:r>
          </w:p>
        </w:tc>
        <w:tc>
          <w:tcPr>
            <w:tcW w:w="6813"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评标委员会构成： 5人，由采购人代表1人及技术、经济等方面专家4人组成，评标专家确定方式：从财政部门组建的评标专家库中随机抽取，评审委员会应当推选组长，但采购人代表不得担任组长。与供应商有利害关系的人不得进入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21</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评标方法</w:t>
            </w:r>
          </w:p>
        </w:tc>
        <w:tc>
          <w:tcPr>
            <w:tcW w:w="6813" w:type="dxa"/>
            <w:vAlign w:val="center"/>
          </w:tcPr>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综合评分法</w:t>
            </w:r>
            <w:r>
              <w:rPr>
                <w:rFonts w:hint="eastAsia" w:cs="仿宋" w:asciiTheme="majorEastAsia" w:hAnsiTheme="majorEastAsia" w:eastAsiaTheme="majorEastAsia"/>
                <w:b/>
                <w:bCs/>
                <w:szCs w:val="21"/>
                <w:lang w:val="zh-CN"/>
              </w:rPr>
              <w:t>□</w:t>
            </w:r>
            <w:r>
              <w:rPr>
                <w:rFonts w:hint="eastAsia" w:cs="仿宋" w:asciiTheme="majorEastAsia" w:hAnsiTheme="majorEastAsia" w:eastAsiaTheme="maj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22</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招标人代表及监督</w:t>
            </w:r>
          </w:p>
          <w:p>
            <w:pPr>
              <w:autoSpaceDE w:val="0"/>
              <w:autoSpaceDN w:val="0"/>
              <w:adjustRightInd w:val="0"/>
              <w:spacing w:line="360" w:lineRule="auto"/>
              <w:jc w:val="center"/>
              <w:rPr>
                <w:rFonts w:cs="仿宋" w:asciiTheme="majorEastAsia" w:hAnsiTheme="majorEastAsia" w:eastAsiaTheme="majorEastAsia"/>
                <w:bCs/>
                <w:color w:val="0070C0"/>
                <w:szCs w:val="21"/>
                <w:lang w:val="zh-CN"/>
              </w:rPr>
            </w:pPr>
            <w:r>
              <w:rPr>
                <w:rFonts w:hint="eastAsia" w:cs="仿宋" w:asciiTheme="majorEastAsia" w:hAnsiTheme="majorEastAsia" w:eastAsiaTheme="majorEastAsia"/>
                <w:szCs w:val="21"/>
              </w:rPr>
              <w:t>人员出席开标会议</w:t>
            </w:r>
          </w:p>
        </w:tc>
        <w:tc>
          <w:tcPr>
            <w:tcW w:w="6813" w:type="dxa"/>
            <w:vAlign w:val="center"/>
          </w:tcPr>
          <w:p>
            <w:pPr>
              <w:autoSpaceDE w:val="0"/>
              <w:autoSpaceDN w:val="0"/>
              <w:adjustRightInd w:val="0"/>
              <w:spacing w:line="400" w:lineRule="exact"/>
              <w:rPr>
                <w:rFonts w:cs="仿宋" w:asciiTheme="majorEastAsia" w:hAnsiTheme="majorEastAsia" w:eastAsiaTheme="majorEastAsia"/>
                <w:szCs w:val="21"/>
              </w:rPr>
            </w:pPr>
            <w:r>
              <w:rPr>
                <w:rFonts w:hint="eastAsia" w:cs="仿宋" w:asciiTheme="majorEastAsia" w:hAnsiTheme="majorEastAsia" w:eastAsiaTheme="majorEastAsia"/>
                <w:szCs w:val="21"/>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360" w:lineRule="auto"/>
              <w:rPr>
                <w:rFonts w:cs="仿宋" w:asciiTheme="majorEastAsia" w:hAnsiTheme="majorEastAsia" w:eastAsiaTheme="majorEastAsia"/>
                <w:bCs/>
                <w:szCs w:val="21"/>
                <w:lang w:val="zh-CN"/>
              </w:rPr>
            </w:pPr>
            <w:r>
              <w:rPr>
                <w:rFonts w:hint="eastAsia" w:cs="仿宋" w:asciiTheme="majorEastAsia" w:hAnsiTheme="majorEastAsia" w:eastAsiaTheme="majorEastAsia"/>
                <w:szCs w:val="21"/>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23</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履约担保</w:t>
            </w:r>
          </w:p>
        </w:tc>
        <w:tc>
          <w:tcPr>
            <w:tcW w:w="6813" w:type="dxa"/>
            <w:vAlign w:val="center"/>
          </w:tcPr>
          <w:p>
            <w:pPr>
              <w:spacing w:line="400" w:lineRule="exact"/>
              <w:rPr>
                <w:rFonts w:cs="仿宋" w:asciiTheme="majorEastAsia" w:hAnsiTheme="majorEastAsia" w:eastAsiaTheme="majorEastAsia"/>
                <w:szCs w:val="21"/>
              </w:rPr>
            </w:pPr>
            <w:r>
              <w:rPr>
                <w:rFonts w:hint="eastAsia" w:cs="仿宋" w:asciiTheme="majorEastAsia" w:hAnsiTheme="majorEastAsia" w:eastAsiaTheme="majorEastAsia"/>
                <w:szCs w:val="21"/>
              </w:rPr>
              <w:t>开户行：河南长葛农村商业银行股份有限公司营业部</w:t>
            </w:r>
          </w:p>
          <w:p>
            <w:pPr>
              <w:spacing w:line="400" w:lineRule="exact"/>
              <w:rPr>
                <w:rFonts w:cs="仿宋" w:asciiTheme="majorEastAsia" w:hAnsiTheme="majorEastAsia" w:eastAsiaTheme="majorEastAsia"/>
                <w:szCs w:val="21"/>
              </w:rPr>
            </w:pPr>
            <w:r>
              <w:rPr>
                <w:rFonts w:hint="eastAsia" w:cs="仿宋" w:asciiTheme="majorEastAsia" w:hAnsiTheme="majorEastAsia" w:eastAsiaTheme="majorEastAsia"/>
                <w:szCs w:val="21"/>
              </w:rPr>
              <w:t xml:space="preserve">户 </w:t>
            </w:r>
            <w:r>
              <w:rPr>
                <w:rFonts w:hint="eastAsia" w:cs="宋体" w:asciiTheme="majorEastAsia" w:hAnsiTheme="majorEastAsia" w:eastAsiaTheme="majorEastAsia"/>
                <w:szCs w:val="21"/>
              </w:rPr>
              <w:t> </w:t>
            </w:r>
            <w:r>
              <w:rPr>
                <w:rFonts w:hint="eastAsia" w:cs="仿宋" w:asciiTheme="majorEastAsia" w:hAnsiTheme="majorEastAsia" w:eastAsiaTheme="majorEastAsia"/>
                <w:szCs w:val="21"/>
              </w:rPr>
              <w:t>名：长葛市公共资源交易中心</w:t>
            </w:r>
          </w:p>
          <w:p>
            <w:pPr>
              <w:spacing w:line="400" w:lineRule="exact"/>
              <w:rPr>
                <w:rFonts w:cs="仿宋" w:asciiTheme="majorEastAsia" w:hAnsiTheme="majorEastAsia" w:eastAsiaTheme="majorEastAsia"/>
                <w:szCs w:val="21"/>
              </w:rPr>
            </w:pPr>
            <w:r>
              <w:rPr>
                <w:rFonts w:hint="eastAsia" w:cs="仿宋" w:asciiTheme="majorEastAsia" w:hAnsiTheme="majorEastAsia" w:eastAsiaTheme="majorEastAsia"/>
                <w:szCs w:val="21"/>
              </w:rPr>
              <w:t xml:space="preserve">账 </w:t>
            </w:r>
            <w:r>
              <w:rPr>
                <w:rFonts w:hint="eastAsia" w:cs="宋体" w:asciiTheme="majorEastAsia" w:hAnsiTheme="majorEastAsia" w:eastAsiaTheme="majorEastAsia"/>
                <w:szCs w:val="21"/>
              </w:rPr>
              <w:t> </w:t>
            </w:r>
            <w:r>
              <w:rPr>
                <w:rFonts w:hint="eastAsia" w:cs="仿宋" w:asciiTheme="majorEastAsia" w:hAnsiTheme="majorEastAsia" w:eastAsiaTheme="majorEastAsia"/>
                <w:szCs w:val="21"/>
              </w:rPr>
              <w:t>号：13201001800000552</w:t>
            </w:r>
          </w:p>
          <w:p>
            <w:pPr>
              <w:spacing w:line="400" w:lineRule="exact"/>
              <w:rPr>
                <w:rFonts w:cs="仿宋" w:asciiTheme="majorEastAsia" w:hAnsiTheme="majorEastAsia" w:eastAsiaTheme="majorEastAsia"/>
                <w:szCs w:val="21"/>
              </w:rPr>
            </w:pPr>
            <w:r>
              <w:rPr>
                <w:rFonts w:hint="eastAsia" w:cs="仿宋" w:asciiTheme="majorEastAsia" w:hAnsiTheme="majorEastAsia" w:eastAsiaTheme="majorEastAsia"/>
                <w:szCs w:val="21"/>
              </w:rPr>
              <w:t>履约担保的金额：中标金额的10%。</w:t>
            </w:r>
          </w:p>
          <w:p>
            <w:pPr>
              <w:autoSpaceDE w:val="0"/>
              <w:autoSpaceDN w:val="0"/>
              <w:adjustRightInd w:val="0"/>
              <w:spacing w:line="360" w:lineRule="auto"/>
              <w:rPr>
                <w:rFonts w:cs="仿宋" w:asciiTheme="majorEastAsia" w:hAnsiTheme="majorEastAsia" w:eastAsiaTheme="majorEastAsia"/>
                <w:szCs w:val="21"/>
              </w:rPr>
            </w:pPr>
            <w:r>
              <w:rPr>
                <w:rFonts w:hint="eastAsia" w:cs="仿宋" w:asciiTheme="majorEastAsia" w:hAnsiTheme="majorEastAsia" w:eastAsiaTheme="majorEastAsia"/>
                <w:szCs w:val="21"/>
              </w:rPr>
              <w:t>验收合格后5个工作日内，自行到长葛市公共资源交易中心办理退还业务。注：缴纳履约担保时需备注项目编号长招采公字【2019】101号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24</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代理服务费</w:t>
            </w:r>
          </w:p>
        </w:tc>
        <w:tc>
          <w:tcPr>
            <w:tcW w:w="6813" w:type="dxa"/>
            <w:vAlign w:val="center"/>
          </w:tcPr>
          <w:p>
            <w:pPr>
              <w:autoSpaceDE w:val="0"/>
              <w:autoSpaceDN w:val="0"/>
              <w:spacing w:line="360" w:lineRule="auto"/>
              <w:contextualSpacing/>
              <w:rPr>
                <w:rFonts w:cs="仿宋" w:asciiTheme="majorEastAsia" w:hAnsiTheme="majorEastAsia" w:eastAsiaTheme="majorEastAsia"/>
                <w:bCs/>
                <w:szCs w:val="21"/>
              </w:rPr>
            </w:pPr>
            <w:r>
              <w:rPr>
                <w:rFonts w:hint="eastAsia" w:cs="仿宋" w:asciiTheme="majorEastAsia" w:hAnsiTheme="majorEastAsia" w:eastAsiaTheme="majorEastAsia"/>
                <w:b/>
                <w:bCs/>
                <w:szCs w:val="21"/>
              </w:rPr>
              <w:t>□</w:t>
            </w:r>
            <w:r>
              <w:rPr>
                <w:rFonts w:hint="eastAsia" w:cs="仿宋" w:asciiTheme="majorEastAsia" w:hAnsiTheme="majorEastAsia" w:eastAsiaTheme="majorEastAsia"/>
                <w:bCs/>
                <w:szCs w:val="21"/>
              </w:rPr>
              <w:t>不收取</w:t>
            </w:r>
          </w:p>
          <w:p>
            <w:pPr>
              <w:autoSpaceDE w:val="0"/>
              <w:autoSpaceDN w:val="0"/>
              <w:spacing w:line="360" w:lineRule="auto"/>
              <w:contextualSpacing/>
              <w:rPr>
                <w:rFonts w:cs="仿宋" w:asciiTheme="majorEastAsia" w:hAnsiTheme="majorEastAsia" w:eastAsiaTheme="majorEastAsia"/>
                <w:szCs w:val="21"/>
              </w:rPr>
            </w:pPr>
            <w:r>
              <w:rPr>
                <w:rFonts w:cs="仿宋" w:asciiTheme="majorEastAsia" w:hAnsiTheme="majorEastAsia" w:eastAsiaTheme="majorEastAsia"/>
                <w:b/>
                <w:szCs w:val="21"/>
              </w:rPr>
              <w:fldChar w:fldCharType="begin"/>
            </w:r>
            <w:r>
              <w:rPr>
                <w:rFonts w:hint="eastAsia" w:cs="仿宋" w:asciiTheme="majorEastAsia" w:hAnsiTheme="majorEastAsia" w:eastAsiaTheme="majorEastAsia"/>
                <w:b/>
                <w:szCs w:val="21"/>
              </w:rPr>
              <w:instrText xml:space="preserve">eq \o\ac(□,√)</w:instrText>
            </w:r>
            <w:r>
              <w:rPr>
                <w:rFonts w:cs="仿宋" w:asciiTheme="majorEastAsia" w:hAnsiTheme="majorEastAsia" w:eastAsiaTheme="majorEastAsia"/>
                <w:szCs w:val="21"/>
              </w:rPr>
              <w:fldChar w:fldCharType="end"/>
            </w:r>
            <w:r>
              <w:rPr>
                <w:rFonts w:hint="eastAsia" w:cs="仿宋" w:asciiTheme="majorEastAsia" w:hAnsiTheme="majorEastAsia" w:eastAsiaTheme="majorEastAsia"/>
                <w:bCs/>
                <w:szCs w:val="21"/>
              </w:rPr>
              <w:t>收取中标人；</w:t>
            </w:r>
            <w:r>
              <w:rPr>
                <w:rFonts w:hint="eastAsia" w:cs="仿宋" w:asciiTheme="majorEastAsia" w:hAnsiTheme="majorEastAsia" w:eastAsiaTheme="majorEastAsia"/>
                <w:b/>
                <w:bCs/>
                <w:szCs w:val="21"/>
              </w:rPr>
              <w:t>□</w:t>
            </w:r>
            <w:r>
              <w:rPr>
                <w:rFonts w:hint="eastAsia" w:cs="仿宋" w:asciiTheme="majorEastAsia" w:hAnsiTheme="majorEastAsia" w:eastAsiaTheme="majorEastAsia"/>
                <w:bCs/>
                <w:szCs w:val="21"/>
              </w:rPr>
              <w:t>收取采购人。</w:t>
            </w:r>
            <w:r>
              <w:rPr>
                <w:rFonts w:hint="eastAsia" w:cs="仿宋" w:asciiTheme="majorEastAsia" w:hAnsiTheme="majorEastAsia" w:eastAsiaTheme="majorEastAsia"/>
                <w:szCs w:val="21"/>
              </w:rPr>
              <w:t>收取标准:中标合同金额的</w:t>
            </w:r>
            <w:r>
              <w:rPr>
                <w:rFonts w:hint="eastAsia" w:cs="仿宋" w:asciiTheme="majorEastAsia" w:hAnsiTheme="majorEastAsia" w:eastAsiaTheme="majorEastAsia"/>
                <w:szCs w:val="21"/>
                <w:u w:val="single"/>
              </w:rPr>
              <w:t xml:space="preserve"> 1.5 </w:t>
            </w:r>
            <w:r>
              <w:rPr>
                <w:rFonts w:hint="eastAsia" w:cs="仿宋" w:asciiTheme="majorEastAsia" w:hAnsiTheme="majorEastAsia" w:eastAsiaTheme="majorEastAsia"/>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25</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电子化采购模式</w:t>
            </w:r>
          </w:p>
        </w:tc>
        <w:tc>
          <w:tcPr>
            <w:tcW w:w="6813" w:type="dxa"/>
            <w:vAlign w:val="center"/>
          </w:tcPr>
          <w:p>
            <w:pPr>
              <w:autoSpaceDE w:val="0"/>
              <w:autoSpaceDN w:val="0"/>
              <w:adjustRightInd w:val="0"/>
              <w:spacing w:line="360" w:lineRule="auto"/>
              <w:contextualSpacing/>
              <w:rPr>
                <w:rFonts w:cs="仿宋" w:asciiTheme="majorEastAsia" w:hAnsiTheme="majorEastAsia" w:eastAsiaTheme="majorEastAsia"/>
                <w:szCs w:val="21"/>
                <w:lang w:val="zh-CN"/>
              </w:rPr>
            </w:pPr>
            <w:r>
              <w:rPr>
                <w:rFonts w:hint="eastAsia" w:cs="仿宋" w:asciiTheme="majorEastAsia" w:hAnsiTheme="majorEastAsia" w:eastAsiaTheme="majorEastAsia"/>
                <w:b/>
                <w:kern w:val="0"/>
                <w:szCs w:val="21"/>
                <w:lang w:val="zh-CN"/>
              </w:rPr>
              <w:fldChar w:fldCharType="begin"/>
            </w:r>
            <w:r>
              <w:rPr>
                <w:rFonts w:hint="eastAsia" w:cs="仿宋" w:asciiTheme="majorEastAsia" w:hAnsiTheme="majorEastAsia" w:eastAsiaTheme="majorEastAsia"/>
                <w:b/>
                <w:kern w:val="0"/>
                <w:szCs w:val="21"/>
                <w:lang w:val="zh-CN"/>
              </w:rPr>
              <w:instrText xml:space="preserve"> eq \o\ac(□,</w:instrText>
            </w:r>
            <w:r>
              <w:rPr>
                <w:rFonts w:hint="eastAsia" w:cs="仿宋" w:asciiTheme="majorEastAsia" w:hAnsiTheme="majorEastAsia" w:eastAsiaTheme="majorEastAsia"/>
                <w:b/>
                <w:kern w:val="0"/>
                <w:position w:val="2"/>
                <w:szCs w:val="21"/>
                <w:lang w:val="zh-CN"/>
              </w:rPr>
              <w:instrText xml:space="preserve">√</w:instrText>
            </w:r>
            <w:r>
              <w:rPr>
                <w:rFonts w:hint="eastAsia" w:cs="仿宋" w:asciiTheme="majorEastAsia" w:hAnsiTheme="majorEastAsia" w:eastAsiaTheme="majorEastAsia"/>
                <w:b/>
                <w:kern w:val="0"/>
                <w:szCs w:val="21"/>
                <w:lang w:val="zh-CN"/>
              </w:rPr>
              <w:instrText xml:space="preserve">)</w:instrText>
            </w:r>
            <w:r>
              <w:rPr>
                <w:rFonts w:hint="eastAsia" w:cs="仿宋" w:asciiTheme="majorEastAsia" w:hAnsiTheme="majorEastAsia" w:eastAsiaTheme="majorEastAsia"/>
                <w:b/>
                <w:kern w:val="0"/>
                <w:szCs w:val="21"/>
                <w:lang w:val="zh-CN"/>
              </w:rPr>
              <w:fldChar w:fldCharType="end"/>
            </w:r>
            <w:r>
              <w:rPr>
                <w:rFonts w:hint="eastAsia" w:cs="仿宋" w:asciiTheme="majorEastAsia" w:hAnsiTheme="majorEastAsia" w:eastAsiaTheme="majorEastAsia"/>
                <w:bCs/>
                <w:szCs w:val="21"/>
                <w:lang w:val="zh-CN"/>
              </w:rPr>
              <w:t>是。</w:t>
            </w:r>
            <w:r>
              <w:rPr>
                <w:rFonts w:hint="eastAsia" w:cs="仿宋" w:asciiTheme="majorEastAsia" w:hAnsiTheme="majorEastAsia" w:eastAsiaTheme="majorEastAsia"/>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仿宋" w:asciiTheme="majorEastAsia" w:hAnsiTheme="majorEastAsia" w:eastAsiaTheme="majorEastAsia"/>
                <w:bCs/>
                <w:szCs w:val="21"/>
                <w:lang w:val="zh-CN"/>
              </w:rPr>
            </w:pPr>
            <w:r>
              <w:rPr>
                <w:rFonts w:hint="eastAsia" w:cs="仿宋" w:asciiTheme="majorEastAsia" w:hAnsiTheme="majorEastAsia" w:eastAsiaTheme="majorEastAsia"/>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仿宋" w:asciiTheme="majorEastAsia" w:hAnsiTheme="majorEastAsia" w:eastAsiaTheme="majorEastAsia"/>
                <w:szCs w:val="21"/>
              </w:rPr>
            </w:pPr>
            <w:r>
              <w:rPr>
                <w:rFonts w:hint="eastAsia" w:cs="仿宋" w:asciiTheme="majorEastAsia" w:hAnsiTheme="majorEastAsia" w:eastAsiaTheme="majorEastAsia"/>
                <w:szCs w:val="21"/>
              </w:rPr>
              <w:t>26</w:t>
            </w:r>
          </w:p>
        </w:tc>
        <w:tc>
          <w:tcPr>
            <w:tcW w:w="2268" w:type="dxa"/>
            <w:vAlign w:val="center"/>
          </w:tcPr>
          <w:p>
            <w:pPr>
              <w:autoSpaceDE w:val="0"/>
              <w:autoSpaceDN w:val="0"/>
              <w:adjustRightInd w:val="0"/>
              <w:spacing w:line="360" w:lineRule="auto"/>
              <w:jc w:val="center"/>
              <w:rPr>
                <w:rFonts w:cs="仿宋" w:asciiTheme="majorEastAsia" w:hAnsiTheme="majorEastAsia" w:eastAsiaTheme="majorEastAsia"/>
                <w:bCs/>
                <w:szCs w:val="21"/>
                <w:lang w:val="zh-CN"/>
              </w:rPr>
            </w:pPr>
            <w:r>
              <w:rPr>
                <w:rFonts w:hint="eastAsia" w:cs="仿宋" w:asciiTheme="majorEastAsia" w:hAnsiTheme="majorEastAsia" w:eastAsiaTheme="majorEastAsia"/>
                <w:bCs/>
                <w:szCs w:val="21"/>
                <w:lang w:val="zh-CN"/>
              </w:rPr>
              <w:t>特别提示</w:t>
            </w:r>
          </w:p>
        </w:tc>
        <w:tc>
          <w:tcPr>
            <w:tcW w:w="6813" w:type="dxa"/>
            <w:vAlign w:val="center"/>
          </w:tcPr>
          <w:p>
            <w:pPr>
              <w:autoSpaceDE w:val="0"/>
              <w:autoSpaceDN w:val="0"/>
              <w:adjustRightInd w:val="0"/>
              <w:spacing w:line="360" w:lineRule="auto"/>
              <w:contextualSpacing/>
              <w:rPr>
                <w:rFonts w:cs="仿宋" w:asciiTheme="majorEastAsia" w:hAnsiTheme="majorEastAsia" w:eastAsiaTheme="majorEastAsia"/>
              </w:rPr>
            </w:pPr>
            <w:r>
              <w:rPr>
                <w:rFonts w:hint="eastAsia" w:cs="仿宋" w:asciiTheme="majorEastAsia" w:hAnsiTheme="majorEastAsia" w:eastAsiaTheme="majorEastAsia"/>
              </w:rPr>
              <w:t>按照《关于推进全流程电子化交易和在线监管工作有关问题的通知》（许公管办[2019]3号）规定：</w:t>
            </w:r>
          </w:p>
          <w:p>
            <w:pPr>
              <w:autoSpaceDE w:val="0"/>
              <w:autoSpaceDN w:val="0"/>
              <w:adjustRightInd w:val="0"/>
              <w:spacing w:line="360" w:lineRule="auto"/>
              <w:contextualSpacing/>
              <w:rPr>
                <w:rFonts w:cs="仿宋" w:asciiTheme="majorEastAsia" w:hAnsiTheme="majorEastAsia" w:eastAsiaTheme="majorEastAsia"/>
              </w:rPr>
            </w:pPr>
            <w:r>
              <w:rPr>
                <w:rFonts w:hint="eastAsia" w:cs="仿宋" w:asciiTheme="majorEastAsia" w:hAnsiTheme="majorEastAsia" w:eastAsiaTheme="majorEastAsia"/>
              </w:rPr>
              <w:t>不同供应商电子投标文件制作硬件特征码（网卡MAC地址、CPU序号、硬盘序列号）均一致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cs="仿宋" w:asciiTheme="majorEastAsia" w:hAnsiTheme="majorEastAsia" w:eastAsiaTheme="majorEastAsia"/>
                <w:b/>
                <w:kern w:val="0"/>
                <w:szCs w:val="21"/>
                <w:lang w:val="zh-CN"/>
              </w:rPr>
            </w:pPr>
            <w:r>
              <w:rPr>
                <w:rFonts w:hint="eastAsia" w:cs="仿宋" w:asciiTheme="majorEastAsia" w:hAnsiTheme="majorEastAsia" w:eastAsiaTheme="majorEastAsia"/>
              </w:rPr>
              <w:t>评审专家应严格按照要求查看“硬件特征码” 相关信息并进行评审，在评审报告中显示“不同投标人电子投标文件制作硬件特征码”是否均一致的分析及判定结果。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360" w:lineRule="auto"/>
              <w:contextualSpacing/>
              <w:rPr>
                <w:rFonts w:cs="仿宋" w:asciiTheme="majorEastAsia" w:hAnsiTheme="majorEastAsia" w:eastAsiaTheme="majorEastAsia"/>
              </w:rPr>
            </w:pPr>
            <w:r>
              <w:rPr>
                <w:rFonts w:hint="eastAsia" w:ascii="宋体" w:hAnsi="宋体"/>
                <w:position w:val="6"/>
                <w:szCs w:val="21"/>
              </w:rPr>
              <w:t>未尽事宜，按国家有关规定执行。</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仿宋" w:asciiTheme="majorEastAsia" w:hAnsiTheme="majorEastAsia" w:eastAsiaTheme="majorEastAsia"/>
          <w:b/>
          <w:kern w:val="0"/>
          <w:sz w:val="32"/>
          <w:szCs w:val="32"/>
        </w:rPr>
        <w:br w:type="page"/>
      </w:r>
      <w:bookmarkStart w:id="4" w:name="_Toc16313_WPSOffice_Level1"/>
      <w:r>
        <w:rPr>
          <w:rFonts w:hint="eastAsia" w:cs="宋体" w:asciiTheme="majorEastAsia" w:hAnsiTheme="majorEastAsia" w:eastAsiaTheme="majorEastAsia"/>
          <w:b/>
          <w:kern w:val="0"/>
          <w:sz w:val="36"/>
          <w:szCs w:val="36"/>
        </w:rPr>
        <w:t>第四章 投标人须知</w:t>
      </w:r>
      <w:bookmarkEnd w:id="4"/>
    </w:p>
    <w:p>
      <w:pPr>
        <w:pStyle w:val="89"/>
        <w:numPr>
          <w:ilvl w:val="0"/>
          <w:numId w:val="5"/>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适用范围</w:t>
      </w:r>
    </w:p>
    <w:p>
      <w:pPr>
        <w:pStyle w:val="89"/>
        <w:numPr>
          <w:ilvl w:val="0"/>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本招标文件仅适用于本次“投标邀请”中所述采购项目。</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本招标文件解释权属于“投标邀请”所述的采购人。</w:t>
      </w:r>
    </w:p>
    <w:p>
      <w:pPr>
        <w:pStyle w:val="89"/>
        <w:numPr>
          <w:ilvl w:val="0"/>
          <w:numId w:val="5"/>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定义</w:t>
      </w:r>
    </w:p>
    <w:p>
      <w:pPr>
        <w:pStyle w:val="89"/>
        <w:numPr>
          <w:ilvl w:val="0"/>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“采购项目”：“投标人须知前附表”中所述的采购项目。</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“招标人”：“投标人须知前附表”中所述的组织本次招标的代理机构和采购人。</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“采购人”：是指依法进行政府采购的国家机关、事业单位、团体组织。采购人名称、 地址、电话、联系人见“投标人须知前附表”。</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采购代理机构及其分支机构不得在所代理的采购项目中投标或者代理投标，不得为所代理的采购项目的投标人参加本项目提供投标咨询。</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“潜在投标人”指符合《中华人民共和国政府采购法》及相关法律法规和本招标文件的各项规定，且按照本项目招标公告及招标文件规定的方式获取招标文件的法人、其他组织或者自然人。</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“节能产品”或者“环保产品”：财政部发布的《节能产品政府采购清单》或者《环境标志产品政府采购清单》的产品。</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“进口产品”：是指通过中国海关报关验放进入中国境内且产自关境外的产品，包括已经进入中国境内的进口产品。详见《</w:t>
      </w:r>
      <w:r>
        <w:rPr>
          <w:rFonts w:cs="宋体" w:asciiTheme="majorEastAsia" w:hAnsiTheme="majorEastAsia" w:eastAsiaTheme="majorEastAsia"/>
          <w:kern w:val="0"/>
          <w:szCs w:val="21"/>
        </w:rPr>
        <w:t>关于政府采购进口产品管理有关问题的通知</w:t>
      </w:r>
      <w:r>
        <w:rPr>
          <w:rFonts w:hint="eastAsia" w:cs="宋体" w:asciiTheme="majorEastAsia" w:hAnsiTheme="majorEastAsia" w:eastAsiaTheme="majorEastAsia"/>
          <w:kern w:val="0"/>
          <w:szCs w:val="21"/>
        </w:rPr>
        <w:t>》(财库[2007]119号)、《关于政府采购进口产品管理有关问题的通知》（财办库［</w:t>
      </w:r>
      <w:r>
        <w:rPr>
          <w:rFonts w:cs="宋体" w:asciiTheme="majorEastAsia" w:hAnsiTheme="majorEastAsia" w:eastAsiaTheme="majorEastAsia"/>
          <w:kern w:val="0"/>
          <w:szCs w:val="21"/>
        </w:rPr>
        <w:t>2008</w:t>
      </w:r>
      <w:r>
        <w:rPr>
          <w:rFonts w:hint="eastAsia" w:cs="宋体" w:asciiTheme="majorEastAsia" w:hAnsiTheme="majorEastAsia" w:eastAsiaTheme="majorEastAsia"/>
          <w:kern w:val="0"/>
          <w:szCs w:val="21"/>
        </w:rPr>
        <w:t>］</w:t>
      </w:r>
      <w:r>
        <w:rPr>
          <w:rFonts w:cs="宋体" w:asciiTheme="majorEastAsia" w:hAnsiTheme="majorEastAsia" w:eastAsiaTheme="majorEastAsia"/>
          <w:kern w:val="0"/>
          <w:szCs w:val="21"/>
        </w:rPr>
        <w:t xml:space="preserve">248 </w:t>
      </w:r>
      <w:r>
        <w:rPr>
          <w:rFonts w:hint="eastAsia" w:cs="宋体" w:asciiTheme="majorEastAsia" w:hAnsiTheme="majorEastAsia" w:eastAsiaTheme="majorEastAsia"/>
          <w:kern w:val="0"/>
          <w:szCs w:val="21"/>
        </w:rPr>
        <w:t>号）。</w:t>
      </w:r>
    </w:p>
    <w:p>
      <w:pPr>
        <w:pStyle w:val="89"/>
        <w:numPr>
          <w:ilvl w:val="1"/>
          <w:numId w:val="7"/>
        </w:numPr>
        <w:autoSpaceDE w:val="0"/>
        <w:autoSpaceDN w:val="0"/>
        <w:spacing w:line="360" w:lineRule="auto"/>
        <w:ind w:left="1327" w:hanging="907" w:firstLineChars="0"/>
        <w:contextualSpacing/>
        <w:rPr>
          <w:rFonts w:cs="宋体" w:asciiTheme="majorEastAsia" w:hAnsiTheme="majorEastAsia" w:eastAsiaTheme="majorEastAsia"/>
          <w:kern w:val="0"/>
          <w:szCs w:val="21"/>
        </w:rPr>
      </w:pPr>
      <w:r>
        <w:rPr>
          <w:rFonts w:cs="宋体" w:asciiTheme="majorEastAsia" w:hAnsiTheme="majorEastAsia" w:eastAsiaTheme="majorEastAsia"/>
          <w:kern w:val="0"/>
          <w:szCs w:val="21"/>
        </w:rPr>
        <w:t>招标文件列明不允许或未列明允许进口产品参加投标的，均视为拒绝进口产品参加投标。</w:t>
      </w:r>
    </w:p>
    <w:p>
      <w:pPr>
        <w:pStyle w:val="89"/>
        <w:numPr>
          <w:ilvl w:val="1"/>
          <w:numId w:val="8"/>
        </w:numPr>
        <w:autoSpaceDE w:val="0"/>
        <w:autoSpaceDN w:val="0"/>
        <w:spacing w:line="360" w:lineRule="auto"/>
        <w:ind w:left="1327" w:hanging="907" w:firstLineChars="0"/>
        <w:contextualSpacing/>
        <w:rPr>
          <w:rFonts w:cs="宋体" w:asciiTheme="majorEastAsia" w:hAnsiTheme="majorEastAsia" w:eastAsiaTheme="majorEastAsia"/>
          <w:kern w:val="0"/>
          <w:szCs w:val="21"/>
        </w:rPr>
      </w:pPr>
      <w:r>
        <w:rPr>
          <w:rFonts w:cs="宋体" w:asciiTheme="majorEastAsia" w:hAnsiTheme="majorEastAsia" w:eastAsiaTheme="majorEastAsia"/>
          <w:kern w:val="0"/>
          <w:szCs w:val="21"/>
        </w:rPr>
        <w:t>如</w:t>
      </w:r>
      <w:r>
        <w:rPr>
          <w:rFonts w:hint="eastAsia" w:cs="宋体" w:asciiTheme="majorEastAsia" w:hAnsiTheme="majorEastAsia" w:eastAsiaTheme="majorEastAsia"/>
          <w:kern w:val="0"/>
          <w:szCs w:val="21"/>
        </w:rPr>
        <w:t>招标</w:t>
      </w:r>
      <w:r>
        <w:rPr>
          <w:rFonts w:cs="宋体" w:asciiTheme="majorEastAsia" w:hAnsiTheme="majorEastAsia" w:eastAsiaTheme="majorEastAsia"/>
          <w:kern w:val="0"/>
          <w:szCs w:val="21"/>
        </w:rPr>
        <w:t>文件中已说明，经财政部门审核同意，允许部分或全部产品采购进口产品，投标人既可提供本国产品，也可以提供进口产品。</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招标文件中凡标有“★”的条款均系实质性要求条款。</w:t>
      </w:r>
    </w:p>
    <w:p>
      <w:pPr>
        <w:pStyle w:val="89"/>
        <w:numPr>
          <w:ilvl w:val="0"/>
          <w:numId w:val="5"/>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合格的投标人</w:t>
      </w:r>
    </w:p>
    <w:p>
      <w:pPr>
        <w:pStyle w:val="89"/>
        <w:numPr>
          <w:ilvl w:val="0"/>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在中华人民共和国境内注册，具有本项目生产、制造、供应或实施能力，符合、承认并承诺履行本招标文件各项规定的法人、其他组织或者自然人。</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符合本项目“投标邀请”和“投标人须知前附表”中规定的合格投标人所必须具备的条件。</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政府采购活动中查询及使用投标人信用记录的具体要求为：投标人未被列入失信被执行人、重大税收违法案件当事人名单、</w:t>
      </w:r>
      <w:r>
        <w:rPr>
          <w:rFonts w:cs="仿宋_GB2312" w:asciiTheme="majorEastAsia" w:hAnsiTheme="majorEastAsia" w:eastAsiaTheme="majorEastAsia"/>
          <w:szCs w:val="21"/>
          <w:shd w:val="clear" w:color="auto" w:fill="FFFFFF"/>
        </w:rPr>
        <w:t>政府采购严重违法失信名单</w:t>
      </w:r>
      <w:r>
        <w:rPr>
          <w:rFonts w:hint="eastAsia" w:cs="仿宋_GB2312" w:asciiTheme="majorEastAsia" w:hAnsiTheme="majorEastAsia" w:eastAsiaTheme="majorEastAsia"/>
          <w:szCs w:val="21"/>
          <w:shd w:val="clear" w:color="auto" w:fill="FFFFFF"/>
        </w:rPr>
        <w:t>、</w:t>
      </w:r>
      <w:r>
        <w:rPr>
          <w:rFonts w:hint="eastAsia" w:cs="宋体" w:asciiTheme="majorEastAsia" w:hAnsiTheme="majorEastAsia" w:eastAsiaTheme="majorEastAsia"/>
          <w:kern w:val="0"/>
          <w:szCs w:val="21"/>
        </w:rPr>
        <w:t>政府采购严重违法失信行为记录名单（联合体形式投标的，联合体成员存在不良信用记录，视同联合体存在不良信用记录）。</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单位负责人为同一人或者存在直接控股、管理关系的不同供应商，不得参加同一合同项下的政府采购活动；</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除单一来源采购项目外，为采购项目提供整体设计、规范编制或者项目管理、监理、检测等服务的供应商，不得再参加该采购项目的其他采购活动。</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“投标邀请”和“投标人须知前附表”规定接受联合体投标的，除应符合本章第</w:t>
      </w:r>
      <w:r>
        <w:rPr>
          <w:rFonts w:cs="宋体" w:asciiTheme="majorEastAsia" w:hAnsiTheme="majorEastAsia" w:eastAsiaTheme="majorEastAsia"/>
          <w:kern w:val="0"/>
          <w:szCs w:val="21"/>
        </w:rPr>
        <w:t>3.1</w:t>
      </w:r>
      <w:r>
        <w:rPr>
          <w:rFonts w:hint="eastAsia" w:cs="宋体" w:asciiTheme="majorEastAsia" w:hAnsiTheme="majorEastAsia" w:eastAsiaTheme="majorEastAsia"/>
          <w:kern w:val="0"/>
          <w:szCs w:val="21"/>
        </w:rPr>
        <w:t>项和3.2项要求外，还应遵守以下规定：</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（1）在投标文件中向采购人提交联合体协议书，明确联合体各方承担的工作和义务；</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（2）联合体中有同类资质的供应商按联合体分工承担相同工作的，应当按照资质等级较低的供应商确定资质等级；</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（4）联合体各方不得再单独参加或者与其他供应商另外组成联合体参加同一合同项下的政府采购活动。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r>
        <w:rPr>
          <w:rFonts w:cs="宋体" w:asciiTheme="majorEastAsia" w:hAnsiTheme="majorEastAsia" w:eastAsiaTheme="maj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ajorEastAsia" w:hAnsiTheme="majorEastAsia" w:eastAsiaTheme="majorEastAsia"/>
          <w:kern w:val="0"/>
          <w:szCs w:val="21"/>
        </w:rPr>
        <w:t>承担连带责任</w:t>
      </w:r>
      <w:r>
        <w:rPr>
          <w:rFonts w:cs="宋体" w:asciiTheme="majorEastAsia" w:hAnsiTheme="majorEastAsia" w:eastAsiaTheme="majorEastAsia"/>
          <w:kern w:val="0"/>
          <w:szCs w:val="21"/>
        </w:rPr>
        <w:fldChar w:fldCharType="end"/>
      </w:r>
      <w:r>
        <w:rPr>
          <w:rFonts w:cs="宋体" w:asciiTheme="majorEastAsia" w:hAnsiTheme="majorEastAsia" w:eastAsiaTheme="majorEastAsia"/>
          <w:kern w:val="0"/>
          <w:szCs w:val="21"/>
        </w:rPr>
        <w:t>。</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法律、行政法规规定的其他条件。</w:t>
      </w:r>
    </w:p>
    <w:p>
      <w:pPr>
        <w:pStyle w:val="89"/>
        <w:numPr>
          <w:ilvl w:val="0"/>
          <w:numId w:val="5"/>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合格的货物和服务</w:t>
      </w:r>
    </w:p>
    <w:p>
      <w:pPr>
        <w:pStyle w:val="89"/>
        <w:numPr>
          <w:ilvl w:val="0"/>
          <w:numId w:val="6"/>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投标人所提供的服务应当没有侵犯任何第三方的知识产权、技术秘密等合法权利。</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如采购人所采购产品为政府强制采购的节能产品，投标人所投产品的品牌及型号必须为《节能产品政府采购清单（投标截止时间前最新一期）》中的产品，并提供证明文件，否则其投标将被拒绝。</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投标人所投产品如被列入财政部与国家主管部门颁发的节能产品目录或环境标志产品目录，应提供相关证明，在评标时予以优先采购。</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如投标人所投产品被列入</w:t>
      </w:r>
      <w:r>
        <w:rPr>
          <w:rFonts w:cs="宋体" w:asciiTheme="majorEastAsia" w:hAnsiTheme="majorEastAsia" w:eastAsiaTheme="majorEastAsia"/>
          <w:kern w:val="0"/>
          <w:szCs w:val="21"/>
        </w:rPr>
        <w:t>《中华人民共和国实施强制性产品认证的产品目录》，</w:t>
      </w:r>
      <w:r>
        <w:rPr>
          <w:rFonts w:hint="eastAsia" w:cs="宋体" w:asciiTheme="majorEastAsia" w:hAnsiTheme="majorEastAsia" w:eastAsiaTheme="majorEastAsia"/>
          <w:kern w:val="0"/>
          <w:szCs w:val="21"/>
        </w:rPr>
        <w:t>则该产品应</w:t>
      </w:r>
      <w:r>
        <w:rPr>
          <w:rFonts w:cs="宋体" w:asciiTheme="majorEastAsia" w:hAnsiTheme="majorEastAsia" w:eastAsiaTheme="majorEastAsia"/>
          <w:kern w:val="0"/>
          <w:szCs w:val="21"/>
        </w:rPr>
        <w:t>具备国家认监委</w:t>
      </w:r>
      <w:r>
        <w:rPr>
          <w:rFonts w:hint="eastAsia" w:cs="宋体" w:asciiTheme="majorEastAsia" w:hAnsiTheme="majorEastAsia" w:eastAsiaTheme="majorEastAsia"/>
          <w:kern w:val="0"/>
          <w:szCs w:val="21"/>
        </w:rPr>
        <w:t>指定强制性产品认证机构</w:t>
      </w:r>
      <w:r>
        <w:rPr>
          <w:rFonts w:cs="宋体" w:asciiTheme="majorEastAsia" w:hAnsiTheme="majorEastAsia" w:eastAsiaTheme="majorEastAsia"/>
          <w:kern w:val="0"/>
          <w:szCs w:val="21"/>
        </w:rPr>
        <w:t>颁</w:t>
      </w:r>
      <w:r>
        <w:rPr>
          <w:rFonts w:hint="eastAsia" w:cs="宋体" w:asciiTheme="majorEastAsia" w:hAnsiTheme="majorEastAsia" w:eastAsiaTheme="majorEastAsia"/>
          <w:kern w:val="0"/>
          <w:szCs w:val="21"/>
        </w:rPr>
        <w:t>发的</w:t>
      </w:r>
      <w:r>
        <w:rPr>
          <w:rFonts w:cs="宋体" w:asciiTheme="majorEastAsia" w:hAnsiTheme="majorEastAsia" w:eastAsiaTheme="majorEastAsia"/>
          <w:kern w:val="0"/>
          <w:szCs w:val="21"/>
        </w:rPr>
        <w:t>《中国</w:t>
      </w:r>
      <w:r>
        <w:rPr>
          <w:rFonts w:hint="eastAsia" w:cs="宋体" w:asciiTheme="majorEastAsia" w:hAnsiTheme="majorEastAsia" w:eastAsiaTheme="majorEastAsia"/>
          <w:kern w:val="0"/>
          <w:szCs w:val="21"/>
        </w:rPr>
        <w:t>国家</w:t>
      </w:r>
      <w:r>
        <w:rPr>
          <w:rFonts w:cs="宋体" w:asciiTheme="majorEastAsia" w:hAnsiTheme="majorEastAsia" w:eastAsiaTheme="majorEastAsia"/>
          <w:kern w:val="0"/>
          <w:szCs w:val="21"/>
        </w:rPr>
        <w:t>强制</w:t>
      </w:r>
      <w:r>
        <w:rPr>
          <w:rFonts w:hint="eastAsia" w:cs="宋体" w:asciiTheme="majorEastAsia" w:hAnsiTheme="majorEastAsia" w:eastAsiaTheme="majorEastAsia"/>
          <w:kern w:val="0"/>
          <w:szCs w:val="21"/>
        </w:rPr>
        <w:t>性产品</w:t>
      </w:r>
      <w:r>
        <w:rPr>
          <w:rFonts w:cs="宋体" w:asciiTheme="majorEastAsia" w:hAnsiTheme="majorEastAsia" w:eastAsiaTheme="majorEastAsia"/>
          <w:kern w:val="0"/>
          <w:szCs w:val="21"/>
        </w:rPr>
        <w:t>认证</w:t>
      </w:r>
      <w:r>
        <w:rPr>
          <w:rFonts w:hint="eastAsia" w:cs="宋体" w:asciiTheme="majorEastAsia" w:hAnsiTheme="majorEastAsia" w:eastAsiaTheme="majorEastAsia"/>
          <w:kern w:val="0"/>
          <w:szCs w:val="21"/>
        </w:rPr>
        <w:t>证书</w:t>
      </w:r>
      <w:r>
        <w:rPr>
          <w:rFonts w:cs="宋体" w:asciiTheme="majorEastAsia" w:hAnsiTheme="majorEastAsia" w:eastAsiaTheme="majorEastAsia"/>
          <w:kern w:val="0"/>
          <w:szCs w:val="21"/>
        </w:rPr>
        <w:t>》（CCC 认证）。</w:t>
      </w:r>
      <w:r>
        <w:rPr>
          <w:rFonts w:hint="eastAsia" w:cs="宋体" w:asciiTheme="majorEastAsia" w:hAnsiTheme="majorEastAsia" w:eastAsiaTheme="majorEastAsia"/>
          <w:kern w:val="0"/>
          <w:szCs w:val="21"/>
        </w:rPr>
        <w:t>投标人</w:t>
      </w:r>
      <w:r>
        <w:rPr>
          <w:rFonts w:cs="宋体" w:asciiTheme="majorEastAsia" w:hAnsiTheme="majorEastAsia" w:eastAsiaTheme="majorEastAsia"/>
          <w:kern w:val="0"/>
          <w:szCs w:val="21"/>
        </w:rPr>
        <w:t>不能提供超出此目录范畴外的替代品</w:t>
      </w:r>
      <w:r>
        <w:rPr>
          <w:rFonts w:hint="eastAsia" w:cs="宋体" w:asciiTheme="majorEastAsia" w:hAnsiTheme="majorEastAsia" w:eastAsiaTheme="majorEastAsia"/>
          <w:kern w:val="0"/>
          <w:szCs w:val="21"/>
        </w:rPr>
        <w:t>。</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投标人所投产品如被列入</w:t>
      </w:r>
      <w:r>
        <w:rPr>
          <w:rFonts w:cs="宋体" w:asciiTheme="majorEastAsia" w:hAnsiTheme="majorEastAsia" w:eastAsiaTheme="majorEastAsia"/>
          <w:kern w:val="0"/>
          <w:szCs w:val="21"/>
        </w:rPr>
        <w:t>《信息安全产品强制性认证目录》，</w:t>
      </w:r>
      <w:r>
        <w:rPr>
          <w:rFonts w:hint="eastAsia" w:cs="宋体" w:asciiTheme="majorEastAsia" w:hAnsiTheme="majorEastAsia" w:eastAsiaTheme="majorEastAsia"/>
          <w:kern w:val="0"/>
          <w:szCs w:val="21"/>
        </w:rPr>
        <w:t>则该产品应</w:t>
      </w:r>
      <w:r>
        <w:rPr>
          <w:rFonts w:cs="宋体" w:asciiTheme="majorEastAsia" w:hAnsiTheme="majorEastAsia" w:eastAsiaTheme="majorEastAsia"/>
          <w:kern w:val="0"/>
          <w:szCs w:val="21"/>
        </w:rPr>
        <w:t>具备</w:t>
      </w:r>
      <w:r>
        <w:rPr>
          <w:rFonts w:hint="eastAsia" w:cs="宋体" w:asciiTheme="majorEastAsia" w:hAnsiTheme="majorEastAsia" w:eastAsiaTheme="majorEastAsia"/>
          <w:kern w:val="0"/>
          <w:szCs w:val="21"/>
        </w:rPr>
        <w:t>中国信息安全认证中心</w:t>
      </w:r>
      <w:r>
        <w:rPr>
          <w:rFonts w:cs="宋体" w:asciiTheme="majorEastAsia" w:hAnsiTheme="majorEastAsia" w:eastAsiaTheme="majorEastAsia"/>
          <w:kern w:val="0"/>
          <w:szCs w:val="21"/>
        </w:rPr>
        <w:t>颁</w:t>
      </w:r>
      <w:r>
        <w:rPr>
          <w:rFonts w:hint="eastAsia" w:cs="宋体" w:asciiTheme="majorEastAsia" w:hAnsiTheme="majorEastAsia" w:eastAsiaTheme="majorEastAsia"/>
          <w:kern w:val="0"/>
          <w:szCs w:val="21"/>
        </w:rPr>
        <w:t>发的</w:t>
      </w:r>
      <w:r>
        <w:rPr>
          <w:rFonts w:cs="宋体" w:asciiTheme="majorEastAsia" w:hAnsiTheme="majorEastAsia" w:eastAsiaTheme="maj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ajorEastAsia" w:hAnsiTheme="majorEastAsia" w:eastAsiaTheme="majorEastAsia"/>
          <w:kern w:val="0"/>
          <w:szCs w:val="21"/>
        </w:rPr>
        <w:t>中国国家信息安全产品认证证书</w:t>
      </w:r>
      <w:r>
        <w:rPr>
          <w:rFonts w:hint="eastAsia" w:cs="宋体" w:asciiTheme="majorEastAsia" w:hAnsiTheme="majorEastAsia" w:eastAsiaTheme="majorEastAsia"/>
          <w:kern w:val="0"/>
          <w:szCs w:val="21"/>
        </w:rPr>
        <w:fldChar w:fldCharType="end"/>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投标人</w:t>
      </w:r>
      <w:r>
        <w:rPr>
          <w:rFonts w:cs="宋体" w:asciiTheme="majorEastAsia" w:hAnsiTheme="majorEastAsia" w:eastAsiaTheme="majorEastAsia"/>
          <w:kern w:val="0"/>
          <w:szCs w:val="21"/>
        </w:rPr>
        <w:t>不能提供超出此目录范畴外的替代品</w:t>
      </w:r>
      <w:r>
        <w:rPr>
          <w:rFonts w:hint="eastAsia" w:cs="宋体" w:asciiTheme="majorEastAsia" w:hAnsiTheme="majorEastAsia" w:eastAsiaTheme="majorEastAsia"/>
          <w:kern w:val="0"/>
          <w:szCs w:val="21"/>
        </w:rPr>
        <w:t>。</w:t>
      </w:r>
    </w:p>
    <w:p>
      <w:pPr>
        <w:pStyle w:val="89"/>
        <w:numPr>
          <w:ilvl w:val="0"/>
          <w:numId w:val="5"/>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投标费用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不论投标的结果如何，投标人均应自行承担所有与投标有关的全部费用，招标人在任何情况下均无义务和责任承担这些费用。</w:t>
      </w:r>
    </w:p>
    <w:p>
      <w:pPr>
        <w:pStyle w:val="89"/>
        <w:numPr>
          <w:ilvl w:val="0"/>
          <w:numId w:val="5"/>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信息发布</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和《全国公共资源交易平台（河南省·许昌市）》、《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89"/>
        <w:numPr>
          <w:ilvl w:val="0"/>
          <w:numId w:val="5"/>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采购代理机构代理费用收取标准和方式</w:t>
      </w:r>
    </w:p>
    <w:p>
      <w:pPr>
        <w:pStyle w:val="89"/>
        <w:numPr>
          <w:ilvl w:val="0"/>
          <w:numId w:val="9"/>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收取标准:按照中标合同金额的比例收取。详见投标人须知前附表。</w:t>
      </w:r>
    </w:p>
    <w:p>
      <w:pPr>
        <w:pStyle w:val="89"/>
        <w:numPr>
          <w:ilvl w:val="1"/>
          <w:numId w:val="5"/>
        </w:numPr>
        <w:autoSpaceDE w:val="0"/>
        <w:autoSpaceDN w:val="0"/>
        <w:spacing w:line="360" w:lineRule="auto"/>
        <w:ind w:firstLineChars="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收取方式：一次性以现金、银行划账、电汇、汇票或支票的形式支付。</w:t>
      </w:r>
    </w:p>
    <w:p>
      <w:pPr>
        <w:pStyle w:val="89"/>
        <w:numPr>
          <w:ilvl w:val="0"/>
          <w:numId w:val="5"/>
        </w:numPr>
        <w:autoSpaceDE w:val="0"/>
        <w:autoSpaceDN w:val="0"/>
        <w:spacing w:line="360" w:lineRule="auto"/>
        <w:ind w:firstLineChars="0"/>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其他</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二、招标文件说明</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招标文件构成</w:t>
      </w:r>
    </w:p>
    <w:p>
      <w:pPr>
        <w:numPr>
          <w:ilvl w:val="0"/>
          <w:numId w:val="10"/>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招标文件由以下部分组成：</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（1）投标邀请（招标公告）</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（2）项目需求</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（3）投标人须知前附表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（4）投标人须知</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（5）政府采购政策功能</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（6）资格审查与评标</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（7）合同条款及格式</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（8）投标文件有关格式</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（9）本项目招标文件的澄清、答复、修改、补充内容（如有的话）</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现场考察、开标前答疑会</w:t>
      </w:r>
    </w:p>
    <w:p>
      <w:pPr>
        <w:numPr>
          <w:ilvl w:val="0"/>
          <w:numId w:val="10"/>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ajorEastAsia" w:hAnsiTheme="majorEastAsia" w:eastAsiaTheme="majorEastAsia"/>
          <w:kern w:val="0"/>
          <w:szCs w:val="21"/>
        </w:rPr>
      </w:pP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招标文件的澄清或修改</w:t>
      </w:r>
    </w:p>
    <w:p>
      <w:pPr>
        <w:numPr>
          <w:ilvl w:val="0"/>
          <w:numId w:val="11"/>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在投标截止期前，无论出于何种原因，招标人可主动地或在解答潜在投标人提出的澄清问题时对招标文件进行修改。</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招标人可以对已发出的招标文件进行必要的澄清或者修改。澄清或者修改的内容可能影响投标文件编制的，招标人将在投标截止时间</w:t>
      </w:r>
      <w:r>
        <w:rPr>
          <w:rFonts w:cs="宋体" w:asciiTheme="majorEastAsia" w:hAnsiTheme="majorEastAsia" w:eastAsiaTheme="majorEastAsia"/>
          <w:kern w:val="0"/>
          <w:szCs w:val="21"/>
        </w:rPr>
        <w:t>15</w:t>
      </w:r>
      <w:r>
        <w:rPr>
          <w:rFonts w:hint="eastAsia" w:cs="宋体" w:asciiTheme="majorEastAsia" w:hAnsiTheme="majorEastAsia" w:eastAsiaTheme="majorEastAsia"/>
          <w:kern w:val="0"/>
          <w:szCs w:val="21"/>
        </w:rPr>
        <w:t>日前，在财政部门指定的政府采购信息发布媒体和《全国公共资源交易平台（河南省·许昌市）》发布更正公告。</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澄清或修改公告的内容为招标文件的组成部分，并对投标人具有约束力。当招标文件与澄清或修改公告就同一内容的表述不一致时，以最后发出的文件内容为准。</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三、投标文件的编制</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投标的语言及计量单位</w:t>
      </w:r>
    </w:p>
    <w:p>
      <w:pPr>
        <w:numPr>
          <w:ilvl w:val="0"/>
          <w:numId w:val="12"/>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投标计量单位，招标文件已有明确规定的，使用招标文件规定的计量单位；招标文件没有规定的，一律采用中华人民共和国法定计量单位。</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投标报价</w:t>
      </w:r>
    </w:p>
    <w:p>
      <w:pPr>
        <w:numPr>
          <w:ilvl w:val="0"/>
          <w:numId w:val="12"/>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本次招标项目的投标均以人民币为计算单位。</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采购人不得向投标人索要或者接受其给予的赠品、回扣或者与采购无关的其他商品、服务。</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投标人应对项目要求的全部内容进行报价，少报漏报将导致其投标为非实质性响应予以拒绝。</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本项目所涉及的运输、施工、安装、集成、调试、验收、备品和工具等费用均包含在投标报价中。</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本次招标不接受可选择或可调整的投标方案和报价，任何有选择的或可调整的投标方案和报价将被视为非实质性响应投标而作无效投标处理。</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最低报价不能作为中标的保证。</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投标有效期</w:t>
      </w:r>
    </w:p>
    <w:p>
      <w:pPr>
        <w:numPr>
          <w:ilvl w:val="0"/>
          <w:numId w:val="12"/>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中标人的投标文件作为项目合同的附件，其有效期至中标人全部合同义务履行完毕为止。</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投标文件构成</w:t>
      </w:r>
    </w:p>
    <w:p>
      <w:pPr>
        <w:numPr>
          <w:ilvl w:val="0"/>
          <w:numId w:val="12"/>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投标文件的构成应符合法律法规及招标文件的要求。</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投标人应当按照招标文件的要求编制投标文件。投标文件应当对招标文件提出的要求和条件作出明确响应。</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投标文件由资格证明材料、符合性证明材料、其它材料等组成。</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投标人登录许昌公共资源交易系统下载“许昌投标文件制作系统SEARUN 最新版本”，按招标文件要求根据所投标段制作电子投标文件。 一个标段对应生成一个文件夹（xxxx项目xx标段）, 其中包含2个文件和1个文件夹。后缀名为“</w:t>
      </w:r>
      <w:r>
        <w:rPr>
          <w:rFonts w:cs="宋体" w:asciiTheme="majorEastAsia" w:hAnsiTheme="majorEastAsia" w:eastAsiaTheme="majorEastAsia"/>
          <w:kern w:val="0"/>
          <w:szCs w:val="21"/>
        </w:rPr>
        <w:t>.file</w:t>
      </w:r>
      <w:r>
        <w:rPr>
          <w:rFonts w:hint="eastAsia" w:cs="宋体" w:asciiTheme="majorEastAsia" w:hAnsiTheme="majorEastAsia" w:eastAsiaTheme="majorEastAsia"/>
          <w:kern w:val="0"/>
          <w:szCs w:val="21"/>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电子投标文件制作技术咨询：</w:t>
      </w:r>
      <w:r>
        <w:rPr>
          <w:rFonts w:hint="eastAsia" w:cs="宋体" w:asciiTheme="majorEastAsia" w:hAnsiTheme="majorEastAsia" w:eastAsiaTheme="majorEastAsia"/>
          <w:b/>
          <w:kern w:val="0"/>
          <w:szCs w:val="21"/>
        </w:rPr>
        <w:t>0374-2961598</w:t>
      </w:r>
      <w:r>
        <w:rPr>
          <w:rFonts w:hint="eastAsia" w:cs="宋体" w:asciiTheme="majorEastAsia" w:hAnsiTheme="majorEastAsia" w:eastAsiaTheme="majorEastAsia"/>
          <w:kern w:val="0"/>
          <w:szCs w:val="21"/>
        </w:rPr>
        <w:t>。</w:t>
      </w:r>
    </w:p>
    <w:p>
      <w:pPr>
        <w:autoSpaceDE w:val="0"/>
        <w:autoSpaceDN w:val="0"/>
        <w:spacing w:line="360" w:lineRule="auto"/>
        <w:ind w:left="964"/>
        <w:contextualSpacing/>
        <w:rPr>
          <w:rFonts w:cs="宋体" w:asciiTheme="majorEastAsia" w:hAnsiTheme="majorEastAsia" w:eastAsiaTheme="majorEastAsia"/>
          <w:kern w:val="0"/>
          <w:szCs w:val="21"/>
        </w:rPr>
      </w:pP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投标文件格式</w:t>
      </w:r>
    </w:p>
    <w:p>
      <w:pPr>
        <w:numPr>
          <w:ilvl w:val="0"/>
          <w:numId w:val="12"/>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投标人应按招标文件提供的格式编写投标文件。招标文件未提供标准格式的投标人可自行拟定。</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投标文件的数量和签署盖章</w:t>
      </w:r>
    </w:p>
    <w:p>
      <w:pPr>
        <w:numPr>
          <w:ilvl w:val="0"/>
          <w:numId w:val="12"/>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投标人应提交投标文件份数见“投标人须知前附表”。</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在招标文件中已明示需盖章及签名之处，电子投标文件应按招标文件要求加盖投标人电子印章和法人电子印章或授权代表电子印章。</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纸质投标文件是指投标人电子投标文件制作完成后生成的后缀名为“.PDF”的文件打印的投标文件。纸质投标文件正本和副本封面上应清楚标明</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正本</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或</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副本</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字样；一旦正本和副本内容不一致时，以正本为准。纸质投标文件的正本及所有副本的封面均须由投标人加盖投标人公章。</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纸质投标文件副本可以是纸质投标文件的正本复印而成。</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四、投标文件的递交</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投标文件的密封</w:t>
      </w:r>
    </w:p>
    <w:p>
      <w:pPr>
        <w:numPr>
          <w:ilvl w:val="0"/>
          <w:numId w:val="12"/>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投标人应将纸质投标文件“正本”、“ 副本”密封包装。使用电子介质存储的投标文件单独密封包装，并随纸质投标文件一并提交。</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投标文件如果未按规定密封，招标人将拒绝接收。</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投标截止时间</w:t>
      </w:r>
    </w:p>
    <w:p>
      <w:pPr>
        <w:numPr>
          <w:ilvl w:val="0"/>
          <w:numId w:val="12"/>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投标人必须在“投标邀请”和“投标人须知前附表”中规定的投标截止时间前，将所有投标文件送达招标文件指定的开标地点。</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招标人收到投标文件后，应当如实记载投标文件的送达时间和密封情况，签收保存，并向投标人出具签收回执。任何单位和个人不得在开标前开启投标文件。</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autoSpaceDE w:val="0"/>
        <w:autoSpaceDN w:val="0"/>
        <w:spacing w:line="360" w:lineRule="auto"/>
        <w:ind w:left="964"/>
        <w:contextualSpacing/>
        <w:rPr>
          <w:rFonts w:cs="宋体" w:asciiTheme="majorEastAsia" w:hAnsiTheme="majorEastAsia" w:eastAsiaTheme="majorEastAsia"/>
          <w:kern w:val="0"/>
          <w:szCs w:val="21"/>
        </w:rPr>
      </w:pP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迟交的投标文件</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投标截止时间之后送达/上传的投标文件，招标人将拒绝接收。</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投标文件的修改和撤回</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21.1投标人在投标截止时间前，对所递交的纸质投标文件进行补充、修改或者撤回的，须书面通知招标人。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投标人应当在投标截止时间前完成电子投标文件的提交，可以补充、修改或撤回。投标截止时间前未完成电子投标文件提交、取得“投标文件提交回执单”的，视为撤回投标文件。</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投标人补充、修改的内容并作为投标文件的组成部分。补充或修改应当按招标文件要求签署、盖章、密封、递交，并应注明“修改</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或“补充</w:t>
      </w:r>
      <w:r>
        <w:rPr>
          <w:rFonts w:cs="宋体" w:asciiTheme="majorEastAsia" w:hAnsiTheme="majorEastAsia" w:eastAsiaTheme="majorEastAsia"/>
          <w:kern w:val="0"/>
          <w:szCs w:val="21"/>
        </w:rPr>
        <w:t>”</w:t>
      </w:r>
      <w:r>
        <w:rPr>
          <w:rFonts w:hint="eastAsia" w:cs="宋体" w:asciiTheme="majorEastAsia" w:hAnsiTheme="majorEastAsia" w:eastAsiaTheme="majorEastAsia"/>
          <w:kern w:val="0"/>
          <w:szCs w:val="21"/>
        </w:rPr>
        <w:t>字样。</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投标人在递交纸质投标文件后，可以撤回其投标，但投标人必须在规定的投标截止时间前以书面形式告知招标人。</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除投标人须知前附表另有规定外，投标人所提交的电子投标文件、纸质投标文件及电子介质存储的备份文件不予退还。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五、开标和评标</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开标</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23.1招标人将按招标文件规定的时间和地点组织公开开标。开标由代理机构主持，邀请投标人参加。评标委员会成员不得参加开标活动。招标人应当对开标、评标现场活动进行全程录音录像。录音录像应当清晰可辨，音像资料作为采购文件一并存档。</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23.2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（1）电子投标文件的解密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全流程电子化交易项目电子投标文件采用双重加密。解密需分标段进行两次解密。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b. 代理机构解密：代理机构</w:t>
      </w:r>
      <w:r>
        <w:rPr>
          <w:rFonts w:cs="宋体" w:asciiTheme="majorEastAsia" w:hAnsiTheme="majorEastAsia" w:eastAsiaTheme="majorEastAsia"/>
          <w:kern w:val="0"/>
          <w:szCs w:val="21"/>
        </w:rPr>
        <w:t>按</w:t>
      </w:r>
      <w:r>
        <w:rPr>
          <w:rFonts w:hint="eastAsia" w:cs="宋体" w:asciiTheme="majorEastAsia" w:hAnsiTheme="majorEastAsia" w:eastAsiaTheme="majorEastAsia"/>
          <w:kern w:val="0"/>
          <w:szCs w:val="21"/>
        </w:rPr>
        <w:t>电子</w:t>
      </w:r>
      <w:r>
        <w:rPr>
          <w:rFonts w:cs="宋体" w:asciiTheme="majorEastAsia" w:hAnsiTheme="majorEastAsia" w:eastAsiaTheme="majorEastAsia"/>
          <w:kern w:val="0"/>
          <w:szCs w:val="21"/>
        </w:rPr>
        <w:t>投标</w:t>
      </w:r>
      <w:r>
        <w:rPr>
          <w:rFonts w:hint="eastAsia" w:cs="宋体" w:asciiTheme="majorEastAsia" w:hAnsiTheme="majorEastAsia" w:eastAsiaTheme="majorEastAsia"/>
          <w:kern w:val="0"/>
          <w:szCs w:val="21"/>
        </w:rPr>
        <w:t>文件到达交易系统</w:t>
      </w:r>
      <w:r>
        <w:rPr>
          <w:rFonts w:cs="宋体" w:asciiTheme="majorEastAsia" w:hAnsiTheme="majorEastAsia" w:eastAsiaTheme="majorEastAsia"/>
          <w:kern w:val="0"/>
          <w:szCs w:val="21"/>
        </w:rPr>
        <w:t>的先后顺序</w:t>
      </w:r>
      <w:r>
        <w:rPr>
          <w:rFonts w:hint="eastAsia" w:cs="宋体" w:asciiTheme="majorEastAsia" w:hAnsiTheme="majorEastAsia" w:eastAsiaTheme="majorEastAsia"/>
          <w:kern w:val="0"/>
          <w:szCs w:val="21"/>
        </w:rPr>
        <w:t>，使用本单位CA数字证书进行再次解密。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电子投标文件解密异常情况处理</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23.3投标人不足3家的，不得开标。</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23.4开标过程由采购代理机构负责记录，由参加开标的各投标人代表和相关工作人员签字确认后随采购文件一并存档。</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23.5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20" w:firstLineChars="20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23.6投标人未参加开标的，视同认可开标结果。</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资格审查</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开标结束后，采购人代表1人依法对投标人的资格进行审查。合格投标人不足3家的，不得评标。</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评标委员会的组成</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25.1招标人将依法组建评标委员会，评标委员会由采购人代表1人和评审专家4人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91" w:leftChars="202" w:hanging="567" w:hangingChars="27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25.1.1  招标人将依法组建评标委员会，评标委员会由评审专家组成，成员人数应当为5人以上单数。评审专家依法从政府采购评审专家库中随机抽取。</w:t>
      </w:r>
    </w:p>
    <w:p>
      <w:pPr>
        <w:autoSpaceDE w:val="0"/>
        <w:autoSpaceDN w:val="0"/>
        <w:spacing w:line="360" w:lineRule="auto"/>
        <w:ind w:left="426"/>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25.1.2  采购项目符合下列情形之一的，评标委员会成员人数应当为7人以上单数：</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（1）采购预算金额在1000万元以上；</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（2）技术复杂；</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（3）社会影响较大。</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评审专家对本单位的采购项目只能作为采购人代表参与评标。采购代理机构工作人员不得参加由本机构代理的政府采购项目的评标。</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评审专家与投标人存在下列利害关系之一的,应当回避:</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（1）参加采购活动前三年内,与供应商存在劳动关系,或者担任过供应商的董事、监事,或者是供应商的控股股东或实际控制人；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（2）与供应商的法定代表人或者负责人有夫妻、直系血亲、三代以内旁系血亲或者近姻亲关系；</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（3）与供应商有其他可能影响政府采购活动公平、公正进行的关系。</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评审专家发现本人与参加采购活动的供应商有利害关系的,应当主动提出回避。采购人或者代理机构发现评审专家与参加采购活动的供应商有利害关系的,应当要求其回避。</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采购人不得担任评标小组长。</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采购人可以在评标前说明项目背景和采购需求，说明内容不得含有歧视性、倾向性意见，不得超出招标文件所述范围。说明应当提交书面材料，并随采购文件一并存档。</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评标委员会成员名单在评标结果公告前应当保密。</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符合性审查</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评标委员会依据有关法律法规和招标文件的规定，对符合资格的投标人的投标文件进行符合性审查，以确定其是否满足招标文件的实质性要求。</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审查、评价投标文件是否符合招标文件的商务、技术等实质性要求。</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可要求投标人对投标文件有关事项作出澄清或者说明。</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投标文件的澄清</w:t>
      </w:r>
    </w:p>
    <w:p>
      <w:pPr>
        <w:numPr>
          <w:ilvl w:val="0"/>
          <w:numId w:val="13"/>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对于投标文件中含义不明确、同类问题表述不一致或者有明显文字和计算错误的内容，评标委员会应当以书面形式要求投标人作出必要的澄清、说明或者补正。</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投标人的澄清文件是其投标文件的组成部分。</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投标文件报价出现前后不一致的修正</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（1）投标文件中开标一览表(报价表)内容与投标文件中相应内容不一致的，以开标一览表(报价表)为准；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（2）大写金额和小写金额不一致的，以大写金额为准；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单价金额小数点或者百分比有明显错位的，以开标一览表的总价为准，并修改单价；</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投标无效情形</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29.1投标文件属下列情况之一的，按照无效投标处理：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投标文件未按招标文件要求签署、盖章的；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不具备招标文件中规定的资格要求的；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报价超过招标文件中规定的预算金额或者最高限价的；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（4） </w:t>
      </w:r>
      <w:r>
        <w:rPr>
          <w:rFonts w:cs="宋体" w:asciiTheme="majorEastAsia" w:hAnsiTheme="majorEastAsia" w:eastAsiaTheme="majorEastAsia"/>
          <w:kern w:val="0"/>
          <w:szCs w:val="21"/>
        </w:rPr>
        <w:t>投标文件含有采购人不能接受的附加条件的</w:t>
      </w:r>
      <w:r>
        <w:rPr>
          <w:rFonts w:hint="eastAsia" w:cs="宋体" w:asciiTheme="majorEastAsia" w:hAnsiTheme="majorEastAsia" w:eastAsiaTheme="majorEastAsia"/>
          <w:kern w:val="0"/>
          <w:szCs w:val="21"/>
        </w:rPr>
        <w:t>。</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有下列情形之一的，视为投标人串通投标，其投标无效：</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不同投标人的投标文件由同一单位或者个人编制；</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不同投标人委托同一单位或者个人办理投标事宜；</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不同投标人的投标文件载明的项目管理成员或者联系人员为同一人；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 不同投标人的投标文件异常一致或者投标报价呈规律性差异；</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 不同投标人的投标文件相互混装；</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asciiTheme="majorEastAsia" w:hAnsiTheme="majorEastAsia" w:eastAsiaTheme="majorEastAsia" w:cstheme="minorBidi"/>
          <w:szCs w:val="22"/>
        </w:rPr>
        <w:t>按照《关于推进全流程电子化交易和在线监管工作有关问题的通知》（许公管办[2019]3号）规定，不同投标人电子投标文件制作硬件特征码（网卡MAC地址、CPU序号、硬盘序列号等）均一致时，视为‘</w:t>
      </w:r>
      <w:r>
        <w:rPr>
          <w:rFonts w:asciiTheme="majorEastAsia" w:hAnsiTheme="majorEastAsia" w:eastAsiaTheme="majorEastAsia" w:cstheme="minorBidi"/>
          <w:szCs w:val="22"/>
        </w:rPr>
        <w:t>不同</w:t>
      </w:r>
      <w:r>
        <w:rPr>
          <w:rFonts w:hint="eastAsia" w:asciiTheme="majorEastAsia" w:hAnsiTheme="majorEastAsia" w:eastAsiaTheme="majorEastAsia" w:cstheme="minorBidi"/>
          <w:szCs w:val="22"/>
        </w:rPr>
        <w:t>投标人</w:t>
      </w:r>
      <w:r>
        <w:rPr>
          <w:rFonts w:asciiTheme="majorEastAsia" w:hAnsiTheme="majorEastAsia" w:eastAsiaTheme="majorEastAsia" w:cstheme="minorBidi"/>
          <w:szCs w:val="22"/>
        </w:rPr>
        <w:t>的</w:t>
      </w:r>
      <w:r>
        <w:rPr>
          <w:rFonts w:hint="eastAsia" w:asciiTheme="majorEastAsia" w:hAnsiTheme="majorEastAsia" w:eastAsiaTheme="majorEastAsia" w:cstheme="minorBidi"/>
          <w:szCs w:val="22"/>
        </w:rPr>
        <w:t>投标</w:t>
      </w:r>
      <w:r>
        <w:rPr>
          <w:rFonts w:asciiTheme="majorEastAsia" w:hAnsiTheme="majorEastAsia" w:eastAsiaTheme="majorEastAsia" w:cstheme="minorBidi"/>
          <w:szCs w:val="22"/>
        </w:rPr>
        <w:t>文件由同一单位或者个人编制</w:t>
      </w:r>
      <w:r>
        <w:rPr>
          <w:rFonts w:hint="eastAsia" w:asciiTheme="majorEastAsia" w:hAnsiTheme="majorEastAsia" w:eastAsiaTheme="majorEastAsia" w:cstheme="minorBidi"/>
          <w:szCs w:val="22"/>
        </w:rPr>
        <w:t>’或‘</w:t>
      </w:r>
      <w:r>
        <w:rPr>
          <w:rFonts w:asciiTheme="majorEastAsia" w:hAnsiTheme="majorEastAsia" w:eastAsiaTheme="majorEastAsia" w:cstheme="minorBidi"/>
          <w:szCs w:val="22"/>
        </w:rPr>
        <w:t>不同</w:t>
      </w:r>
      <w:r>
        <w:rPr>
          <w:rFonts w:hint="eastAsia" w:asciiTheme="majorEastAsia" w:hAnsiTheme="majorEastAsia" w:eastAsiaTheme="majorEastAsia" w:cstheme="minorBidi"/>
          <w:szCs w:val="22"/>
        </w:rPr>
        <w:t>投标人</w:t>
      </w:r>
      <w:r>
        <w:rPr>
          <w:rFonts w:asciiTheme="majorEastAsia" w:hAnsiTheme="majorEastAsia" w:eastAsiaTheme="majorEastAsia" w:cstheme="minorBidi"/>
          <w:szCs w:val="22"/>
        </w:rPr>
        <w:t>委托同一单位或者个人办理</w:t>
      </w:r>
      <w:r>
        <w:rPr>
          <w:rFonts w:hint="eastAsia" w:asciiTheme="majorEastAsia" w:hAnsiTheme="majorEastAsia" w:eastAsiaTheme="majorEastAsia" w:cstheme="minorBidi"/>
          <w:szCs w:val="22"/>
        </w:rPr>
        <w:t>响应</w:t>
      </w:r>
      <w:r>
        <w:rPr>
          <w:rFonts w:asciiTheme="majorEastAsia" w:hAnsiTheme="majorEastAsia" w:eastAsiaTheme="majorEastAsia" w:cstheme="minorBidi"/>
          <w:szCs w:val="22"/>
        </w:rPr>
        <w:t>事宜</w:t>
      </w:r>
      <w:r>
        <w:rPr>
          <w:rFonts w:hint="eastAsia" w:asciiTheme="majorEastAsia" w:hAnsiTheme="majorEastAsia" w:eastAsiaTheme="majorEastAsia" w:cstheme="minorBidi"/>
          <w:szCs w:val="22"/>
        </w:rPr>
        <w:t>’，其投标无效。</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cs="宋体" w:asciiTheme="majorEastAsia" w:hAnsiTheme="majorEastAsia" w:eastAsiaTheme="majorEastAsia"/>
          <w:kern w:val="0"/>
          <w:szCs w:val="21"/>
        </w:rPr>
        <w:t>法律、法规和招标文件规定的其他无效情形。</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相同品牌投标人的认定</w:t>
      </w:r>
      <w:r>
        <w:rPr>
          <w:rFonts w:cs="仿宋_GB2312" w:asciiTheme="majorEastAsia" w:hAnsiTheme="majorEastAsia" w:eastAsiaTheme="majorEastAsia"/>
          <w:b/>
          <w:bCs/>
          <w:szCs w:val="21"/>
          <w:lang w:val="zh-CN"/>
        </w:rPr>
        <w:t>（服务类项目不适用本条款规定）</w:t>
      </w:r>
    </w:p>
    <w:p>
      <w:pPr>
        <w:numPr>
          <w:ilvl w:val="0"/>
          <w:numId w:val="14"/>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投标文件的比较与评价</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评标委员会按照招标文件中规定的评标方法和标准，对符合性审查合格的投标文件进行商务和技术评估，综合比较与评价。</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评标方法、评标标准</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32.1评标方法分为最低评标价法和综合评分法。</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最低评标价法</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综合评分法，是指投标文件满足招标文件全部实质性要求，且按照评审因素的量化指标评审得分最高的投标人为中标候选人的评标方法。</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价格分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投标报价得分=(评标基准价/投标报价)×100</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评标总得分=F1×A1+F2×A2+……+Fn×An</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F1、F2……Fn分别为各项评审因素的得分;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A1、A2、……An 分别为各项评审因素所占的权重(A1+A2+……+An=1)。</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评标过程中，不得去掉报价中的最高报价和最低报价。</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因落实政府采购政策进行价格调整的，以调整后的价格计算评标基准价和投标报价。</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b/>
          <w:kern w:val="0"/>
          <w:szCs w:val="21"/>
        </w:rPr>
        <w:t>本次评标具体评标方法、评标标准见（第六章 资格审查与评标）</w:t>
      </w:r>
      <w:r>
        <w:rPr>
          <w:rFonts w:hint="eastAsia" w:cs="宋体" w:asciiTheme="majorEastAsia" w:hAnsiTheme="majorEastAsia" w:eastAsiaTheme="majorEastAsia"/>
          <w:kern w:val="0"/>
          <w:szCs w:val="21"/>
        </w:rPr>
        <w:t>。</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推荐中标候选人</w:t>
      </w:r>
    </w:p>
    <w:p>
      <w:pPr>
        <w:numPr>
          <w:ilvl w:val="0"/>
          <w:numId w:val="1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评审意见无效情形</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评标委员会及其成员有下列行为之一的，其评审意见无效：</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确定参与评标至评标结束前私自接触投标人；</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 接受投标人提出的与投标文件不一致的澄清或者说明，《投标人须知》26条规定的情形除外；</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 违反评标纪律发表倾向性意见或者征询采购人的倾向性意见；</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 对需要专业判断的主观评审因素协商评分；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 在评标过程中擅离职守，影响评标程序正常进行的；</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 记录、复制或者带走任何评标资料；</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 其他不遵守评标纪律的行为。</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保密</w:t>
      </w:r>
    </w:p>
    <w:p>
      <w:pPr>
        <w:autoSpaceDE w:val="0"/>
        <w:autoSpaceDN w:val="0"/>
        <w:spacing w:line="360" w:lineRule="auto"/>
        <w:ind w:left="420"/>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35.1评审专家应当遵守评审工作纪律，不得泄露评审文件、评审情况和评审中获悉的商业秘密。</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六、定标和授予合同</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确定中标人</w:t>
      </w:r>
    </w:p>
    <w:p>
      <w:pPr>
        <w:numPr>
          <w:ilvl w:val="0"/>
          <w:numId w:val="1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采购人应当自收到评标报告之日起5个工作日内，在评标报告确定的中标候选人名单中按顺序确定中标人。中标候选人并列的，由采购人采取随机抽取的方式确定。</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中标公告、发出中标通知书</w:t>
      </w:r>
    </w:p>
    <w:p>
      <w:pPr>
        <w:numPr>
          <w:ilvl w:val="0"/>
          <w:numId w:val="1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采购人确认中标人后，招标人在公告中标结果的同时，向中标人发出中标通知书。</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中标通知书发出后，采购人不得违法改变中标结果，中标人无正当理由不得放弃中标。</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中标人在接到中标通知时，须向代理机构发送投标报价及分项报价一览表（包含主要中标标的的名称、规格型号、数量、单价、服务要求等）电子文档，并同时通知代理机构联系人。</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质疑提出与答复</w:t>
      </w:r>
    </w:p>
    <w:p>
      <w:pPr>
        <w:numPr>
          <w:ilvl w:val="0"/>
          <w:numId w:val="16"/>
        </w:numPr>
        <w:autoSpaceDE w:val="0"/>
        <w:autoSpaceDN w:val="0"/>
        <w:spacing w:line="360" w:lineRule="auto"/>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供应商认为采购文件、采购过程和中标结果使自己的权益受到损害的，可以按照《政府采购质疑和投诉办法》（财政部令第94号）提出质疑。</w:t>
      </w:r>
      <w:r>
        <w:rPr>
          <w:rFonts w:cs="宋体" w:asciiTheme="majorEastAsia" w:hAnsiTheme="majorEastAsia" w:eastAsiaTheme="majorEastAsia"/>
          <w:kern w:val="0"/>
          <w:szCs w:val="21"/>
        </w:rPr>
        <w:t>提出质疑的供应商应当是参与</w:t>
      </w:r>
      <w:r>
        <w:rPr>
          <w:rFonts w:hint="eastAsia" w:cs="宋体" w:asciiTheme="majorEastAsia" w:hAnsiTheme="majorEastAsia" w:eastAsiaTheme="majorEastAsia"/>
          <w:kern w:val="0"/>
          <w:szCs w:val="21"/>
        </w:rPr>
        <w:t>本</w:t>
      </w:r>
      <w:r>
        <w:rPr>
          <w:rFonts w:cs="宋体" w:asciiTheme="majorEastAsia" w:hAnsiTheme="majorEastAsia" w:eastAsiaTheme="majorEastAsia"/>
          <w:kern w:val="0"/>
          <w:szCs w:val="21"/>
        </w:rPr>
        <w:t>项目采购活动的供应商。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 对采购文件提出质疑的，</w:t>
      </w:r>
      <w:r>
        <w:rPr>
          <w:rFonts w:cs="宋体" w:asciiTheme="majorEastAsia" w:hAnsiTheme="majorEastAsia" w:eastAsiaTheme="majorEastAsia"/>
          <w:kern w:val="0"/>
          <w:szCs w:val="21"/>
        </w:rPr>
        <w:t>潜在</w:t>
      </w:r>
      <w:r>
        <w:rPr>
          <w:rFonts w:hint="eastAsia" w:cs="宋体" w:asciiTheme="majorEastAsia" w:hAnsiTheme="majorEastAsia" w:eastAsiaTheme="majorEastAsia"/>
          <w:kern w:val="0"/>
          <w:szCs w:val="21"/>
        </w:rPr>
        <w:t>投标人应</w:t>
      </w:r>
      <w:r>
        <w:rPr>
          <w:rFonts w:cs="宋体" w:asciiTheme="majorEastAsia" w:hAnsiTheme="majorEastAsia" w:eastAsiaTheme="majorEastAsia"/>
          <w:kern w:val="0"/>
          <w:szCs w:val="21"/>
        </w:rPr>
        <w:t>已依法获取采购文件</w:t>
      </w:r>
      <w:r>
        <w:rPr>
          <w:rFonts w:hint="eastAsia" w:cs="宋体" w:asciiTheme="majorEastAsia" w:hAnsiTheme="majorEastAsia" w:eastAsiaTheme="majorEastAsia"/>
          <w:kern w:val="0"/>
          <w:szCs w:val="21"/>
        </w:rPr>
        <w:t>，且应当在</w:t>
      </w:r>
      <w:r>
        <w:rPr>
          <w:rFonts w:cs="宋体" w:asciiTheme="majorEastAsia" w:hAnsiTheme="majorEastAsia" w:eastAsiaTheme="majorEastAsia"/>
          <w:kern w:val="0"/>
          <w:szCs w:val="21"/>
        </w:rPr>
        <w:t>获取采购文件或者采购文件公告期限届满之日起7个工作日内</w:t>
      </w:r>
      <w:r>
        <w:rPr>
          <w:rFonts w:hint="eastAsia" w:cs="宋体" w:asciiTheme="majorEastAsia" w:hAnsiTheme="majorEastAsia" w:eastAsiaTheme="maj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 对采购过程提出质疑的，为各采购程序环节结束之日起七个工作日内，以书面形式向采购人和采购代理机构一次性提出；</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（3） 对中标结果提出质疑的，为中标结果公告期限届满之日起七个工作日内，以书面形式向采购人和采购代理机构一次性提出。</w:t>
      </w:r>
    </w:p>
    <w:p>
      <w:pPr>
        <w:numPr>
          <w:ilvl w:val="1"/>
          <w:numId w:val="5"/>
        </w:numPr>
        <w:autoSpaceDE w:val="0"/>
        <w:autoSpaceDN w:val="0"/>
        <w:spacing w:line="360" w:lineRule="auto"/>
        <w:contextualSpacing/>
        <w:rPr>
          <w:rFonts w:cs="宋体" w:asciiTheme="majorEastAsia" w:hAnsiTheme="majorEastAsia" w:eastAsiaTheme="majorEastAsia"/>
          <w:kern w:val="0"/>
          <w:szCs w:val="21"/>
        </w:rPr>
      </w:pPr>
      <w:r>
        <w:rPr>
          <w:rFonts w:cs="宋体" w:asciiTheme="majorEastAsia" w:hAnsiTheme="majorEastAsia" w:eastAsiaTheme="maj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（1） </w:t>
      </w:r>
      <w:r>
        <w:rPr>
          <w:rFonts w:cs="宋体" w:asciiTheme="majorEastAsia" w:hAnsiTheme="majorEastAsia" w:eastAsiaTheme="maj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（2） </w:t>
      </w:r>
      <w:r>
        <w:rPr>
          <w:rFonts w:cs="宋体" w:asciiTheme="majorEastAsia" w:hAnsiTheme="majorEastAsia" w:eastAsiaTheme="majorEastAsia"/>
          <w:kern w:val="0"/>
          <w:szCs w:val="21"/>
        </w:rPr>
        <w:t>对采购过程、中标结果提出的质疑，合格供应商符合法定数量时，可以从合格的中标</w:t>
      </w:r>
      <w:r>
        <w:rPr>
          <w:rFonts w:hint="eastAsia" w:cs="宋体" w:asciiTheme="majorEastAsia" w:hAnsiTheme="majorEastAsia" w:eastAsiaTheme="majorEastAsia"/>
          <w:kern w:val="0"/>
          <w:szCs w:val="21"/>
        </w:rPr>
        <w:t>候选人</w:t>
      </w:r>
      <w:r>
        <w:rPr>
          <w:rFonts w:cs="宋体" w:asciiTheme="majorEastAsia" w:hAnsiTheme="majorEastAsia" w:eastAsiaTheme="majorEastAsia"/>
          <w:kern w:val="0"/>
          <w:szCs w:val="21"/>
        </w:rPr>
        <w:t>中另行确定中标供应商的，应当依法另行确定中标供应商；否则应当重新开展采购活动。</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签订合同</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numPr>
          <w:ilvl w:val="0"/>
          <w:numId w:val="5"/>
        </w:numPr>
        <w:autoSpaceDE w:val="0"/>
        <w:autoSpaceDN w:val="0"/>
        <w:spacing w:line="360" w:lineRule="auto"/>
        <w:contextualSpacing/>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履约担保</w:t>
      </w:r>
    </w:p>
    <w:p>
      <w:pPr>
        <w:autoSpaceDE w:val="0"/>
        <w:autoSpaceDN w:val="0"/>
        <w:spacing w:line="360" w:lineRule="auto"/>
        <w:ind w:left="964"/>
        <w:contextualSpacing/>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“投标人须知前附表”中规定中标人提交履约担保的，中标人需按投标人须知前附表的要求向采购人提交。履约担保的 数额不得超过政府采购合同金额的10%。</w:t>
      </w:r>
    </w:p>
    <w:p>
      <w:pPr>
        <w:autoSpaceDE w:val="0"/>
        <w:autoSpaceDN w:val="0"/>
        <w:spacing w:line="360" w:lineRule="auto"/>
        <w:ind w:left="210" w:leftChars="100" w:firstLine="181" w:firstLineChars="50"/>
        <w:contextualSpacing/>
        <w:rPr>
          <w:rFonts w:cs="仿宋" w:asciiTheme="majorEastAsia" w:hAnsiTheme="majorEastAsia" w:eastAsiaTheme="majorEastAsia"/>
          <w:b/>
          <w:kern w:val="0"/>
          <w:sz w:val="36"/>
          <w:szCs w:val="32"/>
        </w:rPr>
      </w:pPr>
    </w:p>
    <w:p>
      <w:pPr>
        <w:autoSpaceDE w:val="0"/>
        <w:autoSpaceDN w:val="0"/>
        <w:spacing w:line="360" w:lineRule="auto"/>
        <w:contextualSpacing/>
        <w:rPr>
          <w:rFonts w:cs="仿宋" w:asciiTheme="majorEastAsia" w:hAnsiTheme="majorEastAsia" w:eastAsiaTheme="majorEastAsia"/>
          <w:b/>
          <w:kern w:val="0"/>
          <w:sz w:val="36"/>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bookmarkStart w:id="5" w:name="_Toc22984_WPSOffice_Level1"/>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2"/>
        </w:rPr>
      </w:pPr>
      <w:r>
        <w:rPr>
          <w:rFonts w:hint="eastAsia" w:cs="宋体" w:asciiTheme="majorEastAsia" w:hAnsiTheme="majorEastAsia" w:eastAsiaTheme="majorEastAsia"/>
          <w:b/>
          <w:kern w:val="0"/>
          <w:sz w:val="36"/>
          <w:szCs w:val="32"/>
        </w:rPr>
        <w:t>第五章 政府采购政策功能</w:t>
      </w:r>
      <w:bookmarkEnd w:id="5"/>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spacing w:line="360" w:lineRule="auto"/>
        <w:ind w:firstLine="442" w:firstLineChars="200"/>
        <w:contextualSpacing/>
        <w:rPr>
          <w:rFonts w:cs="仿宋_GB2312" w:asciiTheme="majorEastAsia" w:hAnsiTheme="majorEastAsia" w:eastAsiaTheme="majorEastAsia"/>
          <w:b/>
          <w:sz w:val="22"/>
          <w:szCs w:val="21"/>
          <w:lang w:val="zh-CN"/>
        </w:rPr>
      </w:pPr>
      <w:r>
        <w:rPr>
          <w:rFonts w:hint="eastAsia" w:cs="仿宋_GB2312" w:asciiTheme="majorEastAsia" w:hAnsiTheme="majorEastAsia" w:eastAsiaTheme="majorEastAsia"/>
          <w:b/>
          <w:sz w:val="22"/>
          <w:szCs w:val="21"/>
          <w:lang w:val="zh-CN"/>
        </w:rPr>
        <w:t>一、促进中小企业发展（不含民办非企业）</w:t>
      </w:r>
    </w:p>
    <w:p>
      <w:pPr>
        <w:topLinePunct/>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4、中小企业投标应提供《中小企业声明函》，如为联合投标的，联合体各方需分别填写《中小企业声明函》。</w:t>
      </w:r>
    </w:p>
    <w:p>
      <w:pPr>
        <w:topLinePunct/>
        <w:spacing w:line="360" w:lineRule="auto"/>
        <w:ind w:firstLine="442" w:firstLineChars="200"/>
        <w:contextualSpacing/>
        <w:rPr>
          <w:rFonts w:cs="仿宋_GB2312" w:asciiTheme="majorEastAsia" w:hAnsiTheme="majorEastAsia" w:eastAsiaTheme="majorEastAsia"/>
          <w:b/>
          <w:sz w:val="22"/>
          <w:szCs w:val="21"/>
          <w:lang w:val="zh-CN"/>
        </w:rPr>
      </w:pPr>
      <w:r>
        <w:rPr>
          <w:rFonts w:hint="eastAsia" w:cs="仿宋_GB2312" w:asciiTheme="majorEastAsia" w:hAnsiTheme="majorEastAsia" w:eastAsiaTheme="majorEastAsia"/>
          <w:b/>
          <w:sz w:val="22"/>
          <w:szCs w:val="21"/>
          <w:lang w:val="zh-CN"/>
        </w:rPr>
        <w:t>二、支持监狱企业发展</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42" w:firstLineChars="200"/>
        <w:contextualSpacing/>
        <w:rPr>
          <w:rFonts w:cs="仿宋_GB2312" w:asciiTheme="majorEastAsia" w:hAnsiTheme="majorEastAsia" w:eastAsiaTheme="majorEastAsia"/>
          <w:b/>
          <w:sz w:val="22"/>
          <w:szCs w:val="21"/>
          <w:lang w:val="zh-CN"/>
        </w:rPr>
      </w:pPr>
      <w:r>
        <w:rPr>
          <w:rFonts w:hint="eastAsia" w:cs="仿宋_GB2312" w:asciiTheme="majorEastAsia" w:hAnsiTheme="majorEastAsia" w:eastAsiaTheme="majorEastAsia"/>
          <w:b/>
          <w:sz w:val="22"/>
          <w:szCs w:val="21"/>
          <w:lang w:val="zh-CN"/>
        </w:rPr>
        <w:t>三、促进残疾人就业</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spacing w:line="360" w:lineRule="auto"/>
        <w:ind w:firstLine="480" w:firstLineChars="200"/>
        <w:contextualSpacing/>
        <w:rPr>
          <w:rFonts w:cs="仿宋_GB2312" w:asciiTheme="majorEastAsia" w:hAnsiTheme="majorEastAsia" w:eastAsiaTheme="majorEastAsia"/>
          <w:sz w:val="24"/>
          <w:szCs w:val="21"/>
          <w:lang w:val="zh-CN"/>
        </w:rPr>
      </w:pPr>
      <w:r>
        <w:rPr>
          <w:rFonts w:hint="eastAsia" w:cs="仿宋_GB2312" w:asciiTheme="majorEastAsia" w:hAnsiTheme="majorEastAsia" w:eastAsiaTheme="majorEastAsia"/>
          <w:sz w:val="24"/>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left="187" w:hanging="187" w:hangingChars="78"/>
        <w:contextualSpacing/>
        <w:jc w:val="left"/>
        <w:rPr>
          <w:rFonts w:cs="宋体" w:asciiTheme="majorEastAsia" w:hAnsiTheme="majorEastAsia" w:eastAsiaTheme="majorEastAsia"/>
          <w:b/>
          <w:kern w:val="0"/>
          <w:sz w:val="36"/>
          <w:szCs w:val="36"/>
        </w:rPr>
      </w:pPr>
      <w:r>
        <w:rPr>
          <w:rFonts w:hint="eastAsia" w:cs="仿宋_GB2312" w:asciiTheme="majorEastAsia" w:hAnsiTheme="majorEastAsia" w:eastAsiaTheme="majorEastAsia"/>
          <w:sz w:val="24"/>
          <w:szCs w:val="21"/>
          <w:lang w:val="zh-CN"/>
        </w:rPr>
        <w:t>3、中标人为残疾人福利性单位的，招标人应当随中标结果同时公告其《残疾人福利性单位声明函》，接受社会监督。</w:t>
      </w:r>
    </w:p>
    <w:p>
      <w:pPr>
        <w:pStyle w:val="14"/>
        <w:spacing w:line="360" w:lineRule="auto"/>
        <w:ind w:left="345" w:hanging="345" w:hangingChars="78"/>
        <w:contextualSpacing/>
        <w:jc w:val="center"/>
        <w:rPr>
          <w:rFonts w:cs="仿宋" w:asciiTheme="majorEastAsia" w:hAnsiTheme="majorEastAsia" w:eastAsiaTheme="majorEastAsia"/>
          <w:b/>
          <w:kern w:val="0"/>
          <w:sz w:val="44"/>
          <w:szCs w:val="36"/>
        </w:rPr>
      </w:pPr>
    </w:p>
    <w:p>
      <w:pPr>
        <w:pageBreakBefore/>
        <w:tabs>
          <w:tab w:val="left" w:pos="1260"/>
        </w:tabs>
        <w:autoSpaceDE w:val="0"/>
        <w:autoSpaceDN w:val="0"/>
        <w:adjustRightInd w:val="0"/>
        <w:spacing w:line="360" w:lineRule="auto"/>
        <w:contextualSpacing/>
        <w:jc w:val="center"/>
        <w:rPr>
          <w:rFonts w:cs="仿宋" w:asciiTheme="majorEastAsia" w:hAnsiTheme="majorEastAsia" w:eastAsiaTheme="majorEastAsia"/>
          <w:b/>
          <w:kern w:val="0"/>
          <w:sz w:val="32"/>
          <w:szCs w:val="32"/>
        </w:rPr>
      </w:pPr>
      <w:bookmarkStart w:id="6" w:name="_Toc9065_WPSOffice_Level1"/>
      <w:r>
        <w:rPr>
          <w:rFonts w:hint="eastAsia" w:cs="仿宋" w:asciiTheme="majorEastAsia" w:hAnsiTheme="majorEastAsia" w:eastAsiaTheme="majorEastAsia"/>
          <w:b/>
          <w:kern w:val="0"/>
          <w:sz w:val="32"/>
          <w:szCs w:val="32"/>
        </w:rPr>
        <w:t>第六章资格审查与评标</w:t>
      </w:r>
      <w:bookmarkEnd w:id="6"/>
    </w:p>
    <w:p>
      <w:pPr>
        <w:spacing w:line="360" w:lineRule="auto"/>
        <w:contextualSpacing/>
        <w:jc w:val="center"/>
        <w:rPr>
          <w:rFonts w:cs="仿宋_GB2312" w:asciiTheme="majorEastAsia" w:hAnsiTheme="majorEastAsia" w:eastAsiaTheme="majorEastAsia"/>
          <w:b/>
          <w:sz w:val="32"/>
          <w:szCs w:val="32"/>
          <w:lang w:val="zh-CN"/>
        </w:rPr>
      </w:pPr>
      <w:r>
        <w:rPr>
          <w:rFonts w:cs="仿宋_GB2312" w:asciiTheme="majorEastAsia" w:hAnsiTheme="majorEastAsia" w:eastAsiaTheme="majorEastAsia"/>
          <w:b/>
          <w:sz w:val="32"/>
          <w:szCs w:val="32"/>
          <w:lang w:val="zh-CN"/>
        </w:rPr>
        <w:t>一、资格审查</w:t>
      </w:r>
    </w:p>
    <w:p>
      <w:pPr>
        <w:pStyle w:val="14"/>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（一）</w:t>
      </w:r>
      <w:r>
        <w:rPr>
          <w:rFonts w:ascii="宋体" w:hAnsi="宋体" w:cs="仿宋_GB2312"/>
          <w:sz w:val="24"/>
          <w:szCs w:val="24"/>
          <w:lang w:val="zh-CN"/>
        </w:rPr>
        <w:t>开标结束后，</w:t>
      </w:r>
      <w:r>
        <w:rPr>
          <w:rFonts w:hint="eastAsia" w:ascii="宋体" w:hAnsi="宋体" w:cs="仿宋_GB2312"/>
          <w:sz w:val="24"/>
          <w:szCs w:val="24"/>
          <w:lang w:val="zh-CN"/>
        </w:rPr>
        <w:t>在开标室进行</w:t>
      </w:r>
      <w:r>
        <w:rPr>
          <w:rFonts w:ascii="宋体" w:hAnsi="宋体" w:cs="仿宋_GB2312"/>
          <w:sz w:val="24"/>
          <w:szCs w:val="24"/>
          <w:lang w:val="zh-CN"/>
        </w:rPr>
        <w:t>。</w:t>
      </w:r>
    </w:p>
    <w:p>
      <w:pPr>
        <w:spacing w:line="360" w:lineRule="auto"/>
        <w:ind w:right="420" w:rightChars="200" w:firstLine="480" w:firstLineChars="200"/>
        <w:contextualSpacing/>
        <w:rPr>
          <w:rFonts w:ascii="宋体" w:hAnsi="宋体" w:cs="仿宋_GB2312"/>
          <w:sz w:val="24"/>
          <w:lang w:val="zh-CN"/>
        </w:rPr>
      </w:pPr>
      <w:r>
        <w:rPr>
          <w:rFonts w:hint="eastAsia" w:ascii="宋体" w:hAnsi="宋体" w:cs="仿宋_GB2312"/>
          <w:sz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lang w:val="zh-CN"/>
        </w:rPr>
      </w:pPr>
      <w:r>
        <w:rPr>
          <w:rFonts w:hint="eastAsia" w:ascii="宋体" w:hAnsi="宋体" w:cs="仿宋_GB2312"/>
          <w:sz w:val="24"/>
          <w:lang w:val="zh-CN"/>
        </w:rPr>
        <w:t>（三）</w:t>
      </w:r>
      <w:r>
        <w:rPr>
          <w:rFonts w:hint="eastAsia" w:ascii="宋体" w:hAnsi="宋体"/>
          <w:kern w:val="0"/>
          <w:sz w:val="24"/>
        </w:rPr>
        <w:t>资格审查小组</w:t>
      </w:r>
      <w:r>
        <w:rPr>
          <w:rFonts w:hint="eastAsia" w:ascii="宋体" w:hAnsi="宋体" w:cs="仿宋_GB2312"/>
          <w:sz w:val="24"/>
          <w:lang w:val="zh-CN"/>
        </w:rPr>
        <w:t>由采购人代表1人组成（均需出具由采购人法定代表人签署的有明确授权事项的授权委托书，资格审查小组成员不得做为业主代表进入评标委员会参与评标），对供应商的资格要求进行审查，在资格性审查期间，所有供应商应当回避。</w:t>
      </w:r>
    </w:p>
    <w:p>
      <w:pPr>
        <w:spacing w:line="360" w:lineRule="auto"/>
        <w:ind w:right="420" w:rightChars="200" w:firstLine="482" w:firstLineChars="200"/>
        <w:contextualSpacing/>
        <w:rPr>
          <w:rFonts w:ascii="宋体" w:hAnsi="宋体" w:cs="仿宋_GB2312"/>
          <w:sz w:val="24"/>
          <w:lang w:val="zh-CN"/>
        </w:rPr>
      </w:pPr>
      <w:r>
        <w:rPr>
          <w:rFonts w:hint="eastAsia" w:ascii="宋体" w:hAnsi="宋体" w:cs="仿宋_GB2312"/>
          <w:b/>
          <w:bCs/>
          <w:sz w:val="24"/>
          <w:lang w:val="zh-CN"/>
        </w:rPr>
        <w:t>（四）资格审查中所涉及到的证书及材料，均须在电子投标文件中提供原件扫描件（或图片）。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noWrap/>
            <w:vAlign w:val="center"/>
          </w:tcPr>
          <w:p>
            <w:pPr>
              <w:spacing w:line="360" w:lineRule="auto"/>
              <w:jc w:val="center"/>
              <w:rPr>
                <w:rFonts w:ascii="宋体" w:hAnsi="宋体"/>
                <w:b/>
                <w:sz w:val="24"/>
              </w:rPr>
            </w:pPr>
            <w:r>
              <w:rPr>
                <w:rFonts w:hint="eastAsia" w:ascii="宋体" w:hAnsi="宋体"/>
                <w:b/>
                <w:sz w:val="24"/>
              </w:rPr>
              <w:t>资格审查</w:t>
            </w:r>
            <w:r>
              <w:rPr>
                <w:rFonts w:ascii="宋体" w:hAnsi="宋体"/>
                <w:b/>
                <w:sz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noWrap/>
            <w:vAlign w:val="center"/>
          </w:tcPr>
          <w:p>
            <w:pPr>
              <w:spacing w:line="360" w:lineRule="auto"/>
              <w:jc w:val="left"/>
              <w:rPr>
                <w:rFonts w:ascii="宋体" w:hAnsi="宋体"/>
                <w:b/>
                <w:sz w:val="24"/>
              </w:rPr>
            </w:pPr>
            <w:r>
              <w:rPr>
                <w:rFonts w:hint="eastAsia" w:ascii="宋体" w:hAnsi="宋体"/>
                <w:b/>
                <w:sz w:val="24"/>
              </w:rPr>
              <w:t>1、投标函：符合“第八章投标文件有关格式”的格式要求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noWrap/>
            <w:vAlign w:val="center"/>
          </w:tcPr>
          <w:p>
            <w:pPr>
              <w:spacing w:line="360" w:lineRule="auto"/>
              <w:rPr>
                <w:rFonts w:ascii="宋体" w:hAnsi="宋体"/>
                <w:bCs/>
                <w:sz w:val="24"/>
              </w:rPr>
            </w:pPr>
            <w:r>
              <w:rPr>
                <w:rFonts w:hint="eastAsia" w:ascii="宋体" w:hAnsi="宋体"/>
                <w:b/>
                <w:bCs/>
                <w:sz w:val="24"/>
              </w:rPr>
              <w:t>2、法人或者其他组织的营业执照等证明文件，自然人的身份证明</w:t>
            </w:r>
          </w:p>
          <w:p>
            <w:pPr>
              <w:spacing w:line="360" w:lineRule="auto"/>
              <w:rPr>
                <w:rFonts w:ascii="宋体" w:hAnsi="宋体"/>
                <w:bCs/>
                <w:sz w:val="24"/>
              </w:rPr>
            </w:pPr>
            <w:r>
              <w:rPr>
                <w:rFonts w:hint="eastAsia" w:ascii="宋体" w:hAnsi="宋体"/>
                <w:bCs/>
                <w:sz w:val="24"/>
              </w:rPr>
              <w:t>（1）企业法人营业执照或营业执照。（企业投标提供）</w:t>
            </w:r>
          </w:p>
          <w:p>
            <w:pPr>
              <w:spacing w:line="360" w:lineRule="auto"/>
              <w:rPr>
                <w:rFonts w:ascii="宋体" w:hAnsi="宋体"/>
                <w:bCs/>
                <w:sz w:val="24"/>
              </w:rPr>
            </w:pPr>
            <w:r>
              <w:rPr>
                <w:rFonts w:hint="eastAsia" w:ascii="宋体" w:hAnsi="宋体"/>
                <w:bCs/>
                <w:sz w:val="24"/>
              </w:rPr>
              <w:t>（2）事业单位法人证书。（事业单位投标提供）</w:t>
            </w:r>
          </w:p>
          <w:p>
            <w:pPr>
              <w:spacing w:line="360" w:lineRule="auto"/>
              <w:rPr>
                <w:rFonts w:ascii="宋体" w:hAnsi="宋体"/>
                <w:bCs/>
                <w:sz w:val="24"/>
              </w:rPr>
            </w:pPr>
            <w:r>
              <w:rPr>
                <w:rFonts w:hint="eastAsia" w:ascii="宋体" w:hAnsi="宋体"/>
                <w:bCs/>
                <w:sz w:val="24"/>
              </w:rPr>
              <w:t>（3）执业许可证。（非专业服务机构投标提供）</w:t>
            </w:r>
          </w:p>
          <w:p>
            <w:pPr>
              <w:spacing w:line="360" w:lineRule="auto"/>
              <w:rPr>
                <w:rFonts w:ascii="宋体" w:hAnsi="宋体"/>
                <w:bCs/>
                <w:sz w:val="24"/>
              </w:rPr>
            </w:pPr>
            <w:r>
              <w:rPr>
                <w:rFonts w:hint="eastAsia" w:ascii="宋体" w:hAnsi="宋体"/>
                <w:bCs/>
                <w:sz w:val="24"/>
              </w:rPr>
              <w:t>（4）个体工商户营业执照。（个体工商户投标提供）</w:t>
            </w:r>
          </w:p>
          <w:p>
            <w:pPr>
              <w:spacing w:line="360" w:lineRule="auto"/>
              <w:rPr>
                <w:rFonts w:ascii="宋体" w:hAnsi="宋体"/>
                <w:b/>
                <w:sz w:val="24"/>
              </w:rPr>
            </w:pPr>
            <w:r>
              <w:rPr>
                <w:rFonts w:hint="eastAsia" w:ascii="宋体" w:hAnsi="宋体"/>
                <w:bCs/>
                <w:sz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noWrap/>
            <w:vAlign w:val="center"/>
          </w:tcPr>
          <w:p>
            <w:pPr>
              <w:spacing w:line="360" w:lineRule="auto"/>
              <w:rPr>
                <w:rFonts w:ascii="宋体" w:hAnsi="宋体"/>
                <w:bCs/>
                <w:sz w:val="24"/>
              </w:rPr>
            </w:pPr>
            <w:r>
              <w:rPr>
                <w:rFonts w:hint="eastAsia" w:ascii="宋体" w:hAnsi="宋体"/>
                <w:b/>
                <w:bCs/>
                <w:sz w:val="24"/>
              </w:rPr>
              <w:t>3、财务状况报告相关材料</w:t>
            </w:r>
          </w:p>
          <w:p>
            <w:pPr>
              <w:spacing w:line="360" w:lineRule="auto"/>
              <w:rPr>
                <w:rFonts w:ascii="宋体" w:hAnsi="宋体"/>
                <w:bCs/>
                <w:sz w:val="24"/>
              </w:rPr>
            </w:pPr>
            <w:r>
              <w:rPr>
                <w:rFonts w:hint="eastAsia" w:ascii="宋体" w:hAnsi="宋体"/>
                <w:bCs/>
                <w:sz w:val="24"/>
              </w:rPr>
              <w:t>（1）2016年、2017年、2018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rPr>
            </w:pPr>
            <w:r>
              <w:rPr>
                <w:rFonts w:hint="eastAsia" w:ascii="宋体" w:hAnsi="宋体"/>
                <w:bCs/>
                <w:sz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noWrap/>
            <w:vAlign w:val="center"/>
          </w:tcPr>
          <w:p>
            <w:pPr>
              <w:spacing w:line="360" w:lineRule="auto"/>
              <w:rPr>
                <w:rFonts w:ascii="宋体" w:hAnsi="宋体"/>
                <w:bCs/>
                <w:sz w:val="24"/>
              </w:rPr>
            </w:pPr>
            <w:r>
              <w:rPr>
                <w:rFonts w:hint="eastAsia" w:ascii="宋体" w:hAnsi="宋体"/>
                <w:b/>
                <w:bCs/>
                <w:sz w:val="24"/>
              </w:rPr>
              <w:t>4、依法缴纳税收相关材料</w:t>
            </w:r>
          </w:p>
          <w:p>
            <w:pPr>
              <w:spacing w:line="360" w:lineRule="auto"/>
              <w:rPr>
                <w:rFonts w:ascii="宋体" w:hAnsi="宋体"/>
                <w:b/>
                <w:sz w:val="24"/>
              </w:rPr>
            </w:pPr>
            <w:r>
              <w:rPr>
                <w:rFonts w:hint="eastAsia" w:ascii="宋体" w:hAnsi="宋体"/>
                <w:bCs/>
                <w:sz w:val="24"/>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noWrap/>
            <w:vAlign w:val="center"/>
          </w:tcPr>
          <w:p>
            <w:pPr>
              <w:spacing w:line="360" w:lineRule="auto"/>
              <w:rPr>
                <w:rFonts w:ascii="宋体" w:hAnsi="宋体"/>
                <w:bCs/>
                <w:sz w:val="24"/>
              </w:rPr>
            </w:pPr>
            <w:r>
              <w:rPr>
                <w:rFonts w:hint="eastAsia" w:ascii="宋体" w:hAnsi="宋体"/>
                <w:b/>
                <w:bCs/>
                <w:sz w:val="24"/>
              </w:rPr>
              <w:t>5、依法缴纳社会保障资金的证明材料</w:t>
            </w:r>
          </w:p>
          <w:p>
            <w:pPr>
              <w:spacing w:line="360" w:lineRule="auto"/>
              <w:rPr>
                <w:rFonts w:ascii="宋体" w:hAnsi="宋体"/>
                <w:bCs/>
                <w:sz w:val="24"/>
              </w:rPr>
            </w:pPr>
            <w:r>
              <w:rPr>
                <w:rFonts w:hint="eastAsia" w:ascii="宋体" w:hAnsi="宋体"/>
                <w:bCs/>
                <w:sz w:val="24"/>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noWrap/>
            <w:vAlign w:val="center"/>
          </w:tcPr>
          <w:p>
            <w:pPr>
              <w:spacing w:line="360" w:lineRule="auto"/>
              <w:rPr>
                <w:rFonts w:ascii="宋体" w:hAnsi="宋体"/>
                <w:b/>
                <w:bCs/>
                <w:sz w:val="24"/>
              </w:rPr>
            </w:pPr>
            <w:r>
              <w:rPr>
                <w:rFonts w:hint="eastAsia" w:ascii="宋体" w:hAnsi="宋体"/>
                <w:b/>
                <w:bCs/>
                <w:sz w:val="24"/>
              </w:rPr>
              <w:t>6、履行合同所必须的设备和专业技术能力的证明材料</w:t>
            </w:r>
          </w:p>
          <w:p>
            <w:pPr>
              <w:spacing w:line="360" w:lineRule="auto"/>
              <w:rPr>
                <w:rFonts w:ascii="宋体" w:hAnsi="宋体"/>
                <w:b/>
                <w:sz w:val="24"/>
              </w:rPr>
            </w:pPr>
            <w:r>
              <w:rPr>
                <w:rFonts w:hint="eastAsia" w:ascii="宋体" w:hAnsi="宋体"/>
                <w:bCs/>
                <w:sz w:val="24"/>
              </w:rPr>
              <w:t>相关设备的购置发票、专业技术人员职称证书、用工合同等或者投标人相关承诺函或声明。（格式自拟）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noWrap/>
            <w:vAlign w:val="center"/>
          </w:tcPr>
          <w:p>
            <w:pPr>
              <w:spacing w:line="360" w:lineRule="auto"/>
              <w:rPr>
                <w:rFonts w:ascii="宋体" w:hAnsi="宋体"/>
                <w:b/>
                <w:bCs/>
                <w:sz w:val="24"/>
              </w:rPr>
            </w:pPr>
            <w:r>
              <w:rPr>
                <w:rFonts w:hint="eastAsia" w:ascii="宋体" w:hAnsi="宋体"/>
                <w:b/>
                <w:bCs/>
                <w:sz w:val="24"/>
              </w:rPr>
              <w:t>7、参加政府采购活动前3年内在经营活动中没有重大违法记录的声明</w:t>
            </w:r>
          </w:p>
          <w:p>
            <w:pPr>
              <w:spacing w:line="360" w:lineRule="auto"/>
              <w:rPr>
                <w:rFonts w:ascii="宋体" w:hAnsi="宋体"/>
                <w:bCs/>
                <w:sz w:val="24"/>
              </w:rPr>
            </w:pPr>
            <w:r>
              <w:rPr>
                <w:rFonts w:hint="eastAsia" w:ascii="宋体" w:hAnsi="宋体"/>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noWrap/>
            <w:vAlign w:val="center"/>
          </w:tcPr>
          <w:p>
            <w:pPr>
              <w:spacing w:line="360" w:lineRule="auto"/>
              <w:rPr>
                <w:rFonts w:ascii="宋体" w:hAnsi="宋体"/>
                <w:b/>
                <w:bCs/>
                <w:sz w:val="24"/>
              </w:rPr>
            </w:pPr>
            <w:r>
              <w:rPr>
                <w:rFonts w:hint="eastAsia" w:ascii="宋体" w:hAnsi="宋体"/>
                <w:b/>
                <w:bCs/>
                <w:sz w:val="24"/>
              </w:rPr>
              <w:t>8、未被列入“信用中国”网站(www.creditchina.gov.cn)失信被执行人、重大税收违法案件当事人名单的投标人；“中国政府采购网”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(www.ccgp.gov.cn)政府采购严重违法失信行为记录名单的投标人；“中国社会组织公共服务平台”网站（www.chinanpo.gov.cn）严重违法失信名单的供应商。</w:t>
            </w:r>
          </w:p>
          <w:p>
            <w:pPr>
              <w:spacing w:line="360" w:lineRule="auto"/>
              <w:rPr>
                <w:rFonts w:ascii="宋体" w:hAnsi="宋体"/>
                <w:sz w:val="24"/>
              </w:rPr>
            </w:pPr>
            <w:r>
              <w:rPr>
                <w:rFonts w:hint="eastAsia" w:ascii="宋体" w:hAnsi="宋体"/>
                <w:sz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rPr>
                <w:rFonts w:ascii="宋体" w:hAnsi="宋体"/>
                <w:sz w:val="24"/>
              </w:rPr>
            </w:pPr>
            <w:r>
              <w:rPr>
                <w:rFonts w:hint="eastAsia" w:ascii="宋体" w:hAnsi="宋体"/>
                <w:sz w:val="24"/>
              </w:rPr>
              <w:t>（1）查询渠道：“信用中国”网站（www.creditchina.gov.cn）、“中国政府采购网”（www.ccgp.gov.cn）；“中国社会组织公共服务平台”网站（www.chinanpo.gov.cn）（仅查询社会组织）；</w:t>
            </w:r>
          </w:p>
          <w:p>
            <w:pPr>
              <w:spacing w:line="360" w:lineRule="auto"/>
              <w:rPr>
                <w:rFonts w:ascii="宋体" w:hAnsi="宋体"/>
                <w:sz w:val="24"/>
              </w:rPr>
            </w:pPr>
            <w:r>
              <w:rPr>
                <w:rFonts w:hint="eastAsia" w:ascii="宋体" w:hAnsi="宋体"/>
                <w:sz w:val="24"/>
              </w:rPr>
              <w:t>（2）截止时间：同投标截止时间；</w:t>
            </w:r>
          </w:p>
          <w:p>
            <w:pPr>
              <w:spacing w:line="360" w:lineRule="auto"/>
              <w:rPr>
                <w:rFonts w:ascii="宋体" w:hAnsi="宋体"/>
                <w:sz w:val="24"/>
              </w:rPr>
            </w:pPr>
            <w:r>
              <w:rPr>
                <w:rFonts w:hint="eastAsia" w:ascii="宋体" w:hAnsi="宋体"/>
                <w:sz w:val="24"/>
              </w:rPr>
              <w:t>（3）信用信息查询记录和证据留存具体方式：经采购人确认的查询结果网页截图作为查询记录和证据，与其他采购文件一并保存；</w:t>
            </w:r>
          </w:p>
          <w:p>
            <w:pPr>
              <w:spacing w:line="360" w:lineRule="auto"/>
              <w:rPr>
                <w:rFonts w:ascii="宋体" w:hAnsi="宋体"/>
                <w:bCs/>
                <w:sz w:val="24"/>
              </w:rPr>
            </w:pPr>
            <w:r>
              <w:rPr>
                <w:rFonts w:hint="eastAsia" w:ascii="宋体" w:hAnsi="宋体"/>
                <w:sz w:val="24"/>
              </w:rPr>
              <w:t>（4）信用信息的使用原则：经采购人认定的被列入失信被执行人、重大税收违法案件当事人名单、政府采购严重违法失信行为记录名单、中国社会组织公共服务平台严重违法失信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noWrap/>
            <w:vAlign w:val="center"/>
          </w:tcPr>
          <w:p>
            <w:pPr>
              <w:spacing w:line="360" w:lineRule="auto"/>
              <w:rPr>
                <w:rFonts w:ascii="宋体" w:hAnsi="宋体" w:cs="仿宋_GB2312"/>
                <w:b/>
                <w:sz w:val="24"/>
                <w:lang w:val="zh-CN"/>
              </w:rPr>
            </w:pPr>
            <w:r>
              <w:rPr>
                <w:rFonts w:hint="eastAsia" w:ascii="宋体" w:hAnsi="宋体"/>
                <w:b/>
                <w:bCs/>
                <w:sz w:val="24"/>
              </w:rPr>
              <w:t>9、</w:t>
            </w:r>
            <w:r>
              <w:rPr>
                <w:rFonts w:hint="eastAsia" w:ascii="宋体" w:hAnsi="宋体" w:cs="仿宋_GB2312"/>
                <w:b/>
                <w:sz w:val="24"/>
                <w:lang w:val="zh-CN"/>
              </w:rPr>
              <w:t>报价</w:t>
            </w:r>
          </w:p>
          <w:p>
            <w:pPr>
              <w:spacing w:line="360" w:lineRule="auto"/>
              <w:rPr>
                <w:rFonts w:ascii="宋体" w:hAnsi="宋体"/>
                <w:b/>
                <w:bCs/>
                <w:sz w:val="24"/>
              </w:rPr>
            </w:pPr>
            <w:r>
              <w:rPr>
                <w:rFonts w:hint="eastAsia" w:ascii="宋体" w:hAnsi="宋体" w:cs="仿宋_GB2312"/>
                <w:sz w:val="24"/>
                <w:lang w:val="zh-CN"/>
              </w:rPr>
              <w:t>是否超出招标文件中规定的预算金额，超出预算金额的投标无效。如投标人须知前附表规定最高限价，则</w:t>
            </w:r>
            <w:r>
              <w:rPr>
                <w:rFonts w:hint="eastAsia" w:ascii="宋体" w:hAnsi="宋体" w:cs="宋体"/>
                <w:bCs/>
                <w:sz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noWrap/>
            <w:vAlign w:val="center"/>
          </w:tcPr>
          <w:p>
            <w:pPr>
              <w:spacing w:line="360" w:lineRule="auto"/>
              <w:rPr>
                <w:rFonts w:ascii="宋体" w:hAnsi="宋体"/>
                <w:b/>
                <w:bCs/>
                <w:sz w:val="24"/>
              </w:rPr>
            </w:pPr>
            <w:r>
              <w:rPr>
                <w:rFonts w:hint="eastAsia" w:ascii="宋体" w:hAnsi="宋体"/>
                <w:b/>
                <w:bCs/>
                <w:sz w:val="24"/>
              </w:rPr>
              <w:t>10、联合体协议</w:t>
            </w:r>
          </w:p>
          <w:p>
            <w:pPr>
              <w:spacing w:line="360" w:lineRule="auto"/>
              <w:rPr>
                <w:rFonts w:ascii="宋体" w:hAnsi="宋体"/>
                <w:b/>
                <w:bCs/>
                <w:sz w:val="24"/>
              </w:rPr>
            </w:pPr>
            <w:r>
              <w:rPr>
                <w:rFonts w:hint="eastAsia" w:ascii="宋体" w:hAnsi="宋体"/>
                <w:bCs/>
                <w:sz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noWrap/>
            <w:vAlign w:val="center"/>
          </w:tcPr>
          <w:p>
            <w:pPr>
              <w:spacing w:line="360" w:lineRule="auto"/>
              <w:contextualSpacing/>
              <w:rPr>
                <w:rFonts w:ascii="宋体" w:hAnsi="宋体"/>
                <w:b/>
                <w:sz w:val="24"/>
              </w:rPr>
            </w:pPr>
            <w:r>
              <w:rPr>
                <w:rFonts w:hint="eastAsia" w:ascii="宋体" w:hAnsi="宋体"/>
                <w:b/>
                <w:sz w:val="24"/>
              </w:rPr>
              <w:t>11、法定代表人身份证明或提供法定代表人授权委托书及被授权人身份证明。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noWrap/>
            <w:vAlign w:val="center"/>
          </w:tcPr>
          <w:p>
            <w:pPr>
              <w:spacing w:line="360" w:lineRule="auto"/>
              <w:contextualSpacing/>
              <w:rPr>
                <w:sz w:val="24"/>
              </w:rPr>
            </w:pPr>
            <w:r>
              <w:rPr>
                <w:rFonts w:hint="eastAsia"/>
                <w:b/>
                <w:bCs/>
                <w:sz w:val="24"/>
              </w:rPr>
              <w:t>12、投标承诺函：</w:t>
            </w:r>
            <w:r>
              <w:rPr>
                <w:rFonts w:hint="eastAsia"/>
                <w:sz w:val="24"/>
              </w:rPr>
              <w:t>是否出具了投标承诺函。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noWrap/>
            <w:vAlign w:val="center"/>
          </w:tcPr>
          <w:p>
            <w:pPr>
              <w:spacing w:line="360" w:lineRule="auto"/>
              <w:contextualSpacing/>
              <w:rPr>
                <w:rFonts w:ascii="宋体" w:hAnsi="宋体"/>
                <w:b/>
                <w:sz w:val="24"/>
              </w:rPr>
            </w:pPr>
            <w:r>
              <w:rPr>
                <w:rFonts w:hint="eastAsia" w:ascii="宋体" w:hAnsi="宋体"/>
                <w:b/>
                <w:sz w:val="24"/>
              </w:rPr>
              <w:t>13、资格条件：符合采购文件“第三章投标人须知前附表”第四条规定</w:t>
            </w:r>
          </w:p>
        </w:tc>
      </w:tr>
    </w:tbl>
    <w:p>
      <w:pPr>
        <w:spacing w:line="360" w:lineRule="auto"/>
        <w:contextualSpacing/>
        <w:jc w:val="center"/>
        <w:rPr>
          <w:rFonts w:cs="仿宋_GB2312" w:asciiTheme="majorEastAsia" w:hAnsiTheme="majorEastAsia" w:eastAsiaTheme="majorEastAsia"/>
          <w:b/>
          <w:sz w:val="32"/>
          <w:szCs w:val="32"/>
          <w:lang w:val="zh-CN"/>
        </w:rPr>
      </w:pPr>
      <w:r>
        <w:rPr>
          <w:rFonts w:hint="eastAsia" w:cs="仿宋_GB2312" w:asciiTheme="majorEastAsia" w:hAnsiTheme="majorEastAsia" w:eastAsiaTheme="majorEastAsia"/>
          <w:b/>
          <w:sz w:val="32"/>
          <w:szCs w:val="32"/>
          <w:lang w:val="zh-CN"/>
        </w:rPr>
        <w:t>二、评标</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（一）评标方法</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本项目采用综合评分法。总分为100分。</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（二）</w:t>
      </w:r>
      <w:r>
        <w:rPr>
          <w:rFonts w:cs="仿宋_GB2312" w:asciiTheme="majorEastAsia" w:hAnsiTheme="majorEastAsia" w:eastAsiaTheme="majorEastAsia"/>
          <w:b/>
          <w:sz w:val="24"/>
          <w:lang w:val="zh-CN"/>
        </w:rPr>
        <w:t>评标委员会负责具体评标事务，并独立履行下列职责</w:t>
      </w:r>
    </w:p>
    <w:p>
      <w:pPr>
        <w:spacing w:line="360" w:lineRule="auto"/>
        <w:ind w:firstLine="482" w:firstLineChars="200"/>
        <w:contextualSpacing/>
        <w:jc w:val="left"/>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1、</w:t>
      </w:r>
      <w:r>
        <w:rPr>
          <w:rFonts w:cs="仿宋_GB2312" w:asciiTheme="majorEastAsia" w:hAnsiTheme="majorEastAsia" w:eastAsiaTheme="majorEastAsia"/>
          <w:b/>
          <w:sz w:val="24"/>
          <w:lang w:val="zh-CN"/>
        </w:rPr>
        <w:t>审查、评价投标文件是否符合招标文件的商务、技术等实质性要求；</w:t>
      </w:r>
    </w:p>
    <w:p>
      <w:pPr>
        <w:spacing w:line="360" w:lineRule="auto"/>
        <w:ind w:firstLine="480" w:firstLineChars="200"/>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评标委员会对符合资格的投标人的投标文件进行符合性审查，以确定其是否满足招标文件的商务、技术等实质性要求。</w:t>
      </w:r>
    </w:p>
    <w:p>
      <w:pPr>
        <w:spacing w:line="360" w:lineRule="auto"/>
        <w:ind w:firstLine="480" w:firstLineChars="200"/>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注：符合性审查中所涉及到的证书及材料，均须在电子投标文件中提供原件扫描件（或图片）。</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2、</w:t>
      </w:r>
      <w:r>
        <w:rPr>
          <w:rFonts w:cs="仿宋_GB2312" w:asciiTheme="majorEastAsia" w:hAnsiTheme="majorEastAsia" w:eastAsiaTheme="majorEastAsia"/>
          <w:b/>
          <w:sz w:val="24"/>
          <w:lang w:val="zh-CN"/>
        </w:rPr>
        <w:t>要求投标人对投标文件有关事项作出澄清或者说明；</w:t>
      </w:r>
    </w:p>
    <w:p>
      <w:pPr>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numPr>
          <w:ilvl w:val="0"/>
          <w:numId w:val="17"/>
        </w:numPr>
        <w:spacing w:line="360" w:lineRule="auto"/>
        <w:ind w:firstLine="465"/>
        <w:contextualSpacing/>
        <w:jc w:val="left"/>
        <w:rPr>
          <w:rFonts w:cs="仿宋_GB2312" w:asciiTheme="majorEastAsia" w:hAnsiTheme="majorEastAsia" w:eastAsiaTheme="majorEastAsia"/>
          <w:b/>
          <w:sz w:val="24"/>
          <w:lang w:val="zh-CN"/>
        </w:rPr>
      </w:pPr>
      <w:r>
        <w:rPr>
          <w:rFonts w:cs="仿宋_GB2312" w:asciiTheme="majorEastAsia" w:hAnsiTheme="majorEastAsia" w:eastAsiaTheme="majorEastAsia"/>
          <w:b/>
          <w:sz w:val="24"/>
          <w:lang w:val="zh-CN"/>
        </w:rPr>
        <w:t>对投标文件进行比较和评价；</w:t>
      </w:r>
    </w:p>
    <w:p>
      <w:pPr>
        <w:spacing w:line="360" w:lineRule="auto"/>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spacing w:line="360" w:lineRule="auto"/>
        <w:ind w:firstLine="480" w:firstLineChars="200"/>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注：评标标准中所涉及到的证书及材料，均须在电子投标文件中提供原件扫描件（或图片）。</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（1）价格分计算</w:t>
      </w:r>
    </w:p>
    <w:p>
      <w:pPr>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asciiTheme="majorEastAsia" w:hAnsiTheme="majorEastAsia" w:eastAsiaTheme="majorEastAsia" w:cstheme="minorBidi"/>
          <w:color w:val="000000"/>
          <w:sz w:val="24"/>
        </w:rPr>
      </w:pPr>
      <w:r>
        <w:rPr>
          <w:rFonts w:hint="eastAsia" w:cs="仿宋_GB2312" w:asciiTheme="majorEastAsia" w:hAnsiTheme="majorEastAsia" w:eastAsiaTheme="majorEastAsia"/>
          <w:sz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ajorEastAsia" w:hAnsiTheme="majorEastAsia" w:eastAsiaTheme="majorEastAsia" w:cstheme="minorBidi"/>
          <w:color w:val="000000"/>
          <w:sz w:val="24"/>
        </w:rPr>
        <w:t>残疾人福利性单位属于小型、微型企业的，不重复享受政策。</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asciiTheme="majorEastAsia" w:hAnsiTheme="majorEastAsia" w:eastAsiaTheme="majorEastAsia" w:cstheme="minorBidi"/>
          <w:b/>
          <w:color w:val="000000"/>
          <w:sz w:val="24"/>
        </w:rPr>
        <w:t>（2）强制采购节能产品和优先采购节能产品、优先采购环保产品</w:t>
      </w:r>
    </w:p>
    <w:p>
      <w:pPr>
        <w:spacing w:line="360" w:lineRule="auto"/>
        <w:ind w:firstLine="465"/>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1）对《节能产品政府采购清单》所列的政府强制采购节能产品</w:t>
      </w:r>
      <w:r>
        <w:rPr>
          <w:rFonts w:hint="eastAsia" w:cs="仿宋_GB2312" w:asciiTheme="majorEastAsia" w:hAnsiTheme="majorEastAsia" w:eastAsiaTheme="majorEastAsia"/>
          <w:sz w:val="24"/>
        </w:rPr>
        <w:t>，</w:t>
      </w:r>
      <w:r>
        <w:rPr>
          <w:rFonts w:hint="eastAsia" w:cs="仿宋_GB2312" w:asciiTheme="majorEastAsia" w:hAnsiTheme="majorEastAsia" w:eastAsiaTheme="majorEastAsia"/>
          <w:sz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spacing w:line="360" w:lineRule="auto"/>
        <w:ind w:firstLine="465"/>
        <w:contextualSpacing/>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（3）</w:t>
      </w:r>
      <w:r>
        <w:rPr>
          <w:rFonts w:cs="仿宋_GB2312" w:asciiTheme="majorEastAsia" w:hAnsiTheme="majorEastAsia" w:eastAsiaTheme="majorEastAsia"/>
          <w:b/>
          <w:sz w:val="24"/>
          <w:lang w:val="zh-CN"/>
        </w:rPr>
        <w:t>关于相同品牌产品</w:t>
      </w:r>
      <w:r>
        <w:rPr>
          <w:rFonts w:ascii="宋体" w:hAnsi="宋体" w:cs="仿宋_GB2312"/>
          <w:b/>
          <w:bCs/>
          <w:sz w:val="24"/>
          <w:szCs w:val="21"/>
          <w:lang w:val="zh-CN"/>
        </w:rPr>
        <w:t>（服务类项目不适用本条款规定）</w:t>
      </w:r>
    </w:p>
    <w:p>
      <w:pPr>
        <w:spacing w:line="360" w:lineRule="auto"/>
        <w:ind w:firstLine="465"/>
        <w:contextualSpacing/>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ajorEastAsia" w:hAnsiTheme="majorEastAsia" w:eastAsiaTheme="majorEastAsia"/>
          <w:sz w:val="24"/>
          <w:lang w:val="zh-CN"/>
        </w:rPr>
        <w:t>采取随机抽取</w:t>
      </w:r>
      <w:r>
        <w:rPr>
          <w:rFonts w:cs="仿宋_GB2312" w:asciiTheme="majorEastAsia" w:hAnsiTheme="majorEastAsia" w:eastAsiaTheme="majorEastAsia"/>
          <w:sz w:val="24"/>
          <w:lang w:val="zh-CN"/>
        </w:rPr>
        <w:t>方式确定一个参加评标的投标人，其他投标无效。</w:t>
      </w:r>
    </w:p>
    <w:p>
      <w:pPr>
        <w:spacing w:line="360" w:lineRule="auto"/>
        <w:ind w:firstLine="465"/>
        <w:contextualSpacing/>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采用综合评分法的，提供相同品牌产品</w:t>
      </w:r>
      <w:r>
        <w:rPr>
          <w:rFonts w:hint="eastAsia" w:cs="仿宋_GB2312" w:asciiTheme="majorEastAsia" w:hAnsiTheme="majorEastAsia" w:eastAsiaTheme="majorEastAsia"/>
          <w:sz w:val="24"/>
          <w:lang w:val="zh-CN"/>
        </w:rPr>
        <w:t>（</w:t>
      </w:r>
      <w:r>
        <w:rPr>
          <w:rFonts w:cs="仿宋_GB2312" w:asciiTheme="majorEastAsia" w:hAnsiTheme="majorEastAsia" w:eastAsiaTheme="majorEastAsia"/>
          <w:sz w:val="24"/>
          <w:lang w:val="zh-CN"/>
        </w:rPr>
        <w:t>非单一产品采购项目，多家投标人提供的核心产品品牌相同</w:t>
      </w:r>
      <w:r>
        <w:rPr>
          <w:rFonts w:hint="eastAsia" w:cs="仿宋_GB2312" w:asciiTheme="majorEastAsia" w:hAnsiTheme="majorEastAsia" w:eastAsiaTheme="majorEastAsia"/>
          <w:sz w:val="24"/>
          <w:lang w:val="zh-CN"/>
        </w:rPr>
        <w:t>）</w:t>
      </w:r>
      <w:r>
        <w:rPr>
          <w:rFonts w:cs="仿宋_GB2312" w:asciiTheme="majorEastAsia" w:hAnsiTheme="majorEastAsia" w:eastAsiaTheme="majorEastAsia"/>
          <w:sz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ajorEastAsia" w:hAnsiTheme="majorEastAsia" w:eastAsiaTheme="majorEastAsia"/>
          <w:sz w:val="24"/>
          <w:lang w:val="zh-CN"/>
        </w:rPr>
        <w:t>由采购人或者采购人委托评标委员会</w:t>
      </w:r>
      <w:r>
        <w:rPr>
          <w:rFonts w:cs="仿宋_GB2312" w:asciiTheme="majorEastAsia" w:hAnsiTheme="majorEastAsia" w:eastAsiaTheme="majorEastAsia"/>
          <w:sz w:val="24"/>
          <w:lang w:val="zh-CN"/>
        </w:rPr>
        <w:t>采取随机抽取方式确定</w:t>
      </w:r>
      <w:r>
        <w:rPr>
          <w:rFonts w:hint="eastAsia" w:cs="仿宋_GB2312" w:asciiTheme="majorEastAsia" w:hAnsiTheme="majorEastAsia" w:eastAsiaTheme="majorEastAsia"/>
          <w:sz w:val="24"/>
          <w:lang w:val="zh-CN"/>
        </w:rPr>
        <w:t>一个投标人获得中标人推荐资格</w:t>
      </w:r>
      <w:r>
        <w:rPr>
          <w:rFonts w:cs="仿宋_GB2312" w:asciiTheme="majorEastAsia" w:hAnsiTheme="majorEastAsia" w:eastAsiaTheme="majorEastAsia"/>
          <w:sz w:val="24"/>
          <w:lang w:val="zh-CN"/>
        </w:rPr>
        <w:t>，其他同品牌投标人不作为中标候选人。</w:t>
      </w:r>
    </w:p>
    <w:p>
      <w:pPr>
        <w:spacing w:line="360" w:lineRule="auto"/>
        <w:ind w:firstLine="482" w:firstLineChars="200"/>
        <w:contextualSpacing/>
        <w:rPr>
          <w:rFonts w:asciiTheme="majorEastAsia" w:hAnsiTheme="majorEastAsia" w:eastAsiaTheme="majorEastAsia" w:cstheme="minorBidi"/>
          <w:b/>
          <w:color w:val="000000"/>
          <w:sz w:val="24"/>
          <w:lang w:val="zh-CN"/>
        </w:rPr>
      </w:pPr>
      <w:r>
        <w:rPr>
          <w:rFonts w:hint="eastAsia" w:asciiTheme="majorEastAsia" w:hAnsiTheme="majorEastAsia" w:eastAsiaTheme="majorEastAsia" w:cstheme="minorBidi"/>
          <w:b/>
          <w:color w:val="000000"/>
          <w:sz w:val="24"/>
          <w:lang w:val="zh-CN"/>
        </w:rPr>
        <w:t>（4）关于强制性产品认证</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 投标人所投产品如被列入《信息安全产品强制性认证目录》，则投标文件中应根据本项目招标文件“第二章 项目需求”提供：</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①中国信息安全认证中心官网（http://www.isccc.gov.cn/index.shtml）产品查询结果截图并加盖投标人公章；</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②中国信息安全认证中心颁发的《中国国家信息安全产品认证证书》加盖投标人公章的原件扫描件（或图片）。</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注：仅需提供序号①～②其中之一即可。</w:t>
      </w:r>
    </w:p>
    <w:p>
      <w:pPr>
        <w:tabs>
          <w:tab w:val="left" w:pos="1260"/>
        </w:tabs>
        <w:autoSpaceDE w:val="0"/>
        <w:autoSpaceDN w:val="0"/>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（5）投标无效情形</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e.不同投标人的投标文件相互混装；</w:t>
      </w:r>
    </w:p>
    <w:p>
      <w:pPr>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5）</w:t>
      </w:r>
      <w:r>
        <w:rPr>
          <w:rFonts w:cs="仿宋_GB2312" w:asciiTheme="majorEastAsia" w:hAnsiTheme="majorEastAsia" w:eastAsiaTheme="majorEastAsia"/>
          <w:sz w:val="24"/>
          <w:lang w:val="zh-CN"/>
        </w:rPr>
        <w:t>法律、法规和招标文件规定的其他无效情形。</w:t>
      </w:r>
    </w:p>
    <w:p>
      <w:pPr>
        <w:pStyle w:val="32"/>
        <w:rPr>
          <w:rFonts w:asciiTheme="majorEastAsia" w:hAnsiTheme="majorEastAsia" w:eastAsiaTheme="majorEastAsia"/>
          <w:b/>
          <w:sz w:val="24"/>
          <w:lang w:val="zh-CN"/>
        </w:rPr>
      </w:pPr>
      <w:r>
        <w:rPr>
          <w:rFonts w:hint="eastAsia" w:asciiTheme="majorEastAsia" w:hAnsiTheme="majorEastAsia" w:eastAsiaTheme="majorEastAsia"/>
          <w:b/>
          <w:sz w:val="24"/>
          <w:lang w:val="zh-CN"/>
        </w:rPr>
        <w:t>（6）评标标准</w:t>
      </w:r>
    </w:p>
    <w:tbl>
      <w:tblPr>
        <w:tblStyle w:val="24"/>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5923"/>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230" w:type="dxa"/>
            <w:noWrap/>
            <w:vAlign w:val="center"/>
          </w:tcPr>
          <w:p>
            <w:pPr>
              <w:jc w:val="center"/>
              <w:rPr>
                <w:rFonts w:ascii="宋体" w:hAnsi="宋体" w:cs="宋体"/>
                <w:sz w:val="24"/>
              </w:rPr>
            </w:pPr>
            <w:r>
              <w:rPr>
                <w:rFonts w:hint="eastAsia" w:ascii="宋体" w:hAnsi="宋体" w:cs="宋体"/>
                <w:sz w:val="24"/>
              </w:rPr>
              <w:t>分值构成</w:t>
            </w:r>
          </w:p>
          <w:p>
            <w:pPr>
              <w:jc w:val="center"/>
              <w:rPr>
                <w:rFonts w:ascii="宋体" w:hAnsi="宋体" w:cs="宋体"/>
                <w:sz w:val="24"/>
              </w:rPr>
            </w:pPr>
            <w:r>
              <w:rPr>
                <w:rFonts w:hint="eastAsia" w:ascii="宋体" w:hAnsi="宋体" w:cs="宋体"/>
                <w:sz w:val="24"/>
              </w:rPr>
              <w:t>(总分100分)</w:t>
            </w:r>
          </w:p>
        </w:tc>
        <w:tc>
          <w:tcPr>
            <w:tcW w:w="6909" w:type="dxa"/>
            <w:gridSpan w:val="2"/>
            <w:noWrap/>
            <w:vAlign w:val="center"/>
          </w:tcPr>
          <w:p>
            <w:pPr>
              <w:ind w:firstLine="480" w:firstLineChars="200"/>
              <w:rPr>
                <w:rFonts w:ascii="宋体" w:hAnsi="宋体" w:cs="宋体"/>
                <w:sz w:val="24"/>
              </w:rPr>
            </w:pPr>
            <w:r>
              <w:rPr>
                <w:rFonts w:hint="eastAsia" w:ascii="宋体" w:hAnsi="宋体" w:cs="宋体"/>
                <w:sz w:val="24"/>
              </w:rPr>
              <w:t>价格分值：</w:t>
            </w:r>
            <w:r>
              <w:rPr>
                <w:rFonts w:hint="eastAsia" w:ascii="宋体" w:hAnsi="宋体" w:cs="宋体"/>
                <w:sz w:val="24"/>
                <w:u w:val="single"/>
              </w:rPr>
              <w:t xml:space="preserve">    20    </w:t>
            </w:r>
            <w:r>
              <w:rPr>
                <w:rFonts w:hint="eastAsia" w:ascii="宋体" w:hAnsi="宋体" w:cs="宋体"/>
                <w:sz w:val="24"/>
              </w:rPr>
              <w:t>分</w:t>
            </w:r>
          </w:p>
          <w:p>
            <w:pPr>
              <w:ind w:firstLine="480" w:firstLineChars="200"/>
              <w:rPr>
                <w:rFonts w:ascii="宋体" w:hAnsi="宋体" w:cs="宋体"/>
                <w:sz w:val="24"/>
              </w:rPr>
            </w:pPr>
            <w:r>
              <w:rPr>
                <w:rFonts w:hint="eastAsia" w:ascii="宋体" w:hAnsi="宋体" w:cs="宋体"/>
                <w:sz w:val="24"/>
              </w:rPr>
              <w:t>商务部分：</w:t>
            </w:r>
            <w:r>
              <w:rPr>
                <w:rFonts w:hint="eastAsia" w:ascii="宋体" w:hAnsi="宋体" w:cs="宋体"/>
                <w:sz w:val="24"/>
                <w:u w:val="single"/>
              </w:rPr>
              <w:t xml:space="preserve">    35    </w:t>
            </w:r>
            <w:r>
              <w:rPr>
                <w:rFonts w:hint="eastAsia" w:ascii="宋体" w:hAnsi="宋体" w:cs="宋体"/>
                <w:sz w:val="24"/>
              </w:rPr>
              <w:t>分</w:t>
            </w:r>
          </w:p>
          <w:p>
            <w:pPr>
              <w:ind w:firstLine="480" w:firstLineChars="200"/>
              <w:rPr>
                <w:rFonts w:ascii="宋体" w:hAnsi="宋体" w:cs="宋体"/>
                <w:sz w:val="24"/>
              </w:rPr>
            </w:pPr>
            <w:r>
              <w:rPr>
                <w:rFonts w:hint="eastAsia" w:ascii="宋体" w:hAnsi="宋体" w:cs="宋体"/>
                <w:sz w:val="24"/>
              </w:rPr>
              <w:t>技术部分：</w:t>
            </w:r>
            <w:r>
              <w:rPr>
                <w:rFonts w:hint="eastAsia" w:ascii="宋体" w:hAnsi="宋体" w:cs="宋体"/>
                <w:sz w:val="24"/>
                <w:u w:val="single"/>
              </w:rPr>
              <w:t xml:space="preserve">    45    </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139" w:type="dxa"/>
            <w:gridSpan w:val="3"/>
            <w:tcBorders>
              <w:bottom w:val="single" w:color="auto" w:sz="4" w:space="0"/>
            </w:tcBorders>
            <w:noWrap/>
            <w:vAlign w:val="center"/>
          </w:tcPr>
          <w:p>
            <w:pPr>
              <w:jc w:val="center"/>
              <w:rPr>
                <w:rFonts w:ascii="宋体" w:hAnsi="宋体" w:cs="宋体"/>
                <w:b/>
                <w:sz w:val="24"/>
              </w:rPr>
            </w:pPr>
            <w:r>
              <w:rPr>
                <w:rFonts w:hint="eastAsia" w:ascii="宋体" w:hAnsi="宋体" w:cs="宋体"/>
                <w:b/>
                <w:sz w:val="24"/>
              </w:rPr>
              <w:t>价格部分（满分</w:t>
            </w:r>
            <w:r>
              <w:rPr>
                <w:rFonts w:hint="eastAsia" w:ascii="宋体" w:hAnsi="宋体" w:cs="宋体"/>
                <w:b/>
                <w:sz w:val="24"/>
                <w:u w:val="single"/>
              </w:rPr>
              <w:t xml:space="preserve">  20  </w:t>
            </w:r>
            <w:r>
              <w:rPr>
                <w:rFonts w:hint="eastAsia" w:ascii="宋体" w:hAnsi="宋体" w:cs="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230" w:type="dxa"/>
            <w:tcBorders>
              <w:top w:val="single" w:color="auto" w:sz="4" w:space="0"/>
            </w:tcBorders>
            <w:noWrap/>
            <w:vAlign w:val="center"/>
          </w:tcPr>
          <w:p>
            <w:pPr>
              <w:jc w:val="center"/>
              <w:rPr>
                <w:rFonts w:ascii="宋体" w:hAnsi="宋体" w:cs="宋体"/>
                <w:b/>
                <w:sz w:val="24"/>
              </w:rPr>
            </w:pPr>
            <w:r>
              <w:rPr>
                <w:rFonts w:hint="eastAsia" w:ascii="宋体" w:hAnsi="宋体" w:cs="宋体"/>
                <w:b/>
                <w:sz w:val="24"/>
              </w:rPr>
              <w:t>评分因素</w:t>
            </w:r>
          </w:p>
        </w:tc>
        <w:tc>
          <w:tcPr>
            <w:tcW w:w="5923" w:type="dxa"/>
            <w:tcBorders>
              <w:top w:val="single" w:color="auto" w:sz="4" w:space="0"/>
            </w:tcBorders>
            <w:noWrap/>
            <w:vAlign w:val="center"/>
          </w:tcPr>
          <w:p>
            <w:pPr>
              <w:jc w:val="center"/>
              <w:rPr>
                <w:rFonts w:ascii="宋体" w:hAnsi="宋体" w:cs="宋体"/>
                <w:b/>
                <w:sz w:val="24"/>
              </w:rPr>
            </w:pPr>
            <w:r>
              <w:rPr>
                <w:rFonts w:hint="eastAsia" w:ascii="宋体" w:hAnsi="宋体" w:cs="宋体"/>
                <w:b/>
                <w:sz w:val="24"/>
              </w:rPr>
              <w:t>评标标准</w:t>
            </w:r>
          </w:p>
        </w:tc>
        <w:tc>
          <w:tcPr>
            <w:tcW w:w="986" w:type="dxa"/>
            <w:tcBorders>
              <w:top w:val="single" w:color="auto" w:sz="4" w:space="0"/>
            </w:tcBorders>
            <w:noWrap/>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230" w:type="dxa"/>
            <w:tcBorders>
              <w:top w:val="single" w:color="auto" w:sz="4" w:space="0"/>
            </w:tcBorders>
            <w:noWrap/>
            <w:vAlign w:val="center"/>
          </w:tcPr>
          <w:p>
            <w:pPr>
              <w:jc w:val="center"/>
              <w:rPr>
                <w:rFonts w:ascii="宋体" w:hAnsi="宋体" w:cs="宋体"/>
                <w:sz w:val="24"/>
              </w:rPr>
            </w:pPr>
            <w:r>
              <w:rPr>
                <w:rFonts w:hint="eastAsia" w:ascii="宋体" w:hAnsi="宋体" w:cs="宋体"/>
                <w:sz w:val="24"/>
              </w:rPr>
              <w:t>投标报价</w:t>
            </w:r>
          </w:p>
          <w:p>
            <w:pPr>
              <w:jc w:val="center"/>
              <w:rPr>
                <w:rFonts w:ascii="宋体" w:hAnsi="宋体" w:cs="宋体"/>
                <w:sz w:val="24"/>
              </w:rPr>
            </w:pPr>
            <w:r>
              <w:rPr>
                <w:rFonts w:hint="eastAsia" w:ascii="宋体" w:hAnsi="宋体" w:cs="宋体"/>
                <w:sz w:val="24"/>
              </w:rPr>
              <w:t>评分标准</w:t>
            </w:r>
          </w:p>
        </w:tc>
        <w:tc>
          <w:tcPr>
            <w:tcW w:w="5923" w:type="dxa"/>
            <w:tcBorders>
              <w:top w:val="single" w:color="auto" w:sz="4" w:space="0"/>
            </w:tcBorders>
            <w:noWrap/>
            <w:vAlign w:val="center"/>
          </w:tcPr>
          <w:p>
            <w:pPr>
              <w:rPr>
                <w:rFonts w:ascii="宋体" w:hAnsi="宋体" w:cs="宋体"/>
                <w:sz w:val="24"/>
              </w:rPr>
            </w:pPr>
            <w:r>
              <w:rPr>
                <w:rFonts w:hint="eastAsia" w:ascii="宋体" w:hAnsi="宋体" w:cs="宋体"/>
                <w:sz w:val="24"/>
              </w:rPr>
              <w:t>评标基准价：满足招标文件要求的有效投标报价中，最低的投标报价为评标基准价。</w:t>
            </w:r>
          </w:p>
          <w:p>
            <w:pPr>
              <w:rPr>
                <w:rFonts w:ascii="宋体" w:hAnsi="宋体" w:cs="宋体"/>
                <w:sz w:val="24"/>
              </w:rPr>
            </w:pPr>
            <w:r>
              <w:rPr>
                <w:rFonts w:hint="eastAsia" w:ascii="宋体" w:hAnsi="宋体" w:cs="宋体"/>
                <w:sz w:val="24"/>
              </w:rPr>
              <w:t>投标报价得分=（评标基准价/投标报价）×20</w:t>
            </w:r>
          </w:p>
        </w:tc>
        <w:tc>
          <w:tcPr>
            <w:tcW w:w="986" w:type="dxa"/>
            <w:tcBorders>
              <w:top w:val="single" w:color="auto" w:sz="4" w:space="0"/>
            </w:tcBorders>
            <w:noWrap/>
            <w:vAlign w:val="center"/>
          </w:tcPr>
          <w:p>
            <w:pPr>
              <w:jc w:val="center"/>
              <w:rPr>
                <w:rFonts w:ascii="宋体" w:hAnsi="宋体" w:cs="宋体"/>
                <w:sz w:val="24"/>
              </w:rPr>
            </w:pPr>
            <w:r>
              <w:rPr>
                <w:rFonts w:hint="eastAsia" w:ascii="宋体" w:hAnsi="宋体" w:cs="宋体"/>
                <w:sz w:val="24"/>
                <w:u w:val="single"/>
              </w:rPr>
              <w:t xml:space="preserve"> 20 </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139" w:type="dxa"/>
            <w:gridSpan w:val="3"/>
            <w:noWrap/>
            <w:vAlign w:val="center"/>
          </w:tcPr>
          <w:p>
            <w:pPr>
              <w:jc w:val="center"/>
              <w:rPr>
                <w:rFonts w:ascii="宋体" w:hAnsi="宋体" w:cs="宋体"/>
                <w:b/>
                <w:sz w:val="24"/>
              </w:rPr>
            </w:pPr>
            <w:r>
              <w:rPr>
                <w:rFonts w:hint="eastAsia" w:ascii="宋体" w:hAnsi="宋体" w:cs="宋体"/>
                <w:b/>
                <w:sz w:val="24"/>
              </w:rPr>
              <w:t>商务部分（满分</w:t>
            </w:r>
            <w:r>
              <w:rPr>
                <w:rFonts w:hint="eastAsia" w:ascii="宋体" w:hAnsi="宋体" w:cs="宋体"/>
                <w:b/>
                <w:sz w:val="24"/>
                <w:u w:val="single"/>
              </w:rPr>
              <w:t xml:space="preserve"> 35 </w:t>
            </w:r>
            <w:r>
              <w:rPr>
                <w:rFonts w:hint="eastAsia" w:ascii="宋体" w:hAnsi="宋体" w:cs="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230" w:type="dxa"/>
            <w:tcBorders>
              <w:bottom w:val="single" w:color="auto" w:sz="4" w:space="0"/>
            </w:tcBorders>
            <w:noWrap/>
            <w:vAlign w:val="center"/>
          </w:tcPr>
          <w:p>
            <w:pPr>
              <w:jc w:val="center"/>
              <w:rPr>
                <w:rFonts w:ascii="宋体" w:hAnsi="宋体" w:cs="宋体"/>
                <w:b/>
                <w:sz w:val="24"/>
              </w:rPr>
            </w:pPr>
            <w:r>
              <w:rPr>
                <w:rFonts w:hint="eastAsia" w:ascii="宋体" w:hAnsi="宋体" w:cs="宋体"/>
                <w:b/>
                <w:sz w:val="24"/>
              </w:rPr>
              <w:t>评分因素</w:t>
            </w:r>
          </w:p>
        </w:tc>
        <w:tc>
          <w:tcPr>
            <w:tcW w:w="5923" w:type="dxa"/>
            <w:noWrap/>
            <w:vAlign w:val="center"/>
          </w:tcPr>
          <w:p>
            <w:pPr>
              <w:jc w:val="center"/>
              <w:rPr>
                <w:rFonts w:ascii="宋体" w:hAnsi="宋体" w:cs="宋体"/>
                <w:b/>
                <w:sz w:val="24"/>
              </w:rPr>
            </w:pPr>
            <w:r>
              <w:rPr>
                <w:rFonts w:hint="eastAsia" w:ascii="宋体" w:hAnsi="宋体" w:cs="宋体"/>
                <w:b/>
                <w:sz w:val="24"/>
              </w:rPr>
              <w:t>评标标准</w:t>
            </w:r>
          </w:p>
        </w:tc>
        <w:tc>
          <w:tcPr>
            <w:tcW w:w="986" w:type="dxa"/>
            <w:noWrap/>
            <w:vAlign w:val="center"/>
          </w:tcPr>
          <w:p>
            <w:pPr>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30" w:type="dxa"/>
            <w:noWrap/>
            <w:vAlign w:val="center"/>
          </w:tcPr>
          <w:p>
            <w:pPr>
              <w:widowControl/>
              <w:adjustRightInd w:val="0"/>
              <w:snapToGrid w:val="0"/>
              <w:jc w:val="center"/>
              <w:rPr>
                <w:rFonts w:ascii="宋体" w:hAnsi="宋体" w:cs="宋体"/>
                <w:bCs/>
                <w:color w:val="000000" w:themeColor="text1"/>
                <w:kern w:val="0"/>
                <w:sz w:val="24"/>
              </w:rPr>
            </w:pPr>
            <w:r>
              <w:rPr>
                <w:rFonts w:hint="eastAsia" w:ascii="宋体" w:hAnsi="宋体" w:cs="宋体"/>
                <w:bCs/>
                <w:color w:val="000000" w:themeColor="text1"/>
                <w:kern w:val="0"/>
                <w:sz w:val="24"/>
              </w:rPr>
              <w:t>企业业绩</w:t>
            </w:r>
          </w:p>
        </w:tc>
        <w:tc>
          <w:tcPr>
            <w:tcW w:w="5923" w:type="dxa"/>
            <w:noWrap/>
            <w:vAlign w:val="center"/>
          </w:tcPr>
          <w:p>
            <w:pPr>
              <w:spacing w:after="120"/>
              <w:rPr>
                <w:rFonts w:hAnsi="宋体"/>
                <w:color w:val="000000" w:themeColor="text1"/>
                <w:sz w:val="24"/>
              </w:rPr>
            </w:pPr>
            <w:r>
              <w:rPr>
                <w:rFonts w:hint="eastAsia"/>
                <w:color w:val="000000" w:themeColor="text1"/>
                <w:sz w:val="24"/>
              </w:rPr>
              <w:t>企业承担过类似业绩的，每个得3分，最多得9分（年限</w:t>
            </w:r>
            <w:r>
              <w:rPr>
                <w:color w:val="000000" w:themeColor="text1"/>
                <w:sz w:val="24"/>
              </w:rPr>
              <w:t>为</w:t>
            </w:r>
            <w:r>
              <w:rPr>
                <w:rFonts w:hint="eastAsia"/>
                <w:color w:val="000000" w:themeColor="text1"/>
                <w:sz w:val="24"/>
              </w:rPr>
              <w:t>：年限</w:t>
            </w:r>
            <w:r>
              <w:rPr>
                <w:color w:val="000000" w:themeColor="text1"/>
                <w:sz w:val="24"/>
              </w:rPr>
              <w:t>为</w:t>
            </w:r>
            <w:r>
              <w:rPr>
                <w:rFonts w:hint="eastAsia"/>
                <w:color w:val="000000" w:themeColor="text1"/>
                <w:sz w:val="24"/>
              </w:rPr>
              <w:t>：2016年7月1日以来</w:t>
            </w:r>
            <w:r>
              <w:rPr>
                <w:color w:val="000000" w:themeColor="text1"/>
                <w:sz w:val="24"/>
              </w:rPr>
              <w:t>的业绩</w:t>
            </w:r>
            <w:r>
              <w:rPr>
                <w:rFonts w:hint="eastAsia"/>
                <w:color w:val="000000" w:themeColor="text1"/>
                <w:sz w:val="24"/>
              </w:rPr>
              <w:t>；</w:t>
            </w:r>
            <w:r>
              <w:rPr>
                <w:color w:val="000000" w:themeColor="text1"/>
                <w:sz w:val="24"/>
              </w:rPr>
              <w:t>类型：</w:t>
            </w:r>
            <w:r>
              <w:rPr>
                <w:rFonts w:hint="eastAsia"/>
                <w:color w:val="000000" w:themeColor="text1"/>
                <w:sz w:val="24"/>
              </w:rPr>
              <w:t>含雨污水管道建设等；以合同、中标通知书、中标公告网页截图为准，三者缺一不可）。</w:t>
            </w:r>
          </w:p>
        </w:tc>
        <w:tc>
          <w:tcPr>
            <w:tcW w:w="986" w:type="dxa"/>
            <w:noWrap/>
            <w:vAlign w:val="center"/>
          </w:tcPr>
          <w:p>
            <w:pPr>
              <w:widowControl/>
              <w:adjustRightInd w:val="0"/>
              <w:snapToGrid w:val="0"/>
              <w:jc w:val="center"/>
              <w:rPr>
                <w:rFonts w:hAnsi="宋体" w:cs="宋体"/>
                <w:color w:val="000000" w:themeColor="text1"/>
                <w:sz w:val="24"/>
              </w:rPr>
            </w:pPr>
            <w:r>
              <w:rPr>
                <w:rFonts w:hint="eastAsia" w:ascii="宋体" w:hAnsi="宋体" w:cs="宋体"/>
                <w:bCs/>
                <w:color w:val="000000" w:themeColor="text1"/>
                <w:kern w:val="0"/>
                <w:sz w:val="24"/>
              </w:rPr>
              <w:t>9</w:t>
            </w:r>
            <w:r>
              <w:rPr>
                <w:rFonts w:hint="eastAsia" w:ascii="宋体" w:hAnsi="宋体" w:cs="宋体"/>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230" w:type="dxa"/>
            <w:noWrap/>
            <w:vAlign w:val="center"/>
          </w:tcPr>
          <w:p>
            <w:pPr>
              <w:widowControl/>
              <w:adjustRightInd w:val="0"/>
              <w:snapToGrid w:val="0"/>
              <w:jc w:val="center"/>
              <w:rPr>
                <w:rFonts w:ascii="宋体" w:hAnsi="宋体" w:cs="宋体"/>
                <w:bCs/>
                <w:color w:val="000000" w:themeColor="text1"/>
                <w:kern w:val="0"/>
                <w:sz w:val="24"/>
              </w:rPr>
            </w:pPr>
            <w:r>
              <w:rPr>
                <w:rFonts w:hint="eastAsia" w:ascii="宋体" w:hAnsi="宋体" w:cs="宋体"/>
                <w:bCs/>
                <w:color w:val="000000" w:themeColor="text1"/>
                <w:kern w:val="0"/>
                <w:sz w:val="24"/>
              </w:rPr>
              <w:t>项目负责人业绩</w:t>
            </w:r>
          </w:p>
        </w:tc>
        <w:tc>
          <w:tcPr>
            <w:tcW w:w="5923" w:type="dxa"/>
            <w:noWrap/>
            <w:vAlign w:val="center"/>
          </w:tcPr>
          <w:p>
            <w:pPr>
              <w:spacing w:after="120"/>
              <w:ind w:firstLine="240" w:firstLineChars="100"/>
              <w:rPr>
                <w:rFonts w:hAnsi="宋体"/>
                <w:color w:val="000000" w:themeColor="text1"/>
                <w:sz w:val="24"/>
              </w:rPr>
            </w:pPr>
            <w:r>
              <w:rPr>
                <w:rFonts w:hint="eastAsia"/>
                <w:color w:val="000000" w:themeColor="text1"/>
                <w:sz w:val="24"/>
              </w:rPr>
              <w:t>项目负责人业绩，项目负责人承担过类似业绩的，每个得3分，最多得9分（年限</w:t>
            </w:r>
            <w:r>
              <w:rPr>
                <w:color w:val="000000" w:themeColor="text1"/>
                <w:sz w:val="24"/>
              </w:rPr>
              <w:t>为</w:t>
            </w:r>
            <w:r>
              <w:rPr>
                <w:rFonts w:hint="eastAsia"/>
                <w:color w:val="000000" w:themeColor="text1"/>
                <w:sz w:val="24"/>
              </w:rPr>
              <w:t>：2016年7月1日以来</w:t>
            </w:r>
            <w:r>
              <w:rPr>
                <w:color w:val="000000" w:themeColor="text1"/>
                <w:sz w:val="24"/>
              </w:rPr>
              <w:t>的业绩</w:t>
            </w:r>
            <w:r>
              <w:rPr>
                <w:rFonts w:hint="eastAsia"/>
                <w:color w:val="000000" w:themeColor="text1"/>
                <w:sz w:val="24"/>
              </w:rPr>
              <w:t>；</w:t>
            </w:r>
            <w:r>
              <w:rPr>
                <w:color w:val="000000" w:themeColor="text1"/>
                <w:sz w:val="24"/>
              </w:rPr>
              <w:t>类型：</w:t>
            </w:r>
            <w:r>
              <w:rPr>
                <w:rFonts w:hint="eastAsia"/>
                <w:color w:val="000000" w:themeColor="text1"/>
                <w:sz w:val="24"/>
              </w:rPr>
              <w:t>含雨污水管道建设等；以合同、中标通知书、中标公告网页截图为准，三者缺一不可）。</w:t>
            </w:r>
            <w:r>
              <w:rPr>
                <w:rFonts w:hint="eastAsia" w:ascii="宋体" w:hAnsi="宋体"/>
                <w:color w:val="000000" w:themeColor="text1"/>
                <w:sz w:val="24"/>
              </w:rPr>
              <w:t>注：企业业绩和项目负责人业绩不累计得分。</w:t>
            </w:r>
          </w:p>
        </w:tc>
        <w:tc>
          <w:tcPr>
            <w:tcW w:w="986" w:type="dxa"/>
            <w:noWrap/>
            <w:vAlign w:val="center"/>
          </w:tcPr>
          <w:p>
            <w:pPr>
              <w:widowControl/>
              <w:adjustRightInd w:val="0"/>
              <w:snapToGrid w:val="0"/>
              <w:jc w:val="center"/>
              <w:rPr>
                <w:rFonts w:ascii="宋体" w:hAnsi="宋体" w:cs="宋体"/>
                <w:bCs/>
                <w:color w:val="000000" w:themeColor="text1"/>
                <w:kern w:val="0"/>
                <w:sz w:val="24"/>
              </w:rPr>
            </w:pPr>
            <w:r>
              <w:rPr>
                <w:rFonts w:hint="eastAsia" w:ascii="宋体" w:hAnsi="宋体" w:cs="宋体"/>
                <w:bCs/>
                <w:color w:val="000000" w:themeColor="text1"/>
                <w:kern w:val="0"/>
                <w:sz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2230" w:type="dxa"/>
            <w:noWrap/>
            <w:vAlign w:val="center"/>
          </w:tcPr>
          <w:p>
            <w:pPr>
              <w:widowControl/>
              <w:adjustRightInd w:val="0"/>
              <w:snapToGrid w:val="0"/>
              <w:jc w:val="center"/>
              <w:rPr>
                <w:rFonts w:ascii="宋体" w:hAnsi="宋体" w:cs="宋体"/>
                <w:bCs/>
                <w:color w:val="000000" w:themeColor="text1"/>
                <w:kern w:val="0"/>
                <w:sz w:val="24"/>
              </w:rPr>
            </w:pPr>
            <w:r>
              <w:rPr>
                <w:rFonts w:hint="eastAsia"/>
                <w:color w:val="000000" w:themeColor="text1"/>
                <w:sz w:val="24"/>
              </w:rPr>
              <w:t>实力证明</w:t>
            </w:r>
          </w:p>
        </w:tc>
        <w:tc>
          <w:tcPr>
            <w:tcW w:w="5923" w:type="dxa"/>
            <w:noWrap/>
            <w:vAlign w:val="center"/>
          </w:tcPr>
          <w:p>
            <w:pPr>
              <w:pStyle w:val="23"/>
              <w:ind w:firstLine="0" w:firstLineChars="0"/>
              <w:rPr>
                <w:rFonts w:hAnsi="宋体"/>
                <w:color w:val="000000" w:themeColor="text1"/>
                <w:kern w:val="2"/>
                <w:sz w:val="24"/>
                <w:szCs w:val="24"/>
              </w:rPr>
            </w:pPr>
            <w:r>
              <w:rPr>
                <w:rFonts w:hint="eastAsia" w:hAnsi="宋体"/>
                <w:color w:val="000000" w:themeColor="text1"/>
                <w:kern w:val="2"/>
                <w:sz w:val="24"/>
                <w:szCs w:val="24"/>
              </w:rPr>
              <w:t>1、同时具备质量、环境、职业健康管理体系认证证书得1分，否则不得分；</w:t>
            </w:r>
          </w:p>
          <w:p>
            <w:pPr>
              <w:pStyle w:val="23"/>
              <w:ind w:firstLine="0" w:firstLineChars="0"/>
              <w:rPr>
                <w:rFonts w:hAnsi="宋体"/>
                <w:color w:val="000000" w:themeColor="text1"/>
                <w:sz w:val="24"/>
                <w:szCs w:val="24"/>
              </w:rPr>
            </w:pPr>
            <w:r>
              <w:rPr>
                <w:rFonts w:hint="eastAsia" w:hAnsi="宋体"/>
                <w:color w:val="000000" w:themeColor="text1"/>
                <w:kern w:val="2"/>
                <w:sz w:val="24"/>
                <w:szCs w:val="24"/>
              </w:rPr>
              <w:t>2、具有信用评估机构评定的AAA信用等级证书得2分，AA级及以下得1分，不提供不得分。</w:t>
            </w:r>
          </w:p>
        </w:tc>
        <w:tc>
          <w:tcPr>
            <w:tcW w:w="986" w:type="dxa"/>
            <w:noWrap/>
            <w:vAlign w:val="center"/>
          </w:tcPr>
          <w:p>
            <w:pPr>
              <w:widowControl/>
              <w:adjustRightInd w:val="0"/>
              <w:snapToGrid w:val="0"/>
              <w:jc w:val="center"/>
              <w:rPr>
                <w:rFonts w:ascii="宋体" w:hAnsi="宋体" w:cs="宋体"/>
                <w:bCs/>
                <w:color w:val="000000" w:themeColor="text1"/>
                <w:kern w:val="0"/>
                <w:sz w:val="24"/>
              </w:rPr>
            </w:pPr>
            <w:r>
              <w:rPr>
                <w:rFonts w:hint="eastAsia" w:ascii="宋体" w:hAnsi="宋体" w:cs="宋体"/>
                <w:bCs/>
                <w:color w:val="000000" w:themeColor="text1"/>
                <w:kern w:val="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2230" w:type="dxa"/>
            <w:noWrap/>
            <w:vAlign w:val="center"/>
          </w:tcPr>
          <w:p>
            <w:pPr>
              <w:widowControl/>
              <w:adjustRightInd w:val="0"/>
              <w:snapToGrid w:val="0"/>
              <w:jc w:val="center"/>
              <w:rPr>
                <w:color w:val="000000" w:themeColor="text1"/>
                <w:sz w:val="24"/>
              </w:rPr>
            </w:pPr>
            <w:r>
              <w:rPr>
                <w:rFonts w:hint="eastAsia" w:ascii="宋体" w:hAnsi="宋体"/>
                <w:color w:val="000000" w:themeColor="text1"/>
                <w:sz w:val="24"/>
              </w:rPr>
              <w:t>人员配备</w:t>
            </w:r>
          </w:p>
        </w:tc>
        <w:tc>
          <w:tcPr>
            <w:tcW w:w="5923" w:type="dxa"/>
            <w:noWrap/>
            <w:vAlign w:val="center"/>
          </w:tcPr>
          <w:p>
            <w:pPr>
              <w:snapToGrid w:val="0"/>
              <w:rPr>
                <w:rFonts w:hAnsi="宋体"/>
                <w:color w:val="000000" w:themeColor="text1"/>
                <w:sz w:val="24"/>
              </w:rPr>
            </w:pPr>
            <w:r>
              <w:rPr>
                <w:rFonts w:hint="eastAsia"/>
                <w:color w:val="000000" w:themeColor="text1"/>
                <w:sz w:val="24"/>
              </w:rPr>
              <w:t>项目管理机构中专业人员（项目负责人除外），有中级及以上技术职称或设计工程师证书的得3分，此项最多得9分。</w:t>
            </w:r>
          </w:p>
        </w:tc>
        <w:tc>
          <w:tcPr>
            <w:tcW w:w="986" w:type="dxa"/>
            <w:noWrap/>
            <w:vAlign w:val="center"/>
          </w:tcPr>
          <w:p>
            <w:pPr>
              <w:jc w:val="center"/>
              <w:rPr>
                <w:rFonts w:ascii="宋体" w:hAnsi="宋体" w:cs="宋体"/>
                <w:color w:val="000000" w:themeColor="text1"/>
                <w:sz w:val="24"/>
              </w:rPr>
            </w:pPr>
            <w:r>
              <w:rPr>
                <w:rFonts w:hint="eastAsia" w:ascii="宋体" w:hAnsi="宋体" w:cs="宋体"/>
                <w:color w:val="000000" w:themeColor="text1"/>
                <w:sz w:val="24"/>
              </w:rPr>
              <w:t>9分</w:t>
            </w:r>
          </w:p>
          <w:p>
            <w:pPr>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2230" w:type="dxa"/>
            <w:noWrap/>
            <w:vAlign w:val="center"/>
          </w:tcPr>
          <w:p>
            <w:pPr>
              <w:jc w:val="center"/>
              <w:rPr>
                <w:rFonts w:ascii="宋体" w:hAnsi="宋体" w:cs="宋体"/>
                <w:bCs/>
                <w:color w:val="000000" w:themeColor="text1"/>
                <w:kern w:val="0"/>
                <w:sz w:val="24"/>
              </w:rPr>
            </w:pPr>
            <w:r>
              <w:rPr>
                <w:rFonts w:ascii="宋体" w:hAnsi="宋体"/>
                <w:color w:val="000000" w:themeColor="text1"/>
                <w:sz w:val="24"/>
              </w:rPr>
              <w:t>服务</w:t>
            </w:r>
            <w:r>
              <w:rPr>
                <w:rFonts w:hint="eastAsia" w:ascii="宋体" w:hAnsi="宋体"/>
                <w:color w:val="000000" w:themeColor="text1"/>
                <w:sz w:val="24"/>
              </w:rPr>
              <w:t>承诺</w:t>
            </w:r>
          </w:p>
        </w:tc>
        <w:tc>
          <w:tcPr>
            <w:tcW w:w="5923" w:type="dxa"/>
            <w:noWrap/>
            <w:vAlign w:val="center"/>
          </w:tcPr>
          <w:p>
            <w:pPr>
              <w:snapToGrid w:val="0"/>
              <w:rPr>
                <w:rFonts w:hAnsi="宋体"/>
                <w:color w:val="000000" w:themeColor="text1"/>
                <w:sz w:val="24"/>
              </w:rPr>
            </w:pPr>
            <w:r>
              <w:rPr>
                <w:rFonts w:hint="eastAsia" w:hAnsi="宋体"/>
                <w:color w:val="000000" w:themeColor="text1"/>
                <w:sz w:val="24"/>
              </w:rPr>
              <w:t>1、具有完善的服务计划，具有为采购人排忧解难的制度安排得2分，不提供不得分；</w:t>
            </w:r>
          </w:p>
          <w:p>
            <w:pPr>
              <w:snapToGrid w:val="0"/>
              <w:rPr>
                <w:rFonts w:hAnsi="宋体"/>
                <w:color w:val="000000" w:themeColor="text1"/>
                <w:sz w:val="24"/>
              </w:rPr>
            </w:pPr>
            <w:r>
              <w:rPr>
                <w:rFonts w:hint="eastAsia" w:hAnsi="宋体"/>
                <w:color w:val="000000" w:themeColor="text1"/>
                <w:sz w:val="24"/>
              </w:rPr>
              <w:t>2、与其他单位配合的服务承诺及后续服务期的服务承诺完善、合理可行的得2分，不提供不得分。</w:t>
            </w:r>
          </w:p>
          <w:p>
            <w:pPr>
              <w:snapToGrid w:val="0"/>
              <w:rPr>
                <w:rFonts w:hAnsi="宋体"/>
                <w:color w:val="000000" w:themeColor="text1"/>
                <w:sz w:val="24"/>
              </w:rPr>
            </w:pPr>
            <w:r>
              <w:rPr>
                <w:rFonts w:hint="eastAsia" w:hAnsi="宋体"/>
                <w:color w:val="000000" w:themeColor="text1"/>
                <w:sz w:val="24"/>
              </w:rPr>
              <w:t>3、供应商承诺交付（服务、完工）时间每提前一天加0.2分，最高加1分，不承诺者不得分。</w:t>
            </w:r>
          </w:p>
        </w:tc>
        <w:tc>
          <w:tcPr>
            <w:tcW w:w="986" w:type="dxa"/>
            <w:noWrap/>
            <w:vAlign w:val="center"/>
          </w:tcPr>
          <w:p>
            <w:pPr>
              <w:jc w:val="center"/>
              <w:rPr>
                <w:rFonts w:ascii="宋体" w:hAnsi="宋体" w:cs="宋体"/>
                <w:color w:val="000000" w:themeColor="text1"/>
                <w:sz w:val="24"/>
              </w:rPr>
            </w:pPr>
          </w:p>
          <w:p>
            <w:pPr>
              <w:jc w:val="center"/>
              <w:rPr>
                <w:rFonts w:ascii="宋体" w:hAnsi="宋体" w:cs="宋体"/>
                <w:color w:val="000000" w:themeColor="text1"/>
                <w:sz w:val="24"/>
              </w:rPr>
            </w:pPr>
            <w:r>
              <w:rPr>
                <w:rFonts w:hint="eastAsia" w:ascii="宋体" w:hAnsi="宋体" w:cs="宋体"/>
                <w:color w:val="000000" w:themeColor="text1"/>
                <w:sz w:val="24"/>
              </w:rPr>
              <w:t>5分</w:t>
            </w:r>
          </w:p>
          <w:p>
            <w:pPr>
              <w:pStyle w:val="23"/>
              <w:ind w:firstLine="240"/>
              <w:rPr>
                <w:rFonts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39" w:type="dxa"/>
            <w:gridSpan w:val="3"/>
            <w:noWrap/>
            <w:vAlign w:val="center"/>
          </w:tcPr>
          <w:p>
            <w:pPr>
              <w:jc w:val="center"/>
              <w:rPr>
                <w:color w:val="000000" w:themeColor="text1"/>
                <w:sz w:val="24"/>
              </w:rPr>
            </w:pPr>
            <w:r>
              <w:rPr>
                <w:rFonts w:hint="eastAsia" w:ascii="宋体" w:hAnsi="宋体" w:cs="宋体"/>
                <w:b/>
                <w:color w:val="000000" w:themeColor="text1"/>
                <w:sz w:val="24"/>
              </w:rPr>
              <w:t>技术部分（满分</w:t>
            </w:r>
            <w:r>
              <w:rPr>
                <w:rFonts w:hint="eastAsia" w:ascii="宋体" w:hAnsi="宋体" w:cs="宋体"/>
                <w:b/>
                <w:color w:val="000000" w:themeColor="text1"/>
                <w:sz w:val="24"/>
                <w:u w:val="single"/>
              </w:rPr>
              <w:t xml:space="preserve"> 45 </w:t>
            </w:r>
            <w:r>
              <w:rPr>
                <w:rFonts w:hint="eastAsia" w:ascii="宋体" w:hAnsi="宋体" w:cs="宋体"/>
                <w:b/>
                <w:color w:val="000000" w:themeColor="text1"/>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30" w:type="dxa"/>
            <w:noWrap/>
            <w:vAlign w:val="center"/>
          </w:tcPr>
          <w:p>
            <w:pPr>
              <w:rPr>
                <w:rFonts w:ascii="宋体" w:hAnsi="宋体" w:cs="宋体"/>
                <w:b/>
                <w:color w:val="000000" w:themeColor="text1"/>
                <w:sz w:val="24"/>
              </w:rPr>
            </w:pPr>
            <w:r>
              <w:rPr>
                <w:rFonts w:hint="eastAsia" w:ascii="宋体" w:hAnsi="宋体" w:cs="宋体"/>
                <w:b/>
                <w:color w:val="000000" w:themeColor="text1"/>
                <w:sz w:val="24"/>
              </w:rPr>
              <w:t xml:space="preserve"> 评分因素</w:t>
            </w:r>
          </w:p>
        </w:tc>
        <w:tc>
          <w:tcPr>
            <w:tcW w:w="5923" w:type="dxa"/>
            <w:noWrap/>
            <w:vAlign w:val="center"/>
          </w:tcPr>
          <w:p>
            <w:pPr>
              <w:jc w:val="center"/>
              <w:rPr>
                <w:color w:val="000000" w:themeColor="text1"/>
                <w:sz w:val="24"/>
              </w:rPr>
            </w:pPr>
            <w:r>
              <w:rPr>
                <w:rFonts w:hint="eastAsia" w:ascii="宋体" w:hAnsi="宋体" w:cs="宋体"/>
                <w:b/>
                <w:color w:val="000000" w:themeColor="text1"/>
                <w:sz w:val="24"/>
              </w:rPr>
              <w:t>评标标准</w:t>
            </w:r>
          </w:p>
        </w:tc>
        <w:tc>
          <w:tcPr>
            <w:tcW w:w="986" w:type="dxa"/>
            <w:noWrap/>
            <w:vAlign w:val="center"/>
          </w:tcPr>
          <w:p>
            <w:pPr>
              <w:jc w:val="center"/>
              <w:rPr>
                <w:color w:val="000000" w:themeColor="text1"/>
                <w:sz w:val="24"/>
              </w:rPr>
            </w:pPr>
            <w:r>
              <w:rPr>
                <w:rFonts w:hint="eastAsia" w:ascii="宋体" w:hAnsi="宋体" w:cs="宋体"/>
                <w:b/>
                <w:color w:val="000000" w:themeColor="text1"/>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2230" w:type="dxa"/>
            <w:noWrap/>
            <w:vAlign w:val="center"/>
          </w:tcPr>
          <w:p>
            <w:pPr>
              <w:jc w:val="center"/>
              <w:rPr>
                <w:rFonts w:ascii="宋体" w:hAnsi="宋体" w:cs="宋体"/>
                <w:bCs/>
                <w:color w:val="000000" w:themeColor="text1"/>
                <w:sz w:val="24"/>
              </w:rPr>
            </w:pPr>
            <w:r>
              <w:rPr>
                <w:rFonts w:hint="eastAsia" w:ascii="宋体" w:hAnsi="宋体" w:cs="宋体"/>
                <w:bCs/>
                <w:color w:val="000000" w:themeColor="text1"/>
                <w:sz w:val="24"/>
              </w:rPr>
              <w:t>设计方案</w:t>
            </w:r>
          </w:p>
        </w:tc>
        <w:tc>
          <w:tcPr>
            <w:tcW w:w="5923" w:type="dxa"/>
            <w:noWrap/>
            <w:vAlign w:val="center"/>
          </w:tcPr>
          <w:p>
            <w:pPr>
              <w:rPr>
                <w:rFonts w:ascii="宋体" w:hAnsi="宋体" w:cs="宋体"/>
                <w:bCs/>
                <w:color w:val="000000" w:themeColor="text1"/>
                <w:sz w:val="24"/>
              </w:rPr>
            </w:pPr>
            <w:r>
              <w:rPr>
                <w:rFonts w:hint="eastAsia" w:ascii="宋体" w:hAnsi="宋体" w:cs="宋体"/>
                <w:bCs/>
                <w:color w:val="000000" w:themeColor="text1"/>
                <w:sz w:val="24"/>
              </w:rPr>
              <w:t>1、对项目特点分析是否透彻、设计重点是否突出，根据文件内容综合对比打分，优得</w:t>
            </w:r>
            <w:r>
              <w:rPr>
                <w:rFonts w:hint="eastAsia" w:ascii="宋体" w:hAnsi="宋体" w:cs="宋体"/>
                <w:bCs/>
                <w:color w:val="000000" w:themeColor="text1"/>
                <w:sz w:val="24"/>
                <w:lang w:val="en-US" w:eastAsia="zh-CN"/>
              </w:rPr>
              <w:t>10</w:t>
            </w:r>
            <w:r>
              <w:rPr>
                <w:rFonts w:hint="eastAsia" w:ascii="宋体" w:hAnsi="宋体" w:cs="宋体"/>
                <w:bCs/>
                <w:color w:val="000000" w:themeColor="text1"/>
                <w:sz w:val="24"/>
              </w:rPr>
              <w:t>分，良得</w:t>
            </w:r>
            <w:r>
              <w:rPr>
                <w:rFonts w:hint="eastAsia" w:ascii="宋体" w:hAnsi="宋体" w:cs="宋体"/>
                <w:bCs/>
                <w:color w:val="000000" w:themeColor="text1"/>
                <w:sz w:val="24"/>
                <w:lang w:val="en-US" w:eastAsia="zh-CN"/>
              </w:rPr>
              <w:t>7</w:t>
            </w:r>
            <w:r>
              <w:rPr>
                <w:rFonts w:hint="eastAsia" w:ascii="宋体" w:hAnsi="宋体" w:cs="宋体"/>
                <w:bCs/>
                <w:color w:val="000000" w:themeColor="text1"/>
                <w:sz w:val="24"/>
              </w:rPr>
              <w:t>分，一般得</w:t>
            </w:r>
            <w:r>
              <w:rPr>
                <w:rFonts w:hint="eastAsia" w:ascii="宋体" w:hAnsi="宋体" w:cs="宋体"/>
                <w:bCs/>
                <w:color w:val="000000" w:themeColor="text1"/>
                <w:sz w:val="24"/>
                <w:lang w:val="en-US" w:eastAsia="zh-CN"/>
              </w:rPr>
              <w:t>3</w:t>
            </w:r>
            <w:r>
              <w:rPr>
                <w:rFonts w:hint="eastAsia" w:ascii="宋体" w:hAnsi="宋体" w:cs="宋体"/>
                <w:bCs/>
                <w:color w:val="000000" w:themeColor="text1"/>
                <w:sz w:val="24"/>
              </w:rPr>
              <w:t>分，未提供不得分。</w:t>
            </w:r>
          </w:p>
          <w:p>
            <w:pPr>
              <w:rPr>
                <w:rFonts w:ascii="宋体" w:hAnsi="宋体" w:cs="宋体"/>
                <w:bCs/>
                <w:color w:val="000000" w:themeColor="text1"/>
                <w:sz w:val="24"/>
              </w:rPr>
            </w:pPr>
            <w:r>
              <w:rPr>
                <w:rFonts w:hint="eastAsia" w:ascii="宋体" w:hAnsi="宋体" w:cs="宋体"/>
                <w:bCs/>
                <w:color w:val="000000" w:themeColor="text1"/>
                <w:sz w:val="24"/>
              </w:rPr>
              <w:t>2、设计人对项目的理解程度，方案是否新颖,根据文件内容综合对比打分，优得10分，良得7分，一般得</w:t>
            </w:r>
            <w:r>
              <w:rPr>
                <w:rFonts w:hint="eastAsia" w:ascii="宋体" w:hAnsi="宋体" w:cs="宋体"/>
                <w:bCs/>
                <w:color w:val="000000" w:themeColor="text1"/>
                <w:sz w:val="24"/>
                <w:lang w:val="en-US" w:eastAsia="zh-CN"/>
              </w:rPr>
              <w:t>3</w:t>
            </w:r>
            <w:r>
              <w:rPr>
                <w:rFonts w:hint="eastAsia" w:ascii="宋体" w:hAnsi="宋体" w:cs="宋体"/>
                <w:bCs/>
                <w:color w:val="000000" w:themeColor="text1"/>
                <w:sz w:val="24"/>
              </w:rPr>
              <w:t>分，未提供不得分。</w:t>
            </w:r>
          </w:p>
          <w:p>
            <w:pPr>
              <w:rPr>
                <w:rFonts w:ascii="宋体" w:hAnsi="宋体" w:cs="宋体"/>
                <w:bCs/>
                <w:color w:val="000000" w:themeColor="text1"/>
                <w:sz w:val="24"/>
              </w:rPr>
            </w:pPr>
            <w:r>
              <w:rPr>
                <w:rFonts w:hint="eastAsia" w:ascii="宋体" w:hAnsi="宋体" w:cs="宋体"/>
                <w:bCs/>
                <w:color w:val="000000" w:themeColor="text1"/>
                <w:sz w:val="24"/>
              </w:rPr>
              <w:t>3、方案得当，针对性强，措施有效得优得</w:t>
            </w:r>
            <w:r>
              <w:rPr>
                <w:rFonts w:hint="eastAsia" w:ascii="宋体" w:hAnsi="宋体" w:cs="宋体"/>
                <w:bCs/>
                <w:color w:val="000000" w:themeColor="text1"/>
                <w:sz w:val="24"/>
                <w:lang w:val="en-US" w:eastAsia="zh-CN"/>
              </w:rPr>
              <w:t>10</w:t>
            </w:r>
            <w:r>
              <w:rPr>
                <w:rFonts w:hint="eastAsia" w:ascii="宋体" w:hAnsi="宋体" w:cs="宋体"/>
                <w:bCs/>
                <w:color w:val="000000" w:themeColor="text1"/>
                <w:sz w:val="24"/>
              </w:rPr>
              <w:t>分，良得</w:t>
            </w:r>
            <w:r>
              <w:rPr>
                <w:rFonts w:hint="eastAsia" w:ascii="宋体" w:hAnsi="宋体" w:cs="宋体"/>
                <w:bCs/>
                <w:color w:val="000000" w:themeColor="text1"/>
                <w:sz w:val="24"/>
                <w:lang w:val="en-US" w:eastAsia="zh-CN"/>
              </w:rPr>
              <w:t>7</w:t>
            </w:r>
            <w:r>
              <w:rPr>
                <w:rFonts w:hint="eastAsia" w:ascii="宋体" w:hAnsi="宋体" w:cs="宋体"/>
                <w:bCs/>
                <w:color w:val="000000" w:themeColor="text1"/>
                <w:sz w:val="24"/>
              </w:rPr>
              <w:t>分，一般得</w:t>
            </w:r>
            <w:r>
              <w:rPr>
                <w:rFonts w:hint="eastAsia" w:ascii="宋体" w:hAnsi="宋体" w:cs="宋体"/>
                <w:bCs/>
                <w:color w:val="000000" w:themeColor="text1"/>
                <w:sz w:val="24"/>
                <w:lang w:val="en-US" w:eastAsia="zh-CN"/>
              </w:rPr>
              <w:t>3</w:t>
            </w:r>
            <w:r>
              <w:rPr>
                <w:rFonts w:hint="eastAsia" w:ascii="宋体" w:hAnsi="宋体" w:cs="宋体"/>
                <w:bCs/>
                <w:color w:val="000000" w:themeColor="text1"/>
                <w:sz w:val="24"/>
              </w:rPr>
              <w:t>分，未提供不得分。</w:t>
            </w:r>
          </w:p>
          <w:p>
            <w:pPr>
              <w:rPr>
                <w:rFonts w:hint="eastAsia" w:ascii="宋体" w:hAnsi="宋体" w:cs="宋体"/>
                <w:bCs/>
                <w:color w:val="000000" w:themeColor="text1"/>
                <w:sz w:val="24"/>
              </w:rPr>
            </w:pPr>
            <w:r>
              <w:rPr>
                <w:rFonts w:hint="eastAsia" w:ascii="宋体" w:hAnsi="宋体" w:cs="宋体"/>
                <w:bCs/>
                <w:color w:val="000000" w:themeColor="text1"/>
                <w:sz w:val="24"/>
              </w:rPr>
              <w:t>4、设计工作方案及保障设计周期是否切实可行，根据文件内容综合对比打分，优得5分，良得3分，一般得1分，未提供不得分。</w:t>
            </w:r>
          </w:p>
          <w:p>
            <w:pPr>
              <w:rPr>
                <w:rFonts w:ascii="宋体" w:hAnsi="宋体" w:cs="宋体"/>
                <w:color w:val="000000" w:themeColor="text1"/>
                <w:sz w:val="24"/>
              </w:rPr>
            </w:pPr>
            <w:r>
              <w:rPr>
                <w:rFonts w:hint="eastAsia" w:ascii="宋体" w:hAnsi="宋体" w:cs="宋体"/>
                <w:color w:val="000000" w:themeColor="text1"/>
                <w:sz w:val="24"/>
                <w:lang w:val="en-US" w:eastAsia="zh-CN"/>
              </w:rPr>
              <w:t>5、</w:t>
            </w:r>
            <w:r>
              <w:rPr>
                <w:rFonts w:hint="eastAsia" w:ascii="宋体" w:hAnsi="宋体" w:cs="宋体"/>
                <w:color w:val="000000" w:themeColor="text1"/>
                <w:sz w:val="24"/>
              </w:rPr>
              <w:t>保障设计质量的主要措施, 根据文件内容综合对比打分，优得5分，良得3分，</w:t>
            </w:r>
            <w:r>
              <w:rPr>
                <w:rFonts w:hint="eastAsia" w:ascii="宋体" w:hAnsi="宋体" w:cs="宋体"/>
                <w:bCs/>
                <w:color w:val="000000" w:themeColor="text1"/>
                <w:sz w:val="24"/>
              </w:rPr>
              <w:t>一般</w:t>
            </w:r>
            <w:r>
              <w:rPr>
                <w:rFonts w:hint="eastAsia" w:ascii="宋体" w:hAnsi="宋体" w:cs="宋体"/>
                <w:color w:val="000000" w:themeColor="text1"/>
                <w:sz w:val="24"/>
              </w:rPr>
              <w:t>得1分，未提供不得分。</w:t>
            </w:r>
          </w:p>
          <w:p>
            <w:pPr>
              <w:rPr>
                <w:rFonts w:hint="eastAsia" w:ascii="宋体" w:hAnsi="宋体" w:cs="宋体"/>
                <w:color w:val="000000" w:themeColor="text1"/>
                <w:sz w:val="24"/>
              </w:rPr>
            </w:pPr>
            <w:r>
              <w:rPr>
                <w:rFonts w:hint="eastAsia" w:ascii="宋体" w:hAnsi="宋体" w:cs="宋体"/>
                <w:color w:val="000000" w:themeColor="text1"/>
                <w:sz w:val="24"/>
                <w:lang w:val="en-US" w:eastAsia="zh-CN"/>
              </w:rPr>
              <w:t>6</w:t>
            </w:r>
            <w:r>
              <w:rPr>
                <w:rFonts w:hint="eastAsia" w:ascii="宋体" w:hAnsi="宋体" w:cs="宋体"/>
                <w:color w:val="000000" w:themeColor="text1"/>
                <w:sz w:val="24"/>
              </w:rPr>
              <w:t>、合理化建议, 根据文件内容综合对比打分，优得5分，良得3分，</w:t>
            </w:r>
            <w:r>
              <w:rPr>
                <w:rFonts w:hint="eastAsia" w:ascii="宋体" w:hAnsi="宋体" w:cs="宋体"/>
                <w:bCs/>
                <w:color w:val="000000" w:themeColor="text1"/>
                <w:sz w:val="24"/>
              </w:rPr>
              <w:t>一般</w:t>
            </w:r>
            <w:r>
              <w:rPr>
                <w:rFonts w:hint="eastAsia" w:ascii="宋体" w:hAnsi="宋体" w:cs="宋体"/>
                <w:color w:val="000000" w:themeColor="text1"/>
                <w:sz w:val="24"/>
              </w:rPr>
              <w:t>得1分，未提供不得分。</w:t>
            </w:r>
          </w:p>
          <w:p>
            <w:pPr>
              <w:rPr>
                <w:rFonts w:ascii="宋体" w:hAnsi="宋体" w:cs="宋体"/>
                <w:bCs/>
                <w:color w:val="000000" w:themeColor="text1"/>
                <w:sz w:val="24"/>
              </w:rPr>
            </w:pPr>
            <w:r>
              <w:rPr>
                <w:rFonts w:hint="eastAsia" w:ascii="宋体" w:hAnsi="宋体" w:cs="宋体"/>
                <w:bCs/>
                <w:color w:val="000000" w:themeColor="text1"/>
                <w:sz w:val="24"/>
              </w:rPr>
              <w:t>以上如有缺项，该项为0分。</w:t>
            </w:r>
          </w:p>
        </w:tc>
        <w:tc>
          <w:tcPr>
            <w:tcW w:w="986" w:type="dxa"/>
            <w:noWrap/>
            <w:vAlign w:val="center"/>
          </w:tcPr>
          <w:p>
            <w:pPr>
              <w:jc w:val="center"/>
              <w:rPr>
                <w:rFonts w:ascii="宋体" w:hAnsi="宋体" w:cs="宋体"/>
                <w:b/>
                <w:color w:val="000000" w:themeColor="text1"/>
                <w:sz w:val="24"/>
              </w:rPr>
            </w:pPr>
            <w:r>
              <w:rPr>
                <w:rFonts w:hint="eastAsia" w:ascii="宋体" w:hAnsi="宋体" w:cs="宋体"/>
                <w:color w:val="000000" w:themeColor="text1"/>
                <w:sz w:val="24"/>
                <w:lang w:val="en-US" w:eastAsia="zh-CN"/>
              </w:rPr>
              <w:t>4</w:t>
            </w:r>
            <w:bookmarkStart w:id="31" w:name="_GoBack"/>
            <w:bookmarkEnd w:id="31"/>
            <w:r>
              <w:rPr>
                <w:rFonts w:hint="eastAsia" w:ascii="宋体" w:hAnsi="宋体" w:cs="宋体"/>
                <w:color w:val="000000" w:themeColor="text1"/>
                <w:sz w:val="24"/>
              </w:rPr>
              <w:t>5分</w:t>
            </w:r>
          </w:p>
        </w:tc>
      </w:tr>
    </w:tbl>
    <w:p>
      <w:pPr>
        <w:spacing w:line="360" w:lineRule="auto"/>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其中：价格分计算（落实政府采购政策价格调整部分）</w:t>
      </w:r>
    </w:p>
    <w:tbl>
      <w:tblPr>
        <w:tblStyle w:val="24"/>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775"/>
        <w:gridCol w:w="3495"/>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序号</w:t>
            </w:r>
          </w:p>
        </w:tc>
        <w:tc>
          <w:tcPr>
            <w:tcW w:w="2775"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情形</w:t>
            </w:r>
          </w:p>
        </w:tc>
        <w:tc>
          <w:tcPr>
            <w:tcW w:w="3495"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rPr>
              <w:t>价格扣除</w:t>
            </w:r>
            <w:r>
              <w:rPr>
                <w:rFonts w:hint="eastAsia" w:asciiTheme="majorEastAsia" w:hAnsiTheme="majorEastAsia" w:eastAsiaTheme="majorEastAsia" w:cstheme="minorBidi"/>
                <w:b/>
                <w:color w:val="000000"/>
                <w:sz w:val="24"/>
                <w:lang w:val="en-GB"/>
              </w:rPr>
              <w:t>比例</w:t>
            </w:r>
          </w:p>
        </w:tc>
        <w:tc>
          <w:tcPr>
            <w:tcW w:w="3029"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1</w:t>
            </w:r>
          </w:p>
        </w:tc>
        <w:tc>
          <w:tcPr>
            <w:tcW w:w="2775"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非联合体投标人</w:t>
            </w:r>
          </w:p>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color w:val="000000"/>
                <w:sz w:val="24"/>
                <w:lang w:val="en-GB"/>
              </w:rPr>
              <w:t>（投标人须为中小企业）</w:t>
            </w:r>
          </w:p>
        </w:tc>
        <w:tc>
          <w:tcPr>
            <w:tcW w:w="3495" w:type="dxa"/>
            <w:vAlign w:val="center"/>
          </w:tcPr>
          <w:p>
            <w:pPr>
              <w:jc w:val="center"/>
              <w:rPr>
                <w:rFonts w:asciiTheme="majorEastAsia" w:hAnsiTheme="majorEastAsia" w:eastAsiaTheme="majorEastAsia" w:cstheme="minorBidi"/>
                <w:b/>
                <w:sz w:val="24"/>
                <w:lang w:val="en-GB"/>
              </w:rPr>
            </w:pPr>
            <w:r>
              <w:rPr>
                <w:rFonts w:hint="eastAsia" w:asciiTheme="majorEastAsia" w:hAnsiTheme="majorEastAsia" w:eastAsiaTheme="majorEastAsia" w:cstheme="minorBidi"/>
                <w:color w:val="000000"/>
                <w:sz w:val="24"/>
              </w:rPr>
              <w:t>对小型和微型企业产品的价格扣除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tc>
        <w:tc>
          <w:tcPr>
            <w:tcW w:w="3029" w:type="dxa"/>
            <w:vMerge w:val="restart"/>
            <w:shd w:val="clear" w:color="auto" w:fill="auto"/>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sz w:val="24"/>
              </w:rPr>
              <w:t>小型和微型企业产品的价格</w:t>
            </w:r>
            <w:r>
              <w:rPr>
                <w:rFonts w:hint="eastAsia" w:asciiTheme="majorEastAsia" w:hAnsiTheme="majorEastAsia" w:eastAsiaTheme="majorEastAsia" w:cstheme="minorBidi"/>
                <w:color w:val="000000"/>
                <w:sz w:val="24"/>
                <w:lang w:val="en-GB"/>
              </w:rPr>
              <w:t>×6%</w:t>
            </w:r>
          </w:p>
          <w:p>
            <w:pPr>
              <w:jc w:val="center"/>
              <w:rPr>
                <w:rFonts w:asciiTheme="majorEastAsia" w:hAnsiTheme="majorEastAsia" w:eastAsiaTheme="majorEastAsia" w:cstheme="minorBidi"/>
                <w:b/>
                <w:color w:val="00000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2</w:t>
            </w:r>
          </w:p>
        </w:tc>
        <w:tc>
          <w:tcPr>
            <w:tcW w:w="2775" w:type="dxa"/>
            <w:vAlign w:val="center"/>
          </w:tcPr>
          <w:p>
            <w:pPr>
              <w:jc w:val="center"/>
              <w:rPr>
                <w:rFonts w:asciiTheme="majorEastAsia" w:hAnsiTheme="majorEastAsia" w:eastAsiaTheme="majorEastAsia" w:cstheme="minorBidi"/>
                <w:b/>
                <w:color w:val="000000"/>
                <w:sz w:val="24"/>
              </w:rPr>
            </w:pPr>
            <w:r>
              <w:rPr>
                <w:rFonts w:hint="eastAsia" w:asciiTheme="majorEastAsia" w:hAnsiTheme="majorEastAsia" w:eastAsiaTheme="majorEastAsia" w:cstheme="minorBidi"/>
                <w:color w:val="000000"/>
                <w:sz w:val="24"/>
                <w:lang w:val="en-GB"/>
              </w:rPr>
              <w:t>联合体各方均为小型、微型企业</w:t>
            </w:r>
          </w:p>
        </w:tc>
        <w:tc>
          <w:tcPr>
            <w:tcW w:w="3495" w:type="dxa"/>
            <w:vAlign w:val="center"/>
          </w:tcPr>
          <w:p>
            <w:pPr>
              <w:jc w:val="center"/>
              <w:rPr>
                <w:rFonts w:asciiTheme="majorEastAsia" w:hAnsiTheme="majorEastAsia" w:eastAsiaTheme="majorEastAsia" w:cstheme="minorBidi"/>
                <w:sz w:val="24"/>
              </w:rPr>
            </w:pPr>
            <w:r>
              <w:rPr>
                <w:rFonts w:hint="eastAsia" w:asciiTheme="majorEastAsia" w:hAnsiTheme="majorEastAsia" w:eastAsiaTheme="majorEastAsia" w:cstheme="minorBidi"/>
                <w:color w:val="000000"/>
                <w:sz w:val="24"/>
              </w:rPr>
              <w:t>对小型和微型企业产品的价格扣除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p>
            <w:pPr>
              <w:jc w:val="center"/>
              <w:rPr>
                <w:rFonts w:asciiTheme="majorEastAsia" w:hAnsiTheme="majorEastAsia" w:eastAsiaTheme="majorEastAsia" w:cstheme="minorBidi"/>
                <w:b/>
                <w:sz w:val="24"/>
                <w:lang w:val="en-GB"/>
              </w:rPr>
            </w:pPr>
            <w:r>
              <w:rPr>
                <w:rFonts w:hint="eastAsia" w:asciiTheme="majorEastAsia" w:hAnsiTheme="majorEastAsia" w:eastAsiaTheme="majorEastAsia" w:cstheme="minorBidi"/>
                <w:sz w:val="24"/>
              </w:rPr>
              <w:t>（不再享受序号3的价格折扣）</w:t>
            </w:r>
          </w:p>
        </w:tc>
        <w:tc>
          <w:tcPr>
            <w:tcW w:w="3029" w:type="dxa"/>
            <w:vMerge w:val="continue"/>
            <w:shd w:val="clear" w:color="auto" w:fill="auto"/>
          </w:tcPr>
          <w:p>
            <w:pPr>
              <w:rPr>
                <w:rFonts w:asciiTheme="majorEastAsia" w:hAnsiTheme="majorEastAsia" w:eastAsiaTheme="majorEastAsia" w:cstheme="minorBidi"/>
                <w:color w:val="00000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3</w:t>
            </w:r>
          </w:p>
        </w:tc>
        <w:tc>
          <w:tcPr>
            <w:tcW w:w="2775"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color w:val="000000"/>
                <w:sz w:val="24"/>
                <w:lang w:val="en-GB"/>
              </w:rPr>
              <w:t>联合体一方为小型、微型企业且小型、微型企业协议合同金额占联合体协议合同总金额30%以上的</w:t>
            </w:r>
          </w:p>
        </w:tc>
        <w:tc>
          <w:tcPr>
            <w:tcW w:w="3495"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对联合体总金额扣除</w:t>
            </w:r>
          </w:p>
          <w:p>
            <w:pPr>
              <w:jc w:val="center"/>
              <w:rPr>
                <w:rFonts w:asciiTheme="majorEastAsia" w:hAnsiTheme="majorEastAsia" w:eastAsiaTheme="majorEastAsia" w:cstheme="minorBidi"/>
                <w:b/>
                <w:sz w:val="24"/>
                <w:lang w:val="en-GB"/>
              </w:rPr>
            </w:pPr>
            <w:r>
              <w:rPr>
                <w:rFonts w:asciiTheme="majorEastAsia" w:hAnsiTheme="majorEastAsia" w:eastAsiaTheme="majorEastAsia" w:cstheme="minorBidi"/>
                <w:sz w:val="24"/>
                <w:u w:val="single"/>
              </w:rPr>
              <w:t>2</w:t>
            </w:r>
            <w:r>
              <w:rPr>
                <w:rFonts w:hint="eastAsia" w:asciiTheme="majorEastAsia" w:hAnsiTheme="majorEastAsia" w:eastAsiaTheme="majorEastAsia" w:cstheme="minorBidi"/>
                <w:sz w:val="24"/>
              </w:rPr>
              <w:t>%</w:t>
            </w:r>
          </w:p>
        </w:tc>
        <w:tc>
          <w:tcPr>
            <w:tcW w:w="3029" w:type="dxa"/>
            <w:shd w:val="clear" w:color="auto" w:fill="auto"/>
            <w:vAlign w:val="center"/>
          </w:tcPr>
          <w:p>
            <w:pPr>
              <w:jc w:val="center"/>
              <w:rPr>
                <w:rFonts w:asciiTheme="majorEastAsia" w:hAnsiTheme="majorEastAsia" w:eastAsiaTheme="majorEastAsia" w:cstheme="minorBidi"/>
                <w:color w:val="FF0000"/>
                <w:sz w:val="24"/>
                <w:u w:val="single"/>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themeColor="text1"/>
                <w:sz w:val="24"/>
              </w:rPr>
              <w:t>(1-</w:t>
            </w:r>
            <w:r>
              <w:rPr>
                <w:rFonts w:asciiTheme="majorEastAsia" w:hAnsiTheme="majorEastAsia" w:eastAsiaTheme="majorEastAsia" w:cstheme="minorBidi"/>
                <w:color w:val="000000" w:themeColor="text1"/>
                <w:sz w:val="24"/>
                <w:u w:val="single"/>
              </w:rPr>
              <w:t>2</w:t>
            </w:r>
            <w:r>
              <w:rPr>
                <w:rFonts w:hint="eastAsia" w:asciiTheme="majorEastAsia" w:hAnsiTheme="majorEastAsia" w:eastAsiaTheme="majorEastAsia" w:cstheme="minorBidi"/>
                <w:color w:val="000000" w:themeColor="text1"/>
                <w:sz w:val="24"/>
                <w:u w:val="single"/>
              </w:rPr>
              <w:t>%)</w:t>
            </w:r>
          </w:p>
          <w:p>
            <w:pPr>
              <w:jc w:val="center"/>
              <w:rPr>
                <w:rFonts w:asciiTheme="majorEastAsia" w:hAnsiTheme="majorEastAsia" w:eastAsiaTheme="majorEastAsia" w:cstheme="minorBidi"/>
                <w:b/>
                <w:color w:val="000000"/>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4</w:t>
            </w:r>
          </w:p>
        </w:tc>
        <w:tc>
          <w:tcPr>
            <w:tcW w:w="2775"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监狱企业</w:t>
            </w:r>
          </w:p>
        </w:tc>
        <w:tc>
          <w:tcPr>
            <w:tcW w:w="3495"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视同小型、微型企业</w:t>
            </w:r>
          </w:p>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对监狱企业产品价格扣除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tc>
        <w:tc>
          <w:tcPr>
            <w:tcW w:w="3029" w:type="dxa"/>
            <w:shd w:val="clear" w:color="auto" w:fill="auto"/>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sz w:val="24"/>
              </w:rPr>
              <w:t>监狱企业产品的价格</w:t>
            </w:r>
            <w:r>
              <w:rPr>
                <w:rFonts w:hint="eastAsia" w:asciiTheme="majorEastAsia" w:hAnsiTheme="majorEastAsia" w:eastAsiaTheme="majorEastAsia" w:cstheme="minorBidi"/>
                <w:color w:val="000000"/>
                <w:sz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pPr>
              <w:jc w:val="center"/>
              <w:rPr>
                <w:rFonts w:asciiTheme="majorEastAsia" w:hAnsiTheme="majorEastAsia" w:eastAsiaTheme="majorEastAsia" w:cstheme="minorBidi"/>
                <w:b/>
                <w:color w:val="000000"/>
                <w:sz w:val="24"/>
                <w:lang w:val="en-GB"/>
              </w:rPr>
            </w:pPr>
            <w:r>
              <w:rPr>
                <w:rFonts w:hint="eastAsia" w:asciiTheme="majorEastAsia" w:hAnsiTheme="majorEastAsia" w:eastAsiaTheme="majorEastAsia" w:cstheme="minorBidi"/>
                <w:b/>
                <w:color w:val="000000"/>
                <w:sz w:val="24"/>
                <w:lang w:val="en-GB"/>
              </w:rPr>
              <w:t>5</w:t>
            </w:r>
          </w:p>
        </w:tc>
        <w:tc>
          <w:tcPr>
            <w:tcW w:w="2775"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残疾人福利性单位</w:t>
            </w:r>
          </w:p>
        </w:tc>
        <w:tc>
          <w:tcPr>
            <w:tcW w:w="3495" w:type="dxa"/>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视同小型、微型企业</w:t>
            </w:r>
          </w:p>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对残疾人福利性单位产品价格扣除</w:t>
            </w:r>
            <w:r>
              <w:rPr>
                <w:rFonts w:asciiTheme="majorEastAsia" w:hAnsiTheme="majorEastAsia" w:eastAsiaTheme="majorEastAsia" w:cstheme="minorBidi"/>
                <w:sz w:val="24"/>
                <w:u w:val="single"/>
              </w:rPr>
              <w:t>6</w:t>
            </w:r>
            <w:r>
              <w:rPr>
                <w:rFonts w:hint="eastAsia" w:asciiTheme="majorEastAsia" w:hAnsiTheme="majorEastAsia" w:eastAsiaTheme="majorEastAsia" w:cstheme="minorBidi"/>
                <w:sz w:val="24"/>
              </w:rPr>
              <w:t>%</w:t>
            </w:r>
          </w:p>
        </w:tc>
        <w:tc>
          <w:tcPr>
            <w:tcW w:w="3029" w:type="dxa"/>
            <w:shd w:val="clear" w:color="auto" w:fill="auto"/>
            <w:vAlign w:val="center"/>
          </w:tcPr>
          <w:p>
            <w:pPr>
              <w:jc w:val="center"/>
              <w:rPr>
                <w:rFonts w:asciiTheme="majorEastAsia" w:hAnsiTheme="majorEastAsia" w:eastAsiaTheme="majorEastAsia" w:cstheme="minorBidi"/>
                <w:color w:val="000000"/>
                <w:sz w:val="24"/>
                <w:lang w:val="en-GB"/>
              </w:rPr>
            </w:pPr>
            <w:r>
              <w:rPr>
                <w:rFonts w:hint="eastAsia" w:asciiTheme="majorEastAsia" w:hAnsiTheme="majorEastAsia" w:eastAsiaTheme="majorEastAsia" w:cstheme="minorBidi"/>
                <w:color w:val="000000"/>
                <w:sz w:val="24"/>
                <w:lang w:val="en-GB"/>
              </w:rPr>
              <w:t>评标价格＝投标报价—</w:t>
            </w:r>
            <w:r>
              <w:rPr>
                <w:rFonts w:hint="eastAsia" w:asciiTheme="majorEastAsia" w:hAnsiTheme="majorEastAsia" w:eastAsiaTheme="majorEastAsia" w:cstheme="minorBidi"/>
                <w:color w:val="000000"/>
                <w:sz w:val="24"/>
              </w:rPr>
              <w:t>残疾人福利性单位产品的价格</w:t>
            </w:r>
            <w:r>
              <w:rPr>
                <w:rFonts w:hint="eastAsia" w:asciiTheme="majorEastAsia" w:hAnsiTheme="majorEastAsia" w:eastAsiaTheme="majorEastAsia" w:cstheme="minorBidi"/>
                <w:color w:val="000000"/>
                <w:sz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0020" w:type="dxa"/>
            <w:gridSpan w:val="4"/>
            <w:vAlign w:val="center"/>
          </w:tcPr>
          <w:p>
            <w:pPr>
              <w:widowControl/>
              <w:adjustRightInd w:val="0"/>
              <w:spacing w:line="360" w:lineRule="auto"/>
              <w:ind w:left="-2" w:leftChars="-1" w:firstLine="480" w:firstLineChars="200"/>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2、</w:t>
            </w:r>
            <w:r>
              <w:rPr>
                <w:rFonts w:cs="仿宋_GB2312" w:asciiTheme="majorEastAsia" w:hAnsiTheme="majorEastAsia" w:eastAsiaTheme="majorEastAsia"/>
                <w:sz w:val="24"/>
                <w:lang w:val="zh-CN"/>
              </w:rPr>
              <w:t>经评标委员会</w:t>
            </w:r>
            <w:r>
              <w:rPr>
                <w:rFonts w:hint="eastAsia" w:cs="仿宋_GB2312" w:asciiTheme="majorEastAsia" w:hAnsiTheme="majorEastAsia" w:eastAsiaTheme="majorEastAsia"/>
                <w:sz w:val="24"/>
                <w:lang w:val="zh-CN"/>
              </w:rPr>
              <w:t>审查、评价</w:t>
            </w:r>
            <w:r>
              <w:rPr>
                <w:rFonts w:cs="仿宋_GB2312" w:asciiTheme="majorEastAsia" w:hAnsiTheme="majorEastAsia" w:eastAsiaTheme="majorEastAsia"/>
                <w:sz w:val="24"/>
                <w:lang w:val="zh-CN"/>
              </w:rPr>
              <w:t>，</w:t>
            </w:r>
            <w:r>
              <w:rPr>
                <w:rFonts w:hint="eastAsia" w:cs="仿宋_GB2312" w:asciiTheme="majorEastAsia" w:hAnsiTheme="majorEastAsia" w:eastAsiaTheme="majorEastAsia"/>
                <w:sz w:val="24"/>
                <w:lang w:val="zh-CN"/>
              </w:rPr>
              <w:t>投标文件符合</w:t>
            </w:r>
            <w:r>
              <w:rPr>
                <w:rFonts w:cs="仿宋_GB2312" w:asciiTheme="majorEastAsia" w:hAnsiTheme="majorEastAsia" w:eastAsiaTheme="majorEastAsia"/>
                <w:sz w:val="24"/>
                <w:lang w:val="zh-CN"/>
              </w:rPr>
              <w:t>招标文件</w:t>
            </w:r>
            <w:r>
              <w:rPr>
                <w:rFonts w:hint="eastAsia" w:cs="仿宋_GB2312" w:asciiTheme="majorEastAsia" w:hAnsiTheme="majorEastAsia" w:eastAsiaTheme="majorEastAsia"/>
                <w:sz w:val="24"/>
                <w:lang w:val="zh-CN"/>
              </w:rPr>
              <w:t>实质性</w:t>
            </w:r>
            <w:r>
              <w:rPr>
                <w:rFonts w:cs="仿宋_GB2312" w:asciiTheme="majorEastAsia" w:hAnsiTheme="majorEastAsia" w:eastAsiaTheme="majorEastAsia"/>
                <w:sz w:val="24"/>
                <w:lang w:val="zh-CN"/>
              </w:rPr>
              <w:t>要求且</w:t>
            </w:r>
            <w:r>
              <w:rPr>
                <w:rFonts w:hint="eastAsia" w:cs="仿宋_GB2312" w:asciiTheme="majorEastAsia" w:hAnsiTheme="majorEastAsia" w:eastAsiaTheme="majorEastAsia"/>
                <w:sz w:val="24"/>
                <w:lang w:val="zh-CN"/>
              </w:rPr>
              <w:t>进行了政策性价格扣除后，</w:t>
            </w:r>
            <w:r>
              <w:rPr>
                <w:rFonts w:cs="仿宋_GB2312" w:asciiTheme="majorEastAsia" w:hAnsiTheme="majorEastAsia" w:eastAsiaTheme="majorEastAsia"/>
                <w:sz w:val="24"/>
                <w:lang w:val="zh-CN"/>
              </w:rPr>
              <w:t>以</w:t>
            </w:r>
            <w:r>
              <w:rPr>
                <w:rFonts w:hint="eastAsia" w:cs="仿宋_GB2312" w:asciiTheme="majorEastAsia" w:hAnsiTheme="majorEastAsia" w:eastAsiaTheme="majorEastAsia"/>
                <w:sz w:val="24"/>
                <w:lang w:val="zh-CN"/>
              </w:rPr>
              <w:t>评标价格的</w:t>
            </w:r>
            <w:r>
              <w:rPr>
                <w:rFonts w:cs="仿宋_GB2312" w:asciiTheme="majorEastAsia" w:hAnsiTheme="majorEastAsia" w:eastAsiaTheme="majorEastAsia"/>
                <w:sz w:val="24"/>
                <w:lang w:val="zh-CN"/>
              </w:rPr>
              <w:t>最低价者定为评标基准价，其价格分为满分。其他投标人的价格分统一按下列公式</w:t>
            </w:r>
            <w:r>
              <w:rPr>
                <w:rFonts w:hint="eastAsia" w:cs="仿宋_GB2312" w:asciiTheme="majorEastAsia" w:hAnsiTheme="majorEastAsia" w:eastAsiaTheme="majorEastAsia"/>
                <w:sz w:val="24"/>
                <w:lang w:val="zh-CN"/>
              </w:rPr>
              <w:t>计算</w:t>
            </w:r>
            <w:r>
              <w:rPr>
                <w:rFonts w:cs="仿宋_GB2312" w:asciiTheme="majorEastAsia" w:hAnsiTheme="majorEastAsia" w:eastAsiaTheme="majorEastAsia"/>
                <w:sz w:val="24"/>
                <w:lang w:val="zh-CN"/>
              </w:rPr>
              <w:t>。即：</w:t>
            </w:r>
          </w:p>
          <w:p>
            <w:pPr>
              <w:widowControl/>
              <w:adjustRightInd w:val="0"/>
              <w:spacing w:line="360" w:lineRule="auto"/>
              <w:ind w:left="-88" w:leftChars="-42" w:firstLine="513" w:firstLineChars="214"/>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评标基准价</w:t>
            </w:r>
            <w:r>
              <w:rPr>
                <w:rFonts w:hint="eastAsia" w:cs="仿宋_GB2312" w:asciiTheme="majorEastAsia" w:hAnsiTheme="majorEastAsia" w:eastAsiaTheme="majorEastAsia"/>
                <w:sz w:val="24"/>
                <w:lang w:val="zh-CN"/>
              </w:rPr>
              <w:t>=评标价格的最低价</w:t>
            </w:r>
          </w:p>
          <w:p>
            <w:pPr>
              <w:adjustRightInd w:val="0"/>
              <w:spacing w:line="360" w:lineRule="auto"/>
              <w:ind w:left="-88" w:leftChars="-42" w:firstLine="513" w:firstLineChars="214"/>
              <w:jc w:val="left"/>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其他投标报价得分</w:t>
            </w:r>
            <w:r>
              <w:rPr>
                <w:rFonts w:hint="eastAsia" w:cs="仿宋_GB2312" w:asciiTheme="majorEastAsia" w:hAnsiTheme="majorEastAsia" w:eastAsiaTheme="majorEastAsia"/>
                <w:sz w:val="24"/>
                <w:lang w:val="zh-CN"/>
              </w:rPr>
              <w:t>=（</w:t>
            </w:r>
            <w:r>
              <w:rPr>
                <w:rFonts w:cs="仿宋_GB2312" w:asciiTheme="majorEastAsia" w:hAnsiTheme="majorEastAsia" w:eastAsiaTheme="majorEastAsia"/>
                <w:sz w:val="24"/>
                <w:lang w:val="zh-CN"/>
              </w:rPr>
              <w:t>评标基准价</w:t>
            </w:r>
            <w:r>
              <w:rPr>
                <w:rFonts w:hint="eastAsia" w:cs="仿宋_GB2312" w:asciiTheme="majorEastAsia" w:hAnsiTheme="majorEastAsia" w:eastAsiaTheme="majorEastAsia"/>
                <w:sz w:val="24"/>
                <w:lang w:val="zh-CN"/>
              </w:rPr>
              <w:t>/评标价格）</w:t>
            </w:r>
            <w:r>
              <w:rPr>
                <w:rFonts w:cs="仿宋_GB2312" w:asciiTheme="majorEastAsia" w:hAnsiTheme="majorEastAsia" w:eastAsiaTheme="majorEastAsia"/>
                <w:sz w:val="24"/>
                <w:lang w:val="zh-CN"/>
              </w:rPr>
              <w:t>×</w:t>
            </w:r>
            <w:r>
              <w:rPr>
                <w:rFonts w:hint="eastAsia" w:cs="仿宋_GB2312" w:asciiTheme="majorEastAsia" w:hAnsiTheme="majorEastAsia" w:eastAsiaTheme="majorEastAsia"/>
                <w:sz w:val="24"/>
                <w:lang w:val="zh-CN"/>
              </w:rPr>
              <w:t>评标标准中价格分值</w:t>
            </w:r>
          </w:p>
        </w:tc>
      </w:tr>
    </w:tbl>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en-GB"/>
        </w:rPr>
      </w:pPr>
      <w:r>
        <w:rPr>
          <w:rFonts w:hint="eastAsia" w:cs="仿宋_GB2312" w:asciiTheme="majorEastAsia" w:hAnsiTheme="majorEastAsia" w:eastAsiaTheme="majorEastAsia"/>
          <w:sz w:val="24"/>
          <w:lang w:val="en-GB"/>
        </w:rPr>
        <w:t>备注：</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en-GB"/>
        </w:rPr>
      </w:pPr>
      <w:r>
        <w:rPr>
          <w:rFonts w:hint="eastAsia" w:cs="仿宋_GB2312" w:asciiTheme="majorEastAsia" w:hAnsiTheme="majorEastAsia" w:eastAsiaTheme="majorEastAsia"/>
          <w:sz w:val="24"/>
          <w:lang w:val="en-GB"/>
        </w:rPr>
        <w:t>a、不接受联合体投标的项目，本表中第2项、第3项情形不适用。</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en-GB"/>
        </w:rPr>
      </w:pPr>
      <w:r>
        <w:rPr>
          <w:rFonts w:hint="eastAsia" w:cs="仿宋_GB2312" w:asciiTheme="majorEastAsia" w:hAnsiTheme="majorEastAsia" w:eastAsiaTheme="majorEastAsia"/>
          <w:sz w:val="24"/>
          <w:lang w:val="en-GB"/>
        </w:rPr>
        <w:t>b、小型和微型企业产品包括货物及其提供的服务与工程。</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en-GB"/>
        </w:rPr>
      </w:pPr>
      <w:r>
        <w:rPr>
          <w:rFonts w:hint="eastAsia" w:cs="仿宋_GB2312" w:asciiTheme="majorEastAsia" w:hAnsiTheme="majorEastAsia" w:eastAsiaTheme="majorEastAsia"/>
          <w:sz w:val="24"/>
          <w:lang w:val="en-GB"/>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en-GB"/>
        </w:rPr>
      </w:pPr>
      <w:r>
        <w:rPr>
          <w:rFonts w:hint="eastAsia" w:cs="仿宋_GB2312" w:asciiTheme="majorEastAsia" w:hAnsiTheme="majorEastAsia" w:eastAsiaTheme="majorEastAsia"/>
          <w:sz w:val="24"/>
          <w:lang w:val="en-GB"/>
        </w:rPr>
        <w:t>d、残疾人福利性单位属于小型、微型企业的，不重复享受政策。</w:t>
      </w:r>
    </w:p>
    <w:p>
      <w:pPr>
        <w:spacing w:line="360" w:lineRule="auto"/>
        <w:ind w:firstLine="482"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b/>
          <w:sz w:val="24"/>
          <w:lang w:val="zh-CN"/>
        </w:rPr>
        <w:t>（7）</w:t>
      </w:r>
      <w:r>
        <w:rPr>
          <w:rFonts w:cs="仿宋_GB2312" w:asciiTheme="majorEastAsia" w:hAnsiTheme="majorEastAsia" w:eastAsiaTheme="majorEastAsia"/>
          <w:b/>
          <w:sz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1） </w:t>
      </w:r>
      <w:r>
        <w:rPr>
          <w:rFonts w:cs="仿宋_GB2312" w:asciiTheme="majorEastAsia" w:hAnsiTheme="majorEastAsia" w:eastAsiaTheme="majorEastAsia"/>
          <w:sz w:val="24"/>
          <w:lang w:val="zh-CN"/>
        </w:rPr>
        <w:t>分值汇总计算错误的；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2） </w:t>
      </w:r>
      <w:r>
        <w:rPr>
          <w:rFonts w:cs="仿宋_GB2312" w:asciiTheme="majorEastAsia" w:hAnsiTheme="majorEastAsia" w:eastAsiaTheme="majorEastAsia"/>
          <w:sz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3） </w:t>
      </w:r>
      <w:r>
        <w:rPr>
          <w:rFonts w:cs="仿宋_GB2312" w:asciiTheme="majorEastAsia" w:hAnsiTheme="majorEastAsia" w:eastAsiaTheme="majorEastAsia"/>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hint="eastAsia" w:cs="仿宋_GB2312" w:asciiTheme="majorEastAsia" w:hAnsiTheme="majorEastAsia" w:eastAsiaTheme="majorEastAsia"/>
          <w:sz w:val="24"/>
          <w:lang w:val="zh-CN"/>
        </w:rPr>
        <w:t xml:space="preserve">4） </w:t>
      </w:r>
      <w:r>
        <w:rPr>
          <w:rFonts w:cs="仿宋_GB2312" w:asciiTheme="majorEastAsia" w:hAnsiTheme="majorEastAsia" w:eastAsiaTheme="majorEastAsia"/>
          <w:sz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ajorEastAsia" w:hAnsiTheme="majorEastAsia" w:eastAsiaTheme="majorEastAsia"/>
          <w:b/>
          <w:sz w:val="24"/>
          <w:lang w:val="zh-CN"/>
        </w:rPr>
      </w:pPr>
      <w:r>
        <w:rPr>
          <w:rFonts w:hint="eastAsia" w:cs="仿宋_GB2312" w:asciiTheme="majorEastAsia" w:hAnsiTheme="majorEastAsia" w:eastAsiaTheme="majorEastAsia"/>
          <w:b/>
          <w:sz w:val="24"/>
          <w:lang w:val="zh-CN"/>
        </w:rPr>
        <w:t>（8）</w:t>
      </w:r>
      <w:r>
        <w:rPr>
          <w:rFonts w:cs="仿宋_GB2312" w:asciiTheme="majorEastAsia" w:hAnsiTheme="majorEastAsia" w:eastAsiaTheme="majorEastAsia"/>
          <w:b/>
          <w:sz w:val="24"/>
          <w:lang w:val="zh-CN"/>
        </w:rPr>
        <w:t>评标委员会</w:t>
      </w:r>
      <w:r>
        <w:rPr>
          <w:rFonts w:hint="eastAsia" w:cs="仿宋_GB2312" w:asciiTheme="majorEastAsia" w:hAnsiTheme="majorEastAsia" w:eastAsiaTheme="majorEastAsia"/>
          <w:b/>
          <w:sz w:val="24"/>
          <w:lang w:val="zh-CN"/>
        </w:rPr>
        <w:t>争议处理</w:t>
      </w:r>
    </w:p>
    <w:p>
      <w:pPr>
        <w:tabs>
          <w:tab w:val="left" w:pos="1260"/>
        </w:tabs>
        <w:autoSpaceDE w:val="0"/>
        <w:autoSpaceDN w:val="0"/>
        <w:spacing w:line="360" w:lineRule="auto"/>
        <w:ind w:firstLine="480" w:firstLineChars="200"/>
        <w:contextualSpacing/>
        <w:rPr>
          <w:rFonts w:cs="仿宋_GB2312" w:asciiTheme="majorEastAsia" w:hAnsiTheme="majorEastAsia" w:eastAsiaTheme="majorEastAsia"/>
          <w:sz w:val="24"/>
          <w:lang w:val="zh-CN"/>
        </w:rPr>
      </w:pPr>
      <w:r>
        <w:rPr>
          <w:rFonts w:cs="仿宋_GB2312" w:asciiTheme="majorEastAsia" w:hAnsiTheme="majorEastAsia" w:eastAsiaTheme="majorEastAsia"/>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宋体"/>
          <w:b/>
          <w:kern w:val="0"/>
          <w:sz w:val="32"/>
          <w:szCs w:val="32"/>
        </w:rPr>
      </w:pPr>
      <w:r>
        <w:rPr>
          <w:rFonts w:hint="eastAsia" w:cs="仿宋_GB2312" w:asciiTheme="majorEastAsia" w:hAnsiTheme="majorEastAsia" w:eastAsiaTheme="majorEastAsia"/>
          <w:b/>
          <w:sz w:val="24"/>
          <w:lang w:val="zh-CN"/>
        </w:rPr>
        <w:t>4、</w:t>
      </w:r>
      <w:r>
        <w:rPr>
          <w:rFonts w:cs="仿宋_GB2312" w:asciiTheme="majorEastAsia" w:hAnsiTheme="majorEastAsia" w:eastAsiaTheme="majorEastAsia"/>
          <w:b/>
          <w:sz w:val="24"/>
          <w:lang w:val="zh-CN"/>
        </w:rPr>
        <w:t>确定中标候选人名单，以及根据采购人委托直接确定中标人</w:t>
      </w:r>
      <w:r>
        <w:rPr>
          <w:rFonts w:hint="eastAsia" w:cs="仿宋_GB2312" w:asciiTheme="majorEastAsia" w:hAnsiTheme="majorEastAsia" w:eastAsiaTheme="majorEastAsia"/>
          <w:b/>
          <w:sz w:val="24"/>
          <w:lang w:val="zh-CN"/>
        </w:rPr>
        <w:t>。</w:t>
      </w:r>
      <w:bookmarkStart w:id="7" w:name="_Toc17078_WPSOffice_Level1"/>
    </w:p>
    <w:p>
      <w:pPr>
        <w:tabs>
          <w:tab w:val="left" w:pos="1260"/>
        </w:tabs>
        <w:autoSpaceDE w:val="0"/>
        <w:autoSpaceDN w:val="0"/>
        <w:adjustRightInd w:val="0"/>
        <w:spacing w:line="360" w:lineRule="auto"/>
        <w:ind w:firstLine="2249" w:firstLineChars="700"/>
        <w:contextualSpacing/>
        <w:rPr>
          <w:rFonts w:ascii="宋体" w:hAnsi="宋体" w:cs="宋体"/>
          <w:b/>
          <w:kern w:val="0"/>
          <w:sz w:val="32"/>
          <w:szCs w:val="32"/>
        </w:rPr>
      </w:pPr>
    </w:p>
    <w:p>
      <w:pPr>
        <w:tabs>
          <w:tab w:val="left" w:pos="1260"/>
        </w:tabs>
        <w:autoSpaceDE w:val="0"/>
        <w:autoSpaceDN w:val="0"/>
        <w:adjustRightInd w:val="0"/>
        <w:spacing w:line="360" w:lineRule="auto"/>
        <w:ind w:firstLine="2249" w:firstLineChars="700"/>
        <w:contextualSpacing/>
        <w:rPr>
          <w:rFonts w:ascii="宋体" w:hAnsi="宋体" w:cs="宋体"/>
          <w:b/>
          <w:kern w:val="0"/>
          <w:sz w:val="32"/>
          <w:szCs w:val="32"/>
        </w:rPr>
      </w:pPr>
      <w:r>
        <w:rPr>
          <w:rFonts w:hint="eastAsia" w:ascii="宋体" w:hAnsi="宋体" w:cs="宋体"/>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spacing w:line="360" w:lineRule="auto"/>
        <w:ind w:firstLine="420" w:firstLineChars="200"/>
        <w:rPr>
          <w:rFonts w:ascii="宋体" w:hAnsi="宋体" w:cs="宋体"/>
          <w:szCs w:val="21"/>
        </w:rPr>
      </w:pPr>
      <w:r>
        <w:rPr>
          <w:rFonts w:hint="eastAsia" w:ascii="宋体" w:hAnsi="宋体" w:cs="宋体"/>
          <w:szCs w:val="21"/>
        </w:rPr>
        <w:t>1. 定义</w:t>
      </w:r>
    </w:p>
    <w:p>
      <w:pPr>
        <w:spacing w:line="360" w:lineRule="auto"/>
        <w:ind w:firstLine="420" w:firstLineChars="200"/>
        <w:rPr>
          <w:rFonts w:ascii="宋体" w:hAnsi="宋体" w:cs="宋体"/>
          <w:szCs w:val="21"/>
        </w:rPr>
      </w:pPr>
      <w:r>
        <w:rPr>
          <w:rFonts w:hint="eastAsia" w:ascii="宋体" w:hAnsi="宋体" w:cs="宋体"/>
          <w:szCs w:val="21"/>
        </w:rPr>
        <w:t>1.1“合同”系指甲方和乙方 （简称合同双方）已达成的协议，即由双方签订的合同格式中的文件，包括所有的附件和组成合同部分的所有其他文件。</w:t>
      </w:r>
    </w:p>
    <w:p>
      <w:pPr>
        <w:spacing w:line="360" w:lineRule="auto"/>
        <w:ind w:firstLine="420" w:firstLineChars="200"/>
        <w:rPr>
          <w:rFonts w:ascii="宋体" w:hAnsi="宋体" w:cs="宋体"/>
          <w:szCs w:val="21"/>
        </w:rPr>
      </w:pPr>
      <w:r>
        <w:rPr>
          <w:rFonts w:hint="eastAsia" w:ascii="宋体" w:hAnsi="宋体" w:cs="宋体"/>
          <w:szCs w:val="21"/>
        </w:rPr>
        <w:t xml:space="preserve">1.2“合同价格”系指根据合同规定，在乙方全面正确地履行合同义务时应支付给乙方的款项。 </w:t>
      </w:r>
    </w:p>
    <w:p>
      <w:pPr>
        <w:spacing w:line="360" w:lineRule="auto"/>
        <w:ind w:firstLine="420" w:firstLineChars="200"/>
        <w:rPr>
          <w:rFonts w:ascii="宋体" w:hAnsi="宋体" w:cs="宋体"/>
          <w:szCs w:val="21"/>
        </w:rPr>
      </w:pPr>
      <w:r>
        <w:rPr>
          <w:rFonts w:hint="eastAsia" w:ascii="宋体" w:hAnsi="宋体" w:cs="宋体"/>
          <w:szCs w:val="21"/>
        </w:rPr>
        <w:t>1.3“甲方”系指通过招标方式，接受合同服务的采购人</w:t>
      </w:r>
    </w:p>
    <w:p>
      <w:pPr>
        <w:spacing w:line="360" w:lineRule="auto"/>
        <w:ind w:firstLine="420" w:firstLineChars="200"/>
        <w:rPr>
          <w:rFonts w:ascii="宋体" w:hAnsi="宋体" w:cs="宋体"/>
          <w:szCs w:val="21"/>
        </w:rPr>
      </w:pPr>
      <w:r>
        <w:rPr>
          <w:rFonts w:hint="eastAsia" w:ascii="宋体" w:hAnsi="宋体" w:cs="宋体"/>
          <w:szCs w:val="21"/>
        </w:rPr>
        <w:t>1.4“乙方”系指中标后提供合同服务的</w:t>
      </w:r>
      <w:r>
        <w:rPr>
          <w:rFonts w:hint="eastAsia" w:ascii="宋体" w:hAnsi="宋体" w:cs="宋体"/>
          <w:bCs/>
          <w:szCs w:val="21"/>
        </w:rPr>
        <w:t>中标方</w:t>
      </w:r>
      <w:r>
        <w:rPr>
          <w:rFonts w:hint="eastAsia" w:ascii="宋体" w:hAnsi="宋体" w:cs="宋体"/>
          <w:szCs w:val="21"/>
        </w:rPr>
        <w:t>或供应商。</w:t>
      </w:r>
    </w:p>
    <w:p>
      <w:pPr>
        <w:spacing w:line="360" w:lineRule="auto"/>
        <w:ind w:firstLine="420" w:firstLineChars="200"/>
        <w:rPr>
          <w:rFonts w:ascii="宋体" w:hAnsi="宋体" w:cs="宋体"/>
          <w:szCs w:val="21"/>
        </w:rPr>
      </w:pPr>
      <w:r>
        <w:rPr>
          <w:rFonts w:hint="eastAsia" w:ascii="宋体" w:hAnsi="宋体" w:cs="宋体"/>
          <w:szCs w:val="21"/>
        </w:rPr>
        <w:t>2.适用范围</w:t>
      </w:r>
    </w:p>
    <w:p>
      <w:pPr>
        <w:spacing w:line="360" w:lineRule="auto"/>
        <w:ind w:firstLine="420" w:firstLineChars="200"/>
        <w:rPr>
          <w:rFonts w:ascii="宋体" w:hAnsi="宋体" w:cs="宋体"/>
          <w:szCs w:val="21"/>
        </w:rPr>
      </w:pPr>
      <w:r>
        <w:rPr>
          <w:rFonts w:hint="eastAsia" w:ascii="宋体" w:hAnsi="宋体" w:cs="宋体"/>
          <w:szCs w:val="21"/>
        </w:rPr>
        <w:t>本合同条款仅适用于本次招标活动。</w:t>
      </w:r>
    </w:p>
    <w:p>
      <w:pPr>
        <w:spacing w:line="360" w:lineRule="auto"/>
        <w:ind w:firstLine="420" w:firstLineChars="200"/>
        <w:rPr>
          <w:rFonts w:ascii="宋体" w:hAnsi="宋体" w:cs="宋体"/>
          <w:szCs w:val="21"/>
        </w:rPr>
      </w:pPr>
      <w:r>
        <w:rPr>
          <w:rFonts w:hint="eastAsia" w:ascii="宋体" w:hAnsi="宋体" w:cs="宋体"/>
          <w:szCs w:val="21"/>
        </w:rPr>
        <w:t>3.技术规格和标准</w:t>
      </w:r>
    </w:p>
    <w:p>
      <w:pPr>
        <w:pStyle w:val="15"/>
        <w:spacing w:line="360" w:lineRule="auto"/>
        <w:ind w:firstLine="420"/>
        <w:rPr>
          <w:rFonts w:ascii="宋体" w:hAnsi="宋体" w:cs="宋体"/>
          <w:szCs w:val="21"/>
        </w:rPr>
      </w:pPr>
      <w:r>
        <w:rPr>
          <w:rFonts w:hint="eastAsia" w:ascii="宋体" w:hAnsi="宋体" w:cs="宋体"/>
          <w:szCs w:val="21"/>
        </w:rPr>
        <w:t>本合同项下所提供服务的技术规格标准应与本招标文件技术规格规定的标准相一致。</w:t>
      </w:r>
    </w:p>
    <w:p>
      <w:pPr>
        <w:spacing w:line="360" w:lineRule="auto"/>
        <w:ind w:firstLine="420" w:firstLineChars="200"/>
        <w:rPr>
          <w:rFonts w:ascii="宋体" w:hAnsi="宋体" w:cs="宋体"/>
          <w:szCs w:val="21"/>
        </w:rPr>
      </w:pPr>
      <w:r>
        <w:rPr>
          <w:rFonts w:hint="eastAsia" w:ascii="宋体" w:hAnsi="宋体" w:cs="宋体"/>
          <w:szCs w:val="21"/>
        </w:rPr>
        <w:t>4.合同期限</w:t>
      </w:r>
    </w:p>
    <w:p>
      <w:pPr>
        <w:spacing w:line="360" w:lineRule="auto"/>
        <w:ind w:firstLine="420" w:firstLineChars="200"/>
        <w:rPr>
          <w:rFonts w:ascii="宋体" w:hAnsi="宋体" w:cs="宋体"/>
          <w:szCs w:val="21"/>
        </w:rPr>
      </w:pPr>
      <w:r>
        <w:rPr>
          <w:rFonts w:hint="eastAsia" w:ascii="宋体" w:hAnsi="宋体" w:cs="宋体"/>
          <w:szCs w:val="21"/>
        </w:rPr>
        <w:t>即自</w:t>
      </w:r>
      <w:r>
        <w:rPr>
          <w:rFonts w:hint="eastAsia" w:ascii="宋体" w:hAnsi="宋体" w:cs="宋体"/>
          <w:szCs w:val="21"/>
        </w:rPr>
        <w:tab/>
      </w:r>
      <w:r>
        <w:rPr>
          <w:rFonts w:hint="eastAsia" w:ascii="宋体" w:hAnsi="宋体" w:cs="宋体"/>
          <w:szCs w:val="21"/>
        </w:rPr>
        <w:t>年</w:t>
      </w:r>
      <w:r>
        <w:rPr>
          <w:rFonts w:hint="eastAsia" w:ascii="宋体" w:hAnsi="宋体" w:cs="宋体"/>
          <w:szCs w:val="21"/>
        </w:rPr>
        <w:tab/>
      </w:r>
      <w:r>
        <w:rPr>
          <w:rFonts w:hint="eastAsia" w:ascii="宋体" w:hAnsi="宋体" w:cs="宋体"/>
          <w:szCs w:val="21"/>
        </w:rPr>
        <w:t>月</w:t>
      </w:r>
      <w:r>
        <w:rPr>
          <w:rFonts w:hint="eastAsia" w:ascii="宋体" w:hAnsi="宋体" w:cs="宋体"/>
          <w:szCs w:val="21"/>
        </w:rPr>
        <w:tab/>
      </w:r>
      <w:r>
        <w:rPr>
          <w:rFonts w:hint="eastAsia" w:ascii="宋体" w:hAnsi="宋体" w:cs="宋体"/>
          <w:szCs w:val="21"/>
        </w:rPr>
        <w:t>日起至</w:t>
      </w:r>
      <w:r>
        <w:rPr>
          <w:rFonts w:hint="eastAsia" w:ascii="宋体" w:hAnsi="宋体" w:cs="宋体"/>
          <w:szCs w:val="21"/>
        </w:rPr>
        <w:tab/>
      </w:r>
      <w:r>
        <w:rPr>
          <w:rFonts w:hint="eastAsia" w:ascii="宋体" w:hAnsi="宋体" w:cs="宋体"/>
          <w:szCs w:val="21"/>
        </w:rPr>
        <w:t>年</w:t>
      </w:r>
      <w:r>
        <w:rPr>
          <w:rFonts w:hint="eastAsia" w:ascii="宋体" w:hAnsi="宋体" w:cs="宋体"/>
          <w:szCs w:val="21"/>
        </w:rPr>
        <w:tab/>
      </w:r>
      <w:r>
        <w:rPr>
          <w:rFonts w:hint="eastAsia" w:ascii="宋体" w:hAnsi="宋体" w:cs="宋体"/>
          <w:szCs w:val="21"/>
        </w:rPr>
        <w:t>月</w:t>
      </w:r>
      <w:r>
        <w:rPr>
          <w:rFonts w:hint="eastAsia" w:ascii="宋体" w:hAnsi="宋体" w:cs="宋体"/>
          <w:szCs w:val="21"/>
        </w:rPr>
        <w:tab/>
      </w:r>
      <w:r>
        <w:rPr>
          <w:rFonts w:hint="eastAsia" w:ascii="宋体" w:hAnsi="宋体" w:cs="宋体"/>
          <w:szCs w:val="21"/>
        </w:rPr>
        <w:t>日止。</w:t>
      </w:r>
    </w:p>
    <w:p>
      <w:pPr>
        <w:spacing w:line="360" w:lineRule="auto"/>
        <w:ind w:firstLine="420" w:firstLineChars="200"/>
        <w:rPr>
          <w:rFonts w:ascii="宋体" w:hAnsi="宋体" w:cs="宋体"/>
          <w:szCs w:val="21"/>
        </w:rPr>
      </w:pPr>
      <w:r>
        <w:rPr>
          <w:rFonts w:hint="eastAsia" w:ascii="宋体" w:hAnsi="宋体" w:cs="宋体"/>
          <w:szCs w:val="21"/>
        </w:rPr>
        <w:t>5.价格</w:t>
      </w:r>
    </w:p>
    <w:p>
      <w:pPr>
        <w:spacing w:line="360" w:lineRule="auto"/>
        <w:ind w:firstLine="420" w:firstLineChars="200"/>
        <w:rPr>
          <w:rFonts w:ascii="宋体" w:hAnsi="宋体" w:cs="宋体"/>
          <w:szCs w:val="21"/>
        </w:rPr>
      </w:pPr>
      <w:r>
        <w:rPr>
          <w:rFonts w:hint="eastAsia" w:ascii="宋体" w:hAnsi="宋体" w:cs="宋体"/>
          <w:szCs w:val="21"/>
        </w:rPr>
        <w:t>除非合同中另有规定，乙方为其所提供货物设备和服务而要求甲方支付的金额应与其投标报价一致。</w:t>
      </w:r>
    </w:p>
    <w:p>
      <w:pPr>
        <w:spacing w:line="360" w:lineRule="auto"/>
        <w:ind w:firstLine="420" w:firstLineChars="200"/>
        <w:rPr>
          <w:rFonts w:ascii="宋体" w:hAnsi="宋体" w:cs="宋体"/>
          <w:szCs w:val="21"/>
        </w:rPr>
      </w:pPr>
      <w:r>
        <w:rPr>
          <w:rFonts w:hint="eastAsia" w:ascii="宋体" w:hAnsi="宋体" w:cs="宋体"/>
          <w:szCs w:val="21"/>
        </w:rPr>
        <w:t>6.索赔</w:t>
      </w:r>
    </w:p>
    <w:p>
      <w:pPr>
        <w:spacing w:line="360" w:lineRule="auto"/>
        <w:ind w:firstLine="420" w:firstLineChars="200"/>
        <w:rPr>
          <w:rFonts w:ascii="宋体" w:hAnsi="宋体" w:cs="宋体"/>
          <w:szCs w:val="21"/>
        </w:rPr>
      </w:pPr>
      <w:r>
        <w:rPr>
          <w:rFonts w:hint="eastAsia" w:ascii="宋体" w:hAnsi="宋体" w:cs="宋体"/>
          <w:szCs w:val="21"/>
        </w:rPr>
        <w:t>6.1乙方对所提供服务与合同要求不符负有责任，并且甲方已于合同规定的期限内提出索赔，乙方应按甲方同意的下述一种或多种方法解决索赔事宜。</w:t>
      </w:r>
    </w:p>
    <w:p>
      <w:pPr>
        <w:spacing w:line="360" w:lineRule="auto"/>
        <w:ind w:firstLine="420" w:firstLineChars="200"/>
        <w:rPr>
          <w:rFonts w:ascii="宋体" w:hAnsi="宋体" w:cs="宋体"/>
          <w:szCs w:val="21"/>
        </w:rPr>
      </w:pPr>
      <w:r>
        <w:rPr>
          <w:rFonts w:hint="eastAsia" w:ascii="宋体" w:hAnsi="宋体" w:cs="宋体"/>
          <w:szCs w:val="21"/>
        </w:rPr>
        <w:t>6.1.1乙方同意甲方取消其不符合要求的服务项目，退还已经收取的款项。</w:t>
      </w:r>
    </w:p>
    <w:p>
      <w:pPr>
        <w:spacing w:line="360" w:lineRule="auto"/>
        <w:ind w:firstLine="420" w:firstLineChars="200"/>
        <w:rPr>
          <w:rFonts w:ascii="宋体" w:hAnsi="宋体" w:cs="宋体"/>
          <w:szCs w:val="21"/>
        </w:rPr>
      </w:pPr>
      <w:r>
        <w:rPr>
          <w:rFonts w:hint="eastAsia" w:ascii="宋体" w:hAnsi="宋体" w:cs="宋体"/>
          <w:szCs w:val="21"/>
        </w:rPr>
        <w:t>6.1.2对于情节严重、造成甲方损失金额巨大的，同意甲方终止全部项目合同，并赔偿甲方因此造成的损失。</w:t>
      </w:r>
    </w:p>
    <w:p>
      <w:pPr>
        <w:spacing w:line="360" w:lineRule="auto"/>
        <w:ind w:firstLine="420" w:firstLineChars="200"/>
        <w:rPr>
          <w:rFonts w:ascii="宋体" w:hAnsi="宋体" w:cs="宋体"/>
          <w:szCs w:val="21"/>
        </w:rPr>
      </w:pPr>
      <w:r>
        <w:rPr>
          <w:rFonts w:hint="eastAsia" w:ascii="宋体" w:hAnsi="宋体" w:cs="宋体"/>
          <w:szCs w:val="21"/>
        </w:rPr>
        <w:t>6.2如果甲方提出索赔通知后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30天内或甲方同意的更长一些的时间内，按甲方同意的上述任何一种方式处理索赔事宜，甲方将乙方提供的履约担保中扣回索赔金额，同时保留进一步要求赔偿的权利。</w:t>
      </w:r>
    </w:p>
    <w:p>
      <w:pPr>
        <w:spacing w:line="360" w:lineRule="auto"/>
        <w:ind w:firstLine="420" w:firstLineChars="200"/>
        <w:rPr>
          <w:rFonts w:ascii="宋体" w:hAnsi="宋体" w:cs="宋体"/>
          <w:szCs w:val="21"/>
        </w:rPr>
      </w:pPr>
      <w:r>
        <w:rPr>
          <w:rFonts w:hint="eastAsia" w:ascii="宋体" w:hAnsi="宋体" w:cs="宋体"/>
          <w:szCs w:val="21"/>
        </w:rPr>
        <w:t>7.不可抗力</w:t>
      </w:r>
    </w:p>
    <w:p>
      <w:pPr>
        <w:spacing w:line="360" w:lineRule="auto"/>
        <w:ind w:firstLine="420" w:firstLineChars="200"/>
        <w:rPr>
          <w:rFonts w:ascii="宋体" w:hAnsi="宋体" w:cs="宋体"/>
          <w:szCs w:val="21"/>
        </w:rPr>
      </w:pPr>
      <w:r>
        <w:rPr>
          <w:rFonts w:hint="eastAsia" w:ascii="宋体" w:hAnsi="宋体" w:cs="宋体"/>
          <w:szCs w:val="21"/>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20" w:firstLineChars="200"/>
        <w:rPr>
          <w:rFonts w:ascii="宋体" w:hAnsi="宋体" w:cs="宋体"/>
          <w:szCs w:val="21"/>
        </w:rPr>
      </w:pPr>
      <w:r>
        <w:rPr>
          <w:rFonts w:hint="eastAsia" w:ascii="宋体" w:hAnsi="宋体" w:cs="宋体"/>
          <w:szCs w:val="21"/>
        </w:rPr>
        <w:t>7.2受损一方应在不可抗力事故发生后尽快用电报、传真或电传通知对方，并于事故发生后 14天内将有关部门出具的证明文件用特快专递或挂号信寄给对方审阅确认。</w:t>
      </w:r>
      <w:r>
        <w:rPr>
          <w:rFonts w:hint="eastAsia" w:ascii="宋体" w:hAnsi="宋体" w:cs="宋体"/>
          <w:szCs w:val="21"/>
          <w:u w:val="single"/>
        </w:rPr>
        <w:t>一旦不可抗力事故的影响持续 60天以上</w:t>
      </w:r>
      <w:r>
        <w:rPr>
          <w:rFonts w:hint="eastAsia" w:ascii="宋体" w:hAnsi="宋体" w:cs="宋体"/>
          <w:szCs w:val="21"/>
        </w:rPr>
        <w:t>，双方应通过友好协商，在合理的时间内达成进一步履行合同的协议。</w:t>
      </w:r>
    </w:p>
    <w:p>
      <w:pPr>
        <w:spacing w:line="360" w:lineRule="auto"/>
        <w:ind w:firstLine="420" w:firstLineChars="200"/>
        <w:rPr>
          <w:rFonts w:ascii="宋体" w:hAnsi="宋体" w:cs="宋体"/>
          <w:szCs w:val="21"/>
        </w:rPr>
      </w:pPr>
      <w:r>
        <w:rPr>
          <w:rFonts w:hint="eastAsia" w:ascii="宋体" w:hAnsi="宋体" w:cs="宋体"/>
          <w:szCs w:val="21"/>
        </w:rPr>
        <w:t>8.履约担保</w:t>
      </w:r>
    </w:p>
    <w:p>
      <w:pPr>
        <w:spacing w:line="360" w:lineRule="auto"/>
        <w:ind w:firstLine="420" w:firstLineChars="200"/>
        <w:rPr>
          <w:rFonts w:ascii="宋体" w:hAnsi="宋体" w:cs="宋体"/>
          <w:szCs w:val="21"/>
        </w:rPr>
      </w:pPr>
      <w:r>
        <w:rPr>
          <w:rFonts w:hint="eastAsia" w:ascii="宋体" w:hAnsi="宋体" w:cs="宋体"/>
          <w:szCs w:val="21"/>
        </w:rPr>
        <w:t>8.1履约担保的有效期至供货完毕且验收合格。</w:t>
      </w:r>
    </w:p>
    <w:p>
      <w:pPr>
        <w:spacing w:line="360" w:lineRule="auto"/>
        <w:ind w:firstLine="420" w:firstLineChars="200"/>
        <w:rPr>
          <w:rFonts w:ascii="宋体" w:hAnsi="宋体" w:cs="宋体"/>
          <w:szCs w:val="21"/>
        </w:rPr>
      </w:pPr>
      <w:r>
        <w:rPr>
          <w:rFonts w:hint="eastAsia" w:ascii="宋体" w:hAnsi="宋体" w:cs="宋体"/>
          <w:szCs w:val="21"/>
        </w:rPr>
        <w:t>8.2乙方提供的履约担保按规定格式以现金、转帐支票、电汇的形式提供，与此有关的费用由乙方负担。</w:t>
      </w:r>
    </w:p>
    <w:p>
      <w:pPr>
        <w:spacing w:line="360" w:lineRule="auto"/>
        <w:ind w:firstLine="420" w:firstLineChars="200"/>
        <w:rPr>
          <w:rFonts w:ascii="宋体" w:hAnsi="宋体" w:cs="宋体"/>
          <w:szCs w:val="21"/>
        </w:rPr>
      </w:pPr>
      <w:r>
        <w:rPr>
          <w:rFonts w:hint="eastAsia" w:ascii="宋体" w:hAnsi="宋体" w:cs="宋体"/>
          <w:szCs w:val="21"/>
        </w:rPr>
        <w:t>8.3如果乙方未能按合同规定履行其义务，甲方有权从履约担保取得补偿。</w:t>
      </w:r>
    </w:p>
    <w:p>
      <w:pPr>
        <w:spacing w:line="360" w:lineRule="auto"/>
        <w:ind w:firstLine="420" w:firstLineChars="200"/>
        <w:rPr>
          <w:rFonts w:ascii="宋体" w:hAnsi="宋体" w:cs="宋体"/>
          <w:szCs w:val="21"/>
        </w:rPr>
      </w:pPr>
      <w:r>
        <w:rPr>
          <w:rFonts w:hint="eastAsia" w:ascii="宋体" w:hAnsi="宋体" w:cs="宋体"/>
          <w:szCs w:val="21"/>
        </w:rPr>
        <w:t>9.争议的解决</w:t>
      </w:r>
    </w:p>
    <w:p>
      <w:pPr>
        <w:spacing w:line="360" w:lineRule="auto"/>
        <w:ind w:firstLine="420" w:firstLineChars="200"/>
        <w:rPr>
          <w:rFonts w:ascii="宋体" w:hAnsi="宋体" w:cs="宋体"/>
          <w:szCs w:val="21"/>
        </w:rPr>
      </w:pPr>
      <w:r>
        <w:rPr>
          <w:rFonts w:hint="eastAsia" w:ascii="宋体" w:hAnsi="宋体" w:cs="宋体"/>
          <w:szCs w:val="21"/>
        </w:rPr>
        <w:t>9.1在执行合同中发生的与本合同有关的争端，双方应通过友好协商解决，经协商在 60天内不能达成协议时，应提交仲裁。</w:t>
      </w:r>
    </w:p>
    <w:p>
      <w:pPr>
        <w:spacing w:line="360" w:lineRule="auto"/>
        <w:ind w:firstLine="420" w:firstLineChars="200"/>
        <w:rPr>
          <w:rFonts w:ascii="宋体" w:hAnsi="宋体" w:cs="宋体"/>
          <w:szCs w:val="21"/>
        </w:rPr>
      </w:pPr>
      <w:r>
        <w:rPr>
          <w:rFonts w:hint="eastAsia" w:ascii="宋体" w:hAnsi="宋体" w:cs="宋体"/>
          <w:szCs w:val="21"/>
        </w:rPr>
        <w:t>9.2合同双方均为国内法人的，其争端的仲裁应由合同发生地许昌市仲裁委员会根据其仲裁程序进行。</w:t>
      </w:r>
    </w:p>
    <w:p>
      <w:pPr>
        <w:spacing w:line="360" w:lineRule="auto"/>
        <w:ind w:firstLine="420" w:firstLineChars="200"/>
        <w:rPr>
          <w:rFonts w:ascii="宋体" w:hAnsi="宋体" w:cs="宋体"/>
          <w:szCs w:val="21"/>
        </w:rPr>
      </w:pPr>
      <w:r>
        <w:rPr>
          <w:rFonts w:hint="eastAsia" w:ascii="宋体" w:hAnsi="宋体" w:cs="宋体"/>
          <w:szCs w:val="21"/>
        </w:rPr>
        <w:t>9.3 仲裁裁决应为最终决定，并对双方具有约束力。</w:t>
      </w:r>
    </w:p>
    <w:p>
      <w:pPr>
        <w:spacing w:line="360" w:lineRule="auto"/>
        <w:ind w:firstLine="420" w:firstLineChars="200"/>
        <w:rPr>
          <w:rFonts w:ascii="宋体" w:hAnsi="宋体" w:cs="宋体"/>
          <w:szCs w:val="21"/>
        </w:rPr>
      </w:pPr>
      <w:r>
        <w:rPr>
          <w:rFonts w:hint="eastAsia" w:ascii="宋体" w:hAnsi="宋体" w:cs="宋体"/>
          <w:szCs w:val="21"/>
        </w:rPr>
        <w:t>9.4 除另有裁决外，仲裁费应由败诉方负担。</w:t>
      </w:r>
    </w:p>
    <w:p>
      <w:pPr>
        <w:spacing w:line="360" w:lineRule="auto"/>
        <w:ind w:firstLine="420" w:firstLineChars="200"/>
        <w:rPr>
          <w:rFonts w:ascii="宋体" w:hAnsi="宋体" w:cs="宋体"/>
          <w:szCs w:val="21"/>
        </w:rPr>
      </w:pPr>
      <w:r>
        <w:rPr>
          <w:rFonts w:hint="eastAsia" w:ascii="宋体" w:hAnsi="宋体" w:cs="宋体"/>
          <w:szCs w:val="21"/>
        </w:rPr>
        <w:t>9.5 在仲裁期间，除正在进行的仲裁部分外，合同其他部分继续执行。</w:t>
      </w:r>
    </w:p>
    <w:p>
      <w:pPr>
        <w:spacing w:line="360" w:lineRule="auto"/>
        <w:ind w:firstLine="420" w:firstLineChars="200"/>
        <w:rPr>
          <w:rFonts w:ascii="宋体" w:hAnsi="宋体" w:cs="宋体"/>
          <w:szCs w:val="21"/>
        </w:rPr>
      </w:pPr>
      <w:r>
        <w:rPr>
          <w:rFonts w:hint="eastAsia" w:ascii="宋体" w:hAnsi="宋体" w:cs="宋体"/>
          <w:szCs w:val="21"/>
        </w:rPr>
        <w:t>10.合同终止</w:t>
      </w:r>
    </w:p>
    <w:p>
      <w:pPr>
        <w:spacing w:line="360" w:lineRule="auto"/>
        <w:ind w:firstLine="420" w:firstLineChars="200"/>
        <w:rPr>
          <w:rFonts w:ascii="宋体" w:hAnsi="宋体" w:cs="宋体"/>
          <w:szCs w:val="21"/>
        </w:rPr>
      </w:pPr>
      <w:r>
        <w:rPr>
          <w:rFonts w:hint="eastAsia" w:ascii="宋体" w:hAnsi="宋体" w:cs="宋体"/>
          <w:szCs w:val="21"/>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20" w:firstLineChars="200"/>
        <w:rPr>
          <w:rFonts w:ascii="宋体" w:hAnsi="宋体" w:cs="宋体"/>
          <w:szCs w:val="21"/>
        </w:rPr>
      </w:pPr>
      <w:r>
        <w:rPr>
          <w:rFonts w:hint="eastAsia" w:ascii="宋体" w:hAnsi="宋体" w:cs="宋体"/>
          <w:szCs w:val="21"/>
        </w:rPr>
        <w:t>10.2 出现下列情况时合同自动终止：</w:t>
      </w:r>
    </w:p>
    <w:p>
      <w:pPr>
        <w:spacing w:line="360" w:lineRule="auto"/>
        <w:ind w:firstLine="420" w:firstLineChars="200"/>
        <w:rPr>
          <w:rFonts w:ascii="宋体" w:hAnsi="宋体" w:cs="宋体"/>
          <w:szCs w:val="21"/>
        </w:rPr>
      </w:pPr>
      <w:r>
        <w:rPr>
          <w:rFonts w:hint="eastAsia" w:ascii="宋体" w:hAnsi="宋体" w:cs="宋体"/>
          <w:szCs w:val="21"/>
        </w:rPr>
        <w:t>10.2.1发生不可抗力时。</w:t>
      </w:r>
    </w:p>
    <w:p>
      <w:pPr>
        <w:spacing w:line="360" w:lineRule="auto"/>
        <w:ind w:firstLine="420" w:firstLineChars="200"/>
        <w:rPr>
          <w:rFonts w:ascii="宋体" w:hAnsi="宋体" w:cs="宋体"/>
          <w:szCs w:val="21"/>
        </w:rPr>
      </w:pPr>
      <w:r>
        <w:rPr>
          <w:rFonts w:hint="eastAsia" w:ascii="宋体" w:hAnsi="宋体" w:cs="宋体"/>
          <w:szCs w:val="21"/>
        </w:rPr>
        <w:t>10.2.2一方不履行合同条款，造成另一方无法执行合同协议，协商又不能求得解决，合同终止，责任方赔偿损失。</w:t>
      </w:r>
    </w:p>
    <w:p>
      <w:pPr>
        <w:spacing w:line="360" w:lineRule="auto"/>
        <w:ind w:firstLine="420" w:firstLineChars="200"/>
        <w:rPr>
          <w:rFonts w:ascii="宋体" w:hAnsi="宋体" w:cs="宋体"/>
          <w:szCs w:val="21"/>
        </w:rPr>
      </w:pPr>
      <w:r>
        <w:rPr>
          <w:rFonts w:hint="eastAsia" w:ascii="宋体" w:hAnsi="宋体" w:cs="宋体"/>
          <w:szCs w:val="21"/>
        </w:rPr>
        <w:t>11.合同修改</w:t>
      </w:r>
    </w:p>
    <w:p>
      <w:pPr>
        <w:spacing w:line="360" w:lineRule="auto"/>
        <w:ind w:firstLine="420" w:firstLineChars="200"/>
        <w:rPr>
          <w:rFonts w:ascii="宋体" w:hAnsi="宋体" w:cs="宋体"/>
          <w:szCs w:val="21"/>
        </w:rPr>
      </w:pPr>
      <w:r>
        <w:rPr>
          <w:rFonts w:hint="eastAsia" w:ascii="宋体" w:hAnsi="宋体" w:cs="宋体"/>
          <w:szCs w:val="21"/>
        </w:rPr>
        <w:t>对于合同的未尽事宜，需进行修改、补充和完善的，甲乙双方必须就所修改的内容签订书面的合同修改书，作为合同的补充协议。</w:t>
      </w:r>
    </w:p>
    <w:p>
      <w:pPr>
        <w:spacing w:line="360" w:lineRule="auto"/>
        <w:ind w:firstLine="420" w:firstLineChars="200"/>
        <w:rPr>
          <w:rFonts w:ascii="宋体" w:hAnsi="宋体" w:cs="宋体"/>
          <w:szCs w:val="21"/>
        </w:rPr>
      </w:pPr>
      <w:r>
        <w:rPr>
          <w:rFonts w:hint="eastAsia" w:ascii="宋体" w:hAnsi="宋体" w:cs="宋体"/>
          <w:szCs w:val="21"/>
        </w:rPr>
        <w:t>12.适用法律</w:t>
      </w:r>
    </w:p>
    <w:p>
      <w:pPr>
        <w:spacing w:line="360" w:lineRule="auto"/>
        <w:ind w:firstLine="420" w:firstLineChars="200"/>
        <w:rPr>
          <w:rFonts w:ascii="宋体" w:hAnsi="宋体" w:cs="宋体"/>
          <w:szCs w:val="21"/>
        </w:rPr>
      </w:pPr>
      <w:r>
        <w:rPr>
          <w:rFonts w:hint="eastAsia" w:ascii="宋体" w:hAnsi="宋体" w:cs="宋体"/>
          <w:szCs w:val="21"/>
        </w:rPr>
        <w:t>本合同应按中华人民共和国的法律解释。</w:t>
      </w:r>
    </w:p>
    <w:p>
      <w:pPr>
        <w:spacing w:line="360" w:lineRule="auto"/>
        <w:ind w:firstLine="420" w:firstLineChars="200"/>
        <w:rPr>
          <w:rFonts w:ascii="宋体" w:hAnsi="宋体" w:cs="宋体"/>
          <w:szCs w:val="21"/>
        </w:rPr>
      </w:pPr>
      <w:r>
        <w:rPr>
          <w:rFonts w:hint="eastAsia" w:ascii="宋体" w:hAnsi="宋体" w:cs="宋体"/>
          <w:szCs w:val="21"/>
        </w:rPr>
        <w:t>13.主导语言与计量单位</w:t>
      </w:r>
    </w:p>
    <w:p>
      <w:pPr>
        <w:spacing w:line="360" w:lineRule="auto"/>
        <w:ind w:firstLine="420" w:firstLineChars="200"/>
        <w:rPr>
          <w:rFonts w:ascii="宋体" w:hAnsi="宋体" w:cs="宋体"/>
          <w:szCs w:val="21"/>
        </w:rPr>
      </w:pPr>
      <w:r>
        <w:rPr>
          <w:rFonts w:hint="eastAsia" w:ascii="宋体" w:hAnsi="宋体" w:cs="宋体"/>
          <w:szCs w:val="21"/>
        </w:rPr>
        <w:t>13.1 合同书写应用中文书写。合同五份，甲乙双方及采购代理机构和许昌市政府采购管理办公室及相关业务科室（备案）各执一份，具有同等法律效力。</w:t>
      </w:r>
    </w:p>
    <w:p>
      <w:pPr>
        <w:spacing w:line="360" w:lineRule="auto"/>
        <w:ind w:firstLine="420" w:firstLineChars="200"/>
        <w:rPr>
          <w:rFonts w:ascii="宋体" w:hAnsi="宋体" w:cs="宋体"/>
          <w:szCs w:val="21"/>
        </w:rPr>
      </w:pPr>
      <w:r>
        <w:rPr>
          <w:rFonts w:hint="eastAsia" w:ascii="宋体" w:hAnsi="宋体" w:cs="宋体"/>
          <w:szCs w:val="21"/>
        </w:rPr>
        <w:t>13.2 除技术规格另有规定外，计量单位均使用中华人民共和国法定计量单位。</w:t>
      </w:r>
    </w:p>
    <w:p>
      <w:pPr>
        <w:spacing w:line="360" w:lineRule="auto"/>
        <w:ind w:firstLine="420" w:firstLineChars="200"/>
        <w:rPr>
          <w:rFonts w:ascii="宋体" w:hAnsi="宋体" w:cs="宋体"/>
          <w:szCs w:val="21"/>
        </w:rPr>
      </w:pPr>
      <w:r>
        <w:rPr>
          <w:rFonts w:hint="eastAsia" w:ascii="宋体" w:hAnsi="宋体" w:cs="宋体"/>
          <w:szCs w:val="21"/>
        </w:rPr>
        <w:t>14.合同生效</w:t>
      </w:r>
    </w:p>
    <w:p>
      <w:pPr>
        <w:pStyle w:val="14"/>
        <w:spacing w:line="360" w:lineRule="auto"/>
        <w:ind w:firstLine="420" w:firstLineChars="200"/>
        <w:contextualSpacing/>
        <w:jc w:val="left"/>
        <w:rPr>
          <w:rFonts w:ascii="宋体" w:hAnsi="宋体" w:cs="宋体"/>
          <w:b/>
          <w:kern w:val="0"/>
          <w:szCs w:val="21"/>
        </w:rPr>
      </w:pPr>
      <w:r>
        <w:rPr>
          <w:rFonts w:hint="eastAsia" w:ascii="宋体" w:hAnsi="宋体" w:cs="宋体"/>
          <w:szCs w:val="21"/>
        </w:rPr>
        <w:t>除非合同中另有说明，本合同经双方签字盖章，并在招标人收到乙方的履约担保后，即开始生效。</w:t>
      </w:r>
    </w:p>
    <w:p>
      <w:pPr>
        <w:pStyle w:val="14"/>
        <w:spacing w:line="360" w:lineRule="auto"/>
        <w:contextualSpacing/>
        <w:jc w:val="center"/>
        <w:rPr>
          <w:rFonts w:ascii="宋体" w:hAnsi="宋体" w:cs="宋体"/>
          <w:b/>
          <w:kern w:val="0"/>
          <w:szCs w:val="21"/>
        </w:rPr>
      </w:pPr>
    </w:p>
    <w:p>
      <w:pPr>
        <w:wordWrap w:val="0"/>
        <w:topLinePunct/>
        <w:autoSpaceDE w:val="0"/>
        <w:autoSpaceDN w:val="0"/>
        <w:adjustRightInd w:val="0"/>
        <w:snapToGrid w:val="0"/>
        <w:spacing w:line="360" w:lineRule="auto"/>
        <w:jc w:val="center"/>
        <w:outlineLvl w:val="0"/>
        <w:rPr>
          <w:rFonts w:ascii="宋体" w:hAnsi="宋体" w:cs="宋体"/>
          <w:b/>
          <w:kern w:val="0"/>
          <w:szCs w:val="21"/>
          <w:lang w:val="zh-CN"/>
        </w:rPr>
      </w:pPr>
      <w:r>
        <w:rPr>
          <w:rFonts w:hint="eastAsia" w:ascii="宋体" w:hAnsi="宋体" w:cs="宋体"/>
          <w:b/>
          <w:kern w:val="0"/>
          <w:szCs w:val="21"/>
          <w:lang w:val="zh-CN"/>
        </w:rPr>
        <w:t>（二）合同特殊条款</w:t>
      </w:r>
    </w:p>
    <w:p>
      <w:pPr>
        <w:wordWrap w:val="0"/>
        <w:topLinePunct/>
        <w:autoSpaceDE w:val="0"/>
        <w:autoSpaceDN w:val="0"/>
        <w:adjustRightInd w:val="0"/>
        <w:snapToGrid w:val="0"/>
        <w:spacing w:line="360" w:lineRule="auto"/>
        <w:jc w:val="center"/>
        <w:rPr>
          <w:rFonts w:ascii="宋体" w:hAnsi="宋体" w:cs="宋体"/>
          <w:b/>
          <w:bCs/>
          <w:szCs w:val="21"/>
          <w:lang w:val="zh-CN"/>
        </w:rPr>
      </w:pP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hAnsi="宋体" w:cs="宋体"/>
          <w:szCs w:val="21"/>
          <w:lang w:val="zh-CN"/>
        </w:rPr>
      </w:pPr>
      <w:r>
        <w:rPr>
          <w:rFonts w:hint="eastAsia" w:ascii="宋体" w:hAnsi="宋体" w:cs="宋体"/>
          <w:szCs w:val="21"/>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outlineLvl w:val="0"/>
        <w:rPr>
          <w:rFonts w:ascii="宋体" w:hAnsi="宋体" w:cs="宋体"/>
          <w:b/>
          <w:kern w:val="0"/>
          <w:szCs w:val="21"/>
          <w:lang w:val="zh-CN"/>
        </w:rPr>
      </w:pPr>
    </w:p>
    <w:p>
      <w:pPr>
        <w:wordWrap w:val="0"/>
        <w:topLinePunct/>
        <w:autoSpaceDE w:val="0"/>
        <w:autoSpaceDN w:val="0"/>
        <w:adjustRightInd w:val="0"/>
        <w:snapToGrid w:val="0"/>
        <w:spacing w:line="360" w:lineRule="auto"/>
        <w:jc w:val="center"/>
        <w:outlineLvl w:val="0"/>
        <w:rPr>
          <w:rFonts w:ascii="宋体" w:hAnsi="宋体" w:cs="宋体"/>
          <w:b/>
          <w:kern w:val="0"/>
          <w:szCs w:val="21"/>
          <w:lang w:val="zh-CN"/>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bookmarkEnd w:id="7"/>
    </w:p>
    <w:p>
      <w:pPr>
        <w:autoSpaceDE w:val="0"/>
        <w:autoSpaceDN w:val="0"/>
        <w:adjustRightInd w:val="0"/>
        <w:spacing w:line="700" w:lineRule="exact"/>
        <w:jc w:val="center"/>
        <w:rPr>
          <w:rFonts w:cs="宋体" w:asciiTheme="majorEastAsia" w:hAnsiTheme="majorEastAsia" w:eastAsiaTheme="majorEastAsia"/>
          <w:b/>
          <w:kern w:val="0"/>
          <w:sz w:val="36"/>
          <w:szCs w:val="36"/>
        </w:rPr>
      </w:pPr>
      <w:bookmarkStart w:id="8" w:name="_Toc25640_WPSOffice_Level1"/>
      <w:bookmarkStart w:id="9" w:name="_Toc17257_WPSOffice_Level1"/>
      <w:r>
        <w:rPr>
          <w:rFonts w:hint="eastAsia" w:cs="宋体" w:asciiTheme="majorEastAsia" w:hAnsiTheme="majorEastAsia" w:eastAsiaTheme="majorEastAsia"/>
          <w:b/>
          <w:kern w:val="0"/>
          <w:sz w:val="36"/>
          <w:szCs w:val="36"/>
        </w:rPr>
        <w:t>（如涉及本项目的提供）</w:t>
      </w:r>
      <w:bookmarkEnd w:id="8"/>
      <w:bookmarkEnd w:id="9"/>
    </w:p>
    <w:p>
      <w:pPr>
        <w:pStyle w:val="97"/>
        <w:numPr>
          <w:ilvl w:val="0"/>
          <w:numId w:val="0"/>
        </w:numPr>
        <w:tabs>
          <w:tab w:val="left" w:pos="660"/>
        </w:tabs>
        <w:snapToGrid w:val="0"/>
        <w:spacing w:before="0" w:line="400" w:lineRule="exact"/>
        <w:rPr>
          <w:rFonts w:cs="黑体" w:asciiTheme="majorEastAsia" w:hAnsiTheme="majorEastAsia" w:eastAsiaTheme="majorEastAsia"/>
          <w:color w:val="auto"/>
          <w:kern w:val="2"/>
          <w:sz w:val="28"/>
          <w:szCs w:val="28"/>
          <w:lang w:val="zh-CN"/>
        </w:rPr>
      </w:pPr>
      <w:bookmarkStart w:id="10" w:name="_Toc184023138"/>
      <w:bookmarkStart w:id="11" w:name="_Toc174185203"/>
      <w:bookmarkStart w:id="12" w:name="_Toc186274126"/>
      <w:bookmarkStart w:id="13" w:name="_Toc19020_WPSOffice_Level1"/>
      <w:bookmarkStart w:id="14" w:name="_Toc27402_WPSOffice_Level1"/>
      <w:bookmarkStart w:id="15" w:name="_Toc12286_WPSOffice_Level1"/>
      <w:r>
        <w:rPr>
          <w:rFonts w:hint="eastAsia" w:cs="黑体" w:asciiTheme="majorEastAsia" w:hAnsiTheme="majorEastAsia" w:eastAsiaTheme="majorEastAsia"/>
          <w:color w:val="auto"/>
          <w:kern w:val="2"/>
          <w:sz w:val="28"/>
          <w:szCs w:val="28"/>
          <w:lang w:val="zh-CN"/>
        </w:rPr>
        <w:t>一、投标人应答索引表</w:t>
      </w:r>
      <w:bookmarkEnd w:id="10"/>
      <w:bookmarkEnd w:id="11"/>
      <w:bookmarkEnd w:id="12"/>
      <w:bookmarkEnd w:id="13"/>
      <w:bookmarkEnd w:id="14"/>
      <w:bookmarkEnd w:id="15"/>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序号</w:t>
            </w:r>
          </w:p>
        </w:tc>
        <w:tc>
          <w:tcPr>
            <w:tcW w:w="3751" w:type="dxa"/>
            <w:gridSpan w:val="4"/>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项  目</w:t>
            </w:r>
          </w:p>
        </w:tc>
        <w:tc>
          <w:tcPr>
            <w:tcW w:w="1559"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投标人应答</w:t>
            </w:r>
          </w:p>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（有/没有）</w:t>
            </w:r>
          </w:p>
        </w:tc>
        <w:tc>
          <w:tcPr>
            <w:tcW w:w="1560"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投标文件中所在页码</w:t>
            </w:r>
          </w:p>
        </w:tc>
        <w:tc>
          <w:tcPr>
            <w:tcW w:w="2018" w:type="dxa"/>
            <w:vAlign w:val="center"/>
          </w:tcPr>
          <w:p>
            <w:pPr>
              <w:snapToGrid w:val="0"/>
              <w:spacing w:line="400" w:lineRule="exact"/>
              <w:jc w:val="center"/>
              <w:rPr>
                <w:rFonts w:cs="微软雅黑" w:asciiTheme="majorEastAsia" w:hAnsiTheme="majorEastAsia" w:eastAsiaTheme="majorEastAsia"/>
                <w:b/>
                <w:szCs w:val="21"/>
              </w:rPr>
            </w:pPr>
            <w:r>
              <w:rPr>
                <w:rFonts w:hint="eastAsia" w:cs="微软雅黑" w:asciiTheme="majorEastAsia" w:hAnsiTheme="majorEastAsia" w:eastAsiaTheme="majorEastAsia"/>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kern w:val="0"/>
                <w:szCs w:val="21"/>
              </w:rPr>
              <w:t>投标人应答索引表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开标一览表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3</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kern w:val="0"/>
                <w:szCs w:val="21"/>
              </w:rPr>
              <w:t>投标函</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cstheme="majorEastAsia"/>
                <w:bCs/>
                <w:szCs w:val="21"/>
                <w:lang w:val="zh-CN"/>
              </w:rPr>
              <w:t>法定代表人（单位负责人）</w:t>
            </w:r>
            <w:r>
              <w:rPr>
                <w:rFonts w:asciiTheme="majorEastAsia" w:hAnsiTheme="majorEastAsia" w:eastAsiaTheme="majorEastAsia" w:cstheme="majorEastAsia"/>
                <w:bCs/>
                <w:szCs w:val="21"/>
                <w:lang w:val="zh-CN"/>
              </w:rPr>
              <w:t>资</w:t>
            </w:r>
            <w:r>
              <w:rPr>
                <w:rFonts w:hint="eastAsia" w:asciiTheme="majorEastAsia" w:hAnsiTheme="majorEastAsia" w:eastAsiaTheme="majorEastAsia" w:cstheme="majorEastAsia"/>
                <w:bCs/>
                <w:szCs w:val="21"/>
                <w:lang w:val="zh-CN"/>
              </w:rPr>
              <w:t>格</w:t>
            </w:r>
            <w:r>
              <w:rPr>
                <w:rFonts w:asciiTheme="majorEastAsia" w:hAnsiTheme="majorEastAsia" w:eastAsiaTheme="majorEastAsia" w:cstheme="majorEastAsia"/>
                <w:bCs/>
                <w:szCs w:val="21"/>
                <w:lang w:val="zh-CN"/>
              </w:rPr>
              <w:t>证</w:t>
            </w:r>
            <w:r>
              <w:rPr>
                <w:rFonts w:hint="eastAsia" w:asciiTheme="majorEastAsia" w:hAnsiTheme="majorEastAsia" w:eastAsiaTheme="majorEastAsia" w:cstheme="majorEastAsia"/>
                <w:bCs/>
                <w:szCs w:val="21"/>
                <w:lang w:val="zh-CN"/>
              </w:rPr>
              <w:t>明</w:t>
            </w:r>
            <w:r>
              <w:rPr>
                <w:rFonts w:asciiTheme="majorEastAsia" w:hAnsiTheme="majorEastAsia" w:eastAsiaTheme="majorEastAsia" w:cstheme="majorEastAsia"/>
                <w:bCs/>
                <w:szCs w:val="21"/>
                <w:lang w:val="zh-CN"/>
              </w:rPr>
              <w:t>书</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法定代表人（单位负责人）授权书</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kern w:val="0"/>
                <w:szCs w:val="21"/>
              </w:rPr>
              <w:t>营业执照等证明</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7</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kern w:val="0"/>
                <w:szCs w:val="21"/>
              </w:rPr>
            </w:pPr>
            <w:r>
              <w:rPr>
                <w:rFonts w:hint="eastAsia" w:asciiTheme="majorEastAsia" w:hAnsiTheme="majorEastAsia" w:eastAsiaTheme="majorEastAsia"/>
                <w:bCs/>
                <w:szCs w:val="21"/>
              </w:rPr>
              <w:t>依法纳税凭据复印件</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8</w:t>
            </w:r>
          </w:p>
        </w:tc>
        <w:tc>
          <w:tcPr>
            <w:tcW w:w="774" w:type="dxa"/>
            <w:vMerge w:val="restart"/>
            <w:tcBorders>
              <w:right w:val="single" w:color="auto" w:sz="4" w:space="0"/>
            </w:tcBorders>
            <w:vAlign w:val="center"/>
          </w:tcPr>
          <w:p>
            <w:pPr>
              <w:snapToGrid w:val="0"/>
              <w:spacing w:line="400" w:lineRule="exact"/>
              <w:jc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经审计财务报告</w:t>
            </w: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资产负债表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利润表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现金流量表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所有者权益变动表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ajorEastAsia" w:hAnsiTheme="majorEastAsia" w:eastAsiaTheme="majorEastAsia"/>
                <w:szCs w:val="21"/>
              </w:rPr>
            </w:pP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附注</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977" w:type="dxa"/>
            <w:gridSpan w:val="3"/>
            <w:tcBorders>
              <w:left w:val="single" w:color="auto" w:sz="4"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基本开户银行资信证明</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977" w:type="dxa"/>
            <w:gridSpan w:val="3"/>
            <w:tcBorders>
              <w:left w:val="single" w:color="auto" w:sz="4"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银行资信证明</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977" w:type="dxa"/>
            <w:gridSpan w:val="3"/>
            <w:tcBorders>
              <w:left w:val="single" w:color="auto" w:sz="4"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政府采购投标担保函</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9</w:t>
            </w:r>
          </w:p>
        </w:tc>
        <w:tc>
          <w:tcPr>
            <w:tcW w:w="3751" w:type="dxa"/>
            <w:gridSpan w:val="4"/>
            <w:vAlign w:val="center"/>
          </w:tcPr>
          <w:p>
            <w:pPr>
              <w:snapToGrid w:val="0"/>
              <w:spacing w:line="400" w:lineRule="exact"/>
              <w:rPr>
                <w:rFonts w:cs="微软雅黑" w:asciiTheme="majorEastAsia" w:hAnsiTheme="majorEastAsia" w:eastAsiaTheme="majorEastAsia"/>
                <w:szCs w:val="21"/>
              </w:rPr>
            </w:pPr>
            <w:r>
              <w:rPr>
                <w:rFonts w:hint="eastAsia" w:asciiTheme="majorEastAsia" w:hAnsiTheme="majorEastAsia" w:eastAsiaTheme="majorEastAsia"/>
                <w:bCs/>
                <w:szCs w:val="21"/>
              </w:rPr>
              <w:t>依法缴纳社会保险凭据复印件</w:t>
            </w:r>
          </w:p>
        </w:tc>
        <w:tc>
          <w:tcPr>
            <w:tcW w:w="1559" w:type="dxa"/>
            <w:vAlign w:val="center"/>
          </w:tcPr>
          <w:p>
            <w:pPr>
              <w:snapToGrid w:val="0"/>
              <w:spacing w:line="400" w:lineRule="exact"/>
              <w:jc w:val="center"/>
              <w:rPr>
                <w:rFonts w:cs="微软雅黑"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10</w:t>
            </w:r>
          </w:p>
        </w:tc>
        <w:tc>
          <w:tcPr>
            <w:tcW w:w="774" w:type="dxa"/>
            <w:vMerge w:val="restart"/>
            <w:tcBorders>
              <w:right w:val="single" w:color="auto" w:sz="6" w:space="0"/>
            </w:tcBorders>
            <w:vAlign w:val="center"/>
          </w:tcPr>
          <w:p>
            <w:pPr>
              <w:snapToGrid w:val="0"/>
              <w:spacing w:line="400" w:lineRule="exact"/>
              <w:jc w:val="center"/>
              <w:rPr>
                <w:rFonts w:cs="微软雅黑" w:asciiTheme="majorEastAsia" w:hAnsiTheme="majorEastAsia" w:eastAsiaTheme="majorEastAsia"/>
                <w:szCs w:val="21"/>
              </w:rPr>
            </w:pPr>
            <w:r>
              <w:rPr>
                <w:rFonts w:hint="eastAsia" w:cs="微软雅黑" w:asciiTheme="majorEastAsia" w:hAnsiTheme="majorEastAsia" w:eastAsiaTheme="majorEastAsia"/>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cs="微软雅黑" w:asciiTheme="majorEastAsia" w:hAnsiTheme="majorEastAsia" w:eastAsiaTheme="majorEastAsia"/>
                <w:szCs w:val="21"/>
              </w:rPr>
            </w:pPr>
            <w:r>
              <w:rPr>
                <w:rFonts w:hint="eastAsia" w:cs="微软雅黑" w:asciiTheme="majorEastAsia" w:hAnsiTheme="majorEastAsia" w:eastAsiaTheme="majorEastAsia"/>
                <w:szCs w:val="21"/>
              </w:rPr>
              <w:t>证明材料</w:t>
            </w:r>
          </w:p>
        </w:tc>
        <w:tc>
          <w:tcPr>
            <w:tcW w:w="2268" w:type="dxa"/>
            <w:tcBorders>
              <w:left w:val="single" w:color="auto" w:sz="6" w:space="0"/>
            </w:tcBorders>
            <w:vAlign w:val="center"/>
          </w:tcPr>
          <w:p>
            <w:pPr>
              <w:snapToGrid w:val="0"/>
              <w:spacing w:line="400" w:lineRule="exact"/>
              <w:rPr>
                <w:rFonts w:cs="微软雅黑" w:asciiTheme="majorEastAsia" w:hAnsiTheme="majorEastAsia" w:eastAsiaTheme="majorEastAsia"/>
                <w:szCs w:val="21"/>
              </w:rPr>
            </w:pPr>
            <w:r>
              <w:rPr>
                <w:rFonts w:hint="eastAsia" w:cs="微软雅黑" w:asciiTheme="majorEastAsia" w:hAnsiTheme="majorEastAsia" w:eastAsiaTheme="majorEastAsia"/>
                <w:szCs w:val="21"/>
              </w:rPr>
              <w:t>设备购置发票</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技术人员职称证书</w:t>
            </w:r>
          </w:p>
        </w:tc>
        <w:tc>
          <w:tcPr>
            <w:tcW w:w="1559" w:type="dxa"/>
            <w:vAlign w:val="center"/>
          </w:tcPr>
          <w:p>
            <w:pPr>
              <w:pStyle w:val="14"/>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用工合同</w:t>
            </w:r>
          </w:p>
        </w:tc>
        <w:tc>
          <w:tcPr>
            <w:tcW w:w="1559" w:type="dxa"/>
            <w:vAlign w:val="center"/>
          </w:tcPr>
          <w:p>
            <w:pPr>
              <w:pStyle w:val="14"/>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8"/>
              </w:numPr>
              <w:adjustRightInd w:val="0"/>
              <w:snapToGrid w:val="0"/>
              <w:spacing w:line="400" w:lineRule="exact"/>
              <w:jc w:val="center"/>
              <w:textAlignment w:val="baseline"/>
              <w:rPr>
                <w:rFonts w:cs="微软雅黑" w:asciiTheme="majorEastAsia" w:hAnsiTheme="majorEastAsia" w:eastAsiaTheme="majorEastAsia"/>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bCs/>
                <w:szCs w:val="21"/>
              </w:rPr>
              <w:t>投标人相关承诺函或声明</w:t>
            </w:r>
          </w:p>
        </w:tc>
        <w:tc>
          <w:tcPr>
            <w:tcW w:w="1559" w:type="dxa"/>
            <w:vAlign w:val="center"/>
          </w:tcPr>
          <w:p>
            <w:pPr>
              <w:pStyle w:val="14"/>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11</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kern w:val="0"/>
                <w:szCs w:val="21"/>
              </w:rPr>
              <w:t>没有重大违法记录的声明</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12</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kern w:val="0"/>
                <w:szCs w:val="21"/>
              </w:rPr>
            </w:pPr>
            <w:r>
              <w:rPr>
                <w:rFonts w:hint="eastAsia" w:cs="微软雅黑" w:asciiTheme="majorEastAsia" w:hAnsiTheme="majorEastAsia" w:eastAsiaTheme="majorEastAsia"/>
                <w:bCs/>
                <w:kern w:val="0"/>
                <w:szCs w:val="21"/>
              </w:rPr>
              <w:t>投标人须具备的特殊资质证书</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13</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cstheme="majorEastAsia"/>
                <w:bCs/>
                <w:szCs w:val="21"/>
                <w:lang w:val="zh-CN"/>
              </w:rPr>
              <w:t>投标承诺函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联合体协议</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投标人与参加本项目投标的其他供应商之间，单位负责人不为同一人并且不存在直接控股、管理关系承诺函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cs="仿宋_GB2312" w:asciiTheme="majorEastAsia" w:hAnsiTheme="majorEastAsia" w:eastAsiaTheme="majorEastAsia"/>
                <w:szCs w:val="21"/>
                <w:lang w:val="zh-CN"/>
              </w:rPr>
              <w:t>投标人未为本项目提供整体设计、规范编制或者项目管理、监理、检测等服务承诺函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投标分项报价表</w:t>
            </w:r>
          </w:p>
        </w:tc>
        <w:tc>
          <w:tcPr>
            <w:tcW w:w="1559" w:type="dxa"/>
            <w:tcBorders>
              <w:top w:val="double" w:color="auto" w:sz="4" w:space="0"/>
            </w:tcBorders>
            <w:vAlign w:val="center"/>
          </w:tcPr>
          <w:p>
            <w:pPr>
              <w:jc w:val="center"/>
              <w:rPr>
                <w:rFonts w:asciiTheme="majorEastAsia" w:hAnsiTheme="majorEastAsia" w:eastAsiaTheme="majorEastAsia"/>
                <w:szCs w:val="21"/>
              </w:rPr>
            </w:pPr>
          </w:p>
        </w:tc>
        <w:tc>
          <w:tcPr>
            <w:tcW w:w="1560" w:type="dxa"/>
            <w:tcBorders>
              <w:top w:val="double" w:color="auto" w:sz="4" w:space="0"/>
            </w:tcBorders>
            <w:vAlign w:val="center"/>
          </w:tcPr>
          <w:p>
            <w:pPr>
              <w:snapToGrid w:val="0"/>
              <w:spacing w:line="400" w:lineRule="exact"/>
              <w:rPr>
                <w:rFonts w:cs="微软雅黑" w:asciiTheme="majorEastAsia" w:hAnsiTheme="majorEastAsia" w:eastAsiaTheme="majorEastAsia"/>
                <w:szCs w:val="21"/>
              </w:rPr>
            </w:pPr>
          </w:p>
        </w:tc>
        <w:tc>
          <w:tcPr>
            <w:tcW w:w="2018" w:type="dxa"/>
            <w:tcBorders>
              <w:top w:val="double" w:color="auto" w:sz="4" w:space="0"/>
            </w:tcBorders>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18</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技术规格偏离表</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19</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技术方案（实施方案）</w:t>
            </w:r>
          </w:p>
        </w:tc>
        <w:tc>
          <w:tcPr>
            <w:tcW w:w="1559" w:type="dxa"/>
            <w:vAlign w:val="center"/>
          </w:tcPr>
          <w:p>
            <w:pPr>
              <w:jc w:val="center"/>
              <w:rPr>
                <w:rFonts w:asciiTheme="majorEastAsia" w:hAnsiTheme="majorEastAsia" w:eastAsiaTheme="majorEastAsia"/>
                <w:szCs w:val="21"/>
              </w:rPr>
            </w:pPr>
          </w:p>
        </w:tc>
        <w:tc>
          <w:tcPr>
            <w:tcW w:w="1560" w:type="dxa"/>
            <w:tcBorders>
              <w:top w:val="single" w:color="auto" w:sz="4" w:space="0"/>
            </w:tcBorders>
            <w:vAlign w:val="center"/>
          </w:tcPr>
          <w:p>
            <w:pPr>
              <w:snapToGrid w:val="0"/>
              <w:spacing w:line="400" w:lineRule="exact"/>
              <w:rPr>
                <w:rFonts w:cs="微软雅黑" w:asciiTheme="majorEastAsia" w:hAnsiTheme="majorEastAsia" w:eastAsiaTheme="majorEastAsia"/>
                <w:szCs w:val="21"/>
              </w:rPr>
            </w:pPr>
          </w:p>
        </w:tc>
        <w:tc>
          <w:tcPr>
            <w:tcW w:w="2018" w:type="dxa"/>
            <w:tcBorders>
              <w:top w:val="single" w:color="auto" w:sz="4" w:space="0"/>
            </w:tcBorders>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20</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售后服务方案</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21</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业绩情况表</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22</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中小企业声明函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23</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仿宋_GB2312" w:asciiTheme="majorEastAsia" w:hAnsiTheme="majorEastAsia" w:eastAsiaTheme="majorEastAsia"/>
                <w:szCs w:val="21"/>
                <w:lang w:val="zh-CN"/>
              </w:rPr>
              <w:t>残疾人福利性单位声明函</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24</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监狱企业证明文件</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asciiTheme="majorEastAsia" w:hAnsiTheme="majorEastAsia" w:eastAsiaTheme="majorEastAsia" w:cstheme="majorEastAsia"/>
                <w:bCs/>
                <w:szCs w:val="21"/>
                <w:lang w:val="zh-CN"/>
              </w:rPr>
              <w:t>所投产品符合国家强制性要求承诺函</w:t>
            </w:r>
          </w:p>
        </w:tc>
        <w:tc>
          <w:tcPr>
            <w:tcW w:w="1559" w:type="dxa"/>
            <w:vAlign w:val="center"/>
          </w:tcPr>
          <w:p>
            <w:pPr>
              <w:pStyle w:val="14"/>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ajorEastAsia" w:hAnsiTheme="majorEastAsia" w:eastAsiaTheme="majorEastAsia"/>
                <w:kern w:val="0"/>
                <w:szCs w:val="21"/>
              </w:rPr>
            </w:pPr>
            <w:r>
              <w:rPr>
                <w:rFonts w:cs="宋体" w:asciiTheme="majorEastAsia" w:hAnsiTheme="majorEastAsia" w:eastAsiaTheme="majorEastAsia"/>
                <w:kern w:val="0"/>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cs="宋体" w:asciiTheme="majorEastAsia" w:hAnsiTheme="majorEastAsia" w:eastAsiaTheme="majorEastAsia"/>
                <w:kern w:val="0"/>
                <w:szCs w:val="21"/>
              </w:rPr>
              <w:t>认证机构颁发的认证证书</w:t>
            </w:r>
          </w:p>
        </w:tc>
        <w:tc>
          <w:tcPr>
            <w:tcW w:w="1559" w:type="dxa"/>
            <w:vAlign w:val="center"/>
          </w:tcPr>
          <w:p>
            <w:pPr>
              <w:pStyle w:val="14"/>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Cs w:val="21"/>
                <w:lang w:val="zh-CN"/>
              </w:rPr>
            </w:pPr>
            <w:r>
              <w:rPr>
                <w:rFonts w:hint="eastAsia" w:cs="宋体" w:asciiTheme="majorEastAsia" w:hAnsiTheme="majorEastAsia" w:eastAsiaTheme="majorEastAsia"/>
                <w:kern w:val="0"/>
                <w:szCs w:val="21"/>
              </w:rPr>
              <w:t>中国信息安全认证中心官网产品查询结果截图</w:t>
            </w:r>
          </w:p>
        </w:tc>
        <w:tc>
          <w:tcPr>
            <w:tcW w:w="1559" w:type="dxa"/>
            <w:vAlign w:val="center"/>
          </w:tcPr>
          <w:p>
            <w:pPr>
              <w:pStyle w:val="14"/>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cs="微软雅黑" w:asciiTheme="majorEastAsia" w:hAnsiTheme="majorEastAsia" w:eastAsiaTheme="majorEastAsia"/>
                <w:szCs w:val="21"/>
              </w:rPr>
            </w:pPr>
            <w:r>
              <w:rPr>
                <w:rFonts w:hint="eastAsia" w:cs="微软雅黑" w:asciiTheme="majorEastAsia" w:hAnsiTheme="majorEastAsia" w:eastAsiaTheme="majorEastAsia"/>
                <w:szCs w:val="21"/>
              </w:rPr>
              <w:t>27</w:t>
            </w:r>
          </w:p>
        </w:tc>
        <w:tc>
          <w:tcPr>
            <w:tcW w:w="3751" w:type="dxa"/>
            <w:gridSpan w:val="4"/>
            <w:vAlign w:val="center"/>
          </w:tcPr>
          <w:p>
            <w:pPr>
              <w:pStyle w:val="14"/>
              <w:kinsoku w:val="0"/>
              <w:overflowPunct w:val="0"/>
              <w:autoSpaceDE w:val="0"/>
              <w:autoSpaceDN w:val="0"/>
              <w:spacing w:line="320" w:lineRule="exact"/>
              <w:rPr>
                <w:rFonts w:cs="微软雅黑" w:asciiTheme="majorEastAsia" w:hAnsiTheme="majorEastAsia" w:eastAsiaTheme="majorEastAsia"/>
                <w:bCs/>
                <w:kern w:val="0"/>
                <w:szCs w:val="21"/>
              </w:rPr>
            </w:pPr>
            <w:r>
              <w:rPr>
                <w:rFonts w:hint="eastAsia" w:cs="微软雅黑" w:asciiTheme="majorEastAsia" w:hAnsiTheme="majorEastAsia" w:eastAsiaTheme="majorEastAsia"/>
                <w:bCs/>
                <w:kern w:val="0"/>
                <w:szCs w:val="21"/>
              </w:rPr>
              <w:t>其它资料</w:t>
            </w:r>
          </w:p>
        </w:tc>
        <w:tc>
          <w:tcPr>
            <w:tcW w:w="1559" w:type="dxa"/>
            <w:vAlign w:val="center"/>
          </w:tcPr>
          <w:p>
            <w:pPr>
              <w:jc w:val="center"/>
              <w:rPr>
                <w:rFonts w:asciiTheme="majorEastAsia" w:hAnsiTheme="majorEastAsia" w:eastAsiaTheme="majorEastAsia"/>
                <w:szCs w:val="21"/>
              </w:rPr>
            </w:pPr>
          </w:p>
        </w:tc>
        <w:tc>
          <w:tcPr>
            <w:tcW w:w="1560" w:type="dxa"/>
            <w:vAlign w:val="center"/>
          </w:tcPr>
          <w:p>
            <w:pPr>
              <w:snapToGrid w:val="0"/>
              <w:spacing w:line="400" w:lineRule="exact"/>
              <w:rPr>
                <w:rFonts w:cs="微软雅黑" w:asciiTheme="majorEastAsia" w:hAnsiTheme="majorEastAsia" w:eastAsiaTheme="majorEastAsia"/>
                <w:szCs w:val="21"/>
              </w:rPr>
            </w:pPr>
          </w:p>
        </w:tc>
        <w:tc>
          <w:tcPr>
            <w:tcW w:w="2018" w:type="dxa"/>
            <w:vAlign w:val="center"/>
          </w:tcPr>
          <w:p>
            <w:pPr>
              <w:snapToGrid w:val="0"/>
              <w:spacing w:line="400" w:lineRule="exact"/>
              <w:rPr>
                <w:rFonts w:cs="微软雅黑" w:asciiTheme="majorEastAsia" w:hAnsiTheme="majorEastAsia" w:eastAsiaTheme="majorEastAsia"/>
                <w:szCs w:val="21"/>
              </w:rPr>
            </w:pPr>
          </w:p>
        </w:tc>
      </w:tr>
    </w:tbl>
    <w:p>
      <w:pPr>
        <w:tabs>
          <w:tab w:val="left" w:pos="1260"/>
          <w:tab w:val="left" w:pos="2025"/>
        </w:tabs>
        <w:autoSpaceDE w:val="0"/>
        <w:autoSpaceDN w:val="0"/>
        <w:spacing w:line="360" w:lineRule="auto"/>
        <w:contextualSpacing/>
        <w:rPr>
          <w:rFonts w:cs="仿宋" w:asciiTheme="majorEastAsia" w:hAnsiTheme="majorEastAsia" w:eastAsiaTheme="majorEastAsia"/>
          <w:b/>
          <w:kern w:val="0"/>
          <w:sz w:val="24"/>
          <w:szCs w:val="21"/>
        </w:rPr>
      </w:pPr>
    </w:p>
    <w:p>
      <w:pPr>
        <w:rPr>
          <w:b/>
          <w:bCs/>
          <w:lang w:val="zh-CN"/>
        </w:rPr>
      </w:pPr>
      <w:r>
        <w:rPr>
          <w:rFonts w:hint="eastAsia"/>
          <w:b/>
          <w:bCs/>
          <w:lang w:val="zh-CN"/>
        </w:rPr>
        <w:t>注：以上资料如招标文件无要求，可自行删减</w:t>
      </w: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14"/>
        <w:spacing w:line="360" w:lineRule="auto"/>
        <w:jc w:val="center"/>
        <w:rPr>
          <w:rFonts w:asciiTheme="majorEastAsia" w:hAnsiTheme="majorEastAsia" w:eastAsiaTheme="majorEastAsia"/>
          <w:b/>
          <w:snapToGrid w:val="0"/>
          <w:kern w:val="0"/>
          <w:sz w:val="28"/>
          <w:szCs w:val="28"/>
        </w:rPr>
      </w:pPr>
      <w:bookmarkStart w:id="16" w:name="_Toc20767_WPSOffice_Level1"/>
      <w:bookmarkStart w:id="17" w:name="_Toc566_WPSOffice_Level1"/>
      <w:bookmarkStart w:id="18" w:name="_Toc9445_WPSOffice_Level1"/>
      <w:r>
        <w:rPr>
          <w:rFonts w:hint="eastAsia" w:asciiTheme="majorEastAsia" w:hAnsiTheme="majorEastAsia" w:eastAsiaTheme="majorEastAsia"/>
          <w:b/>
          <w:snapToGrid w:val="0"/>
          <w:kern w:val="0"/>
          <w:sz w:val="28"/>
          <w:szCs w:val="28"/>
        </w:rPr>
        <w:t>二、开标一览表</w:t>
      </w:r>
      <w:bookmarkEnd w:id="16"/>
      <w:bookmarkEnd w:id="17"/>
      <w:bookmarkEnd w:id="18"/>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项目编号：</w:t>
      </w:r>
    </w:p>
    <w:p>
      <w:pPr>
        <w:spacing w:line="360" w:lineRule="auto"/>
        <w:contextualSpacing/>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项目名称：                                                      </w:t>
      </w:r>
      <w:r>
        <w:rPr>
          <w:rFonts w:hint="eastAsia" w:cs="Arial" w:asciiTheme="majorEastAsia" w:hAnsiTheme="majorEastAsia" w:eastAsiaTheme="majorEastAsia"/>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服务期</w:t>
            </w:r>
          </w:p>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ascii="宋体" w:hAnsi="宋体" w:cs="宋体"/>
                <w:b/>
                <w:szCs w:val="21"/>
                <w:lang w:val="zh-CN"/>
              </w:rPr>
              <w:t>（日历天）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ajorEastAsia" w:hAnsiTheme="majorEastAsia" w:eastAsiaTheme="majorEastAsia"/>
                <w:b/>
                <w:szCs w:val="21"/>
                <w:lang w:val="zh-CN"/>
              </w:rPr>
            </w:pPr>
            <w:r>
              <w:rPr>
                <w:rFonts w:hint="eastAsia" w:cs="宋体" w:asciiTheme="majorEastAsia" w:hAnsiTheme="majorEastAsia" w:eastAsiaTheme="maj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r>
              <w:rPr>
                <w:rFonts w:cs="Arial" w:asciiTheme="majorEastAsia" w:hAnsiTheme="majorEastAsia" w:eastAsiaTheme="maj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ajorEastAsia" w:hAnsiTheme="majorEastAsia" w:eastAsiaTheme="maj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ajorEastAsia" w:hAnsiTheme="majorEastAsia" w:eastAsiaTheme="majorEastAsia"/>
                <w:szCs w:val="21"/>
                <w:lang w:val="zh-CN"/>
              </w:rPr>
            </w:pPr>
          </w:p>
        </w:tc>
      </w:tr>
    </w:tbl>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投标人名称：</w:t>
      </w:r>
      <w:r>
        <w:rPr>
          <w:rFonts w:hint="eastAsia" w:cs="宋体" w:asciiTheme="majorEastAsia" w:hAnsiTheme="majorEastAsia" w:eastAsiaTheme="majorEastAsia"/>
          <w:szCs w:val="21"/>
          <w:u w:val="single"/>
          <w:lang w:val="zh-CN"/>
        </w:rPr>
        <w:t xml:space="preserve">     （全称）   </w:t>
      </w:r>
      <w:r>
        <w:rPr>
          <w:rFonts w:hint="eastAsia" w:cs="宋体" w:asciiTheme="majorEastAsia" w:hAnsiTheme="majorEastAsia" w:eastAsiaTheme="majorEastAsia"/>
          <w:szCs w:val="21"/>
          <w:lang w:val="zh-CN"/>
        </w:rPr>
        <w:t>（公章）：</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投标人法定代表人（单位负责人）或授权代表签字：</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日期：   年    月    日</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注：1、服务期指完成该项目的最终时间（日历天）。</w:t>
      </w:r>
    </w:p>
    <w:p>
      <w:pPr>
        <w:autoSpaceDE w:val="0"/>
        <w:autoSpaceDN w:val="0"/>
        <w:adjustRightInd w:val="0"/>
        <w:spacing w:line="48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2、如招标公告明确项目服务期以年为单位，本表应填写完成该项目的年限。</w:t>
      </w: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autoSpaceDE w:val="0"/>
        <w:autoSpaceDN w:val="0"/>
        <w:adjustRightInd w:val="0"/>
        <w:spacing w:line="360" w:lineRule="auto"/>
        <w:jc w:val="center"/>
        <w:rPr>
          <w:rFonts w:asciiTheme="majorEastAsia" w:hAnsiTheme="majorEastAsia" w:eastAsiaTheme="majorEastAsia"/>
          <w:b/>
          <w:snapToGrid w:val="0"/>
          <w:kern w:val="0"/>
        </w:rPr>
      </w:pPr>
      <w:bookmarkStart w:id="19" w:name="_Toc14378_WPSOffice_Level1"/>
      <w:bookmarkStart w:id="20" w:name="_Toc24654_WPSOffice_Level1"/>
      <w:bookmarkStart w:id="21" w:name="_Toc18267_WPSOffice_Level1"/>
      <w:r>
        <w:rPr>
          <w:rFonts w:hint="eastAsia" w:cs="黑体" w:asciiTheme="majorEastAsia" w:hAnsiTheme="majorEastAsia" w:eastAsiaTheme="majorEastAsia"/>
          <w:b/>
          <w:bCs/>
          <w:sz w:val="28"/>
          <w:szCs w:val="28"/>
          <w:lang w:val="zh-CN"/>
        </w:rPr>
        <w:t>三、资格审查证明材料</w:t>
      </w:r>
      <w:bookmarkEnd w:id="19"/>
      <w:bookmarkEnd w:id="20"/>
      <w:bookmarkEnd w:id="21"/>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ajorEastAsia" w:hAnsiTheme="majorEastAsia" w:eastAsiaTheme="majorEastAsia"/>
          <w:b/>
          <w:snapToGrid w:val="0"/>
          <w:kern w:val="0"/>
          <w:szCs w:val="21"/>
        </w:rPr>
      </w:pPr>
      <w:r>
        <w:rPr>
          <w:rFonts w:hint="eastAsia" w:asciiTheme="majorEastAsia" w:hAnsiTheme="majorEastAsia" w:eastAsiaTheme="majorEastAsia"/>
          <w:snapToGrid w:val="0"/>
          <w:kern w:val="0"/>
          <w:szCs w:val="21"/>
        </w:rPr>
        <w:t>致：</w:t>
      </w:r>
      <w:r>
        <w:rPr>
          <w:rFonts w:hint="eastAsia" w:asciiTheme="majorEastAsia" w:hAnsiTheme="majorEastAsia" w:eastAsiaTheme="majorEastAsia"/>
          <w:b/>
          <w:snapToGrid w:val="0"/>
          <w:kern w:val="0"/>
          <w:szCs w:val="21"/>
        </w:rPr>
        <w:t>（采购人）</w:t>
      </w:r>
    </w:p>
    <w:p>
      <w:pPr>
        <w:adjustRightInd w:val="0"/>
        <w:spacing w:line="360" w:lineRule="auto"/>
        <w:ind w:firstLine="420" w:firstLineChars="200"/>
        <w:contextualSpacing/>
        <w:outlineLvl w:val="0"/>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根据贵方_</w:t>
      </w:r>
      <w:r>
        <w:rPr>
          <w:rFonts w:hint="eastAsia" w:asciiTheme="majorEastAsia" w:hAnsiTheme="majorEastAsia" w:eastAsiaTheme="majorEastAsia"/>
          <w:snapToGrid w:val="0"/>
          <w:kern w:val="0"/>
          <w:szCs w:val="21"/>
          <w:u w:val="single"/>
        </w:rPr>
        <w:t xml:space="preserve">_    </w:t>
      </w:r>
      <w:r>
        <w:rPr>
          <w:rFonts w:hint="eastAsia" w:asciiTheme="majorEastAsia" w:hAnsiTheme="majorEastAsia" w:eastAsiaTheme="maj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我方确认收到贵方提供的（项目名称、招标编号）招标文件的全部内容。</w:t>
      </w:r>
    </w:p>
    <w:p>
      <w:pPr>
        <w:pStyle w:val="14"/>
        <w:adjustRightInd w:val="0"/>
        <w:spacing w:line="360" w:lineRule="auto"/>
        <w:ind w:firstLine="420" w:firstLineChars="200"/>
        <w:contextualSpacing/>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ajorEastAsia" w:hAnsiTheme="majorEastAsia" w:eastAsiaTheme="majorEastAsia"/>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ajorEastAsia" w:hAnsiTheme="majorEastAsia" w:eastAsiaTheme="majorEastAsia"/>
          <w:snapToGrid w:val="0"/>
          <w:kern w:val="0"/>
          <w:szCs w:val="21"/>
        </w:rPr>
      </w:pPr>
      <w:r>
        <w:rPr>
          <w:rFonts w:hint="eastAsia" w:asciiTheme="majorEastAsia" w:hAnsiTheme="majorEastAsia" w:eastAsiaTheme="majorEastAsia"/>
          <w:i/>
          <w:snapToGrid w:val="0"/>
          <w:kern w:val="0"/>
          <w:szCs w:val="21"/>
          <w:u w:val="single"/>
        </w:rPr>
        <w:t xml:space="preserve">(投标人名称)     </w:t>
      </w:r>
      <w:r>
        <w:rPr>
          <w:rFonts w:hint="eastAsia" w:asciiTheme="majorEastAsia" w:hAnsiTheme="majorEastAsia" w:eastAsiaTheme="majorEastAsia"/>
          <w:snapToGrid w:val="0"/>
          <w:kern w:val="0"/>
          <w:szCs w:val="21"/>
        </w:rPr>
        <w:t>作为投标人正式授权</w:t>
      </w:r>
      <w:r>
        <w:rPr>
          <w:rFonts w:hint="eastAsia" w:asciiTheme="majorEastAsia" w:hAnsiTheme="majorEastAsia" w:eastAsiaTheme="majorEastAsia"/>
          <w:i/>
          <w:snapToGrid w:val="0"/>
          <w:kern w:val="0"/>
          <w:szCs w:val="21"/>
          <w:u w:val="single"/>
        </w:rPr>
        <w:t xml:space="preserve">(授权代表全名, 职务)       </w:t>
      </w:r>
      <w:r>
        <w:rPr>
          <w:rFonts w:hint="eastAsia" w:asciiTheme="majorEastAsia" w:hAnsiTheme="majorEastAsia" w:eastAsiaTheme="majorEastAsia"/>
          <w:snapToGrid w:val="0"/>
          <w:kern w:val="0"/>
          <w:szCs w:val="21"/>
        </w:rPr>
        <w:t>代表我方全权处理有关本投标的一切事宜。</w:t>
      </w:r>
    </w:p>
    <w:p>
      <w:pPr>
        <w:adjustRightInd w:val="0"/>
        <w:spacing w:line="360" w:lineRule="auto"/>
        <w:ind w:firstLine="420" w:firstLineChars="200"/>
        <w:contextualSpacing/>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在此提交的投标文件，正本一份，副本</w:t>
      </w:r>
      <w:r>
        <w:rPr>
          <w:rFonts w:hint="eastAsia" w:asciiTheme="majorEastAsia" w:hAnsiTheme="majorEastAsia" w:eastAsiaTheme="majorEastAsia"/>
          <w:snapToGrid w:val="0"/>
          <w:kern w:val="0"/>
          <w:szCs w:val="21"/>
          <w:u w:val="single"/>
        </w:rPr>
        <w:t>一</w:t>
      </w:r>
      <w:r>
        <w:rPr>
          <w:rFonts w:hint="eastAsia" w:asciiTheme="majorEastAsia" w:hAnsiTheme="majorEastAsia" w:eastAsiaTheme="majorEastAsia"/>
          <w:snapToGrid w:val="0"/>
          <w:kern w:val="0"/>
          <w:szCs w:val="21"/>
        </w:rPr>
        <w:t>份。</w:t>
      </w:r>
    </w:p>
    <w:p>
      <w:pPr>
        <w:adjustRightInd w:val="0"/>
        <w:spacing w:line="360" w:lineRule="auto"/>
        <w:ind w:firstLine="420" w:firstLineChars="200"/>
        <w:contextualSpacing/>
        <w:rPr>
          <w:rFonts w:cs="Courier New" w:asciiTheme="majorEastAsia" w:hAnsiTheme="majorEastAsia" w:eastAsiaTheme="majorEastAsia"/>
          <w:szCs w:val="21"/>
        </w:rPr>
      </w:pPr>
      <w:r>
        <w:rPr>
          <w:rFonts w:hint="eastAsia" w:cs="Courier New" w:asciiTheme="majorEastAsia" w:hAnsiTheme="majorEastAsia" w:eastAsiaTheme="majorEastAsia"/>
          <w:szCs w:val="21"/>
        </w:rPr>
        <w:t>我方已完全明白招标文件的所有条款要求，并申明如下：</w:t>
      </w:r>
    </w:p>
    <w:p>
      <w:pPr>
        <w:adjustRightInd w:val="0"/>
        <w:spacing w:line="360" w:lineRule="auto"/>
        <w:ind w:firstLine="420" w:firstLineChars="200"/>
        <w:contextualSpacing/>
        <w:rPr>
          <w:rFonts w:cs="Courier New" w:asciiTheme="majorEastAsia" w:hAnsiTheme="majorEastAsia" w:eastAsiaTheme="majorEastAsia"/>
          <w:szCs w:val="21"/>
        </w:rPr>
      </w:pPr>
      <w:r>
        <w:rPr>
          <w:rFonts w:hint="eastAsia" w:cs="Courier New" w:asciiTheme="majorEastAsia" w:hAnsiTheme="majorEastAsia" w:eastAsiaTheme="maj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ajorEastAsia" w:hAnsiTheme="majorEastAsia" w:eastAsiaTheme="majorEastAsia"/>
          <w:szCs w:val="21"/>
        </w:rPr>
      </w:pPr>
      <w:r>
        <w:rPr>
          <w:rFonts w:hint="eastAsia" w:cs="Courier New" w:asciiTheme="majorEastAsia" w:hAnsiTheme="majorEastAsia" w:eastAsiaTheme="major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ajorEastAsia" w:hAnsiTheme="majorEastAsia" w:eastAsiaTheme="majorEastAsia"/>
          <w:sz w:val="21"/>
          <w:szCs w:val="21"/>
        </w:rPr>
      </w:pPr>
      <w:r>
        <w:rPr>
          <w:rFonts w:hint="eastAsia" w:cs="Courier New" w:asciiTheme="majorEastAsia" w:hAnsiTheme="majorEastAsia" w:eastAsiaTheme="majorEastAsia"/>
          <w:sz w:val="21"/>
          <w:szCs w:val="21"/>
        </w:rPr>
        <w:t>三、我方同意按照贵方可能提出的要求而提供与投标有关的任何其它数据、信息或资料。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ajorEastAsia" w:hAnsiTheme="majorEastAsia" w:eastAsiaTheme="majorEastAsia"/>
          <w:sz w:val="21"/>
          <w:szCs w:val="21"/>
        </w:rPr>
      </w:pPr>
      <w:r>
        <w:rPr>
          <w:rFonts w:hint="eastAsia" w:cs="Courier New" w:asciiTheme="majorEastAsia" w:hAnsiTheme="majorEastAsia" w:eastAsiaTheme="majorEastAsia"/>
          <w:sz w:val="21"/>
          <w:szCs w:val="21"/>
        </w:rPr>
        <w:t>四、我方理解贵方不一定接受最低投标价或任何贵方可能收到的投标。</w:t>
      </w:r>
    </w:p>
    <w:p>
      <w:pPr>
        <w:pStyle w:val="22"/>
        <w:adjustRightInd w:val="0"/>
        <w:spacing w:line="360" w:lineRule="auto"/>
        <w:ind w:firstLine="420" w:firstLineChars="200"/>
        <w:contextualSpacing/>
        <w:rPr>
          <w:rFonts w:cs="Courier New" w:asciiTheme="majorEastAsia" w:hAnsiTheme="majorEastAsia" w:eastAsiaTheme="majorEastAsia"/>
          <w:sz w:val="21"/>
          <w:szCs w:val="21"/>
        </w:rPr>
      </w:pPr>
      <w:r>
        <w:rPr>
          <w:rFonts w:hint="eastAsia" w:cs="Courier New" w:asciiTheme="majorEastAsia" w:hAnsiTheme="majorEastAsia" w:eastAsiaTheme="majorEastAsia"/>
          <w:sz w:val="21"/>
          <w:szCs w:val="21"/>
        </w:rPr>
        <w:t>五、我方如果中标，将保证履行招标文件及其澄清、修改文件（如果有）中的全部责任和义务，按质、按量、按期完成《项目需求》及《合同书》中的全部任务。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ajorEastAsia" w:hAnsiTheme="majorEastAsia" w:eastAsiaTheme="majorEastAsia"/>
          <w:sz w:val="21"/>
          <w:szCs w:val="21"/>
        </w:rPr>
      </w:pPr>
      <w:r>
        <w:rPr>
          <w:rFonts w:hint="eastAsia" w:cs="Courier New" w:asciiTheme="majorEastAsia" w:hAnsiTheme="majorEastAsia" w:eastAsiaTheme="majorEastAsia"/>
          <w:sz w:val="21"/>
          <w:szCs w:val="21"/>
        </w:rPr>
        <w:t>六、我方在此保证所提交的所有文件和全部说明是真实的和正确的。</w:t>
      </w:r>
    </w:p>
    <w:p>
      <w:pPr>
        <w:pStyle w:val="14"/>
        <w:adjustRightIn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 xml:space="preserve">七、我方投标报价已包含应向知识产权所有权人支付的所有相关税费，并保证采购人在中国使用我方提供的货物时，如有第三方提出侵犯其知识产权主张的，责任由我方承担。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八、我方具备《政府采购法》第二十二条规定的条件；承诺如下：</w:t>
      </w:r>
    </w:p>
    <w:p>
      <w:pPr>
        <w:pStyle w:val="14"/>
        <w:adjustRightInd w:val="0"/>
        <w:spacing w:line="360" w:lineRule="auto"/>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 xml:space="preserve">       1.具有独立承担民事责任能力的在中华人民共和国境内注册的法人或其他组织或自然人，有效的营业执照（或事业法人登记证或身份证等相关证明）。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4. 参加政府采购活动前三年内，在经营活动中没有重大违法记录。</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5. 符合法律、行政法规规定的其他条件。</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宋体" w:asciiTheme="majorEastAsia" w:hAnsiTheme="majorEastAsia" w:eastAsiaTheme="majorEastAsia"/>
          <w:szCs w:val="21"/>
        </w:rPr>
        <w:t>以上内容如有虚假或与事实不符的，评审委员会可将</w:t>
      </w:r>
      <w:r>
        <w:rPr>
          <w:rFonts w:hint="eastAsia" w:cs="Arial" w:asciiTheme="majorEastAsia" w:hAnsiTheme="majorEastAsia" w:eastAsiaTheme="majorEastAsia"/>
          <w:szCs w:val="21"/>
        </w:rPr>
        <w:t>我方做无效投标处理，我方愿意承担相应的法律责任。</w:t>
      </w:r>
    </w:p>
    <w:p>
      <w:pPr>
        <w:pStyle w:val="14"/>
        <w:adjustRightIn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zCs w:val="21"/>
        </w:rPr>
        <w:t>九、我方具备履行合同所必需的设备和专业技术能力。</w:t>
      </w:r>
    </w:p>
    <w:p>
      <w:pPr>
        <w:pStyle w:val="14"/>
        <w:adjustRightInd w:val="0"/>
        <w:spacing w:line="360" w:lineRule="auto"/>
        <w:ind w:firstLine="420" w:firstLineChars="200"/>
        <w:contextualSpacing/>
        <w:rPr>
          <w:rFonts w:asciiTheme="majorEastAsia" w:hAnsiTheme="majorEastAsia" w:eastAsiaTheme="majorEastAsia"/>
          <w:szCs w:val="21"/>
        </w:rPr>
      </w:pPr>
      <w:r>
        <w:rPr>
          <w:rFonts w:hint="eastAsia" w:asciiTheme="majorEastAsia" w:hAnsiTheme="majorEastAsia" w:eastAsiaTheme="majorEastAsia"/>
          <w:snapToGrid w:val="0"/>
          <w:kern w:val="0"/>
          <w:szCs w:val="21"/>
        </w:rPr>
        <w:t>十、</w:t>
      </w:r>
      <w:r>
        <w:rPr>
          <w:rFonts w:hint="eastAsia" w:asciiTheme="majorEastAsia" w:hAnsiTheme="majorEastAsia" w:eastAsiaTheme="majorEastAsia"/>
          <w:szCs w:val="21"/>
        </w:rPr>
        <w:t>我方对在本函及投标文件中所作的所有承诺承担法律责任。</w:t>
      </w:r>
    </w:p>
    <w:p>
      <w:pPr>
        <w:pStyle w:val="14"/>
        <w:adjustRightInd w:val="0"/>
        <w:snapToGrid w:val="0"/>
        <w:spacing w:line="360" w:lineRule="auto"/>
        <w:rPr>
          <w:rFonts w:asciiTheme="majorEastAsia" w:hAnsiTheme="majorEastAsia" w:eastAsiaTheme="majorEastAsia"/>
          <w:szCs w:val="21"/>
        </w:rPr>
      </w:pPr>
    </w:p>
    <w:p>
      <w:pPr>
        <w:pStyle w:val="14"/>
        <w:adjustRightInd w:val="0"/>
        <w:snapToGrid w:val="0"/>
        <w:spacing w:line="360" w:lineRule="auto"/>
        <w:rPr>
          <w:rFonts w:asciiTheme="majorEastAsia" w:hAnsiTheme="majorEastAsia" w:eastAsiaTheme="majorEastAsia"/>
          <w:szCs w:val="21"/>
        </w:rPr>
      </w:pPr>
    </w:p>
    <w:p>
      <w:pPr>
        <w:pStyle w:val="14"/>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所有与本招标有关的一切正式往来请寄：</w:t>
      </w: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地    址：  .  邮政编码：.</w:t>
      </w: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电    话：.  传    真：.</w:t>
      </w:r>
    </w:p>
    <w:p>
      <w:pPr>
        <w:adjustRightInd w:val="0"/>
        <w:snapToGrid w:val="0"/>
        <w:spacing w:line="360" w:lineRule="auto"/>
        <w:rPr>
          <w:rFonts w:cs="宋体" w:asciiTheme="majorEastAsia" w:hAnsiTheme="majorEastAsia" w:eastAsiaTheme="majorEastAsia"/>
          <w:szCs w:val="21"/>
          <w:u w:val="single"/>
        </w:rPr>
      </w:pPr>
      <w:r>
        <w:rPr>
          <w:rFonts w:hint="eastAsia" w:cs="宋体" w:asciiTheme="majorEastAsia" w:hAnsiTheme="majorEastAsia" w:eastAsiaTheme="majorEastAsia"/>
          <w:szCs w:val="21"/>
        </w:rPr>
        <w:t>投标人代表姓名：.  职    务：  .</w:t>
      </w:r>
    </w:p>
    <w:p>
      <w:pPr>
        <w:adjustRightInd w:val="0"/>
        <w:snapToGrid w:val="0"/>
        <w:spacing w:line="360" w:lineRule="auto"/>
        <w:rPr>
          <w:rFonts w:cs="宋体" w:asciiTheme="majorEastAsia" w:hAnsiTheme="majorEastAsia" w:eastAsiaTheme="majorEastAsia"/>
          <w:szCs w:val="21"/>
          <w:u w:val="single"/>
        </w:rPr>
      </w:pPr>
    </w:p>
    <w:p>
      <w:pPr>
        <w:adjustRightInd w:val="0"/>
        <w:snapToGrid w:val="0"/>
        <w:spacing w:line="360" w:lineRule="auto"/>
        <w:rPr>
          <w:rFonts w:cs="宋体" w:asciiTheme="majorEastAsia" w:hAnsiTheme="majorEastAsia" w:eastAsiaTheme="majorEastAsia"/>
          <w:szCs w:val="21"/>
          <w:u w:val="single"/>
        </w:rPr>
      </w:pP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投标人法定代表人（单位负责人）或法定代表人（单位负责人）授权代表签字：</w:t>
      </w:r>
    </w:p>
    <w:p>
      <w:pPr>
        <w:adjustRightInd w:val="0"/>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投标人名称（盖章）：</w:t>
      </w: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r>
        <w:rPr>
          <w:rFonts w:hint="eastAsia" w:cs="宋体" w:asciiTheme="majorEastAsia" w:hAnsiTheme="majorEastAsia" w:eastAsiaTheme="majorEastAsia"/>
          <w:szCs w:val="21"/>
        </w:rPr>
        <w:t>日期：    年    月    日</w:t>
      </w:r>
    </w:p>
    <w:p>
      <w:pPr>
        <w:adjustRightInd w:val="0"/>
        <w:snapToGrid w:val="0"/>
        <w:spacing w:line="360" w:lineRule="auto"/>
        <w:ind w:firstLine="4305" w:firstLineChars="2050"/>
        <w:rPr>
          <w:rFonts w:cs="宋体" w:asciiTheme="majorEastAsia" w:hAnsiTheme="majorEastAsia" w:eastAsiaTheme="majorEastAsia"/>
          <w:szCs w:val="21"/>
        </w:rPr>
      </w:pPr>
    </w:p>
    <w:p>
      <w:pPr>
        <w:adjustRightInd w:val="0"/>
        <w:snapToGrid w:val="0"/>
        <w:spacing w:line="360" w:lineRule="auto"/>
        <w:ind w:firstLine="4305" w:firstLineChars="2050"/>
        <w:rPr>
          <w:rFonts w:cs="宋体" w:asciiTheme="majorEastAsia" w:hAnsiTheme="majorEastAsia" w:eastAsiaTheme="majorEastAsia"/>
          <w:szCs w:val="21"/>
        </w:rPr>
      </w:pPr>
    </w:p>
    <w:p>
      <w:pPr>
        <w:spacing w:line="480" w:lineRule="exact"/>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3.2 法定代表人（单位负责人）</w:t>
      </w:r>
      <w:r>
        <w:rPr>
          <w:rFonts w:asciiTheme="majorEastAsia" w:hAnsiTheme="majorEastAsia" w:eastAsiaTheme="majorEastAsia"/>
          <w:b/>
          <w:bCs/>
          <w:color w:val="000000"/>
          <w:sz w:val="24"/>
        </w:rPr>
        <w:t>资</w:t>
      </w:r>
      <w:r>
        <w:rPr>
          <w:rFonts w:hint="eastAsia" w:asciiTheme="majorEastAsia" w:hAnsiTheme="majorEastAsia" w:eastAsiaTheme="majorEastAsia"/>
          <w:b/>
          <w:bCs/>
          <w:color w:val="000000"/>
          <w:sz w:val="24"/>
        </w:rPr>
        <w:t>格</w:t>
      </w:r>
      <w:r>
        <w:rPr>
          <w:rFonts w:asciiTheme="majorEastAsia" w:hAnsiTheme="majorEastAsia" w:eastAsiaTheme="majorEastAsia"/>
          <w:b/>
          <w:bCs/>
          <w:color w:val="000000"/>
          <w:sz w:val="24"/>
        </w:rPr>
        <w:t>证</w:t>
      </w:r>
      <w:r>
        <w:rPr>
          <w:rFonts w:hint="eastAsia" w:asciiTheme="majorEastAsia" w:hAnsiTheme="majorEastAsia" w:eastAsiaTheme="majorEastAsia"/>
          <w:b/>
          <w:bCs/>
          <w:color w:val="000000"/>
          <w:sz w:val="24"/>
        </w:rPr>
        <w:t>明</w:t>
      </w:r>
      <w:r>
        <w:rPr>
          <w:rFonts w:asciiTheme="majorEastAsia" w:hAnsiTheme="majorEastAsia" w:eastAsiaTheme="majorEastAsia"/>
          <w:b/>
          <w:bCs/>
          <w:color w:val="000000"/>
          <w:sz w:val="24"/>
        </w:rPr>
        <w:t>书</w:t>
      </w:r>
    </w:p>
    <w:p>
      <w:pPr>
        <w:autoSpaceDE w:val="0"/>
        <w:autoSpaceDN w:val="0"/>
        <w:adjustRightInd w:val="0"/>
        <w:spacing w:line="480" w:lineRule="auto"/>
        <w:ind w:firstLine="616" w:firstLineChars="257"/>
        <w:rPr>
          <w:rFonts w:asciiTheme="majorEastAsia" w:hAnsiTheme="majorEastAsia" w:eastAsiaTheme="majorEastAsia"/>
          <w:color w:val="000000"/>
          <w:sz w:val="24"/>
        </w:rPr>
      </w:pPr>
    </w:p>
    <w:p>
      <w:pPr>
        <w:pStyle w:val="93"/>
        <w:spacing w:line="480" w:lineRule="auto"/>
        <w:ind w:firstLine="472" w:firstLineChars="225"/>
        <w:jc w:val="left"/>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单</w:t>
      </w:r>
      <w:r>
        <w:rPr>
          <w:rFonts w:hint="eastAsia" w:asciiTheme="majorEastAsia" w:hAnsiTheme="majorEastAsia" w:eastAsiaTheme="majorEastAsia"/>
          <w:color w:val="000000"/>
          <w:sz w:val="21"/>
          <w:szCs w:val="21"/>
        </w:rPr>
        <w:t>位名</w:t>
      </w:r>
      <w:r>
        <w:rPr>
          <w:rFonts w:asciiTheme="majorEastAsia" w:hAnsiTheme="majorEastAsia" w:eastAsiaTheme="majorEastAsia"/>
          <w:color w:val="000000"/>
          <w:sz w:val="21"/>
          <w:szCs w:val="21"/>
        </w:rPr>
        <w:t>称</w:t>
      </w:r>
      <w:r>
        <w:rPr>
          <w:rFonts w:hint="eastAsia" w:asciiTheme="majorEastAsia" w:hAnsiTheme="majorEastAsia" w:eastAsiaTheme="majorEastAsia"/>
          <w:color w:val="000000"/>
          <w:sz w:val="21"/>
          <w:szCs w:val="21"/>
        </w:rPr>
        <w:t>：</w:t>
      </w:r>
    </w:p>
    <w:p>
      <w:pPr>
        <w:pStyle w:val="93"/>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地址：</w:t>
      </w:r>
    </w:p>
    <w:p>
      <w:pPr>
        <w:pStyle w:val="93"/>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姓名：       性</w:t>
      </w:r>
      <w:r>
        <w:rPr>
          <w:rFonts w:asciiTheme="majorEastAsia" w:hAnsiTheme="majorEastAsia" w:eastAsiaTheme="majorEastAsia"/>
          <w:color w:val="000000"/>
          <w:sz w:val="21"/>
          <w:szCs w:val="21"/>
        </w:rPr>
        <w:t>别</w:t>
      </w:r>
      <w:r>
        <w:rPr>
          <w:rFonts w:hint="eastAsia" w:asciiTheme="majorEastAsia" w:hAnsiTheme="majorEastAsia" w:eastAsiaTheme="majorEastAsia"/>
          <w:color w:val="000000"/>
          <w:sz w:val="21"/>
          <w:szCs w:val="21"/>
        </w:rPr>
        <w:t>：     年</w:t>
      </w:r>
      <w:r>
        <w:rPr>
          <w:rFonts w:asciiTheme="majorEastAsia" w:hAnsiTheme="majorEastAsia" w:eastAsiaTheme="majorEastAsia"/>
          <w:color w:val="000000"/>
          <w:sz w:val="21"/>
          <w:szCs w:val="21"/>
        </w:rPr>
        <w:t>龄</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 xml:space="preserve">     职务</w:t>
      </w:r>
      <w:r>
        <w:rPr>
          <w:rFonts w:hint="eastAsia" w:asciiTheme="majorEastAsia" w:hAnsiTheme="majorEastAsia" w:eastAsiaTheme="majorEastAsia"/>
          <w:color w:val="000000"/>
          <w:sz w:val="21"/>
          <w:szCs w:val="21"/>
        </w:rPr>
        <w:t xml:space="preserve">：        </w:t>
      </w:r>
    </w:p>
    <w:p>
      <w:pPr>
        <w:pStyle w:val="93"/>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本人系</w:t>
      </w:r>
      <w:r>
        <w:rPr>
          <w:rFonts w:hint="eastAsia" w:asciiTheme="majorEastAsia" w:hAnsiTheme="majorEastAsia" w:eastAsiaTheme="majorEastAsia"/>
          <w:i/>
          <w:snapToGrid w:val="0"/>
          <w:sz w:val="21"/>
          <w:szCs w:val="21"/>
          <w:u w:val="single"/>
        </w:rPr>
        <w:t>投</w:t>
      </w:r>
      <w:r>
        <w:rPr>
          <w:rFonts w:asciiTheme="majorEastAsia" w:hAnsiTheme="majorEastAsia" w:eastAsiaTheme="majorEastAsia"/>
          <w:i/>
          <w:snapToGrid w:val="0"/>
          <w:sz w:val="21"/>
          <w:szCs w:val="21"/>
          <w:u w:val="single"/>
        </w:rPr>
        <w:t>标</w:t>
      </w:r>
      <w:r>
        <w:rPr>
          <w:rFonts w:hint="eastAsia" w:asciiTheme="majorEastAsia" w:hAnsiTheme="majorEastAsia" w:eastAsiaTheme="majorEastAsia"/>
          <w:i/>
          <w:snapToGrid w:val="0"/>
          <w:sz w:val="21"/>
          <w:szCs w:val="21"/>
          <w:u w:val="single"/>
        </w:rPr>
        <w:t>人名</w:t>
      </w:r>
      <w:r>
        <w:rPr>
          <w:rFonts w:asciiTheme="majorEastAsia" w:hAnsiTheme="majorEastAsia" w:eastAsiaTheme="majorEastAsia"/>
          <w:i/>
          <w:snapToGrid w:val="0"/>
          <w:sz w:val="21"/>
          <w:szCs w:val="21"/>
          <w:u w:val="single"/>
        </w:rPr>
        <w:t>称</w:t>
      </w:r>
      <w:r>
        <w:rPr>
          <w:rFonts w:hint="eastAsia" w:asciiTheme="majorEastAsia" w:hAnsiTheme="majorEastAsia" w:eastAsiaTheme="majorEastAsia"/>
          <w:color w:val="000000"/>
          <w:sz w:val="21"/>
          <w:szCs w:val="21"/>
        </w:rPr>
        <w:t>的法定代表人（单位负责人）。就</w:t>
      </w:r>
      <w:r>
        <w:rPr>
          <w:rFonts w:asciiTheme="majorEastAsia" w:hAnsiTheme="majorEastAsia" w:eastAsiaTheme="majorEastAsia"/>
          <w:color w:val="000000"/>
          <w:sz w:val="21"/>
          <w:szCs w:val="21"/>
        </w:rPr>
        <w:t>参</w:t>
      </w:r>
      <w:r>
        <w:rPr>
          <w:rFonts w:hint="eastAsia" w:asciiTheme="majorEastAsia" w:hAnsiTheme="majorEastAsia" w:eastAsiaTheme="majorEastAsia"/>
          <w:color w:val="000000"/>
          <w:sz w:val="21"/>
          <w:szCs w:val="21"/>
        </w:rPr>
        <w:t>加贵方招</w:t>
      </w:r>
      <w:r>
        <w:rPr>
          <w:rFonts w:asciiTheme="majorEastAsia" w:hAnsiTheme="majorEastAsia" w:eastAsiaTheme="majorEastAsia"/>
          <w:color w:val="000000"/>
          <w:sz w:val="21"/>
          <w:szCs w:val="21"/>
        </w:rPr>
        <w:t>标编号为</w:t>
      </w:r>
      <w:r>
        <w:rPr>
          <w:rFonts w:asciiTheme="majorEastAsia" w:hAnsiTheme="majorEastAsia" w:eastAsiaTheme="majorEastAsia"/>
          <w:i/>
          <w:color w:val="000000"/>
          <w:sz w:val="21"/>
          <w:szCs w:val="21"/>
          <w:u w:val="single"/>
        </w:rPr>
        <w:t>项目编号</w:t>
      </w:r>
      <w:r>
        <w:rPr>
          <w:rFonts w:hint="eastAsia" w:asciiTheme="majorEastAsia" w:hAnsiTheme="majorEastAsia" w:eastAsiaTheme="majorEastAsia"/>
          <w:color w:val="000000"/>
          <w:sz w:val="21"/>
          <w:szCs w:val="21"/>
        </w:rPr>
        <w:t>的</w:t>
      </w:r>
      <w:r>
        <w:rPr>
          <w:rFonts w:asciiTheme="majorEastAsia" w:hAnsiTheme="majorEastAsia" w:eastAsiaTheme="majorEastAsia"/>
          <w:i/>
          <w:color w:val="000000"/>
          <w:sz w:val="21"/>
          <w:szCs w:val="21"/>
          <w:u w:val="single"/>
        </w:rPr>
        <w:t>项目</w:t>
      </w:r>
      <w:r>
        <w:rPr>
          <w:rFonts w:hint="eastAsia" w:asciiTheme="majorEastAsia" w:hAnsiTheme="majorEastAsia" w:eastAsiaTheme="majorEastAsia"/>
          <w:i/>
          <w:color w:val="000000"/>
          <w:sz w:val="21"/>
          <w:szCs w:val="21"/>
          <w:u w:val="single"/>
        </w:rPr>
        <w:t>名</w:t>
      </w:r>
      <w:r>
        <w:rPr>
          <w:rFonts w:asciiTheme="majorEastAsia" w:hAnsiTheme="majorEastAsia" w:eastAsiaTheme="majorEastAsia"/>
          <w:i/>
          <w:color w:val="000000"/>
          <w:sz w:val="21"/>
          <w:szCs w:val="21"/>
          <w:u w:val="single"/>
        </w:rPr>
        <w:t>称</w:t>
      </w:r>
      <w:r>
        <w:rPr>
          <w:rFonts w:hint="eastAsia" w:asciiTheme="majorEastAsia" w:hAnsiTheme="majorEastAsia" w:eastAsiaTheme="majorEastAsia"/>
          <w:color w:val="000000"/>
          <w:sz w:val="21"/>
          <w:szCs w:val="21"/>
        </w:rPr>
        <w:t>公</w:t>
      </w:r>
      <w:r>
        <w:rPr>
          <w:rFonts w:asciiTheme="majorEastAsia" w:hAnsiTheme="majorEastAsia" w:eastAsiaTheme="majorEastAsia"/>
          <w:color w:val="000000"/>
          <w:sz w:val="21"/>
          <w:szCs w:val="21"/>
        </w:rPr>
        <w:t>开</w:t>
      </w:r>
      <w:r>
        <w:rPr>
          <w:rFonts w:hint="eastAsia" w:asciiTheme="majorEastAsia" w:hAnsiTheme="majorEastAsia" w:eastAsiaTheme="majorEastAsia"/>
          <w:color w:val="000000"/>
          <w:sz w:val="21"/>
          <w:szCs w:val="21"/>
        </w:rPr>
        <w:t>招</w:t>
      </w:r>
      <w:r>
        <w:rPr>
          <w:rFonts w:asciiTheme="majorEastAsia" w:hAnsiTheme="majorEastAsia" w:eastAsiaTheme="majorEastAsia"/>
          <w:color w:val="000000"/>
          <w:sz w:val="21"/>
          <w:szCs w:val="21"/>
        </w:rPr>
        <w:t>标项目</w:t>
      </w:r>
      <w:r>
        <w:rPr>
          <w:rFonts w:hint="eastAsia" w:asciiTheme="majorEastAsia" w:hAnsiTheme="majorEastAsia" w:eastAsiaTheme="majorEastAsia"/>
          <w:color w:val="000000"/>
          <w:sz w:val="21"/>
          <w:szCs w:val="21"/>
        </w:rPr>
        <w:t>的投</w:t>
      </w:r>
      <w:r>
        <w:rPr>
          <w:rFonts w:asciiTheme="majorEastAsia" w:hAnsiTheme="majorEastAsia" w:eastAsiaTheme="majorEastAsia"/>
          <w:color w:val="000000"/>
          <w:sz w:val="21"/>
          <w:szCs w:val="21"/>
        </w:rPr>
        <w:t>标报价</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签</w:t>
      </w:r>
      <w:r>
        <w:rPr>
          <w:rFonts w:hint="eastAsia" w:asciiTheme="majorEastAsia" w:hAnsiTheme="majorEastAsia" w:eastAsiaTheme="majorEastAsia"/>
          <w:color w:val="000000"/>
          <w:sz w:val="21"/>
          <w:szCs w:val="21"/>
        </w:rPr>
        <w:t>署上</w:t>
      </w:r>
      <w:r>
        <w:rPr>
          <w:rFonts w:asciiTheme="majorEastAsia" w:hAnsiTheme="majorEastAsia" w:eastAsiaTheme="majorEastAsia"/>
          <w:color w:val="000000"/>
          <w:sz w:val="21"/>
          <w:szCs w:val="21"/>
        </w:rPr>
        <w:t>述项目</w:t>
      </w:r>
      <w:r>
        <w:rPr>
          <w:rFonts w:hint="eastAsia" w:asciiTheme="majorEastAsia" w:hAnsiTheme="majorEastAsia" w:eastAsiaTheme="majorEastAsia"/>
          <w:color w:val="000000"/>
          <w:sz w:val="21"/>
          <w:szCs w:val="21"/>
        </w:rPr>
        <w:t>的投</w:t>
      </w:r>
      <w:r>
        <w:rPr>
          <w:rFonts w:asciiTheme="majorEastAsia" w:hAnsiTheme="majorEastAsia" w:eastAsiaTheme="majorEastAsia"/>
          <w:color w:val="000000"/>
          <w:sz w:val="21"/>
          <w:szCs w:val="21"/>
        </w:rPr>
        <w:t>标</w:t>
      </w:r>
      <w:r>
        <w:rPr>
          <w:rFonts w:hint="eastAsia" w:asciiTheme="majorEastAsia" w:hAnsiTheme="majorEastAsia" w:eastAsiaTheme="majorEastAsia"/>
          <w:color w:val="000000"/>
          <w:sz w:val="21"/>
          <w:szCs w:val="21"/>
        </w:rPr>
        <w:t>文件及合同的</w:t>
      </w:r>
      <w:r>
        <w:rPr>
          <w:rFonts w:asciiTheme="majorEastAsia" w:hAnsiTheme="majorEastAsia" w:eastAsiaTheme="majorEastAsia"/>
          <w:color w:val="000000"/>
          <w:sz w:val="21"/>
          <w:szCs w:val="21"/>
        </w:rPr>
        <w:t>执</w:t>
      </w:r>
      <w:r>
        <w:rPr>
          <w:rFonts w:hint="eastAsia" w:asciiTheme="majorEastAsia" w:hAnsiTheme="majorEastAsia" w:eastAsiaTheme="majorEastAsia"/>
          <w:color w:val="000000"/>
          <w:sz w:val="21"/>
          <w:szCs w:val="21"/>
        </w:rPr>
        <w:t>行、完成、服</w:t>
      </w:r>
      <w:r>
        <w:rPr>
          <w:rFonts w:asciiTheme="majorEastAsia" w:hAnsiTheme="majorEastAsia" w:eastAsiaTheme="majorEastAsia"/>
          <w:color w:val="000000"/>
          <w:sz w:val="21"/>
          <w:szCs w:val="21"/>
        </w:rPr>
        <w:t>务</w:t>
      </w:r>
      <w:r>
        <w:rPr>
          <w:rFonts w:hint="eastAsia" w:asciiTheme="majorEastAsia" w:hAnsiTheme="majorEastAsia" w:eastAsiaTheme="majorEastAsia"/>
          <w:color w:val="000000"/>
          <w:sz w:val="21"/>
          <w:szCs w:val="21"/>
        </w:rPr>
        <w:t>和保修，</w:t>
      </w:r>
      <w:r>
        <w:rPr>
          <w:rFonts w:asciiTheme="majorEastAsia" w:hAnsiTheme="majorEastAsia" w:eastAsiaTheme="majorEastAsia"/>
          <w:color w:val="000000"/>
          <w:sz w:val="21"/>
          <w:szCs w:val="21"/>
        </w:rPr>
        <w:t>签</w:t>
      </w:r>
      <w:r>
        <w:rPr>
          <w:rFonts w:hint="eastAsia" w:asciiTheme="majorEastAsia" w:hAnsiTheme="majorEastAsia" w:eastAsiaTheme="majorEastAsia"/>
          <w:color w:val="000000"/>
          <w:sz w:val="21"/>
          <w:szCs w:val="21"/>
        </w:rPr>
        <w:t>署合同和</w:t>
      </w:r>
      <w:r>
        <w:rPr>
          <w:rFonts w:asciiTheme="majorEastAsia" w:hAnsiTheme="majorEastAsia" w:eastAsiaTheme="majorEastAsia"/>
          <w:color w:val="000000"/>
          <w:sz w:val="21"/>
          <w:szCs w:val="21"/>
        </w:rPr>
        <w:t>处</w:t>
      </w:r>
      <w:r>
        <w:rPr>
          <w:rFonts w:hint="eastAsia" w:asciiTheme="majorEastAsia" w:hAnsiTheme="majorEastAsia" w:eastAsiaTheme="majorEastAsia"/>
          <w:color w:val="000000"/>
          <w:sz w:val="21"/>
          <w:szCs w:val="21"/>
        </w:rPr>
        <w:t>理与之有</w:t>
      </w:r>
      <w:r>
        <w:rPr>
          <w:rFonts w:asciiTheme="majorEastAsia" w:hAnsiTheme="majorEastAsia" w:eastAsiaTheme="majorEastAsia"/>
          <w:color w:val="000000"/>
          <w:sz w:val="21"/>
          <w:szCs w:val="21"/>
        </w:rPr>
        <w:t>关的</w:t>
      </w:r>
      <w:r>
        <w:rPr>
          <w:rFonts w:hint="eastAsia" w:asciiTheme="majorEastAsia" w:hAnsiTheme="majorEastAsia" w:eastAsiaTheme="majorEastAsia"/>
          <w:color w:val="000000"/>
          <w:sz w:val="21"/>
          <w:szCs w:val="21"/>
        </w:rPr>
        <w:t>一切事</w:t>
      </w:r>
      <w:r>
        <w:rPr>
          <w:rFonts w:asciiTheme="majorEastAsia" w:hAnsiTheme="majorEastAsia" w:eastAsiaTheme="majorEastAsia"/>
          <w:color w:val="000000"/>
          <w:sz w:val="21"/>
          <w:szCs w:val="21"/>
        </w:rPr>
        <w:t>务</w:t>
      </w:r>
      <w:r>
        <w:rPr>
          <w:rFonts w:hint="eastAsia" w:asciiTheme="majorEastAsia" w:hAnsiTheme="majorEastAsia" w:eastAsiaTheme="majorEastAsia"/>
          <w:color w:val="000000"/>
          <w:sz w:val="21"/>
          <w:szCs w:val="21"/>
        </w:rPr>
        <w:t>。</w:t>
      </w:r>
    </w:p>
    <w:p>
      <w:pPr>
        <w:pStyle w:val="93"/>
        <w:spacing w:line="480" w:lineRule="auto"/>
        <w:ind w:firstLine="472" w:firstLineChars="225"/>
        <w:jc w:val="left"/>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特此</w:t>
      </w:r>
      <w:r>
        <w:rPr>
          <w:rFonts w:asciiTheme="majorEastAsia" w:hAnsiTheme="majorEastAsia" w:eastAsiaTheme="majorEastAsia"/>
          <w:color w:val="000000"/>
          <w:sz w:val="21"/>
          <w:szCs w:val="21"/>
        </w:rPr>
        <w:t>证</w:t>
      </w:r>
      <w:r>
        <w:rPr>
          <w:rFonts w:hint="eastAsia" w:asciiTheme="majorEastAsia" w:hAnsiTheme="majorEastAsia" w:eastAsiaTheme="majorEastAsia"/>
          <w:color w:val="000000"/>
          <w:sz w:val="21"/>
          <w:szCs w:val="21"/>
        </w:rPr>
        <w:t>明。</w:t>
      </w:r>
    </w:p>
    <w:p>
      <w:pPr>
        <w:pStyle w:val="93"/>
        <w:spacing w:line="480" w:lineRule="auto"/>
        <w:ind w:firstLine="472" w:firstLineChars="225"/>
        <w:jc w:val="left"/>
        <w:rPr>
          <w:rFonts w:asciiTheme="majorEastAsia" w:hAnsiTheme="majorEastAsia" w:eastAsiaTheme="majorEastAsia"/>
          <w:color w:val="000000"/>
          <w:sz w:val="21"/>
          <w:szCs w:val="21"/>
        </w:rPr>
      </w:pPr>
    </w:p>
    <w:p>
      <w:pPr>
        <w:pStyle w:val="93"/>
        <w:spacing w:line="480" w:lineRule="auto"/>
        <w:ind w:firstLine="472" w:firstLineChars="225"/>
        <w:jc w:val="left"/>
        <w:rPr>
          <w:rFonts w:asciiTheme="majorEastAsia" w:hAnsiTheme="majorEastAsia" w:eastAsiaTheme="majorEastAsia"/>
          <w:color w:val="000000"/>
          <w:sz w:val="21"/>
          <w:szCs w:val="21"/>
        </w:rPr>
      </w:pPr>
    </w:p>
    <w:p>
      <w:pPr>
        <w:pStyle w:val="93"/>
        <w:spacing w:line="480" w:lineRule="auto"/>
        <w:ind w:left="-538" w:leftChars="-256" w:firstLine="539" w:firstLineChars="257"/>
        <w:jc w:val="center"/>
        <w:rPr>
          <w:rFonts w:asciiTheme="majorEastAsia" w:hAnsiTheme="majorEastAsia" w:eastAsiaTheme="majorEastAsia"/>
          <w:bCs/>
          <w:color w:val="000000"/>
          <w:sz w:val="21"/>
          <w:szCs w:val="21"/>
        </w:rPr>
      </w:pPr>
      <w:r>
        <w:rPr>
          <w:rFonts w:hint="eastAsia" w:asciiTheme="majorEastAsia" w:hAnsiTheme="majorEastAsia" w:eastAsiaTheme="majorEastAsia"/>
          <w:bCs/>
          <w:color w:val="000000"/>
          <w:sz w:val="21"/>
          <w:szCs w:val="21"/>
        </w:rPr>
        <w:t>【此</w:t>
      </w:r>
      <w:r>
        <w:rPr>
          <w:rFonts w:asciiTheme="majorEastAsia" w:hAnsiTheme="majorEastAsia" w:eastAsiaTheme="majorEastAsia"/>
          <w:bCs/>
          <w:color w:val="000000"/>
          <w:sz w:val="21"/>
          <w:szCs w:val="21"/>
        </w:rPr>
        <w:t>处请</w:t>
      </w:r>
      <w:r>
        <w:rPr>
          <w:rFonts w:hint="eastAsia" w:asciiTheme="majorEastAsia" w:hAnsiTheme="majorEastAsia" w:eastAsiaTheme="majorEastAsia"/>
          <w:bCs/>
          <w:color w:val="000000"/>
          <w:sz w:val="21"/>
          <w:szCs w:val="21"/>
        </w:rPr>
        <w:t>粘</w:t>
      </w:r>
      <w:r>
        <w:rPr>
          <w:rFonts w:asciiTheme="majorEastAsia" w:hAnsiTheme="majorEastAsia" w:eastAsiaTheme="majorEastAsia"/>
          <w:bCs/>
          <w:color w:val="000000"/>
          <w:sz w:val="21"/>
          <w:szCs w:val="21"/>
        </w:rPr>
        <w:t>贴</w:t>
      </w:r>
      <w:r>
        <w:rPr>
          <w:rFonts w:hint="eastAsia" w:asciiTheme="majorEastAsia" w:hAnsiTheme="majorEastAsia" w:eastAsiaTheme="majorEastAsia"/>
          <w:bCs/>
          <w:color w:val="000000"/>
          <w:sz w:val="21"/>
          <w:szCs w:val="21"/>
        </w:rPr>
        <w:t>法定代表人（单位负责人）身份</w:t>
      </w:r>
      <w:r>
        <w:rPr>
          <w:rFonts w:asciiTheme="majorEastAsia" w:hAnsiTheme="majorEastAsia" w:eastAsiaTheme="majorEastAsia"/>
          <w:bCs/>
          <w:color w:val="000000"/>
          <w:sz w:val="21"/>
          <w:szCs w:val="21"/>
        </w:rPr>
        <w:t>证复</w:t>
      </w:r>
      <w:r>
        <w:rPr>
          <w:rFonts w:hint="eastAsia" w:asciiTheme="majorEastAsia" w:hAnsiTheme="majorEastAsia" w:eastAsiaTheme="majorEastAsia"/>
          <w:bCs/>
          <w:color w:val="000000"/>
          <w:sz w:val="21"/>
          <w:szCs w:val="21"/>
        </w:rPr>
        <w:t>印件，需清晰反映身份证有效期限】</w:t>
      </w:r>
    </w:p>
    <w:p>
      <w:pPr>
        <w:pStyle w:val="93"/>
        <w:spacing w:line="480" w:lineRule="auto"/>
        <w:ind w:left="-538" w:leftChars="-256" w:firstLine="539" w:firstLineChars="257"/>
        <w:jc w:val="center"/>
        <w:rPr>
          <w:rFonts w:asciiTheme="majorEastAsia" w:hAnsiTheme="majorEastAsia" w:eastAsiaTheme="majorEastAsia"/>
          <w:bCs/>
          <w:color w:val="000000"/>
          <w:sz w:val="21"/>
          <w:szCs w:val="21"/>
        </w:rPr>
      </w:pPr>
    </w:p>
    <w:p>
      <w:pPr>
        <w:autoSpaceDE w:val="0"/>
        <w:autoSpaceDN w:val="0"/>
        <w:adjustRightInd w:val="0"/>
        <w:spacing w:line="360" w:lineRule="auto"/>
        <w:ind w:right="-11"/>
        <w:rPr>
          <w:rFonts w:cs="宋体" w:asciiTheme="majorEastAsia" w:hAnsiTheme="majorEastAsia" w:eastAsiaTheme="majorEastAsia"/>
          <w:szCs w:val="21"/>
          <w:lang w:val="zh-CN"/>
        </w:rPr>
      </w:pPr>
    </w:p>
    <w:p>
      <w:pPr>
        <w:autoSpaceDE w:val="0"/>
        <w:autoSpaceDN w:val="0"/>
        <w:adjustRightInd w:val="0"/>
        <w:spacing w:line="360" w:lineRule="auto"/>
        <w:ind w:right="-11"/>
        <w:rPr>
          <w:rFonts w:cs="宋体" w:asciiTheme="majorEastAsia" w:hAnsiTheme="majorEastAsia" w:eastAsiaTheme="majorEastAsia"/>
          <w:szCs w:val="21"/>
          <w:lang w:val="zh-CN"/>
        </w:rPr>
      </w:pPr>
    </w:p>
    <w:p>
      <w:pPr>
        <w:autoSpaceDE w:val="0"/>
        <w:autoSpaceDN w:val="0"/>
        <w:adjustRightInd w:val="0"/>
        <w:spacing w:line="360" w:lineRule="auto"/>
        <w:ind w:right="-11"/>
        <w:rPr>
          <w:rFonts w:cs="宋体" w:asciiTheme="majorEastAsia" w:hAnsiTheme="majorEastAsia" w:eastAsiaTheme="majorEastAsia"/>
          <w:szCs w:val="21"/>
          <w:lang w:val="zh-CN"/>
        </w:rPr>
      </w:pPr>
    </w:p>
    <w:p>
      <w:pPr>
        <w:spacing w:line="480" w:lineRule="auto"/>
        <w:ind w:firstLine="3937" w:firstLineChars="1875"/>
        <w:rPr>
          <w:rFonts w:cs="Arial" w:asciiTheme="majorEastAsia" w:hAnsiTheme="majorEastAsia" w:eastAsiaTheme="majorEastAsia"/>
          <w:color w:val="000000"/>
          <w:szCs w:val="21"/>
          <w:u w:val="single"/>
        </w:rPr>
      </w:pPr>
      <w:r>
        <w:rPr>
          <w:rFonts w:hint="eastAsia" w:cs="Arial" w:asciiTheme="majorEastAsia" w:hAnsiTheme="majorEastAsia" w:eastAsiaTheme="majorEastAsia"/>
          <w:color w:val="000000"/>
          <w:szCs w:val="21"/>
        </w:rPr>
        <w:t>投标人名称（并加盖公章）：</w:t>
      </w:r>
    </w:p>
    <w:p>
      <w:pPr>
        <w:pStyle w:val="91"/>
        <w:spacing w:before="60" w:line="480" w:lineRule="auto"/>
        <w:ind w:firstLine="3937" w:firstLineChars="1875"/>
        <w:rPr>
          <w:rFonts w:cs="Arial" w:asciiTheme="majorEastAsia" w:hAnsiTheme="majorEastAsia" w:eastAsiaTheme="majorEastAsia"/>
          <w:color w:val="000000"/>
          <w:sz w:val="21"/>
          <w:szCs w:val="21"/>
        </w:rPr>
      </w:pPr>
      <w:r>
        <w:rPr>
          <w:rFonts w:hint="eastAsia" w:cs="Arial" w:asciiTheme="majorEastAsia" w:hAnsiTheme="majorEastAsia" w:eastAsiaTheme="majorEastAsia"/>
          <w:color w:val="000000"/>
          <w:sz w:val="21"/>
          <w:szCs w:val="21"/>
        </w:rPr>
        <w:t>签署日期：   年   月  日</w:t>
      </w:r>
    </w:p>
    <w:p>
      <w:pPr>
        <w:pStyle w:val="77"/>
        <w:spacing w:line="480" w:lineRule="auto"/>
        <w:rPr>
          <w:rFonts w:cs="Arial" w:asciiTheme="majorEastAsia" w:hAnsiTheme="majorEastAsia" w:eastAsiaTheme="majorEastAsia"/>
          <w:color w:val="000000"/>
          <w:sz w:val="21"/>
          <w:szCs w:val="21"/>
        </w:rPr>
      </w:pPr>
    </w:p>
    <w:p>
      <w:pPr>
        <w:rPr>
          <w:rFonts w:asciiTheme="majorEastAsia" w:hAnsiTheme="majorEastAsia" w:eastAsiaTheme="majorEastAsia"/>
          <w:szCs w:val="21"/>
        </w:rPr>
      </w:pPr>
    </w:p>
    <w:p>
      <w:pPr>
        <w:spacing w:line="320" w:lineRule="exact"/>
        <w:ind w:firstLine="420" w:firstLineChars="200"/>
        <w:rPr>
          <w:rFonts w:asciiTheme="majorEastAsia" w:hAnsiTheme="majorEastAsia" w:eastAsiaTheme="majorEastAsia"/>
          <w:b/>
          <w:bCs/>
          <w:color w:val="000000"/>
          <w:sz w:val="24"/>
        </w:rPr>
      </w:pPr>
      <w:r>
        <w:rPr>
          <w:rFonts w:hint="eastAsia" w:asciiTheme="majorEastAsia" w:hAnsiTheme="majorEastAsia" w:eastAsiaTheme="majorEastAsia"/>
          <w:bCs/>
          <w:color w:val="000000"/>
          <w:kern w:val="12"/>
          <w:szCs w:val="21"/>
        </w:rPr>
        <w:t>说明：法定代表人（单位负责人）</w:t>
      </w:r>
      <w:r>
        <w:rPr>
          <w:rFonts w:asciiTheme="majorEastAsia" w:hAnsiTheme="majorEastAsia" w:eastAsiaTheme="majorEastAsia"/>
          <w:bCs/>
          <w:color w:val="000000"/>
          <w:kern w:val="12"/>
          <w:szCs w:val="21"/>
        </w:rPr>
        <w:t>参</w:t>
      </w:r>
      <w:r>
        <w:rPr>
          <w:rFonts w:hint="eastAsia" w:asciiTheme="majorEastAsia" w:hAnsiTheme="majorEastAsia" w:eastAsiaTheme="majorEastAsia"/>
          <w:bCs/>
          <w:color w:val="000000"/>
          <w:kern w:val="12"/>
          <w:szCs w:val="21"/>
        </w:rPr>
        <w:t>加本招</w:t>
      </w:r>
      <w:r>
        <w:rPr>
          <w:rFonts w:asciiTheme="majorEastAsia" w:hAnsiTheme="majorEastAsia" w:eastAsiaTheme="majorEastAsia"/>
          <w:bCs/>
          <w:color w:val="000000"/>
          <w:kern w:val="12"/>
          <w:szCs w:val="21"/>
        </w:rPr>
        <w:t>标项目</w:t>
      </w:r>
      <w:r>
        <w:rPr>
          <w:rFonts w:hint="eastAsia" w:asciiTheme="majorEastAsia" w:hAnsiTheme="majorEastAsia" w:eastAsiaTheme="majorEastAsia"/>
          <w:bCs/>
          <w:color w:val="000000"/>
          <w:kern w:val="12"/>
          <w:szCs w:val="21"/>
        </w:rPr>
        <w:t>投</w:t>
      </w:r>
      <w:r>
        <w:rPr>
          <w:rFonts w:asciiTheme="majorEastAsia" w:hAnsiTheme="majorEastAsia" w:eastAsiaTheme="majorEastAsia"/>
          <w:bCs/>
          <w:color w:val="000000"/>
          <w:kern w:val="12"/>
          <w:szCs w:val="21"/>
        </w:rPr>
        <w:t>标</w:t>
      </w:r>
      <w:r>
        <w:rPr>
          <w:rFonts w:hint="eastAsia" w:asciiTheme="majorEastAsia" w:hAnsiTheme="majorEastAsia" w:eastAsiaTheme="majorEastAsia"/>
          <w:bCs/>
          <w:color w:val="000000"/>
          <w:kern w:val="12"/>
          <w:szCs w:val="21"/>
        </w:rPr>
        <w:t>的，</w:t>
      </w:r>
      <w:r>
        <w:rPr>
          <w:rFonts w:asciiTheme="majorEastAsia" w:hAnsiTheme="majorEastAsia" w:eastAsiaTheme="majorEastAsia"/>
          <w:bCs/>
          <w:color w:val="000000"/>
          <w:kern w:val="12"/>
          <w:szCs w:val="21"/>
        </w:rPr>
        <w:t>仅须</w:t>
      </w:r>
      <w:r>
        <w:rPr>
          <w:rFonts w:hint="eastAsia" w:asciiTheme="majorEastAsia" w:hAnsiTheme="majorEastAsia" w:eastAsiaTheme="majorEastAsia"/>
          <w:bCs/>
          <w:color w:val="000000"/>
          <w:kern w:val="12"/>
          <w:szCs w:val="21"/>
        </w:rPr>
        <w:t>出具此</w:t>
      </w:r>
      <w:r>
        <w:rPr>
          <w:rFonts w:asciiTheme="majorEastAsia" w:hAnsiTheme="majorEastAsia" w:eastAsiaTheme="majorEastAsia"/>
          <w:bCs/>
          <w:color w:val="000000"/>
          <w:kern w:val="12"/>
          <w:szCs w:val="21"/>
        </w:rPr>
        <w:t>证</w:t>
      </w:r>
      <w:r>
        <w:rPr>
          <w:rFonts w:hint="eastAsia" w:asciiTheme="majorEastAsia" w:hAnsiTheme="majorEastAsia" w:eastAsiaTheme="majorEastAsia"/>
          <w:bCs/>
          <w:color w:val="000000"/>
          <w:kern w:val="12"/>
          <w:szCs w:val="21"/>
        </w:rPr>
        <w:t>明</w:t>
      </w:r>
      <w:r>
        <w:rPr>
          <w:rFonts w:asciiTheme="majorEastAsia" w:hAnsiTheme="majorEastAsia" w:eastAsiaTheme="majorEastAsia"/>
          <w:bCs/>
          <w:color w:val="000000"/>
          <w:kern w:val="12"/>
          <w:szCs w:val="21"/>
        </w:rPr>
        <w:t>书</w:t>
      </w:r>
      <w:r>
        <w:rPr>
          <w:rFonts w:hint="eastAsia" w:asciiTheme="majorEastAsia" w:hAnsiTheme="majorEastAsia" w:eastAsiaTheme="majorEastAsia"/>
          <w:bCs/>
          <w:color w:val="000000"/>
          <w:kern w:val="12"/>
          <w:szCs w:val="21"/>
        </w:rPr>
        <w:t>。</w:t>
      </w: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p>
    <w:p>
      <w:pPr>
        <w:spacing w:line="480" w:lineRule="exact"/>
        <w:jc w:val="center"/>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3.3 法定代表人（单位负责人）授权书</w:t>
      </w:r>
    </w:p>
    <w:p>
      <w:pPr>
        <w:spacing w:line="480" w:lineRule="exact"/>
        <w:jc w:val="center"/>
        <w:rPr>
          <w:rFonts w:asciiTheme="majorEastAsia" w:hAnsiTheme="majorEastAsia" w:eastAsiaTheme="majorEastAsia"/>
          <w:b/>
          <w:bCs/>
          <w:color w:val="000000"/>
          <w:sz w:val="36"/>
          <w:szCs w:val="36"/>
        </w:rPr>
      </w:pP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本人</w:t>
      </w:r>
      <w:r>
        <w:rPr>
          <w:rFonts w:hint="eastAsia" w:cs="Arial" w:asciiTheme="majorEastAsia" w:hAnsiTheme="majorEastAsia" w:eastAsiaTheme="majorEastAsia"/>
          <w:szCs w:val="21"/>
          <w:u w:val="single"/>
        </w:rPr>
        <w:t xml:space="preserve">　 </w:t>
      </w:r>
      <w:r>
        <w:rPr>
          <w:rFonts w:hint="eastAsia" w:asciiTheme="majorEastAsia" w:hAnsiTheme="majorEastAsia" w:eastAsiaTheme="majorEastAsia"/>
          <w:i/>
          <w:snapToGrid w:val="0"/>
          <w:szCs w:val="21"/>
          <w:u w:val="single"/>
        </w:rPr>
        <w:t>法人姓名</w:t>
      </w:r>
      <w:r>
        <w:rPr>
          <w:rFonts w:hint="eastAsia" w:cs="Arial" w:asciiTheme="majorEastAsia" w:hAnsiTheme="majorEastAsia" w:eastAsiaTheme="majorEastAsia"/>
          <w:szCs w:val="21"/>
        </w:rPr>
        <w:t>系</w:t>
      </w:r>
      <w:r>
        <w:rPr>
          <w:rFonts w:hint="eastAsia" w:cs="Arial" w:asciiTheme="majorEastAsia" w:hAnsiTheme="majorEastAsia" w:eastAsiaTheme="majorEastAsia"/>
          <w:szCs w:val="21"/>
          <w:u w:val="single"/>
        </w:rPr>
        <w:t>　</w:t>
      </w:r>
      <w:r>
        <w:rPr>
          <w:rFonts w:hint="eastAsia" w:asciiTheme="majorEastAsia" w:hAnsiTheme="majorEastAsia" w:eastAsiaTheme="majorEastAsia"/>
          <w:i/>
          <w:snapToGrid w:val="0"/>
          <w:szCs w:val="21"/>
          <w:u w:val="single"/>
        </w:rPr>
        <w:t xml:space="preserve">投标人名称  </w:t>
      </w:r>
      <w:r>
        <w:rPr>
          <w:rFonts w:hint="eastAsia" w:cs="Arial" w:asciiTheme="majorEastAsia" w:hAnsiTheme="majorEastAsia" w:eastAsiaTheme="majorEastAsia"/>
          <w:szCs w:val="21"/>
        </w:rPr>
        <w:t>的法定代表人（单位负责人），现委托</w:t>
      </w:r>
      <w:r>
        <w:rPr>
          <w:rFonts w:hint="eastAsia" w:cs="Arial" w:asciiTheme="majorEastAsia" w:hAnsiTheme="majorEastAsia" w:eastAsiaTheme="majorEastAsia"/>
          <w:szCs w:val="21"/>
          <w:u w:val="single"/>
        </w:rPr>
        <w:t xml:space="preserve">　 </w:t>
      </w:r>
      <w:r>
        <w:rPr>
          <w:rFonts w:hint="eastAsia" w:asciiTheme="majorEastAsia" w:hAnsiTheme="majorEastAsia" w:eastAsiaTheme="majorEastAsia"/>
          <w:i/>
          <w:snapToGrid w:val="0"/>
          <w:szCs w:val="21"/>
          <w:u w:val="single"/>
        </w:rPr>
        <w:t>姓名，职务</w:t>
      </w:r>
      <w:r>
        <w:rPr>
          <w:rFonts w:hint="eastAsia" w:cs="Arial" w:asciiTheme="majorEastAsia" w:hAnsiTheme="majorEastAsia" w:eastAsiaTheme="maj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我方对被授权人的签名事项负全部责任。</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ajorEastAsia" w:hAnsiTheme="majorEastAsia" w:eastAsiaTheme="majorEastAsia"/>
          <w:szCs w:val="21"/>
        </w:rPr>
      </w:pPr>
      <w:r>
        <w:rPr>
          <w:rFonts w:hint="eastAsia" w:cs="Arial" w:asciiTheme="majorEastAsia" w:hAnsiTheme="majorEastAsia" w:eastAsiaTheme="majorEastAsia"/>
          <w:szCs w:val="21"/>
        </w:rPr>
        <w:t>被授权人无转委托权，特此委托。</w:t>
      </w:r>
    </w:p>
    <w:p>
      <w:pPr>
        <w:spacing w:line="48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 xml:space="preserve">投标人名称： </w:t>
      </w:r>
      <w:r>
        <w:rPr>
          <w:rFonts w:hint="eastAsia" w:asciiTheme="majorEastAsia" w:hAnsiTheme="majorEastAsia" w:eastAsiaTheme="majorEastAsia"/>
          <w:szCs w:val="21"/>
          <w:u w:val="single"/>
        </w:rPr>
        <w:t xml:space="preserve">       （全称）       </w:t>
      </w:r>
      <w:r>
        <w:rPr>
          <w:rFonts w:hint="eastAsia" w:asciiTheme="majorEastAsia" w:hAnsiTheme="majorEastAsia" w:eastAsiaTheme="majorEastAsia"/>
          <w:szCs w:val="21"/>
        </w:rPr>
        <w:t xml:space="preserve"> （盖单位公章）</w:t>
      </w:r>
    </w:p>
    <w:p>
      <w:pPr>
        <w:spacing w:line="48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法定代表人（单位负责人）：  （签字或加盖名章）</w:t>
      </w:r>
    </w:p>
    <w:p>
      <w:pPr>
        <w:spacing w:line="48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法定代表人（单位负责人）授权代表：  （签字或加盖名章）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法定代表人（单位负责人）身份证（正面）</w:t>
            </w:r>
          </w:p>
        </w:tc>
        <w:tc>
          <w:tcPr>
            <w:tcW w:w="4485" w:type="dxa"/>
            <w:gridSpan w:val="2"/>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ajorEastAsia" w:hAnsiTheme="majorEastAsia" w:eastAsiaTheme="majorEastAsia"/>
                <w:szCs w:val="21"/>
              </w:rPr>
            </w:pPr>
            <w:bookmarkStart w:id="22" w:name="_资格证明文件"/>
            <w:bookmarkEnd w:id="22"/>
            <w:bookmarkStart w:id="23" w:name="_Toc364329026"/>
            <w:r>
              <w:rPr>
                <w:rFonts w:hint="eastAsia" w:asciiTheme="majorEastAsia" w:hAnsiTheme="majorEastAsia" w:eastAsiaTheme="majorEastAsia"/>
                <w:szCs w:val="21"/>
              </w:rPr>
              <w:t>法定代表人（单位负责人）授权代表身份证</w:t>
            </w:r>
          </w:p>
          <w:p>
            <w:pPr>
              <w:jc w:val="center"/>
              <w:rPr>
                <w:rFonts w:asciiTheme="majorEastAsia" w:hAnsiTheme="majorEastAsia" w:eastAsiaTheme="majorEastAsia"/>
                <w:szCs w:val="21"/>
              </w:rPr>
            </w:pPr>
            <w:r>
              <w:rPr>
                <w:rFonts w:hint="eastAsia" w:asciiTheme="majorEastAsia" w:hAnsiTheme="majorEastAsia" w:eastAsiaTheme="majorEastAsia"/>
                <w:szCs w:val="21"/>
              </w:rPr>
              <w:t>（正面）</w:t>
            </w:r>
            <w:bookmarkEnd w:id="23"/>
          </w:p>
        </w:tc>
        <w:tc>
          <w:tcPr>
            <w:tcW w:w="4492" w:type="dxa"/>
            <w:gridSpan w:val="2"/>
            <w:vAlign w:val="center"/>
          </w:tcPr>
          <w:p>
            <w:pPr>
              <w:jc w:val="center"/>
              <w:rPr>
                <w:rFonts w:asciiTheme="majorEastAsia" w:hAnsiTheme="majorEastAsia" w:eastAsiaTheme="majorEastAsia"/>
                <w:szCs w:val="21"/>
              </w:rPr>
            </w:pPr>
            <w:bookmarkStart w:id="24" w:name="_Toc364329027"/>
            <w:r>
              <w:rPr>
                <w:rFonts w:hint="eastAsia" w:asciiTheme="majorEastAsia" w:hAnsiTheme="majorEastAsia" w:eastAsiaTheme="majorEastAsia"/>
                <w:szCs w:val="21"/>
              </w:rPr>
              <w:t>法定代表人（单位负责人）授权代表身份证</w:t>
            </w:r>
          </w:p>
          <w:p>
            <w:pPr>
              <w:jc w:val="center"/>
              <w:rPr>
                <w:rFonts w:asciiTheme="majorEastAsia" w:hAnsiTheme="majorEastAsia" w:eastAsiaTheme="majorEastAsia"/>
                <w:szCs w:val="21"/>
              </w:rPr>
            </w:pPr>
            <w:r>
              <w:rPr>
                <w:rFonts w:hint="eastAsia" w:asciiTheme="majorEastAsia" w:hAnsiTheme="majorEastAsia" w:eastAsiaTheme="majorEastAsia"/>
                <w:szCs w:val="21"/>
              </w:rPr>
              <w:t>（反面）</w:t>
            </w:r>
            <w:bookmarkEnd w:id="24"/>
          </w:p>
        </w:tc>
      </w:tr>
    </w:tbl>
    <w:p>
      <w:pPr>
        <w:spacing w:line="320" w:lineRule="exact"/>
        <w:ind w:left="2" w:firstLine="357" w:firstLineChars="149"/>
        <w:rPr>
          <w:rFonts w:cs="Courier New" w:asciiTheme="majorEastAsia" w:hAnsiTheme="majorEastAsia" w:eastAsiaTheme="majorEastAsia"/>
          <w:sz w:val="24"/>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widowControl/>
        <w:spacing w:before="100" w:beforeAutospacing="1" w:after="100" w:afterAutospacing="1" w:line="360" w:lineRule="auto"/>
        <w:jc w:val="center"/>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3.4 没有重大违法记录的声明</w:t>
      </w:r>
    </w:p>
    <w:p>
      <w:pPr>
        <w:spacing w:beforeLines="50" w:afterLines="50"/>
        <w:jc w:val="center"/>
        <w:rPr>
          <w:rFonts w:cs="Arial" w:asciiTheme="majorEastAsia" w:hAnsiTheme="majorEastAsia" w:eastAsiaTheme="majorEastAsia"/>
          <w:color w:val="000000"/>
          <w:kern w:val="0"/>
          <w:sz w:val="28"/>
          <w:szCs w:val="28"/>
        </w:rPr>
      </w:pPr>
      <w:r>
        <w:rPr>
          <w:rFonts w:hint="eastAsia" w:cs="Arial" w:asciiTheme="majorEastAsia" w:hAnsiTheme="majorEastAsia" w:eastAsiaTheme="majorEastAsia"/>
          <w:color w:val="000000"/>
          <w:kern w:val="0"/>
          <w:sz w:val="28"/>
          <w:szCs w:val="28"/>
        </w:rPr>
        <w:t>声　   明</w:t>
      </w:r>
    </w:p>
    <w:p>
      <w:pPr>
        <w:spacing w:beforeLines="50" w:afterLines="50" w:line="36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特此声明。</w:t>
      </w:r>
    </w:p>
    <w:p>
      <w:pPr>
        <w:spacing w:beforeLines="50" w:afterLines="50" w:line="360" w:lineRule="auto"/>
        <w:ind w:firstLine="420" w:firstLineChars="200"/>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本公司对上述声明的真实性负责。如有虚假，将依法承担相应责任。</w:t>
      </w:r>
    </w:p>
    <w:p>
      <w:pPr>
        <w:spacing w:beforeLines="50" w:afterLines="50" w:line="360" w:lineRule="auto"/>
        <w:ind w:firstLine="495" w:firstLineChars="236"/>
        <w:rPr>
          <w:rFonts w:cs="宋体" w:asciiTheme="majorEastAsia" w:hAnsiTheme="majorEastAsia" w:eastAsiaTheme="majorEastAsia"/>
          <w:szCs w:val="21"/>
          <w:lang w:val="zh-CN"/>
        </w:rPr>
      </w:pPr>
    </w:p>
    <w:p>
      <w:pPr>
        <w:spacing w:beforeLines="50" w:afterLines="50" w:line="360" w:lineRule="auto"/>
        <w:ind w:right="420" w:firstLine="4800" w:firstLineChars="2286"/>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单位名称（盖章）：</w:t>
      </w:r>
    </w:p>
    <w:p>
      <w:pPr>
        <w:spacing w:beforeLines="50" w:afterLines="50" w:line="360" w:lineRule="auto"/>
        <w:ind w:right="420" w:firstLine="4800" w:firstLineChars="2286"/>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 xml:space="preserve">日    期：     </w:t>
      </w:r>
      <w:r>
        <w:rPr>
          <w:rFonts w:hint="eastAsia" w:cs="宋体" w:asciiTheme="majorEastAsia" w:hAnsiTheme="majorEastAsia" w:eastAsiaTheme="majorEastAsia"/>
          <w:szCs w:val="21"/>
        </w:rPr>
        <w:t>年    月    日</w:t>
      </w:r>
    </w:p>
    <w:p>
      <w:pPr>
        <w:spacing w:beforeLines="50" w:afterLines="50" w:line="360" w:lineRule="auto"/>
        <w:ind w:right="420" w:firstLine="5486" w:firstLineChars="2286"/>
        <w:rPr>
          <w:rFonts w:cs="宋体" w:asciiTheme="majorEastAsia" w:hAnsiTheme="majorEastAsia" w:eastAsiaTheme="majorEastAsia"/>
          <w:sz w:val="24"/>
          <w:lang w:val="zh-CN"/>
        </w:rPr>
      </w:pPr>
    </w:p>
    <w:p>
      <w:pPr>
        <w:autoSpaceDE w:val="0"/>
        <w:autoSpaceDN w:val="0"/>
        <w:adjustRightInd w:val="0"/>
        <w:spacing w:line="360" w:lineRule="auto"/>
        <w:outlineLvl w:val="0"/>
        <w:rPr>
          <w:rFonts w:asciiTheme="majorEastAsia" w:hAnsiTheme="majorEastAsia" w:eastAsiaTheme="majorEastAsia" w:cstheme="minorBidi"/>
          <w:b/>
          <w:bCs/>
          <w:color w:val="000000"/>
          <w:sz w:val="24"/>
        </w:rPr>
      </w:pPr>
    </w:p>
    <w:p>
      <w:pPr>
        <w:pStyle w:val="2"/>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cs="宋体" w:asciiTheme="majorEastAsia" w:hAnsiTheme="majorEastAsia" w:eastAsiaTheme="majorEastAsia"/>
          <w:b/>
          <w:color w:val="000000"/>
          <w:sz w:val="36"/>
          <w:szCs w:val="36"/>
          <w:lang w:val="zh-CN"/>
        </w:rPr>
      </w:pPr>
      <w:r>
        <w:rPr>
          <w:rFonts w:hint="eastAsia" w:asciiTheme="majorEastAsia" w:hAnsiTheme="majorEastAsia" w:eastAsiaTheme="majorEastAsia" w:cstheme="minorBidi"/>
          <w:b/>
          <w:bCs/>
          <w:color w:val="000000"/>
          <w:sz w:val="24"/>
        </w:rPr>
        <w:t xml:space="preserve">3.5 </w:t>
      </w:r>
      <w:r>
        <w:rPr>
          <w:rFonts w:hint="eastAsia" w:cs="宋体" w:asciiTheme="majorEastAsia" w:hAnsiTheme="majorEastAsia" w:eastAsiaTheme="majorEastAsia"/>
          <w:b/>
          <w:color w:val="000000"/>
          <w:sz w:val="24"/>
          <w:lang w:val="zh-CN"/>
        </w:rPr>
        <w:t>投标承诺函</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本企业郑重承诺：</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一、将遵循公开、公平、公正和诚实信用的原则参加</w:t>
      </w:r>
      <w:r>
        <w:rPr>
          <w:rFonts w:hint="eastAsia" w:asciiTheme="majorEastAsia" w:hAnsiTheme="majorEastAsia" w:eastAsiaTheme="majorEastAsia"/>
          <w:color w:val="000000" w:themeColor="text1"/>
          <w:szCs w:val="21"/>
          <w:u w:val="single"/>
          <w:shd w:val="clear" w:color="auto" w:fill="FFFFFF"/>
        </w:rPr>
        <w:t>(具体政府采购项目名称）</w:t>
      </w:r>
      <w:r>
        <w:rPr>
          <w:rFonts w:hint="eastAsia" w:asciiTheme="majorEastAsia" w:hAnsiTheme="majorEastAsia" w:eastAsiaTheme="majorEastAsia"/>
          <w:color w:val="000000"/>
          <w:szCs w:val="21"/>
          <w:shd w:val="clear" w:color="auto" w:fill="FFFFFF"/>
        </w:rPr>
        <w:t>的投标;</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 xml:space="preserve">二、本次投标所提供的一切材料都是真实、有效、合法的; </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三、不与其他投标人相互串通投标报价，不排挤其他投标人的公平竞争，不损害采购人或其他投标人的合法权益;</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四、不与采购人或集中采购机构串通投标，不损害国家利益、社会公共利益或者他人的合法权益;</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五、不向采购人或者</w:t>
      </w:r>
      <w:r>
        <w:fldChar w:fldCharType="begin"/>
      </w:r>
      <w:r>
        <w:instrText xml:space="preserve"> HYPERLINK "http://www.cbi360.net/hyjd/1zt102.html" \t "https://www.cbi360.net/hyjd/20170619/_blank" </w:instrText>
      </w:r>
      <w:r>
        <w:fldChar w:fldCharType="separate"/>
      </w:r>
      <w:r>
        <w:rPr>
          <w:rFonts w:hint="eastAsia" w:asciiTheme="majorEastAsia" w:hAnsiTheme="majorEastAsia" w:eastAsiaTheme="majorEastAsia"/>
          <w:color w:val="000000"/>
          <w:u w:val="single"/>
        </w:rPr>
        <w:t>评标</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ajorEastAsia" w:hAnsiTheme="majorEastAsia" w:eastAsiaTheme="majorEastAsia"/>
          <w:color w:val="000000"/>
          <w:u w:val="single"/>
        </w:rPr>
        <w:t>中标</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六、不以他人名义投标或者以其他方式弄虚作假，骗取中标;</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七、不扰乱长葛市政府采购市场秩序;</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八、不在</w:t>
      </w:r>
      <w:r>
        <w:fldChar w:fldCharType="begin"/>
      </w:r>
      <w:r>
        <w:instrText xml:space="preserve"> HYPERLINK "http://www.cbi360.net/hyjd/1zt99.html" \t "https://www.cbi360.net/hyjd/20170619/_blank" </w:instrText>
      </w:r>
      <w:r>
        <w:fldChar w:fldCharType="separate"/>
      </w:r>
      <w:r>
        <w:rPr>
          <w:rFonts w:hint="eastAsia" w:asciiTheme="majorEastAsia" w:hAnsiTheme="majorEastAsia" w:eastAsiaTheme="majorEastAsia"/>
          <w:color w:val="000000"/>
          <w:u w:val="single"/>
        </w:rPr>
        <w:t>开标</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后进行虚假恶意投诉;</w:t>
      </w:r>
    </w:p>
    <w:p>
      <w:pPr>
        <w:widowControl/>
        <w:shd w:val="clear" w:color="auto" w:fill="FFFFFF"/>
        <w:spacing w:after="300" w:line="336" w:lineRule="atLeast"/>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九、中标后不得将</w:t>
      </w:r>
      <w:r>
        <w:fldChar w:fldCharType="begin"/>
      </w:r>
      <w:r>
        <w:instrText xml:space="preserve"> HYPERLINK "http://www.cbi360.net/hyjd/1zt49.html" \t "https://www.cbi360.net/hyjd/20170619/_blank" </w:instrText>
      </w:r>
      <w:r>
        <w:fldChar w:fldCharType="separate"/>
      </w:r>
      <w:r>
        <w:rPr>
          <w:rFonts w:hint="eastAsia" w:asciiTheme="majorEastAsia" w:hAnsiTheme="majorEastAsia" w:eastAsiaTheme="majorEastAsia"/>
          <w:color w:val="000000"/>
          <w:u w:val="single"/>
        </w:rPr>
        <w:t>招标文件</w:t>
      </w:r>
      <w:r>
        <w:rPr>
          <w:rFonts w:hint="eastAsia" w:asciiTheme="majorEastAsia" w:hAnsiTheme="majorEastAsia" w:eastAsiaTheme="majorEastAsia"/>
          <w:color w:val="000000"/>
          <w:u w:val="single"/>
        </w:rPr>
        <w:fldChar w:fldCharType="end"/>
      </w:r>
      <w:r>
        <w:rPr>
          <w:rFonts w:hint="eastAsia" w:asciiTheme="majorEastAsia" w:hAnsiTheme="majorEastAsia" w:eastAsiaTheme="majorEastAsia"/>
          <w:color w:val="000000"/>
          <w:szCs w:val="21"/>
          <w:shd w:val="clear" w:color="auto" w:fill="FFFFFF"/>
        </w:rPr>
        <w:t>规定不予转包、分包的项目转包、分包于他人。</w:t>
      </w:r>
    </w:p>
    <w:p>
      <w:pPr>
        <w:widowControl/>
        <w:shd w:val="clear" w:color="auto" w:fill="FFFFFF"/>
        <w:spacing w:after="300" w:line="360" w:lineRule="auto"/>
        <w:ind w:firstLine="420" w:firstLineChars="2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widowControl/>
        <w:shd w:val="clear" w:color="auto" w:fill="FFFFFF"/>
        <w:spacing w:after="300" w:line="336" w:lineRule="atLeast"/>
        <w:rPr>
          <w:rFonts w:asciiTheme="majorEastAsia" w:hAnsiTheme="majorEastAsia" w:eastAsiaTheme="majorEastAsia"/>
          <w:color w:val="000000"/>
          <w:szCs w:val="21"/>
          <w:shd w:val="clear" w:color="auto" w:fill="FFFFFF"/>
        </w:rPr>
      </w:pPr>
    </w:p>
    <w:p>
      <w:pPr>
        <w:widowControl/>
        <w:shd w:val="clear" w:color="auto" w:fill="FFFFFF"/>
        <w:spacing w:after="300" w:line="336" w:lineRule="atLeast"/>
        <w:ind w:firstLine="3570" w:firstLineChars="17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法定代表人或者被委托人（签字)：</w:t>
      </w:r>
    </w:p>
    <w:p>
      <w:pPr>
        <w:widowControl/>
        <w:shd w:val="clear" w:color="auto" w:fill="FFFFFF"/>
        <w:spacing w:after="300" w:line="336" w:lineRule="atLeast"/>
        <w:ind w:firstLine="3570" w:firstLineChars="17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投标商名称(盖章)：</w:t>
      </w:r>
    </w:p>
    <w:p>
      <w:pPr>
        <w:widowControl/>
        <w:shd w:val="clear" w:color="auto" w:fill="FFFFFF"/>
        <w:spacing w:after="300" w:line="336" w:lineRule="atLeast"/>
        <w:ind w:firstLine="6300" w:firstLineChars="3000"/>
        <w:rPr>
          <w:rFonts w:asciiTheme="majorEastAsia" w:hAnsiTheme="majorEastAsia" w:eastAsiaTheme="majorEastAsia"/>
          <w:color w:val="000000"/>
          <w:szCs w:val="21"/>
          <w:shd w:val="clear" w:color="auto" w:fill="FFFFFF"/>
        </w:rPr>
      </w:pPr>
      <w:r>
        <w:rPr>
          <w:rFonts w:hint="eastAsia" w:asciiTheme="majorEastAsia" w:hAnsiTheme="majorEastAsia" w:eastAsiaTheme="majorEastAsia"/>
          <w:color w:val="000000"/>
          <w:szCs w:val="21"/>
          <w:shd w:val="clear" w:color="auto" w:fill="FFFFFF"/>
        </w:rPr>
        <w:t>年  月  日</w:t>
      </w:r>
    </w:p>
    <w:p>
      <w:pPr>
        <w:autoSpaceDE w:val="0"/>
        <w:autoSpaceDN w:val="0"/>
        <w:adjustRightInd w:val="0"/>
        <w:spacing w:line="360" w:lineRule="auto"/>
        <w:jc w:val="center"/>
        <w:rPr>
          <w:rFonts w:cs="宋体" w:asciiTheme="majorEastAsia" w:hAnsiTheme="majorEastAsia" w:eastAsiaTheme="majorEastAsia"/>
          <w:sz w:val="24"/>
          <w:lang w:val="zh-CN"/>
        </w:rPr>
      </w:pPr>
    </w:p>
    <w:p>
      <w:pPr>
        <w:autoSpaceDE w:val="0"/>
        <w:autoSpaceDN w:val="0"/>
        <w:adjustRightInd w:val="0"/>
        <w:spacing w:line="360" w:lineRule="auto"/>
        <w:jc w:val="center"/>
        <w:rPr>
          <w:rFonts w:cs="宋体" w:asciiTheme="majorEastAsia" w:hAnsiTheme="majorEastAsia" w:eastAsiaTheme="majorEastAsia"/>
          <w:sz w:val="24"/>
          <w:lang w:val="zh-CN"/>
        </w:rPr>
      </w:pPr>
    </w:p>
    <w:p>
      <w:pPr>
        <w:autoSpaceDE w:val="0"/>
        <w:autoSpaceDN w:val="0"/>
        <w:adjustRightInd w:val="0"/>
        <w:spacing w:line="360" w:lineRule="auto"/>
        <w:outlineLvl w:val="0"/>
        <w:rPr>
          <w:rFonts w:cs="宋体" w:asciiTheme="majorEastAsia" w:hAnsiTheme="majorEastAsia" w:eastAsiaTheme="majorEastAsia"/>
          <w:sz w:val="24"/>
          <w:szCs w:val="22"/>
          <w:lang w:val="zh-CN"/>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 xml:space="preserve">3.6 其他资格证书或材料 </w:t>
      </w: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pStyle w:val="32"/>
        <w:rPr>
          <w:rFonts w:asciiTheme="majorEastAsia" w:hAnsiTheme="majorEastAsia" w:eastAsiaTheme="majorEastAsia"/>
        </w:rPr>
      </w:pPr>
    </w:p>
    <w:p>
      <w:pPr>
        <w:autoSpaceDE w:val="0"/>
        <w:autoSpaceDN w:val="0"/>
        <w:adjustRightInd w:val="0"/>
        <w:spacing w:line="360" w:lineRule="auto"/>
        <w:rPr>
          <w:rFonts w:cs="黑体" w:asciiTheme="majorEastAsia" w:hAnsiTheme="majorEastAsia" w:eastAsiaTheme="majorEastAsia"/>
          <w:b/>
          <w:bCs/>
          <w:sz w:val="28"/>
          <w:szCs w:val="28"/>
          <w:lang w:val="zh-CN"/>
        </w:rPr>
      </w:pPr>
    </w:p>
    <w:p>
      <w:pPr>
        <w:autoSpaceDE w:val="0"/>
        <w:autoSpaceDN w:val="0"/>
        <w:adjustRightInd w:val="0"/>
        <w:spacing w:line="360" w:lineRule="auto"/>
        <w:jc w:val="center"/>
        <w:rPr>
          <w:rFonts w:cs="黑体" w:asciiTheme="majorEastAsia" w:hAnsiTheme="majorEastAsia" w:eastAsiaTheme="majorEastAsia"/>
          <w:b/>
          <w:bCs/>
          <w:sz w:val="28"/>
          <w:szCs w:val="28"/>
          <w:lang w:val="zh-CN"/>
        </w:rPr>
      </w:pPr>
      <w:bookmarkStart w:id="25" w:name="_Toc9601_WPSOffice_Level1"/>
      <w:bookmarkStart w:id="26" w:name="_Toc26391_WPSOffice_Level1"/>
      <w:bookmarkStart w:id="27" w:name="_Toc10728_WPSOffice_Level1"/>
      <w:r>
        <w:rPr>
          <w:rFonts w:hint="eastAsia" w:cs="黑体" w:asciiTheme="majorEastAsia" w:hAnsiTheme="majorEastAsia" w:eastAsiaTheme="majorEastAsia"/>
          <w:b/>
          <w:bCs/>
          <w:sz w:val="28"/>
          <w:szCs w:val="28"/>
          <w:lang w:val="zh-CN"/>
        </w:rPr>
        <w:t>四、符合性审查证明材料</w:t>
      </w:r>
      <w:bookmarkEnd w:id="25"/>
      <w:bookmarkEnd w:id="26"/>
      <w:bookmarkEnd w:id="27"/>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4.1 投标分项报价表</w:t>
      </w:r>
    </w:p>
    <w:p>
      <w:pPr>
        <w:spacing w:line="300" w:lineRule="exact"/>
        <w:ind w:firstLine="3600" w:firstLineChars="1500"/>
        <w:rPr>
          <w:rFonts w:ascii="宋体" w:hAnsi="宋体"/>
          <w:sz w:val="24"/>
        </w:rPr>
      </w:pPr>
      <w:r>
        <w:rPr>
          <w:rFonts w:hint="eastAsia" w:ascii="宋体" w:hAnsi="宋体"/>
          <w:sz w:val="24"/>
        </w:rPr>
        <w:t>（格式自拟）</w:t>
      </w:r>
    </w:p>
    <w:p>
      <w:pPr>
        <w:spacing w:line="300" w:lineRule="exact"/>
        <w:rPr>
          <w:rFonts w:asciiTheme="majorEastAsia" w:hAnsiTheme="majorEastAsia" w:eastAsiaTheme="majorEastAsia" w:cstheme="minorBidi"/>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4.2 技术规格偏离表（货物类项目）</w:t>
      </w:r>
    </w:p>
    <w:p>
      <w:pPr>
        <w:spacing w:before="50" w:afterLines="50" w:line="360" w:lineRule="auto"/>
        <w:contextualSpacing/>
        <w:jc w:val="left"/>
        <w:rPr>
          <w:rFonts w:asciiTheme="majorEastAsia" w:hAnsiTheme="majorEastAsia" w:eastAsiaTheme="majorEastAsia" w:cstheme="minorBidi"/>
          <w:color w:val="000000"/>
          <w:szCs w:val="21"/>
        </w:rPr>
      </w:pPr>
      <w:r>
        <w:rPr>
          <w:rFonts w:hint="eastAsia" w:asciiTheme="majorEastAsia" w:hAnsiTheme="majorEastAsia" w:eastAsiaTheme="majorEastAsia" w:cstheme="minorBidi"/>
          <w:color w:val="000000"/>
          <w:szCs w:val="21"/>
        </w:rPr>
        <w:t>项目编号：</w:t>
      </w:r>
    </w:p>
    <w:p>
      <w:pPr>
        <w:autoSpaceDE w:val="0"/>
        <w:autoSpaceDN w:val="0"/>
        <w:adjustRightInd w:val="0"/>
        <w:spacing w:line="360" w:lineRule="auto"/>
        <w:outlineLvl w:val="0"/>
        <w:rPr>
          <w:rFonts w:asciiTheme="majorEastAsia" w:hAnsiTheme="majorEastAsia" w:eastAsiaTheme="majorEastAsia" w:cstheme="minorBidi"/>
          <w:b/>
          <w:snapToGrid w:val="0"/>
          <w:kern w:val="0"/>
          <w:szCs w:val="21"/>
        </w:rPr>
      </w:pPr>
      <w:r>
        <w:rPr>
          <w:rFonts w:hint="eastAsia" w:asciiTheme="majorEastAsia" w:hAnsiTheme="majorEastAsia" w:eastAsiaTheme="majorEastAsia" w:cstheme="minorBidi"/>
          <w:color w:val="000000"/>
          <w:szCs w:val="21"/>
        </w:rPr>
        <w:t xml:space="preserve">项目名称：   </w:t>
      </w:r>
    </w:p>
    <w:tbl>
      <w:tblPr>
        <w:tblStyle w:val="24"/>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货物服务</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招标文件</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投标技术</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偏离</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偏离内容</w:t>
            </w:r>
          </w:p>
          <w:p>
            <w:pPr>
              <w:jc w:val="center"/>
              <w:rPr>
                <w:rFonts w:cs="宋体" w:asciiTheme="majorEastAsia" w:hAnsiTheme="majorEastAsia" w:eastAsiaTheme="majorEastAsia"/>
                <w:b/>
                <w:bCs/>
                <w:szCs w:val="21"/>
              </w:rPr>
            </w:pPr>
            <w:r>
              <w:rPr>
                <w:rFonts w:hint="eastAsia" w:cs="宋体" w:asciiTheme="majorEastAsia" w:hAnsiTheme="majorEastAsia" w:eastAsiaTheme="majorEastAsia"/>
                <w:b/>
                <w:bCs/>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Cs/>
                <w:szCs w:val="21"/>
              </w:rPr>
            </w:pPr>
            <w:r>
              <w:rPr>
                <w:rFonts w:hint="eastAsia" w:asciiTheme="majorEastAsia" w:hAnsiTheme="majorEastAsia" w:eastAsiaTheme="majorEastAsia" w:cstheme="minorBidi"/>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Cs/>
                <w:szCs w:val="21"/>
              </w:rPr>
            </w:pPr>
            <w:r>
              <w:rPr>
                <w:rFonts w:hint="eastAsia" w:asciiTheme="majorEastAsia" w:hAnsiTheme="majorEastAsia" w:eastAsiaTheme="majorEastAsia" w:cstheme="minorBidi"/>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ajorEastAsia" w:hAnsiTheme="majorEastAsia" w:eastAsiaTheme="majorEastAsia" w:cstheme="minorBidi"/>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ajorEastAsia" w:hAnsiTheme="majorEastAsia" w:eastAsiaTheme="majorEastAsia" w:cstheme="minorBidi"/>
                <w:b/>
                <w:bCs/>
                <w:szCs w:val="21"/>
              </w:rPr>
            </w:pPr>
          </w:p>
        </w:tc>
      </w:tr>
    </w:tbl>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投标人（公章）：</w:t>
      </w:r>
    </w:p>
    <w:p>
      <w:pPr>
        <w:autoSpaceDE w:val="0"/>
        <w:autoSpaceDN w:val="0"/>
        <w:adjustRightInd w:val="0"/>
        <w:spacing w:line="480" w:lineRule="auto"/>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投标人法定代表人（单位负责人）或授权代表签字：</w:t>
      </w:r>
    </w:p>
    <w:p>
      <w:pPr>
        <w:autoSpaceDE w:val="0"/>
        <w:autoSpaceDN w:val="0"/>
        <w:adjustRightInd w:val="0"/>
        <w:spacing w:line="480" w:lineRule="auto"/>
        <w:rPr>
          <w:rFonts w:cs="宋体" w:asciiTheme="majorEastAsia" w:hAnsiTheme="majorEastAsia" w:eastAsiaTheme="majorEastAsia"/>
          <w:szCs w:val="21"/>
          <w:lang w:val="zh-CN"/>
        </w:rPr>
      </w:pPr>
    </w:p>
    <w:p>
      <w:pPr>
        <w:autoSpaceDE w:val="0"/>
        <w:autoSpaceDN w:val="0"/>
        <w:adjustRightInd w:val="0"/>
        <w:spacing w:line="480" w:lineRule="auto"/>
        <w:rPr>
          <w:rFonts w:cs="宋体" w:asciiTheme="majorEastAsia" w:hAnsiTheme="majorEastAsia" w:eastAsiaTheme="majorEastAsia"/>
          <w:szCs w:val="21"/>
          <w:lang w:val="zh-CN"/>
        </w:rPr>
      </w:pPr>
    </w:p>
    <w:p>
      <w:pPr>
        <w:autoSpaceDE w:val="0"/>
        <w:autoSpaceDN w:val="0"/>
        <w:adjustRightInd w:val="0"/>
        <w:spacing w:line="360" w:lineRule="auto"/>
        <w:outlineLvl w:val="0"/>
        <w:rPr>
          <w:rFonts w:asciiTheme="majorEastAsia" w:hAnsiTheme="majorEastAsia" w:eastAsiaTheme="majorEastAsia" w:cstheme="minorBidi"/>
          <w:b/>
          <w:bCs/>
          <w:color w:val="000000"/>
          <w:sz w:val="24"/>
        </w:rPr>
      </w:pPr>
    </w:p>
    <w:p>
      <w:pPr>
        <w:autoSpaceDE w:val="0"/>
        <w:autoSpaceDN w:val="0"/>
        <w:adjustRightInd w:val="0"/>
        <w:spacing w:line="360" w:lineRule="auto"/>
        <w:jc w:val="center"/>
        <w:outlineLvl w:val="0"/>
        <w:rPr>
          <w:rFonts w:asciiTheme="majorEastAsia" w:hAnsiTheme="majorEastAsia" w:eastAsiaTheme="majorEastAsia" w:cstheme="minorBidi"/>
          <w:b/>
          <w:bCs/>
          <w:color w:val="000000"/>
          <w:sz w:val="24"/>
        </w:rPr>
      </w:pPr>
      <w:r>
        <w:rPr>
          <w:rFonts w:hint="eastAsia" w:asciiTheme="majorEastAsia" w:hAnsiTheme="majorEastAsia" w:eastAsiaTheme="majorEastAsia" w:cstheme="minorBidi"/>
          <w:b/>
          <w:bCs/>
          <w:color w:val="000000"/>
          <w:sz w:val="24"/>
        </w:rPr>
        <w:t>4.3 技术方案</w:t>
      </w:r>
      <w:r>
        <w:rPr>
          <w:rFonts w:hint="eastAsia" w:ascii="宋体" w:hAnsi="宋体"/>
          <w:b/>
          <w:bCs/>
          <w:sz w:val="24"/>
        </w:rPr>
        <w:t>（服务大纲）</w:t>
      </w:r>
    </w:p>
    <w:p>
      <w:pPr>
        <w:snapToGrid w:val="0"/>
        <w:spacing w:line="360" w:lineRule="auto"/>
        <w:jc w:val="center"/>
        <w:rPr>
          <w:rFonts w:asciiTheme="majorEastAsia" w:hAnsiTheme="majorEastAsia" w:eastAsiaTheme="majorEastAsia" w:cstheme="minorBidi"/>
          <w:b/>
          <w:snapToGrid w:val="0"/>
          <w:kern w:val="0"/>
          <w:sz w:val="36"/>
          <w:szCs w:val="36"/>
        </w:rPr>
      </w:pPr>
    </w:p>
    <w:p>
      <w:pPr>
        <w:autoSpaceDE w:val="0"/>
        <w:autoSpaceDN w:val="0"/>
        <w:adjustRightInd w:val="0"/>
        <w:spacing w:line="360" w:lineRule="auto"/>
        <w:jc w:val="center"/>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（投标人根据招标文件要求自行编制）</w:t>
      </w:r>
    </w:p>
    <w:p>
      <w:pPr>
        <w:pStyle w:val="32"/>
        <w:rPr>
          <w:rFonts w:asciiTheme="majorEastAsia" w:hAnsiTheme="majorEastAsia" w:eastAsiaTheme="majorEastAsia"/>
          <w:lang w:val="zh-CN"/>
        </w:rPr>
      </w:pPr>
    </w:p>
    <w:p>
      <w:pPr>
        <w:pStyle w:val="32"/>
        <w:rPr>
          <w:rFonts w:asciiTheme="majorEastAsia" w:hAnsiTheme="majorEastAsia" w:eastAsiaTheme="majorEastAsia"/>
          <w:lang w:val="zh-CN"/>
        </w:rPr>
      </w:pPr>
    </w:p>
    <w:p>
      <w:pPr>
        <w:pStyle w:val="32"/>
        <w:rPr>
          <w:rFonts w:asciiTheme="majorEastAsia" w:hAnsiTheme="majorEastAsia" w:eastAsiaTheme="majorEastAsia"/>
          <w:lang w:val="zh-CN"/>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 xml:space="preserve">4.4 </w:t>
      </w:r>
      <w:r>
        <w:rPr>
          <w:rFonts w:hint="eastAsia" w:ascii="宋体" w:hAnsi="宋体"/>
          <w:b/>
          <w:bCs/>
          <w:sz w:val="24"/>
        </w:rPr>
        <w:t>服务承诺</w:t>
      </w:r>
    </w:p>
    <w:p>
      <w:pPr>
        <w:autoSpaceDE w:val="0"/>
        <w:autoSpaceDN w:val="0"/>
        <w:adjustRightInd w:val="0"/>
        <w:spacing w:line="360" w:lineRule="auto"/>
        <w:jc w:val="center"/>
        <w:outlineLvl w:val="0"/>
        <w:rPr>
          <w:rFonts w:asciiTheme="majorEastAsia" w:hAnsiTheme="majorEastAsia" w:eastAsiaTheme="majorEastAsia"/>
          <w:b/>
          <w:bCs/>
          <w:color w:val="000000"/>
          <w:sz w:val="36"/>
          <w:szCs w:val="36"/>
        </w:rPr>
      </w:pPr>
    </w:p>
    <w:p>
      <w:pPr>
        <w:autoSpaceDE w:val="0"/>
        <w:autoSpaceDN w:val="0"/>
        <w:adjustRightInd w:val="0"/>
        <w:spacing w:line="360" w:lineRule="auto"/>
        <w:jc w:val="center"/>
        <w:rPr>
          <w:rFonts w:cs="宋体" w:asciiTheme="majorEastAsia" w:hAnsiTheme="majorEastAsia" w:eastAsiaTheme="majorEastAsia"/>
          <w:szCs w:val="21"/>
          <w:lang w:val="zh-CN"/>
        </w:rPr>
      </w:pPr>
      <w:r>
        <w:rPr>
          <w:rFonts w:hint="eastAsia" w:cs="宋体" w:asciiTheme="majorEastAsia" w:hAnsiTheme="majorEastAsia" w:eastAsiaTheme="majorEastAsia"/>
          <w:szCs w:val="21"/>
          <w:lang w:val="zh-CN"/>
        </w:rPr>
        <w:t>（投标人根据招标文件要求自行编制）</w:t>
      </w:r>
    </w:p>
    <w:p>
      <w:pPr>
        <w:autoSpaceDE w:val="0"/>
        <w:autoSpaceDN w:val="0"/>
        <w:adjustRightInd w:val="0"/>
        <w:spacing w:line="360" w:lineRule="auto"/>
        <w:outlineLvl w:val="0"/>
        <w:rPr>
          <w:rFonts w:ascii="宋体" w:hAnsi="宋体"/>
          <w:b/>
          <w:bCs/>
          <w:sz w:val="24"/>
        </w:rPr>
      </w:pPr>
    </w:p>
    <w:p>
      <w:pPr>
        <w:autoSpaceDE w:val="0"/>
        <w:autoSpaceDN w:val="0"/>
        <w:adjustRightInd w:val="0"/>
        <w:spacing w:line="360" w:lineRule="auto"/>
        <w:jc w:val="center"/>
        <w:outlineLvl w:val="0"/>
        <w:rPr>
          <w:rFonts w:ascii="宋体" w:hAnsi="宋体"/>
          <w:b/>
          <w:bCs/>
          <w:sz w:val="24"/>
        </w:rPr>
      </w:pPr>
      <w:r>
        <w:rPr>
          <w:rFonts w:hint="eastAsia" w:ascii="宋体" w:hAnsi="宋体"/>
          <w:b/>
          <w:bCs/>
          <w:sz w:val="24"/>
        </w:rPr>
        <w:t>4.5业绩情况表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宋体" w:hAnsi="宋体"/>
          <w:szCs w:val="21"/>
        </w:rPr>
      </w:pPr>
      <w:r>
        <w:rPr>
          <w:rFonts w:hint="eastAsia" w:ascii="宋体" w:hAnsi="宋体"/>
          <w:szCs w:val="21"/>
        </w:rPr>
        <w:t>项目编号：</w:t>
      </w:r>
    </w:p>
    <w:p>
      <w:pPr>
        <w:snapToGrid w:val="0"/>
        <w:spacing w:line="360" w:lineRule="auto"/>
        <w:rPr>
          <w:rFonts w:hAnsi="宋体"/>
          <w:b/>
          <w:snapToGrid w:val="0"/>
          <w:kern w:val="0"/>
          <w:szCs w:val="21"/>
        </w:rPr>
      </w:pPr>
      <w:r>
        <w:rPr>
          <w:rFonts w:hint="eastAsia" w:ascii="宋体" w:hAnsi="宋体"/>
          <w:szCs w:val="21"/>
        </w:rPr>
        <w:t xml:space="preserve">项目名称：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noWrap/>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noWrap/>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noWrap/>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noWrap/>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noWrap/>
            <w:vAlign w:val="center"/>
          </w:tcPr>
          <w:p>
            <w:pPr>
              <w:pStyle w:val="8"/>
              <w:spacing w:line="360" w:lineRule="auto"/>
              <w:rPr>
                <w:rFonts w:ascii="宋体" w:hAnsi="宋体" w:eastAsia="宋体" w:cs="Times New Roman"/>
                <w:sz w:val="21"/>
                <w:szCs w:val="21"/>
              </w:rPr>
            </w:pPr>
          </w:p>
        </w:tc>
        <w:tc>
          <w:tcPr>
            <w:tcW w:w="3579" w:type="dxa"/>
            <w:noWrap/>
            <w:vAlign w:val="center"/>
          </w:tcPr>
          <w:p>
            <w:pPr>
              <w:pStyle w:val="8"/>
              <w:spacing w:line="360" w:lineRule="auto"/>
              <w:rPr>
                <w:rFonts w:ascii="宋体" w:hAnsi="宋体" w:eastAsia="宋体" w:cs="Times New Roman"/>
                <w:sz w:val="21"/>
                <w:szCs w:val="21"/>
              </w:rPr>
            </w:pPr>
          </w:p>
        </w:tc>
        <w:tc>
          <w:tcPr>
            <w:tcW w:w="1440" w:type="dxa"/>
            <w:noWrap/>
            <w:vAlign w:val="center"/>
          </w:tcPr>
          <w:p>
            <w:pPr>
              <w:pStyle w:val="8"/>
              <w:spacing w:line="360" w:lineRule="auto"/>
              <w:rPr>
                <w:rFonts w:ascii="宋体" w:hAnsi="宋体" w:eastAsia="宋体" w:cs="Times New Roman"/>
                <w:sz w:val="21"/>
                <w:szCs w:val="21"/>
              </w:rPr>
            </w:pPr>
          </w:p>
        </w:tc>
        <w:tc>
          <w:tcPr>
            <w:tcW w:w="1706" w:type="dxa"/>
            <w:noWrap/>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noWrap/>
            <w:vAlign w:val="center"/>
          </w:tcPr>
          <w:p>
            <w:pPr>
              <w:pStyle w:val="8"/>
              <w:spacing w:line="360" w:lineRule="auto"/>
              <w:rPr>
                <w:rFonts w:ascii="宋体" w:hAnsi="宋体" w:eastAsia="宋体" w:cs="Times New Roman"/>
                <w:sz w:val="21"/>
                <w:szCs w:val="21"/>
              </w:rPr>
            </w:pPr>
          </w:p>
        </w:tc>
        <w:tc>
          <w:tcPr>
            <w:tcW w:w="3579" w:type="dxa"/>
            <w:noWrap/>
            <w:vAlign w:val="center"/>
          </w:tcPr>
          <w:p>
            <w:pPr>
              <w:pStyle w:val="8"/>
              <w:spacing w:line="360" w:lineRule="auto"/>
              <w:rPr>
                <w:rFonts w:ascii="宋体" w:hAnsi="宋体" w:eastAsia="宋体" w:cs="Times New Roman"/>
                <w:sz w:val="21"/>
                <w:szCs w:val="21"/>
              </w:rPr>
            </w:pPr>
          </w:p>
        </w:tc>
        <w:tc>
          <w:tcPr>
            <w:tcW w:w="1440" w:type="dxa"/>
            <w:noWrap/>
            <w:vAlign w:val="center"/>
          </w:tcPr>
          <w:p>
            <w:pPr>
              <w:pStyle w:val="8"/>
              <w:spacing w:line="360" w:lineRule="auto"/>
              <w:rPr>
                <w:rFonts w:ascii="宋体" w:hAnsi="宋体" w:eastAsia="宋体" w:cs="Times New Roman"/>
                <w:sz w:val="21"/>
                <w:szCs w:val="21"/>
              </w:rPr>
            </w:pPr>
          </w:p>
        </w:tc>
        <w:tc>
          <w:tcPr>
            <w:tcW w:w="1706" w:type="dxa"/>
            <w:noWrap/>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noWrap/>
            <w:vAlign w:val="center"/>
          </w:tcPr>
          <w:p>
            <w:pPr>
              <w:pStyle w:val="8"/>
              <w:spacing w:line="360" w:lineRule="auto"/>
              <w:rPr>
                <w:rFonts w:ascii="宋体" w:hAnsi="宋体" w:eastAsia="宋体" w:cs="Times New Roman"/>
                <w:sz w:val="21"/>
                <w:szCs w:val="21"/>
              </w:rPr>
            </w:pPr>
          </w:p>
        </w:tc>
        <w:tc>
          <w:tcPr>
            <w:tcW w:w="3579" w:type="dxa"/>
            <w:noWrap/>
            <w:vAlign w:val="center"/>
          </w:tcPr>
          <w:p>
            <w:pPr>
              <w:pStyle w:val="8"/>
              <w:spacing w:line="360" w:lineRule="auto"/>
              <w:rPr>
                <w:rFonts w:ascii="宋体" w:hAnsi="宋体" w:eastAsia="宋体" w:cs="Times New Roman"/>
                <w:sz w:val="21"/>
                <w:szCs w:val="21"/>
              </w:rPr>
            </w:pPr>
          </w:p>
        </w:tc>
        <w:tc>
          <w:tcPr>
            <w:tcW w:w="1440" w:type="dxa"/>
            <w:noWrap/>
            <w:vAlign w:val="center"/>
          </w:tcPr>
          <w:p>
            <w:pPr>
              <w:pStyle w:val="8"/>
              <w:spacing w:line="360" w:lineRule="auto"/>
              <w:rPr>
                <w:rFonts w:ascii="宋体" w:hAnsi="宋体" w:eastAsia="宋体" w:cs="Times New Roman"/>
                <w:sz w:val="21"/>
                <w:szCs w:val="21"/>
              </w:rPr>
            </w:pPr>
          </w:p>
        </w:tc>
        <w:tc>
          <w:tcPr>
            <w:tcW w:w="1706" w:type="dxa"/>
            <w:noWrap/>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noWrap/>
            <w:vAlign w:val="center"/>
          </w:tcPr>
          <w:p>
            <w:pPr>
              <w:rPr>
                <w:rFonts w:ascii="宋体"/>
                <w:szCs w:val="21"/>
              </w:rPr>
            </w:pPr>
          </w:p>
        </w:tc>
        <w:tc>
          <w:tcPr>
            <w:tcW w:w="3579" w:type="dxa"/>
            <w:noWrap/>
            <w:vAlign w:val="center"/>
          </w:tcPr>
          <w:p>
            <w:pPr>
              <w:rPr>
                <w:rFonts w:ascii="宋体"/>
                <w:szCs w:val="21"/>
              </w:rPr>
            </w:pPr>
          </w:p>
        </w:tc>
        <w:tc>
          <w:tcPr>
            <w:tcW w:w="1440" w:type="dxa"/>
            <w:noWrap/>
            <w:vAlign w:val="center"/>
          </w:tcPr>
          <w:p>
            <w:pPr>
              <w:rPr>
                <w:rFonts w:ascii="宋体"/>
                <w:szCs w:val="21"/>
              </w:rPr>
            </w:pPr>
          </w:p>
        </w:tc>
        <w:tc>
          <w:tcPr>
            <w:tcW w:w="1706" w:type="dxa"/>
            <w:noWrap/>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noWrap/>
            <w:vAlign w:val="center"/>
          </w:tcPr>
          <w:p>
            <w:pPr>
              <w:rPr>
                <w:rFonts w:ascii="宋体"/>
                <w:szCs w:val="21"/>
              </w:rPr>
            </w:pPr>
          </w:p>
        </w:tc>
        <w:tc>
          <w:tcPr>
            <w:tcW w:w="3579" w:type="dxa"/>
            <w:noWrap/>
            <w:vAlign w:val="center"/>
          </w:tcPr>
          <w:p>
            <w:pPr>
              <w:rPr>
                <w:rFonts w:ascii="宋体"/>
                <w:szCs w:val="21"/>
              </w:rPr>
            </w:pPr>
          </w:p>
        </w:tc>
        <w:tc>
          <w:tcPr>
            <w:tcW w:w="1440" w:type="dxa"/>
            <w:noWrap/>
            <w:vAlign w:val="center"/>
          </w:tcPr>
          <w:p>
            <w:pPr>
              <w:rPr>
                <w:rFonts w:ascii="宋体"/>
                <w:szCs w:val="21"/>
              </w:rPr>
            </w:pPr>
          </w:p>
        </w:tc>
        <w:tc>
          <w:tcPr>
            <w:tcW w:w="1706" w:type="dxa"/>
            <w:noWrap/>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投标人法定代表人（或授权代表）签字：</w:t>
      </w:r>
    </w:p>
    <w:p>
      <w:pPr>
        <w:autoSpaceDE w:val="0"/>
        <w:autoSpaceDN w:val="0"/>
        <w:adjustRightInd w:val="0"/>
        <w:spacing w:line="360" w:lineRule="auto"/>
        <w:jc w:val="center"/>
        <w:outlineLvl w:val="0"/>
        <w:rPr>
          <w:rFonts w:ascii="宋体" w:hAnsi="宋体"/>
          <w:b/>
          <w:bCs/>
          <w:sz w:val="24"/>
        </w:rPr>
      </w:pPr>
    </w:p>
    <w:p>
      <w:pPr>
        <w:widowControl/>
        <w:wordWrap w:val="0"/>
        <w:spacing w:before="100" w:beforeAutospacing="1" w:after="100" w:afterAutospacing="1" w:line="360" w:lineRule="auto"/>
        <w:jc w:val="left"/>
        <w:rPr>
          <w:rFonts w:cs="仿宋" w:asciiTheme="majorEastAsia" w:hAnsiTheme="majorEastAsia" w:eastAsiaTheme="majorEastAsia"/>
          <w:color w:val="333333"/>
          <w:kern w:val="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4.6 中小企业声明函</w:t>
      </w:r>
    </w:p>
    <w:p>
      <w:pPr>
        <w:spacing w:line="360" w:lineRule="auto"/>
        <w:jc w:val="center"/>
        <w:rPr>
          <w:rFonts w:asciiTheme="majorEastAsia" w:hAnsiTheme="majorEastAsia" w:eastAsiaTheme="majorEastAsia"/>
          <w:b/>
          <w:bCs/>
          <w:color w:val="000000"/>
          <w:szCs w:val="21"/>
        </w:rPr>
      </w:pPr>
    </w:p>
    <w:p>
      <w:pPr>
        <w:widowControl/>
        <w:spacing w:before="100" w:beforeAutospacing="1" w:after="100" w:afterAutospacing="1" w:line="360" w:lineRule="auto"/>
        <w:ind w:firstLine="420"/>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本公司郑重声明，根据《政府采购促进中小企业发展暂行办法》（财库[2011]181号）的规定，本公司为______（请填写：中型、小型、微型）企业。即，本公司同时满足以下条件：</w:t>
      </w:r>
      <w:r>
        <w:rPr>
          <w:rFonts w:hint="eastAsia" w:cs="Arial" w:asciiTheme="majorEastAsia" w:hAnsiTheme="majorEastAsia" w:eastAsiaTheme="majorEastAsia"/>
          <w:color w:val="000000"/>
          <w:kern w:val="0"/>
          <w:szCs w:val="21"/>
        </w:rPr>
        <w:br w:type="textWrapping"/>
      </w:r>
      <w:r>
        <w:rPr>
          <w:rFonts w:hint="eastAsia" w:cs="Arial" w:asciiTheme="majorEastAsia" w:hAnsiTheme="majorEastAsia" w:eastAsiaTheme="majorEastAsia"/>
          <w:color w:val="000000"/>
          <w:kern w:val="0"/>
          <w:szCs w:val="21"/>
        </w:rPr>
        <w:t>　　根据《工业和信息化部、国家统计局、国家发展和改革委员会、财政部关于印发中小企业划型标准规定的通知》（工信部联企业[2011]300号）规定的划分标准，</w:t>
      </w:r>
      <w:r>
        <w:rPr>
          <w:rFonts w:hint="eastAsia" w:asciiTheme="majorEastAsia" w:hAnsiTheme="majorEastAsia" w:eastAsiaTheme="majorEastAsia"/>
          <w:color w:val="000000"/>
          <w:szCs w:val="21"/>
        </w:rPr>
        <w:t>按照《国家统计局关于印发统计上大中小微型企业划分办法的通知》（国统字</w:t>
      </w:r>
      <w:r>
        <w:rPr>
          <w:rFonts w:asciiTheme="majorEastAsia" w:hAnsiTheme="majorEastAsia" w:eastAsiaTheme="majorEastAsia"/>
          <w:color w:val="000000"/>
          <w:szCs w:val="21"/>
        </w:rPr>
        <w:t>[2011] 75</w:t>
      </w:r>
      <w:r>
        <w:rPr>
          <w:rFonts w:hint="eastAsia" w:asciiTheme="majorEastAsia" w:hAnsiTheme="majorEastAsia" w:eastAsiaTheme="majorEastAsia"/>
          <w:color w:val="000000"/>
          <w:szCs w:val="21"/>
        </w:rPr>
        <w:t>号）规定，本公司所属行业为</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，截至上一财年末，公司资产总额</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万元，营业收入</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万元，从业人员</w:t>
      </w:r>
      <w:r>
        <w:rPr>
          <w:rFonts w:asciiTheme="majorEastAsia" w:hAnsiTheme="majorEastAsia" w:eastAsiaTheme="majorEastAsia"/>
          <w:color w:val="000000"/>
          <w:szCs w:val="21"/>
        </w:rPr>
        <w:t>______</w:t>
      </w:r>
      <w:r>
        <w:rPr>
          <w:rFonts w:hint="eastAsia" w:asciiTheme="majorEastAsia" w:hAnsiTheme="majorEastAsia" w:eastAsiaTheme="majorEastAsia"/>
          <w:color w:val="000000"/>
          <w:szCs w:val="21"/>
        </w:rPr>
        <w:t>人，</w:t>
      </w:r>
      <w:r>
        <w:rPr>
          <w:rFonts w:hint="eastAsia" w:cs="Arial" w:asciiTheme="majorEastAsia" w:hAnsiTheme="majorEastAsia" w:eastAsiaTheme="majorEastAsia"/>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cs="Arial" w:asciiTheme="majorEastAsia" w:hAnsiTheme="majorEastAsia" w:eastAsiaTheme="majorEastAsia"/>
          <w:color w:val="000000"/>
          <w:kern w:val="0"/>
          <w:szCs w:val="21"/>
        </w:rPr>
      </w:pPr>
    </w:p>
    <w:p>
      <w:pPr>
        <w:widowControl/>
        <w:spacing w:before="100" w:beforeAutospacing="1" w:after="100" w:afterAutospacing="1" w:line="360" w:lineRule="auto"/>
        <w:ind w:left="3885" w:leftChars="1850"/>
        <w:jc w:val="left"/>
        <w:rPr>
          <w:rFonts w:cs="Arial" w:asciiTheme="majorEastAsia" w:hAnsiTheme="majorEastAsia" w:eastAsiaTheme="majorEastAsia"/>
          <w:color w:val="000000"/>
          <w:kern w:val="0"/>
          <w:szCs w:val="21"/>
        </w:rPr>
      </w:pPr>
    </w:p>
    <w:p>
      <w:pPr>
        <w:widowControl/>
        <w:spacing w:before="100" w:beforeAutospacing="1" w:after="100" w:afterAutospacing="1" w:line="360" w:lineRule="auto"/>
        <w:ind w:left="3885" w:leftChars="1850"/>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企业名称（盖章）：　　　　　　　　　</w:t>
      </w:r>
      <w:r>
        <w:rPr>
          <w:rFonts w:hint="eastAsia" w:cs="Arial" w:asciiTheme="majorEastAsia" w:hAnsiTheme="majorEastAsia" w:eastAsiaTheme="majorEastAsia"/>
          <w:color w:val="000000"/>
          <w:kern w:val="0"/>
          <w:szCs w:val="21"/>
        </w:rPr>
        <w:br w:type="textWrapping"/>
      </w:r>
      <w:r>
        <w:rPr>
          <w:rFonts w:hint="eastAsia" w:cs="Arial" w:asciiTheme="majorEastAsia" w:hAnsiTheme="majorEastAsia" w:eastAsiaTheme="majorEastAsia"/>
          <w:color w:val="000000"/>
          <w:kern w:val="0"/>
          <w:szCs w:val="21"/>
        </w:rPr>
        <w:t xml:space="preserve">日　  期：      </w:t>
      </w:r>
      <w:r>
        <w:rPr>
          <w:rFonts w:hint="eastAsia" w:cs="宋体" w:asciiTheme="majorEastAsia" w:hAnsiTheme="majorEastAsia" w:eastAsiaTheme="majorEastAsia"/>
          <w:szCs w:val="21"/>
        </w:rPr>
        <w:t>年    月    日</w:t>
      </w:r>
    </w:p>
    <w:p>
      <w:pPr>
        <w:widowControl/>
        <w:spacing w:before="100" w:beforeAutospacing="1" w:after="100" w:afterAutospacing="1" w:line="360" w:lineRule="auto"/>
        <w:contextualSpacing/>
        <w:jc w:val="left"/>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说明：</w:t>
      </w:r>
    </w:p>
    <w:p>
      <w:pPr>
        <w:widowControl/>
        <w:spacing w:before="100" w:beforeAutospacing="1" w:after="100" w:afterAutospacing="1" w:line="360" w:lineRule="auto"/>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3、小型和微型企业不包括民办非企业。</w:t>
      </w: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4.7残疾人福利性单位声明函</w:t>
      </w:r>
    </w:p>
    <w:p>
      <w:pPr>
        <w:spacing w:line="360" w:lineRule="auto"/>
        <w:rPr>
          <w:rFonts w:asciiTheme="majorEastAsia" w:hAnsiTheme="majorEastAsia" w:eastAsiaTheme="majorEastAsia"/>
          <w:szCs w:val="21"/>
        </w:rPr>
      </w:pP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本单位对上述声明的真实性负责。如有虚假，将依法承担相应责任。</w:t>
      </w: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单位名称（盖章）：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日    期：      </w:t>
      </w:r>
      <w:r>
        <w:rPr>
          <w:rFonts w:hint="eastAsia" w:cs="宋体" w:asciiTheme="majorEastAsia" w:hAnsiTheme="majorEastAsia" w:eastAsiaTheme="majorEastAsia"/>
          <w:szCs w:val="21"/>
        </w:rPr>
        <w:t>年    月    日</w:t>
      </w: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rPr>
          <w:rFonts w:asciiTheme="majorEastAsia" w:hAnsiTheme="majorEastAsia" w:eastAsiaTheme="majorEastAsia"/>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p>
    <w:p>
      <w:pPr>
        <w:autoSpaceDE w:val="0"/>
        <w:autoSpaceDN w:val="0"/>
        <w:adjustRightInd w:val="0"/>
        <w:spacing w:line="360" w:lineRule="auto"/>
        <w:jc w:val="center"/>
        <w:outlineLvl w:val="0"/>
        <w:rPr>
          <w:rFonts w:asciiTheme="majorEastAsia" w:hAnsiTheme="majorEastAsia" w:eastAsiaTheme="majorEastAsia"/>
          <w:b/>
          <w:bCs/>
          <w:color w:val="000000"/>
          <w:sz w:val="24"/>
        </w:rPr>
      </w:pPr>
      <w:r>
        <w:rPr>
          <w:rFonts w:hint="eastAsia" w:asciiTheme="majorEastAsia" w:hAnsiTheme="majorEastAsia" w:eastAsiaTheme="majorEastAsia"/>
          <w:b/>
          <w:bCs/>
          <w:color w:val="000000"/>
          <w:sz w:val="24"/>
        </w:rPr>
        <w:t xml:space="preserve">4.8所投产品符合国家强制性要求承诺函 </w:t>
      </w:r>
    </w:p>
    <w:p>
      <w:pPr>
        <w:autoSpaceDE w:val="0"/>
        <w:autoSpaceDN w:val="0"/>
        <w:adjustRightInd w:val="0"/>
        <w:spacing w:line="360" w:lineRule="auto"/>
        <w:jc w:val="center"/>
        <w:outlineLvl w:val="0"/>
        <w:rPr>
          <w:rFonts w:asciiTheme="majorEastAsia" w:hAnsiTheme="majorEastAsia" w:eastAsiaTheme="majorEastAsia"/>
          <w:b/>
          <w:bCs/>
          <w:color w:val="000000"/>
          <w:sz w:val="28"/>
          <w:szCs w:val="28"/>
        </w:rPr>
      </w:pPr>
    </w:p>
    <w:p>
      <w:pPr>
        <w:spacing w:line="360" w:lineRule="auto"/>
        <w:jc w:val="center"/>
        <w:rPr>
          <w:rFonts w:cs="Arial" w:asciiTheme="majorEastAsia" w:hAnsiTheme="majorEastAsia" w:eastAsiaTheme="majorEastAsia"/>
          <w:color w:val="000000"/>
          <w:kern w:val="0"/>
          <w:szCs w:val="21"/>
        </w:rPr>
      </w:pPr>
      <w:r>
        <w:rPr>
          <w:rFonts w:hint="eastAsia" w:cs="Arial" w:asciiTheme="majorEastAsia" w:hAnsiTheme="majorEastAsia" w:eastAsiaTheme="majorEastAsia"/>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Theme="majorEastAsia" w:hAnsiTheme="majorEastAsia" w:eastAsiaTheme="majorEastAsia"/>
          <w:b/>
          <w:bCs/>
          <w:color w:val="000000"/>
          <w:sz w:val="36"/>
          <w:szCs w:val="36"/>
        </w:rPr>
      </w:pPr>
    </w:p>
    <w:p>
      <w:pPr>
        <w:widowControl/>
        <w:wordWrap w:val="0"/>
        <w:spacing w:before="100" w:beforeAutospacing="1" w:after="100" w:afterAutospacing="1" w:line="360" w:lineRule="auto"/>
        <w:jc w:val="left"/>
        <w:rPr>
          <w:rFonts w:cs="仿宋" w:asciiTheme="majorEastAsia" w:hAnsiTheme="majorEastAsia" w:eastAsiaTheme="majorEastAsia"/>
          <w:color w:val="333333"/>
          <w:kern w:val="0"/>
          <w:sz w:val="24"/>
        </w:rPr>
      </w:pPr>
    </w:p>
    <w:p>
      <w:pPr>
        <w:autoSpaceDE w:val="0"/>
        <w:autoSpaceDN w:val="0"/>
        <w:adjustRightInd w:val="0"/>
        <w:jc w:val="center"/>
        <w:outlineLvl w:val="0"/>
        <w:rPr>
          <w:b/>
          <w:sz w:val="24"/>
        </w:rPr>
      </w:pPr>
      <w:bookmarkStart w:id="28" w:name="_Toc24149_WPSOffice_Level1"/>
      <w:bookmarkStart w:id="29" w:name="_Toc24160_WPSOffice_Level1"/>
      <w:bookmarkStart w:id="30" w:name="_Toc16996_WPSOffice_Level1"/>
      <w:r>
        <w:rPr>
          <w:rFonts w:hint="eastAsia" w:ascii="宋体" w:hAnsi="宋体" w:cs="黑体"/>
          <w:b/>
          <w:bCs/>
          <w:sz w:val="24"/>
        </w:rPr>
        <w:t>4.9</w:t>
      </w:r>
      <w:r>
        <w:rPr>
          <w:rFonts w:hint="eastAsia"/>
          <w:b/>
          <w:sz w:val="24"/>
        </w:rPr>
        <w:t>供应商自觉抵制政府采购领域商业贿赂行为承诺书</w:t>
      </w:r>
    </w:p>
    <w:p>
      <w:pPr>
        <w:autoSpaceDE w:val="0"/>
        <w:autoSpaceDN w:val="0"/>
        <w:adjustRightInd w:val="0"/>
        <w:spacing w:line="360" w:lineRule="auto"/>
        <w:jc w:val="center"/>
        <w:rPr>
          <w:rFonts w:cs="黑体" w:asciiTheme="majorEastAsia" w:hAnsiTheme="majorEastAsia" w:eastAsiaTheme="majorEastAsia"/>
          <w:b/>
          <w:bCs/>
          <w:sz w:val="28"/>
          <w:szCs w:val="28"/>
          <w:lang w:val="zh-CN"/>
        </w:rPr>
      </w:pPr>
    </w:p>
    <w:p>
      <w:pPr>
        <w:autoSpaceDE w:val="0"/>
        <w:autoSpaceDN w:val="0"/>
        <w:adjustRightInd w:val="0"/>
        <w:spacing w:line="360" w:lineRule="auto"/>
        <w:jc w:val="center"/>
        <w:rPr>
          <w:rFonts w:cs="黑体" w:asciiTheme="majorEastAsia" w:hAnsiTheme="majorEastAsia" w:eastAsiaTheme="majorEastAsia"/>
          <w:b/>
          <w:bCs/>
          <w:sz w:val="28"/>
          <w:szCs w:val="28"/>
          <w:lang w:val="zh-CN"/>
        </w:rPr>
      </w:pPr>
    </w:p>
    <w:p>
      <w:pPr>
        <w:autoSpaceDE w:val="0"/>
        <w:autoSpaceDN w:val="0"/>
        <w:adjustRightInd w:val="0"/>
        <w:spacing w:line="360" w:lineRule="auto"/>
        <w:rPr>
          <w:rFonts w:cs="黑体" w:asciiTheme="majorEastAsia" w:hAnsiTheme="majorEastAsia" w:eastAsiaTheme="majorEastAsia"/>
          <w:b/>
          <w:bCs/>
          <w:sz w:val="28"/>
          <w:szCs w:val="28"/>
          <w:lang w:val="zh-CN"/>
        </w:rPr>
      </w:pPr>
    </w:p>
    <w:p>
      <w:pPr>
        <w:autoSpaceDE w:val="0"/>
        <w:autoSpaceDN w:val="0"/>
        <w:adjustRightInd w:val="0"/>
        <w:spacing w:line="360" w:lineRule="auto"/>
        <w:jc w:val="center"/>
        <w:rPr>
          <w:rFonts w:cs="黑体" w:asciiTheme="majorEastAsia" w:hAnsiTheme="majorEastAsia" w:eastAsiaTheme="majorEastAsia"/>
          <w:b/>
          <w:bCs/>
          <w:sz w:val="28"/>
          <w:szCs w:val="28"/>
          <w:lang w:val="zh-CN"/>
        </w:rPr>
      </w:pPr>
      <w:r>
        <w:rPr>
          <w:rFonts w:hint="eastAsia" w:cs="黑体" w:asciiTheme="majorEastAsia" w:hAnsiTheme="majorEastAsia" w:eastAsiaTheme="majorEastAsia"/>
          <w:b/>
          <w:bCs/>
          <w:sz w:val="28"/>
          <w:szCs w:val="28"/>
          <w:lang w:val="zh-CN"/>
        </w:rPr>
        <w:t>五、</w:t>
      </w:r>
      <w:r>
        <w:rPr>
          <w:rFonts w:cs="黑体" w:asciiTheme="majorEastAsia" w:hAnsiTheme="majorEastAsia" w:eastAsiaTheme="majorEastAsia"/>
          <w:b/>
          <w:bCs/>
          <w:sz w:val="28"/>
          <w:szCs w:val="28"/>
          <w:lang w:val="zh-CN"/>
        </w:rPr>
        <w:t>其他资料（若有）</w:t>
      </w:r>
      <w:bookmarkEnd w:id="28"/>
      <w:bookmarkEnd w:id="29"/>
      <w:bookmarkEnd w:id="30"/>
    </w:p>
    <w:p>
      <w:pPr>
        <w:rPr>
          <w:rFonts w:asciiTheme="majorEastAsia" w:hAnsiTheme="majorEastAsia" w:eastAsiaTheme="majorEastAsia" w:cstheme="minorBidi"/>
          <w:szCs w:val="22"/>
        </w:rPr>
      </w:pPr>
    </w:p>
    <w:p>
      <w:pPr>
        <w:rPr>
          <w:rFonts w:asciiTheme="majorEastAsia" w:hAnsiTheme="majorEastAsia" w:eastAsiaTheme="majorEastAsia" w:cstheme="minorBidi"/>
          <w:szCs w:val="22"/>
        </w:rPr>
      </w:pPr>
    </w:p>
    <w:p>
      <w:pPr>
        <w:rPr>
          <w:rFonts w:asciiTheme="majorEastAsia" w:hAnsiTheme="majorEastAsia" w:eastAsiaTheme="majorEastAsia" w:cstheme="minorBidi"/>
          <w:szCs w:val="22"/>
        </w:rPr>
      </w:pPr>
    </w:p>
    <w:p>
      <w:pPr>
        <w:spacing w:line="360" w:lineRule="auto"/>
        <w:jc w:val="center"/>
        <w:rPr>
          <w:rFonts w:asciiTheme="majorEastAsia" w:hAnsiTheme="majorEastAsia" w:eastAsiaTheme="majorEastAsia" w:cstheme="minorBidi"/>
          <w:b/>
          <w:bCs/>
          <w:color w:val="000000"/>
          <w:sz w:val="28"/>
          <w:szCs w:val="28"/>
        </w:rPr>
      </w:pPr>
      <w:r>
        <w:rPr>
          <w:rFonts w:asciiTheme="majorEastAsia" w:hAnsiTheme="majorEastAsia" w:eastAsiaTheme="majorEastAsia" w:cstheme="minorBidi"/>
          <w:b/>
          <w:bCs/>
          <w:color w:val="000000"/>
          <w:sz w:val="28"/>
          <w:szCs w:val="28"/>
        </w:rPr>
        <w:t>除招标文件另有规定外，投标人认为需要提交的其他证明材料或资料加盖投标人的单位公章后应在此项下提交。</w:t>
      </w:r>
    </w:p>
    <w:p>
      <w:pPr>
        <w:autoSpaceDE w:val="0"/>
        <w:autoSpaceDN w:val="0"/>
        <w:adjustRightInd w:val="0"/>
        <w:jc w:val="center"/>
        <w:outlineLvl w:val="0"/>
        <w:rPr>
          <w:rFonts w:cs="仿宋" w:asciiTheme="majorEastAsia" w:hAnsiTheme="majorEastAsia" w:eastAsiaTheme="majorEastAsia"/>
          <w:b/>
          <w:sz w:val="30"/>
          <w:szCs w:val="30"/>
        </w:rPr>
      </w:pPr>
    </w:p>
    <w:p>
      <w:pPr>
        <w:autoSpaceDE w:val="0"/>
        <w:autoSpaceDN w:val="0"/>
        <w:adjustRightInd w:val="0"/>
        <w:jc w:val="center"/>
        <w:outlineLvl w:val="0"/>
        <w:rPr>
          <w:rFonts w:cs="仿宋" w:asciiTheme="majorEastAsia" w:hAnsiTheme="majorEastAsia" w:eastAsiaTheme="majorEastAsia"/>
          <w:b/>
          <w:sz w:val="30"/>
          <w:szCs w:val="30"/>
        </w:rPr>
      </w:pPr>
    </w:p>
    <w:p>
      <w:pPr>
        <w:pStyle w:val="7"/>
        <w:spacing w:before="60" w:afterLines="50" w:line="320" w:lineRule="exact"/>
        <w:ind w:firstLine="0" w:firstLineChars="0"/>
        <w:rPr>
          <w:rFonts w:cs="仿宋" w:asciiTheme="majorEastAsia" w:hAnsiTheme="majorEastAsia" w:eastAsiaTheme="majorEastAsia"/>
          <w:color w:val="000000"/>
          <w:szCs w:val="24"/>
        </w:rPr>
      </w:pPr>
    </w:p>
    <w:p>
      <w:pPr>
        <w:rPr>
          <w:rFonts w:cs="仿宋" w:asciiTheme="majorEastAsia" w:hAnsiTheme="majorEastAsia" w:eastAsiaTheme="majorEastAsia"/>
        </w:rPr>
      </w:pPr>
    </w:p>
    <w:p>
      <w:pPr>
        <w:widowControl/>
        <w:wordWrap w:val="0"/>
        <w:spacing w:before="100" w:beforeAutospacing="1" w:after="100" w:afterAutospacing="1" w:line="360" w:lineRule="exact"/>
        <w:jc w:val="left"/>
        <w:rPr>
          <w:rFonts w:cs="仿宋" w:asciiTheme="majorEastAsia" w:hAnsiTheme="majorEastAsia" w:eastAsiaTheme="majorEastAsia"/>
          <w:b/>
          <w:color w:val="333333"/>
          <w:kern w:val="0"/>
          <w:sz w:val="28"/>
          <w:szCs w:val="28"/>
        </w:rPr>
      </w:pPr>
    </w:p>
    <w:p>
      <w:pPr>
        <w:widowControl/>
        <w:wordWrap w:val="0"/>
        <w:spacing w:before="100" w:beforeAutospacing="1" w:after="100" w:afterAutospacing="1" w:line="360" w:lineRule="exact"/>
        <w:jc w:val="left"/>
        <w:rPr>
          <w:rFonts w:cs="仿宋" w:asciiTheme="majorEastAsia" w:hAnsiTheme="majorEastAsia" w:eastAsiaTheme="majorEastAsia"/>
          <w:color w:val="333333"/>
          <w:kern w:val="0"/>
          <w:sz w:val="24"/>
        </w:rPr>
      </w:pPr>
    </w:p>
    <w:p>
      <w:pPr>
        <w:widowControl/>
        <w:wordWrap w:val="0"/>
        <w:spacing w:before="100" w:beforeAutospacing="1" w:after="100" w:afterAutospacing="1" w:line="360" w:lineRule="exact"/>
        <w:jc w:val="center"/>
        <w:rPr>
          <w:rFonts w:cs="仿宋" w:asciiTheme="majorEastAsia" w:hAnsiTheme="majorEastAsia" w:eastAsiaTheme="majorEastAsia"/>
          <w:b/>
          <w:color w:val="333333"/>
          <w:kern w:val="0"/>
          <w:sz w:val="24"/>
        </w:rPr>
      </w:pPr>
    </w:p>
    <w:p>
      <w:pPr>
        <w:widowControl/>
        <w:wordWrap w:val="0"/>
        <w:spacing w:before="100" w:beforeAutospacing="1" w:after="100" w:afterAutospacing="1" w:line="360" w:lineRule="exact"/>
        <w:jc w:val="center"/>
        <w:rPr>
          <w:rFonts w:cs="仿宋" w:asciiTheme="majorEastAsia" w:hAnsiTheme="majorEastAsia" w:eastAsiaTheme="majorEastAsia"/>
          <w:b/>
          <w:color w:val="333333"/>
          <w:kern w:val="0"/>
          <w:sz w:val="24"/>
        </w:rPr>
      </w:pPr>
    </w:p>
    <w:p>
      <w:pPr>
        <w:widowControl/>
        <w:spacing w:before="100" w:beforeAutospacing="1" w:after="100" w:afterAutospacing="1" w:line="360" w:lineRule="auto"/>
        <w:jc w:val="center"/>
        <w:rPr>
          <w:rFonts w:cs="仿宋" w:asciiTheme="majorEastAsia" w:hAnsiTheme="majorEastAsia" w:eastAsiaTheme="majorEastAsia"/>
          <w:b/>
          <w:bCs/>
          <w:sz w:val="36"/>
          <w:szCs w:val="36"/>
        </w:rPr>
      </w:pPr>
    </w:p>
    <w:p>
      <w:pPr>
        <w:widowControl/>
        <w:spacing w:before="100" w:beforeAutospacing="1" w:after="100" w:afterAutospacing="1" w:line="360" w:lineRule="auto"/>
        <w:rPr>
          <w:rFonts w:cs="仿宋" w:asciiTheme="majorEastAsia" w:hAnsiTheme="majorEastAsia" w:eastAsiaTheme="majorEastAsia"/>
          <w:b/>
          <w:bCs/>
          <w:sz w:val="36"/>
          <w:szCs w:val="36"/>
        </w:rPr>
      </w:pPr>
    </w:p>
    <w:p>
      <w:pPr>
        <w:jc w:val="center"/>
        <w:rPr>
          <w:rFonts w:cs="仿宋" w:asciiTheme="majorEastAsia" w:hAnsiTheme="majorEastAsia" w:eastAsiaTheme="majorEastAsia"/>
          <w:sz w:val="32"/>
          <w:szCs w:val="32"/>
        </w:rPr>
      </w:pPr>
    </w:p>
    <w:p>
      <w:pPr>
        <w:jc w:val="center"/>
        <w:rPr>
          <w:rFonts w:cs="仿宋" w:asciiTheme="majorEastAsia" w:hAnsiTheme="majorEastAsia" w:eastAsiaTheme="majorEastAsia"/>
          <w:sz w:val="32"/>
          <w:szCs w:val="32"/>
        </w:rPr>
      </w:pPr>
    </w:p>
    <w:p>
      <w:pPr>
        <w:jc w:val="center"/>
        <w:rPr>
          <w:rFonts w:cs="仿宋" w:asciiTheme="majorEastAsia" w:hAnsiTheme="majorEastAsia" w:eastAsiaTheme="majorEastAsia"/>
          <w:sz w:val="32"/>
          <w:szCs w:val="32"/>
        </w:rPr>
      </w:pPr>
    </w:p>
    <w:p>
      <w:pPr>
        <w:jc w:val="center"/>
        <w:rPr>
          <w:rFonts w:cs="仿宋" w:asciiTheme="majorEastAsia" w:hAnsiTheme="majorEastAsia" w:eastAsiaTheme="majorEastAsia"/>
          <w:sz w:val="32"/>
          <w:szCs w:val="32"/>
        </w:rPr>
      </w:pPr>
    </w:p>
    <w:p>
      <w:pPr>
        <w:jc w:val="center"/>
        <w:rPr>
          <w:rFonts w:cs="仿宋" w:asciiTheme="majorEastAsia" w:hAnsiTheme="majorEastAsia" w:eastAsiaTheme="majorEastAsia"/>
          <w:sz w:val="32"/>
          <w:szCs w:val="32"/>
        </w:rPr>
      </w:pPr>
    </w:p>
    <w:p>
      <w:pPr>
        <w:jc w:val="center"/>
        <w:rPr>
          <w:rFonts w:cs="仿宋" w:asciiTheme="majorEastAsia" w:hAnsiTheme="majorEastAsia" w:eastAsiaTheme="majorEastAsia"/>
          <w:sz w:val="32"/>
          <w:szCs w:val="32"/>
        </w:rPr>
      </w:pPr>
    </w:p>
    <w:sectPr>
      <w:headerReference r:id="rId9" w:type="default"/>
      <w:footerReference r:id="rId10" w:type="default"/>
      <w:pgSz w:w="11906" w:h="16838"/>
      <w:pgMar w:top="1440"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12" o:spid="_x0000_s1031"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dY11K8BAABMAwAADgAAAGRycy9lMm9Eb2MueG1srVPNahsxEL4H8g5C&#10;91hrE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BrShy3OKL9zx/7X6/7l+9kOsv96UOsMe0pYGIaPvoB5zz6Izqz7EGBzV8U&#10;RDCOnd6duiuHRER+NJ/N5xWGBMbGC+Kz8/MAMX2S3pJsNBRwfKWrfPs5pkPqmJKrOX+vjSkjNO4v&#10;B2JmD8vcDxyzlYbVcBS08u0O9fQ4+YY6XE1KzIPDxuYlGQ0YjdVobALodVe2KNeL4XaTkEThlisc&#10;YI+FcWRF3XG98k78eS9Z559g+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SdY11K8BAABM&#10;AwAADgAAAAAAAAABACAAAAAeAQAAZHJzL2Uyb0RvYy54bWxQSwUGAAAAAAYABgBZAQAAPwUAAAAA&#10;">
          <v:path/>
          <v:fill on="f" focussize="0,0"/>
          <v:stroke on="f" joinstyle="miter"/>
          <v:imagedata o:title=""/>
          <o:lock v:ext="edit"/>
          <v:textbox inset="0mm,0mm,0mm,0mm" style="mso-fit-shape-to-text:t;">
            <w:txbxContent>
              <w:p>
                <w:pPr>
                  <w:pStyle w:val="17"/>
                  <w:rPr>
                    <w:rFonts w:eastAsia="宋体"/>
                  </w:rPr>
                </w:pPr>
                <w:r>
                  <w:rPr>
                    <w:rFonts w:hint="eastAsia"/>
                  </w:rPr>
                  <w:fldChar w:fldCharType="begin"/>
                </w:r>
                <w:r>
                  <w:instrText xml:space="preserve"> PAGE  \* MERGEFORMAT </w:instrText>
                </w:r>
                <w:r>
                  <w:rPr>
                    <w:rFonts w:hint="eastAsia"/>
                  </w:rPr>
                  <w:fldChar w:fldCharType="separate"/>
                </w:r>
                <w:r>
                  <w:rPr>
                    <w:rFonts w:hint="eastAsia"/>
                  </w:rPr>
                  <w:t>2</w:t>
                </w:r>
                <w:r>
                  <w:rPr>
                    <w:rFonts w:hint="eastAsia"/>
                  </w:rPr>
                  <w:fldChar w:fldCharType="end"/>
                </w:r>
              </w:p>
            </w:txbxContent>
          </v:textbox>
        </v:shape>
      </w:pict>
    </w:r>
    <w:r>
      <w:pict>
        <v:shape id="文本框1" o:spid="_x0000_s1030" o:spt="202" type="#_x0000_t202" style="position:absolute;left:0pt;margin-left:0pt;margin-top:0pt;height:10.35pt;width:9.05pt;mso-position-horizontal-relative:margin;mso-wrap-style:none;z-index:25165414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5X5J0AAAAAMBAAAPAAAAAAAAAAEAIAAAACIAAABkcnMvZG93bnJldi54bWxQSwECFAAUAAAACACH&#10;TuJA7bQqTvMBAADCAwAADgAAAAAAAAABACAAAAAfAQAAZHJzL2Uyb0RvYy54bWxQSwUGAAAAAAYA&#10;BgBZAQAAhAUAAAAA&#10;">
          <v:path/>
          <v:fill on="f" focussize="0,0"/>
          <v:stroke on="f"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13"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bXwBbABAABMAwAADgAAAGRycy9lMm9Eb2MueG1srVNLbtswEN0X6B0I&#10;7mvKLhI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9HPuTx9ijWl3ARPT8NUPOOfRH9GZZQ8KbP6i&#10;IIJx7PTu1F05JCLyo/lsPq8wJDA2XhCfvT0PENM36S3JRkMBx1e6yrfXMR1Sx5RczfkrbUwZoXHv&#10;HIiZPSxzP3DMVhpWw1HQyrc71NPj5BvqcDUpMd8dNjYvyWjAaKxGYxNAr7uyRbleDF82CUkUbrnC&#10;AfZYGEdW1B3XK+/E7/eS9fYTL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OG18AWwAQAA&#10;TAMAAA4AAAAAAAAAAQAgAAAAHgEAAGRycy9lMm9Eb2MueG1sUEsFBgAAAAAGAAYAWQEAAEAFAAAA&#10;AA==&#10;">
          <v:path/>
          <v:fill on="f" focussize="0,0"/>
          <v:stroke on="f" joinstyle="miter"/>
          <v:imagedata o:title=""/>
          <o:lock v:ext="edit"/>
          <v:textbox inset="0mm,0mm,0mm,0mm" style="mso-fit-shape-to-text:t;">
            <w:txbxContent>
              <w:p>
                <w:pPr>
                  <w:pStyle w:val="17"/>
                  <w:rPr>
                    <w:rFonts w:eastAsia="宋体"/>
                  </w:rPr>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Text Box 5" o:spid="_x0000_s1028" o:spt="202" type="#_x0000_t202" style="position:absolute;left:0pt;margin-top:2.25pt;height:12.05pt;width:10.55pt;mso-position-horizontal:center;mso-position-horizontal-relative:margin;mso-wrap-style:none;z-index:251655168;mso-width-relative:page;mso-height-relative:page;" filled="f" stroked="f" coordsize="21600,21600" o:gfxdata="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F4J3tIAAAAEAQAADwAA&#10;AAAAAAABACAAAAAiAAAAZHJzL2Rvd25yZXYueG1sUEsBAhQAFAAAAAgAh07iQLS3zXLjAQAAwQMA&#10;AA4AAAAAAAAAAQAgAAAAIQEAAGRycy9lMm9Eb2MueG1sUEsFBgAAAAAGAAYAWQEAAHY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b/>
                    <w:bCs/>
                    <w:sz w:val="18"/>
                  </w:rPr>
                  <w:t>57</w:t>
                </w:r>
                <w:r>
                  <w:rPr>
                    <w:rFonts w:hint="eastAsia"/>
                    <w:sz w:val="18"/>
                  </w:rPr>
                  <w:fldChar w:fldCharType="end"/>
                </w:r>
              </w:p>
            </w:txbxContent>
          </v:textbox>
        </v:shape>
      </w:pict>
    </w:r>
    <w:r>
      <w:pict>
        <v:shape id="Text Box 4" o:spid="_x0000_s1027" o:spt="202" type="#_x0000_t202" style="position:absolute;left:0pt;margin-left:0pt;margin-top:0pt;height:10.35pt;width:9.05pt;mso-position-horizontal-relative:margin;mso-wrap-style:none;z-index:25165312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lfknQAAAAAwEAAA8AAAAA&#10;AAAAAQAgAAAAIgAAAGRycy9kb3ducmV2LnhtbFBLAQIUABQAAAAIAIdO4kDzuRYP4wEAAMEDAAAO&#10;AAAAAAAAAAEAIAAAAB8BAABkcnMvZTJvRG9jLnhtbFBLBQYAAAAABgAGAFkBAAB0BQAAAAA=&#10;">
          <v:path/>
          <v:fill on="f" focussize="0,0"/>
          <v:stroke on="f" joinstyle="miter"/>
          <v:imagedata o:title=""/>
          <o:lock v:ext="edit"/>
          <v:textbox inset="0mm,0mm,0mm,0mm" style="mso-fit-shape-to-text:t;">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eastAsia="宋体"/>
      </w:rPr>
    </w:pPr>
  </w:p>
  <w:p>
    <w:pPr>
      <w:pStyle w:val="18"/>
      <w:pBdr>
        <w:bottom w:val="dashSmallGap" w:color="auto" w:sz="4" w:space="1"/>
      </w:pBdr>
      <w:jc w:val="center"/>
      <w:rPr>
        <w:sz w:val="24"/>
      </w:rPr>
    </w:pPr>
    <w:r>
      <w:rPr>
        <w:sz w:val="24"/>
      </w:rPr>
      <w:pict>
        <v:shape id="Text Box 7" o:spid="_x0000_s1032" o:spt="202" type="#_x0000_t202" style="position:absolute;left:0pt;margin-left:155.75pt;margin-top:-3.75pt;height:25.65pt;width:4.6pt;mso-position-horizontal-relative:margin;mso-wrap-style:none;z-index:251659264;mso-width-relative:page;mso-height-relative:page;" filled="f" stroked="f" coordsize="21600,21600" o:gfxdata="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&#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8eUt1wAAAAkBAAAPAAAAAAAAAAEAIAAAACIAAABk&#10;cnMvZG93bnJldi54bWxQSwECFAAUAAAACACHTuJAGzHOd5UBAAAtAwAADgAAAAAAAAABACAAAAAm&#10;AQAAZHJzL2Uyb0RvYy54bWxQSwUGAAAAAAYABgBZAQAALQUAAAAA&#10;">
          <v:path/>
          <v:fill on="f" focussize="0,0"/>
          <v:stroke on="f" joinstyle="miter"/>
          <v:imagedata o:title=""/>
          <o:lock v:ext="edit"/>
          <v:textbox inset="0mm,0mm,0mm,0mm">
            <w:txbxContent>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dashSmallGap" w:color="auto" w:sz="4" w:space="1"/>
      </w:pBdr>
      <w:jc w:val="center"/>
    </w:pPr>
    <w:r>
      <w:pict>
        <v:shape id="Text Box 11" o:spid="_x0000_s1029" o:spt="202" type="#_x0000_t202" style="position:absolute;left:0pt;margin-top:0pt;height:13pt;width:9.15pt;mso-position-horizontal:center;mso-position-horizontal-relative:margin;mso-wrap-style:none;z-index:251661312;mso-width-relative:page;mso-height-relative:page;" filled="f" stroked="f" coordsize="21600,21600" o:gfxdata="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Fe1rQAAAAAwEAAA8AAAAA&#10;AAAAAQAgAAAAIgAAAGRycy9kb3ducmV2LnhtbFBLAQIUABQAAAAIAIdO4kCdIbpU4wEAAMIDAAAO&#10;AAAAAAAAAAEAIAAAAB8BAABkcnMvZTJvRG9jLnhtbFBLBQYAAAAABgAGAFkBAAB0BQAAAAA=&#10;">
          <v:path/>
          <v:fill on="f" focussize="0,0"/>
          <v:stroke on="f" joinstyle="miter"/>
          <v:imagedata o:title=""/>
          <o:lock v:ext="edit"/>
          <v:textbox inset="0mm,0mm,0mm,0mm" style="mso-fit-shape-to-text:t;">
            <w:txbxContent>
              <w:p>
                <w:pPr>
                  <w:pStyle w:val="18"/>
                  <w:rPr>
                    <w:rFonts w:eastAsia="宋体"/>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854AA2"/>
    <w:multiLevelType w:val="singleLevel"/>
    <w:tmpl w:val="9D854AA2"/>
    <w:lvl w:ilvl="0" w:tentative="0">
      <w:start w:val="1"/>
      <w:numFmt w:val="decimal"/>
      <w:suff w:val="nothing"/>
      <w:lvlText w:val="%1、"/>
      <w:lvlJc w:val="left"/>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8EA743F"/>
    <w:multiLevelType w:val="multilevel"/>
    <w:tmpl w:val="18EA743F"/>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311DEE"/>
    <w:multiLevelType w:val="multilevel"/>
    <w:tmpl w:val="1D311DEE"/>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1"/>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7">
    <w:nsid w:val="35703775"/>
    <w:multiLevelType w:val="multilevel"/>
    <w:tmpl w:val="35703775"/>
    <w:lvl w:ilvl="0" w:tentative="0">
      <w:start w:val="7"/>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9A414E2"/>
    <w:multiLevelType w:val="multilevel"/>
    <w:tmpl w:val="39A414E2"/>
    <w:lvl w:ilvl="0" w:tentative="0">
      <w:start w:val="36"/>
      <w:numFmt w:val="decimal"/>
      <w:lvlText w:val="%1.1 "/>
      <w:lvlJc w:val="left"/>
      <w:pPr>
        <w:ind w:left="964" w:hanging="544"/>
      </w:pPr>
      <w:rPr>
        <w:rFonts w:hint="eastAsia"/>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563B5F73"/>
    <w:multiLevelType w:val="multilevel"/>
    <w:tmpl w:val="563B5F73"/>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F817E8"/>
    <w:multiLevelType w:val="singleLevel"/>
    <w:tmpl w:val="59F817E8"/>
    <w:lvl w:ilvl="0" w:tentative="0">
      <w:start w:val="1"/>
      <w:numFmt w:val="chineseCounting"/>
      <w:pStyle w:val="97"/>
      <w:suff w:val="nothing"/>
      <w:lvlText w:val="%1、"/>
      <w:lvlJc w:val="left"/>
      <w:rPr>
        <w:rFonts w:cs="Times New Roman"/>
      </w:rPr>
    </w:lvl>
  </w:abstractNum>
  <w:abstractNum w:abstractNumId="12">
    <w:nsid w:val="5AA77FB2"/>
    <w:multiLevelType w:val="singleLevel"/>
    <w:tmpl w:val="5AA77FB2"/>
    <w:lvl w:ilvl="0" w:tentative="0">
      <w:start w:val="3"/>
      <w:numFmt w:val="decimal"/>
      <w:suff w:val="nothing"/>
      <w:lvlText w:val="%1、"/>
      <w:lvlJc w:val="left"/>
    </w:lvl>
  </w:abstractNum>
  <w:abstractNum w:abstractNumId="13">
    <w:nsid w:val="5AC34002"/>
    <w:multiLevelType w:val="singleLevel"/>
    <w:tmpl w:val="5AC34002"/>
    <w:lvl w:ilvl="0" w:tentative="0">
      <w:start w:val="1"/>
      <w:numFmt w:val="chineseCounting"/>
      <w:suff w:val="nothing"/>
      <w:lvlText w:val="%1、"/>
      <w:lvlJc w:val="left"/>
      <w:rPr>
        <w:rFonts w:hint="eastAsia"/>
      </w:rPr>
    </w:lvl>
  </w:abstractNum>
  <w:abstractNum w:abstractNumId="14">
    <w:nsid w:val="6A7B4455"/>
    <w:multiLevelType w:val="multilevel"/>
    <w:tmpl w:val="6A7B4455"/>
    <w:lvl w:ilvl="0" w:tentative="0">
      <w:start w:val="1"/>
      <w:numFmt w:val="decimal"/>
      <w:lvlText w:val="%1.1 "/>
      <w:lvlJc w:val="left"/>
      <w:pPr>
        <w:ind w:left="964" w:hanging="544"/>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5">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9B67D0"/>
    <w:multiLevelType w:val="multilevel"/>
    <w:tmpl w:val="7D9B67D0"/>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180" w:firstLine="0"/>
      </w:pPr>
      <w:rPr>
        <w:rFonts w:hint="eastAsia"/>
      </w:rPr>
    </w:lvl>
    <w:lvl w:ilvl="2" w:tentative="0">
      <w:start w:val="1"/>
      <w:numFmt w:val="chineseCountingThousand"/>
      <w:suff w:val="nothing"/>
      <w:lvlText w:val="(%3)"/>
      <w:lvlJc w:val="left"/>
      <w:pPr>
        <w:ind w:left="36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pStyle w:val="6"/>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7"/>
  </w:num>
  <w:num w:numId="2">
    <w:abstractNumId w:val="11"/>
  </w:num>
  <w:num w:numId="3">
    <w:abstractNumId w:val="13"/>
  </w:num>
  <w:num w:numId="4">
    <w:abstractNumId w:val="0"/>
  </w:num>
  <w:num w:numId="5">
    <w:abstractNumId w:val="6"/>
  </w:num>
  <w:num w:numId="6">
    <w:abstractNumId w:val="14"/>
  </w:num>
  <w:num w:numId="7">
    <w:abstractNumId w:val="15"/>
  </w:num>
  <w:num w:numId="8">
    <w:abstractNumId w:val="9"/>
  </w:num>
  <w:num w:numId="9">
    <w:abstractNumId w:val="7"/>
  </w:num>
  <w:num w:numId="10">
    <w:abstractNumId w:val="3"/>
  </w:num>
  <w:num w:numId="11">
    <w:abstractNumId w:val="4"/>
  </w:num>
  <w:num w:numId="12">
    <w:abstractNumId w:val="16"/>
  </w:num>
  <w:num w:numId="13">
    <w:abstractNumId w:val="2"/>
  </w:num>
  <w:num w:numId="14">
    <w:abstractNumId w:val="5"/>
  </w:num>
  <w:num w:numId="15">
    <w:abstractNumId w:val="10"/>
  </w:num>
  <w:num w:numId="16">
    <w:abstractNumId w:val="8"/>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2A78"/>
    <w:rsid w:val="00032E95"/>
    <w:rsid w:val="00037CFD"/>
    <w:rsid w:val="000468DA"/>
    <w:rsid w:val="000515BF"/>
    <w:rsid w:val="00051673"/>
    <w:rsid w:val="00053A88"/>
    <w:rsid w:val="00054368"/>
    <w:rsid w:val="00055D15"/>
    <w:rsid w:val="00070530"/>
    <w:rsid w:val="000717B0"/>
    <w:rsid w:val="00071E6B"/>
    <w:rsid w:val="0007694D"/>
    <w:rsid w:val="000A5558"/>
    <w:rsid w:val="000D146D"/>
    <w:rsid w:val="000E13ED"/>
    <w:rsid w:val="000E2707"/>
    <w:rsid w:val="000E56F2"/>
    <w:rsid w:val="00124D6C"/>
    <w:rsid w:val="00127DD3"/>
    <w:rsid w:val="00137150"/>
    <w:rsid w:val="0014051C"/>
    <w:rsid w:val="001522CF"/>
    <w:rsid w:val="00190E7F"/>
    <w:rsid w:val="001932BA"/>
    <w:rsid w:val="00195C5B"/>
    <w:rsid w:val="001B17C2"/>
    <w:rsid w:val="001B1E1B"/>
    <w:rsid w:val="001E7820"/>
    <w:rsid w:val="001F49A0"/>
    <w:rsid w:val="00203C5C"/>
    <w:rsid w:val="00204BF8"/>
    <w:rsid w:val="00207DA9"/>
    <w:rsid w:val="0021014E"/>
    <w:rsid w:val="002127A4"/>
    <w:rsid w:val="002250D4"/>
    <w:rsid w:val="002344F6"/>
    <w:rsid w:val="0026083F"/>
    <w:rsid w:val="002B5ECB"/>
    <w:rsid w:val="002E33A4"/>
    <w:rsid w:val="002E346E"/>
    <w:rsid w:val="002F02B1"/>
    <w:rsid w:val="00304977"/>
    <w:rsid w:val="003156FE"/>
    <w:rsid w:val="003226C6"/>
    <w:rsid w:val="0032644E"/>
    <w:rsid w:val="00364211"/>
    <w:rsid w:val="00375124"/>
    <w:rsid w:val="003765C3"/>
    <w:rsid w:val="00377A56"/>
    <w:rsid w:val="00384950"/>
    <w:rsid w:val="00386A6B"/>
    <w:rsid w:val="003C5F1D"/>
    <w:rsid w:val="003D1A78"/>
    <w:rsid w:val="003F6AC1"/>
    <w:rsid w:val="0041430D"/>
    <w:rsid w:val="004213C8"/>
    <w:rsid w:val="0043234A"/>
    <w:rsid w:val="00436A78"/>
    <w:rsid w:val="00437C36"/>
    <w:rsid w:val="00450B5A"/>
    <w:rsid w:val="00454903"/>
    <w:rsid w:val="0047448D"/>
    <w:rsid w:val="00474A07"/>
    <w:rsid w:val="00480677"/>
    <w:rsid w:val="004904EA"/>
    <w:rsid w:val="00492C7D"/>
    <w:rsid w:val="004B029B"/>
    <w:rsid w:val="004E6B89"/>
    <w:rsid w:val="004E77D5"/>
    <w:rsid w:val="0051767C"/>
    <w:rsid w:val="00520ABD"/>
    <w:rsid w:val="00545109"/>
    <w:rsid w:val="00571271"/>
    <w:rsid w:val="00590B8F"/>
    <w:rsid w:val="005B21E8"/>
    <w:rsid w:val="005D6C17"/>
    <w:rsid w:val="0060067D"/>
    <w:rsid w:val="006235FE"/>
    <w:rsid w:val="00623916"/>
    <w:rsid w:val="0064164D"/>
    <w:rsid w:val="00655158"/>
    <w:rsid w:val="00662FF6"/>
    <w:rsid w:val="00675C67"/>
    <w:rsid w:val="006815D5"/>
    <w:rsid w:val="00693BBD"/>
    <w:rsid w:val="006A70F5"/>
    <w:rsid w:val="006C2E78"/>
    <w:rsid w:val="006C3AA5"/>
    <w:rsid w:val="006C44E3"/>
    <w:rsid w:val="006C4F35"/>
    <w:rsid w:val="006C79BF"/>
    <w:rsid w:val="006D003A"/>
    <w:rsid w:val="006F0A80"/>
    <w:rsid w:val="006F26C6"/>
    <w:rsid w:val="006F7CD1"/>
    <w:rsid w:val="007131BE"/>
    <w:rsid w:val="00721005"/>
    <w:rsid w:val="007370C1"/>
    <w:rsid w:val="0075615D"/>
    <w:rsid w:val="007645E9"/>
    <w:rsid w:val="00772F5F"/>
    <w:rsid w:val="0077546A"/>
    <w:rsid w:val="007913EA"/>
    <w:rsid w:val="00791EDA"/>
    <w:rsid w:val="007B1328"/>
    <w:rsid w:val="007B275E"/>
    <w:rsid w:val="007B410E"/>
    <w:rsid w:val="007D1CC9"/>
    <w:rsid w:val="007D387D"/>
    <w:rsid w:val="007D47A2"/>
    <w:rsid w:val="007E5924"/>
    <w:rsid w:val="00801D72"/>
    <w:rsid w:val="0080586B"/>
    <w:rsid w:val="00806BC1"/>
    <w:rsid w:val="00824D97"/>
    <w:rsid w:val="00831D77"/>
    <w:rsid w:val="00837413"/>
    <w:rsid w:val="0084042F"/>
    <w:rsid w:val="00843942"/>
    <w:rsid w:val="0085292D"/>
    <w:rsid w:val="00887D58"/>
    <w:rsid w:val="00894E28"/>
    <w:rsid w:val="008A1697"/>
    <w:rsid w:val="008A1C2E"/>
    <w:rsid w:val="008D0FF4"/>
    <w:rsid w:val="008E11D9"/>
    <w:rsid w:val="008E1864"/>
    <w:rsid w:val="008E6848"/>
    <w:rsid w:val="00904666"/>
    <w:rsid w:val="00904FCE"/>
    <w:rsid w:val="009073CB"/>
    <w:rsid w:val="0091654A"/>
    <w:rsid w:val="00916745"/>
    <w:rsid w:val="009226B2"/>
    <w:rsid w:val="00933393"/>
    <w:rsid w:val="00951E47"/>
    <w:rsid w:val="0095465F"/>
    <w:rsid w:val="00962A68"/>
    <w:rsid w:val="0097643C"/>
    <w:rsid w:val="00985EDC"/>
    <w:rsid w:val="009864F3"/>
    <w:rsid w:val="009958A0"/>
    <w:rsid w:val="00996066"/>
    <w:rsid w:val="009B56B8"/>
    <w:rsid w:val="009B6D27"/>
    <w:rsid w:val="009C67F6"/>
    <w:rsid w:val="009E3611"/>
    <w:rsid w:val="009F4E3E"/>
    <w:rsid w:val="009F6705"/>
    <w:rsid w:val="00A11CC7"/>
    <w:rsid w:val="00A25D46"/>
    <w:rsid w:val="00A27993"/>
    <w:rsid w:val="00A3038F"/>
    <w:rsid w:val="00A479EA"/>
    <w:rsid w:val="00A57758"/>
    <w:rsid w:val="00A719BF"/>
    <w:rsid w:val="00A86A7B"/>
    <w:rsid w:val="00AA0E5D"/>
    <w:rsid w:val="00AA33B4"/>
    <w:rsid w:val="00AC2B56"/>
    <w:rsid w:val="00AC37A9"/>
    <w:rsid w:val="00AD531A"/>
    <w:rsid w:val="00AD57E0"/>
    <w:rsid w:val="00AD745F"/>
    <w:rsid w:val="00AD7840"/>
    <w:rsid w:val="00AE2966"/>
    <w:rsid w:val="00B0227D"/>
    <w:rsid w:val="00B0679B"/>
    <w:rsid w:val="00B1559E"/>
    <w:rsid w:val="00B1634A"/>
    <w:rsid w:val="00B2616B"/>
    <w:rsid w:val="00B51406"/>
    <w:rsid w:val="00B52C26"/>
    <w:rsid w:val="00B61B41"/>
    <w:rsid w:val="00B63731"/>
    <w:rsid w:val="00B816CE"/>
    <w:rsid w:val="00B87F5B"/>
    <w:rsid w:val="00B90355"/>
    <w:rsid w:val="00B91933"/>
    <w:rsid w:val="00B94A24"/>
    <w:rsid w:val="00BB4FDB"/>
    <w:rsid w:val="00BC274C"/>
    <w:rsid w:val="00BF2EFA"/>
    <w:rsid w:val="00BF3FDE"/>
    <w:rsid w:val="00C05B23"/>
    <w:rsid w:val="00C06468"/>
    <w:rsid w:val="00C1498E"/>
    <w:rsid w:val="00C3238D"/>
    <w:rsid w:val="00C35193"/>
    <w:rsid w:val="00C44628"/>
    <w:rsid w:val="00C632E4"/>
    <w:rsid w:val="00C66717"/>
    <w:rsid w:val="00C70D89"/>
    <w:rsid w:val="00C8335E"/>
    <w:rsid w:val="00C851EC"/>
    <w:rsid w:val="00CA3EE9"/>
    <w:rsid w:val="00CA7858"/>
    <w:rsid w:val="00CB271F"/>
    <w:rsid w:val="00CB712F"/>
    <w:rsid w:val="00CC146F"/>
    <w:rsid w:val="00CC38DD"/>
    <w:rsid w:val="00CD584A"/>
    <w:rsid w:val="00CD5E35"/>
    <w:rsid w:val="00CE2B90"/>
    <w:rsid w:val="00CE66B2"/>
    <w:rsid w:val="00CF1F1F"/>
    <w:rsid w:val="00D05C2E"/>
    <w:rsid w:val="00D0657F"/>
    <w:rsid w:val="00D12E79"/>
    <w:rsid w:val="00D14959"/>
    <w:rsid w:val="00D37DD8"/>
    <w:rsid w:val="00D43932"/>
    <w:rsid w:val="00D45897"/>
    <w:rsid w:val="00D474CE"/>
    <w:rsid w:val="00D5324F"/>
    <w:rsid w:val="00D61869"/>
    <w:rsid w:val="00D65CE7"/>
    <w:rsid w:val="00D65EFF"/>
    <w:rsid w:val="00D67079"/>
    <w:rsid w:val="00D731C2"/>
    <w:rsid w:val="00D836A2"/>
    <w:rsid w:val="00DA0C0D"/>
    <w:rsid w:val="00DB5C02"/>
    <w:rsid w:val="00DC76FB"/>
    <w:rsid w:val="00DD2A78"/>
    <w:rsid w:val="00DD3B27"/>
    <w:rsid w:val="00DF170D"/>
    <w:rsid w:val="00E27896"/>
    <w:rsid w:val="00E44BC9"/>
    <w:rsid w:val="00E44DA5"/>
    <w:rsid w:val="00E6405A"/>
    <w:rsid w:val="00E6478F"/>
    <w:rsid w:val="00E66D4A"/>
    <w:rsid w:val="00E75EA1"/>
    <w:rsid w:val="00EB2B1B"/>
    <w:rsid w:val="00ED2341"/>
    <w:rsid w:val="00ED5623"/>
    <w:rsid w:val="00EE6DEB"/>
    <w:rsid w:val="00EF5671"/>
    <w:rsid w:val="00F212BE"/>
    <w:rsid w:val="00F257C8"/>
    <w:rsid w:val="00F33C42"/>
    <w:rsid w:val="00F406CA"/>
    <w:rsid w:val="00F40A82"/>
    <w:rsid w:val="00F50F8C"/>
    <w:rsid w:val="00F5447C"/>
    <w:rsid w:val="00F66491"/>
    <w:rsid w:val="00F73940"/>
    <w:rsid w:val="00F80D5D"/>
    <w:rsid w:val="00FA0D22"/>
    <w:rsid w:val="00FA3F2A"/>
    <w:rsid w:val="00FC2A86"/>
    <w:rsid w:val="00FD5890"/>
    <w:rsid w:val="00FD678E"/>
    <w:rsid w:val="00FE2B0A"/>
    <w:rsid w:val="00FF1C87"/>
    <w:rsid w:val="00FF5694"/>
    <w:rsid w:val="00FF7D2E"/>
    <w:rsid w:val="01010ABF"/>
    <w:rsid w:val="010155D2"/>
    <w:rsid w:val="012110B0"/>
    <w:rsid w:val="0143341B"/>
    <w:rsid w:val="014767D1"/>
    <w:rsid w:val="015F320B"/>
    <w:rsid w:val="016C36C3"/>
    <w:rsid w:val="01B83FE9"/>
    <w:rsid w:val="01D73FDD"/>
    <w:rsid w:val="021D2FE2"/>
    <w:rsid w:val="022A4DDB"/>
    <w:rsid w:val="028246BD"/>
    <w:rsid w:val="02B660AE"/>
    <w:rsid w:val="02C52EEE"/>
    <w:rsid w:val="02C85C60"/>
    <w:rsid w:val="02F01530"/>
    <w:rsid w:val="030064CB"/>
    <w:rsid w:val="03072835"/>
    <w:rsid w:val="031F51F8"/>
    <w:rsid w:val="0351781E"/>
    <w:rsid w:val="043356FD"/>
    <w:rsid w:val="04395D2B"/>
    <w:rsid w:val="044459BC"/>
    <w:rsid w:val="04601161"/>
    <w:rsid w:val="04A61324"/>
    <w:rsid w:val="04EC4137"/>
    <w:rsid w:val="058B2CB0"/>
    <w:rsid w:val="05ED3B91"/>
    <w:rsid w:val="06106089"/>
    <w:rsid w:val="06B641A0"/>
    <w:rsid w:val="06F5333D"/>
    <w:rsid w:val="070B6CF8"/>
    <w:rsid w:val="071F0F82"/>
    <w:rsid w:val="0743078D"/>
    <w:rsid w:val="076754F1"/>
    <w:rsid w:val="079047E8"/>
    <w:rsid w:val="07B76FE7"/>
    <w:rsid w:val="07D972E5"/>
    <w:rsid w:val="07F52994"/>
    <w:rsid w:val="080728DC"/>
    <w:rsid w:val="08171C94"/>
    <w:rsid w:val="08194443"/>
    <w:rsid w:val="08364FD6"/>
    <w:rsid w:val="086177A4"/>
    <w:rsid w:val="088D1B7D"/>
    <w:rsid w:val="08BB5E37"/>
    <w:rsid w:val="08CB4281"/>
    <w:rsid w:val="08DA5EEF"/>
    <w:rsid w:val="08FE7C0B"/>
    <w:rsid w:val="092070E1"/>
    <w:rsid w:val="097E61CB"/>
    <w:rsid w:val="09C50827"/>
    <w:rsid w:val="09F04BEB"/>
    <w:rsid w:val="09F1175B"/>
    <w:rsid w:val="0A880D83"/>
    <w:rsid w:val="0A9F0B9D"/>
    <w:rsid w:val="0AA56925"/>
    <w:rsid w:val="0AB77CA3"/>
    <w:rsid w:val="0AFA787C"/>
    <w:rsid w:val="0B4C65D1"/>
    <w:rsid w:val="0B8E00B1"/>
    <w:rsid w:val="0C696A9B"/>
    <w:rsid w:val="0CF61CCE"/>
    <w:rsid w:val="0D445E54"/>
    <w:rsid w:val="0D45368B"/>
    <w:rsid w:val="0D755B7C"/>
    <w:rsid w:val="0DAE043C"/>
    <w:rsid w:val="0DE936CC"/>
    <w:rsid w:val="0DFA2B6F"/>
    <w:rsid w:val="0E257EA3"/>
    <w:rsid w:val="0E72712B"/>
    <w:rsid w:val="0E736C77"/>
    <w:rsid w:val="0E83589B"/>
    <w:rsid w:val="0E9E66EB"/>
    <w:rsid w:val="0F0E7595"/>
    <w:rsid w:val="0F3F33F2"/>
    <w:rsid w:val="0FA22987"/>
    <w:rsid w:val="0FE724E8"/>
    <w:rsid w:val="0FFE47BD"/>
    <w:rsid w:val="10047181"/>
    <w:rsid w:val="104D22C3"/>
    <w:rsid w:val="106451F5"/>
    <w:rsid w:val="10686F8B"/>
    <w:rsid w:val="10BC1B27"/>
    <w:rsid w:val="11BD393C"/>
    <w:rsid w:val="122752A2"/>
    <w:rsid w:val="12582471"/>
    <w:rsid w:val="12825F7E"/>
    <w:rsid w:val="12C61AB3"/>
    <w:rsid w:val="13A43F06"/>
    <w:rsid w:val="13FB3831"/>
    <w:rsid w:val="142168AA"/>
    <w:rsid w:val="14F40ECD"/>
    <w:rsid w:val="15637C8F"/>
    <w:rsid w:val="159B08A3"/>
    <w:rsid w:val="15B65EA1"/>
    <w:rsid w:val="16C07C2A"/>
    <w:rsid w:val="17181516"/>
    <w:rsid w:val="1762684A"/>
    <w:rsid w:val="18192EB6"/>
    <w:rsid w:val="18CA5754"/>
    <w:rsid w:val="18D5188E"/>
    <w:rsid w:val="18FD15FF"/>
    <w:rsid w:val="19126923"/>
    <w:rsid w:val="197F6287"/>
    <w:rsid w:val="19B6607A"/>
    <w:rsid w:val="1A185091"/>
    <w:rsid w:val="1A596EE3"/>
    <w:rsid w:val="1A5A2A7A"/>
    <w:rsid w:val="1B115822"/>
    <w:rsid w:val="1BCE2A6C"/>
    <w:rsid w:val="1BE117D9"/>
    <w:rsid w:val="1BF12E33"/>
    <w:rsid w:val="1C096025"/>
    <w:rsid w:val="1C3B02D5"/>
    <w:rsid w:val="1C7A782C"/>
    <w:rsid w:val="1CC52B1D"/>
    <w:rsid w:val="1CCB4242"/>
    <w:rsid w:val="1CCD491E"/>
    <w:rsid w:val="1DDC6C20"/>
    <w:rsid w:val="1E4A5C26"/>
    <w:rsid w:val="1E7C7EA2"/>
    <w:rsid w:val="1EA44B8D"/>
    <w:rsid w:val="1EB36619"/>
    <w:rsid w:val="1EC32350"/>
    <w:rsid w:val="1EE60442"/>
    <w:rsid w:val="1EEA5460"/>
    <w:rsid w:val="1F0B0C28"/>
    <w:rsid w:val="1F177CAA"/>
    <w:rsid w:val="1F193D46"/>
    <w:rsid w:val="1FEE4811"/>
    <w:rsid w:val="204F6FB3"/>
    <w:rsid w:val="205279BA"/>
    <w:rsid w:val="20BF4EB8"/>
    <w:rsid w:val="211D56C1"/>
    <w:rsid w:val="215C522C"/>
    <w:rsid w:val="21B546A1"/>
    <w:rsid w:val="2294036D"/>
    <w:rsid w:val="22BB79AC"/>
    <w:rsid w:val="22EA2D63"/>
    <w:rsid w:val="235B6723"/>
    <w:rsid w:val="23771DF1"/>
    <w:rsid w:val="2453575B"/>
    <w:rsid w:val="249C386E"/>
    <w:rsid w:val="24B71BF1"/>
    <w:rsid w:val="24F32F99"/>
    <w:rsid w:val="253D1336"/>
    <w:rsid w:val="254168ED"/>
    <w:rsid w:val="25422E49"/>
    <w:rsid w:val="25525D37"/>
    <w:rsid w:val="25687330"/>
    <w:rsid w:val="256A4549"/>
    <w:rsid w:val="25FF2187"/>
    <w:rsid w:val="26CA5598"/>
    <w:rsid w:val="26FC0417"/>
    <w:rsid w:val="271B1A6B"/>
    <w:rsid w:val="27274DC5"/>
    <w:rsid w:val="27442D7A"/>
    <w:rsid w:val="276D471E"/>
    <w:rsid w:val="27916A80"/>
    <w:rsid w:val="27925907"/>
    <w:rsid w:val="27D750E4"/>
    <w:rsid w:val="282555D9"/>
    <w:rsid w:val="283A3D2A"/>
    <w:rsid w:val="2874012A"/>
    <w:rsid w:val="28B467BF"/>
    <w:rsid w:val="291A799D"/>
    <w:rsid w:val="2A414985"/>
    <w:rsid w:val="2A707FEF"/>
    <w:rsid w:val="2A8F75F2"/>
    <w:rsid w:val="2AA33CEB"/>
    <w:rsid w:val="2ADE1F6C"/>
    <w:rsid w:val="2AF92D02"/>
    <w:rsid w:val="2B1F3AE6"/>
    <w:rsid w:val="2B644082"/>
    <w:rsid w:val="2B6E024A"/>
    <w:rsid w:val="2BA9739B"/>
    <w:rsid w:val="2BD76703"/>
    <w:rsid w:val="2BDE07CF"/>
    <w:rsid w:val="2CD67BD2"/>
    <w:rsid w:val="2D2C5592"/>
    <w:rsid w:val="2D7537E2"/>
    <w:rsid w:val="2DF60E35"/>
    <w:rsid w:val="2E1A217A"/>
    <w:rsid w:val="2E761C17"/>
    <w:rsid w:val="2F277B0D"/>
    <w:rsid w:val="2F420DB4"/>
    <w:rsid w:val="2F620803"/>
    <w:rsid w:val="2FF0055D"/>
    <w:rsid w:val="303201F1"/>
    <w:rsid w:val="30744C44"/>
    <w:rsid w:val="308104E8"/>
    <w:rsid w:val="30881152"/>
    <w:rsid w:val="30AD3C5E"/>
    <w:rsid w:val="31122E08"/>
    <w:rsid w:val="31AB4C7C"/>
    <w:rsid w:val="31AC2E3E"/>
    <w:rsid w:val="31F079B3"/>
    <w:rsid w:val="324E5844"/>
    <w:rsid w:val="32854457"/>
    <w:rsid w:val="32A94788"/>
    <w:rsid w:val="32C13A14"/>
    <w:rsid w:val="330C4EB7"/>
    <w:rsid w:val="33754021"/>
    <w:rsid w:val="33ED34C2"/>
    <w:rsid w:val="340D540B"/>
    <w:rsid w:val="343F30B4"/>
    <w:rsid w:val="34530897"/>
    <w:rsid w:val="34771F68"/>
    <w:rsid w:val="348D0F6E"/>
    <w:rsid w:val="34E16F3C"/>
    <w:rsid w:val="351724F5"/>
    <w:rsid w:val="35461C6E"/>
    <w:rsid w:val="3719271B"/>
    <w:rsid w:val="3740500B"/>
    <w:rsid w:val="3746174F"/>
    <w:rsid w:val="37767096"/>
    <w:rsid w:val="379D225E"/>
    <w:rsid w:val="37AE0444"/>
    <w:rsid w:val="37B64BD2"/>
    <w:rsid w:val="38117C20"/>
    <w:rsid w:val="38206ED2"/>
    <w:rsid w:val="382D441A"/>
    <w:rsid w:val="38C64FF6"/>
    <w:rsid w:val="38DB451E"/>
    <w:rsid w:val="399B603A"/>
    <w:rsid w:val="39B41417"/>
    <w:rsid w:val="3A2944C5"/>
    <w:rsid w:val="3A497590"/>
    <w:rsid w:val="3A4A3976"/>
    <w:rsid w:val="3A921F3E"/>
    <w:rsid w:val="3AB650F4"/>
    <w:rsid w:val="3B2A3C5F"/>
    <w:rsid w:val="3B7E1DBF"/>
    <w:rsid w:val="3BB9776E"/>
    <w:rsid w:val="3BCE12AD"/>
    <w:rsid w:val="3C3247C2"/>
    <w:rsid w:val="3C726B90"/>
    <w:rsid w:val="3D444A9F"/>
    <w:rsid w:val="3DFE2364"/>
    <w:rsid w:val="3E3B2EFD"/>
    <w:rsid w:val="3E555A45"/>
    <w:rsid w:val="3E5F5305"/>
    <w:rsid w:val="3EB56EB1"/>
    <w:rsid w:val="3EE9034A"/>
    <w:rsid w:val="3F002A82"/>
    <w:rsid w:val="3FDD2933"/>
    <w:rsid w:val="40635AB0"/>
    <w:rsid w:val="41296818"/>
    <w:rsid w:val="41B714B5"/>
    <w:rsid w:val="42010497"/>
    <w:rsid w:val="42034376"/>
    <w:rsid w:val="42592150"/>
    <w:rsid w:val="4288599F"/>
    <w:rsid w:val="438453AF"/>
    <w:rsid w:val="43CA6F11"/>
    <w:rsid w:val="43CE6F4F"/>
    <w:rsid w:val="445D3A3B"/>
    <w:rsid w:val="44E019A3"/>
    <w:rsid w:val="45117CDE"/>
    <w:rsid w:val="45507EB5"/>
    <w:rsid w:val="457C205B"/>
    <w:rsid w:val="45A47689"/>
    <w:rsid w:val="45E76DBC"/>
    <w:rsid w:val="46417D5C"/>
    <w:rsid w:val="46CD2E7D"/>
    <w:rsid w:val="46F7258B"/>
    <w:rsid w:val="47064049"/>
    <w:rsid w:val="47161128"/>
    <w:rsid w:val="47DA0C75"/>
    <w:rsid w:val="48416955"/>
    <w:rsid w:val="48C15268"/>
    <w:rsid w:val="490D54E0"/>
    <w:rsid w:val="494B3184"/>
    <w:rsid w:val="49F6008E"/>
    <w:rsid w:val="4AC318FA"/>
    <w:rsid w:val="4B7A5C30"/>
    <w:rsid w:val="4C076DF5"/>
    <w:rsid w:val="4C195E9B"/>
    <w:rsid w:val="4C875B27"/>
    <w:rsid w:val="4CB60779"/>
    <w:rsid w:val="4D271E36"/>
    <w:rsid w:val="4D870DE6"/>
    <w:rsid w:val="4DF50556"/>
    <w:rsid w:val="5063460E"/>
    <w:rsid w:val="50D72AE6"/>
    <w:rsid w:val="515C1CDE"/>
    <w:rsid w:val="518F04F3"/>
    <w:rsid w:val="51A2152E"/>
    <w:rsid w:val="51D10942"/>
    <w:rsid w:val="525912AC"/>
    <w:rsid w:val="53117A06"/>
    <w:rsid w:val="53452873"/>
    <w:rsid w:val="53662DAE"/>
    <w:rsid w:val="53845D5F"/>
    <w:rsid w:val="53A109E8"/>
    <w:rsid w:val="545712C4"/>
    <w:rsid w:val="54732367"/>
    <w:rsid w:val="54916A6A"/>
    <w:rsid w:val="55435BAB"/>
    <w:rsid w:val="555955D7"/>
    <w:rsid w:val="55750BD1"/>
    <w:rsid w:val="55767C26"/>
    <w:rsid w:val="558649B8"/>
    <w:rsid w:val="55AC34C3"/>
    <w:rsid w:val="55D86A18"/>
    <w:rsid w:val="55EC2331"/>
    <w:rsid w:val="56911FAE"/>
    <w:rsid w:val="56CF0B67"/>
    <w:rsid w:val="570A61A8"/>
    <w:rsid w:val="57C51BE2"/>
    <w:rsid w:val="57F424FB"/>
    <w:rsid w:val="57F65946"/>
    <w:rsid w:val="580D139A"/>
    <w:rsid w:val="587C02C3"/>
    <w:rsid w:val="58D12A7C"/>
    <w:rsid w:val="59500B81"/>
    <w:rsid w:val="59591E64"/>
    <w:rsid w:val="598727AE"/>
    <w:rsid w:val="598948B8"/>
    <w:rsid w:val="59A313A7"/>
    <w:rsid w:val="5A0E3E07"/>
    <w:rsid w:val="5A2404F0"/>
    <w:rsid w:val="5A42220C"/>
    <w:rsid w:val="5B19505C"/>
    <w:rsid w:val="5BD652EA"/>
    <w:rsid w:val="5C31799B"/>
    <w:rsid w:val="5C3737CB"/>
    <w:rsid w:val="5C474237"/>
    <w:rsid w:val="5CB106D6"/>
    <w:rsid w:val="5CC351EB"/>
    <w:rsid w:val="5CD20D8A"/>
    <w:rsid w:val="5D3F41BB"/>
    <w:rsid w:val="5D756603"/>
    <w:rsid w:val="5DAE7C10"/>
    <w:rsid w:val="5E40288F"/>
    <w:rsid w:val="5E7C2FB2"/>
    <w:rsid w:val="5E8C15E7"/>
    <w:rsid w:val="5EB645A2"/>
    <w:rsid w:val="5F5E48DC"/>
    <w:rsid w:val="5F8508E8"/>
    <w:rsid w:val="6009791E"/>
    <w:rsid w:val="603504DC"/>
    <w:rsid w:val="60A3202E"/>
    <w:rsid w:val="6105354B"/>
    <w:rsid w:val="61907491"/>
    <w:rsid w:val="61E64D63"/>
    <w:rsid w:val="621D4D74"/>
    <w:rsid w:val="622545AB"/>
    <w:rsid w:val="624F2049"/>
    <w:rsid w:val="62500128"/>
    <w:rsid w:val="6265502F"/>
    <w:rsid w:val="62783FF8"/>
    <w:rsid w:val="62B3421F"/>
    <w:rsid w:val="62BD4834"/>
    <w:rsid w:val="62FC6BAF"/>
    <w:rsid w:val="63237D4E"/>
    <w:rsid w:val="632C50EC"/>
    <w:rsid w:val="63D4242C"/>
    <w:rsid w:val="63F85D11"/>
    <w:rsid w:val="647433CE"/>
    <w:rsid w:val="64827113"/>
    <w:rsid w:val="650D339C"/>
    <w:rsid w:val="65174638"/>
    <w:rsid w:val="65573D19"/>
    <w:rsid w:val="65A30E8E"/>
    <w:rsid w:val="666B4CF5"/>
    <w:rsid w:val="669940A2"/>
    <w:rsid w:val="66E72A86"/>
    <w:rsid w:val="672D38E0"/>
    <w:rsid w:val="67425888"/>
    <w:rsid w:val="67A76EF5"/>
    <w:rsid w:val="67AF572E"/>
    <w:rsid w:val="68094C07"/>
    <w:rsid w:val="687331CB"/>
    <w:rsid w:val="68F7546A"/>
    <w:rsid w:val="693821A8"/>
    <w:rsid w:val="693B3FB0"/>
    <w:rsid w:val="695F50CE"/>
    <w:rsid w:val="696F6563"/>
    <w:rsid w:val="69B3370B"/>
    <w:rsid w:val="69BF05C2"/>
    <w:rsid w:val="69DB5AFA"/>
    <w:rsid w:val="6B16350E"/>
    <w:rsid w:val="6B171154"/>
    <w:rsid w:val="6BB06558"/>
    <w:rsid w:val="6BEB467B"/>
    <w:rsid w:val="6C563F93"/>
    <w:rsid w:val="6C70055F"/>
    <w:rsid w:val="6C9B64BB"/>
    <w:rsid w:val="6DB96769"/>
    <w:rsid w:val="6E126020"/>
    <w:rsid w:val="6E3D0AB4"/>
    <w:rsid w:val="6E541C3D"/>
    <w:rsid w:val="6EA96CCF"/>
    <w:rsid w:val="6EB706A3"/>
    <w:rsid w:val="6F0E2EAA"/>
    <w:rsid w:val="6F1C65AA"/>
    <w:rsid w:val="6F9855A4"/>
    <w:rsid w:val="6FBC1651"/>
    <w:rsid w:val="6FDA25CD"/>
    <w:rsid w:val="70456C39"/>
    <w:rsid w:val="704A6CCD"/>
    <w:rsid w:val="70792A72"/>
    <w:rsid w:val="708F609E"/>
    <w:rsid w:val="70A50C4B"/>
    <w:rsid w:val="71050143"/>
    <w:rsid w:val="71606155"/>
    <w:rsid w:val="719A20E6"/>
    <w:rsid w:val="72494B68"/>
    <w:rsid w:val="724E35BB"/>
    <w:rsid w:val="72C6652A"/>
    <w:rsid w:val="72E93B86"/>
    <w:rsid w:val="73256160"/>
    <w:rsid w:val="732F4CF0"/>
    <w:rsid w:val="7345274F"/>
    <w:rsid w:val="737E34FA"/>
    <w:rsid w:val="74294EB1"/>
    <w:rsid w:val="74654124"/>
    <w:rsid w:val="74746561"/>
    <w:rsid w:val="748414BF"/>
    <w:rsid w:val="74D723FD"/>
    <w:rsid w:val="74DA297C"/>
    <w:rsid w:val="75652EDF"/>
    <w:rsid w:val="757C5845"/>
    <w:rsid w:val="7580741D"/>
    <w:rsid w:val="75AC223F"/>
    <w:rsid w:val="75DC0134"/>
    <w:rsid w:val="75DD0F5D"/>
    <w:rsid w:val="76342F41"/>
    <w:rsid w:val="763A127D"/>
    <w:rsid w:val="7690626B"/>
    <w:rsid w:val="77086B65"/>
    <w:rsid w:val="77115DDD"/>
    <w:rsid w:val="771F06A4"/>
    <w:rsid w:val="776C2ACA"/>
    <w:rsid w:val="77734299"/>
    <w:rsid w:val="77844EE8"/>
    <w:rsid w:val="778C2BDB"/>
    <w:rsid w:val="77D372FB"/>
    <w:rsid w:val="78045DED"/>
    <w:rsid w:val="781A337F"/>
    <w:rsid w:val="781E3491"/>
    <w:rsid w:val="784E53D9"/>
    <w:rsid w:val="78670F57"/>
    <w:rsid w:val="788D0A45"/>
    <w:rsid w:val="78D63BAA"/>
    <w:rsid w:val="78F45659"/>
    <w:rsid w:val="78FB7C63"/>
    <w:rsid w:val="79203E06"/>
    <w:rsid w:val="79584527"/>
    <w:rsid w:val="79B616E3"/>
    <w:rsid w:val="7AA351F5"/>
    <w:rsid w:val="7C4B3C0A"/>
    <w:rsid w:val="7D324919"/>
    <w:rsid w:val="7D383765"/>
    <w:rsid w:val="7D5B428F"/>
    <w:rsid w:val="7DA2147B"/>
    <w:rsid w:val="7DB35CE6"/>
    <w:rsid w:val="7DB64D01"/>
    <w:rsid w:val="7DEB733E"/>
    <w:rsid w:val="7EA7574D"/>
    <w:rsid w:val="7EF43CB5"/>
    <w:rsid w:val="7F644D93"/>
    <w:rsid w:val="7F6516B1"/>
    <w:rsid w:val="7FD257B8"/>
    <w:rsid w:val="7FE32F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3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35"/>
    <w:qFormat/>
    <w:uiPriority w:val="0"/>
    <w:pPr>
      <w:keepNext/>
      <w:keepLines/>
      <w:spacing w:before="260" w:after="260" w:line="415" w:lineRule="auto"/>
      <w:outlineLvl w:val="2"/>
    </w:pPr>
    <w:rPr>
      <w:b/>
      <w:bCs/>
      <w:sz w:val="32"/>
      <w:szCs w:val="32"/>
    </w:rPr>
  </w:style>
  <w:style w:type="paragraph" w:styleId="6">
    <w:name w:val="heading 5"/>
    <w:basedOn w:val="1"/>
    <w:next w:val="1"/>
    <w:link w:val="36"/>
    <w:qFormat/>
    <w:uiPriority w:val="0"/>
    <w:pPr>
      <w:keepNext/>
      <w:keepLines/>
      <w:numPr>
        <w:ilvl w:val="4"/>
        <w:numId w:val="1"/>
      </w:numPr>
      <w:adjustRightInd w:val="0"/>
      <w:spacing w:before="280" w:after="290" w:line="376" w:lineRule="atLeast"/>
      <w:jc w:val="left"/>
      <w:textAlignment w:val="baseline"/>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4">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styleId="7">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8">
    <w:name w:val="caption"/>
    <w:basedOn w:val="1"/>
    <w:next w:val="1"/>
    <w:qFormat/>
    <w:uiPriority w:val="99"/>
    <w:rPr>
      <w:rFonts w:ascii="Arial" w:hAnsi="Arial" w:eastAsia="黑体" w:cs="Arial"/>
      <w:sz w:val="20"/>
      <w:szCs w:val="20"/>
    </w:rPr>
  </w:style>
  <w:style w:type="paragraph" w:styleId="9">
    <w:name w:val="Document Map"/>
    <w:basedOn w:val="1"/>
    <w:link w:val="71"/>
    <w:qFormat/>
    <w:uiPriority w:val="0"/>
    <w:rPr>
      <w:rFonts w:ascii="宋体"/>
      <w:sz w:val="18"/>
      <w:szCs w:val="18"/>
    </w:rPr>
  </w:style>
  <w:style w:type="paragraph" w:styleId="10">
    <w:name w:val="annotation text"/>
    <w:basedOn w:val="1"/>
    <w:link w:val="80"/>
    <w:qFormat/>
    <w:uiPriority w:val="0"/>
    <w:pPr>
      <w:jc w:val="left"/>
    </w:pPr>
  </w:style>
  <w:style w:type="paragraph" w:styleId="11">
    <w:name w:val="Body Text 3"/>
    <w:basedOn w:val="1"/>
    <w:link w:val="82"/>
    <w:qFormat/>
    <w:uiPriority w:val="0"/>
    <w:rPr>
      <w:rFonts w:ascii="宋体"/>
      <w:sz w:val="24"/>
      <w:szCs w:val="20"/>
    </w:rPr>
  </w:style>
  <w:style w:type="paragraph" w:styleId="12">
    <w:name w:val="Body Text"/>
    <w:basedOn w:val="1"/>
    <w:link w:val="73"/>
    <w:unhideWhenUsed/>
    <w:qFormat/>
    <w:uiPriority w:val="99"/>
    <w:pPr>
      <w:spacing w:after="120"/>
    </w:pPr>
  </w:style>
  <w:style w:type="paragraph" w:styleId="13">
    <w:name w:val="Block Text"/>
    <w:basedOn w:val="1"/>
    <w:qFormat/>
    <w:uiPriority w:val="0"/>
    <w:pPr>
      <w:spacing w:after="120"/>
      <w:ind w:left="1440" w:leftChars="700" w:right="700" w:rightChars="700"/>
    </w:pPr>
  </w:style>
  <w:style w:type="paragraph" w:styleId="14">
    <w:name w:val="Plain Text"/>
    <w:basedOn w:val="1"/>
    <w:link w:val="70"/>
    <w:qFormat/>
    <w:uiPriority w:val="99"/>
    <w:rPr>
      <w:rFonts w:ascii="Courier New" w:hAnsi="Courier New"/>
      <w:szCs w:val="20"/>
    </w:rPr>
  </w:style>
  <w:style w:type="paragraph" w:styleId="15">
    <w:name w:val="Body Text Indent 2"/>
    <w:basedOn w:val="1"/>
    <w:link w:val="96"/>
    <w:semiHidden/>
    <w:unhideWhenUsed/>
    <w:qFormat/>
    <w:uiPriority w:val="99"/>
    <w:pPr>
      <w:spacing w:after="120" w:line="480" w:lineRule="auto"/>
      <w:ind w:left="420" w:leftChars="200"/>
    </w:pPr>
  </w:style>
  <w:style w:type="paragraph" w:styleId="16">
    <w:name w:val="Balloon Text"/>
    <w:basedOn w:val="1"/>
    <w:link w:val="104"/>
    <w:semiHidden/>
    <w:unhideWhenUsed/>
    <w:qFormat/>
    <w:uiPriority w:val="99"/>
    <w:rPr>
      <w:sz w:val="18"/>
      <w:szCs w:val="18"/>
    </w:rPr>
  </w:style>
  <w:style w:type="paragraph" w:styleId="17">
    <w:name w:val="footer"/>
    <w:basedOn w:val="1"/>
    <w:link w:val="79"/>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18">
    <w:name w:val="header"/>
    <w:basedOn w:val="1"/>
    <w:link w:val="7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19">
    <w:name w:val="Body Text 2"/>
    <w:basedOn w:val="1"/>
    <w:link w:val="78"/>
    <w:qFormat/>
    <w:uiPriority w:val="0"/>
    <w:pPr>
      <w:spacing w:after="120" w:line="480" w:lineRule="auto"/>
    </w:pPr>
    <w:rPr>
      <w:rFonts w:asciiTheme="minorHAnsi" w:hAnsiTheme="minorHAnsi" w:eastAsiaTheme="minorEastAsia" w:cstheme="minorBidi"/>
    </w:rPr>
  </w:style>
  <w:style w:type="paragraph" w:styleId="20">
    <w:name w:val="Message Header"/>
    <w:basedOn w:val="1"/>
    <w:next w:val="1"/>
    <w:link w:val="7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HTML Preformatted"/>
    <w:basedOn w:val="1"/>
    <w:link w:val="8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Body Text First Indent"/>
    <w:basedOn w:val="12"/>
    <w:link w:val="74"/>
    <w:qFormat/>
    <w:uiPriority w:val="0"/>
    <w:pPr>
      <w:ind w:firstLine="420" w:firstLineChars="100"/>
    </w:pPr>
    <w:rPr>
      <w:rFonts w:ascii="宋体"/>
      <w:kern w:val="0"/>
      <w:sz w:val="34"/>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rFonts w:ascii="Times New Roman" w:hAnsi="Times New Roman" w:cs="Times New Roman"/>
      <w:b/>
      <w:bCs/>
      <w:sz w:val="21"/>
      <w:szCs w:val="20"/>
    </w:rPr>
  </w:style>
  <w:style w:type="character" w:styleId="28">
    <w:name w:val="page number"/>
    <w:basedOn w:val="26"/>
    <w:qFormat/>
    <w:uiPriority w:val="0"/>
    <w:rPr>
      <w:rFonts w:ascii="Times New Roman" w:hAnsi="Times New Roman"/>
      <w:sz w:val="21"/>
      <w:szCs w:val="20"/>
    </w:rPr>
  </w:style>
  <w:style w:type="character" w:styleId="29">
    <w:name w:val="FollowedHyperlink"/>
    <w:qFormat/>
    <w:uiPriority w:val="99"/>
    <w:rPr>
      <w:rFonts w:ascii="Times New Roman" w:hAnsi="Times New Roman"/>
      <w:color w:val="000000"/>
      <w:sz w:val="21"/>
      <w:szCs w:val="20"/>
      <w:u w:val="none"/>
    </w:rPr>
  </w:style>
  <w:style w:type="character" w:styleId="30">
    <w:name w:val="Emphasis"/>
    <w:qFormat/>
    <w:uiPriority w:val="0"/>
    <w:rPr>
      <w:rFonts w:ascii="Times New Roman" w:hAnsi="Times New Roman" w:cs="Times New Roman"/>
      <w:color w:val="CC0000"/>
      <w:sz w:val="21"/>
      <w:szCs w:val="20"/>
    </w:rPr>
  </w:style>
  <w:style w:type="character" w:styleId="31">
    <w:name w:val="Hyperlink"/>
    <w:qFormat/>
    <w:uiPriority w:val="99"/>
    <w:rPr>
      <w:rFonts w:ascii="Times New Roman" w:hAnsi="Times New Roman"/>
      <w:color w:val="0000FF"/>
      <w:sz w:val="21"/>
      <w:szCs w:val="20"/>
      <w:u w:val="single"/>
    </w:rPr>
  </w:style>
  <w:style w:type="paragraph" w:customStyle="1" w:styleId="3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标题 1 Char"/>
    <w:basedOn w:val="26"/>
    <w:link w:val="2"/>
    <w:qFormat/>
    <w:uiPriority w:val="0"/>
    <w:rPr>
      <w:rFonts w:ascii="Times New Roman" w:hAnsi="Times New Roman" w:eastAsia="宋体" w:cs="Times New Roman"/>
      <w:b/>
      <w:bCs/>
      <w:kern w:val="44"/>
      <w:sz w:val="44"/>
      <w:szCs w:val="44"/>
    </w:rPr>
  </w:style>
  <w:style w:type="character" w:customStyle="1" w:styleId="34">
    <w:name w:val="标题 2 Char"/>
    <w:basedOn w:val="26"/>
    <w:link w:val="3"/>
    <w:qFormat/>
    <w:uiPriority w:val="0"/>
    <w:rPr>
      <w:rFonts w:ascii="Arial" w:hAnsi="Arial" w:eastAsia="黑体" w:cs="Times New Roman"/>
      <w:b/>
      <w:bCs/>
      <w:sz w:val="32"/>
      <w:szCs w:val="32"/>
    </w:rPr>
  </w:style>
  <w:style w:type="character" w:customStyle="1" w:styleId="35">
    <w:name w:val="标题 3 Char"/>
    <w:basedOn w:val="26"/>
    <w:link w:val="5"/>
    <w:qFormat/>
    <w:uiPriority w:val="0"/>
    <w:rPr>
      <w:rFonts w:ascii="Times New Roman" w:hAnsi="Times New Roman" w:eastAsia="宋体" w:cs="Times New Roman"/>
      <w:b/>
      <w:bCs/>
      <w:sz w:val="32"/>
      <w:szCs w:val="32"/>
    </w:rPr>
  </w:style>
  <w:style w:type="character" w:customStyle="1" w:styleId="36">
    <w:name w:val="标题 5 Char"/>
    <w:basedOn w:val="26"/>
    <w:link w:val="6"/>
    <w:qFormat/>
    <w:uiPriority w:val="0"/>
    <w:rPr>
      <w:rFonts w:ascii="Times New Roman" w:hAnsi="Times New Roman" w:eastAsia="宋体" w:cs="Times New Roman"/>
      <w:b/>
      <w:bCs/>
      <w:sz w:val="28"/>
      <w:szCs w:val="28"/>
    </w:rPr>
  </w:style>
  <w:style w:type="character" w:customStyle="1" w:styleId="37">
    <w:name w:val="font41"/>
    <w:qFormat/>
    <w:uiPriority w:val="0"/>
    <w:rPr>
      <w:rFonts w:hint="eastAsia" w:ascii="宋体" w:hAnsi="宋体" w:eastAsia="宋体"/>
      <w:color w:val="000000"/>
      <w:sz w:val="32"/>
      <w:szCs w:val="32"/>
      <w:u w:val="none"/>
    </w:rPr>
  </w:style>
  <w:style w:type="character" w:customStyle="1" w:styleId="38">
    <w:name w:val="hover25"/>
    <w:basedOn w:val="26"/>
    <w:qFormat/>
    <w:uiPriority w:val="0"/>
    <w:rPr>
      <w:rFonts w:ascii="Times New Roman" w:hAnsi="Times New Roman"/>
      <w:sz w:val="21"/>
      <w:szCs w:val="20"/>
    </w:rPr>
  </w:style>
  <w:style w:type="character" w:customStyle="1" w:styleId="39">
    <w:name w:val="tit1"/>
    <w:basedOn w:val="26"/>
    <w:qFormat/>
    <w:uiPriority w:val="0"/>
    <w:rPr>
      <w:rFonts w:ascii="Times New Roman" w:hAnsi="Times New Roman"/>
      <w:sz w:val="21"/>
      <w:szCs w:val="20"/>
    </w:rPr>
  </w:style>
  <w:style w:type="character" w:customStyle="1" w:styleId="40">
    <w:name w:val="页眉 Char"/>
    <w:qFormat/>
    <w:uiPriority w:val="0"/>
    <w:rPr>
      <w:sz w:val="18"/>
      <w:szCs w:val="24"/>
    </w:rPr>
  </w:style>
  <w:style w:type="character" w:customStyle="1" w:styleId="41">
    <w:name w:val="red3"/>
    <w:qFormat/>
    <w:uiPriority w:val="0"/>
    <w:rPr>
      <w:rFonts w:ascii="Times New Roman" w:hAnsi="Times New Roman"/>
      <w:color w:val="FF0000"/>
      <w:sz w:val="21"/>
      <w:szCs w:val="20"/>
    </w:rPr>
  </w:style>
  <w:style w:type="character" w:customStyle="1" w:styleId="42">
    <w:name w:val="font91"/>
    <w:qFormat/>
    <w:uiPriority w:val="0"/>
    <w:rPr>
      <w:rFonts w:hint="default" w:ascii="Times New Roman" w:hAnsi="Times New Roman" w:cs="Times New Roman"/>
      <w:color w:val="000000"/>
      <w:sz w:val="20"/>
      <w:szCs w:val="20"/>
      <w:u w:val="none"/>
    </w:rPr>
  </w:style>
  <w:style w:type="character" w:customStyle="1" w:styleId="43">
    <w:name w:val="red1"/>
    <w:qFormat/>
    <w:uiPriority w:val="0"/>
    <w:rPr>
      <w:rFonts w:ascii="Times New Roman" w:hAnsi="Times New Roman"/>
      <w:color w:val="FF0000"/>
      <w:sz w:val="18"/>
      <w:szCs w:val="18"/>
    </w:rPr>
  </w:style>
  <w:style w:type="character" w:customStyle="1" w:styleId="44">
    <w:name w:val="font81"/>
    <w:qFormat/>
    <w:uiPriority w:val="0"/>
    <w:rPr>
      <w:rFonts w:ascii="Symbol" w:hAnsi="Symbol" w:cs="Symbol"/>
      <w:color w:val="000000"/>
      <w:sz w:val="20"/>
      <w:szCs w:val="20"/>
      <w:u w:val="none"/>
    </w:rPr>
  </w:style>
  <w:style w:type="character" w:customStyle="1" w:styleId="45">
    <w:name w:val="right"/>
    <w:qFormat/>
    <w:uiPriority w:val="0"/>
    <w:rPr>
      <w:rFonts w:ascii="Times New Roman" w:hAnsi="Times New Roman"/>
      <w:color w:val="999999"/>
      <w:sz w:val="18"/>
      <w:szCs w:val="18"/>
    </w:rPr>
  </w:style>
  <w:style w:type="character" w:customStyle="1" w:styleId="46">
    <w:name w:val="sl"/>
    <w:basedOn w:val="26"/>
    <w:qFormat/>
    <w:uiPriority w:val="0"/>
    <w:rPr>
      <w:rFonts w:ascii="Times New Roman" w:hAnsi="Times New Roman"/>
      <w:sz w:val="21"/>
      <w:szCs w:val="20"/>
    </w:rPr>
  </w:style>
  <w:style w:type="character" w:customStyle="1" w:styleId="47">
    <w:name w:val="font01"/>
    <w:qFormat/>
    <w:uiPriority w:val="0"/>
    <w:rPr>
      <w:rFonts w:hint="eastAsia" w:ascii="宋体" w:hAnsi="宋体" w:eastAsia="宋体"/>
      <w:color w:val="000000"/>
      <w:sz w:val="24"/>
      <w:szCs w:val="24"/>
      <w:u w:val="none"/>
    </w:rPr>
  </w:style>
  <w:style w:type="character" w:customStyle="1" w:styleId="48">
    <w:name w:val="页脚 Char"/>
    <w:qFormat/>
    <w:uiPriority w:val="0"/>
    <w:rPr>
      <w:sz w:val="18"/>
      <w:szCs w:val="24"/>
    </w:rPr>
  </w:style>
  <w:style w:type="character" w:customStyle="1" w:styleId="49">
    <w:name w:val="blue"/>
    <w:qFormat/>
    <w:uiPriority w:val="0"/>
    <w:rPr>
      <w:rFonts w:ascii="Times New Roman" w:hAnsi="Times New Roman"/>
      <w:color w:val="0371C6"/>
      <w:sz w:val="21"/>
      <w:szCs w:val="21"/>
    </w:rPr>
  </w:style>
  <w:style w:type="character" w:customStyle="1" w:styleId="50">
    <w:name w:val="red"/>
    <w:qFormat/>
    <w:uiPriority w:val="0"/>
    <w:rPr>
      <w:rFonts w:ascii="Times New Roman" w:hAnsi="Times New Roman"/>
      <w:color w:val="FF0000"/>
      <w:sz w:val="18"/>
      <w:szCs w:val="18"/>
    </w:rPr>
  </w:style>
  <w:style w:type="character" w:customStyle="1" w:styleId="51">
    <w:name w:val="font51"/>
    <w:qFormat/>
    <w:uiPriority w:val="0"/>
    <w:rPr>
      <w:rFonts w:hint="eastAsia" w:ascii="宋体" w:hAnsi="宋体" w:eastAsia="宋体" w:cs="宋体"/>
      <w:color w:val="000000"/>
      <w:sz w:val="21"/>
      <w:szCs w:val="21"/>
      <w:u w:val="none"/>
    </w:rPr>
  </w:style>
  <w:style w:type="character" w:customStyle="1" w:styleId="52">
    <w:name w:val="apple-style-span"/>
    <w:qFormat/>
    <w:uiPriority w:val="0"/>
  </w:style>
  <w:style w:type="character" w:customStyle="1" w:styleId="53">
    <w:name w:val="font61"/>
    <w:qFormat/>
    <w:uiPriority w:val="0"/>
    <w:rPr>
      <w:rFonts w:hint="eastAsia" w:ascii="宋体" w:hAnsi="宋体" w:eastAsia="宋体" w:cs="宋体"/>
      <w:color w:val="000000"/>
      <w:sz w:val="20"/>
      <w:szCs w:val="20"/>
      <w:u w:val="none"/>
    </w:rPr>
  </w:style>
  <w:style w:type="character" w:customStyle="1" w:styleId="54">
    <w:name w:val="tit"/>
    <w:basedOn w:val="26"/>
    <w:qFormat/>
    <w:uiPriority w:val="0"/>
    <w:rPr>
      <w:rFonts w:ascii="Times New Roman" w:hAnsi="Times New Roman"/>
      <w:sz w:val="21"/>
      <w:szCs w:val="20"/>
    </w:rPr>
  </w:style>
  <w:style w:type="character" w:customStyle="1" w:styleId="55">
    <w:name w:val="font71"/>
    <w:qFormat/>
    <w:uiPriority w:val="0"/>
    <w:rPr>
      <w:rFonts w:hint="eastAsia" w:ascii="宋体" w:hAnsi="宋体" w:eastAsia="宋体" w:cs="宋体"/>
      <w:color w:val="000000"/>
      <w:sz w:val="20"/>
      <w:szCs w:val="20"/>
      <w:u w:val="none"/>
    </w:rPr>
  </w:style>
  <w:style w:type="character" w:customStyle="1" w:styleId="56">
    <w:name w:val="gb-jt"/>
    <w:basedOn w:val="26"/>
    <w:qFormat/>
    <w:uiPriority w:val="0"/>
    <w:rPr>
      <w:rFonts w:ascii="Times New Roman" w:hAnsi="Times New Roman"/>
      <w:sz w:val="21"/>
      <w:szCs w:val="20"/>
    </w:rPr>
  </w:style>
  <w:style w:type="character" w:customStyle="1" w:styleId="57">
    <w:name w:val="red2"/>
    <w:qFormat/>
    <w:uiPriority w:val="0"/>
    <w:rPr>
      <w:rFonts w:ascii="Times New Roman" w:hAnsi="Times New Roman"/>
      <w:color w:val="CC0000"/>
      <w:sz w:val="21"/>
      <w:szCs w:val="20"/>
    </w:rPr>
  </w:style>
  <w:style w:type="character" w:customStyle="1" w:styleId="58">
    <w:name w:val="font21"/>
    <w:qFormat/>
    <w:uiPriority w:val="0"/>
    <w:rPr>
      <w:rFonts w:hint="eastAsia" w:ascii="仿宋_GB2312" w:hAnsi="Times New Roman" w:eastAsia="仿宋_GB2312" w:cs="仿宋_GB2312"/>
      <w:color w:val="000000"/>
      <w:sz w:val="22"/>
      <w:szCs w:val="22"/>
      <w:u w:val="none"/>
    </w:rPr>
  </w:style>
  <w:style w:type="character" w:customStyle="1" w:styleId="59">
    <w:name w:val="lsl"/>
    <w:basedOn w:val="26"/>
    <w:qFormat/>
    <w:uiPriority w:val="0"/>
    <w:rPr>
      <w:rFonts w:ascii="Times New Roman" w:hAnsi="Times New Roman"/>
      <w:sz w:val="21"/>
      <w:szCs w:val="20"/>
    </w:rPr>
  </w:style>
  <w:style w:type="character" w:customStyle="1" w:styleId="60">
    <w:name w:val="lsr"/>
    <w:basedOn w:val="26"/>
    <w:qFormat/>
    <w:uiPriority w:val="0"/>
    <w:rPr>
      <w:rFonts w:ascii="Times New Roman" w:hAnsi="Times New Roman"/>
      <w:sz w:val="21"/>
      <w:szCs w:val="20"/>
    </w:rPr>
  </w:style>
  <w:style w:type="character" w:customStyle="1" w:styleId="61">
    <w:name w:val="hover"/>
    <w:basedOn w:val="26"/>
    <w:qFormat/>
    <w:uiPriority w:val="0"/>
    <w:rPr>
      <w:rFonts w:ascii="Times New Roman" w:hAnsi="Times New Roman"/>
      <w:sz w:val="21"/>
      <w:szCs w:val="20"/>
    </w:rPr>
  </w:style>
  <w:style w:type="character" w:customStyle="1" w:styleId="62">
    <w:name w:val="正文文本 2 Char"/>
    <w:qFormat/>
    <w:uiPriority w:val="0"/>
    <w:rPr>
      <w:szCs w:val="24"/>
    </w:rPr>
  </w:style>
  <w:style w:type="character" w:customStyle="1" w:styleId="63">
    <w:name w:val="ca-161"/>
    <w:qFormat/>
    <w:uiPriority w:val="0"/>
    <w:rPr>
      <w:rFonts w:hint="eastAsia" w:ascii="宋体" w:hAnsi="宋体" w:eastAsia="宋体"/>
      <w:spacing w:val="0"/>
      <w:sz w:val="21"/>
      <w:szCs w:val="21"/>
    </w:rPr>
  </w:style>
  <w:style w:type="character" w:customStyle="1" w:styleId="64">
    <w:name w:val="hover24"/>
    <w:basedOn w:val="26"/>
    <w:qFormat/>
    <w:uiPriority w:val="0"/>
    <w:rPr>
      <w:rFonts w:ascii="Times New Roman" w:hAnsi="Times New Roman"/>
      <w:sz w:val="21"/>
      <w:szCs w:val="20"/>
    </w:rPr>
  </w:style>
  <w:style w:type="character" w:customStyle="1" w:styleId="65">
    <w:name w:val="green1"/>
    <w:qFormat/>
    <w:uiPriority w:val="0"/>
    <w:rPr>
      <w:rFonts w:ascii="Times New Roman" w:hAnsi="Times New Roman"/>
      <w:color w:val="66AE00"/>
      <w:sz w:val="18"/>
      <w:szCs w:val="18"/>
    </w:rPr>
  </w:style>
  <w:style w:type="character" w:customStyle="1" w:styleId="66">
    <w:name w:val="font11"/>
    <w:qFormat/>
    <w:uiPriority w:val="0"/>
    <w:rPr>
      <w:rFonts w:hint="default" w:ascii="Times New Roman" w:hAnsi="Times New Roman" w:cs="Times New Roman"/>
      <w:color w:val="000000"/>
      <w:sz w:val="32"/>
      <w:szCs w:val="32"/>
      <w:u w:val="none"/>
    </w:rPr>
  </w:style>
  <w:style w:type="character" w:customStyle="1" w:styleId="67">
    <w:name w:val="sr"/>
    <w:basedOn w:val="26"/>
    <w:qFormat/>
    <w:uiPriority w:val="0"/>
    <w:rPr>
      <w:rFonts w:ascii="Times New Roman" w:hAnsi="Times New Roman"/>
      <w:sz w:val="21"/>
      <w:szCs w:val="20"/>
    </w:rPr>
  </w:style>
  <w:style w:type="character" w:customStyle="1" w:styleId="68">
    <w:name w:val="green"/>
    <w:qFormat/>
    <w:uiPriority w:val="0"/>
    <w:rPr>
      <w:rFonts w:ascii="Times New Roman" w:hAnsi="Times New Roman"/>
      <w:color w:val="66AE00"/>
      <w:sz w:val="18"/>
      <w:szCs w:val="18"/>
    </w:rPr>
  </w:style>
  <w:style w:type="character" w:customStyle="1" w:styleId="69">
    <w:name w:val="down"/>
    <w:qFormat/>
    <w:uiPriority w:val="0"/>
    <w:rPr>
      <w:rFonts w:ascii="Times New Roman" w:hAnsi="Times New Roman"/>
      <w:sz w:val="21"/>
      <w:szCs w:val="20"/>
      <w:shd w:val="clear" w:color="auto" w:fill="DAEEF9"/>
    </w:rPr>
  </w:style>
  <w:style w:type="character" w:customStyle="1" w:styleId="70">
    <w:name w:val="纯文本 Char"/>
    <w:basedOn w:val="26"/>
    <w:link w:val="14"/>
    <w:qFormat/>
    <w:uiPriority w:val="99"/>
    <w:rPr>
      <w:rFonts w:ascii="Courier New" w:hAnsi="Courier New" w:eastAsia="宋体" w:cs="Times New Roman"/>
      <w:szCs w:val="20"/>
    </w:rPr>
  </w:style>
  <w:style w:type="character" w:customStyle="1" w:styleId="71">
    <w:name w:val="文档结构图 Char"/>
    <w:basedOn w:val="26"/>
    <w:link w:val="9"/>
    <w:qFormat/>
    <w:uiPriority w:val="0"/>
    <w:rPr>
      <w:rFonts w:ascii="宋体" w:hAnsi="Times New Roman" w:eastAsia="宋体" w:cs="Times New Roman"/>
      <w:sz w:val="18"/>
      <w:szCs w:val="18"/>
    </w:rPr>
  </w:style>
  <w:style w:type="character" w:customStyle="1" w:styleId="72">
    <w:name w:val="信息标题 Char"/>
    <w:basedOn w:val="26"/>
    <w:link w:val="20"/>
    <w:qFormat/>
    <w:uiPriority w:val="99"/>
    <w:rPr>
      <w:rFonts w:ascii="Arial" w:hAnsi="Arial" w:eastAsia="宋体" w:cs="Times New Roman"/>
      <w:sz w:val="24"/>
      <w:szCs w:val="24"/>
      <w:shd w:val="pct20" w:color="auto" w:fill="auto"/>
    </w:rPr>
  </w:style>
  <w:style w:type="character" w:customStyle="1" w:styleId="73">
    <w:name w:val="正文文本 Char"/>
    <w:basedOn w:val="26"/>
    <w:link w:val="12"/>
    <w:qFormat/>
    <w:uiPriority w:val="99"/>
    <w:rPr>
      <w:rFonts w:ascii="Times New Roman" w:hAnsi="Times New Roman" w:eastAsia="宋体" w:cs="Times New Roman"/>
      <w:szCs w:val="24"/>
    </w:rPr>
  </w:style>
  <w:style w:type="character" w:customStyle="1" w:styleId="74">
    <w:name w:val="正文首行缩进 Char"/>
    <w:basedOn w:val="73"/>
    <w:link w:val="23"/>
    <w:qFormat/>
    <w:uiPriority w:val="0"/>
    <w:rPr>
      <w:rFonts w:ascii="宋体" w:hAnsi="Times New Roman" w:eastAsia="宋体" w:cs="Times New Roman"/>
      <w:kern w:val="0"/>
      <w:sz w:val="34"/>
      <w:szCs w:val="20"/>
    </w:rPr>
  </w:style>
  <w:style w:type="character" w:customStyle="1" w:styleId="75">
    <w:name w:val="页眉 Char1"/>
    <w:basedOn w:val="26"/>
    <w:link w:val="18"/>
    <w:semiHidden/>
    <w:qFormat/>
    <w:uiPriority w:val="99"/>
    <w:rPr>
      <w:rFonts w:ascii="Times New Roman" w:hAnsi="Times New Roman" w:eastAsia="宋体" w:cs="Times New Roman"/>
      <w:sz w:val="18"/>
      <w:szCs w:val="18"/>
    </w:rPr>
  </w:style>
  <w:style w:type="paragraph" w:customStyle="1" w:styleId="76">
    <w:name w:val="列出段落1"/>
    <w:basedOn w:val="1"/>
    <w:qFormat/>
    <w:uiPriority w:val="0"/>
    <w:pPr>
      <w:ind w:firstLine="420" w:firstLineChars="200"/>
    </w:pPr>
    <w:rPr>
      <w:szCs w:val="20"/>
    </w:rPr>
  </w:style>
  <w:style w:type="paragraph" w:customStyle="1" w:styleId="77">
    <w:name w:val="日期1"/>
    <w:basedOn w:val="1"/>
    <w:next w:val="1"/>
    <w:link w:val="99"/>
    <w:qFormat/>
    <w:uiPriority w:val="0"/>
    <w:rPr>
      <w:sz w:val="24"/>
    </w:rPr>
  </w:style>
  <w:style w:type="character" w:customStyle="1" w:styleId="78">
    <w:name w:val="正文文本 2 Char1"/>
    <w:basedOn w:val="26"/>
    <w:link w:val="19"/>
    <w:semiHidden/>
    <w:qFormat/>
    <w:uiPriority w:val="99"/>
    <w:rPr>
      <w:rFonts w:ascii="Times New Roman" w:hAnsi="Times New Roman" w:eastAsia="宋体" w:cs="Times New Roman"/>
      <w:szCs w:val="24"/>
    </w:rPr>
  </w:style>
  <w:style w:type="character" w:customStyle="1" w:styleId="79">
    <w:name w:val="页脚 Char1"/>
    <w:basedOn w:val="26"/>
    <w:link w:val="17"/>
    <w:semiHidden/>
    <w:qFormat/>
    <w:uiPriority w:val="99"/>
    <w:rPr>
      <w:rFonts w:ascii="Times New Roman" w:hAnsi="Times New Roman" w:eastAsia="宋体" w:cs="Times New Roman"/>
      <w:sz w:val="18"/>
      <w:szCs w:val="18"/>
    </w:rPr>
  </w:style>
  <w:style w:type="character" w:customStyle="1" w:styleId="80">
    <w:name w:val="批注文字 Char"/>
    <w:basedOn w:val="26"/>
    <w:link w:val="10"/>
    <w:qFormat/>
    <w:uiPriority w:val="0"/>
    <w:rPr>
      <w:rFonts w:ascii="Times New Roman" w:hAnsi="Times New Roman" w:eastAsia="宋体" w:cs="Times New Roman"/>
      <w:szCs w:val="24"/>
    </w:rPr>
  </w:style>
  <w:style w:type="character" w:customStyle="1" w:styleId="81">
    <w:name w:val="HTML 预设格式 Char"/>
    <w:basedOn w:val="26"/>
    <w:link w:val="21"/>
    <w:qFormat/>
    <w:uiPriority w:val="0"/>
    <w:rPr>
      <w:rFonts w:ascii="宋体" w:hAnsi="宋体" w:eastAsia="宋体" w:cs="Times New Roman"/>
      <w:kern w:val="0"/>
      <w:sz w:val="24"/>
      <w:szCs w:val="24"/>
    </w:rPr>
  </w:style>
  <w:style w:type="character" w:customStyle="1" w:styleId="82">
    <w:name w:val="正文文本 3 Char"/>
    <w:basedOn w:val="26"/>
    <w:link w:val="11"/>
    <w:qFormat/>
    <w:uiPriority w:val="0"/>
    <w:rPr>
      <w:rFonts w:ascii="宋体" w:hAnsi="Times New Roman" w:eastAsia="宋体" w:cs="Times New Roman"/>
      <w:sz w:val="24"/>
      <w:szCs w:val="20"/>
    </w:rPr>
  </w:style>
  <w:style w:type="paragraph" w:customStyle="1" w:styleId="83">
    <w:name w:val="Char Char Char Char Char Char Char"/>
    <w:basedOn w:val="9"/>
    <w:qFormat/>
    <w:uiPriority w:val="0"/>
    <w:pPr>
      <w:shd w:val="clear" w:color="auto" w:fill="000080"/>
    </w:pPr>
    <w:rPr>
      <w:rFonts w:ascii="Times New Roman"/>
      <w:sz w:val="21"/>
      <w:szCs w:val="20"/>
    </w:rPr>
  </w:style>
  <w:style w:type="paragraph" w:customStyle="1" w:styleId="84">
    <w:name w:val="列出段落2"/>
    <w:basedOn w:val="1"/>
    <w:qFormat/>
    <w:uiPriority w:val="34"/>
    <w:pPr>
      <w:ind w:firstLine="420" w:firstLineChars="200"/>
    </w:pPr>
    <w:rPr>
      <w:rFonts w:ascii="Calibri" w:hAnsi="Calibri"/>
    </w:rPr>
  </w:style>
  <w:style w:type="paragraph" w:customStyle="1" w:styleId="85">
    <w:name w:val="Char1 Char Char Char Char Char Char"/>
    <w:basedOn w:val="1"/>
    <w:qFormat/>
    <w:uiPriority w:val="0"/>
  </w:style>
  <w:style w:type="paragraph" w:customStyle="1" w:styleId="86">
    <w:name w:val="列出段落3"/>
    <w:basedOn w:val="1"/>
    <w:unhideWhenUsed/>
    <w:qFormat/>
    <w:uiPriority w:val="0"/>
    <w:pPr>
      <w:ind w:firstLine="420" w:firstLineChars="200"/>
    </w:pPr>
    <w:rPr>
      <w:rFonts w:ascii="Calibri" w:hAnsi="Calibri"/>
      <w:szCs w:val="22"/>
    </w:rPr>
  </w:style>
  <w:style w:type="paragraph" w:customStyle="1" w:styleId="87">
    <w:name w:val="p0"/>
    <w:basedOn w:val="1"/>
    <w:qFormat/>
    <w:uiPriority w:val="0"/>
    <w:pPr>
      <w:widowControl/>
    </w:pPr>
    <w:rPr>
      <w:kern w:val="0"/>
      <w:szCs w:val="21"/>
    </w:rPr>
  </w:style>
  <w:style w:type="paragraph" w:customStyle="1" w:styleId="88">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styleId="89">
    <w:name w:val="List Paragraph"/>
    <w:basedOn w:val="1"/>
    <w:qFormat/>
    <w:uiPriority w:val="99"/>
    <w:pPr>
      <w:ind w:firstLine="420" w:firstLineChars="200"/>
    </w:pPr>
  </w:style>
  <w:style w:type="paragraph" w:customStyle="1" w:styleId="90">
    <w:name w:val="Char1"/>
    <w:basedOn w:val="1"/>
    <w:qFormat/>
    <w:uiPriority w:val="0"/>
    <w:rPr>
      <w:rFonts w:ascii="仿宋_GB2312" w:eastAsia="仿宋_GB2312"/>
      <w:b/>
      <w:sz w:val="32"/>
      <w:szCs w:val="32"/>
    </w:rPr>
  </w:style>
  <w:style w:type="paragraph" w:customStyle="1" w:styleId="91">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styleId="9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3">
    <w:name w:val="正文文本缩进1"/>
    <w:basedOn w:val="1"/>
    <w:link w:val="98"/>
    <w:qFormat/>
    <w:uiPriority w:val="0"/>
    <w:pPr>
      <w:spacing w:line="360" w:lineRule="auto"/>
      <w:ind w:firstLine="480" w:firstLineChars="200"/>
    </w:pPr>
    <w:rPr>
      <w:rFonts w:ascii="宋体"/>
      <w:sz w:val="24"/>
    </w:rPr>
  </w:style>
  <w:style w:type="paragraph" w:customStyle="1" w:styleId="94">
    <w:name w:val="列出段落31"/>
    <w:basedOn w:val="1"/>
    <w:qFormat/>
    <w:uiPriority w:val="99"/>
    <w:pPr>
      <w:ind w:firstLine="420" w:firstLineChars="200"/>
    </w:pPr>
    <w:rPr>
      <w:rFonts w:ascii="Calibri" w:hAnsi="Calibri"/>
    </w:rPr>
  </w:style>
  <w:style w:type="paragraph" w:customStyle="1" w:styleId="95">
    <w:name w:val="普通(网站)1"/>
    <w:basedOn w:val="1"/>
    <w:qFormat/>
    <w:uiPriority w:val="0"/>
    <w:pPr>
      <w:spacing w:beforeAutospacing="1" w:afterAutospacing="1"/>
      <w:jc w:val="left"/>
    </w:pPr>
    <w:rPr>
      <w:rFonts w:cs="黑体"/>
      <w:kern w:val="0"/>
      <w:sz w:val="24"/>
    </w:rPr>
  </w:style>
  <w:style w:type="character" w:customStyle="1" w:styleId="96">
    <w:name w:val="正文文本缩进 2 Char"/>
    <w:basedOn w:val="26"/>
    <w:link w:val="15"/>
    <w:semiHidden/>
    <w:qFormat/>
    <w:uiPriority w:val="99"/>
    <w:rPr>
      <w:rFonts w:ascii="Times New Roman" w:hAnsi="Times New Roman" w:eastAsia="宋体" w:cs="Times New Roman"/>
      <w:szCs w:val="24"/>
    </w:rPr>
  </w:style>
  <w:style w:type="paragraph" w:customStyle="1" w:styleId="97">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 w:val="24"/>
      <w:szCs w:val="20"/>
    </w:rPr>
  </w:style>
  <w:style w:type="character" w:customStyle="1" w:styleId="98">
    <w:name w:val="正文文本缩进 Char Char"/>
    <w:link w:val="93"/>
    <w:qFormat/>
    <w:uiPriority w:val="0"/>
    <w:rPr>
      <w:rFonts w:ascii="宋体" w:hAnsi="Times New Roman" w:eastAsia="宋体" w:cs="Times New Roman"/>
      <w:sz w:val="24"/>
      <w:szCs w:val="24"/>
    </w:rPr>
  </w:style>
  <w:style w:type="character" w:customStyle="1" w:styleId="99">
    <w:name w:val="日期 Char Char"/>
    <w:link w:val="77"/>
    <w:qFormat/>
    <w:uiPriority w:val="0"/>
    <w:rPr>
      <w:rFonts w:ascii="Times New Roman" w:hAnsi="Times New Roman" w:eastAsia="宋体" w:cs="Times New Roman"/>
      <w:sz w:val="24"/>
      <w:szCs w:val="24"/>
    </w:rPr>
  </w:style>
  <w:style w:type="character" w:customStyle="1" w:styleId="100">
    <w:name w:val="标题 2 Char1"/>
    <w:basedOn w:val="26"/>
    <w:qFormat/>
    <w:uiPriority w:val="0"/>
    <w:rPr>
      <w:rFonts w:ascii="Arial" w:hAnsi="Arial" w:eastAsia="黑体" w:cs="Times New Roman"/>
      <w:b/>
      <w:bCs/>
      <w:kern w:val="0"/>
      <w:sz w:val="32"/>
      <w:szCs w:val="32"/>
    </w:rPr>
  </w:style>
  <w:style w:type="paragraph" w:customStyle="1" w:styleId="101">
    <w:name w:val="Table Paragraph"/>
    <w:basedOn w:val="1"/>
    <w:qFormat/>
    <w:uiPriority w:val="1"/>
    <w:rPr>
      <w:rFonts w:asciiTheme="minorHAnsi" w:hAnsiTheme="minorHAnsi" w:eastAsiaTheme="minorEastAsia" w:cstheme="minorBidi"/>
      <w:szCs w:val="22"/>
    </w:rPr>
  </w:style>
  <w:style w:type="paragraph" w:customStyle="1" w:styleId="102">
    <w:name w:val="WPSOffice手动目录 1"/>
    <w:qFormat/>
    <w:uiPriority w:val="0"/>
    <w:rPr>
      <w:rFonts w:ascii="Times New Roman" w:hAnsi="Times New Roman" w:eastAsia="宋体" w:cs="Times New Roman"/>
      <w:lang w:val="en-US" w:eastAsia="zh-CN" w:bidi="ar-SA"/>
    </w:rPr>
  </w:style>
  <w:style w:type="paragraph" w:customStyle="1" w:styleId="10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4">
    <w:name w:val="批注框文本 Char"/>
    <w:basedOn w:val="26"/>
    <w:link w:val="16"/>
    <w:semiHidden/>
    <w:qFormat/>
    <w:uiPriority w:val="99"/>
    <w:rPr>
      <w:kern w:val="2"/>
      <w:sz w:val="18"/>
      <w:szCs w:val="18"/>
    </w:rPr>
  </w:style>
  <w:style w:type="paragraph" w:customStyle="1" w:styleId="10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Info spid="_x0000_s1031"/>
    <customShpInfo spid="_x0000_s1030"/>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8925C7-F259-4AC9-862D-0092180E182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57</Pages>
  <Words>5386</Words>
  <Characters>30704</Characters>
  <Lines>255</Lines>
  <Paragraphs>72</Paragraphs>
  <TotalTime>1</TotalTime>
  <ScaleCrop>false</ScaleCrop>
  <LinksUpToDate>false</LinksUpToDate>
  <CharactersWithSpaces>36018</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2019-08-05T06:48:00Z</dcterms:created>
  <dc:creator>Administrator</dc:creator>
  <cp:lastModifiedBy>T</cp:lastModifiedBy>
  <cp:lastPrinted>2019-12-05T07:15:00Z</cp:lastPrinted>
  <dcterms:modified xsi:type="dcterms:W3CDTF">2019-12-11T08:28:56Z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